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veintitrés de febrero de dos mil veintidós. </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relativos a los recursos de revisión </w:t>
      </w:r>
      <w:hyperlink r:id="rId8">
        <w:r>
          <w:rPr>
            <w:rFonts w:ascii="Palatino Linotype" w:eastAsia="Palatino Linotype" w:hAnsi="Palatino Linotype" w:cs="Palatino Linotype"/>
            <w:b/>
          </w:rPr>
          <w:t>06349/INFOEM/IP/RR/2021</w:t>
        </w:r>
      </w:hyperlink>
      <w:r>
        <w:rPr>
          <w:rFonts w:ascii="Palatino Linotype" w:eastAsia="Palatino Linotype" w:hAnsi="Palatino Linotype" w:cs="Palatino Linotype"/>
          <w:b/>
        </w:rPr>
        <w:t xml:space="preserve">, </w:t>
      </w:r>
      <w:hyperlink r:id="rId9">
        <w:r>
          <w:rPr>
            <w:rFonts w:ascii="Palatino Linotype" w:eastAsia="Palatino Linotype" w:hAnsi="Palatino Linotype" w:cs="Palatino Linotype"/>
            <w:b/>
          </w:rPr>
          <w:t>06354/INFOEM/IP/RR/2021</w:t>
        </w:r>
      </w:hyperlink>
      <w:r>
        <w:rPr>
          <w:rFonts w:ascii="Palatino Linotype" w:eastAsia="Palatino Linotype" w:hAnsi="Palatino Linotype" w:cs="Palatino Linotype"/>
          <w:b/>
        </w:rPr>
        <w:t xml:space="preserve">, </w:t>
      </w:r>
      <w:hyperlink r:id="rId10">
        <w:r>
          <w:rPr>
            <w:rFonts w:ascii="Palatino Linotype" w:eastAsia="Palatino Linotype" w:hAnsi="Palatino Linotype" w:cs="Palatino Linotype"/>
            <w:b/>
          </w:rPr>
          <w:br/>
          <w:t>06355/INFOEM/IP/RR/2021</w:t>
        </w:r>
      </w:hyperlink>
      <w:r>
        <w:rPr>
          <w:rFonts w:ascii="Palatino Linotype" w:eastAsia="Palatino Linotype" w:hAnsi="Palatino Linotype" w:cs="Palatino Linotype"/>
          <w:b/>
        </w:rPr>
        <w:t xml:space="preserve">, </w:t>
      </w:r>
      <w:hyperlink r:id="rId11">
        <w:r>
          <w:rPr>
            <w:rFonts w:ascii="Palatino Linotype" w:eastAsia="Palatino Linotype" w:hAnsi="Palatino Linotype" w:cs="Palatino Linotype"/>
            <w:b/>
          </w:rPr>
          <w:t>06356/INFOEM/IP/RR/2021</w:t>
        </w:r>
      </w:hyperlink>
      <w:r>
        <w:rPr>
          <w:rFonts w:ascii="Palatino Linotype" w:eastAsia="Palatino Linotype" w:hAnsi="Palatino Linotype" w:cs="Palatino Linotype"/>
          <w:b/>
        </w:rPr>
        <w:t xml:space="preserve">, 06357/INFOEM/IP/RR/2021 y </w:t>
      </w:r>
      <w:hyperlink r:id="rId12">
        <w:r>
          <w:rPr>
            <w:rFonts w:ascii="Palatino Linotype" w:eastAsia="Palatino Linotype" w:hAnsi="Palatino Linotype" w:cs="Palatino Linotype"/>
            <w:b/>
          </w:rPr>
          <w:t>06358/INFOEM/IP/RR/2021</w:t>
        </w:r>
      </w:hyperlink>
      <w:r>
        <w:rPr>
          <w:rFonts w:ascii="Palatino Linotype" w:eastAsia="Palatino Linotype" w:hAnsi="Palatino Linotype" w:cs="Palatino Linotype"/>
          <w:b/>
        </w:rPr>
        <w:t xml:space="preserve">y, </w:t>
      </w:r>
      <w:r>
        <w:rPr>
          <w:rFonts w:ascii="Palatino Linotype" w:eastAsia="Palatino Linotype" w:hAnsi="Palatino Linotype" w:cs="Palatino Linotype"/>
        </w:rPr>
        <w:t xml:space="preserve">interpuestos por </w:t>
      </w:r>
      <w:r w:rsidR="0060137D">
        <w:rPr>
          <w:rFonts w:ascii="Palatino Linotype" w:eastAsia="Palatino Linotype" w:hAnsi="Palatino Linotype" w:cs="Palatino Linotype"/>
          <w:b/>
        </w:rPr>
        <w:t>XXXXX XXXXX</w:t>
      </w:r>
      <w:r>
        <w:rPr>
          <w:rFonts w:ascii="Palatino Linotype" w:eastAsia="Palatino Linotype" w:hAnsi="Palatino Linotype" w:cs="Palatino Linotype"/>
        </w:rPr>
        <w:t xml:space="preserve">, a quien se le denominada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de información con número de folio </w:t>
      </w:r>
      <w:hyperlink r:id="rId13">
        <w:r>
          <w:rPr>
            <w:rFonts w:ascii="Palatino Linotype" w:eastAsia="Palatino Linotype" w:hAnsi="Palatino Linotype" w:cs="Palatino Linotype"/>
            <w:b/>
          </w:rPr>
          <w:t>00134/OASZUMPANG/IP/2021</w:t>
        </w:r>
      </w:hyperlink>
      <w:r>
        <w:rPr>
          <w:rFonts w:ascii="Palatino Linotype" w:eastAsia="Palatino Linotype" w:hAnsi="Palatino Linotype" w:cs="Palatino Linotype"/>
          <w:b/>
        </w:rPr>
        <w:t xml:space="preserve">, </w:t>
      </w:r>
      <w:hyperlink r:id="rId14">
        <w:r>
          <w:rPr>
            <w:rFonts w:ascii="Palatino Linotype" w:eastAsia="Palatino Linotype" w:hAnsi="Palatino Linotype" w:cs="Palatino Linotype"/>
            <w:b/>
          </w:rPr>
          <w:t>00086/OASZUMPANG/IP/202</w:t>
        </w:r>
      </w:hyperlink>
      <w:r>
        <w:rPr>
          <w:rFonts w:ascii="Palatino Linotype" w:eastAsia="Palatino Linotype" w:hAnsi="Palatino Linotype" w:cs="Palatino Linotype"/>
          <w:b/>
        </w:rPr>
        <w:t xml:space="preserve">, </w:t>
      </w:r>
      <w:hyperlink r:id="rId15">
        <w:r>
          <w:rPr>
            <w:rFonts w:ascii="Palatino Linotype" w:eastAsia="Palatino Linotype" w:hAnsi="Palatino Linotype" w:cs="Palatino Linotype"/>
            <w:b/>
          </w:rPr>
          <w:t>00085/OASZUMPANG/IP/2021</w:t>
        </w:r>
      </w:hyperlink>
      <w:r>
        <w:rPr>
          <w:rFonts w:ascii="Palatino Linotype" w:eastAsia="Palatino Linotype" w:hAnsi="Palatino Linotype" w:cs="Palatino Linotype"/>
          <w:b/>
        </w:rPr>
        <w:t xml:space="preserve">, </w:t>
      </w:r>
      <w:hyperlink r:id="rId16">
        <w:r>
          <w:rPr>
            <w:rFonts w:ascii="Palatino Linotype" w:eastAsia="Palatino Linotype" w:hAnsi="Palatino Linotype" w:cs="Palatino Linotype"/>
            <w:b/>
          </w:rPr>
          <w:t>00077/OASZUMPANG/IP/2021</w:t>
        </w:r>
      </w:hyperlink>
      <w:r>
        <w:rPr>
          <w:rFonts w:ascii="Palatino Linotype" w:eastAsia="Palatino Linotype" w:hAnsi="Palatino Linotype" w:cs="Palatino Linotype"/>
          <w:b/>
        </w:rPr>
        <w:t xml:space="preserve">, </w:t>
      </w:r>
      <w:hyperlink r:id="rId17">
        <w:r>
          <w:rPr>
            <w:rFonts w:ascii="Palatino Linotype" w:eastAsia="Palatino Linotype" w:hAnsi="Palatino Linotype" w:cs="Palatino Linotype"/>
            <w:b/>
          </w:rPr>
          <w:t>00065/OASZUMPANG/IP/2021</w:t>
        </w:r>
      </w:hyperlink>
      <w:r>
        <w:rPr>
          <w:rFonts w:ascii="Palatino Linotype" w:eastAsia="Palatino Linotype" w:hAnsi="Palatino Linotype" w:cs="Palatino Linotype"/>
          <w:b/>
        </w:rPr>
        <w:t xml:space="preserve"> y </w:t>
      </w:r>
      <w:hyperlink r:id="rId18">
        <w:r>
          <w:rPr>
            <w:rFonts w:ascii="Palatino Linotype" w:eastAsia="Palatino Linotype" w:hAnsi="Palatino Linotype" w:cs="Palatino Linotype"/>
            <w:b/>
          </w:rPr>
          <w:t>00075/OASZUMPANG/IP/2021</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Organismo Público Descentralizado para la Prestación de los Servicios de Agua Potable Alcantarillado y Saneamiento del Municipio de Zumpango,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 procede a dictar la presente resolución, con base en los siguientes:</w:t>
      </w:r>
    </w:p>
    <w:p w:rsidR="008D7F65" w:rsidRDefault="003013C0">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1. Solicitudes de acceso a la información. </w:t>
      </w:r>
      <w:r>
        <w:rPr>
          <w:rFonts w:ascii="Palatino Linotype" w:eastAsia="Palatino Linotype" w:hAnsi="Palatino Linotype" w:cs="Palatino Linotype"/>
        </w:rPr>
        <w:t xml:space="preserve">Con fecha veintiséis de noviembre del dos mil veintiuno,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8D7F65" w:rsidRDefault="003013C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00134/OASZUMPANG/IP/2021:</w:t>
      </w:r>
    </w:p>
    <w:p w:rsidR="008D7F65" w:rsidRDefault="003013C0">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los permisos de factibilidad expedidos a favor de la empresa - casas Javer de México s.a. de c.v. y documentos que amparen la respuesta” (Sic)</w:t>
      </w:r>
    </w:p>
    <w:p w:rsidR="008D7F65" w:rsidRDefault="003013C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00086/OASZUMPANG/IP/2021:</w:t>
      </w:r>
    </w:p>
    <w:p w:rsidR="008D7F65" w:rsidRDefault="003013C0">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saber la ubicación de las bombas y La fuente de energía eléctrica, motores diésel del quipo de bombeo que existe en el organismo actualizado con documento que acrediten lo solicitado” (Sic)</w:t>
      </w:r>
    </w:p>
    <w:p w:rsidR="008D7F65" w:rsidRDefault="003013C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00085/OASZUMPANG/IP/2021:</w:t>
      </w:r>
    </w:p>
    <w:p w:rsidR="008D7F65" w:rsidRDefault="003013C0">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“requiero saber en el caso de tanques elevados tienen una base construida por encima del nivel del suelo, que debe ser plano para que no haya riesgo de un accidente, como el desplome de la estructura por la irregularidad del piso. solicitar saber su croquis de localización de cada uno de los que existen en el municipio y su plan de contingencia” (Sic)</w:t>
      </w:r>
    </w:p>
    <w:p w:rsidR="008D7F65" w:rsidRDefault="003013C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00077/OASZUMPANG/IP/2021:</w:t>
      </w:r>
    </w:p>
    <w:p w:rsidR="008D7F65" w:rsidRDefault="003013C0">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todos los documentos que informen sobre la ubicación geográfica de todos los pozos de agua y depósitos de agua que existe en todo el municipio de Zumpango” (Sic)</w:t>
      </w:r>
    </w:p>
    <w:p w:rsidR="008D7F65" w:rsidRDefault="003013C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00065/OASZUMPANG/IP/2021:</w:t>
      </w:r>
    </w:p>
    <w:p w:rsidR="008D7F65" w:rsidRDefault="003013C0">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la factibilidad o autorización emitida a favor de la empresa Casa Geo en la solicitud para el servicio de agua potable y alcantarillado.” (Sic)</w:t>
      </w:r>
    </w:p>
    <w:p w:rsidR="008D7F65" w:rsidRDefault="003013C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Solicitud 00075/OASZUMPANG/IP/2021:</w:t>
      </w:r>
    </w:p>
    <w:p w:rsidR="008D7F65" w:rsidRDefault="003013C0">
      <w:pPr>
        <w:spacing w:before="240" w:after="240"/>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todos los documentos que informen sobre los Estudios de perforación de pozos de agua potable que han realizado desde al año 2015 a la fecha en el municipio de Zumpango” (Sic)</w:t>
      </w:r>
    </w:p>
    <w:p w:rsidR="008D7F65" w:rsidRDefault="003013C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cada una de las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8D7F65" w:rsidRDefault="008D7F65">
      <w:pPr>
        <w:spacing w:line="360" w:lineRule="auto"/>
        <w:jc w:val="both"/>
        <w:rPr>
          <w:rFonts w:ascii="Palatino Linotype" w:eastAsia="Palatino Linotype" w:hAnsi="Palatino Linotype" w:cs="Palatino Linotype"/>
          <w:b/>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Con fecha catorce de diciembre del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sus respuestas a las solicitudes de acceso a la información a través del SAIMEX, la cual versa como sigue:</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00134/OASZUMPANG/IP/2021</w:t>
      </w:r>
      <w:r>
        <w:rPr>
          <w:rFonts w:ascii="Palatino Linotype" w:eastAsia="Palatino Linotype" w:hAnsi="Palatino Linotype" w:cs="Palatino Linotype"/>
        </w:rPr>
        <w:t xml:space="preserve">: </w:t>
      </w:r>
    </w:p>
    <w:p w:rsidR="008D7F65" w:rsidRDefault="003013C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00134/OASZUMPANG/IP/2021 la cual fue ingresada el veintiséis de noviembre del presente año, a través del Sistema de Acceso a la Información Mexiquense (SAIMEX); mediante la cual solicita:"solicito los permisos de factibilidad expedidos a favor de la empresa - </w:t>
      </w:r>
      <w:r>
        <w:rPr>
          <w:rFonts w:ascii="Palatino Linotype" w:eastAsia="Palatino Linotype" w:hAnsi="Palatino Linotype" w:cs="Palatino Linotype"/>
          <w:i/>
          <w:color w:val="000000"/>
          <w:sz w:val="22"/>
          <w:szCs w:val="22"/>
        </w:rPr>
        <w:lastRenderedPageBreak/>
        <w:t>casas Javer de México s.a. de c.v. y documentos que amparen la respuesta.” (Sic), le comento lo siguiente: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LAURA BEATRIZ ORTIZ FUENTES” (Sic)</w:t>
      </w:r>
    </w:p>
    <w:p w:rsidR="008D7F65" w:rsidRDefault="008D7F65">
      <w:pPr>
        <w:ind w:left="851" w:right="902"/>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los archivos electrónicos denominados “</w:t>
      </w:r>
      <w:hyperlink r:id="rId19">
        <w:r>
          <w:rPr>
            <w:rFonts w:ascii="Palatino Linotype" w:eastAsia="Palatino Linotype" w:hAnsi="Palatino Linotype" w:cs="Palatino Linotype"/>
          </w:rPr>
          <w:t>FACTIBIILDAD 2.pdf</w:t>
        </w:r>
      </w:hyperlink>
      <w:r>
        <w:rPr>
          <w:rFonts w:ascii="Palatino Linotype" w:eastAsia="Palatino Linotype" w:hAnsi="Palatino Linotype" w:cs="Palatino Linotype"/>
        </w:rPr>
        <w:t>” y “</w:t>
      </w:r>
      <w:hyperlink r:id="rId20">
        <w:r>
          <w:rPr>
            <w:rFonts w:ascii="Palatino Linotype" w:eastAsia="Palatino Linotype" w:hAnsi="Palatino Linotype" w:cs="Palatino Linotype"/>
          </w:rPr>
          <w:t>FACTIBILIDAD .pdf</w:t>
        </w:r>
      </w:hyperlink>
      <w:r>
        <w:rPr>
          <w:rFonts w:ascii="Palatino Linotype" w:eastAsia="Palatino Linotype" w:hAnsi="Palatino Linotype" w:cs="Palatino Linotype"/>
        </w:rPr>
        <w:t xml:space="preserve">”, los cuales serán analizados en el apartado de estudio correspondiente. </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00086/OASZUMPANG/IP/2021:</w:t>
      </w:r>
    </w:p>
    <w:p w:rsidR="008D7F65" w:rsidRDefault="003013C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0086/OASZUMPANG/IP/2021 la cual fue ingresada el veintiséis de noviembre del presente año, a través del Sistema de Acceso a la Información Mexiquense (SAIMEX); mediante la cual solicita:"solicito saber la ubicación de las bombas y La fuente de energía eléctrica, motores diésel del quipo de bombeo que existe en el organismo actualizado con documento que acrediten lo solicitado” (Sic), le comento lo siguiente: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LAURA BEATRIZ ORTIZ FUENTES” (Sic)</w:t>
      </w:r>
    </w:p>
    <w:p w:rsidR="008D7F65" w:rsidRDefault="008D7F65">
      <w:pPr>
        <w:ind w:left="851" w:right="902"/>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Adjuntando a su respuesta los archivos electrónicos denominados “</w:t>
      </w:r>
      <w:hyperlink r:id="rId21">
        <w:r>
          <w:rPr>
            <w:rFonts w:ascii="Palatino Linotype" w:eastAsia="Palatino Linotype" w:hAnsi="Palatino Linotype" w:cs="Palatino Linotype"/>
          </w:rPr>
          <w:t>PLANO DE INFRAESTRUCTURA ZUMPANGO-Model.pdf</w:t>
        </w:r>
      </w:hyperlink>
      <w:r>
        <w:rPr>
          <w:rFonts w:ascii="Palatino Linotype" w:eastAsia="Palatino Linotype" w:hAnsi="Palatino Linotype" w:cs="Palatino Linotype"/>
        </w:rPr>
        <w:t>” y “</w:t>
      </w:r>
      <w:hyperlink r:id="rId22">
        <w:r>
          <w:rPr>
            <w:rFonts w:ascii="Palatino Linotype" w:eastAsia="Palatino Linotype" w:hAnsi="Palatino Linotype" w:cs="Palatino Linotype"/>
          </w:rPr>
          <w:t>86.pdf</w:t>
        </w:r>
      </w:hyperlink>
      <w:r>
        <w:rPr>
          <w:rFonts w:ascii="Palatino Linotype" w:eastAsia="Palatino Linotype" w:hAnsi="Palatino Linotype" w:cs="Palatino Linotype"/>
        </w:rPr>
        <w:t xml:space="preserve">”, los cuales serán analizados en el apartado de estudio correspondiente. </w:t>
      </w: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00085/OASZUMPANG/IP/2021:</w:t>
      </w:r>
    </w:p>
    <w:p w:rsidR="008D7F65" w:rsidRDefault="003013C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0085/OASZUMPANG/IP/2021 la cual fue ingresada el veintiséis de noviembre del presente año, a través del Sistema de Acceso a la Información Mexiquense (SAIMEX); mediante la cual solicita:"requiero saber en el caso de tanques elevados tienen una base construida por encima del nivel del suelo, que debe ser plano para que no haya riesgo de un accidente, como el desplome de la estructura por la irregularidad del piso. solicitar saber su croquis de localización de cada uno de los que existen en el municipio y su plan de contingencia” (Sic), le comento lo siguiente: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LAURA BEATRIZ ORTIZ FUENTES” (Sic)</w:t>
      </w:r>
    </w:p>
    <w:p w:rsidR="008D7F65" w:rsidRDefault="008D7F65">
      <w:pPr>
        <w:ind w:left="851" w:right="902"/>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los archivos electrónicos denominados “</w:t>
      </w:r>
      <w:hyperlink r:id="rId23">
        <w:r>
          <w:rPr>
            <w:rFonts w:ascii="Palatino Linotype" w:eastAsia="Palatino Linotype" w:hAnsi="Palatino Linotype" w:cs="Palatino Linotype"/>
          </w:rPr>
          <w:t>PLANO DE INFRAESTRUCTURA ZUMPANGO-Model.pdf</w:t>
        </w:r>
      </w:hyperlink>
      <w:r>
        <w:rPr>
          <w:rFonts w:ascii="Palatino Linotype" w:eastAsia="Palatino Linotype" w:hAnsi="Palatino Linotype" w:cs="Palatino Linotype"/>
        </w:rPr>
        <w:t>” y “</w:t>
      </w:r>
      <w:hyperlink r:id="rId24">
        <w:r>
          <w:rPr>
            <w:rFonts w:ascii="Palatino Linotype" w:eastAsia="Palatino Linotype" w:hAnsi="Palatino Linotype" w:cs="Palatino Linotype"/>
          </w:rPr>
          <w:t>la 85.pdf</w:t>
        </w:r>
      </w:hyperlink>
      <w:r>
        <w:rPr>
          <w:rFonts w:ascii="Palatino Linotype" w:eastAsia="Palatino Linotype" w:hAnsi="Palatino Linotype" w:cs="Palatino Linotype"/>
        </w:rPr>
        <w:t xml:space="preserve">”, los cuales serán analizados en el apartado de estudio correspondiente. </w:t>
      </w:r>
    </w:p>
    <w:p w:rsidR="008D7F65" w:rsidRDefault="008D7F65">
      <w:pPr>
        <w:ind w:left="851" w:right="902"/>
        <w:jc w:val="both"/>
        <w:rPr>
          <w:rFonts w:ascii="Palatino Linotype" w:eastAsia="Palatino Linotype" w:hAnsi="Palatino Linotype" w:cs="Palatino Linotype"/>
          <w:i/>
          <w:sz w:val="22"/>
          <w:szCs w:val="22"/>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Solicitud 00077/OASZUMPANG/IP/2021:</w:t>
      </w:r>
    </w:p>
    <w:p w:rsidR="008D7F65" w:rsidRDefault="003013C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0077/OASZUMPANG/IP/2021 la cual fue ingresada el veintiséis de noviembre del presente año, a través del Sistema de Acceso a la Información Mexiquense (SAIMEX); mediante la cual solicita:"Solicito todos los documentos que informen sobre la ubicación geográfica de todos los pozos de agua y depósitos de agua que existe en todo el municipio de Zumpango” (Sic), le comento lo siguiente: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LAURA BEATRIZ ORTIZ FUENTES” (Sic)</w:t>
      </w:r>
    </w:p>
    <w:p w:rsidR="008D7F65" w:rsidRDefault="008D7F65">
      <w:pPr>
        <w:ind w:left="851" w:right="902"/>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los archivos electrónicos denominados “</w:t>
      </w:r>
      <w:hyperlink r:id="rId25">
        <w:r>
          <w:rPr>
            <w:rFonts w:ascii="Palatino Linotype" w:eastAsia="Palatino Linotype" w:hAnsi="Palatino Linotype" w:cs="Palatino Linotype"/>
          </w:rPr>
          <w:t>PLANO DE INFRAESTRUCTURA ZUMPANGO-Model.pdf</w:t>
        </w:r>
      </w:hyperlink>
      <w:r>
        <w:rPr>
          <w:rFonts w:ascii="Palatino Linotype" w:eastAsia="Palatino Linotype" w:hAnsi="Palatino Linotype" w:cs="Palatino Linotype"/>
        </w:rPr>
        <w:t>” y “</w:t>
      </w:r>
      <w:hyperlink r:id="rId26">
        <w:r>
          <w:rPr>
            <w:rFonts w:ascii="Palatino Linotype" w:eastAsia="Palatino Linotype" w:hAnsi="Palatino Linotype" w:cs="Palatino Linotype"/>
          </w:rPr>
          <w:t>res 77.pdf</w:t>
        </w:r>
      </w:hyperlink>
      <w:r>
        <w:rPr>
          <w:rFonts w:ascii="Palatino Linotype" w:eastAsia="Palatino Linotype" w:hAnsi="Palatino Linotype" w:cs="Palatino Linotype"/>
        </w:rPr>
        <w:t xml:space="preserve">”, los cuales serán analizados en el apartado de estudio correspondiente. </w:t>
      </w:r>
    </w:p>
    <w:p w:rsidR="008D7F65" w:rsidRDefault="008D7F65">
      <w:pPr>
        <w:spacing w:line="360" w:lineRule="auto"/>
        <w:jc w:val="both"/>
        <w:rPr>
          <w:rFonts w:ascii="Palatino Linotype" w:eastAsia="Palatino Linotype" w:hAnsi="Palatino Linotype" w:cs="Palatino Linotype"/>
          <w:b/>
        </w:rPr>
      </w:pP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00065/OASZUMPANG/IP/2021:</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Conforme a la búsqueda exhaustiva y razonable realizada en los archivos de la Dirección de Operación, Construcción y Mantenimiento, se informa lo siguiente: No se cuenta con información de la empresa denominada "Casas Geo":</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LAURA BEATRIZ ORTIZ FUENTES” (Sic)</w:t>
      </w:r>
    </w:p>
    <w:p w:rsidR="008D7F65" w:rsidRDefault="008D7F65">
      <w:pPr>
        <w:ind w:left="851" w:right="902"/>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el archivo electrónico denominados “</w:t>
      </w:r>
      <w:hyperlink r:id="rId27">
        <w:r>
          <w:rPr>
            <w:rFonts w:ascii="Palatino Linotype" w:eastAsia="Palatino Linotype" w:hAnsi="Palatino Linotype" w:cs="Palatino Linotype"/>
          </w:rPr>
          <w:t>Respuesta 65.pdf</w:t>
        </w:r>
      </w:hyperlink>
      <w:r>
        <w:rPr>
          <w:rFonts w:ascii="Palatino Linotype" w:eastAsia="Palatino Linotype" w:hAnsi="Palatino Linotype" w:cs="Palatino Linotype"/>
        </w:rPr>
        <w:t xml:space="preserve">”, el cual será analizado en el apartado de estudio correspondiente. </w:t>
      </w: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Solicitud 00075/OASZUMPANG/IP/2021:</w:t>
      </w:r>
    </w:p>
    <w:p w:rsidR="008D7F65" w:rsidRDefault="003013C0">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0075/OASZUMPANG/IP/2021 la cual fue ingresada el veintiséis de noviembre del presente año, a través del Sistema de Acceso a la Información Mexiquense (SAIMEX); mediante la cual solicita:"Solicito todos los documentos que informen sobre los Estudios de perforación de pozos de agua potable que han realizado desde al año 2015 a la fecha en el municipio de Zumpango” (Sic), le comento lo siguiente: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LAURA BEATRIZ ORTIZ FUENTES” (Sic)</w:t>
      </w:r>
    </w:p>
    <w:p w:rsidR="008D7F65" w:rsidRDefault="008D7F65">
      <w:pPr>
        <w:ind w:left="851" w:right="902"/>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Adjuntando a su respuesta el archivo electrónico denominados “</w:t>
      </w:r>
      <w:hyperlink r:id="rId28">
        <w:r>
          <w:rPr>
            <w:rFonts w:ascii="Palatino Linotype" w:eastAsia="Palatino Linotype" w:hAnsi="Palatino Linotype" w:cs="Palatino Linotype"/>
          </w:rPr>
          <w:t>respuesta 75.pdf</w:t>
        </w:r>
      </w:hyperlink>
      <w:r>
        <w:rPr>
          <w:rFonts w:ascii="Palatino Linotype" w:eastAsia="Palatino Linotype" w:hAnsi="Palatino Linotype" w:cs="Palatino Linotype"/>
        </w:rPr>
        <w:t xml:space="preserve">”, el cual será analizado en el apartado de estudio correspondiente. </w:t>
      </w:r>
    </w:p>
    <w:p w:rsidR="008D7F65" w:rsidRDefault="008D7F65">
      <w:pPr>
        <w:spacing w:line="360" w:lineRule="auto"/>
        <w:jc w:val="both"/>
        <w:rPr>
          <w:rFonts w:ascii="Palatino Linotype" w:eastAsia="Palatino Linotype" w:hAnsi="Palatino Linotype" w:cs="Palatino Linotype"/>
          <w:b/>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 los recursos de revisión. </w:t>
      </w:r>
      <w:r>
        <w:rPr>
          <w:rFonts w:ascii="Palatino Linotype" w:eastAsia="Palatino Linotype" w:hAnsi="Palatino Linotype" w:cs="Palatino Linotype"/>
        </w:rPr>
        <w:t xml:space="preserve">Inconforme la solicitante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los recursos de revisión a través del SAIMEX en fecha catorce de diciembre del dos mil veintiuno, a través del cual expresó lo siguiente:</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06349/INFOEM/IP/RR/2021:</w:t>
      </w:r>
      <w:r>
        <w:rPr>
          <w:rFonts w:ascii="Palatino Linotype" w:eastAsia="Palatino Linotype" w:hAnsi="Palatino Linotype" w:cs="Palatino Linotype"/>
        </w:rPr>
        <w:t xml:space="preserve"> </w:t>
      </w:r>
    </w:p>
    <w:p w:rsidR="008D7F65" w:rsidRDefault="003013C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DAN RESPUESTA COMPLETA, NEGATIVA DE INFORMACIÓN” (Sic)</w:t>
      </w: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“PRIMERO POR QUE SOLO ESTAN CONESTANDO POR CONTESTAR, SOLICITO ATENTAMENTE A SU SUPERIOR Y AL ENCARGADO DE SAIMEX VERIFIQUE EL TRABAJO QUE ESTA HACIENDO LA TITULAR PUES SOLO EVADE DAR CONTESTACION. ASI QUE SOLICITO DE CONTESTACION COMPLETA Y CORRECTA” (Sic)</w:t>
      </w:r>
    </w:p>
    <w:p w:rsidR="008D7F65" w:rsidRDefault="008D7F65">
      <w:pPr>
        <w:spacing w:line="360" w:lineRule="auto"/>
        <w:jc w:val="both"/>
        <w:rPr>
          <w:rFonts w:ascii="Palatino Linotype" w:eastAsia="Palatino Linotype" w:hAnsi="Palatino Linotype" w:cs="Palatino Linotype"/>
          <w:b/>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revisión</w:t>
      </w:r>
      <w:r>
        <w:rPr>
          <w:rFonts w:ascii="Palatino Linotype" w:eastAsia="Palatino Linotype" w:hAnsi="Palatino Linotype" w:cs="Palatino Linotype"/>
          <w:b/>
        </w:rPr>
        <w:t xml:space="preserve"> 06354/INFOEM/IP/RR/2021:</w:t>
      </w:r>
    </w:p>
    <w:p w:rsidR="008D7F65" w:rsidRDefault="003013C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“NEGATIVA DE LA INFORMACION” (Sic)</w:t>
      </w: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“PRIMERO POR QUE SOLO ESTAN CONESTANDO POR CONTESTAR, SOLICITO ATENTAMENTE A SU SUPERIOR Y AL ENCARGADO DE SAIMEX VERIFIQUE EL TRABAJO QUE ESTA HACIENDO LA TITULAR </w:t>
      </w:r>
      <w:r>
        <w:rPr>
          <w:rFonts w:ascii="Palatino Linotype" w:eastAsia="Palatino Linotype" w:hAnsi="Palatino Linotype" w:cs="Palatino Linotype"/>
          <w:i/>
          <w:color w:val="000000"/>
          <w:sz w:val="22"/>
          <w:szCs w:val="22"/>
        </w:rPr>
        <w:lastRenderedPageBreak/>
        <w:t>PUES SOLO EVADE DAR CONTESTACION. ASI QUE SOLICITO DE CONTESTACION COMPLETA Y CORRECTA Y SIN FALTAS DE ORTOGRAFIA SI NO PUBLICARE QUE TIPO DE PERSONA ES LA TITULAR NO SABE NI ESCRIBIR” (Sic)</w:t>
      </w:r>
    </w:p>
    <w:p w:rsidR="008D7F65" w:rsidRDefault="008D7F65">
      <w:pPr>
        <w:spacing w:after="240" w:line="360" w:lineRule="auto"/>
        <w:jc w:val="both"/>
        <w:rPr>
          <w:rFonts w:ascii="Palatino Linotype" w:eastAsia="Palatino Linotype" w:hAnsi="Palatino Linotype" w:cs="Palatino Linotype"/>
          <w:b/>
        </w:rPr>
      </w:pPr>
    </w:p>
    <w:p w:rsidR="008D7F65" w:rsidRDefault="003013C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Recurso de revisión</w:t>
      </w:r>
      <w:r>
        <w:rPr>
          <w:rFonts w:ascii="Palatino Linotype" w:eastAsia="Palatino Linotype" w:hAnsi="Palatino Linotype" w:cs="Palatino Linotype"/>
          <w:b/>
        </w:rPr>
        <w:t xml:space="preserve"> 06355/INFOEM/IP/RR/2021: </w:t>
      </w:r>
    </w:p>
    <w:p w:rsidR="008D7F65" w:rsidRDefault="003013C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8D7F65" w:rsidRDefault="008D7F65">
      <w:pPr>
        <w:ind w:left="851" w:right="902"/>
        <w:jc w:val="both"/>
        <w:rPr>
          <w:rFonts w:ascii="Palatino Linotype" w:eastAsia="Palatino Linotype" w:hAnsi="Palatino Linotype" w:cs="Palatino Linotype"/>
          <w:i/>
          <w:color w:val="000000"/>
          <w:sz w:val="22"/>
          <w:szCs w:val="22"/>
        </w:rPr>
      </w:pP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“NEGATIVA DE LA INFORMACION” (Sic)</w:t>
      </w:r>
    </w:p>
    <w:p w:rsidR="008D7F65" w:rsidRDefault="008D7F65">
      <w:pPr>
        <w:ind w:left="851" w:right="902"/>
        <w:jc w:val="both"/>
        <w:rPr>
          <w:rFonts w:ascii="Palatino Linotype" w:eastAsia="Palatino Linotype" w:hAnsi="Palatino Linotype" w:cs="Palatino Linotype"/>
          <w:i/>
          <w:color w:val="000000"/>
          <w:sz w:val="22"/>
          <w:szCs w:val="22"/>
        </w:rPr>
      </w:pP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“PRIMERO POR QUE SOLO ESTAN CONESTANDO POR CONTESTAR, SOLICITO ATENTAMENTE A SU SUPERIOR Y AL ENCARGADO DE SAIMEX VERIFIQUE EL TRABAJO QUE ESTA HACIENDO LA TITULAR PUES SOLO EVADE DAR CONTESTACION. ASI QUE SOLICITO DE CONTESTACION COMPLETA Y CORRECTA Y SIN FALTAS DE ORTOGRAFIA SI NO PUBLICARE QUE TIPO DE PERSONA ES LA TITULAR NO SABE NI ESCRIBIR” (Sic)</w:t>
      </w:r>
    </w:p>
    <w:p w:rsidR="008D7F65" w:rsidRDefault="008D7F65">
      <w:pPr>
        <w:ind w:left="851" w:right="902"/>
        <w:jc w:val="both"/>
        <w:rPr>
          <w:rFonts w:ascii="Palatino Linotype" w:eastAsia="Palatino Linotype" w:hAnsi="Palatino Linotype" w:cs="Palatino Linotype"/>
          <w:i/>
          <w:color w:val="000000"/>
          <w:sz w:val="22"/>
          <w:szCs w:val="22"/>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 xml:space="preserve">06356/INFOEM/IP/RR/2021: </w:t>
      </w:r>
    </w:p>
    <w:p w:rsidR="008D7F65" w:rsidRDefault="003013C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“NEGTIVA DE INFORMACION” (Sic)</w:t>
      </w: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“PRIMERO POR QUE SOLO ESTAN CONESTANDO POR CONTESTAR, SOLICITO ATENTAMENTE A SU SUPERIOR Y AL ENCARGADO DE SAIMEX VERIFIQUE EL TRABAJO QUE ESTA HACIENDO LA TITULAR </w:t>
      </w:r>
      <w:r>
        <w:rPr>
          <w:rFonts w:ascii="Palatino Linotype" w:eastAsia="Palatino Linotype" w:hAnsi="Palatino Linotype" w:cs="Palatino Linotype"/>
          <w:i/>
          <w:color w:val="000000"/>
          <w:sz w:val="22"/>
          <w:szCs w:val="22"/>
        </w:rPr>
        <w:lastRenderedPageBreak/>
        <w:t>PUES SOLO EVADE DAR CONTESTACION. ASI QUE SOLICITO DE CONTESTACION COMPLETA Y CORRECTA Y SIN FALTAS DE ORTOGRAFIA SI NO PUBLICARE QUE TIPO DE PERSONA ES LA TITULAR NO SABE NI ESCRIBIR. SOLO ES PLANO QUE NO ME DICE DONDE SE ENCUENTRAN LOS POZOS PEDI UBICACION GEOGRAFIACA” (Sic)</w:t>
      </w:r>
    </w:p>
    <w:p w:rsidR="008D7F65" w:rsidRDefault="008D7F65">
      <w:pPr>
        <w:ind w:left="851" w:right="902"/>
        <w:jc w:val="both"/>
        <w:rPr>
          <w:rFonts w:ascii="Palatino Linotype" w:eastAsia="Palatino Linotype" w:hAnsi="Palatino Linotype" w:cs="Palatino Linotype"/>
          <w:i/>
          <w:color w:val="000000"/>
          <w:sz w:val="22"/>
          <w:szCs w:val="22"/>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 xml:space="preserve">06357/INFOEM/IP/RR/2021: </w:t>
      </w:r>
    </w:p>
    <w:p w:rsidR="008D7F65" w:rsidRDefault="003013C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“NEGATIVA DE LA INFORMACION” (Sic)</w:t>
      </w:r>
    </w:p>
    <w:p w:rsidR="008D7F65" w:rsidRDefault="008D7F65">
      <w:pPr>
        <w:spacing w:line="360" w:lineRule="auto"/>
        <w:jc w:val="both"/>
        <w:rPr>
          <w:rFonts w:ascii="Palatino Linotype" w:eastAsia="Palatino Linotype" w:hAnsi="Palatino Linotype" w:cs="Palatino Linotype"/>
          <w:i/>
          <w:color w:val="000000"/>
          <w:sz w:val="22"/>
          <w:szCs w:val="22"/>
        </w:rPr>
      </w:pP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“PRIMERO POR QUE SOLO ESTAN CONESTANDO POR CONTESTAR, SOLICITO ATENTAMENTE A SU SUPERIOR Y AL ENCARGADO DE SAIMEX VERIFIQUE EL TRABAJO QUE ESTA HACIENDO LA TITULAR PUES SOLO EVADE DAR CONTESTACION. ASI QUE SOLICITO DE CONTESTACION COMPLETA Y CORRECTA Y SIN FALTAS DE ORTOGRAFIA SI NO PUBLICARE QUE TIPO DE PERSONA ES LA TITULAR NO SABE NI ESCRIBIR. ADEMAS MENCIONO QUE EL SOLICITANTE NO TIENE LA OBLIGACION DE SABER EL NOMBRE CORRECTO DE LA EMPRESA, SIENDO OBLIGACION DE USTED PROPORCIONAR LA RESPUESTA SOLO PRETENDE NO DAR CONTESTACION” (Sic)</w:t>
      </w:r>
    </w:p>
    <w:p w:rsidR="008D7F65" w:rsidRDefault="008D7F65">
      <w:pPr>
        <w:ind w:left="851" w:right="902"/>
        <w:jc w:val="both"/>
        <w:rPr>
          <w:rFonts w:ascii="Palatino Linotype" w:eastAsia="Palatino Linotype" w:hAnsi="Palatino Linotype" w:cs="Palatino Linotype"/>
          <w:i/>
          <w:color w:val="000000"/>
          <w:sz w:val="22"/>
          <w:szCs w:val="22"/>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Recurso de revisión </w:t>
      </w:r>
      <w:r>
        <w:rPr>
          <w:rFonts w:ascii="Palatino Linotype" w:eastAsia="Palatino Linotype" w:hAnsi="Palatino Linotype" w:cs="Palatino Linotype"/>
          <w:b/>
        </w:rPr>
        <w:t>06358/INFOEM/IP/RR/2021:</w:t>
      </w:r>
    </w:p>
    <w:p w:rsidR="008D7F65" w:rsidRDefault="003013C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 “NEGATIVA DE INFORMACIÓN NO SUBEN LA INFORMACION QUE MENCIIONA” (Sic)</w:t>
      </w: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8D7F65" w:rsidRDefault="003013C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POR CONTESTAR, SOLICITO ATENTAMENTE A SU SUPERIOR Y AL ENCARGADO DE SAIMEX VERIFIQUE EL TRABAJO QUE ESTA HACIENDO LA TITULAR PUES SOLO EVADE DAR CONTESTACION. ASI QUE SOLICITO DE CONTESTACION COMPLETA Y CORRECTA Y SIN FALTAS DE ORTOGRAFIA SI NO PUBLICARE QUE TIPO DE PERSONA ES LA TITULAR NO SABE NI ESCRIBIREL EL INGENIERO MARIO IVAN MENCIONA EN SU CONTESTACION QUE ADJUNTA INFORMACION EN PDF LA CUAL NO APARECE EN LA RESPUEDTA, LO QUE DA A ENTERDER QUE LA TITULAR NO SABE NI SUBIR LAS RESPUESTAS. INFORMACION INCOMPLETA” (Sic)</w:t>
      </w:r>
    </w:p>
    <w:p w:rsidR="008D7F65" w:rsidRDefault="008D7F65">
      <w:pPr>
        <w:ind w:left="851" w:right="902"/>
        <w:jc w:val="both"/>
        <w:rPr>
          <w:rFonts w:ascii="Palatino Linotype" w:eastAsia="Palatino Linotype" w:hAnsi="Palatino Linotype" w:cs="Palatino Linotype"/>
          <w:i/>
          <w:color w:val="000000"/>
          <w:sz w:val="22"/>
          <w:szCs w:val="22"/>
        </w:rPr>
      </w:pPr>
    </w:p>
    <w:p w:rsidR="008D7F65" w:rsidRDefault="003013C0">
      <w:pPr>
        <w:spacing w:after="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los recursos de revisión números </w:t>
      </w:r>
      <w:r>
        <w:rPr>
          <w:rFonts w:ascii="Palatino Linotype" w:eastAsia="Palatino Linotype" w:hAnsi="Palatino Linotype" w:cs="Palatino Linotype"/>
          <w:b/>
        </w:rPr>
        <w:t xml:space="preserve">06349/INFOEM/IP/RR/2021 y 06354/INFOEM/IP/RR/2021, </w:t>
      </w:r>
      <w:r>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 xml:space="preserve">06355/INFOEM/IP/RR/2021,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Pr>
          <w:rFonts w:ascii="Palatino Linotype" w:eastAsia="Palatino Linotype" w:hAnsi="Palatino Linotype" w:cs="Palatino Linotype"/>
          <w:b/>
        </w:rPr>
        <w:t>José Martínez Vilchis</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 xml:space="preserve">06356/INFOEM/IP/RR/2021, </w:t>
      </w:r>
      <w:r>
        <w:rPr>
          <w:rFonts w:ascii="Palatino Linotype" w:eastAsia="Palatino Linotype" w:hAnsi="Palatino Linotype" w:cs="Palatino Linotype"/>
        </w:rPr>
        <w:t xml:space="preserve">se turnó por el sistema electrónico del Instituto de Transparencia, Acceso a la Información Pública y </w:t>
      </w:r>
      <w:r>
        <w:rPr>
          <w:rFonts w:ascii="Palatino Linotype" w:eastAsia="Palatino Linotype" w:hAnsi="Palatino Linotype" w:cs="Palatino Linotype"/>
        </w:rPr>
        <w:lastRenderedPageBreak/>
        <w:t xml:space="preserve">Protección de Datos Personales del Estado de México y Municipios, al  Comisionado </w:t>
      </w:r>
      <w:r>
        <w:rPr>
          <w:rFonts w:ascii="Palatino Linotype" w:eastAsia="Palatino Linotype" w:hAnsi="Palatino Linotype" w:cs="Palatino Linotype"/>
          <w:b/>
        </w:rPr>
        <w:t>Luis Gustavo Parra Noriega</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rPr>
        <w:t xml:space="preserve">06357/INFOEM/IP/RR/2021,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Sharon Cristina Morales Martínez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recurso de revisión número </w:t>
      </w:r>
      <w:r>
        <w:rPr>
          <w:rFonts w:ascii="Palatino Linotype" w:eastAsia="Palatino Linotype" w:hAnsi="Palatino Linotype" w:cs="Palatino Linotype"/>
          <w:b/>
        </w:rPr>
        <w:t xml:space="preserve">06358/INFOEM/IP/RR/2021,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María del Rosario Mejía Ayala</w:t>
      </w:r>
      <w:r>
        <w:rPr>
          <w:rFonts w:ascii="Palatino Linotype" w:eastAsia="Palatino Linotype" w:hAnsi="Palatino Linotype" w:cs="Palatino Linotype"/>
        </w:rPr>
        <w:t>, para su análisis, estudio, elaboración del proyecto y presentación ante el Pleno de este Instituto.</w:t>
      </w:r>
    </w:p>
    <w:p w:rsidR="008D7F65" w:rsidRDefault="003013C0">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Acumulación, </w:t>
      </w:r>
      <w:r>
        <w:rPr>
          <w:rFonts w:ascii="Palatino Linotype" w:eastAsia="Palatino Linotype" w:hAnsi="Palatino Linotype" w:cs="Palatino Linotype"/>
        </w:rPr>
        <w:t xml:space="preserve">en la Primera Sesión Ordinaria del Pleno de este Instituto de Transparencia, Acceso a la Información Pública y Protección de Datos Personales del Estado de México y Municipios, celebrada en fecha doce de enero de dos mil veintidós,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8D7F65" w:rsidRDefault="003013C0">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195.- En la tramitación del recurso de revisión se aplicarán supletoriamente las disposiciones contenidas en el Código de Procedimientos Administrativos del Estado de México.” (Sic)</w:t>
      </w:r>
    </w:p>
    <w:p w:rsidR="008D7F65" w:rsidRDefault="008D7F65">
      <w:pPr>
        <w:ind w:right="1325"/>
        <w:jc w:val="both"/>
        <w:rPr>
          <w:rFonts w:ascii="Palatino Linotype" w:eastAsia="Palatino Linotype" w:hAnsi="Palatino Linotype" w:cs="Palatino Linotype"/>
          <w:i/>
          <w:sz w:val="22"/>
          <w:szCs w:val="22"/>
        </w:rPr>
      </w:pPr>
    </w:p>
    <w:p w:rsidR="008D7F65" w:rsidRDefault="003013C0">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8D7F65" w:rsidRDefault="008D7F65">
      <w:pPr>
        <w:spacing w:after="240" w:line="360" w:lineRule="auto"/>
        <w:jc w:val="both"/>
        <w:rPr>
          <w:rFonts w:ascii="Palatino Linotype" w:eastAsia="Palatino Linotype" w:hAnsi="Palatino Linotype" w:cs="Palatino Linotype"/>
          <w:b/>
        </w:rPr>
      </w:pP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 los recursos de revisión: </w:t>
      </w:r>
      <w:r>
        <w:rPr>
          <w:rFonts w:ascii="Palatino Linotype" w:eastAsia="Palatino Linotype" w:hAnsi="Palatino Linotype" w:cs="Palatino Linotype"/>
        </w:rPr>
        <w:t xml:space="preserve">En </w:t>
      </w:r>
      <w:r w:rsidRPr="001A2FB3">
        <w:rPr>
          <w:rFonts w:ascii="Palatino Linotype" w:eastAsia="Palatino Linotype" w:hAnsi="Palatino Linotype" w:cs="Palatino Linotype"/>
        </w:rPr>
        <w:t xml:space="preserve">fechas dieciséis, diecisiete </w:t>
      </w:r>
      <w:r>
        <w:rPr>
          <w:rFonts w:ascii="Palatino Linotype" w:eastAsia="Palatino Linotype" w:hAnsi="Palatino Linotype" w:cs="Palatino Linotype"/>
        </w:rPr>
        <w:t xml:space="preserve">y veinte de diciembre de dos mil veintiuno, la Comisionada ponente, admitió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8D7F65" w:rsidRDefault="003013C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xml:space="preserve">: De las constancias que integran los expedientes en que se actúa se advierte que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fue omisa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en ofrecer pruebas o expresar alegatos; en términos del artículo 185 fracciones II de la ley que nos ocupa. Por su parte, el Sujeto Obligado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de igual forma, fue omiso en presentar el Informe Justificado en los recursos de revisión </w:t>
      </w:r>
      <w:hyperlink r:id="rId29">
        <w:r>
          <w:rPr>
            <w:rFonts w:ascii="Palatino Linotype" w:eastAsia="Palatino Linotype" w:hAnsi="Palatino Linotype" w:cs="Palatino Linotype"/>
            <w:b/>
            <w:color w:val="000000"/>
            <w:sz w:val="22"/>
            <w:szCs w:val="22"/>
          </w:rPr>
          <w:t>06349/INFOEM/IP/RR/2021</w:t>
        </w:r>
      </w:hyperlink>
      <w:r>
        <w:rPr>
          <w:rFonts w:ascii="Palatino Linotype" w:eastAsia="Palatino Linotype" w:hAnsi="Palatino Linotype" w:cs="Palatino Linotype"/>
          <w:b/>
          <w:color w:val="000000"/>
          <w:sz w:val="22"/>
          <w:szCs w:val="22"/>
        </w:rPr>
        <w:t xml:space="preserve">, </w:t>
      </w:r>
      <w:hyperlink r:id="rId30">
        <w:r>
          <w:rPr>
            <w:rFonts w:ascii="Palatino Linotype" w:eastAsia="Palatino Linotype" w:hAnsi="Palatino Linotype" w:cs="Palatino Linotype"/>
            <w:b/>
            <w:color w:val="000000"/>
            <w:sz w:val="22"/>
            <w:szCs w:val="22"/>
          </w:rPr>
          <w:t>06354/INFOEM/IP/RR/2021</w:t>
        </w:r>
      </w:hyperlink>
      <w:r>
        <w:rPr>
          <w:rFonts w:ascii="Palatino Linotype" w:eastAsia="Palatino Linotype" w:hAnsi="Palatino Linotype" w:cs="Palatino Linotype"/>
          <w:b/>
          <w:color w:val="000000"/>
          <w:sz w:val="22"/>
          <w:szCs w:val="22"/>
        </w:rPr>
        <w:t xml:space="preserve">, </w:t>
      </w:r>
      <w:hyperlink r:id="rId31">
        <w:r>
          <w:rPr>
            <w:rFonts w:ascii="Palatino Linotype" w:eastAsia="Palatino Linotype" w:hAnsi="Palatino Linotype" w:cs="Palatino Linotype"/>
            <w:b/>
            <w:color w:val="000000"/>
            <w:sz w:val="22"/>
            <w:szCs w:val="22"/>
          </w:rPr>
          <w:br/>
        </w:r>
        <w:r>
          <w:rPr>
            <w:rFonts w:ascii="Palatino Linotype" w:eastAsia="Palatino Linotype" w:hAnsi="Palatino Linotype" w:cs="Palatino Linotype"/>
            <w:b/>
            <w:color w:val="000000"/>
            <w:sz w:val="22"/>
            <w:szCs w:val="22"/>
          </w:rPr>
          <w:lastRenderedPageBreak/>
          <w:t>06355/INFOEM/IP/RR/2021</w:t>
        </w:r>
      </w:hyperlink>
      <w:r>
        <w:rPr>
          <w:rFonts w:ascii="Palatino Linotype" w:eastAsia="Palatino Linotype" w:hAnsi="Palatino Linotype" w:cs="Palatino Linotype"/>
          <w:b/>
          <w:color w:val="000000"/>
          <w:sz w:val="22"/>
          <w:szCs w:val="22"/>
        </w:rPr>
        <w:t xml:space="preserve">, </w:t>
      </w:r>
      <w:hyperlink r:id="rId32">
        <w:r>
          <w:rPr>
            <w:rFonts w:ascii="Palatino Linotype" w:eastAsia="Palatino Linotype" w:hAnsi="Palatino Linotype" w:cs="Palatino Linotype"/>
            <w:b/>
            <w:color w:val="000000"/>
            <w:sz w:val="22"/>
            <w:szCs w:val="22"/>
          </w:rPr>
          <w:t>06356/INFOEM/IP/RR/2021</w:t>
        </w:r>
      </w:hyperlink>
      <w:r>
        <w:rPr>
          <w:rFonts w:ascii="Palatino Linotype" w:eastAsia="Palatino Linotype" w:hAnsi="Palatino Linotype" w:cs="Palatino Linotype"/>
          <w:b/>
          <w:color w:val="000000"/>
          <w:sz w:val="22"/>
          <w:szCs w:val="22"/>
        </w:rPr>
        <w:t xml:space="preserve"> y 06357/INFOEM/IP/RR/2021, </w:t>
      </w:r>
      <w:r>
        <w:rPr>
          <w:rFonts w:ascii="Palatino Linotype" w:eastAsia="Palatino Linotype" w:hAnsi="Palatino Linotype" w:cs="Palatino Linotype"/>
          <w:color w:val="000000"/>
          <w:sz w:val="22"/>
          <w:szCs w:val="22"/>
        </w:rPr>
        <w:t>no así en el recurso de revisión</w:t>
      </w:r>
      <w:r>
        <w:rPr>
          <w:rFonts w:ascii="Palatino Linotype" w:eastAsia="Palatino Linotype" w:hAnsi="Palatino Linotype" w:cs="Palatino Linotype"/>
          <w:b/>
          <w:color w:val="000000"/>
          <w:sz w:val="22"/>
          <w:szCs w:val="22"/>
        </w:rPr>
        <w:t xml:space="preserve"> </w:t>
      </w:r>
      <w:hyperlink r:id="rId33">
        <w:r>
          <w:rPr>
            <w:rFonts w:ascii="Palatino Linotype" w:eastAsia="Palatino Linotype" w:hAnsi="Palatino Linotype" w:cs="Palatino Linotype"/>
            <w:b/>
            <w:color w:val="000000"/>
            <w:sz w:val="22"/>
            <w:szCs w:val="22"/>
          </w:rPr>
          <w:t>06358/INFOEM/IP/RR/2021</w:t>
        </w:r>
      </w:hyperlink>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ya que</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en fecha diez de enero del año en curso, remitió el archivo electrónico denominado “</w:t>
      </w:r>
      <w:hyperlink r:id="rId34">
        <w:r>
          <w:rPr>
            <w:rFonts w:ascii="Palatino Linotype" w:eastAsia="Palatino Linotype" w:hAnsi="Palatino Linotype" w:cs="Palatino Linotype"/>
            <w:color w:val="000000"/>
            <w:sz w:val="22"/>
            <w:szCs w:val="22"/>
          </w:rPr>
          <w:t>AMPLIACIÓN DEL ESTUDIO GEOFISICO DEL POZO PROFUNDO DE SAN JOSE DE LA LOMA DE LA COMUNIDAD SAN JUAN ZITLALTEPEC .pdf</w:t>
        </w:r>
      </w:hyperlink>
      <w:r>
        <w:rPr>
          <w:rFonts w:ascii="Palatino Linotype" w:eastAsia="Palatino Linotype" w:hAnsi="Palatino Linotype" w:cs="Palatino Linotype"/>
          <w:color w:val="000000"/>
          <w:sz w:val="22"/>
          <w:szCs w:val="22"/>
        </w:rPr>
        <w:t>”, sin embargo, se determinó no poner a la vista de recurrente en razón de contener datos personales, como fotografías de personas y posible nombre de particulares.</w:t>
      </w:r>
    </w:p>
    <w:p w:rsidR="008D7F65" w:rsidRDefault="003013C0">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fecha quince de febrero del dos mil veintidós la Comisionada ponente determinó los cierres de instrucción en términos de la fracción VI del artículo 185 de la Ley de Transparencia y Acceso a la Información Pública del Estado de México y Municipios.</w:t>
      </w:r>
    </w:p>
    <w:p w:rsidR="008D7F65" w:rsidRDefault="003013C0">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w:t>
      </w:r>
      <w:r>
        <w:rPr>
          <w:rFonts w:ascii="Palatino Linotype" w:eastAsia="Palatino Linotype" w:hAnsi="Palatino Linotype" w:cs="Palatino Linotype"/>
        </w:rPr>
        <w:t xml:space="preserve"> En fecha quince de febrero del año dos mil veintidós, con fundamento en el artículo 181, párrafo tercero de la Ley de Transparencia y Acceso a la Información Pública del Estado de México y Municipios, se acordó la ampliación del plazo para su resolución.</w:t>
      </w:r>
    </w:p>
    <w:p w:rsidR="008D7F65" w:rsidRDefault="003013C0">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8D7F65" w:rsidRDefault="003013C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w:t>
      </w:r>
      <w:r>
        <w:rPr>
          <w:rFonts w:ascii="Palatino Linotype" w:eastAsia="Palatino Linotype" w:hAnsi="Palatino Linotype" w:cs="Palatino Linotype"/>
          <w:highlight w:val="white"/>
        </w:rPr>
        <w:lastRenderedPageBreak/>
        <w:t xml:space="preserve">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xml:space="preserve">. </w:t>
      </w:r>
    </w:p>
    <w:p w:rsidR="008D7F65" w:rsidRDefault="003013C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las solicitudes planteadas por la solicitante el catorce de diciembre del año dos mil veintiuno y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recursos de revisión el mismo día, circunstancia que no es determinante para declararlo extemporáneo, toda vez que el </w:t>
      </w:r>
      <w:r>
        <w:rPr>
          <w:rFonts w:ascii="Palatino Linotype" w:eastAsia="Palatino Linotype" w:hAnsi="Palatino Linotype" w:cs="Palatino Linotype"/>
        </w:rPr>
        <w:lastRenderedPageBreak/>
        <w:t>tiempo concedido es para delimitar el término en que puede impugnarse la respuesta, lo cual no impide que se presente antes de iniciado el plazo previsto.</w:t>
      </w:r>
    </w:p>
    <w:p w:rsidR="008D7F65" w:rsidRDefault="003013C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8D7F65" w:rsidRDefault="008D7F65">
      <w:pPr>
        <w:pBdr>
          <w:top w:val="nil"/>
          <w:left w:val="nil"/>
          <w:bottom w:val="nil"/>
          <w:right w:val="nil"/>
          <w:between w:val="nil"/>
        </w:pBdr>
        <w:spacing w:before="5"/>
        <w:ind w:left="93"/>
        <w:rPr>
          <w:i/>
          <w:color w:val="000000"/>
        </w:rPr>
      </w:pPr>
    </w:p>
    <w:p w:rsidR="008D7F65" w:rsidRDefault="003013C0">
      <w:pPr>
        <w:pBdr>
          <w:top w:val="nil"/>
          <w:left w:val="nil"/>
          <w:bottom w:val="nil"/>
          <w:right w:val="nil"/>
          <w:between w:val="nil"/>
        </w:pBdr>
        <w:ind w:left="567" w:right="7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RECURSO DE RECLAMACIÓN. SU INTERPOSICIÓN NO ES EXTEMPORÁNEA SI SE REALIZA ANTES DE QUE INICIE EL PLAZO PARA HACERLO.</w:t>
      </w:r>
    </w:p>
    <w:p w:rsidR="008D7F65" w:rsidRDefault="003013C0">
      <w:pPr>
        <w:pBdr>
          <w:top w:val="nil"/>
          <w:left w:val="nil"/>
          <w:bottom w:val="nil"/>
          <w:right w:val="nil"/>
          <w:between w:val="nil"/>
        </w:pBdr>
        <w:ind w:left="567" w:right="76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8D7F65" w:rsidRDefault="003013C0">
      <w:pPr>
        <w:pBdr>
          <w:top w:val="nil"/>
          <w:left w:val="nil"/>
          <w:bottom w:val="nil"/>
          <w:right w:val="nil"/>
          <w:between w:val="nil"/>
        </w:pBdr>
        <w:ind w:left="567" w:right="76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De ahí que si dicho recurso se interpone antes de que inicie el plazo para hacerlo, su presentación no es extemporánea…</w:t>
      </w:r>
      <w:r>
        <w:rPr>
          <w:rFonts w:ascii="Palatino Linotype" w:eastAsia="Palatino Linotype" w:hAnsi="Palatino Linotype" w:cs="Palatino Linotype"/>
          <w:color w:val="000000"/>
          <w:sz w:val="22"/>
          <w:szCs w:val="22"/>
        </w:rPr>
        <w:t>"(Sic)</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mismo tiempo, </w:t>
      </w:r>
      <w:r>
        <w:rPr>
          <w:rFonts w:ascii="Palatino Linotype" w:eastAsia="Palatino Linotype" w:hAnsi="Palatino Linotype" w:cs="Palatino Linotype"/>
        </w:rPr>
        <w:t>por cuanto hace a la procedibilidad de los recursos de revisión, es de suma importancia señalar que la parte recurrente se identifica como "</w:t>
      </w:r>
      <w:r w:rsidR="0060137D">
        <w:rPr>
          <w:rFonts w:ascii="Palatino Linotype" w:eastAsia="Palatino Linotype" w:hAnsi="Palatino Linotype" w:cs="Palatino Linotype"/>
          <w:b/>
        </w:rPr>
        <w:t>XXXXXXXX</w:t>
      </w:r>
      <w:r>
        <w:rPr>
          <w:rFonts w:ascii="Palatino Linotype" w:eastAsia="Palatino Linotype" w:hAnsi="Palatino Linotype" w:cs="Palatino Linotype"/>
        </w:rPr>
        <w:t>" como se advierte en el detalle de seguimiento del SAIMEX, no obstante lo anterior, no proporcionar el nombre completo no es motivo para archivar la solicitud de acceso a la informació</w:t>
      </w:r>
      <w:bookmarkStart w:id="0" w:name="_GoBack"/>
      <w:bookmarkEnd w:id="0"/>
      <w:r>
        <w:rPr>
          <w:rFonts w:ascii="Palatino Linotype" w:eastAsia="Palatino Linotype" w:hAnsi="Palatino Linotype" w:cs="Palatino Linotype"/>
        </w:rPr>
        <w:t xml:space="preserve">n pública como concluida, conforme a lo </w:t>
      </w:r>
      <w:r>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rsidR="008D7F65" w:rsidRDefault="003013C0">
      <w:pPr>
        <w:spacing w:before="240"/>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8D7F65" w:rsidRDefault="008D7F65">
      <w:pPr>
        <w:spacing w:line="360" w:lineRule="auto"/>
        <w:jc w:val="both"/>
        <w:rPr>
          <w:i/>
          <w:color w:val="1F1F1F"/>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8D7F65" w:rsidRDefault="008D7F65">
      <w:pPr>
        <w:ind w:right="474"/>
        <w:jc w:val="both"/>
        <w:rPr>
          <w:rFonts w:ascii="Palatino Linotype" w:eastAsia="Palatino Linotype" w:hAnsi="Palatino Linotype" w:cs="Palatino Linotype"/>
          <w:i/>
        </w:rPr>
      </w:pP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8D7F65" w:rsidRDefault="008D7F65">
      <w:pPr>
        <w:ind w:left="567" w:right="474"/>
        <w:jc w:val="both"/>
        <w:rPr>
          <w:rFonts w:ascii="Palatino Linotype" w:eastAsia="Palatino Linotype" w:hAnsi="Palatino Linotype" w:cs="Palatino Linotype"/>
          <w:i/>
          <w:sz w:val="22"/>
          <w:szCs w:val="22"/>
        </w:rPr>
      </w:pP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rsidR="008D7F65" w:rsidRDefault="008D7F65">
      <w:pPr>
        <w:ind w:left="567" w:right="474"/>
        <w:jc w:val="both"/>
        <w:rPr>
          <w:rFonts w:ascii="Palatino Linotype" w:eastAsia="Palatino Linotype" w:hAnsi="Palatino Linotype" w:cs="Palatino Linotype"/>
          <w:i/>
          <w:sz w:val="22"/>
          <w:szCs w:val="22"/>
        </w:rPr>
      </w:pP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 (Sic)</w:t>
      </w:r>
    </w:p>
    <w:p w:rsidR="008D7F65" w:rsidRDefault="008D7F65">
      <w:pPr>
        <w:ind w:left="567" w:right="474"/>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8D7F65" w:rsidRDefault="008D7F65">
      <w:pPr>
        <w:ind w:right="474"/>
        <w:jc w:val="both"/>
        <w:rPr>
          <w:rFonts w:ascii="Palatino Linotype" w:eastAsia="Palatino Linotype" w:hAnsi="Palatino Linotype" w:cs="Palatino Linotype"/>
          <w:i/>
          <w:sz w:val="22"/>
          <w:szCs w:val="22"/>
        </w:rPr>
      </w:pP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w:t>
      </w:r>
      <w:r>
        <w:rPr>
          <w:rFonts w:ascii="Palatino Linotype" w:eastAsia="Palatino Linotype" w:hAnsi="Palatino Linotype" w:cs="Palatino Linotype"/>
          <w:i/>
          <w:sz w:val="22"/>
          <w:szCs w:val="22"/>
        </w:rPr>
        <w:lastRenderedPageBreak/>
        <w:t>transparencia, acceso a la información pública y a la protección de datos personales en posesión de los sujetos obligados en los términos que establezca la ley.” (Sic)</w:t>
      </w:r>
    </w:p>
    <w:p w:rsidR="008D7F65" w:rsidRDefault="008D7F65">
      <w:pPr>
        <w:ind w:left="567" w:right="474"/>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artículo 1 de la Constitución Política de los Estados</w:t>
      </w: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Unidos mexicanos, se destaca lo siguiente:</w:t>
      </w:r>
    </w:p>
    <w:p w:rsidR="008D7F65" w:rsidRDefault="008D7F65">
      <w:pPr>
        <w:ind w:left="567" w:right="474"/>
        <w:jc w:val="both"/>
        <w:rPr>
          <w:rFonts w:ascii="Palatino Linotype" w:eastAsia="Palatino Linotype" w:hAnsi="Palatino Linotype" w:cs="Palatino Linotype"/>
          <w:i/>
          <w:sz w:val="22"/>
          <w:szCs w:val="22"/>
        </w:rPr>
      </w:pP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8D7F65" w:rsidRDefault="003013C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8D7F65" w:rsidRDefault="008D7F65">
      <w:pPr>
        <w:spacing w:line="360" w:lineRule="auto"/>
        <w:jc w:val="both"/>
        <w:rPr>
          <w:i/>
          <w:sz w:val="23"/>
          <w:szCs w:val="23"/>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8D7F65" w:rsidRDefault="008D7F65">
      <w:pPr>
        <w:ind w:left="851" w:right="758"/>
        <w:jc w:val="both"/>
        <w:rPr>
          <w:rFonts w:ascii="Palatino Linotype" w:eastAsia="Palatino Linotype" w:hAnsi="Palatino Linotype" w:cs="Palatino Linotype"/>
          <w:i/>
        </w:rPr>
      </w:pPr>
    </w:p>
    <w:p w:rsidR="008D7F65" w:rsidRDefault="003013C0">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w:t>
      </w:r>
      <w:r>
        <w:rPr>
          <w:rFonts w:ascii="Palatino Linotype" w:eastAsia="Palatino Linotype" w:hAnsi="Palatino Linotype" w:cs="Palatino Linotype"/>
        </w:rPr>
        <w:lastRenderedPageBreak/>
        <w:t>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8D7F65" w:rsidRDefault="003013C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 los formatos de interposición de los recursos,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 los recursos de revisión a los rubros anotados, toda vez que se actualiza las hipótesis previstas en el artículo 179, fracción I de la ley de la materia, que a la letra dice:</w:t>
      </w:r>
    </w:p>
    <w:p w:rsidR="008D7F65" w:rsidRDefault="003013C0">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rsidR="008D7F65" w:rsidRDefault="003013C0">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de la información solicitada…”</w:t>
      </w:r>
      <w:r>
        <w:rPr>
          <w:rFonts w:ascii="Palatino Linotype" w:eastAsia="Palatino Linotype" w:hAnsi="Palatino Linotype" w:cs="Palatino Linotype"/>
          <w:i/>
        </w:rPr>
        <w:t xml:space="preserve"> (Sic)</w:t>
      </w:r>
    </w:p>
    <w:p w:rsidR="008D7F65" w:rsidRDefault="008D7F65">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after="240" w:line="360" w:lineRule="auto"/>
        <w:ind w:right="-150"/>
        <w:jc w:val="both"/>
        <w:rPr>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Con base en las constancias que obran en los expedientes en los que se actúa, este Instituto tiene la convicción de que la presente resolución tiene como objetivo central determinar si las respuestas proporcionadas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son correctas y suficientes para tener por atendidas las solicitudes de acceso a la información.</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las solicitudes de información motivo de los recursos de revisión que ahora se resuelven, se advierte que la solicitante requirió al </w:t>
      </w:r>
      <w:r>
        <w:rPr>
          <w:rFonts w:ascii="Palatino Linotype" w:eastAsia="Palatino Linotype" w:hAnsi="Palatino Linotype" w:cs="Palatino Linotype"/>
          <w:b/>
        </w:rPr>
        <w:t>Organismo Público Descentralizado para la Prestación de los Servicios de Agua Potable Alcantarillado y Saneamiento del Municipio de Zumpango,</w:t>
      </w:r>
      <w:r>
        <w:rPr>
          <w:rFonts w:ascii="Palatino Linotype" w:eastAsia="Palatino Linotype" w:hAnsi="Palatino Linotype" w:cs="Palatino Linotype"/>
        </w:rPr>
        <w:t xml:space="preserve"> lo descrito en el antecedente uno de la presente resolución y posteriormente emitió sus respuestas conforme al antecedente dos del presente fallo.</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aclarar, que en líneas posteriores se abordaran las solicitudes acceso a la información conforme al tema descrito en la mismas, en donde se especificara en cada una, la respuesta como el informe justificado correspondiente, con la finalidad de esclarecer el presente asunto así se tenga un mejor entendimiento.</w:t>
      </w:r>
    </w:p>
    <w:p w:rsidR="008D7F65" w:rsidRDefault="003013C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el particular con las respuestas, interpone los recursos de revisión en lo medula por la negativa de la información solicitada. </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en lo recursos de revisión </w:t>
      </w:r>
      <w:hyperlink r:id="rId35">
        <w:r>
          <w:rPr>
            <w:rFonts w:ascii="Palatino Linotype" w:eastAsia="Palatino Linotype" w:hAnsi="Palatino Linotype" w:cs="Palatino Linotype"/>
            <w:b/>
          </w:rPr>
          <w:t>06349/INFOEM/IP/RR/2021</w:t>
        </w:r>
      </w:hyperlink>
      <w:r>
        <w:rPr>
          <w:rFonts w:ascii="Palatino Linotype" w:eastAsia="Palatino Linotype" w:hAnsi="Palatino Linotype" w:cs="Palatino Linotype"/>
          <w:b/>
        </w:rPr>
        <w:t xml:space="preserve">, </w:t>
      </w:r>
      <w:hyperlink r:id="rId36">
        <w:r>
          <w:rPr>
            <w:rFonts w:ascii="Palatino Linotype" w:eastAsia="Palatino Linotype" w:hAnsi="Palatino Linotype" w:cs="Palatino Linotype"/>
            <w:b/>
          </w:rPr>
          <w:t>06354/INFOEM/IP/RR/2021</w:t>
        </w:r>
      </w:hyperlink>
      <w:r>
        <w:rPr>
          <w:rFonts w:ascii="Palatino Linotype" w:eastAsia="Palatino Linotype" w:hAnsi="Palatino Linotype" w:cs="Palatino Linotype"/>
          <w:b/>
        </w:rPr>
        <w:t xml:space="preserve">, </w:t>
      </w:r>
      <w:hyperlink r:id="rId37">
        <w:r>
          <w:rPr>
            <w:rFonts w:ascii="Palatino Linotype" w:eastAsia="Palatino Linotype" w:hAnsi="Palatino Linotype" w:cs="Palatino Linotype"/>
            <w:b/>
          </w:rPr>
          <w:br/>
          <w:t>06355/INFOEM/IP/RR/2021</w:t>
        </w:r>
      </w:hyperlink>
      <w:r>
        <w:rPr>
          <w:rFonts w:ascii="Palatino Linotype" w:eastAsia="Palatino Linotype" w:hAnsi="Palatino Linotype" w:cs="Palatino Linotype"/>
          <w:b/>
        </w:rPr>
        <w:t xml:space="preserve">, </w:t>
      </w:r>
      <w:hyperlink r:id="rId38">
        <w:r>
          <w:rPr>
            <w:rFonts w:ascii="Palatino Linotype" w:eastAsia="Palatino Linotype" w:hAnsi="Palatino Linotype" w:cs="Palatino Linotype"/>
            <w:b/>
          </w:rPr>
          <w:t>06356/INFOEM/IP/RR/2021</w:t>
        </w:r>
      </w:hyperlink>
      <w:r>
        <w:rPr>
          <w:rFonts w:ascii="Palatino Linotype" w:eastAsia="Palatino Linotype" w:hAnsi="Palatino Linotype" w:cs="Palatino Linotype"/>
          <w:b/>
        </w:rPr>
        <w:t xml:space="preserve"> y 06357/INFOEM/IP/RR/2021, </w:t>
      </w:r>
      <w:r>
        <w:rPr>
          <w:rFonts w:ascii="Palatino Linotype" w:eastAsia="Palatino Linotype" w:hAnsi="Palatino Linotype" w:cs="Palatino Linotype"/>
        </w:rPr>
        <w:t>no así en el recurso de revisión</w:t>
      </w:r>
      <w:r>
        <w:rPr>
          <w:rFonts w:ascii="Palatino Linotype" w:eastAsia="Palatino Linotype" w:hAnsi="Palatino Linotype" w:cs="Palatino Linotype"/>
          <w:b/>
        </w:rPr>
        <w:t xml:space="preserve"> </w:t>
      </w:r>
      <w:hyperlink r:id="rId39">
        <w:r>
          <w:rPr>
            <w:rFonts w:ascii="Palatino Linotype" w:eastAsia="Palatino Linotype" w:hAnsi="Palatino Linotype" w:cs="Palatino Linotype"/>
            <w:b/>
          </w:rPr>
          <w:t>06358/INFOEM/IP/RR/2021</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ya que</w:t>
      </w:r>
      <w:r>
        <w:rPr>
          <w:rFonts w:ascii="Palatino Linotype" w:eastAsia="Palatino Linotype" w:hAnsi="Palatino Linotype" w:cs="Palatino Linotype"/>
          <w:b/>
        </w:rPr>
        <w:t xml:space="preserve"> </w:t>
      </w:r>
      <w:r>
        <w:rPr>
          <w:rFonts w:ascii="Palatino Linotype" w:eastAsia="Palatino Linotype" w:hAnsi="Palatino Linotype" w:cs="Palatino Linotype"/>
        </w:rPr>
        <w:t>remitió el archivo electrónico denominado “</w:t>
      </w:r>
      <w:hyperlink r:id="rId40">
        <w:r>
          <w:rPr>
            <w:rFonts w:ascii="Palatino Linotype" w:eastAsia="Palatino Linotype" w:hAnsi="Palatino Linotype" w:cs="Palatino Linotype"/>
          </w:rPr>
          <w:t>AMPLIACIÓN DEL ESTUDIO GEOFISICO DEL POZO PROFUNDO DE SAN JOSE DE LA LOMA DE LA COMUNIDAD SAN JUAN ZITLALTEPEC .pdf</w:t>
        </w:r>
      </w:hyperlink>
      <w:r>
        <w:rPr>
          <w:rFonts w:ascii="Palatino Linotype" w:eastAsia="Palatino Linotype" w:hAnsi="Palatino Linotype" w:cs="Palatino Linotype"/>
        </w:rPr>
        <w:t>”, el cual contiene un estudio geofísico del pozo profundo de San José de la Loma de la Comunidad San Juan Zitlaltepec, del Municipio de Zumpango, Estado de México de mayo del año 2018, constante de 38 fojas, el cual no se puso a la vista por conten</w:t>
      </w:r>
      <w:r w:rsidR="001A2FB3">
        <w:rPr>
          <w:rFonts w:ascii="Palatino Linotype" w:eastAsia="Palatino Linotype" w:hAnsi="Palatino Linotype" w:cs="Palatino Linotype"/>
        </w:rPr>
        <w:t xml:space="preserve">er fotografías de particulares y </w:t>
      </w:r>
      <w:r>
        <w:rPr>
          <w:rFonts w:ascii="Palatino Linotype" w:eastAsia="Palatino Linotype" w:hAnsi="Palatino Linotype" w:cs="Palatino Linotype"/>
        </w:rPr>
        <w:t>n</w:t>
      </w:r>
      <w:r w:rsidR="001A2FB3">
        <w:rPr>
          <w:rFonts w:ascii="Palatino Linotype" w:eastAsia="Palatino Linotype" w:hAnsi="Palatino Linotype" w:cs="Palatino Linotype"/>
        </w:rPr>
        <w:t>ombres de posibles particulares.</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los expedientes en que se actúa, así como de la materia sobre las que versan las solicitudes de acceso a la información pública, se advierten que los motivos de inconformidad acontecen por una parte parcialmente fundados para modificar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por otra parte infundados para modificar o revocar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Antes que nada, con las manifestaciones realizadas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sus respuestas, </w:t>
      </w:r>
      <w:r>
        <w:rPr>
          <w:rFonts w:ascii="Palatino Linotype" w:eastAsia="Palatino Linotype" w:hAnsi="Palatino Linotype" w:cs="Palatino Linotype"/>
          <w:color w:val="000000"/>
        </w:rPr>
        <w:t xml:space="preserve">proporcionadas en el SAIMEX, </w:t>
      </w:r>
      <w:r>
        <w:rPr>
          <w:rFonts w:ascii="Palatino Linotype" w:eastAsia="Palatino Linotype" w:hAnsi="Palatino Linotype" w:cs="Palatino Linotype"/>
        </w:rPr>
        <w:t xml:space="preserve">éste no niega contar con la información solicitada por la </w:t>
      </w:r>
      <w:r>
        <w:rPr>
          <w:rFonts w:ascii="Palatino Linotype" w:eastAsia="Palatino Linotype" w:hAnsi="Palatino Linotype" w:cs="Palatino Linotype"/>
          <w:b/>
        </w:rPr>
        <w:t>RECURRENTE</w:t>
      </w:r>
      <w:r>
        <w:rPr>
          <w:rFonts w:ascii="Palatino Linotype" w:eastAsia="Palatino Linotype" w:hAnsi="Palatino Linotype" w:cs="Palatino Linotype"/>
        </w:rPr>
        <w:t>, sino por el contrario, por lo cual, la naturaleza jurídica de la información solicitada, en el caso concreto, se obvia.</w:t>
      </w:r>
    </w:p>
    <w:p w:rsidR="008D7F65" w:rsidRDefault="003013C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el estudio enunciado tiene por objeto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8D7F65" w:rsidRDefault="003013C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D7F65" w:rsidRDefault="003013C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D7F65" w:rsidRDefault="003013C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8D7F65" w:rsidRDefault="008D7F65">
      <w:pPr>
        <w:spacing w:line="360" w:lineRule="auto"/>
        <w:jc w:val="both"/>
        <w:rPr>
          <w:rFonts w:ascii="Palatino Linotype" w:eastAsia="Palatino Linotype" w:hAnsi="Palatino Linotype" w:cs="Palatino Linotype"/>
        </w:rPr>
      </w:pPr>
    </w:p>
    <w:p w:rsidR="008D7F65" w:rsidRDefault="003013C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D7F65" w:rsidRDefault="008D7F65">
      <w:pPr>
        <w:ind w:left="567" w:right="758"/>
        <w:jc w:val="both"/>
        <w:rPr>
          <w:rFonts w:ascii="Palatino Linotype" w:eastAsia="Palatino Linotype" w:hAnsi="Palatino Linotype" w:cs="Palatino Linotype"/>
          <w:i/>
          <w:sz w:val="22"/>
          <w:szCs w:val="22"/>
        </w:rPr>
      </w:pPr>
    </w:p>
    <w:p w:rsidR="008D7F65" w:rsidRDefault="003013C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8D7F65" w:rsidRDefault="008D7F65">
      <w:pPr>
        <w:spacing w:line="360" w:lineRule="auto"/>
        <w:ind w:right="-93"/>
        <w:jc w:val="both"/>
        <w:rPr>
          <w:rFonts w:ascii="Palatino Linotype" w:eastAsia="Palatino Linotype" w:hAnsi="Palatino Linotype" w:cs="Palatino Linotype"/>
          <w:color w:val="000000"/>
        </w:rPr>
      </w:pPr>
    </w:p>
    <w:p w:rsidR="008D7F65" w:rsidRDefault="003013C0">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8D7F65" w:rsidRDefault="008D7F65">
      <w:pPr>
        <w:spacing w:line="360" w:lineRule="auto"/>
        <w:ind w:right="-93"/>
        <w:jc w:val="both"/>
        <w:rPr>
          <w:rFonts w:ascii="Palatino Linotype" w:eastAsia="Palatino Linotype" w:hAnsi="Palatino Linotype" w:cs="Palatino Linotype"/>
          <w:color w:val="000000"/>
        </w:rPr>
      </w:pPr>
    </w:p>
    <w:p w:rsidR="008D7F65" w:rsidRDefault="003013C0">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8D7F65" w:rsidRDefault="008D7F65">
      <w:pPr>
        <w:ind w:left="851" w:right="850"/>
        <w:jc w:val="both"/>
        <w:rPr>
          <w:rFonts w:ascii="Palatino Linotype" w:eastAsia="Palatino Linotype" w:hAnsi="Palatino Linotype" w:cs="Palatino Linotype"/>
          <w:color w:val="000000"/>
        </w:rPr>
      </w:pPr>
    </w:p>
    <w:p w:rsidR="008D7F65" w:rsidRDefault="003013C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w:t>
      </w:r>
      <w:r>
        <w:rPr>
          <w:rFonts w:ascii="Palatino Linotype" w:eastAsia="Palatino Linotype" w:hAnsi="Palatino Linotype" w:cs="Palatino Linotype"/>
          <w:i/>
          <w:color w:val="000000"/>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D7F65" w:rsidRDefault="003013C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8D7F65" w:rsidRDefault="003013C0">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8D7F65" w:rsidRDefault="003013C0">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8D7F65" w:rsidRDefault="003013C0">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8D7F65" w:rsidRDefault="008D7F65">
      <w:pPr>
        <w:spacing w:line="360" w:lineRule="auto"/>
        <w:ind w:right="-93"/>
        <w:jc w:val="both"/>
        <w:rPr>
          <w:rFonts w:ascii="Palatino Linotype" w:eastAsia="Palatino Linotype" w:hAnsi="Palatino Linotype" w:cs="Palatino Linotype"/>
          <w:color w:val="000000"/>
        </w:rPr>
      </w:pPr>
    </w:p>
    <w:p w:rsidR="008D7F65" w:rsidRDefault="003013C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D7F65" w:rsidRDefault="008D7F65">
      <w:pPr>
        <w:spacing w:line="360" w:lineRule="auto"/>
        <w:jc w:val="both"/>
        <w:rPr>
          <w:rFonts w:ascii="Palatino Linotype" w:eastAsia="Palatino Linotype" w:hAnsi="Palatino Linotype" w:cs="Palatino Linotype"/>
          <w:color w:val="000000"/>
        </w:rPr>
      </w:pPr>
    </w:p>
    <w:p w:rsidR="008D7F65" w:rsidRDefault="003013C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D7F65" w:rsidRDefault="008D7F65">
      <w:pPr>
        <w:spacing w:line="360" w:lineRule="auto"/>
        <w:ind w:right="49"/>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D7F65" w:rsidRDefault="008D7F65">
      <w:pPr>
        <w:ind w:left="851" w:right="899"/>
        <w:jc w:val="both"/>
        <w:rPr>
          <w:rFonts w:ascii="Palatino Linotype" w:eastAsia="Palatino Linotype" w:hAnsi="Palatino Linotype" w:cs="Palatino Linotype"/>
          <w:i/>
          <w:sz w:val="22"/>
          <w:szCs w:val="22"/>
        </w:rPr>
      </w:pPr>
    </w:p>
    <w:p w:rsidR="008D7F65" w:rsidRDefault="003013C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8D7F65" w:rsidRDefault="003013C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Pr>
          <w:rFonts w:ascii="Palatino Linotype" w:eastAsia="Palatino Linotype" w:hAnsi="Palatino Linotype" w:cs="Palatino Linotype"/>
          <w:i/>
          <w:color w:val="000000"/>
          <w:sz w:val="22"/>
          <w:szCs w:val="22"/>
        </w:rPr>
        <w:lastRenderedPageBreak/>
        <w:t>o fecha de elaboración. Los documentos podrán estar en cualquier medio, sea escrito, impreso, sonoro, visual, electrónico, informático u holográfico…” (Sic)</w:t>
      </w:r>
    </w:p>
    <w:p w:rsidR="008D7F65" w:rsidRDefault="008D7F65">
      <w:pPr>
        <w:ind w:left="851" w:right="899"/>
        <w:jc w:val="both"/>
        <w:rPr>
          <w:rFonts w:ascii="Palatino Linotype" w:eastAsia="Palatino Linotype" w:hAnsi="Palatino Linotype" w:cs="Palatino Linotype"/>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D7F65" w:rsidRDefault="008D7F65">
      <w:pPr>
        <w:ind w:left="851" w:right="899"/>
        <w:jc w:val="both"/>
        <w:rPr>
          <w:rFonts w:ascii="Palatino Linotype" w:eastAsia="Palatino Linotype" w:hAnsi="Palatino Linotype" w:cs="Palatino Linotype"/>
        </w:rPr>
      </w:pPr>
    </w:p>
    <w:p w:rsidR="008D7F65" w:rsidRDefault="003013C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8D7F65" w:rsidRDefault="003013C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D7F65" w:rsidRDefault="003013C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8D7F65" w:rsidRDefault="003013C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8D7F65" w:rsidRDefault="003013C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8D7F65" w:rsidRDefault="003013C0">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8D7F65" w:rsidRDefault="008D7F65">
      <w:pPr>
        <w:spacing w:line="360" w:lineRule="auto"/>
        <w:ind w:right="-93"/>
        <w:jc w:val="both"/>
        <w:rPr>
          <w:rFonts w:ascii="Palatino Linotype" w:eastAsia="Palatino Linotype" w:hAnsi="Palatino Linotype" w:cs="Palatino Linotype"/>
          <w:color w:val="000000"/>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Con base en lo precedente</w:t>
      </w:r>
      <w:r>
        <w:rPr>
          <w:rFonts w:ascii="Palatino Linotype" w:eastAsia="Palatino Linotype" w:hAnsi="Palatino Linotype" w:cs="Palatino Linotype"/>
        </w:rPr>
        <w:t>, se reitera que la información proporcionada por el Sujeto Obligado en su respuesta, cumple parcialmente con lo establecido por los artículos 4, 12 y 24 último párrafo Ley de Transparencia y Acceso a la Información Pública del Estado de México y Municipios, de conformidad con los puntos siguientes:</w:t>
      </w:r>
    </w:p>
    <w:p w:rsidR="008D7F65" w:rsidRDefault="008D7F65">
      <w:pPr>
        <w:spacing w:line="360" w:lineRule="auto"/>
        <w:jc w:val="both"/>
        <w:rPr>
          <w:rFonts w:ascii="Palatino Linotype" w:eastAsia="Palatino Linotype" w:hAnsi="Palatino Linotype" w:cs="Palatino Linotype"/>
        </w:rPr>
      </w:pPr>
    </w:p>
    <w:p w:rsidR="008D7F65" w:rsidRDefault="003013C0">
      <w:pPr>
        <w:shd w:val="clear" w:color="auto" w:fill="FFFFFF"/>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respecto de las solicitudes  </w:t>
      </w:r>
      <w:hyperlink r:id="rId41">
        <w:r>
          <w:rPr>
            <w:rFonts w:ascii="Palatino Linotype" w:eastAsia="Palatino Linotype" w:hAnsi="Palatino Linotype" w:cs="Palatino Linotype"/>
            <w:b/>
          </w:rPr>
          <w:t>000134/OASZUMPANG/IP/2021</w:t>
        </w:r>
      </w:hyperlink>
      <w:r>
        <w:rPr>
          <w:rFonts w:ascii="Palatino Linotype" w:eastAsia="Palatino Linotype" w:hAnsi="Palatino Linotype" w:cs="Palatino Linotype"/>
        </w:rPr>
        <w:t xml:space="preserve"> y </w:t>
      </w:r>
      <w:r>
        <w:rPr>
          <w:rFonts w:ascii="Palatino Linotype" w:eastAsia="Palatino Linotype" w:hAnsi="Palatino Linotype" w:cs="Palatino Linotype"/>
          <w:b/>
        </w:rPr>
        <w:t>00065/OASZUMPANG/IP/2021,</w:t>
      </w:r>
      <w:r>
        <w:rPr>
          <w:rFonts w:ascii="Palatino Linotype" w:eastAsia="Palatino Linotype" w:hAnsi="Palatino Linotype" w:cs="Palatino Linotype"/>
        </w:rPr>
        <w:t xml:space="preserve"> respectivamente, que dieron origen a los recursos de revisión </w:t>
      </w:r>
      <w:r>
        <w:rPr>
          <w:rFonts w:ascii="Palatino Linotype" w:eastAsia="Palatino Linotype" w:hAnsi="Palatino Linotype" w:cs="Palatino Linotype"/>
          <w:b/>
        </w:rPr>
        <w:t>06349/INFOEM/IP/RR/2021  y 06357/INFOEM/IP/RR/2021,</w:t>
      </w:r>
      <w:r>
        <w:rPr>
          <w:rFonts w:ascii="Palatino Linotype" w:eastAsia="Palatino Linotype" w:hAnsi="Palatino Linotype" w:cs="Palatino Linotype"/>
        </w:rPr>
        <w:t xml:space="preserve"> es importante recordar que la particular solicitó: </w:t>
      </w:r>
    </w:p>
    <w:p w:rsidR="008D7F65" w:rsidRDefault="003013C0">
      <w:pPr>
        <w:numPr>
          <w:ilvl w:val="0"/>
          <w:numId w:val="3"/>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permisos de factibilidad expedidos a favor de la empresa - casas Javer de México S.A. de C.V. y documentos que amparen la respuesta.</w:t>
      </w:r>
    </w:p>
    <w:p w:rsidR="008D7F65" w:rsidRDefault="003013C0">
      <w:pPr>
        <w:numPr>
          <w:ilvl w:val="0"/>
          <w:numId w:val="3"/>
        </w:numPr>
        <w:pBdr>
          <w:top w:val="nil"/>
          <w:left w:val="nil"/>
          <w:bottom w:val="nil"/>
          <w:right w:val="nil"/>
          <w:between w:val="nil"/>
        </w:pBdr>
        <w:spacing w:after="240" w:line="360" w:lineRule="auto"/>
        <w:ind w:right="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factibilidad o autorización emitida a favor de la empresa Casa Geo en la solicitud para el servicio de agua potable y alcantarillado.</w:t>
      </w:r>
    </w:p>
    <w:p w:rsidR="008D7F65" w:rsidRDefault="003013C0">
      <w:pPr>
        <w:shd w:val="clear" w:color="auto" w:fill="FFFFFF"/>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sus respuestas a través de los siguientes archivos electrónicos:</w:t>
      </w:r>
    </w:p>
    <w:p w:rsidR="008D7F65" w:rsidRDefault="008D7F65">
      <w:pPr>
        <w:shd w:val="clear" w:color="auto" w:fill="FFFFFF"/>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Solicitud </w:t>
      </w:r>
      <w:hyperlink r:id="rId42">
        <w:r>
          <w:rPr>
            <w:rFonts w:ascii="Palatino Linotype" w:eastAsia="Palatino Linotype" w:hAnsi="Palatino Linotype" w:cs="Palatino Linotype"/>
            <w:b/>
          </w:rPr>
          <w:t>000134/OASZUMPANG/IP/2021</w:t>
        </w:r>
      </w:hyperlink>
      <w:r>
        <w:rPr>
          <w:rFonts w:ascii="Palatino Linotype" w:eastAsia="Palatino Linotype" w:hAnsi="Palatino Linotype" w:cs="Palatino Linotype"/>
          <w:b/>
        </w:rPr>
        <w:t>:</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hyperlink r:id="rId43">
        <w:r>
          <w:rPr>
            <w:rFonts w:ascii="Palatino Linotype" w:eastAsia="Palatino Linotype" w:hAnsi="Palatino Linotype" w:cs="Palatino Linotype"/>
          </w:rPr>
          <w:t>FACTIBIILDAD 2.pdf</w:t>
        </w:r>
      </w:hyperlink>
      <w:r>
        <w:rPr>
          <w:rFonts w:ascii="Palatino Linotype" w:eastAsia="Palatino Linotype" w:hAnsi="Palatino Linotype" w:cs="Palatino Linotype"/>
        </w:rPr>
        <w:t>”, el cual contiene el otorgamiento del dictamen de factibilidad de servicios de agua potable y drenaje a “INMOBILIARIA ANHELO CASA SA DE CV. y COPROPIETARIOS”, para tramitar la autorización de la construcción del conjunto urbano denominado "ACACIAS", consistente en 780 viviendas de tipo interés social a ubicarse en fracción de terreno denominado SAN IGNACIO DE LOYOLA, catastralmente identificadas como fracciones Oriental y Occidental, Ubicado en el Acueducto Tizayuca-Zumpango, en la colonia San Bartolo Cuautialpan en el Municipio de Zumpango, Estado de México, sumando una superficie de 93,306.93 m2.</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También contiene, una gaceta de gobierno en donde se le autorizo a la empresa “CASAS JAVER DE MÉXICO, S.A. DE C.V." los dos condominios verticales en el conjunto urbano habitacional de interés social denominado "ACACIAS”, CONOCIDO COMERCIALMENTE COMO "JARDINES DE ACACIAS”, ubicado en el municipio de Zumpango, Estado de México, en su acuerdo CUARTO inciso A y B se estableció lo siguiente:</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“CUARTO. Con fundamento en los artículos 5.38 fracción X, incisos b) y e) del Libro Quinto del Código Administrativo del Estado de México; 58, 112 y 115 del Reglamento del mismo Ordenamiento, deberá realizar las siguientes obras de </w:t>
      </w:r>
      <w:r>
        <w:rPr>
          <w:rFonts w:ascii="Palatino Linotype" w:eastAsia="Palatino Linotype" w:hAnsi="Palatino Linotype" w:cs="Palatino Linotype"/>
        </w:rPr>
        <w:lastRenderedPageBreak/>
        <w:t xml:space="preserve">urbanización al interior de cada uno de los Condominios referidos, debiendo considerar como corresponda, en los proyectos ejecutivos y su construcción, las previsiones correspondientes a las personas con capacidades diferentes, conforme a las disposiciones correspondientes del Libro Décimo Octavo del Código Administrativo del Estado de México, y 53 del Reglamento de la Protección e Integración al Desarrollo de las Personas con Capacidades Diferentes: </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Red de distribución de agua potable y los sistemas que se emplearán para el ahorro, reúso y tratamiento del agua. Instalar un medidor electrónico de consumo para determinar el volumen de suministro de agua por cada unidad privativa que se ubique en cada Condominio. </w:t>
      </w: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 Red separada de drenaje pluvial y sanitario y los sistemas para su manejo y tratamiento, así como para la infiltración del agua pluvial al subsuelo, que sean aprobados por la autoridad competente respectiva…” (Sic)</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4">
        <w:r>
          <w:rPr>
            <w:rFonts w:ascii="Palatino Linotype" w:eastAsia="Palatino Linotype" w:hAnsi="Palatino Linotype" w:cs="Palatino Linotype"/>
          </w:rPr>
          <w:t>FACTIBILIDAD .pdf</w:t>
        </w:r>
      </w:hyperlink>
      <w:r>
        <w:rPr>
          <w:rFonts w:ascii="Palatino Linotype" w:eastAsia="Palatino Linotype" w:hAnsi="Palatino Linotype" w:cs="Palatino Linotype"/>
        </w:rPr>
        <w:t>”, el cual contiene el oficio número O.D.A.P.A.Z/DOCM/0132/2021, por medio el cual el Director de Operación, Construcción y Mantenimiento, remite al Titular de la Unidad de Transparencia, ambos del Organismo Público Descentralizado para la Prestación de los Servicios de Agua Potable Alcantarillado y Saneamiento del Municipio de Zumpango: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acuerdo por medio del cual se le autoriza los servicios de agua potable y drenaje a la empresa “CASAS JAVER DE MÉXICO, S.A. DE C.V." el conjunto urbano habitacional de interés social denominado y popular denominado "JARDINES DE MAGNOLIAS”, ubicado en el municipio de Zumpango, Estado de México.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acuerdo que autoriza a la empresa “CASAS JAVER DE MÉXICO, S.A. DE C.V." los dos condominios verticales en el conjunto urbano habitacional de interés social denominado "ACACIAS”, CONOCIDO COMERCIALMENTE COMO "JARDINES DE ACACIAS”, ubicado en el municipio de Zumpango, Estado de México.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El acuerdo que autoriza a la empresa “CASAS JAVER DE MÉXICO, S.A. DE C.V.", el conjunto urbano tipo mixto (habitacional de interés social, comercial y de servicios) denominado “JARDINES DE MAGNOLIAS II”, ubicado en el municipio de Zumpango, Estado de México.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acuerdo que autoriza a la empresa “CASAS JAVER DE MÉXICO, S.A. DE C.V.", el conjunto urbano tipo mixto (habitacional de interés social, comercial y de servicios) denominado “JARDINES DE GIRASOLES”, ubicado en el municipio de Zumpango, Estado de México.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en cada acuerdo referido con antelación fueron para la autorización de construcción de servicios de agua potable y drenaje.</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adjuntó capturas de pantalla del acuerdo de referencia sólo de su página uno, respectivamente.</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Solicitud </w:t>
      </w:r>
      <w:r>
        <w:rPr>
          <w:rFonts w:ascii="Palatino Linotype" w:eastAsia="Palatino Linotype" w:hAnsi="Palatino Linotype" w:cs="Palatino Linotype"/>
          <w:b/>
        </w:rPr>
        <w:t>00065/OASZUMPANG/IP/2021:</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45">
        <w:r>
          <w:rPr>
            <w:rFonts w:ascii="Palatino Linotype" w:eastAsia="Palatino Linotype" w:hAnsi="Palatino Linotype" w:cs="Palatino Linotype"/>
          </w:rPr>
          <w:t>Respuesta 65.pdf</w:t>
        </w:r>
      </w:hyperlink>
      <w:r>
        <w:rPr>
          <w:rFonts w:ascii="Palatino Linotype" w:eastAsia="Palatino Linotype" w:hAnsi="Palatino Linotype" w:cs="Palatino Linotype"/>
        </w:rPr>
        <w:t xml:space="preserve">”, el cual contiene el oficio número O.D.A.P.A.Z/DOCM/0160/2021, por medio el cual el Director de Operación, Construcción y Mantenimiento, informó al Titular de la Unidad de Transparencia, que después de una búsqueda exhaustiva y razonable no se cuenta con información de la empresa denominada “Casas Geo”. </w:t>
      </w:r>
    </w:p>
    <w:p w:rsidR="008D7F65" w:rsidRDefault="003013C0">
      <w:p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ambos asuntos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fue omiso en rendir su informe justificado. </w:t>
      </w:r>
    </w:p>
    <w:p w:rsidR="008D7F65" w:rsidRDefault="008D7F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tomando en consideración el tema en común de las solicitudes que se analizan en el presente punto, sobre la factibilidad, es necesario remitirnos a la </w:t>
      </w:r>
      <w:r>
        <w:rPr>
          <w:rFonts w:ascii="Palatino Linotype" w:eastAsia="Palatino Linotype" w:hAnsi="Palatino Linotype" w:cs="Palatino Linotype"/>
          <w:color w:val="000000"/>
        </w:rPr>
        <w:lastRenderedPageBreak/>
        <w:t>Ley del Agua para el Estado de México y Municipios, que en sus artículos 33 y 34 establecen lo siguiente:</w:t>
      </w:r>
    </w:p>
    <w:p w:rsidR="008D7F65" w:rsidRDefault="008D7F65">
      <w:pPr>
        <w:pBdr>
          <w:top w:val="nil"/>
          <w:left w:val="nil"/>
          <w:bottom w:val="nil"/>
          <w:right w:val="nil"/>
          <w:between w:val="nil"/>
        </w:pBdr>
        <w:ind w:left="708"/>
        <w:rPr>
          <w:rFonts w:ascii="Palatino Linotype" w:eastAsia="Palatino Linotype" w:hAnsi="Palatino Linotype" w:cs="Palatino Linotype"/>
          <w:color w:val="000000"/>
        </w:rPr>
      </w:pPr>
    </w:p>
    <w:p w:rsidR="008D7F65" w:rsidRDefault="003013C0">
      <w:pPr>
        <w:pBdr>
          <w:top w:val="nil"/>
          <w:left w:val="nil"/>
          <w:bottom w:val="nil"/>
          <w:right w:val="nil"/>
          <w:between w:val="nil"/>
        </w:pBdr>
        <w:ind w:left="567" w:right="82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“SECCIÓN QUINTA</w:t>
      </w:r>
    </w:p>
    <w:p w:rsidR="008D7F65" w:rsidRDefault="003013C0">
      <w:pPr>
        <w:pBdr>
          <w:top w:val="nil"/>
          <w:left w:val="nil"/>
          <w:bottom w:val="nil"/>
          <w:right w:val="nil"/>
          <w:between w:val="nil"/>
        </w:pBdr>
        <w:ind w:left="567" w:right="82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 LOS MUNICIPIOS DEL ESTADO DE MÉXICO</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Artículo 33.-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Corresponde a los municipios otorgar las Concesiones relativas a las aguas de jurisdicción municipal.</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Artículo 34.- </w:t>
      </w:r>
      <w:r>
        <w:rPr>
          <w:rFonts w:ascii="Palatino Linotype" w:eastAsia="Palatino Linotype" w:hAnsi="Palatino Linotype" w:cs="Palatino Linotype"/>
          <w:b/>
          <w:i/>
          <w:color w:val="000000"/>
          <w:sz w:val="22"/>
          <w:szCs w:val="22"/>
        </w:rPr>
        <w:t xml:space="preserve">Los municipios podrán prestar directamente los servicios a que se refiere la presente Ley, o bien por conducto de cualquiera de los siguientes prestadores de los servicios: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 Organismos descentralizados municipales o intermunicipales, que serán los organismos operadores;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La Comisión; o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III. Personas jurídicas colectivas concesionarias. Cuando un municipio no tenga capacidad para prestar los servicios, podrá, previo acuerdo de cabildo aprobado por cuando menos las dos terceras partes de sus integrantes, convenir con la Comisión para que ésta, de manera temporal, los preste, en los términos de esta Ley, su Reglamento y otras disposiciones aplicables.” (Sic)</w:t>
      </w:r>
    </w:p>
    <w:p w:rsidR="008D7F65" w:rsidRDefault="008D7F65">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la Ley de Agua del Estado de México reconoce como prestadores del servicio de agua potable a los Municipios y los Organismos Descentralizados, como lo son los Organismos de Agua y los faculta para otorgar el servicio de agua potable en los siguientes rubros:</w:t>
      </w:r>
    </w:p>
    <w:p w:rsidR="008D7F65" w:rsidRDefault="008D7F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70.- Los prestadores de los servicios otorgarán el servicio de agua potable en su ámbito de competencia, considerando la siguiente prioridad en los usos: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Doméstico y público urbano;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De servicios;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Industrial;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Agrícola y pecuario;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Acuacultura;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Recreativo;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Conservación ecológica y ambiental; y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VIII. Los demás que determinen las autoridades del agua</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prestadores de los servicios a que se refiere el artículo 34 de la presente Ley, están obligados a garantizar la calidad del agua suministrada para los diferentes usos, debiendo aplicar los procesos de desinfección con gas cloro o, en su caso hipoclorito de sodio, conforme a la Norma Oficial Mexicana.</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71.- Los propietarios o poseedores de inmuebles, con construcción o sin ella, deberán contratar el servicio de agua potable para los usos a que se refieren las fracciones I, II y III, del artículo anterior, cuando al frente del inmueble exista infraestructura hidráulica para la prestación del servicio.” (Sic)</w:t>
      </w:r>
    </w:p>
    <w:p w:rsidR="008D7F65" w:rsidRDefault="008D7F65">
      <w:pPr>
        <w:pBdr>
          <w:top w:val="nil"/>
          <w:left w:val="nil"/>
          <w:bottom w:val="nil"/>
          <w:right w:val="nil"/>
          <w:between w:val="nil"/>
        </w:pBdr>
        <w:spacing w:line="360" w:lineRule="auto"/>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spacing w:line="360" w:lineRule="auto"/>
        <w:ind w:right="11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Tal y como se aprecia, la normatividad en materia establece la facultad de los municipios, a través de sus organismos de agua, para la prestación de servicio de agua potable, para tal efecto, los propietarios o poseedores de inmuebles deberán de realizar la debida contratación y, en cuanto a los </w:t>
      </w:r>
      <w:r>
        <w:rPr>
          <w:rFonts w:ascii="Palatino Linotype" w:eastAsia="Palatino Linotype" w:hAnsi="Palatino Linotype" w:cs="Palatino Linotype"/>
          <w:b/>
          <w:color w:val="000000"/>
        </w:rPr>
        <w:t>desarrolladores de vivienda, constructores o propietarios de conjuntos habitacionales</w:t>
      </w:r>
      <w:r>
        <w:rPr>
          <w:rFonts w:ascii="Palatino Linotype" w:eastAsia="Palatino Linotype" w:hAnsi="Palatino Linotype" w:cs="Palatino Linotype"/>
          <w:color w:val="000000"/>
        </w:rPr>
        <w:t>, el artículo 73 y 76 refieren:</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b/>
        <w:t xml:space="preserve">Artículo 73.- Es obligación de los desarrolladores de vivienda, constructores o propietarios de conjuntos habitacionales, industriales o de servicios, la construcción de sus redes de distribución y sistemas de drenaje y alcantarillado de conformidad con la normatividad en la materia, así como la conexión de las mismas a la infraestructura hidráulica municipal. </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Asimismo correrá a su cargo el costo de los aparatos medidores de consumo de agua potable y su instalación en cada una de las tomas; es obligatorio el tratamiento de aguas residuales y, en su caso, pozos de absorción para el agua pluvial que cumplan con lo previsto en los ordenamientos federales y estatales. Dichas plantas y pozos de absorción deberán estar disponibles antes de la ocupación de los conjuntos. La Comisión podrá determinar mecanismos alternativos para el cumplimiento de esta obligación. El Reglamento establecerá los procedimientos aplicables.</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76. </w:t>
      </w:r>
      <w:r>
        <w:rPr>
          <w:rFonts w:ascii="Palatino Linotype" w:eastAsia="Palatino Linotype" w:hAnsi="Palatino Linotype" w:cs="Palatino Linotype"/>
          <w:b/>
          <w:i/>
          <w:color w:val="000000"/>
          <w:sz w:val="22"/>
          <w:szCs w:val="22"/>
          <w:u w:val="single"/>
        </w:rPr>
        <w:t>El municipio o, en su caso, el organismo operador determinará la factibilidad de otorgamiento del servicio de agua potable</w:t>
      </w:r>
      <w:r>
        <w:rPr>
          <w:rFonts w:ascii="Palatino Linotype" w:eastAsia="Palatino Linotype" w:hAnsi="Palatino Linotype" w:cs="Palatino Linotype"/>
          <w:i/>
          <w:color w:val="000000"/>
          <w:sz w:val="22"/>
          <w:szCs w:val="22"/>
        </w:rPr>
        <w:t xml:space="preserve">, drenaje, alcantarillado y tratamiento de aguas residuales </w:t>
      </w:r>
      <w:r>
        <w:rPr>
          <w:rFonts w:ascii="Palatino Linotype" w:eastAsia="Palatino Linotype" w:hAnsi="Palatino Linotype" w:cs="Palatino Linotype"/>
          <w:b/>
          <w:i/>
          <w:color w:val="000000"/>
          <w:sz w:val="22"/>
          <w:szCs w:val="22"/>
        </w:rPr>
        <w:t>a nuevos fraccionamientos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conjuntos habitacionales, comerciales, industriales, mixtos o de otro uso,</w:t>
      </w:r>
      <w:r>
        <w:rPr>
          <w:rFonts w:ascii="Palatino Linotype" w:eastAsia="Palatino Linotype" w:hAnsi="Palatino Linotype" w:cs="Palatino Linotype"/>
          <w:i/>
          <w:color w:val="000000"/>
          <w:sz w:val="22"/>
          <w:szCs w:val="22"/>
        </w:rPr>
        <w:t xml:space="preserve"> así como en los casos de ampliación o modificación del uso o destino de inmuebles, previo la satisfacción de los requisitos que para ello señala el Reglamento de esta Ley, y considerando la infraestructura hidráulica para su prestación y la disponibilidad del agua. La Comisión emitirá la evaluación técnica de impacto en materia de distribución de agua, así como la de agua, drenaje, alcantarillado y tratamiento de aguas residuales, que incluirá la determinación de si el predio tiene vocación inundable. </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 otorgamiento de factibilidad, el municipio o, en su caso, el organismo operador determinará y, en su caso, aprobará, y supervisará, en los términos del Reglamento, las obras necesarias para la prestación del servicio a cargo del desarrollador, mismas que se considerarán para el cálculo del cobro de conexión a la red de distribución correspondiente, o en su caso condicionar la factibilidad al desarrollo de la infraestructura.</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el otorgamiento de la factibilidad, el municipio o, en su caso, el organismo operador, deberá verificar que el desarrollo habitacional, no se encuentre en un predio </w:t>
      </w:r>
      <w:r>
        <w:rPr>
          <w:rFonts w:ascii="Palatino Linotype" w:eastAsia="Palatino Linotype" w:hAnsi="Palatino Linotype" w:cs="Palatino Linotype"/>
          <w:i/>
          <w:color w:val="000000"/>
          <w:sz w:val="22"/>
          <w:szCs w:val="22"/>
        </w:rPr>
        <w:lastRenderedPageBreak/>
        <w:t>cuya vocación natural sea inundable, en cuyo caso deberá negar la factibilidad o condicionarla a que se realicen las obras necesarias para evitar la inundación, conforme al procedimiento que determine la Comisión.” (Sic)</w:t>
      </w:r>
    </w:p>
    <w:p w:rsidR="008D7F65" w:rsidRDefault="008D7F65">
      <w:pPr>
        <w:pBdr>
          <w:top w:val="nil"/>
          <w:left w:val="nil"/>
          <w:bottom w:val="nil"/>
          <w:right w:val="nil"/>
          <w:between w:val="nil"/>
        </w:pBdr>
        <w:ind w:left="708"/>
        <w:rPr>
          <w:rFonts w:ascii="Palatino Linotype" w:eastAsia="Palatino Linotype" w:hAnsi="Palatino Linotype" w:cs="Palatino Linotype"/>
          <w:color w:val="000000"/>
        </w:rPr>
      </w:pPr>
    </w:p>
    <w:p w:rsidR="008D7F65" w:rsidRDefault="008D7F65">
      <w:pPr>
        <w:pBdr>
          <w:top w:val="nil"/>
          <w:left w:val="nil"/>
          <w:bottom w:val="nil"/>
          <w:right w:val="nil"/>
          <w:between w:val="nil"/>
        </w:pBdr>
        <w:ind w:left="708"/>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contenido del precepto legal en cito, le corresponde la determinación de la factibilidad de otorgamiento del servicio de agua potable, drenaje, alcantarillado y tratamiento de aguas residuales a nuevos fraccionamientos, conjuntos habitacionales, asimismo, en caso de otorgamiento de factibilidad, el municipio o el organismo operados aprobará y supervisará las obras necesarias para la prestación del servicio a cargo del desarrollador. Por su parte, el Reglamento de la Ley de Agua del Estado de México y Municipios</w:t>
      </w:r>
      <w:r>
        <w:rPr>
          <w:rFonts w:ascii="Palatino Linotype" w:eastAsia="Palatino Linotype" w:hAnsi="Palatino Linotype" w:cs="Palatino Linotype"/>
          <w:color w:val="000000"/>
          <w:vertAlign w:val="superscript"/>
        </w:rPr>
        <w:footnoteReference w:id="1"/>
      </w:r>
    </w:p>
    <w:p w:rsidR="008D7F65" w:rsidRDefault="008D7F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ind w:left="567" w:right="82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“CAPÍTULO SEGUNDO</w:t>
      </w:r>
    </w:p>
    <w:p w:rsidR="008D7F65" w:rsidRDefault="003013C0">
      <w:pPr>
        <w:pBdr>
          <w:top w:val="nil"/>
          <w:left w:val="nil"/>
          <w:bottom w:val="nil"/>
          <w:right w:val="nil"/>
          <w:between w:val="nil"/>
        </w:pBdr>
        <w:ind w:left="567" w:right="82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 LOS SERVICIOS DE AGUA POTABLE Y DE DRENAJE Y ALCANTARILLADO</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106. El prestador del servicio deberá prestar conjuntamente los servicios de agua potable y de drenaje, excepto cuando en la zona geográfica de que se trate, el municipio no cuente con las obras hidráulicas necesarias para tal fin, en cuyo caso podrá suscribirse el Convenio respectivo con la Comisión. </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Artículo 107. En aquellos municipios donde se haya suscrito el Convenio para que la Comisión preste los servicios, esta deberá realizar las siguientes funciones:</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lastRenderedPageBreak/>
        <w:t>IV. Emitir las factibilidades para los desarrolladores de conjuntos urbanos y comerciales.” (Sic)</w:t>
      </w:r>
    </w:p>
    <w:p w:rsidR="008D7F65" w:rsidRDefault="008D7F65">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ser un prestador de servicios tiene la facultad de </w:t>
      </w:r>
      <w:r>
        <w:rPr>
          <w:rFonts w:ascii="Palatino Linotype" w:eastAsia="Palatino Linotype" w:hAnsi="Palatino Linotype" w:cs="Palatino Linotype"/>
          <w:b/>
          <w:color w:val="000000"/>
        </w:rPr>
        <w:t>emitir factibilidades</w:t>
      </w:r>
      <w:r>
        <w:rPr>
          <w:rFonts w:ascii="Palatino Linotype" w:eastAsia="Palatino Linotype" w:hAnsi="Palatino Linotype" w:cs="Palatino Linotype"/>
          <w:color w:val="000000"/>
        </w:rPr>
        <w:t xml:space="preserve"> para los desarrolladores de conjuntos urbanos y comerciales, de acuerdo al Reglamento de la Ley de Agua para el Estado de México y Municipios, por lo que, de acuerdo al mismo ordenamiento legal, nos brinda el concepto, siendo el siguiente:</w:t>
      </w:r>
    </w:p>
    <w:p w:rsidR="008D7F65" w:rsidRDefault="008D7F65">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3. Además de los conceptos a que se refiere la Ley del Agua para el Estado de México y Municipios, para efectos de este Reglamento se entenderá por:</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8D7F65" w:rsidRDefault="003013C0">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XXVIII. Factibilidad: al dictamen que emite la autoridad correspondiente, en los términos del presente Reglamento, por la que se determina que se cuenta con una fuente de abastecimiento de agua que hace material y jurídicamente viable la prestación del servicio de agua potable, así como la infraestructura adecuada para los servicios de drenaje, alcantarillado y saneamiento…”(Sic)</w:t>
      </w:r>
    </w:p>
    <w:p w:rsidR="008D7F65" w:rsidRDefault="008D7F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el Capítulo Séptimo de dicho reglamento establece lo siguiente:</w:t>
      </w:r>
    </w:p>
    <w:p w:rsidR="008D7F65" w:rsidRDefault="003013C0">
      <w:pPr>
        <w:spacing w:before="280"/>
        <w:ind w:left="567" w:right="82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SÉPTIMO</w:t>
      </w:r>
    </w:p>
    <w:p w:rsidR="008D7F65" w:rsidRDefault="003013C0">
      <w:pPr>
        <w:ind w:left="567" w:right="82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LAS FACTIBILIDADES Y DICTÁMENES DE CONGRUENCIA</w:t>
      </w:r>
    </w:p>
    <w:p w:rsidR="008D7F65" w:rsidRDefault="003013C0">
      <w:pPr>
        <w:ind w:left="567" w:right="822"/>
        <w:jc w:val="both"/>
        <w:rPr>
          <w:rFonts w:ascii="Palatino Linotype" w:eastAsia="Palatino Linotype" w:hAnsi="Palatino Linotype" w:cs="Palatino Linotype"/>
          <w:b/>
          <w:i/>
          <w:sz w:val="28"/>
          <w:szCs w:val="28"/>
        </w:rPr>
      </w:pPr>
      <w:r>
        <w:rPr>
          <w:rFonts w:ascii="Palatino Linotype" w:eastAsia="Palatino Linotype" w:hAnsi="Palatino Linotype" w:cs="Palatino Linotype"/>
          <w:i/>
          <w:sz w:val="22"/>
          <w:szCs w:val="22"/>
        </w:rPr>
        <w:t>Artículo 140</w:t>
      </w:r>
      <w:r>
        <w:rPr>
          <w:rFonts w:ascii="Palatino Linotype" w:eastAsia="Palatino Linotype" w:hAnsi="Palatino Linotype" w:cs="Palatino Linotype"/>
          <w:b/>
          <w:i/>
          <w:sz w:val="22"/>
          <w:szCs w:val="22"/>
        </w:rPr>
        <w:t>. Para el otorgamiento de la factibilidades</w:t>
      </w:r>
      <w:r>
        <w:rPr>
          <w:rFonts w:ascii="Palatino Linotype" w:eastAsia="Palatino Linotype" w:hAnsi="Palatino Linotype" w:cs="Palatino Linotype"/>
          <w:i/>
          <w:sz w:val="22"/>
          <w:szCs w:val="22"/>
        </w:rPr>
        <w:t xml:space="preserve"> y/o en su caso, un dictamen de congruencia u opinión técnica sobre aquellas </w:t>
      </w:r>
      <w:r>
        <w:rPr>
          <w:rFonts w:ascii="Palatino Linotype" w:eastAsia="Palatino Linotype" w:hAnsi="Palatino Linotype" w:cs="Palatino Linotype"/>
          <w:b/>
          <w:i/>
          <w:sz w:val="22"/>
          <w:szCs w:val="22"/>
        </w:rPr>
        <w:t xml:space="preserve">para la prestación de los servicios a los desarrolladores, constructores o propietarios de nuevos </w:t>
      </w:r>
      <w:r>
        <w:rPr>
          <w:rFonts w:ascii="Palatino Linotype" w:eastAsia="Palatino Linotype" w:hAnsi="Palatino Linotype" w:cs="Palatino Linotype"/>
          <w:b/>
          <w:i/>
          <w:sz w:val="22"/>
          <w:szCs w:val="22"/>
        </w:rPr>
        <w:lastRenderedPageBreak/>
        <w:t>fraccionamientos, conjuntos habitacionales</w:t>
      </w:r>
      <w:r>
        <w:rPr>
          <w:rFonts w:ascii="Palatino Linotype" w:eastAsia="Palatino Linotype" w:hAnsi="Palatino Linotype" w:cs="Palatino Linotype"/>
          <w:i/>
          <w:sz w:val="22"/>
          <w:szCs w:val="22"/>
        </w:rPr>
        <w:t xml:space="preserve">, comerciales, industriales, mixtos o de otro uso, así como en los casos de ampliación o modificación del uso de inmuebles destinados a cualquiera de esos giros, los cuales requieran de un dictamen de impacto regional en los términos de la Ley de Fomento Económico para el Estado de México y/o estén contemplados en los supuestos del Libro Quinto del Código Administrativo, </w:t>
      </w:r>
      <w:r>
        <w:rPr>
          <w:rFonts w:ascii="Palatino Linotype" w:eastAsia="Palatino Linotype" w:hAnsi="Palatino Linotype" w:cs="Palatino Linotype"/>
          <w:b/>
          <w:i/>
          <w:sz w:val="22"/>
          <w:szCs w:val="22"/>
        </w:rPr>
        <w:t>se aplicarán las disposiciones previstas en el presente Reglamento.</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141. </w:t>
      </w:r>
      <w:r>
        <w:rPr>
          <w:rFonts w:ascii="Palatino Linotype" w:eastAsia="Palatino Linotype" w:hAnsi="Palatino Linotype" w:cs="Palatino Linotype"/>
          <w:b/>
          <w:i/>
          <w:sz w:val="22"/>
          <w:szCs w:val="22"/>
        </w:rPr>
        <w:t>Los interesados en obtener las factibilidades</w:t>
      </w:r>
      <w:r>
        <w:rPr>
          <w:rFonts w:ascii="Palatino Linotype" w:eastAsia="Palatino Linotype" w:hAnsi="Palatino Linotype" w:cs="Palatino Linotype"/>
          <w:i/>
          <w:sz w:val="22"/>
          <w:szCs w:val="22"/>
        </w:rPr>
        <w:t xml:space="preserve">, o bien, un dictamen de congruencia o una opinión técnica, </w:t>
      </w:r>
      <w:r>
        <w:rPr>
          <w:rFonts w:ascii="Palatino Linotype" w:eastAsia="Palatino Linotype" w:hAnsi="Palatino Linotype" w:cs="Palatino Linotype"/>
          <w:b/>
          <w:i/>
          <w:sz w:val="22"/>
          <w:szCs w:val="22"/>
        </w:rPr>
        <w:t>presentarán la solicitud correspondiente al municipio, al organismo operador</w:t>
      </w:r>
      <w:r>
        <w:rPr>
          <w:rFonts w:ascii="Palatino Linotype" w:eastAsia="Palatino Linotype" w:hAnsi="Palatino Linotype" w:cs="Palatino Linotype"/>
          <w:i/>
          <w:sz w:val="22"/>
          <w:szCs w:val="22"/>
        </w:rPr>
        <w:t xml:space="preserve"> o a la Comisión, </w:t>
      </w:r>
      <w:r>
        <w:rPr>
          <w:rFonts w:ascii="Palatino Linotype" w:eastAsia="Palatino Linotype" w:hAnsi="Palatino Linotype" w:cs="Palatino Linotype"/>
          <w:b/>
          <w:i/>
          <w:sz w:val="22"/>
          <w:szCs w:val="22"/>
        </w:rPr>
        <w:t xml:space="preserve">según corresponda al supuesto de que se trate, </w:t>
      </w:r>
      <w:r>
        <w:rPr>
          <w:rFonts w:ascii="Palatino Linotype" w:eastAsia="Palatino Linotype" w:hAnsi="Palatino Linotype" w:cs="Palatino Linotype"/>
          <w:i/>
          <w:sz w:val="22"/>
          <w:szCs w:val="22"/>
        </w:rPr>
        <w:t xml:space="preserve">o bien, por conducto de la Comisión Estatal de Desarrollo Urbano y Vivienda, o de la Comisión Estatal de Atención Empresarial, en los términos de las disposiciones legales aplicables. Dicha solicitud deberá contener: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Nombre y firma del solicitante y/o de su representante legal.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Domicilio del solicitante o de su representante legal con el señalamiento de una dirección válida de correo electrónico, para recibir notificaciones.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Nombre del proyecto.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Tipo de desarrollo.</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Ubicación y dimensiones del predio involucrado en el proyecto.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En su caso, la indicación de la fuente de abastecimiento de agua que habrá de surtir al desarrollo de que se trata.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Lugar y fecha.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Plano de localización georeferenciado empleando coordenadas UTM.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Memoria descriptiva del proyecto, la cual deberá incluir la correspondiente a las obras para: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Las redes de distribución y sistemas de drenaje y alcantarillado y su conexión a la infraestructura hidráulica municipal.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La instalación de medidores.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La recolección del agua pluvial, mediante pozos de absorción y/o la introducción de sistemas de naturación y/o para la captación y aprovechamiento de agua pluvial.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El tratamiento de las aguas residuales.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Memoria de cálculo a nivel de planeación, respecto del volumen de agua que se pretende captar y aprovechar, volumen de agua servida a descargar y, en su caso, los volúmenes de agua ya aprovechados y descargados. </w:t>
      </w:r>
    </w:p>
    <w:p w:rsidR="008D7F65" w:rsidRDefault="003013C0">
      <w:pPr>
        <w:ind w:left="567" w:right="822"/>
        <w:jc w:val="both"/>
        <w:rPr>
          <w:rFonts w:ascii="Palatino Linotype" w:eastAsia="Palatino Linotype" w:hAnsi="Palatino Linotype" w:cs="Palatino Linotype"/>
          <w:i/>
          <w:sz w:val="28"/>
          <w:szCs w:val="28"/>
        </w:rPr>
      </w:pPr>
      <w:r>
        <w:rPr>
          <w:rFonts w:ascii="Palatino Linotype" w:eastAsia="Palatino Linotype" w:hAnsi="Palatino Linotype" w:cs="Palatino Linotype"/>
          <w:i/>
          <w:sz w:val="22"/>
          <w:szCs w:val="22"/>
        </w:rPr>
        <w:lastRenderedPageBreak/>
        <w:t>XI. Tipo y alcance de los servicios respecto de los cuales solicita la factibilidad, el dictamen de congruencia o la opinión técnica, en su caso.</w:t>
      </w:r>
    </w:p>
    <w:p w:rsidR="008D7F65" w:rsidRDefault="008D7F65">
      <w:pPr>
        <w:ind w:left="567" w:right="822"/>
        <w:jc w:val="both"/>
        <w:rPr>
          <w:rFonts w:ascii="Palatino Linotype" w:eastAsia="Palatino Linotype" w:hAnsi="Palatino Linotype" w:cs="Palatino Linotype"/>
          <w:b/>
          <w:i/>
          <w:sz w:val="22"/>
          <w:szCs w:val="22"/>
        </w:rPr>
      </w:pPr>
    </w:p>
    <w:p w:rsidR="008D7F65" w:rsidRDefault="003013C0">
      <w:pPr>
        <w:ind w:left="567" w:right="82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143. Cuando el municipio y/o el organismo operador cuenten con una fuente de abastecimiento propia, debidamente autorizada por la CONAGUA, cuyas características técnicas y situación legal hagan viable la prestación de los servicios otorgarán la factibilidad respectiva. En este supuesto, para que la Comisión emita el dictamen de congruencia respectivo, la autoridad municipal correspondiente deberá acompañar a su factibilidad, copia de la documentación siguiente:</w:t>
      </w:r>
    </w:p>
    <w:p w:rsidR="008D7F65" w:rsidRDefault="008D7F65">
      <w:pPr>
        <w:ind w:left="567" w:right="822"/>
        <w:jc w:val="both"/>
        <w:rPr>
          <w:rFonts w:ascii="Palatino Linotype" w:eastAsia="Palatino Linotype" w:hAnsi="Palatino Linotype" w:cs="Palatino Linotype"/>
          <w:b/>
          <w:i/>
          <w:sz w:val="22"/>
          <w:szCs w:val="22"/>
        </w:rPr>
      </w:pP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Aquella que acredite la titularidad y vigencia de los derechos de aguas nacionales a nombre de la autoridad municipal. Para desarrollos de diez a sesenta viviendas, solo documentación de la fuente de abastecimiento y para mayores de sesenta viviendas de todas las fuentes aprovechadas en el municipio.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Análisis de la oferta-demanda de la fuente de abastecimiento o de todo el municipio, según corresponda, especificando la zona a la que presta el servicio la autoridad municipal, los grupos organizados de usuarios o bien otros prestadores de los servicios.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Reportes de lecturas de medidor 10-A de las fuentes de abastecimiento municipales, presentados ante la CONAGUA para el pago de derechos de los últimos cuatro trimestres.</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IV. Estudio de desarrollo y aforo de las fuentes de abastecimiento o documentación reciente que proporcione evidencia suficiente sobre la capacidad de producción, para lo cual, la Comisión podrá realizar visitas de inspección. V. Análisis de calidad del agua potable de acuerdo con la NOM correspondiente, emitido por un laboratorio acreditado por la Entidad Mexicana de Acreditación, con antigüedad máxima de seis meses.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factibilidades de la autoridad municipal y los dictámenes de congruencia de la Comisión, se emitirán en un plazo no mayor de treinta días hábiles contados a partir de la presentación de la solicitud respectiva.</w:t>
      </w:r>
    </w:p>
    <w:p w:rsidR="008D7F65" w:rsidRDefault="008D7F65">
      <w:pPr>
        <w:ind w:left="567" w:right="822"/>
        <w:jc w:val="both"/>
        <w:rPr>
          <w:rFonts w:ascii="Palatino Linotype" w:eastAsia="Palatino Linotype" w:hAnsi="Palatino Linotype" w:cs="Palatino Linotype"/>
          <w:b/>
          <w:i/>
          <w:sz w:val="22"/>
          <w:szCs w:val="22"/>
        </w:rPr>
      </w:pP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144. Cuando el municipio o el organismo operador no cuenten con una fuente de abastecimiento propia y/o las obras hidráulicas adecuadas para prestar los servicios y la Comisión tenga la posibilidad física y operativa para hacerlo, el municipio o municipios involucrados emitirán la autorización correspondiente para que sea la Comisión quien otorgue las factibilidades</w:t>
      </w:r>
      <w:r>
        <w:rPr>
          <w:rFonts w:ascii="Palatino Linotype" w:eastAsia="Palatino Linotype" w:hAnsi="Palatino Linotype" w:cs="Palatino Linotype"/>
          <w:i/>
          <w:sz w:val="22"/>
          <w:szCs w:val="22"/>
        </w:rPr>
        <w:t xml:space="preserve"> y, en su caso, preste los servicios en la zona de que se trate, mediante la suscripción del Convenio respectivo, quedando a cargo de la Comisión el ejercicio de las facultades que la Ley y el presente Reglamento otorgan a los municipios y/o a los organismos operadores.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supuesto, los desarrolladores, constructores o propietarios, adicionalmente, presentarán a la Comisión, copia de la documentación siguiente: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que acredite la propiedad del inmueble.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En su caso acta constitutiva de la persona jurídica colectiva.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Identificación oficial del solicitante. </w:t>
      </w:r>
    </w:p>
    <w:p w:rsidR="008D7F65" w:rsidRDefault="003013C0">
      <w:pPr>
        <w:ind w:left="567" w:right="82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En su caso, la que acredite la representación legal del solicitante. </w:t>
      </w:r>
    </w:p>
    <w:p w:rsidR="008D7F65" w:rsidRDefault="003013C0">
      <w:pPr>
        <w:spacing w:after="280"/>
        <w:ind w:left="567" w:right="822"/>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V. Anuencia por escrito de la autoridad municipal, en la que se establezcan los términos técnicos, administrativos y legales necesarios para la aceptación de la obra de toma para el suministro de agua en bloque y/o descarga de aguas servidas en el momento oportuno, con los derechos y obligaciones correspondientes.” (Sic)</w:t>
      </w:r>
    </w:p>
    <w:p w:rsidR="008D7F65" w:rsidRDefault="003013C0">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Esa así que, cuando el municipio o el organismo operador cuente con una fuente de abastecimiento propia, debidamente autorizada por la CONCAGUA, </w:t>
      </w:r>
      <w:r>
        <w:rPr>
          <w:rFonts w:ascii="Palatino Linotype" w:eastAsia="Palatino Linotype" w:hAnsi="Palatino Linotype" w:cs="Palatino Linotype"/>
          <w:b/>
          <w:color w:val="000000"/>
        </w:rPr>
        <w:t>otorgará una factibilidad</w:t>
      </w:r>
      <w:r>
        <w:rPr>
          <w:rFonts w:ascii="Palatino Linotype" w:eastAsia="Palatino Linotype" w:hAnsi="Palatino Linotype" w:cs="Palatino Linotype"/>
          <w:color w:val="000000"/>
        </w:rPr>
        <w:t>, en ese supuesto, l</w:t>
      </w:r>
      <w:r>
        <w:rPr>
          <w:rFonts w:ascii="Palatino Linotype" w:eastAsia="Palatino Linotype" w:hAnsi="Palatino Linotype" w:cs="Palatino Linotype"/>
          <w:b/>
          <w:color w:val="000000"/>
        </w:rPr>
        <w:t>a Comisión emitirá el dictamen de congruencia respectivo</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sólo en aquellos casos en los que el municipio o el organismo operador no cuenten con una fuente de abastecimiento propia y/o las obras hidráulicas adecuadas</w:t>
      </w:r>
      <w:r>
        <w:rPr>
          <w:rFonts w:ascii="Palatino Linotype" w:eastAsia="Palatino Linotype" w:hAnsi="Palatino Linotype" w:cs="Palatino Linotype"/>
          <w:color w:val="000000"/>
        </w:rPr>
        <w:t xml:space="preserve"> para prestar el servicio y la Comisión tenga la posibilidad física y operativa para hacerlo, </w:t>
      </w:r>
      <w:r>
        <w:rPr>
          <w:rFonts w:ascii="Palatino Linotype" w:eastAsia="Palatino Linotype" w:hAnsi="Palatino Linotype" w:cs="Palatino Linotype"/>
          <w:b/>
          <w:color w:val="000000"/>
        </w:rPr>
        <w:t>el municipio emitirá la autorización correspondiente para que sea la Comisión quien otorgue las factibilidades</w:t>
      </w:r>
      <w:r>
        <w:rPr>
          <w:rFonts w:ascii="Palatino Linotype" w:eastAsia="Palatino Linotype" w:hAnsi="Palatino Linotype" w:cs="Palatino Linotype"/>
          <w:color w:val="000000"/>
        </w:rPr>
        <w:t xml:space="preserve"> y, en </w:t>
      </w:r>
      <w:r>
        <w:rPr>
          <w:rFonts w:ascii="Palatino Linotype" w:eastAsia="Palatino Linotype" w:hAnsi="Palatino Linotype" w:cs="Palatino Linotype"/>
          <w:color w:val="000000"/>
        </w:rPr>
        <w:lastRenderedPageBreak/>
        <w:t>su caso, preste los servicios en la zona de que se trate, de acuerdo al artículo 144 del reglamento en cito.</w:t>
      </w:r>
    </w:p>
    <w:p w:rsidR="008D7F65" w:rsidRDefault="003013C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en respuesta a la solicitud </w:t>
      </w:r>
      <w:hyperlink r:id="rId46">
        <w:r>
          <w:rPr>
            <w:rFonts w:ascii="Palatino Linotype" w:eastAsia="Palatino Linotype" w:hAnsi="Palatino Linotype" w:cs="Palatino Linotype"/>
            <w:b/>
          </w:rPr>
          <w:t>000134/OASZUMPANG/IP/2021</w:t>
        </w:r>
      </w:hyperlink>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se concretó a entregar diversos acuerdos (contenidos en gacetas de gobierno) en donde se le autoriza a la empresa “CASAS JAVER DE MÉXICO, S.A. DE C.V.", para la construcción de servicios de agua potable y drenaje, dentro de las obras a sus cargo de diversos conjuntos urbanos, lo que darían por colmando el punto de la solicitud sobre “los documentos que amparen su respuesta”, no obstante el </w:t>
      </w:r>
      <w:r>
        <w:rPr>
          <w:rFonts w:ascii="Palatino Linotype" w:eastAsia="Palatino Linotype" w:hAnsi="Palatino Linotype" w:cs="Palatino Linotype"/>
          <w:b/>
        </w:rPr>
        <w:t>SUJETO OBLIGADO</w:t>
      </w:r>
      <w:r>
        <w:rPr>
          <w:rFonts w:ascii="Palatino Linotype" w:eastAsia="Palatino Linotype" w:hAnsi="Palatino Linotype" w:cs="Palatino Linotype"/>
        </w:rPr>
        <w:t>, sólo se concretó a entregar la primer imagen de los acuerdo mencionados sin saber su contenido, lo que no satisface el derecho de acceso a la información del particular.</w:t>
      </w:r>
    </w:p>
    <w:p w:rsidR="008D7F65" w:rsidRDefault="003013C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si bien entregó los acuerdos señalados en el párrafo anterior, no así los dictámenes de factibilidad a que hace referencia en el oficio número O.D.A.P.A.Z/DOCM/0132/2021, como se advierte en las siguientes imágenes:</w:t>
      </w:r>
    </w:p>
    <w:p w:rsidR="008D7F65" w:rsidRDefault="003013C0">
      <w:pPr>
        <w:shd w:val="clear" w:color="auto" w:fill="FFFFFF"/>
        <w:spacing w:before="240" w:after="240"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973330" cy="4141768"/>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l="41186" t="16502" r="20231" b="1186"/>
                    <a:stretch>
                      <a:fillRect/>
                    </a:stretch>
                  </pic:blipFill>
                  <pic:spPr>
                    <a:xfrm>
                      <a:off x="0" y="0"/>
                      <a:ext cx="5973330" cy="4141768"/>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812800</wp:posOffset>
                </wp:positionH>
                <wp:positionV relativeFrom="paragraph">
                  <wp:posOffset>3352800</wp:posOffset>
                </wp:positionV>
                <wp:extent cx="4546600" cy="899331"/>
                <wp:effectExtent l="0" t="0" r="0" b="0"/>
                <wp:wrapNone/>
                <wp:docPr id="30" name=""/>
                <wp:cNvGraphicFramePr/>
                <a:graphic xmlns:a="http://schemas.openxmlformats.org/drawingml/2006/main">
                  <a:graphicData uri="http://schemas.microsoft.com/office/word/2010/wordprocessingShape">
                    <wps:wsp>
                      <wps:cNvSpPr/>
                      <wps:spPr>
                        <a:xfrm>
                          <a:off x="3082225" y="3339860"/>
                          <a:ext cx="4527550" cy="880281"/>
                        </a:xfrm>
                        <a:prstGeom prst="rect">
                          <a:avLst/>
                        </a:prstGeom>
                        <a:noFill/>
                        <a:ln w="19050" cap="flat" cmpd="sng">
                          <a:solidFill>
                            <a:schemeClr val="dk1"/>
                          </a:solidFill>
                          <a:prstDash val="solid"/>
                          <a:miter lim="800000"/>
                          <a:headEnd type="none" w="sm" len="sm"/>
                          <a:tailEnd type="none" w="sm" len="sm"/>
                        </a:ln>
                      </wps:spPr>
                      <wps:txbx>
                        <w:txbxContent>
                          <w:p w:rsidR="008D7F65" w:rsidRDefault="008D7F6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3352800</wp:posOffset>
                </wp:positionV>
                <wp:extent cx="4546600" cy="899331"/>
                <wp:effectExtent b="0" l="0" r="0" t="0"/>
                <wp:wrapNone/>
                <wp:docPr id="30" name="image6.png"/>
                <a:graphic>
                  <a:graphicData uri="http://schemas.openxmlformats.org/drawingml/2006/picture">
                    <pic:pic>
                      <pic:nvPicPr>
                        <pic:cNvPr id="0" name="image6.png"/>
                        <pic:cNvPicPr preferRelativeResize="0"/>
                      </pic:nvPicPr>
                      <pic:blipFill>
                        <a:blip r:embed="rId48"/>
                        <a:srcRect/>
                        <a:stretch>
                          <a:fillRect/>
                        </a:stretch>
                      </pic:blipFill>
                      <pic:spPr>
                        <a:xfrm>
                          <a:off x="0" y="0"/>
                          <a:ext cx="4546600" cy="899331"/>
                        </a:xfrm>
                        <a:prstGeom prst="rect"/>
                        <a:ln/>
                      </pic:spPr>
                    </pic:pic>
                  </a:graphicData>
                </a:graphic>
              </wp:anchor>
            </w:drawing>
          </mc:Fallback>
        </mc:AlternateContent>
      </w:r>
    </w:p>
    <w:p w:rsidR="008D7F65" w:rsidRDefault="003013C0">
      <w:pPr>
        <w:shd w:val="clear" w:color="auto" w:fill="FFFFFF"/>
        <w:spacing w:before="240" w:after="240"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422900" cy="631825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l="45599" t="27571" r="23850"/>
                    <a:stretch>
                      <a:fillRect/>
                    </a:stretch>
                  </pic:blipFill>
                  <pic:spPr>
                    <a:xfrm>
                      <a:off x="0" y="0"/>
                      <a:ext cx="5422900" cy="6318250"/>
                    </a:xfrm>
                    <a:prstGeom prst="rect">
                      <a:avLst/>
                    </a:prstGeom>
                    <a:ln/>
                  </pic:spPr>
                </pic:pic>
              </a:graphicData>
            </a:graphic>
          </wp:inline>
        </w:drawing>
      </w:r>
      <w:r>
        <w:rPr>
          <w:noProof/>
          <w:lang w:val="en-US" w:eastAsia="en-US"/>
        </w:rPr>
        <mc:AlternateContent>
          <mc:Choice Requires="wpg">
            <w:drawing>
              <wp:anchor distT="0" distB="0" distL="114300" distR="114300" simplePos="0" relativeHeight="251659264" behindDoc="0" locked="0" layoutInCell="1" hidden="0" allowOverlap="1">
                <wp:simplePos x="0" y="0"/>
                <wp:positionH relativeFrom="column">
                  <wp:posOffset>152400</wp:posOffset>
                </wp:positionH>
                <wp:positionV relativeFrom="paragraph">
                  <wp:posOffset>3225800</wp:posOffset>
                </wp:positionV>
                <wp:extent cx="5378450" cy="952500"/>
                <wp:effectExtent l="0" t="0" r="0" b="0"/>
                <wp:wrapNone/>
                <wp:docPr id="32" name=""/>
                <wp:cNvGraphicFramePr/>
                <a:graphic xmlns:a="http://schemas.openxmlformats.org/drawingml/2006/main">
                  <a:graphicData uri="http://schemas.microsoft.com/office/word/2010/wordprocessingShape">
                    <wps:wsp>
                      <wps:cNvSpPr/>
                      <wps:spPr>
                        <a:xfrm>
                          <a:off x="2666300" y="3313275"/>
                          <a:ext cx="5359400" cy="933450"/>
                        </a:xfrm>
                        <a:prstGeom prst="rect">
                          <a:avLst/>
                        </a:prstGeom>
                        <a:noFill/>
                        <a:ln w="19050" cap="flat" cmpd="sng">
                          <a:solidFill>
                            <a:schemeClr val="dk1"/>
                          </a:solidFill>
                          <a:prstDash val="solid"/>
                          <a:miter lim="800000"/>
                          <a:headEnd type="none" w="sm" len="sm"/>
                          <a:tailEnd type="none" w="sm" len="sm"/>
                        </a:ln>
                      </wps:spPr>
                      <wps:txbx>
                        <w:txbxContent>
                          <w:p w:rsidR="008D7F65" w:rsidRDefault="008D7F6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3225800</wp:posOffset>
                </wp:positionV>
                <wp:extent cx="5378450" cy="952500"/>
                <wp:effectExtent b="0" l="0" r="0" t="0"/>
                <wp:wrapNone/>
                <wp:docPr id="32" name="image8.png"/>
                <a:graphic>
                  <a:graphicData uri="http://schemas.openxmlformats.org/drawingml/2006/picture">
                    <pic:pic>
                      <pic:nvPicPr>
                        <pic:cNvPr id="0" name="image8.png"/>
                        <pic:cNvPicPr preferRelativeResize="0"/>
                      </pic:nvPicPr>
                      <pic:blipFill>
                        <a:blip r:embed="rId50"/>
                        <a:srcRect/>
                        <a:stretch>
                          <a:fillRect/>
                        </a:stretch>
                      </pic:blipFill>
                      <pic:spPr>
                        <a:xfrm>
                          <a:off x="0" y="0"/>
                          <a:ext cx="5378450" cy="952500"/>
                        </a:xfrm>
                        <a:prstGeom prst="rect"/>
                        <a:ln/>
                      </pic:spPr>
                    </pic:pic>
                  </a:graphicData>
                </a:graphic>
              </wp:anchor>
            </w:drawing>
          </mc:Fallback>
        </mc:AlternateContent>
      </w:r>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139700</wp:posOffset>
                </wp:positionH>
                <wp:positionV relativeFrom="paragraph">
                  <wp:posOffset>5029200</wp:posOffset>
                </wp:positionV>
                <wp:extent cx="5353050" cy="1320800"/>
                <wp:effectExtent l="0" t="0" r="0" b="0"/>
                <wp:wrapNone/>
                <wp:docPr id="31" name=""/>
                <wp:cNvGraphicFramePr/>
                <a:graphic xmlns:a="http://schemas.openxmlformats.org/drawingml/2006/main">
                  <a:graphicData uri="http://schemas.microsoft.com/office/word/2010/wordprocessingShape">
                    <wps:wsp>
                      <wps:cNvSpPr/>
                      <wps:spPr>
                        <a:xfrm>
                          <a:off x="2679000" y="3129125"/>
                          <a:ext cx="5334000" cy="1301750"/>
                        </a:xfrm>
                        <a:prstGeom prst="rect">
                          <a:avLst/>
                        </a:prstGeom>
                        <a:noFill/>
                        <a:ln w="19050" cap="flat" cmpd="sng">
                          <a:solidFill>
                            <a:schemeClr val="dk1"/>
                          </a:solidFill>
                          <a:prstDash val="solid"/>
                          <a:miter lim="800000"/>
                          <a:headEnd type="none" w="sm" len="sm"/>
                          <a:tailEnd type="none" w="sm" len="sm"/>
                        </a:ln>
                      </wps:spPr>
                      <wps:txbx>
                        <w:txbxContent>
                          <w:p w:rsidR="008D7F65" w:rsidRDefault="008D7F6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5029200</wp:posOffset>
                </wp:positionV>
                <wp:extent cx="5353050" cy="1320800"/>
                <wp:effectExtent b="0" l="0" r="0" t="0"/>
                <wp:wrapNone/>
                <wp:docPr id="31" name="image7.png"/>
                <a:graphic>
                  <a:graphicData uri="http://schemas.openxmlformats.org/drawingml/2006/picture">
                    <pic:pic>
                      <pic:nvPicPr>
                        <pic:cNvPr id="0" name="image7.png"/>
                        <pic:cNvPicPr preferRelativeResize="0"/>
                      </pic:nvPicPr>
                      <pic:blipFill>
                        <a:blip r:embed="rId51"/>
                        <a:srcRect/>
                        <a:stretch>
                          <a:fillRect/>
                        </a:stretch>
                      </pic:blipFill>
                      <pic:spPr>
                        <a:xfrm>
                          <a:off x="0" y="0"/>
                          <a:ext cx="5353050" cy="1320800"/>
                        </a:xfrm>
                        <a:prstGeom prst="rect"/>
                        <a:ln/>
                      </pic:spPr>
                    </pic:pic>
                  </a:graphicData>
                </a:graphic>
              </wp:anchor>
            </w:drawing>
          </mc:Fallback>
        </mc:AlternateContent>
      </w:r>
    </w:p>
    <w:p w:rsidR="008D7F65" w:rsidRDefault="003013C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Las cuales en esencia los dictámenes de factibilidad fueron los solicitados por el particular. </w:t>
      </w:r>
    </w:p>
    <w:p w:rsidR="008D7F65" w:rsidRDefault="008D7F65">
      <w:pPr>
        <w:spacing w:line="360" w:lineRule="auto"/>
        <w:jc w:val="both"/>
        <w:rPr>
          <w:rFonts w:ascii="Palatino Linotype" w:eastAsia="Palatino Linotype" w:hAnsi="Palatino Linotype" w:cs="Palatino Linotype"/>
          <w:highlight w:val="cyan"/>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Respecto del documento denominado “</w:t>
      </w:r>
      <w:hyperlink r:id="rId52">
        <w:r>
          <w:rPr>
            <w:rFonts w:ascii="Palatino Linotype" w:eastAsia="Palatino Linotype" w:hAnsi="Palatino Linotype" w:cs="Palatino Linotype"/>
          </w:rPr>
          <w:t>FACTIBIILDAD 2.pdf</w:t>
        </w:r>
      </w:hyperlink>
      <w:r>
        <w:rPr>
          <w:rFonts w:ascii="Palatino Linotype" w:eastAsia="Palatino Linotype" w:hAnsi="Palatino Linotype" w:cs="Palatino Linotype"/>
        </w:rPr>
        <w:t xml:space="preserve">”, si bien es cierto contiene un otorgamiento del dictamen de factibilidad de servicios de agua potable y drenaje, pero a la empresa “INMOBILIARIA ANHELO CASA SA DE CV. y COPROPIETARIOS”, no a la empresa “CASAS JAVER DE MÉXICO, S.A. DE C.V."; sin embargo, en el acuerdo que ajunta al mismo archivo se advierte el nombre “CASAS JAVER DE MÉXICO, S.A. DE C.V.", creando con ello una incertidumbre e incongruencia de cuál de las empresas mencionadas fue la autorizada para la construcción del servicio de agua potable y drenaje, máxime,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preciso porque el dictamen de factibilidad aparece una empresa diversas a la mencionada en el acuerdo de referencia; siendo entonces que lo  remitido no corresponde a los solicitado; máxime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pronuncio fue el Director de Operación, Construcción y Mantenimiento que no es competente para emitir los dictámenes de factibilidad, siendo el competente Director General Organismo Público Descentralizado para la Prestación de los Servicios de Agua Potable Alcantarillado y Saneamiento del Municipio de Zumpango, como se advierte en la solicitud de información que se analizada en el punto siguiente.</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modificar la respuesta a la solicitud </w:t>
      </w:r>
      <w:hyperlink r:id="rId53">
        <w:r>
          <w:rPr>
            <w:rFonts w:ascii="Palatino Linotype" w:eastAsia="Palatino Linotype" w:hAnsi="Palatino Linotype" w:cs="Palatino Linotype"/>
          </w:rPr>
          <w:t>000134/OASZUMPANG/IP/2021</w:t>
        </w:r>
      </w:hyperlink>
      <w:r>
        <w:rPr>
          <w:rFonts w:ascii="Palatino Linotype" w:eastAsia="Palatino Linotype" w:hAnsi="Palatino Linotype" w:cs="Palatino Linotype"/>
        </w:rPr>
        <w:t>, y ordenar en términos de lo señalado por el considerando quinto de ser procedente, el documento o documentos en donde conste:</w:t>
      </w:r>
    </w:p>
    <w:p w:rsidR="008D7F65" w:rsidRDefault="003013C0">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Factibilidad o autorización emitida a favor de la empresa</w:t>
      </w:r>
      <w:r>
        <w:rPr>
          <w:rFonts w:ascii="Palatino Linotype" w:eastAsia="Palatino Linotype" w:hAnsi="Palatino Linotype" w:cs="Palatino Linotype"/>
          <w:color w:val="000000"/>
          <w:u w:val="single"/>
        </w:rPr>
        <w:t xml:space="preserve"> </w:t>
      </w:r>
      <w:r>
        <w:rPr>
          <w:rFonts w:ascii="Palatino Linotype" w:eastAsia="Palatino Linotype" w:hAnsi="Palatino Linotype" w:cs="Palatino Linotype"/>
          <w:color w:val="000000"/>
          <w:sz w:val="22"/>
          <w:szCs w:val="22"/>
        </w:rPr>
        <w:t xml:space="preserve">“CASAS JAVER DE MÉXICO, S.A. DE C.V." </w:t>
      </w:r>
      <w:r>
        <w:rPr>
          <w:rFonts w:ascii="Palatino Linotype" w:eastAsia="Palatino Linotype" w:hAnsi="Palatino Linotype" w:cs="Palatino Linotype"/>
          <w:color w:val="000000"/>
        </w:rPr>
        <w:t xml:space="preserve"> y los documentos que lo justifiquen, señalados en respuesta. </w:t>
      </w: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 la solicitud </w:t>
      </w:r>
      <w:r>
        <w:rPr>
          <w:rFonts w:ascii="Palatino Linotype" w:eastAsia="Palatino Linotype" w:hAnsi="Palatino Linotype" w:cs="Palatino Linotype"/>
          <w:b/>
        </w:rPr>
        <w:t xml:space="preserve">00065/OASZUMPANG/IP/2021, </w:t>
      </w:r>
      <w:r>
        <w:rPr>
          <w:rFonts w:ascii="Palatino Linotype" w:eastAsia="Palatino Linotype" w:hAnsi="Palatino Linotype" w:cs="Palatino Linotype"/>
        </w:rPr>
        <w:t>en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señaló que no se cuenta con información de “CASA GEO”, lo que se traduciría como hecho negativo; sin embargo, se incumplió con lo señalado por artículo 162 que señala:</w:t>
      </w:r>
    </w:p>
    <w:p w:rsidR="008D7F65" w:rsidRDefault="008D7F65">
      <w:pPr>
        <w:spacing w:line="360" w:lineRule="auto"/>
        <w:jc w:val="both"/>
        <w:rPr>
          <w:rFonts w:ascii="Palatino Linotype" w:eastAsia="Palatino Linotype" w:hAnsi="Palatino Linotype" w:cs="Palatino Linotype"/>
        </w:rPr>
      </w:pP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cual, consiste que las unidades de transparencia deberán turnar las solicitudes de acceso a la información a las áreas correspondientes para que estas a su vez, </w:t>
      </w:r>
      <w:r>
        <w:rPr>
          <w:rFonts w:ascii="Palatino Linotype" w:eastAsia="Palatino Linotype" w:hAnsi="Palatino Linotype" w:cs="Palatino Linotype"/>
          <w:color w:val="000000"/>
        </w:rPr>
        <w:lastRenderedPageBreak/>
        <w:t>manifestarán lo conducente; situación que no se materializó, puesto que el Titular de la Unidad de Transparencia fue omiso en realizar tal acción.</w:t>
      </w: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rsidR="008D7F65" w:rsidRDefault="008D7F65">
      <w:pPr>
        <w:pBdr>
          <w:top w:val="nil"/>
          <w:left w:val="nil"/>
          <w:bottom w:val="nil"/>
          <w:right w:val="nil"/>
          <w:between w:val="nil"/>
        </w:pBdr>
        <w:ind w:left="708"/>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falta de turno de las Unidades de Transparencia a las diferentes áreas que integran la estructura orgánica de los Sujetos Obligados, podrían causar una afectación o restricción al derecho ejercido por los particulares; tal y como sucedió en el presente asunto en particular.</w:t>
      </w:r>
    </w:p>
    <w:p w:rsidR="008D7F65" w:rsidRDefault="008D7F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Toda vez que el área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se pronunció fue Director de Operación, Construcción y Mantenimiento, no así su Director General que de acuerdo al artículo 7 fracción X, del Reglamento Interior del Organismo Público Descentralizado para la Prestación de los Servicios de Agua Potable, Alcantarillado y Saneamiento del Municipio de Zumpango, tiene la siguiente atribución: </w:t>
      </w:r>
    </w:p>
    <w:p w:rsidR="008D7F65" w:rsidRDefault="008D7F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 El Director General, tendrá las siguientes obligaciones y facultades:</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Emitir dictámenes de factibilidad.” (Sic)</w:t>
      </w:r>
    </w:p>
    <w:p w:rsidR="008D7F65" w:rsidRDefault="003013C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de la solicitud se advierte que el particular no señaló la temporalidad de la información solicitada, por lo que, esté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requerida es la vigente a la solicitud de información; es decir al dos de diciembre del año dos mil veintiuno, </w:t>
      </w:r>
    </w:p>
    <w:p w:rsidR="008D7F65" w:rsidRDefault="003013C0">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discernimiento que encuentra apoyado en los Criterios 1/2010 y 2/2010,  emitidos por el “Comité de Acceso a la Información y Protección de Datos personales” de la Suprema Corte de Justicia de la Nación, que disponen: </w:t>
      </w:r>
    </w:p>
    <w:p w:rsidR="008D7F65" w:rsidRDefault="008D7F65"/>
    <w:p w:rsidR="008D7F65" w:rsidRDefault="003013C0">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Criterio 1/2010</w:t>
      </w:r>
    </w:p>
    <w:p w:rsidR="008D7F65" w:rsidRDefault="003013C0">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ab/>
      </w:r>
    </w:p>
    <w:p w:rsidR="008D7F65" w:rsidRDefault="003013C0">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rsidR="008D7F65" w:rsidRDefault="008D7F65"/>
    <w:p w:rsidR="008D7F65" w:rsidRDefault="003013C0">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 xml:space="preserve">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w:t>
      </w:r>
      <w:r>
        <w:rPr>
          <w:rFonts w:ascii="Palatino Linotype" w:eastAsia="Palatino Linotype" w:hAnsi="Palatino Linotype" w:cs="Palatino Linotype"/>
          <w:i/>
          <w:color w:val="000000"/>
          <w:sz w:val="22"/>
          <w:szCs w:val="22"/>
        </w:rPr>
        <w:lastRenderedPageBreak/>
        <w:t>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8D7F65" w:rsidRDefault="008D7F65"/>
    <w:p w:rsidR="008D7F65" w:rsidRDefault="003013C0">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w:t>
      </w:r>
    </w:p>
    <w:p w:rsidR="008D7F65" w:rsidRDefault="008D7F65">
      <w:pPr>
        <w:spacing w:after="240"/>
      </w:pPr>
    </w:p>
    <w:p w:rsidR="008D7F65" w:rsidRDefault="003013C0">
      <w:pPr>
        <w:pBdr>
          <w:top w:val="nil"/>
          <w:left w:val="nil"/>
          <w:bottom w:val="nil"/>
          <w:right w:val="nil"/>
          <w:between w:val="nil"/>
        </w:pBdr>
        <w:ind w:left="851" w:right="900"/>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Criterio 2/2010.</w:t>
      </w:r>
    </w:p>
    <w:p w:rsidR="008D7F65" w:rsidRDefault="008D7F65"/>
    <w:p w:rsidR="008D7F65" w:rsidRDefault="003013C0">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rsidR="008D7F65" w:rsidRDefault="003013C0">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8D7F65" w:rsidRDefault="008D7F65"/>
    <w:p w:rsidR="008D7F65" w:rsidRDefault="003013C0">
      <w:pPr>
        <w:pBdr>
          <w:top w:val="nil"/>
          <w:left w:val="nil"/>
          <w:bottom w:val="nil"/>
          <w:right w:val="nil"/>
          <w:between w:val="nil"/>
        </w:pBdr>
        <w:ind w:left="851" w:right="900"/>
        <w:jc w:val="both"/>
        <w:rPr>
          <w:color w:val="000000"/>
        </w:rPr>
      </w:pPr>
      <w:r>
        <w:rPr>
          <w:rFonts w:ascii="Palatino Linotype" w:eastAsia="Palatino Linotype" w:hAnsi="Palatino Linotype" w:cs="Palatino Linotype"/>
          <w:i/>
          <w:color w:val="000000"/>
          <w:sz w:val="22"/>
          <w:szCs w:val="22"/>
        </w:rPr>
        <w:t>Clasificación de Información 69/2009-A. 30 de septiembre de 2009. Unanimidad de votos.”(Sic)</w:t>
      </w:r>
    </w:p>
    <w:p w:rsidR="008D7F65" w:rsidRDefault="008D7F65">
      <w:pPr>
        <w:spacing w:before="240"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modificar la respuesta otorgada en la solicitud </w:t>
      </w:r>
      <w:r>
        <w:rPr>
          <w:rFonts w:ascii="Palatino Linotype" w:eastAsia="Palatino Linotype" w:hAnsi="Palatino Linotype" w:cs="Palatino Linotype"/>
          <w:b/>
        </w:rPr>
        <w:t xml:space="preserve">00065/OASZUMPANG/IP/2021, </w:t>
      </w:r>
      <w:r>
        <w:rPr>
          <w:rFonts w:ascii="Palatino Linotype" w:eastAsia="Palatino Linotype" w:hAnsi="Palatino Linotype" w:cs="Palatino Linotype"/>
        </w:rPr>
        <w:t xml:space="preserve">y ordenar en términos de lo señalado por </w:t>
      </w:r>
      <w:r>
        <w:rPr>
          <w:rFonts w:ascii="Palatino Linotype" w:eastAsia="Palatino Linotype" w:hAnsi="Palatino Linotype" w:cs="Palatino Linotype"/>
        </w:rPr>
        <w:lastRenderedPageBreak/>
        <w:t>el considerando quinto de ser procedente, el documento o documentos en donde conste:</w:t>
      </w:r>
    </w:p>
    <w:p w:rsidR="008D7F65" w:rsidRDefault="003013C0">
      <w:pPr>
        <w:numPr>
          <w:ilvl w:val="0"/>
          <w:numId w:val="1"/>
        </w:numPr>
        <w:pBdr>
          <w:top w:val="nil"/>
          <w:left w:val="nil"/>
          <w:bottom w:val="nil"/>
          <w:right w:val="nil"/>
          <w:between w:val="nil"/>
        </w:pBdr>
        <w:spacing w:before="240" w:after="240" w:line="360" w:lineRule="auto"/>
        <w:ind w:right="49"/>
        <w:jc w:val="both"/>
        <w:rPr>
          <w:color w:val="000000"/>
          <w:sz w:val="22"/>
          <w:szCs w:val="22"/>
        </w:rPr>
      </w:pPr>
      <w:r>
        <w:rPr>
          <w:rFonts w:ascii="Palatino Linotype" w:eastAsia="Palatino Linotype" w:hAnsi="Palatino Linotype" w:cs="Palatino Linotype"/>
          <w:color w:val="000000"/>
        </w:rPr>
        <w:t xml:space="preserve">Factibilidad o autorización emitida a favor de la empresa Casas Geo, para el servicio de agua potable y alcantarillado, vigente al veintiséis de noviembre del año dos mil veintiuno. </w:t>
      </w:r>
    </w:p>
    <w:p w:rsidR="008D7F65" w:rsidRDefault="003013C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la salvedad, que para el caso de que no se haya generado la información que se ordena, bastara que así se lo haga saber a la RECURRENTE de manera fundada y motivada. </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cuanto a las solicitudes </w:t>
      </w:r>
      <w:hyperlink r:id="rId54">
        <w:r>
          <w:rPr>
            <w:rFonts w:ascii="Palatino Linotype" w:eastAsia="Palatino Linotype" w:hAnsi="Palatino Linotype" w:cs="Palatino Linotype"/>
            <w:b/>
          </w:rPr>
          <w:t>000086/OASZUMPANG/IP/2021</w:t>
        </w:r>
      </w:hyperlink>
      <w:r>
        <w:rPr>
          <w:rFonts w:ascii="Palatino Linotype" w:eastAsia="Palatino Linotype" w:hAnsi="Palatino Linotype" w:cs="Palatino Linotype"/>
        </w:rPr>
        <w:t xml:space="preserve">, </w:t>
      </w:r>
      <w:hyperlink r:id="rId55">
        <w:r>
          <w:rPr>
            <w:rFonts w:ascii="Palatino Linotype" w:eastAsia="Palatino Linotype" w:hAnsi="Palatino Linotype" w:cs="Palatino Linotype"/>
            <w:b/>
          </w:rPr>
          <w:t>000085/OASZUMPANG/IP/2021</w:t>
        </w:r>
      </w:hyperlink>
      <w:r>
        <w:rPr>
          <w:rFonts w:ascii="Palatino Linotype" w:eastAsia="Palatino Linotype" w:hAnsi="Palatino Linotype" w:cs="Palatino Linotype"/>
        </w:rPr>
        <w:t xml:space="preserve"> y </w:t>
      </w:r>
      <w:r>
        <w:rPr>
          <w:rFonts w:ascii="Palatino Linotype" w:eastAsia="Palatino Linotype" w:hAnsi="Palatino Linotype" w:cs="Palatino Linotype"/>
          <w:b/>
        </w:rPr>
        <w:t>00077/OASZUMPANG/IP/2021,</w:t>
      </w:r>
      <w:r>
        <w:rPr>
          <w:rFonts w:ascii="Palatino Linotype" w:eastAsia="Palatino Linotype" w:hAnsi="Palatino Linotype" w:cs="Palatino Linotype"/>
        </w:rPr>
        <w:t xml:space="preserve"> que dieron origen a los recursos de revisión </w:t>
      </w:r>
      <w:r>
        <w:rPr>
          <w:rFonts w:ascii="Palatino Linotype" w:eastAsia="Palatino Linotype" w:hAnsi="Palatino Linotype" w:cs="Palatino Linotype"/>
          <w:b/>
        </w:rPr>
        <w:t xml:space="preserve">06354/INFOEM/IP/RR/2021, 06355/INFOEM/IP/RR/2021y 06356/INFOEM/IP/RR/2021, </w:t>
      </w:r>
      <w:r>
        <w:rPr>
          <w:rFonts w:ascii="Palatino Linotype" w:eastAsia="Palatino Linotype" w:hAnsi="Palatino Linotype" w:cs="Palatino Linotype"/>
        </w:rPr>
        <w:t>respectivamente,</w:t>
      </w:r>
      <w:r>
        <w:rPr>
          <w:rFonts w:ascii="Palatino Linotype" w:eastAsia="Palatino Linotype" w:hAnsi="Palatino Linotype" w:cs="Palatino Linotype"/>
          <w:b/>
        </w:rPr>
        <w:t xml:space="preserve"> </w:t>
      </w:r>
      <w:r>
        <w:rPr>
          <w:rFonts w:ascii="Palatino Linotype" w:eastAsia="Palatino Linotype" w:hAnsi="Palatino Linotype" w:cs="Palatino Linotype"/>
        </w:rPr>
        <w:t>es importante recordar el que la solicitante requirió lo siguiente:</w:t>
      </w:r>
    </w:p>
    <w:p w:rsidR="008D7F65" w:rsidRDefault="008D7F65">
      <w:pPr>
        <w:spacing w:after="240" w:line="360" w:lineRule="auto"/>
        <w:ind w:right="51"/>
        <w:jc w:val="both"/>
        <w:rPr>
          <w:rFonts w:ascii="Palatino Linotype" w:eastAsia="Palatino Linotype" w:hAnsi="Palatino Linotype" w:cs="Palatino Linotype"/>
        </w:rPr>
      </w:pPr>
    </w:p>
    <w:p w:rsidR="008D7F65" w:rsidRDefault="003013C0">
      <w:pPr>
        <w:numPr>
          <w:ilvl w:val="0"/>
          <w:numId w:val="4"/>
        </w:numPr>
        <w:pBdr>
          <w:top w:val="nil"/>
          <w:left w:val="nil"/>
          <w:bottom w:val="nil"/>
          <w:right w:val="nil"/>
          <w:between w:val="nil"/>
        </w:pBdr>
        <w:spacing w:before="240" w:line="360" w:lineRule="auto"/>
        <w:ind w:left="360" w:right="51"/>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Saber la ubicación de las bombas y la fuente de energía eléctrica, motores diésel del equipo de bombeo que existe en el organismo actualizado con documento que acrediten lo solicitado.</w:t>
      </w:r>
    </w:p>
    <w:p w:rsidR="008D7F65" w:rsidRDefault="003013C0">
      <w:pPr>
        <w:numPr>
          <w:ilvl w:val="0"/>
          <w:numId w:val="4"/>
        </w:num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Saber en el caso de tanques elevados tienen una base construida por encima del nivel del suelo, que debe ser plano para que no haya riesgo de un accidente, como el desplome de la estructura por la irregularidad del piso, </w:t>
      </w:r>
      <w:r>
        <w:rPr>
          <w:rFonts w:ascii="Palatino Linotype" w:eastAsia="Palatino Linotype" w:hAnsi="Palatino Linotype" w:cs="Palatino Linotype"/>
          <w:color w:val="000000"/>
          <w:u w:val="single"/>
        </w:rPr>
        <w:t>el croquis de localización de cada uno de los que existen en el municipio y su plan de contingencia.</w:t>
      </w:r>
    </w:p>
    <w:p w:rsidR="008D7F65" w:rsidRDefault="003013C0">
      <w:pPr>
        <w:numPr>
          <w:ilvl w:val="0"/>
          <w:numId w:val="4"/>
        </w:numPr>
        <w:pBdr>
          <w:top w:val="nil"/>
          <w:left w:val="nil"/>
          <w:bottom w:val="nil"/>
          <w:right w:val="nil"/>
          <w:between w:val="nil"/>
        </w:pBdr>
        <w:spacing w:after="240"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Todos los documentos que informen sobre la ubicación geográfica de todos los pozos de agua y depósitos de agua que existe en todo el municipio de Zumpango.</w:t>
      </w:r>
    </w:p>
    <w:p w:rsidR="008D7F65" w:rsidRDefault="003013C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otorgó sus respuestas a través de los siguientes archivos electrónicos:</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6">
        <w:r>
          <w:rPr>
            <w:rFonts w:ascii="Palatino Linotype" w:eastAsia="Palatino Linotype" w:hAnsi="Palatino Linotype" w:cs="Palatino Linotype"/>
          </w:rPr>
          <w:t>PLANO DE INFRAESTRUCTURA ZUMPANGO-Model.pdf</w:t>
        </w:r>
      </w:hyperlink>
      <w:r>
        <w:rPr>
          <w:rFonts w:ascii="Palatino Linotype" w:eastAsia="Palatino Linotype" w:hAnsi="Palatino Linotype" w:cs="Palatino Linotype"/>
        </w:rPr>
        <w:t>”, el cual contiene un plano en donde se ubican cada uno de los pozos de agua, tanques, cisternas y bombas, que hay en el municipio de Zumpango, Estado de México, de la administración pública del 2019-2021.</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7">
        <w:r>
          <w:rPr>
            <w:rFonts w:ascii="Palatino Linotype" w:eastAsia="Palatino Linotype" w:hAnsi="Palatino Linotype" w:cs="Palatino Linotype"/>
          </w:rPr>
          <w:t>86.pdf</w:t>
        </w:r>
      </w:hyperlink>
      <w:r>
        <w:rPr>
          <w:rFonts w:ascii="Palatino Linotype" w:eastAsia="Palatino Linotype" w:hAnsi="Palatino Linotype" w:cs="Palatino Linotype"/>
        </w:rPr>
        <w:t xml:space="preserve">”, el cual contiene el oficio número O.D.A.P.A.Z/DOCM/0163/2021, por medio el cual el Director de Operación, Construcción y Mantenimiento, remitió al Titular de la Unidad de Transparencia, en formato “pdf” la información de la ubicación de bombas, pozo y cisternas. </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hyperlink r:id="rId58">
        <w:r>
          <w:rPr>
            <w:rFonts w:ascii="Palatino Linotype" w:eastAsia="Palatino Linotype" w:hAnsi="Palatino Linotype" w:cs="Palatino Linotype"/>
          </w:rPr>
          <w:t>PLANO DE INFRAESTRUCTURA ZUMPANGO-Model.pdf</w:t>
        </w:r>
      </w:hyperlink>
      <w:r>
        <w:rPr>
          <w:rFonts w:ascii="Palatino Linotype" w:eastAsia="Palatino Linotype" w:hAnsi="Palatino Linotype" w:cs="Palatino Linotype"/>
        </w:rPr>
        <w:t>”, el cual contiene un plano en donde se ubican cada uno de los pozos de agua, tanques, cisternas y bombas, que hay en el municipio de Zumpango, Estado de México, de la administración pública del 2019-2021.</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59">
        <w:r>
          <w:rPr>
            <w:rFonts w:ascii="Palatino Linotype" w:eastAsia="Palatino Linotype" w:hAnsi="Palatino Linotype" w:cs="Palatino Linotype"/>
          </w:rPr>
          <w:t>la 85.pdf</w:t>
        </w:r>
      </w:hyperlink>
      <w:r>
        <w:rPr>
          <w:rFonts w:ascii="Palatino Linotype" w:eastAsia="Palatino Linotype" w:hAnsi="Palatino Linotype" w:cs="Palatino Linotype"/>
        </w:rPr>
        <w:t>”, el cual contiene el oficio número O.D.A.P.A.Z/DOCM/0159/2021, por medio el cual el Director de Operación, Construcción y Mantenimiento, informó al Titular de la Unidad de Transparencia, adjuntar la información en “pdf”, sin embargo no se pronunció sobre el su plan de contingencia para el caso del desplome de los  tanques elevados por un riesgo de un accidente por la irregularidad del piso.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0">
        <w:r>
          <w:rPr>
            <w:rFonts w:ascii="Palatino Linotype" w:eastAsia="Palatino Linotype" w:hAnsi="Palatino Linotype" w:cs="Palatino Linotype"/>
          </w:rPr>
          <w:t>PLANO DE INFRAESTRUCTURA ZUMPANGO-Model.pdf</w:t>
        </w:r>
      </w:hyperlink>
      <w:r>
        <w:rPr>
          <w:rFonts w:ascii="Palatino Linotype" w:eastAsia="Palatino Linotype" w:hAnsi="Palatino Linotype" w:cs="Palatino Linotype"/>
        </w:rPr>
        <w:t>”, el cual contiene un plano en donde se ubican cada uno de los pozos de agua, tanques, cisternas y bombas, que hay en el municipio de Zumpango, Estado de México, de la administración pública del 2019-2021.</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1">
        <w:r>
          <w:rPr>
            <w:rFonts w:ascii="Palatino Linotype" w:eastAsia="Palatino Linotype" w:hAnsi="Palatino Linotype" w:cs="Palatino Linotype"/>
          </w:rPr>
          <w:t>res 77.pdf</w:t>
        </w:r>
      </w:hyperlink>
      <w:r>
        <w:rPr>
          <w:rFonts w:ascii="Palatino Linotype" w:eastAsia="Palatino Linotype" w:hAnsi="Palatino Linotype" w:cs="Palatino Linotype"/>
        </w:rPr>
        <w:t xml:space="preserve">”, el cual contiene el oficio número O.D.A.P.A.Z/DOCM/0161/2021, por medio el cual el Director de Operación, Construcción y Mantenimiento, remitió al Titular de la Unidad de Transparencia, en formato “pdf” la información requerida. </w:t>
      </w:r>
    </w:p>
    <w:p w:rsidR="008D7F65" w:rsidRDefault="003013C0">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En todos los recursos de revisión,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fue omiso en rendir su informe justificado. </w:t>
      </w:r>
    </w:p>
    <w:p w:rsidR="008D7F65" w:rsidRDefault="008D7F65">
      <w:pPr>
        <w:spacing w:before="240"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en esencia de todos los archivos remitidos por el </w:t>
      </w:r>
      <w:r>
        <w:rPr>
          <w:rFonts w:ascii="Palatino Linotype" w:eastAsia="Palatino Linotype" w:hAnsi="Palatino Linotype" w:cs="Palatino Linotype"/>
          <w:b/>
        </w:rPr>
        <w:t>SUJETO OBLIGADO</w:t>
      </w:r>
      <w:r>
        <w:rPr>
          <w:rFonts w:ascii="Palatino Linotype" w:eastAsia="Palatino Linotype" w:hAnsi="Palatino Linotype" w:cs="Palatino Linotype"/>
        </w:rPr>
        <w:t>, en sus respuestas, entregó el siguiente plano: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noProof/>
          <w:lang w:val="en-US" w:eastAsia="en-US"/>
        </w:rPr>
        <w:lastRenderedPageBreak/>
        <w:drawing>
          <wp:inline distT="0" distB="0" distL="0" distR="0">
            <wp:extent cx="5679159" cy="4655739"/>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2"/>
                    <a:srcRect l="23422" t="19359" r="2579"/>
                    <a:stretch>
                      <a:fillRect/>
                    </a:stretch>
                  </pic:blipFill>
                  <pic:spPr>
                    <a:xfrm>
                      <a:off x="0" y="0"/>
                      <a:ext cx="5679159" cy="4655739"/>
                    </a:xfrm>
                    <a:prstGeom prst="rect">
                      <a:avLst/>
                    </a:prstGeom>
                    <a:ln/>
                  </pic:spPr>
                </pic:pic>
              </a:graphicData>
            </a:graphic>
          </wp:inline>
        </w:drawing>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cual al acercarlo a un 116%, nos arroja la información solicitada por el particular, correspondiente a la ubicación de todos los pozos de agua, tanques, cisternas y bombas, que hay en el municipio de Zumpango, Estado de México, de la </w:t>
      </w:r>
      <w:r>
        <w:rPr>
          <w:rFonts w:ascii="Palatino Linotype" w:eastAsia="Palatino Linotype" w:hAnsi="Palatino Linotype" w:cs="Palatino Linotype"/>
        </w:rPr>
        <w:lastRenderedPageBreak/>
        <w:t>administración pública del 2019-2021, como se advierte en la siguiente imagen de manera de ejemplo:</w:t>
      </w:r>
    </w:p>
    <w:p w:rsidR="008D7F65" w:rsidRDefault="008D7F65">
      <w:pPr>
        <w:spacing w:line="360" w:lineRule="auto"/>
        <w:jc w:val="both"/>
      </w:pPr>
    </w:p>
    <w:p w:rsidR="008D7F65" w:rsidRDefault="003013C0">
      <w:pPr>
        <w:spacing w:line="360" w:lineRule="auto"/>
        <w:jc w:val="both"/>
        <w:rPr>
          <w:rFonts w:ascii="Palatino Linotype" w:eastAsia="Palatino Linotype" w:hAnsi="Palatino Linotype" w:cs="Palatino Linotype"/>
        </w:rPr>
      </w:pPr>
      <w:r>
        <w:rPr>
          <w:noProof/>
          <w:lang w:val="en-US" w:eastAsia="en-US"/>
        </w:rPr>
        <w:drawing>
          <wp:inline distT="0" distB="0" distL="0" distR="0">
            <wp:extent cx="4992439" cy="3788269"/>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a:srcRect l="64947" t="18715" r="8124" b="3779"/>
                    <a:stretch>
                      <a:fillRect/>
                    </a:stretch>
                  </pic:blipFill>
                  <pic:spPr>
                    <a:xfrm>
                      <a:off x="0" y="0"/>
                      <a:ext cx="4992439" cy="3788269"/>
                    </a:xfrm>
                    <a:prstGeom prst="rect">
                      <a:avLst/>
                    </a:prstGeom>
                    <a:ln/>
                  </pic:spPr>
                </pic:pic>
              </a:graphicData>
            </a:graphic>
          </wp:inline>
        </w:drawing>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Y siendo que la información fue proporcionada por el Director de Operación, Construcción y Mantenimiento, que de acuerdo al artículo 44 del Reglamento Interior del Organismo Público Descentralizado para la Prestación de los Servicios </w:t>
      </w:r>
      <w:r>
        <w:rPr>
          <w:rFonts w:ascii="Palatino Linotype" w:eastAsia="Palatino Linotype" w:hAnsi="Palatino Linotype" w:cs="Palatino Linotype"/>
        </w:rPr>
        <w:lastRenderedPageBreak/>
        <w:t>de Agua Potable, Alcantarillado y Saneamiento del Municipio de Zumpango, tiene las siguientes atribuciones:</w:t>
      </w:r>
    </w:p>
    <w:p w:rsidR="008D7F65" w:rsidRDefault="008D7F65">
      <w:pPr>
        <w:spacing w:line="360" w:lineRule="auto"/>
        <w:jc w:val="both"/>
        <w:rPr>
          <w:rFonts w:ascii="Palatino Linotype" w:eastAsia="Palatino Linotype" w:hAnsi="Palatino Linotype" w:cs="Palatino Linotype"/>
        </w:rPr>
      </w:pP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44. La Dirección de Operación, Construcción y Mantenimiento tendrá las siguientes atribuciones, consideradas para la Operación: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Planear, operar, y mantener los sistemas de agua potable, alcantarillado y saneamiento del Municipio</w:t>
      </w:r>
      <w:r>
        <w:rPr>
          <w:rFonts w:ascii="Palatino Linotype" w:eastAsia="Palatino Linotype" w:hAnsi="Palatino Linotype" w:cs="Palatino Linotype"/>
          <w:i/>
          <w:sz w:val="22"/>
          <w:szCs w:val="22"/>
        </w:rPr>
        <w:t xml:space="preserve">.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Recibir, administrar, vigilar y distribuir el agua en bloque.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III. Establecer las políticas para el registro de información gráfica, alfanumérica, cartográfica y estadística, respecto de la prestación del servicio de agua potable, alcantarillado y saneamiento</w:t>
      </w:r>
      <w:r>
        <w:rPr>
          <w:rFonts w:ascii="Palatino Linotype" w:eastAsia="Palatino Linotype" w:hAnsi="Palatino Linotype" w:cs="Palatino Linotype"/>
          <w:i/>
          <w:sz w:val="22"/>
          <w:szCs w:val="22"/>
        </w:rPr>
        <w:t xml:space="preserve">.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Diseñar, levantar y procesar los censos, encuestas y muestreos sobre la infraestructura hidráulica.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Establecer y desarrollar programas para garantizar la calidad del agua y evitar su contaminación.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Desarrollar programas para la reducción de volúmenes de agua no contabilizada aumente la eficiencia del sistema.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Gestionar la limpieza y rectificación de cauces federales.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Coordinar las acciones necesarias, cuando se presenten eventos hidrometeorológicos que afecten al Municipio.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Coordinar acciones de apoyo a entidades públicas en caso de catástrofes naturales, contingencias y accidentes.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Apoyar a la población donde se carece de red de agua potable, con agua distribuida en camión cisterna, en la medida que sea posible por el O.D.A.P.A.Z. XI. Dar servicio a los particulares, con el suministro del vital líquido, en base a las facturas que les fueron generadas.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Control de presión, niveles y bombeo de pozos.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Manejo y control de tableros y controles eléctricos.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Solicitar que se realice la cloración del agua en pozos y cisternas de distribución ante la dependencia correspondiente.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XV. En caso de contingencias naturales (incendios), trabajar en coordinación con Protección Civil del Municipio de Zumpango.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Vigilar y reportar las maniobras en los pozos, tanques elevados, cárcamos, conjuntamente con la Coordinación de Operación y Mantenimiento.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XVII. Las demás que le confieran otras disposiciones legales”(Sic)</w:t>
      </w:r>
    </w:p>
    <w:p w:rsidR="008D7F65" w:rsidRDefault="008D7F65">
      <w:pPr>
        <w:spacing w:after="240" w:line="360" w:lineRule="auto"/>
        <w:jc w:val="both"/>
      </w:pPr>
    </w:p>
    <w:p w:rsidR="008D7F65" w:rsidRDefault="003013C0">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procedente es confirmar las respuestas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las solicitudes </w:t>
      </w:r>
      <w:r>
        <w:rPr>
          <w:rFonts w:ascii="Palatino Linotype" w:eastAsia="Palatino Linotype" w:hAnsi="Palatino Linotype" w:cs="Palatino Linotype"/>
          <w:b/>
          <w:color w:val="000000"/>
        </w:rPr>
        <w:t xml:space="preserve">00086/OASZUMPANG/IP/2021 y 00077/OASZUMPANG/IP/2021; </w:t>
      </w:r>
      <w:r>
        <w:rPr>
          <w:rFonts w:ascii="Palatino Linotype" w:eastAsia="Palatino Linotype" w:hAnsi="Palatino Linotype" w:cs="Palatino Linotype"/>
          <w:color w:val="000000"/>
        </w:rPr>
        <w:t>máxime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 la información proporcionada, esté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8D7F65" w:rsidRDefault="003013C0">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Pr>
          <w:rFonts w:ascii="Palatino Linotype" w:eastAsia="Palatino Linotype" w:hAnsi="Palatino Linotype" w:cs="Palatino Linotype"/>
          <w:i/>
          <w:sz w:val="22"/>
          <w:szCs w:val="22"/>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D7F65" w:rsidRDefault="008D7F6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D7F65" w:rsidRDefault="003013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8D7F65" w:rsidRDefault="003013C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así la solicitud </w:t>
      </w:r>
      <w:r>
        <w:rPr>
          <w:rFonts w:ascii="Palatino Linotype" w:eastAsia="Palatino Linotype" w:hAnsi="Palatino Linotype" w:cs="Palatino Linotype"/>
          <w:b/>
        </w:rPr>
        <w:t xml:space="preserve">00085/OASZUMPANG/IP/2021, </w:t>
      </w:r>
      <w:r>
        <w:rPr>
          <w:rFonts w:ascii="Palatino Linotype" w:eastAsia="Palatino Linotype" w:hAnsi="Palatino Linotype" w:cs="Palatino Linotype"/>
        </w:rPr>
        <w:t xml:space="preserve">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se concretó a adjuntar el plano de ubicación de todos los pozos de agua, tanques, cisternas y bombas, que hay en el municipio de Zumpango, Estado de México, de la administración pública del 2019-2021, a pesar que mencionó que adjuntaba la información en “pdf”, sin que se pronunciara sobre el plan de contingencia de los tanques elevados tienen una base construida por encima del nivel del suelo, que debe ser plano para que no haya riesgo de un accidente, como el desplome de la estructura por la irregularidad del piso; por ello, en términos de lo señalado por los artículos 29, fracción VII, 44 fracción XV y XVI, 46 fracción VII y 47 fracción VII y VIII, del Reglamento Interior del Organismo Público Descentralizado para la Prestación de los Servicios de Agua Potable, Alcantarillado </w:t>
      </w:r>
      <w:r>
        <w:rPr>
          <w:rFonts w:ascii="Palatino Linotype" w:eastAsia="Palatino Linotype" w:hAnsi="Palatino Linotype" w:cs="Palatino Linotype"/>
        </w:rPr>
        <w:lastRenderedPageBreak/>
        <w:t xml:space="preserve">y Saneamiento del Municipio de Zumpango,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Dirección Administración, Dirección de Operación, Construcción y Mantenimiento y Coordinación de Operación y Mantenimiento,  tiene las siguientes atribuciones:</w:t>
      </w:r>
    </w:p>
    <w:p w:rsidR="008D7F65" w:rsidRDefault="008D7F65">
      <w:pPr>
        <w:spacing w:line="360" w:lineRule="auto"/>
        <w:jc w:val="both"/>
        <w:rPr>
          <w:rFonts w:ascii="Palatino Linotype" w:eastAsia="Palatino Linotype" w:hAnsi="Palatino Linotype" w:cs="Palatino Linotype"/>
        </w:rPr>
      </w:pP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i/>
          <w:sz w:val="22"/>
          <w:szCs w:val="22"/>
        </w:rPr>
        <w:t>Artículo 29. La Dirección de Administración tendrá las siguientes atribuciones:</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 Vigilar, Implementar, controlar y evaluar el programa de protección civil del Organismo en coordinación con los programas de Protección Civil Municipal.</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44. La Dirección de Operación, Construcción y Mantenimiento tendrá las siguientes atribuciones, consideradas para la Operación: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En caso de contingencias naturales (incendios), trabajar en coordinación con Protección Civil del Municipio de Zumpango.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XVI. Vigilar y reportar las maniobras en los pozos, tanques elevados, cárcamos, conjuntamente con la Coordinación de Operación y Mantenimiento.</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46. La Coordinación de Operación y Mantenimiento tendrá las siguientes atribuciones:</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Asistir a la comunidad Zumpanguense, en caso de contingencias naturales, en coordinación con Protección Civil Municipal.</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47. La Coordinación de Construcción y Logística tendrá las siguientes atribuciones:</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Asistir a la comunidad Zumpanguense en caso de contingencias naturales, en coordinación con Protección Civil Municipal. </w:t>
      </w:r>
    </w:p>
    <w:p w:rsidR="008D7F65" w:rsidRDefault="003013C0">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VIII. Cumplir y dar seguimiento al manual “Atlas de Inundación Municipal”, así como demás ordenamientos que se indique</w:t>
      </w:r>
      <w:r>
        <w:rPr>
          <w:rFonts w:ascii="Palatino Linotype" w:eastAsia="Palatino Linotype" w:hAnsi="Palatino Linotype" w:cs="Palatino Linotype"/>
          <w:i/>
          <w:sz w:val="22"/>
          <w:szCs w:val="22"/>
        </w:rPr>
        <w:t>.” (Sic)</w:t>
      </w:r>
    </w:p>
    <w:p w:rsidR="008D7F65" w:rsidRDefault="008D7F65">
      <w:pPr>
        <w:ind w:left="567" w:right="567"/>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Puede ser que tenga el plan de contingencia de los tanques elevados que tienen una base construida por encima del nivel del suelo, que debe ser plano para que no haya riesgo de un accidente, como el desplome de la estructura por la irregularidad del piso; por consiguiente, lo procedente es modificar la respuesta a la solicitud </w:t>
      </w:r>
      <w:r>
        <w:rPr>
          <w:rFonts w:ascii="Palatino Linotype" w:eastAsia="Palatino Linotype" w:hAnsi="Palatino Linotype" w:cs="Palatino Linotype"/>
          <w:b/>
        </w:rPr>
        <w:t xml:space="preserve">00085/OASZUMPANG/IP/2021, </w:t>
      </w:r>
      <w:r>
        <w:rPr>
          <w:rFonts w:ascii="Palatino Linotype" w:eastAsia="Palatino Linotype" w:hAnsi="Palatino Linotype" w:cs="Palatino Linotype"/>
        </w:rPr>
        <w:t xml:space="preserve">y ordenar el plan de contingencia de los tanques elevados que tienen una base construida por encima del nivel del suelo, que debe ser plano para que no haya riesgo de un accidente, como el desplome de la estructura por la irregularidad del piso y de ser procedente en términos de lo señalado por el considerando quinto del presente fallo, vigente a la solicitud de información. </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último, respecto de la solicitud </w:t>
      </w:r>
      <w:r>
        <w:rPr>
          <w:rFonts w:ascii="Palatino Linotype" w:eastAsia="Palatino Linotype" w:hAnsi="Palatino Linotype" w:cs="Palatino Linotype"/>
          <w:b/>
        </w:rPr>
        <w:t xml:space="preserve">00075/OASZUMPANG/IP/2021, </w:t>
      </w:r>
      <w:r>
        <w:rPr>
          <w:rFonts w:ascii="Palatino Linotype" w:eastAsia="Palatino Linotype" w:hAnsi="Palatino Linotype" w:cs="Palatino Linotype"/>
        </w:rPr>
        <w:t xml:space="preserve">que dio origen al recurso de revisión </w:t>
      </w:r>
      <w:r>
        <w:rPr>
          <w:rFonts w:ascii="Palatino Linotype" w:eastAsia="Palatino Linotype" w:hAnsi="Palatino Linotype" w:cs="Palatino Linotype"/>
          <w:b/>
        </w:rPr>
        <w:t xml:space="preserve">06358/INFOEM/IP/RR/2021, </w:t>
      </w:r>
      <w:r>
        <w:rPr>
          <w:rFonts w:ascii="Palatino Linotype" w:eastAsia="Palatino Linotype" w:hAnsi="Palatino Linotype" w:cs="Palatino Linotype"/>
        </w:rPr>
        <w:t>es importante recordar que el particular solicito:</w:t>
      </w:r>
    </w:p>
    <w:p w:rsidR="008D7F65" w:rsidRDefault="003013C0">
      <w:pPr>
        <w:numPr>
          <w:ilvl w:val="0"/>
          <w:numId w:val="4"/>
        </w:numPr>
        <w:pBdr>
          <w:top w:val="nil"/>
          <w:left w:val="nil"/>
          <w:bottom w:val="nil"/>
          <w:right w:val="nil"/>
          <w:between w:val="nil"/>
        </w:pBdr>
        <w:spacing w:before="240" w:after="240"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Todos los documentos que informen sobre los Estudios de perforación de pozos de agua potable que han realizado desde al año 2015 a la fecha en el municipio de Zumpango.</w:t>
      </w: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dio su respuesta a través del siguiente archivo electrónico:</w:t>
      </w:r>
    </w:p>
    <w:p w:rsidR="008D7F65" w:rsidRDefault="008D7F65">
      <w:pPr>
        <w:spacing w:line="360" w:lineRule="auto"/>
        <w:jc w:val="both"/>
        <w:rPr>
          <w:rFonts w:ascii="Palatino Linotype" w:eastAsia="Palatino Linotype" w:hAnsi="Palatino Linotype" w:cs="Palatino Linotype"/>
          <w:highlight w:val="green"/>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64">
        <w:r>
          <w:rPr>
            <w:rFonts w:ascii="Palatino Linotype" w:eastAsia="Palatino Linotype" w:hAnsi="Palatino Linotype" w:cs="Palatino Linotype"/>
          </w:rPr>
          <w:t>respuesta 75.pdf</w:t>
        </w:r>
      </w:hyperlink>
      <w:r>
        <w:rPr>
          <w:rFonts w:ascii="Palatino Linotype" w:eastAsia="Palatino Linotype" w:hAnsi="Palatino Linotype" w:cs="Palatino Linotype"/>
        </w:rPr>
        <w:t>”, el cual contiene el oficio número O.D.A.P.A.Z/DOCM/0162/2021, por medio el cual el Director de Operación, Construcción y Mantenimiento, remitió al Titular de la Unidad de Transparencia, la información electrónica en “pdf”; sin embargo, el mencionado Director fue omiso en adjuntar dicho documento.</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a través del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remitió el archivo electrónico denominado “</w:t>
      </w:r>
      <w:hyperlink r:id="rId65">
        <w:r>
          <w:rPr>
            <w:rFonts w:ascii="Palatino Linotype" w:eastAsia="Palatino Linotype" w:hAnsi="Palatino Linotype" w:cs="Palatino Linotype"/>
          </w:rPr>
          <w:t>AMPLIACIÓN DEL ESTUDIO GEOFISICO DEL POZO PROFUNDO DE SAN JOSE DE LA LOMA DE LA COMUNIDAD SAN JUAN ZITLALTEPEC .pdf</w:t>
        </w:r>
      </w:hyperlink>
      <w:r>
        <w:rPr>
          <w:rFonts w:ascii="Palatino Linotype" w:eastAsia="Palatino Linotype" w:hAnsi="Palatino Linotype" w:cs="Palatino Linotype"/>
        </w:rPr>
        <w:t>”, el cual contiene un estudio geofísico del pozo profundo de San José de la Loma de la Comunidad San Juan Zitlaltepec, del Municipio de Zumpango, Estado de México de mayo del año 2018, constante de 38 fojas, el cual no se puso a la vista por conten</w:t>
      </w:r>
      <w:r w:rsidR="001A2FB3">
        <w:rPr>
          <w:rFonts w:ascii="Palatino Linotype" w:eastAsia="Palatino Linotype" w:hAnsi="Palatino Linotype" w:cs="Palatino Linotype"/>
        </w:rPr>
        <w:t xml:space="preserve">er fotografías de particulares y </w:t>
      </w:r>
      <w:r>
        <w:rPr>
          <w:rFonts w:ascii="Palatino Linotype" w:eastAsia="Palatino Linotype" w:hAnsi="Palatino Linotype" w:cs="Palatino Linotype"/>
        </w:rPr>
        <w:t>n</w:t>
      </w:r>
      <w:r w:rsidR="001A2FB3">
        <w:rPr>
          <w:rFonts w:ascii="Palatino Linotype" w:eastAsia="Palatino Linotype" w:hAnsi="Palatino Linotype" w:cs="Palatino Linotype"/>
        </w:rPr>
        <w:t>ombres de posibles particulares.</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Ahora bien, si bien es cierto que 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indicó adjuntar la información en formato “pdf”, pero, fue omiso en anexar algún documento; sino es hasta el término para rendir su informe justificado, que adjuntó el estudio geofísico del pozo profundo de San José de la Loma de la Comunidad San </w:t>
      </w:r>
      <w:r>
        <w:rPr>
          <w:rFonts w:ascii="Palatino Linotype" w:eastAsia="Palatino Linotype" w:hAnsi="Palatino Linotype" w:cs="Palatino Linotype"/>
        </w:rPr>
        <w:lastRenderedPageBreak/>
        <w:t xml:space="preserve">Juan Zitlaltepec, del Municipio de Zumpango, Estado de México de mayo del año 2018, constante de 38 fojas, cuyo contenido se advierte que es un estudio para la perforación de un pozo profundo con las coordenadas de ubicación y especificaciones técnicas de los tubos como de la perforación; sin que se tenga certeza que dicho estudio haya sido tomado en cuenta por el </w:t>
      </w:r>
      <w:r>
        <w:rPr>
          <w:rFonts w:ascii="Palatino Linotype" w:eastAsia="Palatino Linotype" w:hAnsi="Palatino Linotype" w:cs="Palatino Linotype"/>
          <w:b/>
        </w:rPr>
        <w:t>SUJETO OBLIGADO</w:t>
      </w:r>
      <w:r>
        <w:rPr>
          <w:rFonts w:ascii="Palatino Linotype" w:eastAsia="Palatino Linotype" w:hAnsi="Palatino Linotype" w:cs="Palatino Linotype"/>
        </w:rPr>
        <w:t>, para la perforación del pozo de referencia, además, que dicho documento no se le hizo del conocimiento del particular por co</w:t>
      </w:r>
      <w:r w:rsidR="001A2FB3">
        <w:rPr>
          <w:rFonts w:ascii="Palatino Linotype" w:eastAsia="Palatino Linotype" w:hAnsi="Palatino Linotype" w:cs="Palatino Linotype"/>
        </w:rPr>
        <w:t xml:space="preserve">ntener fotografías de personas y </w:t>
      </w:r>
      <w:r>
        <w:rPr>
          <w:rFonts w:ascii="Palatino Linotype" w:eastAsia="Palatino Linotype" w:hAnsi="Palatino Linotype" w:cs="Palatino Linotype"/>
        </w:rPr>
        <w:t>p</w:t>
      </w:r>
      <w:r w:rsidR="001A2FB3">
        <w:rPr>
          <w:rFonts w:ascii="Palatino Linotype" w:eastAsia="Palatino Linotype" w:hAnsi="Palatino Linotype" w:cs="Palatino Linotype"/>
        </w:rPr>
        <w:t>osibles nombres de particulares.</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no niega contar con la información solicitada por la recurrente, sino por el contrario, se presume que asume que dicha información la genera, posee o administra a través del archivo remitido en informe justificado; por lo que el estudio de la naturaleza jurídica de la información solicitada, en el caso concreto, se obvia.</w:t>
      </w:r>
    </w:p>
    <w:p w:rsidR="008D7F65" w:rsidRDefault="003013C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el estudio enunciado tiene por objeto determinar si el Sujeto Obligado genera, posee o administra la información solicitada</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8D7F65" w:rsidRDefault="003013C0">
      <w:pPr>
        <w:spacing w:line="360" w:lineRule="auto"/>
        <w:jc w:val="both"/>
      </w:pPr>
      <w:r>
        <w:rPr>
          <w:rFonts w:ascii="Palatino Linotype" w:eastAsia="Palatino Linotype" w:hAnsi="Palatino Linotype" w:cs="Palatino Linotype"/>
        </w:rPr>
        <w:lastRenderedPageBreak/>
        <w:t xml:space="preserve">Por consiguiente, términos de los principios de congruencia y exhaustividad, ya que de la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remitir la información que dice adjuntar</w:t>
      </w:r>
      <w:r>
        <w:rPr>
          <w:rFonts w:ascii="Palatino Linotype" w:eastAsia="Palatino Linotype" w:hAnsi="Palatino Linotype" w:cs="Palatino Linotype"/>
          <w:color w:val="000000"/>
        </w:rPr>
        <w:t xml:space="preserve">, en términos de lo señalado por el Criterio 02/17, emitido por el Pleno del </w:t>
      </w:r>
      <w:r>
        <w:rPr>
          <w:rFonts w:ascii="Palatino Linotype" w:eastAsia="Palatino Linotype" w:hAnsi="Palatino Linotype" w:cs="Palatino Linotype"/>
        </w:rPr>
        <w:t>Instituto Nacional de Transparencia y Acceso a la Información y Protección de Datos Personales, de título y texto siguientes:</w:t>
      </w:r>
    </w:p>
    <w:p w:rsidR="008D7F65" w:rsidRDefault="008D7F65">
      <w:pPr>
        <w:spacing w:line="360" w:lineRule="auto"/>
        <w:jc w:val="both"/>
        <w:rPr>
          <w:rFonts w:ascii="Palatino Linotype" w:eastAsia="Palatino Linotype" w:hAnsi="Palatino Linotype" w:cs="Palatino Linotype"/>
        </w:rPr>
      </w:pPr>
    </w:p>
    <w:p w:rsidR="008D7F65" w:rsidRDefault="003013C0">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8D7F65" w:rsidRDefault="008D7F65">
      <w:pPr>
        <w:widowControl w:val="0"/>
        <w:spacing w:before="240" w:after="240" w:line="360" w:lineRule="auto"/>
        <w:jc w:val="both"/>
        <w:rPr>
          <w:rFonts w:ascii="Palatino Linotype" w:eastAsia="Palatino Linotype" w:hAnsi="Palatino Linotype" w:cs="Palatino Linotype"/>
        </w:rPr>
      </w:pP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procedente, es revocar la respuesta dada a la solicitud 00075</w:t>
      </w:r>
      <w:r>
        <w:rPr>
          <w:rFonts w:ascii="Palatino Linotype" w:eastAsia="Palatino Linotype" w:hAnsi="Palatino Linotype" w:cs="Palatino Linotype"/>
          <w:b/>
        </w:rPr>
        <w:t>/OASZUMPANG/IP/2021</w:t>
      </w:r>
      <w:r>
        <w:rPr>
          <w:rFonts w:ascii="Palatino Linotype" w:eastAsia="Palatino Linotype" w:hAnsi="Palatino Linotype" w:cs="Palatino Linotype"/>
        </w:rPr>
        <w:t xml:space="preserve"> y ordenar el documento o documentos en donde conste los estudios de perforación de pozos de agua potable que han realizado desde </w:t>
      </w:r>
      <w:r>
        <w:rPr>
          <w:rFonts w:ascii="Palatino Linotype" w:eastAsia="Palatino Linotype" w:hAnsi="Palatino Linotype" w:cs="Palatino Linotype"/>
        </w:rPr>
        <w:lastRenderedPageBreak/>
        <w:t>al año 2015 a la fecha en el municipio de Zumpango y en términos de lo señalado por el considerando quinto del presente fallo.</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sobre el motivo de inconformidad del RECURRENTE, en donde señala: “…</w:t>
      </w:r>
      <w:r>
        <w:rPr>
          <w:rFonts w:ascii="Palatino Linotype" w:eastAsia="Palatino Linotype" w:hAnsi="Palatino Linotype" w:cs="Palatino Linotype"/>
          <w:i/>
          <w:sz w:val="22"/>
          <w:szCs w:val="22"/>
        </w:rPr>
        <w:t xml:space="preserve">SIN FALTAS DE ORTOGRAFIA SI NO PUBLICARE QUE TIPO DE PERSONA ES LA TITULAR NO SABE NI ESCRIBIR…” </w:t>
      </w:r>
      <w:r>
        <w:rPr>
          <w:rFonts w:ascii="Palatino Linotype" w:eastAsia="Palatino Linotype" w:hAnsi="Palatino Linotype" w:cs="Palatino Linotype"/>
        </w:rPr>
        <w:t xml:space="preserve">se le invita al particular que en los subsecuentes casos se conduzca con probidad y respeto. </w:t>
      </w: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8D7F65" w:rsidRDefault="003013C0">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 “Artículo 3. Para los efectos de la presente Ley se entenderá por:</w:t>
      </w: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8D7F65" w:rsidRDefault="008D7F65">
      <w:pPr>
        <w:ind w:left="993" w:right="1041"/>
        <w:jc w:val="both"/>
        <w:rPr>
          <w:rFonts w:ascii="Palatino Linotype" w:eastAsia="Palatino Linotype" w:hAnsi="Palatino Linotype" w:cs="Palatino Linotype"/>
          <w:i/>
          <w:sz w:val="22"/>
          <w:szCs w:val="22"/>
        </w:rPr>
      </w:pP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D7F65" w:rsidRDefault="008D7F65">
      <w:pPr>
        <w:ind w:left="993" w:right="1041"/>
        <w:jc w:val="both"/>
        <w:rPr>
          <w:rFonts w:ascii="Palatino Linotype" w:eastAsia="Palatino Linotype" w:hAnsi="Palatino Linotype" w:cs="Palatino Linotype"/>
          <w:i/>
          <w:sz w:val="22"/>
          <w:szCs w:val="22"/>
        </w:rPr>
      </w:pPr>
    </w:p>
    <w:p w:rsidR="008D7F65" w:rsidRDefault="003013C0">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D7F65" w:rsidRDefault="008D7F65">
      <w:pPr>
        <w:ind w:left="993" w:right="1041"/>
        <w:jc w:val="both"/>
        <w:rPr>
          <w:rFonts w:ascii="Palatino Linotype" w:eastAsia="Palatino Linotype" w:hAnsi="Palatino Linotype" w:cs="Palatino Linotype"/>
          <w:b/>
          <w:i/>
          <w:sz w:val="22"/>
          <w:szCs w:val="22"/>
        </w:rPr>
      </w:pP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8D7F65" w:rsidRDefault="003013C0">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8D7F65" w:rsidRDefault="008D7F65">
      <w:pPr>
        <w:ind w:left="993" w:right="1041"/>
        <w:jc w:val="both"/>
        <w:rPr>
          <w:rFonts w:ascii="Palatino Linotype" w:eastAsia="Palatino Linotype" w:hAnsi="Palatino Linotype" w:cs="Palatino Linotype"/>
          <w:i/>
          <w:sz w:val="22"/>
          <w:szCs w:val="22"/>
        </w:rPr>
      </w:pPr>
    </w:p>
    <w:p w:rsidR="008D7F65" w:rsidRDefault="003013C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8D7F65" w:rsidRDefault="008D7F65">
      <w:pPr>
        <w:spacing w:line="360" w:lineRule="auto"/>
        <w:ind w:right="51"/>
        <w:jc w:val="both"/>
        <w:rPr>
          <w:rFonts w:ascii="Palatino Linotype" w:eastAsia="Palatino Linotype" w:hAnsi="Palatino Linotype" w:cs="Palatino Linotype"/>
        </w:rPr>
      </w:pPr>
    </w:p>
    <w:p w:rsidR="008D7F65" w:rsidRDefault="003013C0">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Pr>
          <w:rFonts w:ascii="Palatino Linotype" w:eastAsia="Palatino Linotype" w:hAnsi="Palatino Linotype" w:cs="Palatino Linotype"/>
        </w:rPr>
        <w:lastRenderedPageBreak/>
        <w:t>intransferibles e indelegables y los Sujetos Obligados no deberán hacer entrega de los mismos a personas ajenas a su titular.</w:t>
      </w:r>
    </w:p>
    <w:p w:rsidR="008D7F65" w:rsidRDefault="008D7F65">
      <w:pPr>
        <w:spacing w:line="360" w:lineRule="auto"/>
        <w:ind w:right="50"/>
        <w:jc w:val="both"/>
        <w:rPr>
          <w:rFonts w:ascii="Palatino Linotype" w:eastAsia="Palatino Linotype" w:hAnsi="Palatino Linotype" w:cs="Palatino Linotype"/>
        </w:rPr>
      </w:pPr>
    </w:p>
    <w:p w:rsidR="008D7F65" w:rsidRDefault="003013C0">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D7F65" w:rsidRDefault="008D7F65">
      <w:pPr>
        <w:spacing w:line="360" w:lineRule="auto"/>
        <w:ind w:right="51"/>
        <w:jc w:val="both"/>
        <w:rPr>
          <w:rFonts w:ascii="Palatino Linotype" w:eastAsia="Palatino Linotype" w:hAnsi="Palatino Linotype" w:cs="Palatino Linotype"/>
        </w:rPr>
      </w:pPr>
    </w:p>
    <w:p w:rsidR="008D7F65" w:rsidRDefault="003013C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8D7F65" w:rsidRDefault="003013C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8D7F65" w:rsidRDefault="003013C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8D7F65" w:rsidRDefault="003013C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8D7F65" w:rsidRDefault="003013C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8D7F65" w:rsidRDefault="003013C0">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8D7F65" w:rsidRDefault="008D7F65">
      <w:pPr>
        <w:ind w:left="992" w:right="1043"/>
        <w:jc w:val="both"/>
        <w:rPr>
          <w:rFonts w:ascii="Palatino Linotype" w:eastAsia="Palatino Linotype" w:hAnsi="Palatino Linotype" w:cs="Palatino Linotype"/>
          <w:i/>
          <w:sz w:val="22"/>
          <w:szCs w:val="22"/>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Pr>
          <w:rFonts w:ascii="Palatino Linotype" w:eastAsia="Palatino Linotype" w:hAnsi="Palatino Linotype" w:cs="Palatino Linotype"/>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8D7F65" w:rsidRDefault="008D7F65">
      <w:pPr>
        <w:spacing w:before="240" w:after="240"/>
        <w:ind w:left="993" w:right="1041"/>
        <w:jc w:val="both"/>
        <w:rPr>
          <w:rFonts w:ascii="Palatino Linotype" w:eastAsia="Palatino Linotype" w:hAnsi="Palatino Linotype" w:cs="Palatino Linotype"/>
          <w:i/>
          <w:sz w:val="22"/>
          <w:szCs w:val="22"/>
        </w:rPr>
      </w:pPr>
    </w:p>
    <w:p w:rsidR="008D7F65" w:rsidRDefault="003013C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D7F65" w:rsidRDefault="003013C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8D7F65" w:rsidRDefault="008D7F65">
      <w:pPr>
        <w:ind w:left="709" w:right="709"/>
        <w:jc w:val="both"/>
        <w:rPr>
          <w:rFonts w:ascii="Palatino Linotype" w:eastAsia="Palatino Linotype" w:hAnsi="Palatino Linotype" w:cs="Palatino Linotype"/>
          <w:b/>
          <w:i/>
          <w:sz w:val="22"/>
          <w:szCs w:val="22"/>
        </w:rPr>
      </w:pPr>
    </w:p>
    <w:p w:rsidR="008D7F65" w:rsidRDefault="003013C0">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8D7F65" w:rsidRDefault="003013C0">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8D7F65" w:rsidRDefault="003013C0">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D7F65" w:rsidRDefault="003013C0">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8D7F65">
        <w:trPr>
          <w:jc w:val="center"/>
        </w:trPr>
        <w:tc>
          <w:tcPr>
            <w:tcW w:w="1159" w:type="dxa"/>
            <w:tcBorders>
              <w:top w:val="nil"/>
              <w:left w:val="nil"/>
              <w:bottom w:val="single" w:sz="4" w:space="0" w:color="000000"/>
              <w:right w:val="single" w:sz="4" w:space="0" w:color="000000"/>
            </w:tcBorders>
          </w:tcPr>
          <w:p w:rsidR="008D7F65" w:rsidRDefault="008D7F65">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8D7F65">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8D7F65" w:rsidRDefault="003013C0">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8D7F65" w:rsidRDefault="003013C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8D7F65">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8D7F65" w:rsidRDefault="008D7F6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8D7F65" w:rsidRDefault="003013C0">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8D7F65" w:rsidRDefault="003013C0">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8D7F65" w:rsidRDefault="008D7F65">
      <w:pPr>
        <w:spacing w:before="240" w:line="360" w:lineRule="auto"/>
        <w:ind w:right="51"/>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8D7F65" w:rsidRDefault="008D7F65">
      <w:pPr>
        <w:spacing w:line="360" w:lineRule="auto"/>
        <w:jc w:val="both"/>
        <w:rPr>
          <w:rFonts w:ascii="Palatino Linotype" w:eastAsia="Palatino Linotype" w:hAnsi="Palatino Linotype" w:cs="Palatino Linotype"/>
        </w:rPr>
      </w:pPr>
    </w:p>
    <w:p w:rsidR="008D7F65" w:rsidRDefault="003013C0">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8D7F65" w:rsidRDefault="008D7F65">
      <w:pPr>
        <w:spacing w:line="360" w:lineRule="auto"/>
        <w:jc w:val="both"/>
        <w:rPr>
          <w:rFonts w:ascii="Palatino Linotype" w:eastAsia="Palatino Linotype" w:hAnsi="Palatino Linotype" w:cs="Palatino Linotype"/>
        </w:rPr>
      </w:pPr>
    </w:p>
    <w:p w:rsidR="008D7F65" w:rsidRDefault="003013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rsidR="008D7F65" w:rsidRDefault="008D7F65">
      <w:pPr>
        <w:spacing w:line="360" w:lineRule="auto"/>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8D7F65" w:rsidRDefault="003013C0">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w:t>
      </w:r>
      <w:r>
        <w:rPr>
          <w:rFonts w:ascii="Palatino Linotype" w:eastAsia="Palatino Linotype" w:hAnsi="Palatino Linotype" w:cs="Palatino Linotype"/>
          <w:b/>
        </w:rPr>
        <w:t xml:space="preserve">06349/INFOEM/IP/RR/2021, 06357/INFOEM/IP/RR/2021 y 06355/INFOEM/IP/RR/2021;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8D7F65" w:rsidRDefault="003013C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Resultan parcialmente fundados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06358/INFOEM/IP/RR/2021,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8D7F65" w:rsidRDefault="003013C0">
      <w:pPr>
        <w:pBdr>
          <w:top w:val="nil"/>
          <w:left w:val="nil"/>
          <w:bottom w:val="nil"/>
          <w:right w:val="nil"/>
          <w:between w:val="nil"/>
        </w:pBdr>
        <w:spacing w:line="405"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3"/>
          <w:szCs w:val="23"/>
        </w:rPr>
        <w:lastRenderedPageBreak/>
        <w:t xml:space="preserve">Tercero. </w:t>
      </w:r>
      <w:r>
        <w:rPr>
          <w:rFonts w:ascii="Palatino Linotype" w:eastAsia="Palatino Linotype" w:hAnsi="Palatino Linotype" w:cs="Palatino Linotype"/>
          <w:color w:val="000000"/>
        </w:rPr>
        <w:t xml:space="preserve">Resultan infundados los motivos de inconformidad aducidos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los recursos de revisión </w:t>
      </w:r>
      <w:r>
        <w:rPr>
          <w:rFonts w:ascii="Palatino Linotype" w:eastAsia="Palatino Linotype" w:hAnsi="Palatino Linotype" w:cs="Palatino Linotype"/>
          <w:b/>
          <w:color w:val="000000"/>
        </w:rPr>
        <w:t>06354/INFOEM/IP/RR/2021 y 06356/INFOEM/IP/RR/2021</w:t>
      </w:r>
      <w:r>
        <w:rPr>
          <w:rFonts w:ascii="Palatino Linotype" w:eastAsia="Palatino Linotype" w:hAnsi="Palatino Linotype" w:cs="Palatino Linotype"/>
          <w:color w:val="000000"/>
        </w:rPr>
        <w:t xml:space="preserve">; por lo que, en términos de los argumentos señalados en el considerando Cuarto de esta resolución, se </w:t>
      </w:r>
      <w:r>
        <w:rPr>
          <w:rFonts w:ascii="Palatino Linotype" w:eastAsia="Palatino Linotype" w:hAnsi="Palatino Linotype" w:cs="Palatino Linotype"/>
          <w:b/>
          <w:color w:val="000000"/>
        </w:rPr>
        <w:t>CONFIRMAN</w:t>
      </w:r>
      <w:r>
        <w:rPr>
          <w:rFonts w:ascii="Palatino Linotype" w:eastAsia="Palatino Linotype" w:hAnsi="Palatino Linotype" w:cs="Palatino Linotype"/>
          <w:color w:val="000000"/>
        </w:rPr>
        <w:t xml:space="preserve"> las respuestas emitidas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8D7F65" w:rsidRDefault="003013C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3"/>
          <w:szCs w:val="23"/>
        </w:rPr>
        <w:t>Cuarto</w:t>
      </w:r>
      <w:r>
        <w:rPr>
          <w:rFonts w:ascii="Palatino Linotype" w:eastAsia="Palatino Linotype" w:hAnsi="Palatino Linotype" w:cs="Palatino Linotype"/>
        </w:rPr>
        <w:t>. 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 de ser procedente</w:t>
      </w:r>
      <w:r>
        <w:rPr>
          <w:rFonts w:ascii="Palatino Linotype" w:eastAsia="Palatino Linotype" w:hAnsi="Palatino Linotype" w:cs="Palatino Linotype"/>
        </w:rPr>
        <w:t>, del documento o documentos en donde conste lo siguiente:</w:t>
      </w:r>
    </w:p>
    <w:p w:rsidR="008D7F65" w:rsidRDefault="003013C0">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Factibilidad o autorización emitida a favor de la empresa </w:t>
      </w:r>
      <w:r>
        <w:rPr>
          <w:rFonts w:ascii="Palatino Linotype" w:eastAsia="Palatino Linotype" w:hAnsi="Palatino Linotype" w:cs="Palatino Linotype"/>
          <w:color w:val="000000"/>
          <w:sz w:val="22"/>
          <w:szCs w:val="22"/>
        </w:rPr>
        <w:t xml:space="preserve">“CASAS JAVER DE MÉXICO, S.A. DE C.V." </w:t>
      </w:r>
      <w:r>
        <w:rPr>
          <w:rFonts w:ascii="Palatino Linotype" w:eastAsia="Palatino Linotype" w:hAnsi="Palatino Linotype" w:cs="Palatino Linotype"/>
          <w:color w:val="000000"/>
        </w:rPr>
        <w:t xml:space="preserve">y los documentos que lo justifiquen, señalados en respuesta. </w:t>
      </w:r>
    </w:p>
    <w:p w:rsidR="008D7F65" w:rsidRDefault="003013C0">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Factibilidad o autorización emitida a favor de la empresa “Casas Geo”, para el servicio de agua potable y alcantarillado, vigentes al veintiséis de noviembre del año dos mil veintiuno.</w:t>
      </w:r>
    </w:p>
    <w:p w:rsidR="008D7F65" w:rsidRDefault="003013C0">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plan de contingencia de los tanques elevados tienen una base construida por encima del nivel del suelo, que debe ser plano para que no haya riesgo </w:t>
      </w:r>
      <w:r>
        <w:rPr>
          <w:rFonts w:ascii="Palatino Linotype" w:eastAsia="Palatino Linotype" w:hAnsi="Palatino Linotype" w:cs="Palatino Linotype"/>
          <w:color w:val="000000"/>
        </w:rPr>
        <w:lastRenderedPageBreak/>
        <w:t>de un accidente, como el desplome de la estructura por la irregularidad del piso, vigente al veintiséis de noviembre del año dos mil veintiuno.</w:t>
      </w:r>
    </w:p>
    <w:p w:rsidR="008D7F65" w:rsidRDefault="003013C0">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estudios de perforación de pozos de agua potable que han realizado desde al año 2015 al veintiséis de noviembre del año 2021, en el municipio de Zumpango</w:t>
      </w:r>
    </w:p>
    <w:p w:rsidR="008D7F65" w:rsidRDefault="003013C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mismo que igualmente hará de su conocimiento.</w:t>
      </w:r>
    </w:p>
    <w:p w:rsidR="008D7F65" w:rsidRDefault="003013C0">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t xml:space="preserve">Para el caso de que después de la búsqueda exhaustiva y razonable, no se haya generado la información que se ordena en el inciso “b”, bastara que así se lo haga saber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 manera fundada y motivada. </w:t>
      </w:r>
    </w:p>
    <w:p w:rsidR="008D7F65" w:rsidRDefault="003013C0">
      <w:pPr>
        <w:pBdr>
          <w:top w:val="nil"/>
          <w:left w:val="nil"/>
          <w:bottom w:val="nil"/>
          <w:right w:val="nil"/>
          <w:between w:val="nil"/>
        </w:pBdr>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el caso de la información que se ordena en el inciso “d”, sea el único estudio enviado en informe justificado del año 2018, deberá remitirlo en versión pública e indicar a la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que es el único estudio que tiene durante la temporalidad señalada, de manera fundada y motivada</w:t>
      </w:r>
    </w:p>
    <w:p w:rsidR="008D7F65" w:rsidRDefault="003013C0">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Quinto.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8D7F65" w:rsidRDefault="008D7F65">
      <w:pPr>
        <w:spacing w:line="360" w:lineRule="auto"/>
        <w:jc w:val="both"/>
        <w:rPr>
          <w:rFonts w:ascii="Palatino Linotype" w:eastAsia="Palatino Linotype" w:hAnsi="Palatino Linotype" w:cs="Palatino Linotype"/>
          <w:b/>
        </w:rPr>
      </w:pPr>
    </w:p>
    <w:p w:rsidR="008D7F65" w:rsidRDefault="003013C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Sexto.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8D7F65" w:rsidRDefault="008D7F65">
      <w:pPr>
        <w:spacing w:line="360" w:lineRule="auto"/>
        <w:ind w:right="49"/>
        <w:jc w:val="both"/>
        <w:rPr>
          <w:rFonts w:ascii="Palatino Linotype" w:eastAsia="Palatino Linotype" w:hAnsi="Palatino Linotype" w:cs="Palatino Linotype"/>
        </w:rPr>
      </w:pPr>
    </w:p>
    <w:p w:rsidR="008D7F65" w:rsidRDefault="003013C0">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Séptimo.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D7F65" w:rsidRDefault="003013C0">
      <w:pPr>
        <w:spacing w:before="240" w:after="240" w:line="360" w:lineRule="auto"/>
        <w:jc w:val="both"/>
        <w:rPr>
          <w:rFonts w:ascii="Palatino Linotype" w:eastAsia="Palatino Linotype" w:hAnsi="Palatino Linotype" w:cs="Palatino Linotype"/>
        </w:rPr>
        <w:sectPr w:rsidR="008D7F65">
          <w:headerReference w:type="default" r:id="rId66"/>
          <w:footerReference w:type="default" r:id="rId67"/>
          <w:headerReference w:type="first" r:id="rId68"/>
          <w:footerReference w:type="first" r:id="rId69"/>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color w:val="222222"/>
          <w:highlight w:val="white"/>
        </w:rPr>
        <w:lastRenderedPageBreak/>
        <w:t>MUNICIPIOS, CONFORMADO POR LOS COMISIONADOS JOSÉ MARTÍNEZ VILCHIS, MARÍA DEL ROSARIO MEJÍA AYALA, SHARON CRISTINA MORALES MARTÍNEZ (AUSENCIA JUSTIFICADA), LUIS GUSTAVO PARRA NORIEGA Y GUADALUPE RAMÍREZ PEÑA; EN LA SÉPTIMA SESIÓN ORDINARIA CELEBRADA EL VEINTITRÉS</w:t>
      </w:r>
      <w:r>
        <w:rPr>
          <w:rFonts w:ascii="Palatino Linotype" w:eastAsia="Palatino Linotype" w:hAnsi="Palatino Linotype" w:cs="Palatino Linotype"/>
        </w:rPr>
        <w:t xml:space="preserve"> DE FEBRERO DEL DOS MIL VEINTIDÓS, ANTE EL SECRETARIO TÉCNICO DEL PLENO ALEXIS TAPIA </w:t>
      </w:r>
      <w:r>
        <w:rPr>
          <w:rFonts w:ascii="Palatino Linotype" w:eastAsia="Palatino Linotype" w:hAnsi="Palatino Linotype" w:cs="Palatino Linotype"/>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-51436</wp:posOffset>
                </wp:positionH>
                <wp:positionV relativeFrom="paragraph">
                  <wp:posOffset>2208530</wp:posOffset>
                </wp:positionV>
                <wp:extent cx="5705475" cy="38671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705475" cy="386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C889D4"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5pt,173.9pt" to="445.2pt,4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uQEAALkDAAAOAAAAZHJzL2Uyb0RvYy54bWysU8tu2zAQvBfoPxC815LSOg4Eyzk4SC9F&#10;a7TJBzDU0iLKF5asJf99l7StFElRFEUvpJac2d0Zrta3kzXsABi1dx1vFjVn4KTvtdt3/PHh/t0N&#10;ZzEJ1wvjHXT8CJHfbt6+WY+hhSs/eNMDMkriYjuGjg8phbaqohzAirjwARxdKo9WJApxX/UoRspu&#10;TXVV19fV6LEP6CXESKd3p0u+KfmVApm+KBUhMdNx6i2VFcv6lNdqsxbtHkUYtDy3If6hCyu0o6Jz&#10;qjuRBPuB+lUqqyX66FVaSG8rr5SWUDSQmqZ+oebbIAIULWRODLNN8f+llZ8PO2S6p7fjzAlLT7Sl&#10;h5LJI8O8sSZ7NIbYEnTrdniOYthhFjwptHknKWwqvh5nX2FKTNLhclUvP6yWnEm6e39zvWqWxfnq&#10;mR4wpo/gLcsfHTfaZeGiFYdPMVFJgl4gFOR2Tg2Ur3Q0kMHGfQVFYqhkU9hljGBrkB0EDUD/vYih&#10;XAWZKUobM5PqP5PO2EyDMlp/S5zRpaJ3aSZa7Tz+rmqaLq2qE/6i+qQ1y37y/bE8R7GD5qO4dJ7l&#10;PIC/xoX+/MdtfgIAAP//AwBQSwMEFAAGAAgAAAAhABqP38PhAAAACgEAAA8AAABkcnMvZG93bnJl&#10;di54bWxMj8tOwzAQRfdI/IM1SOxap6WENI1TVZUQYoNoSvduPHUCfkSxk4a/Z1jBcjRH955bbCdr&#10;2Ih9aL0TsJgnwNDVXrVOC/g4Ps8yYCFKp6TxDgV8Y4BteXtTyFz5qzvgWEXNKMSFXApoYuxyzkPd&#10;oJVh7jt09Lv43spIZ6+56uWVwq3hyyRJuZWto4ZGdrhvsP6qBivAvPbjSe/1Lgwvh7T6fL8s346j&#10;EPd3024DLOIU/2D41Sd1KMnp7AenAjMCZtmCSAEPqyeaQEC2TlbAzgLWj2kGvCz4/wnlDwAAAP//&#10;AwBQSwECLQAUAAYACAAAACEAtoM4kv4AAADhAQAAEwAAAAAAAAAAAAAAAAAAAAAAW0NvbnRlbnRf&#10;VHlwZXNdLnhtbFBLAQItABQABgAIAAAAIQA4/SH/1gAAAJQBAAALAAAAAAAAAAAAAAAAAC8BAABf&#10;cmVscy8ucmVsc1BLAQItABQABgAIAAAAIQDI+q+fuQEAALkDAAAOAAAAAAAAAAAAAAAAAC4CAABk&#10;cnMvZTJvRG9jLnhtbFBLAQItABQABgAIAAAAIQAaj9/D4QAAAAoBAAAPAAAAAAAAAAAAAAAAABME&#10;AABkcnMvZG93bnJldi54bWxQSwUGAAAAAAQABADzAAAAIQUAAAAA&#10;" strokecolor="black [3200]" strokeweight=".5pt">
                <v:stroke joinstyle="miter"/>
              </v:line>
            </w:pict>
          </mc:Fallback>
        </mc:AlternateContent>
      </w:r>
      <w:r>
        <w:rPr>
          <w:rFonts w:ascii="Palatino Linotype" w:eastAsia="Palatino Linotype" w:hAnsi="Palatino Linotype" w:cs="Palatino Linotype"/>
        </w:rPr>
        <w:t>RAMÍREZ.</w:t>
      </w:r>
    </w:p>
    <w:p w:rsidR="008D7F65" w:rsidRDefault="008D7F65">
      <w:pPr>
        <w:spacing w:before="240" w:after="240" w:line="360" w:lineRule="auto"/>
        <w:jc w:val="both"/>
        <w:rPr>
          <w:rFonts w:ascii="Palatino Linotype" w:eastAsia="Palatino Linotype" w:hAnsi="Palatino Linotype" w:cs="Palatino Linotype"/>
        </w:rPr>
      </w:pPr>
    </w:p>
    <w:sectPr w:rsidR="008D7F65">
      <w:headerReference w:type="first" r:id="rId7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82D" w:rsidRDefault="003013C0">
      <w:r>
        <w:separator/>
      </w:r>
    </w:p>
  </w:endnote>
  <w:endnote w:type="continuationSeparator" w:id="0">
    <w:p w:rsidR="0071182D" w:rsidRDefault="0030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F65" w:rsidRDefault="003013C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0137D">
      <w:rPr>
        <w:rFonts w:ascii="Arial" w:eastAsia="Arial" w:hAnsi="Arial" w:cs="Arial"/>
        <w:b/>
        <w:noProof/>
        <w:color w:val="000000"/>
        <w:sz w:val="20"/>
        <w:szCs w:val="20"/>
      </w:rPr>
      <w:t>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0137D">
      <w:rPr>
        <w:rFonts w:ascii="Arial" w:eastAsia="Arial" w:hAnsi="Arial" w:cs="Arial"/>
        <w:b/>
        <w:noProof/>
        <w:color w:val="000000"/>
        <w:sz w:val="20"/>
        <w:szCs w:val="20"/>
      </w:rPr>
      <w:t>81</w:t>
    </w:r>
    <w:r>
      <w:rPr>
        <w:rFonts w:ascii="Arial" w:eastAsia="Arial" w:hAnsi="Arial" w:cs="Arial"/>
        <w:b/>
        <w:color w:val="000000"/>
        <w:sz w:val="20"/>
        <w:szCs w:val="20"/>
      </w:rPr>
      <w:fldChar w:fldCharType="end"/>
    </w:r>
  </w:p>
  <w:p w:rsidR="008D7F65" w:rsidRDefault="008D7F65">
    <w:pPr>
      <w:pBdr>
        <w:top w:val="nil"/>
        <w:left w:val="nil"/>
        <w:bottom w:val="nil"/>
        <w:right w:val="nil"/>
        <w:between w:val="nil"/>
      </w:pBdr>
      <w:tabs>
        <w:tab w:val="center" w:pos="4252"/>
        <w:tab w:val="right" w:pos="8504"/>
      </w:tabs>
      <w:rPr>
        <w:color w:val="000000"/>
      </w:rPr>
    </w:pPr>
  </w:p>
  <w:p w:rsidR="008D7F65" w:rsidRDefault="008D7F6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F65" w:rsidRDefault="003013C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0137D">
      <w:rPr>
        <w:rFonts w:ascii="Arial" w:eastAsia="Arial" w:hAnsi="Arial" w:cs="Arial"/>
        <w:b/>
        <w:noProof/>
        <w:color w:val="000000"/>
        <w:sz w:val="20"/>
        <w:szCs w:val="20"/>
      </w:rPr>
      <w:t>81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0137D">
      <w:rPr>
        <w:rFonts w:ascii="Arial" w:eastAsia="Arial" w:hAnsi="Arial" w:cs="Arial"/>
        <w:b/>
        <w:noProof/>
        <w:color w:val="000000"/>
        <w:sz w:val="20"/>
        <w:szCs w:val="20"/>
      </w:rPr>
      <w:t>81</w:t>
    </w:r>
    <w:r>
      <w:rPr>
        <w:rFonts w:ascii="Arial" w:eastAsia="Arial" w:hAnsi="Arial" w:cs="Arial"/>
        <w:b/>
        <w:color w:val="000000"/>
        <w:sz w:val="20"/>
        <w:szCs w:val="20"/>
      </w:rPr>
      <w:fldChar w:fldCharType="end"/>
    </w:r>
  </w:p>
  <w:p w:rsidR="008D7F65" w:rsidRDefault="008D7F6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82D" w:rsidRDefault="003013C0">
      <w:r>
        <w:separator/>
      </w:r>
    </w:p>
  </w:footnote>
  <w:footnote w:type="continuationSeparator" w:id="0">
    <w:p w:rsidR="0071182D" w:rsidRDefault="003013C0">
      <w:r>
        <w:continuationSeparator/>
      </w:r>
    </w:p>
  </w:footnote>
  <w:footnote w:id="1">
    <w:p w:rsidR="008D7F65" w:rsidRDefault="003013C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Disponible para su consulta en </w:t>
      </w:r>
      <w:hyperlink r:id="rId1">
        <w:r>
          <w:rPr>
            <w:rFonts w:ascii="Calibri" w:eastAsia="Calibri" w:hAnsi="Calibri" w:cs="Calibri"/>
            <w:color w:val="0563C1"/>
            <w:sz w:val="20"/>
            <w:szCs w:val="20"/>
            <w:u w:val="single"/>
          </w:rPr>
          <w:t>https://legislacion.edomex.gob.mx/sites/legislacion.edomex.gob.mx/files/files/pdf/rgl/vig/rglvig048.pdf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F65" w:rsidRDefault="008D7F65">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8D7F65">
      <w:tc>
        <w:tcPr>
          <w:tcW w:w="2551" w:type="dxa"/>
          <w:vAlign w:val="center"/>
        </w:tcPr>
        <w:p w:rsidR="008D7F65" w:rsidRDefault="00301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8D7F65" w:rsidRDefault="003013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06349/INFOEM/IP/RR/2021 y acumulados.</w:t>
          </w:r>
        </w:p>
      </w:tc>
    </w:tr>
    <w:tr w:rsidR="008D7F65">
      <w:trPr>
        <w:trHeight w:val="228"/>
      </w:trPr>
      <w:tc>
        <w:tcPr>
          <w:tcW w:w="2551" w:type="dxa"/>
          <w:vAlign w:val="center"/>
        </w:tcPr>
        <w:p w:rsidR="008D7F65" w:rsidRDefault="00301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8D7F65" w:rsidRDefault="003013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Zumpango.</w:t>
          </w:r>
        </w:p>
      </w:tc>
    </w:tr>
    <w:tr w:rsidR="008D7F65">
      <w:tc>
        <w:tcPr>
          <w:tcW w:w="2551" w:type="dxa"/>
          <w:vAlign w:val="center"/>
        </w:tcPr>
        <w:p w:rsidR="008D7F65" w:rsidRDefault="00301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8D7F65" w:rsidRDefault="003013C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D7F65" w:rsidRDefault="003013C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n-US" w:eastAsia="en-US"/>
      </w:rPr>
      <w:drawing>
        <wp:anchor distT="0" distB="0" distL="0" distR="0" simplePos="0" relativeHeight="251658240" behindDoc="1" locked="0" layoutInCell="1" hidden="0" allowOverlap="1">
          <wp:simplePos x="0" y="0"/>
          <wp:positionH relativeFrom="column">
            <wp:posOffset>-695770</wp:posOffset>
          </wp:positionH>
          <wp:positionV relativeFrom="paragraph">
            <wp:posOffset>-1200945</wp:posOffset>
          </wp:positionV>
          <wp:extent cx="7809876" cy="10165823"/>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F65" w:rsidRDefault="003013C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n-US" w:eastAsia="en-US"/>
      </w:rPr>
      <w:drawing>
        <wp:anchor distT="0" distB="0" distL="0" distR="0" simplePos="0" relativeHeight="251659264" behindDoc="1" locked="0" layoutInCell="1" hidden="0" allowOverlap="1">
          <wp:simplePos x="0" y="0"/>
          <wp:positionH relativeFrom="column">
            <wp:posOffset>-846160</wp:posOffset>
          </wp:positionH>
          <wp:positionV relativeFrom="paragraph">
            <wp:posOffset>-171231</wp:posOffset>
          </wp:positionV>
          <wp:extent cx="7809876" cy="10165823"/>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8D7F65">
      <w:tc>
        <w:tcPr>
          <w:tcW w:w="2551" w:type="dxa"/>
          <w:vAlign w:val="center"/>
        </w:tcPr>
        <w:p w:rsidR="008D7F65" w:rsidRDefault="00301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8D7F65" w:rsidRDefault="003013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06349/INFOEM/IP/RR/2021 y acumulados.</w:t>
          </w:r>
        </w:p>
      </w:tc>
    </w:tr>
    <w:tr w:rsidR="008D7F65">
      <w:tc>
        <w:tcPr>
          <w:tcW w:w="2551" w:type="dxa"/>
          <w:vAlign w:val="center"/>
        </w:tcPr>
        <w:p w:rsidR="008D7F65" w:rsidRDefault="003013C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8D7F65" w:rsidRDefault="0060137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w:t>
          </w:r>
        </w:p>
      </w:tc>
    </w:tr>
    <w:tr w:rsidR="008D7F65">
      <w:trPr>
        <w:trHeight w:val="228"/>
      </w:trPr>
      <w:tc>
        <w:tcPr>
          <w:tcW w:w="2551" w:type="dxa"/>
          <w:vAlign w:val="center"/>
        </w:tcPr>
        <w:p w:rsidR="008D7F65" w:rsidRDefault="00301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8D7F65" w:rsidRDefault="003013C0">
          <w:pPr>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Zumpango.</w:t>
          </w:r>
        </w:p>
      </w:tc>
    </w:tr>
    <w:tr w:rsidR="008D7F65">
      <w:tc>
        <w:tcPr>
          <w:tcW w:w="2551" w:type="dxa"/>
          <w:vAlign w:val="center"/>
        </w:tcPr>
        <w:p w:rsidR="008D7F65" w:rsidRDefault="003013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8D7F65" w:rsidRDefault="003013C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D7F65" w:rsidRDefault="008D7F6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F65" w:rsidRDefault="008D7F65">
    <w:pPr>
      <w:pBdr>
        <w:top w:val="nil"/>
        <w:left w:val="nil"/>
        <w:bottom w:val="nil"/>
        <w:right w:val="nil"/>
        <w:between w:val="nil"/>
      </w:pBdr>
      <w:tabs>
        <w:tab w:val="center" w:pos="4252"/>
        <w:tab w:val="right" w:pos="8504"/>
      </w:tabs>
      <w:jc w:val="both"/>
      <w:rPr>
        <w:rFonts w:ascii="Calibri" w:eastAsia="Calibri" w:hAnsi="Calibri" w:cs="Calibri"/>
        <w:color w:val="000000"/>
      </w:rPr>
    </w:pPr>
  </w:p>
  <w:p w:rsidR="008D7F65" w:rsidRDefault="008D7F6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E3498"/>
    <w:multiLevelType w:val="multilevel"/>
    <w:tmpl w:val="BAB07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7761B3"/>
    <w:multiLevelType w:val="multilevel"/>
    <w:tmpl w:val="C89814A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354F4B"/>
    <w:multiLevelType w:val="multilevel"/>
    <w:tmpl w:val="5B2E8B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D37845"/>
    <w:multiLevelType w:val="multilevel"/>
    <w:tmpl w:val="704484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4E670A"/>
    <w:multiLevelType w:val="multilevel"/>
    <w:tmpl w:val="8864F480"/>
    <w:lvl w:ilvl="0">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65"/>
    <w:rsid w:val="001A2FB3"/>
    <w:rsid w:val="003013C0"/>
    <w:rsid w:val="0060137D"/>
    <w:rsid w:val="0071182D"/>
    <w:rsid w:val="008D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D88AA"/>
  <w15:docId w15:val="{2B0F783F-4475-4994-BC6D-11FB37126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dium">
    <w:name w:val="medium"/>
    <w:basedOn w:val="Fuentedeprrafopredeter"/>
    <w:rsid w:val="007E376F"/>
  </w:style>
  <w:style w:type="character" w:customStyle="1" w:styleId="apple-tab-span">
    <w:name w:val="apple-tab-span"/>
    <w:basedOn w:val="Fuentedeprrafopredeter"/>
    <w:rsid w:val="00C27700"/>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1292057.page" TargetMode="External"/><Relationship Id="rId21" Type="http://schemas.openxmlformats.org/officeDocument/2006/relationships/hyperlink" Target="https://www.saimex.org.mx/saimex/solicitud/downloadAttach/1290733.page" TargetMode="External"/><Relationship Id="rId42" Type="http://schemas.openxmlformats.org/officeDocument/2006/relationships/hyperlink" Target="about:blank" TargetMode="External"/><Relationship Id="rId47" Type="http://schemas.openxmlformats.org/officeDocument/2006/relationships/image" Target="media/image1.png"/><Relationship Id="rId63" Type="http://schemas.openxmlformats.org/officeDocument/2006/relationships/image" Target="media/image4.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https://www.saimex.org.mx/saimex/revision/acuse/412697/0/0.page" TargetMode="External"/><Relationship Id="rId11" Type="http://schemas.openxmlformats.org/officeDocument/2006/relationships/hyperlink" Target="https://www.saimex.org.mx/saimex/revision/acuse/412406/0/0.page" TargetMode="External"/><Relationship Id="rId24" Type="http://schemas.openxmlformats.org/officeDocument/2006/relationships/hyperlink" Target="https://www.saimex.org.mx/saimex/solicitud/downloadAttach/1292059.page" TargetMode="External"/><Relationship Id="rId32" Type="http://schemas.openxmlformats.org/officeDocument/2006/relationships/hyperlink" Target="https://www.saimex.org.mx/saimex/revision/acuse/412406/0/0.page" TargetMode="External"/><Relationship Id="rId37" Type="http://schemas.openxmlformats.org/officeDocument/2006/relationships/hyperlink" Target="https://www.saimex.org.mx/saimex/revision/acuse/412434/0/0.page" TargetMode="External"/><Relationship Id="rId40" Type="http://schemas.openxmlformats.org/officeDocument/2006/relationships/hyperlink" Target="https://www.saimex.org.mx/saimex/solicitud/downloadAttach/1301900.page" TargetMode="External"/><Relationship Id="rId45" Type="http://schemas.openxmlformats.org/officeDocument/2006/relationships/hyperlink" Target="https://www.saimex.org.mx/saimex/solicitud/downloadAttach/1292048.page" TargetMode="External"/><Relationship Id="rId53" Type="http://schemas.openxmlformats.org/officeDocument/2006/relationships/hyperlink" Target="about:blank" TargetMode="External"/><Relationship Id="rId58" Type="http://schemas.openxmlformats.org/officeDocument/2006/relationships/hyperlink" Target="https://www.saimex.org.mx/saimex/solicitud/downloadAttach/1290713.page"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saimex.org.mx/saimex/solicitud/downloadAttach/1292057.page" TargetMode="External"/><Relationship Id="rId19" Type="http://schemas.openxmlformats.org/officeDocument/2006/relationships/hyperlink" Target="https://www.saimex.org.mx/saimex/solicitud/downloadAttach/1290403.page" TargetMode="External"/><Relationship Id="rId14" Type="http://schemas.openxmlformats.org/officeDocument/2006/relationships/hyperlink" Target="about:blank" TargetMode="External"/><Relationship Id="rId22" Type="http://schemas.openxmlformats.org/officeDocument/2006/relationships/hyperlink" Target="https://www.saimex.org.mx/saimex/solicitud/downloadAttach/1292062.page" TargetMode="External"/><Relationship Id="rId27" Type="http://schemas.openxmlformats.org/officeDocument/2006/relationships/hyperlink" Target="https://www.saimex.org.mx/saimex/solicitud/downloadAttach/1292048.page" TargetMode="External"/><Relationship Id="rId30" Type="http://schemas.openxmlformats.org/officeDocument/2006/relationships/hyperlink" Target="https://www.saimex.org.mx/saimex/revision/acuse/412435/0/0.page" TargetMode="External"/><Relationship Id="rId35" Type="http://schemas.openxmlformats.org/officeDocument/2006/relationships/hyperlink" Target="https://www.saimex.org.mx/saimex/revision/acuse/412697/0/0.page" TargetMode="External"/><Relationship Id="rId43" Type="http://schemas.openxmlformats.org/officeDocument/2006/relationships/hyperlink" Target="https://www.saimex.org.mx/saimex/solicitud/downloadAttach/1290403.page" TargetMode="External"/><Relationship Id="rId48" Type="http://schemas.openxmlformats.org/officeDocument/2006/relationships/image" Target="media/image6.png"/><Relationship Id="rId56" Type="http://schemas.openxmlformats.org/officeDocument/2006/relationships/hyperlink" Target="https://www.saimex.org.mx/saimex/solicitud/downloadAttach/1290733.page" TargetMode="External"/><Relationship Id="rId64" Type="http://schemas.openxmlformats.org/officeDocument/2006/relationships/hyperlink" Target="https://www.saimex.org.mx/saimex/solicitud/downloadAttach/1292051.page" TargetMode="External"/><Relationship Id="rId69" Type="http://schemas.openxmlformats.org/officeDocument/2006/relationships/footer" Target="footer2.xml"/><Relationship Id="rId8" Type="http://schemas.openxmlformats.org/officeDocument/2006/relationships/hyperlink" Target="https://www.saimex.org.mx/saimex/revision/acuse/412697/0/0.page" TargetMode="External"/><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saimex.org.mx/saimex/revision/acuse/412404/0/0.page" TargetMode="External"/><Relationship Id="rId17" Type="http://schemas.openxmlformats.org/officeDocument/2006/relationships/hyperlink" Target="about:blank" TargetMode="External"/><Relationship Id="rId25" Type="http://schemas.openxmlformats.org/officeDocument/2006/relationships/hyperlink" Target="https://www.saimex.org.mx/saimex/solicitud/downloadAttach/1290629.page" TargetMode="External"/><Relationship Id="rId33" Type="http://schemas.openxmlformats.org/officeDocument/2006/relationships/hyperlink" Target="https://www.saimex.org.mx/saimex/revision/acuse/412404/0/0.page" TargetMode="External"/><Relationship Id="rId38" Type="http://schemas.openxmlformats.org/officeDocument/2006/relationships/hyperlink" Target="https://www.saimex.org.mx/saimex/revision/acuse/412406/0/0.page" TargetMode="External"/><Relationship Id="rId46" Type="http://schemas.openxmlformats.org/officeDocument/2006/relationships/hyperlink" Target="about:blank" TargetMode="External"/><Relationship Id="rId59" Type="http://schemas.openxmlformats.org/officeDocument/2006/relationships/hyperlink" Target="https://www.saimex.org.mx/saimex/solicitud/downloadAttach/1292059.page" TargetMode="External"/><Relationship Id="rId67" Type="http://schemas.openxmlformats.org/officeDocument/2006/relationships/footer" Target="footer1.xml"/><Relationship Id="rId20" Type="http://schemas.openxmlformats.org/officeDocument/2006/relationships/hyperlink" Target="https://www.saimex.org.mx/saimex/solicitud/downloadAttach/1290404.page"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image" Target="media/image3.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saimex.org.mx/saimex/solicitud/downloadAttach/1290713.page" TargetMode="External"/><Relationship Id="rId28" Type="http://schemas.openxmlformats.org/officeDocument/2006/relationships/hyperlink" Target="https://www.saimex.org.mx/saimex/solicitud/downloadAttach/1292051.page" TargetMode="External"/><Relationship Id="rId36" Type="http://schemas.openxmlformats.org/officeDocument/2006/relationships/hyperlink" Target="https://www.saimex.org.mx/saimex/revision/acuse/412435/0/0.page" TargetMode="External"/><Relationship Id="rId49" Type="http://schemas.openxmlformats.org/officeDocument/2006/relationships/image" Target="media/image2.png"/><Relationship Id="rId57" Type="http://schemas.openxmlformats.org/officeDocument/2006/relationships/hyperlink" Target="https://www.saimex.org.mx/saimex/solicitud/downloadAttach/1292062.page" TargetMode="External"/><Relationship Id="rId10" Type="http://schemas.openxmlformats.org/officeDocument/2006/relationships/hyperlink" Target="https://www.saimex.org.mx/saimex/revision/acuse/412434/0/0.page" TargetMode="External"/><Relationship Id="rId31" Type="http://schemas.openxmlformats.org/officeDocument/2006/relationships/hyperlink" Target="https://www.saimex.org.mx/saimex/revision/acuse/412434/0/0.page" TargetMode="External"/><Relationship Id="rId44" Type="http://schemas.openxmlformats.org/officeDocument/2006/relationships/hyperlink" Target="https://www.saimex.org.mx/saimex/solicitud/downloadAttach/1290404.page" TargetMode="External"/><Relationship Id="rId52" Type="http://schemas.openxmlformats.org/officeDocument/2006/relationships/hyperlink" Target="https://www.saimex.org.mx/saimex/solicitud/downloadAttach/1290403.page" TargetMode="External"/><Relationship Id="rId60" Type="http://schemas.openxmlformats.org/officeDocument/2006/relationships/hyperlink" Target="https://www.saimex.org.mx/saimex/solicitud/downloadAttach/1290629.page" TargetMode="External"/><Relationship Id="rId65" Type="http://schemas.openxmlformats.org/officeDocument/2006/relationships/hyperlink" Target="https://www.saimex.org.mx/saimex/solicitud/downloadAttach/1301900.page" TargetMode="External"/><Relationship Id="rId4" Type="http://schemas.openxmlformats.org/officeDocument/2006/relationships/settings" Target="settings.xml"/><Relationship Id="rId9" Type="http://schemas.openxmlformats.org/officeDocument/2006/relationships/hyperlink" Target="https://www.saimex.org.mx/saimex/revision/acuse/412435/0/0.page"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hyperlink" Target="https://www.saimex.org.mx/saimex/revision/acuse/412404/0/0.page" TargetMode="External"/><Relationship Id="rId34" Type="http://schemas.openxmlformats.org/officeDocument/2006/relationships/hyperlink" Target="https://www.saimex.org.mx/saimex/solicitud/downloadAttach/1301900.page" TargetMode="External"/><Relationship Id="rId50" Type="http://schemas.openxmlformats.org/officeDocument/2006/relationships/image" Target="media/image8.png"/><Relationship Id="rId55"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rgl/vig/rglvig04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mmzgsC4SSVcMVbak5rHAp3yidw==">AMUW2mWTcSWbCXwQSEAJIyOHQ6+G3SJAXtEMfdcVV4HIMoetUU2SjADS9bOn4XKNfMVUpg37fUXoYN2X9KUPLfWzRrFneL3f8nGXSN0VQbV9/MyyngtUhmE+1ReAUJUmM7kHkIwR2oAv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81</Pages>
  <Words>16767</Words>
  <Characters>95575</Characters>
  <Application>Microsoft Office Word</Application>
  <DocSecurity>0</DocSecurity>
  <Lines>796</Lines>
  <Paragraphs>224</Paragraphs>
  <ScaleCrop>false</ScaleCrop>
  <Company/>
  <LinksUpToDate>false</LinksUpToDate>
  <CharactersWithSpaces>112118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NAJERA </cp:lastModifiedBy>
  <cp:revision>4</cp:revision>
  <dcterms:created xsi:type="dcterms:W3CDTF">2022-02-16T05:06:00Z</dcterms:created>
  <dcterms:modified xsi:type="dcterms:W3CDTF">2022-03-04T00:37:00Z</dcterms:modified>
</cp:coreProperties>
</file>