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BCBB" w14:textId="77777777" w:rsidR="005E12FB" w:rsidRDefault="005E12FB" w:rsidP="005E12FB">
      <w:pPr>
        <w:tabs>
          <w:tab w:val="left" w:pos="8931"/>
        </w:tabs>
        <w:spacing w:after="0" w:line="360" w:lineRule="auto"/>
        <w:rPr>
          <w:rFonts w:cs="Tahoma"/>
          <w:bCs/>
        </w:rPr>
      </w:pPr>
    </w:p>
    <w:p w14:paraId="5F6FE23B" w14:textId="21ED6D1F" w:rsidR="00051642" w:rsidRPr="003D5B55" w:rsidRDefault="00051642" w:rsidP="005E12FB">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w:t>
      </w:r>
      <w:r w:rsidRPr="00464F4B">
        <w:rPr>
          <w:rFonts w:eastAsia="Calibri" w:cs="Tahoma"/>
          <w:lang w:val="es-ES"/>
        </w:rPr>
        <w:t>fecha</w:t>
      </w:r>
      <w:r w:rsidR="008B69A2">
        <w:rPr>
          <w:rFonts w:eastAsia="Calibri" w:cs="Tahoma"/>
          <w:lang w:val="es-ES"/>
        </w:rPr>
        <w:t xml:space="preserve"> </w:t>
      </w:r>
      <w:r w:rsidR="003650C3">
        <w:rPr>
          <w:rFonts w:eastAsia="Calibri" w:cs="Tahoma"/>
          <w:lang w:val="es-ES"/>
        </w:rPr>
        <w:t>tres de marzo</w:t>
      </w:r>
      <w:r w:rsidRPr="00464F4B">
        <w:rPr>
          <w:rFonts w:eastAsia="Calibri" w:cs="Tahoma"/>
          <w:lang w:val="es-ES"/>
        </w:rPr>
        <w:t xml:space="preserve"> de dos mil veinti</w:t>
      </w:r>
      <w:r w:rsidR="00E42370" w:rsidRPr="00464F4B">
        <w:rPr>
          <w:rFonts w:eastAsia="Calibri" w:cs="Tahoma"/>
          <w:lang w:val="es-ES"/>
        </w:rPr>
        <w:t>dós</w:t>
      </w:r>
      <w:r w:rsidRPr="00464F4B">
        <w:rPr>
          <w:rFonts w:eastAsia="Calibri" w:cs="Tahoma"/>
          <w:lang w:val="es-ES"/>
        </w:rPr>
        <w:t>.</w:t>
      </w:r>
      <w:r>
        <w:rPr>
          <w:rFonts w:eastAsia="Calibri" w:cs="Tahoma"/>
          <w:lang w:val="es-ES"/>
        </w:rPr>
        <w:t xml:space="preserve"> </w:t>
      </w:r>
    </w:p>
    <w:p w14:paraId="6246E0DA" w14:textId="77777777" w:rsidR="00051642" w:rsidRPr="003D5B55" w:rsidRDefault="00051642" w:rsidP="005E12FB">
      <w:pPr>
        <w:spacing w:after="0" w:line="360" w:lineRule="auto"/>
        <w:rPr>
          <w:rFonts w:eastAsia="Calibri" w:cs="Tahoma"/>
          <w:b/>
          <w:bCs/>
          <w:lang w:val="es-ES"/>
        </w:rPr>
      </w:pPr>
    </w:p>
    <w:p w14:paraId="069D763C" w14:textId="6DA92435" w:rsidR="00A01507" w:rsidRPr="00E56BA9" w:rsidRDefault="00051642" w:rsidP="005E12FB">
      <w:pPr>
        <w:spacing w:after="0" w:line="360" w:lineRule="auto"/>
        <w:rPr>
          <w:rFonts w:cs="Tahoma"/>
          <w:color w:val="0D0D0D" w:themeColor="text1" w:themeTint="F2"/>
        </w:rPr>
      </w:pPr>
      <w:r w:rsidRPr="003D5B55">
        <w:rPr>
          <w:rFonts w:eastAsia="Calibri" w:cs="Tahoma"/>
          <w:b/>
          <w:bCs/>
          <w:lang w:val="es-ES"/>
        </w:rPr>
        <w:t xml:space="preserve">VISTO </w:t>
      </w:r>
      <w:r w:rsidR="008B69A2">
        <w:rPr>
          <w:rFonts w:eastAsia="Calibri" w:cs="Tahoma"/>
          <w:lang w:val="es-ES"/>
        </w:rPr>
        <w:t>el</w:t>
      </w:r>
      <w:r w:rsidRPr="003D5B55">
        <w:rPr>
          <w:rFonts w:eastAsia="Calibri" w:cs="Tahoma"/>
          <w:lang w:val="es-ES"/>
        </w:rPr>
        <w:t xml:space="preserve">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bookmarkStart w:id="0" w:name="_Hlk94690586"/>
      <w:r w:rsidR="00FD04B1">
        <w:rPr>
          <w:rFonts w:eastAsia="Calibri" w:cs="Tahoma"/>
          <w:b/>
          <w:bCs/>
        </w:rPr>
        <w:t>00261/INFOEM/IP/RR/2022</w:t>
      </w:r>
      <w:r w:rsidR="00E1208E" w:rsidRPr="00464F4B">
        <w:rPr>
          <w:rFonts w:eastAsia="Calibri" w:cs="Tahoma"/>
          <w:b/>
          <w:bCs/>
        </w:rPr>
        <w:t>,</w:t>
      </w:r>
      <w:r w:rsidR="00FD04B1">
        <w:rPr>
          <w:rFonts w:eastAsia="Calibri" w:cs="Tahoma"/>
          <w:b/>
          <w:bCs/>
        </w:rPr>
        <w:t xml:space="preserve"> 00262/INFOEM/IP/RR/2022, 00263/INFOEM/IP/RR/2022</w:t>
      </w:r>
      <w:r w:rsidR="00E1208E" w:rsidRPr="00464F4B">
        <w:rPr>
          <w:rFonts w:eastAsia="Calibri" w:cs="Tahoma"/>
          <w:b/>
          <w:bCs/>
        </w:rPr>
        <w:t xml:space="preserve"> y;</w:t>
      </w:r>
      <w:bookmarkEnd w:id="0"/>
      <w:r w:rsidR="00FD04B1">
        <w:rPr>
          <w:rFonts w:eastAsia="Calibri" w:cs="Tahoma"/>
          <w:b/>
          <w:bCs/>
        </w:rPr>
        <w:t xml:space="preserve"> 00264/INFOEM/IP/RR/2022</w:t>
      </w:r>
      <w:r>
        <w:rPr>
          <w:rFonts w:eastAsia="Calibri" w:cs="Tahoma"/>
        </w:rPr>
        <w:t>, interpuesto</w:t>
      </w:r>
      <w:r w:rsidR="008567E8">
        <w:rPr>
          <w:rFonts w:eastAsia="Calibri" w:cs="Tahoma"/>
        </w:rPr>
        <w:t>s</w:t>
      </w:r>
      <w:r>
        <w:rPr>
          <w:rFonts w:eastAsia="Calibri" w:cs="Tahoma"/>
        </w:rPr>
        <w:t xml:space="preserve"> por </w:t>
      </w:r>
      <w:r w:rsidR="00FD04B1">
        <w:rPr>
          <w:rFonts w:eastAsia="Calibri" w:cs="Tahoma"/>
        </w:rPr>
        <w:t xml:space="preserve">una persona usuaria del Sistema de Acceso a la Información Mexiquense (SAIMEX), en adelante, </w:t>
      </w:r>
      <w:r w:rsidR="00D679B6">
        <w:rPr>
          <w:rFonts w:eastAsia="Calibri" w:cs="Tahoma"/>
        </w:rPr>
        <w:t xml:space="preserve">el </w:t>
      </w:r>
      <w:r w:rsidRPr="00240180">
        <w:rPr>
          <w:rFonts w:cs="Tahoma"/>
          <w:color w:val="0D0D0D" w:themeColor="text1" w:themeTint="F2"/>
        </w:rPr>
        <w:t xml:space="preserve">Recurrente o Particular, en contra de </w:t>
      </w:r>
      <w:r w:rsidR="00464F4B">
        <w:rPr>
          <w:rFonts w:cs="Tahoma"/>
          <w:color w:val="0D0D0D" w:themeColor="text1" w:themeTint="F2"/>
        </w:rPr>
        <w:t>las respuestas</w:t>
      </w:r>
      <w:r w:rsidRPr="00240180">
        <w:rPr>
          <w:rFonts w:cs="Tahoma"/>
          <w:color w:val="0D0D0D" w:themeColor="text1" w:themeTint="F2"/>
        </w:rPr>
        <w:t xml:space="preserve"> del Sujeto Obligado, </w:t>
      </w:r>
      <w:r w:rsidR="00FD04B1">
        <w:rPr>
          <w:rFonts w:cs="Tahoma"/>
          <w:color w:val="0D0D0D" w:themeColor="text1" w:themeTint="F2"/>
        </w:rPr>
        <w:t>Comisión de Conciliación y Arbitraje Médico del Estado de México</w:t>
      </w:r>
      <w:r w:rsidRPr="00240180">
        <w:rPr>
          <w:rFonts w:cs="Tahoma"/>
          <w:color w:val="0D0D0D" w:themeColor="text1" w:themeTint="F2"/>
        </w:rPr>
        <w:t xml:space="preserve">, </w:t>
      </w:r>
      <w:r>
        <w:rPr>
          <w:rFonts w:cs="Tahoma"/>
          <w:color w:val="0D0D0D" w:themeColor="text1" w:themeTint="F2"/>
        </w:rPr>
        <w:t>a la</w:t>
      </w:r>
      <w:r w:rsidR="008567E8">
        <w:rPr>
          <w:rFonts w:cs="Tahoma"/>
          <w:color w:val="0D0D0D" w:themeColor="text1" w:themeTint="F2"/>
        </w:rPr>
        <w:t>s</w:t>
      </w:r>
      <w:r>
        <w:rPr>
          <w:rFonts w:cs="Tahoma"/>
          <w:color w:val="0D0D0D" w:themeColor="text1" w:themeTint="F2"/>
        </w:rPr>
        <w:t xml:space="preserve"> solicitud</w:t>
      </w:r>
      <w:r w:rsidR="008567E8">
        <w:rPr>
          <w:rFonts w:cs="Tahoma"/>
          <w:color w:val="0D0D0D" w:themeColor="text1" w:themeTint="F2"/>
        </w:rPr>
        <w:t>es</w:t>
      </w:r>
      <w:r>
        <w:rPr>
          <w:rFonts w:cs="Tahoma"/>
          <w:color w:val="0D0D0D" w:themeColor="text1" w:themeTint="F2"/>
        </w:rPr>
        <w:t xml:space="preserve"> de acceso a la información pública </w:t>
      </w:r>
      <w:r w:rsidR="00FD04B1">
        <w:rPr>
          <w:rFonts w:eastAsia="Calibri" w:cs="Tahoma"/>
          <w:b/>
          <w:bCs/>
        </w:rPr>
        <w:t>00288/CAMEM/IP/2021</w:t>
      </w:r>
      <w:r w:rsidR="00E56BA9">
        <w:rPr>
          <w:rFonts w:eastAsia="Calibri" w:cs="Tahoma"/>
          <w:b/>
          <w:bCs/>
        </w:rPr>
        <w:t xml:space="preserve">, </w:t>
      </w:r>
      <w:r w:rsidR="00FD04B1">
        <w:rPr>
          <w:rFonts w:eastAsia="Calibri" w:cs="Tahoma"/>
          <w:b/>
          <w:bCs/>
        </w:rPr>
        <w:t xml:space="preserve">00289/CAMEM/IP/2021, 00290/CAMEM/IP/2021, </w:t>
      </w:r>
      <w:r w:rsidR="00E56BA9">
        <w:rPr>
          <w:rFonts w:eastAsia="Calibri" w:cs="Tahoma"/>
          <w:b/>
          <w:bCs/>
        </w:rPr>
        <w:t>y;</w:t>
      </w:r>
      <w:r w:rsidR="00FD04B1">
        <w:rPr>
          <w:rFonts w:eastAsia="Calibri" w:cs="Tahoma"/>
          <w:b/>
          <w:bCs/>
        </w:rPr>
        <w:t xml:space="preserve"> 00291/CAMEM/IP/2021</w:t>
      </w:r>
      <w:r w:rsidR="00A01507" w:rsidRPr="00A01507">
        <w:rPr>
          <w:rFonts w:cs="Tahoma"/>
          <w:bCs/>
          <w:color w:val="0D0D0D" w:themeColor="text1" w:themeTint="F2"/>
        </w:rPr>
        <w:t>,</w:t>
      </w:r>
      <w:r w:rsidR="00F8143C">
        <w:rPr>
          <w:rFonts w:cs="Tahoma"/>
          <w:bCs/>
          <w:color w:val="0D0D0D" w:themeColor="text1" w:themeTint="F2"/>
        </w:rPr>
        <w:t xml:space="preserve"> por lo que,</w:t>
      </w:r>
      <w:r w:rsidR="00A01507" w:rsidRPr="00A01507">
        <w:rPr>
          <w:rFonts w:cs="Tahoma"/>
          <w:bCs/>
          <w:color w:val="0D0D0D" w:themeColor="text1" w:themeTint="F2"/>
        </w:rPr>
        <w:t xml:space="preserve"> se emite la presente Resolución, con base en los Antecedentes y Considerandos que se exponen a continuación:</w:t>
      </w:r>
    </w:p>
    <w:p w14:paraId="5A1C6FC2" w14:textId="77777777" w:rsidR="005369D0" w:rsidRPr="00004084" w:rsidRDefault="005369D0" w:rsidP="005E12FB">
      <w:pPr>
        <w:spacing w:after="0" w:line="360" w:lineRule="auto"/>
        <w:rPr>
          <w:rFonts w:cs="Tahoma"/>
          <w:color w:val="0D0D0D" w:themeColor="text1" w:themeTint="F2"/>
        </w:rPr>
      </w:pPr>
    </w:p>
    <w:p w14:paraId="18EA1E5E" w14:textId="77777777" w:rsidR="00051642" w:rsidRPr="003D5B55" w:rsidRDefault="00051642" w:rsidP="005E12FB">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5E12FB">
      <w:pPr>
        <w:spacing w:after="0" w:line="360" w:lineRule="auto"/>
        <w:rPr>
          <w:lang w:val="es-ES"/>
        </w:rPr>
      </w:pPr>
    </w:p>
    <w:p w14:paraId="38CCD1DD" w14:textId="532F98C1" w:rsidR="00051642" w:rsidRPr="003D5B55" w:rsidRDefault="00051642" w:rsidP="005E12FB">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5E12FB">
      <w:pPr>
        <w:spacing w:after="0" w:line="360" w:lineRule="auto"/>
        <w:rPr>
          <w:rFonts w:eastAsia="Calibri" w:cs="Tahoma"/>
          <w:b/>
          <w:bCs/>
          <w:lang w:val="es-ES"/>
        </w:rPr>
      </w:pPr>
    </w:p>
    <w:p w14:paraId="6DD77042" w14:textId="444F488B" w:rsidR="005369D0" w:rsidRPr="002E5084" w:rsidRDefault="005369D0" w:rsidP="005E12FB">
      <w:pPr>
        <w:autoSpaceDE w:val="0"/>
        <w:autoSpaceDN w:val="0"/>
        <w:adjustRightInd w:val="0"/>
        <w:spacing w:after="0" w:line="360" w:lineRule="auto"/>
        <w:rPr>
          <w:rFonts w:cs="Tahoma"/>
        </w:rPr>
      </w:pPr>
      <w:r w:rsidRPr="00DB6F72">
        <w:rPr>
          <w:rFonts w:cs="Tahoma"/>
        </w:rPr>
        <w:t>Con</w:t>
      </w:r>
      <w:r w:rsidR="008B7985">
        <w:rPr>
          <w:rFonts w:cs="Tahoma"/>
        </w:rPr>
        <w:t xml:space="preserve"> fechas once de diciembre de dos mil veintiuno y diecisiete de enero de dos mil veintidós</w:t>
      </w:r>
      <w:r w:rsidR="002E5084">
        <w:rPr>
          <w:rFonts w:cs="Tahoma"/>
        </w:rPr>
        <w:t xml:space="preserve">, el Particular presentó diversas solicitudes de acceso a la información pública, a través del Sistema de Acceso a la Información Mexiquense (SAIMEX), ante </w:t>
      </w:r>
      <w:r w:rsidR="008B7985">
        <w:rPr>
          <w:rFonts w:cs="Tahoma"/>
        </w:rPr>
        <w:t>la Comisión de Conciliación y Arbitraje Médico del Estado de México</w:t>
      </w:r>
      <w:r w:rsidR="002E5084">
        <w:rPr>
          <w:rFonts w:cs="Tahoma"/>
        </w:rPr>
        <w:t xml:space="preserve">, </w:t>
      </w:r>
      <w:r w:rsidRPr="00DB6F72">
        <w:rPr>
          <w:rFonts w:cs="Tahoma"/>
          <w:bCs/>
        </w:rPr>
        <w:t>en los siguientes términos:</w:t>
      </w:r>
    </w:p>
    <w:p w14:paraId="514850CA" w14:textId="77777777" w:rsidR="002A2C08" w:rsidRDefault="002A2C08" w:rsidP="005E12FB">
      <w:pPr>
        <w:spacing w:after="0" w:line="360" w:lineRule="auto"/>
        <w:ind w:left="567" w:right="567"/>
        <w:rPr>
          <w:rFonts w:cs="Tahoma"/>
          <w:b/>
          <w:bCs/>
        </w:rPr>
      </w:pPr>
    </w:p>
    <w:p w14:paraId="232ECB34" w14:textId="7B25D1C5" w:rsidR="002A2C08" w:rsidRPr="008567E8" w:rsidRDefault="002A2C08" w:rsidP="005E12FB">
      <w:pPr>
        <w:spacing w:after="0" w:line="360" w:lineRule="auto"/>
        <w:ind w:left="567" w:right="567"/>
        <w:rPr>
          <w:rFonts w:cs="Tahoma"/>
          <w:b/>
          <w:bCs/>
          <w:sz w:val="20"/>
          <w:szCs w:val="20"/>
        </w:rPr>
      </w:pPr>
      <w:bookmarkStart w:id="1" w:name="_Hlk86067858"/>
      <w:r w:rsidRPr="008567E8">
        <w:rPr>
          <w:rFonts w:cs="Tahoma"/>
          <w:b/>
          <w:bCs/>
          <w:sz w:val="20"/>
          <w:szCs w:val="20"/>
        </w:rPr>
        <w:t xml:space="preserve">Solicitud de </w:t>
      </w:r>
      <w:bookmarkEnd w:id="1"/>
      <w:r w:rsidR="00D81FE0">
        <w:rPr>
          <w:rFonts w:cs="Tahoma"/>
          <w:b/>
          <w:bCs/>
          <w:sz w:val="20"/>
          <w:szCs w:val="20"/>
        </w:rPr>
        <w:t xml:space="preserve">información </w:t>
      </w:r>
      <w:r w:rsidR="008B7985" w:rsidRPr="008B7985">
        <w:rPr>
          <w:rFonts w:cs="Tahoma"/>
          <w:b/>
          <w:bCs/>
          <w:sz w:val="20"/>
          <w:szCs w:val="20"/>
        </w:rPr>
        <w:t>00288/CAMEM/IP/2021</w:t>
      </w:r>
    </w:p>
    <w:p w14:paraId="553643A9" w14:textId="35D1F13C" w:rsidR="002A2C08" w:rsidRPr="003D5B55" w:rsidRDefault="00A01507" w:rsidP="005E12FB">
      <w:pPr>
        <w:tabs>
          <w:tab w:val="left" w:pos="4667"/>
        </w:tabs>
        <w:spacing w:after="0" w:line="360" w:lineRule="auto"/>
        <w:ind w:left="567" w:right="567"/>
        <w:rPr>
          <w:rFonts w:cs="Tahoma"/>
          <w:b/>
          <w:bCs/>
          <w:i/>
          <w:sz w:val="20"/>
          <w:szCs w:val="20"/>
        </w:rPr>
      </w:pPr>
      <w:r>
        <w:rPr>
          <w:rFonts w:cs="Tahoma"/>
          <w:b/>
          <w:bCs/>
          <w:i/>
          <w:sz w:val="20"/>
          <w:szCs w:val="20"/>
        </w:rPr>
        <w:lastRenderedPageBreak/>
        <w:t>“</w:t>
      </w:r>
      <w:r w:rsidR="002A2C08" w:rsidRPr="003D5B55">
        <w:rPr>
          <w:rFonts w:cs="Tahoma"/>
          <w:b/>
          <w:bCs/>
          <w:i/>
          <w:sz w:val="20"/>
          <w:szCs w:val="20"/>
        </w:rPr>
        <w:t>DESCRIPCIÓN CLARA Y PRECISA DE LA INFORMACIÓN SOLICITADA</w:t>
      </w:r>
    </w:p>
    <w:p w14:paraId="1DCE85F6" w14:textId="426F77D1" w:rsidR="002A2C08" w:rsidRDefault="008B7985" w:rsidP="005E12FB">
      <w:pPr>
        <w:tabs>
          <w:tab w:val="left" w:pos="4667"/>
        </w:tabs>
        <w:spacing w:after="0" w:line="360" w:lineRule="auto"/>
        <w:ind w:left="567" w:right="567"/>
        <w:rPr>
          <w:rFonts w:cs="Tahoma"/>
          <w:bCs/>
          <w:i/>
          <w:sz w:val="20"/>
          <w:szCs w:val="20"/>
        </w:rPr>
      </w:pPr>
      <w:r w:rsidRPr="008B7985">
        <w:rPr>
          <w:rFonts w:cs="Tahoma"/>
          <w:bCs/>
          <w:i/>
          <w:sz w:val="20"/>
          <w:szCs w:val="20"/>
        </w:rPr>
        <w:t>El inventario actual de papelería en versión pdf, con corte a noviembre del año en curso.</w:t>
      </w:r>
      <w:r w:rsidR="00A01507">
        <w:rPr>
          <w:rFonts w:cs="Tahoma"/>
          <w:bCs/>
          <w:i/>
          <w:sz w:val="20"/>
          <w:szCs w:val="20"/>
        </w:rPr>
        <w:t>”</w:t>
      </w:r>
      <w:r w:rsidR="002A2C08" w:rsidRPr="002A2C08">
        <w:rPr>
          <w:rFonts w:cs="Tahoma"/>
          <w:bCs/>
          <w:i/>
          <w:sz w:val="20"/>
          <w:szCs w:val="20"/>
        </w:rPr>
        <w:t xml:space="preserve"> </w:t>
      </w:r>
      <w:r w:rsidR="002A2C08" w:rsidRPr="003D5B55">
        <w:rPr>
          <w:rFonts w:cs="Tahoma"/>
          <w:bCs/>
          <w:i/>
          <w:sz w:val="20"/>
          <w:szCs w:val="20"/>
        </w:rPr>
        <w:t>(Sic.)</w:t>
      </w:r>
    </w:p>
    <w:p w14:paraId="1B7BFDB3" w14:textId="77777777" w:rsidR="008567E8" w:rsidRPr="002A2C08" w:rsidRDefault="008567E8" w:rsidP="005E12FB">
      <w:pPr>
        <w:spacing w:after="0" w:line="360" w:lineRule="auto"/>
        <w:ind w:right="567"/>
        <w:rPr>
          <w:rFonts w:eastAsia="Times New Roman" w:cs="Arial"/>
          <w:bCs/>
          <w:i/>
          <w:iCs/>
          <w:color w:val="auto"/>
          <w:sz w:val="20"/>
          <w:lang w:eastAsia="es-ES"/>
        </w:rPr>
      </w:pPr>
    </w:p>
    <w:p w14:paraId="608C5337" w14:textId="77777777" w:rsidR="008B7985" w:rsidRDefault="002A2C08" w:rsidP="005E12FB">
      <w:pPr>
        <w:spacing w:after="0" w:line="360" w:lineRule="auto"/>
        <w:ind w:left="567" w:right="567"/>
        <w:rPr>
          <w:rFonts w:cs="Tahoma"/>
          <w:b/>
          <w:bCs/>
          <w:sz w:val="20"/>
          <w:szCs w:val="20"/>
        </w:rPr>
      </w:pPr>
      <w:r w:rsidRPr="008567E8">
        <w:rPr>
          <w:rFonts w:cs="Tahoma"/>
          <w:b/>
          <w:bCs/>
          <w:sz w:val="20"/>
          <w:szCs w:val="20"/>
        </w:rPr>
        <w:t xml:space="preserve">Solicitud de Información </w:t>
      </w:r>
      <w:r w:rsidR="008B7985" w:rsidRPr="008B7985">
        <w:rPr>
          <w:rFonts w:cs="Tahoma"/>
          <w:b/>
          <w:bCs/>
          <w:sz w:val="20"/>
          <w:szCs w:val="20"/>
        </w:rPr>
        <w:t xml:space="preserve">00289/CAMEM/IP/2021 </w:t>
      </w:r>
    </w:p>
    <w:p w14:paraId="51292EC6" w14:textId="02614917" w:rsidR="00051642" w:rsidRPr="003D5B55" w:rsidRDefault="00A01507" w:rsidP="005E12FB">
      <w:pPr>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1418286F" w:rsidR="00051642" w:rsidRDefault="008B7985" w:rsidP="005E12FB">
      <w:pPr>
        <w:tabs>
          <w:tab w:val="left" w:pos="4667"/>
        </w:tabs>
        <w:spacing w:after="0" w:line="360" w:lineRule="auto"/>
        <w:ind w:left="567" w:right="567"/>
        <w:rPr>
          <w:rFonts w:cs="Tahoma"/>
          <w:bCs/>
          <w:i/>
          <w:sz w:val="20"/>
          <w:szCs w:val="20"/>
        </w:rPr>
      </w:pPr>
      <w:r w:rsidRPr="008B7985">
        <w:rPr>
          <w:rFonts w:cs="Tahoma"/>
          <w:bCs/>
          <w:i/>
          <w:sz w:val="20"/>
          <w:szCs w:val="20"/>
        </w:rPr>
        <w:t>El inventario de consumibles de impresión con corte a noviembre 2021.</w:t>
      </w:r>
      <w:r w:rsidR="00A01507">
        <w:rPr>
          <w:rFonts w:cs="Tahoma"/>
          <w:bCs/>
          <w:i/>
          <w:sz w:val="20"/>
          <w:szCs w:val="20"/>
        </w:rPr>
        <w:t>”</w:t>
      </w:r>
      <w:r w:rsidR="00D679B6">
        <w:rPr>
          <w:rFonts w:cs="Tahoma"/>
          <w:bCs/>
          <w:i/>
          <w:sz w:val="20"/>
          <w:szCs w:val="20"/>
        </w:rPr>
        <w:t xml:space="preserve"> </w:t>
      </w:r>
      <w:r w:rsidR="00051642" w:rsidRPr="003D5B55">
        <w:rPr>
          <w:rFonts w:cs="Tahoma"/>
          <w:bCs/>
          <w:i/>
          <w:sz w:val="20"/>
          <w:szCs w:val="20"/>
        </w:rPr>
        <w:t>(Sic.)</w:t>
      </w:r>
    </w:p>
    <w:p w14:paraId="730D560A" w14:textId="61AABC43" w:rsidR="0011060E" w:rsidRDefault="0011060E" w:rsidP="005E12FB">
      <w:pPr>
        <w:tabs>
          <w:tab w:val="left" w:pos="4667"/>
        </w:tabs>
        <w:spacing w:after="0" w:line="360" w:lineRule="auto"/>
        <w:ind w:left="567" w:right="567"/>
        <w:rPr>
          <w:rFonts w:cs="Tahoma"/>
          <w:bCs/>
          <w:i/>
          <w:sz w:val="20"/>
          <w:szCs w:val="20"/>
        </w:rPr>
      </w:pPr>
    </w:p>
    <w:p w14:paraId="6E052F47" w14:textId="1883D362" w:rsidR="0011060E" w:rsidRDefault="0011060E" w:rsidP="005E12FB">
      <w:pPr>
        <w:spacing w:after="0" w:line="360" w:lineRule="auto"/>
        <w:ind w:left="567" w:right="567"/>
        <w:rPr>
          <w:rFonts w:cs="Tahoma"/>
          <w:b/>
          <w:bCs/>
          <w:sz w:val="20"/>
          <w:szCs w:val="20"/>
        </w:rPr>
      </w:pPr>
      <w:r w:rsidRPr="008567E8">
        <w:rPr>
          <w:rFonts w:cs="Tahoma"/>
          <w:b/>
          <w:bCs/>
          <w:sz w:val="20"/>
          <w:szCs w:val="20"/>
        </w:rPr>
        <w:t xml:space="preserve">Solicitud de Información </w:t>
      </w:r>
      <w:r w:rsidR="008B7985" w:rsidRPr="008B7985">
        <w:rPr>
          <w:rFonts w:cs="Tahoma"/>
          <w:b/>
          <w:bCs/>
          <w:sz w:val="20"/>
          <w:szCs w:val="20"/>
        </w:rPr>
        <w:t xml:space="preserve"> 00290/CAMEM/IP/2021</w:t>
      </w:r>
    </w:p>
    <w:p w14:paraId="73E55328" w14:textId="77777777" w:rsidR="0011060E" w:rsidRPr="003D5B55" w:rsidRDefault="0011060E" w:rsidP="005E12FB">
      <w:pPr>
        <w:tabs>
          <w:tab w:val="left" w:pos="4667"/>
        </w:tabs>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14:paraId="3FB42822" w14:textId="4B20F151" w:rsidR="0011060E" w:rsidRDefault="008B7985" w:rsidP="005E12FB">
      <w:pPr>
        <w:tabs>
          <w:tab w:val="left" w:pos="4667"/>
        </w:tabs>
        <w:spacing w:after="0" w:line="360" w:lineRule="auto"/>
        <w:ind w:left="567" w:right="567"/>
        <w:rPr>
          <w:rFonts w:cs="Tahoma"/>
          <w:bCs/>
          <w:i/>
          <w:sz w:val="20"/>
          <w:szCs w:val="20"/>
        </w:rPr>
      </w:pPr>
      <w:r w:rsidRPr="008B7985">
        <w:rPr>
          <w:rFonts w:cs="Tahoma"/>
          <w:bCs/>
          <w:i/>
          <w:sz w:val="20"/>
          <w:szCs w:val="20"/>
        </w:rPr>
        <w:t>El inventario de artículos de limpieza e higiene</w:t>
      </w:r>
      <w:r>
        <w:rPr>
          <w:rFonts w:cs="Tahoma"/>
          <w:bCs/>
          <w:i/>
          <w:sz w:val="20"/>
          <w:szCs w:val="20"/>
        </w:rPr>
        <w:t xml:space="preserve"> con corte a noviembre del 2021</w:t>
      </w:r>
      <w:r w:rsidR="0011060E" w:rsidRPr="0011060E">
        <w:rPr>
          <w:rFonts w:cs="Tahoma"/>
          <w:bCs/>
          <w:i/>
          <w:sz w:val="20"/>
          <w:szCs w:val="20"/>
        </w:rPr>
        <w:t>.</w:t>
      </w:r>
      <w:r w:rsidR="0011060E">
        <w:rPr>
          <w:rFonts w:cs="Tahoma"/>
          <w:bCs/>
          <w:i/>
          <w:sz w:val="20"/>
          <w:szCs w:val="20"/>
        </w:rPr>
        <w:t xml:space="preserve">” </w:t>
      </w:r>
      <w:r w:rsidR="0011060E" w:rsidRPr="003D5B55">
        <w:rPr>
          <w:rFonts w:cs="Tahoma"/>
          <w:bCs/>
          <w:i/>
          <w:sz w:val="20"/>
          <w:szCs w:val="20"/>
        </w:rPr>
        <w:t>(Sic.)</w:t>
      </w:r>
    </w:p>
    <w:p w14:paraId="7D139919" w14:textId="77777777" w:rsidR="0011060E" w:rsidRPr="0011060E" w:rsidRDefault="0011060E" w:rsidP="005E12FB">
      <w:pPr>
        <w:spacing w:after="0" w:line="360" w:lineRule="auto"/>
        <w:ind w:left="567" w:right="567"/>
        <w:rPr>
          <w:rFonts w:cs="Tahoma"/>
          <w:b/>
          <w:bCs/>
          <w:sz w:val="20"/>
          <w:szCs w:val="20"/>
        </w:rPr>
      </w:pPr>
    </w:p>
    <w:p w14:paraId="71EC7945" w14:textId="77777777" w:rsidR="008B7985" w:rsidRDefault="0011060E" w:rsidP="005E12FB">
      <w:pPr>
        <w:spacing w:after="0" w:line="360" w:lineRule="auto"/>
        <w:ind w:left="567" w:right="567"/>
        <w:rPr>
          <w:rFonts w:cs="Tahoma"/>
          <w:b/>
          <w:bCs/>
          <w:sz w:val="20"/>
          <w:szCs w:val="20"/>
        </w:rPr>
      </w:pPr>
      <w:r w:rsidRPr="008567E8">
        <w:rPr>
          <w:rFonts w:cs="Tahoma"/>
          <w:b/>
          <w:bCs/>
          <w:sz w:val="20"/>
          <w:szCs w:val="20"/>
        </w:rPr>
        <w:t xml:space="preserve">Solicitud de Información </w:t>
      </w:r>
      <w:r w:rsidR="008B7985" w:rsidRPr="008B7985">
        <w:rPr>
          <w:rFonts w:cs="Tahoma"/>
          <w:b/>
          <w:bCs/>
          <w:sz w:val="20"/>
          <w:szCs w:val="20"/>
        </w:rPr>
        <w:t xml:space="preserve">00291/CAMEM/IP/2021 </w:t>
      </w:r>
    </w:p>
    <w:p w14:paraId="561BDCDA" w14:textId="17F53B90" w:rsidR="0011060E" w:rsidRPr="003D5B55" w:rsidRDefault="0011060E" w:rsidP="005E12FB">
      <w:pPr>
        <w:spacing w:after="0" w:line="360" w:lineRule="auto"/>
        <w:ind w:left="567" w:right="567"/>
        <w:rPr>
          <w:rFonts w:cs="Tahoma"/>
          <w:b/>
          <w:bCs/>
          <w:i/>
          <w:sz w:val="20"/>
          <w:szCs w:val="20"/>
        </w:rPr>
      </w:pPr>
      <w:r>
        <w:rPr>
          <w:rFonts w:cs="Tahoma"/>
          <w:b/>
          <w:bCs/>
          <w:i/>
          <w:sz w:val="20"/>
          <w:szCs w:val="20"/>
        </w:rPr>
        <w:t>“</w:t>
      </w:r>
      <w:r w:rsidRPr="003D5B55">
        <w:rPr>
          <w:rFonts w:cs="Tahoma"/>
          <w:b/>
          <w:bCs/>
          <w:i/>
          <w:sz w:val="20"/>
          <w:szCs w:val="20"/>
        </w:rPr>
        <w:t>DESCRIPCIÓN CLARA Y PRECISA DE LA INFORMACIÓN SOLICITADA</w:t>
      </w:r>
    </w:p>
    <w:p w14:paraId="05F47BD4" w14:textId="1E0F6ECB" w:rsidR="0011060E" w:rsidRDefault="008B7985" w:rsidP="005E12FB">
      <w:pPr>
        <w:tabs>
          <w:tab w:val="left" w:pos="4667"/>
        </w:tabs>
        <w:spacing w:after="0" w:line="360" w:lineRule="auto"/>
        <w:ind w:left="567" w:right="567"/>
        <w:rPr>
          <w:rFonts w:cs="Tahoma"/>
          <w:bCs/>
          <w:i/>
          <w:sz w:val="20"/>
          <w:szCs w:val="20"/>
        </w:rPr>
      </w:pPr>
      <w:r w:rsidRPr="008B7985">
        <w:rPr>
          <w:rFonts w:cs="Tahoma"/>
          <w:bCs/>
          <w:i/>
          <w:sz w:val="20"/>
          <w:szCs w:val="20"/>
        </w:rPr>
        <w:t xml:space="preserve">Todas las solicitudes de papelería, artículos de limpieza y consumibles de cómputo que atendió la Unidad de Apoyo Administrativo </w:t>
      </w:r>
      <w:r>
        <w:rPr>
          <w:rFonts w:cs="Tahoma"/>
          <w:bCs/>
          <w:i/>
          <w:sz w:val="20"/>
          <w:szCs w:val="20"/>
        </w:rPr>
        <w:t>en octubre y noviembre del 2021</w:t>
      </w:r>
      <w:r w:rsidR="0011060E" w:rsidRPr="0011060E">
        <w:rPr>
          <w:rFonts w:cs="Tahoma"/>
          <w:bCs/>
          <w:i/>
          <w:sz w:val="20"/>
          <w:szCs w:val="20"/>
        </w:rPr>
        <w:t>.</w:t>
      </w:r>
      <w:r w:rsidR="0011060E">
        <w:rPr>
          <w:rFonts w:cs="Tahoma"/>
          <w:bCs/>
          <w:i/>
          <w:sz w:val="20"/>
          <w:szCs w:val="20"/>
        </w:rPr>
        <w:t xml:space="preserve">” </w:t>
      </w:r>
      <w:r w:rsidR="0011060E" w:rsidRPr="003D5B55">
        <w:rPr>
          <w:rFonts w:cs="Tahoma"/>
          <w:bCs/>
          <w:i/>
          <w:sz w:val="20"/>
          <w:szCs w:val="20"/>
        </w:rPr>
        <w:t>(Sic.)</w:t>
      </w:r>
    </w:p>
    <w:p w14:paraId="3C0781D7" w14:textId="4B9057A5" w:rsidR="00051642" w:rsidRDefault="00051642" w:rsidP="005E12FB">
      <w:pPr>
        <w:tabs>
          <w:tab w:val="left" w:pos="4667"/>
        </w:tabs>
        <w:spacing w:after="0" w:line="360" w:lineRule="auto"/>
        <w:ind w:left="567"/>
        <w:rPr>
          <w:rFonts w:cs="Tahoma"/>
          <w:bCs/>
          <w:i/>
        </w:rPr>
      </w:pPr>
    </w:p>
    <w:p w14:paraId="778DD31C" w14:textId="5A2A1478" w:rsidR="00FA1130" w:rsidRPr="00161BF5" w:rsidRDefault="00985B53" w:rsidP="005E12FB">
      <w:pPr>
        <w:spacing w:after="0" w:line="360" w:lineRule="auto"/>
        <w:rPr>
          <w:rFonts w:eastAsia="Times New Roman" w:cs="Tahoma"/>
          <w:color w:val="auto"/>
          <w:lang w:eastAsia="es-ES"/>
        </w:rPr>
      </w:pPr>
      <w:bookmarkStart w:id="2" w:name="_Hlk86067762"/>
      <w:r w:rsidRPr="00A01507">
        <w:rPr>
          <w:rFonts w:eastAsia="Times New Roman" w:cs="Tahoma"/>
          <w:color w:val="auto"/>
          <w:lang w:eastAsia="es-ES"/>
        </w:rPr>
        <w:t>Es de señalar que en las</w:t>
      </w:r>
      <w:r w:rsidR="00161BF5">
        <w:rPr>
          <w:rFonts w:eastAsia="Times New Roman" w:cs="Tahoma"/>
          <w:color w:val="auto"/>
          <w:lang w:eastAsia="es-ES"/>
        </w:rPr>
        <w:t xml:space="preserve"> </w:t>
      </w:r>
      <w:r w:rsidRPr="00A01507">
        <w:rPr>
          <w:rFonts w:eastAsia="Times New Roman" w:cs="Tahoma"/>
          <w:color w:val="auto"/>
          <w:lang w:eastAsia="es-ES"/>
        </w:rPr>
        <w:t>solicitudes de acceso a la información el Particular eligió</w:t>
      </w:r>
      <w:r w:rsidR="00B95F2F">
        <w:rPr>
          <w:rFonts w:eastAsia="Times New Roman" w:cs="Tahoma"/>
          <w:color w:val="auto"/>
          <w:lang w:eastAsia="es-ES"/>
        </w:rPr>
        <w:t xml:space="preserve"> </w:t>
      </w:r>
      <w:r w:rsidRPr="00A01507">
        <w:rPr>
          <w:rFonts w:eastAsia="Times New Roman" w:cs="Tahoma"/>
          <w:color w:val="auto"/>
          <w:lang w:eastAsia="es-ES"/>
        </w:rPr>
        <w:t xml:space="preserve">como modalidad de entrega de la información </w:t>
      </w:r>
      <w:r w:rsidRPr="00A01507">
        <w:rPr>
          <w:rFonts w:eastAsia="Times New Roman" w:cs="Tahoma"/>
          <w:b/>
          <w:bCs/>
          <w:i/>
          <w:iCs/>
          <w:color w:val="auto"/>
          <w:lang w:eastAsia="es-ES"/>
        </w:rPr>
        <w:t>“</w:t>
      </w:r>
      <w:r w:rsidR="00051642" w:rsidRPr="00A01507">
        <w:rPr>
          <w:rFonts w:eastAsia="Times New Roman" w:cs="Arial"/>
          <w:bCs/>
          <w:i/>
          <w:iCs/>
          <w:color w:val="auto"/>
          <w:lang w:eastAsia="es-ES"/>
        </w:rPr>
        <w:t>A través del SAIME</w:t>
      </w:r>
      <w:r w:rsidR="00161BF5">
        <w:rPr>
          <w:rFonts w:eastAsia="Times New Roman" w:cs="Arial"/>
          <w:bCs/>
          <w:i/>
          <w:iCs/>
          <w:color w:val="auto"/>
          <w:lang w:eastAsia="es-ES"/>
        </w:rPr>
        <w:t>X</w:t>
      </w:r>
      <w:r w:rsidRPr="00A01507">
        <w:rPr>
          <w:rFonts w:eastAsia="Times New Roman" w:cs="Arial"/>
          <w:bCs/>
          <w:i/>
          <w:iCs/>
          <w:color w:val="auto"/>
          <w:lang w:eastAsia="es-ES"/>
        </w:rPr>
        <w:t>”</w:t>
      </w:r>
      <w:r w:rsidR="005E12FB">
        <w:rPr>
          <w:rFonts w:eastAsia="Times New Roman" w:cs="Arial"/>
          <w:bCs/>
          <w:i/>
          <w:iCs/>
          <w:color w:val="auto"/>
          <w:lang w:eastAsia="es-ES"/>
        </w:rPr>
        <w:t>.</w:t>
      </w:r>
    </w:p>
    <w:bookmarkEnd w:id="2"/>
    <w:p w14:paraId="7D6D1CE8" w14:textId="77777777" w:rsidR="00E7170C" w:rsidRPr="00E7170C" w:rsidRDefault="00E7170C" w:rsidP="005E12FB">
      <w:pPr>
        <w:spacing w:after="0" w:line="360" w:lineRule="auto"/>
        <w:ind w:right="567"/>
        <w:rPr>
          <w:rFonts w:eastAsia="Times New Roman" w:cs="Arial"/>
          <w:bCs/>
          <w:i/>
          <w:iCs/>
          <w:color w:val="auto"/>
          <w:sz w:val="20"/>
          <w:lang w:eastAsia="es-ES"/>
        </w:rPr>
      </w:pPr>
    </w:p>
    <w:p w14:paraId="14D6D935" w14:textId="00EDFF85" w:rsidR="00051642" w:rsidRPr="003D5B55" w:rsidRDefault="00FA1130" w:rsidP="005E12FB">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8F8D61D" w14:textId="77777777" w:rsidR="00F90DE8" w:rsidRPr="003D5B55" w:rsidRDefault="00F90DE8" w:rsidP="005E12FB">
      <w:pPr>
        <w:spacing w:after="0" w:line="360" w:lineRule="auto"/>
        <w:rPr>
          <w:rFonts w:eastAsia="Calibri" w:cs="Tahoma"/>
          <w:b/>
          <w:bCs/>
        </w:rPr>
      </w:pPr>
    </w:p>
    <w:p w14:paraId="245089EA" w14:textId="622A8929" w:rsidR="00773A30" w:rsidRDefault="008B7985" w:rsidP="005E12FB">
      <w:pPr>
        <w:autoSpaceDE w:val="0"/>
        <w:autoSpaceDN w:val="0"/>
        <w:adjustRightInd w:val="0"/>
        <w:spacing w:after="0" w:line="360" w:lineRule="auto"/>
        <w:rPr>
          <w:rFonts w:eastAsia="Calibri" w:cs="Tahoma"/>
          <w:color w:val="000000"/>
        </w:rPr>
      </w:pPr>
      <w:r>
        <w:rPr>
          <w:rFonts w:eastAsia="Calibri" w:cs="Tahoma"/>
          <w:color w:val="000000"/>
        </w:rPr>
        <w:t>En fechas  diecisiete y veintitrés de enero de dos mil veintidós</w:t>
      </w:r>
      <w:r w:rsidR="00773A30">
        <w:rPr>
          <w:rFonts w:eastAsia="Calibri" w:cs="Tahoma"/>
          <w:color w:val="000000"/>
        </w:rPr>
        <w:t xml:space="preserve">, el Sujeto Obligado </w:t>
      </w:r>
      <w:r w:rsidR="00CD4C37">
        <w:rPr>
          <w:rFonts w:eastAsia="Calibri" w:cs="Tahoma"/>
          <w:color w:val="000000"/>
        </w:rPr>
        <w:t xml:space="preserve">notificó a través del Sistema de Acceso a la Información Mexiquense (SAIMEX), las respuestas a </w:t>
      </w:r>
      <w:r w:rsidR="006448EE">
        <w:rPr>
          <w:rFonts w:eastAsia="Calibri" w:cs="Tahoma"/>
          <w:color w:val="000000"/>
        </w:rPr>
        <w:t xml:space="preserve">las solicitudes de acceso a la información al tenor de lo siguiente: </w:t>
      </w:r>
    </w:p>
    <w:p w14:paraId="620098BF" w14:textId="1248A8FC" w:rsidR="006448EE" w:rsidRDefault="006448EE" w:rsidP="005E12FB">
      <w:pPr>
        <w:autoSpaceDE w:val="0"/>
        <w:autoSpaceDN w:val="0"/>
        <w:adjustRightInd w:val="0"/>
        <w:spacing w:after="0" w:line="360" w:lineRule="auto"/>
        <w:rPr>
          <w:rFonts w:eastAsia="Calibri" w:cs="Tahoma"/>
          <w:color w:val="000000"/>
        </w:rPr>
      </w:pPr>
    </w:p>
    <w:p w14:paraId="5B25319C" w14:textId="61B65D29" w:rsidR="008B7985" w:rsidRPr="008B7985" w:rsidRDefault="008B7985" w:rsidP="005E12FB">
      <w:pPr>
        <w:autoSpaceDE w:val="0"/>
        <w:autoSpaceDN w:val="0"/>
        <w:adjustRightInd w:val="0"/>
        <w:spacing w:after="0" w:line="360" w:lineRule="auto"/>
        <w:rPr>
          <w:rFonts w:eastAsia="Calibri" w:cs="Tahoma"/>
          <w:b/>
          <w:color w:val="000000"/>
        </w:rPr>
      </w:pPr>
      <w:r>
        <w:rPr>
          <w:rFonts w:eastAsia="Calibri" w:cs="Tahoma"/>
          <w:b/>
          <w:color w:val="000000"/>
        </w:rPr>
        <w:t xml:space="preserve">Solicitud: </w:t>
      </w:r>
      <w:r w:rsidRPr="008B7985">
        <w:rPr>
          <w:rFonts w:eastAsia="Calibri" w:cs="Tahoma"/>
          <w:b/>
          <w:color w:val="000000"/>
        </w:rPr>
        <w:t>00288/CAMEM/IP/2021</w:t>
      </w:r>
    </w:p>
    <w:p w14:paraId="43493D3D" w14:textId="77777777" w:rsidR="008B7985" w:rsidRDefault="008B7985" w:rsidP="005E12FB">
      <w:pPr>
        <w:autoSpaceDE w:val="0"/>
        <w:autoSpaceDN w:val="0"/>
        <w:adjustRightInd w:val="0"/>
        <w:spacing w:after="0" w:line="360" w:lineRule="auto"/>
        <w:rPr>
          <w:rFonts w:eastAsia="Calibri" w:cs="Tahoma"/>
          <w:color w:val="000000"/>
        </w:rPr>
      </w:pPr>
    </w:p>
    <w:p w14:paraId="4B744D7C" w14:textId="3542B4F7" w:rsidR="00317B18" w:rsidRDefault="00CE37CA" w:rsidP="005E12FB">
      <w:pPr>
        <w:autoSpaceDE w:val="0"/>
        <w:autoSpaceDN w:val="0"/>
        <w:adjustRightInd w:val="0"/>
        <w:spacing w:after="0" w:line="360" w:lineRule="auto"/>
        <w:ind w:left="567" w:right="426"/>
        <w:rPr>
          <w:rFonts w:eastAsia="Calibri" w:cs="Tahoma"/>
          <w:i/>
          <w:iCs/>
          <w:color w:val="000000"/>
        </w:rPr>
      </w:pPr>
      <w:r>
        <w:rPr>
          <w:rFonts w:eastAsia="Calibri" w:cs="Tahoma"/>
          <w:i/>
          <w:iCs/>
          <w:color w:val="000000"/>
        </w:rPr>
        <w:lastRenderedPageBreak/>
        <w:t>“</w:t>
      </w:r>
      <w:r w:rsidR="008B7985" w:rsidRPr="008B7985">
        <w:rPr>
          <w:rFonts w:eastAsia="Calibri" w:cs="Tahoma"/>
          <w:i/>
          <w:iCs/>
          <w:color w:val="000000"/>
        </w:rPr>
        <w:t>En atención a la Solicitud de Información con folio 00288/CAMEM/IP/2021, mediante la cual se requiere a la letra “El inventario actual de papelería en versión pdf, con corte a noviembre del año en curso”, se informa que, derivado del volumen de la información solicitada, los archivos se encuentran disponibles para su consulta en las instalaciones de la Comisión de Conciliación y Arbitraje Médico del Estado de México, ubicadas en la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Lo anterior, con fundamento en los Artículos 12 y 24 en ambos últimos párrafos, de la Ley de Transparencia y Acceso a la Información Pública del Estado de México y Municipios, y que a la letra dicen: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eastAsia="Calibri" w:cs="Tahoma"/>
          <w:i/>
          <w:iCs/>
          <w:color w:val="000000"/>
        </w:rPr>
        <w:t>”</w:t>
      </w:r>
    </w:p>
    <w:p w14:paraId="2167A820" w14:textId="20A98B43" w:rsidR="00317B18" w:rsidRDefault="00317B18" w:rsidP="005E12FB">
      <w:pPr>
        <w:autoSpaceDE w:val="0"/>
        <w:autoSpaceDN w:val="0"/>
        <w:adjustRightInd w:val="0"/>
        <w:spacing w:after="0" w:line="360" w:lineRule="auto"/>
        <w:ind w:right="426"/>
        <w:rPr>
          <w:rFonts w:eastAsia="Calibri" w:cs="Tahoma"/>
          <w:i/>
          <w:iCs/>
          <w:color w:val="000000"/>
        </w:rPr>
      </w:pPr>
    </w:p>
    <w:p w14:paraId="49E08BC1" w14:textId="7DC6B4DB" w:rsidR="00EF0048" w:rsidRDefault="008B7985" w:rsidP="005E12FB">
      <w:pPr>
        <w:autoSpaceDE w:val="0"/>
        <w:autoSpaceDN w:val="0"/>
        <w:adjustRightInd w:val="0"/>
        <w:spacing w:after="0" w:line="360" w:lineRule="auto"/>
        <w:rPr>
          <w:rFonts w:eastAsia="Calibri" w:cs="Tahoma"/>
          <w:color w:val="000000"/>
        </w:rPr>
      </w:pPr>
      <w:r>
        <w:rPr>
          <w:rFonts w:eastAsia="Calibri" w:cs="Tahoma"/>
          <w:color w:val="000000"/>
        </w:rPr>
        <w:t xml:space="preserve">Cabe mencionar que la respuesta para cada solicitud de información, versó medularmente en el </w:t>
      </w:r>
      <w:r w:rsidRPr="008B7985">
        <w:rPr>
          <w:rFonts w:eastAsia="Calibri" w:cs="Tahoma"/>
          <w:b/>
          <w:color w:val="000000"/>
        </w:rPr>
        <w:t xml:space="preserve">cambio de modalidad. </w:t>
      </w:r>
    </w:p>
    <w:p w14:paraId="61B8CFD9" w14:textId="77777777" w:rsidR="008B7985" w:rsidRPr="008B7985" w:rsidRDefault="008B7985" w:rsidP="005E12FB">
      <w:pPr>
        <w:autoSpaceDE w:val="0"/>
        <w:autoSpaceDN w:val="0"/>
        <w:adjustRightInd w:val="0"/>
        <w:spacing w:after="0" w:line="360" w:lineRule="auto"/>
        <w:ind w:right="426"/>
        <w:rPr>
          <w:rFonts w:eastAsia="Calibri" w:cs="Tahoma"/>
          <w:color w:val="000000"/>
        </w:rPr>
      </w:pPr>
    </w:p>
    <w:p w14:paraId="53B5A077" w14:textId="615531D8" w:rsidR="00051642" w:rsidRPr="005369D0" w:rsidRDefault="00E7170C" w:rsidP="005E12FB">
      <w:pPr>
        <w:spacing w:after="0" w:line="360" w:lineRule="auto"/>
        <w:rPr>
          <w:rFonts w:eastAsia="Calibri" w:cs="Tahoma"/>
          <w:b/>
          <w:bCs/>
        </w:rPr>
      </w:pPr>
      <w:r w:rsidRPr="005369D0">
        <w:rPr>
          <w:rFonts w:eastAsia="Calibri" w:cs="Tahoma"/>
          <w:b/>
          <w:bCs/>
        </w:rPr>
        <w:t>III</w:t>
      </w:r>
      <w:r w:rsidR="00051642" w:rsidRPr="005369D0">
        <w:rPr>
          <w:rFonts w:eastAsia="Calibri" w:cs="Tahoma"/>
          <w:b/>
          <w:bCs/>
        </w:rPr>
        <w:t>. Interposición de</w:t>
      </w:r>
      <w:r w:rsidR="008567E8">
        <w:rPr>
          <w:rFonts w:eastAsia="Calibri" w:cs="Tahoma"/>
          <w:b/>
          <w:bCs/>
        </w:rPr>
        <w:t xml:space="preserve"> </w:t>
      </w:r>
      <w:r w:rsidR="00051642" w:rsidRPr="005369D0">
        <w:rPr>
          <w:rFonts w:eastAsia="Calibri" w:cs="Tahoma"/>
          <w:b/>
          <w:bCs/>
        </w:rPr>
        <w:t>l</w:t>
      </w:r>
      <w:r w:rsidR="008567E8">
        <w:rPr>
          <w:rFonts w:eastAsia="Calibri" w:cs="Tahoma"/>
          <w:b/>
          <w:bCs/>
        </w:rPr>
        <w:t>os</w:t>
      </w:r>
      <w:r w:rsidR="00051642" w:rsidRPr="005369D0">
        <w:rPr>
          <w:rFonts w:eastAsia="Calibri" w:cs="Tahoma"/>
          <w:b/>
          <w:bCs/>
        </w:rPr>
        <w:t xml:space="preserve"> Recurso</w:t>
      </w:r>
      <w:r w:rsidR="008567E8">
        <w:rPr>
          <w:rFonts w:eastAsia="Calibri" w:cs="Tahoma"/>
          <w:b/>
          <w:bCs/>
        </w:rPr>
        <w:t>s</w:t>
      </w:r>
      <w:r w:rsidR="00051642" w:rsidRPr="005369D0">
        <w:rPr>
          <w:rFonts w:eastAsia="Calibri" w:cs="Tahoma"/>
          <w:b/>
          <w:bCs/>
        </w:rPr>
        <w:t xml:space="preserve"> de Revisión. </w:t>
      </w:r>
    </w:p>
    <w:p w14:paraId="79D9CE18" w14:textId="77777777" w:rsidR="00051642" w:rsidRPr="003D5B55" w:rsidRDefault="00051642" w:rsidP="005E12FB">
      <w:pPr>
        <w:spacing w:after="0" w:line="360" w:lineRule="auto"/>
        <w:rPr>
          <w:rFonts w:eastAsia="Times New Roman" w:cs="Tahoma"/>
          <w:bCs/>
          <w:color w:val="auto"/>
          <w:lang w:eastAsia="es-ES"/>
        </w:rPr>
      </w:pPr>
    </w:p>
    <w:p w14:paraId="33C458E5" w14:textId="037F8F9A" w:rsidR="00051642" w:rsidRPr="00CA21DC" w:rsidRDefault="00051642" w:rsidP="005E12FB">
      <w:pPr>
        <w:spacing w:after="0" w:line="360" w:lineRule="auto"/>
        <w:rPr>
          <w:rFonts w:eastAsia="Times New Roman" w:cs="Tahoma"/>
          <w:bCs/>
          <w:color w:val="auto"/>
          <w:lang w:val="es-ES" w:eastAsia="es-ES"/>
        </w:rPr>
      </w:pPr>
      <w:r w:rsidRPr="00CA21DC">
        <w:rPr>
          <w:rFonts w:eastAsia="Times New Roman" w:cs="Tahoma"/>
          <w:bCs/>
          <w:color w:val="auto"/>
          <w:lang w:val="es-ES" w:eastAsia="es-ES"/>
        </w:rPr>
        <w:t>Con fecha</w:t>
      </w:r>
      <w:r w:rsidR="00057862">
        <w:rPr>
          <w:rFonts w:eastAsia="Times New Roman" w:cs="Tahoma"/>
          <w:bCs/>
          <w:color w:val="auto"/>
          <w:lang w:val="es-ES" w:eastAsia="es-ES"/>
        </w:rPr>
        <w:t xml:space="preserve"> </w:t>
      </w:r>
      <w:r w:rsidR="008B7985">
        <w:rPr>
          <w:rFonts w:eastAsia="Times New Roman" w:cs="Tahoma"/>
          <w:bCs/>
          <w:color w:val="auto"/>
          <w:lang w:val="es-ES" w:eastAsia="es-ES"/>
        </w:rPr>
        <w:t>veintidós de enero de dos mil veintidós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057862">
        <w:rPr>
          <w:rFonts w:eastAsia="Times New Roman" w:cs="Tahoma"/>
          <w:bCs/>
          <w:color w:val="auto"/>
          <w:lang w:eastAsia="es-ES"/>
        </w:rPr>
        <w:t>los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 xml:space="preserve">de Revisión </w:t>
      </w:r>
      <w:r w:rsidRPr="003D5B55">
        <w:rPr>
          <w:rFonts w:eastAsia="Times New Roman" w:cs="Tahoma"/>
          <w:bCs/>
          <w:color w:val="auto"/>
          <w:lang w:eastAsia="es-ES"/>
        </w:rPr>
        <w:lastRenderedPageBreak/>
        <w:t>interpuesto</w:t>
      </w:r>
      <w:r w:rsidR="00057862">
        <w:rPr>
          <w:rFonts w:eastAsia="Times New Roman" w:cs="Tahoma"/>
          <w:bCs/>
          <w:color w:val="auto"/>
          <w:lang w:eastAsia="es-ES"/>
        </w:rPr>
        <w:t>s</w:t>
      </w:r>
      <w:r w:rsidRPr="003D5B55">
        <w:rPr>
          <w:rFonts w:eastAsia="Times New Roman" w:cs="Tahoma"/>
          <w:bCs/>
          <w:color w:val="auto"/>
          <w:lang w:eastAsia="es-ES"/>
        </w:rPr>
        <w:t xml:space="preserve">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 xml:space="preserve">en contra de </w:t>
      </w:r>
      <w:r w:rsidR="00057862">
        <w:rPr>
          <w:rFonts w:eastAsia="Times New Roman" w:cs="Tahoma"/>
          <w:bCs/>
          <w:color w:val="auto"/>
          <w:lang w:eastAsia="es-ES"/>
        </w:rPr>
        <w:t>las</w:t>
      </w:r>
      <w:r w:rsidRPr="003D5B55">
        <w:rPr>
          <w:rFonts w:eastAsia="Times New Roman" w:cs="Tahoma"/>
          <w:bCs/>
          <w:color w:val="auto"/>
          <w:lang w:eastAsia="es-ES"/>
        </w:rPr>
        <w:t xml:space="preserve"> respuesta</w:t>
      </w:r>
      <w:r w:rsidR="00057862">
        <w:rPr>
          <w:rFonts w:eastAsia="Times New Roman" w:cs="Tahoma"/>
          <w:bCs/>
          <w:color w:val="auto"/>
          <w:lang w:eastAsia="es-ES"/>
        </w:rPr>
        <w:t>s</w:t>
      </w:r>
      <w:r w:rsidRPr="003D5B55">
        <w:rPr>
          <w:rFonts w:eastAsia="Times New Roman" w:cs="Tahoma"/>
          <w:bCs/>
          <w:color w:val="auto"/>
          <w:lang w:eastAsia="es-ES"/>
        </w:rPr>
        <w:t xml:space="preserve"> del Sujeto Obligado</w:t>
      </w:r>
      <w:r w:rsidRPr="00CA21DC">
        <w:rPr>
          <w:rFonts w:eastAsia="Times New Roman" w:cs="Tahoma"/>
          <w:bCs/>
          <w:color w:val="auto"/>
          <w:lang w:eastAsia="es-ES"/>
        </w:rPr>
        <w:t>, en los siguientes términos:</w:t>
      </w:r>
    </w:p>
    <w:p w14:paraId="0E930B82" w14:textId="77777777" w:rsidR="00051642" w:rsidRDefault="00051642" w:rsidP="005E12FB">
      <w:pPr>
        <w:spacing w:after="0" w:line="360" w:lineRule="auto"/>
        <w:rPr>
          <w:rFonts w:eastAsia="Times New Roman" w:cs="Tahoma"/>
          <w:bCs/>
          <w:color w:val="auto"/>
          <w:lang w:eastAsia="es-ES"/>
        </w:rPr>
      </w:pPr>
    </w:p>
    <w:p w14:paraId="70B92916" w14:textId="57CE71AE" w:rsidR="00CF13F8" w:rsidRPr="008567E8" w:rsidRDefault="00CF13F8" w:rsidP="005E12FB">
      <w:pPr>
        <w:spacing w:after="0" w:line="360" w:lineRule="auto"/>
        <w:ind w:left="567" w:right="567"/>
        <w:rPr>
          <w:rFonts w:cs="Tahoma"/>
          <w:b/>
          <w:bCs/>
          <w:sz w:val="20"/>
          <w:szCs w:val="20"/>
        </w:rPr>
      </w:pPr>
      <w:bookmarkStart w:id="3" w:name="_Hlk86067911"/>
      <w:r>
        <w:rPr>
          <w:rFonts w:cs="Tahoma"/>
          <w:b/>
          <w:bCs/>
          <w:sz w:val="20"/>
          <w:szCs w:val="20"/>
        </w:rPr>
        <w:t xml:space="preserve">Recurso de Revisión </w:t>
      </w:r>
      <w:r w:rsidR="008B7985" w:rsidRPr="008B7985">
        <w:rPr>
          <w:rFonts w:cs="Tahoma"/>
          <w:b/>
          <w:bCs/>
          <w:sz w:val="20"/>
          <w:szCs w:val="20"/>
        </w:rPr>
        <w:t>00261/INFOEM/IP/RR/2022</w:t>
      </w:r>
    </w:p>
    <w:bookmarkEnd w:id="3"/>
    <w:p w14:paraId="14508806" w14:textId="30900D3A" w:rsidR="002A2C08" w:rsidRPr="0085149F" w:rsidRDefault="00865114"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707EFF8E" w14:textId="246C2388" w:rsidR="002A2C08" w:rsidRPr="0085149F" w:rsidRDefault="008B7985" w:rsidP="005E12FB">
      <w:pPr>
        <w:spacing w:after="0" w:line="360" w:lineRule="auto"/>
        <w:ind w:left="567" w:right="567"/>
        <w:rPr>
          <w:rFonts w:eastAsia="Times New Roman" w:cs="Tahoma"/>
          <w:bCs/>
          <w:i/>
          <w:color w:val="auto"/>
          <w:sz w:val="20"/>
          <w:szCs w:val="20"/>
          <w:lang w:eastAsia="es-ES"/>
        </w:rPr>
      </w:pPr>
      <w:r w:rsidRPr="008B7985">
        <w:rPr>
          <w:i/>
          <w:color w:val="000000"/>
          <w:sz w:val="20"/>
          <w:szCs w:val="20"/>
        </w:rPr>
        <w:t>No entrega la información solicitada.</w:t>
      </w:r>
      <w:r w:rsidR="00EE086D">
        <w:rPr>
          <w:i/>
          <w:color w:val="000000"/>
          <w:sz w:val="20"/>
          <w:szCs w:val="20"/>
        </w:rPr>
        <w:t>”</w:t>
      </w:r>
      <w:r w:rsidR="004640F3" w:rsidRPr="004640F3">
        <w:rPr>
          <w:i/>
          <w:color w:val="000000"/>
          <w:sz w:val="20"/>
          <w:szCs w:val="20"/>
        </w:rPr>
        <w:t xml:space="preserve"> </w:t>
      </w:r>
      <w:r w:rsidR="002A2C08" w:rsidRPr="0085149F">
        <w:rPr>
          <w:rFonts w:eastAsia="Times New Roman" w:cs="Tahoma"/>
          <w:bCs/>
          <w:i/>
          <w:color w:val="auto"/>
          <w:sz w:val="20"/>
          <w:szCs w:val="20"/>
          <w:lang w:eastAsia="es-ES"/>
        </w:rPr>
        <w:t>(Sic.)</w:t>
      </w:r>
    </w:p>
    <w:p w14:paraId="531EDF53" w14:textId="77777777" w:rsidR="002A2C08" w:rsidRPr="0085149F" w:rsidRDefault="002A2C08" w:rsidP="005E12FB">
      <w:pPr>
        <w:spacing w:after="0" w:line="360" w:lineRule="auto"/>
        <w:ind w:left="567" w:right="567"/>
        <w:rPr>
          <w:rFonts w:eastAsia="Times New Roman" w:cs="Tahoma"/>
          <w:bCs/>
          <w:i/>
          <w:color w:val="auto"/>
          <w:sz w:val="20"/>
          <w:szCs w:val="20"/>
          <w:lang w:eastAsia="es-ES"/>
        </w:rPr>
      </w:pPr>
    </w:p>
    <w:p w14:paraId="626A4CFD" w14:textId="54A63B5C" w:rsidR="002A2C08" w:rsidRPr="0085149F" w:rsidRDefault="00EE086D"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0FBC74DC" w:rsidR="002A2C08" w:rsidRPr="0085149F" w:rsidRDefault="008B7985" w:rsidP="005E12FB">
      <w:pPr>
        <w:spacing w:after="0" w:line="360" w:lineRule="auto"/>
        <w:ind w:left="567" w:right="567"/>
        <w:rPr>
          <w:rFonts w:eastAsia="Times New Roman" w:cs="Tahoma"/>
          <w:bCs/>
          <w:color w:val="auto"/>
          <w:sz w:val="20"/>
          <w:szCs w:val="20"/>
          <w:lang w:eastAsia="es-ES"/>
        </w:rPr>
      </w:pPr>
      <w:r w:rsidRPr="008B7985">
        <w:rPr>
          <w:i/>
          <w:color w:val="000000"/>
          <w:sz w:val="20"/>
          <w:szCs w:val="20"/>
        </w:rPr>
        <w:t>El responsable de Transparencia señala que se deberá acudir al Organismo por la información, pero la exijo via SAIMEX porque es mi derecho.</w:t>
      </w:r>
      <w:r w:rsidR="00EE086D">
        <w:rPr>
          <w:i/>
          <w:color w:val="000000"/>
          <w:sz w:val="20"/>
          <w:szCs w:val="20"/>
        </w:rPr>
        <w:t>”</w:t>
      </w:r>
      <w:r w:rsidR="002A2C08" w:rsidRPr="00DB12DB">
        <w:rPr>
          <w:i/>
          <w:color w:val="000000"/>
          <w:sz w:val="20"/>
          <w:szCs w:val="20"/>
        </w:rPr>
        <w:t xml:space="preserve"> </w:t>
      </w:r>
      <w:r w:rsidR="002A2C08" w:rsidRPr="0085149F">
        <w:rPr>
          <w:rFonts w:eastAsia="Times New Roman" w:cs="Tahoma"/>
          <w:bCs/>
          <w:i/>
          <w:color w:val="auto"/>
          <w:sz w:val="20"/>
          <w:szCs w:val="20"/>
          <w:lang w:eastAsia="es-ES"/>
        </w:rPr>
        <w:t>(Sic)</w:t>
      </w:r>
    </w:p>
    <w:p w14:paraId="2BC12C90" w14:textId="77777777" w:rsidR="002A2C08" w:rsidRDefault="002A2C08" w:rsidP="005E12FB">
      <w:pPr>
        <w:spacing w:after="0" w:line="360" w:lineRule="auto"/>
        <w:ind w:left="567" w:right="567"/>
        <w:rPr>
          <w:rFonts w:eastAsia="Times New Roman" w:cs="Tahoma"/>
          <w:b/>
          <w:bCs/>
          <w:i/>
          <w:color w:val="auto"/>
          <w:sz w:val="20"/>
          <w:szCs w:val="20"/>
          <w:lang w:eastAsia="es-ES"/>
        </w:rPr>
      </w:pPr>
    </w:p>
    <w:p w14:paraId="273AA040" w14:textId="0A377DC8" w:rsidR="00631A23" w:rsidRDefault="005F66A5" w:rsidP="005E12FB">
      <w:pPr>
        <w:spacing w:after="0" w:line="360" w:lineRule="auto"/>
        <w:ind w:left="567" w:right="567"/>
        <w:rPr>
          <w:rFonts w:cs="Tahoma"/>
          <w:b/>
          <w:bCs/>
          <w:sz w:val="20"/>
          <w:szCs w:val="20"/>
        </w:rPr>
      </w:pPr>
      <w:r>
        <w:rPr>
          <w:rFonts w:cs="Tahoma"/>
          <w:b/>
          <w:bCs/>
          <w:sz w:val="20"/>
          <w:szCs w:val="20"/>
        </w:rPr>
        <w:t xml:space="preserve">Recurso de Revisión </w:t>
      </w:r>
      <w:r w:rsidR="008B7985">
        <w:rPr>
          <w:rFonts w:cs="Tahoma"/>
          <w:b/>
          <w:bCs/>
          <w:sz w:val="20"/>
          <w:szCs w:val="20"/>
        </w:rPr>
        <w:t>00262</w:t>
      </w:r>
      <w:r w:rsidR="008B7985" w:rsidRPr="008B7985">
        <w:rPr>
          <w:rFonts w:cs="Tahoma"/>
          <w:b/>
          <w:bCs/>
          <w:sz w:val="20"/>
          <w:szCs w:val="20"/>
        </w:rPr>
        <w:t>/INFOEM/IP/RR/2022</w:t>
      </w:r>
    </w:p>
    <w:p w14:paraId="52DE4A3A" w14:textId="77777777" w:rsidR="00631A23" w:rsidRDefault="00631A23" w:rsidP="005E12FB">
      <w:pPr>
        <w:spacing w:after="0" w:line="360" w:lineRule="auto"/>
        <w:ind w:left="567" w:right="567"/>
        <w:rPr>
          <w:rFonts w:cs="Tahoma"/>
          <w:b/>
          <w:bCs/>
          <w:sz w:val="20"/>
          <w:szCs w:val="20"/>
        </w:rPr>
      </w:pPr>
    </w:p>
    <w:p w14:paraId="7584850B" w14:textId="77777777" w:rsidR="00631A23" w:rsidRPr="0085149F" w:rsidRDefault="00631A23"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77F0F925" w14:textId="3FF9278F" w:rsidR="00631A23" w:rsidRPr="0085149F" w:rsidRDefault="008B7985" w:rsidP="005E12FB">
      <w:pPr>
        <w:spacing w:after="0" w:line="360" w:lineRule="auto"/>
        <w:ind w:left="567" w:right="567"/>
        <w:rPr>
          <w:rFonts w:eastAsia="Times New Roman" w:cs="Tahoma"/>
          <w:bCs/>
          <w:i/>
          <w:color w:val="auto"/>
          <w:sz w:val="20"/>
          <w:szCs w:val="20"/>
          <w:lang w:eastAsia="es-ES"/>
        </w:rPr>
      </w:pPr>
      <w:r w:rsidRPr="008B7985">
        <w:rPr>
          <w:i/>
          <w:color w:val="000000"/>
          <w:sz w:val="20"/>
          <w:szCs w:val="20"/>
        </w:rPr>
        <w:t>No entrega la información requerida.</w:t>
      </w:r>
      <w:r w:rsidR="00145FC3" w:rsidRPr="00145FC3">
        <w:rPr>
          <w:i/>
          <w:color w:val="000000"/>
          <w:sz w:val="20"/>
          <w:szCs w:val="20"/>
        </w:rPr>
        <w:t>.</w:t>
      </w:r>
      <w:r w:rsidR="00631A23">
        <w:rPr>
          <w:i/>
          <w:color w:val="000000"/>
          <w:sz w:val="20"/>
          <w:szCs w:val="20"/>
        </w:rPr>
        <w:t>”</w:t>
      </w:r>
      <w:r w:rsidR="00631A23" w:rsidRPr="004640F3">
        <w:rPr>
          <w:i/>
          <w:color w:val="000000"/>
          <w:sz w:val="20"/>
          <w:szCs w:val="20"/>
        </w:rPr>
        <w:t xml:space="preserve"> </w:t>
      </w:r>
      <w:r w:rsidR="00631A23" w:rsidRPr="0085149F">
        <w:rPr>
          <w:rFonts w:eastAsia="Times New Roman" w:cs="Tahoma"/>
          <w:bCs/>
          <w:i/>
          <w:color w:val="auto"/>
          <w:sz w:val="20"/>
          <w:szCs w:val="20"/>
          <w:lang w:eastAsia="es-ES"/>
        </w:rPr>
        <w:t>(Sic.)</w:t>
      </w:r>
    </w:p>
    <w:p w14:paraId="7292EDE9" w14:textId="77777777" w:rsidR="00631A23" w:rsidRPr="0085149F" w:rsidRDefault="00631A23" w:rsidP="005E12FB">
      <w:pPr>
        <w:spacing w:after="0" w:line="360" w:lineRule="auto"/>
        <w:ind w:left="567" w:right="567"/>
        <w:rPr>
          <w:rFonts w:eastAsia="Times New Roman" w:cs="Tahoma"/>
          <w:bCs/>
          <w:i/>
          <w:color w:val="auto"/>
          <w:sz w:val="20"/>
          <w:szCs w:val="20"/>
          <w:lang w:eastAsia="es-ES"/>
        </w:rPr>
      </w:pPr>
    </w:p>
    <w:p w14:paraId="09BDEC06" w14:textId="77777777" w:rsidR="00631A23" w:rsidRPr="0085149F" w:rsidRDefault="00631A23"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561456B4" w14:textId="6C57DE8C" w:rsidR="00631A23" w:rsidRPr="0085149F" w:rsidRDefault="008B7985" w:rsidP="005E12FB">
      <w:pPr>
        <w:spacing w:after="0" w:line="360" w:lineRule="auto"/>
        <w:ind w:left="567" w:right="567"/>
        <w:rPr>
          <w:rFonts w:eastAsia="Times New Roman" w:cs="Tahoma"/>
          <w:bCs/>
          <w:color w:val="auto"/>
          <w:sz w:val="20"/>
          <w:szCs w:val="20"/>
          <w:lang w:eastAsia="es-ES"/>
        </w:rPr>
      </w:pPr>
      <w:r w:rsidRPr="008B7985">
        <w:rPr>
          <w:i/>
          <w:color w:val="000000"/>
          <w:sz w:val="20"/>
          <w:szCs w:val="20"/>
        </w:rPr>
        <w:t>No entregó la información.</w:t>
      </w:r>
      <w:r w:rsidR="00145FC3" w:rsidRPr="00145FC3">
        <w:rPr>
          <w:i/>
          <w:color w:val="000000"/>
          <w:sz w:val="20"/>
          <w:szCs w:val="20"/>
        </w:rPr>
        <w:t>.</w:t>
      </w:r>
      <w:r w:rsidR="00631A23">
        <w:rPr>
          <w:i/>
          <w:color w:val="000000"/>
          <w:sz w:val="20"/>
          <w:szCs w:val="20"/>
        </w:rPr>
        <w:t>”</w:t>
      </w:r>
      <w:r w:rsidR="00631A23" w:rsidRPr="00DB12DB">
        <w:rPr>
          <w:i/>
          <w:color w:val="000000"/>
          <w:sz w:val="20"/>
          <w:szCs w:val="20"/>
        </w:rPr>
        <w:t xml:space="preserve"> </w:t>
      </w:r>
      <w:r w:rsidR="00631A23" w:rsidRPr="0085149F">
        <w:rPr>
          <w:rFonts w:eastAsia="Times New Roman" w:cs="Tahoma"/>
          <w:bCs/>
          <w:i/>
          <w:color w:val="auto"/>
          <w:sz w:val="20"/>
          <w:szCs w:val="20"/>
          <w:lang w:eastAsia="es-ES"/>
        </w:rPr>
        <w:t>(Sic)</w:t>
      </w:r>
    </w:p>
    <w:p w14:paraId="73DCB7CF" w14:textId="77777777" w:rsidR="00631A23" w:rsidRDefault="00631A23" w:rsidP="005E12FB">
      <w:pPr>
        <w:spacing w:after="0" w:line="360" w:lineRule="auto"/>
        <w:ind w:left="567" w:right="567"/>
        <w:rPr>
          <w:rFonts w:cs="Tahoma"/>
          <w:b/>
          <w:bCs/>
          <w:sz w:val="20"/>
          <w:szCs w:val="20"/>
        </w:rPr>
      </w:pPr>
    </w:p>
    <w:p w14:paraId="06E5811D" w14:textId="20BAD816" w:rsidR="00631A23" w:rsidRDefault="005F66A5" w:rsidP="005E12FB">
      <w:pPr>
        <w:spacing w:after="0" w:line="360" w:lineRule="auto"/>
        <w:ind w:left="567" w:right="567"/>
        <w:rPr>
          <w:rFonts w:cs="Tahoma"/>
          <w:b/>
          <w:bCs/>
          <w:sz w:val="20"/>
          <w:szCs w:val="20"/>
        </w:rPr>
      </w:pPr>
      <w:r>
        <w:rPr>
          <w:rFonts w:cs="Tahoma"/>
          <w:b/>
          <w:bCs/>
          <w:sz w:val="20"/>
          <w:szCs w:val="20"/>
        </w:rPr>
        <w:t xml:space="preserve">Recurso de Revisión </w:t>
      </w:r>
      <w:r w:rsidR="008B7985">
        <w:rPr>
          <w:rFonts w:cs="Tahoma"/>
          <w:b/>
          <w:bCs/>
          <w:sz w:val="20"/>
          <w:szCs w:val="20"/>
        </w:rPr>
        <w:t>00263</w:t>
      </w:r>
      <w:r w:rsidR="008B7985" w:rsidRPr="008B7985">
        <w:rPr>
          <w:rFonts w:cs="Tahoma"/>
          <w:b/>
          <w:bCs/>
          <w:sz w:val="20"/>
          <w:szCs w:val="20"/>
        </w:rPr>
        <w:t>/INFOEM/IP/RR/2022</w:t>
      </w:r>
    </w:p>
    <w:p w14:paraId="1325165E" w14:textId="77777777" w:rsidR="00631A23" w:rsidRDefault="00631A23" w:rsidP="005E12FB">
      <w:pPr>
        <w:spacing w:after="0" w:line="360" w:lineRule="auto"/>
        <w:ind w:left="567" w:right="567"/>
        <w:rPr>
          <w:rFonts w:cs="Tahoma"/>
          <w:b/>
          <w:bCs/>
          <w:sz w:val="20"/>
          <w:szCs w:val="20"/>
        </w:rPr>
      </w:pPr>
    </w:p>
    <w:p w14:paraId="10D7C2D5" w14:textId="77777777" w:rsidR="00631A23" w:rsidRPr="0085149F" w:rsidRDefault="00631A23"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405A1F13" w14:textId="0F044C65" w:rsidR="00631A23" w:rsidRPr="0085149F" w:rsidRDefault="008B7985" w:rsidP="005E12FB">
      <w:pPr>
        <w:spacing w:after="0" w:line="360" w:lineRule="auto"/>
        <w:ind w:left="567" w:right="567"/>
        <w:rPr>
          <w:rFonts w:eastAsia="Times New Roman" w:cs="Tahoma"/>
          <w:bCs/>
          <w:i/>
          <w:color w:val="auto"/>
          <w:sz w:val="20"/>
          <w:szCs w:val="20"/>
          <w:lang w:eastAsia="es-ES"/>
        </w:rPr>
      </w:pPr>
      <w:r w:rsidRPr="008B7985">
        <w:rPr>
          <w:i/>
          <w:color w:val="000000"/>
          <w:sz w:val="20"/>
          <w:szCs w:val="20"/>
        </w:rPr>
        <w:t>No entregó la información solicitada.</w:t>
      </w:r>
      <w:r w:rsidR="00631A23">
        <w:rPr>
          <w:i/>
          <w:color w:val="000000"/>
          <w:sz w:val="20"/>
          <w:szCs w:val="20"/>
        </w:rPr>
        <w:t>”</w:t>
      </w:r>
      <w:r w:rsidR="00631A23" w:rsidRPr="004640F3">
        <w:rPr>
          <w:i/>
          <w:color w:val="000000"/>
          <w:sz w:val="20"/>
          <w:szCs w:val="20"/>
        </w:rPr>
        <w:t xml:space="preserve"> </w:t>
      </w:r>
      <w:r w:rsidR="00631A23" w:rsidRPr="0085149F">
        <w:rPr>
          <w:rFonts w:eastAsia="Times New Roman" w:cs="Tahoma"/>
          <w:bCs/>
          <w:i/>
          <w:color w:val="auto"/>
          <w:sz w:val="20"/>
          <w:szCs w:val="20"/>
          <w:lang w:eastAsia="es-ES"/>
        </w:rPr>
        <w:t>(Sic.)</w:t>
      </w:r>
    </w:p>
    <w:p w14:paraId="5C66F07F" w14:textId="77777777" w:rsidR="00631A23" w:rsidRPr="0085149F" w:rsidRDefault="00631A23" w:rsidP="005E12FB">
      <w:pPr>
        <w:spacing w:after="0" w:line="360" w:lineRule="auto"/>
        <w:ind w:left="567" w:right="567"/>
        <w:rPr>
          <w:rFonts w:eastAsia="Times New Roman" w:cs="Tahoma"/>
          <w:bCs/>
          <w:i/>
          <w:color w:val="auto"/>
          <w:sz w:val="20"/>
          <w:szCs w:val="20"/>
          <w:lang w:eastAsia="es-ES"/>
        </w:rPr>
      </w:pPr>
    </w:p>
    <w:p w14:paraId="742514BF" w14:textId="77777777" w:rsidR="00631A23" w:rsidRPr="0085149F" w:rsidRDefault="00631A23"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4D99D0B5" w14:textId="3319E465" w:rsidR="00631A23" w:rsidRPr="0085149F" w:rsidRDefault="008B7985" w:rsidP="005E12FB">
      <w:pPr>
        <w:spacing w:after="0" w:line="360" w:lineRule="auto"/>
        <w:ind w:left="567" w:right="567"/>
        <w:rPr>
          <w:rFonts w:eastAsia="Times New Roman" w:cs="Tahoma"/>
          <w:bCs/>
          <w:color w:val="auto"/>
          <w:sz w:val="20"/>
          <w:szCs w:val="20"/>
          <w:lang w:eastAsia="es-ES"/>
        </w:rPr>
      </w:pPr>
      <w:r w:rsidRPr="008B7985">
        <w:rPr>
          <w:i/>
          <w:color w:val="000000"/>
          <w:sz w:val="20"/>
          <w:szCs w:val="20"/>
        </w:rPr>
        <w:t xml:space="preserve">El responsable de Transparencia señala que se deberá acudir al Organismo por la información, pero la exijo </w:t>
      </w:r>
      <w:r>
        <w:rPr>
          <w:i/>
          <w:color w:val="000000"/>
          <w:sz w:val="20"/>
          <w:szCs w:val="20"/>
        </w:rPr>
        <w:t>via SAIMEX porque es mi derecho</w:t>
      </w:r>
      <w:r w:rsidR="002638D0" w:rsidRPr="002638D0">
        <w:rPr>
          <w:i/>
          <w:color w:val="000000"/>
          <w:sz w:val="20"/>
          <w:szCs w:val="20"/>
        </w:rPr>
        <w:t>.</w:t>
      </w:r>
      <w:r w:rsidR="00631A23">
        <w:rPr>
          <w:i/>
          <w:color w:val="000000"/>
          <w:sz w:val="20"/>
          <w:szCs w:val="20"/>
        </w:rPr>
        <w:t>”</w:t>
      </w:r>
      <w:r w:rsidR="00631A23" w:rsidRPr="00DB12DB">
        <w:rPr>
          <w:i/>
          <w:color w:val="000000"/>
          <w:sz w:val="20"/>
          <w:szCs w:val="20"/>
        </w:rPr>
        <w:t xml:space="preserve"> </w:t>
      </w:r>
      <w:r w:rsidR="00631A23" w:rsidRPr="0085149F">
        <w:rPr>
          <w:rFonts w:eastAsia="Times New Roman" w:cs="Tahoma"/>
          <w:bCs/>
          <w:i/>
          <w:color w:val="auto"/>
          <w:sz w:val="20"/>
          <w:szCs w:val="20"/>
          <w:lang w:eastAsia="es-ES"/>
        </w:rPr>
        <w:t>(Sic)</w:t>
      </w:r>
    </w:p>
    <w:p w14:paraId="4AC5EEF8" w14:textId="2D96F440" w:rsidR="005F66A5" w:rsidRDefault="005F66A5" w:rsidP="005E12FB">
      <w:pPr>
        <w:spacing w:after="0" w:line="360" w:lineRule="auto"/>
        <w:ind w:left="567" w:right="567"/>
        <w:rPr>
          <w:rFonts w:cs="Tahoma"/>
          <w:b/>
          <w:bCs/>
          <w:sz w:val="20"/>
          <w:szCs w:val="20"/>
        </w:rPr>
      </w:pPr>
      <w:r w:rsidRPr="00CF13F8">
        <w:rPr>
          <w:rFonts w:cs="Tahoma"/>
          <w:b/>
          <w:bCs/>
          <w:sz w:val="20"/>
          <w:szCs w:val="20"/>
        </w:rPr>
        <w:t xml:space="preserve">   </w:t>
      </w:r>
    </w:p>
    <w:p w14:paraId="140A5CDC" w14:textId="66F17F31" w:rsidR="00631A23" w:rsidRDefault="005F66A5" w:rsidP="005E12FB">
      <w:pPr>
        <w:spacing w:after="0" w:line="360" w:lineRule="auto"/>
        <w:ind w:left="567" w:right="567"/>
        <w:rPr>
          <w:rFonts w:cs="Tahoma"/>
          <w:b/>
          <w:bCs/>
          <w:sz w:val="20"/>
          <w:szCs w:val="20"/>
        </w:rPr>
      </w:pPr>
      <w:r>
        <w:rPr>
          <w:rFonts w:cs="Tahoma"/>
          <w:b/>
          <w:bCs/>
          <w:sz w:val="20"/>
          <w:szCs w:val="20"/>
        </w:rPr>
        <w:lastRenderedPageBreak/>
        <w:t xml:space="preserve">Recurso de Revisión </w:t>
      </w:r>
      <w:r w:rsidR="008B7985">
        <w:rPr>
          <w:rFonts w:cs="Tahoma"/>
          <w:b/>
          <w:bCs/>
          <w:sz w:val="20"/>
          <w:szCs w:val="20"/>
        </w:rPr>
        <w:t>00264</w:t>
      </w:r>
      <w:r w:rsidR="008B7985" w:rsidRPr="008B7985">
        <w:rPr>
          <w:rFonts w:cs="Tahoma"/>
          <w:b/>
          <w:bCs/>
          <w:sz w:val="20"/>
          <w:szCs w:val="20"/>
        </w:rPr>
        <w:t>/INFOEM/IP/RR/2022</w:t>
      </w:r>
    </w:p>
    <w:p w14:paraId="56DE475B" w14:textId="77777777" w:rsidR="00631A23" w:rsidRDefault="00631A23" w:rsidP="005E12FB">
      <w:pPr>
        <w:spacing w:after="0" w:line="360" w:lineRule="auto"/>
        <w:ind w:left="567" w:right="567"/>
        <w:rPr>
          <w:rFonts w:cs="Tahoma"/>
          <w:b/>
          <w:bCs/>
          <w:sz w:val="20"/>
          <w:szCs w:val="20"/>
        </w:rPr>
      </w:pPr>
    </w:p>
    <w:p w14:paraId="6C991C57" w14:textId="77777777" w:rsidR="00631A23" w:rsidRPr="0085149F" w:rsidRDefault="00631A23"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48E12D31" w14:textId="58F15FB0" w:rsidR="00631A23" w:rsidRPr="0085149F" w:rsidRDefault="008B7985" w:rsidP="005E12FB">
      <w:pPr>
        <w:spacing w:after="0" w:line="360" w:lineRule="auto"/>
        <w:ind w:left="567" w:right="567"/>
        <w:rPr>
          <w:rFonts w:eastAsia="Times New Roman" w:cs="Tahoma"/>
          <w:bCs/>
          <w:i/>
          <w:color w:val="auto"/>
          <w:sz w:val="20"/>
          <w:szCs w:val="20"/>
          <w:lang w:eastAsia="es-ES"/>
        </w:rPr>
      </w:pPr>
      <w:r>
        <w:rPr>
          <w:i/>
          <w:color w:val="000000"/>
          <w:sz w:val="20"/>
          <w:szCs w:val="20"/>
        </w:rPr>
        <w:t>No entrega lo que se pide</w:t>
      </w:r>
      <w:r w:rsidR="00C93D95" w:rsidRPr="00C93D95">
        <w:rPr>
          <w:i/>
          <w:color w:val="000000"/>
          <w:sz w:val="20"/>
          <w:szCs w:val="20"/>
        </w:rPr>
        <w:t>.</w:t>
      </w:r>
      <w:r w:rsidR="00631A23">
        <w:rPr>
          <w:i/>
          <w:color w:val="000000"/>
          <w:sz w:val="20"/>
          <w:szCs w:val="20"/>
        </w:rPr>
        <w:t>”</w:t>
      </w:r>
      <w:r w:rsidR="00631A23" w:rsidRPr="004640F3">
        <w:rPr>
          <w:i/>
          <w:color w:val="000000"/>
          <w:sz w:val="20"/>
          <w:szCs w:val="20"/>
        </w:rPr>
        <w:t xml:space="preserve"> </w:t>
      </w:r>
      <w:r w:rsidR="00631A23" w:rsidRPr="0085149F">
        <w:rPr>
          <w:rFonts w:eastAsia="Times New Roman" w:cs="Tahoma"/>
          <w:bCs/>
          <w:i/>
          <w:color w:val="auto"/>
          <w:sz w:val="20"/>
          <w:szCs w:val="20"/>
          <w:lang w:eastAsia="es-ES"/>
        </w:rPr>
        <w:t>(Sic.)</w:t>
      </w:r>
    </w:p>
    <w:p w14:paraId="018F86BF" w14:textId="77777777" w:rsidR="00631A23" w:rsidRPr="0085149F" w:rsidRDefault="00631A23" w:rsidP="005E12FB">
      <w:pPr>
        <w:spacing w:after="0" w:line="360" w:lineRule="auto"/>
        <w:ind w:left="567" w:right="567"/>
        <w:rPr>
          <w:rFonts w:eastAsia="Times New Roman" w:cs="Tahoma"/>
          <w:bCs/>
          <w:i/>
          <w:color w:val="auto"/>
          <w:sz w:val="20"/>
          <w:szCs w:val="20"/>
          <w:lang w:eastAsia="es-ES"/>
        </w:rPr>
      </w:pPr>
    </w:p>
    <w:p w14:paraId="7A310DF9" w14:textId="77777777" w:rsidR="00631A23" w:rsidRPr="0085149F" w:rsidRDefault="00631A23" w:rsidP="005E12FB">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46F1F953" w14:textId="6D4FA63D" w:rsidR="00631A23" w:rsidRPr="0085149F" w:rsidRDefault="008B7985" w:rsidP="005E12FB">
      <w:pPr>
        <w:spacing w:after="0" w:line="360" w:lineRule="auto"/>
        <w:ind w:left="567" w:right="567"/>
        <w:rPr>
          <w:rFonts w:eastAsia="Times New Roman" w:cs="Tahoma"/>
          <w:bCs/>
          <w:color w:val="auto"/>
          <w:sz w:val="20"/>
          <w:szCs w:val="20"/>
          <w:lang w:eastAsia="es-ES"/>
        </w:rPr>
      </w:pPr>
      <w:r w:rsidRPr="008B7985">
        <w:rPr>
          <w:i/>
          <w:color w:val="000000"/>
          <w:sz w:val="20"/>
          <w:szCs w:val="20"/>
        </w:rPr>
        <w:t>El responsable de Transparencia señala que se deberá acudir al Organismo por la información, pero la exijo vi</w:t>
      </w:r>
      <w:r>
        <w:rPr>
          <w:i/>
          <w:color w:val="000000"/>
          <w:sz w:val="20"/>
          <w:szCs w:val="20"/>
        </w:rPr>
        <w:t>a SAIMEX porque es mi derecho</w:t>
      </w:r>
      <w:r w:rsidR="00C93D95" w:rsidRPr="00C93D95">
        <w:rPr>
          <w:i/>
          <w:color w:val="000000"/>
          <w:sz w:val="20"/>
          <w:szCs w:val="20"/>
        </w:rPr>
        <w:t>.</w:t>
      </w:r>
      <w:r w:rsidR="00631A23">
        <w:rPr>
          <w:i/>
          <w:color w:val="000000"/>
          <w:sz w:val="20"/>
          <w:szCs w:val="20"/>
        </w:rPr>
        <w:t>”</w:t>
      </w:r>
      <w:r w:rsidR="00631A23" w:rsidRPr="00DB12DB">
        <w:rPr>
          <w:i/>
          <w:color w:val="000000"/>
          <w:sz w:val="20"/>
          <w:szCs w:val="20"/>
        </w:rPr>
        <w:t xml:space="preserve"> </w:t>
      </w:r>
      <w:r w:rsidR="00631A23" w:rsidRPr="0085149F">
        <w:rPr>
          <w:rFonts w:eastAsia="Times New Roman" w:cs="Tahoma"/>
          <w:bCs/>
          <w:i/>
          <w:color w:val="auto"/>
          <w:sz w:val="20"/>
          <w:szCs w:val="20"/>
          <w:lang w:eastAsia="es-ES"/>
        </w:rPr>
        <w:t>(Sic)</w:t>
      </w:r>
    </w:p>
    <w:p w14:paraId="1CE91750" w14:textId="23A96FD1" w:rsidR="00051642" w:rsidRPr="008B7985" w:rsidRDefault="005F66A5" w:rsidP="005E12FB">
      <w:pPr>
        <w:spacing w:after="0" w:line="360" w:lineRule="auto"/>
        <w:ind w:left="567" w:right="567"/>
        <w:rPr>
          <w:rFonts w:cs="Tahoma"/>
          <w:b/>
          <w:bCs/>
          <w:sz w:val="20"/>
          <w:szCs w:val="20"/>
        </w:rPr>
      </w:pPr>
      <w:r w:rsidRPr="00CF13F8">
        <w:rPr>
          <w:rFonts w:cs="Tahoma"/>
          <w:b/>
          <w:bCs/>
          <w:sz w:val="20"/>
          <w:szCs w:val="20"/>
        </w:rPr>
        <w:t xml:space="preserve">     </w:t>
      </w:r>
    </w:p>
    <w:p w14:paraId="35300BB0" w14:textId="5392F99C" w:rsidR="00051642" w:rsidRDefault="00AC2906" w:rsidP="005E12FB">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5E12FB">
      <w:pPr>
        <w:spacing w:after="0" w:line="360" w:lineRule="auto"/>
        <w:rPr>
          <w:rFonts w:eastAsia="Batang" w:cs="Tahoma"/>
          <w:bCs/>
          <w:color w:val="000000"/>
        </w:rPr>
      </w:pPr>
    </w:p>
    <w:p w14:paraId="3B955202" w14:textId="2A233CD7" w:rsidR="00051642" w:rsidRPr="00201E02" w:rsidRDefault="00201E02" w:rsidP="005E12FB">
      <w:pPr>
        <w:spacing w:after="0" w:line="360" w:lineRule="auto"/>
        <w:rPr>
          <w:rFonts w:eastAsia="Batang" w:cs="Tahoma"/>
          <w:bCs/>
          <w:color w:val="000000"/>
        </w:rPr>
      </w:pPr>
      <w:r w:rsidRPr="00201E02">
        <w:rPr>
          <w:rFonts w:eastAsia="Batang" w:cs="Tahoma"/>
          <w:b/>
          <w:bCs/>
          <w:color w:val="000000"/>
        </w:rPr>
        <w:t>a)</w:t>
      </w:r>
      <w:r>
        <w:rPr>
          <w:rFonts w:eastAsia="Batang" w:cs="Tahoma"/>
          <w:b/>
          <w:bCs/>
          <w:color w:val="000000"/>
        </w:rPr>
        <w:t xml:space="preserve"> </w:t>
      </w:r>
      <w:r w:rsidR="00051642" w:rsidRPr="00201E02">
        <w:rPr>
          <w:rFonts w:eastAsia="Batang" w:cs="Tahoma"/>
          <w:b/>
          <w:bCs/>
          <w:color w:val="000000"/>
        </w:rPr>
        <w:t xml:space="preserve">Turno del Medio de Impugnación. </w:t>
      </w:r>
      <w:r w:rsidR="00051642" w:rsidRPr="00201E02">
        <w:rPr>
          <w:rFonts w:eastAsia="Batang" w:cs="Tahoma"/>
          <w:bCs/>
          <w:color w:val="000000"/>
        </w:rPr>
        <w:t xml:space="preserve">El </w:t>
      </w:r>
      <w:r w:rsidR="004F2861" w:rsidRPr="00201E02">
        <w:rPr>
          <w:rFonts w:eastAsia="Times New Roman" w:cs="Tahoma"/>
          <w:bCs/>
          <w:color w:val="auto"/>
          <w:lang w:val="es-ES" w:eastAsia="es-ES"/>
        </w:rPr>
        <w:t xml:space="preserve">dieciocho </w:t>
      </w:r>
      <w:r w:rsidR="00CA0727" w:rsidRPr="00201E02">
        <w:rPr>
          <w:rFonts w:eastAsia="Times New Roman" w:cs="Tahoma"/>
          <w:bCs/>
          <w:color w:val="auto"/>
          <w:lang w:val="es-ES" w:eastAsia="es-ES"/>
        </w:rPr>
        <w:t xml:space="preserve">de diciembre </w:t>
      </w:r>
      <w:r w:rsidR="00051642" w:rsidRPr="00201E02">
        <w:rPr>
          <w:rFonts w:eastAsia="Times New Roman" w:cs="Tahoma"/>
          <w:bCs/>
          <w:color w:val="auto"/>
          <w:lang w:val="es-ES" w:eastAsia="es-ES"/>
        </w:rPr>
        <w:t>de dos mil veintiuno</w:t>
      </w:r>
      <w:r w:rsidR="00051642" w:rsidRPr="00201E02">
        <w:rPr>
          <w:rFonts w:eastAsia="Batang" w:cs="Tahoma"/>
          <w:bCs/>
          <w:color w:val="000000"/>
        </w:rPr>
        <w:t xml:space="preserve">, el </w:t>
      </w:r>
      <w:r w:rsidR="00051642" w:rsidRPr="00201E02">
        <w:rPr>
          <w:rFonts w:eastAsia="Calibri" w:cs="Tahoma"/>
          <w:color w:val="000000"/>
          <w:lang w:val="es-ES"/>
        </w:rPr>
        <w:t>Sistema de Acceso a la Información Mexiquense (SAIMEX),</w:t>
      </w:r>
      <w:r w:rsidR="00051642" w:rsidRPr="00201E02">
        <w:rPr>
          <w:rFonts w:eastAsia="Batang" w:cs="Tahoma"/>
          <w:bCs/>
          <w:color w:val="000000"/>
        </w:rPr>
        <w:t xml:space="preserve"> asignó </w:t>
      </w:r>
      <w:r w:rsidRPr="00201E02">
        <w:rPr>
          <w:rFonts w:eastAsia="Batang" w:cs="Tahoma"/>
          <w:bCs/>
          <w:color w:val="000000"/>
        </w:rPr>
        <w:t>los</w:t>
      </w:r>
      <w:r w:rsidR="00051642" w:rsidRPr="00201E02">
        <w:rPr>
          <w:rFonts w:eastAsia="Batang" w:cs="Tahoma"/>
          <w:bCs/>
          <w:color w:val="000000"/>
        </w:rPr>
        <w:t xml:space="preserve"> número</w:t>
      </w:r>
      <w:r w:rsidRPr="00201E02">
        <w:rPr>
          <w:rFonts w:eastAsia="Batang" w:cs="Tahoma"/>
          <w:bCs/>
          <w:color w:val="000000"/>
        </w:rPr>
        <w:t>s</w:t>
      </w:r>
      <w:r w:rsidR="00051642" w:rsidRPr="00201E02">
        <w:rPr>
          <w:rFonts w:eastAsia="Batang" w:cs="Tahoma"/>
          <w:bCs/>
          <w:color w:val="000000"/>
        </w:rPr>
        <w:t xml:space="preserve"> de expediente</w:t>
      </w:r>
      <w:r w:rsidRPr="00201E02">
        <w:rPr>
          <w:rFonts w:eastAsia="Batang" w:cs="Tahoma"/>
          <w:bCs/>
          <w:color w:val="000000"/>
        </w:rPr>
        <w:t>s</w:t>
      </w:r>
      <w:r>
        <w:rPr>
          <w:rFonts w:eastAsia="Batang" w:cs="Tahoma"/>
          <w:bCs/>
          <w:color w:val="000000"/>
        </w:rPr>
        <w:t xml:space="preserve"> </w:t>
      </w:r>
      <w:r w:rsidR="008B7985" w:rsidRPr="008B7985">
        <w:rPr>
          <w:rFonts w:eastAsia="Calibri" w:cs="Tahoma"/>
          <w:b/>
        </w:rPr>
        <w:t>00261/INFOEM/IP/RR/2022</w:t>
      </w:r>
      <w:r>
        <w:rPr>
          <w:rFonts w:eastAsia="Batang" w:cs="Tahoma"/>
          <w:bCs/>
          <w:color w:val="000000"/>
        </w:rPr>
        <w:t>,</w:t>
      </w:r>
      <w:r w:rsidR="008B7985">
        <w:rPr>
          <w:rFonts w:eastAsia="Batang" w:cs="Tahoma"/>
          <w:bCs/>
          <w:color w:val="000000"/>
        </w:rPr>
        <w:t xml:space="preserve"> </w:t>
      </w:r>
      <w:r w:rsidR="008B7985" w:rsidRPr="008B7985">
        <w:rPr>
          <w:rFonts w:eastAsia="Calibri" w:cs="Tahoma"/>
          <w:b/>
        </w:rPr>
        <w:t>0</w:t>
      </w:r>
      <w:r w:rsidR="008B7985">
        <w:rPr>
          <w:rFonts w:eastAsia="Calibri" w:cs="Tahoma"/>
          <w:b/>
        </w:rPr>
        <w:t>0262</w:t>
      </w:r>
      <w:r w:rsidR="008B7985" w:rsidRPr="008B7985">
        <w:rPr>
          <w:rFonts w:eastAsia="Calibri" w:cs="Tahoma"/>
          <w:b/>
        </w:rPr>
        <w:t>/INFOEM/IP/RR/2022</w:t>
      </w:r>
      <w:r w:rsidR="008B7985">
        <w:rPr>
          <w:rFonts w:eastAsia="Calibri" w:cs="Tahoma"/>
          <w:b/>
        </w:rPr>
        <w:t xml:space="preserve">, </w:t>
      </w:r>
      <w:r w:rsidR="008B7985" w:rsidRPr="008B7985">
        <w:rPr>
          <w:rFonts w:eastAsia="Calibri" w:cs="Tahoma"/>
          <w:b/>
        </w:rPr>
        <w:t>0</w:t>
      </w:r>
      <w:r w:rsidR="008B7985">
        <w:rPr>
          <w:rFonts w:eastAsia="Calibri" w:cs="Tahoma"/>
          <w:b/>
        </w:rPr>
        <w:t>0263</w:t>
      </w:r>
      <w:r w:rsidR="008B7985" w:rsidRPr="008B7985">
        <w:rPr>
          <w:rFonts w:eastAsia="Calibri" w:cs="Tahoma"/>
          <w:b/>
        </w:rPr>
        <w:t>/INFOEM/IP/RR/2022</w:t>
      </w:r>
      <w:r w:rsidR="008B7985">
        <w:rPr>
          <w:rFonts w:eastAsia="Calibri" w:cs="Tahoma"/>
          <w:b/>
        </w:rPr>
        <w:t xml:space="preserve"> y </w:t>
      </w:r>
      <w:r w:rsidR="008B7985" w:rsidRPr="008B7985">
        <w:rPr>
          <w:rFonts w:eastAsia="Calibri" w:cs="Tahoma"/>
          <w:b/>
        </w:rPr>
        <w:t>0026</w:t>
      </w:r>
      <w:r w:rsidR="008B7985">
        <w:rPr>
          <w:rFonts w:eastAsia="Calibri" w:cs="Tahoma"/>
          <w:b/>
        </w:rPr>
        <w:t>4</w:t>
      </w:r>
      <w:r w:rsidR="008B7985" w:rsidRPr="008B7985">
        <w:rPr>
          <w:rFonts w:eastAsia="Calibri" w:cs="Tahoma"/>
          <w:b/>
        </w:rPr>
        <w:t>/INFOEM/IP/RR/2022</w:t>
      </w:r>
      <w:r>
        <w:rPr>
          <w:rFonts w:eastAsia="Batang" w:cs="Tahoma"/>
          <w:bCs/>
          <w:color w:val="000000"/>
        </w:rPr>
        <w:t xml:space="preserve"> </w:t>
      </w:r>
      <w:r w:rsidR="00051642" w:rsidRPr="00201E02">
        <w:t>a</w:t>
      </w:r>
      <w:r w:rsidR="00DB5D3F" w:rsidRPr="00201E02">
        <w:t xml:space="preserve"> </w:t>
      </w:r>
      <w:r w:rsidR="00051642" w:rsidRPr="00201E02">
        <w:t>l</w:t>
      </w:r>
      <w:r w:rsidR="00DB5D3F" w:rsidRPr="00201E02">
        <w:t>os M</w:t>
      </w:r>
      <w:r w:rsidR="00051642" w:rsidRPr="00201E02">
        <w:t xml:space="preserve">edio de </w:t>
      </w:r>
      <w:r w:rsidR="00DB5D3F" w:rsidRPr="00201E02">
        <w:t>I</w:t>
      </w:r>
      <w:r w:rsidR="00051642" w:rsidRPr="00201E02">
        <w:t xml:space="preserve">mpugnación que nos ocupa, con base en el sistema aprobado por el Pleno de este Órgano Garante y lo turnó </w:t>
      </w:r>
      <w:r w:rsidR="00382A3B" w:rsidRPr="00201E02">
        <w:t>a los Comisionados María del Rosario Mejía Ayala</w:t>
      </w:r>
      <w:r w:rsidR="00F81C16">
        <w:t xml:space="preserve">, </w:t>
      </w:r>
      <w:r w:rsidR="00680887">
        <w:t xml:space="preserve"> Sharon Morales Martínez,</w:t>
      </w:r>
      <w:r w:rsidR="005741D6">
        <w:t xml:space="preserve"> Guadalupe Ramírez Peña </w:t>
      </w:r>
      <w:r w:rsidR="00382A3B" w:rsidRPr="00201E02">
        <w:t>y Luis Gustavo Parra Noriega</w:t>
      </w:r>
      <w:r w:rsidR="00051642" w:rsidRPr="00201E02">
        <w:t>, para los efectos del artículo 185, fracción I de la Ley de Transparencia y Acceso a la Información Pública del Estado de México y Municipios.</w:t>
      </w:r>
    </w:p>
    <w:p w14:paraId="6A77E5B3" w14:textId="77777777" w:rsidR="00051642" w:rsidRPr="003D5B55" w:rsidRDefault="00051642" w:rsidP="005E12FB">
      <w:pPr>
        <w:spacing w:after="0" w:line="360" w:lineRule="auto"/>
        <w:rPr>
          <w:rFonts w:eastAsia="Batang" w:cs="Tahoma"/>
          <w:bCs/>
          <w:color w:val="000000"/>
        </w:rPr>
      </w:pPr>
    </w:p>
    <w:p w14:paraId="14B3EF1A" w14:textId="3224EF9B" w:rsidR="00051642" w:rsidRPr="003D5B55" w:rsidRDefault="00051642" w:rsidP="005E12FB">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00680887">
        <w:rPr>
          <w:rFonts w:eastAsia="Batang" w:cs="Tahoma"/>
          <w:bCs/>
          <w:color w:val="000000"/>
        </w:rPr>
        <w:t xml:space="preserve">Los días </w:t>
      </w:r>
      <w:r w:rsidR="008B7985">
        <w:rPr>
          <w:rFonts w:eastAsia="Batang" w:cs="Tahoma"/>
          <w:bCs/>
          <w:color w:val="000000"/>
        </w:rPr>
        <w:t xml:space="preserve">veintisiete y veintiocho de enero de dos </w:t>
      </w:r>
      <w:r w:rsidR="00680887">
        <w:rPr>
          <w:rFonts w:eastAsia="Batang" w:cs="Tahoma"/>
          <w:bCs/>
          <w:color w:val="000000"/>
        </w:rPr>
        <w:t>mil veintidós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mismo día</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w:t>
      </w:r>
      <w:r w:rsidRPr="003D5B55">
        <w:rPr>
          <w:rFonts w:eastAsia="Times New Roman" w:cs="Tahoma"/>
          <w:bCs/>
          <w:color w:val="auto"/>
          <w:lang w:val="es-ES_tradnl" w:eastAsia="es-ES"/>
        </w:rPr>
        <w:lastRenderedPageBreak/>
        <w:t xml:space="preserve">un plazo de siete días hábiles posteriores a la misma, para que manifestaran lo que a su derecho conviniera y formularan alegatos. </w:t>
      </w:r>
    </w:p>
    <w:p w14:paraId="55E88193" w14:textId="77777777" w:rsidR="00051642" w:rsidRPr="000F3317" w:rsidRDefault="00051642" w:rsidP="005E12FB">
      <w:pPr>
        <w:spacing w:after="0" w:line="360" w:lineRule="auto"/>
        <w:rPr>
          <w:rFonts w:cs="Tahoma"/>
        </w:rPr>
      </w:pPr>
    </w:p>
    <w:p w14:paraId="7CFDEB0F" w14:textId="266E1D9F" w:rsidR="00F34CDC" w:rsidRPr="00AB501F" w:rsidRDefault="00051642" w:rsidP="005E12FB">
      <w:pPr>
        <w:spacing w:after="0" w:line="360" w:lineRule="auto"/>
        <w:rPr>
          <w:rFonts w:cs="Tahoma"/>
          <w:b/>
          <w:bCs/>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00AB501F" w:rsidRPr="00AB501F">
        <w:rPr>
          <w:rFonts w:cs="Tahoma"/>
          <w:lang w:val="es-ES_tradnl"/>
        </w:rPr>
        <w:t xml:space="preserve">De las constancias que obran en el expediente electrónico, se advierte que el Particular no realizó manifestaciones que a su derecho conviniera, por su parte, </w:t>
      </w:r>
      <w:r w:rsidR="00AB501F" w:rsidRPr="005E12FB">
        <w:rPr>
          <w:rFonts w:cs="Tahoma"/>
          <w:b/>
          <w:bCs/>
          <w:lang w:val="es-ES_tradnl"/>
        </w:rPr>
        <w:t xml:space="preserve">el Sujeto Obligado </w:t>
      </w:r>
      <w:r w:rsidR="008B7985" w:rsidRPr="005E12FB">
        <w:rPr>
          <w:rFonts w:cs="Tahoma"/>
          <w:b/>
          <w:bCs/>
          <w:lang w:val="es-ES_tradnl"/>
        </w:rPr>
        <w:t>no rindió sus informes justificados</w:t>
      </w:r>
      <w:r w:rsidR="008B7985">
        <w:rPr>
          <w:rFonts w:cs="Tahoma"/>
          <w:lang w:val="es-ES_tradnl"/>
        </w:rPr>
        <w:t xml:space="preserve">. </w:t>
      </w:r>
    </w:p>
    <w:p w14:paraId="5F646FD7" w14:textId="2B23701C" w:rsidR="004640F3" w:rsidRDefault="004640F3" w:rsidP="005E12FB">
      <w:pPr>
        <w:spacing w:after="0" w:line="360" w:lineRule="auto"/>
        <w:rPr>
          <w:rFonts w:cs="Tahoma"/>
          <w:lang w:val="es-ES_tradnl"/>
        </w:rPr>
      </w:pPr>
    </w:p>
    <w:p w14:paraId="0990B652" w14:textId="1AF191AB" w:rsidR="004640F3" w:rsidRDefault="00B821D5" w:rsidP="005E12FB">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 </w:t>
      </w:r>
      <w:r w:rsidR="007E1770">
        <w:rPr>
          <w:rFonts w:eastAsia="Times New Roman" w:cs="Tahoma"/>
          <w:bCs/>
          <w:iCs/>
          <w:color w:val="auto"/>
          <w:lang w:val="es-ES" w:eastAsia="es-ES"/>
        </w:rPr>
        <w:t>cuatro</w:t>
      </w:r>
      <w:r w:rsidR="008B7985">
        <w:rPr>
          <w:rFonts w:eastAsia="Times New Roman" w:cs="Tahoma"/>
          <w:bCs/>
          <w:iCs/>
          <w:color w:val="auto"/>
          <w:lang w:val="es-ES" w:eastAsia="es-ES"/>
        </w:rPr>
        <w:t xml:space="preserve"> de febrero </w:t>
      </w:r>
      <w:r w:rsidR="00F34CDC">
        <w:rPr>
          <w:rFonts w:eastAsia="Times New Roman" w:cs="Tahoma"/>
          <w:bCs/>
          <w:iCs/>
          <w:color w:val="auto"/>
          <w:lang w:val="es-ES" w:eastAsia="es-ES"/>
        </w:rPr>
        <w:t>de dos mil veintidós</w:t>
      </w:r>
      <w:r>
        <w:rPr>
          <w:rFonts w:eastAsia="Times New Roman" w:cs="Tahoma"/>
          <w:bCs/>
          <w:iCs/>
          <w:color w:val="auto"/>
          <w:lang w:val="es-ES" w:eastAsia="es-ES"/>
        </w:rPr>
        <w:t xml:space="preserve">, el Pleno del </w:t>
      </w:r>
      <w:r w:rsidR="0035133F">
        <w:rPr>
          <w:rFonts w:eastAsia="Times New Roman" w:cs="Tahoma"/>
          <w:bCs/>
          <w:iCs/>
          <w:color w:val="auto"/>
          <w:lang w:val="es-ES" w:eastAsia="es-ES"/>
        </w:rPr>
        <w:t>Instituto de</w:t>
      </w:r>
      <w:r>
        <w:rPr>
          <w:rFonts w:eastAsia="Times New Roman" w:cs="Tahoma"/>
          <w:bCs/>
          <w:iCs/>
          <w:color w:val="auto"/>
          <w:lang w:val="es-ES" w:eastAsia="es-ES"/>
        </w:rPr>
        <w:t xml:space="preserve"> Transparencia, Acceso a la Información Pública y Protección de Datos Personales del Estado de México y Municipios, durante su </w:t>
      </w:r>
      <w:r w:rsidR="008B7985">
        <w:rPr>
          <w:rFonts w:eastAsia="Times New Roman" w:cs="Tahoma"/>
          <w:bCs/>
          <w:iCs/>
          <w:color w:val="auto"/>
          <w:lang w:val="es-ES" w:eastAsia="es-ES"/>
        </w:rPr>
        <w:t>Cuarta Sesión Ordinaria</w:t>
      </w:r>
      <w:r>
        <w:rPr>
          <w:rFonts w:eastAsia="Times New Roman" w:cs="Tahoma"/>
          <w:bCs/>
          <w:iCs/>
          <w:color w:val="auto"/>
          <w:lang w:val="es-ES" w:eastAsia="es-ES"/>
        </w:rPr>
        <w:t xml:space="preserve">, con el propósito de privilegiar la resolución expedita y evitar resoluciones </w:t>
      </w:r>
      <w:r w:rsidR="0035133F">
        <w:rPr>
          <w:rFonts w:eastAsia="Times New Roman" w:cs="Tahoma"/>
          <w:bCs/>
          <w:iCs/>
          <w:color w:val="auto"/>
          <w:lang w:val="es-ES" w:eastAsia="es-ES"/>
        </w:rPr>
        <w:t>contradictorias,</w:t>
      </w:r>
      <w:r>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w:t>
      </w:r>
      <w:r w:rsidR="0035133F" w:rsidRPr="00F34CDC">
        <w:rPr>
          <w:rFonts w:eastAsia="Times New Roman" w:cs="Tahoma"/>
          <w:bCs/>
          <w:iCs/>
          <w:color w:val="auto"/>
          <w:lang w:val="es-ES" w:eastAsia="es-ES"/>
        </w:rPr>
        <w:t>supletoria a la Ley de Transparencia y Acceso a la Información Pública del Estado de México y Municipios, según lo previsto en su artículo 195, acordó la acumulación de los Recursos de Revisión</w:t>
      </w:r>
      <w:r w:rsidR="008B7985">
        <w:rPr>
          <w:rFonts w:eastAsia="Batang" w:cs="Tahoma"/>
          <w:bCs/>
          <w:color w:val="000000"/>
        </w:rPr>
        <w:t xml:space="preserve">, </w:t>
      </w:r>
      <w:r w:rsidR="008B7985" w:rsidRPr="008B7985">
        <w:rPr>
          <w:rFonts w:eastAsia="Calibri" w:cs="Tahoma"/>
          <w:b/>
        </w:rPr>
        <w:t>0</w:t>
      </w:r>
      <w:r w:rsidR="008B7985">
        <w:rPr>
          <w:rFonts w:eastAsia="Calibri" w:cs="Tahoma"/>
          <w:b/>
        </w:rPr>
        <w:t>0262</w:t>
      </w:r>
      <w:r w:rsidR="008B7985" w:rsidRPr="008B7985">
        <w:rPr>
          <w:rFonts w:eastAsia="Calibri" w:cs="Tahoma"/>
          <w:b/>
        </w:rPr>
        <w:t>/INFOEM/IP/RR/2022</w:t>
      </w:r>
      <w:r w:rsidR="008B7985">
        <w:rPr>
          <w:rFonts w:eastAsia="Calibri" w:cs="Tahoma"/>
          <w:b/>
        </w:rPr>
        <w:t xml:space="preserve">, </w:t>
      </w:r>
      <w:r w:rsidR="008B7985" w:rsidRPr="008B7985">
        <w:rPr>
          <w:rFonts w:eastAsia="Calibri" w:cs="Tahoma"/>
          <w:b/>
        </w:rPr>
        <w:t>0</w:t>
      </w:r>
      <w:r w:rsidR="008B7985">
        <w:rPr>
          <w:rFonts w:eastAsia="Calibri" w:cs="Tahoma"/>
          <w:b/>
        </w:rPr>
        <w:t>0263</w:t>
      </w:r>
      <w:r w:rsidR="008B7985" w:rsidRPr="008B7985">
        <w:rPr>
          <w:rFonts w:eastAsia="Calibri" w:cs="Tahoma"/>
          <w:b/>
        </w:rPr>
        <w:t>/INFOEM/IP/RR/2022</w:t>
      </w:r>
      <w:r w:rsidR="008B7985">
        <w:rPr>
          <w:rFonts w:eastAsia="Calibri" w:cs="Tahoma"/>
          <w:b/>
        </w:rPr>
        <w:t xml:space="preserve"> y </w:t>
      </w:r>
      <w:r w:rsidR="008B7985" w:rsidRPr="008B7985">
        <w:rPr>
          <w:rFonts w:eastAsia="Calibri" w:cs="Tahoma"/>
          <w:b/>
        </w:rPr>
        <w:t>0026</w:t>
      </w:r>
      <w:r w:rsidR="008B7985">
        <w:rPr>
          <w:rFonts w:eastAsia="Calibri" w:cs="Tahoma"/>
          <w:b/>
        </w:rPr>
        <w:t>4</w:t>
      </w:r>
      <w:r w:rsidR="008B7985" w:rsidRPr="008B7985">
        <w:rPr>
          <w:rFonts w:eastAsia="Calibri" w:cs="Tahoma"/>
          <w:b/>
        </w:rPr>
        <w:t>/INFOEM/IP/RR/2022</w:t>
      </w:r>
      <w:r w:rsidR="008B7985">
        <w:rPr>
          <w:rFonts w:eastAsia="Calibri" w:cs="Tahoma"/>
          <w:b/>
        </w:rPr>
        <w:t xml:space="preserve"> </w:t>
      </w:r>
      <w:r w:rsidR="008B7985">
        <w:rPr>
          <w:rFonts w:eastAsia="Calibri" w:cs="Tahoma"/>
        </w:rPr>
        <w:t xml:space="preserve">al </w:t>
      </w:r>
      <w:r w:rsidR="008B7985" w:rsidRPr="008B7985">
        <w:rPr>
          <w:rFonts w:eastAsia="Calibri" w:cs="Tahoma"/>
          <w:b/>
        </w:rPr>
        <w:t>00261/INFOEM/IP/RR/2022</w:t>
      </w:r>
      <w:r w:rsidR="007B2597">
        <w:rPr>
          <w:rFonts w:eastAsia="Batang" w:cs="Tahoma"/>
          <w:bCs/>
          <w:color w:val="000000"/>
        </w:rPr>
        <w:t>,</w:t>
      </w:r>
      <w:r w:rsidR="0035133F" w:rsidRPr="00F34CDC">
        <w:rPr>
          <w:rFonts w:eastAsia="Batang" w:cs="Tahoma"/>
          <w:b/>
          <w:bCs/>
          <w:color w:val="000000"/>
        </w:rPr>
        <w:t xml:space="preserve"> </w:t>
      </w:r>
      <w:r w:rsidR="0035133F" w:rsidRPr="00F34CDC">
        <w:rPr>
          <w:rFonts w:eastAsia="Batang" w:cs="Tahoma"/>
          <w:color w:val="000000"/>
        </w:rPr>
        <w:t>por</w:t>
      </w:r>
      <w:r w:rsidR="00814577" w:rsidRPr="00F34CDC">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w:t>
      </w:r>
      <w:r w:rsidR="008B7985">
        <w:rPr>
          <w:rFonts w:eastAsia="Batang" w:cs="Tahoma"/>
          <w:color w:val="000000"/>
        </w:rPr>
        <w:t xml:space="preserve"> la Comisión de Conciliación y Arbitraje México del Estado de México. </w:t>
      </w:r>
      <w:r w:rsidR="00814577">
        <w:rPr>
          <w:rFonts w:eastAsia="Batang" w:cs="Tahoma"/>
          <w:color w:val="000000"/>
        </w:rPr>
        <w:t xml:space="preserve"> </w:t>
      </w:r>
    </w:p>
    <w:p w14:paraId="7F900F92" w14:textId="77777777" w:rsidR="00051642" w:rsidRDefault="00051642" w:rsidP="005E12FB">
      <w:pPr>
        <w:widowControl w:val="0"/>
        <w:spacing w:after="0" w:line="360" w:lineRule="auto"/>
        <w:rPr>
          <w:rFonts w:eastAsia="Times New Roman" w:cs="Tahoma"/>
          <w:b/>
          <w:color w:val="auto"/>
          <w:szCs w:val="24"/>
          <w:lang w:eastAsia="es-ES"/>
        </w:rPr>
      </w:pPr>
    </w:p>
    <w:p w14:paraId="54B241CF" w14:textId="275742CF" w:rsidR="00051642" w:rsidRDefault="004640F3" w:rsidP="005E12FB">
      <w:pPr>
        <w:spacing w:after="0" w:line="360" w:lineRule="auto"/>
        <w:rPr>
          <w:rFonts w:eastAsia="Times New Roman" w:cs="Tahoma"/>
          <w:color w:val="auto"/>
          <w:szCs w:val="24"/>
          <w:lang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sidR="00873A54">
        <w:rPr>
          <w:rFonts w:eastAsia="Times New Roman" w:cs="Tahoma"/>
          <w:color w:val="auto"/>
          <w:szCs w:val="24"/>
          <w:lang w:val="es-ES" w:eastAsia="es-ES"/>
        </w:rPr>
        <w:t>veinti</w:t>
      </w:r>
      <w:r w:rsidR="007E1770">
        <w:rPr>
          <w:rFonts w:eastAsia="Times New Roman" w:cs="Tahoma"/>
          <w:color w:val="auto"/>
          <w:szCs w:val="24"/>
          <w:lang w:val="es-ES" w:eastAsia="es-ES"/>
        </w:rPr>
        <w:t xml:space="preserve">dós </w:t>
      </w:r>
      <w:r w:rsidR="007B2597">
        <w:rPr>
          <w:rFonts w:eastAsia="Times New Roman" w:cs="Tahoma"/>
          <w:color w:val="auto"/>
          <w:szCs w:val="24"/>
          <w:lang w:val="es-ES" w:eastAsia="es-ES"/>
        </w:rPr>
        <w:t>de febrero de dos mil veintidós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51642">
        <w:rPr>
          <w:rFonts w:eastAsia="Times New Roman" w:cs="Tahoma"/>
          <w:color w:val="auto"/>
          <w:szCs w:val="24"/>
          <w:lang w:eastAsia="es-ES"/>
        </w:rPr>
        <w:lastRenderedPageBreak/>
        <w:t xml:space="preserve">Pública del Estado de México y Municipios, mismo que fue notificado a las partes el </w:t>
      </w:r>
      <w:r w:rsidR="007B2597">
        <w:rPr>
          <w:rFonts w:eastAsia="Times New Roman" w:cs="Tahoma"/>
          <w:color w:val="auto"/>
          <w:szCs w:val="24"/>
          <w:lang w:eastAsia="es-ES"/>
        </w:rPr>
        <w:t>mismo día</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4D220925" w14:textId="77777777" w:rsidR="007B2597" w:rsidRDefault="007B2597" w:rsidP="005E12FB">
      <w:pPr>
        <w:spacing w:after="0" w:line="360" w:lineRule="auto"/>
        <w:rPr>
          <w:rFonts w:eastAsia="Times New Roman" w:cs="Tahoma"/>
          <w:color w:val="auto"/>
          <w:szCs w:val="24"/>
          <w:lang w:eastAsia="es-ES"/>
        </w:rPr>
      </w:pPr>
    </w:p>
    <w:p w14:paraId="6984A8D2" w14:textId="0516653D" w:rsidR="00051642" w:rsidRDefault="00051642" w:rsidP="005E12FB">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576EBA24" w14:textId="77777777" w:rsidR="00617DF0" w:rsidRPr="00A31D7A" w:rsidRDefault="00617DF0" w:rsidP="005E12FB">
      <w:pPr>
        <w:spacing w:after="0" w:line="360" w:lineRule="auto"/>
        <w:rPr>
          <w:rFonts w:eastAsia="Times New Roman" w:cs="Tahoma"/>
          <w:color w:val="000000"/>
          <w:szCs w:val="24"/>
          <w:lang w:eastAsia="es-ES"/>
        </w:rPr>
      </w:pPr>
    </w:p>
    <w:p w14:paraId="2BDCCB90" w14:textId="77777777" w:rsidR="005E12FB" w:rsidRDefault="005E12FB" w:rsidP="005E12FB">
      <w:pPr>
        <w:spacing w:after="0" w:line="360" w:lineRule="auto"/>
        <w:jc w:val="center"/>
        <w:rPr>
          <w:rFonts w:eastAsia="Times New Roman" w:cs="Tahoma"/>
          <w:b/>
          <w:color w:val="auto"/>
          <w:lang w:val="es-ES" w:eastAsia="es-ES"/>
        </w:rPr>
      </w:pPr>
    </w:p>
    <w:p w14:paraId="30D206CA" w14:textId="3D2ABE8C" w:rsidR="00051642" w:rsidRPr="006B4CAC" w:rsidRDefault="00051642" w:rsidP="005E12FB">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5E12FB">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3D5B55" w:rsidRDefault="00051642" w:rsidP="005E12FB">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5E12FB">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5E12FB">
      <w:pPr>
        <w:spacing w:after="0" w:line="360" w:lineRule="auto"/>
        <w:rPr>
          <w:rFonts w:eastAsia="Times New Roman" w:cs="Tahoma"/>
          <w:bCs/>
          <w:color w:val="auto"/>
          <w:lang w:eastAsia="es-ES"/>
        </w:rPr>
      </w:pPr>
      <w:bookmarkStart w:id="4"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4"/>
    </w:p>
    <w:p w14:paraId="2986AFCC" w14:textId="77777777" w:rsidR="00051642" w:rsidRPr="003D5B55" w:rsidRDefault="00051642" w:rsidP="005E12FB">
      <w:pPr>
        <w:spacing w:after="0" w:line="360" w:lineRule="auto"/>
      </w:pPr>
    </w:p>
    <w:p w14:paraId="2F12F73B" w14:textId="77777777" w:rsidR="00051642" w:rsidRDefault="00051642" w:rsidP="005E12FB">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lastRenderedPageBreak/>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5E12FB">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5E12FB">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5E12FB">
      <w:pPr>
        <w:autoSpaceDE w:val="0"/>
        <w:autoSpaceDN w:val="0"/>
        <w:adjustRightInd w:val="0"/>
        <w:spacing w:after="0" w:line="360" w:lineRule="auto"/>
        <w:rPr>
          <w:rFonts w:eastAsia="Times New Roman" w:cs="Tahoma"/>
          <w:color w:val="auto"/>
          <w:szCs w:val="24"/>
          <w:lang w:val="es-ES" w:eastAsia="es-ES"/>
        </w:rPr>
      </w:pPr>
    </w:p>
    <w:p w14:paraId="05D66D95" w14:textId="01336072" w:rsidR="007B2597" w:rsidRDefault="00051642" w:rsidP="005E12FB">
      <w:pPr>
        <w:spacing w:after="0" w:line="360" w:lineRule="auto"/>
        <w:rPr>
          <w:b/>
          <w:lang w:val="es-ES"/>
        </w:rPr>
      </w:pPr>
      <w:r w:rsidRPr="003D5B55">
        <w:rPr>
          <w:b/>
          <w:lang w:val="es-ES"/>
        </w:rPr>
        <w:t>Causales de improcedencia</w:t>
      </w:r>
    </w:p>
    <w:p w14:paraId="2B07B3D5" w14:textId="77777777" w:rsidR="007B2597" w:rsidRPr="007B2597" w:rsidRDefault="007B2597" w:rsidP="005E12FB">
      <w:pPr>
        <w:spacing w:after="0" w:line="360" w:lineRule="auto"/>
        <w:rPr>
          <w:b/>
          <w:lang w:val="es-ES"/>
        </w:rPr>
      </w:pPr>
    </w:p>
    <w:p w14:paraId="0E36A601" w14:textId="77777777" w:rsidR="007B2597" w:rsidRPr="00C938B6" w:rsidRDefault="007B2597" w:rsidP="005E12FB">
      <w:pPr>
        <w:spacing w:after="0" w:line="360" w:lineRule="auto"/>
        <w:rPr>
          <w:rFonts w:cs="Tahoma"/>
          <w:bCs/>
          <w:color w:val="000000"/>
        </w:rPr>
      </w:pPr>
      <w:r w:rsidRPr="00C938B6">
        <w:rPr>
          <w:rFonts w:cs="Tahoma"/>
          <w:bCs/>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8B22AB" w14:textId="77777777" w:rsidR="007B2597" w:rsidRPr="00C938B6" w:rsidRDefault="007B2597" w:rsidP="005E12FB">
      <w:pPr>
        <w:spacing w:after="0" w:line="360" w:lineRule="auto"/>
        <w:rPr>
          <w:rFonts w:cs="Tahoma"/>
          <w:bCs/>
          <w:color w:val="000000"/>
        </w:rPr>
      </w:pPr>
      <w:r w:rsidRPr="00C938B6">
        <w:rPr>
          <w:rFonts w:cs="Tahoma"/>
          <w:bCs/>
          <w:color w:val="000000"/>
        </w:rPr>
        <w:t> </w:t>
      </w:r>
    </w:p>
    <w:p w14:paraId="47790321" w14:textId="0879EB00" w:rsidR="007B2597" w:rsidRDefault="007B2597" w:rsidP="005E12FB">
      <w:pPr>
        <w:spacing w:after="0" w:line="360" w:lineRule="auto"/>
        <w:rPr>
          <w:rFonts w:cs="Tahoma"/>
          <w:bCs/>
          <w:color w:val="000000"/>
        </w:rPr>
      </w:pPr>
      <w:r w:rsidRPr="00C938B6">
        <w:rPr>
          <w:rFonts w:cs="Tahoma"/>
          <w:bCs/>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18AB19E" w14:textId="77777777" w:rsidR="007B2597" w:rsidRPr="00C938B6" w:rsidRDefault="007B2597" w:rsidP="005E12FB">
      <w:pPr>
        <w:spacing w:after="0" w:line="360" w:lineRule="auto"/>
        <w:rPr>
          <w:rFonts w:cs="Tahoma"/>
          <w:bCs/>
          <w:color w:val="000000"/>
        </w:rPr>
      </w:pPr>
    </w:p>
    <w:p w14:paraId="0403B2A8" w14:textId="63398980" w:rsidR="007B2597" w:rsidRDefault="007B2597" w:rsidP="005E12FB">
      <w:pPr>
        <w:spacing w:after="0" w:line="360" w:lineRule="auto"/>
        <w:rPr>
          <w:rFonts w:cs="Tahoma"/>
          <w:lang w:val="es-ES"/>
        </w:rPr>
      </w:pPr>
      <w:r>
        <w:rPr>
          <w:rFonts w:cs="Tahoma"/>
        </w:rPr>
        <w:lastRenderedPageBreak/>
        <w:t>Asimismo, se actualiza las causales</w:t>
      </w:r>
      <w:r w:rsidRPr="007B2597">
        <w:rPr>
          <w:rFonts w:cs="Tahoma"/>
        </w:rPr>
        <w:t xml:space="preserve"> de procedencia del Recurso de Revisión señalada</w:t>
      </w:r>
      <w:r>
        <w:rPr>
          <w:rFonts w:cs="Tahoma"/>
        </w:rPr>
        <w:t>s</w:t>
      </w:r>
      <w:r w:rsidRPr="007B2597">
        <w:rPr>
          <w:rFonts w:cs="Tahoma"/>
        </w:rPr>
        <w:t xml:space="preserve"> </w:t>
      </w:r>
      <w:r>
        <w:rPr>
          <w:rFonts w:cs="Tahoma"/>
        </w:rPr>
        <w:t>en el artículo 179, fracciones I y VIII</w:t>
      </w:r>
      <w:r w:rsidRPr="007B2597">
        <w:rPr>
          <w:rFonts w:cs="Tahoma"/>
        </w:rPr>
        <w:t xml:space="preserve"> de la Ley de Transparencia y Acceso a la Información Pública del Estado de México y Municipios, </w:t>
      </w:r>
      <w:r w:rsidRPr="007B2597">
        <w:rPr>
          <w:rFonts w:eastAsia="Calibri" w:cs="Tahoma"/>
          <w:color w:val="000000"/>
          <w:lang w:eastAsia="es-MX"/>
        </w:rPr>
        <w:t xml:space="preserve">pues el Recurrente se inconformó </w:t>
      </w:r>
      <w:r w:rsidRPr="007B2597">
        <w:rPr>
          <w:rFonts w:cs="Tahoma"/>
          <w:lang w:val="es-ES"/>
        </w:rPr>
        <w:t xml:space="preserve">porque el Sujeto Obligado </w:t>
      </w:r>
      <w:r>
        <w:rPr>
          <w:rFonts w:cs="Tahoma"/>
          <w:lang w:val="es-ES"/>
        </w:rPr>
        <w:t xml:space="preserve">no hizo entrega de la información y solicitó al Particular acudir a las oficinas, con la finalidad de que consultara la información requerida. </w:t>
      </w:r>
    </w:p>
    <w:p w14:paraId="7070A1D7" w14:textId="77777777" w:rsidR="007B2597" w:rsidRPr="007B2597" w:rsidRDefault="007B2597" w:rsidP="005E12FB">
      <w:pPr>
        <w:spacing w:after="0" w:line="360" w:lineRule="auto"/>
        <w:rPr>
          <w:rFonts w:cs="Tahoma"/>
          <w:lang w:val="es-ES"/>
        </w:rPr>
      </w:pPr>
    </w:p>
    <w:p w14:paraId="7E9C56A5" w14:textId="77777777" w:rsidR="00051642" w:rsidRPr="003D5B55" w:rsidRDefault="00051642" w:rsidP="005E12FB">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53E581DC" w14:textId="77777777" w:rsidR="00F90DE8" w:rsidRPr="003D5B55" w:rsidRDefault="00F90DE8" w:rsidP="005E12FB">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5E12FB">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Default="00051642" w:rsidP="005E12FB">
      <w:pPr>
        <w:spacing w:after="0" w:line="360" w:lineRule="auto"/>
        <w:rPr>
          <w:rFonts w:eastAsia="Times New Roman" w:cs="Tahoma"/>
          <w:bCs/>
          <w:color w:val="0D0D0D" w:themeColor="text1" w:themeTint="F2"/>
          <w:lang w:eastAsia="es-ES"/>
        </w:rPr>
      </w:pPr>
    </w:p>
    <w:p w14:paraId="3E88F884" w14:textId="77777777" w:rsidR="00051642" w:rsidRDefault="00051642" w:rsidP="005E12FB">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5E12FB">
      <w:pPr>
        <w:spacing w:after="0" w:line="360" w:lineRule="auto"/>
        <w:rPr>
          <w:rFonts w:eastAsia="Times New Roman" w:cs="Tahoma"/>
          <w:color w:val="auto"/>
          <w:szCs w:val="24"/>
          <w:lang w:eastAsia="es-ES"/>
        </w:rPr>
      </w:pPr>
    </w:p>
    <w:p w14:paraId="0C2D0DD7" w14:textId="77777777" w:rsidR="00051642" w:rsidRPr="003D5B55" w:rsidRDefault="00051642" w:rsidP="005E12FB">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5E12FB">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5E12FB">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5E12FB">
      <w:pPr>
        <w:autoSpaceDE w:val="0"/>
        <w:autoSpaceDN w:val="0"/>
        <w:adjustRightInd w:val="0"/>
        <w:spacing w:after="0" w:line="360" w:lineRule="auto"/>
        <w:rPr>
          <w:rFonts w:eastAsia="Calibri" w:cs="Tahoma"/>
          <w:color w:val="000000"/>
          <w:szCs w:val="24"/>
          <w:lang w:val="es-ES" w:eastAsia="es-MX"/>
        </w:rPr>
      </w:pPr>
    </w:p>
    <w:p w14:paraId="73EB62A0" w14:textId="3B941348" w:rsidR="001C7154" w:rsidRDefault="00051642" w:rsidP="005E12FB">
      <w:pPr>
        <w:widowControl w:val="0"/>
        <w:autoSpaceDE w:val="0"/>
        <w:autoSpaceDN w:val="0"/>
        <w:adjustRightInd w:val="0"/>
        <w:spacing w:after="0" w:line="360" w:lineRule="auto"/>
        <w:rPr>
          <w:rFonts w:eastAsia="Calibri" w:cs="Tahoma"/>
          <w:color w:val="auto"/>
          <w:szCs w:val="24"/>
          <w:lang w:val="es-ES"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w:t>
      </w:r>
      <w:r w:rsidRPr="00BA45DB">
        <w:rPr>
          <w:rFonts w:eastAsia="Calibri" w:cs="Tahoma"/>
          <w:color w:val="auto"/>
          <w:szCs w:val="24"/>
          <w:lang w:val="es-ES" w:eastAsia="es-MX"/>
        </w:rPr>
        <w:lastRenderedPageBreak/>
        <w:t>desprende que el Particular requirió</w:t>
      </w:r>
      <w:r w:rsidR="007B2597" w:rsidRPr="00BA45DB">
        <w:rPr>
          <w:rFonts w:eastAsia="Calibri" w:cs="Tahoma"/>
          <w:color w:val="auto"/>
          <w:szCs w:val="24"/>
          <w:lang w:val="es-ES" w:eastAsia="es-MX"/>
        </w:rPr>
        <w:t xml:space="preserve"> medularmente, a través de diversas</w:t>
      </w:r>
      <w:r w:rsidR="00382A3B" w:rsidRPr="00BA45DB">
        <w:rPr>
          <w:rFonts w:eastAsia="Calibri" w:cs="Tahoma"/>
          <w:color w:val="auto"/>
          <w:szCs w:val="24"/>
          <w:lang w:val="es-ES" w:eastAsia="es-MX"/>
        </w:rPr>
        <w:t xml:space="preserve"> solicitudes de acceso a la información,</w:t>
      </w:r>
      <w:r w:rsidR="001C7154" w:rsidRPr="00BA45DB">
        <w:rPr>
          <w:rFonts w:eastAsia="Calibri" w:cs="Tahoma"/>
          <w:color w:val="auto"/>
          <w:szCs w:val="24"/>
          <w:lang w:val="es-ES" w:eastAsia="es-MX"/>
        </w:rPr>
        <w:t xml:space="preserve"> lo siguiente:</w:t>
      </w:r>
      <w:r w:rsidRPr="00BA45DB">
        <w:rPr>
          <w:rFonts w:eastAsia="Calibri" w:cs="Tahoma"/>
          <w:color w:val="auto"/>
          <w:szCs w:val="24"/>
          <w:lang w:val="es-ES" w:eastAsia="es-MX"/>
        </w:rPr>
        <w:t xml:space="preserve"> </w:t>
      </w:r>
    </w:p>
    <w:p w14:paraId="432C6804" w14:textId="77777777" w:rsidR="00BA45DB" w:rsidRPr="00BA45DB" w:rsidRDefault="00BA45DB" w:rsidP="005E12FB">
      <w:pPr>
        <w:widowControl w:val="0"/>
        <w:autoSpaceDE w:val="0"/>
        <w:autoSpaceDN w:val="0"/>
        <w:adjustRightInd w:val="0"/>
        <w:spacing w:after="0" w:line="360" w:lineRule="auto"/>
        <w:rPr>
          <w:rFonts w:eastAsia="Calibri" w:cs="Tahoma"/>
          <w:color w:val="auto"/>
          <w:szCs w:val="24"/>
          <w:lang w:val="es-ES" w:eastAsia="es-MX"/>
        </w:rPr>
      </w:pPr>
    </w:p>
    <w:p w14:paraId="1A1DB604" w14:textId="77777777" w:rsidR="00BA45DB" w:rsidRDefault="00BA45DB" w:rsidP="005E12FB">
      <w:pPr>
        <w:pStyle w:val="Prrafodelista"/>
        <w:widowControl w:val="0"/>
        <w:numPr>
          <w:ilvl w:val="0"/>
          <w:numId w:val="35"/>
        </w:numPr>
        <w:autoSpaceDE w:val="0"/>
        <w:autoSpaceDN w:val="0"/>
        <w:adjustRightInd w:val="0"/>
        <w:spacing w:after="0" w:line="360" w:lineRule="auto"/>
        <w:rPr>
          <w:rFonts w:eastAsia="Calibri" w:cs="Tahoma"/>
          <w:color w:val="auto"/>
          <w:szCs w:val="24"/>
          <w:lang w:val="es-ES" w:eastAsia="es-MX"/>
        </w:rPr>
      </w:pPr>
      <w:r w:rsidRPr="00BA45DB">
        <w:rPr>
          <w:rFonts w:eastAsia="Calibri" w:cs="Tahoma"/>
          <w:color w:val="auto"/>
          <w:szCs w:val="24"/>
          <w:lang w:val="es-ES" w:eastAsia="es-MX"/>
        </w:rPr>
        <w:t xml:space="preserve">Inventario actual de papelería con corte a noviembre del año en curso. </w:t>
      </w:r>
    </w:p>
    <w:p w14:paraId="5A556519" w14:textId="041A692C" w:rsidR="00BA45DB" w:rsidRDefault="00BA45DB" w:rsidP="005E12FB">
      <w:pPr>
        <w:pStyle w:val="Prrafodelista"/>
        <w:widowControl w:val="0"/>
        <w:numPr>
          <w:ilvl w:val="0"/>
          <w:numId w:val="35"/>
        </w:numPr>
        <w:autoSpaceDE w:val="0"/>
        <w:autoSpaceDN w:val="0"/>
        <w:adjustRightInd w:val="0"/>
        <w:spacing w:after="0" w:line="360" w:lineRule="auto"/>
        <w:rPr>
          <w:rFonts w:eastAsia="Calibri" w:cs="Tahoma"/>
          <w:color w:val="auto"/>
          <w:szCs w:val="24"/>
          <w:lang w:val="es-ES" w:eastAsia="es-MX"/>
        </w:rPr>
      </w:pPr>
      <w:r w:rsidRPr="00BA45DB">
        <w:rPr>
          <w:rFonts w:eastAsia="Calibri" w:cs="Tahoma"/>
          <w:color w:val="auto"/>
          <w:szCs w:val="24"/>
          <w:lang w:val="es-ES" w:eastAsia="es-MX"/>
        </w:rPr>
        <w:t>Inventario de consumibles de i</w:t>
      </w:r>
      <w:r>
        <w:rPr>
          <w:rFonts w:eastAsia="Calibri" w:cs="Tahoma"/>
          <w:color w:val="auto"/>
          <w:szCs w:val="24"/>
          <w:lang w:val="es-ES" w:eastAsia="es-MX"/>
        </w:rPr>
        <w:t xml:space="preserve">mpresión con corte a noviembre del año en curso </w:t>
      </w:r>
    </w:p>
    <w:p w14:paraId="03896B9E" w14:textId="50594320" w:rsidR="00BA45DB" w:rsidRDefault="00BA45DB" w:rsidP="005E12FB">
      <w:pPr>
        <w:pStyle w:val="Prrafodelista"/>
        <w:widowControl w:val="0"/>
        <w:numPr>
          <w:ilvl w:val="0"/>
          <w:numId w:val="35"/>
        </w:numPr>
        <w:autoSpaceDE w:val="0"/>
        <w:autoSpaceDN w:val="0"/>
        <w:adjustRightInd w:val="0"/>
        <w:spacing w:after="0" w:line="360" w:lineRule="auto"/>
        <w:rPr>
          <w:rFonts w:eastAsia="Calibri" w:cs="Tahoma"/>
          <w:color w:val="auto"/>
          <w:szCs w:val="24"/>
          <w:lang w:val="es-ES" w:eastAsia="es-MX"/>
        </w:rPr>
      </w:pPr>
      <w:r w:rsidRPr="00BA45DB">
        <w:rPr>
          <w:rFonts w:eastAsia="Calibri" w:cs="Tahoma"/>
          <w:color w:val="auto"/>
          <w:szCs w:val="24"/>
          <w:lang w:val="es-ES" w:eastAsia="es-MX"/>
        </w:rPr>
        <w:t xml:space="preserve">Inventario de artículos de limpieza e higiene </w:t>
      </w:r>
      <w:r>
        <w:rPr>
          <w:rFonts w:eastAsia="Calibri" w:cs="Tahoma"/>
          <w:color w:val="auto"/>
          <w:szCs w:val="24"/>
          <w:lang w:val="es-ES" w:eastAsia="es-MX"/>
        </w:rPr>
        <w:t>con corte a noviembre del año en curso</w:t>
      </w:r>
    </w:p>
    <w:p w14:paraId="6D752C2B" w14:textId="49F22D71" w:rsidR="00BA45DB" w:rsidRPr="00BA45DB" w:rsidRDefault="00BA45DB" w:rsidP="005E12FB">
      <w:pPr>
        <w:pStyle w:val="Prrafodelista"/>
        <w:widowControl w:val="0"/>
        <w:numPr>
          <w:ilvl w:val="0"/>
          <w:numId w:val="35"/>
        </w:numPr>
        <w:autoSpaceDE w:val="0"/>
        <w:autoSpaceDN w:val="0"/>
        <w:adjustRightInd w:val="0"/>
        <w:spacing w:after="0" w:line="360" w:lineRule="auto"/>
        <w:rPr>
          <w:rFonts w:eastAsia="Calibri" w:cs="Tahoma"/>
          <w:color w:val="auto"/>
          <w:szCs w:val="24"/>
          <w:lang w:val="es-ES" w:eastAsia="es-MX"/>
        </w:rPr>
      </w:pPr>
      <w:r w:rsidRPr="00BA45DB">
        <w:rPr>
          <w:rFonts w:eastAsia="Calibri" w:cs="Tahoma"/>
          <w:color w:val="auto"/>
          <w:szCs w:val="24"/>
          <w:lang w:val="es-ES" w:eastAsia="es-MX"/>
        </w:rPr>
        <w:t>Todas las solicitudes de papelería, artículos de limpieza y consumibles de cómputo que atendió la Unidad de Apoyo Administrativo en octubre y noviembre de 2021.</w:t>
      </w:r>
    </w:p>
    <w:p w14:paraId="545446DB" w14:textId="77777777" w:rsidR="00616867" w:rsidRDefault="00616867" w:rsidP="005E12FB">
      <w:pPr>
        <w:widowControl w:val="0"/>
        <w:autoSpaceDE w:val="0"/>
        <w:autoSpaceDN w:val="0"/>
        <w:adjustRightInd w:val="0"/>
        <w:spacing w:after="0" w:line="360" w:lineRule="auto"/>
        <w:rPr>
          <w:rFonts w:eastAsia="Calibri" w:cs="Tahoma"/>
          <w:color w:val="000000"/>
          <w:szCs w:val="24"/>
          <w:lang w:val="es-ES" w:eastAsia="es-MX"/>
        </w:rPr>
      </w:pPr>
    </w:p>
    <w:p w14:paraId="06041262" w14:textId="297E4D5D" w:rsidR="00616867" w:rsidRPr="00BA45DB" w:rsidRDefault="00616867" w:rsidP="005E12FB">
      <w:pPr>
        <w:widowControl w:val="0"/>
        <w:autoSpaceDE w:val="0"/>
        <w:autoSpaceDN w:val="0"/>
        <w:adjustRightInd w:val="0"/>
        <w:spacing w:after="0" w:line="360" w:lineRule="auto"/>
        <w:rPr>
          <w:rFonts w:eastAsia="Calibri" w:cs="Tahoma"/>
          <w:i/>
          <w:color w:val="000000"/>
          <w:szCs w:val="24"/>
          <w:lang w:val="es-ES" w:eastAsia="es-MX"/>
        </w:rPr>
      </w:pPr>
      <w:r>
        <w:rPr>
          <w:rFonts w:eastAsia="Calibri" w:cs="Tahoma"/>
          <w:color w:val="000000"/>
          <w:szCs w:val="24"/>
          <w:lang w:val="es-ES" w:eastAsia="es-MX"/>
        </w:rPr>
        <w:t>En respuesta, el Sujeto Obligado medularmente refirió que</w:t>
      </w:r>
      <w:r w:rsidR="00BA45DB">
        <w:rPr>
          <w:rFonts w:eastAsia="Calibri" w:cs="Tahoma"/>
          <w:i/>
          <w:color w:val="000000"/>
          <w:szCs w:val="24"/>
          <w:lang w:val="es-ES" w:eastAsia="es-MX"/>
        </w:rPr>
        <w:t xml:space="preserve"> “derivado del volumen de la información solicitada, los archivos se encontraban disponibles en las instalaciones de la Comisión de Conciliación y Arbitraje Médico del Estado de México”</w:t>
      </w:r>
      <w:r>
        <w:rPr>
          <w:rFonts w:eastAsia="Calibri" w:cs="Tahoma"/>
          <w:color w:val="000000"/>
          <w:szCs w:val="24"/>
          <w:lang w:val="es-ES" w:eastAsia="es-MX"/>
        </w:rPr>
        <w:t xml:space="preserve">, por lo que, </w:t>
      </w:r>
      <w:r w:rsidR="00BA45DB">
        <w:rPr>
          <w:rFonts w:eastAsia="Calibri" w:cs="Tahoma"/>
          <w:color w:val="000000"/>
          <w:szCs w:val="24"/>
          <w:lang w:val="es-ES" w:eastAsia="es-MX"/>
        </w:rPr>
        <w:t>le pidió al Solicitante acudir a las mismas, para su consulta</w:t>
      </w:r>
      <w:r>
        <w:rPr>
          <w:rFonts w:eastAsia="Calibri" w:cs="Tahoma"/>
          <w:color w:val="000000"/>
          <w:szCs w:val="24"/>
          <w:lang w:val="es-ES" w:eastAsia="es-MX"/>
        </w:rPr>
        <w:t xml:space="preserve">. </w:t>
      </w:r>
    </w:p>
    <w:p w14:paraId="783DA25E" w14:textId="77777777" w:rsidR="00616867" w:rsidRDefault="00616867" w:rsidP="005E12FB">
      <w:pPr>
        <w:widowControl w:val="0"/>
        <w:autoSpaceDE w:val="0"/>
        <w:autoSpaceDN w:val="0"/>
        <w:adjustRightInd w:val="0"/>
        <w:spacing w:after="0" w:line="360" w:lineRule="auto"/>
        <w:rPr>
          <w:rFonts w:eastAsia="Calibri" w:cs="Tahoma"/>
          <w:color w:val="000000"/>
          <w:szCs w:val="24"/>
          <w:lang w:val="es-ES" w:eastAsia="es-MX"/>
        </w:rPr>
      </w:pPr>
    </w:p>
    <w:p w14:paraId="3E00AD99" w14:textId="507A30D3" w:rsidR="007F776D" w:rsidRDefault="00616867" w:rsidP="005E12FB">
      <w:pPr>
        <w:widowControl w:val="0"/>
        <w:autoSpaceDE w:val="0"/>
        <w:autoSpaceDN w:val="0"/>
        <w:adjustRightInd w:val="0"/>
        <w:spacing w:after="0" w:line="360" w:lineRule="auto"/>
        <w:rPr>
          <w:rFonts w:cs="Tahoma"/>
          <w:bCs/>
          <w:iCs/>
          <w:shd w:val="clear" w:color="auto" w:fill="FFFFFF"/>
        </w:rPr>
      </w:pPr>
      <w:r>
        <w:rPr>
          <w:rFonts w:eastAsia="Calibri" w:cs="Tahoma"/>
          <w:color w:val="000000"/>
          <w:szCs w:val="24"/>
          <w:lang w:val="es-ES" w:eastAsia="es-MX"/>
        </w:rPr>
        <w:t>Derivado de la respuesta entregada por el Sujeto, el Particular se inconformó por</w:t>
      </w:r>
      <w:r w:rsidR="00BA45DB">
        <w:rPr>
          <w:rFonts w:eastAsia="Calibri" w:cs="Tahoma"/>
          <w:color w:val="000000"/>
          <w:szCs w:val="24"/>
          <w:lang w:val="es-ES" w:eastAsia="es-MX"/>
        </w:rPr>
        <w:t xml:space="preserve"> el cambio de modalidad</w:t>
      </w:r>
      <w:r>
        <w:rPr>
          <w:rFonts w:eastAsia="Calibri" w:cs="Tahoma"/>
          <w:color w:val="000000"/>
          <w:szCs w:val="24"/>
          <w:lang w:val="es-ES" w:eastAsia="es-MX"/>
        </w:rPr>
        <w:t>; lo cual actualiza el supue</w:t>
      </w:r>
      <w:r w:rsidR="007F776D">
        <w:rPr>
          <w:rFonts w:eastAsia="Calibri" w:cs="Tahoma"/>
          <w:color w:val="000000"/>
          <w:szCs w:val="24"/>
          <w:lang w:val="es-ES" w:eastAsia="es-MX"/>
        </w:rPr>
        <w:t>sto previsto e</w:t>
      </w:r>
      <w:r w:rsidR="00BA45DB">
        <w:rPr>
          <w:rFonts w:eastAsia="Calibri" w:cs="Tahoma"/>
          <w:color w:val="000000"/>
          <w:szCs w:val="24"/>
          <w:lang w:val="es-ES" w:eastAsia="es-MX"/>
        </w:rPr>
        <w:t xml:space="preserve">n el </w:t>
      </w:r>
      <w:r w:rsidR="007F776D">
        <w:rPr>
          <w:rFonts w:eastAsia="Calibri" w:cs="Tahoma"/>
          <w:color w:val="000000"/>
          <w:szCs w:val="24"/>
          <w:lang w:val="es-ES" w:eastAsia="es-MX"/>
        </w:rPr>
        <w:t>artículo</w:t>
      </w:r>
      <w:r w:rsidR="00BA45DB">
        <w:rPr>
          <w:rFonts w:eastAsia="Calibri" w:cs="Tahoma"/>
          <w:color w:val="000000"/>
          <w:szCs w:val="24"/>
          <w:lang w:val="es-ES" w:eastAsia="es-MX"/>
        </w:rPr>
        <w:t xml:space="preserve"> 179, fracci</w:t>
      </w:r>
      <w:r w:rsidR="000D2D32">
        <w:rPr>
          <w:rFonts w:eastAsia="Calibri" w:cs="Tahoma"/>
          <w:color w:val="000000"/>
          <w:szCs w:val="24"/>
          <w:lang w:val="es-ES" w:eastAsia="es-MX"/>
        </w:rPr>
        <w:t xml:space="preserve">ón </w:t>
      </w:r>
      <w:r w:rsidR="007F776D">
        <w:rPr>
          <w:rFonts w:eastAsia="Calibri" w:cs="Tahoma"/>
          <w:color w:val="000000"/>
          <w:szCs w:val="24"/>
          <w:lang w:val="es-ES" w:eastAsia="es-MX"/>
        </w:rPr>
        <w:t>VIII</w:t>
      </w:r>
      <w:r w:rsidR="005E12FB">
        <w:rPr>
          <w:rFonts w:eastAsia="Calibri" w:cs="Tahoma"/>
          <w:color w:val="000000"/>
          <w:szCs w:val="24"/>
          <w:lang w:val="es-ES" w:eastAsia="es-MX"/>
        </w:rPr>
        <w:t>,</w:t>
      </w:r>
      <w:r w:rsidR="007F776D">
        <w:rPr>
          <w:rFonts w:eastAsia="Calibri" w:cs="Tahoma"/>
          <w:color w:val="000000"/>
          <w:szCs w:val="24"/>
          <w:lang w:val="es-ES" w:eastAsia="es-MX"/>
        </w:rPr>
        <w:t xml:space="preserve"> de la </w:t>
      </w:r>
      <w:r w:rsidR="00051642" w:rsidRPr="007F776D">
        <w:rPr>
          <w:rFonts w:cs="Tahoma"/>
          <w:bCs/>
          <w:iCs/>
          <w:lang w:val="es-ES"/>
        </w:rPr>
        <w:t>Ley de Transparencia y Acceso a la Información Pública del Estado de México y Municipios</w:t>
      </w:r>
      <w:r w:rsidR="00051642" w:rsidRPr="007F776D">
        <w:rPr>
          <w:rFonts w:cs="Tahoma"/>
          <w:bCs/>
          <w:iCs/>
          <w:shd w:val="clear" w:color="auto" w:fill="FFFFFF"/>
        </w:rPr>
        <w:t>.</w:t>
      </w:r>
    </w:p>
    <w:p w14:paraId="06FE4B63" w14:textId="77777777" w:rsidR="007F776D" w:rsidRDefault="007F776D" w:rsidP="005E12FB">
      <w:pPr>
        <w:widowControl w:val="0"/>
        <w:autoSpaceDE w:val="0"/>
        <w:autoSpaceDN w:val="0"/>
        <w:adjustRightInd w:val="0"/>
        <w:spacing w:after="0" w:line="360" w:lineRule="auto"/>
        <w:rPr>
          <w:rFonts w:cs="Tahoma"/>
          <w:bCs/>
          <w:iCs/>
          <w:shd w:val="clear" w:color="auto" w:fill="FFFFFF"/>
        </w:rPr>
      </w:pPr>
    </w:p>
    <w:p w14:paraId="03A74004" w14:textId="33A41112" w:rsidR="00051642" w:rsidRPr="00BA45DB" w:rsidRDefault="00051642" w:rsidP="005E12FB">
      <w:pPr>
        <w:widowControl w:val="0"/>
        <w:autoSpaceDE w:val="0"/>
        <w:autoSpaceDN w:val="0"/>
        <w:adjustRightInd w:val="0"/>
        <w:spacing w:after="0" w:line="360" w:lineRule="auto"/>
        <w:rPr>
          <w:rFonts w:eastAsia="Calibri" w:cs="Tahoma"/>
          <w:color w:val="000000"/>
          <w:szCs w:val="24"/>
          <w:lang w:val="es-ES" w:eastAsia="es-MX"/>
        </w:rPr>
      </w:pPr>
      <w:r w:rsidRPr="007F776D">
        <w:rPr>
          <w:rFonts w:cs="Tahoma"/>
          <w:lang w:val="es-ES"/>
        </w:rPr>
        <w:t xml:space="preserve">Así las cosas, una vez admitido y notificado </w:t>
      </w:r>
      <w:r w:rsidR="00382A3B" w:rsidRPr="007F776D">
        <w:rPr>
          <w:rFonts w:cs="Tahoma"/>
          <w:lang w:val="es-ES"/>
        </w:rPr>
        <w:t>los Recursos</w:t>
      </w:r>
      <w:r w:rsidR="007F776D">
        <w:rPr>
          <w:rFonts w:cs="Tahoma"/>
          <w:lang w:val="es-ES"/>
        </w:rPr>
        <w:t xml:space="preserve"> de Revisión a las partes, </w:t>
      </w:r>
      <w:r w:rsidR="00BA45DB">
        <w:rPr>
          <w:rFonts w:cs="Tahoma"/>
          <w:lang w:val="es-ES"/>
        </w:rPr>
        <w:t xml:space="preserve">las partes no realizaron manifestaciones que a su derecho convinieras o asistiera. </w:t>
      </w:r>
      <w:r w:rsidR="00EB51D8">
        <w:rPr>
          <w:rFonts w:cs="Tahoma"/>
          <w:lang w:val="es-ES"/>
        </w:rPr>
        <w:t xml:space="preserve"> </w:t>
      </w:r>
      <w:r w:rsidRPr="00EB51D8">
        <w:rPr>
          <w:rFonts w:eastAsia="Calibri" w:cs="Tahoma"/>
          <w:iCs/>
          <w:lang w:val="es-ES" w:eastAsia="es-ES_tradnl"/>
        </w:rPr>
        <w:t>Lo anterior, se desprende de las documentales que obran en el expediente de referencia, materia de la presente resolución, consistente en: la</w:t>
      </w:r>
      <w:r w:rsidR="00382A3B" w:rsidRPr="00EB51D8">
        <w:rPr>
          <w:rFonts w:eastAsia="Calibri" w:cs="Tahoma"/>
          <w:iCs/>
          <w:lang w:val="es-ES" w:eastAsia="es-ES_tradnl"/>
        </w:rPr>
        <w:t>s</w:t>
      </w:r>
      <w:r w:rsidRPr="00EB51D8">
        <w:rPr>
          <w:rFonts w:eastAsia="Calibri" w:cs="Tahoma"/>
          <w:iCs/>
          <w:lang w:val="es-ES" w:eastAsia="es-ES_tradnl"/>
        </w:rPr>
        <w:t xml:space="preserve"> solicitud</w:t>
      </w:r>
      <w:r w:rsidR="00382A3B" w:rsidRPr="00EB51D8">
        <w:rPr>
          <w:rFonts w:eastAsia="Calibri" w:cs="Tahoma"/>
          <w:iCs/>
          <w:lang w:val="es-ES" w:eastAsia="es-ES_tradnl"/>
        </w:rPr>
        <w:t>es</w:t>
      </w:r>
      <w:r w:rsidRPr="00EB51D8">
        <w:rPr>
          <w:rFonts w:eastAsia="Calibri" w:cs="Tahoma"/>
          <w:iCs/>
          <w:lang w:val="es-ES" w:eastAsia="es-ES_tradnl"/>
        </w:rPr>
        <w:t xml:space="preserve"> de acceso a la información</w:t>
      </w:r>
      <w:r w:rsidR="00534D86" w:rsidRPr="00EB51D8">
        <w:rPr>
          <w:rFonts w:eastAsia="Calibri" w:cs="Tahoma"/>
          <w:iCs/>
          <w:lang w:eastAsia="es-ES_tradnl"/>
        </w:rPr>
        <w:t xml:space="preserve">; los escritos recursales; la Resolución del Recurso de Revisión </w:t>
      </w:r>
      <w:r w:rsidR="00BA45DB">
        <w:rPr>
          <w:rFonts w:eastAsia="Calibri" w:cs="Tahoma"/>
          <w:bCs/>
          <w:iCs/>
          <w:lang w:eastAsia="es-ES_tradnl"/>
        </w:rPr>
        <w:t>00261</w:t>
      </w:r>
      <w:r w:rsidR="00534D86" w:rsidRPr="00EB51D8">
        <w:rPr>
          <w:rFonts w:eastAsia="Calibri" w:cs="Tahoma"/>
          <w:bCs/>
          <w:iCs/>
          <w:lang w:eastAsia="es-ES_tradnl"/>
        </w:rPr>
        <w:t>/INFOEM/IP/RR/202</w:t>
      </w:r>
      <w:r w:rsidR="00BA45DB">
        <w:rPr>
          <w:rFonts w:eastAsia="Calibri" w:cs="Tahoma"/>
          <w:bCs/>
          <w:iCs/>
          <w:lang w:eastAsia="es-ES_tradnl"/>
        </w:rPr>
        <w:t>2</w:t>
      </w:r>
      <w:r w:rsidR="00534D86" w:rsidRPr="00EB51D8">
        <w:rPr>
          <w:rFonts w:eastAsia="Calibri" w:cs="Tahoma"/>
          <w:bCs/>
          <w:iCs/>
          <w:lang w:eastAsia="es-ES_tradnl"/>
        </w:rPr>
        <w:t xml:space="preserve"> y acumulado</w:t>
      </w:r>
      <w:r w:rsidR="00BA45DB">
        <w:rPr>
          <w:rFonts w:eastAsia="Calibri" w:cs="Tahoma"/>
          <w:bCs/>
          <w:iCs/>
          <w:lang w:eastAsia="es-ES_tradnl"/>
        </w:rPr>
        <w:t>s</w:t>
      </w:r>
      <w:r w:rsidR="00534D86" w:rsidRPr="00EB51D8">
        <w:rPr>
          <w:rFonts w:eastAsia="Calibri" w:cs="Tahoma"/>
          <w:bCs/>
          <w:iCs/>
          <w:lang w:eastAsia="es-ES_tradnl"/>
        </w:rPr>
        <w:t>, y los escritos recursales en contra del incumplimiento a la resolución</w:t>
      </w:r>
      <w:r w:rsidRPr="00EB51D8">
        <w:rPr>
          <w:rFonts w:eastAsia="Calibri" w:cs="Tahoma"/>
          <w:iCs/>
          <w:lang w:eastAsia="es-ES_tradnl"/>
        </w:rPr>
        <w:t xml:space="preserve">; </w:t>
      </w:r>
      <w:r w:rsidRPr="00EB51D8">
        <w:rPr>
          <w:rFonts w:eastAsia="Calibri" w:cs="Tahoma"/>
          <w:bCs/>
          <w:szCs w:val="24"/>
        </w:rPr>
        <w:t xml:space="preserve">instrumentales que se toman en cuenta a efecto de resolver el presente medio de impugnación, conforme a lo </w:t>
      </w:r>
      <w:r w:rsidRPr="00EB51D8">
        <w:rPr>
          <w:rFonts w:eastAsia="Calibri" w:cs="Tahoma"/>
          <w:bCs/>
          <w:szCs w:val="24"/>
        </w:rPr>
        <w:lastRenderedPageBreak/>
        <w:t>dispuesto por el artículo 185, fracción IV, de la Ley de Transparencia y Acceso a la Información Pública del Estado de México y Municipios.</w:t>
      </w:r>
    </w:p>
    <w:p w14:paraId="424F91CD" w14:textId="77777777" w:rsidR="00051642" w:rsidRPr="003D5B55" w:rsidRDefault="00051642" w:rsidP="005E12FB">
      <w:pPr>
        <w:spacing w:after="0" w:line="360" w:lineRule="auto"/>
        <w:rPr>
          <w:rFonts w:eastAsia="Calibri" w:cs="Tahoma"/>
          <w:color w:val="auto"/>
          <w:lang w:eastAsia="es-ES_tradnl"/>
        </w:rPr>
      </w:pPr>
    </w:p>
    <w:p w14:paraId="6CC8CCA2" w14:textId="1E1FBDA2" w:rsidR="00051642" w:rsidRDefault="00051642" w:rsidP="005E12FB">
      <w:pPr>
        <w:spacing w:after="0" w:line="360" w:lineRule="auto"/>
        <w:rPr>
          <w:rFonts w:eastAsia="Times New Roman" w:cs="Tahoma"/>
          <w:b/>
          <w:bCs/>
          <w:iCs/>
          <w:color w:val="auto"/>
          <w:lang w:eastAsia="es-ES"/>
        </w:rPr>
      </w:pPr>
      <w:r w:rsidRPr="004D290A">
        <w:rPr>
          <w:rFonts w:eastAsia="Times New Roman" w:cs="Tahoma"/>
          <w:b/>
          <w:bCs/>
          <w:iCs/>
          <w:color w:val="auto"/>
          <w:lang w:val="es-ES" w:eastAsia="es-ES"/>
        </w:rPr>
        <w:t xml:space="preserve">CUARTO. </w:t>
      </w:r>
      <w:r w:rsidRPr="004D290A">
        <w:rPr>
          <w:rFonts w:eastAsia="Times New Roman" w:cs="Tahoma"/>
          <w:b/>
          <w:bCs/>
          <w:iCs/>
          <w:color w:val="auto"/>
          <w:lang w:eastAsia="es-ES"/>
        </w:rPr>
        <w:t>Marco normativo aplicable en materia de transparencia y acceso a la información pública.</w:t>
      </w:r>
    </w:p>
    <w:p w14:paraId="2B5E1CCE" w14:textId="77777777" w:rsidR="00EB51D8" w:rsidRPr="004D290A" w:rsidRDefault="00EB51D8" w:rsidP="005E12FB">
      <w:pPr>
        <w:spacing w:after="0" w:line="360" w:lineRule="auto"/>
        <w:rPr>
          <w:rFonts w:eastAsia="Times New Roman" w:cs="Tahoma"/>
          <w:b/>
          <w:bCs/>
          <w:iCs/>
          <w:color w:val="auto"/>
          <w:lang w:eastAsia="es-ES"/>
        </w:rPr>
      </w:pPr>
    </w:p>
    <w:p w14:paraId="6E5F496D" w14:textId="77777777" w:rsidR="00051642" w:rsidRPr="003D5B55" w:rsidRDefault="00051642" w:rsidP="005E12F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5E12FB">
      <w:pPr>
        <w:spacing w:after="0" w:line="360" w:lineRule="auto"/>
        <w:rPr>
          <w:rFonts w:eastAsia="Times New Roman" w:cs="Tahoma"/>
          <w:bCs/>
          <w:iCs/>
          <w:color w:val="auto"/>
          <w:lang w:eastAsia="es-ES"/>
        </w:rPr>
      </w:pPr>
    </w:p>
    <w:p w14:paraId="47F8BE4A" w14:textId="77777777" w:rsidR="00051642" w:rsidRPr="003D5B55" w:rsidRDefault="00051642" w:rsidP="005E12FB">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5E12FB">
      <w:pPr>
        <w:spacing w:after="0" w:line="360" w:lineRule="auto"/>
        <w:rPr>
          <w:rFonts w:eastAsia="Times New Roman" w:cs="Tahoma"/>
          <w:bCs/>
          <w:iCs/>
          <w:color w:val="auto"/>
          <w:lang w:eastAsia="es-ES"/>
        </w:rPr>
      </w:pPr>
    </w:p>
    <w:p w14:paraId="686A1040" w14:textId="77777777" w:rsidR="00051642" w:rsidRDefault="00051642" w:rsidP="005E12FB">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5E12FB">
      <w:pPr>
        <w:spacing w:after="0" w:line="360" w:lineRule="auto"/>
        <w:rPr>
          <w:rFonts w:eastAsia="Times New Roman" w:cs="Tahoma"/>
          <w:bCs/>
          <w:iCs/>
          <w:color w:val="auto"/>
          <w:lang w:eastAsia="es-ES"/>
        </w:rPr>
      </w:pPr>
    </w:p>
    <w:p w14:paraId="00B7B9A9" w14:textId="77777777" w:rsidR="00051642" w:rsidRPr="003D5B55" w:rsidRDefault="00051642" w:rsidP="005E12FB">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5E12FB">
      <w:pPr>
        <w:spacing w:after="0" w:line="360" w:lineRule="auto"/>
        <w:rPr>
          <w:rFonts w:eastAsia="Times New Roman" w:cs="Tahoma"/>
          <w:bCs/>
          <w:iCs/>
          <w:color w:val="auto"/>
          <w:lang w:eastAsia="es-ES"/>
        </w:rPr>
      </w:pPr>
    </w:p>
    <w:p w14:paraId="0347B303" w14:textId="77777777" w:rsidR="00051642" w:rsidRPr="003D5B55" w:rsidRDefault="00051642" w:rsidP="005E12F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5E12FB">
      <w:pPr>
        <w:spacing w:after="0" w:line="360" w:lineRule="auto"/>
        <w:rPr>
          <w:rFonts w:eastAsia="Times New Roman" w:cs="Tahoma"/>
          <w:bCs/>
          <w:iCs/>
          <w:color w:val="auto"/>
          <w:lang w:eastAsia="es-ES"/>
        </w:rPr>
      </w:pPr>
    </w:p>
    <w:p w14:paraId="7452EA94" w14:textId="77777777" w:rsidR="00051642" w:rsidRPr="003D5B55" w:rsidRDefault="00051642" w:rsidP="005E12FB">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5E12FB">
      <w:pPr>
        <w:spacing w:after="0" w:line="360" w:lineRule="auto"/>
        <w:rPr>
          <w:rFonts w:eastAsia="Times New Roman" w:cs="Tahoma"/>
          <w:bCs/>
          <w:iCs/>
          <w:color w:val="auto"/>
          <w:lang w:eastAsia="es-ES"/>
        </w:rPr>
      </w:pPr>
    </w:p>
    <w:p w14:paraId="4DC8B9C7" w14:textId="77777777" w:rsidR="00051642" w:rsidRPr="003D5B55" w:rsidRDefault="00051642" w:rsidP="005E12FB">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77777777" w:rsidR="00051642" w:rsidRDefault="00051642" w:rsidP="005E12FB">
      <w:pPr>
        <w:spacing w:after="0" w:line="360" w:lineRule="auto"/>
        <w:rPr>
          <w:rFonts w:eastAsia="Times New Roman" w:cs="Tahoma"/>
          <w:b/>
          <w:bCs/>
          <w:iCs/>
          <w:color w:val="auto"/>
          <w:lang w:val="es-ES" w:eastAsia="es-ES"/>
        </w:rPr>
      </w:pPr>
    </w:p>
    <w:p w14:paraId="18545205" w14:textId="15F8FA2A" w:rsidR="00051642" w:rsidRPr="00D3040E" w:rsidRDefault="00051642" w:rsidP="005E12FB">
      <w:pPr>
        <w:spacing w:after="0" w:line="360" w:lineRule="auto"/>
        <w:rPr>
          <w:rFonts w:eastAsia="Times New Roman" w:cs="Tahoma"/>
          <w:lang w:eastAsia="es-ES"/>
        </w:rPr>
      </w:pPr>
      <w:r w:rsidRPr="00D3040E">
        <w:rPr>
          <w:rFonts w:eastAsia="Times New Roman" w:cs="Tahoma"/>
          <w:lang w:eastAsia="es-ES"/>
        </w:rPr>
        <w:t xml:space="preserve">El artículo 92, enlista la información que corresponde a las Obligaciones de Transparencia Comunes de las que destaca la contenida en la fracción </w:t>
      </w:r>
      <w:r w:rsidR="00380E10">
        <w:rPr>
          <w:rFonts w:eastAsia="Times New Roman" w:cs="Tahoma"/>
          <w:lang w:eastAsia="es-ES"/>
        </w:rPr>
        <w:t>VIII</w:t>
      </w:r>
      <w:r w:rsidRPr="00D3040E">
        <w:rPr>
          <w:rFonts w:eastAsia="Times New Roman" w:cs="Tahoma"/>
          <w:lang w:eastAsia="es-ES"/>
        </w:rPr>
        <w:t xml:space="preserve">, concerniente a la información </w:t>
      </w:r>
      <w:r w:rsidR="00380E10" w:rsidRPr="00380E10">
        <w:rPr>
          <w:rFonts w:eastAsia="Times New Roman" w:cs="Tahoma"/>
          <w:lang w:eastAsia="es-ES"/>
        </w:rPr>
        <w:t>sobre las remuneraciones bruta y neta de todos los servidores públicos de base o de confianza</w:t>
      </w:r>
      <w:r w:rsidRPr="00D3040E">
        <w:rPr>
          <w:rFonts w:eastAsia="Times New Roman" w:cs="Tahoma"/>
          <w:lang w:eastAsia="es-ES"/>
        </w:rPr>
        <w:t>.</w:t>
      </w:r>
    </w:p>
    <w:p w14:paraId="77FA6992" w14:textId="77777777" w:rsidR="00382A3B" w:rsidRDefault="00382A3B" w:rsidP="005E12FB">
      <w:pPr>
        <w:spacing w:after="0" w:line="360" w:lineRule="auto"/>
        <w:rPr>
          <w:rFonts w:cs="Tahoma"/>
          <w:bCs/>
          <w:iCs/>
          <w:lang w:val="es-ES"/>
        </w:rPr>
      </w:pPr>
    </w:p>
    <w:p w14:paraId="32F4F034" w14:textId="77777777" w:rsidR="001C1797" w:rsidRDefault="001C1797" w:rsidP="005E12FB">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79AFBE2C" w14:textId="77777777" w:rsidR="001C1797" w:rsidRPr="003D5B55" w:rsidRDefault="001C1797" w:rsidP="005E12FB">
      <w:pPr>
        <w:spacing w:after="0" w:line="360" w:lineRule="auto"/>
        <w:rPr>
          <w:rFonts w:eastAsia="Times New Roman" w:cs="Tahoma"/>
          <w:b/>
          <w:bCs/>
          <w:iCs/>
          <w:color w:val="auto"/>
          <w:lang w:val="es-ES" w:eastAsia="es-ES"/>
        </w:rPr>
      </w:pPr>
    </w:p>
    <w:p w14:paraId="661FA288" w14:textId="77777777" w:rsidR="001C1797" w:rsidRDefault="001C1797" w:rsidP="005E12FB">
      <w:pPr>
        <w:spacing w:after="0" w:line="360" w:lineRule="auto"/>
        <w:rPr>
          <w:rFonts w:eastAsia="Times New Roman" w:cs="Tahoma"/>
          <w:bCs/>
          <w:iCs/>
          <w:color w:val="auto"/>
          <w:lang w:eastAsia="es-ES"/>
        </w:rPr>
      </w:pPr>
      <w:r w:rsidRPr="003D6371">
        <w:rPr>
          <w:rFonts w:eastAsia="Times New Roman" w:cs="Tahoma"/>
          <w:bCs/>
          <w:iCs/>
          <w:color w:val="auto"/>
          <w:lang w:eastAsia="es-ES"/>
        </w:rPr>
        <w:t xml:space="preserve">Expuestas las posturas de las partes, se procede </w:t>
      </w:r>
      <w:r>
        <w:rPr>
          <w:rFonts w:eastAsia="Times New Roman" w:cs="Tahoma"/>
          <w:bCs/>
          <w:iCs/>
          <w:color w:val="auto"/>
          <w:lang w:eastAsia="es-ES"/>
        </w:rPr>
        <w:t>al análisis de los agravios</w:t>
      </w:r>
      <w:r w:rsidRPr="003D6371">
        <w:rPr>
          <w:rFonts w:eastAsia="Times New Roman" w:cs="Tahoma"/>
          <w:bCs/>
          <w:iCs/>
          <w:color w:val="auto"/>
          <w:lang w:eastAsia="es-ES"/>
        </w:rPr>
        <w:t xml:space="preserve"> hecho</w:t>
      </w:r>
      <w:r>
        <w:rPr>
          <w:rFonts w:eastAsia="Times New Roman" w:cs="Tahoma"/>
          <w:bCs/>
          <w:iCs/>
          <w:color w:val="auto"/>
          <w:lang w:eastAsia="es-ES"/>
        </w:rPr>
        <w:t>s</w:t>
      </w:r>
      <w:r w:rsidRPr="003D6371">
        <w:rPr>
          <w:rFonts w:eastAsia="Times New Roman" w:cs="Tahoma"/>
          <w:bCs/>
          <w:iCs/>
          <w:color w:val="auto"/>
          <w:lang w:eastAsia="es-ES"/>
        </w:rPr>
        <w:t xml:space="preserve"> valer por el ahora Recurrente, conce</w:t>
      </w:r>
      <w:r>
        <w:rPr>
          <w:rFonts w:eastAsia="Times New Roman" w:cs="Tahoma"/>
          <w:bCs/>
          <w:iCs/>
          <w:color w:val="auto"/>
          <w:lang w:eastAsia="es-ES"/>
        </w:rPr>
        <w:t xml:space="preserve">rnientes al </w:t>
      </w:r>
      <w:r>
        <w:rPr>
          <w:rFonts w:eastAsia="Times New Roman" w:cs="Tahoma"/>
          <w:b/>
          <w:bCs/>
          <w:iCs/>
          <w:color w:val="auto"/>
          <w:lang w:eastAsia="es-ES"/>
        </w:rPr>
        <w:t xml:space="preserve">cambio de modalidad </w:t>
      </w:r>
      <w:r>
        <w:rPr>
          <w:rFonts w:eastAsia="Times New Roman" w:cs="Tahoma"/>
          <w:bCs/>
          <w:iCs/>
          <w:color w:val="auto"/>
          <w:lang w:eastAsia="es-ES"/>
        </w:rPr>
        <w:t xml:space="preserve">de entrega de la información, al tenor de lo siguiente: </w:t>
      </w:r>
    </w:p>
    <w:p w14:paraId="67FF352E" w14:textId="77777777" w:rsidR="001C1797" w:rsidRDefault="001C1797" w:rsidP="005E12FB">
      <w:pPr>
        <w:spacing w:after="0" w:line="360" w:lineRule="auto"/>
        <w:rPr>
          <w:rFonts w:eastAsia="Times New Roman" w:cs="Tahoma"/>
          <w:bCs/>
          <w:iCs/>
          <w:color w:val="auto"/>
          <w:lang w:eastAsia="es-ES"/>
        </w:rPr>
      </w:pPr>
    </w:p>
    <w:p w14:paraId="66AB21AE" w14:textId="4D98A6BD" w:rsidR="001C1797" w:rsidRDefault="001C1797" w:rsidP="005E12FB">
      <w:pPr>
        <w:spacing w:after="0" w:line="360" w:lineRule="auto"/>
        <w:rPr>
          <w:rFonts w:eastAsia="Times New Roman" w:cs="Tahoma"/>
          <w:bCs/>
          <w:iCs/>
          <w:color w:val="auto"/>
          <w:lang w:eastAsia="es-ES"/>
        </w:rPr>
      </w:pPr>
      <w:r>
        <w:rPr>
          <w:rFonts w:eastAsia="Times New Roman" w:cs="Tahoma"/>
          <w:bCs/>
          <w:iCs/>
          <w:color w:val="auto"/>
          <w:lang w:eastAsia="es-ES"/>
        </w:rPr>
        <w:t>En principio es de recordar que el Solicitante al momento de presentar las solicitudes de información que dieron origen a los recursos de revisión que nos ocupan, eligió</w:t>
      </w:r>
      <w:r w:rsidR="0099777A">
        <w:rPr>
          <w:rFonts w:eastAsia="Times New Roman" w:cs="Tahoma"/>
          <w:bCs/>
          <w:iCs/>
          <w:color w:val="auto"/>
          <w:lang w:eastAsia="es-ES"/>
        </w:rPr>
        <w:t xml:space="preserve"> </w:t>
      </w:r>
      <w:r>
        <w:rPr>
          <w:rFonts w:eastAsia="Times New Roman" w:cs="Tahoma"/>
          <w:bCs/>
          <w:iCs/>
          <w:color w:val="auto"/>
          <w:lang w:eastAsia="es-ES"/>
        </w:rPr>
        <w:t xml:space="preserve">como modalidad de entrega </w:t>
      </w:r>
      <w:r>
        <w:rPr>
          <w:rFonts w:eastAsia="Times New Roman" w:cs="Tahoma"/>
          <w:b/>
          <w:iCs/>
          <w:color w:val="auto"/>
          <w:lang w:eastAsia="es-ES"/>
        </w:rPr>
        <w:t>vía SAIMEX</w:t>
      </w:r>
      <w:r w:rsidR="0099777A" w:rsidRPr="0099777A">
        <w:rPr>
          <w:rFonts w:eastAsia="Times New Roman" w:cs="Tahoma"/>
          <w:bCs/>
          <w:iCs/>
          <w:color w:val="auto"/>
          <w:lang w:eastAsia="es-ES"/>
        </w:rPr>
        <w:t xml:space="preserve">, </w:t>
      </w:r>
      <w:r>
        <w:rPr>
          <w:rFonts w:eastAsia="Times New Roman" w:cs="Tahoma"/>
          <w:bCs/>
          <w:iCs/>
          <w:color w:val="auto"/>
          <w:lang w:eastAsia="es-ES"/>
        </w:rPr>
        <w:t>tal y como se aprecia en la siguiente imagen:</w:t>
      </w:r>
    </w:p>
    <w:p w14:paraId="4E380E17" w14:textId="77777777" w:rsidR="001C1797" w:rsidRDefault="001C1797" w:rsidP="005E12FB">
      <w:pPr>
        <w:spacing w:after="0" w:line="360" w:lineRule="auto"/>
        <w:rPr>
          <w:rFonts w:eastAsia="Times New Roman" w:cs="Tahoma"/>
          <w:bCs/>
          <w:iCs/>
          <w:color w:val="auto"/>
          <w:lang w:eastAsia="es-ES"/>
        </w:rPr>
      </w:pPr>
    </w:p>
    <w:p w14:paraId="1A86DF7E" w14:textId="6F37ACD8" w:rsidR="001C1797" w:rsidRDefault="001C1797" w:rsidP="005E12FB">
      <w:pPr>
        <w:spacing w:after="0" w:line="360" w:lineRule="auto"/>
        <w:rPr>
          <w:rFonts w:eastAsia="Times New Roman" w:cs="Tahoma"/>
          <w:bCs/>
          <w:iCs/>
          <w:color w:val="auto"/>
          <w:lang w:eastAsia="es-ES"/>
        </w:rPr>
      </w:pPr>
      <w:r>
        <w:rPr>
          <w:rFonts w:eastAsia="Times New Roman" w:cs="Tahoma"/>
          <w:bCs/>
          <w:iCs/>
          <w:noProof/>
          <w:color w:val="auto"/>
          <w:lang w:eastAsia="es-MX"/>
        </w:rPr>
        <w:lastRenderedPageBreak/>
        <mc:AlternateContent>
          <mc:Choice Requires="wps">
            <w:drawing>
              <wp:anchor distT="0" distB="0" distL="114300" distR="114300" simplePos="0" relativeHeight="251659264" behindDoc="0" locked="0" layoutInCell="1" allowOverlap="1" wp14:anchorId="3DC7774C" wp14:editId="212A4F7A">
                <wp:simplePos x="0" y="0"/>
                <wp:positionH relativeFrom="column">
                  <wp:posOffset>100965</wp:posOffset>
                </wp:positionH>
                <wp:positionV relativeFrom="paragraph">
                  <wp:posOffset>1181735</wp:posOffset>
                </wp:positionV>
                <wp:extent cx="1371600" cy="3524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1371600" cy="3524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D0C08" id="Rectángulo 2" o:spid="_x0000_s1026" style="position:absolute;margin-left:7.95pt;margin-top:93.05pt;width:10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" filled="f" strokecolor="red" strokeweight="3pt"/>
            </w:pict>
          </mc:Fallback>
        </mc:AlternateContent>
      </w:r>
      <w:r w:rsidRPr="001C1797">
        <w:rPr>
          <w:rFonts w:eastAsia="Times New Roman" w:cs="Tahoma"/>
          <w:bCs/>
          <w:iCs/>
          <w:noProof/>
          <w:color w:val="auto"/>
          <w:lang w:eastAsia="es-MX"/>
        </w:rPr>
        <w:drawing>
          <wp:inline distT="0" distB="0" distL="0" distR="0" wp14:anchorId="278824BE" wp14:editId="27F3A05B">
            <wp:extent cx="5671185" cy="1843405"/>
            <wp:effectExtent l="0" t="0" r="571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843405"/>
                    </a:xfrm>
                    <a:prstGeom prst="rect">
                      <a:avLst/>
                    </a:prstGeom>
                  </pic:spPr>
                </pic:pic>
              </a:graphicData>
            </a:graphic>
          </wp:inline>
        </w:drawing>
      </w:r>
    </w:p>
    <w:p w14:paraId="25C41E97" w14:textId="77777777" w:rsidR="005F278A" w:rsidRDefault="005F278A" w:rsidP="005E12FB">
      <w:pPr>
        <w:spacing w:after="0" w:line="360" w:lineRule="auto"/>
        <w:rPr>
          <w:rFonts w:eastAsia="Times New Roman" w:cs="Tahoma"/>
          <w:bCs/>
          <w:iCs/>
          <w:color w:val="auto"/>
          <w:lang w:eastAsia="es-ES"/>
        </w:rPr>
      </w:pPr>
    </w:p>
    <w:p w14:paraId="4338A763" w14:textId="09F20D77" w:rsidR="001C1797" w:rsidRDefault="001C1797" w:rsidP="005E12FB">
      <w:pPr>
        <w:spacing w:after="0" w:line="360" w:lineRule="auto"/>
        <w:rPr>
          <w:rFonts w:eastAsia="Times New Roman" w:cs="Tahoma"/>
          <w:bCs/>
          <w:iCs/>
          <w:color w:val="auto"/>
          <w:lang w:eastAsia="es-ES"/>
        </w:rPr>
      </w:pPr>
      <w:r>
        <w:rPr>
          <w:rFonts w:eastAsia="Times New Roman" w:cs="Tahoma"/>
          <w:bCs/>
          <w:iCs/>
          <w:color w:val="auto"/>
          <w:lang w:eastAsia="es-ES"/>
        </w:rPr>
        <w:t>Una vez mencionado lo anterior, es de señalar que el Sujeto Obligado en respuesta precisó que derivado del volumen de la información solicitada, los archivos se encontraban disponibles en sus instalaciones, por lo que, invitó al Particular se presentara</w:t>
      </w:r>
      <w:r w:rsidR="00AD580B">
        <w:rPr>
          <w:rFonts w:eastAsia="Times New Roman" w:cs="Tahoma"/>
          <w:bCs/>
          <w:iCs/>
          <w:color w:val="auto"/>
          <w:lang w:eastAsia="es-ES"/>
        </w:rPr>
        <w:t xml:space="preserve"> para su consulta</w:t>
      </w:r>
      <w:r>
        <w:rPr>
          <w:rFonts w:eastAsia="Times New Roman" w:cs="Tahoma"/>
          <w:bCs/>
          <w:iCs/>
          <w:color w:val="auto"/>
          <w:lang w:eastAsia="es-ES"/>
        </w:rPr>
        <w:t xml:space="preserve">, por ello, resulta imprescindible analizar si el cambio de modalidad propuesto por el </w:t>
      </w:r>
      <w:r>
        <w:rPr>
          <w:rFonts w:eastAsia="Times New Roman" w:cs="Tahoma"/>
          <w:b/>
          <w:iCs/>
          <w:color w:val="auto"/>
          <w:lang w:eastAsia="es-ES"/>
        </w:rPr>
        <w:t xml:space="preserve">Sujeto Obligado </w:t>
      </w:r>
      <w:r>
        <w:rPr>
          <w:rFonts w:eastAsia="Times New Roman" w:cs="Tahoma"/>
          <w:iCs/>
          <w:color w:val="auto"/>
          <w:lang w:eastAsia="es-ES"/>
        </w:rPr>
        <w:t>se encuentra debidamente motivado y fundamentado, en razón de lo siguiente:</w:t>
      </w:r>
      <w:r>
        <w:rPr>
          <w:rFonts w:eastAsia="Times New Roman" w:cs="Tahoma"/>
          <w:bCs/>
          <w:iCs/>
          <w:color w:val="auto"/>
          <w:lang w:eastAsia="es-ES"/>
        </w:rPr>
        <w:t xml:space="preserve"> </w:t>
      </w:r>
    </w:p>
    <w:p w14:paraId="470CDCAF" w14:textId="77777777" w:rsidR="008123FC" w:rsidRDefault="008123FC" w:rsidP="005E12FB">
      <w:pPr>
        <w:spacing w:after="0" w:line="360" w:lineRule="auto"/>
        <w:rPr>
          <w:rFonts w:eastAsia="Times New Roman" w:cs="Tahoma"/>
          <w:bCs/>
          <w:iCs/>
          <w:color w:val="auto"/>
          <w:lang w:eastAsia="es-ES"/>
        </w:rPr>
      </w:pPr>
    </w:p>
    <w:p w14:paraId="786F046C" w14:textId="2B5A457C" w:rsidR="008123FC" w:rsidRPr="008123FC" w:rsidRDefault="008123FC" w:rsidP="005E12FB">
      <w:pPr>
        <w:numPr>
          <w:ilvl w:val="0"/>
          <w:numId w:val="22"/>
        </w:numPr>
        <w:spacing w:after="0" w:line="360" w:lineRule="auto"/>
        <w:rPr>
          <w:rFonts w:eastAsia="Times New Roman" w:cs="Tahoma"/>
          <w:b/>
          <w:bCs/>
          <w:iCs/>
          <w:color w:val="auto"/>
          <w:lang w:eastAsia="es-ES"/>
        </w:rPr>
      </w:pPr>
      <w:r w:rsidRPr="008123FC">
        <w:rPr>
          <w:rFonts w:eastAsia="Times New Roman" w:cs="Tahoma"/>
          <w:b/>
          <w:bCs/>
          <w:iCs/>
          <w:color w:val="auto"/>
          <w:lang w:eastAsia="es-ES"/>
        </w:rPr>
        <w:t xml:space="preserve">De la </w:t>
      </w:r>
      <w:r w:rsidR="00ED20FC">
        <w:rPr>
          <w:rFonts w:eastAsia="Times New Roman" w:cs="Tahoma"/>
          <w:b/>
          <w:bCs/>
          <w:iCs/>
          <w:color w:val="auto"/>
          <w:lang w:eastAsia="es-ES"/>
        </w:rPr>
        <w:t xml:space="preserve">información solicitada. </w:t>
      </w:r>
    </w:p>
    <w:p w14:paraId="74317DE2" w14:textId="77777777" w:rsidR="001C1797" w:rsidRDefault="001C1797" w:rsidP="005E12FB">
      <w:pPr>
        <w:spacing w:after="0" w:line="360" w:lineRule="auto"/>
        <w:rPr>
          <w:rFonts w:eastAsia="Times New Roman" w:cs="Tahoma"/>
          <w:b/>
          <w:iCs/>
          <w:color w:val="auto"/>
          <w:lang w:eastAsia="es-ES"/>
        </w:rPr>
      </w:pPr>
    </w:p>
    <w:p w14:paraId="22858C95" w14:textId="1A5DBC1D" w:rsidR="008123FC" w:rsidRDefault="00AD580B" w:rsidP="005E12FB">
      <w:pPr>
        <w:spacing w:after="0" w:line="360" w:lineRule="auto"/>
        <w:rPr>
          <w:sz w:val="20"/>
        </w:rPr>
      </w:pPr>
      <w:r>
        <w:rPr>
          <w:rFonts w:eastAsia="Times New Roman" w:cs="Tahoma"/>
          <w:bCs/>
          <w:iCs/>
          <w:color w:val="auto"/>
          <w:lang w:eastAsia="es-ES"/>
        </w:rPr>
        <w:t xml:space="preserve">En  principio, </w:t>
      </w:r>
      <w:r w:rsidR="006B3BB2">
        <w:rPr>
          <w:rFonts w:eastAsia="Times New Roman" w:cs="Tahoma"/>
          <w:bCs/>
          <w:iCs/>
          <w:color w:val="auto"/>
          <w:lang w:eastAsia="es-ES"/>
        </w:rPr>
        <w:t>es necesario referir que</w:t>
      </w:r>
      <w:r w:rsidR="008123FC">
        <w:rPr>
          <w:rFonts w:eastAsia="Times New Roman" w:cs="Tahoma"/>
          <w:bCs/>
          <w:iCs/>
          <w:color w:val="auto"/>
          <w:lang w:eastAsia="es-ES"/>
        </w:rPr>
        <w:t xml:space="preserve"> respecto a lo solicitado por el Recurrente, de manera específica;</w:t>
      </w:r>
      <w:r w:rsidR="008123FC" w:rsidRPr="006E2E28">
        <w:rPr>
          <w:rFonts w:eastAsia="Times New Roman" w:cs="Tahoma"/>
          <w:b/>
          <w:bCs/>
          <w:iCs/>
          <w:color w:val="auto"/>
          <w:lang w:eastAsia="es-ES"/>
        </w:rPr>
        <w:t xml:space="preserve"> inventario de papelería, combustible y art</w:t>
      </w:r>
      <w:r w:rsidR="006E2E28">
        <w:rPr>
          <w:rFonts w:eastAsia="Times New Roman" w:cs="Tahoma"/>
          <w:b/>
          <w:bCs/>
          <w:iCs/>
          <w:color w:val="auto"/>
          <w:lang w:eastAsia="es-ES"/>
        </w:rPr>
        <w:t>ículos de limpieza e higiene</w:t>
      </w:r>
      <w:r w:rsidR="006E2E28">
        <w:rPr>
          <w:rFonts w:eastAsia="Times New Roman" w:cs="Tahoma"/>
          <w:bCs/>
          <w:iCs/>
          <w:color w:val="auto"/>
          <w:lang w:eastAsia="es-ES"/>
        </w:rPr>
        <w:t xml:space="preserve">, </w:t>
      </w:r>
      <w:r w:rsidR="00A75BC3">
        <w:rPr>
          <w:rFonts w:eastAsia="Times New Roman" w:cs="Tahoma"/>
          <w:bCs/>
          <w:iCs/>
          <w:color w:val="auto"/>
          <w:lang w:eastAsia="es-ES"/>
        </w:rPr>
        <w:t>de acuerdo con</w:t>
      </w:r>
      <w:r w:rsidR="006E2E28">
        <w:rPr>
          <w:rFonts w:eastAsia="Times New Roman" w:cs="Tahoma"/>
          <w:bCs/>
          <w:iCs/>
          <w:color w:val="auto"/>
          <w:lang w:eastAsia="es-ES"/>
        </w:rPr>
        <w:t xml:space="preserve"> lo que establece el Manual Único de Contabilidad Gubernamental para las Dependencias y Entidades Públicas del Gobierno y Municipios del Estado de México, el cual contempla lo relativo a la estructura del </w:t>
      </w:r>
      <w:r w:rsidR="006E2E28">
        <w:rPr>
          <w:rFonts w:eastAsia="Times New Roman" w:cs="Tahoma"/>
          <w:b/>
          <w:bCs/>
          <w:iCs/>
          <w:color w:val="auto"/>
          <w:lang w:eastAsia="es-ES"/>
        </w:rPr>
        <w:t>Clasificador por Objeto del Gasto</w:t>
      </w:r>
      <w:r w:rsidR="006E2E28">
        <w:rPr>
          <w:rFonts w:eastAsia="Times New Roman" w:cs="Tahoma"/>
          <w:bCs/>
          <w:iCs/>
          <w:color w:val="auto"/>
          <w:lang w:eastAsia="es-ES"/>
        </w:rPr>
        <w:t xml:space="preserve">, </w:t>
      </w:r>
      <w:r w:rsidR="00C957A8">
        <w:rPr>
          <w:rFonts w:eastAsia="Times New Roman" w:cs="Tahoma"/>
          <w:bCs/>
          <w:iCs/>
          <w:color w:val="auto"/>
          <w:lang w:eastAsia="es-ES"/>
        </w:rPr>
        <w:t xml:space="preserve">se tiene que este </w:t>
      </w:r>
      <w:r w:rsidR="006E2E28">
        <w:rPr>
          <w:rFonts w:eastAsia="Times New Roman" w:cs="Tahoma"/>
          <w:bCs/>
          <w:iCs/>
          <w:color w:val="auto"/>
          <w:lang w:eastAsia="es-ES"/>
        </w:rPr>
        <w:t xml:space="preserve">está diseñado con un nivel de desagregación que permite que sus cuentas faciliten el registro único de todas las transacciones con </w:t>
      </w:r>
      <w:r w:rsidR="00C957A8">
        <w:rPr>
          <w:rFonts w:eastAsia="Times New Roman" w:cs="Tahoma"/>
          <w:bCs/>
          <w:iCs/>
          <w:color w:val="auto"/>
          <w:lang w:eastAsia="es-ES"/>
        </w:rPr>
        <w:t xml:space="preserve">incidencia económico-financiera, de tal forma </w:t>
      </w:r>
      <w:r w:rsidR="006E2E28">
        <w:rPr>
          <w:rFonts w:eastAsia="Times New Roman" w:cs="Tahoma"/>
          <w:bCs/>
          <w:iCs/>
          <w:color w:val="auto"/>
          <w:lang w:eastAsia="es-ES"/>
        </w:rPr>
        <w:t xml:space="preserve">que relativo al asunto que ahora nos ocupa, el capítulo </w:t>
      </w:r>
      <w:r w:rsidR="006E2E28">
        <w:rPr>
          <w:rFonts w:eastAsia="Times New Roman" w:cs="Tahoma"/>
          <w:b/>
          <w:bCs/>
          <w:iCs/>
          <w:color w:val="auto"/>
          <w:lang w:eastAsia="es-ES"/>
        </w:rPr>
        <w:t>“2000 MATERIALES Y SUMINISTROS”</w:t>
      </w:r>
      <w:r w:rsidR="007C7960">
        <w:rPr>
          <w:rFonts w:eastAsia="Times New Roman" w:cs="Tahoma"/>
          <w:b/>
          <w:bCs/>
          <w:iCs/>
          <w:color w:val="auto"/>
          <w:lang w:eastAsia="es-ES"/>
        </w:rPr>
        <w:t xml:space="preserve"> </w:t>
      </w:r>
      <w:r w:rsidR="00D90E11" w:rsidRPr="00D90E11">
        <w:rPr>
          <w:szCs w:val="24"/>
        </w:rPr>
        <w:lastRenderedPageBreak/>
        <w:t>a</w:t>
      </w:r>
      <w:r w:rsidR="006E2E28" w:rsidRPr="00D90E11">
        <w:rPr>
          <w:szCs w:val="24"/>
        </w:rPr>
        <w:t>grupa las asignaciones destinadas a la adquisición de toda clase de insumos y suministros requeridos para la prestación de bienes y servicios públicos y para el desempeño de las actividades administrativas.</w:t>
      </w:r>
    </w:p>
    <w:p w14:paraId="5EDA1FD4" w14:textId="77777777" w:rsidR="00EB44D3" w:rsidRPr="00EB44D3" w:rsidRDefault="00EB44D3" w:rsidP="005E12FB">
      <w:pPr>
        <w:spacing w:after="0" w:line="360" w:lineRule="auto"/>
        <w:ind w:left="567" w:right="426"/>
        <w:rPr>
          <w:sz w:val="20"/>
        </w:rPr>
      </w:pPr>
    </w:p>
    <w:p w14:paraId="38F3B56A" w14:textId="12DCDF84" w:rsidR="006E2E28" w:rsidRDefault="006E2E28" w:rsidP="005E12FB">
      <w:pPr>
        <w:spacing w:after="0" w:line="360" w:lineRule="auto"/>
        <w:rPr>
          <w:rFonts w:eastAsia="Times New Roman" w:cs="Tahoma"/>
          <w:bCs/>
          <w:iCs/>
          <w:color w:val="auto"/>
          <w:lang w:eastAsia="es-ES"/>
        </w:rPr>
      </w:pPr>
      <w:r>
        <w:rPr>
          <w:rFonts w:eastAsia="Times New Roman" w:cs="Tahoma"/>
          <w:bCs/>
          <w:iCs/>
          <w:color w:val="auto"/>
          <w:lang w:eastAsia="es-ES"/>
        </w:rPr>
        <w:t>En el mismo orden de ideas, en un mayor nivel de desagregación, se tiene que el capítulo 2000, se subdivide en diversos subcapítulos, que a su vez engloban las partidas genéricas y específicas, en</w:t>
      </w:r>
      <w:r w:rsidR="00C957A8">
        <w:rPr>
          <w:rFonts w:eastAsia="Times New Roman" w:cs="Tahoma"/>
          <w:bCs/>
          <w:iCs/>
          <w:color w:val="auto"/>
          <w:lang w:eastAsia="es-ES"/>
        </w:rPr>
        <w:t>tre las cuales se encuentra la siguiente</w:t>
      </w:r>
      <w:r>
        <w:rPr>
          <w:rFonts w:eastAsia="Times New Roman" w:cs="Tahoma"/>
          <w:bCs/>
          <w:iCs/>
          <w:color w:val="auto"/>
          <w:lang w:eastAsia="es-ES"/>
        </w:rPr>
        <w:t xml:space="preserve">: </w:t>
      </w:r>
    </w:p>
    <w:p w14:paraId="7103E825" w14:textId="77777777" w:rsidR="00EB44D3" w:rsidRDefault="00EB44D3" w:rsidP="005E12FB">
      <w:pPr>
        <w:spacing w:after="0" w:line="360" w:lineRule="auto"/>
        <w:rPr>
          <w:rFonts w:eastAsia="Times New Roman" w:cs="Tahoma"/>
          <w:bCs/>
          <w:iCs/>
          <w:color w:val="auto"/>
          <w:lang w:eastAsia="es-ES"/>
        </w:rPr>
      </w:pPr>
    </w:p>
    <w:p w14:paraId="3DEDD55E" w14:textId="3BF695C1" w:rsidR="00EB44D3" w:rsidRDefault="00EB44D3" w:rsidP="005E12FB">
      <w:pPr>
        <w:spacing w:after="0" w:line="360" w:lineRule="auto"/>
        <w:ind w:left="567" w:right="426"/>
        <w:rPr>
          <w:sz w:val="20"/>
        </w:rPr>
      </w:pPr>
      <w:r w:rsidRPr="00EB44D3">
        <w:rPr>
          <w:b/>
          <w:sz w:val="20"/>
        </w:rPr>
        <w:t>2100 MATERIALES DE ADMINISTRACIÓN, EMISIÓN DE DOCUMENTOS Y ARTICULOS OFICIALES</w:t>
      </w:r>
      <w:r w:rsidRPr="00EB44D3">
        <w:rPr>
          <w:sz w:val="20"/>
        </w:rPr>
        <w:t xml:space="preserve">. Asignaciones destinadas a la </w:t>
      </w:r>
      <w:r w:rsidRPr="00EB44D3">
        <w:rPr>
          <w:b/>
          <w:sz w:val="20"/>
          <w:u w:val="single"/>
        </w:rPr>
        <w:t>adquisición de materiales y útiles de oficina, limpieza, impresión y reproducción para el procesamiento en equipos y bienes informáticos</w:t>
      </w:r>
      <w:r w:rsidRPr="00EB44D3">
        <w:rPr>
          <w:sz w:val="20"/>
        </w:rPr>
        <w:t xml:space="preserve">; materiales estadísticos, geográficos, de apoyo informativo y didáctico para centros de enseñanza e investigación; materiales requeridos para el registro e identificación en trámites oficiales y servicios a la población. </w:t>
      </w:r>
    </w:p>
    <w:p w14:paraId="6FB53763" w14:textId="77777777" w:rsidR="006E2E28" w:rsidRDefault="006E2E28" w:rsidP="005E12FB">
      <w:pPr>
        <w:spacing w:after="0" w:line="360" w:lineRule="auto"/>
        <w:rPr>
          <w:rFonts w:eastAsia="Times New Roman" w:cs="Tahoma"/>
          <w:bCs/>
          <w:iCs/>
          <w:color w:val="auto"/>
          <w:lang w:eastAsia="es-ES"/>
        </w:rPr>
      </w:pPr>
    </w:p>
    <w:p w14:paraId="1BF725E5" w14:textId="626A8708" w:rsidR="006E2E28" w:rsidRDefault="00A75BC3" w:rsidP="005E12FB">
      <w:pPr>
        <w:spacing w:after="0" w:line="360" w:lineRule="auto"/>
        <w:rPr>
          <w:rFonts w:eastAsia="Times New Roman" w:cs="Tahoma"/>
          <w:bCs/>
          <w:iCs/>
          <w:color w:val="auto"/>
          <w:lang w:eastAsia="es-ES"/>
        </w:rPr>
      </w:pPr>
      <w:r>
        <w:rPr>
          <w:rFonts w:eastAsia="Times New Roman" w:cs="Tahoma"/>
          <w:bCs/>
          <w:iCs/>
          <w:color w:val="auto"/>
          <w:lang w:eastAsia="es-ES"/>
        </w:rPr>
        <w:t>De lo anterior, se obtiene que en el Sujeto Obligado genera informaci</w:t>
      </w:r>
      <w:r w:rsidR="002B2C6E">
        <w:rPr>
          <w:rFonts w:eastAsia="Times New Roman" w:cs="Tahoma"/>
          <w:bCs/>
          <w:iCs/>
          <w:color w:val="auto"/>
          <w:lang w:eastAsia="es-ES"/>
        </w:rPr>
        <w:t xml:space="preserve">ón relativa a los </w:t>
      </w:r>
      <w:r>
        <w:rPr>
          <w:rFonts w:eastAsia="Times New Roman" w:cs="Tahoma"/>
          <w:bCs/>
          <w:iCs/>
          <w:color w:val="auto"/>
          <w:lang w:eastAsia="es-ES"/>
        </w:rPr>
        <w:t>materiales y útiles de oficina,</w:t>
      </w:r>
      <w:r w:rsidR="003B307C">
        <w:rPr>
          <w:rFonts w:eastAsia="Times New Roman" w:cs="Tahoma"/>
          <w:bCs/>
          <w:iCs/>
          <w:color w:val="auto"/>
          <w:lang w:eastAsia="es-ES"/>
        </w:rPr>
        <w:t xml:space="preserve"> </w:t>
      </w:r>
      <w:r>
        <w:rPr>
          <w:rFonts w:eastAsia="Times New Roman" w:cs="Tahoma"/>
          <w:bCs/>
          <w:iCs/>
          <w:color w:val="auto"/>
          <w:lang w:eastAsia="es-ES"/>
        </w:rPr>
        <w:t xml:space="preserve">de impresión y reproducción, </w:t>
      </w:r>
      <w:r w:rsidR="003B307C">
        <w:rPr>
          <w:rFonts w:eastAsia="Times New Roman" w:cs="Tahoma"/>
          <w:bCs/>
          <w:iCs/>
          <w:color w:val="auto"/>
          <w:lang w:eastAsia="es-ES"/>
        </w:rPr>
        <w:t xml:space="preserve">y </w:t>
      </w:r>
      <w:r>
        <w:rPr>
          <w:rFonts w:eastAsia="Times New Roman" w:cs="Tahoma"/>
          <w:bCs/>
          <w:iCs/>
          <w:color w:val="auto"/>
          <w:lang w:eastAsia="es-ES"/>
        </w:rPr>
        <w:t>de limpieza</w:t>
      </w:r>
      <w:r w:rsidR="007A472A">
        <w:rPr>
          <w:rFonts w:eastAsia="Times New Roman" w:cs="Tahoma"/>
          <w:bCs/>
          <w:iCs/>
          <w:color w:val="auto"/>
          <w:lang w:eastAsia="es-ES"/>
        </w:rPr>
        <w:t xml:space="preserve"> e higiene</w:t>
      </w:r>
      <w:r>
        <w:rPr>
          <w:rFonts w:eastAsia="Times New Roman" w:cs="Tahoma"/>
          <w:bCs/>
          <w:iCs/>
          <w:color w:val="auto"/>
          <w:lang w:eastAsia="es-ES"/>
        </w:rPr>
        <w:t xml:space="preserve">, </w:t>
      </w:r>
      <w:r w:rsidR="002B2C6E">
        <w:rPr>
          <w:rFonts w:eastAsia="Times New Roman" w:cs="Tahoma"/>
          <w:bCs/>
          <w:iCs/>
          <w:color w:val="auto"/>
          <w:lang w:eastAsia="es-ES"/>
        </w:rPr>
        <w:t xml:space="preserve">información de la que específicamente </w:t>
      </w:r>
      <w:r w:rsidR="00FD5FDB">
        <w:rPr>
          <w:rFonts w:eastAsia="Times New Roman" w:cs="Tahoma"/>
          <w:bCs/>
          <w:iCs/>
          <w:color w:val="auto"/>
          <w:lang w:eastAsia="es-ES"/>
        </w:rPr>
        <w:t xml:space="preserve">requiere conocer el Particular, ya que se le otorga una partida de gasto específica para la obtención de estos insumos. </w:t>
      </w:r>
    </w:p>
    <w:p w14:paraId="15987ED1" w14:textId="77777777" w:rsidR="00A75BC3" w:rsidRDefault="00A75BC3" w:rsidP="005E12FB">
      <w:pPr>
        <w:spacing w:after="0" w:line="360" w:lineRule="auto"/>
        <w:rPr>
          <w:rFonts w:eastAsia="Times New Roman" w:cs="Tahoma"/>
          <w:bCs/>
          <w:iCs/>
          <w:color w:val="auto"/>
          <w:lang w:eastAsia="es-ES"/>
        </w:rPr>
      </w:pPr>
    </w:p>
    <w:p w14:paraId="3F28D228" w14:textId="50E93A4A" w:rsidR="002B2C6E" w:rsidRDefault="002B2C6E" w:rsidP="005E12FB">
      <w:pPr>
        <w:spacing w:after="0" w:line="360" w:lineRule="auto"/>
        <w:rPr>
          <w:rFonts w:cs="Tahoma"/>
          <w:b/>
          <w:iCs/>
        </w:rPr>
      </w:pPr>
      <w:r>
        <w:rPr>
          <w:rFonts w:eastAsia="Times New Roman" w:cs="Tahoma"/>
          <w:bCs/>
          <w:iCs/>
          <w:color w:val="auto"/>
          <w:lang w:eastAsia="es-ES"/>
        </w:rPr>
        <w:t xml:space="preserve">Por cuanto hace a lo relativo </w:t>
      </w:r>
      <w:r>
        <w:rPr>
          <w:rFonts w:cs="Tahoma"/>
          <w:iCs/>
        </w:rPr>
        <w:t xml:space="preserve">a las </w:t>
      </w:r>
      <w:r>
        <w:rPr>
          <w:rFonts w:cs="Tahoma"/>
          <w:b/>
          <w:iCs/>
        </w:rPr>
        <w:t>solicitudes de papelería, artículos de limpieza y consumibles de cómputo que atendió la Unidad de Apoyo Administrativo en octubre y noviembre de dos mil veintiuno</w:t>
      </w:r>
      <w:r>
        <w:rPr>
          <w:rFonts w:cs="Tahoma"/>
          <w:iCs/>
        </w:rPr>
        <w:t>, es importante r</w:t>
      </w:r>
      <w:r w:rsidR="0067103C">
        <w:rPr>
          <w:rFonts w:cs="Tahoma"/>
          <w:iCs/>
        </w:rPr>
        <w:t xml:space="preserve">eferir que </w:t>
      </w:r>
      <w:r w:rsidR="00ED20FC">
        <w:rPr>
          <w:rFonts w:cs="Tahoma"/>
          <w:iCs/>
        </w:rPr>
        <w:t xml:space="preserve"> “solicitud” puede ser entendida como</w:t>
      </w:r>
      <w:r w:rsidR="00ED20FC" w:rsidRPr="00175FC1">
        <w:rPr>
          <w:rFonts w:cs="Tahoma"/>
          <w:b/>
          <w:iCs/>
        </w:rPr>
        <w:t xml:space="preserve"> </w:t>
      </w:r>
      <w:r w:rsidR="00ED20FC" w:rsidRPr="00175FC1">
        <w:rPr>
          <w:rFonts w:cs="Tahoma"/>
          <w:b/>
          <w:i/>
          <w:iCs/>
        </w:rPr>
        <w:t>documento</w:t>
      </w:r>
      <w:r w:rsidR="00ED20FC">
        <w:rPr>
          <w:rFonts w:cs="Tahoma"/>
          <w:i/>
          <w:iCs/>
        </w:rPr>
        <w:t xml:space="preserve"> en que se pide algo de manera oficial</w:t>
      </w:r>
      <w:r w:rsidR="00ED20FC">
        <w:rPr>
          <w:rFonts w:cs="Tahoma"/>
          <w:iCs/>
        </w:rPr>
        <w:t xml:space="preserve">, en ese sentido, de acuerdo con lo que </w:t>
      </w:r>
      <w:r>
        <w:rPr>
          <w:rFonts w:cs="Tahoma"/>
          <w:iCs/>
        </w:rPr>
        <w:t xml:space="preserve">establece el artículo </w:t>
      </w:r>
      <w:r w:rsidR="008E532F">
        <w:rPr>
          <w:rFonts w:cs="Tahoma"/>
          <w:iCs/>
        </w:rPr>
        <w:t xml:space="preserve">3 de la Ley de Transparencia y Acceso a la Información Pública del Estado de México y Municipios, </w:t>
      </w:r>
      <w:r w:rsidR="008E532F">
        <w:rPr>
          <w:rFonts w:cs="Tahoma"/>
          <w:b/>
          <w:iCs/>
        </w:rPr>
        <w:t xml:space="preserve">“documento” </w:t>
      </w:r>
      <w:r w:rsidR="008E532F">
        <w:rPr>
          <w:rFonts w:cs="Tahoma"/>
          <w:iCs/>
        </w:rPr>
        <w:t xml:space="preserve">es cualquier expediente, reporte, estudios, </w:t>
      </w:r>
      <w:r w:rsidR="008E532F">
        <w:rPr>
          <w:rFonts w:cs="Tahoma"/>
          <w:iCs/>
        </w:rPr>
        <w:lastRenderedPageBreak/>
        <w:t xml:space="preserve">actas, resoluciones, </w:t>
      </w:r>
      <w:r w:rsidR="008E532F">
        <w:rPr>
          <w:rFonts w:cs="Tahoma"/>
          <w:b/>
          <w:iCs/>
        </w:rPr>
        <w:t xml:space="preserve">oficios, correspondencia, acuerdos, </w:t>
      </w:r>
      <w:r w:rsidR="00ED20FC" w:rsidRPr="00ED20FC">
        <w:rPr>
          <w:rFonts w:cs="Tahoma"/>
          <w:iCs/>
        </w:rPr>
        <w:t>directivas, directrices, circulares, contratos, convenios, instructivos, notas o,</w:t>
      </w:r>
      <w:r w:rsidR="00ED20FC">
        <w:rPr>
          <w:rFonts w:cs="Tahoma"/>
          <w:b/>
          <w:iCs/>
        </w:rPr>
        <w:t xml:space="preserve"> cualquier otro registro que documente el ejercicio de las facultades, funciones y competencias de los sujetos obligados, sus servidores públicos e integrantes, sin importar su fuente o fecha de elaboración. </w:t>
      </w:r>
    </w:p>
    <w:p w14:paraId="0198D381" w14:textId="446DB0EA" w:rsidR="002B2C6E" w:rsidRDefault="002B2C6E" w:rsidP="005E12FB">
      <w:pPr>
        <w:spacing w:after="0" w:line="360" w:lineRule="auto"/>
        <w:rPr>
          <w:rFonts w:cs="Tahoma"/>
          <w:b/>
          <w:iCs/>
        </w:rPr>
      </w:pPr>
    </w:p>
    <w:p w14:paraId="1BB2A434" w14:textId="1AD102BB" w:rsidR="007B672D" w:rsidRDefault="0067103C" w:rsidP="005E12FB">
      <w:pPr>
        <w:spacing w:after="0" w:line="360" w:lineRule="auto"/>
        <w:rPr>
          <w:rFonts w:cs="Tahoma"/>
          <w:iCs/>
        </w:rPr>
      </w:pPr>
      <w:r>
        <w:rPr>
          <w:rFonts w:cs="Tahoma"/>
          <w:iCs/>
        </w:rPr>
        <w:t>En ese orden de ideas, cualquier documento que sea generado, administrado o poseído por el Sujeto Obligado en ejercicio de sus facultades, competencia y funciones, tiene la calidad de público, y debe ser proporcionado a los particulares para su conocimiento. En el caso concreto al que nos referimos, el Particular requirió los documentos mediante los cuales se solicitó a la Unidad de Apoyo Administrativo materiales y útiles de oficina, de impresi</w:t>
      </w:r>
      <w:r w:rsidR="007B672D">
        <w:rPr>
          <w:rFonts w:cs="Tahoma"/>
          <w:iCs/>
        </w:rPr>
        <w:t xml:space="preserve">ón y </w:t>
      </w:r>
      <w:r>
        <w:rPr>
          <w:rFonts w:cs="Tahoma"/>
          <w:iCs/>
        </w:rPr>
        <w:t>reproducci</w:t>
      </w:r>
      <w:r w:rsidR="007B672D">
        <w:rPr>
          <w:rFonts w:cs="Tahoma"/>
          <w:iCs/>
        </w:rPr>
        <w:t xml:space="preserve">ón y, </w:t>
      </w:r>
      <w:r>
        <w:rPr>
          <w:rFonts w:cs="Tahoma"/>
          <w:iCs/>
        </w:rPr>
        <w:t xml:space="preserve">de limpieza, unidad que de acuerdo con </w:t>
      </w:r>
      <w:r w:rsidR="007B672D">
        <w:rPr>
          <w:rFonts w:cs="Tahoma"/>
          <w:iCs/>
        </w:rPr>
        <w:t>las atribuciones conferidas en el artículo 23 del</w:t>
      </w:r>
      <w:r>
        <w:rPr>
          <w:rFonts w:cs="Tahoma"/>
          <w:iCs/>
        </w:rPr>
        <w:t xml:space="preserve"> Reglamento Interno de la Comisión de Conciliación y Arbitraje Médico del Estado de M</w:t>
      </w:r>
      <w:r w:rsidR="007B672D">
        <w:rPr>
          <w:rFonts w:cs="Tahoma"/>
          <w:iCs/>
        </w:rPr>
        <w:t xml:space="preserve">éxico, y lo que establece el Manual General de Organización de la Comisión, esta deberá </w:t>
      </w:r>
      <w:r w:rsidR="007B672D">
        <w:rPr>
          <w:rFonts w:cs="Tahoma"/>
          <w:b/>
          <w:iCs/>
        </w:rPr>
        <w:t>gestionar, administrar y proporcionar el capital humano, así como los recursos materiales, servicios generales y recursos financieros, requeridos por las unidades administrativas de la Comisión para el desarrollo de sus funciones</w:t>
      </w:r>
      <w:r w:rsidR="007B672D">
        <w:rPr>
          <w:rFonts w:cs="Tahoma"/>
          <w:iCs/>
        </w:rPr>
        <w:t xml:space="preserve">. </w:t>
      </w:r>
    </w:p>
    <w:p w14:paraId="7A0A9827" w14:textId="5E4B9C51" w:rsidR="007B672D" w:rsidRPr="00997325" w:rsidRDefault="007B672D" w:rsidP="005E12FB">
      <w:pPr>
        <w:spacing w:after="0" w:line="360" w:lineRule="auto"/>
        <w:rPr>
          <w:rFonts w:eastAsia="Times New Roman" w:cs="Tahoma"/>
          <w:bCs/>
          <w:iCs/>
          <w:color w:val="auto"/>
          <w:lang w:eastAsia="es-ES"/>
        </w:rPr>
      </w:pPr>
    </w:p>
    <w:p w14:paraId="38CF3E61" w14:textId="675B1FF3" w:rsidR="002B2C6E" w:rsidRDefault="00ED20FC" w:rsidP="005E12FB">
      <w:pPr>
        <w:spacing w:after="0" w:line="360" w:lineRule="auto"/>
        <w:rPr>
          <w:rFonts w:eastAsia="Times New Roman" w:cs="Tahoma"/>
          <w:b/>
          <w:bCs/>
          <w:iCs/>
          <w:color w:val="auto"/>
          <w:lang w:eastAsia="es-ES"/>
        </w:rPr>
      </w:pPr>
      <w:r>
        <w:rPr>
          <w:rFonts w:eastAsia="Times New Roman" w:cs="Tahoma"/>
          <w:b/>
          <w:bCs/>
          <w:iCs/>
          <w:color w:val="auto"/>
          <w:lang w:eastAsia="es-ES"/>
        </w:rPr>
        <w:t xml:space="preserve">b) De la modalidad de entrega. </w:t>
      </w:r>
    </w:p>
    <w:p w14:paraId="63A26074" w14:textId="77777777" w:rsidR="00ED20FC" w:rsidRPr="00ED20FC" w:rsidRDefault="00ED20FC" w:rsidP="005E12FB">
      <w:pPr>
        <w:spacing w:after="0" w:line="360" w:lineRule="auto"/>
        <w:rPr>
          <w:rFonts w:eastAsia="Times New Roman" w:cs="Tahoma"/>
          <w:b/>
          <w:bCs/>
          <w:iCs/>
          <w:color w:val="auto"/>
          <w:lang w:eastAsia="es-ES"/>
        </w:rPr>
      </w:pPr>
    </w:p>
    <w:p w14:paraId="2BAA7AF7" w14:textId="7B989357" w:rsidR="001C1797" w:rsidRPr="00CA7715" w:rsidRDefault="00A75BC3" w:rsidP="005E12FB">
      <w:pPr>
        <w:spacing w:after="0" w:line="360" w:lineRule="auto"/>
        <w:rPr>
          <w:rFonts w:eastAsia="Times New Roman" w:cs="Tahoma"/>
          <w:bCs/>
          <w:iCs/>
          <w:color w:val="auto"/>
          <w:lang w:eastAsia="es-ES"/>
        </w:rPr>
      </w:pPr>
      <w:r>
        <w:rPr>
          <w:rFonts w:eastAsia="Times New Roman" w:cs="Tahoma"/>
          <w:bCs/>
          <w:iCs/>
          <w:color w:val="auto"/>
          <w:lang w:eastAsia="es-ES"/>
        </w:rPr>
        <w:t>Aho</w:t>
      </w:r>
      <w:r w:rsidR="001C1797">
        <w:rPr>
          <w:rFonts w:eastAsia="Times New Roman" w:cs="Tahoma"/>
          <w:bCs/>
          <w:iCs/>
          <w:color w:val="auto"/>
          <w:lang w:eastAsia="es-ES"/>
        </w:rPr>
        <w:t>ra bien, relativo al agravio hecho valer por el Recurrente, referente al camb</w:t>
      </w:r>
      <w:r w:rsidR="00792A22">
        <w:rPr>
          <w:rFonts w:eastAsia="Times New Roman" w:cs="Tahoma"/>
          <w:bCs/>
          <w:iCs/>
          <w:color w:val="auto"/>
          <w:lang w:eastAsia="es-ES"/>
        </w:rPr>
        <w:t>io de modalidad realizado por la Comisión de Conciliación y Arbitraje Médico del Estado de México</w:t>
      </w:r>
      <w:r w:rsidR="001C1797">
        <w:rPr>
          <w:rFonts w:eastAsia="Times New Roman" w:cs="Tahoma"/>
          <w:bCs/>
          <w:iCs/>
          <w:color w:val="auto"/>
          <w:lang w:eastAsia="es-ES"/>
        </w:rPr>
        <w:t>; cabe recordar que el Particular requirió la información a través del Sistema de Acceso a la Información Mexiquense (SAIMEX), de tal manera que, resulta necesario traer a colación</w:t>
      </w:r>
      <w:r w:rsidR="001C1797">
        <w:rPr>
          <w:rFonts w:cs="Tahoma"/>
          <w:lang w:val="es-ES"/>
        </w:rPr>
        <w:t xml:space="preserve"> el artículo 155, fracción V, de la Ley de Transparencia y Acceso a la Información Pública del Estado de México y Municipios, que precisa que para presentar una solicitud, el </w:t>
      </w:r>
      <w:r w:rsidR="001C1797">
        <w:rPr>
          <w:rFonts w:eastAsia="Calibri" w:cs="Tahoma"/>
          <w:bCs/>
        </w:rPr>
        <w:t xml:space="preserve">particular </w:t>
      </w:r>
      <w:r w:rsidR="001C1797">
        <w:rPr>
          <w:rFonts w:eastAsia="Calibri" w:cs="Tahoma"/>
          <w:bCs/>
        </w:rPr>
        <w:lastRenderedPageBreak/>
        <w:t xml:space="preserve">podrá señalar </w:t>
      </w:r>
      <w:r w:rsidR="001C1797">
        <w:rPr>
          <w:rFonts w:eastAsia="Calibri" w:cs="Tahoma"/>
          <w:b/>
          <w:bCs/>
        </w:rPr>
        <w:t>la modalidad en la que prefiere se otorgue el acceso a la información</w:t>
      </w:r>
      <w:r w:rsidR="001C1797">
        <w:rPr>
          <w:rFonts w:eastAsia="Calibri" w:cs="Tahoma"/>
          <w:bCs/>
        </w:rPr>
        <w:t xml:space="preserve">, la cual podrá ser verbal, siempre y cuando sea para fines de orientación, </w:t>
      </w:r>
      <w:r w:rsidR="008C3F29">
        <w:rPr>
          <w:rFonts w:eastAsia="Calibri" w:cs="Tahoma"/>
          <w:bCs/>
        </w:rPr>
        <w:t xml:space="preserve">a través de </w:t>
      </w:r>
      <w:r w:rsidR="001C1797">
        <w:rPr>
          <w:rFonts w:eastAsia="Calibri" w:cs="Tahoma"/>
          <w:bCs/>
        </w:rPr>
        <w:t>consulta directa, mediante la expedición de copias simples o certificadas o la reproducción en cualquier otro medio, incluidos los electrónicos.</w:t>
      </w:r>
    </w:p>
    <w:p w14:paraId="463C2681" w14:textId="77777777" w:rsidR="001C1797" w:rsidRDefault="001C1797" w:rsidP="005E12FB">
      <w:pPr>
        <w:spacing w:after="0" w:line="360" w:lineRule="auto"/>
        <w:rPr>
          <w:rFonts w:eastAsia="Calibri" w:cs="Tahoma"/>
          <w:bCs/>
        </w:rPr>
      </w:pPr>
    </w:p>
    <w:p w14:paraId="0C9DF55D" w14:textId="77777777" w:rsidR="001C1797" w:rsidRDefault="001C1797" w:rsidP="005E12FB">
      <w:pPr>
        <w:spacing w:after="0" w:line="360" w:lineRule="auto"/>
        <w:rPr>
          <w:rFonts w:eastAsia="Calibri" w:cs="Tahoma"/>
          <w:b/>
          <w:bCs/>
          <w:lang w:val="es-ES"/>
        </w:rPr>
      </w:pPr>
      <w:r>
        <w:rPr>
          <w:rFonts w:eastAsia="Calibri" w:cs="Tahoma"/>
          <w:bCs/>
          <w:lang w:val="es-ES"/>
        </w:rPr>
        <w:t xml:space="preserve">Por su parte, el artículo 158 de la Ley en comento dispone que de manera excepcional, cuando de manera fundada y motivada lo determine el Sujeto Obligado, </w:t>
      </w:r>
      <w:r>
        <w:rPr>
          <w:rFonts w:eastAsia="Calibri" w:cs="Tahoma"/>
          <w:b/>
          <w:bCs/>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C0B0F04" w14:textId="77777777" w:rsidR="00792A22" w:rsidRDefault="00792A22" w:rsidP="005E12FB">
      <w:pPr>
        <w:spacing w:after="0" w:line="360" w:lineRule="auto"/>
        <w:rPr>
          <w:rFonts w:eastAsia="Calibri" w:cs="Tahoma"/>
          <w:b/>
          <w:bCs/>
          <w:lang w:val="es-ES"/>
        </w:rPr>
      </w:pPr>
    </w:p>
    <w:p w14:paraId="22DAA3BD" w14:textId="77777777" w:rsidR="001C1797" w:rsidRDefault="001C1797" w:rsidP="005E12FB">
      <w:pPr>
        <w:spacing w:after="0" w:line="360" w:lineRule="auto"/>
        <w:rPr>
          <w:rFonts w:eastAsia="Calibri" w:cs="Tahoma"/>
          <w:bCs/>
        </w:rPr>
      </w:pPr>
      <w:r>
        <w:rPr>
          <w:rFonts w:eastAsia="Calibri" w:cs="Tahoma"/>
          <w:bCs/>
          <w:lang w:val="es-ES"/>
        </w:rPr>
        <w:t xml:space="preserve">En ese orden de ideas, el artículo 164 de dicho ordenamiento jurídico, prevé que </w:t>
      </w:r>
      <w:r>
        <w:rPr>
          <w:rFonts w:eastAsia="Calibri" w:cs="Tahoma"/>
          <w:bCs/>
        </w:rPr>
        <w:t xml:space="preserve">el acceso se dará en la modalidad de entrega y, en su caso, de envío elegidos por al solicitante. </w:t>
      </w:r>
      <w:r>
        <w:rPr>
          <w:rFonts w:eastAsia="Calibri" w:cs="Tahoma"/>
          <w:b/>
          <w:bCs/>
        </w:rPr>
        <w:t>Cuando la información no pueda entregarse o enviarse en la modalidad elegida, el sujeto obligado deberá ofrecer otra u otras modalidades de entrega.</w:t>
      </w:r>
      <w:r>
        <w:rPr>
          <w:rFonts w:eastAsia="Calibri" w:cs="Tahoma"/>
          <w:bCs/>
        </w:rPr>
        <w:t xml:space="preserve"> En cualquier caso, </w:t>
      </w:r>
      <w:r>
        <w:rPr>
          <w:rFonts w:eastAsia="Calibri" w:cs="Tahoma"/>
          <w:b/>
          <w:bCs/>
        </w:rPr>
        <w:t>se deberá fundar y motivar</w:t>
      </w:r>
      <w:r>
        <w:rPr>
          <w:rFonts w:eastAsia="Calibri" w:cs="Tahoma"/>
          <w:bCs/>
        </w:rPr>
        <w:t xml:space="preserve"> la necesidad de ofrecer otras modalidades.</w:t>
      </w:r>
    </w:p>
    <w:p w14:paraId="38C850EB" w14:textId="77777777" w:rsidR="001C1797" w:rsidRDefault="001C1797" w:rsidP="005E12FB">
      <w:pPr>
        <w:spacing w:after="0" w:line="360" w:lineRule="auto"/>
        <w:rPr>
          <w:rFonts w:eastAsia="Calibri" w:cs="Tahoma"/>
          <w:bCs/>
        </w:rPr>
      </w:pPr>
    </w:p>
    <w:p w14:paraId="77D5173E" w14:textId="77777777" w:rsidR="001C1797" w:rsidRDefault="001C1797" w:rsidP="005E12FB">
      <w:pPr>
        <w:spacing w:after="0" w:line="360" w:lineRule="auto"/>
        <w:rPr>
          <w:rFonts w:eastAsia="Calibri" w:cs="Tahoma"/>
          <w:bCs/>
          <w:lang w:val="es-ES"/>
        </w:rPr>
      </w:pPr>
      <w:r>
        <w:rPr>
          <w:rFonts w:eastAsia="Calibri" w:cs="Tahoma"/>
          <w:bCs/>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eastAsia="Calibri" w:cs="Tahoma"/>
          <w:b/>
          <w:bCs/>
          <w:lang w:val="es-ES"/>
        </w:rPr>
        <w:t>en la medida de lo posible, en la forma solicitada por el interesado, salvo que exista un impedimento justificado para atenderla</w:t>
      </w:r>
      <w:r>
        <w:rPr>
          <w:rFonts w:eastAsia="Calibri" w:cs="Tahoma"/>
          <w:bCs/>
          <w:lang w:val="es-ES"/>
        </w:rPr>
        <w:t xml:space="preserve">, en cuyo caso, deberán exponerse las razones por las cuales no es posible utilizar el medio de reproducción solicitado; en este sentido, la entrega de la información en una modalidad </w:t>
      </w:r>
      <w:r>
        <w:rPr>
          <w:rFonts w:eastAsia="Calibri" w:cs="Tahoma"/>
          <w:bCs/>
          <w:lang w:val="es-ES"/>
        </w:rPr>
        <w:lastRenderedPageBreak/>
        <w:t xml:space="preserve">distinta a la elegida por la particular </w:t>
      </w:r>
      <w:r>
        <w:rPr>
          <w:rFonts w:eastAsia="Calibri" w:cs="Tahoma"/>
          <w:b/>
          <w:bCs/>
          <w:lang w:val="es-ES"/>
        </w:rPr>
        <w:t>sólo procede, en caso de que se acredite la imposibilidad de atenderla.</w:t>
      </w:r>
      <w:r>
        <w:rPr>
          <w:rFonts w:eastAsia="Calibri" w:cs="Tahoma"/>
          <w:bCs/>
          <w:lang w:val="es-ES"/>
        </w:rPr>
        <w:t xml:space="preserve"> </w:t>
      </w:r>
    </w:p>
    <w:p w14:paraId="44E9977D" w14:textId="77777777" w:rsidR="001C1797" w:rsidRDefault="001C1797" w:rsidP="005E12FB">
      <w:pPr>
        <w:spacing w:after="0" w:line="360" w:lineRule="auto"/>
        <w:rPr>
          <w:rFonts w:eastAsia="Calibri" w:cs="Tahoma"/>
          <w:bCs/>
          <w:lang w:val="es-ES"/>
        </w:rPr>
      </w:pPr>
    </w:p>
    <w:p w14:paraId="50657AE3" w14:textId="77777777" w:rsidR="001C1797" w:rsidRDefault="001C1797" w:rsidP="005E12FB">
      <w:pPr>
        <w:spacing w:after="0" w:line="360" w:lineRule="auto"/>
        <w:rPr>
          <w:rFonts w:eastAsia="Calibri" w:cs="Tahoma"/>
          <w:bCs/>
          <w:lang w:val="es-ES"/>
        </w:rPr>
      </w:pPr>
      <w:r>
        <w:rPr>
          <w:rFonts w:eastAsia="Calibri" w:cs="Tahoma"/>
          <w:bCs/>
          <w:lang w:val="es-ES"/>
        </w:rPr>
        <w:t xml:space="preserve">Así, cuando se justifique el impedimento, </w:t>
      </w:r>
      <w:r>
        <w:rPr>
          <w:rFonts w:eastAsia="Calibri" w:cs="Tahoma"/>
          <w:b/>
          <w:bCs/>
          <w:lang w:val="es-ES"/>
        </w:rPr>
        <w:t>los Sujetos Obligados deberán ofrecer al particular otras modalidades de entrega que permita la información</w:t>
      </w:r>
      <w:r>
        <w:rPr>
          <w:rFonts w:eastAsia="Calibri" w:cs="Tahoma"/>
          <w:bCs/>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028468E" w14:textId="77777777" w:rsidR="001C1797" w:rsidRDefault="001C1797" w:rsidP="005E12FB">
      <w:pPr>
        <w:spacing w:after="0" w:line="360" w:lineRule="auto"/>
        <w:rPr>
          <w:rFonts w:eastAsia="Calibri" w:cs="Tahoma"/>
          <w:bCs/>
          <w:sz w:val="20"/>
          <w:szCs w:val="20"/>
          <w:lang w:val="es-ES"/>
        </w:rPr>
      </w:pPr>
    </w:p>
    <w:p w14:paraId="0427AB9A" w14:textId="77777777" w:rsidR="001C1797" w:rsidRPr="002D2DE4" w:rsidRDefault="001C1797" w:rsidP="005E12FB">
      <w:pPr>
        <w:tabs>
          <w:tab w:val="left" w:pos="7938"/>
        </w:tabs>
        <w:spacing w:after="0" w:line="360" w:lineRule="auto"/>
        <w:ind w:left="567" w:right="426"/>
        <w:rPr>
          <w:rFonts w:eastAsia="Calibri" w:cs="Tahoma"/>
          <w:bCs/>
          <w:i/>
          <w:sz w:val="20"/>
          <w:szCs w:val="20"/>
          <w:lang w:val="es-ES"/>
        </w:rPr>
      </w:pPr>
      <w:r w:rsidRPr="002D2DE4">
        <w:rPr>
          <w:rFonts w:eastAsia="Calibri" w:cs="Tahoma"/>
          <w:b/>
          <w:bCs/>
          <w:i/>
          <w:sz w:val="20"/>
          <w:szCs w:val="20"/>
          <w:lang w:val="es-ES"/>
        </w:rPr>
        <w:t>Modalidad de entrega. Procedencia de proporcionar la información solicitada en una diversa a la elegida por el solicitante.</w:t>
      </w:r>
      <w:r w:rsidRPr="002D2DE4">
        <w:rPr>
          <w:rFonts w:eastAsia="Calibri" w:cs="Tahoma"/>
          <w:bCs/>
          <w:i/>
          <w:sz w:val="20"/>
          <w:szCs w:val="20"/>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0EEE9A6" w14:textId="77777777" w:rsidR="001C1797" w:rsidRPr="00E30EB8" w:rsidRDefault="001C1797" w:rsidP="005E12FB">
      <w:pPr>
        <w:tabs>
          <w:tab w:val="left" w:pos="7938"/>
        </w:tabs>
        <w:spacing w:after="0" w:line="360" w:lineRule="auto"/>
        <w:ind w:left="567" w:right="426"/>
        <w:rPr>
          <w:rFonts w:eastAsia="Calibri" w:cs="Tahoma"/>
          <w:bCs/>
          <w:i/>
          <w:lang w:val="es-ES"/>
        </w:rPr>
      </w:pPr>
    </w:p>
    <w:p w14:paraId="50FA3C89" w14:textId="2445FD9E" w:rsidR="00FB5720" w:rsidRDefault="001C1797" w:rsidP="005E12FB">
      <w:pPr>
        <w:spacing w:after="0" w:line="360" w:lineRule="auto"/>
        <w:rPr>
          <w:rFonts w:eastAsia="Calibri" w:cs="Tahoma"/>
          <w:b/>
          <w:lang w:val="es-ES"/>
        </w:rPr>
      </w:pPr>
      <w:r>
        <w:rPr>
          <w:rFonts w:eastAsia="Calibri" w:cs="Tahoma"/>
          <w:bCs/>
          <w:lang w:val="es-E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Pr>
          <w:rFonts w:eastAsia="Calibri" w:cs="Tahoma"/>
          <w:b/>
          <w:lang w:val="es-ES"/>
        </w:rPr>
        <w:t>información en todas las modalidades que lo permitan, procurando reducir los costos de entrega.</w:t>
      </w:r>
    </w:p>
    <w:p w14:paraId="2C1F6812" w14:textId="77777777" w:rsidR="00BC1E78" w:rsidRDefault="00BC1E78" w:rsidP="005E12FB">
      <w:pPr>
        <w:spacing w:after="0" w:line="360" w:lineRule="auto"/>
        <w:rPr>
          <w:rFonts w:eastAsia="Calibri" w:cs="Tahoma"/>
          <w:b/>
          <w:lang w:val="es-ES"/>
        </w:rPr>
      </w:pPr>
    </w:p>
    <w:p w14:paraId="07B19FE5" w14:textId="77777777" w:rsidR="001C1797" w:rsidRDefault="001C1797" w:rsidP="005E12FB">
      <w:pPr>
        <w:widowControl w:val="0"/>
        <w:spacing w:after="0" w:line="360" w:lineRule="auto"/>
        <w:rPr>
          <w:rFonts w:eastAsia="Calibri" w:cs="Tahoma"/>
          <w:bCs/>
          <w:lang w:val="es-ES"/>
        </w:rPr>
      </w:pPr>
      <w:r>
        <w:rPr>
          <w:rFonts w:eastAsia="Calibri" w:cs="Tahoma"/>
          <w:bCs/>
          <w:lang w:val="es-ES"/>
        </w:rPr>
        <w:t xml:space="preserve">Además, según Calero, Natalia (2016), en la “Ley General de Transparencia y Acceso a la Información Pública Comentada”, cuando los sujetos obligados ofrezcan como modalidad </w:t>
      </w:r>
      <w:r>
        <w:rPr>
          <w:rFonts w:eastAsia="Calibri" w:cs="Tahoma"/>
          <w:bCs/>
          <w:lang w:val="es-ES"/>
        </w:rPr>
        <w:lastRenderedPageBreak/>
        <w:t xml:space="preserve">de entrega de la información, consulta directa, </w:t>
      </w:r>
      <w:r w:rsidRPr="003716C4">
        <w:rPr>
          <w:rFonts w:eastAsia="Calibri" w:cs="Tahoma"/>
          <w:b/>
          <w:lang w:val="es-ES"/>
        </w:rPr>
        <w:t>estos deberán fundar y motivar las razones</w:t>
      </w:r>
      <w:r>
        <w:rPr>
          <w:rFonts w:eastAsia="Calibri" w:cs="Tahoma"/>
          <w:bCs/>
          <w:lang w:val="es-ES"/>
        </w:rPr>
        <w:t xml:space="preserve"> por las cuales no es posible otorgar el acceso a los documentos de otra forma; además que se deberá explicar de manera detallada lo siguiente:</w:t>
      </w:r>
    </w:p>
    <w:p w14:paraId="444FD9F3" w14:textId="77777777" w:rsidR="001C1797" w:rsidRDefault="001C1797" w:rsidP="005E12FB">
      <w:pPr>
        <w:spacing w:after="0" w:line="360" w:lineRule="auto"/>
        <w:rPr>
          <w:rFonts w:eastAsia="Calibri" w:cs="Tahoma"/>
          <w:bCs/>
          <w:lang w:val="es-ES"/>
        </w:rPr>
      </w:pPr>
    </w:p>
    <w:p w14:paraId="46691D3D" w14:textId="77777777" w:rsidR="001C1797" w:rsidRDefault="001C1797" w:rsidP="005E12FB">
      <w:pPr>
        <w:numPr>
          <w:ilvl w:val="0"/>
          <w:numId w:val="37"/>
        </w:numPr>
        <w:tabs>
          <w:tab w:val="left" w:pos="993"/>
          <w:tab w:val="left" w:pos="8222"/>
        </w:tabs>
        <w:spacing w:after="0" w:line="360" w:lineRule="auto"/>
        <w:ind w:left="567" w:firstLine="0"/>
        <w:rPr>
          <w:rFonts w:eastAsia="Calibri" w:cs="Tahoma"/>
          <w:bCs/>
          <w:szCs w:val="24"/>
          <w:lang w:val="es-ES" w:eastAsia="es-ES"/>
        </w:rPr>
      </w:pPr>
      <w:r>
        <w:rPr>
          <w:rFonts w:eastAsia="Calibri" w:cs="Tahoma"/>
          <w:bCs/>
          <w:szCs w:val="24"/>
          <w:lang w:val="es-ES"/>
        </w:rPr>
        <w:t>Las razones por las cuales la información implicaba un análisis, estudio o procesamiento de datos;</w:t>
      </w:r>
    </w:p>
    <w:p w14:paraId="49937E75" w14:textId="77777777" w:rsidR="001C1797" w:rsidRDefault="001C1797" w:rsidP="005E12FB">
      <w:pPr>
        <w:numPr>
          <w:ilvl w:val="0"/>
          <w:numId w:val="37"/>
        </w:numPr>
        <w:tabs>
          <w:tab w:val="left" w:pos="993"/>
          <w:tab w:val="left" w:pos="8222"/>
        </w:tabs>
        <w:spacing w:after="0" w:line="360" w:lineRule="auto"/>
        <w:ind w:left="567" w:firstLine="0"/>
        <w:rPr>
          <w:rFonts w:eastAsia="Calibri" w:cs="Tahoma"/>
          <w:bCs/>
          <w:szCs w:val="24"/>
          <w:lang w:val="es-ES"/>
        </w:rPr>
      </w:pPr>
      <w:r>
        <w:rPr>
          <w:rFonts w:eastAsia="Calibri" w:cs="Tahoma"/>
          <w:bCs/>
          <w:szCs w:val="24"/>
          <w:lang w:val="es-ES"/>
        </w:rPr>
        <w:t>El tiempo no es suficiente para atender la solicitud en la modalidad elegida, y</w:t>
      </w:r>
    </w:p>
    <w:p w14:paraId="3A672B6A" w14:textId="77777777" w:rsidR="001C1797" w:rsidRDefault="001C1797" w:rsidP="005E12FB">
      <w:pPr>
        <w:numPr>
          <w:ilvl w:val="0"/>
          <w:numId w:val="37"/>
        </w:numPr>
        <w:tabs>
          <w:tab w:val="left" w:pos="993"/>
          <w:tab w:val="left" w:pos="8222"/>
        </w:tabs>
        <w:spacing w:after="0" w:line="360" w:lineRule="auto"/>
        <w:ind w:left="567" w:firstLine="0"/>
        <w:rPr>
          <w:rFonts w:eastAsia="Calibri" w:cs="Tahoma"/>
          <w:bCs/>
          <w:szCs w:val="24"/>
          <w:lang w:val="es-ES"/>
        </w:rPr>
      </w:pPr>
      <w:r>
        <w:rPr>
          <w:rFonts w:eastAsia="Calibri" w:cs="Tahoma"/>
          <w:bCs/>
          <w:szCs w:val="24"/>
          <w:lang w:val="es-ES"/>
        </w:rPr>
        <w:t>La cantidad de recursos humanos y materiales con los que cuenta el Sujeto Obligado son insuficientes.</w:t>
      </w:r>
    </w:p>
    <w:p w14:paraId="6A971DD6" w14:textId="04B207C2" w:rsidR="00D22EEC" w:rsidRDefault="00D22EEC" w:rsidP="005E12FB">
      <w:pPr>
        <w:spacing w:after="0" w:line="360" w:lineRule="auto"/>
        <w:rPr>
          <w:rFonts w:eastAsia="Times New Roman" w:cs="Tahoma"/>
          <w:iCs/>
        </w:rPr>
      </w:pPr>
    </w:p>
    <w:p w14:paraId="7F961E26" w14:textId="18D76110" w:rsidR="00444A5B" w:rsidRPr="00444A5B" w:rsidRDefault="007256EB" w:rsidP="005E12FB">
      <w:pPr>
        <w:spacing w:after="0" w:line="360" w:lineRule="auto"/>
        <w:rPr>
          <w:rFonts w:eastAsia="Times New Roman" w:cs="Times New Roman"/>
          <w:color w:val="auto"/>
          <w:lang w:eastAsia="es-MX"/>
        </w:rPr>
      </w:pPr>
      <w:r>
        <w:rPr>
          <w:rFonts w:eastAsia="Times New Roman" w:cs="Tahoma"/>
          <w:iCs/>
        </w:rPr>
        <w:t>Por</w:t>
      </w:r>
      <w:r w:rsidR="00444A5B">
        <w:rPr>
          <w:rFonts w:eastAsia="Times New Roman" w:cs="Tahoma"/>
          <w:iCs/>
        </w:rPr>
        <w:t xml:space="preserve"> lo anterior</w:t>
      </w:r>
      <w:r w:rsidR="00444A5B">
        <w:rPr>
          <w:rFonts w:eastAsia="Times New Roman" w:cs="Times New Roman"/>
          <w:color w:val="auto"/>
          <w:lang w:eastAsia="es-MX"/>
        </w:rPr>
        <w:t xml:space="preserve">, </w:t>
      </w:r>
      <w:r w:rsidR="00444A5B" w:rsidRPr="00444A5B">
        <w:rPr>
          <w:rFonts w:eastAsia="Times New Roman" w:cs="Times New Roman"/>
          <w:color w:val="auto"/>
          <w:lang w:eastAsia="es-MX"/>
        </w:rPr>
        <w:t>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3D0FA50C" w14:textId="77777777" w:rsidR="00444A5B" w:rsidRPr="00444A5B" w:rsidRDefault="00444A5B" w:rsidP="005E12FB">
      <w:pPr>
        <w:shd w:val="clear" w:color="auto" w:fill="FFFFFF"/>
        <w:spacing w:after="0" w:line="360" w:lineRule="auto"/>
        <w:rPr>
          <w:rFonts w:eastAsia="Times New Roman" w:cs="Times New Roman"/>
          <w:color w:val="000000"/>
          <w:lang w:eastAsia="es-MX"/>
        </w:rPr>
      </w:pPr>
      <w:r w:rsidRPr="00444A5B">
        <w:rPr>
          <w:rFonts w:eastAsia="Times New Roman" w:cs="Times New Roman"/>
          <w:color w:val="auto"/>
          <w:lang w:eastAsia="es-MX"/>
        </w:rPr>
        <w:t> </w:t>
      </w:r>
    </w:p>
    <w:p w14:paraId="1C3B7FF9" w14:textId="77777777" w:rsidR="00444A5B" w:rsidRPr="00444A5B" w:rsidRDefault="00444A5B" w:rsidP="005E12FB">
      <w:pPr>
        <w:shd w:val="clear" w:color="auto" w:fill="FFFFFF"/>
        <w:spacing w:after="0" w:line="360" w:lineRule="auto"/>
        <w:ind w:left="567" w:right="567"/>
        <w:rPr>
          <w:rFonts w:eastAsia="Times New Roman" w:cs="Times New Roman"/>
          <w:color w:val="000000"/>
          <w:lang w:eastAsia="es-MX"/>
        </w:rPr>
      </w:pPr>
      <w:r w:rsidRPr="00444A5B">
        <w:rPr>
          <w:rFonts w:eastAsia="Times New Roman" w:cs="Times New Roman"/>
          <w:b/>
          <w:bCs/>
          <w:i/>
          <w:iCs/>
          <w:color w:val="auto"/>
          <w:sz w:val="20"/>
          <w:szCs w:val="20"/>
          <w:lang w:eastAsia="es-MX"/>
        </w:rPr>
        <w:t>“FUNDAMENTACION Y MOTIVACION, CONCEPTO DE. </w:t>
      </w:r>
      <w:r w:rsidRPr="00444A5B">
        <w:rPr>
          <w:rFonts w:eastAsia="Times New Roman" w:cs="Times New Roman"/>
          <w:i/>
          <w:iCs/>
          <w:color w:val="auto"/>
          <w:sz w:val="20"/>
          <w:szCs w:val="20"/>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1A9394B" w14:textId="77777777" w:rsidR="00444A5B" w:rsidRPr="00444A5B" w:rsidRDefault="00444A5B" w:rsidP="005E12FB">
      <w:pPr>
        <w:shd w:val="clear" w:color="auto" w:fill="FFFFFF"/>
        <w:spacing w:after="0" w:line="360" w:lineRule="auto"/>
        <w:rPr>
          <w:rFonts w:eastAsia="Times New Roman" w:cs="Times New Roman"/>
          <w:color w:val="000000"/>
          <w:lang w:eastAsia="es-MX"/>
        </w:rPr>
      </w:pPr>
      <w:r w:rsidRPr="00444A5B">
        <w:rPr>
          <w:rFonts w:eastAsia="Times New Roman" w:cs="Times New Roman"/>
          <w:color w:val="auto"/>
          <w:lang w:eastAsia="es-MX"/>
        </w:rPr>
        <w:t> </w:t>
      </w:r>
    </w:p>
    <w:p w14:paraId="7616E8BC" w14:textId="2377F317" w:rsidR="00444A5B" w:rsidRPr="00444A5B" w:rsidRDefault="00444A5B" w:rsidP="005E12FB">
      <w:pPr>
        <w:shd w:val="clear" w:color="auto" w:fill="FFFFFF"/>
        <w:spacing w:after="0" w:line="360" w:lineRule="auto"/>
        <w:rPr>
          <w:rFonts w:eastAsia="Times New Roman" w:cs="Times New Roman"/>
          <w:color w:val="000000"/>
          <w:lang w:eastAsia="es-MX"/>
        </w:rPr>
      </w:pPr>
      <w:r w:rsidRPr="00444A5B">
        <w:rPr>
          <w:rFonts w:eastAsia="Times New Roman" w:cs="Times New Roman"/>
          <w:color w:val="auto"/>
          <w:lang w:eastAsia="es-MX"/>
        </w:rPr>
        <w:t>Conforme a lo anterior, se advierte lo siguiente:</w:t>
      </w:r>
    </w:p>
    <w:p w14:paraId="67EB77F2" w14:textId="77777777" w:rsidR="00444A5B" w:rsidRPr="00444A5B" w:rsidRDefault="00444A5B" w:rsidP="005E12FB">
      <w:pPr>
        <w:numPr>
          <w:ilvl w:val="0"/>
          <w:numId w:val="45"/>
        </w:numPr>
        <w:shd w:val="clear" w:color="auto" w:fill="FFFFFF"/>
        <w:spacing w:after="0" w:line="360" w:lineRule="auto"/>
        <w:jc w:val="left"/>
        <w:rPr>
          <w:rFonts w:eastAsia="Times New Roman" w:cs="Arial"/>
          <w:color w:val="auto"/>
          <w:lang w:eastAsia="es-MX"/>
        </w:rPr>
      </w:pPr>
      <w:r w:rsidRPr="00444A5B">
        <w:rPr>
          <w:rFonts w:eastAsia="Times New Roman" w:cs="Arial"/>
          <w:b/>
          <w:bCs/>
          <w:color w:val="auto"/>
          <w:lang w:eastAsia="es-MX"/>
        </w:rPr>
        <w:lastRenderedPageBreak/>
        <w:t>Fundamentación: </w:t>
      </w:r>
      <w:r w:rsidRPr="00444A5B">
        <w:rPr>
          <w:rFonts w:eastAsia="Times New Roman" w:cs="Arial"/>
          <w:color w:val="auto"/>
          <w:lang w:eastAsia="es-MX"/>
        </w:rPr>
        <w:t>Obligación de la autoridad que emite un acto, para citar los preceptos legales, sustantivos y adjetivos, en que se apoye para la determinación tomada.</w:t>
      </w:r>
    </w:p>
    <w:p w14:paraId="4F655E4C" w14:textId="77777777" w:rsidR="00444A5B" w:rsidRPr="00444A5B" w:rsidRDefault="00444A5B" w:rsidP="005E12FB">
      <w:pPr>
        <w:shd w:val="clear" w:color="auto" w:fill="FFFFFF"/>
        <w:spacing w:after="0" w:line="360" w:lineRule="auto"/>
        <w:ind w:left="720"/>
        <w:rPr>
          <w:rFonts w:eastAsia="Times New Roman" w:cs="Times New Roman"/>
          <w:color w:val="000000"/>
          <w:lang w:eastAsia="es-MX"/>
        </w:rPr>
      </w:pPr>
      <w:r w:rsidRPr="00444A5B">
        <w:rPr>
          <w:rFonts w:eastAsia="Times New Roman" w:cs="Times New Roman"/>
          <w:b/>
          <w:bCs/>
          <w:color w:val="auto"/>
          <w:lang w:eastAsia="es-MX"/>
        </w:rPr>
        <w:t> </w:t>
      </w:r>
    </w:p>
    <w:p w14:paraId="523DAEA2" w14:textId="05496FB4" w:rsidR="003716C4" w:rsidRPr="007256EB" w:rsidRDefault="00444A5B" w:rsidP="005E12FB">
      <w:pPr>
        <w:numPr>
          <w:ilvl w:val="0"/>
          <w:numId w:val="46"/>
        </w:numPr>
        <w:shd w:val="clear" w:color="auto" w:fill="FFFFFF"/>
        <w:spacing w:after="0" w:line="360" w:lineRule="auto"/>
        <w:jc w:val="left"/>
        <w:rPr>
          <w:rFonts w:eastAsia="Times New Roman" w:cs="Arial"/>
          <w:color w:val="auto"/>
          <w:lang w:eastAsia="es-MX"/>
        </w:rPr>
      </w:pPr>
      <w:r w:rsidRPr="00444A5B">
        <w:rPr>
          <w:rFonts w:eastAsia="Times New Roman" w:cs="Arial"/>
          <w:b/>
          <w:bCs/>
          <w:color w:val="auto"/>
          <w:lang w:eastAsia="es-MX"/>
        </w:rPr>
        <w:t>Motivación: </w:t>
      </w:r>
      <w:r w:rsidRPr="00444A5B">
        <w:rPr>
          <w:rFonts w:eastAsia="Times New Roman" w:cs="Arial"/>
          <w:color w:val="auto"/>
          <w:lang w:eastAsia="es-MX"/>
        </w:rPr>
        <w:t>Razonamientos lógico-jurídicos sobre porque se consideró en el caso en concreto, que se ajusta a la hipótesis normativ</w:t>
      </w:r>
      <w:r w:rsidR="007256EB">
        <w:rPr>
          <w:rFonts w:eastAsia="Times New Roman" w:cs="Arial"/>
          <w:color w:val="auto"/>
          <w:lang w:eastAsia="es-MX"/>
        </w:rPr>
        <w:t xml:space="preserve">a. </w:t>
      </w:r>
    </w:p>
    <w:p w14:paraId="60CB336D" w14:textId="77777777" w:rsidR="003716C4" w:rsidRDefault="003716C4" w:rsidP="005E12FB">
      <w:pPr>
        <w:spacing w:after="0" w:line="360" w:lineRule="auto"/>
        <w:rPr>
          <w:rFonts w:cs="Tahoma"/>
          <w:iCs/>
        </w:rPr>
      </w:pPr>
    </w:p>
    <w:p w14:paraId="548B277C" w14:textId="4D87E212" w:rsidR="001C1797" w:rsidRPr="00153D0B" w:rsidRDefault="007256EB" w:rsidP="005E12FB">
      <w:pPr>
        <w:spacing w:after="0" w:line="360" w:lineRule="auto"/>
        <w:rPr>
          <w:rFonts w:eastAsia="Calibri" w:cs="Tahoma"/>
          <w:b/>
          <w:bCs/>
          <w:iCs/>
          <w:sz w:val="20"/>
        </w:rPr>
      </w:pPr>
      <w:r>
        <w:rPr>
          <w:rFonts w:cs="Tahoma"/>
          <w:iCs/>
        </w:rPr>
        <w:t>De lo anterior, se advierte que</w:t>
      </w:r>
      <w:r w:rsidR="001C1797">
        <w:rPr>
          <w:rFonts w:cs="Tahoma"/>
          <w:iCs/>
        </w:rPr>
        <w:t xml:space="preserve"> el Sujeto Obligado, </w:t>
      </w:r>
      <w:r w:rsidR="001C1797" w:rsidRPr="00153D0B">
        <w:rPr>
          <w:rFonts w:cs="Tahoma"/>
          <w:b/>
          <w:bCs/>
          <w:iCs/>
          <w:u w:val="single"/>
        </w:rPr>
        <w:t xml:space="preserve">a través de sus respuestas no </w:t>
      </w:r>
      <w:r w:rsidR="001C1797" w:rsidRPr="00153D0B">
        <w:rPr>
          <w:rFonts w:eastAsia="Calibri" w:cs="Tahoma"/>
          <w:b/>
          <w:bCs/>
          <w:color w:val="000000"/>
          <w:u w:val="single"/>
        </w:rPr>
        <w:t>fundó ni motivó el cambio de modalidad, sino que únicamente se constriñó a referir que derivad</w:t>
      </w:r>
      <w:r w:rsidR="00792A22" w:rsidRPr="00153D0B">
        <w:rPr>
          <w:rFonts w:eastAsia="Calibri" w:cs="Tahoma"/>
          <w:b/>
          <w:bCs/>
          <w:color w:val="000000"/>
          <w:u w:val="single"/>
        </w:rPr>
        <w:t xml:space="preserve">o del volumen de la información solicitada, los archivos podían ser consultados en sus instalaciones. </w:t>
      </w:r>
      <w:r w:rsidR="001C1797" w:rsidRPr="00153D0B">
        <w:rPr>
          <w:rFonts w:eastAsia="Calibri" w:cs="Tahoma"/>
          <w:b/>
          <w:bCs/>
          <w:color w:val="000000"/>
          <w:u w:val="single"/>
        </w:rPr>
        <w:t xml:space="preserve"> </w:t>
      </w:r>
    </w:p>
    <w:p w14:paraId="79769DA1" w14:textId="77777777" w:rsidR="001C1797" w:rsidRDefault="001C1797" w:rsidP="005E12FB">
      <w:pPr>
        <w:spacing w:after="0" w:line="360" w:lineRule="auto"/>
        <w:rPr>
          <w:rFonts w:cs="Tahoma"/>
          <w:iCs/>
        </w:rPr>
      </w:pPr>
    </w:p>
    <w:p w14:paraId="599D2D9F" w14:textId="4CCEEAFE" w:rsidR="00153D0B" w:rsidRDefault="001C1797" w:rsidP="005E12FB">
      <w:pPr>
        <w:spacing w:after="0" w:line="360" w:lineRule="auto"/>
        <w:rPr>
          <w:rFonts w:cs="Tahoma"/>
          <w:iCs/>
        </w:rPr>
      </w:pPr>
      <w:r>
        <w:rPr>
          <w:rFonts w:cs="Tahoma"/>
          <w:iCs/>
        </w:rPr>
        <w:t xml:space="preserve">Sobre </w:t>
      </w:r>
      <w:r w:rsidR="003A6F7E">
        <w:rPr>
          <w:rFonts w:cs="Tahoma"/>
          <w:iCs/>
        </w:rPr>
        <w:t>ello</w:t>
      </w:r>
      <w:r>
        <w:rPr>
          <w:rFonts w:cs="Tahoma"/>
          <w:iCs/>
        </w:rPr>
        <w:t>, es de señalar que el Organismo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para acreditar un cambio de modalidad, sino que es necesario demostrar otros impedimentos, como la cantidad y formato de la documentación, además, precisan que no se debe ceñir el cambio de modalidad, directamente a consulta directa, sino que los sujetos obligados, deben de buscar la posibilidad de proporcionarla en las otras formas que establecen en la Ley, ya sean electrónicas o físicas</w:t>
      </w:r>
      <w:r w:rsidR="00153D0B">
        <w:rPr>
          <w:rFonts w:cs="Tahoma"/>
          <w:iCs/>
        </w:rPr>
        <w:t xml:space="preserve">, situaciones </w:t>
      </w:r>
      <w:r w:rsidR="00A227AF">
        <w:rPr>
          <w:rFonts w:cs="Tahoma"/>
          <w:iCs/>
        </w:rPr>
        <w:t xml:space="preserve">que no hizo valer el Sujeto Obligado. </w:t>
      </w:r>
    </w:p>
    <w:p w14:paraId="5D27E7D0" w14:textId="77777777" w:rsidR="00153D0B" w:rsidRDefault="00153D0B" w:rsidP="005E12FB">
      <w:pPr>
        <w:spacing w:after="0" w:line="360" w:lineRule="auto"/>
        <w:rPr>
          <w:rFonts w:cs="Tahoma"/>
          <w:iCs/>
        </w:rPr>
      </w:pPr>
    </w:p>
    <w:p w14:paraId="7C2C3A93" w14:textId="7619A340" w:rsidR="00792A22" w:rsidRPr="00BC1E78" w:rsidRDefault="001C1797" w:rsidP="005E12FB">
      <w:pPr>
        <w:spacing w:after="0" w:line="360" w:lineRule="auto"/>
        <w:rPr>
          <w:rFonts w:cs="Tahoma"/>
          <w:b/>
          <w:iCs/>
        </w:rPr>
      </w:pPr>
      <w:r>
        <w:rPr>
          <w:rFonts w:cs="Tahoma"/>
          <w:iCs/>
        </w:rPr>
        <w:t>De tales circunstancias, se logra vislumbrar que</w:t>
      </w:r>
      <w:r w:rsidR="00FD5FDB">
        <w:rPr>
          <w:rFonts w:cs="Tahoma"/>
          <w:iCs/>
        </w:rPr>
        <w:t xml:space="preserve"> a)</w:t>
      </w:r>
      <w:r>
        <w:rPr>
          <w:rFonts w:cs="Tahoma"/>
          <w:iCs/>
        </w:rPr>
        <w:t xml:space="preserve"> </w:t>
      </w:r>
      <w:r w:rsidR="00FD5FDB">
        <w:rPr>
          <w:rFonts w:cs="Tahoma"/>
          <w:b/>
          <w:iCs/>
        </w:rPr>
        <w:t>el registro o</w:t>
      </w:r>
      <w:r>
        <w:rPr>
          <w:rFonts w:cs="Tahoma"/>
          <w:b/>
          <w:iCs/>
        </w:rPr>
        <w:t xml:space="preserve"> </w:t>
      </w:r>
      <w:r w:rsidR="00792A22">
        <w:rPr>
          <w:rFonts w:cs="Tahoma"/>
          <w:b/>
          <w:iCs/>
        </w:rPr>
        <w:t>inventario de</w:t>
      </w:r>
      <w:r w:rsidR="00FD5FDB">
        <w:rPr>
          <w:rFonts w:cs="Tahoma"/>
          <w:b/>
          <w:iCs/>
        </w:rPr>
        <w:t xml:space="preserve"> </w:t>
      </w:r>
      <w:r w:rsidR="00FD5FDB">
        <w:rPr>
          <w:rFonts w:eastAsia="Times New Roman" w:cs="Tahoma"/>
          <w:bCs/>
          <w:iCs/>
          <w:color w:val="auto"/>
          <w:lang w:eastAsia="es-ES"/>
        </w:rPr>
        <w:t>materiales y útiles de oficina, de impresión y reproducción, de limpieza e higiene, así como los documentos mediante los cuales se solicita</w:t>
      </w:r>
      <w:r w:rsidR="003A6F7E">
        <w:rPr>
          <w:rFonts w:eastAsia="Times New Roman" w:cs="Tahoma"/>
          <w:bCs/>
          <w:iCs/>
          <w:color w:val="auto"/>
          <w:lang w:eastAsia="es-ES"/>
        </w:rPr>
        <w:t>ron</w:t>
      </w:r>
      <w:r w:rsidR="00FD5FDB">
        <w:rPr>
          <w:rFonts w:eastAsia="Times New Roman" w:cs="Tahoma"/>
          <w:bCs/>
          <w:iCs/>
          <w:color w:val="auto"/>
          <w:lang w:eastAsia="es-ES"/>
        </w:rPr>
        <w:t xml:space="preserve"> estos</w:t>
      </w:r>
      <w:r w:rsidR="0071667B">
        <w:rPr>
          <w:rFonts w:eastAsia="Times New Roman" w:cs="Tahoma"/>
          <w:bCs/>
          <w:iCs/>
          <w:color w:val="auto"/>
          <w:lang w:eastAsia="es-ES"/>
        </w:rPr>
        <w:t xml:space="preserve"> a la Unidad de Apoyo Administrativo</w:t>
      </w:r>
      <w:r w:rsidR="00FD5FDB">
        <w:rPr>
          <w:rFonts w:eastAsia="Times New Roman" w:cs="Tahoma"/>
          <w:bCs/>
          <w:iCs/>
          <w:color w:val="auto"/>
          <w:lang w:eastAsia="es-ES"/>
        </w:rPr>
        <w:t xml:space="preserve">, </w:t>
      </w:r>
      <w:r w:rsidR="00FD5FDB">
        <w:rPr>
          <w:rFonts w:eastAsia="Times New Roman" w:cs="Tahoma"/>
          <w:bCs/>
          <w:iCs/>
          <w:color w:val="auto"/>
          <w:lang w:eastAsia="es-ES"/>
        </w:rPr>
        <w:lastRenderedPageBreak/>
        <w:t xml:space="preserve">es información que genera el Sujeto Obligado en cumplimiento de sus facultades, atribuciones y competencias; b) </w:t>
      </w:r>
      <w:r w:rsidR="00FD5FDB">
        <w:rPr>
          <w:rFonts w:cs="Tahoma"/>
          <w:iCs/>
        </w:rPr>
        <w:t>el Sujeto Obligado</w:t>
      </w:r>
      <w:r>
        <w:rPr>
          <w:rFonts w:cs="Tahoma"/>
          <w:iCs/>
        </w:rPr>
        <w:t xml:space="preserve">, </w:t>
      </w:r>
      <w:r w:rsidRPr="00B05A5E">
        <w:rPr>
          <w:rFonts w:cs="Tahoma"/>
          <w:b/>
          <w:iCs/>
        </w:rPr>
        <w:t xml:space="preserve">no </w:t>
      </w:r>
      <w:r w:rsidR="00BC1E78">
        <w:rPr>
          <w:rFonts w:cs="Tahoma"/>
          <w:b/>
          <w:iCs/>
        </w:rPr>
        <w:t>fundó ni moti</w:t>
      </w:r>
      <w:r w:rsidR="00E55F2F">
        <w:rPr>
          <w:rFonts w:cs="Tahoma"/>
          <w:b/>
          <w:iCs/>
        </w:rPr>
        <w:t xml:space="preserve">vo </w:t>
      </w:r>
      <w:r w:rsidRPr="00B05A5E">
        <w:rPr>
          <w:rFonts w:cs="Tahoma"/>
          <w:b/>
          <w:iCs/>
        </w:rPr>
        <w:t>la imposibilidad humana, técnica y administrativa</w:t>
      </w:r>
      <w:r>
        <w:rPr>
          <w:rFonts w:cs="Tahoma"/>
          <w:iCs/>
        </w:rPr>
        <w:t xml:space="preserve">, establecida en el artículo 158 de la Ley de Transparencia y Acceso a la Información Pública del Estado de México y Municipios, para </w:t>
      </w:r>
      <w:r w:rsidR="00ED2126">
        <w:rPr>
          <w:rFonts w:cs="Tahoma"/>
          <w:iCs/>
        </w:rPr>
        <w:t xml:space="preserve">que </w:t>
      </w:r>
      <w:r>
        <w:rPr>
          <w:rFonts w:cs="Tahoma"/>
          <w:iCs/>
        </w:rPr>
        <w:t>el cambio de modalidad a consulta directa</w:t>
      </w:r>
      <w:r w:rsidR="00ED2126">
        <w:rPr>
          <w:rFonts w:cs="Tahoma"/>
          <w:iCs/>
        </w:rPr>
        <w:t xml:space="preserve"> resultara procedente</w:t>
      </w:r>
      <w:r>
        <w:rPr>
          <w:rFonts w:cs="Tahoma"/>
          <w:iCs/>
        </w:rPr>
        <w:t xml:space="preserve">, por lo que, </w:t>
      </w:r>
      <w:r w:rsidR="00A227AF">
        <w:rPr>
          <w:rFonts w:cs="Tahoma"/>
          <w:iCs/>
        </w:rPr>
        <w:t xml:space="preserve">los </w:t>
      </w:r>
      <w:r>
        <w:rPr>
          <w:rFonts w:cs="Tahoma"/>
          <w:iCs/>
        </w:rPr>
        <w:t xml:space="preserve"> </w:t>
      </w:r>
      <w:r w:rsidRPr="00C657BD">
        <w:rPr>
          <w:rFonts w:cs="Tahoma"/>
          <w:b/>
          <w:iCs/>
        </w:rPr>
        <w:t>agravio</w:t>
      </w:r>
      <w:r w:rsidR="00A227AF">
        <w:rPr>
          <w:rFonts w:cs="Tahoma"/>
          <w:b/>
          <w:iCs/>
        </w:rPr>
        <w:t>s hechos valer por el Solicitante en sus recursos de revisión</w:t>
      </w:r>
      <w:r w:rsidRPr="00C657BD">
        <w:rPr>
          <w:rFonts w:cs="Tahoma"/>
          <w:b/>
          <w:iCs/>
        </w:rPr>
        <w:t xml:space="preserve"> resulta</w:t>
      </w:r>
      <w:r w:rsidR="00A227AF">
        <w:rPr>
          <w:rFonts w:cs="Tahoma"/>
          <w:b/>
          <w:iCs/>
        </w:rPr>
        <w:t>n</w:t>
      </w:r>
      <w:r>
        <w:rPr>
          <w:rFonts w:cs="Tahoma"/>
          <w:iCs/>
        </w:rPr>
        <w:t xml:space="preserve"> </w:t>
      </w:r>
      <w:r>
        <w:rPr>
          <w:rFonts w:cs="Tahoma"/>
          <w:b/>
          <w:bCs/>
          <w:iCs/>
        </w:rPr>
        <w:t>FUNDADO</w:t>
      </w:r>
      <w:r w:rsidR="00A227AF">
        <w:rPr>
          <w:rFonts w:cs="Tahoma"/>
          <w:b/>
          <w:bCs/>
          <w:iCs/>
        </w:rPr>
        <w:t>S</w:t>
      </w:r>
      <w:r w:rsidR="001F10B5">
        <w:rPr>
          <w:rFonts w:cs="Tahoma"/>
          <w:b/>
          <w:bCs/>
          <w:iCs/>
        </w:rPr>
        <w:t>;</w:t>
      </w:r>
      <w:r w:rsidR="001F10B5">
        <w:rPr>
          <w:rFonts w:cs="Tahoma"/>
          <w:iCs/>
        </w:rPr>
        <w:t xml:space="preserve"> y c)</w:t>
      </w:r>
      <w:r>
        <w:rPr>
          <w:rFonts w:cs="Tahoma"/>
          <w:iCs/>
        </w:rPr>
        <w:t>, el Sujeto Obligado tampoco dio la posibilidad de poner a disposición la información en las demás modalidades estab</w:t>
      </w:r>
      <w:r w:rsidR="00FD5FDB">
        <w:rPr>
          <w:rFonts w:cs="Tahoma"/>
          <w:iCs/>
        </w:rPr>
        <w:t xml:space="preserve">lecidas en la Ley de la materia. </w:t>
      </w:r>
    </w:p>
    <w:p w14:paraId="42CEA88B" w14:textId="77777777" w:rsidR="00051642" w:rsidRDefault="00051642" w:rsidP="005E12FB">
      <w:pPr>
        <w:spacing w:after="0" w:line="360" w:lineRule="auto"/>
        <w:ind w:right="113"/>
        <w:rPr>
          <w:rFonts w:eastAsia="Times New Roman" w:cs="Arial"/>
          <w:b/>
          <w:color w:val="auto"/>
          <w:lang w:eastAsia="es-ES"/>
        </w:rPr>
      </w:pPr>
    </w:p>
    <w:p w14:paraId="68FB7232" w14:textId="77777777" w:rsidR="00792A22" w:rsidRDefault="00792A22" w:rsidP="005E12FB">
      <w:pPr>
        <w:spacing w:after="0" w:line="360" w:lineRule="auto"/>
        <w:rPr>
          <w:rFonts w:cs="Tahoma"/>
          <w:b/>
          <w:lang w:eastAsia="es-MX"/>
        </w:rPr>
      </w:pPr>
      <w:r>
        <w:rPr>
          <w:rFonts w:cs="Tahoma"/>
          <w:b/>
          <w:lang w:eastAsia="es-MX"/>
        </w:rPr>
        <w:t xml:space="preserve">SEXTO. Versión Pública. </w:t>
      </w:r>
    </w:p>
    <w:p w14:paraId="1158E3F3" w14:textId="77777777" w:rsidR="00792A22" w:rsidRDefault="00792A22" w:rsidP="005E12FB">
      <w:pPr>
        <w:spacing w:after="0" w:line="360" w:lineRule="auto"/>
        <w:rPr>
          <w:rFonts w:cs="Tahoma"/>
          <w:b/>
          <w:lang w:eastAsia="es-MX"/>
        </w:rPr>
      </w:pPr>
    </w:p>
    <w:p w14:paraId="58060334" w14:textId="77777777" w:rsidR="002B2C6E" w:rsidRPr="002B2C6E" w:rsidRDefault="002B2C6E" w:rsidP="005E12FB">
      <w:pPr>
        <w:spacing w:after="0" w:line="360" w:lineRule="auto"/>
        <w:rPr>
          <w:rFonts w:cs="Tahoma"/>
          <w:lang w:eastAsia="es-MX"/>
        </w:rPr>
      </w:pPr>
      <w:r w:rsidRPr="002B2C6E">
        <w:rPr>
          <w:rFonts w:cs="Tahoma"/>
          <w:lang w:eastAsia="es-MX"/>
        </w:rPr>
        <w:t>Ahora bien, no pasa desapercibido para este Instituto que los documentos que den cuenta de lo solicitado pudieran contener datos confidenciales que deban ser protegidos, por lo que, en ese supuesto, el Sujeto Obligado deberá elaborar la versión pública respectiva.</w:t>
      </w:r>
    </w:p>
    <w:p w14:paraId="79B5CA43" w14:textId="77777777" w:rsidR="002B2C6E" w:rsidRPr="002B2C6E" w:rsidRDefault="002B2C6E" w:rsidP="005E12FB">
      <w:pPr>
        <w:spacing w:after="0" w:line="360" w:lineRule="auto"/>
        <w:rPr>
          <w:rFonts w:cs="Tahoma"/>
          <w:lang w:eastAsia="es-MX"/>
        </w:rPr>
      </w:pPr>
    </w:p>
    <w:p w14:paraId="4E1D6D84" w14:textId="77777777" w:rsidR="002B2C6E" w:rsidRPr="002B2C6E" w:rsidRDefault="002B2C6E" w:rsidP="005E12FB">
      <w:pPr>
        <w:spacing w:after="0" w:line="360" w:lineRule="auto"/>
        <w:rPr>
          <w:rFonts w:cs="Tahoma"/>
          <w:lang w:eastAsia="es-MX"/>
        </w:rPr>
      </w:pPr>
      <w:r w:rsidRPr="002B2C6E">
        <w:rPr>
          <w:rFonts w:cs="Tahoma"/>
          <w:lang w:eastAsia="es-MX"/>
        </w:rPr>
        <w:t>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9FF407C" w14:textId="77777777" w:rsidR="002B2C6E" w:rsidRPr="002B2C6E" w:rsidRDefault="002B2C6E" w:rsidP="005E12FB">
      <w:pPr>
        <w:spacing w:after="0" w:line="360" w:lineRule="auto"/>
        <w:rPr>
          <w:rFonts w:cs="Tahoma"/>
          <w:lang w:eastAsia="es-MX"/>
        </w:rPr>
      </w:pPr>
    </w:p>
    <w:p w14:paraId="14D04A4D" w14:textId="1E72651B" w:rsidR="00792A22" w:rsidRDefault="002B2C6E" w:rsidP="005E12FB">
      <w:pPr>
        <w:spacing w:after="0" w:line="360" w:lineRule="auto"/>
        <w:rPr>
          <w:rFonts w:cs="Tahoma"/>
          <w:lang w:eastAsia="es-MX"/>
        </w:rPr>
      </w:pPr>
      <w:r w:rsidRPr="002B2C6E">
        <w:rPr>
          <w:rFonts w:cs="Tahoma"/>
          <w:lang w:eastAsia="es-MX"/>
        </w:rPr>
        <w:t xml:space="preserve">Para tal situación, el Sujeto Obligado deberá seguir el procedimiento establecido en el artículo 168 de dicho ordenamiento jurídico; esto es, que el área competente deberá elaborar </w:t>
      </w:r>
      <w:r w:rsidRPr="002B2C6E">
        <w:rPr>
          <w:rFonts w:cs="Tahoma"/>
          <w:lang w:eastAsia="es-MX"/>
        </w:rPr>
        <w:lastRenderedPageBreak/>
        <w:t>la versión pública, así como emitir el Acuerdo, por parte del Comité de Transparencia, donde confirme la clasificación de los datos, fundando y motivando la clasificación.</w:t>
      </w:r>
    </w:p>
    <w:p w14:paraId="7C4DC878" w14:textId="77777777" w:rsidR="002B2C6E" w:rsidRPr="00045DFD" w:rsidRDefault="002B2C6E" w:rsidP="005E12FB">
      <w:pPr>
        <w:spacing w:after="0" w:line="360" w:lineRule="auto"/>
        <w:rPr>
          <w:rFonts w:cs="Tahoma"/>
          <w:lang w:eastAsia="es-MX"/>
        </w:rPr>
      </w:pPr>
    </w:p>
    <w:p w14:paraId="15BF2E49" w14:textId="77777777" w:rsidR="00792A22" w:rsidRDefault="00792A22" w:rsidP="005E12FB">
      <w:pPr>
        <w:spacing w:after="0" w:line="360" w:lineRule="auto"/>
        <w:rPr>
          <w:rFonts w:cs="Tahoma"/>
          <w:b/>
          <w:color w:val="auto"/>
          <w:lang w:eastAsia="es-MX"/>
        </w:rPr>
      </w:pPr>
      <w:r>
        <w:rPr>
          <w:rFonts w:cs="Tahoma"/>
          <w:b/>
          <w:lang w:eastAsia="es-MX"/>
        </w:rPr>
        <w:t xml:space="preserve">SÉPTIMO. Decisión. </w:t>
      </w:r>
    </w:p>
    <w:p w14:paraId="625F76D7" w14:textId="77777777" w:rsidR="00792A22" w:rsidRPr="006B34A1" w:rsidRDefault="00792A22" w:rsidP="005E12FB">
      <w:pPr>
        <w:spacing w:after="0" w:line="360" w:lineRule="auto"/>
        <w:rPr>
          <w:rFonts w:cs="Tahoma"/>
          <w:b/>
          <w:color w:val="auto"/>
          <w:lang w:eastAsia="es-MX"/>
        </w:rPr>
      </w:pPr>
    </w:p>
    <w:p w14:paraId="035F0B86" w14:textId="2F56449E" w:rsidR="00792A22" w:rsidRDefault="00792A22" w:rsidP="005E12FB">
      <w:pPr>
        <w:spacing w:after="0" w:line="360" w:lineRule="auto"/>
        <w:rPr>
          <w:rFonts w:eastAsia="Calibri" w:cs="Tahoma"/>
          <w:iCs/>
          <w:lang w:eastAsia="es-ES_tradnl"/>
        </w:rPr>
      </w:pPr>
      <w:r>
        <w:rPr>
          <w:rFonts w:cs="Tahoma"/>
        </w:rPr>
        <w:t xml:space="preserve">Con fundamento en el artículo 186, fracción III de la Ley de Transparencia y Acceso a la Información Pública del Estado de México y Municipios, este Instituto considera procedente </w:t>
      </w:r>
      <w:r>
        <w:rPr>
          <w:rFonts w:cs="Tahoma"/>
          <w:b/>
          <w:bCs/>
          <w:iCs/>
          <w:lang w:val="es-ES_tradnl"/>
        </w:rPr>
        <w:t>REVOCAR</w:t>
      </w:r>
      <w:r>
        <w:rPr>
          <w:rFonts w:cs="Tahoma"/>
          <w:bCs/>
          <w:lang w:val="es-ES_tradnl"/>
        </w:rPr>
        <w:t xml:space="preserve"> </w:t>
      </w:r>
      <w:r>
        <w:rPr>
          <w:rFonts w:cs="Tahoma"/>
          <w:bCs/>
        </w:rPr>
        <w:t xml:space="preserve">las respuestas otorgadas por el Sujeto Obligado a las solicitudes de acceso a la información </w:t>
      </w:r>
      <w:r w:rsidR="002B2C6E" w:rsidRPr="002B2C6E">
        <w:rPr>
          <w:rFonts w:eastAsia="Calibri" w:cs="Tahoma"/>
          <w:b/>
          <w:bCs/>
        </w:rPr>
        <w:t>00288/CAMEM/IP/2021, 00289/CAMEM/IP/2021, 00290/CAMEM/IP/2021, y; 00291/CAMEM/IP/2021</w:t>
      </w:r>
      <w:r>
        <w:rPr>
          <w:rFonts w:cs="Tahoma"/>
          <w:bCs/>
        </w:rPr>
        <w:t xml:space="preserve">, </w:t>
      </w:r>
      <w:r>
        <w:rPr>
          <w:rFonts w:cs="Tahoma"/>
        </w:rPr>
        <w:t>a efecto de que</w:t>
      </w:r>
      <w:r>
        <w:rPr>
          <w:rFonts w:eastAsia="Calibri" w:cs="Tahoma"/>
          <w:iCs/>
          <w:lang w:eastAsia="es-ES_tradnl"/>
        </w:rPr>
        <w:t xml:space="preserve"> entregue a través del Sistema de Acceso a la Información Mexiquense (SAIMEX),</w:t>
      </w:r>
      <w:r w:rsidR="002B2C6E">
        <w:rPr>
          <w:rFonts w:eastAsia="Calibri" w:cs="Tahoma"/>
          <w:iCs/>
          <w:lang w:eastAsia="es-ES_tradnl"/>
        </w:rPr>
        <w:t xml:space="preserve"> de ser el caso, en versión pública,</w:t>
      </w:r>
      <w:r>
        <w:rPr>
          <w:rFonts w:eastAsia="Calibri" w:cs="Tahoma"/>
          <w:iCs/>
          <w:lang w:eastAsia="es-ES_tradnl"/>
        </w:rPr>
        <w:t xml:space="preserve"> la siguiente información: </w:t>
      </w:r>
    </w:p>
    <w:p w14:paraId="7049B8FE" w14:textId="77777777" w:rsidR="00792A22" w:rsidRPr="00513B33" w:rsidRDefault="00792A22" w:rsidP="005E12FB">
      <w:pPr>
        <w:spacing w:after="0" w:line="360" w:lineRule="auto"/>
        <w:rPr>
          <w:rFonts w:cs="Tahoma"/>
          <w:bCs/>
        </w:rPr>
      </w:pPr>
    </w:p>
    <w:p w14:paraId="46F4CA50" w14:textId="6BE3C55E" w:rsidR="002B2C6E" w:rsidRPr="00B820F1" w:rsidRDefault="00FD5FDB" w:rsidP="005E12FB">
      <w:pPr>
        <w:numPr>
          <w:ilvl w:val="0"/>
          <w:numId w:val="43"/>
        </w:numPr>
        <w:spacing w:after="0" w:line="360" w:lineRule="auto"/>
        <w:ind w:left="567" w:right="426"/>
        <w:rPr>
          <w:rFonts w:eastAsia="Calibri" w:cs="Tahoma"/>
          <w:iCs/>
          <w:color w:val="auto"/>
        </w:rPr>
      </w:pPr>
      <w:r w:rsidRPr="00B820F1">
        <w:rPr>
          <w:rFonts w:eastAsia="Calibri" w:cs="Tahoma"/>
          <w:iCs/>
          <w:color w:val="auto"/>
        </w:rPr>
        <w:t>Documento</w:t>
      </w:r>
      <w:r w:rsidR="00D620D7">
        <w:rPr>
          <w:rFonts w:eastAsia="Calibri" w:cs="Tahoma"/>
          <w:iCs/>
          <w:color w:val="auto"/>
        </w:rPr>
        <w:t>s</w:t>
      </w:r>
      <w:r w:rsidRPr="00B820F1">
        <w:rPr>
          <w:rFonts w:eastAsia="Calibri" w:cs="Tahoma"/>
          <w:iCs/>
          <w:color w:val="auto"/>
        </w:rPr>
        <w:t xml:space="preserve"> donde conste el registro o inventario de </w:t>
      </w:r>
      <w:r w:rsidR="00053D29" w:rsidRPr="00B820F1">
        <w:rPr>
          <w:rFonts w:eastAsia="Times New Roman" w:cs="Tahoma"/>
          <w:bCs/>
          <w:iCs/>
          <w:color w:val="auto"/>
          <w:lang w:eastAsia="es-ES"/>
        </w:rPr>
        <w:t>papelería</w:t>
      </w:r>
      <w:r w:rsidRPr="00B820F1">
        <w:rPr>
          <w:rFonts w:eastAsia="Times New Roman" w:cs="Tahoma"/>
          <w:bCs/>
          <w:iCs/>
          <w:color w:val="auto"/>
          <w:lang w:eastAsia="es-ES"/>
        </w:rPr>
        <w:t xml:space="preserve">, </w:t>
      </w:r>
      <w:r w:rsidR="003976A5" w:rsidRPr="00B820F1">
        <w:rPr>
          <w:rFonts w:eastAsia="Times New Roman" w:cs="Tahoma"/>
          <w:bCs/>
          <w:iCs/>
          <w:color w:val="auto"/>
          <w:lang w:eastAsia="es-ES"/>
        </w:rPr>
        <w:t xml:space="preserve">consumibles </w:t>
      </w:r>
      <w:r w:rsidRPr="00B820F1">
        <w:rPr>
          <w:rFonts w:eastAsia="Times New Roman" w:cs="Tahoma"/>
          <w:bCs/>
          <w:iCs/>
          <w:color w:val="auto"/>
          <w:lang w:eastAsia="es-ES"/>
        </w:rPr>
        <w:t>de impresión y reproducción</w:t>
      </w:r>
      <w:r w:rsidR="003976A5" w:rsidRPr="00B820F1">
        <w:rPr>
          <w:rFonts w:eastAsia="Times New Roman" w:cs="Tahoma"/>
          <w:bCs/>
          <w:iCs/>
          <w:color w:val="auto"/>
          <w:lang w:eastAsia="es-ES"/>
        </w:rPr>
        <w:t>, y artículos</w:t>
      </w:r>
      <w:r w:rsidRPr="00B820F1">
        <w:rPr>
          <w:rFonts w:eastAsia="Times New Roman" w:cs="Tahoma"/>
          <w:bCs/>
          <w:iCs/>
          <w:color w:val="auto"/>
          <w:lang w:eastAsia="es-ES"/>
        </w:rPr>
        <w:t xml:space="preserve"> de limpieza e higiene</w:t>
      </w:r>
      <w:r w:rsidRPr="00B820F1">
        <w:rPr>
          <w:rFonts w:eastAsia="Calibri" w:cs="Tahoma"/>
          <w:iCs/>
          <w:color w:val="auto"/>
        </w:rPr>
        <w:t>,</w:t>
      </w:r>
      <w:r w:rsidR="00053D29" w:rsidRPr="00B820F1">
        <w:rPr>
          <w:rFonts w:eastAsia="Calibri" w:cs="Tahoma"/>
          <w:iCs/>
          <w:color w:val="auto"/>
        </w:rPr>
        <w:t xml:space="preserve"> del uno de enero</w:t>
      </w:r>
      <w:r w:rsidR="002B2C6E" w:rsidRPr="00B820F1">
        <w:rPr>
          <w:rFonts w:eastAsia="Calibri" w:cs="Tahoma"/>
          <w:iCs/>
          <w:color w:val="auto"/>
        </w:rPr>
        <w:t xml:space="preserve"> al </w:t>
      </w:r>
      <w:r w:rsidR="00053D29" w:rsidRPr="00B820F1">
        <w:rPr>
          <w:rFonts w:eastAsia="Calibri" w:cs="Tahoma"/>
          <w:iCs/>
          <w:color w:val="auto"/>
        </w:rPr>
        <w:t>treinta</w:t>
      </w:r>
      <w:r w:rsidR="002B2C6E" w:rsidRPr="00B820F1">
        <w:rPr>
          <w:rFonts w:eastAsia="Calibri" w:cs="Tahoma"/>
          <w:iCs/>
          <w:color w:val="auto"/>
        </w:rPr>
        <w:t xml:space="preserve"> de noviembre de dos mil veintiuno. </w:t>
      </w:r>
    </w:p>
    <w:p w14:paraId="380226C5" w14:textId="2988B3F4" w:rsidR="002B2C6E" w:rsidRPr="00B820F1" w:rsidRDefault="00D34CD7" w:rsidP="005E12FB">
      <w:pPr>
        <w:numPr>
          <w:ilvl w:val="0"/>
          <w:numId w:val="43"/>
        </w:numPr>
        <w:spacing w:after="0" w:line="360" w:lineRule="auto"/>
        <w:ind w:left="567" w:right="426"/>
        <w:rPr>
          <w:rFonts w:eastAsia="Calibri" w:cs="Tahoma"/>
          <w:iCs/>
          <w:color w:val="auto"/>
        </w:rPr>
      </w:pPr>
      <w:r w:rsidRPr="00B820F1">
        <w:rPr>
          <w:rFonts w:eastAsia="Times New Roman" w:cs="Tahoma"/>
          <w:bCs/>
          <w:iCs/>
          <w:color w:val="auto"/>
          <w:lang w:eastAsia="es-ES"/>
        </w:rPr>
        <w:t xml:space="preserve">Documentos </w:t>
      </w:r>
      <w:r w:rsidRPr="00B820F1">
        <w:rPr>
          <w:rFonts w:eastAsia="Calibri" w:cs="Tahoma"/>
          <w:iCs/>
          <w:color w:val="auto"/>
        </w:rPr>
        <w:t xml:space="preserve">dirigidos a la Unidad de Apoyo Administrativo </w:t>
      </w:r>
      <w:r w:rsidRPr="00B820F1">
        <w:rPr>
          <w:rFonts w:eastAsia="Times New Roman" w:cs="Tahoma"/>
          <w:bCs/>
          <w:iCs/>
          <w:color w:val="auto"/>
          <w:lang w:eastAsia="es-ES"/>
        </w:rPr>
        <w:t>mediante los cuales se le solicita</w:t>
      </w:r>
      <w:r w:rsidR="00261FD7" w:rsidRPr="00B820F1">
        <w:rPr>
          <w:rFonts w:eastAsia="Times New Roman" w:cs="Tahoma"/>
          <w:bCs/>
          <w:iCs/>
          <w:color w:val="auto"/>
          <w:lang w:eastAsia="es-ES"/>
        </w:rPr>
        <w:t xml:space="preserve"> </w:t>
      </w:r>
      <w:r w:rsidR="00946B0A" w:rsidRPr="00B820F1">
        <w:rPr>
          <w:rFonts w:eastAsia="Times New Roman" w:cs="Tahoma"/>
          <w:bCs/>
          <w:iCs/>
          <w:color w:val="auto"/>
          <w:lang w:eastAsia="es-ES"/>
        </w:rPr>
        <w:t>papelería</w:t>
      </w:r>
      <w:r w:rsidRPr="00B820F1">
        <w:rPr>
          <w:rFonts w:eastAsia="Times New Roman" w:cs="Tahoma"/>
          <w:bCs/>
          <w:iCs/>
          <w:color w:val="auto"/>
          <w:lang w:eastAsia="es-ES"/>
        </w:rPr>
        <w:t xml:space="preserve">, </w:t>
      </w:r>
      <w:r w:rsidR="00B820F1" w:rsidRPr="00B820F1">
        <w:rPr>
          <w:rFonts w:eastAsia="Times New Roman" w:cs="Tahoma"/>
          <w:bCs/>
          <w:iCs/>
          <w:color w:val="auto"/>
          <w:lang w:eastAsia="es-ES"/>
        </w:rPr>
        <w:t xml:space="preserve">consumibles </w:t>
      </w:r>
      <w:r w:rsidRPr="00B820F1">
        <w:rPr>
          <w:rFonts w:eastAsia="Times New Roman" w:cs="Tahoma"/>
          <w:bCs/>
          <w:iCs/>
          <w:color w:val="auto"/>
          <w:lang w:eastAsia="es-ES"/>
        </w:rPr>
        <w:t>de impresión y reproducción,</w:t>
      </w:r>
      <w:r w:rsidR="00B820F1" w:rsidRPr="00B820F1">
        <w:rPr>
          <w:rFonts w:eastAsia="Times New Roman" w:cs="Tahoma"/>
          <w:bCs/>
          <w:iCs/>
          <w:color w:val="auto"/>
          <w:lang w:eastAsia="es-ES"/>
        </w:rPr>
        <w:t xml:space="preserve"> y artículos</w:t>
      </w:r>
      <w:r w:rsidRPr="00B820F1">
        <w:rPr>
          <w:rFonts w:eastAsia="Times New Roman" w:cs="Tahoma"/>
          <w:bCs/>
          <w:iCs/>
          <w:color w:val="auto"/>
          <w:lang w:eastAsia="es-ES"/>
        </w:rPr>
        <w:t xml:space="preserve"> de limpieza e higiene</w:t>
      </w:r>
      <w:r w:rsidRPr="00B820F1">
        <w:rPr>
          <w:rFonts w:eastAsia="Calibri" w:cs="Tahoma"/>
          <w:iCs/>
          <w:color w:val="auto"/>
        </w:rPr>
        <w:t xml:space="preserve"> </w:t>
      </w:r>
      <w:r w:rsidR="002B2C6E" w:rsidRPr="00B820F1">
        <w:rPr>
          <w:rFonts w:eastAsia="Calibri" w:cs="Tahoma"/>
          <w:iCs/>
          <w:color w:val="auto"/>
        </w:rPr>
        <w:t>del uno de octubre al treint</w:t>
      </w:r>
      <w:r w:rsidR="00B820F1" w:rsidRPr="00B820F1">
        <w:rPr>
          <w:rFonts w:eastAsia="Calibri" w:cs="Tahoma"/>
          <w:iCs/>
          <w:color w:val="auto"/>
        </w:rPr>
        <w:t>a</w:t>
      </w:r>
      <w:r w:rsidR="002B2C6E" w:rsidRPr="00B820F1">
        <w:rPr>
          <w:rFonts w:eastAsia="Calibri" w:cs="Tahoma"/>
          <w:iCs/>
          <w:color w:val="auto"/>
        </w:rPr>
        <w:t xml:space="preserve"> de noviembre de dos mil veintiuno. </w:t>
      </w:r>
    </w:p>
    <w:p w14:paraId="5FE1DCF2" w14:textId="77777777" w:rsidR="00792A22" w:rsidRDefault="00792A22" w:rsidP="005E12FB">
      <w:pPr>
        <w:spacing w:after="0" w:line="360" w:lineRule="auto"/>
        <w:rPr>
          <w:rFonts w:eastAsia="Calibri" w:cs="Tahoma"/>
          <w:iCs/>
          <w:lang w:eastAsia="es-ES_tradnl"/>
        </w:rPr>
      </w:pPr>
    </w:p>
    <w:p w14:paraId="76E60A46" w14:textId="77777777" w:rsidR="00792A22" w:rsidRDefault="00792A22" w:rsidP="005E12FB">
      <w:pPr>
        <w:spacing w:after="0" w:line="360" w:lineRule="auto"/>
        <w:rPr>
          <w:rFonts w:cs="Tahoma"/>
          <w:bCs/>
          <w:iCs/>
        </w:rPr>
      </w:pPr>
      <w:r>
        <w:rPr>
          <w:rFonts w:cs="Tahoma"/>
          <w:bCs/>
          <w:iCs/>
          <w:lang w:val="es-ES"/>
        </w:rPr>
        <w:t>Además, de ser necesario, deberá proporcionar el Acuerdo de Clasificación donde el Comité de Transparencia, confirme la eliminación de los datos personales, en la versión pública</w:t>
      </w:r>
      <w:r>
        <w:rPr>
          <w:rFonts w:cs="Tahoma"/>
          <w:bCs/>
          <w:iCs/>
        </w:rPr>
        <w:t>, de conformidad con los artículos 49, fracciones II y VIII y 132, fracción II, de la Ley de Transparencia y Acceso a la Información Pública del Estado de México y Municipios.</w:t>
      </w:r>
    </w:p>
    <w:p w14:paraId="0D7645BD" w14:textId="77777777" w:rsidR="00792A22" w:rsidRPr="00DC40E7" w:rsidRDefault="00792A22" w:rsidP="005E12FB">
      <w:pPr>
        <w:spacing w:after="0" w:line="360" w:lineRule="auto"/>
        <w:rPr>
          <w:rFonts w:cs="Tahoma"/>
          <w:bCs/>
          <w:iCs/>
          <w:color w:val="auto"/>
        </w:rPr>
      </w:pPr>
    </w:p>
    <w:p w14:paraId="0D5E199D" w14:textId="77777777" w:rsidR="00792A22" w:rsidRDefault="00792A22" w:rsidP="005E12FB">
      <w:pPr>
        <w:autoSpaceDE w:val="0"/>
        <w:autoSpaceDN w:val="0"/>
        <w:adjustRightInd w:val="0"/>
        <w:spacing w:after="0" w:line="360" w:lineRule="auto"/>
        <w:rPr>
          <w:rFonts w:eastAsia="Calibri" w:cs="Tahoma"/>
          <w:b/>
          <w:bCs/>
          <w:iCs/>
          <w:lang w:val="es-ES"/>
        </w:rPr>
      </w:pPr>
      <w:r>
        <w:rPr>
          <w:rFonts w:eastAsia="Calibri" w:cs="Tahoma"/>
          <w:b/>
          <w:bCs/>
          <w:iCs/>
          <w:lang w:val="es-ES"/>
        </w:rPr>
        <w:lastRenderedPageBreak/>
        <w:t xml:space="preserve">Términos de la Resolución para el Recurrente. </w:t>
      </w:r>
    </w:p>
    <w:p w14:paraId="6E09471E" w14:textId="77777777" w:rsidR="00792A22" w:rsidRDefault="00792A22" w:rsidP="005E12FB">
      <w:pPr>
        <w:autoSpaceDE w:val="0"/>
        <w:autoSpaceDN w:val="0"/>
        <w:adjustRightInd w:val="0"/>
        <w:spacing w:after="0" w:line="360" w:lineRule="auto"/>
        <w:rPr>
          <w:rFonts w:eastAsia="Calibri" w:cs="Tahoma"/>
          <w:b/>
          <w:bCs/>
          <w:iCs/>
          <w:lang w:val="es-ES"/>
        </w:rPr>
      </w:pPr>
    </w:p>
    <w:p w14:paraId="3DC65E20" w14:textId="33711EC1" w:rsidR="00792A22" w:rsidRDefault="00792A22" w:rsidP="005E12FB">
      <w:pPr>
        <w:widowControl w:val="0"/>
        <w:spacing w:after="0" w:line="360" w:lineRule="auto"/>
        <w:rPr>
          <w:rFonts w:eastAsia="Calibri" w:cs="Tahoma"/>
          <w:bCs/>
          <w:iCs/>
          <w:lang w:val="es-ES"/>
        </w:rPr>
      </w:pPr>
      <w:r>
        <w:rPr>
          <w:rFonts w:eastAsia="Calibri" w:cs="Tahoma"/>
          <w:bCs/>
          <w:iCs/>
          <w:lang w:val="es-ES"/>
        </w:rPr>
        <w:t>Se hace del conocimiento al Particular que en el presente caso se le concede la razón porque el Sujeto Obligado pretendió poner a disposición la información requerida en una modalidad distinta a la solicitada</w:t>
      </w:r>
      <w:r w:rsidR="005E12FB">
        <w:rPr>
          <w:rFonts w:eastAsia="Calibri" w:cs="Tahoma"/>
          <w:bCs/>
          <w:iCs/>
          <w:lang w:val="es-ES"/>
        </w:rPr>
        <w:t xml:space="preserve">, sin justificar la existencia de imposibilidad, técnica, humana y/o material para ello. </w:t>
      </w:r>
    </w:p>
    <w:p w14:paraId="36020ED1" w14:textId="77777777" w:rsidR="006A6CB8" w:rsidRDefault="006A6CB8" w:rsidP="005E12FB">
      <w:pPr>
        <w:widowControl w:val="0"/>
        <w:spacing w:after="0" w:line="360" w:lineRule="auto"/>
        <w:rPr>
          <w:rFonts w:eastAsia="Calibri" w:cs="Tahoma"/>
          <w:bCs/>
          <w:iCs/>
          <w:lang w:val="es-ES"/>
        </w:rPr>
      </w:pPr>
    </w:p>
    <w:p w14:paraId="7E15CA43" w14:textId="77777777" w:rsidR="00792A22" w:rsidRDefault="00792A22" w:rsidP="005E12FB">
      <w:pPr>
        <w:spacing w:after="0" w:line="360" w:lineRule="auto"/>
        <w:rPr>
          <w:rFonts w:eastAsia="Calibri" w:cs="Tahoma"/>
          <w:bCs/>
          <w:iCs/>
        </w:rPr>
      </w:pPr>
      <w:r>
        <w:rPr>
          <w:rFonts w:eastAsia="Calibri" w:cs="Tahoma"/>
          <w:bCs/>
          <w:iCs/>
        </w:rPr>
        <w:t xml:space="preserve">Por último, es imprescindible mencionar que la labor de este Instituto es apoyar a la población para que acceda a la información pública que se encuentre en posesión de los sujetos obligados y garantizar la protección de los datos personales. </w:t>
      </w:r>
    </w:p>
    <w:p w14:paraId="24FD67F9" w14:textId="77777777" w:rsidR="00792A22" w:rsidRPr="003D5B55" w:rsidRDefault="00792A22" w:rsidP="005E12FB">
      <w:pPr>
        <w:spacing w:after="0" w:line="360" w:lineRule="auto"/>
        <w:rPr>
          <w:rFonts w:eastAsia="Times New Roman" w:cs="Tahoma"/>
          <w:bCs/>
          <w:iCs/>
          <w:color w:val="auto"/>
          <w:lang w:val="es-ES" w:eastAsia="es-ES"/>
        </w:rPr>
      </w:pPr>
    </w:p>
    <w:p w14:paraId="288A8A35" w14:textId="77777777" w:rsidR="00792A22" w:rsidRDefault="00792A22" w:rsidP="005E12FB">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9DBA9BB" w14:textId="77777777" w:rsidR="00792A22" w:rsidRDefault="00792A22" w:rsidP="005E12FB">
      <w:pPr>
        <w:spacing w:after="0" w:line="360" w:lineRule="auto"/>
        <w:rPr>
          <w:rFonts w:eastAsia="Times New Roman" w:cs="Tahoma"/>
          <w:bCs/>
          <w:color w:val="auto"/>
          <w:lang w:eastAsia="es-ES"/>
        </w:rPr>
      </w:pPr>
    </w:p>
    <w:p w14:paraId="1B0B2814" w14:textId="77777777" w:rsidR="00792A22" w:rsidRPr="003D5B55" w:rsidRDefault="00792A22" w:rsidP="005E12FB">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160D4323" w14:textId="77777777" w:rsidR="00792A22" w:rsidRDefault="00792A22" w:rsidP="005E12FB">
      <w:pPr>
        <w:spacing w:after="0" w:line="360" w:lineRule="auto"/>
        <w:ind w:right="113"/>
        <w:rPr>
          <w:rFonts w:eastAsia="Times New Roman" w:cs="Arial"/>
          <w:b/>
          <w:color w:val="auto"/>
          <w:lang w:eastAsia="es-ES"/>
        </w:rPr>
      </w:pPr>
    </w:p>
    <w:p w14:paraId="15D54E37" w14:textId="73311CBA" w:rsidR="00792A22" w:rsidRPr="009A7B18" w:rsidRDefault="00792A22" w:rsidP="005E12FB">
      <w:pPr>
        <w:tabs>
          <w:tab w:val="right" w:pos="8838"/>
        </w:tabs>
        <w:spacing w:after="0" w:line="360" w:lineRule="auto"/>
        <w:ind w:left="-28" w:right="-32"/>
        <w:rPr>
          <w:rFonts w:eastAsia="Calibri" w:cs="Tahoma"/>
        </w:rPr>
      </w:pPr>
      <w:bookmarkStart w:id="5" w:name="_Hlk92790075"/>
      <w:r w:rsidRPr="00D13FCC">
        <w:rPr>
          <w:rFonts w:eastAsia="Times New Roman" w:cs="Tahoma"/>
          <w:b/>
          <w:bCs/>
          <w:color w:val="auto"/>
          <w:lang w:eastAsia="es-ES"/>
        </w:rPr>
        <w:t xml:space="preserve">PRIMERO. </w:t>
      </w:r>
      <w:r>
        <w:rPr>
          <w:rFonts w:eastAsia="Times New Roman" w:cs="Tahoma"/>
          <w:color w:val="auto"/>
          <w:lang w:eastAsia="es-ES"/>
        </w:rPr>
        <w:t xml:space="preserve">Se </w:t>
      </w:r>
      <w:r>
        <w:rPr>
          <w:rFonts w:eastAsia="Times New Roman" w:cs="Tahoma"/>
          <w:b/>
          <w:bCs/>
          <w:color w:val="auto"/>
          <w:lang w:eastAsia="es-ES"/>
        </w:rPr>
        <w:t xml:space="preserve">REVOCAN </w:t>
      </w:r>
      <w:r>
        <w:rPr>
          <w:rFonts w:eastAsia="Times New Roman" w:cs="Tahoma"/>
          <w:color w:val="auto"/>
          <w:lang w:eastAsia="es-ES"/>
        </w:rPr>
        <w:t xml:space="preserve">las respuestas entregadas por </w:t>
      </w:r>
      <w:r w:rsidR="009A7B18">
        <w:rPr>
          <w:rFonts w:eastAsia="Times New Roman" w:cs="Tahoma"/>
          <w:color w:val="auto"/>
          <w:lang w:eastAsia="es-ES"/>
        </w:rPr>
        <w:t xml:space="preserve">la </w:t>
      </w:r>
      <w:r w:rsidR="009A7B18">
        <w:rPr>
          <w:rFonts w:eastAsia="Calibri" w:cs="Tahoma"/>
        </w:rPr>
        <w:t>Comisión de Conciliación y Arbitraje Médico del Estado de México</w:t>
      </w:r>
      <w:r>
        <w:rPr>
          <w:rFonts w:eastAsia="Times New Roman" w:cs="Tahoma"/>
          <w:color w:val="auto"/>
          <w:lang w:eastAsia="es-ES"/>
        </w:rPr>
        <w:t xml:space="preserve"> a las solicitudes de información </w:t>
      </w:r>
      <w:r>
        <w:rPr>
          <w:rFonts w:eastAsia="Calibri" w:cs="Tahoma"/>
          <w:b/>
          <w:bCs/>
        </w:rPr>
        <w:t xml:space="preserve">00288/CAMEM/IP/2021, 00289/CAMEM/IP/2021, 00290/CAMEM/IP/2021 </w:t>
      </w:r>
      <w:r w:rsidRPr="005E12FB">
        <w:rPr>
          <w:rFonts w:eastAsia="Calibri" w:cs="Tahoma"/>
        </w:rPr>
        <w:t xml:space="preserve">y </w:t>
      </w:r>
      <w:r>
        <w:rPr>
          <w:rFonts w:eastAsia="Calibri" w:cs="Tahoma"/>
          <w:b/>
          <w:bCs/>
        </w:rPr>
        <w:t>00291/CAMEM/IP/2021</w:t>
      </w:r>
      <w:r>
        <w:rPr>
          <w:rFonts w:eastAsia="Calibri" w:cs="Tahoma"/>
        </w:rPr>
        <w:t xml:space="preserve">, por resultar </w:t>
      </w:r>
      <w:r w:rsidRPr="001C448F">
        <w:rPr>
          <w:rFonts w:eastAsia="Calibri" w:cs="Tahoma"/>
          <w:b/>
          <w:bCs/>
          <w:color w:val="auto"/>
        </w:rPr>
        <w:t>FUNDADOS</w:t>
      </w:r>
      <w:r w:rsidRPr="001C448F">
        <w:rPr>
          <w:rFonts w:eastAsia="Calibri" w:cs="Tahoma"/>
          <w:bCs/>
          <w:color w:val="auto"/>
        </w:rPr>
        <w:t xml:space="preserve"> los motivos de inconformidad vertidos por el Recurrente, en términos de los Considerandos </w:t>
      </w:r>
      <w:r w:rsidRPr="001C448F">
        <w:rPr>
          <w:rFonts w:eastAsia="Calibri" w:cs="Tahoma"/>
          <w:b/>
          <w:color w:val="auto"/>
        </w:rPr>
        <w:t xml:space="preserve">QUINTO </w:t>
      </w:r>
      <w:r w:rsidRPr="001C448F">
        <w:rPr>
          <w:rFonts w:eastAsia="Calibri" w:cs="Tahoma"/>
          <w:bCs/>
          <w:color w:val="auto"/>
        </w:rPr>
        <w:t xml:space="preserve">y </w:t>
      </w:r>
      <w:r w:rsidRPr="001C448F">
        <w:rPr>
          <w:rFonts w:eastAsia="Calibri" w:cs="Tahoma"/>
          <w:b/>
          <w:color w:val="auto"/>
        </w:rPr>
        <w:t xml:space="preserve">SÉPTIMO </w:t>
      </w:r>
      <w:r w:rsidRPr="001C448F">
        <w:rPr>
          <w:rFonts w:eastAsia="Calibri" w:cs="Tahoma"/>
          <w:bCs/>
          <w:color w:val="auto"/>
        </w:rPr>
        <w:t>de la presente Resolución.</w:t>
      </w:r>
    </w:p>
    <w:p w14:paraId="332645CF" w14:textId="77777777" w:rsidR="00792A22" w:rsidRPr="009F0B36" w:rsidRDefault="00792A22" w:rsidP="005E12FB">
      <w:pPr>
        <w:widowControl w:val="0"/>
        <w:spacing w:after="0" w:line="360" w:lineRule="auto"/>
        <w:rPr>
          <w:rFonts w:eastAsia="Times New Roman" w:cs="Tahoma"/>
          <w:bCs/>
          <w:color w:val="auto"/>
          <w:lang w:eastAsia="es-ES"/>
        </w:rPr>
      </w:pPr>
    </w:p>
    <w:p w14:paraId="7EC4EFDC" w14:textId="4C2161F6" w:rsidR="00D34CD7" w:rsidRDefault="00792A22" w:rsidP="005E12FB">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a</w:t>
      </w:r>
      <w:r>
        <w:rPr>
          <w:rFonts w:eastAsia="Calibri" w:cs="Tahoma"/>
          <w:color w:val="auto"/>
          <w:lang w:eastAsia="es-MX"/>
        </w:rPr>
        <w:t xml:space="preserve"> la Comisión de Conciliación y Arbitraje Médico del Estado de México,</w:t>
      </w:r>
      <w:r>
        <w:rPr>
          <w:rFonts w:eastAsia="Times New Roman" w:cs="Tahoma"/>
          <w:color w:val="auto"/>
          <w:szCs w:val="20"/>
          <w:lang w:eastAsia="es-ES"/>
        </w:rPr>
        <w:t xml:space="preserve"> entregue a través</w:t>
      </w:r>
      <w:r w:rsidRPr="00D13FCC">
        <w:rPr>
          <w:rFonts w:eastAsia="Times New Roman" w:cs="Tahoma"/>
          <w:color w:val="auto"/>
          <w:szCs w:val="20"/>
          <w:lang w:eastAsia="es-ES"/>
        </w:rPr>
        <w:t xml:space="preserve"> del </w:t>
      </w:r>
      <w:r w:rsidRPr="00D13FCC">
        <w:rPr>
          <w:rFonts w:eastAsia="Times New Roman" w:cs="Tahoma"/>
          <w:color w:val="auto"/>
          <w:szCs w:val="20"/>
          <w:lang w:val="es-ES" w:eastAsia="es-ES"/>
        </w:rPr>
        <w:t xml:space="preserve">Sistema de Acceso a la Información Mexiquense (SAIMEX), </w:t>
      </w:r>
      <w:r w:rsidR="009652BB">
        <w:rPr>
          <w:rFonts w:eastAsia="Times New Roman" w:cs="Tahoma"/>
          <w:color w:val="auto"/>
          <w:szCs w:val="20"/>
          <w:lang w:val="es-ES" w:eastAsia="es-ES"/>
        </w:rPr>
        <w:t>de ser el</w:t>
      </w:r>
      <w:r>
        <w:rPr>
          <w:rFonts w:eastAsia="Times New Roman" w:cs="Tahoma"/>
          <w:color w:val="auto"/>
          <w:szCs w:val="20"/>
          <w:lang w:val="es-ES" w:eastAsia="es-ES"/>
        </w:rPr>
        <w:t xml:space="preserve"> caso, en versión pública, lo siguiente: </w:t>
      </w:r>
    </w:p>
    <w:p w14:paraId="37B806B7" w14:textId="77777777" w:rsidR="009652BB" w:rsidRPr="00513B33" w:rsidRDefault="009652BB" w:rsidP="005E12FB">
      <w:pPr>
        <w:spacing w:after="0" w:line="360" w:lineRule="auto"/>
        <w:rPr>
          <w:rFonts w:cs="Tahoma"/>
          <w:bCs/>
        </w:rPr>
      </w:pPr>
    </w:p>
    <w:p w14:paraId="29E666FC" w14:textId="0FC9658A" w:rsidR="009652BB" w:rsidRDefault="009652BB" w:rsidP="005E12FB">
      <w:pPr>
        <w:numPr>
          <w:ilvl w:val="0"/>
          <w:numId w:val="43"/>
        </w:numPr>
        <w:spacing w:after="0" w:line="360" w:lineRule="auto"/>
        <w:ind w:left="993" w:right="426"/>
        <w:rPr>
          <w:rFonts w:eastAsia="Calibri" w:cs="Tahoma"/>
          <w:iCs/>
          <w:color w:val="auto"/>
        </w:rPr>
      </w:pPr>
      <w:r w:rsidRPr="00B820F1">
        <w:rPr>
          <w:rFonts w:eastAsia="Calibri" w:cs="Tahoma"/>
          <w:iCs/>
          <w:color w:val="auto"/>
        </w:rPr>
        <w:t>Documento</w:t>
      </w:r>
      <w:r w:rsidR="00D620D7">
        <w:rPr>
          <w:rFonts w:eastAsia="Calibri" w:cs="Tahoma"/>
          <w:iCs/>
          <w:color w:val="auto"/>
        </w:rPr>
        <w:t>s</w:t>
      </w:r>
      <w:r w:rsidRPr="00B820F1">
        <w:rPr>
          <w:rFonts w:eastAsia="Calibri" w:cs="Tahoma"/>
          <w:iCs/>
          <w:color w:val="auto"/>
        </w:rPr>
        <w:t xml:space="preserve"> donde conste el registro o inventario de </w:t>
      </w:r>
      <w:r w:rsidRPr="00B820F1">
        <w:rPr>
          <w:rFonts w:eastAsia="Times New Roman" w:cs="Tahoma"/>
          <w:bCs/>
          <w:iCs/>
          <w:color w:val="auto"/>
          <w:lang w:eastAsia="es-ES"/>
        </w:rPr>
        <w:t>papelería, consumibles de impresión y reproducción, y artículos de limpieza e higiene</w:t>
      </w:r>
      <w:r w:rsidRPr="00B820F1">
        <w:rPr>
          <w:rFonts w:eastAsia="Calibri" w:cs="Tahoma"/>
          <w:iCs/>
          <w:color w:val="auto"/>
        </w:rPr>
        <w:t xml:space="preserve">, del </w:t>
      </w:r>
      <w:r w:rsidR="005E12FB">
        <w:rPr>
          <w:rFonts w:eastAsia="Calibri" w:cs="Tahoma"/>
          <w:iCs/>
          <w:color w:val="auto"/>
        </w:rPr>
        <w:t>primero</w:t>
      </w:r>
      <w:r w:rsidRPr="00B820F1">
        <w:rPr>
          <w:rFonts w:eastAsia="Calibri" w:cs="Tahoma"/>
          <w:iCs/>
          <w:color w:val="auto"/>
        </w:rPr>
        <w:t xml:space="preserve"> de enero al treinta de noviembre de dos mil veintiuno. </w:t>
      </w:r>
    </w:p>
    <w:p w14:paraId="3C491827" w14:textId="77777777" w:rsidR="005E12FB" w:rsidRPr="00B820F1" w:rsidRDefault="005E12FB" w:rsidP="005E12FB">
      <w:pPr>
        <w:spacing w:after="0" w:line="360" w:lineRule="auto"/>
        <w:ind w:left="993" w:right="426"/>
        <w:rPr>
          <w:rFonts w:eastAsia="Calibri" w:cs="Tahoma"/>
          <w:iCs/>
          <w:color w:val="auto"/>
        </w:rPr>
      </w:pPr>
    </w:p>
    <w:p w14:paraId="0709967C" w14:textId="77777777" w:rsidR="009652BB" w:rsidRPr="00B820F1" w:rsidRDefault="009652BB" w:rsidP="005E12FB">
      <w:pPr>
        <w:numPr>
          <w:ilvl w:val="0"/>
          <w:numId w:val="43"/>
        </w:numPr>
        <w:spacing w:after="0" w:line="360" w:lineRule="auto"/>
        <w:ind w:left="993" w:right="426"/>
        <w:rPr>
          <w:rFonts w:eastAsia="Calibri" w:cs="Tahoma"/>
          <w:iCs/>
          <w:color w:val="auto"/>
        </w:rPr>
      </w:pPr>
      <w:r w:rsidRPr="00B820F1">
        <w:rPr>
          <w:rFonts w:eastAsia="Times New Roman" w:cs="Tahoma"/>
          <w:bCs/>
          <w:iCs/>
          <w:color w:val="auto"/>
          <w:lang w:eastAsia="es-ES"/>
        </w:rPr>
        <w:t xml:space="preserve">Documentos </w:t>
      </w:r>
      <w:r w:rsidRPr="00B820F1">
        <w:rPr>
          <w:rFonts w:eastAsia="Calibri" w:cs="Tahoma"/>
          <w:iCs/>
          <w:color w:val="auto"/>
        </w:rPr>
        <w:t xml:space="preserve">dirigidos a la Unidad de Apoyo Administrativo </w:t>
      </w:r>
      <w:r w:rsidRPr="00B820F1">
        <w:rPr>
          <w:rFonts w:eastAsia="Times New Roman" w:cs="Tahoma"/>
          <w:bCs/>
          <w:iCs/>
          <w:color w:val="auto"/>
          <w:lang w:eastAsia="es-ES"/>
        </w:rPr>
        <w:t>mediante los cuales se le solicita papelería, consumibles de impresión y reproducción, y artículos de limpieza e higiene</w:t>
      </w:r>
      <w:r w:rsidRPr="00B820F1">
        <w:rPr>
          <w:rFonts w:eastAsia="Calibri" w:cs="Tahoma"/>
          <w:iCs/>
          <w:color w:val="auto"/>
        </w:rPr>
        <w:t xml:space="preserve"> del uno de octubre al treinta de noviembre de dos mil veintiuno. </w:t>
      </w:r>
    </w:p>
    <w:p w14:paraId="275F925C" w14:textId="77777777" w:rsidR="008123FC" w:rsidRDefault="008123FC" w:rsidP="005E12FB">
      <w:pPr>
        <w:pStyle w:val="Prrafodelista"/>
        <w:spacing w:after="0" w:line="360" w:lineRule="auto"/>
        <w:ind w:left="851" w:right="426"/>
        <w:rPr>
          <w:rFonts w:eastAsia="Times New Roman" w:cs="Tahoma"/>
          <w:iCs/>
          <w:color w:val="auto"/>
          <w:lang w:eastAsia="es-ES"/>
        </w:rPr>
      </w:pPr>
    </w:p>
    <w:p w14:paraId="29290948" w14:textId="4DD65AD4" w:rsidR="00792A22" w:rsidRPr="00964B2F" w:rsidRDefault="00792A22" w:rsidP="005E12FB">
      <w:pPr>
        <w:spacing w:after="0" w:line="360" w:lineRule="auto"/>
        <w:ind w:right="426"/>
        <w:rPr>
          <w:rFonts w:eastAsia="Calibri" w:cs="Tahoma"/>
          <w:bCs/>
          <w:iCs/>
          <w:color w:val="000000"/>
        </w:rPr>
      </w:pPr>
      <w:r w:rsidRPr="00964B2F">
        <w:rPr>
          <w:rFonts w:eastAsia="Times New Roman" w:cs="Tahoma"/>
          <w:iCs/>
          <w:color w:val="auto"/>
          <w:lang w:eastAsia="es-ES"/>
        </w:rPr>
        <w:t>Además, de ser necesari</w:t>
      </w:r>
      <w:r w:rsidR="005E12FB">
        <w:rPr>
          <w:rFonts w:eastAsia="Times New Roman" w:cs="Tahoma"/>
          <w:iCs/>
          <w:color w:val="auto"/>
          <w:lang w:eastAsia="es-ES"/>
        </w:rPr>
        <w:t>as las versiones públicas</w:t>
      </w:r>
      <w:r w:rsidRPr="00964B2F">
        <w:rPr>
          <w:rFonts w:eastAsia="Times New Roman" w:cs="Tahoma"/>
          <w:iCs/>
          <w:color w:val="auto"/>
          <w:lang w:eastAsia="es-ES"/>
        </w:rPr>
        <w:t xml:space="preserve">, deberá proporcionar </w:t>
      </w:r>
      <w:r w:rsidRPr="00964B2F">
        <w:rPr>
          <w:rFonts w:eastAsia="Calibri" w:cs="Tahoma"/>
          <w:bCs/>
          <w:iCs/>
          <w:color w:val="000000"/>
        </w:rPr>
        <w:t>el Acuerdo de Clasificación donde el Comité de Transparencia, confirme la eliminación de los datos personales en la versión pública, de conformidad con los artículos 49, fracciones II y VIII y 1</w:t>
      </w:r>
      <w:r w:rsidR="005E12FB">
        <w:rPr>
          <w:rFonts w:eastAsia="Calibri" w:cs="Tahoma"/>
          <w:bCs/>
          <w:iCs/>
          <w:color w:val="000000"/>
        </w:rPr>
        <w:t>43</w:t>
      </w:r>
      <w:r w:rsidRPr="00964B2F">
        <w:rPr>
          <w:rFonts w:eastAsia="Calibri" w:cs="Tahoma"/>
          <w:bCs/>
          <w:iCs/>
          <w:color w:val="000000"/>
        </w:rPr>
        <w:t>, fracción I</w:t>
      </w:r>
      <w:r w:rsidR="005E12FB">
        <w:rPr>
          <w:rFonts w:eastAsia="Calibri" w:cs="Tahoma"/>
          <w:bCs/>
          <w:iCs/>
          <w:color w:val="000000"/>
        </w:rPr>
        <w:t xml:space="preserve"> y 149</w:t>
      </w:r>
      <w:r w:rsidRPr="00964B2F">
        <w:rPr>
          <w:rFonts w:eastAsia="Calibri" w:cs="Tahoma"/>
          <w:bCs/>
          <w:iCs/>
          <w:color w:val="000000"/>
        </w:rPr>
        <w:t xml:space="preserve"> de la Ley de Transparencia y Acceso a la Información Pública del Estado de México y Municipios.</w:t>
      </w:r>
    </w:p>
    <w:p w14:paraId="160060AF" w14:textId="77777777" w:rsidR="00792A22" w:rsidRPr="00CB0DF6" w:rsidRDefault="00792A22" w:rsidP="005E12FB">
      <w:pPr>
        <w:spacing w:after="0" w:line="360" w:lineRule="auto"/>
        <w:rPr>
          <w:rFonts w:eastAsia="Calibri" w:cs="Tahoma"/>
          <w:bCs/>
          <w:iCs/>
          <w:color w:val="000000"/>
        </w:rPr>
      </w:pPr>
    </w:p>
    <w:bookmarkEnd w:id="5"/>
    <w:p w14:paraId="2789D811" w14:textId="77777777" w:rsidR="00792A22" w:rsidRDefault="00792A22" w:rsidP="005E12FB">
      <w:pPr>
        <w:spacing w:after="0" w:line="360" w:lineRule="auto"/>
        <w:rPr>
          <w:rFonts w:eastAsia="Times New Roman" w:cs="Tahoma"/>
          <w:color w:val="auto"/>
          <w:lang w:eastAsia="es-ES"/>
        </w:rPr>
      </w:pPr>
      <w:r>
        <w:rPr>
          <w:rFonts w:eastAsia="Calibri" w:cs="Tahoma"/>
          <w:b/>
          <w:color w:val="auto"/>
          <w:lang w:eastAsia="es-MX"/>
        </w:rPr>
        <w:t>TERCERO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32CA62" w14:textId="77777777" w:rsidR="00792A22" w:rsidRDefault="00792A22" w:rsidP="005E12FB">
      <w:pPr>
        <w:spacing w:after="0" w:line="360" w:lineRule="auto"/>
        <w:rPr>
          <w:rFonts w:eastAsia="Times New Roman" w:cs="Tahoma"/>
          <w:color w:val="auto"/>
          <w:lang w:eastAsia="es-ES"/>
        </w:rPr>
      </w:pPr>
    </w:p>
    <w:p w14:paraId="469972A9" w14:textId="3367471D" w:rsidR="00792A22" w:rsidRDefault="00792A22" w:rsidP="005E12FB">
      <w:pPr>
        <w:spacing w:after="0" w:line="360" w:lineRule="auto"/>
        <w:rPr>
          <w:rFonts w:eastAsia="Times New Roman" w:cs="Tahoma"/>
          <w:color w:val="auto"/>
          <w:lang w:eastAsia="es-ES"/>
        </w:rPr>
      </w:pPr>
      <w:r w:rsidRPr="00DC40E7">
        <w:rPr>
          <w:rFonts w:eastAsia="Times New Roman" w:cs="Tahoma"/>
          <w:color w:val="auto"/>
          <w:lang w:eastAsia="es-ES"/>
        </w:rPr>
        <w:t>De conformidad con el artículo 198 de la Ley de Transpar</w:t>
      </w:r>
      <w:r>
        <w:rPr>
          <w:rFonts w:eastAsia="Times New Roman" w:cs="Tahoma"/>
          <w:color w:val="auto"/>
          <w:lang w:eastAsia="es-ES"/>
        </w:rPr>
        <w:t xml:space="preserve">encia y Acceso a la Información </w:t>
      </w:r>
      <w:r w:rsidRPr="00DC40E7">
        <w:rPr>
          <w:rFonts w:eastAsia="Times New Roman" w:cs="Tahoma"/>
          <w:color w:val="auto"/>
          <w:lang w:eastAsia="es-ES"/>
        </w:rPr>
        <w:t>Pública del Estado de México y Municipios, de considerarlo</w:t>
      </w:r>
      <w:r>
        <w:rPr>
          <w:rFonts w:eastAsia="Times New Roman" w:cs="Tahoma"/>
          <w:color w:val="auto"/>
          <w:lang w:eastAsia="es-ES"/>
        </w:rPr>
        <w:t xml:space="preserve"> procedente, el Sujeto Obligado </w:t>
      </w:r>
      <w:r w:rsidRPr="00DC40E7">
        <w:rPr>
          <w:rFonts w:eastAsia="Times New Roman" w:cs="Tahoma"/>
          <w:color w:val="auto"/>
          <w:lang w:eastAsia="es-ES"/>
        </w:rPr>
        <w:lastRenderedPageBreak/>
        <w:t>de manera fundada y motivada podrá solicitar una ampliació</w:t>
      </w:r>
      <w:r>
        <w:rPr>
          <w:rFonts w:eastAsia="Times New Roman" w:cs="Tahoma"/>
          <w:color w:val="auto"/>
          <w:lang w:eastAsia="es-ES"/>
        </w:rPr>
        <w:t xml:space="preserve">n de plazo para el cumplimiento </w:t>
      </w:r>
      <w:r w:rsidRPr="00DC40E7">
        <w:rPr>
          <w:rFonts w:eastAsia="Times New Roman" w:cs="Tahoma"/>
          <w:color w:val="auto"/>
          <w:lang w:eastAsia="es-ES"/>
        </w:rPr>
        <w:t>de la presente resolución.</w:t>
      </w:r>
    </w:p>
    <w:p w14:paraId="1C20040C" w14:textId="77777777" w:rsidR="005E12FB" w:rsidRPr="00422C14" w:rsidRDefault="005E12FB" w:rsidP="005E12FB">
      <w:pPr>
        <w:spacing w:after="0" w:line="360" w:lineRule="auto"/>
        <w:rPr>
          <w:rFonts w:eastAsia="Times New Roman" w:cs="Tahoma"/>
          <w:color w:val="auto"/>
          <w:lang w:eastAsia="es-ES"/>
        </w:rPr>
      </w:pPr>
    </w:p>
    <w:p w14:paraId="07D09C8F" w14:textId="77777777" w:rsidR="00792A22" w:rsidRDefault="00792A22" w:rsidP="005E12FB">
      <w:pPr>
        <w:spacing w:after="0" w:line="360" w:lineRule="auto"/>
        <w:rPr>
          <w:rFonts w:eastAsia="Times New Roman" w:cs="Tahoma"/>
          <w:color w:val="auto"/>
          <w:lang w:eastAsia="es-ES"/>
        </w:rPr>
      </w:pPr>
      <w:r>
        <w:rPr>
          <w:rFonts w:eastAsia="Calibri" w:cs="Tahoma"/>
          <w:b/>
          <w:bCs/>
          <w:iCs/>
          <w:color w:val="auto"/>
          <w:lang w:val="es-ES" w:eastAsia="es-ES"/>
        </w:rPr>
        <w:t>CUARTO</w:t>
      </w:r>
      <w:r w:rsidRPr="00D13FCC">
        <w:rPr>
          <w:rFonts w:eastAsia="Calibri" w:cs="Tahoma"/>
          <w:bCs/>
          <w:iCs/>
          <w:color w:val="auto"/>
          <w:lang w:val="es-ES" w:eastAsia="es-ES"/>
        </w:rPr>
        <w:t>.</w:t>
      </w:r>
      <w:r>
        <w:rPr>
          <w:rFonts w:eastAsia="Calibri" w:cs="Tahoma"/>
          <w:bCs/>
          <w:iCs/>
          <w:color w:val="auto"/>
          <w:lang w:val="es-ES" w:eastAsia="es-ES"/>
        </w:rPr>
        <w:t xml:space="preserve"> </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7C9DD8" w14:textId="77777777" w:rsidR="00792A22" w:rsidRDefault="00792A22" w:rsidP="005E12FB">
      <w:pPr>
        <w:spacing w:after="0" w:line="360" w:lineRule="auto"/>
        <w:rPr>
          <w:rFonts w:eastAsia="Times New Roman" w:cs="Tahoma"/>
          <w:b/>
          <w:bCs/>
          <w:color w:val="auto"/>
          <w:lang w:eastAsia="es-ES"/>
        </w:rPr>
      </w:pPr>
    </w:p>
    <w:p w14:paraId="2C209EB6" w14:textId="23D50964" w:rsidR="00966CA6" w:rsidRDefault="006E6337" w:rsidP="005E12FB">
      <w:pPr>
        <w:spacing w:after="0" w:line="360" w:lineRule="auto"/>
        <w:rPr>
          <w:rFonts w:eastAsia="Calibri" w:cs="Tahoma"/>
          <w:lang w:val="es-ES" w:eastAsia="es-ES_tradnl"/>
        </w:rPr>
      </w:pPr>
      <w:r w:rsidRPr="00445101">
        <w:rPr>
          <w:rFonts w:eastAsia="Calibri" w:cs="Tahoma"/>
          <w:lang w:val="es-ES" w:eastAsia="es-ES_tradnl"/>
        </w:rPr>
        <w:t xml:space="preserve">ASÍ LO RESUELVE, POR </w:t>
      </w:r>
      <w:r w:rsidRPr="00A81F6A">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w:t>
      </w:r>
      <w:r w:rsidR="0000144F" w:rsidRPr="00445101">
        <w:rPr>
          <w:rFonts w:eastAsia="Calibri" w:cs="Tahoma"/>
          <w:lang w:val="es-ES" w:eastAsia="es-ES_tradnl"/>
        </w:rPr>
        <w:t>VILCHIS, MARÍA DEL ROSARIO MEJÍA AYALA, SHARON CRISTINA MORALES MARTÍNEZ</w:t>
      </w:r>
      <w:r w:rsidR="0000144F">
        <w:rPr>
          <w:rFonts w:eastAsia="Calibri" w:cs="Tahoma"/>
          <w:lang w:val="es-ES" w:eastAsia="es-ES_tradnl"/>
        </w:rPr>
        <w:t xml:space="preserve"> (AUSENCIA JUSTIFICADA)</w:t>
      </w:r>
      <w:r w:rsidR="0000144F" w:rsidRPr="00445101">
        <w:rPr>
          <w:rFonts w:eastAsia="Calibri" w:cs="Tahoma"/>
          <w:lang w:val="es-ES" w:eastAsia="es-ES_tradnl"/>
        </w:rPr>
        <w:t xml:space="preserve">, LUIS GUSTAVO PARRA NORIEGA Y GUADALUPE RAMÍREZ PEÑA, EN LA </w:t>
      </w:r>
      <w:r w:rsidR="0000144F">
        <w:rPr>
          <w:rFonts w:eastAsia="Calibri" w:cs="Tahoma"/>
          <w:lang w:val="es-ES" w:eastAsia="es-ES_tradnl"/>
        </w:rPr>
        <w:t xml:space="preserve">OCTAVA </w:t>
      </w:r>
      <w:r>
        <w:rPr>
          <w:rFonts w:eastAsia="Calibri" w:cs="Tahoma"/>
          <w:lang w:val="es-ES" w:eastAsia="es-ES_tradnl"/>
        </w:rPr>
        <w:t>SESIÓN ORDINARIA, CELEBRADA EL TRES DE MARZO DE DOS MIL VEINTIDÓS</w:t>
      </w:r>
      <w:r w:rsidR="007F2C33" w:rsidRPr="00445101">
        <w:rPr>
          <w:rFonts w:eastAsia="Calibri" w:cs="Tahoma"/>
          <w:lang w:val="es-ES" w:eastAsia="es-ES_tradnl"/>
        </w:rPr>
        <w:t>, ANTE EL SECRETARIO TÉCNICO DEL PLENO, ALEXIS TAPIA RAMÍREZ</w:t>
      </w:r>
      <w:r w:rsidR="00A81F6A">
        <w:rPr>
          <w:rFonts w:eastAsia="Calibri" w:cs="Tahoma"/>
          <w:lang w:val="es-ES" w:eastAsia="es-ES_tradnl"/>
        </w:rPr>
        <w:t>.</w:t>
      </w:r>
    </w:p>
    <w:p w14:paraId="3FF1141E" w14:textId="1E9D92B3" w:rsidR="00A81F6A" w:rsidRDefault="00A81F6A">
      <w:pPr>
        <w:jc w:val="left"/>
        <w:rPr>
          <w:rFonts w:eastAsia="Calibri" w:cs="Tahoma"/>
          <w:lang w:val="es-ES" w:eastAsia="es-ES_tradnl"/>
        </w:rPr>
      </w:pPr>
      <w:r>
        <w:rPr>
          <w:rFonts w:eastAsia="Calibri" w:cs="Tahoma"/>
          <w:lang w:val="es-ES" w:eastAsia="es-ES_tradnl"/>
        </w:rPr>
        <w:br w:type="page"/>
      </w:r>
    </w:p>
    <w:p w14:paraId="1E11A1AA" w14:textId="77777777" w:rsidR="00A81F6A" w:rsidRPr="006E6337" w:rsidRDefault="00A81F6A" w:rsidP="005E12FB">
      <w:pPr>
        <w:spacing w:after="0" w:line="360" w:lineRule="auto"/>
        <w:rPr>
          <w:rFonts w:eastAsia="Calibri" w:cs="Tahoma"/>
          <w:lang w:val="es-ES" w:eastAsia="es-ES_tradnl"/>
        </w:rPr>
      </w:pPr>
    </w:p>
    <w:sectPr w:rsidR="00A81F6A" w:rsidRPr="006E6337" w:rsidSect="00D06800">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1C05" w14:textId="77777777" w:rsidR="00873BE0" w:rsidRDefault="00873BE0" w:rsidP="00051642">
      <w:pPr>
        <w:spacing w:after="0" w:line="240" w:lineRule="auto"/>
      </w:pPr>
      <w:r>
        <w:separator/>
      </w:r>
    </w:p>
  </w:endnote>
  <w:endnote w:type="continuationSeparator" w:id="0">
    <w:p w14:paraId="13ADCEE0" w14:textId="77777777" w:rsidR="00873BE0" w:rsidRDefault="00873BE0"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B7985" w:rsidRDefault="008B79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B7985" w:rsidRDefault="008B79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B7985" w:rsidRDefault="008B79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213F">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213F">
              <w:rPr>
                <w:b/>
                <w:bCs/>
                <w:noProof/>
              </w:rPr>
              <w:t>24</w:t>
            </w:r>
            <w:r>
              <w:rPr>
                <w:b/>
                <w:bCs/>
                <w:sz w:val="24"/>
                <w:szCs w:val="24"/>
              </w:rPr>
              <w:fldChar w:fldCharType="end"/>
            </w:r>
          </w:p>
        </w:sdtContent>
      </w:sdt>
    </w:sdtContent>
  </w:sdt>
  <w:p w14:paraId="148ABC98" w14:textId="77777777" w:rsidR="008B7985" w:rsidRDefault="008B79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B7985" w:rsidRDefault="008B79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21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213F">
              <w:rPr>
                <w:b/>
                <w:bCs/>
                <w:noProof/>
              </w:rPr>
              <w:t>24</w:t>
            </w:r>
            <w:r>
              <w:rPr>
                <w:b/>
                <w:bCs/>
                <w:sz w:val="24"/>
                <w:szCs w:val="24"/>
              </w:rPr>
              <w:fldChar w:fldCharType="end"/>
            </w:r>
          </w:p>
        </w:sdtContent>
      </w:sdt>
    </w:sdtContent>
  </w:sdt>
  <w:p w14:paraId="0054A614" w14:textId="77777777" w:rsidR="008B7985" w:rsidRDefault="008B79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E1D0" w14:textId="77777777" w:rsidR="00873BE0" w:rsidRDefault="00873BE0" w:rsidP="00051642">
      <w:pPr>
        <w:spacing w:after="0" w:line="240" w:lineRule="auto"/>
      </w:pPr>
      <w:r>
        <w:separator/>
      </w:r>
    </w:p>
  </w:footnote>
  <w:footnote w:type="continuationSeparator" w:id="0">
    <w:p w14:paraId="47713EC4" w14:textId="77777777" w:rsidR="00873BE0" w:rsidRDefault="00873BE0"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B7985" w:rsidRPr="00E152D8" w14:paraId="7B534606" w14:textId="77777777" w:rsidTr="00D06800">
      <w:trPr>
        <w:trHeight w:val="132"/>
      </w:trPr>
      <w:tc>
        <w:tcPr>
          <w:tcW w:w="2691" w:type="dxa"/>
        </w:tcPr>
        <w:p w14:paraId="7A9AA251" w14:textId="77777777" w:rsidR="008B7985" w:rsidRPr="00E152D8" w:rsidRDefault="008B7985" w:rsidP="00D06800">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B7985" w:rsidRPr="00EE1572" w:rsidRDefault="008B7985" w:rsidP="00D06800">
          <w:pPr>
            <w:tabs>
              <w:tab w:val="right" w:pos="8838"/>
            </w:tabs>
            <w:ind w:left="-28" w:right="-32"/>
            <w:rPr>
              <w:rFonts w:eastAsia="Calibri" w:cs="Tahoma"/>
            </w:rPr>
          </w:pPr>
          <w:r w:rsidRPr="00EE1572">
            <w:rPr>
              <w:rFonts w:eastAsia="Calibri" w:cs="Tahoma"/>
            </w:rPr>
            <w:t>03846/INFOEM/IP/RR/2020</w:t>
          </w:r>
        </w:p>
      </w:tc>
    </w:tr>
    <w:tr w:rsidR="008B7985" w:rsidRPr="00E152D8" w14:paraId="284C2E9A" w14:textId="77777777" w:rsidTr="00D06800">
      <w:trPr>
        <w:trHeight w:val="261"/>
      </w:trPr>
      <w:tc>
        <w:tcPr>
          <w:tcW w:w="2691" w:type="dxa"/>
        </w:tcPr>
        <w:p w14:paraId="44B24339" w14:textId="77777777" w:rsidR="008B7985" w:rsidRPr="00E152D8" w:rsidRDefault="008B7985"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B7985" w:rsidRPr="00EE1572" w:rsidRDefault="008B7985" w:rsidP="00D06800">
          <w:pPr>
            <w:tabs>
              <w:tab w:val="right" w:pos="8838"/>
            </w:tabs>
            <w:ind w:right="-32"/>
            <w:rPr>
              <w:rFonts w:eastAsia="Calibri" w:cs="Tahoma"/>
              <w:lang w:val="es-MX"/>
            </w:rPr>
          </w:pPr>
          <w:r w:rsidRPr="00EE1572">
            <w:rPr>
              <w:rFonts w:eastAsia="Calibri" w:cs="Tahoma"/>
              <w:lang w:val="es-MX"/>
            </w:rPr>
            <w:t>Ayuntamiento de Temascalcingo</w:t>
          </w:r>
        </w:p>
      </w:tc>
    </w:tr>
    <w:tr w:rsidR="008B7985" w:rsidRPr="00E152D8" w14:paraId="72CFE0E4" w14:textId="77777777" w:rsidTr="00D06800">
      <w:trPr>
        <w:trHeight w:val="261"/>
      </w:trPr>
      <w:tc>
        <w:tcPr>
          <w:tcW w:w="2691" w:type="dxa"/>
        </w:tcPr>
        <w:p w14:paraId="0DA486DE" w14:textId="77777777" w:rsidR="008B7985" w:rsidRPr="00E152D8" w:rsidRDefault="008B7985" w:rsidP="00D06800">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B7985" w:rsidRPr="00E152D8" w:rsidRDefault="008B7985" w:rsidP="00D06800">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B7985" w:rsidRDefault="00873BE0">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685"/>
    </w:tblGrid>
    <w:tr w:rsidR="008B7985" w:rsidRPr="00E152D8" w14:paraId="38C70F26" w14:textId="77777777" w:rsidTr="00A01507">
      <w:trPr>
        <w:trHeight w:val="138"/>
      </w:trPr>
      <w:tc>
        <w:tcPr>
          <w:tcW w:w="2410" w:type="dxa"/>
        </w:tcPr>
        <w:p w14:paraId="06C599F7" w14:textId="77777777" w:rsidR="008B7985" w:rsidRPr="00E152D8" w:rsidRDefault="008B7985" w:rsidP="00D06800">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14:paraId="65B05558" w14:textId="46D228D8" w:rsidR="008B7985" w:rsidRPr="00051642" w:rsidRDefault="008B7985" w:rsidP="00D06800">
          <w:pPr>
            <w:tabs>
              <w:tab w:val="right" w:pos="8838"/>
            </w:tabs>
            <w:ind w:right="-32"/>
            <w:rPr>
              <w:rFonts w:eastAsia="Calibri" w:cs="Tahoma"/>
            </w:rPr>
          </w:pPr>
          <w:r w:rsidRPr="00E42370">
            <w:rPr>
              <w:rFonts w:eastAsia="Calibri" w:cs="Tahoma"/>
              <w:lang w:val="es-MX"/>
            </w:rPr>
            <w:t>0</w:t>
          </w:r>
          <w:r>
            <w:rPr>
              <w:rFonts w:eastAsia="Calibri" w:cs="Tahoma"/>
              <w:lang w:val="es-MX"/>
            </w:rPr>
            <w:t>0261</w:t>
          </w:r>
          <w:r w:rsidRPr="00E42370">
            <w:rPr>
              <w:rFonts w:eastAsia="Calibri" w:cs="Tahoma"/>
              <w:lang w:val="es-MX"/>
            </w:rPr>
            <w:t>/INFOEM</w:t>
          </w:r>
          <w:r>
            <w:rPr>
              <w:rFonts w:eastAsia="Calibri" w:cs="Tahoma"/>
              <w:lang w:val="es-MX"/>
            </w:rPr>
            <w:t>/IP/RR/2022</w:t>
          </w:r>
          <w:r w:rsidRPr="00E42370">
            <w:rPr>
              <w:rFonts w:eastAsia="Calibri" w:cs="Tahoma"/>
              <w:lang w:val="es-MX"/>
            </w:rPr>
            <w:t xml:space="preserve"> y acumulado</w:t>
          </w:r>
          <w:r>
            <w:rPr>
              <w:rFonts w:eastAsia="Calibri" w:cs="Tahoma"/>
              <w:lang w:val="es-MX"/>
            </w:rPr>
            <w:t>s</w:t>
          </w:r>
        </w:p>
      </w:tc>
    </w:tr>
    <w:tr w:rsidR="008B7985" w:rsidRPr="00E152D8" w14:paraId="55B27BFC" w14:textId="77777777" w:rsidTr="00A01507">
      <w:trPr>
        <w:trHeight w:val="273"/>
      </w:trPr>
      <w:tc>
        <w:tcPr>
          <w:tcW w:w="2410" w:type="dxa"/>
        </w:tcPr>
        <w:p w14:paraId="479CFA26" w14:textId="77777777" w:rsidR="008B7985" w:rsidRPr="00E152D8" w:rsidRDefault="008B7985"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14:paraId="6C35595F" w14:textId="5444C614" w:rsidR="008B7985" w:rsidRPr="00051642" w:rsidRDefault="008B7985" w:rsidP="00D06800">
          <w:pPr>
            <w:tabs>
              <w:tab w:val="right" w:pos="8838"/>
            </w:tabs>
            <w:ind w:left="-28" w:right="-32"/>
            <w:rPr>
              <w:rFonts w:eastAsia="Calibri" w:cs="Tahoma"/>
              <w:lang w:val="es-MX"/>
            </w:rPr>
          </w:pPr>
          <w:r>
            <w:rPr>
              <w:rFonts w:eastAsia="Calibri" w:cs="Tahoma"/>
              <w:lang w:val="es-MX"/>
            </w:rPr>
            <w:t xml:space="preserve">Comisión de Conciliación y Arbitraje Médico del Estado de México </w:t>
          </w:r>
        </w:p>
      </w:tc>
    </w:tr>
    <w:tr w:rsidR="008B7985" w:rsidRPr="00E152D8" w14:paraId="64299B43" w14:textId="77777777" w:rsidTr="00A01507">
      <w:trPr>
        <w:trHeight w:val="273"/>
      </w:trPr>
      <w:tc>
        <w:tcPr>
          <w:tcW w:w="2410" w:type="dxa"/>
        </w:tcPr>
        <w:p w14:paraId="3B4B50BB" w14:textId="77777777" w:rsidR="008B7985" w:rsidRPr="00E152D8" w:rsidRDefault="008B7985" w:rsidP="00D06800">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14:paraId="5364FC23" w14:textId="77777777" w:rsidR="008B7985" w:rsidRPr="00E152D8" w:rsidRDefault="008B7985" w:rsidP="00D06800">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B7985" w:rsidRDefault="00873BE0" w:rsidP="00D06800">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8B7985" w:rsidRPr="00E152D8" w14:paraId="6E5B10C8" w14:textId="77777777" w:rsidTr="00EA6556">
      <w:trPr>
        <w:trHeight w:val="132"/>
      </w:trPr>
      <w:tc>
        <w:tcPr>
          <w:tcW w:w="2691" w:type="dxa"/>
        </w:tcPr>
        <w:p w14:paraId="0FBD6B5C" w14:textId="77777777" w:rsidR="008B7985" w:rsidRPr="00E152D8" w:rsidRDefault="008B7985" w:rsidP="00D06800">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70CC72C0" w14:textId="36969A92" w:rsidR="008B7985" w:rsidRPr="00051642" w:rsidRDefault="008B7985" w:rsidP="00FD04B1">
          <w:pPr>
            <w:tabs>
              <w:tab w:val="right" w:pos="8838"/>
            </w:tabs>
            <w:ind w:left="-111" w:right="-32"/>
            <w:rPr>
              <w:rFonts w:eastAsia="Calibri" w:cs="Tahoma"/>
            </w:rPr>
          </w:pPr>
          <w:r w:rsidRPr="00E42370">
            <w:rPr>
              <w:rFonts w:eastAsia="Calibri" w:cs="Tahoma"/>
              <w:lang w:val="es-MX"/>
            </w:rPr>
            <w:t>0</w:t>
          </w:r>
          <w:r>
            <w:rPr>
              <w:rFonts w:eastAsia="Calibri" w:cs="Tahoma"/>
              <w:lang w:val="es-MX"/>
            </w:rPr>
            <w:t>0261</w:t>
          </w:r>
          <w:r w:rsidRPr="00E42370">
            <w:rPr>
              <w:rFonts w:eastAsia="Calibri" w:cs="Tahoma"/>
              <w:lang w:val="es-MX"/>
            </w:rPr>
            <w:t>/INFOEM/IP/RR/202</w:t>
          </w:r>
          <w:r>
            <w:rPr>
              <w:rFonts w:eastAsia="Calibri" w:cs="Tahoma"/>
              <w:lang w:val="es-MX"/>
            </w:rPr>
            <w:t>2 y acumulados</w:t>
          </w:r>
        </w:p>
      </w:tc>
    </w:tr>
    <w:tr w:rsidR="008B7985" w:rsidRPr="00E152D8" w14:paraId="43CEC0C7" w14:textId="77777777" w:rsidTr="00EA6556">
      <w:trPr>
        <w:trHeight w:val="132"/>
      </w:trPr>
      <w:tc>
        <w:tcPr>
          <w:tcW w:w="2691" w:type="dxa"/>
        </w:tcPr>
        <w:p w14:paraId="369FAB30" w14:textId="77777777" w:rsidR="008B7985" w:rsidRPr="00E152D8" w:rsidRDefault="008B7985" w:rsidP="00D06800">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546" w:type="dxa"/>
        </w:tcPr>
        <w:p w14:paraId="267724E2" w14:textId="62748770" w:rsidR="008B7985" w:rsidRPr="00E152D8" w:rsidRDefault="008B7985" w:rsidP="00D06800">
          <w:pPr>
            <w:tabs>
              <w:tab w:val="right" w:pos="8838"/>
            </w:tabs>
            <w:ind w:left="-111" w:right="-109"/>
            <w:rPr>
              <w:rFonts w:eastAsia="Calibri" w:cs="Tahoma"/>
              <w:lang w:val="es-MX"/>
            </w:rPr>
          </w:pPr>
        </w:p>
      </w:tc>
    </w:tr>
    <w:tr w:rsidR="008B7985" w:rsidRPr="00E152D8" w14:paraId="30C3D119" w14:textId="77777777" w:rsidTr="00EA6556">
      <w:trPr>
        <w:trHeight w:val="261"/>
      </w:trPr>
      <w:tc>
        <w:tcPr>
          <w:tcW w:w="2691" w:type="dxa"/>
        </w:tcPr>
        <w:p w14:paraId="6DC6617D" w14:textId="77777777" w:rsidR="008B7985" w:rsidRPr="00E152D8" w:rsidRDefault="008B7985" w:rsidP="00D06800">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6E96F863" w14:textId="73B1EE6D" w:rsidR="008B7985" w:rsidRPr="00051642" w:rsidRDefault="008B7985" w:rsidP="00D06800">
          <w:pPr>
            <w:tabs>
              <w:tab w:val="right" w:pos="8838"/>
            </w:tabs>
            <w:ind w:left="-111" w:right="-32"/>
            <w:rPr>
              <w:rFonts w:eastAsia="Calibri" w:cs="Tahoma"/>
              <w:lang w:val="es-MX"/>
            </w:rPr>
          </w:pPr>
          <w:r>
            <w:rPr>
              <w:rFonts w:eastAsia="Calibri" w:cs="Tahoma"/>
              <w:lang w:val="es-MX"/>
            </w:rPr>
            <w:t xml:space="preserve">Comisión de Conciliación y Arbitraje Médico del Estado de México </w:t>
          </w:r>
        </w:p>
      </w:tc>
    </w:tr>
    <w:tr w:rsidR="008B7985" w:rsidRPr="00E152D8" w14:paraId="1C2055A9" w14:textId="77777777" w:rsidTr="00EA6556">
      <w:trPr>
        <w:trHeight w:val="261"/>
      </w:trPr>
      <w:tc>
        <w:tcPr>
          <w:tcW w:w="2691" w:type="dxa"/>
        </w:tcPr>
        <w:p w14:paraId="63396B8B" w14:textId="77777777" w:rsidR="008B7985" w:rsidRPr="00E152D8" w:rsidRDefault="008B7985" w:rsidP="00D06800">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2CDFADEE" w14:textId="77777777" w:rsidR="008B7985" w:rsidRPr="00E152D8" w:rsidRDefault="008B7985" w:rsidP="00D06800">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B7985" w:rsidRDefault="00873BE0" w:rsidP="00D06800">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1C1"/>
    <w:multiLevelType w:val="hybridMultilevel"/>
    <w:tmpl w:val="36A6EA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63A0A"/>
    <w:multiLevelType w:val="hybridMultilevel"/>
    <w:tmpl w:val="79B0F4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3CD11E7"/>
    <w:multiLevelType w:val="hybridMultilevel"/>
    <w:tmpl w:val="DF78A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D2590"/>
    <w:multiLevelType w:val="hybridMultilevel"/>
    <w:tmpl w:val="8B7A3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C808AD"/>
    <w:multiLevelType w:val="hybridMultilevel"/>
    <w:tmpl w:val="39F029A2"/>
    <w:lvl w:ilvl="0" w:tplc="40DEE3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854D92"/>
    <w:multiLevelType w:val="hybridMultilevel"/>
    <w:tmpl w:val="3954DBF6"/>
    <w:lvl w:ilvl="0" w:tplc="9CEEC9A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E795EBE"/>
    <w:multiLevelType w:val="hybridMultilevel"/>
    <w:tmpl w:val="F482B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83381E"/>
    <w:multiLevelType w:val="hybridMultilevel"/>
    <w:tmpl w:val="27AEC486"/>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076306"/>
    <w:multiLevelType w:val="hybridMultilevel"/>
    <w:tmpl w:val="3400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9F0DE8"/>
    <w:multiLevelType w:val="hybridMultilevel"/>
    <w:tmpl w:val="789207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C81D8B"/>
    <w:multiLevelType w:val="hybridMultilevel"/>
    <w:tmpl w:val="3CC01F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7702B7B"/>
    <w:multiLevelType w:val="hybridMultilevel"/>
    <w:tmpl w:val="6336639A"/>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89A5FA4"/>
    <w:multiLevelType w:val="hybridMultilevel"/>
    <w:tmpl w:val="B496874A"/>
    <w:lvl w:ilvl="0" w:tplc="45E863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4D3325"/>
    <w:multiLevelType w:val="hybridMultilevel"/>
    <w:tmpl w:val="7F10F8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D426EFE"/>
    <w:multiLevelType w:val="hybridMultilevel"/>
    <w:tmpl w:val="C6F07BFC"/>
    <w:lvl w:ilvl="0" w:tplc="9CEEC9A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9E3856"/>
    <w:multiLevelType w:val="hybridMultilevel"/>
    <w:tmpl w:val="C6EA8374"/>
    <w:lvl w:ilvl="0" w:tplc="8A94B7E4">
      <w:start w:val="1"/>
      <w:numFmt w:val="lowerLetter"/>
      <w:lvlText w:val="%1)"/>
      <w:lvlJc w:val="left"/>
      <w:pPr>
        <w:ind w:left="644"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1B3E73"/>
    <w:multiLevelType w:val="hybridMultilevel"/>
    <w:tmpl w:val="EEE20562"/>
    <w:lvl w:ilvl="0" w:tplc="9CEE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4278C5"/>
    <w:multiLevelType w:val="hybridMultilevel"/>
    <w:tmpl w:val="019401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9967F6D"/>
    <w:multiLevelType w:val="hybridMultilevel"/>
    <w:tmpl w:val="7E12D5D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0554FDF"/>
    <w:multiLevelType w:val="hybridMultilevel"/>
    <w:tmpl w:val="E81038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0F80100"/>
    <w:multiLevelType w:val="hybridMultilevel"/>
    <w:tmpl w:val="3244D3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2BF2D71"/>
    <w:multiLevelType w:val="hybridMultilevel"/>
    <w:tmpl w:val="2B48E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DD3A6A"/>
    <w:multiLevelType w:val="multilevel"/>
    <w:tmpl w:val="67F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B48B8"/>
    <w:multiLevelType w:val="hybridMultilevel"/>
    <w:tmpl w:val="0B425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8F0803"/>
    <w:multiLevelType w:val="hybridMultilevel"/>
    <w:tmpl w:val="CD64F0DC"/>
    <w:lvl w:ilvl="0" w:tplc="ABEE347C">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D6DD1"/>
    <w:multiLevelType w:val="hybridMultilevel"/>
    <w:tmpl w:val="9FCA80F4"/>
    <w:lvl w:ilvl="0" w:tplc="7D5478BE">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8E0BB0"/>
    <w:multiLevelType w:val="hybridMultilevel"/>
    <w:tmpl w:val="12C21F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5B948AF"/>
    <w:multiLevelType w:val="hybridMultilevel"/>
    <w:tmpl w:val="41302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1340A8"/>
    <w:multiLevelType w:val="hybridMultilevel"/>
    <w:tmpl w:val="C1AEA2A2"/>
    <w:lvl w:ilvl="0" w:tplc="EC4A956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BA4B01"/>
    <w:multiLevelType w:val="hybridMultilevel"/>
    <w:tmpl w:val="170A5698"/>
    <w:lvl w:ilvl="0" w:tplc="3D0441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F12FAD"/>
    <w:multiLevelType w:val="hybridMultilevel"/>
    <w:tmpl w:val="8C365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60685">
    <w:abstractNumId w:val="16"/>
  </w:num>
  <w:num w:numId="2" w16cid:durableId="1980525689">
    <w:abstractNumId w:val="41"/>
  </w:num>
  <w:num w:numId="3" w16cid:durableId="926157177">
    <w:abstractNumId w:val="19"/>
  </w:num>
  <w:num w:numId="4" w16cid:durableId="332994796">
    <w:abstractNumId w:val="20"/>
  </w:num>
  <w:num w:numId="5" w16cid:durableId="662011891">
    <w:abstractNumId w:val="13"/>
  </w:num>
  <w:num w:numId="6" w16cid:durableId="12193883">
    <w:abstractNumId w:val="15"/>
  </w:num>
  <w:num w:numId="7" w16cid:durableId="1210413347">
    <w:abstractNumId w:val="25"/>
  </w:num>
  <w:num w:numId="8" w16cid:durableId="1467502589">
    <w:abstractNumId w:val="0"/>
  </w:num>
  <w:num w:numId="9" w16cid:durableId="1756778638">
    <w:abstractNumId w:val="43"/>
  </w:num>
  <w:num w:numId="10" w16cid:durableId="1351224137">
    <w:abstractNumId w:val="29"/>
  </w:num>
  <w:num w:numId="11" w16cid:durableId="1440637006">
    <w:abstractNumId w:val="28"/>
  </w:num>
  <w:num w:numId="12" w16cid:durableId="392895148">
    <w:abstractNumId w:val="22"/>
  </w:num>
  <w:num w:numId="13" w16cid:durableId="455101643">
    <w:abstractNumId w:val="30"/>
  </w:num>
  <w:num w:numId="14" w16cid:durableId="665550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290590">
    <w:abstractNumId w:val="36"/>
  </w:num>
  <w:num w:numId="16" w16cid:durableId="2081324661">
    <w:abstractNumId w:val="18"/>
  </w:num>
  <w:num w:numId="17" w16cid:durableId="2134906062">
    <w:abstractNumId w:val="5"/>
  </w:num>
  <w:num w:numId="18" w16cid:durableId="799761926">
    <w:abstractNumId w:val="11"/>
  </w:num>
  <w:num w:numId="19" w16cid:durableId="896627635">
    <w:abstractNumId w:val="7"/>
  </w:num>
  <w:num w:numId="20" w16cid:durableId="1735347597">
    <w:abstractNumId w:val="21"/>
  </w:num>
  <w:num w:numId="21" w16cid:durableId="798113605">
    <w:abstractNumId w:val="17"/>
  </w:num>
  <w:num w:numId="22" w16cid:durableId="8340388">
    <w:abstractNumId w:val="23"/>
  </w:num>
  <w:num w:numId="23" w16cid:durableId="829561135">
    <w:abstractNumId w:val="1"/>
  </w:num>
  <w:num w:numId="24" w16cid:durableId="840394590">
    <w:abstractNumId w:val="38"/>
  </w:num>
  <w:num w:numId="25" w16cid:durableId="1342046859">
    <w:abstractNumId w:val="3"/>
  </w:num>
  <w:num w:numId="26" w16cid:durableId="1182470212">
    <w:abstractNumId w:val="27"/>
  </w:num>
  <w:num w:numId="27" w16cid:durableId="77989671">
    <w:abstractNumId w:val="32"/>
  </w:num>
  <w:num w:numId="28" w16cid:durableId="47996174">
    <w:abstractNumId w:val="33"/>
  </w:num>
  <w:num w:numId="29" w16cid:durableId="976757552">
    <w:abstractNumId w:val="34"/>
  </w:num>
  <w:num w:numId="30" w16cid:durableId="235558770">
    <w:abstractNumId w:val="24"/>
  </w:num>
  <w:num w:numId="31" w16cid:durableId="654334275">
    <w:abstractNumId w:val="6"/>
  </w:num>
  <w:num w:numId="32" w16cid:durableId="877595482">
    <w:abstractNumId w:val="8"/>
  </w:num>
  <w:num w:numId="33" w16cid:durableId="214509311">
    <w:abstractNumId w:val="39"/>
  </w:num>
  <w:num w:numId="34" w16cid:durableId="1833372893">
    <w:abstractNumId w:val="14"/>
  </w:num>
  <w:num w:numId="35" w16cid:durableId="2077124571">
    <w:abstractNumId w:val="10"/>
  </w:num>
  <w:num w:numId="36" w16cid:durableId="834998582">
    <w:abstractNumId w:val="37"/>
  </w:num>
  <w:num w:numId="37" w16cid:durableId="626858331">
    <w:abstractNumId w:val="42"/>
  </w:num>
  <w:num w:numId="38" w16cid:durableId="304048223">
    <w:abstractNumId w:val="12"/>
  </w:num>
  <w:num w:numId="39" w16cid:durableId="348456136">
    <w:abstractNumId w:val="2"/>
  </w:num>
  <w:num w:numId="40" w16cid:durableId="580678287">
    <w:abstractNumId w:val="40"/>
  </w:num>
  <w:num w:numId="41" w16cid:durableId="529345492">
    <w:abstractNumId w:val="35"/>
  </w:num>
  <w:num w:numId="42" w16cid:durableId="1271476912">
    <w:abstractNumId w:val="9"/>
  </w:num>
  <w:num w:numId="43" w16cid:durableId="622927316">
    <w:abstractNumId w:val="26"/>
  </w:num>
  <w:num w:numId="44" w16cid:durableId="1054356810">
    <w:abstractNumId w:val="4"/>
  </w:num>
  <w:num w:numId="45" w16cid:durableId="2105835088">
    <w:abstractNumId w:val="31"/>
  </w:num>
  <w:num w:numId="46" w16cid:durableId="8206578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144F"/>
    <w:rsid w:val="00002AD4"/>
    <w:rsid w:val="00012780"/>
    <w:rsid w:val="00016210"/>
    <w:rsid w:val="00024952"/>
    <w:rsid w:val="0003010E"/>
    <w:rsid w:val="000441BB"/>
    <w:rsid w:val="00046D37"/>
    <w:rsid w:val="00050179"/>
    <w:rsid w:val="00051642"/>
    <w:rsid w:val="00053D29"/>
    <w:rsid w:val="00057862"/>
    <w:rsid w:val="00071380"/>
    <w:rsid w:val="00077FFA"/>
    <w:rsid w:val="0009015A"/>
    <w:rsid w:val="00090413"/>
    <w:rsid w:val="000A127A"/>
    <w:rsid w:val="000A341D"/>
    <w:rsid w:val="000B38EB"/>
    <w:rsid w:val="000C4043"/>
    <w:rsid w:val="000C6047"/>
    <w:rsid w:val="000C778B"/>
    <w:rsid w:val="000D07CB"/>
    <w:rsid w:val="000D2D32"/>
    <w:rsid w:val="000E16BE"/>
    <w:rsid w:val="000E2D3C"/>
    <w:rsid w:val="000F0CD8"/>
    <w:rsid w:val="00103013"/>
    <w:rsid w:val="00104C84"/>
    <w:rsid w:val="00105647"/>
    <w:rsid w:val="00106BD2"/>
    <w:rsid w:val="001070B6"/>
    <w:rsid w:val="0011060E"/>
    <w:rsid w:val="001305BC"/>
    <w:rsid w:val="00145FC3"/>
    <w:rsid w:val="0015070B"/>
    <w:rsid w:val="00150DF3"/>
    <w:rsid w:val="00153D0B"/>
    <w:rsid w:val="00154C55"/>
    <w:rsid w:val="0015647A"/>
    <w:rsid w:val="00161BF5"/>
    <w:rsid w:val="00175FC1"/>
    <w:rsid w:val="00183086"/>
    <w:rsid w:val="001B00A7"/>
    <w:rsid w:val="001B742E"/>
    <w:rsid w:val="001C1797"/>
    <w:rsid w:val="001C3821"/>
    <w:rsid w:val="001C3B04"/>
    <w:rsid w:val="001C448F"/>
    <w:rsid w:val="001C7154"/>
    <w:rsid w:val="001D69E1"/>
    <w:rsid w:val="001E2B1C"/>
    <w:rsid w:val="001E651A"/>
    <w:rsid w:val="001F0F72"/>
    <w:rsid w:val="001F10B5"/>
    <w:rsid w:val="00201E02"/>
    <w:rsid w:val="00203965"/>
    <w:rsid w:val="002108A6"/>
    <w:rsid w:val="00211E2C"/>
    <w:rsid w:val="002162B0"/>
    <w:rsid w:val="00224EAB"/>
    <w:rsid w:val="00225657"/>
    <w:rsid w:val="002302CE"/>
    <w:rsid w:val="0023114C"/>
    <w:rsid w:val="00245041"/>
    <w:rsid w:val="00261FD7"/>
    <w:rsid w:val="002638D0"/>
    <w:rsid w:val="0027365E"/>
    <w:rsid w:val="00274286"/>
    <w:rsid w:val="002802FD"/>
    <w:rsid w:val="00286284"/>
    <w:rsid w:val="00296A05"/>
    <w:rsid w:val="002A2C08"/>
    <w:rsid w:val="002B1048"/>
    <w:rsid w:val="002B2C6E"/>
    <w:rsid w:val="002B2F7C"/>
    <w:rsid w:val="002C0D93"/>
    <w:rsid w:val="002C3BA7"/>
    <w:rsid w:val="002E3045"/>
    <w:rsid w:val="002E4A20"/>
    <w:rsid w:val="002E5084"/>
    <w:rsid w:val="002F3441"/>
    <w:rsid w:val="002F50C6"/>
    <w:rsid w:val="00302555"/>
    <w:rsid w:val="00305FBD"/>
    <w:rsid w:val="003114E1"/>
    <w:rsid w:val="00317B18"/>
    <w:rsid w:val="00317F5B"/>
    <w:rsid w:val="00322836"/>
    <w:rsid w:val="0032417C"/>
    <w:rsid w:val="003341A2"/>
    <w:rsid w:val="00334D89"/>
    <w:rsid w:val="00346C32"/>
    <w:rsid w:val="0035133F"/>
    <w:rsid w:val="00355108"/>
    <w:rsid w:val="00357735"/>
    <w:rsid w:val="003650C3"/>
    <w:rsid w:val="00370FE3"/>
    <w:rsid w:val="003716C4"/>
    <w:rsid w:val="00380E10"/>
    <w:rsid w:val="0038194F"/>
    <w:rsid w:val="00382A3B"/>
    <w:rsid w:val="00384DCB"/>
    <w:rsid w:val="00387922"/>
    <w:rsid w:val="00394E0B"/>
    <w:rsid w:val="003976A5"/>
    <w:rsid w:val="003A5172"/>
    <w:rsid w:val="003A6482"/>
    <w:rsid w:val="003A6F7E"/>
    <w:rsid w:val="003B0FCE"/>
    <w:rsid w:val="003B307C"/>
    <w:rsid w:val="003D095E"/>
    <w:rsid w:val="003D6371"/>
    <w:rsid w:val="003E2ABB"/>
    <w:rsid w:val="003E514A"/>
    <w:rsid w:val="003F06BC"/>
    <w:rsid w:val="003F0840"/>
    <w:rsid w:val="003F18BC"/>
    <w:rsid w:val="003F5BF7"/>
    <w:rsid w:val="00422C14"/>
    <w:rsid w:val="004270E2"/>
    <w:rsid w:val="0043588F"/>
    <w:rsid w:val="00437C6C"/>
    <w:rsid w:val="00444A5B"/>
    <w:rsid w:val="004539A1"/>
    <w:rsid w:val="004640F3"/>
    <w:rsid w:val="00464F4B"/>
    <w:rsid w:val="0046689B"/>
    <w:rsid w:val="00493108"/>
    <w:rsid w:val="004956B6"/>
    <w:rsid w:val="004A0F18"/>
    <w:rsid w:val="004A140A"/>
    <w:rsid w:val="004A1E37"/>
    <w:rsid w:val="004A401F"/>
    <w:rsid w:val="004D162A"/>
    <w:rsid w:val="004D290A"/>
    <w:rsid w:val="004D5FE9"/>
    <w:rsid w:val="004E5FAF"/>
    <w:rsid w:val="004E7561"/>
    <w:rsid w:val="004F253F"/>
    <w:rsid w:val="004F2861"/>
    <w:rsid w:val="004F3D07"/>
    <w:rsid w:val="00504AF0"/>
    <w:rsid w:val="00506C41"/>
    <w:rsid w:val="0051175E"/>
    <w:rsid w:val="00526494"/>
    <w:rsid w:val="00533651"/>
    <w:rsid w:val="00534D86"/>
    <w:rsid w:val="005369D0"/>
    <w:rsid w:val="005412B9"/>
    <w:rsid w:val="005441C8"/>
    <w:rsid w:val="00544F7D"/>
    <w:rsid w:val="00547EDB"/>
    <w:rsid w:val="0056138A"/>
    <w:rsid w:val="005741D6"/>
    <w:rsid w:val="00581D65"/>
    <w:rsid w:val="00584B28"/>
    <w:rsid w:val="00587F63"/>
    <w:rsid w:val="005924C4"/>
    <w:rsid w:val="005B4040"/>
    <w:rsid w:val="005C4364"/>
    <w:rsid w:val="005E12FB"/>
    <w:rsid w:val="005E3AE9"/>
    <w:rsid w:val="005E7CC9"/>
    <w:rsid w:val="005F0EC5"/>
    <w:rsid w:val="005F278A"/>
    <w:rsid w:val="005F66A5"/>
    <w:rsid w:val="00601319"/>
    <w:rsid w:val="006038A0"/>
    <w:rsid w:val="00604687"/>
    <w:rsid w:val="00615139"/>
    <w:rsid w:val="00615D0C"/>
    <w:rsid w:val="00616867"/>
    <w:rsid w:val="00617DF0"/>
    <w:rsid w:val="00626704"/>
    <w:rsid w:val="006277C5"/>
    <w:rsid w:val="00631A23"/>
    <w:rsid w:val="0063501D"/>
    <w:rsid w:val="00642669"/>
    <w:rsid w:val="006448EE"/>
    <w:rsid w:val="0065553D"/>
    <w:rsid w:val="00657FBE"/>
    <w:rsid w:val="00667094"/>
    <w:rsid w:val="0067103C"/>
    <w:rsid w:val="00676C01"/>
    <w:rsid w:val="00676D0D"/>
    <w:rsid w:val="00680887"/>
    <w:rsid w:val="0069676F"/>
    <w:rsid w:val="006A5C1F"/>
    <w:rsid w:val="006A6CB8"/>
    <w:rsid w:val="006B3BB2"/>
    <w:rsid w:val="006B4CAC"/>
    <w:rsid w:val="006C6C17"/>
    <w:rsid w:val="006E2E28"/>
    <w:rsid w:val="006E6337"/>
    <w:rsid w:val="006F63FA"/>
    <w:rsid w:val="00704D52"/>
    <w:rsid w:val="0071667B"/>
    <w:rsid w:val="007256EB"/>
    <w:rsid w:val="0072577B"/>
    <w:rsid w:val="00727F38"/>
    <w:rsid w:val="00735378"/>
    <w:rsid w:val="00746B90"/>
    <w:rsid w:val="00773A30"/>
    <w:rsid w:val="00777312"/>
    <w:rsid w:val="00783048"/>
    <w:rsid w:val="00783E39"/>
    <w:rsid w:val="00792A22"/>
    <w:rsid w:val="00792A50"/>
    <w:rsid w:val="007935EB"/>
    <w:rsid w:val="007A1B3A"/>
    <w:rsid w:val="007A472A"/>
    <w:rsid w:val="007B2597"/>
    <w:rsid w:val="007B2749"/>
    <w:rsid w:val="007B5733"/>
    <w:rsid w:val="007B672D"/>
    <w:rsid w:val="007C07FA"/>
    <w:rsid w:val="007C7960"/>
    <w:rsid w:val="007D3D1F"/>
    <w:rsid w:val="007E1770"/>
    <w:rsid w:val="007F2440"/>
    <w:rsid w:val="007F2C33"/>
    <w:rsid w:val="007F548E"/>
    <w:rsid w:val="007F776D"/>
    <w:rsid w:val="00800223"/>
    <w:rsid w:val="0080061B"/>
    <w:rsid w:val="00806067"/>
    <w:rsid w:val="008123FC"/>
    <w:rsid w:val="00814577"/>
    <w:rsid w:val="00823050"/>
    <w:rsid w:val="00824525"/>
    <w:rsid w:val="0082744F"/>
    <w:rsid w:val="00833D09"/>
    <w:rsid w:val="0084213F"/>
    <w:rsid w:val="0084225B"/>
    <w:rsid w:val="008539F8"/>
    <w:rsid w:val="008567E8"/>
    <w:rsid w:val="00857721"/>
    <w:rsid w:val="00865114"/>
    <w:rsid w:val="00873A54"/>
    <w:rsid w:val="00873BE0"/>
    <w:rsid w:val="00891B54"/>
    <w:rsid w:val="00894D31"/>
    <w:rsid w:val="008A074B"/>
    <w:rsid w:val="008A2026"/>
    <w:rsid w:val="008A52D4"/>
    <w:rsid w:val="008B2317"/>
    <w:rsid w:val="008B69A2"/>
    <w:rsid w:val="008B7985"/>
    <w:rsid w:val="008C3F29"/>
    <w:rsid w:val="008C6C3C"/>
    <w:rsid w:val="008D17EE"/>
    <w:rsid w:val="008E2DA1"/>
    <w:rsid w:val="008E532F"/>
    <w:rsid w:val="008F4AB8"/>
    <w:rsid w:val="00902301"/>
    <w:rsid w:val="0090301F"/>
    <w:rsid w:val="00904DE1"/>
    <w:rsid w:val="00913268"/>
    <w:rsid w:val="009166E0"/>
    <w:rsid w:val="00916A20"/>
    <w:rsid w:val="009270EA"/>
    <w:rsid w:val="00943868"/>
    <w:rsid w:val="00946B0A"/>
    <w:rsid w:val="009540A2"/>
    <w:rsid w:val="009600CF"/>
    <w:rsid w:val="00960495"/>
    <w:rsid w:val="00961DFE"/>
    <w:rsid w:val="009638DE"/>
    <w:rsid w:val="009652BB"/>
    <w:rsid w:val="00966CA6"/>
    <w:rsid w:val="00967B25"/>
    <w:rsid w:val="009708C3"/>
    <w:rsid w:val="00985B53"/>
    <w:rsid w:val="00987B84"/>
    <w:rsid w:val="00992218"/>
    <w:rsid w:val="00997325"/>
    <w:rsid w:val="0099777A"/>
    <w:rsid w:val="009A00E5"/>
    <w:rsid w:val="009A7B18"/>
    <w:rsid w:val="009C172A"/>
    <w:rsid w:val="009C40E0"/>
    <w:rsid w:val="009D0818"/>
    <w:rsid w:val="009F03F8"/>
    <w:rsid w:val="009F06CC"/>
    <w:rsid w:val="00A01507"/>
    <w:rsid w:val="00A02BD2"/>
    <w:rsid w:val="00A05690"/>
    <w:rsid w:val="00A0762D"/>
    <w:rsid w:val="00A077F2"/>
    <w:rsid w:val="00A0793B"/>
    <w:rsid w:val="00A20994"/>
    <w:rsid w:val="00A227AF"/>
    <w:rsid w:val="00A22C49"/>
    <w:rsid w:val="00A30FBC"/>
    <w:rsid w:val="00A31D7A"/>
    <w:rsid w:val="00A32266"/>
    <w:rsid w:val="00A45E1C"/>
    <w:rsid w:val="00A742A2"/>
    <w:rsid w:val="00A75BC3"/>
    <w:rsid w:val="00A81F6A"/>
    <w:rsid w:val="00A87A0C"/>
    <w:rsid w:val="00A90F70"/>
    <w:rsid w:val="00A97A26"/>
    <w:rsid w:val="00AA2348"/>
    <w:rsid w:val="00AA7FF8"/>
    <w:rsid w:val="00AB08C6"/>
    <w:rsid w:val="00AB501F"/>
    <w:rsid w:val="00AB5DD6"/>
    <w:rsid w:val="00AB6AC7"/>
    <w:rsid w:val="00AB6BA0"/>
    <w:rsid w:val="00AC2906"/>
    <w:rsid w:val="00AC4D2F"/>
    <w:rsid w:val="00AC54B3"/>
    <w:rsid w:val="00AC6547"/>
    <w:rsid w:val="00AD4428"/>
    <w:rsid w:val="00AD580B"/>
    <w:rsid w:val="00AE0C39"/>
    <w:rsid w:val="00AE1E57"/>
    <w:rsid w:val="00AE6F1D"/>
    <w:rsid w:val="00AF429B"/>
    <w:rsid w:val="00B07524"/>
    <w:rsid w:val="00B12F4A"/>
    <w:rsid w:val="00B14792"/>
    <w:rsid w:val="00B21BA9"/>
    <w:rsid w:val="00B26B59"/>
    <w:rsid w:val="00B31B3D"/>
    <w:rsid w:val="00B43FD7"/>
    <w:rsid w:val="00B531CE"/>
    <w:rsid w:val="00B60C63"/>
    <w:rsid w:val="00B65B3A"/>
    <w:rsid w:val="00B744EB"/>
    <w:rsid w:val="00B820F1"/>
    <w:rsid w:val="00B821D5"/>
    <w:rsid w:val="00B85CA5"/>
    <w:rsid w:val="00B865EF"/>
    <w:rsid w:val="00B87AC5"/>
    <w:rsid w:val="00B912FE"/>
    <w:rsid w:val="00B95F2F"/>
    <w:rsid w:val="00BA45DB"/>
    <w:rsid w:val="00BA48B3"/>
    <w:rsid w:val="00BA5DE8"/>
    <w:rsid w:val="00BA6F6E"/>
    <w:rsid w:val="00BB1FC6"/>
    <w:rsid w:val="00BC1E78"/>
    <w:rsid w:val="00BD49BB"/>
    <w:rsid w:val="00BD6E61"/>
    <w:rsid w:val="00BE2B8A"/>
    <w:rsid w:val="00BE3552"/>
    <w:rsid w:val="00BE4EF7"/>
    <w:rsid w:val="00BE6717"/>
    <w:rsid w:val="00BF54F9"/>
    <w:rsid w:val="00BF6911"/>
    <w:rsid w:val="00C13CD0"/>
    <w:rsid w:val="00C35F70"/>
    <w:rsid w:val="00C360E6"/>
    <w:rsid w:val="00C50BF6"/>
    <w:rsid w:val="00C5741E"/>
    <w:rsid w:val="00C70CF7"/>
    <w:rsid w:val="00C8384D"/>
    <w:rsid w:val="00C93D95"/>
    <w:rsid w:val="00C94E88"/>
    <w:rsid w:val="00C957A8"/>
    <w:rsid w:val="00CA0727"/>
    <w:rsid w:val="00CB3102"/>
    <w:rsid w:val="00CB4837"/>
    <w:rsid w:val="00CC24B9"/>
    <w:rsid w:val="00CC3E80"/>
    <w:rsid w:val="00CC7237"/>
    <w:rsid w:val="00CD4C37"/>
    <w:rsid w:val="00CD54C3"/>
    <w:rsid w:val="00CD590F"/>
    <w:rsid w:val="00CE37CA"/>
    <w:rsid w:val="00CF0BAE"/>
    <w:rsid w:val="00CF13F8"/>
    <w:rsid w:val="00CF644C"/>
    <w:rsid w:val="00D06800"/>
    <w:rsid w:val="00D10169"/>
    <w:rsid w:val="00D22EEC"/>
    <w:rsid w:val="00D31D02"/>
    <w:rsid w:val="00D34076"/>
    <w:rsid w:val="00D34CD7"/>
    <w:rsid w:val="00D35CC9"/>
    <w:rsid w:val="00D4465F"/>
    <w:rsid w:val="00D534BB"/>
    <w:rsid w:val="00D620D7"/>
    <w:rsid w:val="00D6545D"/>
    <w:rsid w:val="00D679B6"/>
    <w:rsid w:val="00D728C8"/>
    <w:rsid w:val="00D808CC"/>
    <w:rsid w:val="00D81FE0"/>
    <w:rsid w:val="00D855E6"/>
    <w:rsid w:val="00D903F5"/>
    <w:rsid w:val="00D90E11"/>
    <w:rsid w:val="00DA6104"/>
    <w:rsid w:val="00DB12DB"/>
    <w:rsid w:val="00DB1D7D"/>
    <w:rsid w:val="00DB48FF"/>
    <w:rsid w:val="00DB50E6"/>
    <w:rsid w:val="00DB5D3F"/>
    <w:rsid w:val="00DB6F72"/>
    <w:rsid w:val="00DC1818"/>
    <w:rsid w:val="00DC77CC"/>
    <w:rsid w:val="00DD3B9A"/>
    <w:rsid w:val="00DD5476"/>
    <w:rsid w:val="00DD6DA6"/>
    <w:rsid w:val="00DE2D59"/>
    <w:rsid w:val="00DF1228"/>
    <w:rsid w:val="00DF3702"/>
    <w:rsid w:val="00E0193D"/>
    <w:rsid w:val="00E079D0"/>
    <w:rsid w:val="00E1208E"/>
    <w:rsid w:val="00E168B0"/>
    <w:rsid w:val="00E17A99"/>
    <w:rsid w:val="00E201E2"/>
    <w:rsid w:val="00E36332"/>
    <w:rsid w:val="00E37B77"/>
    <w:rsid w:val="00E42370"/>
    <w:rsid w:val="00E46C60"/>
    <w:rsid w:val="00E47A6B"/>
    <w:rsid w:val="00E55F2F"/>
    <w:rsid w:val="00E56BA9"/>
    <w:rsid w:val="00E6086C"/>
    <w:rsid w:val="00E60CDF"/>
    <w:rsid w:val="00E66ECE"/>
    <w:rsid w:val="00E70A82"/>
    <w:rsid w:val="00E7170C"/>
    <w:rsid w:val="00E77637"/>
    <w:rsid w:val="00E843DC"/>
    <w:rsid w:val="00E84A34"/>
    <w:rsid w:val="00E87B69"/>
    <w:rsid w:val="00E93415"/>
    <w:rsid w:val="00E978A2"/>
    <w:rsid w:val="00EA6556"/>
    <w:rsid w:val="00EB44D3"/>
    <w:rsid w:val="00EB51D8"/>
    <w:rsid w:val="00EB68E1"/>
    <w:rsid w:val="00EC56EA"/>
    <w:rsid w:val="00ED20FC"/>
    <w:rsid w:val="00ED2126"/>
    <w:rsid w:val="00ED26A0"/>
    <w:rsid w:val="00EE0368"/>
    <w:rsid w:val="00EE086D"/>
    <w:rsid w:val="00EE1EE0"/>
    <w:rsid w:val="00EE6202"/>
    <w:rsid w:val="00EF0048"/>
    <w:rsid w:val="00EF19BA"/>
    <w:rsid w:val="00EF4A49"/>
    <w:rsid w:val="00EF5DBE"/>
    <w:rsid w:val="00EF7016"/>
    <w:rsid w:val="00F04409"/>
    <w:rsid w:val="00F046B3"/>
    <w:rsid w:val="00F04E8F"/>
    <w:rsid w:val="00F0663E"/>
    <w:rsid w:val="00F13ED5"/>
    <w:rsid w:val="00F25066"/>
    <w:rsid w:val="00F258BC"/>
    <w:rsid w:val="00F34CDC"/>
    <w:rsid w:val="00F449A3"/>
    <w:rsid w:val="00F54116"/>
    <w:rsid w:val="00F5419D"/>
    <w:rsid w:val="00F60478"/>
    <w:rsid w:val="00F70325"/>
    <w:rsid w:val="00F8143C"/>
    <w:rsid w:val="00F81C16"/>
    <w:rsid w:val="00F821E3"/>
    <w:rsid w:val="00F831FD"/>
    <w:rsid w:val="00F83617"/>
    <w:rsid w:val="00F857FD"/>
    <w:rsid w:val="00F87434"/>
    <w:rsid w:val="00F90A01"/>
    <w:rsid w:val="00F90DE8"/>
    <w:rsid w:val="00F910E8"/>
    <w:rsid w:val="00F92BB5"/>
    <w:rsid w:val="00F95789"/>
    <w:rsid w:val="00FA1130"/>
    <w:rsid w:val="00FA2734"/>
    <w:rsid w:val="00FB0B86"/>
    <w:rsid w:val="00FB1C38"/>
    <w:rsid w:val="00FB2ACB"/>
    <w:rsid w:val="00FB5720"/>
    <w:rsid w:val="00FD04B1"/>
    <w:rsid w:val="00FD4CB7"/>
    <w:rsid w:val="00FD5FDB"/>
    <w:rsid w:val="00FD65E3"/>
    <w:rsid w:val="00FE3207"/>
    <w:rsid w:val="00FE57C0"/>
    <w:rsid w:val="00FF0A10"/>
    <w:rsid w:val="00FF0BA8"/>
    <w:rsid w:val="00FF1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EF"/>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4D290A"/>
    <w:rPr>
      <w:color w:val="0563C1" w:themeColor="hyperlink"/>
      <w:u w:val="single"/>
    </w:rPr>
  </w:style>
  <w:style w:type="character" w:customStyle="1" w:styleId="Mencinsinresolver1">
    <w:name w:val="Mención sin resolver1"/>
    <w:basedOn w:val="Fuentedeprrafopredeter"/>
    <w:uiPriority w:val="99"/>
    <w:semiHidden/>
    <w:unhideWhenUsed/>
    <w:rsid w:val="004D290A"/>
    <w:rPr>
      <w:color w:val="605E5C"/>
      <w:shd w:val="clear" w:color="auto" w:fill="E1DFDD"/>
    </w:rPr>
  </w:style>
  <w:style w:type="paragraph" w:styleId="Textonotapie">
    <w:name w:val="footnote text"/>
    <w:basedOn w:val="Normal"/>
    <w:link w:val="TextonotapieCar"/>
    <w:uiPriority w:val="99"/>
    <w:semiHidden/>
    <w:unhideWhenUsed/>
    <w:rsid w:val="00B21B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BA9"/>
    <w:rPr>
      <w:rFonts w:ascii="Palatino Linotype" w:hAnsi="Palatino Linotype"/>
      <w:color w:val="000000" w:themeColor="text1"/>
      <w:sz w:val="20"/>
      <w:szCs w:val="20"/>
    </w:rPr>
  </w:style>
  <w:style w:type="character" w:styleId="Refdenotaalpie">
    <w:name w:val="footnote reference"/>
    <w:basedOn w:val="Fuentedeprrafopredeter"/>
    <w:uiPriority w:val="99"/>
    <w:semiHidden/>
    <w:unhideWhenUsed/>
    <w:rsid w:val="00B21BA9"/>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C1797"/>
    <w:rPr>
      <w:rFonts w:ascii="Palatino Linotype" w:hAnsi="Palatino Linotype"/>
      <w:color w:val="000000" w:themeColor="text1"/>
    </w:rPr>
  </w:style>
  <w:style w:type="character" w:customStyle="1" w:styleId="Mencinsinresolver2">
    <w:name w:val="Mención sin resolver2"/>
    <w:basedOn w:val="Fuentedeprrafopredeter"/>
    <w:uiPriority w:val="99"/>
    <w:semiHidden/>
    <w:unhideWhenUsed/>
    <w:rsid w:val="001C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95777623">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249387265">
      <w:bodyDiv w:val="1"/>
      <w:marLeft w:val="0"/>
      <w:marRight w:val="0"/>
      <w:marTop w:val="0"/>
      <w:marBottom w:val="0"/>
      <w:divBdr>
        <w:top w:val="none" w:sz="0" w:space="0" w:color="auto"/>
        <w:left w:val="none" w:sz="0" w:space="0" w:color="auto"/>
        <w:bottom w:val="none" w:sz="0" w:space="0" w:color="auto"/>
        <w:right w:val="none" w:sz="0" w:space="0" w:color="auto"/>
      </w:divBdr>
    </w:div>
    <w:div w:id="297149499">
      <w:bodyDiv w:val="1"/>
      <w:marLeft w:val="0"/>
      <w:marRight w:val="0"/>
      <w:marTop w:val="0"/>
      <w:marBottom w:val="0"/>
      <w:divBdr>
        <w:top w:val="none" w:sz="0" w:space="0" w:color="auto"/>
        <w:left w:val="none" w:sz="0" w:space="0" w:color="auto"/>
        <w:bottom w:val="none" w:sz="0" w:space="0" w:color="auto"/>
        <w:right w:val="none" w:sz="0" w:space="0" w:color="auto"/>
      </w:divBdr>
    </w:div>
    <w:div w:id="347878250">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13671882">
      <w:bodyDiv w:val="1"/>
      <w:marLeft w:val="0"/>
      <w:marRight w:val="0"/>
      <w:marTop w:val="0"/>
      <w:marBottom w:val="0"/>
      <w:divBdr>
        <w:top w:val="none" w:sz="0" w:space="0" w:color="auto"/>
        <w:left w:val="none" w:sz="0" w:space="0" w:color="auto"/>
        <w:bottom w:val="none" w:sz="0" w:space="0" w:color="auto"/>
        <w:right w:val="none" w:sz="0" w:space="0" w:color="auto"/>
      </w:divBdr>
    </w:div>
    <w:div w:id="451365484">
      <w:bodyDiv w:val="1"/>
      <w:marLeft w:val="0"/>
      <w:marRight w:val="0"/>
      <w:marTop w:val="0"/>
      <w:marBottom w:val="0"/>
      <w:divBdr>
        <w:top w:val="none" w:sz="0" w:space="0" w:color="auto"/>
        <w:left w:val="none" w:sz="0" w:space="0" w:color="auto"/>
        <w:bottom w:val="none" w:sz="0" w:space="0" w:color="auto"/>
        <w:right w:val="none" w:sz="0" w:space="0" w:color="auto"/>
      </w:divBdr>
    </w:div>
    <w:div w:id="452217229">
      <w:bodyDiv w:val="1"/>
      <w:marLeft w:val="0"/>
      <w:marRight w:val="0"/>
      <w:marTop w:val="0"/>
      <w:marBottom w:val="0"/>
      <w:divBdr>
        <w:top w:val="none" w:sz="0" w:space="0" w:color="auto"/>
        <w:left w:val="none" w:sz="0" w:space="0" w:color="auto"/>
        <w:bottom w:val="none" w:sz="0" w:space="0" w:color="auto"/>
        <w:right w:val="none" w:sz="0" w:space="0" w:color="auto"/>
      </w:divBdr>
    </w:div>
    <w:div w:id="500892337">
      <w:bodyDiv w:val="1"/>
      <w:marLeft w:val="0"/>
      <w:marRight w:val="0"/>
      <w:marTop w:val="0"/>
      <w:marBottom w:val="0"/>
      <w:divBdr>
        <w:top w:val="none" w:sz="0" w:space="0" w:color="auto"/>
        <w:left w:val="none" w:sz="0" w:space="0" w:color="auto"/>
        <w:bottom w:val="none" w:sz="0" w:space="0" w:color="auto"/>
        <w:right w:val="none" w:sz="0" w:space="0" w:color="auto"/>
      </w:divBdr>
    </w:div>
    <w:div w:id="554202849">
      <w:bodyDiv w:val="1"/>
      <w:marLeft w:val="0"/>
      <w:marRight w:val="0"/>
      <w:marTop w:val="0"/>
      <w:marBottom w:val="0"/>
      <w:divBdr>
        <w:top w:val="none" w:sz="0" w:space="0" w:color="auto"/>
        <w:left w:val="none" w:sz="0" w:space="0" w:color="auto"/>
        <w:bottom w:val="none" w:sz="0" w:space="0" w:color="auto"/>
        <w:right w:val="none" w:sz="0" w:space="0" w:color="auto"/>
      </w:divBdr>
    </w:div>
    <w:div w:id="576129837">
      <w:bodyDiv w:val="1"/>
      <w:marLeft w:val="0"/>
      <w:marRight w:val="0"/>
      <w:marTop w:val="0"/>
      <w:marBottom w:val="0"/>
      <w:divBdr>
        <w:top w:val="none" w:sz="0" w:space="0" w:color="auto"/>
        <w:left w:val="none" w:sz="0" w:space="0" w:color="auto"/>
        <w:bottom w:val="none" w:sz="0" w:space="0" w:color="auto"/>
        <w:right w:val="none" w:sz="0" w:space="0" w:color="auto"/>
      </w:divBdr>
    </w:div>
    <w:div w:id="646275952">
      <w:bodyDiv w:val="1"/>
      <w:marLeft w:val="0"/>
      <w:marRight w:val="0"/>
      <w:marTop w:val="0"/>
      <w:marBottom w:val="0"/>
      <w:divBdr>
        <w:top w:val="none" w:sz="0" w:space="0" w:color="auto"/>
        <w:left w:val="none" w:sz="0" w:space="0" w:color="auto"/>
        <w:bottom w:val="none" w:sz="0" w:space="0" w:color="auto"/>
        <w:right w:val="none" w:sz="0" w:space="0" w:color="auto"/>
      </w:divBdr>
    </w:div>
    <w:div w:id="676081659">
      <w:bodyDiv w:val="1"/>
      <w:marLeft w:val="0"/>
      <w:marRight w:val="0"/>
      <w:marTop w:val="0"/>
      <w:marBottom w:val="0"/>
      <w:divBdr>
        <w:top w:val="none" w:sz="0" w:space="0" w:color="auto"/>
        <w:left w:val="none" w:sz="0" w:space="0" w:color="auto"/>
        <w:bottom w:val="none" w:sz="0" w:space="0" w:color="auto"/>
        <w:right w:val="none" w:sz="0" w:space="0" w:color="auto"/>
      </w:divBdr>
    </w:div>
    <w:div w:id="677578284">
      <w:bodyDiv w:val="1"/>
      <w:marLeft w:val="0"/>
      <w:marRight w:val="0"/>
      <w:marTop w:val="0"/>
      <w:marBottom w:val="0"/>
      <w:divBdr>
        <w:top w:val="none" w:sz="0" w:space="0" w:color="auto"/>
        <w:left w:val="none" w:sz="0" w:space="0" w:color="auto"/>
        <w:bottom w:val="none" w:sz="0" w:space="0" w:color="auto"/>
        <w:right w:val="none" w:sz="0" w:space="0" w:color="auto"/>
      </w:divBdr>
    </w:div>
    <w:div w:id="804783277">
      <w:bodyDiv w:val="1"/>
      <w:marLeft w:val="0"/>
      <w:marRight w:val="0"/>
      <w:marTop w:val="0"/>
      <w:marBottom w:val="0"/>
      <w:divBdr>
        <w:top w:val="none" w:sz="0" w:space="0" w:color="auto"/>
        <w:left w:val="none" w:sz="0" w:space="0" w:color="auto"/>
        <w:bottom w:val="none" w:sz="0" w:space="0" w:color="auto"/>
        <w:right w:val="none" w:sz="0" w:space="0" w:color="auto"/>
      </w:divBdr>
    </w:div>
    <w:div w:id="80905790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56644111">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106463963">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57522534">
      <w:bodyDiv w:val="1"/>
      <w:marLeft w:val="0"/>
      <w:marRight w:val="0"/>
      <w:marTop w:val="0"/>
      <w:marBottom w:val="0"/>
      <w:divBdr>
        <w:top w:val="none" w:sz="0" w:space="0" w:color="auto"/>
        <w:left w:val="none" w:sz="0" w:space="0" w:color="auto"/>
        <w:bottom w:val="none" w:sz="0" w:space="0" w:color="auto"/>
        <w:right w:val="none" w:sz="0" w:space="0" w:color="auto"/>
      </w:divBdr>
    </w:div>
    <w:div w:id="1369331547">
      <w:bodyDiv w:val="1"/>
      <w:marLeft w:val="0"/>
      <w:marRight w:val="0"/>
      <w:marTop w:val="0"/>
      <w:marBottom w:val="0"/>
      <w:divBdr>
        <w:top w:val="none" w:sz="0" w:space="0" w:color="auto"/>
        <w:left w:val="none" w:sz="0" w:space="0" w:color="auto"/>
        <w:bottom w:val="none" w:sz="0" w:space="0" w:color="auto"/>
        <w:right w:val="none" w:sz="0" w:space="0" w:color="auto"/>
      </w:divBdr>
    </w:div>
    <w:div w:id="1444155730">
      <w:bodyDiv w:val="1"/>
      <w:marLeft w:val="0"/>
      <w:marRight w:val="0"/>
      <w:marTop w:val="0"/>
      <w:marBottom w:val="0"/>
      <w:divBdr>
        <w:top w:val="none" w:sz="0" w:space="0" w:color="auto"/>
        <w:left w:val="none" w:sz="0" w:space="0" w:color="auto"/>
        <w:bottom w:val="none" w:sz="0" w:space="0" w:color="auto"/>
        <w:right w:val="none" w:sz="0" w:space="0" w:color="auto"/>
      </w:divBdr>
    </w:div>
    <w:div w:id="1468619745">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72043481">
      <w:bodyDiv w:val="1"/>
      <w:marLeft w:val="0"/>
      <w:marRight w:val="0"/>
      <w:marTop w:val="0"/>
      <w:marBottom w:val="0"/>
      <w:divBdr>
        <w:top w:val="none" w:sz="0" w:space="0" w:color="auto"/>
        <w:left w:val="none" w:sz="0" w:space="0" w:color="auto"/>
        <w:bottom w:val="none" w:sz="0" w:space="0" w:color="auto"/>
        <w:right w:val="none" w:sz="0" w:space="0" w:color="auto"/>
      </w:divBdr>
    </w:div>
    <w:div w:id="1821382845">
      <w:bodyDiv w:val="1"/>
      <w:marLeft w:val="0"/>
      <w:marRight w:val="0"/>
      <w:marTop w:val="0"/>
      <w:marBottom w:val="0"/>
      <w:divBdr>
        <w:top w:val="none" w:sz="0" w:space="0" w:color="auto"/>
        <w:left w:val="none" w:sz="0" w:space="0" w:color="auto"/>
        <w:bottom w:val="none" w:sz="0" w:space="0" w:color="auto"/>
        <w:right w:val="none" w:sz="0" w:space="0" w:color="auto"/>
      </w:divBdr>
    </w:div>
    <w:div w:id="1831868284">
      <w:bodyDiv w:val="1"/>
      <w:marLeft w:val="0"/>
      <w:marRight w:val="0"/>
      <w:marTop w:val="0"/>
      <w:marBottom w:val="0"/>
      <w:divBdr>
        <w:top w:val="none" w:sz="0" w:space="0" w:color="auto"/>
        <w:left w:val="none" w:sz="0" w:space="0" w:color="auto"/>
        <w:bottom w:val="none" w:sz="0" w:space="0" w:color="auto"/>
        <w:right w:val="none" w:sz="0" w:space="0" w:color="auto"/>
      </w:divBdr>
    </w:div>
    <w:div w:id="1903178102">
      <w:bodyDiv w:val="1"/>
      <w:marLeft w:val="0"/>
      <w:marRight w:val="0"/>
      <w:marTop w:val="0"/>
      <w:marBottom w:val="0"/>
      <w:divBdr>
        <w:top w:val="none" w:sz="0" w:space="0" w:color="auto"/>
        <w:left w:val="none" w:sz="0" w:space="0" w:color="auto"/>
        <w:bottom w:val="none" w:sz="0" w:space="0" w:color="auto"/>
        <w:right w:val="none" w:sz="0" w:space="0" w:color="auto"/>
      </w:divBdr>
    </w:div>
    <w:div w:id="1934899432">
      <w:bodyDiv w:val="1"/>
      <w:marLeft w:val="0"/>
      <w:marRight w:val="0"/>
      <w:marTop w:val="0"/>
      <w:marBottom w:val="0"/>
      <w:divBdr>
        <w:top w:val="none" w:sz="0" w:space="0" w:color="auto"/>
        <w:left w:val="none" w:sz="0" w:space="0" w:color="auto"/>
        <w:bottom w:val="none" w:sz="0" w:space="0" w:color="auto"/>
        <w:right w:val="none" w:sz="0" w:space="0" w:color="auto"/>
      </w:divBdr>
    </w:div>
    <w:div w:id="1963613572">
      <w:bodyDiv w:val="1"/>
      <w:marLeft w:val="0"/>
      <w:marRight w:val="0"/>
      <w:marTop w:val="0"/>
      <w:marBottom w:val="0"/>
      <w:divBdr>
        <w:top w:val="none" w:sz="0" w:space="0" w:color="auto"/>
        <w:left w:val="none" w:sz="0" w:space="0" w:color="auto"/>
        <w:bottom w:val="none" w:sz="0" w:space="0" w:color="auto"/>
        <w:right w:val="none" w:sz="0" w:space="0" w:color="auto"/>
      </w:divBdr>
    </w:div>
    <w:div w:id="2026130489">
      <w:bodyDiv w:val="1"/>
      <w:marLeft w:val="0"/>
      <w:marRight w:val="0"/>
      <w:marTop w:val="0"/>
      <w:marBottom w:val="0"/>
      <w:divBdr>
        <w:top w:val="none" w:sz="0" w:space="0" w:color="auto"/>
        <w:left w:val="none" w:sz="0" w:space="0" w:color="auto"/>
        <w:bottom w:val="none" w:sz="0" w:space="0" w:color="auto"/>
        <w:right w:val="none" w:sz="0" w:space="0" w:color="auto"/>
      </w:divBdr>
    </w:div>
    <w:div w:id="2051613644">
      <w:bodyDiv w:val="1"/>
      <w:marLeft w:val="0"/>
      <w:marRight w:val="0"/>
      <w:marTop w:val="0"/>
      <w:marBottom w:val="0"/>
      <w:divBdr>
        <w:top w:val="none" w:sz="0" w:space="0" w:color="auto"/>
        <w:left w:val="none" w:sz="0" w:space="0" w:color="auto"/>
        <w:bottom w:val="none" w:sz="0" w:space="0" w:color="auto"/>
        <w:right w:val="none" w:sz="0" w:space="0" w:color="auto"/>
      </w:divBdr>
    </w:div>
    <w:div w:id="2104178710">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3FFD-26B8-4B29-92A3-5F82045C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5629</Words>
  <Characters>30960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2022-05-18T02:15:00Z</dcterms:created>
  <dcterms:modified xsi:type="dcterms:W3CDTF">2022-05-18T02:15:00Z</dcterms:modified>
</cp:coreProperties>
</file>