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8C3" w:rsidRDefault="00882C9A">
      <w:pPr>
        <w:spacing w:before="240" w:after="240" w:line="360" w:lineRule="auto"/>
        <w:jc w:val="both"/>
        <w:rPr>
          <w:rFonts w:ascii="Palatino Linotype" w:eastAsia="Palatino Linotype" w:hAnsi="Palatino Linotype" w:cs="Palatino Linotype"/>
          <w:b/>
        </w:rPr>
      </w:pPr>
      <w:bookmarkStart w:id="0" w:name="_GoBack"/>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del </w:t>
      </w:r>
      <w:r>
        <w:rPr>
          <w:rFonts w:ascii="Palatino Linotype" w:eastAsia="Palatino Linotype" w:hAnsi="Palatino Linotype" w:cs="Palatino Linotype"/>
          <w:b/>
        </w:rPr>
        <w:t>once de mayo del dos mil veintidós</w:t>
      </w:r>
      <w:r>
        <w:rPr>
          <w:rFonts w:ascii="Palatino Linotype" w:eastAsia="Palatino Linotype" w:hAnsi="Palatino Linotype" w:cs="Palatino Linotype"/>
        </w:rPr>
        <w:t>.</w:t>
      </w:r>
    </w:p>
    <w:p w:rsidR="00EF08C3" w:rsidRDefault="00882C9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sz w:val="22"/>
          <w:szCs w:val="22"/>
        </w:rPr>
        <w:t>00829/INFOEM/IP/RR/2022</w:t>
      </w:r>
      <w:r>
        <w:rPr>
          <w:rFonts w:ascii="Palatino Linotype" w:eastAsia="Palatino Linotype" w:hAnsi="Palatino Linotype" w:cs="Palatino Linotype"/>
        </w:rPr>
        <w:t xml:space="preserve">, interpuesto por persona </w:t>
      </w:r>
      <w:r>
        <w:rPr>
          <w:rFonts w:ascii="Palatino Linotype" w:eastAsia="Palatino Linotype" w:hAnsi="Palatino Linotype" w:cs="Palatino Linotype"/>
          <w:b/>
        </w:rPr>
        <w:t>quien no proporcionó nombre,</w:t>
      </w:r>
      <w:r>
        <w:rPr>
          <w:rFonts w:ascii="Palatino Linotype" w:eastAsia="Palatino Linotype" w:hAnsi="Palatino Linotype" w:cs="Palatino Linotype"/>
        </w:rPr>
        <w:t xml:space="preserve"> a quien en lo sucesivo se le denominará </w:t>
      </w:r>
      <w:r>
        <w:rPr>
          <w:rFonts w:ascii="Palatino Linotype" w:eastAsia="Palatino Linotype" w:hAnsi="Palatino Linotype" w:cs="Palatino Linotype"/>
          <w:b/>
        </w:rPr>
        <w:t>la parte</w:t>
      </w:r>
      <w:r>
        <w:rPr>
          <w:rFonts w:ascii="Palatino Linotype" w:eastAsia="Palatino Linotype" w:hAnsi="Palatino Linotype" w:cs="Palatino Linotype"/>
          <w:b/>
          <w:i/>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b/>
          <w:i/>
        </w:rPr>
        <w:t xml:space="preserve"> </w:t>
      </w:r>
      <w:r>
        <w:rPr>
          <w:rFonts w:ascii="Palatino Linotype" w:eastAsia="Palatino Linotype" w:hAnsi="Palatino Linotype" w:cs="Palatino Linotype"/>
        </w:rPr>
        <w:t>en contra de la respuesta a su solicitud de información con número de f</w:t>
      </w:r>
      <w:r>
        <w:rPr>
          <w:rFonts w:ascii="Palatino Linotype" w:eastAsia="Palatino Linotype" w:hAnsi="Palatino Linotype" w:cs="Palatino Linotype"/>
        </w:rPr>
        <w:t>olio</w:t>
      </w:r>
      <w:r>
        <w:rPr>
          <w:rFonts w:ascii="Verdana" w:eastAsia="Verdana" w:hAnsi="Verdana" w:cs="Verdana"/>
          <w:b/>
          <w:color w:val="FF0000"/>
        </w:rPr>
        <w:t> </w:t>
      </w:r>
      <w:r>
        <w:rPr>
          <w:rFonts w:ascii="Palatino Linotype" w:eastAsia="Palatino Linotype" w:hAnsi="Palatino Linotype" w:cs="Palatino Linotype"/>
          <w:b/>
          <w:sz w:val="22"/>
          <w:szCs w:val="22"/>
        </w:rPr>
        <w:t>00036/ATENCO/IP/2022</w:t>
      </w:r>
      <w:r>
        <w:rPr>
          <w:rFonts w:ascii="Palatino Linotype" w:eastAsia="Palatino Linotype" w:hAnsi="Palatino Linotype" w:cs="Palatino Linotype"/>
          <w:b/>
        </w:rPr>
        <w:t>,</w:t>
      </w:r>
      <w:r>
        <w:rPr>
          <w:rFonts w:ascii="Palatino Linotype" w:eastAsia="Palatino Linotype" w:hAnsi="Palatino Linotype" w:cs="Palatino Linotype"/>
        </w:rPr>
        <w:t xml:space="preserve"> otorgada por el </w:t>
      </w:r>
      <w:r>
        <w:rPr>
          <w:rFonts w:ascii="Palatino Linotype" w:eastAsia="Palatino Linotype" w:hAnsi="Palatino Linotype" w:cs="Palatino Linotype"/>
          <w:b/>
        </w:rPr>
        <w:t>Ayuntamiento de Atenco</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procede a dictar la presente resolución, con base en lo siguiente. </w:t>
      </w:r>
    </w:p>
    <w:p w:rsidR="00EF08C3" w:rsidRDefault="00EF08C3">
      <w:pPr>
        <w:spacing w:line="360" w:lineRule="auto"/>
        <w:jc w:val="both"/>
        <w:rPr>
          <w:rFonts w:ascii="Palatino Linotype" w:eastAsia="Palatino Linotype" w:hAnsi="Palatino Linotype" w:cs="Palatino Linotype"/>
          <w:b/>
          <w:sz w:val="22"/>
          <w:szCs w:val="22"/>
        </w:rPr>
      </w:pPr>
    </w:p>
    <w:p w:rsidR="00EF08C3" w:rsidRDefault="00882C9A">
      <w:pPr>
        <w:pStyle w:val="Ttulo2"/>
        <w:jc w:val="center"/>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I. A N T E C E D E N T E S:</w:t>
      </w:r>
    </w:p>
    <w:p w:rsidR="00EF08C3" w:rsidRDefault="00882C9A">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Con fecha die</w:t>
      </w:r>
      <w:r>
        <w:rPr>
          <w:rFonts w:ascii="Palatino Linotype" w:eastAsia="Palatino Linotype" w:hAnsi="Palatino Linotype" w:cs="Palatino Linotype"/>
        </w:rPr>
        <w:t>cinueve</w:t>
      </w:r>
      <w:r>
        <w:rPr>
          <w:rFonts w:ascii="Palatino Linotype" w:eastAsia="Palatino Linotype" w:hAnsi="Palatino Linotype" w:cs="Palatino Linotype"/>
          <w:b/>
        </w:rPr>
        <w:t xml:space="preserve"> de enero del dos mil veintidós,</w:t>
      </w:r>
      <w:r>
        <w:rPr>
          <w:rFonts w:ascii="Palatino Linotype" w:eastAsia="Palatino Linotype" w:hAnsi="Palatino Linotype" w:cs="Palatino Linotype"/>
        </w:rPr>
        <w:t xml:space="preserve"> la ahora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la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w:t>
      </w:r>
      <w:r>
        <w:rPr>
          <w:rFonts w:ascii="Bell MT" w:eastAsia="Bell MT" w:hAnsi="Bell MT" w:cs="Bell MT"/>
        </w:rPr>
        <w:t>r</w:t>
      </w:r>
      <w:r>
        <w:rPr>
          <w:rFonts w:ascii="Palatino Linotype" w:eastAsia="Palatino Linotype" w:hAnsi="Palatino Linotype" w:cs="Palatino Linotype"/>
        </w:rPr>
        <w:t>iendo lo siguiente:</w:t>
      </w:r>
    </w:p>
    <w:p w:rsidR="00EF08C3" w:rsidRDefault="00882C9A">
      <w:pPr>
        <w:spacing w:before="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“Las resoluciones y laudos </w:t>
      </w:r>
      <w:r>
        <w:rPr>
          <w:rFonts w:ascii="Palatino Linotype" w:eastAsia="Palatino Linotype" w:hAnsi="Palatino Linotype" w:cs="Palatino Linotype"/>
          <w:b/>
          <w:i/>
          <w:sz w:val="22"/>
          <w:szCs w:val="22"/>
          <w:u w:val="single"/>
        </w:rPr>
        <w:t>que se emitan</w:t>
      </w:r>
      <w:r>
        <w:rPr>
          <w:rFonts w:ascii="Palatino Linotype" w:eastAsia="Palatino Linotype" w:hAnsi="Palatino Linotype" w:cs="Palatino Linotype"/>
          <w:i/>
          <w:sz w:val="22"/>
          <w:szCs w:val="22"/>
        </w:rPr>
        <w:t xml:space="preserve"> en procesos o procedimientos seguidos en forma de juicio “(Sic)</w:t>
      </w:r>
    </w:p>
    <w:p w:rsidR="00EF08C3" w:rsidRDefault="00EF08C3">
      <w:pPr>
        <w:ind w:left="851" w:right="902"/>
        <w:jc w:val="both"/>
        <w:rPr>
          <w:rFonts w:ascii="Palatino Linotype" w:eastAsia="Palatino Linotype" w:hAnsi="Palatino Linotype" w:cs="Palatino Linotype"/>
          <w:i/>
          <w:sz w:val="22"/>
          <w:szCs w:val="22"/>
        </w:rPr>
      </w:pPr>
    </w:p>
    <w:p w:rsidR="00EF08C3" w:rsidRDefault="00882C9A">
      <w:pPr>
        <w:spacing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Modalidad de entrega de la información</w:t>
      </w:r>
      <w:r>
        <w:rPr>
          <w:rFonts w:ascii="Palatino Linotype" w:eastAsia="Palatino Linotype" w:hAnsi="Palatino Linotype" w:cs="Palatino Linotype"/>
        </w:rPr>
        <w:t xml:space="preserve">: vía </w:t>
      </w:r>
      <w:r>
        <w:rPr>
          <w:rFonts w:ascii="Palatino Linotype" w:eastAsia="Palatino Linotype" w:hAnsi="Palatino Linotype" w:cs="Palatino Linotype"/>
          <w:b/>
        </w:rPr>
        <w:t>SAIMEX.</w:t>
      </w:r>
    </w:p>
    <w:p w:rsidR="00EF08C3" w:rsidRDefault="00882C9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Anexos. </w:t>
      </w:r>
      <w:r>
        <w:rPr>
          <w:rFonts w:ascii="Palatino Linotype" w:eastAsia="Palatino Linotype" w:hAnsi="Palatino Linotype" w:cs="Palatino Linotype"/>
        </w:rPr>
        <w:t xml:space="preserve">A través del formato de solicitud de información se advierte que el particular no adjuntó </w:t>
      </w:r>
      <w:r>
        <w:rPr>
          <w:rFonts w:ascii="Palatino Linotype" w:eastAsia="Palatino Linotype" w:hAnsi="Palatino Linotype" w:cs="Palatino Linotype"/>
        </w:rPr>
        <w:t xml:space="preserve">archivo alguno. </w:t>
      </w:r>
    </w:p>
    <w:p w:rsidR="00EF08C3" w:rsidRDefault="00EF08C3">
      <w:pPr>
        <w:spacing w:before="240" w:after="240" w:line="360" w:lineRule="auto"/>
        <w:jc w:val="both"/>
        <w:rPr>
          <w:rFonts w:ascii="Palatino Linotype" w:eastAsia="Palatino Linotype" w:hAnsi="Palatino Linotype" w:cs="Palatino Linotype"/>
        </w:rPr>
      </w:pPr>
    </w:p>
    <w:p w:rsidR="00EF08C3" w:rsidRDefault="00EF08C3">
      <w:pPr>
        <w:spacing w:before="240" w:after="240" w:line="360" w:lineRule="auto"/>
        <w:jc w:val="both"/>
        <w:rPr>
          <w:rFonts w:ascii="Palatino Linotype" w:eastAsia="Palatino Linotype" w:hAnsi="Palatino Linotype" w:cs="Palatino Linotype"/>
        </w:rPr>
      </w:pPr>
    </w:p>
    <w:p w:rsidR="00EF08C3" w:rsidRDefault="00882C9A">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2. Solicitud de aclaración. En fecha veinticuatro de enero de la presente anualidad y </w:t>
      </w:r>
      <w:r>
        <w:rPr>
          <w:rFonts w:ascii="Palatino Linotype" w:eastAsia="Palatino Linotype" w:hAnsi="Palatino Linotype" w:cs="Palatino Linotype"/>
        </w:rPr>
        <w:t>con fundamento en el artículo 159 de la Ley de Transparencia y Acceso a la Información Pública del Estado de México y Municipios, el SUJETO OBLIGADO  l</w:t>
      </w:r>
      <w:r>
        <w:rPr>
          <w:rFonts w:ascii="Palatino Linotype" w:eastAsia="Palatino Linotype" w:hAnsi="Palatino Linotype" w:cs="Palatino Linotype"/>
        </w:rPr>
        <w:t>e requiere a la parte recurrente  para que dentro del plazo de diez días hábiles completara lo siguiente: “…</w:t>
      </w:r>
      <w:r>
        <w:rPr>
          <w:rFonts w:ascii="Palatino Linotype" w:eastAsia="Palatino Linotype" w:hAnsi="Palatino Linotype" w:cs="Palatino Linotype"/>
          <w:i/>
        </w:rPr>
        <w:t>Qué Pueda Precisar, la Temporalidad y/o Dichos Procesos de su interés. En caso de que no se desahogue el requerimiento señalado dentro del plazo cit</w:t>
      </w:r>
      <w:r>
        <w:rPr>
          <w:rFonts w:ascii="Palatino Linotype" w:eastAsia="Palatino Linotype" w:hAnsi="Palatino Linotype" w:cs="Palatino Linotype"/>
          <w:i/>
        </w:rPr>
        <w:t xml:space="preserve">ado se tendrá por no presentada la solicitud de información, quedando a salvo sus derechos para volver a presentar la solicitud, lo anterior con fundamento en el artículo 159 de la Ley invocada. ATENTAMENTE Mtro. en D. Juan Manuel Mancera García Unidad de </w:t>
      </w:r>
      <w:r>
        <w:rPr>
          <w:rFonts w:ascii="Palatino Linotype" w:eastAsia="Palatino Linotype" w:hAnsi="Palatino Linotype" w:cs="Palatino Linotype"/>
          <w:i/>
        </w:rPr>
        <w:t>Transparencia Ayuntamiento de Atenco</w:t>
      </w:r>
      <w:r>
        <w:rPr>
          <w:rFonts w:ascii="Palatino Linotype" w:eastAsia="Palatino Linotype" w:hAnsi="Palatino Linotype" w:cs="Palatino Linotype"/>
        </w:rPr>
        <w:t>”</w:t>
      </w:r>
    </w:p>
    <w:p w:rsidR="00EF08C3" w:rsidRDefault="00882C9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Desahogo del requerimiento de aclaración.  </w:t>
      </w:r>
      <w:r>
        <w:rPr>
          <w:rFonts w:ascii="Palatino Linotype" w:eastAsia="Palatino Linotype" w:hAnsi="Palatino Linotype" w:cs="Palatino Linotype"/>
        </w:rPr>
        <w:t xml:space="preserve">En fecha veinticinco de enero de la presente anualidad el particular atendiendo a la solicitud de aclaración formulada por el Ayuntamiento de Atenco, refirió que </w:t>
      </w:r>
      <w:r>
        <w:rPr>
          <w:rFonts w:ascii="Palatino Linotype" w:eastAsia="Palatino Linotype" w:hAnsi="Palatino Linotype" w:cs="Palatino Linotype"/>
          <w:i/>
        </w:rPr>
        <w:t>“…Solicito</w:t>
      </w:r>
      <w:r>
        <w:rPr>
          <w:rFonts w:ascii="Palatino Linotype" w:eastAsia="Palatino Linotype" w:hAnsi="Palatino Linotype" w:cs="Palatino Linotype"/>
          <w:i/>
        </w:rPr>
        <w:t xml:space="preserve"> que la informacion sea del 2019 al 2021”</w:t>
      </w:r>
    </w:p>
    <w:p w:rsidR="00EF08C3" w:rsidRDefault="00882C9A">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4. Respuesta.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once de febrero del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otorgó, a través del </w:t>
      </w:r>
      <w:r>
        <w:rPr>
          <w:rFonts w:ascii="Palatino Linotype" w:eastAsia="Palatino Linotype" w:hAnsi="Palatino Linotype" w:cs="Palatino Linotype"/>
          <w:b/>
        </w:rPr>
        <w:t>SAIMEX</w:t>
      </w:r>
      <w:r>
        <w:rPr>
          <w:rFonts w:ascii="Palatino Linotype" w:eastAsia="Palatino Linotype" w:hAnsi="Palatino Linotype" w:cs="Palatino Linotype"/>
        </w:rPr>
        <w:t>, respuesta a la solicitud de acceso a la información de la siguiente manera:</w:t>
      </w:r>
    </w:p>
    <w:p w:rsidR="00EF08C3" w:rsidRDefault="00882C9A">
      <w:pPr>
        <w:spacing w:before="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“UNIDAD DE TRANSPARENCIA Of</w:t>
      </w:r>
      <w:r>
        <w:rPr>
          <w:rFonts w:ascii="Palatino Linotype" w:eastAsia="Palatino Linotype" w:hAnsi="Palatino Linotype" w:cs="Palatino Linotype"/>
          <w:i/>
          <w:sz w:val="22"/>
          <w:szCs w:val="22"/>
        </w:rPr>
        <w:t>icio No.: PMA/UT/SOL/2022/00072 Solicitud de Información: 00036/ATENCO/IP/2022 Atenco, Estado de México, 11 de febrero de 2022. C. SOLICITANTE DE INFORMACIÓN P R E S E N T E. De conformidad con los artículos 1, 2, 3, fracción XLIV, 4, 12, 16, 23 fracción I</w:t>
      </w:r>
      <w:r>
        <w:rPr>
          <w:rFonts w:ascii="Palatino Linotype" w:eastAsia="Palatino Linotype" w:hAnsi="Palatino Linotype" w:cs="Palatino Linotype"/>
          <w:i/>
          <w:sz w:val="22"/>
          <w:szCs w:val="22"/>
        </w:rPr>
        <w:t>V, 24 fracción XI y último párrafo, 50, 51 y 53 de la Ley de Transparencia y Acceso a la Información Pública del Estado de México y Municipios; me permito comentar a usted lo siguiente: En atención a la solicitud de información registrada con el folio núme</w:t>
      </w:r>
      <w:r>
        <w:rPr>
          <w:rFonts w:ascii="Palatino Linotype" w:eastAsia="Palatino Linotype" w:hAnsi="Palatino Linotype" w:cs="Palatino Linotype"/>
          <w:i/>
          <w:sz w:val="22"/>
          <w:szCs w:val="22"/>
        </w:rPr>
        <w:t xml:space="preserve">ro 00036/ATENCO/IP/2022, sírvase encontrar en archivos adjuntos, copia digitalizada del oficio emitido por el Servidor Público </w:t>
      </w:r>
      <w:r>
        <w:rPr>
          <w:rFonts w:ascii="Palatino Linotype" w:eastAsia="Palatino Linotype" w:hAnsi="Palatino Linotype" w:cs="Palatino Linotype"/>
          <w:i/>
          <w:sz w:val="22"/>
          <w:szCs w:val="22"/>
        </w:rPr>
        <w:lastRenderedPageBreak/>
        <w:t>Habilitado, en el cual se detalla lo referente a su solicitud de acceso a la información. Se hace de su conocimiento el término d</w:t>
      </w:r>
      <w:r>
        <w:rPr>
          <w:rFonts w:ascii="Palatino Linotype" w:eastAsia="Palatino Linotype" w:hAnsi="Palatino Linotype" w:cs="Palatino Linotype"/>
          <w:i/>
          <w:sz w:val="22"/>
          <w:szCs w:val="22"/>
        </w:rPr>
        <w:t>e quince días hábiles, contados a partir del día hábil siguiente del que haya surtido efectos la notificación del presente oficio, para interponer el recurso de revisión que se señala en los artículos 176, 177 y 178 de la Ley de Transparencia y Acceso a la</w:t>
      </w:r>
      <w:r>
        <w:rPr>
          <w:rFonts w:ascii="Palatino Linotype" w:eastAsia="Palatino Linotype" w:hAnsi="Palatino Linotype" w:cs="Palatino Linotype"/>
          <w:i/>
          <w:sz w:val="22"/>
          <w:szCs w:val="22"/>
        </w:rPr>
        <w:t xml:space="preserve"> Información Pública del Estado de México y Municipios. Sin otro particular por el momento, reciba un cordial saludo. A T E N T A M E N T E Mtro. Juan Manuel Mancera García Titular de la Unidad de Transparencia..” (Sic)</w:t>
      </w:r>
    </w:p>
    <w:p w:rsidR="00EF08C3" w:rsidRDefault="00EF08C3">
      <w:pPr>
        <w:ind w:left="851" w:right="902"/>
        <w:jc w:val="both"/>
        <w:rPr>
          <w:rFonts w:ascii="Palatino Linotype" w:eastAsia="Palatino Linotype" w:hAnsi="Palatino Linotype" w:cs="Palatino Linotype"/>
          <w:i/>
          <w:sz w:val="22"/>
          <w:szCs w:val="22"/>
        </w:rPr>
      </w:pPr>
    </w:p>
    <w:p w:rsidR="00EF08C3" w:rsidRDefault="00882C9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EF08C3" w:rsidRDefault="00EF08C3">
      <w:pPr>
        <w:ind w:left="851" w:right="902"/>
        <w:jc w:val="both"/>
        <w:rPr>
          <w:rFonts w:ascii="Palatino Linotype" w:eastAsia="Palatino Linotype" w:hAnsi="Palatino Linotype" w:cs="Palatino Linotype"/>
          <w:sz w:val="22"/>
          <w:szCs w:val="22"/>
        </w:rPr>
      </w:pPr>
    </w:p>
    <w:p w:rsidR="00EF08C3" w:rsidRDefault="00882C9A">
      <w:pPr>
        <w:spacing w:after="240"/>
        <w:ind w:left="851" w:right="902"/>
        <w:jc w:val="both"/>
        <w:rPr>
          <w:rFonts w:ascii="Palatino Linotype" w:eastAsia="Palatino Linotype" w:hAnsi="Palatino Linotype" w:cs="Palatino Linotype"/>
        </w:rPr>
      </w:pP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rPr>
        <w:t xml:space="preserve">Adjunto a su respuesta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proporcionó los archivos digitales siguientes: </w:t>
      </w:r>
    </w:p>
    <w:p w:rsidR="00EF08C3" w:rsidRDefault="00882C9A">
      <w:pPr>
        <w:numPr>
          <w:ilvl w:val="0"/>
          <w:numId w:val="7"/>
        </w:numPr>
        <w:pBdr>
          <w:top w:val="nil"/>
          <w:left w:val="nil"/>
          <w:bottom w:val="nil"/>
          <w:right w:val="nil"/>
          <w:between w:val="nil"/>
        </w:pBdr>
        <w:spacing w:before="240"/>
        <w:ind w:right="902"/>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Solic. Informacion 36.pdf: </w:t>
      </w:r>
      <w:r>
        <w:rPr>
          <w:rFonts w:ascii="Palatino Linotype" w:eastAsia="Palatino Linotype" w:hAnsi="Palatino Linotype" w:cs="Palatino Linotype"/>
          <w:color w:val="000000"/>
        </w:rPr>
        <w:t>Documental en la que se incluye el oficio PMA/UT/SOL/2022/00072 de fecha once de febrero de la presente anualidad suscrito por el Titular de la Unidad de Transparencia por medio del cual refiere que remite la respuesta proporcionada por el Servidor público</w:t>
      </w:r>
      <w:r>
        <w:rPr>
          <w:rFonts w:ascii="Palatino Linotype" w:eastAsia="Palatino Linotype" w:hAnsi="Palatino Linotype" w:cs="Palatino Linotype"/>
          <w:color w:val="000000"/>
        </w:rPr>
        <w:t xml:space="preserve"> Habilitado de la competente que da cumplimiento al requerimiento formulado en la solicitud de mérito.  </w:t>
      </w:r>
    </w:p>
    <w:p w:rsidR="00EF08C3" w:rsidRDefault="00EF08C3">
      <w:pPr>
        <w:pBdr>
          <w:top w:val="nil"/>
          <w:left w:val="nil"/>
          <w:bottom w:val="nil"/>
          <w:right w:val="nil"/>
          <w:between w:val="nil"/>
        </w:pBdr>
        <w:ind w:left="1571" w:right="902"/>
        <w:jc w:val="both"/>
        <w:rPr>
          <w:rFonts w:ascii="Palatino Linotype" w:eastAsia="Palatino Linotype" w:hAnsi="Palatino Linotype" w:cs="Palatino Linotype"/>
          <w:color w:val="000000"/>
        </w:rPr>
      </w:pPr>
    </w:p>
    <w:p w:rsidR="00EF08C3" w:rsidRDefault="00882C9A">
      <w:pPr>
        <w:numPr>
          <w:ilvl w:val="0"/>
          <w:numId w:val="7"/>
        </w:numPr>
        <w:pBdr>
          <w:top w:val="nil"/>
          <w:left w:val="nil"/>
          <w:bottom w:val="nil"/>
          <w:right w:val="nil"/>
          <w:between w:val="nil"/>
        </w:pBdr>
        <w:spacing w:after="240"/>
        <w:ind w:right="902"/>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Resp. Info. 36.pdf:  </w:t>
      </w:r>
      <w:r>
        <w:rPr>
          <w:rFonts w:ascii="Palatino Linotype" w:eastAsia="Palatino Linotype" w:hAnsi="Palatino Linotype" w:cs="Palatino Linotype"/>
          <w:color w:val="000000"/>
        </w:rPr>
        <w:t>documental consistente en una hoja en la que se incluye el oficio PMA/CJA/037/2022  de fecha once de febrero de la presente anual</w:t>
      </w:r>
      <w:r>
        <w:rPr>
          <w:rFonts w:ascii="Palatino Linotype" w:eastAsia="Palatino Linotype" w:hAnsi="Palatino Linotype" w:cs="Palatino Linotype"/>
          <w:color w:val="000000"/>
        </w:rPr>
        <w:t>idad suscrito por el Consejero Jurídico del Ayuntamiento de Atenco, de cuyo contenido destaca que: “…del 01 de enero de 2019 al 31 de diciembre de 2021, la sala Auxiliar de Ecatepec, del Tribunal de Conciliación y Arbitraje del Estado de México, ha emitido</w:t>
      </w:r>
      <w:r>
        <w:rPr>
          <w:rFonts w:ascii="Palatino Linotype" w:eastAsia="Palatino Linotype" w:hAnsi="Palatino Linotype" w:cs="Palatino Linotype"/>
          <w:color w:val="000000"/>
        </w:rPr>
        <w:t xml:space="preserve"> 2 laudos en los que se condena a pagar diversas prestaciones reclamadas por los actores ”</w:t>
      </w:r>
    </w:p>
    <w:p w:rsidR="00EF08C3" w:rsidRDefault="00EF08C3">
      <w:pPr>
        <w:spacing w:before="240" w:line="360" w:lineRule="auto"/>
        <w:jc w:val="both"/>
        <w:rPr>
          <w:rFonts w:ascii="Palatino Linotype" w:eastAsia="Palatino Linotype" w:hAnsi="Palatino Linotype" w:cs="Palatino Linotype"/>
          <w:b/>
        </w:rPr>
      </w:pPr>
    </w:p>
    <w:p w:rsidR="00EF08C3" w:rsidRDefault="00882C9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5.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 xml:space="preserve">Inconforme con la respuesta recibida,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en fecha catorce de febrero de la presente anualidad, el presente medio de imp</w:t>
      </w:r>
      <w:r>
        <w:rPr>
          <w:rFonts w:ascii="Palatino Linotype" w:eastAsia="Palatino Linotype" w:hAnsi="Palatino Linotype" w:cs="Palatino Linotype"/>
        </w:rPr>
        <w:t>ugnación expresando las siguientes manifestaciones:</w:t>
      </w:r>
    </w:p>
    <w:p w:rsidR="00EF08C3" w:rsidRDefault="00EF08C3">
      <w:pPr>
        <w:spacing w:line="360" w:lineRule="auto"/>
        <w:jc w:val="both"/>
        <w:rPr>
          <w:rFonts w:ascii="Palatino Linotype" w:eastAsia="Palatino Linotype" w:hAnsi="Palatino Linotype" w:cs="Palatino Linotype"/>
        </w:rPr>
      </w:pPr>
    </w:p>
    <w:p w:rsidR="00EF08C3" w:rsidRDefault="00882C9A">
      <w:pPr>
        <w:spacing w:line="360" w:lineRule="auto"/>
        <w:ind w:left="567"/>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EF08C3" w:rsidRDefault="00882C9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ENTREGA DE LA INFORMACION NO CORRESPONDE A LO SOLICITAD.”(Sic)</w:t>
      </w:r>
    </w:p>
    <w:p w:rsidR="00EF08C3" w:rsidRDefault="00882C9A">
      <w:pPr>
        <w:spacing w:after="240" w:line="360" w:lineRule="auto"/>
        <w:ind w:left="567"/>
        <w:jc w:val="both"/>
        <w:rPr>
          <w:rFonts w:ascii="Palatino Linotype" w:eastAsia="Palatino Linotype" w:hAnsi="Palatino Linotype" w:cs="Palatino Linotype"/>
          <w:b/>
        </w:rPr>
      </w:pPr>
      <w:r>
        <w:rPr>
          <w:rFonts w:ascii="Palatino Linotype" w:eastAsia="Palatino Linotype" w:hAnsi="Palatino Linotype" w:cs="Palatino Linotype"/>
          <w:b/>
        </w:rPr>
        <w:t>b) Razones o motivos de inconformidad.</w:t>
      </w:r>
    </w:p>
    <w:p w:rsidR="00EF08C3" w:rsidRDefault="00882C9A">
      <w:pPr>
        <w:spacing w:before="240" w:after="240"/>
        <w:ind w:left="851"/>
        <w:jc w:val="both"/>
        <w:rPr>
          <w:rFonts w:ascii="Palatino Linotype" w:eastAsia="Palatino Linotype" w:hAnsi="Palatino Linotype" w:cs="Palatino Linotype"/>
          <w:b/>
        </w:rPr>
      </w:pPr>
      <w:r>
        <w:rPr>
          <w:rFonts w:ascii="Palatino Linotype" w:eastAsia="Palatino Linotype" w:hAnsi="Palatino Linotype" w:cs="Palatino Linotype"/>
          <w:i/>
          <w:sz w:val="22"/>
          <w:szCs w:val="22"/>
        </w:rPr>
        <w:t>“LA ENTREGA DE LA INFORMACION NO CORRESPONDE A LO SOLICITAD (Sic)</w:t>
      </w:r>
    </w:p>
    <w:p w:rsidR="00EF08C3" w:rsidRDefault="00882C9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Turno. </w:t>
      </w:r>
      <w:r>
        <w:rPr>
          <w:rFonts w:ascii="Palatino Linotype" w:eastAsia="Palatino Linotype" w:hAnsi="Palatino Linotype" w:cs="Palatino Linotype"/>
        </w:rPr>
        <w:t>De conformidad con el artículo 185 fracción I de la Ley de Transparencia y Acceso a la Información Pública del Estado de México y Municipios vigente, el presente recurso de revisión se envió electrónicamente al Instituto de Transparencia, Acceso a la Infor</w:t>
      </w:r>
      <w:r>
        <w:rPr>
          <w:rFonts w:ascii="Palatino Linotype" w:eastAsia="Palatino Linotype" w:hAnsi="Palatino Linotype" w:cs="Palatino Linotype"/>
        </w:rPr>
        <w:t xml:space="preserve">mación Pública y Protección de Datos Personales del Estado de México y Municipios, que por razón de turno fue asignado  a la </w:t>
      </w:r>
      <w:r>
        <w:rPr>
          <w:rFonts w:ascii="Palatino Linotype" w:eastAsia="Palatino Linotype" w:hAnsi="Palatino Linotype" w:cs="Palatino Linotype"/>
          <w:b/>
        </w:rPr>
        <w:t>Comisionada</w:t>
      </w:r>
      <w:r>
        <w:rPr>
          <w:rFonts w:ascii="Palatino Linotype" w:eastAsia="Palatino Linotype" w:hAnsi="Palatino Linotype" w:cs="Palatino Linotype"/>
        </w:rPr>
        <w:t xml:space="preserve"> </w:t>
      </w:r>
      <w:r>
        <w:rPr>
          <w:rFonts w:ascii="Palatino Linotype" w:eastAsia="Palatino Linotype" w:hAnsi="Palatino Linotype" w:cs="Palatino Linotype"/>
          <w:b/>
        </w:rPr>
        <w:t>Guadalupe Ramírez Peña</w:t>
      </w:r>
      <w:r>
        <w:rPr>
          <w:rFonts w:ascii="Palatino Linotype" w:eastAsia="Palatino Linotype" w:hAnsi="Palatino Linotype" w:cs="Palatino Linotype"/>
        </w:rPr>
        <w:t xml:space="preserve"> a su análisis, estudio, elaboración del proyecto y presentación ante el Pleno de este Instituto.</w:t>
      </w:r>
    </w:p>
    <w:p w:rsidR="00EF08C3" w:rsidRDefault="00882C9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Admisión. </w:t>
      </w:r>
      <w:r>
        <w:rPr>
          <w:rFonts w:ascii="Palatino Linotype" w:eastAsia="Palatino Linotype" w:hAnsi="Palatino Linotype" w:cs="Palatino Linotype"/>
        </w:rPr>
        <w:t>Mediante auto de fecha diecisiete</w:t>
      </w:r>
      <w:r>
        <w:rPr>
          <w:rFonts w:ascii="Palatino Linotype" w:eastAsia="Palatino Linotype" w:hAnsi="Palatino Linotype" w:cs="Palatino Linotype"/>
          <w:b/>
        </w:rPr>
        <w:t xml:space="preserve"> de febrero de este año</w:t>
      </w:r>
      <w:r>
        <w:rPr>
          <w:rFonts w:ascii="Palatino Linotype" w:eastAsia="Palatino Linotype" w:hAnsi="Palatino Linotype" w:cs="Palatino Linotype"/>
        </w:rPr>
        <w:t xml:space="preserve">, este Organismo Garante, admitió a trámite el recurso de revisión respectivo, poniéndose a disposición de las partes, para que un plazo no mayor a siete días hábiles manifestase lo que </w:t>
      </w:r>
      <w:r>
        <w:rPr>
          <w:rFonts w:ascii="Palatino Linotype" w:eastAsia="Palatino Linotype" w:hAnsi="Palatino Linotype" w:cs="Palatino Linotype"/>
        </w:rPr>
        <w:t xml:space="preserve">a su derecho corresponda, a efecto de ofrecer pruebas, informe justificado y alegatos, lo anterior con fundamento en el artículo 185 fracciones I, II y IV de la Ley de Transparencia y Acceso a la Información Pública del Estado de México y Municipios. </w:t>
      </w:r>
    </w:p>
    <w:p w:rsidR="00EF08C3" w:rsidRDefault="00882C9A">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8. M</w:t>
      </w:r>
      <w:r>
        <w:rPr>
          <w:rFonts w:ascii="Palatino Linotype" w:eastAsia="Palatino Linotype" w:hAnsi="Palatino Linotype" w:cs="Palatino Linotype"/>
          <w:b/>
          <w:color w:val="000000"/>
        </w:rPr>
        <w:t>anifestaciones.</w:t>
      </w:r>
      <w:r>
        <w:rPr>
          <w:rFonts w:ascii="Palatino Linotype" w:eastAsia="Palatino Linotype" w:hAnsi="Palatino Linotype" w:cs="Palatino Linotype"/>
          <w:b/>
          <w:color w:val="000000"/>
          <w:sz w:val="28"/>
          <w:szCs w:val="28"/>
        </w:rPr>
        <w:t xml:space="preserve"> </w:t>
      </w:r>
      <w:r>
        <w:rPr>
          <w:rFonts w:ascii="Palatino Linotype" w:eastAsia="Palatino Linotype" w:hAnsi="Palatino Linotype" w:cs="Palatino Linotype"/>
          <w:color w:val="000000"/>
        </w:rPr>
        <w:t xml:space="preserve">De las constancias que integran el expediente en que se actúan se advierte que las partes en este asunto fueron omisas en manifestarse al respeto, tal y como se observa en la siguiente  imagen. </w:t>
      </w:r>
    </w:p>
    <w:p w:rsidR="00EF08C3" w:rsidRDefault="00882C9A">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rPr>
        <w:lastRenderedPageBreak/>
        <w:drawing>
          <wp:inline distT="0" distB="0" distL="0" distR="0">
            <wp:extent cx="5605780" cy="1431290"/>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05780" cy="1431290"/>
                    </a:xfrm>
                    <a:prstGeom prst="rect">
                      <a:avLst/>
                    </a:prstGeom>
                    <a:ln/>
                  </pic:spPr>
                </pic:pic>
              </a:graphicData>
            </a:graphic>
          </wp:inline>
        </w:drawing>
      </w:r>
    </w:p>
    <w:p w:rsidR="00EF08C3" w:rsidRDefault="00882C9A">
      <w:pPr>
        <w:widowControl w:val="0"/>
        <w:tabs>
          <w:tab w:val="left" w:pos="709"/>
        </w:tabs>
        <w:spacing w:before="12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9. Ampliación de plazo.</w:t>
      </w:r>
      <w:r>
        <w:rPr>
          <w:rFonts w:ascii="Palatino Linotype" w:eastAsia="Palatino Linotype" w:hAnsi="Palatino Linotype" w:cs="Palatino Linotype"/>
        </w:rPr>
        <w:t xml:space="preserve"> En fecha veinte de abril de dos mil veintidós con fundamento en el artículo 181, párrafo tercero de la Ley de Transparencia y Acceso a la Información Pública del Estado de México y Municipios, se acordó la aplicación del plazo para su resolución</w:t>
      </w:r>
    </w:p>
    <w:p w:rsidR="00EF08C3" w:rsidRDefault="00882C9A">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10. Cierr</w:t>
      </w:r>
      <w:r>
        <w:rPr>
          <w:rFonts w:ascii="Palatino Linotype" w:eastAsia="Palatino Linotype" w:hAnsi="Palatino Linotype" w:cs="Palatino Linotype"/>
          <w:b/>
          <w:color w:val="000000"/>
        </w:rPr>
        <w:t xml:space="preserve">e de Instrucción. </w:t>
      </w:r>
      <w:r>
        <w:rPr>
          <w:rFonts w:ascii="Palatino Linotype" w:eastAsia="Palatino Linotype" w:hAnsi="Palatino Linotype" w:cs="Palatino Linotype"/>
          <w:color w:val="000000"/>
        </w:rPr>
        <w:t>En fecha nueve de mayo del año dos mil veintidós, se emitió el acuerdo por medio del cual se declaró cerrada la instrucción, pasando el expediente a resolución, debido a que fue debidamente substanciado el expediente y no existiendo dilig</w:t>
      </w:r>
      <w:r>
        <w:rPr>
          <w:rFonts w:ascii="Palatino Linotype" w:eastAsia="Palatino Linotype" w:hAnsi="Palatino Linotype" w:cs="Palatino Linotype"/>
          <w:color w:val="000000"/>
        </w:rPr>
        <w:t xml:space="preserve">encia pendiente de desahogo, en términos del artículo 185 fracciones VI y VIII de la Ley de Transparencia y Acceso a la Información Pública del Estado de México y Municipios, el cual fue notificado a las partes en la misma fecha. </w:t>
      </w:r>
      <w:r>
        <w:rPr>
          <w:rFonts w:ascii="Palatino Linotype" w:eastAsia="Palatino Linotype" w:hAnsi="Palatino Linotype" w:cs="Palatino Linotype"/>
          <w:b/>
          <w:color w:val="000000"/>
          <w:sz w:val="28"/>
          <w:szCs w:val="28"/>
        </w:rPr>
        <w:t xml:space="preserve"> </w:t>
      </w:r>
    </w:p>
    <w:p w:rsidR="00EF08C3" w:rsidRDefault="00882C9A">
      <w:pPr>
        <w:pStyle w:val="Ttulo2"/>
        <w:jc w:val="center"/>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II. C O N S I D E R A N </w:t>
      </w:r>
      <w:r>
        <w:rPr>
          <w:rFonts w:ascii="Palatino Linotype" w:eastAsia="Palatino Linotype" w:hAnsi="Palatino Linotype" w:cs="Palatino Linotype"/>
          <w:b/>
          <w:color w:val="000000"/>
          <w:sz w:val="24"/>
          <w:szCs w:val="24"/>
        </w:rPr>
        <w:t>D O S:</w:t>
      </w:r>
    </w:p>
    <w:p w:rsidR="00EF08C3" w:rsidRDefault="00882C9A">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PRIMERO. Competencia</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la parte </w:t>
      </w:r>
      <w:r>
        <w:rPr>
          <w:rFonts w:ascii="Palatino Linotype" w:eastAsia="Palatino Linotype" w:hAnsi="Palatino Linotype" w:cs="Palatino Linotype"/>
          <w:b/>
          <w:highlight w:val="white"/>
        </w:rPr>
        <w:t>recurrente</w:t>
      </w:r>
      <w:r>
        <w:rPr>
          <w:rFonts w:ascii="Palatino Linotype" w:eastAsia="Palatino Linotype" w:hAnsi="Palatino Linotype" w:cs="Palatino Linotype"/>
          <w:highlight w:val="white"/>
        </w:rPr>
        <w:t xml:space="preserve">, conforme a lo dispuesto en los artículos 6, apartado A de la Constitución Política de los Estados Unidos Mexicanos; 5, párrafos trigésimo,  trigésimo primero, y trigésimo segundo fracción IV y V de la Constitución Política </w:t>
      </w:r>
      <w:r>
        <w:rPr>
          <w:rFonts w:ascii="Palatino Linotype" w:eastAsia="Palatino Linotype" w:hAnsi="Palatino Linotype" w:cs="Palatino Linotype"/>
          <w:highlight w:val="white"/>
        </w:rPr>
        <w:lastRenderedPageBreak/>
        <w:t>del Estado Libre y So</w:t>
      </w:r>
      <w:r>
        <w:rPr>
          <w:rFonts w:ascii="Palatino Linotype" w:eastAsia="Palatino Linotype" w:hAnsi="Palatino Linotype" w:cs="Palatino Linotype"/>
          <w:highlight w:val="white"/>
        </w:rPr>
        <w:t xml:space="preserve">berano de México; 1, 2, fracción II; 13,  29, 36, fracciones I y II; 176, 178, 179, 181 párrafo 3 y 185 de la Ley Transparencia y Acceso a la Información Pública del Estado de México y Municipios; </w:t>
      </w:r>
      <w:r>
        <w:rPr>
          <w:rFonts w:ascii="Palatino Linotype" w:eastAsia="Palatino Linotype" w:hAnsi="Palatino Linotype" w:cs="Palatino Linotype"/>
        </w:rPr>
        <w:t xml:space="preserve">9 fracciones I, XXIV y 11 </w:t>
      </w:r>
      <w:r>
        <w:rPr>
          <w:rFonts w:ascii="Palatino Linotype" w:eastAsia="Palatino Linotype" w:hAnsi="Palatino Linotype" w:cs="Palatino Linotype"/>
          <w:highlight w:val="white"/>
        </w:rPr>
        <w:t>del Reglamento Interior del Insti</w:t>
      </w:r>
      <w:r>
        <w:rPr>
          <w:rFonts w:ascii="Palatino Linotype" w:eastAsia="Palatino Linotype" w:hAnsi="Palatino Linotype" w:cs="Palatino Linotype"/>
          <w:highlight w:val="white"/>
        </w:rPr>
        <w:t>tuto de Transparencia, Acceso a la Información Pública y Protección de Datos Personales del Estado de México y Municipios.</w:t>
      </w:r>
    </w:p>
    <w:p w:rsidR="00EF08C3" w:rsidRDefault="00882C9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De conformidad con los requisitos de Oportunidad y Procedibilidad que debe reunir el recurso de revisión interpuesto, previstos en los artículos 178 y 180 de la Ley de Transparencia y Acceso a la Información Pública del Estado de México y Municipios; en la</w:t>
      </w:r>
      <w:r>
        <w:rPr>
          <w:rFonts w:ascii="Palatino Linotype" w:eastAsia="Palatino Linotype" w:hAnsi="Palatino Linotype" w:cs="Palatino Linotype"/>
        </w:rPr>
        <w:t xml:space="preserve"> especie se advierte que el presente medio de impugnación fue interpuesto dentro del plazo de quince días previsto en el primer artículo de referencia;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su respuesta a la solicitud planteada por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en </w:t>
      </w:r>
      <w:r>
        <w:rPr>
          <w:rFonts w:ascii="Palatino Linotype" w:eastAsia="Palatino Linotype" w:hAnsi="Palatino Linotype" w:cs="Palatino Linotype"/>
        </w:rPr>
        <w:t xml:space="preserve">fecha </w:t>
      </w:r>
      <w:r>
        <w:rPr>
          <w:rFonts w:ascii="Palatino Linotype" w:eastAsia="Palatino Linotype" w:hAnsi="Palatino Linotype" w:cs="Palatino Linotype"/>
          <w:b/>
        </w:rPr>
        <w:t xml:space="preserve">once de febrero del año dos mil veintidós </w:t>
      </w:r>
      <w:r>
        <w:rPr>
          <w:rFonts w:ascii="Palatino Linotype" w:eastAsia="Palatino Linotype" w:hAnsi="Palatino Linotype" w:cs="Palatino Linotype"/>
        </w:rPr>
        <w:t xml:space="preserve">y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presentó su recurso de revisión el día </w:t>
      </w:r>
      <w:r>
        <w:rPr>
          <w:rFonts w:ascii="Palatino Linotype" w:eastAsia="Palatino Linotype" w:hAnsi="Palatino Linotype" w:cs="Palatino Linotype"/>
          <w:b/>
        </w:rPr>
        <w:t>catorce del mismo mes</w:t>
      </w:r>
      <w:r>
        <w:rPr>
          <w:rFonts w:ascii="Palatino Linotype" w:eastAsia="Palatino Linotype" w:hAnsi="Palatino Linotype" w:cs="Palatino Linotype"/>
        </w:rPr>
        <w:t xml:space="preserve">, esto es, al siguiente </w:t>
      </w:r>
      <w:r>
        <w:rPr>
          <w:rFonts w:ascii="Palatino Linotype" w:eastAsia="Palatino Linotype" w:hAnsi="Palatino Linotype" w:cs="Palatino Linotype"/>
          <w:b/>
        </w:rPr>
        <w:t xml:space="preserve"> día hábil</w:t>
      </w:r>
      <w:r>
        <w:rPr>
          <w:rFonts w:ascii="Palatino Linotype" w:eastAsia="Palatino Linotype" w:hAnsi="Palatino Linotype" w:cs="Palatino Linotype"/>
        </w:rPr>
        <w:t xml:space="preserve"> en el que tuvo conocimiento de la respuesta; evidenciándose que la interposición del recurs</w:t>
      </w:r>
      <w:r>
        <w:rPr>
          <w:rFonts w:ascii="Palatino Linotype" w:eastAsia="Palatino Linotype" w:hAnsi="Palatino Linotype" w:cs="Palatino Linotype"/>
        </w:rPr>
        <w:t>o se encuentra dentro de los márgenes temporales previstos en el citado precepto legal.</w:t>
      </w:r>
    </w:p>
    <w:p w:rsidR="00EF08C3" w:rsidRDefault="00882C9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mismo, esta Ponencia considera importante abordar el análisis de los requisitos de procedibilidad de los recursos de revisión, así el artículo 180 de la Ley de Tran</w:t>
      </w:r>
      <w:r>
        <w:rPr>
          <w:rFonts w:ascii="Palatino Linotype" w:eastAsia="Palatino Linotype" w:hAnsi="Palatino Linotype" w:cs="Palatino Linotype"/>
        </w:rPr>
        <w:t>sparencia y Acceso a la Información Pública del Estado de México y Municipios, que establece lo siguiente:</w:t>
      </w:r>
    </w:p>
    <w:p w:rsidR="00EF08C3" w:rsidRDefault="00EF08C3">
      <w:pPr>
        <w:spacing w:line="360" w:lineRule="auto"/>
        <w:jc w:val="both"/>
        <w:rPr>
          <w:rFonts w:ascii="Palatino Linotype" w:eastAsia="Palatino Linotype" w:hAnsi="Palatino Linotype" w:cs="Palatino Linotype"/>
        </w:rPr>
      </w:pPr>
    </w:p>
    <w:p w:rsidR="00EF08C3" w:rsidRDefault="00882C9A">
      <w:pPr>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180</w:t>
      </w:r>
      <w:r>
        <w:rPr>
          <w:rFonts w:ascii="Palatino Linotype" w:eastAsia="Palatino Linotype" w:hAnsi="Palatino Linotype" w:cs="Palatino Linotype"/>
          <w:i/>
        </w:rPr>
        <w:t xml:space="preserve">. El recurso de revisión contendrá: </w:t>
      </w:r>
    </w:p>
    <w:p w:rsidR="00EF08C3" w:rsidRDefault="00882C9A">
      <w:pPr>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w:t>
      </w:r>
      <w:r>
        <w:rPr>
          <w:rFonts w:ascii="Palatino Linotype" w:eastAsia="Palatino Linotype" w:hAnsi="Palatino Linotype" w:cs="Palatino Linotype"/>
          <w:i/>
        </w:rPr>
        <w:t xml:space="preserve">. El Sujeto Obligado ante la cual se presentó la solicitud; </w:t>
      </w:r>
    </w:p>
    <w:p w:rsidR="00EF08C3" w:rsidRDefault="00882C9A">
      <w:pPr>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II</w:t>
      </w:r>
      <w:r>
        <w:rPr>
          <w:rFonts w:ascii="Palatino Linotype" w:eastAsia="Palatino Linotype" w:hAnsi="Palatino Linotype" w:cs="Palatino Linotype"/>
          <w:i/>
        </w:rPr>
        <w:t xml:space="preserve">. </w:t>
      </w:r>
      <w:r>
        <w:rPr>
          <w:rFonts w:ascii="Palatino Linotype" w:eastAsia="Palatino Linotype" w:hAnsi="Palatino Linotype" w:cs="Palatino Linotype"/>
          <w:i/>
          <w:u w:val="single"/>
        </w:rPr>
        <w:t>El nombre del solicitante</w:t>
      </w:r>
      <w:r>
        <w:rPr>
          <w:rFonts w:ascii="Palatino Linotype" w:eastAsia="Palatino Linotype" w:hAnsi="Palatino Linotype" w:cs="Palatino Linotype"/>
          <w:i/>
        </w:rPr>
        <w:t xml:space="preserve"> que re</w:t>
      </w:r>
      <w:r>
        <w:rPr>
          <w:rFonts w:ascii="Palatino Linotype" w:eastAsia="Palatino Linotype" w:hAnsi="Palatino Linotype" w:cs="Palatino Linotype"/>
          <w:i/>
        </w:rPr>
        <w:t xml:space="preserve">curre o de su representante y, en su caso, del tercero interesado, así como la dirección o medio que señale para recibir notificaciones; </w:t>
      </w:r>
    </w:p>
    <w:p w:rsidR="00EF08C3" w:rsidRDefault="00882C9A">
      <w:pPr>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w:t>
      </w:r>
      <w:r>
        <w:rPr>
          <w:rFonts w:ascii="Palatino Linotype" w:eastAsia="Palatino Linotype" w:hAnsi="Palatino Linotype" w:cs="Palatino Linotype"/>
          <w:i/>
        </w:rPr>
        <w:t>”</w:t>
      </w:r>
    </w:p>
    <w:p w:rsidR="00EF08C3" w:rsidRDefault="00EF08C3">
      <w:pPr>
        <w:spacing w:line="360" w:lineRule="auto"/>
        <w:jc w:val="both"/>
        <w:rPr>
          <w:rFonts w:ascii="Palatino Linotype" w:eastAsia="Palatino Linotype" w:hAnsi="Palatino Linotype" w:cs="Palatino Linotype"/>
          <w:color w:val="FF0000"/>
        </w:rPr>
      </w:pPr>
    </w:p>
    <w:p w:rsidR="00EF08C3" w:rsidRDefault="00882C9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principio, de una interpretación del artículo transcrito se observan los requisitos que deberán contener los recursos de revisión; sobre el particular, de la revisión del expediente electrónico del SAIMEX se desprende que el solicitante y ahora Recurren</w:t>
      </w:r>
      <w:r>
        <w:rPr>
          <w:rFonts w:ascii="Palatino Linotype" w:eastAsia="Palatino Linotype" w:hAnsi="Palatino Linotype" w:cs="Palatino Linotype"/>
        </w:rPr>
        <w:t>te, en ejercicio de su derecho de acceso a la información pública, no proporcionó un nombre para que sea identificado, ya que en el apartado de “DATOS DEL SOLICITANTE”, no señaló nombre o seudónimo con el cual desee identificarse, por lo que no tiene certe</w:t>
      </w:r>
      <w:r>
        <w:rPr>
          <w:rFonts w:ascii="Palatino Linotype" w:eastAsia="Palatino Linotype" w:hAnsi="Palatino Linotype" w:cs="Palatino Linotype"/>
        </w:rPr>
        <w:t>za sobre su identidad, lo que en estricto sentido, no se colmarían los requisitos establecidos en el citado artículo 180 de la Ley de Transparencia.</w:t>
      </w:r>
    </w:p>
    <w:p w:rsidR="00EF08C3" w:rsidRDefault="00EF08C3">
      <w:pPr>
        <w:spacing w:line="360" w:lineRule="auto"/>
        <w:jc w:val="both"/>
        <w:rPr>
          <w:rFonts w:ascii="Palatino Linotype" w:eastAsia="Palatino Linotype" w:hAnsi="Palatino Linotype" w:cs="Palatino Linotype"/>
        </w:rPr>
      </w:pPr>
    </w:p>
    <w:p w:rsidR="00EF08C3" w:rsidRDefault="00882C9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No obstante lo anterior, debe destacarse que el artículo 15 de Ley de Transparencia y Acceso a la Informac</w:t>
      </w:r>
      <w:r>
        <w:rPr>
          <w:rFonts w:ascii="Palatino Linotype" w:eastAsia="Palatino Linotype" w:hAnsi="Palatino Linotype" w:cs="Palatino Linotype"/>
        </w:rPr>
        <w:t>ión Pública del Estado de México y Municipios prevé que toda persona tendrá acceso a la información sin necesidad de acreditar interés alguno o justificar su utilización, de lo que se infiere que para el ejercicio del derecho de acceso a la información púb</w:t>
      </w:r>
      <w:r>
        <w:rPr>
          <w:rFonts w:ascii="Palatino Linotype" w:eastAsia="Palatino Linotype" w:hAnsi="Palatino Linotype" w:cs="Palatino Linotype"/>
        </w:rPr>
        <w:t xml:space="preserve">lica, el nombre no es un requisito </w:t>
      </w:r>
      <w:r>
        <w:rPr>
          <w:rFonts w:ascii="Palatino Linotype" w:eastAsia="Palatino Linotype" w:hAnsi="Palatino Linotype" w:cs="Palatino Linotype"/>
          <w:i/>
        </w:rPr>
        <w:t>sine qua non</w:t>
      </w:r>
      <w:r>
        <w:rPr>
          <w:rFonts w:ascii="Palatino Linotype" w:eastAsia="Palatino Linotype" w:hAnsi="Palatino Linotype" w:cs="Palatino Linotype"/>
        </w:rPr>
        <w:t xml:space="preserve"> que los particulares y, en su caso, los Recurrentes deban señalar, por el contrario la Ley de Transparencia prevé en su artículo 155, párrafo segundo la posibilidad de que las solicitudes de información sean </w:t>
      </w:r>
      <w:r>
        <w:rPr>
          <w:rFonts w:ascii="Palatino Linotype" w:eastAsia="Palatino Linotype" w:hAnsi="Palatino Linotype" w:cs="Palatino Linotype"/>
        </w:rPr>
        <w:t>anónimas, con nombre incompleto o seudónimo.</w:t>
      </w:r>
    </w:p>
    <w:p w:rsidR="00EF08C3" w:rsidRDefault="00EF08C3">
      <w:pPr>
        <w:spacing w:line="360" w:lineRule="auto"/>
        <w:jc w:val="both"/>
        <w:rPr>
          <w:rFonts w:ascii="Palatino Linotype" w:eastAsia="Palatino Linotype" w:hAnsi="Palatino Linotype" w:cs="Palatino Linotype"/>
        </w:rPr>
      </w:pPr>
    </w:p>
    <w:p w:rsidR="00EF08C3" w:rsidRDefault="00882C9A">
      <w:pPr>
        <w:spacing w:line="360" w:lineRule="auto"/>
        <w:jc w:val="both"/>
        <w:rPr>
          <w:rFonts w:ascii="Palatino Linotype" w:eastAsia="Palatino Linotype" w:hAnsi="Palatino Linotype" w:cs="Palatino Linotype"/>
          <w:color w:val="FF0000"/>
        </w:rPr>
      </w:pPr>
      <w:r>
        <w:rPr>
          <w:rFonts w:ascii="Palatino Linotype" w:eastAsia="Palatino Linotype" w:hAnsi="Palatino Linotype" w:cs="Palatino Linotype"/>
        </w:rPr>
        <w:t xml:space="preserve">Correlativo a ello, cabe mencionar que los artículos 6, Apartado A, fracciones I, III, V y VI de la Constitución Política de los Estados Unidos Mexicanos y 5 párrafos </w:t>
      </w:r>
      <w:r>
        <w:rPr>
          <w:rFonts w:ascii="Palatino Linotype" w:eastAsia="Palatino Linotype" w:hAnsi="Palatino Linotype" w:cs="Palatino Linotype"/>
        </w:rPr>
        <w:lastRenderedPageBreak/>
        <w:t>vigésimo, vigésimo primero y vigésimo segun</w:t>
      </w:r>
      <w:r>
        <w:rPr>
          <w:rFonts w:ascii="Palatino Linotype" w:eastAsia="Palatino Linotype" w:hAnsi="Palatino Linotype" w:cs="Palatino Linotype"/>
        </w:rPr>
        <w:t>do fracciones I y III de la Constitución Política del Estado Libre y Soberano de México, garantizan el ejercicio del derecho de acceso a la información pública, toda vez que disponen que toda persona sin necesidad de acreditar interés alguno o justificar s</w:t>
      </w:r>
      <w:r>
        <w:rPr>
          <w:rFonts w:ascii="Palatino Linotype" w:eastAsia="Palatino Linotype" w:hAnsi="Palatino Linotype" w:cs="Palatino Linotype"/>
        </w:rPr>
        <w:t>u utilización, tendrá acceso gratuito a la información pública</w:t>
      </w:r>
      <w:r>
        <w:rPr>
          <w:rFonts w:ascii="Palatino Linotype" w:eastAsia="Palatino Linotype" w:hAnsi="Palatino Linotype" w:cs="Palatino Linotype"/>
          <w:color w:val="FF0000"/>
        </w:rPr>
        <w:t xml:space="preserve">. </w:t>
      </w:r>
    </w:p>
    <w:p w:rsidR="00EF08C3" w:rsidRDefault="00EF08C3">
      <w:pPr>
        <w:spacing w:line="360" w:lineRule="auto"/>
        <w:jc w:val="both"/>
        <w:rPr>
          <w:rFonts w:ascii="Palatino Linotype" w:eastAsia="Palatino Linotype" w:hAnsi="Palatino Linotype" w:cs="Palatino Linotype"/>
          <w:color w:val="FF0000"/>
        </w:rPr>
      </w:pPr>
    </w:p>
    <w:p w:rsidR="00EF08C3" w:rsidRDefault="00882C9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Ahora bien, de una interpretación sistemática, armónica y progresiva del derecho humano de acceso a la información pública se reitera que toda persona, sin necesidad de acreditar interés alg</w:t>
      </w:r>
      <w:r>
        <w:rPr>
          <w:rFonts w:ascii="Palatino Linotype" w:eastAsia="Palatino Linotype" w:hAnsi="Palatino Linotype" w:cs="Palatino Linotype"/>
        </w:rPr>
        <w:t xml:space="preserve">uno o justificar su utilización, deberá tener acceso a la información pública, es decir, dicho derecho fundamental exime a quien lo ejerce, de acreditar su legitimación en la causa o su interés en el asunto, lo que permite la posibilidad de que inclusive, </w:t>
      </w:r>
      <w:r>
        <w:rPr>
          <w:rFonts w:ascii="Palatino Linotype" w:eastAsia="Palatino Linotype" w:hAnsi="Palatino Linotype" w:cs="Palatino Linotype"/>
        </w:rPr>
        <w:t>la solicitud de acceso a la información pueda ser anónima o no contener un nombre que identifique al solicitante o que permita tener certeza sobre su identidad.</w:t>
      </w:r>
    </w:p>
    <w:p w:rsidR="00EF08C3" w:rsidRDefault="00EF08C3">
      <w:pPr>
        <w:spacing w:line="360" w:lineRule="auto"/>
        <w:jc w:val="both"/>
        <w:rPr>
          <w:rFonts w:ascii="Palatino Linotype" w:eastAsia="Palatino Linotype" w:hAnsi="Palatino Linotype" w:cs="Palatino Linotype"/>
        </w:rPr>
      </w:pPr>
    </w:p>
    <w:p w:rsidR="00EF08C3" w:rsidRDefault="00882C9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Robustece lo anterior, el Criterio 6/2014 del entonces Instituto Federal de Acceso a la Inform</w:t>
      </w:r>
      <w:r>
        <w:rPr>
          <w:rFonts w:ascii="Palatino Linotype" w:eastAsia="Palatino Linotype" w:hAnsi="Palatino Linotype" w:cs="Palatino Linotype"/>
        </w:rPr>
        <w:t>ación y Protección de Datos (IFAI) hoy Instituto Nacional de Transparencia, Acceso a la Información y Protección de Datos Personales (INAI), el cual se reproduce para una mayor referencia:</w:t>
      </w:r>
    </w:p>
    <w:p w:rsidR="00EF08C3" w:rsidRDefault="00EF08C3">
      <w:pPr>
        <w:spacing w:line="360" w:lineRule="auto"/>
        <w:jc w:val="both"/>
        <w:rPr>
          <w:rFonts w:ascii="Palatino Linotype" w:eastAsia="Palatino Linotype" w:hAnsi="Palatino Linotype" w:cs="Palatino Linotype"/>
        </w:rPr>
      </w:pPr>
    </w:p>
    <w:p w:rsidR="00EF08C3" w:rsidRDefault="00882C9A">
      <w:pPr>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Acceso a información gubernamental. No debe condicionarse a que e</w:t>
      </w:r>
      <w:r>
        <w:rPr>
          <w:rFonts w:ascii="Palatino Linotype" w:eastAsia="Palatino Linotype" w:hAnsi="Palatino Linotype" w:cs="Palatino Linotype"/>
          <w:b/>
          <w:i/>
        </w:rPr>
        <w:t>l solicitante acredite su personalidad, demuestre interés alguno o justifique su utilización.</w:t>
      </w:r>
      <w:r>
        <w:rPr>
          <w:rFonts w:ascii="Palatino Linotype" w:eastAsia="Palatino Linotype" w:hAnsi="Palatino Linotype" w:cs="Palatino Linotype"/>
          <w:i/>
        </w:rPr>
        <w:t xml:space="preserve"> De conformidad con lo dispuesto en los artículos 6o., apartado A, fracción III de la Constitución Política de los Estados Unidos Mexicanos, y 1º, 2º, 4º y 40 de l</w:t>
      </w:r>
      <w:r>
        <w:rPr>
          <w:rFonts w:ascii="Palatino Linotype" w:eastAsia="Palatino Linotype" w:hAnsi="Palatino Linotype" w:cs="Palatino Linotype"/>
          <w:i/>
        </w:rPr>
        <w:t xml:space="preserve">a Ley Federal de Transparencia y Acceso a la Información Pública Gubernamental, la respuesta a una solicitud de acceso a </w:t>
      </w:r>
      <w:r>
        <w:rPr>
          <w:rFonts w:ascii="Palatino Linotype" w:eastAsia="Palatino Linotype" w:hAnsi="Palatino Linotype" w:cs="Palatino Linotype"/>
          <w:i/>
        </w:rPr>
        <w:lastRenderedPageBreak/>
        <w:t xml:space="preserve">información y entrega de la misma, no debe estar condicionada a que el particular acredite su personalidad, demuestre interés alguno o </w:t>
      </w:r>
      <w:r>
        <w:rPr>
          <w:rFonts w:ascii="Palatino Linotype" w:eastAsia="Palatino Linotype" w:hAnsi="Palatino Linotype" w:cs="Palatino Linotype"/>
          <w:i/>
        </w:rPr>
        <w:t>justifique su utilización, en virtud de que los sujetos obligados no deben requerir al solicitante mayores requisitos que los establecidos en la Ley. En este sentido, las dependencias y entidades, sólo deberán asegurarse de que, en su caso, se haya cubiert</w:t>
      </w:r>
      <w:r>
        <w:rPr>
          <w:rFonts w:ascii="Palatino Linotype" w:eastAsia="Palatino Linotype" w:hAnsi="Palatino Linotype" w:cs="Palatino Linotype"/>
          <w:i/>
        </w:rPr>
        <w:t>o el pago de reproducción y envío de la información, mediante la exhibición del recibo correspondiente.</w:t>
      </w:r>
    </w:p>
    <w:p w:rsidR="00EF08C3" w:rsidRDefault="00EF08C3">
      <w:pPr>
        <w:ind w:left="567" w:right="567"/>
        <w:jc w:val="both"/>
        <w:rPr>
          <w:rFonts w:ascii="Palatino Linotype" w:eastAsia="Palatino Linotype" w:hAnsi="Palatino Linotype" w:cs="Palatino Linotype"/>
          <w:i/>
        </w:rPr>
      </w:pPr>
    </w:p>
    <w:p w:rsidR="00EF08C3" w:rsidRDefault="00882C9A">
      <w:pPr>
        <w:ind w:left="567" w:right="567"/>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Resoluciones</w:t>
      </w:r>
    </w:p>
    <w:p w:rsidR="00EF08C3" w:rsidRDefault="00882C9A">
      <w:pPr>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RDA 5275/13.</w:t>
      </w:r>
      <w:r>
        <w:rPr>
          <w:rFonts w:ascii="Palatino Linotype" w:eastAsia="Palatino Linotype" w:hAnsi="Palatino Linotype" w:cs="Palatino Linotype"/>
          <w:i/>
          <w:sz w:val="20"/>
          <w:szCs w:val="20"/>
        </w:rPr>
        <w:t xml:space="preserve"> Interpuesto en contra de la Secretaría de la Defensa Nacional. Comisionado Ponente Ángel Trinidad Zaldívar.</w:t>
      </w:r>
    </w:p>
    <w:p w:rsidR="00EF08C3" w:rsidRDefault="00882C9A">
      <w:pPr>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RDA 2937/13.</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i/>
          <w:sz w:val="20"/>
          <w:szCs w:val="20"/>
        </w:rPr>
        <w:t>Interpuesto en contra de LICONSA, S.A. de C.V. Comisionado. Ponente Gerardo Laveaga Rendón.</w:t>
      </w:r>
    </w:p>
    <w:p w:rsidR="00EF08C3" w:rsidRDefault="00882C9A">
      <w:pPr>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RDA 3609/12.</w:t>
      </w:r>
      <w:r>
        <w:rPr>
          <w:rFonts w:ascii="Palatino Linotype" w:eastAsia="Palatino Linotype" w:hAnsi="Palatino Linotype" w:cs="Palatino Linotype"/>
          <w:i/>
          <w:sz w:val="20"/>
          <w:szCs w:val="20"/>
        </w:rPr>
        <w:t xml:space="preserve"> Interpuesto en contra de la Secretaría de Educación Pública. Comisionada Ponente Sigrid Arzt Colunga.</w:t>
      </w:r>
    </w:p>
    <w:p w:rsidR="00EF08C3" w:rsidRDefault="00882C9A">
      <w:pPr>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RDA 3361/12.</w:t>
      </w:r>
      <w:r>
        <w:rPr>
          <w:rFonts w:ascii="Palatino Linotype" w:eastAsia="Palatino Linotype" w:hAnsi="Palatino Linotype" w:cs="Palatino Linotype"/>
          <w:i/>
          <w:sz w:val="20"/>
          <w:szCs w:val="20"/>
        </w:rPr>
        <w:t xml:space="preserve"> Interpuesto en contra del Servic</w:t>
      </w:r>
      <w:r>
        <w:rPr>
          <w:rFonts w:ascii="Palatino Linotype" w:eastAsia="Palatino Linotype" w:hAnsi="Palatino Linotype" w:cs="Palatino Linotype"/>
          <w:i/>
          <w:sz w:val="20"/>
          <w:szCs w:val="20"/>
        </w:rPr>
        <w:t>io de Administración Tributaria. Comisionada Ponente María Elena Pérez-Jaén Zermeño.</w:t>
      </w:r>
    </w:p>
    <w:p w:rsidR="00EF08C3" w:rsidRDefault="00882C9A">
      <w:pPr>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RDA 0563/12.</w:t>
      </w:r>
      <w:r>
        <w:rPr>
          <w:rFonts w:ascii="Palatino Linotype" w:eastAsia="Palatino Linotype" w:hAnsi="Palatino Linotype" w:cs="Palatino Linotype"/>
          <w:i/>
          <w:sz w:val="20"/>
          <w:szCs w:val="20"/>
        </w:rPr>
        <w:t xml:space="preserve"> Interpuesto en contra de la Secretaría de la Función Pública. Comisionada Ponente Jacqueline Peschard Mariscal.”</w:t>
      </w:r>
    </w:p>
    <w:p w:rsidR="00EF08C3" w:rsidRDefault="00EF08C3">
      <w:pPr>
        <w:ind w:left="567" w:right="567"/>
        <w:jc w:val="both"/>
        <w:rPr>
          <w:rFonts w:ascii="Palatino Linotype" w:eastAsia="Palatino Linotype" w:hAnsi="Palatino Linotype" w:cs="Palatino Linotype"/>
          <w:i/>
          <w:sz w:val="20"/>
          <w:szCs w:val="20"/>
        </w:rPr>
      </w:pPr>
    </w:p>
    <w:p w:rsidR="00EF08C3" w:rsidRDefault="00882C9A">
      <w:pPr>
        <w:pBdr>
          <w:top w:val="nil"/>
          <w:left w:val="nil"/>
          <w:bottom w:val="nil"/>
          <w:right w:val="nil"/>
          <w:between w:val="nil"/>
        </w:pBdr>
        <w:spacing w:line="360" w:lineRule="auto"/>
        <w:ind w:right="-147"/>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Ahora bien, resulta procedente la interposición del recurso, según lo aducido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sus razones o </w:t>
      </w:r>
      <w:r>
        <w:rPr>
          <w:rFonts w:ascii="Palatino Linotype" w:eastAsia="Palatino Linotype" w:hAnsi="Palatino Linotype" w:cs="Palatino Linotype"/>
          <w:color w:val="000000"/>
        </w:rPr>
        <w:t>motivos de inconformidad, de acuerdo a los artículos 176 y  179, fracción VI de la Ley de Transparencia y Acceso a la Información Pública del E</w:t>
      </w:r>
      <w:r>
        <w:rPr>
          <w:rFonts w:ascii="Palatino Linotype" w:eastAsia="Palatino Linotype" w:hAnsi="Palatino Linotype" w:cs="Palatino Linotype"/>
          <w:color w:val="000000"/>
        </w:rPr>
        <w:t>stado de México y Municipios; que a la letra dice:</w:t>
      </w:r>
    </w:p>
    <w:p w:rsidR="00EF08C3" w:rsidRDefault="00EF08C3">
      <w:pPr>
        <w:spacing w:after="120"/>
        <w:ind w:left="851" w:right="902"/>
        <w:jc w:val="both"/>
        <w:rPr>
          <w:rFonts w:ascii="Palatino Linotype" w:eastAsia="Palatino Linotype" w:hAnsi="Palatino Linotype" w:cs="Palatino Linotype"/>
          <w:b/>
          <w:i/>
          <w:sz w:val="20"/>
          <w:szCs w:val="20"/>
        </w:rPr>
      </w:pPr>
    </w:p>
    <w:p w:rsidR="00EF08C3" w:rsidRDefault="00882C9A">
      <w:pPr>
        <w:spacing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 “Artículo 176. </w:t>
      </w:r>
      <w:r>
        <w:rPr>
          <w:rFonts w:ascii="Palatino Linotype" w:eastAsia="Palatino Linotype" w:hAnsi="Palatino Linotype" w:cs="Palatino Linotype"/>
          <w:i/>
          <w:sz w:val="22"/>
          <w:szCs w:val="22"/>
        </w:rPr>
        <w:t xml:space="preserve">El recurso de revisión es la garantía secundaria mediante la cual se pretende reparar cualquier posible afectación al derecho de acceso a la información pública en términos del presente y </w:t>
      </w:r>
      <w:r>
        <w:rPr>
          <w:rFonts w:ascii="Palatino Linotype" w:eastAsia="Palatino Linotype" w:hAnsi="Palatino Linotype" w:cs="Palatino Linotype"/>
          <w:i/>
          <w:sz w:val="22"/>
          <w:szCs w:val="22"/>
        </w:rPr>
        <w:t>siguiente Capítulo.</w:t>
      </w:r>
    </w:p>
    <w:p w:rsidR="00EF08C3" w:rsidRDefault="00882C9A">
      <w:pPr>
        <w:spacing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b/>
          <w:sz w:val="22"/>
          <w:szCs w:val="22"/>
        </w:rPr>
        <w:t>.-</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EF08C3" w:rsidRDefault="00882C9A">
      <w:pPr>
        <w:spacing w:after="120"/>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p w:rsidR="00EF08C3" w:rsidRDefault="00EF08C3">
      <w:pPr>
        <w:spacing w:after="120"/>
        <w:ind w:left="851" w:right="902"/>
        <w:jc w:val="both"/>
        <w:rPr>
          <w:rFonts w:ascii="Palatino Linotype" w:eastAsia="Palatino Linotype" w:hAnsi="Palatino Linotype" w:cs="Palatino Linotype"/>
          <w:i/>
          <w:sz w:val="22"/>
          <w:szCs w:val="22"/>
        </w:rPr>
      </w:pPr>
    </w:p>
    <w:p w:rsidR="00EF08C3" w:rsidRDefault="00882C9A">
      <w:pPr>
        <w:pBdr>
          <w:top w:val="nil"/>
          <w:left w:val="nil"/>
          <w:bottom w:val="nil"/>
          <w:right w:val="nil"/>
          <w:between w:val="nil"/>
        </w:pBdr>
        <w:spacing w:after="120"/>
        <w:ind w:left="993" w:right="902"/>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VI. La entrega de información que no corresponda con lo solicitado;</w:t>
      </w:r>
      <w:r>
        <w:rPr>
          <w:rFonts w:ascii="Palatino Linotype" w:eastAsia="Palatino Linotype" w:hAnsi="Palatino Linotype" w:cs="Palatino Linotype"/>
          <w:b/>
          <w:i/>
          <w:color w:val="000000"/>
          <w:sz w:val="22"/>
          <w:szCs w:val="22"/>
        </w:rPr>
        <w:br/>
      </w:r>
    </w:p>
    <w:p w:rsidR="00EF08C3" w:rsidRDefault="00882C9A">
      <w:pPr>
        <w:spacing w:after="120"/>
        <w:ind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        …” (Sic)</w:t>
      </w:r>
      <w:r>
        <w:rPr>
          <w:rFonts w:ascii="Palatino Linotype" w:eastAsia="Palatino Linotype" w:hAnsi="Palatino Linotype" w:cs="Palatino Linotype"/>
          <w:b/>
          <w:i/>
          <w:sz w:val="22"/>
          <w:szCs w:val="22"/>
        </w:rPr>
        <w:t xml:space="preserve">              </w:t>
      </w:r>
    </w:p>
    <w:p w:rsidR="00EF08C3" w:rsidRDefault="00882C9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tras la revisión del escrito de interposición, se concluye la acreditación plena de todos y cada uno de los elementos formales exigidos por el artículo 180 de la Ley de Transparencia y Acceso a la Información Pública del Estado de México y Munici</w:t>
      </w:r>
      <w:r>
        <w:rPr>
          <w:rFonts w:ascii="Palatino Linotype" w:eastAsia="Palatino Linotype" w:hAnsi="Palatino Linotype" w:cs="Palatino Linotype"/>
        </w:rPr>
        <w:t>pios, y en consecuencia resulta conforme a derecho entrar al estudio de fondo y resolver el presente medio de impugnación.</w:t>
      </w:r>
    </w:p>
    <w:p w:rsidR="00EF08C3" w:rsidRDefault="00882C9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De la revisión a las constancias y documentos que obran en el expediente electrónico se advierte, qu</w:t>
      </w:r>
      <w:r>
        <w:rPr>
          <w:rFonts w:ascii="Palatino Linotype" w:eastAsia="Palatino Linotype" w:hAnsi="Palatino Linotype" w:cs="Palatino Linotype"/>
        </w:rPr>
        <w:t xml:space="preserve">e el tema sobre el que este Órgano Garante de Transparencia y Acceso a la Información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de l</w:t>
      </w:r>
      <w:r>
        <w:rPr>
          <w:rFonts w:ascii="Palatino Linotype" w:eastAsia="Palatino Linotype" w:hAnsi="Palatino Linotype" w:cs="Palatino Linotype"/>
        </w:rPr>
        <w:t xml:space="preserve">a parte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 oportuna.</w:t>
      </w:r>
    </w:p>
    <w:p w:rsidR="00EF08C3" w:rsidRDefault="00882C9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Del análisis de la solicitud de información motivo del recurso de revisión que ahora se resuelve se advierte que el part</w:t>
      </w:r>
      <w:r>
        <w:rPr>
          <w:rFonts w:ascii="Palatino Linotype" w:eastAsia="Palatino Linotype" w:hAnsi="Palatino Linotype" w:cs="Palatino Linotype"/>
        </w:rPr>
        <w:t>icular solicitó:</w:t>
      </w:r>
    </w:p>
    <w:p w:rsidR="00EF08C3" w:rsidRDefault="00882C9A">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Las resoluciones y laudos que se emitan en procesos o procedimientos seguidos en forma de juicio.</w:t>
      </w:r>
    </w:p>
    <w:p w:rsidR="00EF08C3" w:rsidRDefault="00882C9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Mediante desahogo  de solicitud de aclaración el particular refiere que los datos sobre los cuales desea tener acceso son los correspondientes del 01 de enero de 2019 al 31 de diciembre de 2021.  </w:t>
      </w:r>
    </w:p>
    <w:p w:rsidR="00EF08C3" w:rsidRDefault="00882C9A">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lastRenderedPageBreak/>
        <w:t xml:space="preserve">En respuesta,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adjuntó el oficio número P</w:t>
      </w:r>
      <w:r>
        <w:rPr>
          <w:rFonts w:ascii="Palatino Linotype" w:eastAsia="Palatino Linotype" w:hAnsi="Palatino Linotype" w:cs="Palatino Linotype"/>
        </w:rPr>
        <w:t>MA/CJA/037/2022  de fecha once de febrero de la presente anualidad suscrito por el Consejero Jurídico del Ayuntamiento de Atenco, de cuyo contenido destaca que señaló</w:t>
      </w:r>
      <w:r>
        <w:rPr>
          <w:rFonts w:ascii="Palatino Linotype" w:eastAsia="Palatino Linotype" w:hAnsi="Palatino Linotype" w:cs="Palatino Linotype"/>
          <w:i/>
        </w:rPr>
        <w:t xml:space="preserve">: “…del 01 de enero de 2019 al 31 de diciembre de 2021, la sala Auxiliar de Ecatepec, del </w:t>
      </w:r>
      <w:r>
        <w:rPr>
          <w:rFonts w:ascii="Palatino Linotype" w:eastAsia="Palatino Linotype" w:hAnsi="Palatino Linotype" w:cs="Palatino Linotype"/>
          <w:i/>
        </w:rPr>
        <w:t>Tribunal de Conciliación y Arbitraje del Estado de México, ha emitido 2 laudos en los que se condena a pagar diversas prestaciones reclamadas por los actores ”…” (Sic)</w:t>
      </w:r>
    </w:p>
    <w:p w:rsidR="00EF08C3" w:rsidRDefault="00882C9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Inconforme el particular con la respuesta que le fue proporcionada por el Consejero Jurí</w:t>
      </w:r>
      <w:r>
        <w:rPr>
          <w:rFonts w:ascii="Palatino Linotype" w:eastAsia="Palatino Linotype" w:hAnsi="Palatino Linotype" w:cs="Palatino Linotype"/>
        </w:rPr>
        <w:t xml:space="preserve">dico del Ayuntamiento de Atenco interpone el presente medio de impugnación refirió como principal motivo de inconformidad que la información entregada  no guarda relación con la solicitada. </w:t>
      </w:r>
    </w:p>
    <w:p w:rsidR="00EF08C3" w:rsidRDefault="00882C9A">
      <w:pPr>
        <w:spacing w:line="360" w:lineRule="auto"/>
        <w:ind w:right="-93"/>
        <w:jc w:val="both"/>
        <w:rPr>
          <w:rFonts w:ascii="Palatino Linotype" w:eastAsia="Palatino Linotype" w:hAnsi="Palatino Linotype" w:cs="Palatino Linotype"/>
          <w:b/>
        </w:rPr>
      </w:pPr>
      <w:r>
        <w:rPr>
          <w:rFonts w:ascii="Palatino Linotype" w:eastAsia="Palatino Linotype" w:hAnsi="Palatino Linotype" w:cs="Palatino Linotype"/>
          <w:b/>
        </w:rPr>
        <w:t>Primeramente, tenemos</w:t>
      </w:r>
      <w:r>
        <w:rPr>
          <w:rFonts w:ascii="Palatino Linotype" w:eastAsia="Palatino Linotype" w:hAnsi="Palatino Linotype" w:cs="Palatino Linotype"/>
        </w:rPr>
        <w:t xml:space="preserve"> que  el artículo 6°, Apartado A), fracción </w:t>
      </w:r>
      <w:r>
        <w:rPr>
          <w:rFonts w:ascii="Palatino Linotype" w:eastAsia="Palatino Linotype" w:hAnsi="Palatino Linotype" w:cs="Palatino Linotype"/>
        </w:rPr>
        <w:t xml:space="preserve">I de la Constitución Política de los Estados Unidos Mexicanos, establece que toda la información en posesión de cualquier autoridad es pública y sólo podrá ser reservada temporalmente por razones de interés público. </w:t>
      </w:r>
    </w:p>
    <w:p w:rsidR="00EF08C3" w:rsidRDefault="00EF08C3">
      <w:pPr>
        <w:spacing w:line="360" w:lineRule="auto"/>
        <w:jc w:val="both"/>
        <w:rPr>
          <w:rFonts w:ascii="Palatino Linotype" w:eastAsia="Palatino Linotype" w:hAnsi="Palatino Linotype" w:cs="Palatino Linotype"/>
          <w:color w:val="FF0000"/>
        </w:rPr>
      </w:pPr>
    </w:p>
    <w:p w:rsidR="00EF08C3" w:rsidRDefault="00882C9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en materia local, el art</w:t>
      </w:r>
      <w:r>
        <w:rPr>
          <w:rFonts w:ascii="Palatino Linotype" w:eastAsia="Palatino Linotype" w:hAnsi="Palatino Linotype" w:cs="Palatino Linotype"/>
        </w:rPr>
        <w:t xml:space="preserve">ículo 5°, fracción I de la Constitución Política del Estado Libre y Soberano de México, es coincidente con la Constitución Federal, en el sentido de la publicidad de toda la información, con la única restricción de proteger el interés público, así como la </w:t>
      </w:r>
      <w:r>
        <w:rPr>
          <w:rFonts w:ascii="Palatino Linotype" w:eastAsia="Palatino Linotype" w:hAnsi="Palatino Linotype" w:cs="Palatino Linotype"/>
        </w:rPr>
        <w:t>información referente a la intimidad de la vida privada y la imagen de las personas, con las excepciones que establezca la ley reglamentaria.</w:t>
      </w:r>
    </w:p>
    <w:p w:rsidR="00EF08C3" w:rsidRDefault="00EF08C3">
      <w:pPr>
        <w:spacing w:line="360" w:lineRule="auto"/>
        <w:jc w:val="both"/>
        <w:rPr>
          <w:rFonts w:ascii="Palatino Linotype" w:eastAsia="Palatino Linotype" w:hAnsi="Palatino Linotype" w:cs="Palatino Linotype"/>
        </w:rPr>
      </w:pPr>
    </w:p>
    <w:p w:rsidR="00EF08C3" w:rsidRDefault="00882C9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Por su parte, la Ley de Transparencia y Acceso a la Información Pública del Estado de México y Municipios (Reglam</w:t>
      </w:r>
      <w:r>
        <w:rPr>
          <w:rFonts w:ascii="Palatino Linotype" w:eastAsia="Palatino Linotype" w:hAnsi="Palatino Linotype" w:cs="Palatino Linotype"/>
        </w:rPr>
        <w:t>entaria del artículo 5° de la Constitución Local), establece lo siguiente:</w:t>
      </w:r>
    </w:p>
    <w:p w:rsidR="00EF08C3" w:rsidRDefault="00EF08C3">
      <w:pPr>
        <w:spacing w:line="360" w:lineRule="auto"/>
        <w:jc w:val="both"/>
        <w:rPr>
          <w:rFonts w:ascii="Palatino Linotype" w:eastAsia="Palatino Linotype" w:hAnsi="Palatino Linotype" w:cs="Palatino Linotype"/>
        </w:rPr>
      </w:pPr>
    </w:p>
    <w:p w:rsidR="00EF08C3" w:rsidRDefault="00882C9A">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artículo 12, que, quienes generen, recopilen, administren, manejen, procesen, archiven o conserven información pública serán responsables de la misma.</w:t>
      </w:r>
    </w:p>
    <w:p w:rsidR="00EF08C3" w:rsidRDefault="00EF08C3">
      <w:pPr>
        <w:spacing w:line="360" w:lineRule="auto"/>
        <w:jc w:val="both"/>
        <w:rPr>
          <w:rFonts w:ascii="Palatino Linotype" w:eastAsia="Palatino Linotype" w:hAnsi="Palatino Linotype" w:cs="Palatino Linotype"/>
        </w:rPr>
      </w:pPr>
    </w:p>
    <w:p w:rsidR="00EF08C3" w:rsidRDefault="00882C9A">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artículo 18, que, los Sujetos Obligados deberán documentar todo acto que derive del ejercicio de sus facultades, competencias o funciones, considerando desde su origen la eventual publicidad y reutilización de la información que generen.</w:t>
      </w:r>
    </w:p>
    <w:p w:rsidR="00EF08C3" w:rsidRDefault="00EF08C3">
      <w:pPr>
        <w:spacing w:line="360" w:lineRule="auto"/>
        <w:jc w:val="both"/>
        <w:rPr>
          <w:rFonts w:ascii="Palatino Linotype" w:eastAsia="Palatino Linotype" w:hAnsi="Palatino Linotype" w:cs="Palatino Linotype"/>
        </w:rPr>
      </w:pPr>
    </w:p>
    <w:p w:rsidR="00EF08C3" w:rsidRDefault="00882C9A">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artículo 19</w:t>
      </w:r>
      <w:r>
        <w:rPr>
          <w:rFonts w:ascii="Palatino Linotype" w:eastAsia="Palatino Linotype" w:hAnsi="Palatino Linotype" w:cs="Palatino Linotype"/>
          <w:color w:val="000000"/>
        </w:rPr>
        <w:t>, que, se presume que la información debe existir si se refiere a las facultades, competencias y funciones que los ordenamientos jurídicos aplicables otorgan a los sujetos Obligados y en caso de que dichas facultades no se hayan ejercido, se deberá motivar</w:t>
      </w:r>
      <w:r>
        <w:rPr>
          <w:rFonts w:ascii="Palatino Linotype" w:eastAsia="Palatino Linotype" w:hAnsi="Palatino Linotype" w:cs="Palatino Linotype"/>
          <w:color w:val="000000"/>
        </w:rPr>
        <w:t xml:space="preserve"> la respuesta en función de las causas que motivaron tal circunstancia.</w:t>
      </w:r>
    </w:p>
    <w:p w:rsidR="00EF08C3" w:rsidRDefault="00EF08C3">
      <w:pPr>
        <w:spacing w:line="360" w:lineRule="auto"/>
        <w:ind w:right="-93"/>
        <w:jc w:val="both"/>
        <w:rPr>
          <w:rFonts w:ascii="Palatino Linotype" w:eastAsia="Palatino Linotype" w:hAnsi="Palatino Linotype" w:cs="Palatino Linotype"/>
          <w:color w:val="FF0000"/>
        </w:rPr>
      </w:pPr>
    </w:p>
    <w:p w:rsidR="00EF08C3" w:rsidRDefault="00882C9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esta lógica,  debe destacarse que el derecho de acceso a la información pública, consiste en que la información solicitada conste en un documento en cualquiera de sus formas, a sab</w:t>
      </w:r>
      <w:r>
        <w:rPr>
          <w:rFonts w:ascii="Palatino Linotype" w:eastAsia="Palatino Linotype" w:hAnsi="Palatino Linotype" w:cs="Palatino Linotype"/>
        </w:rPr>
        <w:t xml:space="preserve">er: expedientes, reportes, estudios, actas, resoluciones, oficios, correspondencia, acuerdos, directivas, directrices, circulares, contratos, convenios, instructivos, notas, memorandos, estadísticas o bien, cualquier otro registro que </w:t>
      </w:r>
      <w:r>
        <w:rPr>
          <w:rFonts w:ascii="Palatino Linotype" w:eastAsia="Palatino Linotype" w:hAnsi="Palatino Linotype" w:cs="Palatino Linotype"/>
        </w:rPr>
        <w:lastRenderedPageBreak/>
        <w:t>documente el ejercici</w:t>
      </w:r>
      <w:r>
        <w:rPr>
          <w:rFonts w:ascii="Palatino Linotype" w:eastAsia="Palatino Linotype" w:hAnsi="Palatino Linotype" w:cs="Palatino Linotype"/>
        </w:rPr>
        <w:t>o de las facultades, funciones y competencias de los Sujetos Obligados; los que, podrán estar en cualquier medio, sea escrito, impreso, sonoro, visual, electrónico, informático u holográfico de conformidad con el artículo 3, fracción XI de la Ley de la mat</w:t>
      </w:r>
      <w:r>
        <w:rPr>
          <w:rFonts w:ascii="Palatino Linotype" w:eastAsia="Palatino Linotype" w:hAnsi="Palatino Linotype" w:cs="Palatino Linotype"/>
        </w:rPr>
        <w:t xml:space="preserve">eria, el cual señala lo siguiente: </w:t>
      </w:r>
    </w:p>
    <w:p w:rsidR="00EF08C3" w:rsidRDefault="00EF08C3">
      <w:pPr>
        <w:ind w:left="851" w:right="899"/>
        <w:jc w:val="both"/>
        <w:rPr>
          <w:rFonts w:ascii="Palatino Linotype" w:eastAsia="Palatino Linotype" w:hAnsi="Palatino Linotype" w:cs="Palatino Linotype"/>
          <w:i/>
          <w:sz w:val="22"/>
          <w:szCs w:val="22"/>
        </w:rPr>
      </w:pPr>
    </w:p>
    <w:p w:rsidR="00EF08C3" w:rsidRDefault="00882C9A">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rsidR="00EF08C3" w:rsidRDefault="00882C9A">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EF08C3" w:rsidRDefault="00882C9A">
      <w:pPr>
        <w:ind w:left="851"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w:t>
      </w:r>
      <w:r>
        <w:rPr>
          <w:rFonts w:ascii="Palatino Linotype" w:eastAsia="Palatino Linotype" w:hAnsi="Palatino Linotype" w:cs="Palatino Linotype"/>
          <w:i/>
          <w:color w:val="000000"/>
          <w:sz w:val="22"/>
          <w:szCs w:val="22"/>
        </w:rPr>
        <w:t>as de los sujetos obligados, sus servidores públicos e integrantes, sin importar su fuente o fecha de elaboración. Los documentos podrán estar en cualquier medio, sea escrito, impreso, sonoro, visual, electrónico, informático u holográfico…” (Sic)</w:t>
      </w:r>
    </w:p>
    <w:p w:rsidR="00EF08C3" w:rsidRDefault="00EF08C3">
      <w:pPr>
        <w:ind w:left="851" w:right="899"/>
        <w:jc w:val="both"/>
        <w:rPr>
          <w:rFonts w:ascii="Palatino Linotype" w:eastAsia="Palatino Linotype" w:hAnsi="Palatino Linotype" w:cs="Palatino Linotype"/>
          <w:sz w:val="22"/>
          <w:szCs w:val="22"/>
        </w:rPr>
      </w:pPr>
    </w:p>
    <w:p w:rsidR="00EF08C3" w:rsidRDefault="00882C9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w:t>
      </w:r>
      <w:r>
        <w:rPr>
          <w:rFonts w:ascii="Palatino Linotype" w:eastAsia="Palatino Linotype" w:hAnsi="Palatino Linotype" w:cs="Palatino Linotype"/>
        </w:rPr>
        <w:t>aplicable, el Criterio de interpretación en el orden administrativo número 0002-11, emitido por Acuerdo del Pleno del Instituto de Transparencia y Acceso a la Información Pública del Estado de México y Municipios; publicado en el Periódico Oficial del Gobi</w:t>
      </w:r>
      <w:r>
        <w:rPr>
          <w:rFonts w:ascii="Palatino Linotype" w:eastAsia="Palatino Linotype" w:hAnsi="Palatino Linotype" w:cs="Palatino Linotype"/>
        </w:rPr>
        <w:t>erno del Estado Libre y Soberano de México “Gaceta del Gobierno”, el diecinueve de octubre de dos mil once, cuyo rubro y texto refieren lo siguiente:</w:t>
      </w:r>
    </w:p>
    <w:p w:rsidR="00EF08C3" w:rsidRDefault="00EF08C3">
      <w:pPr>
        <w:ind w:right="899"/>
        <w:jc w:val="both"/>
        <w:rPr>
          <w:rFonts w:ascii="Palatino Linotype" w:eastAsia="Palatino Linotype" w:hAnsi="Palatino Linotype" w:cs="Palatino Linotype"/>
        </w:rPr>
      </w:pPr>
    </w:p>
    <w:p w:rsidR="00EF08C3" w:rsidRDefault="00882C9A">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rsidR="00EF08C3" w:rsidRDefault="00882C9A">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w:t>
      </w:r>
      <w:r>
        <w:rPr>
          <w:rFonts w:ascii="Palatino Linotype" w:eastAsia="Palatino Linotype" w:hAnsi="Palatino Linotype" w:cs="Palatino Linotype"/>
          <w:b/>
          <w:i/>
          <w:sz w:val="22"/>
          <w:szCs w:val="22"/>
        </w:rPr>
        <w:t>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w:t>
      </w:r>
      <w:r>
        <w:rPr>
          <w:rFonts w:ascii="Palatino Linotype" w:eastAsia="Palatino Linotype" w:hAnsi="Palatino Linotype" w:cs="Palatino Linotype"/>
          <w:i/>
          <w:sz w:val="22"/>
          <w:szCs w:val="22"/>
        </w:rPr>
        <w:t>cumentos públicos, administrados, generados o en posesión de los órganos u organismos públicos, en virtud del ejercicio de sus funciones de derecho público, sin importar su fuente, soporte o fecha de elaboración.</w:t>
      </w:r>
    </w:p>
    <w:p w:rsidR="00EF08C3" w:rsidRDefault="00882C9A">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consecuencia el acceso a la información </w:t>
      </w:r>
      <w:r>
        <w:rPr>
          <w:rFonts w:ascii="Palatino Linotype" w:eastAsia="Palatino Linotype" w:hAnsi="Palatino Linotype" w:cs="Palatino Linotype"/>
          <w:i/>
          <w:sz w:val="22"/>
          <w:szCs w:val="22"/>
        </w:rPr>
        <w:t>se refiere a que se cumplan cualquiera de los siguientes tres supuestos:</w:t>
      </w:r>
    </w:p>
    <w:p w:rsidR="00EF08C3" w:rsidRDefault="00882C9A">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1) </w:t>
      </w:r>
      <w:r>
        <w:rPr>
          <w:rFonts w:ascii="Palatino Linotype" w:eastAsia="Palatino Linotype" w:hAnsi="Palatino Linotype" w:cs="Palatino Linotype"/>
          <w:b/>
          <w:i/>
          <w:sz w:val="22"/>
          <w:szCs w:val="22"/>
        </w:rPr>
        <w:t>Que se trate de información registrada en cualquier soporte documental, que en ejercicio de las atribuciones conferidas, sea generada por los Sujetos Obligados;</w:t>
      </w:r>
    </w:p>
    <w:p w:rsidR="00EF08C3" w:rsidRDefault="00882C9A">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EF08C3" w:rsidRDefault="00882C9A">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rsidR="00EF08C3" w:rsidRDefault="00EF08C3">
      <w:pPr>
        <w:spacing w:line="360" w:lineRule="auto"/>
        <w:ind w:right="-93"/>
        <w:jc w:val="both"/>
        <w:rPr>
          <w:rFonts w:ascii="Palatino Linotype" w:eastAsia="Palatino Linotype" w:hAnsi="Palatino Linotype" w:cs="Palatino Linotype"/>
        </w:rPr>
      </w:pPr>
    </w:p>
    <w:p w:rsidR="00EF08C3" w:rsidRDefault="00882C9A">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En principio</w:t>
      </w:r>
      <w:r>
        <w:rPr>
          <w:rFonts w:ascii="Palatino Linotype" w:eastAsia="Palatino Linotype" w:hAnsi="Palatino Linotype" w:cs="Palatino Linotype"/>
          <w:b/>
        </w:rPr>
        <w:t xml:space="preserve">, </w:t>
      </w:r>
      <w:r>
        <w:rPr>
          <w:rFonts w:ascii="Palatino Linotype" w:eastAsia="Palatino Linotype" w:hAnsi="Palatino Linotype" w:cs="Palatino Linotype"/>
        </w:rPr>
        <w:t>resulta necesario traer a colación lo establecido en la fracción</w:t>
      </w:r>
      <w:r>
        <w:rPr>
          <w:rFonts w:ascii="Palatino Linotype" w:eastAsia="Palatino Linotype" w:hAnsi="Palatino Linotype" w:cs="Palatino Linotype"/>
        </w:rPr>
        <w:t xml:space="preserve"> XL del artículo 92, de la Ley de Transparencia y Acceso a la Información Pública del Estado de México y Municipios, la cual dispone que los Sujetos Obligados deberán poner a disposición del público de manera permanente y actualizada de forma sencilla, pre</w:t>
      </w:r>
      <w:r>
        <w:rPr>
          <w:rFonts w:ascii="Palatino Linotype" w:eastAsia="Palatino Linotype" w:hAnsi="Palatino Linotype" w:cs="Palatino Linotype"/>
        </w:rPr>
        <w:t xml:space="preserve">cisa y entendible, en los respectivos medios electrónicos, de acuerdo con sus facultades, atribuciones, funciones y objeto social, según corresponda, </w:t>
      </w:r>
      <w:r>
        <w:rPr>
          <w:rFonts w:ascii="Palatino Linotype" w:eastAsia="Palatino Linotype" w:hAnsi="Palatino Linotype" w:cs="Palatino Linotype"/>
          <w:b/>
        </w:rPr>
        <w:t>las resoluciones y laudos que se emitan en procesos o procedimientos seguidos en forma de juicio.</w:t>
      </w:r>
      <w:r>
        <w:rPr>
          <w:rFonts w:ascii="Palatino Linotype" w:eastAsia="Palatino Linotype" w:hAnsi="Palatino Linotype" w:cs="Palatino Linotype"/>
        </w:rPr>
        <w:t xml:space="preserve"> </w:t>
      </w:r>
    </w:p>
    <w:p w:rsidR="00EF08C3" w:rsidRDefault="00EF08C3">
      <w:pPr>
        <w:spacing w:line="360" w:lineRule="auto"/>
        <w:jc w:val="both"/>
        <w:rPr>
          <w:rFonts w:ascii="Palatino Linotype" w:eastAsia="Palatino Linotype" w:hAnsi="Palatino Linotype" w:cs="Palatino Linotype"/>
          <w:b/>
          <w:sz w:val="28"/>
          <w:szCs w:val="28"/>
        </w:rPr>
      </w:pPr>
    </w:p>
    <w:p w:rsidR="00EF08C3" w:rsidRDefault="00882C9A">
      <w:pPr>
        <w:spacing w:line="360" w:lineRule="auto"/>
        <w:ind w:right="-93"/>
        <w:jc w:val="both"/>
        <w:rPr>
          <w:rFonts w:ascii="Palatino Linotype" w:eastAsia="Palatino Linotype" w:hAnsi="Palatino Linotype" w:cs="Palatino Linotype"/>
          <w:b/>
          <w:sz w:val="22"/>
          <w:szCs w:val="22"/>
        </w:rPr>
      </w:pPr>
      <w:r>
        <w:rPr>
          <w:rFonts w:ascii="Palatino Linotype" w:eastAsia="Palatino Linotype" w:hAnsi="Palatino Linotype" w:cs="Palatino Linotype"/>
        </w:rPr>
        <w:t>Asimis</w:t>
      </w:r>
      <w:r>
        <w:rPr>
          <w:rFonts w:ascii="Palatino Linotype" w:eastAsia="Palatino Linotype" w:hAnsi="Palatino Linotype" w:cs="Palatino Linotype"/>
        </w:rPr>
        <w:t>mo, los Lineamientos técnicos generales para la publicación, homologación y estandarización de la información de las obligaciones establecidas en el título quinto y en la fracción IV del artículo 31 de la Ley General de Transparencia y Acceso a la Informac</w:t>
      </w:r>
      <w:r>
        <w:rPr>
          <w:rFonts w:ascii="Palatino Linotype" w:eastAsia="Palatino Linotype" w:hAnsi="Palatino Linotype" w:cs="Palatino Linotype"/>
        </w:rPr>
        <w:t xml:space="preserve">ión Pública, que deben de difundir los sujetos obligados en los portales de Internet y en la Plataforma Nacional de Transparencia, </w:t>
      </w:r>
      <w:r>
        <w:rPr>
          <w:rFonts w:ascii="Palatino Linotype" w:eastAsia="Palatino Linotype" w:hAnsi="Palatino Linotype" w:cs="Palatino Linotype"/>
          <w:b/>
        </w:rPr>
        <w:t>establecen que, todos los sujetos obligados que, derivado de sus atribuciones emitan resoluciones y/o laudos derivadas de pro</w:t>
      </w:r>
      <w:r>
        <w:rPr>
          <w:rFonts w:ascii="Palatino Linotype" w:eastAsia="Palatino Linotype" w:hAnsi="Palatino Linotype" w:cs="Palatino Linotype"/>
          <w:b/>
        </w:rPr>
        <w:t>cesos judiciales, administrativos o arbitrales; publicaran de manera trimestral las determinaciones emitidas en procesos o procedimientos seguidos en forma de juicio</w:t>
      </w:r>
      <w:r>
        <w:rPr>
          <w:rFonts w:ascii="Palatino Linotype" w:eastAsia="Palatino Linotype" w:hAnsi="Palatino Linotype" w:cs="Palatino Linotype"/>
          <w:b/>
          <w:sz w:val="22"/>
          <w:szCs w:val="22"/>
        </w:rPr>
        <w:t>.</w:t>
      </w:r>
    </w:p>
    <w:p w:rsidR="00EF08C3" w:rsidRDefault="00EF08C3">
      <w:pPr>
        <w:spacing w:line="360" w:lineRule="auto"/>
        <w:ind w:right="-93"/>
        <w:jc w:val="both"/>
        <w:rPr>
          <w:rFonts w:ascii="Palatino Linotype" w:eastAsia="Palatino Linotype" w:hAnsi="Palatino Linotype" w:cs="Palatino Linotype"/>
          <w:sz w:val="22"/>
          <w:szCs w:val="22"/>
        </w:rPr>
      </w:pPr>
    </w:p>
    <w:p w:rsidR="00EF08C3" w:rsidRDefault="00882C9A">
      <w:pPr>
        <w:spacing w:line="360" w:lineRule="auto"/>
        <w:jc w:val="both"/>
        <w:rPr>
          <w:rFonts w:ascii="Palatino Linotype" w:eastAsia="Palatino Linotype" w:hAnsi="Palatino Linotype" w:cs="Palatino Linotype"/>
          <w:b/>
          <w:u w:val="single"/>
        </w:rPr>
      </w:pPr>
      <w:r>
        <w:rPr>
          <w:rFonts w:ascii="Palatino Linotype" w:eastAsia="Palatino Linotype" w:hAnsi="Palatino Linotype" w:cs="Palatino Linotype"/>
        </w:rPr>
        <w:t>Conforme a lo anterior, se advierte que la pretensión del ahora Recurrente, es obtener l</w:t>
      </w:r>
      <w:r>
        <w:rPr>
          <w:rFonts w:ascii="Palatino Linotype" w:eastAsia="Palatino Linotype" w:hAnsi="Palatino Linotype" w:cs="Palatino Linotype"/>
        </w:rPr>
        <w:t xml:space="preserve">as resoluciones </w:t>
      </w:r>
      <w:r>
        <w:rPr>
          <w:rFonts w:ascii="Palatino Linotype" w:eastAsia="Palatino Linotype" w:hAnsi="Palatino Linotype" w:cs="Palatino Linotype"/>
          <w:b/>
          <w:u w:val="single"/>
        </w:rPr>
        <w:t>emitidas por algún área del Ayuntamiento que realice procedimientos seguidos en forma de juicio.</w:t>
      </w:r>
    </w:p>
    <w:p w:rsidR="00EF08C3" w:rsidRDefault="00EF08C3">
      <w:pPr>
        <w:spacing w:line="360" w:lineRule="auto"/>
        <w:jc w:val="both"/>
        <w:rPr>
          <w:rFonts w:ascii="Palatino Linotype" w:eastAsia="Palatino Linotype" w:hAnsi="Palatino Linotype" w:cs="Palatino Linotype"/>
          <w:sz w:val="22"/>
          <w:szCs w:val="22"/>
        </w:rPr>
      </w:pPr>
    </w:p>
    <w:p w:rsidR="00EF08C3" w:rsidRDefault="00882C9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Con relación a lo anterior, es menester precisar que para que se trate de un</w:t>
      </w:r>
      <w:r>
        <w:rPr>
          <w:rFonts w:ascii="Palatino Linotype" w:eastAsia="Palatino Linotype" w:hAnsi="Palatino Linotype" w:cs="Palatino Linotype"/>
          <w:b/>
        </w:rPr>
        <w:t xml:space="preserve"> </w:t>
      </w:r>
      <w:r>
        <w:rPr>
          <w:rFonts w:ascii="Palatino Linotype" w:eastAsia="Palatino Linotype" w:hAnsi="Palatino Linotype" w:cs="Palatino Linotype"/>
        </w:rPr>
        <w:t>juicio o procedimiento administrativo materialmente jurisdicciona</w:t>
      </w:r>
      <w:r>
        <w:rPr>
          <w:rFonts w:ascii="Palatino Linotype" w:eastAsia="Palatino Linotype" w:hAnsi="Palatino Linotype" w:cs="Palatino Linotype"/>
        </w:rPr>
        <w:t>l, debe cumplirse con lo dispuesto en los Lineamientos Generales en materia de clasificación y desclasificación de la información, así como lo sostenido por la Segunda Sala de la Suprema Corte de Justicia de la Nación, en la Tesis 2a./J. 22/2003, consisten</w:t>
      </w:r>
      <w:r>
        <w:rPr>
          <w:rFonts w:ascii="Palatino Linotype" w:eastAsia="Palatino Linotype" w:hAnsi="Palatino Linotype" w:cs="Palatino Linotype"/>
        </w:rPr>
        <w:t xml:space="preserve">te en que un “procedimiento en forma de juicio”, debe entenderse </w:t>
      </w:r>
      <w:r>
        <w:rPr>
          <w:rFonts w:ascii="Palatino Linotype" w:eastAsia="Palatino Linotype" w:hAnsi="Palatino Linotype" w:cs="Palatino Linotype"/>
          <w:i/>
        </w:rPr>
        <w:t>lato sensu</w:t>
      </w:r>
      <w:r>
        <w:rPr>
          <w:rFonts w:ascii="Palatino Linotype" w:eastAsia="Palatino Linotype" w:hAnsi="Palatino Linotype" w:cs="Palatino Linotype"/>
        </w:rPr>
        <w:t>, no únicamente que comprende los procedimientos en que la autoridad dirime una controversia entre las partes, sino que deben incluir todos aquellos procedimientos en que una autori</w:t>
      </w:r>
      <w:r>
        <w:rPr>
          <w:rFonts w:ascii="Palatino Linotype" w:eastAsia="Palatino Linotype" w:hAnsi="Palatino Linotype" w:cs="Palatino Linotype"/>
        </w:rPr>
        <w:t>dad frente al particular, prepara su resolución definitiva, aunque sólo sea un trámite para cumplir con la garantía de audiencia,</w:t>
      </w:r>
      <w:r>
        <w:rPr>
          <w:rFonts w:ascii="Palatino Linotype" w:eastAsia="Palatino Linotype" w:hAnsi="Palatino Linotype" w:cs="Palatino Linotype"/>
          <w:b/>
        </w:rPr>
        <w:t xml:space="preserve"> </w:t>
      </w:r>
      <w:r>
        <w:rPr>
          <w:rFonts w:ascii="Palatino Linotype" w:eastAsia="Palatino Linotype" w:hAnsi="Palatino Linotype" w:cs="Palatino Linotype"/>
        </w:rPr>
        <w:t>tal como se muestra a continuación:</w:t>
      </w:r>
    </w:p>
    <w:p w:rsidR="00EF08C3" w:rsidRDefault="00EF08C3">
      <w:pPr>
        <w:spacing w:line="360" w:lineRule="auto"/>
        <w:jc w:val="both"/>
        <w:rPr>
          <w:rFonts w:ascii="Palatino Linotype" w:eastAsia="Palatino Linotype" w:hAnsi="Palatino Linotype" w:cs="Palatino Linotype"/>
          <w:sz w:val="22"/>
          <w:szCs w:val="22"/>
        </w:rPr>
      </w:pPr>
    </w:p>
    <w:p w:rsidR="00EF08C3" w:rsidRDefault="00882C9A">
      <w:pPr>
        <w:ind w:left="567" w:right="567"/>
        <w:jc w:val="both"/>
        <w:rPr>
          <w:rFonts w:ascii="Palatino Linotype" w:eastAsia="Palatino Linotype" w:hAnsi="Palatino Linotype" w:cs="Palatino Linotype"/>
          <w:b/>
          <w:i/>
        </w:rPr>
      </w:pPr>
      <w:r>
        <w:rPr>
          <w:rFonts w:ascii="Palatino Linotype" w:eastAsia="Palatino Linotype" w:hAnsi="Palatino Linotype" w:cs="Palatino Linotype"/>
          <w:i/>
        </w:rPr>
        <w:t>“</w:t>
      </w:r>
      <w:r>
        <w:rPr>
          <w:rFonts w:ascii="Palatino Linotype" w:eastAsia="Palatino Linotype" w:hAnsi="Palatino Linotype" w:cs="Palatino Linotype"/>
          <w:b/>
          <w:i/>
        </w:rPr>
        <w:t>PROCEDIMIENTOS EN FORMA DE JUICIO SEGUIDOS POR AUTORIDADES DISTINTAS DE TRIBUNALES A QUE SE REFIERE EL ARTÍCULO 114, FRACCIÓN II, PÁRRAFO SEGUNDO, DE LA LEY DE AMPARO. SU CONCEPTO COMPRENDE TANTO AQUELLOS EN QUE LA AUTORIDAD DIRIME UNA CONTROVERSIA ENTRE P</w:t>
      </w:r>
      <w:r>
        <w:rPr>
          <w:rFonts w:ascii="Palatino Linotype" w:eastAsia="Palatino Linotype" w:hAnsi="Palatino Linotype" w:cs="Palatino Linotype"/>
          <w:b/>
          <w:i/>
        </w:rPr>
        <w:t xml:space="preserve">ARTES CONTENDIENTES, COMO LOS PROCEDIMIENTOS MEDIANTE LOS QUE LA AUTORIDAD PREPARA SU RESOLUCIÓN DEFINITIVA CON INTERVENCIÓN DEL PARTICULAR. </w:t>
      </w:r>
      <w:r>
        <w:rPr>
          <w:rFonts w:ascii="Palatino Linotype" w:eastAsia="Palatino Linotype" w:hAnsi="Palatino Linotype" w:cs="Palatino Linotype"/>
          <w:i/>
        </w:rPr>
        <w:t xml:space="preserve">La Ley de Amparo establece que tratándose de actos dentro de un procedimiento, la </w:t>
      </w:r>
      <w:r>
        <w:rPr>
          <w:rFonts w:ascii="Palatino Linotype" w:eastAsia="Palatino Linotype" w:hAnsi="Palatino Linotype" w:cs="Palatino Linotype"/>
          <w:b/>
          <w:i/>
        </w:rPr>
        <w:t>regla general, con algunas excepc</w:t>
      </w:r>
      <w:r>
        <w:rPr>
          <w:rFonts w:ascii="Palatino Linotype" w:eastAsia="Palatino Linotype" w:hAnsi="Palatino Linotype" w:cs="Palatino Linotype"/>
          <w:b/>
          <w:i/>
        </w:rPr>
        <w:t>iones, es que el juicio constitucional sólo procede hasta la resolución definitiva,</w:t>
      </w:r>
      <w:r>
        <w:rPr>
          <w:rFonts w:ascii="Palatino Linotype" w:eastAsia="Palatino Linotype" w:hAnsi="Palatino Linotype" w:cs="Palatino Linotype"/>
          <w:i/>
        </w:rPr>
        <w:t xml:space="preserve"> ocasión en la cual cabe alegar tanto </w:t>
      </w:r>
      <w:r>
        <w:rPr>
          <w:rFonts w:ascii="Palatino Linotype" w:eastAsia="Palatino Linotype" w:hAnsi="Palatino Linotype" w:cs="Palatino Linotype"/>
          <w:i/>
        </w:rPr>
        <w:lastRenderedPageBreak/>
        <w:t>violaciones de fondo como de procedimiento, sistema que tiene el propósito de armonizar la protección de las garantías constitucionales</w:t>
      </w:r>
      <w:r>
        <w:rPr>
          <w:rFonts w:ascii="Palatino Linotype" w:eastAsia="Palatino Linotype" w:hAnsi="Palatino Linotype" w:cs="Palatino Linotype"/>
          <w:i/>
        </w:rPr>
        <w:t xml:space="preserve"> del gobernado, con la necesidad de asegurar la expeditez de las diligencias procedimentales. Tal es la estructura que dicha Ley adopta en el amparo directo, así como en los procedimientos de ejecución y en los procedimientos de remate, como lo establece e</w:t>
      </w:r>
      <w:r>
        <w:rPr>
          <w:rFonts w:ascii="Palatino Linotype" w:eastAsia="Palatino Linotype" w:hAnsi="Palatino Linotype" w:cs="Palatino Linotype"/>
          <w:i/>
        </w:rPr>
        <w:t xml:space="preserve">n sus artículos </w:t>
      </w:r>
      <w:hyperlink r:id="rId9">
        <w:r>
          <w:rPr>
            <w:rFonts w:ascii="Palatino Linotype" w:eastAsia="Palatino Linotype" w:hAnsi="Palatino Linotype" w:cs="Palatino Linotype"/>
            <w:i/>
            <w:color w:val="0000FF"/>
            <w:u w:val="single"/>
          </w:rPr>
          <w:t>158</w:t>
        </w:r>
      </w:hyperlink>
      <w:r>
        <w:rPr>
          <w:rFonts w:ascii="Palatino Linotype" w:eastAsia="Palatino Linotype" w:hAnsi="Palatino Linotype" w:cs="Palatino Linotype"/>
          <w:i/>
        </w:rPr>
        <w:t xml:space="preserve"> y </w:t>
      </w:r>
      <w:hyperlink r:id="rId10">
        <w:r>
          <w:rPr>
            <w:rFonts w:ascii="Palatino Linotype" w:eastAsia="Palatino Linotype" w:hAnsi="Palatino Linotype" w:cs="Palatino Linotype"/>
            <w:i/>
            <w:color w:val="0000FF"/>
            <w:u w:val="single"/>
          </w:rPr>
          <w:t>114, fracción III</w:t>
        </w:r>
      </w:hyperlink>
      <w:r>
        <w:rPr>
          <w:rFonts w:ascii="Palatino Linotype" w:eastAsia="Palatino Linotype" w:hAnsi="Palatino Linotype" w:cs="Palatino Linotype"/>
          <w:i/>
        </w:rPr>
        <w:t xml:space="preserve">, respectivamente. Por tanto, </w:t>
      </w:r>
      <w:r>
        <w:rPr>
          <w:rFonts w:ascii="Palatino Linotype" w:eastAsia="Palatino Linotype" w:hAnsi="Palatino Linotype" w:cs="Palatino Linotype"/>
          <w:b/>
          <w:i/>
        </w:rPr>
        <w:t>al establecer el segundo párrafo de la fracción II del artículo 114 acabado de citar, que cuando el acto reclamado de autorid</w:t>
      </w:r>
      <w:r>
        <w:rPr>
          <w:rFonts w:ascii="Palatino Linotype" w:eastAsia="Palatino Linotype" w:hAnsi="Palatino Linotype" w:cs="Palatino Linotype"/>
          <w:b/>
          <w:i/>
        </w:rPr>
        <w:t xml:space="preserve">ades distintas de tribunales judiciales, administrativos o del trabajo, emanen de un procedimiento en forma de juicio, el amparo sólo procede en contra de la resolución definitiva, </w:t>
      </w:r>
      <w:r>
        <w:rPr>
          <w:rFonts w:ascii="Palatino Linotype" w:eastAsia="Palatino Linotype" w:hAnsi="Palatino Linotype" w:cs="Palatino Linotype"/>
          <w:b/>
          <w:i/>
          <w:u w:val="single"/>
        </w:rPr>
        <w:t>debe interpretarse de manera amplia</w:t>
      </w:r>
      <w:r>
        <w:rPr>
          <w:rFonts w:ascii="Palatino Linotype" w:eastAsia="Palatino Linotype" w:hAnsi="Palatino Linotype" w:cs="Palatino Linotype"/>
          <w:b/>
          <w:i/>
        </w:rPr>
        <w:t xml:space="preserve"> la expresión "procedimiento en forma de</w:t>
      </w:r>
      <w:r>
        <w:rPr>
          <w:rFonts w:ascii="Palatino Linotype" w:eastAsia="Palatino Linotype" w:hAnsi="Palatino Linotype" w:cs="Palatino Linotype"/>
          <w:b/>
          <w:i/>
        </w:rPr>
        <w:t xml:space="preserve"> juicio", comprendiendo aquellos en que la autoridad dirime una controversia entre partes contendientes, así como todos los procedimientos en que la autoridad, frente al particular, prepara su resolución definitiva, aunque sólo sea un trámite para cumplir </w:t>
      </w:r>
      <w:r>
        <w:rPr>
          <w:rFonts w:ascii="Palatino Linotype" w:eastAsia="Palatino Linotype" w:hAnsi="Palatino Linotype" w:cs="Palatino Linotype"/>
          <w:b/>
          <w:i/>
        </w:rPr>
        <w:t>con la garantía de audiencia, pues si en todos ellos se reclaman actos dentro de procedimiento, en todos debe de aplicarse la misma regla, conclusión que es acorde con la interpretación literal de dicho párrafo.</w:t>
      </w:r>
      <w:r>
        <w:rPr>
          <w:rFonts w:ascii="Palatino Linotype" w:eastAsia="Palatino Linotype" w:hAnsi="Palatino Linotype" w:cs="Palatino Linotype"/>
          <w:i/>
        </w:rPr>
        <w:t>”</w:t>
      </w:r>
    </w:p>
    <w:p w:rsidR="00EF08C3" w:rsidRDefault="00EF08C3">
      <w:pPr>
        <w:spacing w:line="360" w:lineRule="auto"/>
        <w:jc w:val="both"/>
        <w:rPr>
          <w:rFonts w:ascii="Palatino Linotype" w:eastAsia="Palatino Linotype" w:hAnsi="Palatino Linotype" w:cs="Palatino Linotype"/>
          <w:sz w:val="22"/>
          <w:szCs w:val="22"/>
        </w:rPr>
      </w:pPr>
    </w:p>
    <w:p w:rsidR="00EF08C3" w:rsidRDefault="00882C9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Ahora bien, es necesario señalar que respe</w:t>
      </w:r>
      <w:r>
        <w:rPr>
          <w:rFonts w:ascii="Palatino Linotype" w:eastAsia="Palatino Linotype" w:hAnsi="Palatino Linotype" w:cs="Palatino Linotype"/>
        </w:rPr>
        <w:t>cto a las formalidades esenciales del procedimiento, el Pleno de la Suprema de Corte de Justicia de la Nación mediante tesis jurisprudencial P./J.47/95, publicada en el Semanario Judicial de la Federación y su Gaceta, novena época, t. II, diciembre de 1995</w:t>
      </w:r>
      <w:r>
        <w:rPr>
          <w:rFonts w:ascii="Palatino Linotype" w:eastAsia="Palatino Linotype" w:hAnsi="Palatino Linotype" w:cs="Palatino Linotype"/>
        </w:rPr>
        <w:t>, página 133; ha sostenido:</w:t>
      </w:r>
    </w:p>
    <w:p w:rsidR="00EF08C3" w:rsidRDefault="00EF08C3">
      <w:pPr>
        <w:jc w:val="both"/>
        <w:rPr>
          <w:rFonts w:ascii="Palatino Linotype" w:eastAsia="Palatino Linotype" w:hAnsi="Palatino Linotype" w:cs="Palatino Linotype"/>
          <w:sz w:val="22"/>
          <w:szCs w:val="22"/>
        </w:rPr>
      </w:pPr>
    </w:p>
    <w:p w:rsidR="00EF08C3" w:rsidRDefault="00882C9A">
      <w:pPr>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 xml:space="preserve">FORMALIDADES ESENCIALES DEL PROCEDIMIENTO. SON LAS QUE GARANTIZAN UNA ADECUADA Y OPORTUNA DEFENSA PREVIA AL ACTO PRIVATIVO. </w:t>
      </w:r>
      <w:r>
        <w:rPr>
          <w:rFonts w:ascii="Palatino Linotype" w:eastAsia="Palatino Linotype" w:hAnsi="Palatino Linotype" w:cs="Palatino Linotype"/>
          <w:i/>
        </w:rPr>
        <w:t>La garantía de audiencia establecida por el artículo 14 constitucional consiste en otorgar al gobernad</w:t>
      </w:r>
      <w:r>
        <w:rPr>
          <w:rFonts w:ascii="Palatino Linotype" w:eastAsia="Palatino Linotype" w:hAnsi="Palatino Linotype" w:cs="Palatino Linotype"/>
          <w:i/>
        </w:rPr>
        <w:t>o la oportunidad de defensa previamente al acto privativo de la vida, libertad, propiedad, posesiones o derechos, y su debido respeto impone a las autoridades, entre otras obligaciones, la de que en el juicio que se siga ‘se cumplan las formalidades esenci</w:t>
      </w:r>
      <w:r>
        <w:rPr>
          <w:rFonts w:ascii="Palatino Linotype" w:eastAsia="Palatino Linotype" w:hAnsi="Palatino Linotype" w:cs="Palatino Linotype"/>
          <w:i/>
        </w:rPr>
        <w:t xml:space="preserve">ales del procedimiento’. Estas son las que resultan necesarias para garantizar la defensa adecuada antes del acto de privación y que, de manera genérica, se traducen en los siguientes requisitos: 1) La notificación del inicio del procedimiento y sus </w:t>
      </w:r>
      <w:r>
        <w:rPr>
          <w:rFonts w:ascii="Palatino Linotype" w:eastAsia="Palatino Linotype" w:hAnsi="Palatino Linotype" w:cs="Palatino Linotype"/>
          <w:i/>
        </w:rPr>
        <w:lastRenderedPageBreak/>
        <w:t>consec</w:t>
      </w:r>
      <w:r>
        <w:rPr>
          <w:rFonts w:ascii="Palatino Linotype" w:eastAsia="Palatino Linotype" w:hAnsi="Palatino Linotype" w:cs="Palatino Linotype"/>
          <w:i/>
        </w:rPr>
        <w:t>uencias; 2) La oportunidad de ofrecer y desahogar las pruebas en que se finque la defensa; 3) La oportunidad de alegar; y 4) El dictado de una resolución que dirima las cuestiones debatidas. De no respetarse estos requisitos, se dejaría de cumplir con el f</w:t>
      </w:r>
      <w:r>
        <w:rPr>
          <w:rFonts w:ascii="Palatino Linotype" w:eastAsia="Palatino Linotype" w:hAnsi="Palatino Linotype" w:cs="Palatino Linotype"/>
          <w:i/>
        </w:rPr>
        <w:t>in de la garantía de audiencia, que es evitar la indefensión del afectado.”</w:t>
      </w:r>
    </w:p>
    <w:p w:rsidR="00EF08C3" w:rsidRDefault="00EF08C3">
      <w:pPr>
        <w:spacing w:line="360" w:lineRule="auto"/>
        <w:jc w:val="both"/>
        <w:rPr>
          <w:rFonts w:ascii="Palatino Linotype" w:eastAsia="Palatino Linotype" w:hAnsi="Palatino Linotype" w:cs="Palatino Linotype"/>
          <w:sz w:val="28"/>
          <w:szCs w:val="28"/>
        </w:rPr>
      </w:pPr>
    </w:p>
    <w:p w:rsidR="00EF08C3" w:rsidRDefault="00882C9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Del criterio jurisprudencial citado, se desprende que las formalidades esenciales del procedimiento que exige el párrafo segundo del artículo 14 de la Constitución Política de los</w:t>
      </w:r>
      <w:r>
        <w:rPr>
          <w:rFonts w:ascii="Palatino Linotype" w:eastAsia="Palatino Linotype" w:hAnsi="Palatino Linotype" w:cs="Palatino Linotype"/>
        </w:rPr>
        <w:t xml:space="preserve"> Estados Unidos Mexicanos para que se respete la garantía de audiencia, son las que resultan necesarias para garantizar la defensa adecuada antes del acto de privación y que, de manera genérica, se traducen en los siguientes requisitos:</w:t>
      </w:r>
    </w:p>
    <w:p w:rsidR="00EF08C3" w:rsidRDefault="00882C9A">
      <w:pPr>
        <w:numPr>
          <w:ilvl w:val="0"/>
          <w:numId w:val="2"/>
        </w:numPr>
        <w:spacing w:line="360" w:lineRule="auto"/>
        <w:ind w:left="851"/>
        <w:jc w:val="both"/>
        <w:rPr>
          <w:rFonts w:ascii="Palatino Linotype" w:eastAsia="Palatino Linotype" w:hAnsi="Palatino Linotype" w:cs="Palatino Linotype"/>
        </w:rPr>
      </w:pPr>
      <w:r>
        <w:rPr>
          <w:rFonts w:ascii="Palatino Linotype" w:eastAsia="Palatino Linotype" w:hAnsi="Palatino Linotype" w:cs="Palatino Linotype"/>
        </w:rPr>
        <w:t>La notificación del</w:t>
      </w:r>
      <w:r>
        <w:rPr>
          <w:rFonts w:ascii="Palatino Linotype" w:eastAsia="Palatino Linotype" w:hAnsi="Palatino Linotype" w:cs="Palatino Linotype"/>
        </w:rPr>
        <w:t xml:space="preserve"> inicio del procedimiento y sus consecuencias;</w:t>
      </w:r>
    </w:p>
    <w:p w:rsidR="00EF08C3" w:rsidRDefault="00882C9A">
      <w:pPr>
        <w:numPr>
          <w:ilvl w:val="0"/>
          <w:numId w:val="2"/>
        </w:numPr>
        <w:spacing w:line="360" w:lineRule="auto"/>
        <w:ind w:left="851"/>
        <w:jc w:val="both"/>
        <w:rPr>
          <w:rFonts w:ascii="Palatino Linotype" w:eastAsia="Palatino Linotype" w:hAnsi="Palatino Linotype" w:cs="Palatino Linotype"/>
        </w:rPr>
      </w:pPr>
      <w:r>
        <w:rPr>
          <w:rFonts w:ascii="Palatino Linotype" w:eastAsia="Palatino Linotype" w:hAnsi="Palatino Linotype" w:cs="Palatino Linotype"/>
        </w:rPr>
        <w:t xml:space="preserve">La oportunidad de ofrecer y desahogar pruebas; </w:t>
      </w:r>
    </w:p>
    <w:p w:rsidR="00EF08C3" w:rsidRDefault="00882C9A">
      <w:pPr>
        <w:numPr>
          <w:ilvl w:val="0"/>
          <w:numId w:val="2"/>
        </w:numPr>
        <w:spacing w:line="360" w:lineRule="auto"/>
        <w:ind w:left="851"/>
        <w:jc w:val="both"/>
        <w:rPr>
          <w:rFonts w:ascii="Palatino Linotype" w:eastAsia="Palatino Linotype" w:hAnsi="Palatino Linotype" w:cs="Palatino Linotype"/>
        </w:rPr>
      </w:pPr>
      <w:r>
        <w:rPr>
          <w:rFonts w:ascii="Palatino Linotype" w:eastAsia="Palatino Linotype" w:hAnsi="Palatino Linotype" w:cs="Palatino Linotype"/>
        </w:rPr>
        <w:t>La oportunidad de alegar; y</w:t>
      </w:r>
    </w:p>
    <w:p w:rsidR="00EF08C3" w:rsidRDefault="00882C9A">
      <w:pPr>
        <w:numPr>
          <w:ilvl w:val="0"/>
          <w:numId w:val="2"/>
        </w:numPr>
        <w:spacing w:line="360" w:lineRule="auto"/>
        <w:ind w:left="851"/>
        <w:jc w:val="both"/>
        <w:rPr>
          <w:rFonts w:ascii="Palatino Linotype" w:eastAsia="Palatino Linotype" w:hAnsi="Palatino Linotype" w:cs="Palatino Linotype"/>
        </w:rPr>
      </w:pPr>
      <w:r>
        <w:rPr>
          <w:rFonts w:ascii="Palatino Linotype" w:eastAsia="Palatino Linotype" w:hAnsi="Palatino Linotype" w:cs="Palatino Linotype"/>
        </w:rPr>
        <w:t>El dictado de una resolución que dirima las cuestiones debatidas.</w:t>
      </w:r>
    </w:p>
    <w:p w:rsidR="00EF08C3" w:rsidRDefault="00EF08C3">
      <w:pPr>
        <w:spacing w:line="360" w:lineRule="auto"/>
        <w:jc w:val="both"/>
        <w:rPr>
          <w:rFonts w:ascii="Palatino Linotype" w:eastAsia="Palatino Linotype" w:hAnsi="Palatino Linotype" w:cs="Palatino Linotype"/>
        </w:rPr>
      </w:pPr>
    </w:p>
    <w:p w:rsidR="00EF08C3" w:rsidRDefault="00882C9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hace a la notificación del inicio del procedimiento y sus consecuencias, es la etapa en la que se hace del concomimiento de una de las partes que se ha instaurado un procedimiento en su contra; por lo que hace la oportunidad de ofrecer y desahog</w:t>
      </w:r>
      <w:r>
        <w:rPr>
          <w:rFonts w:ascii="Palatino Linotype" w:eastAsia="Palatino Linotype" w:hAnsi="Palatino Linotype" w:cs="Palatino Linotype"/>
        </w:rPr>
        <w:t>ar pruebas, es la instancia en la que se da a las partes de presentar aquellos elementos de convicción que acrediten sus pretensiones; en relación con la fase de alegar, es aquella del proceso en que las partes presentan las manifestaciones que a su derech</w:t>
      </w:r>
      <w:r>
        <w:rPr>
          <w:rFonts w:ascii="Palatino Linotype" w:eastAsia="Palatino Linotype" w:hAnsi="Palatino Linotype" w:cs="Palatino Linotype"/>
        </w:rPr>
        <w:t>o convenga, y finalmente, por lo que hace al dictado de la resolución, versa en la determinación de la autoridad competente de las cuestiones debatidas.</w:t>
      </w:r>
    </w:p>
    <w:p w:rsidR="00EF08C3" w:rsidRDefault="00EF08C3">
      <w:pPr>
        <w:spacing w:line="360" w:lineRule="auto"/>
        <w:jc w:val="both"/>
        <w:rPr>
          <w:rFonts w:ascii="Palatino Linotype" w:eastAsia="Palatino Linotype" w:hAnsi="Palatino Linotype" w:cs="Palatino Linotype"/>
        </w:rPr>
      </w:pPr>
    </w:p>
    <w:p w:rsidR="00EF08C3" w:rsidRDefault="00882C9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ese contexto, de las constancias que obran en el expediente, se advierte que el</w:t>
      </w:r>
      <w:r>
        <w:rPr>
          <w:rFonts w:ascii="Palatino Linotype" w:eastAsia="Palatino Linotype" w:hAnsi="Palatino Linotype" w:cs="Palatino Linotype"/>
          <w:b/>
        </w:rPr>
        <w:t xml:space="preserve"> SUJETO OBLIGADO </w:t>
      </w:r>
      <w:r>
        <w:rPr>
          <w:rFonts w:ascii="Palatino Linotype" w:eastAsia="Palatino Linotype" w:hAnsi="Palatino Linotype" w:cs="Palatino Linotype"/>
        </w:rPr>
        <w:t xml:space="preserve">turnó la solicitud de información al Consejero Jurídico del Ayuntamiento de Atenco, por lo que, se procedió a verificar en Bando Municipal y demás reglamentación municipal, del cual </w:t>
      </w:r>
      <w:r>
        <w:rPr>
          <w:rFonts w:ascii="Palatino Linotype" w:eastAsia="Palatino Linotype" w:hAnsi="Palatino Linotype" w:cs="Palatino Linotype"/>
          <w:b/>
        </w:rPr>
        <w:t>no se logró desprender alguna atribución para atender quejas o denuncias o</w:t>
      </w:r>
      <w:r>
        <w:rPr>
          <w:rFonts w:ascii="Palatino Linotype" w:eastAsia="Palatino Linotype" w:hAnsi="Palatino Linotype" w:cs="Palatino Linotype"/>
          <w:b/>
        </w:rPr>
        <w:t xml:space="preserve"> sustancie procedimientos seguidos en forma de juicio</w:t>
      </w:r>
      <w:r>
        <w:rPr>
          <w:rFonts w:ascii="Palatino Linotype" w:eastAsia="Palatino Linotype" w:hAnsi="Palatino Linotype" w:cs="Palatino Linotype"/>
        </w:rPr>
        <w:t>; por lo que, sus respuestas resultan improcedentes.</w:t>
      </w:r>
    </w:p>
    <w:p w:rsidR="00EF08C3" w:rsidRDefault="00EF08C3">
      <w:pPr>
        <w:spacing w:line="360" w:lineRule="auto"/>
        <w:jc w:val="both"/>
        <w:rPr>
          <w:rFonts w:ascii="Palatino Linotype" w:eastAsia="Palatino Linotype" w:hAnsi="Palatino Linotype" w:cs="Palatino Linotype"/>
        </w:rPr>
      </w:pPr>
    </w:p>
    <w:p w:rsidR="00EF08C3" w:rsidRDefault="00882C9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contexto, este Instituto realizó una búsqueda de información pública, en el Portal de Información Pública de Oficio Mexiquense de Atenco, dos </w:t>
      </w:r>
      <w:r>
        <w:rPr>
          <w:rFonts w:ascii="Palatino Linotype" w:eastAsia="Palatino Linotype" w:hAnsi="Palatino Linotype" w:cs="Palatino Linotype"/>
        </w:rPr>
        <w:t xml:space="preserve">mil veintidós, fracción I Normatividad Aplicable, apartado Reglamentos </w:t>
      </w:r>
      <w:hyperlink r:id="rId11">
        <w:r>
          <w:rPr>
            <w:rFonts w:ascii="Palatino Linotype" w:eastAsia="Palatino Linotype" w:hAnsi="Palatino Linotype" w:cs="Palatino Linotype"/>
            <w:color w:val="000000"/>
            <w:u w:val="single"/>
          </w:rPr>
          <w:t>https://www.ipomex.org.mx/ipo3/lgt/indice/ATENCO/art_92_i.web</w:t>
        </w:r>
      </w:hyperlink>
      <w:r>
        <w:rPr>
          <w:rFonts w:ascii="Palatino Linotype" w:eastAsia="Palatino Linotype" w:hAnsi="Palatino Linotype" w:cs="Palatino Linotype"/>
        </w:rPr>
        <w:t xml:space="preserve">, en donde se localizó  el Bando municipal </w:t>
      </w:r>
      <w:r>
        <w:rPr>
          <w:rFonts w:ascii="Palatino Linotype" w:eastAsia="Palatino Linotype" w:hAnsi="Palatino Linotype" w:cs="Palatino Linotype"/>
        </w:rPr>
        <w:t>del SUJETO OBLIGADO el cual contiene un procedimiento administrativo seguido en forma de juicio, se muestra  a continuación:</w:t>
      </w:r>
    </w:p>
    <w:p w:rsidR="00EF08C3" w:rsidRDefault="00EF08C3">
      <w:pPr>
        <w:spacing w:line="360" w:lineRule="auto"/>
        <w:jc w:val="both"/>
        <w:rPr>
          <w:rFonts w:ascii="Palatino Linotype" w:eastAsia="Palatino Linotype" w:hAnsi="Palatino Linotype" w:cs="Palatino Linotype"/>
        </w:rPr>
      </w:pPr>
    </w:p>
    <w:p w:rsidR="00EF08C3" w:rsidRDefault="00882C9A">
      <w:pPr>
        <w:ind w:lef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130. Con fundamento en la Ley de Responsabilidades Administrativas del Estado de México y Municipios, la contraloría Inte</w:t>
      </w:r>
      <w:r>
        <w:rPr>
          <w:rFonts w:ascii="Palatino Linotype" w:eastAsia="Palatino Linotype" w:hAnsi="Palatino Linotype" w:cs="Palatino Linotype"/>
          <w:i/>
          <w:sz w:val="22"/>
          <w:szCs w:val="22"/>
        </w:rPr>
        <w:t xml:space="preserve">rna Municipal se auxiliara de las autoridades para su aplicación, siendo las siguientes: </w:t>
      </w:r>
    </w:p>
    <w:p w:rsidR="00EF08C3" w:rsidRDefault="00882C9A">
      <w:pPr>
        <w:numPr>
          <w:ilvl w:val="0"/>
          <w:numId w:val="4"/>
        </w:numPr>
        <w:pBdr>
          <w:top w:val="nil"/>
          <w:left w:val="nil"/>
          <w:bottom w:val="nil"/>
          <w:right w:val="nil"/>
          <w:between w:val="nil"/>
        </w:pBdr>
        <w:ind w:left="1788"/>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Autoridad Investigadora. A la Autoridad adscrita a la contraloría interna Municipal, quien se encarga de la investigación de las faltas administrativas;</w:t>
      </w:r>
    </w:p>
    <w:p w:rsidR="00EF08C3" w:rsidRDefault="00882C9A">
      <w:pPr>
        <w:numPr>
          <w:ilvl w:val="0"/>
          <w:numId w:val="4"/>
        </w:numPr>
        <w:pBdr>
          <w:top w:val="nil"/>
          <w:left w:val="nil"/>
          <w:bottom w:val="nil"/>
          <w:right w:val="nil"/>
          <w:between w:val="nil"/>
        </w:pBdr>
        <w:ind w:left="1788"/>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Autoridad Sub</w:t>
      </w:r>
      <w:r>
        <w:rPr>
          <w:rFonts w:ascii="Palatino Linotype" w:eastAsia="Palatino Linotype" w:hAnsi="Palatino Linotype" w:cs="Palatino Linotype"/>
          <w:b/>
          <w:i/>
          <w:color w:val="000000"/>
          <w:sz w:val="22"/>
          <w:szCs w:val="22"/>
        </w:rPr>
        <w:t xml:space="preserve">stanciadora. </w:t>
      </w:r>
      <w:r>
        <w:rPr>
          <w:rFonts w:ascii="Palatino Linotype" w:eastAsia="Palatino Linotype" w:hAnsi="Palatino Linotype" w:cs="Palatino Linotype"/>
          <w:i/>
          <w:color w:val="000000"/>
          <w:sz w:val="22"/>
          <w:szCs w:val="22"/>
        </w:rPr>
        <w:t>A la Autoridad adscrita a la contraloría Interna Municipal, quien en el ámbito de su competencia dirige y conduce el procedimiento de responsabilidades administrativas desde su admisión de presunta responsabilidad administrativa y hasta la con</w:t>
      </w:r>
      <w:r>
        <w:rPr>
          <w:rFonts w:ascii="Palatino Linotype" w:eastAsia="Palatino Linotype" w:hAnsi="Palatino Linotype" w:cs="Palatino Linotype"/>
          <w:i/>
          <w:color w:val="000000"/>
          <w:sz w:val="22"/>
          <w:szCs w:val="22"/>
        </w:rPr>
        <w:t>clusión de la audiencia inicial. Su función de esta, en ningún caso poda ser ejercida por una Autoridad Investigadora;</w:t>
      </w:r>
    </w:p>
    <w:p w:rsidR="00EF08C3" w:rsidRDefault="00882C9A">
      <w:pPr>
        <w:numPr>
          <w:ilvl w:val="0"/>
          <w:numId w:val="4"/>
        </w:numPr>
        <w:pBdr>
          <w:top w:val="nil"/>
          <w:left w:val="nil"/>
          <w:bottom w:val="nil"/>
          <w:right w:val="nil"/>
          <w:between w:val="nil"/>
        </w:pBdr>
        <w:ind w:left="1788"/>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Autoridad Resolutora. </w:t>
      </w:r>
      <w:r>
        <w:rPr>
          <w:rFonts w:ascii="Palatino Linotype" w:eastAsia="Palatino Linotype" w:hAnsi="Palatino Linotype" w:cs="Palatino Linotype"/>
          <w:i/>
          <w:color w:val="000000"/>
          <w:sz w:val="22"/>
          <w:szCs w:val="22"/>
        </w:rPr>
        <w:t>A la unidad de responsabilidades administrativas adscrita a la Secretaria de la contraloría y a los órganos interno</w:t>
      </w:r>
      <w:r>
        <w:rPr>
          <w:rFonts w:ascii="Palatino Linotype" w:eastAsia="Palatino Linotype" w:hAnsi="Palatino Linotype" w:cs="Palatino Linotype"/>
          <w:i/>
          <w:color w:val="000000"/>
          <w:sz w:val="22"/>
          <w:szCs w:val="22"/>
        </w:rPr>
        <w:t xml:space="preserve">s de control o al </w:t>
      </w:r>
      <w:r>
        <w:rPr>
          <w:rFonts w:ascii="Palatino Linotype" w:eastAsia="Palatino Linotype" w:hAnsi="Palatino Linotype" w:cs="Palatino Linotype"/>
          <w:i/>
          <w:color w:val="000000"/>
          <w:sz w:val="22"/>
          <w:szCs w:val="22"/>
        </w:rPr>
        <w:lastRenderedPageBreak/>
        <w:t>Servidor público que estos últimos asignen, así como de las empresas de participación estatal y Municipal, tratándose de faltas administrativas no graves.</w:t>
      </w:r>
      <w:r>
        <w:rPr>
          <w:rFonts w:ascii="Palatino Linotype" w:eastAsia="Palatino Linotype" w:hAnsi="Palatino Linotype" w:cs="Palatino Linotype"/>
          <w:b/>
          <w:i/>
          <w:color w:val="000000"/>
          <w:sz w:val="22"/>
          <w:szCs w:val="22"/>
        </w:rPr>
        <w:t xml:space="preserve"> </w:t>
      </w:r>
    </w:p>
    <w:p w:rsidR="00EF08C3" w:rsidRDefault="00EF08C3">
      <w:pPr>
        <w:ind w:left="708"/>
        <w:jc w:val="both"/>
        <w:rPr>
          <w:rFonts w:ascii="Palatino Linotype" w:eastAsia="Palatino Linotype" w:hAnsi="Palatino Linotype" w:cs="Palatino Linotype"/>
          <w:i/>
          <w:sz w:val="22"/>
          <w:szCs w:val="22"/>
        </w:rPr>
      </w:pPr>
    </w:p>
    <w:p w:rsidR="00EF08C3" w:rsidRDefault="00882C9A">
      <w:pPr>
        <w:ind w:left="14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135. La contraloría Municipal, podrá conocer, tramitar y resolver proced</w:t>
      </w:r>
      <w:r>
        <w:rPr>
          <w:rFonts w:ascii="Palatino Linotype" w:eastAsia="Palatino Linotype" w:hAnsi="Palatino Linotype" w:cs="Palatino Linotype"/>
          <w:i/>
          <w:sz w:val="22"/>
          <w:szCs w:val="22"/>
        </w:rPr>
        <w:t xml:space="preserve">imientos administrativos, por responsabilidades administrativas cometidas por los servidores públicos en su función, durante los plazos establecidos en la Ley y/o posteriores al desempeño de su periodo y demás que les confieran las Leyes aplicables. </w:t>
      </w:r>
    </w:p>
    <w:p w:rsidR="00EF08C3" w:rsidRDefault="00EF08C3">
      <w:pPr>
        <w:ind w:left="1416"/>
        <w:jc w:val="both"/>
        <w:rPr>
          <w:rFonts w:ascii="Palatino Linotype" w:eastAsia="Palatino Linotype" w:hAnsi="Palatino Linotype" w:cs="Palatino Linotype"/>
          <w:i/>
          <w:sz w:val="22"/>
          <w:szCs w:val="22"/>
        </w:rPr>
      </w:pPr>
    </w:p>
    <w:p w:rsidR="00EF08C3" w:rsidRDefault="00EF08C3">
      <w:pPr>
        <w:spacing w:line="360" w:lineRule="auto"/>
        <w:jc w:val="both"/>
        <w:rPr>
          <w:rFonts w:ascii="Palatino Linotype" w:eastAsia="Palatino Linotype" w:hAnsi="Palatino Linotype" w:cs="Palatino Linotype"/>
        </w:rPr>
      </w:pPr>
    </w:p>
    <w:p w:rsidR="00EF08C3" w:rsidRDefault="00882C9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Com</w:t>
      </w:r>
      <w:r>
        <w:rPr>
          <w:rFonts w:ascii="Palatino Linotype" w:eastAsia="Palatino Linotype" w:hAnsi="Palatino Linotype" w:cs="Palatino Linotype"/>
        </w:rPr>
        <w:t>o se logra observar, el SUJETO OBLIGADO sí emite resoluciones de procedimientos administrativos seguidos en forma de juicio, pues cuenta con  áreas que los lleva a cabo, a saber, de manera enunciativa mas no limitativa la Contraloría Interna Municipal; por</w:t>
      </w:r>
      <w:r>
        <w:rPr>
          <w:rFonts w:ascii="Palatino Linotype" w:eastAsia="Palatino Linotype" w:hAnsi="Palatino Linotype" w:cs="Palatino Linotype"/>
        </w:rPr>
        <w:t xml:space="preserve"> lo que, se puede concluir que el Ayuntamiento de Atenco incumplió con el procedimiento de búsqueda establecido en el artículo 162 de la Ley de Transparencia y Acceso a la Información Pública del Estado de México y Municipios: “</w:t>
      </w:r>
      <w:r>
        <w:rPr>
          <w:rFonts w:ascii="Palatino Linotype" w:eastAsia="Palatino Linotype" w:hAnsi="Palatino Linotype" w:cs="Palatino Linotype"/>
          <w:i/>
        </w:rPr>
        <w:t>Las unidades de transparenci</w:t>
      </w:r>
      <w:r>
        <w:rPr>
          <w:rFonts w:ascii="Palatino Linotype" w:eastAsia="Palatino Linotype" w:hAnsi="Palatino Linotype" w:cs="Palatino Linotype"/>
          <w:i/>
        </w:rPr>
        <w:t>a deberán garantizar que las solicitudes se turnen a todas las Áreas competentes que cuenten con la información o deban tenerla de acuerdo a sus facultades, competencias y funciones, con el objeto de que realicen una búsqueda exhaustiva y razonable de la i</w:t>
      </w:r>
      <w:r>
        <w:rPr>
          <w:rFonts w:ascii="Palatino Linotype" w:eastAsia="Palatino Linotype" w:hAnsi="Palatino Linotype" w:cs="Palatino Linotype"/>
          <w:i/>
        </w:rPr>
        <w:t>nformación solicitada.”</w:t>
      </w:r>
    </w:p>
    <w:p w:rsidR="00EF08C3" w:rsidRDefault="00EF08C3">
      <w:pPr>
        <w:spacing w:line="360" w:lineRule="auto"/>
        <w:jc w:val="both"/>
        <w:rPr>
          <w:rFonts w:ascii="Palatino Linotype" w:eastAsia="Palatino Linotype" w:hAnsi="Palatino Linotype" w:cs="Palatino Linotype"/>
        </w:rPr>
      </w:pPr>
    </w:p>
    <w:p w:rsidR="00EF08C3" w:rsidRDefault="00882C9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para atender el requerimiento informativo, el Ente Recurrido deberá realizar una búsqueda exhaustiva y razonable, en todas las áreas competentes, entra las cuales no podrá omitir la unidad administrativa que fue analizada, a efecto de que proporcionen</w:t>
      </w:r>
      <w:r>
        <w:rPr>
          <w:rFonts w:ascii="Palatino Linotype" w:eastAsia="Palatino Linotype" w:hAnsi="Palatino Linotype" w:cs="Palatino Linotype"/>
        </w:rPr>
        <w:t xml:space="preserve"> las </w:t>
      </w:r>
      <w:r>
        <w:rPr>
          <w:rFonts w:ascii="Palatino Linotype" w:eastAsia="Palatino Linotype" w:hAnsi="Palatino Linotype" w:cs="Palatino Linotype"/>
          <w:b/>
          <w:u w:val="single"/>
        </w:rPr>
        <w:t>resoluciones emitidas</w:t>
      </w:r>
      <w:r>
        <w:rPr>
          <w:rFonts w:ascii="Palatino Linotype" w:eastAsia="Palatino Linotype" w:hAnsi="Palatino Linotype" w:cs="Palatino Linotype"/>
        </w:rPr>
        <w:t xml:space="preserve"> de los procedimientos administrativos seguidos en forma de juicio y </w:t>
      </w:r>
      <w:r>
        <w:rPr>
          <w:rFonts w:ascii="Palatino Linotype" w:eastAsia="Palatino Linotype" w:hAnsi="Palatino Linotype" w:cs="Palatino Linotype"/>
          <w:b/>
        </w:rPr>
        <w:t>hayan causado estado, y de aquellas que encuadren en los supuestos de excepción  establecidos en el artículo 142 de la Ley en la materia, aunque estas últimas no</w:t>
      </w:r>
      <w:r>
        <w:rPr>
          <w:rFonts w:ascii="Palatino Linotype" w:eastAsia="Palatino Linotype" w:hAnsi="Palatino Linotype" w:cs="Palatino Linotype"/>
          <w:b/>
        </w:rPr>
        <w:t xml:space="preserve"> hayan causado estado.</w:t>
      </w:r>
    </w:p>
    <w:p w:rsidR="00EF08C3" w:rsidRDefault="00EF08C3">
      <w:pPr>
        <w:spacing w:line="360" w:lineRule="auto"/>
        <w:jc w:val="both"/>
        <w:rPr>
          <w:rFonts w:ascii="Palatino Linotype" w:eastAsia="Palatino Linotype" w:hAnsi="Palatino Linotype" w:cs="Palatino Linotype"/>
        </w:rPr>
      </w:pPr>
    </w:p>
    <w:p w:rsidR="00EF08C3" w:rsidRDefault="00882C9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protegiendo el nombre de los servidores públicos relacionados con procedimientos en los que no se determinó responsabilidad administrativa, así como en aquellos casos en que aun habiéndose determinado responsabilidad ad</w:t>
      </w:r>
      <w:r>
        <w:rPr>
          <w:rFonts w:ascii="Palatino Linotype" w:eastAsia="Palatino Linotype" w:hAnsi="Palatino Linotype" w:cs="Palatino Linotype"/>
        </w:rPr>
        <w:t xml:space="preserve">ministrativa la misma no fue por alguna falta administrativa grave. </w:t>
      </w:r>
    </w:p>
    <w:p w:rsidR="00EF08C3" w:rsidRDefault="00EF08C3">
      <w:pPr>
        <w:spacing w:line="360" w:lineRule="auto"/>
        <w:ind w:right="-93"/>
        <w:jc w:val="both"/>
        <w:rPr>
          <w:rFonts w:ascii="Palatino Linotype" w:eastAsia="Palatino Linotype" w:hAnsi="Palatino Linotype" w:cs="Palatino Linotype"/>
        </w:rPr>
      </w:pPr>
    </w:p>
    <w:p w:rsidR="00EF08C3" w:rsidRDefault="00882C9A">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en el caso de que los documentos localizados, contengan datos o información clasificable, en términos del artículo 143, de la Ley de la materia, el SUJETO OBLIGADO deberá elaborar las versiones públicas respectivas. </w:t>
      </w:r>
    </w:p>
    <w:p w:rsidR="00EF08C3" w:rsidRDefault="00EF08C3">
      <w:pPr>
        <w:spacing w:line="360" w:lineRule="auto"/>
        <w:ind w:right="-93"/>
        <w:jc w:val="both"/>
        <w:rPr>
          <w:rFonts w:ascii="Palatino Linotype" w:eastAsia="Palatino Linotype" w:hAnsi="Palatino Linotype" w:cs="Palatino Linotype"/>
        </w:rPr>
      </w:pPr>
    </w:p>
    <w:p w:rsidR="00EF08C3" w:rsidRDefault="00882C9A">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Asimismo, en caso de encua</w:t>
      </w:r>
      <w:r>
        <w:rPr>
          <w:rFonts w:ascii="Palatino Linotype" w:eastAsia="Palatino Linotype" w:hAnsi="Palatino Linotype" w:cs="Palatino Linotype"/>
        </w:rPr>
        <w:t>drar en la causal de reserva de la información, deberá emitir y entregar la resolución de su Comité de Transparencia, en donde, de manera fundada y motivada, confirme dicha clasificación, en el caso particular de conformidad con e</w:t>
      </w:r>
      <w:r>
        <w:rPr>
          <w:rFonts w:ascii="Palatino Linotype" w:eastAsia="Palatino Linotype" w:hAnsi="Palatino Linotype" w:cs="Palatino Linotype"/>
          <w:color w:val="000000"/>
        </w:rPr>
        <w:t>l artículo 140 fracción VI</w:t>
      </w:r>
      <w:r>
        <w:rPr>
          <w:rFonts w:ascii="Palatino Linotype" w:eastAsia="Palatino Linotype" w:hAnsi="Palatino Linotype" w:cs="Palatino Linotype"/>
          <w:color w:val="000000"/>
        </w:rPr>
        <w:t>II de la Ley de Transparencia vigente, esto es, el Sujeto Obligado deberá emitir el acuerdo debidamente fundado y motivado cumpliendo cabalmente las formalidades previstas en los artículos 47, 49 fracción VIII, 122, 125, 128, 129, 131, 132 fracción II, 133</w:t>
      </w:r>
      <w:r>
        <w:rPr>
          <w:rFonts w:ascii="Palatino Linotype" w:eastAsia="Palatino Linotype" w:hAnsi="Palatino Linotype" w:cs="Palatino Linotype"/>
          <w:color w:val="000000"/>
        </w:rPr>
        <w:t>, 134, 140 fracción VI y 141 de la Ley de Transparencia y Acceso a la Información Pública del Estado de México y Municipios, que se transcriben a continuación:</w:t>
      </w:r>
    </w:p>
    <w:p w:rsidR="00EF08C3" w:rsidRDefault="00882C9A">
      <w:pPr>
        <w:pBdr>
          <w:top w:val="nil"/>
          <w:left w:val="nil"/>
          <w:bottom w:val="nil"/>
          <w:right w:val="nil"/>
          <w:between w:val="nil"/>
        </w:pBdr>
        <w:ind w:left="851" w:right="851"/>
        <w:jc w:val="both"/>
        <w:rPr>
          <w:color w:val="000000"/>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 xml:space="preserve">Artículo 47. </w:t>
      </w:r>
      <w:r>
        <w:rPr>
          <w:rFonts w:ascii="Palatino Linotype" w:eastAsia="Palatino Linotype" w:hAnsi="Palatino Linotype" w:cs="Palatino Linotype"/>
          <w:i/>
          <w:color w:val="000000"/>
          <w:sz w:val="22"/>
          <w:szCs w:val="22"/>
        </w:rPr>
        <w:t>El Comité de Transparencia será la autoridad máxima al interior del sujeto obligad</w:t>
      </w:r>
      <w:r>
        <w:rPr>
          <w:rFonts w:ascii="Palatino Linotype" w:eastAsia="Palatino Linotype" w:hAnsi="Palatino Linotype" w:cs="Palatino Linotype"/>
          <w:i/>
          <w:color w:val="000000"/>
          <w:sz w:val="22"/>
          <w:szCs w:val="22"/>
        </w:rPr>
        <w:t>o en materia del derecho de acceso a la información.</w:t>
      </w:r>
    </w:p>
    <w:p w:rsidR="00EF08C3" w:rsidRDefault="00882C9A">
      <w:pPr>
        <w:pBdr>
          <w:top w:val="nil"/>
          <w:left w:val="nil"/>
          <w:bottom w:val="nil"/>
          <w:right w:val="nil"/>
          <w:between w:val="nil"/>
        </w:pBdr>
        <w:ind w:left="851" w:right="851"/>
        <w:jc w:val="both"/>
        <w:rPr>
          <w:color w:val="000000"/>
        </w:rPr>
      </w:pPr>
      <w:r>
        <w:rPr>
          <w:rFonts w:ascii="Palatino Linotype" w:eastAsia="Palatino Linotype" w:hAnsi="Palatino Linotype" w:cs="Palatino Linotype"/>
          <w:b/>
          <w:i/>
          <w:color w:val="000000"/>
          <w:sz w:val="22"/>
          <w:szCs w:val="22"/>
        </w:rPr>
        <w:t xml:space="preserve">Los titulares de las unidades administrativas que propongan la reserva, </w:t>
      </w:r>
      <w:r>
        <w:rPr>
          <w:rFonts w:ascii="Palatino Linotype" w:eastAsia="Palatino Linotype" w:hAnsi="Palatino Linotype" w:cs="Palatino Linotype"/>
          <w:i/>
          <w:color w:val="000000"/>
          <w:sz w:val="22"/>
          <w:szCs w:val="22"/>
        </w:rPr>
        <w:t>confidencialidad o declaren la inexistencia de información</w:t>
      </w:r>
      <w:r>
        <w:rPr>
          <w:rFonts w:ascii="Palatino Linotype" w:eastAsia="Palatino Linotype" w:hAnsi="Palatino Linotype" w:cs="Palatino Linotype"/>
          <w:b/>
          <w:i/>
          <w:color w:val="000000"/>
          <w:sz w:val="22"/>
          <w:szCs w:val="22"/>
        </w:rPr>
        <w:t>, acudirán a las sesiones de dicho Comité donde se discuta la propuesta c</w:t>
      </w:r>
      <w:r>
        <w:rPr>
          <w:rFonts w:ascii="Palatino Linotype" w:eastAsia="Palatino Linotype" w:hAnsi="Palatino Linotype" w:cs="Palatino Linotype"/>
          <w:b/>
          <w:i/>
          <w:color w:val="000000"/>
          <w:sz w:val="22"/>
          <w:szCs w:val="22"/>
        </w:rPr>
        <w:t>orrespondiente</w:t>
      </w:r>
      <w:r>
        <w:rPr>
          <w:rFonts w:ascii="Palatino Linotype" w:eastAsia="Palatino Linotype" w:hAnsi="Palatino Linotype" w:cs="Palatino Linotype"/>
          <w:b/>
          <w:color w:val="000000"/>
          <w:sz w:val="22"/>
          <w:szCs w:val="22"/>
        </w:rPr>
        <w:t>.</w:t>
      </w:r>
    </w:p>
    <w:p w:rsidR="00EF08C3" w:rsidRDefault="00EF08C3"/>
    <w:p w:rsidR="00EF08C3" w:rsidRDefault="00882C9A">
      <w:pPr>
        <w:pBdr>
          <w:top w:val="nil"/>
          <w:left w:val="nil"/>
          <w:bottom w:val="nil"/>
          <w:right w:val="nil"/>
          <w:between w:val="nil"/>
        </w:pBdr>
        <w:ind w:left="851" w:right="851"/>
        <w:jc w:val="both"/>
        <w:rPr>
          <w:color w:val="000000"/>
        </w:rPr>
      </w:pPr>
      <w:r>
        <w:rPr>
          <w:rFonts w:ascii="Palatino Linotype" w:eastAsia="Palatino Linotype" w:hAnsi="Palatino Linotype" w:cs="Palatino Linotype"/>
          <w:b/>
          <w:i/>
          <w:color w:val="000000"/>
          <w:sz w:val="22"/>
          <w:szCs w:val="22"/>
        </w:rPr>
        <w:t>Artículo 49.</w:t>
      </w:r>
      <w:r>
        <w:rPr>
          <w:rFonts w:ascii="Palatino Linotype" w:eastAsia="Palatino Linotype" w:hAnsi="Palatino Linotype" w:cs="Palatino Linotype"/>
          <w:i/>
          <w:color w:val="000000"/>
          <w:sz w:val="22"/>
          <w:szCs w:val="22"/>
        </w:rPr>
        <w:t xml:space="preserve"> Los Comités de Transparencia tendrán las siguientes atribuciones:</w:t>
      </w:r>
    </w:p>
    <w:p w:rsidR="00EF08C3" w:rsidRDefault="00882C9A">
      <w:pPr>
        <w:pBdr>
          <w:top w:val="nil"/>
          <w:left w:val="nil"/>
          <w:bottom w:val="nil"/>
          <w:right w:val="nil"/>
          <w:between w:val="nil"/>
        </w:pBdr>
        <w:ind w:left="851" w:right="851"/>
        <w:jc w:val="both"/>
        <w:rPr>
          <w:color w:val="000000"/>
        </w:rPr>
      </w:pPr>
      <w:r>
        <w:rPr>
          <w:rFonts w:ascii="Palatino Linotype" w:eastAsia="Palatino Linotype" w:hAnsi="Palatino Linotype" w:cs="Palatino Linotype"/>
          <w:i/>
          <w:color w:val="000000"/>
          <w:sz w:val="22"/>
          <w:szCs w:val="22"/>
        </w:rPr>
        <w:t>…</w:t>
      </w:r>
    </w:p>
    <w:p w:rsidR="00EF08C3" w:rsidRDefault="00882C9A">
      <w:pPr>
        <w:pBdr>
          <w:top w:val="nil"/>
          <w:left w:val="nil"/>
          <w:bottom w:val="nil"/>
          <w:right w:val="nil"/>
          <w:between w:val="nil"/>
        </w:pBdr>
        <w:ind w:left="851" w:right="851"/>
        <w:jc w:val="both"/>
        <w:rPr>
          <w:color w:val="000000"/>
        </w:rPr>
      </w:pPr>
      <w:r>
        <w:rPr>
          <w:rFonts w:ascii="Palatino Linotype" w:eastAsia="Palatino Linotype" w:hAnsi="Palatino Linotype" w:cs="Palatino Linotype"/>
          <w:b/>
          <w:i/>
          <w:color w:val="000000"/>
          <w:sz w:val="22"/>
          <w:szCs w:val="22"/>
        </w:rPr>
        <w:lastRenderedPageBreak/>
        <w:t xml:space="preserve">VIII. Aprobar, </w:t>
      </w:r>
      <w:r>
        <w:rPr>
          <w:rFonts w:ascii="Palatino Linotype" w:eastAsia="Palatino Linotype" w:hAnsi="Palatino Linotype" w:cs="Palatino Linotype"/>
          <w:i/>
          <w:color w:val="000000"/>
          <w:sz w:val="22"/>
          <w:szCs w:val="22"/>
        </w:rPr>
        <w:t>modificar o revocar</w:t>
      </w:r>
      <w:r>
        <w:rPr>
          <w:rFonts w:ascii="Palatino Linotype" w:eastAsia="Palatino Linotype" w:hAnsi="Palatino Linotype" w:cs="Palatino Linotype"/>
          <w:b/>
          <w:i/>
          <w:color w:val="000000"/>
          <w:sz w:val="22"/>
          <w:szCs w:val="22"/>
        </w:rPr>
        <w:t xml:space="preserve"> la clasificación de la información;</w:t>
      </w:r>
    </w:p>
    <w:p w:rsidR="00EF08C3" w:rsidRDefault="00882C9A">
      <w:pPr>
        <w:pBdr>
          <w:top w:val="nil"/>
          <w:left w:val="nil"/>
          <w:bottom w:val="nil"/>
          <w:right w:val="nil"/>
          <w:between w:val="nil"/>
        </w:pBdr>
        <w:ind w:left="851" w:right="851"/>
        <w:jc w:val="both"/>
        <w:rPr>
          <w:color w:val="000000"/>
        </w:rPr>
      </w:pPr>
      <w:r>
        <w:rPr>
          <w:rFonts w:ascii="Palatino Linotype" w:eastAsia="Palatino Linotype" w:hAnsi="Palatino Linotype" w:cs="Palatino Linotype"/>
          <w:i/>
          <w:color w:val="000000"/>
          <w:sz w:val="22"/>
          <w:szCs w:val="22"/>
        </w:rPr>
        <w:t>…</w:t>
      </w:r>
    </w:p>
    <w:p w:rsidR="00EF08C3" w:rsidRDefault="00EF08C3"/>
    <w:p w:rsidR="00EF08C3" w:rsidRDefault="00882C9A">
      <w:pPr>
        <w:pBdr>
          <w:top w:val="nil"/>
          <w:left w:val="nil"/>
          <w:bottom w:val="nil"/>
          <w:right w:val="nil"/>
          <w:between w:val="nil"/>
        </w:pBdr>
        <w:ind w:left="851" w:right="851"/>
        <w:jc w:val="both"/>
        <w:rPr>
          <w:color w:val="000000"/>
        </w:rPr>
      </w:pPr>
      <w:r>
        <w:rPr>
          <w:rFonts w:ascii="Palatino Linotype" w:eastAsia="Palatino Linotype" w:hAnsi="Palatino Linotype" w:cs="Palatino Linotype"/>
          <w:b/>
          <w:i/>
          <w:color w:val="000000"/>
          <w:sz w:val="22"/>
          <w:szCs w:val="22"/>
        </w:rPr>
        <w:t>Artículo 122. La clasificación es el proceso mediante el cual el sujeto obligado determina que la información en su poder actualiza alguno de los supuestos de reserva</w:t>
      </w:r>
      <w:r>
        <w:rPr>
          <w:rFonts w:ascii="Palatino Linotype" w:eastAsia="Palatino Linotype" w:hAnsi="Palatino Linotype" w:cs="Palatino Linotype"/>
          <w:i/>
          <w:color w:val="000000"/>
          <w:sz w:val="22"/>
          <w:szCs w:val="22"/>
        </w:rPr>
        <w:t xml:space="preserve"> o confidencialidad, de conformidad con lo dispuesto en el presente título.</w:t>
      </w:r>
    </w:p>
    <w:p w:rsidR="00EF08C3" w:rsidRDefault="00EF08C3"/>
    <w:p w:rsidR="00EF08C3" w:rsidRDefault="00882C9A">
      <w:pPr>
        <w:pBdr>
          <w:top w:val="nil"/>
          <w:left w:val="nil"/>
          <w:bottom w:val="nil"/>
          <w:right w:val="nil"/>
          <w:between w:val="nil"/>
        </w:pBdr>
        <w:ind w:left="851" w:right="851"/>
        <w:jc w:val="both"/>
        <w:rPr>
          <w:color w:val="000000"/>
        </w:rPr>
      </w:pPr>
      <w:r>
        <w:rPr>
          <w:rFonts w:ascii="Palatino Linotype" w:eastAsia="Palatino Linotype" w:hAnsi="Palatino Linotype" w:cs="Palatino Linotype"/>
          <w:b/>
          <w:i/>
          <w:color w:val="000000"/>
          <w:sz w:val="22"/>
          <w:szCs w:val="22"/>
        </w:rPr>
        <w:t>Los supuestos</w:t>
      </w:r>
      <w:r>
        <w:rPr>
          <w:rFonts w:ascii="Palatino Linotype" w:eastAsia="Palatino Linotype" w:hAnsi="Palatino Linotype" w:cs="Palatino Linotype"/>
          <w:b/>
          <w:i/>
          <w:color w:val="000000"/>
          <w:sz w:val="22"/>
          <w:szCs w:val="22"/>
        </w:rPr>
        <w:t xml:space="preserve"> de reserva</w:t>
      </w:r>
      <w:r>
        <w:rPr>
          <w:rFonts w:ascii="Palatino Linotype" w:eastAsia="Palatino Linotype" w:hAnsi="Palatino Linotype" w:cs="Palatino Linotype"/>
          <w:i/>
          <w:color w:val="000000"/>
          <w:sz w:val="22"/>
          <w:szCs w:val="22"/>
        </w:rPr>
        <w:t xml:space="preserve"> o confidencialidad previstos en las leyes </w:t>
      </w:r>
      <w:r>
        <w:rPr>
          <w:rFonts w:ascii="Palatino Linotype" w:eastAsia="Palatino Linotype" w:hAnsi="Palatino Linotype" w:cs="Palatino Linotype"/>
          <w:b/>
          <w:i/>
          <w:color w:val="000000"/>
          <w:sz w:val="22"/>
          <w:szCs w:val="22"/>
        </w:rPr>
        <w:t>deberán ser acordes con las bases, principios y disposiciones establecidos en la Ley General y, en ningún caso, podrán contravenirla.</w:t>
      </w:r>
    </w:p>
    <w:p w:rsidR="00EF08C3" w:rsidRDefault="00EF08C3"/>
    <w:p w:rsidR="00EF08C3" w:rsidRDefault="00882C9A">
      <w:pPr>
        <w:pBdr>
          <w:top w:val="nil"/>
          <w:left w:val="nil"/>
          <w:bottom w:val="nil"/>
          <w:right w:val="nil"/>
          <w:between w:val="nil"/>
        </w:pBdr>
        <w:ind w:left="851" w:right="851"/>
        <w:jc w:val="both"/>
        <w:rPr>
          <w:color w:val="000000"/>
        </w:rPr>
      </w:pPr>
      <w:r>
        <w:rPr>
          <w:rFonts w:ascii="Palatino Linotype" w:eastAsia="Palatino Linotype" w:hAnsi="Palatino Linotype" w:cs="Palatino Linotype"/>
          <w:i/>
          <w:color w:val="000000"/>
          <w:sz w:val="22"/>
          <w:szCs w:val="22"/>
        </w:rPr>
        <w:t>Los titulares de las áreas de los sujetos obligados serán los respo</w:t>
      </w:r>
      <w:r>
        <w:rPr>
          <w:rFonts w:ascii="Palatino Linotype" w:eastAsia="Palatino Linotype" w:hAnsi="Palatino Linotype" w:cs="Palatino Linotype"/>
          <w:i/>
          <w:color w:val="000000"/>
          <w:sz w:val="22"/>
          <w:szCs w:val="22"/>
        </w:rPr>
        <w:t>nsables de clasificar la información, de conformidad con lo dispuesto en la presente Ley y demás disposiciones jurídicas aplicables.</w:t>
      </w:r>
    </w:p>
    <w:p w:rsidR="00EF08C3" w:rsidRDefault="00EF08C3"/>
    <w:p w:rsidR="00EF08C3" w:rsidRDefault="00882C9A">
      <w:pPr>
        <w:pBdr>
          <w:top w:val="nil"/>
          <w:left w:val="nil"/>
          <w:bottom w:val="nil"/>
          <w:right w:val="nil"/>
          <w:between w:val="nil"/>
        </w:pBdr>
        <w:ind w:left="851" w:right="851"/>
        <w:jc w:val="both"/>
        <w:rPr>
          <w:color w:val="000000"/>
        </w:rPr>
      </w:pPr>
      <w:r>
        <w:rPr>
          <w:rFonts w:ascii="Palatino Linotype" w:eastAsia="Palatino Linotype" w:hAnsi="Palatino Linotype" w:cs="Palatino Linotype"/>
          <w:b/>
          <w:i/>
          <w:color w:val="000000"/>
          <w:sz w:val="22"/>
          <w:szCs w:val="22"/>
        </w:rPr>
        <w:t xml:space="preserve">Artículo 125. La información clasificada como reservada, de acuerdo a lo establecido en esta Ley podrá permanecer con tal </w:t>
      </w:r>
      <w:r>
        <w:rPr>
          <w:rFonts w:ascii="Palatino Linotype" w:eastAsia="Palatino Linotype" w:hAnsi="Palatino Linotype" w:cs="Palatino Linotype"/>
          <w:b/>
          <w:i/>
          <w:color w:val="000000"/>
          <w:sz w:val="22"/>
          <w:szCs w:val="22"/>
        </w:rPr>
        <w:t>carácter hasta por un periodo de cinco años, contados a partir de su clasificación,</w:t>
      </w:r>
      <w:r>
        <w:rPr>
          <w:rFonts w:ascii="Palatino Linotype" w:eastAsia="Palatino Linotype" w:hAnsi="Palatino Linotype" w:cs="Palatino Linotype"/>
          <w:i/>
          <w:color w:val="000000"/>
          <w:sz w:val="22"/>
          <w:szCs w:val="22"/>
        </w:rPr>
        <w:t xml:space="preserve"> salvo que antes del cumplimiento del periodo de restricción, dejaran de existir los motivos de su reserva.</w:t>
      </w:r>
    </w:p>
    <w:p w:rsidR="00EF08C3" w:rsidRDefault="00EF08C3"/>
    <w:p w:rsidR="00EF08C3" w:rsidRDefault="00882C9A">
      <w:pPr>
        <w:pBdr>
          <w:top w:val="nil"/>
          <w:left w:val="nil"/>
          <w:bottom w:val="nil"/>
          <w:right w:val="nil"/>
          <w:between w:val="nil"/>
        </w:pBdr>
        <w:ind w:left="851" w:right="851"/>
        <w:jc w:val="both"/>
        <w:rPr>
          <w:color w:val="000000"/>
        </w:rPr>
      </w:pPr>
      <w:r>
        <w:rPr>
          <w:rFonts w:ascii="Palatino Linotype" w:eastAsia="Palatino Linotype" w:hAnsi="Palatino Linotype" w:cs="Palatino Linotype"/>
          <w:b/>
          <w:i/>
          <w:color w:val="000000"/>
          <w:sz w:val="22"/>
          <w:szCs w:val="22"/>
        </w:rPr>
        <w:t>Los titulares de las áreas deberán determinar que el plazo de re</w:t>
      </w:r>
      <w:r>
        <w:rPr>
          <w:rFonts w:ascii="Palatino Linotype" w:eastAsia="Palatino Linotype" w:hAnsi="Palatino Linotype" w:cs="Palatino Linotype"/>
          <w:b/>
          <w:i/>
          <w:color w:val="000000"/>
          <w:sz w:val="22"/>
          <w:szCs w:val="22"/>
        </w:rPr>
        <w:t xml:space="preserve">serva </w:t>
      </w:r>
      <w:r>
        <w:rPr>
          <w:rFonts w:ascii="Palatino Linotype" w:eastAsia="Palatino Linotype" w:hAnsi="Palatino Linotype" w:cs="Palatino Linotype"/>
          <w:i/>
          <w:color w:val="000000"/>
          <w:sz w:val="22"/>
          <w:szCs w:val="22"/>
        </w:rPr>
        <w:t>sea el estrictamente necesario para proteger la información mientras subsistan las causas que dieron origen a la clasificación, salvaguardando el interés público protegido y tomarán en cuenta las razones que justifican el periodo de reserva estableci</w:t>
      </w:r>
      <w:r>
        <w:rPr>
          <w:rFonts w:ascii="Palatino Linotype" w:eastAsia="Palatino Linotype" w:hAnsi="Palatino Linotype" w:cs="Palatino Linotype"/>
          <w:i/>
          <w:color w:val="000000"/>
          <w:sz w:val="22"/>
          <w:szCs w:val="22"/>
        </w:rPr>
        <w:t>do.</w:t>
      </w:r>
    </w:p>
    <w:p w:rsidR="00EF08C3" w:rsidRDefault="00EF08C3"/>
    <w:p w:rsidR="00EF08C3" w:rsidRDefault="00882C9A">
      <w:pPr>
        <w:pBdr>
          <w:top w:val="nil"/>
          <w:left w:val="nil"/>
          <w:bottom w:val="nil"/>
          <w:right w:val="nil"/>
          <w:between w:val="nil"/>
        </w:pBdr>
        <w:ind w:left="851" w:right="851"/>
        <w:jc w:val="both"/>
        <w:rPr>
          <w:color w:val="000000"/>
        </w:rPr>
      </w:pPr>
      <w:r>
        <w:rPr>
          <w:rFonts w:ascii="Palatino Linotype" w:eastAsia="Palatino Linotype" w:hAnsi="Palatino Linotype" w:cs="Palatino Linotype"/>
          <w:i/>
          <w:color w:val="000000"/>
          <w:sz w:val="22"/>
          <w:szCs w:val="22"/>
        </w:rPr>
        <w:t>Excepcionalmente los sujetos obligados con la aprobación de su Comité de Transparencia, podrán ampliar el periodo de reserva hasta por un plazo de cinco años adicionales y por una sola vez, siempre y cuando justifiquen que subsisten las causas que dieron o</w:t>
      </w:r>
      <w:r>
        <w:rPr>
          <w:rFonts w:ascii="Palatino Linotype" w:eastAsia="Palatino Linotype" w:hAnsi="Palatino Linotype" w:cs="Palatino Linotype"/>
          <w:i/>
          <w:color w:val="000000"/>
          <w:sz w:val="22"/>
          <w:szCs w:val="22"/>
        </w:rPr>
        <w:t>rigen a su clasificación, mediante la aplicación de una prueba de daño.</w:t>
      </w:r>
    </w:p>
    <w:p w:rsidR="00EF08C3" w:rsidRDefault="00EF08C3"/>
    <w:p w:rsidR="00EF08C3" w:rsidRDefault="00882C9A">
      <w:pPr>
        <w:pBdr>
          <w:top w:val="nil"/>
          <w:left w:val="nil"/>
          <w:bottom w:val="nil"/>
          <w:right w:val="nil"/>
          <w:between w:val="nil"/>
        </w:pBdr>
        <w:ind w:left="851" w:right="851"/>
        <w:jc w:val="both"/>
        <w:rPr>
          <w:color w:val="000000"/>
        </w:rPr>
      </w:pPr>
      <w:r>
        <w:rPr>
          <w:rFonts w:ascii="Palatino Linotype" w:eastAsia="Palatino Linotype" w:hAnsi="Palatino Linotype" w:cs="Palatino Linotype"/>
          <w:i/>
          <w:color w:val="000000"/>
          <w:sz w:val="22"/>
          <w:szCs w:val="22"/>
        </w:rPr>
        <w:t>Cuando expiren los plazos de clasificación o se trate de información cuya publicación pueda ocasionar la destrucción o inhabilitación de la infraestructura de carácter estratégico par</w:t>
      </w:r>
      <w:r>
        <w:rPr>
          <w:rFonts w:ascii="Palatino Linotype" w:eastAsia="Palatino Linotype" w:hAnsi="Palatino Linotype" w:cs="Palatino Linotype"/>
          <w:i/>
          <w:color w:val="000000"/>
          <w:sz w:val="22"/>
          <w:szCs w:val="22"/>
        </w:rPr>
        <w:t>a la provisión de bienes o servicios públicos, que a juicio de un sujeto obligado sea necesario ampliar nuevamente el periodo de reserva de la información, el Comité de Transparencia respectivo deberá hacer la solicitud correspondiente al Instituto, debida</w:t>
      </w:r>
      <w:r>
        <w:rPr>
          <w:rFonts w:ascii="Palatino Linotype" w:eastAsia="Palatino Linotype" w:hAnsi="Palatino Linotype" w:cs="Palatino Linotype"/>
          <w:i/>
          <w:color w:val="000000"/>
          <w:sz w:val="22"/>
          <w:szCs w:val="22"/>
        </w:rPr>
        <w:t xml:space="preserve">mente fundada y motivada, aplicando la </w:t>
      </w:r>
      <w:r>
        <w:rPr>
          <w:rFonts w:ascii="Palatino Linotype" w:eastAsia="Palatino Linotype" w:hAnsi="Palatino Linotype" w:cs="Palatino Linotype"/>
          <w:i/>
          <w:color w:val="000000"/>
          <w:sz w:val="22"/>
          <w:szCs w:val="22"/>
        </w:rPr>
        <w:lastRenderedPageBreak/>
        <w:t>prueba de daño y señalando el plazo de reserva, por lo menos con tres meses de anticipación al vencimiento del periodo.</w:t>
      </w:r>
    </w:p>
    <w:p w:rsidR="00EF08C3" w:rsidRDefault="00EF08C3"/>
    <w:p w:rsidR="00EF08C3" w:rsidRDefault="00882C9A">
      <w:pPr>
        <w:pBdr>
          <w:top w:val="nil"/>
          <w:left w:val="nil"/>
          <w:bottom w:val="nil"/>
          <w:right w:val="nil"/>
          <w:between w:val="nil"/>
        </w:pBdr>
        <w:ind w:left="851" w:right="851"/>
        <w:jc w:val="both"/>
        <w:rPr>
          <w:color w:val="000000"/>
        </w:rPr>
      </w:pPr>
      <w:r>
        <w:rPr>
          <w:rFonts w:ascii="Palatino Linotype" w:eastAsia="Palatino Linotype" w:hAnsi="Palatino Linotype" w:cs="Palatino Linotype"/>
          <w:b/>
          <w:i/>
          <w:color w:val="000000"/>
          <w:sz w:val="22"/>
          <w:szCs w:val="22"/>
        </w:rPr>
        <w:t xml:space="preserve">Artículo 128. </w:t>
      </w:r>
      <w:r>
        <w:rPr>
          <w:rFonts w:ascii="Palatino Linotype" w:eastAsia="Palatino Linotype" w:hAnsi="Palatino Linotype" w:cs="Palatino Linotype"/>
          <w:i/>
          <w:color w:val="000000"/>
          <w:sz w:val="22"/>
          <w:szCs w:val="22"/>
        </w:rPr>
        <w:t xml:space="preserve">En los casos en que se niegue el acceso a la información, por actualizarse alguno </w:t>
      </w:r>
      <w:r>
        <w:rPr>
          <w:rFonts w:ascii="Palatino Linotype" w:eastAsia="Palatino Linotype" w:hAnsi="Palatino Linotype" w:cs="Palatino Linotype"/>
          <w:i/>
          <w:color w:val="000000"/>
          <w:sz w:val="22"/>
          <w:szCs w:val="22"/>
        </w:rPr>
        <w:t>de los supuestos de clasificación, el Comité de Transparencia deberá confirmar, modificar o revocar la decisión.</w:t>
      </w:r>
    </w:p>
    <w:p w:rsidR="00EF08C3" w:rsidRDefault="00EF08C3"/>
    <w:p w:rsidR="00EF08C3" w:rsidRDefault="00882C9A">
      <w:pPr>
        <w:pBdr>
          <w:top w:val="nil"/>
          <w:left w:val="nil"/>
          <w:bottom w:val="nil"/>
          <w:right w:val="nil"/>
          <w:between w:val="nil"/>
        </w:pBdr>
        <w:ind w:left="851" w:right="851"/>
        <w:jc w:val="both"/>
        <w:rPr>
          <w:color w:val="000000"/>
        </w:rPr>
      </w:pPr>
      <w:r>
        <w:rPr>
          <w:rFonts w:ascii="Palatino Linotype" w:eastAsia="Palatino Linotype" w:hAnsi="Palatino Linotype" w:cs="Palatino Linotype"/>
          <w:b/>
          <w:i/>
          <w:color w:val="000000"/>
          <w:sz w:val="22"/>
          <w:szCs w:val="22"/>
        </w:rPr>
        <w:t>Para motivar la clasificación de la información</w:t>
      </w:r>
      <w:r>
        <w:rPr>
          <w:rFonts w:ascii="Palatino Linotype" w:eastAsia="Palatino Linotype" w:hAnsi="Palatino Linotype" w:cs="Palatino Linotype"/>
          <w:i/>
          <w:color w:val="000000"/>
          <w:sz w:val="22"/>
          <w:szCs w:val="22"/>
        </w:rPr>
        <w:t xml:space="preserve"> y la ampliación del plazo de reserva, </w:t>
      </w:r>
      <w:r>
        <w:rPr>
          <w:rFonts w:ascii="Palatino Linotype" w:eastAsia="Palatino Linotype" w:hAnsi="Palatino Linotype" w:cs="Palatino Linotype"/>
          <w:b/>
          <w:i/>
          <w:color w:val="000000"/>
          <w:sz w:val="22"/>
          <w:szCs w:val="22"/>
        </w:rPr>
        <w:t>se deberán señalar las razones, motivos o circunstancias</w:t>
      </w:r>
      <w:r>
        <w:rPr>
          <w:rFonts w:ascii="Palatino Linotype" w:eastAsia="Palatino Linotype" w:hAnsi="Palatino Linotype" w:cs="Palatino Linotype"/>
          <w:b/>
          <w:i/>
          <w:color w:val="000000"/>
          <w:sz w:val="22"/>
          <w:szCs w:val="22"/>
        </w:rPr>
        <w:t xml:space="preserve"> especiales que llevaron al sujeto obligado a concluir que el caso particular se ajusta al supuesto previsto por la norma legal invocada como fundamento. Además, el sujeto obligado deberá, en todo momento, aplicar una prueba de daño.</w:t>
      </w:r>
    </w:p>
    <w:p w:rsidR="00EF08C3" w:rsidRDefault="00EF08C3"/>
    <w:p w:rsidR="00EF08C3" w:rsidRDefault="00882C9A">
      <w:pPr>
        <w:pBdr>
          <w:top w:val="nil"/>
          <w:left w:val="nil"/>
          <w:bottom w:val="nil"/>
          <w:right w:val="nil"/>
          <w:between w:val="nil"/>
        </w:pBdr>
        <w:ind w:left="851" w:right="851"/>
        <w:jc w:val="both"/>
        <w:rPr>
          <w:color w:val="000000"/>
        </w:rPr>
      </w:pPr>
      <w:r>
        <w:rPr>
          <w:rFonts w:ascii="Palatino Linotype" w:eastAsia="Palatino Linotype" w:hAnsi="Palatino Linotype" w:cs="Palatino Linotype"/>
          <w:b/>
          <w:i/>
          <w:color w:val="000000"/>
          <w:sz w:val="22"/>
          <w:szCs w:val="22"/>
        </w:rPr>
        <w:t>Tratándose de aquélla</w:t>
      </w:r>
      <w:r>
        <w:rPr>
          <w:rFonts w:ascii="Palatino Linotype" w:eastAsia="Palatino Linotype" w:hAnsi="Palatino Linotype" w:cs="Palatino Linotype"/>
          <w:b/>
          <w:i/>
          <w:color w:val="000000"/>
          <w:sz w:val="22"/>
          <w:szCs w:val="22"/>
        </w:rPr>
        <w:t xml:space="preserve"> información que actualice los supuestos de clasificación, deberá señalarse el plazo al que estará sujeto la reserva.</w:t>
      </w:r>
    </w:p>
    <w:p w:rsidR="00EF08C3" w:rsidRDefault="00EF08C3"/>
    <w:p w:rsidR="00EF08C3" w:rsidRDefault="00882C9A">
      <w:pPr>
        <w:pBdr>
          <w:top w:val="nil"/>
          <w:left w:val="nil"/>
          <w:bottom w:val="nil"/>
          <w:right w:val="nil"/>
          <w:between w:val="nil"/>
        </w:pBdr>
        <w:ind w:left="851" w:right="851"/>
        <w:jc w:val="both"/>
        <w:rPr>
          <w:color w:val="000000"/>
        </w:rPr>
      </w:pPr>
      <w:r>
        <w:rPr>
          <w:rFonts w:ascii="Palatino Linotype" w:eastAsia="Palatino Linotype" w:hAnsi="Palatino Linotype" w:cs="Palatino Linotype"/>
          <w:b/>
          <w:i/>
          <w:color w:val="000000"/>
          <w:sz w:val="22"/>
          <w:szCs w:val="22"/>
        </w:rPr>
        <w:t xml:space="preserve">Artículo 129. </w:t>
      </w:r>
      <w:r>
        <w:rPr>
          <w:rFonts w:ascii="Palatino Linotype" w:eastAsia="Palatino Linotype" w:hAnsi="Palatino Linotype" w:cs="Palatino Linotype"/>
          <w:i/>
          <w:color w:val="000000"/>
          <w:sz w:val="22"/>
          <w:szCs w:val="22"/>
        </w:rPr>
        <w:t xml:space="preserve">En la aplicación de la prueba de daño, el sujeto obligado deberá precisar las razones objetivas por las que la apertura de </w:t>
      </w:r>
      <w:r>
        <w:rPr>
          <w:rFonts w:ascii="Palatino Linotype" w:eastAsia="Palatino Linotype" w:hAnsi="Palatino Linotype" w:cs="Palatino Linotype"/>
          <w:i/>
          <w:color w:val="000000"/>
          <w:sz w:val="22"/>
          <w:szCs w:val="22"/>
        </w:rPr>
        <w:t>la información generaría una afectación, justificando que:</w:t>
      </w:r>
    </w:p>
    <w:p w:rsidR="00EF08C3" w:rsidRDefault="00882C9A">
      <w:pPr>
        <w:pBdr>
          <w:top w:val="nil"/>
          <w:left w:val="nil"/>
          <w:bottom w:val="nil"/>
          <w:right w:val="nil"/>
          <w:between w:val="nil"/>
        </w:pBdr>
        <w:ind w:left="851" w:right="851"/>
        <w:jc w:val="both"/>
        <w:rPr>
          <w:color w:val="000000"/>
        </w:rPr>
      </w:pPr>
      <w:r>
        <w:rPr>
          <w:rFonts w:ascii="Palatino Linotype" w:eastAsia="Palatino Linotype" w:hAnsi="Palatino Linotype" w:cs="Palatino Linotype"/>
          <w:b/>
          <w:i/>
          <w:color w:val="000000"/>
          <w:sz w:val="22"/>
          <w:szCs w:val="22"/>
        </w:rPr>
        <w:t xml:space="preserve">I. </w:t>
      </w:r>
      <w:r>
        <w:rPr>
          <w:rFonts w:ascii="Palatino Linotype" w:eastAsia="Palatino Linotype" w:hAnsi="Palatino Linotype" w:cs="Palatino Linotype"/>
          <w:i/>
          <w:color w:val="000000"/>
          <w:sz w:val="22"/>
          <w:szCs w:val="22"/>
        </w:rPr>
        <w:t>La divulgación de la información representa un riesgo real, demostrable e identificable del perjuicio significativo al interés público o a la seguridad pública;</w:t>
      </w:r>
    </w:p>
    <w:p w:rsidR="00EF08C3" w:rsidRDefault="00882C9A">
      <w:pPr>
        <w:pBdr>
          <w:top w:val="nil"/>
          <w:left w:val="nil"/>
          <w:bottom w:val="nil"/>
          <w:right w:val="nil"/>
          <w:between w:val="nil"/>
        </w:pBdr>
        <w:ind w:left="851" w:right="851"/>
        <w:jc w:val="both"/>
        <w:rPr>
          <w:color w:val="000000"/>
        </w:rPr>
      </w:pPr>
      <w:r>
        <w:rPr>
          <w:rFonts w:ascii="Palatino Linotype" w:eastAsia="Palatino Linotype" w:hAnsi="Palatino Linotype" w:cs="Palatino Linotype"/>
          <w:b/>
          <w:i/>
          <w:color w:val="000000"/>
          <w:sz w:val="22"/>
          <w:szCs w:val="22"/>
        </w:rPr>
        <w:t xml:space="preserve">II. </w:t>
      </w:r>
      <w:r>
        <w:rPr>
          <w:rFonts w:ascii="Palatino Linotype" w:eastAsia="Palatino Linotype" w:hAnsi="Palatino Linotype" w:cs="Palatino Linotype"/>
          <w:i/>
          <w:color w:val="000000"/>
          <w:sz w:val="22"/>
          <w:szCs w:val="22"/>
        </w:rPr>
        <w:t>El riesgo de perjuicio que su</w:t>
      </w:r>
      <w:r>
        <w:rPr>
          <w:rFonts w:ascii="Palatino Linotype" w:eastAsia="Palatino Linotype" w:hAnsi="Palatino Linotype" w:cs="Palatino Linotype"/>
          <w:i/>
          <w:color w:val="000000"/>
          <w:sz w:val="22"/>
          <w:szCs w:val="22"/>
        </w:rPr>
        <w:t>pondría la divulgación supera el interés público general de que se difunda; y</w:t>
      </w:r>
    </w:p>
    <w:p w:rsidR="00EF08C3" w:rsidRDefault="00882C9A">
      <w:pPr>
        <w:pBdr>
          <w:top w:val="nil"/>
          <w:left w:val="nil"/>
          <w:bottom w:val="nil"/>
          <w:right w:val="nil"/>
          <w:between w:val="nil"/>
        </w:pBdr>
        <w:ind w:left="851" w:right="851"/>
        <w:jc w:val="both"/>
        <w:rPr>
          <w:color w:val="000000"/>
        </w:rPr>
      </w:pPr>
      <w:r>
        <w:rPr>
          <w:rFonts w:ascii="Palatino Linotype" w:eastAsia="Palatino Linotype" w:hAnsi="Palatino Linotype" w:cs="Palatino Linotype"/>
          <w:b/>
          <w:i/>
          <w:color w:val="000000"/>
          <w:sz w:val="22"/>
          <w:szCs w:val="22"/>
        </w:rPr>
        <w:t xml:space="preserve">III. </w:t>
      </w:r>
      <w:r>
        <w:rPr>
          <w:rFonts w:ascii="Palatino Linotype" w:eastAsia="Palatino Linotype" w:hAnsi="Palatino Linotype" w:cs="Palatino Linotype"/>
          <w:i/>
          <w:color w:val="000000"/>
          <w:sz w:val="22"/>
          <w:szCs w:val="22"/>
        </w:rPr>
        <w:t>La limitación se adecua al principio de proporcionalidad y representa el medio menos restrictivo disponible representa el medio menos restrictivo disponible para evitar el p</w:t>
      </w:r>
      <w:r>
        <w:rPr>
          <w:rFonts w:ascii="Palatino Linotype" w:eastAsia="Palatino Linotype" w:hAnsi="Palatino Linotype" w:cs="Palatino Linotype"/>
          <w:i/>
          <w:color w:val="000000"/>
          <w:sz w:val="22"/>
          <w:szCs w:val="22"/>
        </w:rPr>
        <w:t>erjuicio.</w:t>
      </w:r>
    </w:p>
    <w:p w:rsidR="00EF08C3" w:rsidRDefault="00EF08C3"/>
    <w:p w:rsidR="00EF08C3" w:rsidRDefault="00882C9A">
      <w:pPr>
        <w:pBdr>
          <w:top w:val="nil"/>
          <w:left w:val="nil"/>
          <w:bottom w:val="nil"/>
          <w:right w:val="nil"/>
          <w:between w:val="nil"/>
        </w:pBdr>
        <w:ind w:left="851" w:right="851"/>
        <w:jc w:val="both"/>
        <w:rPr>
          <w:color w:val="000000"/>
        </w:rPr>
      </w:pPr>
      <w:r>
        <w:rPr>
          <w:rFonts w:ascii="Palatino Linotype" w:eastAsia="Palatino Linotype" w:hAnsi="Palatino Linotype" w:cs="Palatino Linotype"/>
          <w:b/>
          <w:i/>
          <w:color w:val="000000"/>
          <w:sz w:val="22"/>
          <w:szCs w:val="22"/>
        </w:rPr>
        <w:t xml:space="preserve">Artículo 131. </w:t>
      </w:r>
      <w:r>
        <w:rPr>
          <w:rFonts w:ascii="Palatino Linotype" w:eastAsia="Palatino Linotype" w:hAnsi="Palatino Linotype" w:cs="Palatino Linotype"/>
          <w:i/>
          <w:color w:val="000000"/>
          <w:sz w:val="22"/>
          <w:szCs w:val="22"/>
        </w:rPr>
        <w:t xml:space="preserve">La carga de la prueba para justificar toda negativa de acceso a la información, por actualizarse cualquiera de los supuestos de clasificación previstos en esta Ley corresponderá a los sujetos obligados; en tal caso deberá fundar y </w:t>
      </w:r>
      <w:r>
        <w:rPr>
          <w:rFonts w:ascii="Palatino Linotype" w:eastAsia="Palatino Linotype" w:hAnsi="Palatino Linotype" w:cs="Palatino Linotype"/>
          <w:i/>
          <w:color w:val="000000"/>
          <w:sz w:val="22"/>
          <w:szCs w:val="22"/>
        </w:rPr>
        <w:t>motivar debidamente la clasificación de la información, de conformidad con lo previsto en la presente Ley.</w:t>
      </w:r>
    </w:p>
    <w:p w:rsidR="00EF08C3" w:rsidRDefault="00EF08C3"/>
    <w:p w:rsidR="00EF08C3" w:rsidRDefault="00882C9A">
      <w:pPr>
        <w:pBdr>
          <w:top w:val="nil"/>
          <w:left w:val="nil"/>
          <w:bottom w:val="nil"/>
          <w:right w:val="nil"/>
          <w:between w:val="nil"/>
        </w:pBdr>
        <w:ind w:left="851" w:right="851"/>
        <w:jc w:val="both"/>
        <w:rPr>
          <w:color w:val="000000"/>
        </w:rPr>
      </w:pPr>
      <w:r>
        <w:rPr>
          <w:rFonts w:ascii="Palatino Linotype" w:eastAsia="Palatino Linotype" w:hAnsi="Palatino Linotype" w:cs="Palatino Linotype"/>
          <w:b/>
          <w:i/>
          <w:color w:val="000000"/>
          <w:sz w:val="22"/>
          <w:szCs w:val="22"/>
        </w:rPr>
        <w:t xml:space="preserve">Artículo 132. </w:t>
      </w:r>
      <w:r>
        <w:rPr>
          <w:rFonts w:ascii="Palatino Linotype" w:eastAsia="Palatino Linotype" w:hAnsi="Palatino Linotype" w:cs="Palatino Linotype"/>
          <w:i/>
          <w:color w:val="000000"/>
          <w:sz w:val="22"/>
          <w:szCs w:val="22"/>
        </w:rPr>
        <w:t>La clasificación de la información se llevará a cabo en el momento en que:</w:t>
      </w:r>
    </w:p>
    <w:p w:rsidR="00EF08C3" w:rsidRDefault="00882C9A">
      <w:pPr>
        <w:pBdr>
          <w:top w:val="nil"/>
          <w:left w:val="nil"/>
          <w:bottom w:val="nil"/>
          <w:right w:val="nil"/>
          <w:between w:val="nil"/>
        </w:pBdr>
        <w:ind w:left="851" w:right="851"/>
        <w:jc w:val="both"/>
        <w:rPr>
          <w:color w:val="000000"/>
        </w:rPr>
      </w:pPr>
      <w:r>
        <w:rPr>
          <w:rFonts w:ascii="Palatino Linotype" w:eastAsia="Palatino Linotype" w:hAnsi="Palatino Linotype" w:cs="Palatino Linotype"/>
          <w:b/>
          <w:i/>
          <w:color w:val="000000"/>
          <w:sz w:val="22"/>
          <w:szCs w:val="22"/>
        </w:rPr>
        <w:t>…</w:t>
      </w:r>
    </w:p>
    <w:p w:rsidR="00EF08C3" w:rsidRDefault="00882C9A">
      <w:pPr>
        <w:pBdr>
          <w:top w:val="nil"/>
          <w:left w:val="nil"/>
          <w:bottom w:val="nil"/>
          <w:right w:val="nil"/>
          <w:between w:val="nil"/>
        </w:pBdr>
        <w:ind w:left="851" w:right="851"/>
        <w:jc w:val="both"/>
        <w:rPr>
          <w:color w:val="000000"/>
        </w:rPr>
      </w:pPr>
      <w:r>
        <w:rPr>
          <w:rFonts w:ascii="Palatino Linotype" w:eastAsia="Palatino Linotype" w:hAnsi="Palatino Linotype" w:cs="Palatino Linotype"/>
          <w:b/>
          <w:i/>
          <w:color w:val="000000"/>
          <w:sz w:val="22"/>
          <w:szCs w:val="22"/>
        </w:rPr>
        <w:t xml:space="preserve">II. </w:t>
      </w:r>
      <w:r>
        <w:rPr>
          <w:rFonts w:ascii="Palatino Linotype" w:eastAsia="Palatino Linotype" w:hAnsi="Palatino Linotype" w:cs="Palatino Linotype"/>
          <w:i/>
          <w:color w:val="000000"/>
          <w:sz w:val="22"/>
          <w:szCs w:val="22"/>
        </w:rPr>
        <w:t>Se determine mediante resolución de autoridad competente; o</w:t>
      </w:r>
    </w:p>
    <w:p w:rsidR="00EF08C3" w:rsidRDefault="00882C9A">
      <w:pPr>
        <w:pBdr>
          <w:top w:val="nil"/>
          <w:left w:val="nil"/>
          <w:bottom w:val="nil"/>
          <w:right w:val="nil"/>
          <w:between w:val="nil"/>
        </w:pBdr>
        <w:ind w:left="851" w:right="851"/>
        <w:jc w:val="both"/>
        <w:rPr>
          <w:color w:val="000000"/>
        </w:rPr>
      </w:pPr>
      <w:r>
        <w:rPr>
          <w:rFonts w:ascii="Palatino Linotype" w:eastAsia="Palatino Linotype" w:hAnsi="Palatino Linotype" w:cs="Palatino Linotype"/>
          <w:b/>
          <w:i/>
          <w:color w:val="000000"/>
          <w:sz w:val="22"/>
          <w:szCs w:val="22"/>
        </w:rPr>
        <w:t>…</w:t>
      </w:r>
    </w:p>
    <w:p w:rsidR="00EF08C3" w:rsidRDefault="00EF08C3"/>
    <w:p w:rsidR="00EF08C3" w:rsidRDefault="00882C9A">
      <w:pPr>
        <w:pBdr>
          <w:top w:val="nil"/>
          <w:left w:val="nil"/>
          <w:bottom w:val="nil"/>
          <w:right w:val="nil"/>
          <w:between w:val="nil"/>
        </w:pBdr>
        <w:ind w:left="851" w:right="851"/>
        <w:jc w:val="both"/>
        <w:rPr>
          <w:color w:val="000000"/>
        </w:rPr>
      </w:pPr>
      <w:r>
        <w:rPr>
          <w:rFonts w:ascii="Palatino Linotype" w:eastAsia="Palatino Linotype" w:hAnsi="Palatino Linotype" w:cs="Palatino Linotype"/>
          <w:b/>
          <w:i/>
          <w:color w:val="000000"/>
          <w:sz w:val="22"/>
          <w:szCs w:val="22"/>
        </w:rPr>
        <w:lastRenderedPageBreak/>
        <w:t>Artículo 133. Los documentos clasificados total</w:t>
      </w:r>
      <w:r>
        <w:rPr>
          <w:rFonts w:ascii="Palatino Linotype" w:eastAsia="Palatino Linotype" w:hAnsi="Palatino Linotype" w:cs="Palatino Linotype"/>
          <w:i/>
          <w:color w:val="000000"/>
          <w:sz w:val="22"/>
          <w:szCs w:val="22"/>
        </w:rPr>
        <w:t xml:space="preserve"> o parcialmente </w:t>
      </w:r>
      <w:r>
        <w:rPr>
          <w:rFonts w:ascii="Palatino Linotype" w:eastAsia="Palatino Linotype" w:hAnsi="Palatino Linotype" w:cs="Palatino Linotype"/>
          <w:b/>
          <w:i/>
          <w:color w:val="000000"/>
          <w:sz w:val="22"/>
          <w:szCs w:val="22"/>
        </w:rPr>
        <w:t>deberán llevar una leyenda que indique tal carácter, la fecha de clasificación, el fundamento legal y, en su caso, el periodo de reserva.</w:t>
      </w:r>
    </w:p>
    <w:p w:rsidR="00EF08C3" w:rsidRDefault="00EF08C3"/>
    <w:p w:rsidR="00EF08C3" w:rsidRDefault="00882C9A">
      <w:pPr>
        <w:pBdr>
          <w:top w:val="nil"/>
          <w:left w:val="nil"/>
          <w:bottom w:val="nil"/>
          <w:right w:val="nil"/>
          <w:between w:val="nil"/>
        </w:pBdr>
        <w:ind w:left="851" w:right="851"/>
        <w:jc w:val="both"/>
        <w:rPr>
          <w:color w:val="000000"/>
        </w:rPr>
      </w:pPr>
      <w:r>
        <w:rPr>
          <w:rFonts w:ascii="Palatino Linotype" w:eastAsia="Palatino Linotype" w:hAnsi="Palatino Linotype" w:cs="Palatino Linotype"/>
          <w:b/>
          <w:i/>
          <w:color w:val="000000"/>
          <w:sz w:val="22"/>
          <w:szCs w:val="22"/>
        </w:rPr>
        <w:t xml:space="preserve">Artículo 134. </w:t>
      </w:r>
      <w:r>
        <w:rPr>
          <w:rFonts w:ascii="Palatino Linotype" w:eastAsia="Palatino Linotype" w:hAnsi="Palatino Linotype" w:cs="Palatino Linotype"/>
          <w:i/>
          <w:color w:val="000000"/>
          <w:sz w:val="22"/>
          <w:szCs w:val="22"/>
        </w:rPr>
        <w:t xml:space="preserve">Los sujetos obligados </w:t>
      </w:r>
      <w:r>
        <w:rPr>
          <w:rFonts w:ascii="Palatino Linotype" w:eastAsia="Palatino Linotype" w:hAnsi="Palatino Linotype" w:cs="Palatino Linotype"/>
          <w:b/>
          <w:i/>
          <w:color w:val="000000"/>
          <w:sz w:val="22"/>
          <w:szCs w:val="22"/>
          <w:u w:val="single"/>
        </w:rPr>
        <w:t>no podrán emitir acuerdos de carácter general ni particular que clasifiquen docum</w:t>
      </w:r>
      <w:r>
        <w:rPr>
          <w:rFonts w:ascii="Palatino Linotype" w:eastAsia="Palatino Linotype" w:hAnsi="Palatino Linotype" w:cs="Palatino Linotype"/>
          <w:b/>
          <w:i/>
          <w:color w:val="000000"/>
          <w:sz w:val="22"/>
          <w:szCs w:val="22"/>
          <w:u w:val="single"/>
        </w:rPr>
        <w:t>entos o información como reservada</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u w:val="single"/>
        </w:rPr>
        <w:t>La clasificación</w:t>
      </w:r>
      <w:r>
        <w:rPr>
          <w:rFonts w:ascii="Palatino Linotype" w:eastAsia="Palatino Linotype" w:hAnsi="Palatino Linotype" w:cs="Palatino Linotype"/>
          <w:i/>
          <w:color w:val="000000"/>
          <w:sz w:val="22"/>
          <w:szCs w:val="22"/>
        </w:rPr>
        <w:t xml:space="preserve"> podrá establecerse de manera parcial o total de acuerdo al contenido de la información del documento y </w:t>
      </w:r>
      <w:r>
        <w:rPr>
          <w:rFonts w:ascii="Palatino Linotype" w:eastAsia="Palatino Linotype" w:hAnsi="Palatino Linotype" w:cs="Palatino Linotype"/>
          <w:b/>
          <w:i/>
          <w:color w:val="000000"/>
          <w:sz w:val="22"/>
          <w:szCs w:val="22"/>
          <w:u w:val="single"/>
        </w:rPr>
        <w:t>deberá estar acorde con la actualización de los supuestos definidos en el presente Título como infor</w:t>
      </w:r>
      <w:r>
        <w:rPr>
          <w:rFonts w:ascii="Palatino Linotype" w:eastAsia="Palatino Linotype" w:hAnsi="Palatino Linotype" w:cs="Palatino Linotype"/>
          <w:b/>
          <w:i/>
          <w:color w:val="000000"/>
          <w:sz w:val="22"/>
          <w:szCs w:val="22"/>
          <w:u w:val="single"/>
        </w:rPr>
        <w:t>mación clasificada</w:t>
      </w:r>
      <w:r>
        <w:rPr>
          <w:rFonts w:ascii="Palatino Linotype" w:eastAsia="Palatino Linotype" w:hAnsi="Palatino Linotype" w:cs="Palatino Linotype"/>
          <w:i/>
          <w:color w:val="000000"/>
          <w:sz w:val="22"/>
          <w:szCs w:val="22"/>
        </w:rPr>
        <w:t>. </w:t>
      </w:r>
    </w:p>
    <w:p w:rsidR="00EF08C3" w:rsidRDefault="00882C9A">
      <w:pPr>
        <w:pBdr>
          <w:top w:val="nil"/>
          <w:left w:val="nil"/>
          <w:bottom w:val="nil"/>
          <w:right w:val="nil"/>
          <w:between w:val="nil"/>
        </w:pBdr>
        <w:ind w:left="851" w:right="851"/>
        <w:jc w:val="both"/>
        <w:rPr>
          <w:color w:val="000000"/>
        </w:rPr>
      </w:pPr>
      <w:r>
        <w:rPr>
          <w:rFonts w:ascii="Palatino Linotype" w:eastAsia="Palatino Linotype" w:hAnsi="Palatino Linotype" w:cs="Palatino Linotype"/>
          <w:b/>
          <w:i/>
          <w:color w:val="000000"/>
          <w:sz w:val="22"/>
          <w:szCs w:val="22"/>
          <w:u w:val="single"/>
        </w:rPr>
        <w:t>En ningún caso se podrán clasificar documentos antes de que se genere la información. La clasificación de información se realizará conforme a un análisis caso por caso, mediante la aplicación de la prueba de daño. </w:t>
      </w:r>
    </w:p>
    <w:p w:rsidR="00EF08C3" w:rsidRDefault="00EF08C3"/>
    <w:p w:rsidR="00EF08C3" w:rsidRDefault="00882C9A">
      <w:pPr>
        <w:pBdr>
          <w:top w:val="nil"/>
          <w:left w:val="nil"/>
          <w:bottom w:val="nil"/>
          <w:right w:val="nil"/>
          <w:between w:val="nil"/>
        </w:pBdr>
        <w:ind w:left="851" w:right="851"/>
        <w:jc w:val="both"/>
        <w:rPr>
          <w:color w:val="000000"/>
        </w:rPr>
      </w:pPr>
      <w:r>
        <w:rPr>
          <w:rFonts w:ascii="Palatino Linotype" w:eastAsia="Palatino Linotype" w:hAnsi="Palatino Linotype" w:cs="Palatino Linotype"/>
          <w:b/>
          <w:i/>
          <w:color w:val="000000"/>
          <w:sz w:val="22"/>
          <w:szCs w:val="22"/>
        </w:rPr>
        <w:t xml:space="preserve">Artículo 140. </w:t>
      </w:r>
      <w:r>
        <w:rPr>
          <w:rFonts w:ascii="Palatino Linotype" w:eastAsia="Palatino Linotype" w:hAnsi="Palatino Linotype" w:cs="Palatino Linotype"/>
          <w:i/>
          <w:color w:val="000000"/>
          <w:sz w:val="22"/>
          <w:szCs w:val="22"/>
        </w:rPr>
        <w:t>El ac</w:t>
      </w:r>
      <w:r>
        <w:rPr>
          <w:rFonts w:ascii="Palatino Linotype" w:eastAsia="Palatino Linotype" w:hAnsi="Palatino Linotype" w:cs="Palatino Linotype"/>
          <w:i/>
          <w:color w:val="000000"/>
          <w:sz w:val="22"/>
          <w:szCs w:val="22"/>
        </w:rPr>
        <w:t>ceso a la información pública será restringido excepcionalmente, cuando por razones de interés público, ésta sea clasificada como reservada, conforme a los criterios siguientes:</w:t>
      </w:r>
    </w:p>
    <w:p w:rsidR="00EF08C3" w:rsidRDefault="00882C9A">
      <w:pPr>
        <w:pBdr>
          <w:top w:val="nil"/>
          <w:left w:val="nil"/>
          <w:bottom w:val="nil"/>
          <w:right w:val="nil"/>
          <w:between w:val="nil"/>
        </w:pBdr>
        <w:ind w:left="851" w:right="851"/>
        <w:jc w:val="both"/>
        <w:rPr>
          <w:color w:val="000000"/>
        </w:rPr>
      </w:pPr>
      <w:r>
        <w:rPr>
          <w:rFonts w:ascii="Palatino Linotype" w:eastAsia="Palatino Linotype" w:hAnsi="Palatino Linotype" w:cs="Palatino Linotype"/>
          <w:b/>
          <w:i/>
          <w:color w:val="000000"/>
          <w:sz w:val="22"/>
          <w:szCs w:val="22"/>
        </w:rPr>
        <w:t>…</w:t>
      </w:r>
    </w:p>
    <w:p w:rsidR="00EF08C3" w:rsidRDefault="00882C9A">
      <w:pPr>
        <w:pBdr>
          <w:top w:val="nil"/>
          <w:left w:val="nil"/>
          <w:bottom w:val="nil"/>
          <w:right w:val="nil"/>
          <w:between w:val="nil"/>
        </w:pBdr>
        <w:ind w:left="851" w:right="851"/>
        <w:jc w:val="both"/>
        <w:rPr>
          <w:color w:val="000000"/>
        </w:rPr>
      </w:pPr>
      <w:r>
        <w:rPr>
          <w:rFonts w:ascii="Palatino Linotype" w:eastAsia="Palatino Linotype" w:hAnsi="Palatino Linotype" w:cs="Palatino Linotype"/>
          <w:b/>
          <w:i/>
          <w:color w:val="000000"/>
          <w:sz w:val="22"/>
          <w:szCs w:val="22"/>
        </w:rPr>
        <w:t>VIII. Vulnere la conducción de los expedientes judiciales o de los procedimi</w:t>
      </w:r>
      <w:r>
        <w:rPr>
          <w:rFonts w:ascii="Palatino Linotype" w:eastAsia="Palatino Linotype" w:hAnsi="Palatino Linotype" w:cs="Palatino Linotype"/>
          <w:b/>
          <w:i/>
          <w:color w:val="000000"/>
          <w:sz w:val="22"/>
          <w:szCs w:val="22"/>
        </w:rPr>
        <w:t>entos administrativos seguidos en forma de juicio, en tanto no hayan quedo firmes.</w:t>
      </w:r>
    </w:p>
    <w:p w:rsidR="00EF08C3" w:rsidRDefault="00882C9A">
      <w:pPr>
        <w:pBdr>
          <w:top w:val="nil"/>
          <w:left w:val="nil"/>
          <w:bottom w:val="nil"/>
          <w:right w:val="nil"/>
          <w:between w:val="nil"/>
        </w:pBdr>
        <w:ind w:left="851" w:right="851"/>
        <w:jc w:val="both"/>
        <w:rPr>
          <w:color w:val="000000"/>
        </w:rPr>
      </w:pPr>
      <w:r>
        <w:rPr>
          <w:rFonts w:ascii="Palatino Linotype" w:eastAsia="Palatino Linotype" w:hAnsi="Palatino Linotype" w:cs="Palatino Linotype"/>
          <w:b/>
          <w:i/>
          <w:color w:val="000000"/>
          <w:sz w:val="22"/>
          <w:szCs w:val="22"/>
        </w:rPr>
        <w:t xml:space="preserve">Artículo 141. </w:t>
      </w:r>
      <w:r>
        <w:rPr>
          <w:rFonts w:ascii="Palatino Linotype" w:eastAsia="Palatino Linotype" w:hAnsi="Palatino Linotype" w:cs="Palatino Linotype"/>
          <w:i/>
          <w:color w:val="000000"/>
          <w:sz w:val="22"/>
          <w:szCs w:val="22"/>
        </w:rPr>
        <w:t>Las causales de reserva previstas en este Capítulo se deberán fundar y motivar, a través de la aplicación de la prueba de daño a la que se hace referencia en e</w:t>
      </w:r>
      <w:r>
        <w:rPr>
          <w:rFonts w:ascii="Palatino Linotype" w:eastAsia="Palatino Linotype" w:hAnsi="Palatino Linotype" w:cs="Palatino Linotype"/>
          <w:i/>
          <w:color w:val="000000"/>
          <w:sz w:val="22"/>
          <w:szCs w:val="22"/>
        </w:rPr>
        <w:t>l presente Título.</w:t>
      </w:r>
    </w:p>
    <w:p w:rsidR="00EF08C3" w:rsidRDefault="00882C9A">
      <w:pPr>
        <w:pBdr>
          <w:top w:val="nil"/>
          <w:left w:val="nil"/>
          <w:bottom w:val="nil"/>
          <w:right w:val="nil"/>
          <w:between w:val="nil"/>
        </w:pBdr>
        <w:ind w:left="851" w:right="851"/>
        <w:rPr>
          <w:color w:val="000000"/>
        </w:rPr>
      </w:pPr>
      <w:r>
        <w:rPr>
          <w:rFonts w:ascii="Palatino Linotype" w:eastAsia="Palatino Linotype" w:hAnsi="Palatino Linotype" w:cs="Palatino Linotype"/>
          <w:b/>
          <w:i/>
          <w:color w:val="000000"/>
          <w:sz w:val="22"/>
          <w:szCs w:val="22"/>
        </w:rPr>
        <w:t>Énfasis añadido</w:t>
      </w:r>
    </w:p>
    <w:p w:rsidR="00EF08C3" w:rsidRDefault="00EF08C3"/>
    <w:p w:rsidR="00EF08C3" w:rsidRDefault="00882C9A">
      <w:pPr>
        <w:pBdr>
          <w:top w:val="nil"/>
          <w:left w:val="nil"/>
          <w:bottom w:val="nil"/>
          <w:right w:val="nil"/>
          <w:between w:val="nil"/>
        </w:pBdr>
        <w:spacing w:line="360" w:lineRule="auto"/>
        <w:ind w:right="51"/>
        <w:jc w:val="both"/>
        <w:rPr>
          <w:color w:val="000000"/>
        </w:rPr>
      </w:pPr>
      <w:r>
        <w:rPr>
          <w:rFonts w:ascii="Palatino Linotype" w:eastAsia="Palatino Linotype" w:hAnsi="Palatino Linotype" w:cs="Palatino Linotype"/>
          <w:color w:val="000000"/>
        </w:rPr>
        <w:t>De la interpretación sistemática de los artículos citados, se advierte que el Sujeto Obligado debe realizar la debida reserva de la información por seguir en trámite el procedimiento aludido, siguiendo los requisitos expuestos: </w:t>
      </w:r>
      <w:r>
        <w:rPr>
          <w:color w:val="000000"/>
        </w:rPr>
        <w:br/>
      </w:r>
    </w:p>
    <w:p w:rsidR="00EF08C3" w:rsidRDefault="00882C9A">
      <w:pPr>
        <w:numPr>
          <w:ilvl w:val="0"/>
          <w:numId w:val="3"/>
        </w:numPr>
        <w:pBdr>
          <w:top w:val="nil"/>
          <w:left w:val="nil"/>
          <w:bottom w:val="nil"/>
          <w:right w:val="nil"/>
          <w:between w:val="nil"/>
        </w:pBdr>
        <w:ind w:right="902"/>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La divulgación de la información representa un riesgo real, demostrable e identificable del perjuicio significativo al interés público o a la seguridad pública;</w:t>
      </w:r>
    </w:p>
    <w:p w:rsidR="00EF08C3" w:rsidRDefault="00882C9A">
      <w:pPr>
        <w:numPr>
          <w:ilvl w:val="0"/>
          <w:numId w:val="3"/>
        </w:numPr>
        <w:pBdr>
          <w:top w:val="nil"/>
          <w:left w:val="nil"/>
          <w:bottom w:val="nil"/>
          <w:right w:val="nil"/>
          <w:between w:val="nil"/>
        </w:pBdr>
        <w:ind w:right="900"/>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El riesgo de perjuicio que supondría la divulgación supera el interés público general de que se</w:t>
      </w:r>
      <w:r>
        <w:rPr>
          <w:rFonts w:ascii="Palatino Linotype" w:eastAsia="Palatino Linotype" w:hAnsi="Palatino Linotype" w:cs="Palatino Linotype"/>
          <w:b/>
          <w:i/>
          <w:color w:val="000000"/>
          <w:sz w:val="22"/>
          <w:szCs w:val="22"/>
        </w:rPr>
        <w:t xml:space="preserve"> difunda; y</w:t>
      </w:r>
    </w:p>
    <w:p w:rsidR="00EF08C3" w:rsidRDefault="00882C9A">
      <w:pPr>
        <w:numPr>
          <w:ilvl w:val="0"/>
          <w:numId w:val="3"/>
        </w:numPr>
        <w:pBdr>
          <w:top w:val="nil"/>
          <w:left w:val="nil"/>
          <w:bottom w:val="nil"/>
          <w:right w:val="nil"/>
          <w:between w:val="nil"/>
        </w:pBdr>
        <w:ind w:right="900"/>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La limitación se adecua al principio de proporcionalidad y representa el medio menos restrictivo disponible representa el medio menos restrictivo disponible para evitar el perjuicio.</w:t>
      </w:r>
    </w:p>
    <w:p w:rsidR="00EF08C3" w:rsidRDefault="00EF08C3"/>
    <w:p w:rsidR="00EF08C3" w:rsidRDefault="00882C9A">
      <w:pPr>
        <w:pBdr>
          <w:top w:val="nil"/>
          <w:left w:val="nil"/>
          <w:bottom w:val="nil"/>
          <w:right w:val="nil"/>
          <w:between w:val="nil"/>
        </w:pBdr>
        <w:spacing w:line="360" w:lineRule="auto"/>
        <w:ind w:right="51"/>
        <w:jc w:val="both"/>
        <w:rPr>
          <w:color w:val="000000"/>
        </w:rPr>
      </w:pPr>
      <w:r>
        <w:rPr>
          <w:rFonts w:ascii="Palatino Linotype" w:eastAsia="Palatino Linotype" w:hAnsi="Palatino Linotype" w:cs="Palatino Linotype"/>
          <w:color w:val="000000"/>
        </w:rPr>
        <w:t>Requisitos que deben estar acompañados de la debida fundamen</w:t>
      </w:r>
      <w:r>
        <w:rPr>
          <w:rFonts w:ascii="Palatino Linotype" w:eastAsia="Palatino Linotype" w:hAnsi="Palatino Linotype" w:cs="Palatino Linotype"/>
          <w:color w:val="000000"/>
        </w:rPr>
        <w:t>tación y motivación, cobrado aplicación lo que señala la jurisprudencia de la novena época visible en el Semanario Judicial de la Federación y su Gaceta. Instancia: Tribunales Colegiados de Circuito. Tesis I.4o.A.J/43 (9a.) bajo el número de registro 17508</w:t>
      </w:r>
      <w:r>
        <w:rPr>
          <w:rFonts w:ascii="Palatino Linotype" w:eastAsia="Palatino Linotype" w:hAnsi="Palatino Linotype" w:cs="Palatino Linotype"/>
          <w:color w:val="000000"/>
        </w:rPr>
        <w:t>2 cuyo rubro y texto esgrime;</w:t>
      </w:r>
    </w:p>
    <w:p w:rsidR="00EF08C3" w:rsidRDefault="00EF08C3"/>
    <w:p w:rsidR="00EF08C3" w:rsidRDefault="00882C9A">
      <w:pPr>
        <w:pBdr>
          <w:top w:val="nil"/>
          <w:left w:val="nil"/>
          <w:bottom w:val="nil"/>
          <w:right w:val="nil"/>
          <w:between w:val="nil"/>
        </w:pBdr>
        <w:ind w:left="851" w:right="902"/>
        <w:jc w:val="both"/>
        <w:rPr>
          <w:color w:val="000000"/>
        </w:rPr>
      </w:pPr>
      <w:r>
        <w:rPr>
          <w:rFonts w:ascii="Palatino Linotype" w:eastAsia="Palatino Linotype" w:hAnsi="Palatino Linotype" w:cs="Palatino Linotype"/>
          <w:b/>
          <w:i/>
          <w:color w:val="000000"/>
          <w:sz w:val="22"/>
          <w:szCs w:val="22"/>
        </w:rPr>
        <w:t>FUNDAMENTACIÓN Y MOTIVACIÓN. EL ASPECTO FORMAL DE LA GARANTÍA Y SU FINALIDAD SE TRADUCEN EN EXPLICAR, JUSTIFICAR, POSIBILITAR LA DEFENSA Y COMUNICAR LA DECISIÓN.</w:t>
      </w:r>
    </w:p>
    <w:p w:rsidR="00EF08C3" w:rsidRDefault="00882C9A">
      <w:pPr>
        <w:pBdr>
          <w:top w:val="nil"/>
          <w:left w:val="nil"/>
          <w:bottom w:val="nil"/>
          <w:right w:val="nil"/>
          <w:between w:val="nil"/>
        </w:pBdr>
        <w:ind w:left="851" w:right="902"/>
        <w:jc w:val="both"/>
        <w:rPr>
          <w:color w:val="000000"/>
        </w:rPr>
      </w:pPr>
      <w:r>
        <w:rPr>
          <w:rFonts w:ascii="Palatino Linotype" w:eastAsia="Palatino Linotype" w:hAnsi="Palatino Linotype" w:cs="Palatino Linotype"/>
          <w:i/>
          <w:color w:val="000000"/>
          <w:sz w:val="22"/>
          <w:szCs w:val="22"/>
        </w:rPr>
        <w:br/>
      </w:r>
      <w:r>
        <w:rPr>
          <w:rFonts w:ascii="Palatino Linotype" w:eastAsia="Palatino Linotype" w:hAnsi="Palatino Linotype" w:cs="Palatino Linotype"/>
          <w:i/>
          <w:color w:val="000000"/>
          <w:sz w:val="22"/>
          <w:szCs w:val="22"/>
        </w:rPr>
        <w:t>El contenido formal de la garantía de legalidad prevista en el artículo </w:t>
      </w:r>
      <w:hyperlink r:id="rId12">
        <w:r>
          <w:rPr>
            <w:rFonts w:ascii="Palatino Linotype" w:eastAsia="Palatino Linotype" w:hAnsi="Palatino Linotype" w:cs="Palatino Linotype"/>
            <w:i/>
            <w:color w:val="000000"/>
            <w:sz w:val="22"/>
            <w:szCs w:val="22"/>
            <w:u w:val="single"/>
          </w:rPr>
          <w:t>16 constitucional</w:t>
        </w:r>
      </w:hyperlink>
      <w:r>
        <w:rPr>
          <w:rFonts w:ascii="Palatino Linotype" w:eastAsia="Palatino Linotype" w:hAnsi="Palatino Linotype" w:cs="Palatino Linotype"/>
          <w:i/>
          <w:color w:val="000000"/>
          <w:sz w:val="22"/>
          <w:szCs w:val="22"/>
        </w:rPr>
        <w:t> relativa a la fundamentación y motivación tiene como propósito primordial y ratio que el justiciable conozca el "para qué"</w:t>
      </w:r>
      <w:r>
        <w:rPr>
          <w:rFonts w:ascii="Palatino Linotype" w:eastAsia="Palatino Linotype" w:hAnsi="Palatino Linotype" w:cs="Palatino Linotype"/>
          <w:i/>
          <w:color w:val="000000"/>
          <w:sz w:val="22"/>
          <w:szCs w:val="22"/>
        </w:rPr>
        <w:t xml:space="preserve"> de la conducta de la autoridad, lo que se traduce en darle a conocer en detalle y de manera completa la esencia de todas las circunstancias y condiciones que determinaron el acto de voluntad, de manera que sea evidente y muy claro para el afectado poder c</w:t>
      </w:r>
      <w:r>
        <w:rPr>
          <w:rFonts w:ascii="Palatino Linotype" w:eastAsia="Palatino Linotype" w:hAnsi="Palatino Linotype" w:cs="Palatino Linotype"/>
          <w:i/>
          <w:color w:val="000000"/>
          <w:sz w:val="22"/>
          <w:szCs w:val="22"/>
        </w:rPr>
        <w:t>uestionar y controvertir el mérito de la decisión, permitiéndole una real y auténtica defensa. Por tanto, no basta que el acto de autoridad apenas observe una motivación pro forma pero de una manera incongruente, insuficiente o imprecisa, que impida la fin</w:t>
      </w:r>
      <w:r>
        <w:rPr>
          <w:rFonts w:ascii="Palatino Linotype" w:eastAsia="Palatino Linotype" w:hAnsi="Palatino Linotype" w:cs="Palatino Linotype"/>
          <w:i/>
          <w:color w:val="000000"/>
          <w:sz w:val="22"/>
          <w:szCs w:val="22"/>
        </w:rPr>
        <w:t>alidad del conocimiento, comprobación y defensa pertinente, ni es válido exigirle una amplitud o abundancia superflua, pues es suficiente la expresión de lo estrictamente necesario para explicar, justificar y posibilitar la defensa, así como para comunicar</w:t>
      </w:r>
      <w:r>
        <w:rPr>
          <w:rFonts w:ascii="Palatino Linotype" w:eastAsia="Palatino Linotype" w:hAnsi="Palatino Linotype" w:cs="Palatino Linotype"/>
          <w:i/>
          <w:color w:val="000000"/>
          <w:sz w:val="22"/>
          <w:szCs w:val="22"/>
        </w:rPr>
        <w:t xml:space="preserve"> la decisión a efecto de que se considere debidamente fundado y motivado, exponiendo los hechos relevantes para decidir, citando la norma habilitante y un argumento mínimo pero suficiente para acreditar el razonamiento del que se deduzca la relación de per</w:t>
      </w:r>
      <w:r>
        <w:rPr>
          <w:rFonts w:ascii="Palatino Linotype" w:eastAsia="Palatino Linotype" w:hAnsi="Palatino Linotype" w:cs="Palatino Linotype"/>
          <w:i/>
          <w:color w:val="000000"/>
          <w:sz w:val="22"/>
          <w:szCs w:val="22"/>
        </w:rPr>
        <w:t>tenencia lógica de los hechos al derecho invocado, que es la subsunción”</w:t>
      </w:r>
    </w:p>
    <w:p w:rsidR="00EF08C3" w:rsidRDefault="00EF08C3"/>
    <w:p w:rsidR="00EF08C3" w:rsidRDefault="00882C9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Lo anterior es así, toda vez que no se debe perder de vista que para clasificar como reservada la información se debe desarrollar la prueba de daño que debe de ser acorde a lo establ</w:t>
      </w:r>
      <w:r>
        <w:rPr>
          <w:rFonts w:ascii="Palatino Linotype" w:eastAsia="Palatino Linotype" w:hAnsi="Palatino Linotype" w:cs="Palatino Linotype"/>
          <w:color w:val="000000"/>
        </w:rPr>
        <w:t xml:space="preserve">ecido por la ley aplicable y debe ser de acuerdo a un razonamiento </w:t>
      </w:r>
      <w:r>
        <w:rPr>
          <w:rFonts w:ascii="Palatino Linotype" w:eastAsia="Palatino Linotype" w:hAnsi="Palatino Linotype" w:cs="Palatino Linotype"/>
          <w:color w:val="000000"/>
        </w:rPr>
        <w:lastRenderedPageBreak/>
        <w:t>lógico jurídico que justifique la hipótesis de la pretendida clasificación, y acompañar el respectivo acuerdo de clasificación.</w:t>
      </w:r>
    </w:p>
    <w:p w:rsidR="00EF08C3" w:rsidRDefault="00EF08C3">
      <w:pPr>
        <w:pBdr>
          <w:top w:val="nil"/>
          <w:left w:val="nil"/>
          <w:bottom w:val="nil"/>
          <w:right w:val="nil"/>
          <w:between w:val="nil"/>
        </w:pBdr>
        <w:spacing w:line="360" w:lineRule="auto"/>
        <w:jc w:val="both"/>
        <w:rPr>
          <w:color w:val="000000"/>
        </w:rPr>
      </w:pPr>
    </w:p>
    <w:p w:rsidR="00EF08C3" w:rsidRDefault="00882C9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Siendo que la prueba de daño es aquella argumentación fundad</w:t>
      </w:r>
      <w:r>
        <w:rPr>
          <w:rFonts w:ascii="Palatino Linotype" w:eastAsia="Palatino Linotype" w:hAnsi="Palatino Linotype" w:cs="Palatino Linotype"/>
          <w:color w:val="000000"/>
        </w:rPr>
        <w:t>a y motivada que deben realizar los Sujetos Obligados tendientes a acreditar que la divulgación de información lesiona el interés jurídico protegido por la normatividad aplicable y que el daño que puede producirse con la publicidad de la información es may</w:t>
      </w:r>
      <w:r>
        <w:rPr>
          <w:rFonts w:ascii="Palatino Linotype" w:eastAsia="Palatino Linotype" w:hAnsi="Palatino Linotype" w:cs="Palatino Linotype"/>
          <w:color w:val="000000"/>
        </w:rPr>
        <w:t>or que el interés de conocerla, dicha prueba pretende ser una garantía para impedir la reserva discrecional de la información.</w:t>
      </w:r>
    </w:p>
    <w:p w:rsidR="00EF08C3" w:rsidRDefault="00EF08C3">
      <w:pPr>
        <w:pBdr>
          <w:top w:val="nil"/>
          <w:left w:val="nil"/>
          <w:bottom w:val="nil"/>
          <w:right w:val="nil"/>
          <w:between w:val="nil"/>
        </w:pBdr>
        <w:spacing w:line="360" w:lineRule="auto"/>
        <w:jc w:val="both"/>
        <w:rPr>
          <w:color w:val="000000"/>
        </w:rPr>
      </w:pPr>
    </w:p>
    <w:p w:rsidR="00EF08C3" w:rsidRDefault="00882C9A">
      <w:pPr>
        <w:pBdr>
          <w:top w:val="nil"/>
          <w:left w:val="nil"/>
          <w:bottom w:val="nil"/>
          <w:right w:val="nil"/>
          <w:between w:val="nil"/>
        </w:pBdr>
        <w:spacing w:after="240" w:line="360" w:lineRule="auto"/>
        <w:jc w:val="both"/>
        <w:rPr>
          <w:color w:val="000000"/>
        </w:rPr>
      </w:pPr>
      <w:r>
        <w:rPr>
          <w:rFonts w:ascii="Palatino Linotype" w:eastAsia="Palatino Linotype" w:hAnsi="Palatino Linotype" w:cs="Palatino Linotype"/>
          <w:color w:val="000000"/>
        </w:rPr>
        <w:t>En efecto, generalmente se concede que no basta que un documento verse, por ejemplo, sobre seguridad nacional para que éste pued</w:t>
      </w:r>
      <w:r>
        <w:rPr>
          <w:rFonts w:ascii="Palatino Linotype" w:eastAsia="Palatino Linotype" w:hAnsi="Palatino Linotype" w:cs="Palatino Linotype"/>
          <w:color w:val="000000"/>
        </w:rPr>
        <w:t>a ser automáticamente reservado del conocimiento público, se debe demostrar además que la divulgación de ese documento genera o puede generar un daño específico al valor jurídicamente protegido. En otras palabras, se requiere de una ponderación de los valo</w:t>
      </w:r>
      <w:r>
        <w:rPr>
          <w:rFonts w:ascii="Palatino Linotype" w:eastAsia="Palatino Linotype" w:hAnsi="Palatino Linotype" w:cs="Palatino Linotype"/>
          <w:color w:val="000000"/>
        </w:rPr>
        <w:t>res en conflicto —en este caso publicidad contra seguridad— para poder determinar de manera cierta que la primera pone en riesgo a la segunda, y que por ello procede una reserva temporal del documento, a esto se le conoce como la "prueba de daño".</w:t>
      </w:r>
    </w:p>
    <w:p w:rsidR="00EF08C3" w:rsidRDefault="00882C9A">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En esta tesitura, la prueba de daño en el presente asunto debe, con base en los "Lineamientos generales para la clasificación y desclasificación de la información de las dependencias y entidades de la Administración Pública resulta necesario considerar "la</w:t>
      </w:r>
      <w:r>
        <w:rPr>
          <w:rFonts w:ascii="Palatino Linotype" w:eastAsia="Palatino Linotype" w:hAnsi="Palatino Linotype" w:cs="Palatino Linotype"/>
          <w:color w:val="000000"/>
        </w:rPr>
        <w:t xml:space="preserve"> existencia de elementos objetivos que permitan determinar si la difusión de la información causaría un </w:t>
      </w:r>
      <w:r>
        <w:rPr>
          <w:rFonts w:ascii="Palatino Linotype" w:eastAsia="Palatino Linotype" w:hAnsi="Palatino Linotype" w:cs="Palatino Linotype"/>
          <w:i/>
          <w:color w:val="000000"/>
        </w:rPr>
        <w:t xml:space="preserve">daño presente, probable y específico </w:t>
      </w:r>
      <w:r>
        <w:rPr>
          <w:rFonts w:ascii="Palatino Linotype" w:eastAsia="Palatino Linotype" w:hAnsi="Palatino Linotype" w:cs="Palatino Linotype"/>
          <w:color w:val="000000"/>
        </w:rPr>
        <w:t xml:space="preserve">a los intereses jurídicos tutelados por dicho precepto, es decir, de conformidad a lo </w:t>
      </w:r>
      <w:r>
        <w:rPr>
          <w:rFonts w:ascii="Palatino Linotype" w:eastAsia="Palatino Linotype" w:hAnsi="Palatino Linotype" w:cs="Palatino Linotype"/>
          <w:color w:val="000000"/>
        </w:rPr>
        <w:lastRenderedPageBreak/>
        <w:t xml:space="preserve">establecido en los artículos </w:t>
      </w:r>
      <w:r>
        <w:rPr>
          <w:rFonts w:ascii="Palatino Linotype" w:eastAsia="Palatino Linotype" w:hAnsi="Palatino Linotype" w:cs="Palatino Linotype"/>
          <w:color w:val="000000"/>
        </w:rPr>
        <w:t>129 y 131 de la Ley de Transparencia vigente en la entidad, el sujeto Obligado debe acreditar de manera fehaciente que al proporcionar la información materia del presente asunto el daño que se causaría es presente, probable y específico, justificando que:</w:t>
      </w:r>
    </w:p>
    <w:p w:rsidR="00EF08C3" w:rsidRDefault="00882C9A">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b/>
          <w:color w:val="000000"/>
        </w:rPr>
        <w:t xml:space="preserve">I. </w:t>
      </w:r>
      <w:r>
        <w:rPr>
          <w:rFonts w:ascii="Palatino Linotype" w:eastAsia="Palatino Linotype" w:hAnsi="Palatino Linotype" w:cs="Palatino Linotype"/>
          <w:color w:val="000000"/>
        </w:rPr>
        <w:t>La divulgación de la información representa un riesgo real, demostrable e identificable del perjuicio significativo al interés público o a la seguridad pública;</w:t>
      </w:r>
    </w:p>
    <w:p w:rsidR="00EF08C3" w:rsidRDefault="00882C9A">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b/>
          <w:color w:val="000000"/>
        </w:rPr>
        <w:t xml:space="preserve">II. </w:t>
      </w:r>
      <w:r>
        <w:rPr>
          <w:rFonts w:ascii="Palatino Linotype" w:eastAsia="Palatino Linotype" w:hAnsi="Palatino Linotype" w:cs="Palatino Linotype"/>
          <w:color w:val="000000"/>
        </w:rPr>
        <w:t>El riesgo de perjuicio que supondría la divulgación supera el interés público general de</w:t>
      </w:r>
      <w:r>
        <w:rPr>
          <w:rFonts w:ascii="Palatino Linotype" w:eastAsia="Palatino Linotype" w:hAnsi="Palatino Linotype" w:cs="Palatino Linotype"/>
          <w:color w:val="000000"/>
        </w:rPr>
        <w:t xml:space="preserve"> que se difunda; y</w:t>
      </w:r>
    </w:p>
    <w:p w:rsidR="00EF08C3" w:rsidRDefault="00882C9A">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b/>
          <w:color w:val="000000"/>
        </w:rPr>
        <w:t xml:space="preserve">III. </w:t>
      </w:r>
      <w:r>
        <w:rPr>
          <w:rFonts w:ascii="Palatino Linotype" w:eastAsia="Palatino Linotype" w:hAnsi="Palatino Linotype" w:cs="Palatino Linotype"/>
          <w:color w:val="000000"/>
        </w:rPr>
        <w:t>La limitación se adecua al principio de proporcionalidad y representa el medio menos restrictivo disponible representa el medio menos restrictivo disponible para evitar el perjuicio.</w:t>
      </w:r>
    </w:p>
    <w:p w:rsidR="00EF08C3" w:rsidRDefault="00EF08C3">
      <w:pPr>
        <w:spacing w:line="360" w:lineRule="auto"/>
        <w:jc w:val="both"/>
        <w:rPr>
          <w:rFonts w:ascii="Palatino Linotype" w:eastAsia="Palatino Linotype" w:hAnsi="Palatino Linotype" w:cs="Palatino Linotype"/>
        </w:rPr>
      </w:pPr>
    </w:p>
    <w:p w:rsidR="00EF08C3" w:rsidRDefault="00882C9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deberá precisar la fracción y por tanto la conexión aplicable entre los fundamentos y motivos que en su caso den origen a la Reserva de la información,  incluyendo la causal aplicable del artículo 113 de la Ley General de Transparencia y Acceso a</w:t>
      </w:r>
      <w:r>
        <w:rPr>
          <w:rFonts w:ascii="Palatino Linotype" w:eastAsia="Palatino Linotype" w:hAnsi="Palatino Linotype" w:cs="Palatino Linotype"/>
        </w:rPr>
        <w:t xml:space="preserve"> la Información Pública:</w:t>
      </w:r>
    </w:p>
    <w:p w:rsidR="00EF08C3" w:rsidRDefault="00882C9A">
      <w:pPr>
        <w:spacing w:before="360" w:after="36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rPr>
        <w:t xml:space="preserve"> </w:t>
      </w: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113</w:t>
      </w:r>
      <w:r>
        <w:rPr>
          <w:rFonts w:ascii="Palatino Linotype" w:eastAsia="Palatino Linotype" w:hAnsi="Palatino Linotype" w:cs="Palatino Linotype"/>
          <w:i/>
          <w:sz w:val="22"/>
          <w:szCs w:val="22"/>
        </w:rPr>
        <w:t>. Como información reservada podrá clasificarse aquella cuya publicación:</w:t>
      </w:r>
    </w:p>
    <w:p w:rsidR="00EF08C3" w:rsidRDefault="00882C9A">
      <w:pPr>
        <w:spacing w:before="360" w:after="36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EF08C3" w:rsidRDefault="00882C9A">
      <w:pPr>
        <w:spacing w:before="360" w:after="360" w:line="276" w:lineRule="auto"/>
        <w:ind w:left="851" w:right="616"/>
        <w:jc w:val="both"/>
        <w:rPr>
          <w:rFonts w:ascii="Palatino Linotype" w:eastAsia="Palatino Linotype" w:hAnsi="Palatino Linotype" w:cs="Palatino Linotype"/>
          <w:i/>
          <w:sz w:val="22"/>
          <w:szCs w:val="22"/>
        </w:rPr>
      </w:pPr>
      <w:r>
        <w:t xml:space="preserve"> </w:t>
      </w:r>
      <w:r>
        <w:rPr>
          <w:rFonts w:ascii="Palatino Linotype" w:eastAsia="Palatino Linotype" w:hAnsi="Palatino Linotype" w:cs="Palatino Linotype"/>
          <w:i/>
          <w:sz w:val="22"/>
          <w:szCs w:val="22"/>
        </w:rPr>
        <w:t>XI. Vulnere la conducción de los Expedientes judiciales o de los procedimientos administrativos seguidos en forma de juicio, en tanto no hay</w:t>
      </w:r>
      <w:r>
        <w:rPr>
          <w:rFonts w:ascii="Palatino Linotype" w:eastAsia="Palatino Linotype" w:hAnsi="Palatino Linotype" w:cs="Palatino Linotype"/>
          <w:i/>
          <w:sz w:val="22"/>
          <w:szCs w:val="22"/>
        </w:rPr>
        <w:t>an causado estado; “</w:t>
      </w:r>
    </w:p>
    <w:p w:rsidR="00EF08C3" w:rsidRDefault="00882C9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como  la inexistencia del vínculo con el Lineamiento específico, emitido en los Lineamientos Generales en Materia de Clasificación y Desclasificación de la Información:</w:t>
      </w:r>
    </w:p>
    <w:p w:rsidR="00EF08C3" w:rsidRDefault="00882C9A">
      <w:pPr>
        <w:spacing w:before="360" w:after="36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Vigésimo octavo.</w:t>
      </w:r>
      <w:r>
        <w:rPr>
          <w:rFonts w:ascii="Palatino Linotype" w:eastAsia="Palatino Linotype" w:hAnsi="Palatino Linotype" w:cs="Palatino Linotype"/>
          <w:i/>
          <w:sz w:val="22"/>
          <w:szCs w:val="22"/>
        </w:rPr>
        <w:t xml:space="preserve"> De conformidad con el artículo 113, fracció</w:t>
      </w:r>
      <w:r>
        <w:rPr>
          <w:rFonts w:ascii="Palatino Linotype" w:eastAsia="Palatino Linotype" w:hAnsi="Palatino Linotype" w:cs="Palatino Linotype"/>
          <w:i/>
          <w:sz w:val="22"/>
          <w:szCs w:val="22"/>
        </w:rPr>
        <w:t>n IX de la Ley General, podrá considerarse como información reservada, aquella que obstruya los procedimientos para fincar responsabilidad a los servidores públicos, en tanto no se haya dictado la resolución administrativa correspondiente; para lo cual, se</w:t>
      </w:r>
      <w:r>
        <w:rPr>
          <w:rFonts w:ascii="Palatino Linotype" w:eastAsia="Palatino Linotype" w:hAnsi="Palatino Linotype" w:cs="Palatino Linotype"/>
          <w:i/>
          <w:sz w:val="22"/>
          <w:szCs w:val="22"/>
        </w:rPr>
        <w:t xml:space="preserve"> deberán acreditar los siguientes supuestos:</w:t>
      </w:r>
    </w:p>
    <w:p w:rsidR="00EF08C3" w:rsidRDefault="00882C9A">
      <w:pPr>
        <w:spacing w:before="360" w:after="36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La existencia de un procedimiento de responsabilidad administrativa en trámite, y</w:t>
      </w:r>
    </w:p>
    <w:p w:rsidR="00EF08C3" w:rsidRDefault="00882C9A">
      <w:pPr>
        <w:spacing w:before="360" w:after="36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Que la información se refiera a actuaciones, diligencias y constancias propias del procedimiento de responsab</w:t>
      </w:r>
      <w:r>
        <w:rPr>
          <w:rFonts w:ascii="Palatino Linotype" w:eastAsia="Palatino Linotype" w:hAnsi="Palatino Linotype" w:cs="Palatino Linotype"/>
          <w:i/>
          <w:sz w:val="22"/>
          <w:szCs w:val="22"/>
        </w:rPr>
        <w:t xml:space="preserve">ilidad.” </w:t>
      </w:r>
    </w:p>
    <w:p w:rsidR="00EF08C3" w:rsidRDefault="00882C9A">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QUINTO. Versión Pública. </w:t>
      </w:r>
      <w:r>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w:t>
      </w:r>
      <w:r>
        <w:rPr>
          <w:rFonts w:ascii="Palatino Linotype" w:eastAsia="Palatino Linotype" w:hAnsi="Palatino Linotype" w:cs="Palatino Linotype"/>
        </w:rPr>
        <w:t xml:space="preserve">datos que deban ser clasificados en los términos que la misma Ley de la Materia señala,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tendrá que hacer la elaboración de una versión pública de los documentos que vaya entregar para dar cumplimiento a esta resolución, a fin de satisfac</w:t>
      </w:r>
      <w:r>
        <w:rPr>
          <w:rFonts w:ascii="Palatino Linotype" w:eastAsia="Palatino Linotype" w:hAnsi="Palatino Linotype" w:cs="Palatino Linotype"/>
        </w:rPr>
        <w:t xml:space="preserve">er el derecho de acceso a la información pública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sin menoscabar el derecho a la protección de los datos personales de terceros.</w:t>
      </w:r>
    </w:p>
    <w:p w:rsidR="00EF08C3" w:rsidRDefault="00EF08C3">
      <w:pPr>
        <w:spacing w:line="360" w:lineRule="auto"/>
        <w:jc w:val="both"/>
        <w:rPr>
          <w:rFonts w:ascii="Palatino Linotype" w:eastAsia="Palatino Linotype" w:hAnsi="Palatino Linotype" w:cs="Palatino Linotype"/>
        </w:rPr>
      </w:pPr>
    </w:p>
    <w:p w:rsidR="00EF08C3" w:rsidRDefault="00882C9A">
      <w:pPr>
        <w:spacing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de conformidad a lo que señalan los artículos 3, fracciones IX, XX, XXXII, XLV; 6, 137 y 143 fracción I, de la Ley de Transparencia y Acceso a la </w:t>
      </w:r>
      <w:r>
        <w:rPr>
          <w:rFonts w:ascii="Palatino Linotype" w:eastAsia="Palatino Linotype" w:hAnsi="Palatino Linotype" w:cs="Palatino Linotype"/>
        </w:rPr>
        <w:lastRenderedPageBreak/>
        <w:t>Información Pública del Estado de México y Municipios vigente, que se leen como sigue:</w:t>
      </w:r>
    </w:p>
    <w:p w:rsidR="00EF08C3" w:rsidRDefault="00882C9A">
      <w:pPr>
        <w:ind w:left="993" w:right="10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 “Artículo</w:t>
      </w:r>
      <w:r>
        <w:rPr>
          <w:rFonts w:ascii="Palatino Linotype" w:eastAsia="Palatino Linotype" w:hAnsi="Palatino Linotype" w:cs="Palatino Linotype"/>
          <w:b/>
          <w:i/>
          <w:sz w:val="22"/>
          <w:szCs w:val="22"/>
        </w:rPr>
        <w:t xml:space="preserve"> 3. Para los efectos de la presente Ley se entenderá por:</w:t>
      </w:r>
    </w:p>
    <w:p w:rsidR="00EF08C3" w:rsidRDefault="00882C9A">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 Datos personales:</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información concerniente a una persona, identificada o identificable</w:t>
      </w:r>
      <w:r>
        <w:rPr>
          <w:rFonts w:ascii="Palatino Linotype" w:eastAsia="Palatino Linotype" w:hAnsi="Palatino Linotype" w:cs="Palatino Linotype"/>
          <w:i/>
          <w:sz w:val="22"/>
          <w:szCs w:val="22"/>
        </w:rPr>
        <w:t xml:space="preserve"> según lo dispuesto por la Ley de Protección de Datos Personales del Estado de México;</w:t>
      </w:r>
    </w:p>
    <w:p w:rsidR="00EF08C3" w:rsidRDefault="00882C9A">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w:t>
      </w:r>
      <w:r>
        <w:rPr>
          <w:rFonts w:ascii="Palatino Linotype" w:eastAsia="Palatino Linotype" w:hAnsi="Palatino Linotype" w:cs="Palatino Linotype"/>
          <w:b/>
          <w:i/>
          <w:sz w:val="22"/>
          <w:szCs w:val="22"/>
        </w:rPr>
        <w:t>asificada:</w:t>
      </w:r>
      <w:r>
        <w:rPr>
          <w:rFonts w:ascii="Palatino Linotype" w:eastAsia="Palatino Linotype" w:hAnsi="Palatino Linotype" w:cs="Palatino Linotype"/>
          <w:i/>
          <w:sz w:val="22"/>
          <w:szCs w:val="22"/>
        </w:rPr>
        <w:t xml:space="preserve"> Aquella considerada por la presente Ley como reservada o confidencial;</w:t>
      </w:r>
    </w:p>
    <w:p w:rsidR="00EF08C3" w:rsidRDefault="00882C9A">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XXXII. Protección de Datos Personales:</w:t>
      </w:r>
      <w:r>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rsidR="00EF08C3" w:rsidRDefault="00882C9A">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rsidR="00EF08C3" w:rsidRDefault="00EF08C3">
      <w:pPr>
        <w:ind w:left="993" w:right="1041"/>
        <w:jc w:val="both"/>
        <w:rPr>
          <w:rFonts w:ascii="Palatino Linotype" w:eastAsia="Palatino Linotype" w:hAnsi="Palatino Linotype" w:cs="Palatino Linotype"/>
          <w:i/>
          <w:sz w:val="22"/>
          <w:szCs w:val="22"/>
        </w:rPr>
      </w:pPr>
    </w:p>
    <w:p w:rsidR="00EF08C3" w:rsidRDefault="00882C9A">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w:t>
      </w:r>
      <w:r>
        <w:rPr>
          <w:rFonts w:ascii="Palatino Linotype" w:eastAsia="Palatino Linotype" w:hAnsi="Palatino Linotype" w:cs="Palatino Linotype"/>
          <w:i/>
          <w:sz w:val="22"/>
          <w:szCs w:val="22"/>
        </w:rPr>
        <w:t xml:space="preserve"> Los datos personales son irrenunciables, intransferibles e indelegables, por lo que los s</w:t>
      </w:r>
      <w:r>
        <w:rPr>
          <w:rFonts w:ascii="Palatino Linotype" w:eastAsia="Palatino Linotype" w:hAnsi="Palatino Linotype" w:cs="Palatino Linotype"/>
          <w:i/>
          <w:sz w:val="22"/>
          <w:szCs w:val="22"/>
        </w:rPr>
        <w:t>ujetos obligados no deberán proporcionar o hacer pública la información que contenga, con excepción de aquellos casos en que deban hacerlo en observancia de las disposiciones aplicables. En el caso de los derechos de acceso, rectificación, cancelación u op</w:t>
      </w:r>
      <w:r>
        <w:rPr>
          <w:rFonts w:ascii="Palatino Linotype" w:eastAsia="Palatino Linotype" w:hAnsi="Palatino Linotype" w:cs="Palatino Linotype"/>
          <w:i/>
          <w:sz w:val="22"/>
          <w:szCs w:val="22"/>
        </w:rPr>
        <w:t>osición; los principios, procedimientos, medidas de seguridad en el tratamiento y demás disposiciones en materia de datos personales, se deberá estar a lo dispuesto en las leyes de la materia.”</w:t>
      </w:r>
    </w:p>
    <w:p w:rsidR="00EF08C3" w:rsidRDefault="00EF08C3">
      <w:pPr>
        <w:ind w:left="993" w:right="1041"/>
        <w:jc w:val="both"/>
        <w:rPr>
          <w:rFonts w:ascii="Palatino Linotype" w:eastAsia="Palatino Linotype" w:hAnsi="Palatino Linotype" w:cs="Palatino Linotype"/>
          <w:i/>
          <w:sz w:val="22"/>
          <w:szCs w:val="22"/>
        </w:rPr>
      </w:pPr>
    </w:p>
    <w:p w:rsidR="00EF08C3" w:rsidRDefault="00882C9A">
      <w:pPr>
        <w:ind w:left="993" w:right="10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137.</w:t>
      </w:r>
      <w:r>
        <w:rPr>
          <w:rFonts w:ascii="Palatino Linotype" w:eastAsia="Palatino Linotype" w:hAnsi="Palatino Linotype" w:cs="Palatino Linotype"/>
          <w:i/>
          <w:sz w:val="22"/>
          <w:szCs w:val="22"/>
        </w:rPr>
        <w:t xml:space="preserve"> Cuando un mismo medio, impreso o electrónico, </w:t>
      </w:r>
      <w:r>
        <w:rPr>
          <w:rFonts w:ascii="Palatino Linotype" w:eastAsia="Palatino Linotype" w:hAnsi="Palatino Linotype" w:cs="Palatino Linotype"/>
          <w:i/>
          <w:sz w:val="22"/>
          <w:szCs w:val="22"/>
        </w:rPr>
        <w:t>contenga información pública y reservada o confidencial, la Unidad de Transparencia para efectos de atender una solicitud de información, deberán elaborar una versión pública en la que se testen las partes o secciones clasificadas, indicando su contenido d</w:t>
      </w:r>
      <w:r>
        <w:rPr>
          <w:rFonts w:ascii="Palatino Linotype" w:eastAsia="Palatino Linotype" w:hAnsi="Palatino Linotype" w:cs="Palatino Linotype"/>
          <w:i/>
          <w:sz w:val="22"/>
          <w:szCs w:val="22"/>
        </w:rPr>
        <w:t>e manera genérica y fundando y motivando su clasificación.”</w:t>
      </w:r>
    </w:p>
    <w:p w:rsidR="00EF08C3" w:rsidRDefault="00EF08C3">
      <w:pPr>
        <w:ind w:left="993" w:right="1041"/>
        <w:jc w:val="both"/>
        <w:rPr>
          <w:rFonts w:ascii="Palatino Linotype" w:eastAsia="Palatino Linotype" w:hAnsi="Palatino Linotype" w:cs="Palatino Linotype"/>
          <w:b/>
          <w:i/>
          <w:sz w:val="22"/>
          <w:szCs w:val="22"/>
        </w:rPr>
      </w:pPr>
    </w:p>
    <w:p w:rsidR="00EF08C3" w:rsidRDefault="00882C9A">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EF08C3" w:rsidRDefault="00882C9A">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refiera a la información privada</w:t>
      </w:r>
      <w:r>
        <w:rPr>
          <w:rFonts w:ascii="Palatino Linotype" w:eastAsia="Palatino Linotype" w:hAnsi="Palatino Linotype" w:cs="Palatino Linotype"/>
          <w:i/>
          <w:sz w:val="22"/>
          <w:szCs w:val="22"/>
        </w:rPr>
        <w:t xml:space="preserve"> y los datos personales concernientes a una persona física o jurídica colectiva identificada o identificable;</w:t>
      </w:r>
    </w:p>
    <w:p w:rsidR="00EF08C3" w:rsidRDefault="00882C9A">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w:t>
      </w:r>
      <w:r>
        <w:rPr>
          <w:rFonts w:ascii="Palatino Linotype" w:eastAsia="Palatino Linotype" w:hAnsi="Palatino Linotype" w:cs="Palatino Linotype"/>
          <w:i/>
          <w:sz w:val="22"/>
          <w:szCs w:val="22"/>
        </w:rPr>
        <w:t xml:space="preserve">erecho </w:t>
      </w:r>
      <w:r>
        <w:rPr>
          <w:rFonts w:ascii="Palatino Linotype" w:eastAsia="Palatino Linotype" w:hAnsi="Palatino Linotype" w:cs="Palatino Linotype"/>
          <w:i/>
          <w:sz w:val="22"/>
          <w:szCs w:val="22"/>
        </w:rPr>
        <w:lastRenderedPageBreak/>
        <w:t>internacional o a sujetos obligados cuando no involucren el ejercicio de recursos públicos; y</w:t>
      </w:r>
    </w:p>
    <w:p w:rsidR="00EF08C3" w:rsidRDefault="00882C9A">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rsidR="00EF08C3" w:rsidRDefault="00EF08C3">
      <w:pPr>
        <w:ind w:left="993" w:right="1041"/>
        <w:jc w:val="both"/>
        <w:rPr>
          <w:rFonts w:ascii="Palatino Linotype" w:eastAsia="Palatino Linotype" w:hAnsi="Palatino Linotype" w:cs="Palatino Linotype"/>
          <w:i/>
          <w:sz w:val="22"/>
          <w:szCs w:val="22"/>
        </w:rPr>
      </w:pPr>
    </w:p>
    <w:p w:rsidR="00EF08C3" w:rsidRDefault="00882C9A">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De lo</w:t>
      </w:r>
      <w:r>
        <w:rPr>
          <w:rFonts w:ascii="Palatino Linotype" w:eastAsia="Palatino Linotype" w:hAnsi="Palatino Linotype" w:cs="Palatino Linotype"/>
        </w:rPr>
        <w:t>s preceptos anteriores se desprende que cuando un documento que vaya a ser entregado vía acceso a la información pública, contenga tanto información de interés público como información que debe ser clasificada, se hará la entrega del mismo, testando las se</w:t>
      </w:r>
      <w:r>
        <w:rPr>
          <w:rFonts w:ascii="Palatino Linotype" w:eastAsia="Palatino Linotype" w:hAnsi="Palatino Linotype" w:cs="Palatino Linotype"/>
        </w:rPr>
        <w:t>cciones o datos que deban ser clasificados; por ende el</w:t>
      </w:r>
      <w:r>
        <w:rPr>
          <w:rFonts w:ascii="Palatino Linotype" w:eastAsia="Palatino Linotype" w:hAnsi="Palatino Linotype" w:cs="Palatino Linotype"/>
          <w:b/>
        </w:rPr>
        <w:t xml:space="preserve"> SUJETO OBLIGADO </w:t>
      </w:r>
      <w:r>
        <w:rPr>
          <w:rFonts w:ascii="Palatino Linotype" w:eastAsia="Palatino Linotype" w:hAnsi="Palatino Linotype" w:cs="Palatino Linotype"/>
        </w:rPr>
        <w:t xml:space="preserve">deberá proceder a testar los datos personales que se encuentren contenidos en los documentos a entregar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satisfacer el derecho de acceso a la informac</w:t>
      </w:r>
      <w:r>
        <w:rPr>
          <w:rFonts w:ascii="Palatino Linotype" w:eastAsia="Palatino Linotype" w:hAnsi="Palatino Linotype" w:cs="Palatino Linotype"/>
        </w:rPr>
        <w:t xml:space="preserve">ión pública del </w:t>
      </w:r>
      <w:r>
        <w:rPr>
          <w:rFonts w:ascii="Palatino Linotype" w:eastAsia="Palatino Linotype" w:hAnsi="Palatino Linotype" w:cs="Palatino Linotype"/>
          <w:b/>
        </w:rPr>
        <w:t>recurrente</w:t>
      </w:r>
      <w:r>
        <w:rPr>
          <w:rFonts w:ascii="Palatino Linotype" w:eastAsia="Palatino Linotype" w:hAnsi="Palatino Linotype" w:cs="Palatino Linotype"/>
        </w:rPr>
        <w:t>, esto es, los datos concernientes a una persona identificada o identificable, o aquellos datos que tengan el carácter de sensibles, es decir los que afectan la esfera más íntima de su titular o cuya utilización indebida pueda dar</w:t>
      </w:r>
      <w:r>
        <w:rPr>
          <w:rFonts w:ascii="Palatino Linotype" w:eastAsia="Palatino Linotype" w:hAnsi="Palatino Linotype" w:cs="Palatino Linotype"/>
        </w:rPr>
        <w:t xml:space="preserve"> origen a discriminación o conlleven un riesgo grave para aquel de acuerdo a lo que señala la fracción XII del artículo 4 de la Ley de Protección de Datos Personales en Posesión de Sujetos Obligados del Estado de México.</w:t>
      </w:r>
    </w:p>
    <w:p w:rsidR="00EF08C3" w:rsidRDefault="00EF08C3">
      <w:pPr>
        <w:spacing w:line="360" w:lineRule="auto"/>
        <w:ind w:right="51"/>
        <w:jc w:val="both"/>
        <w:rPr>
          <w:rFonts w:ascii="Palatino Linotype" w:eastAsia="Palatino Linotype" w:hAnsi="Palatino Linotype" w:cs="Palatino Linotype"/>
        </w:rPr>
      </w:pPr>
    </w:p>
    <w:p w:rsidR="00EF08C3" w:rsidRDefault="00882C9A">
      <w:pPr>
        <w:spacing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Datos que deberá clasificar como c</w:t>
      </w:r>
      <w:r>
        <w:rPr>
          <w:rFonts w:ascii="Palatino Linotype" w:eastAsia="Palatino Linotype" w:hAnsi="Palatino Linotype" w:cs="Palatino Linotype"/>
        </w:rPr>
        <w:t>onfidenciales por tratarse precisamente de información privada, puesto que los datos personales son irrenunciables, intransferibles e indelegables y los Sujetos Obligados no deberán hacer entrega de los mismos a personas ajenas a su titular.</w:t>
      </w:r>
    </w:p>
    <w:p w:rsidR="00EF08C3" w:rsidRDefault="00EF08C3">
      <w:pPr>
        <w:spacing w:line="360" w:lineRule="auto"/>
        <w:ind w:right="50"/>
        <w:jc w:val="both"/>
        <w:rPr>
          <w:rFonts w:ascii="Palatino Linotype" w:eastAsia="Palatino Linotype" w:hAnsi="Palatino Linotype" w:cs="Palatino Linotype"/>
        </w:rPr>
      </w:pPr>
    </w:p>
    <w:p w:rsidR="00EF08C3" w:rsidRDefault="00882C9A">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En ese contex</w:t>
      </w:r>
      <w:r>
        <w:rPr>
          <w:rFonts w:ascii="Palatino Linotype" w:eastAsia="Palatino Linotype" w:hAnsi="Palatino Linotype" w:cs="Palatino Linotype"/>
        </w:rPr>
        <w:t xml:space="preserve">to, la clasificación de la información no opera con la simple supresión de datos que se haga en los documentos de que se trate o con la simple decisión que </w:t>
      </w:r>
      <w:r>
        <w:rPr>
          <w:rFonts w:ascii="Palatino Linotype" w:eastAsia="Palatino Linotype" w:hAnsi="Palatino Linotype" w:cs="Palatino Linotype"/>
        </w:rPr>
        <w:lastRenderedPageBreak/>
        <w:t xml:space="preserve">tome el Servidor Público Habilitado o el Responsable de la Unidad de Transparencia del </w:t>
      </w:r>
      <w:r>
        <w:rPr>
          <w:rFonts w:ascii="Palatino Linotype" w:eastAsia="Palatino Linotype" w:hAnsi="Palatino Linotype" w:cs="Palatino Linotype"/>
          <w:b/>
        </w:rPr>
        <w:t>SUJETO OBLIGA</w:t>
      </w:r>
      <w:r>
        <w:rPr>
          <w:rFonts w:ascii="Palatino Linotype" w:eastAsia="Palatino Linotype" w:hAnsi="Palatino Linotype" w:cs="Palatino Linotype"/>
          <w:b/>
        </w:rPr>
        <w:t>DO</w:t>
      </w:r>
      <w:r>
        <w:rPr>
          <w:rFonts w:ascii="Palatino Linotype" w:eastAsia="Palatino Linotype" w:hAnsi="Palatino Linotype" w:cs="Palatino Linotype"/>
        </w:rPr>
        <w:t>, sino que ello deberá realizarse en términos de lo que disponen los artículos 49 fracción VIII, 53, fracción X y 59, fracción V, de la Ley en consulta, cuyo sentido literal es el siguiente:</w:t>
      </w:r>
    </w:p>
    <w:p w:rsidR="00EF08C3" w:rsidRDefault="00EF08C3">
      <w:pPr>
        <w:spacing w:line="360" w:lineRule="auto"/>
        <w:ind w:right="51"/>
        <w:jc w:val="both"/>
        <w:rPr>
          <w:rFonts w:ascii="Palatino Linotype" w:eastAsia="Palatino Linotype" w:hAnsi="Palatino Linotype" w:cs="Palatino Linotype"/>
        </w:rPr>
      </w:pPr>
    </w:p>
    <w:p w:rsidR="00EF08C3" w:rsidRDefault="00882C9A">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Comités de Transparencia</w:t>
      </w:r>
      <w:r>
        <w:rPr>
          <w:rFonts w:ascii="Palatino Linotype" w:eastAsia="Palatino Linotype" w:hAnsi="Palatino Linotype" w:cs="Palatino Linotype"/>
          <w:i/>
          <w:sz w:val="22"/>
          <w:szCs w:val="22"/>
        </w:rPr>
        <w:t xml:space="preserve"> tendrán las siguientes atribuciones:</w:t>
      </w:r>
    </w:p>
    <w:p w:rsidR="00EF08C3" w:rsidRDefault="00882C9A">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Aprobar, modificar o revocar la clasificación de la información</w:t>
      </w:r>
      <w:r>
        <w:rPr>
          <w:rFonts w:ascii="Palatino Linotype" w:eastAsia="Palatino Linotype" w:hAnsi="Palatino Linotype" w:cs="Palatino Linotype"/>
          <w:i/>
          <w:sz w:val="22"/>
          <w:szCs w:val="22"/>
        </w:rPr>
        <w:t>…”</w:t>
      </w:r>
    </w:p>
    <w:p w:rsidR="00EF08C3" w:rsidRDefault="00882C9A">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Las </w:t>
      </w:r>
      <w:r>
        <w:rPr>
          <w:rFonts w:ascii="Palatino Linotype" w:eastAsia="Palatino Linotype" w:hAnsi="Palatino Linotype" w:cs="Palatino Linotype"/>
          <w:b/>
          <w:i/>
          <w:sz w:val="22"/>
          <w:szCs w:val="22"/>
        </w:rPr>
        <w:t>Unidades de Transparencia</w:t>
      </w:r>
      <w:r>
        <w:rPr>
          <w:rFonts w:ascii="Palatino Linotype" w:eastAsia="Palatino Linotype" w:hAnsi="Palatino Linotype" w:cs="Palatino Linotype"/>
          <w:i/>
          <w:sz w:val="22"/>
          <w:szCs w:val="22"/>
        </w:rPr>
        <w:t xml:space="preserve"> tendrán las siguientes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w:t>
      </w:r>
    </w:p>
    <w:p w:rsidR="00EF08C3" w:rsidRDefault="00882C9A">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 Presentar ante el Comité, el proyecto de clasificación de informa</w:t>
      </w:r>
      <w:r>
        <w:rPr>
          <w:rFonts w:ascii="Palatino Linotype" w:eastAsia="Palatino Linotype" w:hAnsi="Palatino Linotype" w:cs="Palatino Linotype"/>
          <w:b/>
          <w:i/>
          <w:sz w:val="22"/>
          <w:szCs w:val="22"/>
        </w:rPr>
        <w:t>ción</w:t>
      </w:r>
      <w:r>
        <w:rPr>
          <w:rFonts w:ascii="Palatino Linotype" w:eastAsia="Palatino Linotype" w:hAnsi="Palatino Linotype" w:cs="Palatino Linotype"/>
          <w:i/>
          <w:sz w:val="22"/>
          <w:szCs w:val="22"/>
        </w:rPr>
        <w:t xml:space="preserve">…” </w:t>
      </w:r>
    </w:p>
    <w:p w:rsidR="00EF08C3" w:rsidRDefault="00882C9A">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b/>
          <w:i/>
          <w:sz w:val="22"/>
          <w:szCs w:val="22"/>
        </w:rPr>
        <w:t>servidores públicos habilitados</w:t>
      </w:r>
      <w:r>
        <w:rPr>
          <w:rFonts w:ascii="Palatino Linotype" w:eastAsia="Palatino Linotype" w:hAnsi="Palatino Linotype" w:cs="Palatino Linotype"/>
          <w:i/>
          <w:sz w:val="22"/>
          <w:szCs w:val="22"/>
        </w:rPr>
        <w:t xml:space="preserve"> tendrán las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 xml:space="preserve"> siguientes:</w:t>
      </w:r>
    </w:p>
    <w:p w:rsidR="00EF08C3" w:rsidRDefault="00882C9A">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 Integrar y presentar al responsable de la Unidad de Transparencia la propuesta de clasificación de información</w:t>
      </w:r>
      <w:r>
        <w:rPr>
          <w:rFonts w:ascii="Palatino Linotype" w:eastAsia="Palatino Linotype" w:hAnsi="Palatino Linotype" w:cs="Palatino Linotype"/>
          <w:i/>
          <w:sz w:val="22"/>
          <w:szCs w:val="22"/>
        </w:rPr>
        <w:t>, la cual tendrá los fundamentos y argumentos en que se basa dicha propuesta…”</w:t>
      </w:r>
    </w:p>
    <w:p w:rsidR="00EF08C3" w:rsidRDefault="00EF08C3">
      <w:pPr>
        <w:ind w:left="992" w:right="1043"/>
        <w:jc w:val="both"/>
        <w:rPr>
          <w:rFonts w:ascii="Palatino Linotype" w:eastAsia="Palatino Linotype" w:hAnsi="Palatino Linotype" w:cs="Palatino Linotype"/>
          <w:i/>
          <w:sz w:val="22"/>
          <w:szCs w:val="22"/>
        </w:rPr>
      </w:pPr>
    </w:p>
    <w:p w:rsidR="00EF08C3" w:rsidRDefault="00882C9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w:t>
      </w:r>
      <w:r>
        <w:rPr>
          <w:rFonts w:ascii="Palatino Linotype" w:eastAsia="Palatino Linotype" w:hAnsi="Palatino Linotype" w:cs="Palatino Linotype"/>
        </w:rPr>
        <w:t xml:space="preserve">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presente ante al Comité</w:t>
      </w:r>
      <w:r>
        <w:rPr>
          <w:rFonts w:ascii="Palatino Linotype" w:eastAsia="Palatino Linotype" w:hAnsi="Palatino Linotype" w:cs="Palatino Linotype"/>
        </w:rPr>
        <w:t xml:space="preserve"> de Transparencia de así resultar procedente el proyecto de clasificación de la información y finalmente sea éste último quien apruebe, modifique o revoque la clasificación de la información solicitada.</w:t>
      </w:r>
    </w:p>
    <w:p w:rsidR="00EF08C3" w:rsidRDefault="00EF08C3">
      <w:pPr>
        <w:spacing w:after="240"/>
        <w:ind w:right="1041"/>
        <w:jc w:val="both"/>
        <w:rPr>
          <w:rFonts w:ascii="Palatino Linotype" w:eastAsia="Palatino Linotype" w:hAnsi="Palatino Linotype" w:cs="Palatino Linotype"/>
          <w:i/>
          <w:sz w:val="22"/>
          <w:szCs w:val="22"/>
        </w:rPr>
      </w:pPr>
    </w:p>
    <w:p w:rsidR="00EF08C3" w:rsidRDefault="00882C9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 decir,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 su Comité d</w:t>
      </w:r>
      <w:r>
        <w:rPr>
          <w:rFonts w:ascii="Palatino Linotype" w:eastAsia="Palatino Linotype" w:hAnsi="Palatino Linotype" w:cs="Palatino Linotype"/>
        </w:rPr>
        <w:t xml:space="preserve">e Transparencia, deberá elaborar acuerdo que contenga un razonamiento lógico con el que se demuestre que </w:t>
      </w:r>
      <w:r>
        <w:rPr>
          <w:rFonts w:ascii="Palatino Linotype" w:eastAsia="Palatino Linotype" w:hAnsi="Palatino Linotype" w:cs="Palatino Linotype"/>
        </w:rPr>
        <w:lastRenderedPageBreak/>
        <w:t xml:space="preserve">la información que se testa de las versiones públicas que se sirva elaborar, encuadra en alguna de las hipótesis que contempla la Ley de la Materia en </w:t>
      </w:r>
      <w:r>
        <w:rPr>
          <w:rFonts w:ascii="Palatino Linotype" w:eastAsia="Palatino Linotype" w:hAnsi="Palatino Linotype" w:cs="Palatino Linotype"/>
        </w:rPr>
        <w:t xml:space="preserve">su artículo 143; ya que de lo contrario, se crearía la incertidumbre jurídica en relación a si lo entregado es formalmente una versión pública, o un documento ilegible, incompleto o tachado; en otras palabras si no se exponen de manera puntual las razones </w:t>
      </w:r>
      <w:r>
        <w:rPr>
          <w:rFonts w:ascii="Palatino Linotype" w:eastAsia="Palatino Linotype" w:hAnsi="Palatino Linotype" w:cs="Palatino Linotype"/>
        </w:rPr>
        <w:t>de la versión pública de la documentación entregada se estaría violentando el derecho de acceso a la información de la parte solicitante.</w:t>
      </w:r>
    </w:p>
    <w:p w:rsidR="00EF08C3" w:rsidRDefault="00882C9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w:t>
      </w:r>
      <w:r>
        <w:rPr>
          <w:rFonts w:ascii="Palatino Linotype" w:eastAsia="Palatino Linotype" w:hAnsi="Palatino Linotype" w:cs="Palatino Linotype"/>
          <w:highlight w:val="white"/>
        </w:rPr>
        <w:t xml:space="preserve"> fracc</w:t>
      </w:r>
      <w:r>
        <w:rPr>
          <w:rFonts w:ascii="Palatino Linotype" w:eastAsia="Palatino Linotype" w:hAnsi="Palatino Linotype" w:cs="Palatino Linotype"/>
          <w:highlight w:val="white"/>
        </w:rPr>
        <w:t xml:space="preserve">iones IV y V de la </w:t>
      </w:r>
      <w:r>
        <w:rPr>
          <w:rFonts w:ascii="Palatino Linotype" w:eastAsia="Palatino Linotype" w:hAnsi="Palatino Linotype" w:cs="Palatino Linotype"/>
        </w:rPr>
        <w:t>Constitución Política del Estado Libre y Soberano de México; 2, fracción II; 29, 36 fracciones I y II; 176, 178, 181, 185, fracción I, 186 y 188 de la Ley de Transparencia y Acceso a la Información Pública del Estado de México y Municipi</w:t>
      </w:r>
      <w:r>
        <w:rPr>
          <w:rFonts w:ascii="Palatino Linotype" w:eastAsia="Palatino Linotype" w:hAnsi="Palatino Linotype" w:cs="Palatino Linotype"/>
        </w:rPr>
        <w:t>os, este Pleno:</w:t>
      </w:r>
    </w:p>
    <w:p w:rsidR="00EF08C3" w:rsidRDefault="00882C9A">
      <w:pPr>
        <w:spacing w:before="240" w:after="240" w:line="360" w:lineRule="auto"/>
        <w:jc w:val="both"/>
        <w:rPr>
          <w:rFonts w:ascii="Palatino Linotype" w:eastAsia="Palatino Linotype" w:hAnsi="Palatino Linotype" w:cs="Palatino Linotype"/>
        </w:rPr>
      </w:pPr>
      <w:bookmarkStart w:id="1" w:name="_heading=h.gjdgxs" w:colFirst="0" w:colLast="0"/>
      <w:bookmarkEnd w:id="1"/>
      <w:r>
        <w:rPr>
          <w:rFonts w:ascii="Palatino Linotype" w:eastAsia="Palatino Linotype" w:hAnsi="Palatino Linotype" w:cs="Palatino Linotype"/>
        </w:rPr>
        <w:t>Así, con fundamento en lo prescrito en los artículos 5 párrafos trigésimo, trigésimo primero y trigésimo segundo</w:t>
      </w:r>
      <w:r>
        <w:rPr>
          <w:rFonts w:ascii="Palatino Linotype" w:eastAsia="Palatino Linotype" w:hAnsi="Palatino Linotype" w:cs="Palatino Linotype"/>
          <w:highlight w:val="white"/>
        </w:rPr>
        <w:t xml:space="preserve"> fracciones IV y V de la </w:t>
      </w:r>
      <w:r>
        <w:rPr>
          <w:rFonts w:ascii="Palatino Linotype" w:eastAsia="Palatino Linotype" w:hAnsi="Palatino Linotype" w:cs="Palatino Linotype"/>
        </w:rPr>
        <w:t xml:space="preserve">Constitución Política del Estado Libre y Soberano de México; 2, fracción II; 29, 36 fracciones I y II; </w:t>
      </w:r>
      <w:r>
        <w:rPr>
          <w:rFonts w:ascii="Palatino Linotype" w:eastAsia="Palatino Linotype" w:hAnsi="Palatino Linotype" w:cs="Palatino Linotype"/>
        </w:rPr>
        <w:t>176, 178, 181, 185, fracción I, 186 y 188 de la Ley de Transparencia y Acceso a la Información Pública del Estado de México y Municipios, este Pleno:</w:t>
      </w:r>
    </w:p>
    <w:p w:rsidR="00EF08C3" w:rsidRDefault="00882C9A">
      <w:pPr>
        <w:numPr>
          <w:ilvl w:val="0"/>
          <w:numId w:val="6"/>
        </w:numPr>
        <w:pBdr>
          <w:top w:val="nil"/>
          <w:left w:val="nil"/>
          <w:bottom w:val="nil"/>
          <w:right w:val="nil"/>
          <w:between w:val="nil"/>
        </w:pBdr>
        <w:spacing w:before="240" w:after="240" w:line="360" w:lineRule="auto"/>
        <w:ind w:left="426"/>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EF08C3" w:rsidRDefault="00882C9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Resulta   </w:t>
      </w:r>
      <w:r>
        <w:rPr>
          <w:rFonts w:ascii="Palatino Linotype" w:eastAsia="Palatino Linotype" w:hAnsi="Palatino Linotype" w:cs="Palatino Linotype"/>
          <w:b/>
        </w:rPr>
        <w:t>fundado</w:t>
      </w:r>
      <w:r>
        <w:rPr>
          <w:rFonts w:ascii="Palatino Linotype" w:eastAsia="Palatino Linotype" w:hAnsi="Palatino Linotype" w:cs="Palatino Linotype"/>
        </w:rPr>
        <w:t xml:space="preserve"> el motivo de inconformidad planteado por el </w:t>
      </w:r>
      <w:r>
        <w:rPr>
          <w:rFonts w:ascii="Palatino Linotype" w:eastAsia="Palatino Linotype" w:hAnsi="Palatino Linotype" w:cs="Palatino Linotype"/>
          <w:b/>
        </w:rPr>
        <w:t>recurrente</w:t>
      </w:r>
      <w:r>
        <w:rPr>
          <w:rFonts w:ascii="Palatino Linotype" w:eastAsia="Palatino Linotype" w:hAnsi="Palatino Linotype" w:cs="Palatino Linotype"/>
          <w:b/>
          <w:i/>
        </w:rPr>
        <w:t xml:space="preserve"> </w:t>
      </w:r>
      <w:r>
        <w:rPr>
          <w:rFonts w:ascii="Palatino Linotype" w:eastAsia="Palatino Linotype" w:hAnsi="Palatino Linotype" w:cs="Palatino Linotype"/>
        </w:rPr>
        <w:t xml:space="preserve">en el recurso de revisión </w:t>
      </w:r>
      <w:r>
        <w:rPr>
          <w:rFonts w:ascii="Palatino Linotype" w:eastAsia="Palatino Linotype" w:hAnsi="Palatino Linotype" w:cs="Palatino Linotype"/>
          <w:b/>
          <w:sz w:val="22"/>
          <w:szCs w:val="22"/>
        </w:rPr>
        <w:t>00829/INFOEM/IP/RR/2022</w:t>
      </w:r>
      <w:r>
        <w:rPr>
          <w:rFonts w:ascii="Palatino Linotype" w:eastAsia="Palatino Linotype" w:hAnsi="Palatino Linotype" w:cs="Palatino Linotype"/>
        </w:rPr>
        <w:t xml:space="preserve">, por lo que, en términos del </w:t>
      </w:r>
      <w:r>
        <w:rPr>
          <w:rFonts w:ascii="Palatino Linotype" w:eastAsia="Palatino Linotype" w:hAnsi="Palatino Linotype" w:cs="Palatino Linotype"/>
          <w:b/>
        </w:rPr>
        <w:t>Considerando Cuarto</w:t>
      </w:r>
      <w:r>
        <w:rPr>
          <w:rFonts w:ascii="Palatino Linotype" w:eastAsia="Palatino Linotype" w:hAnsi="Palatino Linotype" w:cs="Palatino Linotype"/>
        </w:rPr>
        <w:t xml:space="preserve"> de la presente resolución, se </w:t>
      </w:r>
      <w:r>
        <w:rPr>
          <w:rFonts w:ascii="Palatino Linotype" w:eastAsia="Palatino Linotype" w:hAnsi="Palatino Linotype" w:cs="Palatino Linotype"/>
          <w:b/>
        </w:rPr>
        <w:t xml:space="preserve">REVOCA </w:t>
      </w:r>
      <w:r>
        <w:rPr>
          <w:rFonts w:ascii="Palatino Linotype" w:eastAsia="Palatino Linotype" w:hAnsi="Palatino Linotype" w:cs="Palatino Linotype"/>
        </w:rPr>
        <w:t xml:space="preserve">la respuesta emitida por el </w:t>
      </w:r>
      <w:r>
        <w:rPr>
          <w:rFonts w:ascii="Palatino Linotype" w:eastAsia="Palatino Linotype" w:hAnsi="Palatino Linotype" w:cs="Palatino Linotype"/>
          <w:b/>
          <w:sz w:val="22"/>
          <w:szCs w:val="22"/>
        </w:rPr>
        <w:t xml:space="preserve">SUJETO OBLIGADO. </w:t>
      </w:r>
    </w:p>
    <w:p w:rsidR="00EF08C3" w:rsidRDefault="00882C9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SEGUNDO.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términos del </w:t>
      </w:r>
      <w:r>
        <w:rPr>
          <w:rFonts w:ascii="Palatino Linotype" w:eastAsia="Palatino Linotype" w:hAnsi="Palatino Linotype" w:cs="Palatino Linotype"/>
          <w:b/>
        </w:rPr>
        <w:t>Considerando Cua</w:t>
      </w:r>
      <w:r>
        <w:rPr>
          <w:rFonts w:ascii="Palatino Linotype" w:eastAsia="Palatino Linotype" w:hAnsi="Palatino Linotype" w:cs="Palatino Linotype"/>
          <w:b/>
        </w:rPr>
        <w:t>rto y Quinto</w:t>
      </w:r>
      <w:r>
        <w:rPr>
          <w:rFonts w:ascii="Palatino Linotype" w:eastAsia="Palatino Linotype" w:hAnsi="Palatino Linotype" w:cs="Palatino Linotype"/>
        </w:rPr>
        <w:t xml:space="preserve"> de esta resolución haga entrega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 través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previa búsqueda exhaustiva y razonable, en versión pública,  lo siguiente: </w:t>
      </w:r>
    </w:p>
    <w:p w:rsidR="00EF08C3" w:rsidRDefault="00882C9A">
      <w:pPr>
        <w:tabs>
          <w:tab w:val="left" w:pos="7655"/>
        </w:tabs>
        <w:spacing w:before="240" w:after="240"/>
        <w:ind w:left="708" w:right="333"/>
        <w:jc w:val="both"/>
        <w:rPr>
          <w:rFonts w:ascii="Palatino Linotype" w:eastAsia="Palatino Linotype" w:hAnsi="Palatino Linotype" w:cs="Palatino Linotype"/>
          <w:i/>
        </w:rPr>
      </w:pPr>
      <w:r>
        <w:rPr>
          <w:rFonts w:ascii="Palatino Linotype" w:eastAsia="Palatino Linotype" w:hAnsi="Palatino Linotype" w:cs="Palatino Linotype"/>
          <w:b/>
          <w:i/>
        </w:rPr>
        <w:t xml:space="preserve">i). </w:t>
      </w:r>
      <w:r>
        <w:rPr>
          <w:rFonts w:ascii="Palatino Linotype" w:eastAsia="Palatino Linotype" w:hAnsi="Palatino Linotype" w:cs="Palatino Linotype"/>
          <w:i/>
        </w:rPr>
        <w:t xml:space="preserve"> Las resoluciones emitidas de los procedimientos administrativos seguidos en forma de juicio y hayan causado estado, del 01 de enero de 2019 al 31 de diciembre de 2021. </w:t>
      </w:r>
    </w:p>
    <w:p w:rsidR="00EF08C3" w:rsidRDefault="00882C9A">
      <w:pPr>
        <w:tabs>
          <w:tab w:val="left" w:pos="4962"/>
          <w:tab w:val="left" w:pos="7655"/>
        </w:tabs>
        <w:ind w:left="708" w:right="33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el caso de que los documentos localizados, contengan datos o información clasificad</w:t>
      </w:r>
      <w:r>
        <w:rPr>
          <w:rFonts w:ascii="Palatino Linotype" w:eastAsia="Palatino Linotype" w:hAnsi="Palatino Linotype" w:cs="Palatino Linotype"/>
          <w:i/>
          <w:sz w:val="22"/>
          <w:szCs w:val="22"/>
        </w:rPr>
        <w:t>a, el Sujeto Obligado deberá elaborar las versiones públicas respectivas. En ese tenor, deberá emitir y entregar la resolución de su Comité de Transparencia, en donde, de manera fundada y motivada, confirme dicha clasificación.</w:t>
      </w:r>
    </w:p>
    <w:p w:rsidR="00EF08C3" w:rsidRDefault="00882C9A">
      <w:pPr>
        <w:spacing w:before="240" w:after="240"/>
        <w:ind w:left="708" w:right="49"/>
        <w:jc w:val="both"/>
        <w:rPr>
          <w:rFonts w:ascii="Palatino Linotype" w:eastAsia="Palatino Linotype" w:hAnsi="Palatino Linotype" w:cs="Palatino Linotype"/>
          <w:i/>
        </w:rPr>
      </w:pPr>
      <w:r>
        <w:rPr>
          <w:rFonts w:ascii="Palatino Linotype" w:eastAsia="Palatino Linotype" w:hAnsi="Palatino Linotype" w:cs="Palatino Linotype"/>
          <w:i/>
        </w:rPr>
        <w:t>De ser el caso de que la inf</w:t>
      </w:r>
      <w:r>
        <w:rPr>
          <w:rFonts w:ascii="Palatino Linotype" w:eastAsia="Palatino Linotype" w:hAnsi="Palatino Linotype" w:cs="Palatino Linotype"/>
          <w:i/>
        </w:rPr>
        <w:t xml:space="preserve">ormación que se ordena no haya sido generada, se deberá fundar y motivar dicha situación para tener por atendido el requerimiento. </w:t>
      </w:r>
    </w:p>
    <w:p w:rsidR="00EF08C3" w:rsidRDefault="00882C9A">
      <w:pPr>
        <w:numPr>
          <w:ilvl w:val="0"/>
          <w:numId w:val="5"/>
        </w:numPr>
        <w:pBdr>
          <w:top w:val="nil"/>
          <w:left w:val="nil"/>
          <w:bottom w:val="nil"/>
          <w:right w:val="nil"/>
          <w:between w:val="nil"/>
        </w:pBdr>
        <w:spacing w:before="240" w:after="240"/>
        <w:ind w:right="4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En su caso, el acuerdo a través del cual se clasifiquen como reservadas las resoluciones emitidas de los procedimientos admi</w:t>
      </w:r>
      <w:r>
        <w:rPr>
          <w:rFonts w:ascii="Palatino Linotype" w:eastAsia="Palatino Linotype" w:hAnsi="Palatino Linotype" w:cs="Palatino Linotype"/>
          <w:i/>
          <w:color w:val="000000"/>
        </w:rPr>
        <w:t xml:space="preserve">nistrativos seguidos en forma de juicio, del 01 de enero de 2019 al 31 de diciembre de 2021 que no hayan causado estado. Salvo aquellas que se encuentren en el supuesto de excepción establecido en el artículo 142 de la ley en la materia.  </w:t>
      </w:r>
    </w:p>
    <w:p w:rsidR="00EF08C3" w:rsidRDefault="00882C9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al Responsable de la Unidad de Transparencia del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vía SAIMEX, para    que conforme a los artículos 186, último párrafo y 189, párrafo segundo de la Ley de Transparencia y Acceso a la Información Pública del Estado de México y Mu</w:t>
      </w:r>
      <w:r>
        <w:rPr>
          <w:rFonts w:ascii="Palatino Linotype" w:eastAsia="Palatino Linotype" w:hAnsi="Palatino Linotype" w:cs="Palatino Linotype"/>
        </w:rPr>
        <w:t>nicipios dé cumplimiento a lo ordenado dentro del plazo de diez días hábiles, debiendo informar a este Instituto en un plazo de tres días hábiles siguientes sobre el cumplimiento dado a la presente resolución.</w:t>
      </w:r>
    </w:p>
    <w:p w:rsidR="00EF08C3" w:rsidRDefault="00882C9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De conformidad con el artículo 198 de </w:t>
      </w:r>
      <w:r>
        <w:rPr>
          <w:rFonts w:ascii="Palatino Linotype" w:eastAsia="Palatino Linotype" w:hAnsi="Palatino Linotype" w:cs="Palatino Linotype"/>
        </w:rPr>
        <w:t xml:space="preserve">la Ley de Transparencia y Acceso a la Información Pública del Estado de México y Municipios, de considerarlo </w:t>
      </w:r>
      <w:r>
        <w:rPr>
          <w:rFonts w:ascii="Palatino Linotype" w:eastAsia="Palatino Linotype" w:hAnsi="Palatino Linotype" w:cs="Palatino Linotype"/>
        </w:rPr>
        <w:lastRenderedPageBreak/>
        <w:t xml:space="preserve">procedente,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manera fundada y motivada, podrá solicitar una ampliación de plazo para el cumplimiento de la presente resolución</w:t>
      </w:r>
      <w:r>
        <w:rPr>
          <w:rFonts w:ascii="Palatino Linotype" w:eastAsia="Palatino Linotype" w:hAnsi="Palatino Linotype" w:cs="Palatino Linotype"/>
        </w:rPr>
        <w:t>.</w:t>
      </w:r>
    </w:p>
    <w:p w:rsidR="00EF08C3" w:rsidRDefault="00882C9A">
      <w:pPr>
        <w:spacing w:before="240" w:after="240"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 xml:space="preserve">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vía SAIMEX, así como que</w:t>
      </w:r>
      <w:r>
        <w:rPr>
          <w:rFonts w:ascii="Palatino Linotype" w:eastAsia="Palatino Linotype" w:hAnsi="Palatino Linotype" w:cs="Palatino Linotype"/>
          <w:color w:val="222222"/>
        </w:rPr>
        <w:t xml:space="preserve"> </w:t>
      </w:r>
      <w:r>
        <w:rPr>
          <w:rFonts w:ascii="Palatino Linotype" w:eastAsia="Palatino Linotype" w:hAnsi="Palatino Linotype" w:cs="Palatino Linotype"/>
        </w:rPr>
        <w:t>de conformidad con lo establecido en el artículo 196 de la Ley de Transparencia y Acceso a la Información Pública del Estado de México y Municipios podrá impugnarla vía Ju</w:t>
      </w:r>
      <w:r>
        <w:rPr>
          <w:rFonts w:ascii="Palatino Linotype" w:eastAsia="Palatino Linotype" w:hAnsi="Palatino Linotype" w:cs="Palatino Linotype"/>
        </w:rPr>
        <w:t>icio de Amparo en los términos de las leyes aplicables</w:t>
      </w:r>
      <w:r>
        <w:rPr>
          <w:rFonts w:ascii="Palatino Linotype" w:eastAsia="Palatino Linotype" w:hAnsi="Palatino Linotype" w:cs="Palatino Linotype"/>
          <w:color w:val="222222"/>
        </w:rPr>
        <w:t>.</w:t>
      </w:r>
    </w:p>
    <w:p w:rsidR="00EF08C3" w:rsidRDefault="00882C9A">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w:t>
      </w:r>
      <w:r>
        <w:rPr>
          <w:rFonts w:ascii="Palatino Linotype" w:eastAsia="Palatino Linotype" w:hAnsi="Palatino Linotype" w:cs="Palatino Linotype"/>
        </w:rPr>
        <w:t>S COMISIONADOS JOSÉ MARTÍNEZ VILCHIS, MARÍA DEL ROSARIO MEJÍA AYALA, SHARON CRISTINA MORALES MARTÍNEZ, LUIS GUSTAVO PARRA NORIEGA EMITIENDO VOTO PARTICULAR Y GUADALUPE RAMÍREZ PEÑA; EN LA DÉCIMA SÉPTIMA SESIÓN ORDINARIA CELEBRADA EL ONCE DE MAYO DE DOS MIL</w:t>
      </w:r>
      <w:r>
        <w:rPr>
          <w:rFonts w:ascii="Palatino Linotype" w:eastAsia="Palatino Linotype" w:hAnsi="Palatino Linotype" w:cs="Palatino Linotype"/>
        </w:rPr>
        <w:t xml:space="preserve"> VEINTIDÓS, ANTE EL SECRETARIO TÉCNICO DEL PLENO ALEXIS TAPIA RAMÍREZ.</w:t>
      </w:r>
    </w:p>
    <w:p w:rsidR="00EF08C3" w:rsidRDefault="00882C9A">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w:t>
      </w:r>
      <w:r>
        <w:rPr>
          <w:rFonts w:ascii="Palatino Linotype" w:eastAsia="Palatino Linotype" w:hAnsi="Palatino Linotype" w:cs="Palatino Linotype"/>
        </w:rPr>
        <w:t>----------------------------------------------------------------------------------------------------------------------------------------------------------------------------------------------------------------------------------------------------------------</w:t>
      </w:r>
      <w:r>
        <w:rPr>
          <w:rFonts w:ascii="Palatino Linotype" w:eastAsia="Palatino Linotype" w:hAnsi="Palatino Linotype" w:cs="Palatino Linotype"/>
        </w:rPr>
        <w:t>---------------------------------------------------------------------------------------------------------------------------------------------------------------------------------------------------------------------</w:t>
      </w:r>
    </w:p>
    <w:p w:rsidR="00EF08C3" w:rsidRDefault="00EF08C3">
      <w:pPr>
        <w:spacing w:line="360" w:lineRule="auto"/>
        <w:ind w:right="49"/>
        <w:jc w:val="both"/>
        <w:rPr>
          <w:rFonts w:ascii="Palatino Linotype" w:eastAsia="Palatino Linotype" w:hAnsi="Palatino Linotype" w:cs="Palatino Linotype"/>
        </w:rPr>
      </w:pPr>
    </w:p>
    <w:p w:rsidR="00EF08C3" w:rsidRDefault="00EF08C3">
      <w:pPr>
        <w:spacing w:before="240" w:after="240" w:line="360" w:lineRule="auto"/>
        <w:jc w:val="both"/>
        <w:rPr>
          <w:rFonts w:ascii="Palatino Linotype" w:eastAsia="Palatino Linotype" w:hAnsi="Palatino Linotype" w:cs="Palatino Linotype"/>
        </w:rPr>
      </w:pPr>
    </w:p>
    <w:p w:rsidR="00EF08C3" w:rsidRDefault="00EF08C3">
      <w:pPr>
        <w:spacing w:before="240" w:after="240" w:line="360" w:lineRule="auto"/>
        <w:jc w:val="both"/>
        <w:rPr>
          <w:rFonts w:ascii="Palatino Linotype" w:eastAsia="Palatino Linotype" w:hAnsi="Palatino Linotype" w:cs="Palatino Linotype"/>
        </w:rPr>
      </w:pPr>
    </w:p>
    <w:p w:rsidR="00EF08C3" w:rsidRDefault="00EF08C3">
      <w:pPr>
        <w:spacing w:before="240" w:after="240" w:line="360" w:lineRule="auto"/>
        <w:jc w:val="both"/>
        <w:rPr>
          <w:rFonts w:ascii="Palatino Linotype" w:eastAsia="Palatino Linotype" w:hAnsi="Palatino Linotype" w:cs="Palatino Linotype"/>
        </w:rPr>
      </w:pPr>
    </w:p>
    <w:p w:rsidR="00EF08C3" w:rsidRDefault="00EF08C3">
      <w:pPr>
        <w:spacing w:before="240" w:after="240" w:line="360" w:lineRule="auto"/>
        <w:jc w:val="both"/>
        <w:rPr>
          <w:rFonts w:ascii="Palatino Linotype" w:eastAsia="Palatino Linotype" w:hAnsi="Palatino Linotype" w:cs="Palatino Linotype"/>
        </w:rPr>
      </w:pPr>
    </w:p>
    <w:p w:rsidR="00EF08C3" w:rsidRDefault="00EF08C3">
      <w:pPr>
        <w:spacing w:before="240" w:after="240" w:line="360" w:lineRule="auto"/>
        <w:jc w:val="both"/>
        <w:rPr>
          <w:rFonts w:ascii="Palatino Linotype" w:eastAsia="Palatino Linotype" w:hAnsi="Palatino Linotype" w:cs="Palatino Linotype"/>
        </w:rPr>
      </w:pPr>
    </w:p>
    <w:p w:rsidR="00EF08C3" w:rsidRDefault="00EF08C3">
      <w:pPr>
        <w:spacing w:before="240" w:after="240" w:line="360" w:lineRule="auto"/>
        <w:jc w:val="both"/>
        <w:rPr>
          <w:rFonts w:ascii="Palatino Linotype" w:eastAsia="Palatino Linotype" w:hAnsi="Palatino Linotype" w:cs="Palatino Linotype"/>
        </w:rPr>
      </w:pPr>
    </w:p>
    <w:p w:rsidR="00EF08C3" w:rsidRDefault="00EF08C3">
      <w:pPr>
        <w:spacing w:before="240" w:after="240" w:line="360" w:lineRule="auto"/>
        <w:jc w:val="both"/>
        <w:rPr>
          <w:rFonts w:ascii="Palatino Linotype" w:eastAsia="Palatino Linotype" w:hAnsi="Palatino Linotype" w:cs="Palatino Linotype"/>
        </w:rPr>
      </w:pPr>
    </w:p>
    <w:p w:rsidR="00EF08C3" w:rsidRDefault="00EF08C3">
      <w:pPr>
        <w:spacing w:before="240" w:after="240" w:line="360" w:lineRule="auto"/>
        <w:jc w:val="both"/>
        <w:rPr>
          <w:rFonts w:ascii="Palatino Linotype" w:eastAsia="Palatino Linotype" w:hAnsi="Palatino Linotype" w:cs="Palatino Linotype"/>
        </w:rPr>
      </w:pPr>
    </w:p>
    <w:p w:rsidR="00EF08C3" w:rsidRDefault="00EF08C3">
      <w:pPr>
        <w:spacing w:before="240" w:after="240" w:line="360" w:lineRule="auto"/>
        <w:jc w:val="both"/>
        <w:rPr>
          <w:rFonts w:ascii="Palatino Linotype" w:eastAsia="Palatino Linotype" w:hAnsi="Palatino Linotype" w:cs="Palatino Linotype"/>
        </w:rPr>
      </w:pPr>
    </w:p>
    <w:p w:rsidR="00EF08C3" w:rsidRDefault="00EF08C3">
      <w:pPr>
        <w:spacing w:before="240" w:after="240" w:line="360" w:lineRule="auto"/>
        <w:jc w:val="both"/>
        <w:rPr>
          <w:rFonts w:ascii="Palatino Linotype" w:eastAsia="Palatino Linotype" w:hAnsi="Palatino Linotype" w:cs="Palatino Linotype"/>
        </w:rPr>
      </w:pPr>
    </w:p>
    <w:p w:rsidR="00EF08C3" w:rsidRDefault="00EF08C3">
      <w:pPr>
        <w:spacing w:before="240" w:after="240" w:line="360" w:lineRule="auto"/>
        <w:jc w:val="both"/>
        <w:rPr>
          <w:rFonts w:ascii="Palatino Linotype" w:eastAsia="Palatino Linotype" w:hAnsi="Palatino Linotype" w:cs="Palatino Linotype"/>
        </w:rPr>
      </w:pPr>
    </w:p>
    <w:p w:rsidR="00EF08C3" w:rsidRDefault="00EF08C3">
      <w:pPr>
        <w:spacing w:before="240" w:after="240" w:line="360" w:lineRule="auto"/>
        <w:jc w:val="both"/>
        <w:rPr>
          <w:rFonts w:ascii="Palatino Linotype" w:eastAsia="Palatino Linotype" w:hAnsi="Palatino Linotype" w:cs="Palatino Linotype"/>
        </w:rPr>
      </w:pPr>
    </w:p>
    <w:p w:rsidR="00EF08C3" w:rsidRDefault="00EF08C3">
      <w:pPr>
        <w:spacing w:before="240" w:after="240" w:line="360" w:lineRule="auto"/>
        <w:jc w:val="both"/>
        <w:rPr>
          <w:rFonts w:ascii="Palatino Linotype" w:eastAsia="Palatino Linotype" w:hAnsi="Palatino Linotype" w:cs="Palatino Linotype"/>
        </w:rPr>
      </w:pPr>
    </w:p>
    <w:p w:rsidR="00EF08C3" w:rsidRDefault="00EF08C3">
      <w:pPr>
        <w:spacing w:before="240" w:after="240" w:line="360" w:lineRule="auto"/>
        <w:jc w:val="both"/>
        <w:rPr>
          <w:rFonts w:ascii="Palatino Linotype" w:eastAsia="Palatino Linotype" w:hAnsi="Palatino Linotype" w:cs="Palatino Linotype"/>
        </w:rPr>
      </w:pPr>
    </w:p>
    <w:sectPr w:rsidR="00EF08C3">
      <w:headerReference w:type="default" r:id="rId13"/>
      <w:footerReference w:type="default" r:id="rId14"/>
      <w:headerReference w:type="first" r:id="rId15"/>
      <w:footerReference w:type="first" r:id="rId16"/>
      <w:pgSz w:w="12240" w:h="15840"/>
      <w:pgMar w:top="1417" w:right="1701" w:bottom="141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C9A" w:rsidRDefault="00882C9A">
      <w:r>
        <w:separator/>
      </w:r>
    </w:p>
  </w:endnote>
  <w:endnote w:type="continuationSeparator" w:id="0">
    <w:p w:rsidR="00882C9A" w:rsidRDefault="0088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8C3" w:rsidRDefault="00882C9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sidR="006C69C5">
      <w:rPr>
        <w:rFonts w:ascii="Arial" w:eastAsia="Arial" w:hAnsi="Arial" w:cs="Arial"/>
        <w:b/>
        <w:color w:val="000000"/>
        <w:sz w:val="20"/>
        <w:szCs w:val="20"/>
      </w:rPr>
      <w:fldChar w:fldCharType="separate"/>
    </w:r>
    <w:r w:rsidR="006C69C5">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sidR="006C69C5">
      <w:rPr>
        <w:rFonts w:ascii="Arial" w:eastAsia="Arial" w:hAnsi="Arial" w:cs="Arial"/>
        <w:b/>
        <w:color w:val="000000"/>
        <w:sz w:val="20"/>
        <w:szCs w:val="20"/>
      </w:rPr>
      <w:fldChar w:fldCharType="separate"/>
    </w:r>
    <w:r w:rsidR="006C69C5">
      <w:rPr>
        <w:rFonts w:ascii="Arial" w:eastAsia="Arial" w:hAnsi="Arial" w:cs="Arial"/>
        <w:b/>
        <w:noProof/>
        <w:color w:val="000000"/>
        <w:sz w:val="20"/>
        <w:szCs w:val="20"/>
      </w:rPr>
      <w:t>34</w:t>
    </w:r>
    <w:r>
      <w:rPr>
        <w:rFonts w:ascii="Arial" w:eastAsia="Arial" w:hAnsi="Arial" w:cs="Arial"/>
        <w:b/>
        <w:color w:val="000000"/>
        <w:sz w:val="20"/>
        <w:szCs w:val="20"/>
      </w:rPr>
      <w:fldChar w:fldCharType="end"/>
    </w:r>
  </w:p>
  <w:p w:rsidR="00EF08C3" w:rsidRDefault="00EF08C3">
    <w:pPr>
      <w:pBdr>
        <w:top w:val="nil"/>
        <w:left w:val="nil"/>
        <w:bottom w:val="nil"/>
        <w:right w:val="nil"/>
        <w:between w:val="nil"/>
      </w:pBdr>
      <w:tabs>
        <w:tab w:val="center" w:pos="4252"/>
        <w:tab w:val="right" w:pos="8504"/>
      </w:tabs>
      <w:rPr>
        <w:color w:val="000000"/>
      </w:rPr>
    </w:pPr>
  </w:p>
  <w:p w:rsidR="00EF08C3" w:rsidRDefault="00EF08C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8C3" w:rsidRDefault="00882C9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sidR="006C69C5">
      <w:rPr>
        <w:rFonts w:ascii="Arial" w:eastAsia="Arial" w:hAnsi="Arial" w:cs="Arial"/>
        <w:b/>
        <w:color w:val="000000"/>
        <w:sz w:val="20"/>
        <w:szCs w:val="20"/>
      </w:rPr>
      <w:fldChar w:fldCharType="separate"/>
    </w:r>
    <w:r w:rsidR="006C69C5">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sidR="006C69C5">
      <w:rPr>
        <w:rFonts w:ascii="Arial" w:eastAsia="Arial" w:hAnsi="Arial" w:cs="Arial"/>
        <w:b/>
        <w:color w:val="000000"/>
        <w:sz w:val="20"/>
        <w:szCs w:val="20"/>
      </w:rPr>
      <w:fldChar w:fldCharType="separate"/>
    </w:r>
    <w:r w:rsidR="006C69C5">
      <w:rPr>
        <w:rFonts w:ascii="Arial" w:eastAsia="Arial" w:hAnsi="Arial" w:cs="Arial"/>
        <w:b/>
        <w:noProof/>
        <w:color w:val="000000"/>
        <w:sz w:val="20"/>
        <w:szCs w:val="20"/>
      </w:rPr>
      <w:t>34</w:t>
    </w:r>
    <w:r>
      <w:rPr>
        <w:rFonts w:ascii="Arial" w:eastAsia="Arial" w:hAnsi="Arial" w:cs="Arial"/>
        <w:b/>
        <w:color w:val="000000"/>
        <w:sz w:val="20"/>
        <w:szCs w:val="20"/>
      </w:rPr>
      <w:fldChar w:fldCharType="end"/>
    </w:r>
  </w:p>
  <w:p w:rsidR="00EF08C3" w:rsidRDefault="00EF08C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C9A" w:rsidRDefault="00882C9A">
      <w:r>
        <w:separator/>
      </w:r>
    </w:p>
  </w:footnote>
  <w:footnote w:type="continuationSeparator" w:id="0">
    <w:p w:rsidR="00882C9A" w:rsidRDefault="00882C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8C3" w:rsidRDefault="00EF08C3">
    <w:pPr>
      <w:widowControl w:val="0"/>
      <w:pBdr>
        <w:top w:val="nil"/>
        <w:left w:val="nil"/>
        <w:bottom w:val="nil"/>
        <w:right w:val="nil"/>
        <w:between w:val="nil"/>
      </w:pBdr>
      <w:spacing w:line="276" w:lineRule="auto"/>
      <w:rPr>
        <w:rFonts w:ascii="Cambria" w:eastAsia="Cambria" w:hAnsi="Cambria" w:cs="Cambria"/>
        <w:color w:val="000000"/>
      </w:rPr>
    </w:pPr>
  </w:p>
  <w:tbl>
    <w:tblPr>
      <w:tblStyle w:val="a0"/>
      <w:tblW w:w="6240" w:type="dxa"/>
      <w:tblInd w:w="3746" w:type="dxa"/>
      <w:tblLayout w:type="fixed"/>
      <w:tblLook w:val="0400" w:firstRow="0" w:lastRow="0" w:firstColumn="0" w:lastColumn="0" w:noHBand="0" w:noVBand="1"/>
    </w:tblPr>
    <w:tblGrid>
      <w:gridCol w:w="2553"/>
      <w:gridCol w:w="3687"/>
    </w:tblGrid>
    <w:tr w:rsidR="00EF08C3">
      <w:tc>
        <w:tcPr>
          <w:tcW w:w="2553" w:type="dxa"/>
          <w:vAlign w:val="center"/>
        </w:tcPr>
        <w:p w:rsidR="00EF08C3" w:rsidRDefault="00882C9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EF08C3" w:rsidRDefault="00882C9A">
          <w:pPr>
            <w:ind w:right="666"/>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00829/INFOEM/IP/RR/2022</w:t>
          </w:r>
        </w:p>
      </w:tc>
    </w:tr>
    <w:tr w:rsidR="00EF08C3">
      <w:trPr>
        <w:trHeight w:val="228"/>
      </w:trPr>
      <w:tc>
        <w:tcPr>
          <w:tcW w:w="2553" w:type="dxa"/>
          <w:vAlign w:val="center"/>
        </w:tcPr>
        <w:p w:rsidR="00EF08C3" w:rsidRDefault="00882C9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EF08C3" w:rsidRDefault="00EF08C3">
          <w:pPr>
            <w:ind w:right="954"/>
            <w:jc w:val="both"/>
            <w:rPr>
              <w:rFonts w:ascii="Palatino Linotype" w:eastAsia="Palatino Linotype" w:hAnsi="Palatino Linotype" w:cs="Palatino Linotype"/>
              <w:b/>
              <w:sz w:val="22"/>
              <w:szCs w:val="22"/>
            </w:rPr>
          </w:pPr>
        </w:p>
        <w:p w:rsidR="00EF08C3" w:rsidRDefault="00882C9A">
          <w:pPr>
            <w:ind w:right="95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Atenco</w:t>
          </w:r>
        </w:p>
      </w:tc>
    </w:tr>
    <w:tr w:rsidR="00EF08C3">
      <w:tc>
        <w:tcPr>
          <w:tcW w:w="2553" w:type="dxa"/>
          <w:vAlign w:val="center"/>
        </w:tcPr>
        <w:p w:rsidR="00EF08C3" w:rsidRDefault="00882C9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EF08C3" w:rsidRDefault="00882C9A">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EF08C3" w:rsidRDefault="00882C9A">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r>
      <w:rPr>
        <w:noProof/>
        <w:lang w:val="es-MX"/>
      </w:rPr>
      <w:drawing>
        <wp:anchor distT="0" distB="0" distL="0" distR="0" simplePos="0" relativeHeight="251658240" behindDoc="1" locked="0" layoutInCell="1" hidden="0" allowOverlap="1">
          <wp:simplePos x="0" y="0"/>
          <wp:positionH relativeFrom="column">
            <wp:posOffset>-982344</wp:posOffset>
          </wp:positionH>
          <wp:positionV relativeFrom="paragraph">
            <wp:posOffset>-1108074</wp:posOffset>
          </wp:positionV>
          <wp:extent cx="7635600" cy="9943200"/>
          <wp:effectExtent l="0" t="0" r="0" b="0"/>
          <wp:wrapNone/>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8C3" w:rsidRDefault="00882C9A">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r>
      <w:rPr>
        <w:noProof/>
        <w:lang w:val="es-MX"/>
      </w:rPr>
      <w:drawing>
        <wp:anchor distT="0" distB="0" distL="0" distR="0" simplePos="0" relativeHeight="251659264" behindDoc="1" locked="0" layoutInCell="1" hidden="0" allowOverlap="1">
          <wp:simplePos x="0" y="0"/>
          <wp:positionH relativeFrom="column">
            <wp:posOffset>-916304</wp:posOffset>
          </wp:positionH>
          <wp:positionV relativeFrom="paragraph">
            <wp:posOffset>-354865</wp:posOffset>
          </wp:positionV>
          <wp:extent cx="7635600" cy="9943200"/>
          <wp:effectExtent l="0" t="0" r="0" b="0"/>
          <wp:wrapNone/>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
      <w:tblW w:w="6240" w:type="dxa"/>
      <w:tblInd w:w="3685" w:type="dxa"/>
      <w:tblLayout w:type="fixed"/>
      <w:tblLook w:val="0400" w:firstRow="0" w:lastRow="0" w:firstColumn="0" w:lastColumn="0" w:noHBand="0" w:noVBand="1"/>
    </w:tblPr>
    <w:tblGrid>
      <w:gridCol w:w="2553"/>
      <w:gridCol w:w="3687"/>
    </w:tblGrid>
    <w:tr w:rsidR="00EF08C3">
      <w:tc>
        <w:tcPr>
          <w:tcW w:w="2553" w:type="dxa"/>
          <w:vAlign w:val="center"/>
        </w:tcPr>
        <w:p w:rsidR="00EF08C3" w:rsidRDefault="00882C9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EF08C3" w:rsidRDefault="00882C9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00829/INFOEM/IP/RR/2022</w:t>
          </w:r>
        </w:p>
      </w:tc>
    </w:tr>
    <w:tr w:rsidR="00EF08C3">
      <w:tc>
        <w:tcPr>
          <w:tcW w:w="2553" w:type="dxa"/>
          <w:vAlign w:val="center"/>
        </w:tcPr>
        <w:p w:rsidR="00EF08C3" w:rsidRDefault="00882C9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rsidR="00EF08C3" w:rsidRDefault="00EF08C3">
          <w:pPr>
            <w:rPr>
              <w:rFonts w:ascii="Palatino Linotype" w:eastAsia="Palatino Linotype" w:hAnsi="Palatino Linotype" w:cs="Palatino Linotype"/>
              <w:b/>
              <w:sz w:val="22"/>
              <w:szCs w:val="22"/>
            </w:rPr>
          </w:pPr>
        </w:p>
      </w:tc>
    </w:tr>
    <w:tr w:rsidR="00EF08C3">
      <w:trPr>
        <w:trHeight w:val="228"/>
      </w:trPr>
      <w:tc>
        <w:tcPr>
          <w:tcW w:w="2553" w:type="dxa"/>
          <w:vAlign w:val="center"/>
        </w:tcPr>
        <w:p w:rsidR="00EF08C3" w:rsidRDefault="00882C9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EF08C3" w:rsidRDefault="00882C9A">
          <w:pPr>
            <w:ind w:right="59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Atenco</w:t>
          </w:r>
        </w:p>
      </w:tc>
    </w:tr>
    <w:tr w:rsidR="00EF08C3">
      <w:tc>
        <w:tcPr>
          <w:tcW w:w="2553" w:type="dxa"/>
          <w:vAlign w:val="center"/>
        </w:tcPr>
        <w:p w:rsidR="00EF08C3" w:rsidRDefault="00882C9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EF08C3" w:rsidRDefault="00882C9A">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EF08C3" w:rsidRDefault="00EF08C3">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667F3"/>
    <w:multiLevelType w:val="multilevel"/>
    <w:tmpl w:val="4930136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D551CFA"/>
    <w:multiLevelType w:val="multilevel"/>
    <w:tmpl w:val="BD72577E"/>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BA342D3"/>
    <w:multiLevelType w:val="multilevel"/>
    <w:tmpl w:val="979838BE"/>
    <w:lvl w:ilvl="0">
      <w:start w:val="1"/>
      <w:numFmt w:val="upperRoman"/>
      <w:lvlText w:val="%1."/>
      <w:lvlJc w:val="left"/>
      <w:pPr>
        <w:ind w:left="108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50E154D"/>
    <w:multiLevelType w:val="multilevel"/>
    <w:tmpl w:val="DBDC112E"/>
    <w:lvl w:ilvl="0">
      <w:numFmt w:val="upperRoman"/>
      <w:lvlText w:val="%1."/>
      <w:lvlJc w:val="righ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3795186B"/>
    <w:multiLevelType w:val="multilevel"/>
    <w:tmpl w:val="DB2A8A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7CA1816"/>
    <w:multiLevelType w:val="multilevel"/>
    <w:tmpl w:val="9348BF24"/>
    <w:lvl w:ilvl="0">
      <w:start w:val="1"/>
      <w:numFmt w:val="lowerRoman"/>
      <w:lvlText w:val="%1)"/>
      <w:lvlJc w:val="left"/>
      <w:pPr>
        <w:ind w:left="14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8683B26"/>
    <w:multiLevelType w:val="multilevel"/>
    <w:tmpl w:val="E52669B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8C3"/>
    <w:rsid w:val="006C69C5"/>
    <w:rsid w:val="00882C9A"/>
    <w:rsid w:val="00EF08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9D5133-8A25-4F53-B326-A92D91F9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D006F2"/>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D006F2"/>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3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CA08C0"/>
    <w:rPr>
      <w:color w:val="605E5C"/>
      <w:shd w:val="clear" w:color="auto" w:fill="E1DFDD"/>
    </w:rPr>
  </w:style>
  <w:style w:type="table" w:styleId="Tabladecuadrcula4-nfasis5">
    <w:name w:val="Grid Table 4 Accent 5"/>
    <w:basedOn w:val="Tablanormal"/>
    <w:uiPriority w:val="49"/>
    <w:rsid w:val="006E38D5"/>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Ttulo3Car">
    <w:name w:val="Título 3 Car"/>
    <w:basedOn w:val="Fuentedeprrafopredeter"/>
    <w:link w:val="Ttulo3"/>
    <w:uiPriority w:val="9"/>
    <w:semiHidden/>
    <w:rsid w:val="00D006F2"/>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uiPriority w:val="9"/>
    <w:semiHidden/>
    <w:rsid w:val="00D006F2"/>
    <w:rPr>
      <w:rFonts w:asciiTheme="majorHAnsi" w:eastAsiaTheme="majorEastAsia" w:hAnsiTheme="majorHAnsi" w:cstheme="majorBidi"/>
      <w:i/>
      <w:iCs/>
      <w:color w:val="365F91" w:themeColor="accent1" w:themeShade="BF"/>
      <w:lang w:val="es-ES"/>
    </w:rPr>
  </w:style>
  <w:style w:type="paragraph" w:customStyle="1" w:styleId="m-698976158124685028gmail-default">
    <w:name w:val="m_-698976158124685028gmail-default"/>
    <w:basedOn w:val="Normal"/>
    <w:rsid w:val="006B1B2B"/>
    <w:pPr>
      <w:spacing w:before="100" w:beforeAutospacing="1" w:after="100" w:afterAutospacing="1"/>
    </w:pPr>
    <w:rPr>
      <w:lang w:val="es-MX"/>
    </w:rPr>
  </w:style>
  <w:style w:type="paragraph" w:customStyle="1" w:styleId="m-698976158124685028gmail-msolistparagraph">
    <w:name w:val="m_-698976158124685028gmail-msolistparagraph"/>
    <w:basedOn w:val="Normal"/>
    <w:rsid w:val="006B1B2B"/>
    <w:pPr>
      <w:spacing w:before="100" w:beforeAutospacing="1" w:after="100" w:afterAutospacing="1"/>
    </w:pPr>
    <w:rPr>
      <w:lang w:val="es-MX"/>
    </w:rPr>
  </w:style>
  <w:style w:type="paragraph" w:customStyle="1" w:styleId="m-698976158124685028gmail-m483811427706604298gmail-msolistparagraph">
    <w:name w:val="m_-698976158124685028gmail-m483811427706604298gmail-msolistparagraph"/>
    <w:basedOn w:val="Normal"/>
    <w:rsid w:val="00D41810"/>
    <w:pPr>
      <w:spacing w:before="100" w:beforeAutospacing="1" w:after="100" w:afterAutospacing="1"/>
    </w:pPr>
    <w:rPr>
      <w:lang w:val="es-MX"/>
    </w:rPr>
  </w:style>
  <w:style w:type="paragraph" w:customStyle="1" w:styleId="m-698976158124685028gmail-msonormal">
    <w:name w:val="m_-698976158124685028gmail-msonormal"/>
    <w:basedOn w:val="Normal"/>
    <w:rsid w:val="00D41810"/>
    <w:pPr>
      <w:spacing w:before="100" w:beforeAutospacing="1" w:after="100" w:afterAutospacing="1"/>
    </w:pPr>
    <w:rPr>
      <w:lang w:val="es-MX"/>
    </w:rPr>
  </w:style>
  <w:style w:type="character" w:customStyle="1" w:styleId="m-698976158124685028gmail-apple-converted-space">
    <w:name w:val="m_-698976158124685028gmail-apple-converted-space"/>
    <w:basedOn w:val="Fuentedeprrafopredeter"/>
    <w:rsid w:val="00D41810"/>
  </w:style>
  <w:style w:type="character" w:customStyle="1" w:styleId="il">
    <w:name w:val="il"/>
    <w:basedOn w:val="Fuentedeprrafopredeter"/>
    <w:rsid w:val="00BE068C"/>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ATENCO/art_92_i.web"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YFErBbg1U7ROwxmRdgOdwc37vw==">AMUW2mUsFiEi3ynSmGzsOV7/Bwr1SBst1gB/a2Gw1RH+r+gzlRJluLhit6sMlEFB5LOTEMlrg6IICs4R8sLb6JLfDjGuS7Z7AffAQLmVq841hW0GGetyM2zbbV+tjETK/loK1XJUvtFQ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8828</Words>
  <Characters>48560</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cp:lastModifiedBy>
  <cp:revision>2</cp:revision>
  <dcterms:created xsi:type="dcterms:W3CDTF">2022-06-07T00:42:00Z</dcterms:created>
  <dcterms:modified xsi:type="dcterms:W3CDTF">2022-06-07T00:42:00Z</dcterms:modified>
</cp:coreProperties>
</file>