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0700C" w14:textId="77777777" w:rsidR="002A63C6" w:rsidRDefault="002A63C6">
      <w:pPr>
        <w:widowControl w:val="0"/>
        <w:pBdr>
          <w:top w:val="nil"/>
          <w:left w:val="nil"/>
          <w:bottom w:val="nil"/>
          <w:right w:val="nil"/>
          <w:between w:val="nil"/>
        </w:pBdr>
        <w:spacing w:line="276" w:lineRule="auto"/>
      </w:pPr>
    </w:p>
    <w:p w14:paraId="07271FEA"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tres de marzo de dos mil veintidós. </w:t>
      </w:r>
    </w:p>
    <w:p w14:paraId="030012E0" w14:textId="77777777" w:rsidR="002A63C6" w:rsidRDefault="002A63C6">
      <w:pPr>
        <w:spacing w:line="360" w:lineRule="auto"/>
        <w:jc w:val="both"/>
        <w:rPr>
          <w:rFonts w:ascii="Palatino Linotype" w:eastAsia="Palatino Linotype" w:hAnsi="Palatino Linotype" w:cs="Palatino Linotype"/>
          <w:sz w:val="22"/>
          <w:szCs w:val="22"/>
        </w:rPr>
      </w:pPr>
    </w:p>
    <w:p w14:paraId="34E0DE10"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formado con motivo del recurso de revisión </w:t>
      </w:r>
      <w:r w:rsidRPr="00FE59FE">
        <w:rPr>
          <w:rFonts w:ascii="Palatino Linotype" w:eastAsia="Palatino Linotype" w:hAnsi="Palatino Linotype" w:cs="Palatino Linotype"/>
          <w:b/>
          <w:bCs/>
          <w:sz w:val="22"/>
          <w:szCs w:val="22"/>
        </w:rPr>
        <w:t>00092/INFOEM/IP/RR/2022,</w:t>
      </w:r>
      <w:r>
        <w:rPr>
          <w:rFonts w:ascii="Palatino Linotype" w:eastAsia="Palatino Linotype" w:hAnsi="Palatino Linotype" w:cs="Palatino Linotype"/>
          <w:sz w:val="22"/>
          <w:szCs w:val="22"/>
        </w:rPr>
        <w:t xml:space="preserve"> promovido por un particular de forma anónima a quien en lo sucesivo se le denominara como </w:t>
      </w:r>
      <w:r w:rsidRPr="00FE59FE">
        <w:rPr>
          <w:rFonts w:ascii="Palatino Linotype" w:eastAsia="Palatino Linotype" w:hAnsi="Palatino Linotype" w:cs="Palatino Linotype"/>
          <w:b/>
          <w:bCs/>
          <w:sz w:val="22"/>
          <w:szCs w:val="22"/>
        </w:rPr>
        <w:t>EL RECURRENTE,</w:t>
      </w:r>
      <w:r>
        <w:rPr>
          <w:rFonts w:ascii="Palatino Linotype" w:eastAsia="Palatino Linotype" w:hAnsi="Palatino Linotype" w:cs="Palatino Linotype"/>
          <w:sz w:val="22"/>
          <w:szCs w:val="22"/>
        </w:rPr>
        <w:t xml:space="preserve"> en contra de la respuesta de Servicios Educativos Integrados al Estado de México, en lo subsecuente se le denominará</w:t>
      </w:r>
      <w:r w:rsidRPr="00FE59FE">
        <w:rPr>
          <w:rFonts w:ascii="Palatino Linotype" w:eastAsia="Palatino Linotype" w:hAnsi="Palatino Linotype" w:cs="Palatino Linotype"/>
          <w:b/>
          <w:bCs/>
          <w:sz w:val="22"/>
          <w:szCs w:val="22"/>
        </w:rPr>
        <w:t xml:space="preserve"> EL SUJETO OBLIGADO</w:t>
      </w:r>
      <w:r>
        <w:rPr>
          <w:rFonts w:ascii="Palatino Linotype" w:eastAsia="Palatino Linotype" w:hAnsi="Palatino Linotype" w:cs="Palatino Linotype"/>
          <w:sz w:val="22"/>
          <w:szCs w:val="22"/>
        </w:rPr>
        <w:t>, se procede a dictar la presente resolución con base en lo siguiente:</w:t>
      </w:r>
    </w:p>
    <w:p w14:paraId="31B3D89E" w14:textId="77777777" w:rsidR="002A63C6" w:rsidRDefault="002A63C6">
      <w:pPr>
        <w:spacing w:line="360" w:lineRule="auto"/>
        <w:jc w:val="both"/>
        <w:rPr>
          <w:rFonts w:ascii="Palatino Linotype" w:eastAsia="Palatino Linotype" w:hAnsi="Palatino Linotype" w:cs="Palatino Linotype"/>
          <w:b/>
        </w:rPr>
      </w:pPr>
    </w:p>
    <w:p w14:paraId="5B89F6D8" w14:textId="77777777" w:rsidR="002A63C6" w:rsidRDefault="00D13D19">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RESULTANDO</w:t>
      </w:r>
    </w:p>
    <w:p w14:paraId="56CFA751" w14:textId="77777777" w:rsidR="002A63C6" w:rsidRDefault="002A63C6">
      <w:pPr>
        <w:spacing w:line="360" w:lineRule="auto"/>
        <w:rPr>
          <w:rFonts w:ascii="Palatino Linotype" w:eastAsia="Palatino Linotype" w:hAnsi="Palatino Linotype" w:cs="Palatino Linotype"/>
          <w:b/>
          <w:sz w:val="22"/>
          <w:szCs w:val="22"/>
        </w:rPr>
      </w:pPr>
    </w:p>
    <w:p w14:paraId="7752A903" w14:textId="77777777" w:rsidR="002A63C6" w:rsidRDefault="00D13D19">
      <w:pPr>
        <w:spacing w:line="360" w:lineRule="auto"/>
        <w:jc w:val="both"/>
        <w:rPr>
          <w:rFonts w:ascii="Palatino Linotype" w:eastAsia="Palatino Linotype" w:hAnsi="Palatino Linotype" w:cs="Palatino Linotype"/>
          <w:sz w:val="22"/>
          <w:szCs w:val="22"/>
        </w:rPr>
      </w:pPr>
      <w:bookmarkStart w:id="0" w:name="_heading=h.gjdgxs" w:colFirst="0" w:colLast="0"/>
      <w:bookmarkEnd w:id="0"/>
      <w:r>
        <w:rPr>
          <w:rFonts w:ascii="Palatino Linotype" w:eastAsia="Palatino Linotype" w:hAnsi="Palatino Linotype" w:cs="Palatino Linotype"/>
          <w:b/>
          <w:sz w:val="22"/>
          <w:szCs w:val="22"/>
        </w:rPr>
        <w:t>I.</w:t>
      </w:r>
      <w:r>
        <w:rPr>
          <w:rFonts w:ascii="Palatino Linotype" w:eastAsia="Palatino Linotype" w:hAnsi="Palatino Linotype" w:cs="Palatino Linotype"/>
          <w:sz w:val="22"/>
          <w:szCs w:val="22"/>
        </w:rPr>
        <w:t xml:space="preserve"> El veintitrés de noviembre de dos mil veintiuno,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presentó a través del Sistema de Acceso a la Información Mexiquense, en lo subsecuente </w:t>
      </w:r>
      <w:r>
        <w:rPr>
          <w:rFonts w:ascii="Palatino Linotype" w:eastAsia="Palatino Linotype" w:hAnsi="Palatino Linotype" w:cs="Palatino Linotype"/>
          <w:b/>
          <w:sz w:val="22"/>
          <w:szCs w:val="22"/>
        </w:rPr>
        <w:t>EL SAIMEX</w:t>
      </w:r>
      <w:r>
        <w:rPr>
          <w:rFonts w:ascii="Palatino Linotype" w:eastAsia="Palatino Linotype" w:hAnsi="Palatino Linotype" w:cs="Palatino Linotype"/>
          <w:sz w:val="22"/>
          <w:szCs w:val="22"/>
        </w:rPr>
        <w:t xml:space="preserve"> ante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la solicitud de acceso a la información pública, a la que se le asignó el número de expediente </w:t>
      </w:r>
      <w:r>
        <w:rPr>
          <w:rFonts w:ascii="Palatino Linotype" w:eastAsia="Palatino Linotype" w:hAnsi="Palatino Linotype" w:cs="Palatino Linotype"/>
          <w:b/>
          <w:sz w:val="22"/>
          <w:szCs w:val="22"/>
        </w:rPr>
        <w:t xml:space="preserve">03262/SEIEM/IP/2021, </w:t>
      </w:r>
      <w:r>
        <w:rPr>
          <w:rFonts w:ascii="Palatino Linotype" w:eastAsia="Palatino Linotype" w:hAnsi="Palatino Linotype" w:cs="Palatino Linotype"/>
          <w:sz w:val="22"/>
          <w:szCs w:val="22"/>
        </w:rPr>
        <w:t>mediante el cual requirió, lo siguiente:</w:t>
      </w:r>
    </w:p>
    <w:p w14:paraId="392AC915" w14:textId="77777777" w:rsidR="002A63C6" w:rsidRDefault="002A63C6">
      <w:pPr>
        <w:spacing w:line="360" w:lineRule="auto"/>
        <w:ind w:left="360"/>
        <w:jc w:val="both"/>
        <w:rPr>
          <w:rFonts w:ascii="Palatino Linotype" w:eastAsia="Palatino Linotype" w:hAnsi="Palatino Linotype" w:cs="Palatino Linotype"/>
          <w:i/>
          <w:sz w:val="20"/>
          <w:szCs w:val="20"/>
        </w:rPr>
      </w:pPr>
    </w:p>
    <w:p w14:paraId="3F46C6F5" w14:textId="7D83E723" w:rsidR="002A63C6" w:rsidRDefault="00D13D19" w:rsidP="003E72A4">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los Servicios Educativos Integrados al Estado de México, requiero el número de plazas (en todos sus tipos y modalidades) que se encuentran comisionadas (de cualquier índole o naturaleza).”</w:t>
      </w:r>
    </w:p>
    <w:p w14:paraId="484716A9" w14:textId="77777777" w:rsidR="003E72A4" w:rsidRPr="003E72A4" w:rsidRDefault="003E72A4" w:rsidP="003E72A4">
      <w:pPr>
        <w:spacing w:line="360" w:lineRule="auto"/>
        <w:ind w:left="850" w:right="899"/>
        <w:jc w:val="both"/>
        <w:rPr>
          <w:rFonts w:ascii="Palatino Linotype" w:eastAsia="Palatino Linotype" w:hAnsi="Palatino Linotype" w:cs="Palatino Linotype"/>
          <w:sz w:val="20"/>
          <w:szCs w:val="20"/>
        </w:rPr>
      </w:pPr>
    </w:p>
    <w:p w14:paraId="194B73E8" w14:textId="71A8161A" w:rsidR="002A63C6" w:rsidRDefault="00D13D19">
      <w:pPr>
        <w:widowControl w:val="0"/>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MODALIDAD DE ENTREGA: </w:t>
      </w:r>
      <w:r>
        <w:rPr>
          <w:rFonts w:ascii="Palatino Linotype" w:eastAsia="Palatino Linotype" w:hAnsi="Palatino Linotype" w:cs="Palatino Linotype"/>
          <w:sz w:val="22"/>
          <w:szCs w:val="22"/>
        </w:rPr>
        <w:t xml:space="preserve">Vía Sistema de Acceso a la Información </w:t>
      </w:r>
      <w:r>
        <w:rPr>
          <w:rFonts w:ascii="Palatino Linotype" w:eastAsia="Palatino Linotype" w:hAnsi="Palatino Linotype" w:cs="Palatino Linotype"/>
          <w:b/>
          <w:sz w:val="22"/>
          <w:szCs w:val="22"/>
        </w:rPr>
        <w:t xml:space="preserve"> (</w:t>
      </w:r>
      <w:r w:rsidR="006C048C">
        <w:rPr>
          <w:rFonts w:ascii="Palatino Linotype" w:eastAsia="Palatino Linotype" w:hAnsi="Palatino Linotype" w:cs="Palatino Linotype"/>
          <w:b/>
          <w:sz w:val="22"/>
          <w:szCs w:val="22"/>
        </w:rPr>
        <w:t xml:space="preserve">EL </w:t>
      </w:r>
      <w:r>
        <w:rPr>
          <w:rFonts w:ascii="Palatino Linotype" w:eastAsia="Palatino Linotype" w:hAnsi="Palatino Linotype" w:cs="Palatino Linotype"/>
          <w:b/>
          <w:sz w:val="22"/>
          <w:szCs w:val="22"/>
        </w:rPr>
        <w:t>SAIMEX).</w:t>
      </w:r>
    </w:p>
    <w:p w14:paraId="7EAA4905" w14:textId="77777777" w:rsidR="002A63C6" w:rsidRDefault="002A63C6">
      <w:pPr>
        <w:widowControl w:val="0"/>
        <w:spacing w:line="360" w:lineRule="auto"/>
        <w:jc w:val="both"/>
        <w:rPr>
          <w:rFonts w:ascii="Palatino Linotype" w:eastAsia="Palatino Linotype" w:hAnsi="Palatino Linotype" w:cs="Palatino Linotype"/>
          <w:b/>
          <w:sz w:val="22"/>
          <w:szCs w:val="22"/>
        </w:rPr>
      </w:pPr>
    </w:p>
    <w:p w14:paraId="65C0386E" w14:textId="77777777" w:rsidR="002A63C6" w:rsidRDefault="00D13D1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II.</w:t>
      </w:r>
      <w:r>
        <w:rPr>
          <w:rFonts w:ascii="Palatino Linotype" w:eastAsia="Palatino Linotype" w:hAnsi="Palatino Linotype" w:cs="Palatino Linotype"/>
          <w:sz w:val="22"/>
          <w:szCs w:val="22"/>
        </w:rPr>
        <w:t xml:space="preserve"> En fecha tres de enero de dos mil veintidós,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notificó el ACUERDO </w:t>
      </w:r>
      <w:r>
        <w:rPr>
          <w:rFonts w:ascii="Palatino Linotype" w:eastAsia="Palatino Linotype" w:hAnsi="Palatino Linotype" w:cs="Palatino Linotype"/>
          <w:sz w:val="22"/>
          <w:szCs w:val="22"/>
        </w:rPr>
        <w:lastRenderedPageBreak/>
        <w:t xml:space="preserve">CT/EXT/6ª/2021/SEGUNDO DEL COMITÉ DE TRANSPARENCIA DE SERVICIOS EDUCATIVOS INTEGRADOS AL ESTADO DE MÉXICO, EXPEDIDO EN SU SEXTA SESIÓN EXTRAORDINARIA, celebrada el siete de diciembre de dos mil veintiuno; mediante el cual se aprobó la ampliación del plazo para dar respuesta por siete días hábiles. </w:t>
      </w:r>
    </w:p>
    <w:p w14:paraId="1A41B84B" w14:textId="77777777" w:rsidR="002A63C6" w:rsidRDefault="002A63C6">
      <w:pPr>
        <w:widowControl w:val="0"/>
        <w:spacing w:line="360" w:lineRule="auto"/>
        <w:jc w:val="both"/>
        <w:rPr>
          <w:rFonts w:ascii="Palatino Linotype" w:eastAsia="Palatino Linotype" w:hAnsi="Palatino Linotype" w:cs="Palatino Linotype"/>
          <w:sz w:val="22"/>
          <w:szCs w:val="22"/>
        </w:rPr>
      </w:pPr>
    </w:p>
    <w:p w14:paraId="6647D109" w14:textId="00A6E69A" w:rsidR="002A63C6" w:rsidRDefault="00D13D1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III. </w:t>
      </w:r>
      <w:r>
        <w:rPr>
          <w:rFonts w:ascii="Palatino Linotype" w:eastAsia="Palatino Linotype" w:hAnsi="Palatino Linotype" w:cs="Palatino Linotype"/>
          <w:sz w:val="22"/>
          <w:szCs w:val="22"/>
        </w:rPr>
        <w:t xml:space="preserve">Posteriormente, el diez de enero de dos mil veintidós, </w:t>
      </w:r>
      <w:r>
        <w:rPr>
          <w:rFonts w:ascii="Palatino Linotype" w:eastAsia="Palatino Linotype" w:hAnsi="Palatino Linotype" w:cs="Palatino Linotype"/>
          <w:b/>
          <w:sz w:val="22"/>
          <w:szCs w:val="22"/>
        </w:rPr>
        <w:t xml:space="preserve">EL SUJETO OBLIGADO </w:t>
      </w:r>
      <w:r>
        <w:rPr>
          <w:rFonts w:ascii="Palatino Linotype" w:eastAsia="Palatino Linotype" w:hAnsi="Palatino Linotype" w:cs="Palatino Linotype"/>
          <w:sz w:val="22"/>
          <w:szCs w:val="22"/>
        </w:rPr>
        <w:t xml:space="preserve">dio respuesta a la solicitud de información </w:t>
      </w:r>
      <w:r w:rsidR="006C048C">
        <w:rPr>
          <w:rFonts w:ascii="Palatino Linotype" w:eastAsia="Palatino Linotype" w:hAnsi="Palatino Linotype" w:cs="Palatino Linotype"/>
          <w:sz w:val="22"/>
          <w:szCs w:val="22"/>
        </w:rPr>
        <w:t>con</w:t>
      </w:r>
      <w:r>
        <w:rPr>
          <w:rFonts w:ascii="Palatino Linotype" w:eastAsia="Palatino Linotype" w:hAnsi="Palatino Linotype" w:cs="Palatino Linotype"/>
          <w:sz w:val="22"/>
          <w:szCs w:val="22"/>
        </w:rPr>
        <w:t xml:space="preserve"> dos documentos, los cuales se describen a continuación: </w:t>
      </w:r>
    </w:p>
    <w:p w14:paraId="6C2B4485" w14:textId="77777777" w:rsidR="002A63C6" w:rsidRDefault="002A63C6">
      <w:pPr>
        <w:widowControl w:val="0"/>
        <w:spacing w:line="360" w:lineRule="auto"/>
        <w:jc w:val="both"/>
        <w:rPr>
          <w:rFonts w:ascii="Palatino Linotype" w:eastAsia="Palatino Linotype" w:hAnsi="Palatino Linotype" w:cs="Palatino Linotype"/>
          <w:sz w:val="22"/>
          <w:szCs w:val="22"/>
        </w:rPr>
      </w:pPr>
    </w:p>
    <w:p w14:paraId="52F0A4FE" w14:textId="07ABC591" w:rsidR="002A63C6" w:rsidRDefault="00D13D19">
      <w:pPr>
        <w:widowControl w:val="0"/>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Documento denominado </w:t>
      </w:r>
      <w:r>
        <w:rPr>
          <w:rFonts w:ascii="Palatino Linotype" w:eastAsia="Palatino Linotype" w:hAnsi="Palatino Linotype" w:cs="Palatino Linotype"/>
          <w:i/>
          <w:sz w:val="22"/>
          <w:szCs w:val="22"/>
        </w:rPr>
        <w:t xml:space="preserve">“Anexo 3262 IP2021.pdf”, </w:t>
      </w:r>
      <w:r>
        <w:rPr>
          <w:rFonts w:ascii="Palatino Linotype" w:eastAsia="Palatino Linotype" w:hAnsi="Palatino Linotype" w:cs="Palatino Linotype"/>
          <w:sz w:val="22"/>
          <w:szCs w:val="22"/>
        </w:rPr>
        <w:t xml:space="preserve">del cual se advierte el oficio de número 210C0101230102L/2014/2021, firmado por el Jefe del Departamento de Prestaciones y </w:t>
      </w:r>
      <w:r w:rsidR="006C048C">
        <w:rPr>
          <w:rFonts w:ascii="Palatino Linotype" w:eastAsia="Palatino Linotype" w:hAnsi="Palatino Linotype" w:cs="Palatino Linotype"/>
          <w:sz w:val="22"/>
          <w:szCs w:val="22"/>
        </w:rPr>
        <w:t xml:space="preserve">Servidor Público Habilitado </w:t>
      </w:r>
      <w:r>
        <w:rPr>
          <w:rFonts w:ascii="Palatino Linotype" w:eastAsia="Palatino Linotype" w:hAnsi="Palatino Linotype" w:cs="Palatino Linotype"/>
          <w:sz w:val="22"/>
          <w:szCs w:val="22"/>
        </w:rPr>
        <w:t xml:space="preserve">de la Dirección de Administración y Desarrollo de Personal,  mediante este documento adjuntó </w:t>
      </w:r>
      <w:r w:rsidR="006C048C">
        <w:rPr>
          <w:rFonts w:ascii="Palatino Linotype" w:eastAsia="Palatino Linotype" w:hAnsi="Palatino Linotype" w:cs="Palatino Linotype"/>
          <w:sz w:val="22"/>
          <w:szCs w:val="22"/>
        </w:rPr>
        <w:t xml:space="preserve">a </w:t>
      </w:r>
      <w:r>
        <w:rPr>
          <w:rFonts w:ascii="Palatino Linotype" w:eastAsia="Palatino Linotype" w:hAnsi="Palatino Linotype" w:cs="Palatino Linotype"/>
          <w:sz w:val="22"/>
          <w:szCs w:val="22"/>
        </w:rPr>
        <w:t xml:space="preserve">su respuesta copia del oficio número 210C0101230101L/0973/2021 signado por el Jefe de Departamento de Asuntos Laborales, dependiente de la Subdirección de Desarrollo de Personal a través del cual remitió la respuesta a la solicitud del </w:t>
      </w:r>
      <w:r w:rsidR="006C048C">
        <w:rPr>
          <w:rFonts w:ascii="Palatino Linotype" w:eastAsia="Palatino Linotype" w:hAnsi="Palatino Linotype" w:cs="Palatino Linotype"/>
          <w:sz w:val="22"/>
          <w:szCs w:val="22"/>
        </w:rPr>
        <w:t>P</w:t>
      </w:r>
      <w:r>
        <w:rPr>
          <w:rFonts w:ascii="Palatino Linotype" w:eastAsia="Palatino Linotype" w:hAnsi="Palatino Linotype" w:cs="Palatino Linotype"/>
          <w:sz w:val="22"/>
          <w:szCs w:val="22"/>
        </w:rPr>
        <w:t xml:space="preserve">articular. Se inserta captura de pantalla para mayor certeza: </w:t>
      </w:r>
    </w:p>
    <w:p w14:paraId="74F675B8" w14:textId="77777777" w:rsidR="002A63C6" w:rsidRDefault="002A63C6">
      <w:pPr>
        <w:widowControl w:val="0"/>
        <w:spacing w:line="360" w:lineRule="auto"/>
        <w:jc w:val="both"/>
        <w:rPr>
          <w:rFonts w:ascii="Palatino Linotype" w:eastAsia="Palatino Linotype" w:hAnsi="Palatino Linotype" w:cs="Palatino Linotype"/>
        </w:rPr>
      </w:pPr>
    </w:p>
    <w:p w14:paraId="2E0EFEB1" w14:textId="77777777" w:rsidR="002A63C6" w:rsidRDefault="00D13D19">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548C71DD" wp14:editId="2AF91F20">
            <wp:extent cx="4752340" cy="2484626"/>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t="4330" b="7785"/>
                    <a:stretch>
                      <a:fillRect/>
                    </a:stretch>
                  </pic:blipFill>
                  <pic:spPr>
                    <a:xfrm>
                      <a:off x="0" y="0"/>
                      <a:ext cx="4752340" cy="2484626"/>
                    </a:xfrm>
                    <a:prstGeom prst="rect">
                      <a:avLst/>
                    </a:prstGeom>
                    <a:ln/>
                  </pic:spPr>
                </pic:pic>
              </a:graphicData>
            </a:graphic>
          </wp:inline>
        </w:drawing>
      </w:r>
    </w:p>
    <w:p w14:paraId="104DA70B" w14:textId="77777777" w:rsidR="002A63C6" w:rsidRDefault="002A63C6">
      <w:pPr>
        <w:widowControl w:val="0"/>
        <w:spacing w:line="360" w:lineRule="auto"/>
        <w:jc w:val="both"/>
        <w:rPr>
          <w:rFonts w:ascii="Palatino Linotype" w:eastAsia="Palatino Linotype" w:hAnsi="Palatino Linotype" w:cs="Palatino Linotype"/>
          <w:sz w:val="22"/>
          <w:szCs w:val="22"/>
        </w:rPr>
      </w:pPr>
    </w:p>
    <w:p w14:paraId="0E0E0334" w14:textId="77777777" w:rsidR="002A63C6" w:rsidRDefault="00D13D1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también de dicho documento se advierte la respuesta del Jefe de Departamento de Asuntos Laborales, mediante la cual señala no contar con personal comisionado en el departamento a su cargo: </w:t>
      </w:r>
    </w:p>
    <w:p w14:paraId="4A9D89D4" w14:textId="77777777" w:rsidR="002A63C6" w:rsidRDefault="00D13D1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114300" distB="114300" distL="114300" distR="114300" wp14:anchorId="322BE16C" wp14:editId="29E1AE2A">
            <wp:extent cx="5791497" cy="3329896"/>
            <wp:effectExtent l="0" t="0" r="0" b="4445"/>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810446" cy="3340791"/>
                    </a:xfrm>
                    <a:prstGeom prst="rect">
                      <a:avLst/>
                    </a:prstGeom>
                    <a:ln/>
                  </pic:spPr>
                </pic:pic>
              </a:graphicData>
            </a:graphic>
          </wp:inline>
        </w:drawing>
      </w:r>
    </w:p>
    <w:p w14:paraId="18BD5CBD" w14:textId="77777777" w:rsidR="002A63C6" w:rsidRDefault="00D13D19">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39B8684" w14:textId="77777777" w:rsidR="002A63C6" w:rsidRDefault="00D13D19">
      <w:pPr>
        <w:widowControl w:val="0"/>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Documento de nombre </w:t>
      </w:r>
      <w:r>
        <w:rPr>
          <w:rFonts w:ascii="Palatino Linotype" w:eastAsia="Palatino Linotype" w:hAnsi="Palatino Linotype" w:cs="Palatino Linotype"/>
          <w:i/>
          <w:sz w:val="22"/>
          <w:szCs w:val="22"/>
        </w:rPr>
        <w:t>“SOL 03262IP2022.pdf”</w:t>
      </w:r>
      <w:r>
        <w:rPr>
          <w:rFonts w:ascii="Palatino Linotype" w:eastAsia="Palatino Linotype" w:hAnsi="Palatino Linotype" w:cs="Palatino Linotype"/>
          <w:sz w:val="22"/>
          <w:szCs w:val="22"/>
        </w:rPr>
        <w:t xml:space="preserve"> mismo del cual se advierte el oficio número 210C0101030000S/UT/0010/2022 firmado por el Jefe del Departamento de Legislación y Consulta y suplente del Titular de la Unidad de Transparencia. Mediante el cual señala le remitir el archivo adjunto con la respuesta proporcionada por el Servidor Público Habilitado, como se muestra en la captura de pantalla siguiente: </w:t>
      </w:r>
    </w:p>
    <w:p w14:paraId="70845735" w14:textId="77777777" w:rsidR="002A63C6" w:rsidRDefault="00D13D19">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6ADC0B95" wp14:editId="16B54ADE">
            <wp:extent cx="5791200" cy="4831715"/>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t="10534"/>
                    <a:stretch>
                      <a:fillRect/>
                    </a:stretch>
                  </pic:blipFill>
                  <pic:spPr>
                    <a:xfrm>
                      <a:off x="0" y="0"/>
                      <a:ext cx="5791200" cy="4831715"/>
                    </a:xfrm>
                    <a:prstGeom prst="rect">
                      <a:avLst/>
                    </a:prstGeom>
                    <a:ln/>
                  </pic:spPr>
                </pic:pic>
              </a:graphicData>
            </a:graphic>
          </wp:inline>
        </w:drawing>
      </w:r>
    </w:p>
    <w:p w14:paraId="2012839E" w14:textId="77777777" w:rsidR="002A63C6" w:rsidRDefault="002A63C6">
      <w:pPr>
        <w:widowControl w:val="0"/>
        <w:spacing w:line="360" w:lineRule="auto"/>
        <w:jc w:val="both"/>
        <w:rPr>
          <w:rFonts w:ascii="Palatino Linotype" w:eastAsia="Palatino Linotype" w:hAnsi="Palatino Linotype" w:cs="Palatino Linotype"/>
        </w:rPr>
      </w:pPr>
    </w:p>
    <w:p w14:paraId="01500584" w14:textId="06F41906" w:rsidR="002A63C6" w:rsidRDefault="00D13D19">
      <w:pPr>
        <w:widowControl w:val="0"/>
        <w:spacing w:line="360" w:lineRule="auto"/>
        <w:jc w:val="both"/>
        <w:rPr>
          <w:rFonts w:ascii="Palatino Linotype" w:eastAsia="Palatino Linotype" w:hAnsi="Palatino Linotype" w:cs="Palatino Linotype"/>
          <w:sz w:val="22"/>
          <w:szCs w:val="22"/>
        </w:rPr>
      </w:pPr>
      <w:bookmarkStart w:id="1" w:name="_heading=h.1fob9te" w:colFirst="0" w:colLast="0"/>
      <w:bookmarkEnd w:id="1"/>
      <w:r>
        <w:rPr>
          <w:rFonts w:ascii="Palatino Linotype" w:eastAsia="Palatino Linotype" w:hAnsi="Palatino Linotype" w:cs="Palatino Linotype"/>
          <w:b/>
          <w:sz w:val="26"/>
          <w:szCs w:val="26"/>
        </w:rPr>
        <w:t>IV</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Inconforme por la respuesta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sz w:val="22"/>
          <w:szCs w:val="22"/>
        </w:rPr>
        <w:t xml:space="preserve">, el doce de enero de dos mil veintidós,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interpuso el recurso de revisión el cual fue registrado en </w:t>
      </w:r>
      <w:r>
        <w:rPr>
          <w:rFonts w:ascii="Palatino Linotype" w:eastAsia="Palatino Linotype" w:hAnsi="Palatino Linotype" w:cs="Palatino Linotype"/>
          <w:b/>
          <w:sz w:val="22"/>
          <w:szCs w:val="22"/>
        </w:rPr>
        <w:t xml:space="preserve">EL </w:t>
      </w:r>
      <w:r>
        <w:rPr>
          <w:rFonts w:ascii="Palatino Linotype" w:eastAsia="Palatino Linotype" w:hAnsi="Palatino Linotype" w:cs="Palatino Linotype"/>
          <w:b/>
          <w:sz w:val="22"/>
          <w:szCs w:val="22"/>
        </w:rPr>
        <w:lastRenderedPageBreak/>
        <w:t>SAIMEX</w:t>
      </w:r>
      <w:r>
        <w:rPr>
          <w:rFonts w:ascii="Palatino Linotype" w:eastAsia="Palatino Linotype" w:hAnsi="Palatino Linotype" w:cs="Palatino Linotype"/>
          <w:sz w:val="22"/>
          <w:szCs w:val="22"/>
        </w:rPr>
        <w:t xml:space="preserve"> y se le asignó el número de expediente </w:t>
      </w:r>
      <w:r>
        <w:rPr>
          <w:rFonts w:ascii="Palatino Linotype" w:eastAsia="Palatino Linotype" w:hAnsi="Palatino Linotype" w:cs="Palatino Linotype"/>
          <w:b/>
          <w:sz w:val="22"/>
          <w:szCs w:val="22"/>
        </w:rPr>
        <w:t xml:space="preserve">00092/INFOEM/IP/RR/2022, </w:t>
      </w:r>
      <w:r>
        <w:rPr>
          <w:rFonts w:ascii="Palatino Linotype" w:eastAsia="Palatino Linotype" w:hAnsi="Palatino Linotype" w:cs="Palatino Linotype"/>
          <w:sz w:val="22"/>
          <w:szCs w:val="22"/>
        </w:rPr>
        <w:t xml:space="preserve">donde los motivos de agravio </w:t>
      </w:r>
      <w:r w:rsidR="006C048C" w:rsidRPr="006C048C">
        <w:rPr>
          <w:rFonts w:ascii="Palatino Linotype" w:eastAsia="Palatino Linotype" w:hAnsi="Palatino Linotype" w:cs="Palatino Linotype"/>
          <w:b/>
          <w:bCs/>
          <w:sz w:val="22"/>
          <w:szCs w:val="22"/>
        </w:rPr>
        <w:t>de EL RECURRENTE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fueron los siguientes:</w:t>
      </w:r>
    </w:p>
    <w:p w14:paraId="75F04682" w14:textId="77777777" w:rsidR="002A63C6" w:rsidRDefault="002A63C6">
      <w:pPr>
        <w:spacing w:line="360" w:lineRule="auto"/>
        <w:ind w:left="-57" w:right="-57"/>
        <w:jc w:val="both"/>
        <w:rPr>
          <w:rFonts w:ascii="Palatino Linotype" w:eastAsia="Palatino Linotype" w:hAnsi="Palatino Linotype" w:cs="Palatino Linotype"/>
          <w:sz w:val="22"/>
          <w:szCs w:val="22"/>
        </w:rPr>
      </w:pPr>
    </w:p>
    <w:p w14:paraId="1DCDD3DA" w14:textId="77777777" w:rsidR="002A63C6" w:rsidRDefault="00D13D19">
      <w:pPr>
        <w:spacing w:line="360" w:lineRule="auto"/>
        <w:ind w:left="-57" w:right="-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Acto Impugnado:</w:t>
      </w:r>
      <w:r>
        <w:rPr>
          <w:sz w:val="22"/>
          <w:szCs w:val="22"/>
        </w:rPr>
        <w:t xml:space="preserve"> </w:t>
      </w:r>
    </w:p>
    <w:p w14:paraId="7C45237D" w14:textId="0CD40C36" w:rsidR="002A63C6" w:rsidRDefault="00D13D19">
      <w:pPr>
        <w:tabs>
          <w:tab w:val="left" w:pos="709"/>
        </w:tabs>
        <w:spacing w:line="360" w:lineRule="auto"/>
        <w:ind w:left="850" w:right="899"/>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respuesta”</w:t>
      </w:r>
    </w:p>
    <w:p w14:paraId="036F75B0" w14:textId="77777777" w:rsidR="002A63C6" w:rsidRDefault="002A63C6">
      <w:pPr>
        <w:tabs>
          <w:tab w:val="left" w:pos="709"/>
        </w:tabs>
        <w:spacing w:line="360" w:lineRule="auto"/>
        <w:ind w:left="850" w:right="899"/>
        <w:rPr>
          <w:rFonts w:ascii="Palatino Linotype" w:eastAsia="Palatino Linotype" w:hAnsi="Palatino Linotype" w:cs="Palatino Linotype"/>
          <w:i/>
          <w:sz w:val="20"/>
          <w:szCs w:val="20"/>
        </w:rPr>
      </w:pPr>
    </w:p>
    <w:p w14:paraId="66029D67" w14:textId="77777777" w:rsidR="002A63C6" w:rsidRDefault="00D13D19">
      <w:pPr>
        <w:tabs>
          <w:tab w:val="left" w:pos="709"/>
        </w:tabs>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o motivos de la inconformidad:</w:t>
      </w:r>
    </w:p>
    <w:p w14:paraId="0D5D68AA" w14:textId="77777777" w:rsidR="002A63C6" w:rsidRDefault="002A63C6">
      <w:pPr>
        <w:tabs>
          <w:tab w:val="left" w:pos="709"/>
        </w:tabs>
        <w:spacing w:line="360" w:lineRule="auto"/>
        <w:rPr>
          <w:rFonts w:ascii="Palatino Linotype" w:eastAsia="Palatino Linotype" w:hAnsi="Palatino Linotype" w:cs="Palatino Linotype"/>
          <w:sz w:val="22"/>
          <w:szCs w:val="22"/>
        </w:rPr>
      </w:pPr>
    </w:p>
    <w:p w14:paraId="5384F8FB" w14:textId="05EEDABB" w:rsidR="002A63C6" w:rsidRDefault="00D13D19">
      <w:pPr>
        <w:spacing w:line="360" w:lineRule="auto"/>
        <w:ind w:left="850" w:right="899"/>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“La información je se dio no corresponde a la solicitada” (</w:t>
      </w:r>
      <w:r w:rsidR="00D17BCA">
        <w:rPr>
          <w:rFonts w:ascii="Palatino Linotype" w:eastAsia="Palatino Linotype" w:hAnsi="Palatino Linotype" w:cs="Palatino Linotype"/>
          <w:i/>
          <w:sz w:val="20"/>
          <w:szCs w:val="20"/>
        </w:rPr>
        <w:t>S</w:t>
      </w:r>
      <w:r>
        <w:rPr>
          <w:rFonts w:ascii="Palatino Linotype" w:eastAsia="Palatino Linotype" w:hAnsi="Palatino Linotype" w:cs="Palatino Linotype"/>
          <w:i/>
          <w:sz w:val="20"/>
          <w:szCs w:val="20"/>
        </w:rPr>
        <w:t>ic)</w:t>
      </w:r>
      <w:r w:rsidR="00D17BCA">
        <w:rPr>
          <w:rFonts w:ascii="Palatino Linotype" w:eastAsia="Palatino Linotype" w:hAnsi="Palatino Linotype" w:cs="Palatino Linotype"/>
          <w:i/>
          <w:sz w:val="20"/>
          <w:szCs w:val="20"/>
        </w:rPr>
        <w:t>.</w:t>
      </w:r>
    </w:p>
    <w:p w14:paraId="2F508A01" w14:textId="77777777" w:rsidR="002A63C6" w:rsidRDefault="002A63C6">
      <w:pPr>
        <w:spacing w:line="360" w:lineRule="auto"/>
        <w:jc w:val="both"/>
        <w:rPr>
          <w:rFonts w:ascii="Palatino Linotype" w:eastAsia="Palatino Linotype" w:hAnsi="Palatino Linotype" w:cs="Palatino Linotype"/>
          <w:sz w:val="20"/>
          <w:szCs w:val="20"/>
        </w:rPr>
      </w:pPr>
    </w:p>
    <w:p w14:paraId="3FCB1384" w14:textId="65F221FB" w:rsidR="002A63C6" w:rsidRDefault="00D13D19">
      <w:pPr>
        <w:spacing w:line="360" w:lineRule="auto"/>
        <w:jc w:val="both"/>
        <w:rPr>
          <w:rFonts w:ascii="Palatino Linotype" w:eastAsia="Palatino Linotype" w:hAnsi="Palatino Linotype" w:cs="Palatino Linotype"/>
          <w:b/>
          <w:sz w:val="26"/>
          <w:szCs w:val="26"/>
        </w:rPr>
      </w:pPr>
      <w:r>
        <w:rPr>
          <w:rFonts w:ascii="Palatino Linotype" w:eastAsia="Palatino Linotype" w:hAnsi="Palatino Linotype" w:cs="Palatino Linotype"/>
          <w:b/>
          <w:sz w:val="22"/>
          <w:szCs w:val="22"/>
        </w:rPr>
        <w:t xml:space="preserve">V. </w:t>
      </w:r>
      <w:r>
        <w:rPr>
          <w:rFonts w:ascii="Palatino Linotype" w:eastAsia="Palatino Linotype" w:hAnsi="Palatino Linotype" w:cs="Palatino Linotype"/>
          <w:sz w:val="22"/>
          <w:szCs w:val="22"/>
        </w:rPr>
        <w:t xml:space="preserve">El doce de enero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al </w:t>
      </w:r>
      <w:r>
        <w:rPr>
          <w:rFonts w:ascii="Palatino Linotype" w:eastAsia="Palatino Linotype" w:hAnsi="Palatino Linotype" w:cs="Palatino Linotype"/>
          <w:b/>
          <w:sz w:val="22"/>
          <w:szCs w:val="22"/>
        </w:rPr>
        <w:t xml:space="preserve">Comisionado Luis Gustavo Parra Noriega; </w:t>
      </w:r>
      <w:r>
        <w:rPr>
          <w:rFonts w:ascii="Palatino Linotype" w:eastAsia="Palatino Linotype" w:hAnsi="Palatino Linotype" w:cs="Palatino Linotype"/>
          <w:sz w:val="22"/>
          <w:szCs w:val="22"/>
        </w:rPr>
        <w:t>a efecto de decretar su admisión o desechamiento.</w:t>
      </w:r>
    </w:p>
    <w:p w14:paraId="6CB88FE8" w14:textId="77777777" w:rsidR="002A63C6" w:rsidRDefault="002A63C6">
      <w:pPr>
        <w:spacing w:line="360" w:lineRule="auto"/>
        <w:jc w:val="both"/>
        <w:rPr>
          <w:rFonts w:ascii="Palatino Linotype" w:eastAsia="Palatino Linotype" w:hAnsi="Palatino Linotype" w:cs="Palatino Linotype"/>
        </w:rPr>
      </w:pPr>
    </w:p>
    <w:p w14:paraId="7F75B921" w14:textId="7A77EDFE" w:rsidR="002A63C6" w:rsidRDefault="00D13D19">
      <w:pPr>
        <w:tabs>
          <w:tab w:val="center" w:pos="4252"/>
          <w:tab w:val="right" w:pos="850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VI. </w:t>
      </w:r>
      <w:r>
        <w:rPr>
          <w:rFonts w:ascii="Palatino Linotype" w:eastAsia="Palatino Linotype" w:hAnsi="Palatino Linotype" w:cs="Palatino Linotype"/>
          <w:sz w:val="22"/>
          <w:szCs w:val="22"/>
        </w:rPr>
        <w:t xml:space="preserve">De las constancias que obran en el expediente electrónico </w:t>
      </w:r>
      <w:r w:rsidR="006C048C" w:rsidRPr="006C048C">
        <w:rPr>
          <w:rFonts w:ascii="Palatino Linotype" w:eastAsia="Palatino Linotype" w:hAnsi="Palatino Linotype" w:cs="Palatino Linotype"/>
          <w:sz w:val="22"/>
          <w:szCs w:val="22"/>
        </w:rPr>
        <w:t>de</w:t>
      </w:r>
      <w:r w:rsidR="006C048C" w:rsidRPr="006C048C">
        <w:rPr>
          <w:rFonts w:ascii="Palatino Linotype" w:eastAsia="Palatino Linotype" w:hAnsi="Palatino Linotype" w:cs="Palatino Linotype"/>
          <w:b/>
          <w:bCs/>
          <w:sz w:val="22"/>
          <w:szCs w:val="22"/>
        </w:rPr>
        <w:t xml:space="preserve"> EL SAIMEX</w:t>
      </w:r>
      <w:r>
        <w:rPr>
          <w:rFonts w:ascii="Palatino Linotype" w:eastAsia="Palatino Linotype" w:hAnsi="Palatino Linotype" w:cs="Palatino Linotype"/>
          <w:sz w:val="22"/>
          <w:szCs w:val="22"/>
        </w:rPr>
        <w:t xml:space="preserve">, se advierte que en fecha trece de enero de dos mil veintidós,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Palatino Linotype" w:hAnsi="Palatino Linotype" w:cs="Palatino Linotype"/>
          <w:b/>
          <w:sz w:val="22"/>
          <w:szCs w:val="22"/>
        </w:rPr>
        <w:t xml:space="preserve">EL SUJETO OBLIGADO </w:t>
      </w:r>
      <w:r>
        <w:rPr>
          <w:rFonts w:ascii="Palatino Linotype" w:eastAsia="Palatino Linotype" w:hAnsi="Palatino Linotype" w:cs="Palatino Linotype"/>
          <w:sz w:val="22"/>
          <w:szCs w:val="22"/>
        </w:rPr>
        <w:t>rindiera el correspondiente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Informe Justificado.</w:t>
      </w:r>
    </w:p>
    <w:p w14:paraId="624C1EF2" w14:textId="77777777" w:rsidR="002A63C6" w:rsidRDefault="002A63C6">
      <w:pPr>
        <w:tabs>
          <w:tab w:val="center" w:pos="4252"/>
          <w:tab w:val="right" w:pos="8504"/>
        </w:tabs>
        <w:spacing w:line="360" w:lineRule="auto"/>
        <w:jc w:val="both"/>
        <w:rPr>
          <w:rFonts w:ascii="Palatino Linotype" w:eastAsia="Palatino Linotype" w:hAnsi="Palatino Linotype" w:cs="Palatino Linotype"/>
          <w:sz w:val="22"/>
          <w:szCs w:val="22"/>
        </w:rPr>
      </w:pPr>
    </w:p>
    <w:p w14:paraId="1D4C22C7" w14:textId="4944D98B" w:rsidR="002A63C6" w:rsidRDefault="00D13D19">
      <w:pPr>
        <w:tabs>
          <w:tab w:val="center" w:pos="4252"/>
          <w:tab w:val="right" w:pos="8504"/>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VII. </w:t>
      </w:r>
      <w:r>
        <w:rPr>
          <w:rFonts w:ascii="Palatino Linotype" w:eastAsia="Palatino Linotype" w:hAnsi="Palatino Linotype" w:cs="Palatino Linotype"/>
          <w:sz w:val="22"/>
          <w:szCs w:val="22"/>
        </w:rPr>
        <w:t xml:space="preserve">En cumplimiento a lo anterior, de las constancias del expediente electrónico </w:t>
      </w:r>
      <w:r w:rsidR="006C048C" w:rsidRPr="006C048C">
        <w:rPr>
          <w:rFonts w:ascii="Palatino Linotype" w:eastAsia="Palatino Linotype" w:hAnsi="Palatino Linotype" w:cs="Palatino Linotype"/>
          <w:sz w:val="22"/>
          <w:szCs w:val="22"/>
        </w:rPr>
        <w:t>de</w:t>
      </w:r>
      <w:r w:rsidR="006C048C" w:rsidRPr="006C048C">
        <w:rPr>
          <w:rFonts w:ascii="Palatino Linotype" w:eastAsia="Palatino Linotype" w:hAnsi="Palatino Linotype" w:cs="Palatino Linotype"/>
          <w:b/>
          <w:bCs/>
          <w:sz w:val="22"/>
          <w:szCs w:val="22"/>
        </w:rPr>
        <w:t xml:space="preserve"> EL SAIMEX</w:t>
      </w:r>
      <w:r>
        <w:rPr>
          <w:rFonts w:ascii="Palatino Linotype" w:eastAsia="Palatino Linotype" w:hAnsi="Palatino Linotype" w:cs="Palatino Linotype"/>
          <w:sz w:val="22"/>
          <w:szCs w:val="22"/>
        </w:rPr>
        <w:t>, el particular no realizó sus manifestaciones conforme a derecho le correspondían; por otra parte, </w:t>
      </w:r>
      <w:r>
        <w:rPr>
          <w:rFonts w:ascii="Palatino Linotype" w:eastAsia="Palatino Linotype" w:hAnsi="Palatino Linotype" w:cs="Palatino Linotype"/>
          <w:b/>
          <w:sz w:val="22"/>
          <w:szCs w:val="22"/>
        </w:rPr>
        <w:t xml:space="preserve">EL SUJETO OBLIGADO </w:t>
      </w:r>
      <w:r>
        <w:rPr>
          <w:rFonts w:ascii="Palatino Linotype" w:eastAsia="Palatino Linotype" w:hAnsi="Palatino Linotype" w:cs="Palatino Linotype"/>
          <w:sz w:val="22"/>
          <w:szCs w:val="22"/>
        </w:rPr>
        <w:t xml:space="preserve">rindió su Informe Justificado, en fecha veinticuatro de enero de dos mil veintidós, mismo que fue puesto a disposición </w:t>
      </w:r>
      <w:r w:rsidR="006C048C" w:rsidRPr="006C048C">
        <w:rPr>
          <w:rFonts w:ascii="Palatino Linotype" w:eastAsia="Palatino Linotype" w:hAnsi="Palatino Linotype" w:cs="Palatino Linotype"/>
          <w:b/>
          <w:bCs/>
          <w:sz w:val="22"/>
          <w:szCs w:val="22"/>
        </w:rPr>
        <w:t>de EL RECURRENTE</w:t>
      </w:r>
      <w:r>
        <w:rPr>
          <w:rFonts w:ascii="Palatino Linotype" w:eastAsia="Palatino Linotype" w:hAnsi="Palatino Linotype" w:cs="Palatino Linotype"/>
          <w:sz w:val="22"/>
          <w:szCs w:val="22"/>
        </w:rPr>
        <w:t xml:space="preserve"> en fecha primero de febrero de dos mil veintidós y el cual consta de 5 fojas  en donde el Titular de la Unidad de Transparencia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ratific</w:t>
      </w:r>
      <w:r w:rsidR="006C048C">
        <w:rPr>
          <w:rFonts w:ascii="Palatino Linotype" w:eastAsia="Palatino Linotype" w:hAnsi="Palatino Linotype" w:cs="Palatino Linotype"/>
          <w:sz w:val="22"/>
          <w:szCs w:val="22"/>
        </w:rPr>
        <w:t>ó</w:t>
      </w:r>
      <w:r>
        <w:rPr>
          <w:rFonts w:ascii="Palatino Linotype" w:eastAsia="Palatino Linotype" w:hAnsi="Palatino Linotype" w:cs="Palatino Linotype"/>
          <w:sz w:val="22"/>
          <w:szCs w:val="22"/>
        </w:rPr>
        <w:t xml:space="preserve"> </w:t>
      </w:r>
      <w:r w:rsidR="006D508B">
        <w:rPr>
          <w:rFonts w:ascii="Palatino Linotype" w:eastAsia="Palatino Linotype" w:hAnsi="Palatino Linotype" w:cs="Palatino Linotype"/>
          <w:sz w:val="22"/>
          <w:szCs w:val="22"/>
        </w:rPr>
        <w:t>la</w:t>
      </w:r>
      <w:r>
        <w:rPr>
          <w:rFonts w:ascii="Palatino Linotype" w:eastAsia="Palatino Linotype" w:hAnsi="Palatino Linotype" w:cs="Palatino Linotype"/>
          <w:sz w:val="22"/>
          <w:szCs w:val="22"/>
        </w:rPr>
        <w:t xml:space="preserve"> respuesta </w:t>
      </w:r>
      <w:r w:rsidR="006D508B">
        <w:rPr>
          <w:rFonts w:ascii="Palatino Linotype" w:eastAsia="Palatino Linotype" w:hAnsi="Palatino Linotype" w:cs="Palatino Linotype"/>
          <w:sz w:val="22"/>
          <w:szCs w:val="22"/>
        </w:rPr>
        <w:t>d</w:t>
      </w:r>
      <w:r>
        <w:rPr>
          <w:rFonts w:ascii="Palatino Linotype" w:eastAsia="Palatino Linotype" w:hAnsi="Palatino Linotype" w:cs="Palatino Linotype"/>
          <w:sz w:val="22"/>
          <w:szCs w:val="22"/>
        </w:rPr>
        <w:t xml:space="preserve">el </w:t>
      </w:r>
      <w:r w:rsidR="006D508B">
        <w:rPr>
          <w:rFonts w:ascii="Palatino Linotype" w:eastAsia="Palatino Linotype" w:hAnsi="Palatino Linotype" w:cs="Palatino Linotype"/>
          <w:sz w:val="22"/>
          <w:szCs w:val="22"/>
        </w:rPr>
        <w:t xml:space="preserve">Servidor Público Habilitado </w:t>
      </w:r>
      <w:r>
        <w:rPr>
          <w:rFonts w:ascii="Palatino Linotype" w:eastAsia="Palatino Linotype" w:hAnsi="Palatino Linotype" w:cs="Palatino Linotype"/>
          <w:sz w:val="22"/>
          <w:szCs w:val="22"/>
        </w:rPr>
        <w:t xml:space="preserve">de la Dirección de Administración y Desarrollo de Personal, </w:t>
      </w:r>
      <w:r w:rsidR="006D508B">
        <w:rPr>
          <w:rFonts w:ascii="Palatino Linotype" w:eastAsia="Palatino Linotype" w:hAnsi="Palatino Linotype" w:cs="Palatino Linotype"/>
          <w:sz w:val="22"/>
          <w:szCs w:val="22"/>
        </w:rPr>
        <w:t xml:space="preserve">quién refirió </w:t>
      </w:r>
      <w:r>
        <w:rPr>
          <w:rFonts w:ascii="Palatino Linotype" w:eastAsia="Palatino Linotype" w:hAnsi="Palatino Linotype" w:cs="Palatino Linotype"/>
          <w:sz w:val="22"/>
          <w:szCs w:val="22"/>
        </w:rPr>
        <w:t xml:space="preserve">entregó la información en tiempo y forma, asimismo, adjuntó los archivos que anexó en su respuesta primigenia, donde el Jefe de Departamento de Asuntos Laborales, manifestó no contar con personal comisionado en su departamento. </w:t>
      </w:r>
    </w:p>
    <w:p w14:paraId="0CDEDF3F"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D273B24"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VIII</w:t>
      </w:r>
      <w:r>
        <w:rPr>
          <w:rFonts w:ascii="Palatino Linotype" w:eastAsia="Palatino Linotype" w:hAnsi="Palatino Linotype" w:cs="Palatino Linotype"/>
          <w:sz w:val="22"/>
          <w:szCs w:val="22"/>
        </w:rPr>
        <w:t xml:space="preserve">. Una vez analizado el estado procesal que guardaba el expediente, en fecha once de febrero de dos mil veintidós, el </w:t>
      </w:r>
      <w:r>
        <w:rPr>
          <w:rFonts w:ascii="Palatino Linotype" w:eastAsia="Palatino Linotype" w:hAnsi="Palatino Linotype" w:cs="Palatino Linotype"/>
          <w:b/>
          <w:sz w:val="22"/>
          <w:szCs w:val="22"/>
        </w:rPr>
        <w:t xml:space="preserve">Comisionado Luis Gustavo Parra Noriega </w:t>
      </w:r>
      <w:r>
        <w:rPr>
          <w:rFonts w:ascii="Palatino Linotype" w:eastAsia="Palatino Linotype" w:hAnsi="Palatino Linotype" w:cs="Palatino Linotype"/>
          <w:sz w:val="22"/>
          <w:szCs w:val="22"/>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514CA51" w14:textId="77777777" w:rsidR="002A63C6" w:rsidRDefault="002A63C6">
      <w:pPr>
        <w:spacing w:line="360" w:lineRule="auto"/>
        <w:jc w:val="both"/>
        <w:rPr>
          <w:rFonts w:ascii="Palatino Linotype" w:eastAsia="Palatino Linotype" w:hAnsi="Palatino Linotype" w:cs="Palatino Linotype"/>
          <w:b/>
          <w:sz w:val="22"/>
          <w:szCs w:val="22"/>
        </w:rPr>
      </w:pPr>
    </w:p>
    <w:p w14:paraId="49A25107"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IX</w:t>
      </w:r>
      <w:r>
        <w:rPr>
          <w:rFonts w:ascii="Palatino Linotype" w:eastAsia="Palatino Linotype" w:hAnsi="Palatino Linotype" w:cs="Palatino Linotype"/>
          <w:sz w:val="22"/>
          <w:szCs w:val="22"/>
        </w:rPr>
        <w:t>. En fecha primero de marzo de dos mil veintidós, se notificó el acuerdo de ampliación de plazo para resolver el presente Recurso de Revisión, previsto en el artículo 181, tercer párrafo de la Ley de Transparencia y Acceso a la Información Pública del Estado de México y Municipios; y,</w:t>
      </w:r>
    </w:p>
    <w:p w14:paraId="730B5DF2" w14:textId="77777777" w:rsidR="002A63C6" w:rsidRDefault="002A63C6">
      <w:pPr>
        <w:spacing w:line="360" w:lineRule="auto"/>
        <w:jc w:val="both"/>
        <w:rPr>
          <w:rFonts w:ascii="Palatino Linotype" w:eastAsia="Palatino Linotype" w:hAnsi="Palatino Linotype" w:cs="Palatino Linotype"/>
          <w:sz w:val="22"/>
          <w:szCs w:val="22"/>
        </w:rPr>
      </w:pPr>
    </w:p>
    <w:p w14:paraId="161FF60B" w14:textId="77777777" w:rsidR="002A63C6" w:rsidRDefault="00D13D19">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632EB17A" w14:textId="77777777" w:rsidR="002A63C6" w:rsidRDefault="002A63C6">
      <w:pPr>
        <w:spacing w:line="360" w:lineRule="auto"/>
        <w:jc w:val="center"/>
        <w:rPr>
          <w:rFonts w:ascii="Palatino Linotype" w:eastAsia="Palatino Linotype" w:hAnsi="Palatino Linotype" w:cs="Palatino Linotype"/>
          <w:b/>
          <w:sz w:val="26"/>
          <w:szCs w:val="26"/>
        </w:rPr>
      </w:pPr>
    </w:p>
    <w:p w14:paraId="115B78FA" w14:textId="77777777" w:rsidR="002A63C6" w:rsidRDefault="002A63C6">
      <w:pPr>
        <w:spacing w:line="360" w:lineRule="auto"/>
        <w:jc w:val="center"/>
        <w:rPr>
          <w:rFonts w:ascii="Palatino Linotype" w:eastAsia="Palatino Linotype" w:hAnsi="Palatino Linotype" w:cs="Palatino Linotype"/>
          <w:b/>
          <w:sz w:val="28"/>
          <w:szCs w:val="28"/>
        </w:rPr>
      </w:pPr>
    </w:p>
    <w:p w14:paraId="7D3CD89F" w14:textId="78AB2872" w:rsidR="002A63C6" w:rsidRDefault="00D13D19">
      <w:pPr>
        <w:widowControl w:val="0"/>
        <w:tabs>
          <w:tab w:val="left" w:pos="1701"/>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PRIMERO.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14:paraId="593B84E4" w14:textId="77777777" w:rsidR="006D508B" w:rsidRDefault="006D508B">
      <w:pPr>
        <w:widowControl w:val="0"/>
        <w:tabs>
          <w:tab w:val="left" w:pos="1701"/>
        </w:tabs>
        <w:spacing w:line="360" w:lineRule="auto"/>
        <w:jc w:val="both"/>
        <w:rPr>
          <w:rFonts w:ascii="Palatino Linotype" w:eastAsia="Palatino Linotype" w:hAnsi="Palatino Linotype" w:cs="Palatino Linotype"/>
        </w:rPr>
      </w:pPr>
    </w:p>
    <w:p w14:paraId="224F48BF" w14:textId="77777777" w:rsidR="002A63C6" w:rsidRDefault="00D13D19">
      <w:pPr>
        <w:widowControl w:val="0"/>
        <w:tabs>
          <w:tab w:val="left" w:pos="1701"/>
        </w:tabs>
        <w:spacing w:line="360" w:lineRule="auto"/>
        <w:jc w:val="both"/>
        <w:rPr>
          <w:rFonts w:ascii="Palatino Linotype" w:eastAsia="Palatino Linotype" w:hAnsi="Palatino Linotype" w:cs="Palatino Linotype"/>
          <w:sz w:val="22"/>
          <w:szCs w:val="22"/>
        </w:rPr>
      </w:pPr>
      <w:bookmarkStart w:id="2" w:name="_heading=h.3znysh7" w:colFirst="0" w:colLast="0"/>
      <w:bookmarkEnd w:id="2"/>
      <w:r>
        <w:rPr>
          <w:rFonts w:ascii="Palatino Linotype" w:eastAsia="Palatino Linotype" w:hAnsi="Palatino Linotype" w:cs="Palatino Linotype"/>
          <w:sz w:val="22"/>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6A679F6" w14:textId="77777777" w:rsidR="002A63C6" w:rsidRDefault="002A63C6">
      <w:pPr>
        <w:widowControl w:val="0"/>
        <w:tabs>
          <w:tab w:val="left" w:pos="1701"/>
          <w:tab w:val="left" w:pos="2977"/>
        </w:tabs>
        <w:spacing w:line="360" w:lineRule="auto"/>
        <w:jc w:val="both"/>
        <w:rPr>
          <w:rFonts w:ascii="Palatino Linotype" w:eastAsia="Palatino Linotype" w:hAnsi="Palatino Linotype" w:cs="Palatino Linotype"/>
          <w:sz w:val="22"/>
          <w:szCs w:val="22"/>
        </w:rPr>
      </w:pPr>
    </w:p>
    <w:p w14:paraId="4BA1C382" w14:textId="5B65F2D2" w:rsidR="002A63C6" w:rsidRDefault="00D13D19">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6"/>
          <w:szCs w:val="26"/>
        </w:rPr>
        <w:t>SEGUNDO</w:t>
      </w:r>
      <w:r>
        <w:rPr>
          <w:rFonts w:ascii="Palatino Linotype" w:eastAsia="Palatino Linotype" w:hAnsi="Palatino Linotype" w:cs="Palatino Linotype"/>
          <w:b/>
          <w:sz w:val="22"/>
          <w:szCs w:val="22"/>
        </w:rPr>
        <w:t xml:space="preserve">. Interés. </w:t>
      </w:r>
    </w:p>
    <w:p w14:paraId="712153E1" w14:textId="77777777" w:rsidR="006D508B" w:rsidRDefault="006D508B">
      <w:pPr>
        <w:spacing w:line="360" w:lineRule="auto"/>
        <w:jc w:val="both"/>
        <w:rPr>
          <w:rFonts w:ascii="Palatino Linotype" w:eastAsia="Palatino Linotype" w:hAnsi="Palatino Linotype" w:cs="Palatino Linotype"/>
          <w:b/>
          <w:sz w:val="22"/>
          <w:szCs w:val="22"/>
        </w:rPr>
      </w:pPr>
    </w:p>
    <w:p w14:paraId="17D636B5" w14:textId="5D452AE1" w:rsidR="002A63C6" w:rsidRPr="006D508B" w:rsidRDefault="00D13D19">
      <w:pPr>
        <w:spacing w:line="360" w:lineRule="auto"/>
        <w:jc w:val="both"/>
        <w:rPr>
          <w:rFonts w:ascii="Palatino Linotype" w:eastAsia="Palatino Linotype" w:hAnsi="Palatino Linotype" w:cs="Palatino Linotype"/>
          <w:bCs/>
          <w:sz w:val="22"/>
          <w:szCs w:val="22"/>
        </w:rPr>
      </w:pPr>
      <w:r>
        <w:rPr>
          <w:rFonts w:ascii="Palatino Linotype" w:eastAsia="Palatino Linotype" w:hAnsi="Palatino Linotype" w:cs="Palatino Linotype"/>
          <w:sz w:val="22"/>
          <w:szCs w:val="22"/>
        </w:rPr>
        <w:t xml:space="preserve">El recurso de revisión fue interpuesto por parte legítima, en atención a que se presentó por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quien </w:t>
      </w:r>
      <w:r w:rsidR="006D508B">
        <w:rPr>
          <w:rFonts w:ascii="Palatino Linotype" w:eastAsia="Palatino Linotype" w:hAnsi="Palatino Linotype" w:cs="Palatino Linotype"/>
          <w:sz w:val="22"/>
          <w:szCs w:val="22"/>
        </w:rPr>
        <w:t>s presume es</w:t>
      </w:r>
      <w:r>
        <w:rPr>
          <w:rFonts w:ascii="Palatino Linotype" w:eastAsia="Palatino Linotype" w:hAnsi="Palatino Linotype" w:cs="Palatino Linotype"/>
          <w:sz w:val="22"/>
          <w:szCs w:val="22"/>
        </w:rPr>
        <w:t xml:space="preserve"> la misma persona que formuló la solicitud de acceso a la información pública </w:t>
      </w:r>
      <w:r w:rsidR="006D508B">
        <w:rPr>
          <w:rFonts w:ascii="Palatino Linotype" w:eastAsia="Palatino Linotype" w:hAnsi="Palatino Linotype" w:cs="Palatino Linotype"/>
          <w:b/>
          <w:bCs/>
          <w:sz w:val="22"/>
          <w:szCs w:val="22"/>
        </w:rPr>
        <w:t>EL</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SUJETO OBLIGADO</w:t>
      </w:r>
      <w:r w:rsidR="006D508B">
        <w:rPr>
          <w:rFonts w:ascii="Palatino Linotype" w:eastAsia="Palatino Linotype" w:hAnsi="Palatino Linotype" w:cs="Palatino Linotype"/>
          <w:b/>
          <w:sz w:val="22"/>
          <w:szCs w:val="22"/>
        </w:rPr>
        <w:t xml:space="preserve">, </w:t>
      </w:r>
      <w:r w:rsidR="006D508B" w:rsidRPr="006D508B">
        <w:rPr>
          <w:rFonts w:ascii="Palatino Linotype" w:eastAsia="Palatino Linotype" w:hAnsi="Palatino Linotype" w:cs="Palatino Linotype"/>
          <w:bCs/>
          <w:sz w:val="22"/>
          <w:szCs w:val="22"/>
        </w:rPr>
        <w:t>toda vez que las actuaciones se hicieron desde la misma cuenta que requiere para su utilización usuario y contraseña</w:t>
      </w:r>
      <w:r w:rsidRPr="006D508B">
        <w:rPr>
          <w:rFonts w:ascii="Palatino Linotype" w:eastAsia="Palatino Linotype" w:hAnsi="Palatino Linotype" w:cs="Palatino Linotype"/>
          <w:bCs/>
          <w:sz w:val="22"/>
          <w:szCs w:val="22"/>
        </w:rPr>
        <w:t>.</w:t>
      </w:r>
    </w:p>
    <w:p w14:paraId="0FFD877D" w14:textId="77777777" w:rsidR="002A63C6" w:rsidRDefault="002A63C6">
      <w:pPr>
        <w:tabs>
          <w:tab w:val="center" w:pos="4252"/>
          <w:tab w:val="right" w:pos="8504"/>
        </w:tabs>
        <w:spacing w:line="360" w:lineRule="auto"/>
        <w:ind w:left="-57"/>
        <w:jc w:val="both"/>
        <w:rPr>
          <w:rFonts w:ascii="Palatino Linotype" w:eastAsia="Palatino Linotype" w:hAnsi="Palatino Linotype" w:cs="Palatino Linotype"/>
          <w:b/>
          <w:sz w:val="26"/>
          <w:szCs w:val="26"/>
        </w:rPr>
      </w:pPr>
    </w:p>
    <w:p w14:paraId="0C436FB3" w14:textId="77777777" w:rsidR="002A63C6" w:rsidRDefault="00D13D19">
      <w:pPr>
        <w:tabs>
          <w:tab w:val="center" w:pos="4252"/>
          <w:tab w:val="right" w:pos="8504"/>
        </w:tabs>
        <w:spacing w:line="360" w:lineRule="auto"/>
        <w:ind w:left="-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rPr>
        <w:t>TERCERO.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color w:val="000000"/>
          <w:sz w:val="22"/>
          <w:szCs w:val="22"/>
        </w:rPr>
        <w:t>Oportunidad</w:t>
      </w:r>
      <w:r>
        <w:rPr>
          <w:rFonts w:ascii="Palatino Linotype" w:eastAsia="Palatino Linotype" w:hAnsi="Palatino Linotype" w:cs="Palatino Linotype"/>
          <w:color w:val="000000"/>
          <w:sz w:val="22"/>
          <w:szCs w:val="22"/>
        </w:rPr>
        <w:t xml:space="preserve">. </w:t>
      </w:r>
    </w:p>
    <w:p w14:paraId="1220DCBA" w14:textId="77777777" w:rsidR="002A63C6" w:rsidRDefault="00D13D1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El recurso de revisión fue interpuesto dentro del plazo de quince días hábiles, contados a partir del día siguiente al que </w:t>
      </w:r>
      <w:r>
        <w:rPr>
          <w:rFonts w:ascii="Palatino Linotype" w:eastAsia="Palatino Linotype" w:hAnsi="Palatino Linotype" w:cs="Palatino Linotype"/>
          <w:b/>
          <w:color w:val="000000"/>
          <w:sz w:val="22"/>
          <w:szCs w:val="22"/>
        </w:rPr>
        <w:t xml:space="preserve">EL RECURRENTE </w:t>
      </w:r>
      <w:r>
        <w:rPr>
          <w:rFonts w:ascii="Palatino Linotype" w:eastAsia="Palatino Linotype" w:hAnsi="Palatino Linotype" w:cs="Palatino Linotype"/>
          <w:color w:val="000000"/>
          <w:sz w:val="22"/>
          <w:szCs w:val="22"/>
        </w:rPr>
        <w:t>tuvo conocimiento de la respuesta impugnada; tal y como, lo prevé el artículo 178 de la Ley de Transparencia y Acceso a la Información Pública del Estado de México y Municipios, que establece:</w:t>
      </w:r>
    </w:p>
    <w:p w14:paraId="11C095FA" w14:textId="77777777" w:rsidR="002A63C6" w:rsidRDefault="002A63C6">
      <w:pPr>
        <w:spacing w:line="360" w:lineRule="auto"/>
        <w:ind w:left="720" w:right="709"/>
        <w:jc w:val="both"/>
        <w:rPr>
          <w:rFonts w:ascii="Palatino Linotype" w:eastAsia="Palatino Linotype" w:hAnsi="Palatino Linotype" w:cs="Palatino Linotype"/>
          <w:i/>
          <w:sz w:val="22"/>
          <w:szCs w:val="22"/>
        </w:rPr>
      </w:pPr>
    </w:p>
    <w:p w14:paraId="24465976" w14:textId="77777777" w:rsidR="002A63C6" w:rsidRDefault="00D13D19">
      <w:pPr>
        <w:spacing w:line="360" w:lineRule="auto"/>
        <w:ind w:left="851"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Artículo 178.</w:t>
      </w:r>
      <w:r>
        <w:rPr>
          <w:rFonts w:ascii="Palatino Linotype" w:eastAsia="Palatino Linotype" w:hAnsi="Palatino Linotype" w:cs="Palatino Linotype"/>
          <w:i/>
          <w:sz w:val="20"/>
          <w:szCs w:val="2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9E2BBD7" w14:textId="77777777" w:rsidR="002A63C6" w:rsidRDefault="002A63C6">
      <w:pPr>
        <w:spacing w:line="360" w:lineRule="auto"/>
        <w:ind w:left="851" w:right="899"/>
        <w:jc w:val="both"/>
        <w:rPr>
          <w:rFonts w:ascii="Palatino Linotype" w:eastAsia="Palatino Linotype" w:hAnsi="Palatino Linotype" w:cs="Palatino Linotype"/>
          <w:i/>
          <w:sz w:val="20"/>
          <w:szCs w:val="20"/>
        </w:rPr>
      </w:pPr>
    </w:p>
    <w:p w14:paraId="4A4CF4E1" w14:textId="3AE5AF77" w:rsidR="002A63C6" w:rsidRDefault="00D13D19">
      <w:pPr>
        <w:spacing w:line="360" w:lineRule="auto"/>
        <w:ind w:left="851"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A falta de respuesta </w:t>
      </w:r>
      <w:r w:rsidR="006D508B" w:rsidRPr="006D508B">
        <w:rPr>
          <w:rFonts w:ascii="Palatino Linotype" w:eastAsia="Palatino Linotype" w:hAnsi="Palatino Linotype" w:cs="Palatino Linotype"/>
          <w:b/>
          <w:bCs/>
          <w:i/>
          <w:sz w:val="20"/>
          <w:szCs w:val="20"/>
        </w:rPr>
        <w:t>de EL SUJETO OBLIGADO</w:t>
      </w:r>
      <w:r>
        <w:rPr>
          <w:rFonts w:ascii="Palatino Linotype" w:eastAsia="Palatino Linotype" w:hAnsi="Palatino Linotype" w:cs="Palatino Linotype"/>
          <w:i/>
          <w:sz w:val="20"/>
          <w:szCs w:val="20"/>
        </w:rPr>
        <w:t>, dentro de los plazos establecidos en esta Ley, a una solicitud de acceso a la información pública, el recurso podrá ser interpuesto en cualquier momento, acompañado con el documento que pruebe la fecha en que presentó la solicitud.</w:t>
      </w:r>
    </w:p>
    <w:p w14:paraId="055B4A69" w14:textId="77777777" w:rsidR="002A63C6" w:rsidRDefault="002A63C6">
      <w:pPr>
        <w:spacing w:line="360" w:lineRule="auto"/>
        <w:ind w:left="851" w:right="899"/>
        <w:jc w:val="both"/>
        <w:rPr>
          <w:rFonts w:ascii="Palatino Linotype" w:eastAsia="Palatino Linotype" w:hAnsi="Palatino Linotype" w:cs="Palatino Linotype"/>
          <w:i/>
          <w:sz w:val="20"/>
          <w:szCs w:val="20"/>
        </w:rPr>
      </w:pPr>
    </w:p>
    <w:p w14:paraId="1A425C7D" w14:textId="77777777" w:rsidR="002A63C6" w:rsidRDefault="00D13D19">
      <w:pPr>
        <w:spacing w:line="360" w:lineRule="auto"/>
        <w:ind w:left="851"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el caso de que se interponga ante la Unidad de Transparencia, ésta deberá remitir el recurso de revisión al Instituto a más tardar al día siguiente de haberlo recibido.”</w:t>
      </w:r>
    </w:p>
    <w:p w14:paraId="7EE2DFAE" w14:textId="77777777" w:rsidR="002A63C6" w:rsidRDefault="002A63C6">
      <w:pPr>
        <w:spacing w:line="360" w:lineRule="auto"/>
        <w:ind w:left="720" w:right="709"/>
        <w:jc w:val="both"/>
        <w:rPr>
          <w:rFonts w:ascii="Palatino Linotype" w:eastAsia="Palatino Linotype" w:hAnsi="Palatino Linotype" w:cs="Palatino Linotype"/>
          <w:i/>
          <w:sz w:val="22"/>
          <w:szCs w:val="22"/>
        </w:rPr>
      </w:pPr>
    </w:p>
    <w:p w14:paraId="60ABFFDC" w14:textId="77777777" w:rsidR="002A63C6" w:rsidRDefault="00D13D19">
      <w:pPr>
        <w:spacing w:line="360" w:lineRule="auto"/>
        <w:jc w:val="both"/>
        <w:rPr>
          <w:rFonts w:ascii="Palatino Linotype" w:eastAsia="Palatino Linotype" w:hAnsi="Palatino Linotype" w:cs="Palatino Linotype"/>
          <w:sz w:val="22"/>
          <w:szCs w:val="22"/>
        </w:rPr>
      </w:pPr>
      <w:bookmarkStart w:id="3" w:name="_heading=h.2et92p0" w:colFirst="0" w:colLast="0"/>
      <w:bookmarkEnd w:id="3"/>
      <w:r>
        <w:rPr>
          <w:rFonts w:ascii="Palatino Linotype" w:eastAsia="Palatino Linotype" w:hAnsi="Palatino Linotype" w:cs="Palatino Linotype"/>
          <w:sz w:val="22"/>
          <w:szCs w:val="22"/>
        </w:rPr>
        <w:t xml:space="preserve">En esa tesitura, atendiendo a que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notificó la respuesta a la solicitud de acceso a la información pública el día</w:t>
      </w:r>
      <w:r>
        <w:rPr>
          <w:rFonts w:ascii="Palatino Linotype" w:eastAsia="Palatino Linotype" w:hAnsi="Palatino Linotype" w:cs="Palatino Linotype"/>
          <w:b/>
          <w:sz w:val="22"/>
          <w:szCs w:val="22"/>
        </w:rPr>
        <w:t xml:space="preserve"> diez de enero de dos mil veintidós</w:t>
      </w:r>
      <w:r>
        <w:rPr>
          <w:rFonts w:ascii="Palatino Linotype" w:eastAsia="Palatino Linotype" w:hAnsi="Palatino Linotype" w:cs="Palatino Linotype"/>
          <w:sz w:val="22"/>
          <w:szCs w:val="22"/>
        </w:rPr>
        <w:t>; así, el plazo de quince días hábiles que el artículo 178 de la Ley de la materia otorga al</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para presentar el respectivo recurso de revisión, transcurrió del </w:t>
      </w:r>
      <w:r>
        <w:rPr>
          <w:rFonts w:ascii="Palatino Linotype" w:eastAsia="Palatino Linotype" w:hAnsi="Palatino Linotype" w:cs="Palatino Linotype"/>
          <w:b/>
          <w:sz w:val="22"/>
          <w:szCs w:val="22"/>
        </w:rPr>
        <w:t xml:space="preserve">once al treinta y uno de dos mil veintidós, </w:t>
      </w:r>
      <w:r>
        <w:rPr>
          <w:rFonts w:ascii="Palatino Linotype" w:eastAsia="Palatino Linotype" w:hAnsi="Palatino Linotype" w:cs="Palatino Linotype"/>
          <w:sz w:val="22"/>
          <w:szCs w:val="22"/>
        </w:rPr>
        <w:t xml:space="preserve">sin contemplar en el cómputo los días quince, dieciséis, veintidós, veintitrés, veintinueve y treinta  de enero de dos mil veintidós por corresponder a sábados y domingos, considerados como días inhábiles, en términos del artículo 3, fracción X de la Ley de Transparencia y Acceso a la Información Pública del Estado de México y Municipios; </w:t>
      </w:r>
    </w:p>
    <w:p w14:paraId="41837942" w14:textId="77777777" w:rsidR="002A63C6" w:rsidRDefault="002A63C6">
      <w:pPr>
        <w:spacing w:line="360" w:lineRule="auto"/>
        <w:jc w:val="both"/>
        <w:rPr>
          <w:rFonts w:ascii="Palatino Linotype" w:eastAsia="Palatino Linotype" w:hAnsi="Palatino Linotype" w:cs="Palatino Linotype"/>
          <w:sz w:val="22"/>
          <w:szCs w:val="22"/>
        </w:rPr>
      </w:pPr>
      <w:bookmarkStart w:id="4" w:name="_heading=h.imb8quyfyvlz" w:colFirst="0" w:colLast="0"/>
      <w:bookmarkEnd w:id="4"/>
    </w:p>
    <w:p w14:paraId="6BCFA6C0" w14:textId="77777777" w:rsidR="002A63C6" w:rsidRDefault="00D13D19">
      <w:pPr>
        <w:spacing w:line="360" w:lineRule="auto"/>
        <w:ind w:left="-5" w:hanging="1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tenor, si el recurso de revisión que nos ocupa, se interpuso el</w:t>
      </w:r>
      <w:r>
        <w:rPr>
          <w:rFonts w:ascii="Palatino Linotype" w:eastAsia="Palatino Linotype" w:hAnsi="Palatino Linotype" w:cs="Palatino Linotype"/>
          <w:b/>
          <w:sz w:val="22"/>
          <w:szCs w:val="22"/>
        </w:rPr>
        <w:t xml:space="preserve"> doce de enero de dos mil veintidós,</w:t>
      </w:r>
      <w:r>
        <w:rPr>
          <w:rFonts w:ascii="Palatino Linotype" w:eastAsia="Palatino Linotype" w:hAnsi="Palatino Linotype" w:cs="Palatino Linotype"/>
          <w:sz w:val="22"/>
          <w:szCs w:val="22"/>
        </w:rPr>
        <w:t xml:space="preserve"> éste se encuentra dentro de los márgenes temporales previstos en el citado precepto legal y, por tanto, se considera oportuno.</w:t>
      </w:r>
    </w:p>
    <w:p w14:paraId="183D026C" w14:textId="77777777" w:rsidR="002A63C6" w:rsidRDefault="002A63C6">
      <w:pPr>
        <w:spacing w:line="360" w:lineRule="auto"/>
        <w:ind w:left="-5" w:hanging="10"/>
        <w:jc w:val="both"/>
        <w:rPr>
          <w:rFonts w:ascii="Palatino Linotype" w:eastAsia="Palatino Linotype" w:hAnsi="Palatino Linotype" w:cs="Palatino Linotype"/>
        </w:rPr>
      </w:pPr>
    </w:p>
    <w:p w14:paraId="7792A7A6" w14:textId="77777777" w:rsidR="002A63C6" w:rsidRDefault="00D13D19">
      <w:pPr>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2"/>
          <w:szCs w:val="22"/>
        </w:rPr>
        <w:t xml:space="preserve"> Procedibilidad. </w:t>
      </w:r>
    </w:p>
    <w:p w14:paraId="503670E8" w14:textId="77777777"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39659CF" w14:textId="77777777" w:rsidR="002A63C6" w:rsidRDefault="002A63C6">
      <w:pPr>
        <w:spacing w:line="360" w:lineRule="auto"/>
        <w:ind w:right="49"/>
        <w:jc w:val="both"/>
        <w:rPr>
          <w:rFonts w:ascii="Palatino Linotype" w:eastAsia="Palatino Linotype" w:hAnsi="Palatino Linotype" w:cs="Palatino Linotype"/>
          <w:sz w:val="8"/>
          <w:szCs w:val="8"/>
        </w:rPr>
      </w:pPr>
    </w:p>
    <w:p w14:paraId="4A0038C2" w14:textId="77777777" w:rsidR="002A63C6" w:rsidRDefault="00D13D19">
      <w:pPr>
        <w:tabs>
          <w:tab w:val="left" w:pos="851"/>
        </w:tabs>
        <w:spacing w:line="360" w:lineRule="auto"/>
        <w:ind w:left="851" w:right="901"/>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“Artículo 180. </w:t>
      </w:r>
      <w:r>
        <w:rPr>
          <w:rFonts w:ascii="Palatino Linotype" w:eastAsia="Palatino Linotype" w:hAnsi="Palatino Linotype" w:cs="Palatino Linotype"/>
          <w:i/>
          <w:sz w:val="20"/>
          <w:szCs w:val="20"/>
        </w:rPr>
        <w:t xml:space="preserve">El recurso </w:t>
      </w:r>
      <w:r>
        <w:rPr>
          <w:rFonts w:ascii="Palatino Linotype" w:eastAsia="Palatino Linotype" w:hAnsi="Palatino Linotype" w:cs="Palatino Linotype"/>
          <w:i/>
          <w:color w:val="222222"/>
          <w:sz w:val="20"/>
          <w:szCs w:val="20"/>
        </w:rPr>
        <w:t>de</w:t>
      </w:r>
      <w:r>
        <w:rPr>
          <w:rFonts w:ascii="Palatino Linotype" w:eastAsia="Palatino Linotype" w:hAnsi="Palatino Linotype" w:cs="Palatino Linotype"/>
          <w:i/>
          <w:sz w:val="20"/>
          <w:szCs w:val="20"/>
        </w:rPr>
        <w:t xml:space="preserve"> revisión contendrá:</w:t>
      </w:r>
      <w:r>
        <w:rPr>
          <w:rFonts w:ascii="Palatino Linotype" w:eastAsia="Palatino Linotype" w:hAnsi="Palatino Linotype" w:cs="Palatino Linotype"/>
          <w:b/>
          <w:i/>
          <w:sz w:val="20"/>
          <w:szCs w:val="20"/>
        </w:rPr>
        <w:t xml:space="preserve"> </w:t>
      </w:r>
    </w:p>
    <w:p w14:paraId="058E4D29" w14:textId="77777777" w:rsidR="002A63C6" w:rsidRDefault="00D13D19">
      <w:pPr>
        <w:tabs>
          <w:tab w:val="left" w:pos="851"/>
        </w:tabs>
        <w:spacing w:line="360" w:lineRule="auto"/>
        <w:ind w:left="851" w:right="901"/>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w:t>
      </w:r>
    </w:p>
    <w:p w14:paraId="3F32D9D6" w14:textId="77777777" w:rsidR="002A63C6" w:rsidRDefault="00D13D19">
      <w:pPr>
        <w:tabs>
          <w:tab w:val="left" w:pos="851"/>
        </w:tabs>
        <w:spacing w:line="360" w:lineRule="auto"/>
        <w:ind w:left="851" w:right="90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II. El nombre del solicitante </w:t>
      </w:r>
      <w:r>
        <w:rPr>
          <w:rFonts w:ascii="Palatino Linotype" w:eastAsia="Palatino Linotype" w:hAnsi="Palatino Linotype" w:cs="Palatino Linotype"/>
          <w:b/>
          <w:i/>
          <w:color w:val="222222"/>
          <w:sz w:val="20"/>
          <w:szCs w:val="20"/>
        </w:rPr>
        <w:t>que</w:t>
      </w:r>
      <w:r>
        <w:rPr>
          <w:rFonts w:ascii="Palatino Linotype" w:eastAsia="Palatino Linotype" w:hAnsi="Palatino Linotype" w:cs="Palatino Linotype"/>
          <w:b/>
          <w:i/>
          <w:sz w:val="20"/>
          <w:szCs w:val="20"/>
        </w:rPr>
        <w:t xml:space="preserve"> recurre </w:t>
      </w:r>
      <w:r>
        <w:rPr>
          <w:rFonts w:ascii="Palatino Linotype" w:eastAsia="Palatino Linotype" w:hAnsi="Palatino Linotype" w:cs="Palatino Linotype"/>
          <w:i/>
          <w:sz w:val="20"/>
          <w:szCs w:val="20"/>
        </w:rPr>
        <w:t>o de su representante y, en su caso, …</w:t>
      </w:r>
    </w:p>
    <w:p w14:paraId="1CDBCC92" w14:textId="77777777" w:rsidR="002A63C6" w:rsidRDefault="00D13D19">
      <w:pPr>
        <w:tabs>
          <w:tab w:val="left" w:pos="851"/>
        </w:tabs>
        <w:spacing w:line="360" w:lineRule="auto"/>
        <w:ind w:left="851" w:right="901"/>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En caso de </w:t>
      </w:r>
      <w:r>
        <w:rPr>
          <w:rFonts w:ascii="Palatino Linotype" w:eastAsia="Palatino Linotype" w:hAnsi="Palatino Linotype" w:cs="Palatino Linotype"/>
          <w:b/>
          <w:i/>
          <w:color w:val="222222"/>
          <w:sz w:val="20"/>
          <w:szCs w:val="20"/>
        </w:rPr>
        <w:t>que</w:t>
      </w:r>
      <w:r>
        <w:rPr>
          <w:rFonts w:ascii="Palatino Linotype" w:eastAsia="Palatino Linotype" w:hAnsi="Palatino Linotype" w:cs="Palatino Linotype"/>
          <w:b/>
          <w:i/>
          <w:sz w:val="20"/>
          <w:szCs w:val="20"/>
        </w:rPr>
        <w:t xml:space="preserve"> el recurso se interponga de manera electrónica no será indispensable que contengan los requisitos establecidos en las fracciones II</w:t>
      </w:r>
      <w:r>
        <w:rPr>
          <w:rFonts w:ascii="Palatino Linotype" w:eastAsia="Palatino Linotype" w:hAnsi="Palatino Linotype" w:cs="Palatino Linotype"/>
          <w:i/>
          <w:sz w:val="20"/>
          <w:szCs w:val="20"/>
        </w:rPr>
        <w:t>, IV, VII y VIII.</w:t>
      </w:r>
      <w:r>
        <w:rPr>
          <w:rFonts w:ascii="Palatino Linotype" w:eastAsia="Palatino Linotype" w:hAnsi="Palatino Linotype" w:cs="Palatino Linotype"/>
          <w:b/>
          <w:i/>
          <w:sz w:val="20"/>
          <w:szCs w:val="20"/>
        </w:rPr>
        <w:t>”</w:t>
      </w:r>
    </w:p>
    <w:p w14:paraId="3743D11C" w14:textId="77777777" w:rsidR="002A63C6" w:rsidRDefault="00D13D19">
      <w:pPr>
        <w:tabs>
          <w:tab w:val="left" w:pos="851"/>
        </w:tabs>
        <w:spacing w:line="360" w:lineRule="auto"/>
        <w:ind w:left="851" w:right="90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(Énfasis añadido)</w:t>
      </w:r>
    </w:p>
    <w:p w14:paraId="3FB9F15E" w14:textId="77777777" w:rsidR="002A63C6" w:rsidRDefault="002A63C6">
      <w:pPr>
        <w:tabs>
          <w:tab w:val="left" w:pos="851"/>
        </w:tabs>
        <w:spacing w:line="360" w:lineRule="auto"/>
        <w:ind w:right="901"/>
        <w:jc w:val="both"/>
        <w:rPr>
          <w:rFonts w:ascii="Palatino Linotype" w:eastAsia="Palatino Linotype" w:hAnsi="Palatino Linotype" w:cs="Palatino Linotype"/>
          <w:i/>
          <w:sz w:val="20"/>
          <w:szCs w:val="20"/>
        </w:rPr>
      </w:pPr>
    </w:p>
    <w:p w14:paraId="5B6D86F4"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así que, derivado que el recurso de revisión materia del presente asunto, se interpuso de manera electrónica, no es necesario que contenga determinados requisitos, entre ellos, el nombre</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por lo que, en el presente caso, al haber sido presentado el recurso de revisión 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dicho requisito resulta innecesario.</w:t>
      </w:r>
    </w:p>
    <w:p w14:paraId="13DF1662" w14:textId="77777777" w:rsidR="002A63C6" w:rsidRDefault="002A63C6">
      <w:pPr>
        <w:spacing w:line="360" w:lineRule="auto"/>
        <w:jc w:val="both"/>
        <w:rPr>
          <w:rFonts w:ascii="Palatino Linotype" w:eastAsia="Palatino Linotype" w:hAnsi="Palatino Linotype" w:cs="Palatino Linotype"/>
          <w:b/>
          <w:sz w:val="22"/>
          <w:szCs w:val="22"/>
        </w:rPr>
      </w:pPr>
    </w:p>
    <w:p w14:paraId="706A7BF9"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eastAsia="Palatino Linotype" w:hAnsi="Palatino Linotype" w:cs="Palatino Linotype"/>
          <w:b/>
          <w:sz w:val="22"/>
          <w:szCs w:val="22"/>
          <w:u w:val="single"/>
        </w:rPr>
        <w:t xml:space="preserve">el nombre no es un requisito </w:t>
      </w:r>
      <w:r>
        <w:rPr>
          <w:rFonts w:ascii="Palatino Linotype" w:eastAsia="Palatino Linotype" w:hAnsi="Palatino Linotype" w:cs="Palatino Linotype"/>
          <w:b/>
          <w:i/>
          <w:sz w:val="22"/>
          <w:szCs w:val="22"/>
          <w:u w:val="single"/>
        </w:rPr>
        <w:t>sine qua non</w:t>
      </w:r>
      <w:r>
        <w:rPr>
          <w:rFonts w:ascii="Palatino Linotype" w:eastAsia="Palatino Linotype" w:hAnsi="Palatino Linotype" w:cs="Palatino Linotype"/>
          <w:sz w:val="22"/>
          <w:szCs w:val="22"/>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022FF83" w14:textId="77777777" w:rsidR="002A63C6" w:rsidRDefault="002A63C6">
      <w:pPr>
        <w:spacing w:line="360" w:lineRule="auto"/>
        <w:jc w:val="both"/>
        <w:rPr>
          <w:rFonts w:ascii="Palatino Linotype" w:eastAsia="Palatino Linotype" w:hAnsi="Palatino Linotype" w:cs="Palatino Linotype"/>
          <w:sz w:val="22"/>
          <w:szCs w:val="22"/>
        </w:rPr>
      </w:pPr>
    </w:p>
    <w:p w14:paraId="19B10867" w14:textId="77777777" w:rsidR="002A63C6" w:rsidRDefault="00D13D19">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2"/>
          <w:szCs w:val="22"/>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79C19A8" w14:textId="77777777" w:rsidR="002A63C6" w:rsidRDefault="002A63C6">
      <w:pPr>
        <w:tabs>
          <w:tab w:val="left" w:pos="851"/>
        </w:tabs>
        <w:spacing w:line="360" w:lineRule="auto"/>
        <w:ind w:left="851" w:right="901"/>
        <w:jc w:val="both"/>
        <w:rPr>
          <w:rFonts w:ascii="Palatino Linotype" w:eastAsia="Palatino Linotype" w:hAnsi="Palatino Linotype" w:cs="Palatino Linotype"/>
          <w:sz w:val="20"/>
          <w:szCs w:val="20"/>
        </w:rPr>
      </w:pPr>
    </w:p>
    <w:p w14:paraId="7A910B62" w14:textId="6B9C959B"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se estima que el requisito relativo al nombre </w:t>
      </w:r>
      <w:r w:rsidR="006C048C" w:rsidRPr="006C048C">
        <w:rPr>
          <w:rFonts w:ascii="Palatino Linotype" w:eastAsia="Palatino Linotype" w:hAnsi="Palatino Linotype" w:cs="Palatino Linotype"/>
          <w:b/>
          <w:bCs/>
          <w:sz w:val="22"/>
          <w:szCs w:val="22"/>
        </w:rPr>
        <w:t>de EL RECURRENTE</w:t>
      </w:r>
      <w:r>
        <w:rPr>
          <w:rFonts w:ascii="Palatino Linotype" w:eastAsia="Palatino Linotype" w:hAnsi="Palatino Linotype" w:cs="Palatino Linotype"/>
          <w:sz w:val="22"/>
          <w:szCs w:val="22"/>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eastAsia="Palatino Linotype" w:hAnsi="Palatino Linotype" w:cs="Palatino Linotype"/>
          <w:b/>
          <w:sz w:val="22"/>
          <w:szCs w:val="22"/>
        </w:rPr>
        <w:t xml:space="preserve">EL RECURRENTE </w:t>
      </w:r>
      <w:r>
        <w:rPr>
          <w:rFonts w:ascii="Palatino Linotype" w:eastAsia="Palatino Linotype" w:hAnsi="Palatino Linotype" w:cs="Palatino Linotype"/>
          <w:sz w:val="22"/>
          <w:szCs w:val="22"/>
        </w:rPr>
        <w:t xml:space="preserve"> es la misma persona que realizó la solicitud de acceso a la información pública que ahora se impugna.</w:t>
      </w:r>
    </w:p>
    <w:p w14:paraId="296EA823" w14:textId="77777777" w:rsidR="002A63C6" w:rsidRDefault="002A63C6">
      <w:pPr>
        <w:tabs>
          <w:tab w:val="left" w:pos="851"/>
        </w:tabs>
        <w:spacing w:line="360" w:lineRule="auto"/>
        <w:ind w:left="851" w:right="901"/>
        <w:jc w:val="both"/>
        <w:rPr>
          <w:rFonts w:ascii="Palatino Linotype" w:eastAsia="Palatino Linotype" w:hAnsi="Palatino Linotype" w:cs="Palatino Linotype"/>
          <w:sz w:val="20"/>
          <w:szCs w:val="20"/>
        </w:rPr>
      </w:pPr>
    </w:p>
    <w:p w14:paraId="1535122C"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0B6875D" w14:textId="77777777" w:rsidR="002A63C6" w:rsidRDefault="00D13D1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QUINTO. Estudio y resolución del asunto. </w:t>
      </w:r>
    </w:p>
    <w:p w14:paraId="4573A771" w14:textId="77777777" w:rsidR="002A63C6" w:rsidRDefault="002A63C6">
      <w:pPr>
        <w:tabs>
          <w:tab w:val="left" w:pos="709"/>
        </w:tabs>
        <w:spacing w:line="360" w:lineRule="auto"/>
        <w:jc w:val="both"/>
        <w:rPr>
          <w:rFonts w:ascii="Palatino Linotype" w:eastAsia="Palatino Linotype" w:hAnsi="Palatino Linotype" w:cs="Palatino Linotype"/>
        </w:rPr>
      </w:pPr>
    </w:p>
    <w:p w14:paraId="00EB7DC9" w14:textId="6109A8A1" w:rsidR="002A63C6" w:rsidRDefault="00D13D19">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primera instancia es preciso señalar que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solicitó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que le informara el número de plazas (en todos sus tipos y modalidades) que se encuentran comisionadas (de cualquier índole o naturaleza).</w:t>
      </w:r>
    </w:p>
    <w:p w14:paraId="6545326D" w14:textId="77777777" w:rsidR="002A63C6" w:rsidRDefault="002A63C6">
      <w:pPr>
        <w:tabs>
          <w:tab w:val="left" w:pos="709"/>
        </w:tabs>
        <w:spacing w:line="360" w:lineRule="auto"/>
        <w:jc w:val="both"/>
        <w:rPr>
          <w:rFonts w:ascii="Palatino Linotype" w:eastAsia="Palatino Linotype" w:hAnsi="Palatino Linotype" w:cs="Palatino Linotype"/>
          <w:sz w:val="22"/>
          <w:szCs w:val="22"/>
        </w:rPr>
      </w:pPr>
    </w:p>
    <w:p w14:paraId="2AAC7876" w14:textId="1B3A2C30" w:rsidR="002A63C6" w:rsidRDefault="00D13D19">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su respuesta,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señaló remitir la solicitud al </w:t>
      </w:r>
      <w:r w:rsidR="006D508B">
        <w:rPr>
          <w:rFonts w:ascii="Palatino Linotype" w:eastAsia="Palatino Linotype" w:hAnsi="Palatino Linotype" w:cs="Palatino Linotype"/>
          <w:sz w:val="22"/>
          <w:szCs w:val="22"/>
        </w:rPr>
        <w:t>Servidor Público Habilitado</w:t>
      </w:r>
      <w:r>
        <w:rPr>
          <w:rFonts w:ascii="Palatino Linotype" w:eastAsia="Palatino Linotype" w:hAnsi="Palatino Linotype" w:cs="Palatino Linotype"/>
          <w:sz w:val="22"/>
          <w:szCs w:val="22"/>
        </w:rPr>
        <w:t xml:space="preserve"> de la Dirección de Administración y Desarrollo del Personal, el cual manifestó a través del oficio número 210C010230103L/000973/2021 firmado por el Jefe del Departamento de Asuntos Laborales </w:t>
      </w:r>
      <w:r w:rsidRPr="006D508B">
        <w:rPr>
          <w:rFonts w:ascii="Palatino Linotype" w:eastAsia="Palatino Linotype" w:hAnsi="Palatino Linotype" w:cs="Palatino Linotype"/>
          <w:b/>
          <w:bCs/>
          <w:sz w:val="22"/>
          <w:szCs w:val="22"/>
        </w:rPr>
        <w:t xml:space="preserve">no contar con personal comisionado en el </w:t>
      </w:r>
      <w:r w:rsidRPr="006D508B">
        <w:rPr>
          <w:rFonts w:ascii="Palatino Linotype" w:eastAsia="Palatino Linotype" w:hAnsi="Palatino Linotype" w:cs="Palatino Linotype"/>
          <w:b/>
          <w:bCs/>
          <w:sz w:val="22"/>
          <w:szCs w:val="22"/>
          <w:u w:val="single"/>
        </w:rPr>
        <w:t>departamento a su cargo.</w:t>
      </w:r>
      <w:r>
        <w:rPr>
          <w:rFonts w:ascii="Palatino Linotype" w:eastAsia="Palatino Linotype" w:hAnsi="Palatino Linotype" w:cs="Palatino Linotype"/>
          <w:sz w:val="22"/>
          <w:szCs w:val="22"/>
        </w:rPr>
        <w:t xml:space="preserve"> </w:t>
      </w:r>
    </w:p>
    <w:p w14:paraId="35960549" w14:textId="77777777" w:rsidR="002A63C6" w:rsidRDefault="002A63C6">
      <w:pPr>
        <w:tabs>
          <w:tab w:val="left" w:pos="709"/>
        </w:tabs>
        <w:spacing w:line="360" w:lineRule="auto"/>
        <w:jc w:val="both"/>
        <w:rPr>
          <w:rFonts w:ascii="Palatino Linotype" w:eastAsia="Palatino Linotype" w:hAnsi="Palatino Linotype" w:cs="Palatino Linotype"/>
          <w:sz w:val="22"/>
          <w:szCs w:val="22"/>
        </w:rPr>
      </w:pPr>
    </w:p>
    <w:p w14:paraId="65BD9CEC" w14:textId="0C6482F1" w:rsidR="002A63C6" w:rsidRDefault="00D13D19" w:rsidP="006D508B">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Inconforme con dicha respuesta </w:t>
      </w:r>
      <w:r>
        <w:rPr>
          <w:rFonts w:ascii="Palatino Linotype" w:eastAsia="Palatino Linotype" w:hAnsi="Palatino Linotype" w:cs="Palatino Linotype"/>
          <w:b/>
          <w:sz w:val="22"/>
          <w:szCs w:val="22"/>
        </w:rPr>
        <w:t xml:space="preserve">EL RECURRENTE </w:t>
      </w:r>
      <w:r>
        <w:rPr>
          <w:rFonts w:ascii="Palatino Linotype" w:eastAsia="Palatino Linotype" w:hAnsi="Palatino Linotype" w:cs="Palatino Linotype"/>
          <w:sz w:val="22"/>
          <w:szCs w:val="22"/>
        </w:rPr>
        <w:t>interpuso el presente medio de impugnación donde manifiesta que la respuesta otorgada no corresponde a lo solicitado.</w:t>
      </w:r>
      <w:r w:rsidR="006D508B">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También, es importante señalar que una vez abierta la etapa de manifestaciones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no presentó pruebas o alegatos que a su derecho convenga; por su parte,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remitió el Informe Justificado, mediante el cual confirmó su respuesta primigenia, por lo que resulta procedente analizar si con su respuesta se puede satisfacer el derecho de Acceso a la Información </w:t>
      </w:r>
      <w:r w:rsidR="006C048C" w:rsidRPr="006C048C">
        <w:rPr>
          <w:rFonts w:ascii="Palatino Linotype" w:eastAsia="Palatino Linotype" w:hAnsi="Palatino Linotype" w:cs="Palatino Linotype"/>
          <w:b/>
          <w:bCs/>
          <w:sz w:val="22"/>
          <w:szCs w:val="22"/>
        </w:rPr>
        <w:t>de EL RECURRENTE</w:t>
      </w:r>
      <w:r>
        <w:rPr>
          <w:rFonts w:ascii="Palatino Linotype" w:eastAsia="Palatino Linotype" w:hAnsi="Palatino Linotype" w:cs="Palatino Linotype"/>
          <w:b/>
          <w:sz w:val="22"/>
          <w:szCs w:val="22"/>
        </w:rPr>
        <w:t xml:space="preserve">. </w:t>
      </w:r>
    </w:p>
    <w:p w14:paraId="3639EC6A" w14:textId="77777777" w:rsidR="002A63C6" w:rsidRDefault="002A63C6">
      <w:pPr>
        <w:spacing w:line="360" w:lineRule="auto"/>
        <w:ind w:right="49"/>
        <w:jc w:val="both"/>
        <w:rPr>
          <w:rFonts w:ascii="Palatino Linotype" w:eastAsia="Palatino Linotype" w:hAnsi="Palatino Linotype" w:cs="Palatino Linotype"/>
          <w:b/>
          <w:sz w:val="22"/>
          <w:szCs w:val="22"/>
        </w:rPr>
      </w:pPr>
    </w:p>
    <w:p w14:paraId="672F80D0" w14:textId="43907FD3"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tal manera y en atención a la solicitud hecha por el particular conviene traer a colación lo dispuesto en la Ley General del Servicio Profesional Docente, misma </w:t>
      </w:r>
      <w:r w:rsidR="006D508B">
        <w:rPr>
          <w:rFonts w:ascii="Palatino Linotype" w:eastAsia="Palatino Linotype" w:hAnsi="Palatino Linotype" w:cs="Palatino Linotype"/>
          <w:sz w:val="22"/>
          <w:szCs w:val="22"/>
        </w:rPr>
        <w:t xml:space="preserve">que </w:t>
      </w:r>
      <w:r>
        <w:rPr>
          <w:rFonts w:ascii="Palatino Linotype" w:eastAsia="Palatino Linotype" w:hAnsi="Palatino Linotype" w:cs="Palatino Linotype"/>
          <w:sz w:val="22"/>
          <w:szCs w:val="22"/>
        </w:rPr>
        <w:t xml:space="preserve">distribuye las atribuciones que tendrán cada una de las autoridades e instituciones en materia de Educación Pública, señalando en sus artículos 37 fracciones XIV y XVII, así como 38 fracción XVI dentro de las facultades de la Autoridad Educativa Estatal las siguientes: </w:t>
      </w:r>
    </w:p>
    <w:p w14:paraId="246D9164" w14:textId="77777777" w:rsidR="002A63C6" w:rsidRDefault="002A63C6">
      <w:pPr>
        <w:spacing w:line="360" w:lineRule="auto"/>
        <w:ind w:right="49"/>
        <w:jc w:val="both"/>
        <w:rPr>
          <w:rFonts w:ascii="Palatino Linotype" w:eastAsia="Palatino Linotype" w:hAnsi="Palatino Linotype" w:cs="Palatino Linotype"/>
          <w:sz w:val="22"/>
          <w:szCs w:val="22"/>
        </w:rPr>
      </w:pPr>
    </w:p>
    <w:p w14:paraId="1A6F7D66"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 xml:space="preserve">“Artículo 37.- </w:t>
      </w:r>
      <w:r>
        <w:rPr>
          <w:rFonts w:ascii="Palatino Linotype" w:eastAsia="Palatino Linotype" w:hAnsi="Palatino Linotype" w:cs="Palatino Linotype"/>
          <w:i/>
          <w:sz w:val="20"/>
          <w:szCs w:val="20"/>
        </w:rPr>
        <w:t xml:space="preserve">La Autoridad Educativa Estatal, en el ámbito de la educación básica y respecto del Servicio Profesional Docente, tendrá las atribuciones siguientes: </w:t>
      </w:r>
    </w:p>
    <w:p w14:paraId="422A8440" w14:textId="77777777" w:rsidR="002A63C6" w:rsidRPr="006D508B" w:rsidRDefault="00D13D19">
      <w:pPr>
        <w:spacing w:line="360" w:lineRule="auto"/>
        <w:ind w:left="850" w:right="899"/>
        <w:jc w:val="both"/>
        <w:rPr>
          <w:rFonts w:ascii="Palatino Linotype" w:eastAsia="Palatino Linotype" w:hAnsi="Palatino Linotype" w:cs="Palatino Linotype"/>
          <w:bCs/>
          <w:i/>
          <w:sz w:val="20"/>
          <w:szCs w:val="20"/>
        </w:rPr>
      </w:pPr>
      <w:r>
        <w:rPr>
          <w:rFonts w:ascii="Palatino Linotype" w:eastAsia="Palatino Linotype" w:hAnsi="Palatino Linotype" w:cs="Palatino Linotype"/>
          <w:i/>
          <w:sz w:val="20"/>
          <w:szCs w:val="20"/>
        </w:rPr>
        <w:t xml:space="preserve">XIV. </w:t>
      </w:r>
      <w:r>
        <w:rPr>
          <w:rFonts w:ascii="Palatino Linotype" w:eastAsia="Palatino Linotype" w:hAnsi="Palatino Linotype" w:cs="Palatino Linotype"/>
          <w:b/>
          <w:i/>
          <w:sz w:val="20"/>
          <w:szCs w:val="20"/>
        </w:rPr>
        <w:t xml:space="preserve">Administrar la asignación de plazas </w:t>
      </w:r>
      <w:r>
        <w:rPr>
          <w:rFonts w:ascii="Palatino Linotype" w:eastAsia="Palatino Linotype" w:hAnsi="Palatino Linotype" w:cs="Palatino Linotype"/>
          <w:i/>
          <w:sz w:val="20"/>
          <w:szCs w:val="20"/>
        </w:rPr>
        <w:t xml:space="preserve">con estricto apego al orden establecido con base en los puntajes obtenidos de mayor a menor de los sustentantes que resultaron idóneos en el concurso. </w:t>
      </w:r>
      <w:r w:rsidRPr="006D508B">
        <w:rPr>
          <w:rFonts w:ascii="Palatino Linotype" w:eastAsia="Palatino Linotype" w:hAnsi="Palatino Linotype" w:cs="Palatino Linotype"/>
          <w:bCs/>
          <w:i/>
          <w:sz w:val="20"/>
          <w:szCs w:val="20"/>
        </w:rPr>
        <w:t>Podrán asignarse para el inicio del ciclo escolar o en el transcurso de éste cuando se generen vacantes que la Autoridad Educativa determine que deban ser ocupadas;</w:t>
      </w:r>
    </w:p>
    <w:p w14:paraId="74206F0D"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XVIII. Determinar, dentro de la estructura ocupacional autorizada, qué puestos del personal técnico docente formarán parte del Servicio Profesional Docente;</w:t>
      </w:r>
    </w:p>
    <w:p w14:paraId="1B5143D4"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38.-</w:t>
      </w:r>
      <w:r>
        <w:rPr>
          <w:rFonts w:ascii="Palatino Linotype" w:eastAsia="Palatino Linotype" w:hAnsi="Palatino Linotype" w:cs="Palatino Linotype"/>
          <w:i/>
          <w:sz w:val="20"/>
          <w:szCs w:val="20"/>
        </w:rPr>
        <w:t xml:space="preserve"> La Autoridad Educativa Estatal y los organismos descentralizados, respecto de las escuelas a su cargo, en el ámbito de la educación media superior y respecto del Servicio Profesional Docente, tendrán las atribuciones siguientes: </w:t>
      </w:r>
    </w:p>
    <w:p w14:paraId="17A3EA78" w14:textId="77777777" w:rsidR="002A63C6" w:rsidRPr="006D508B" w:rsidRDefault="00D13D19">
      <w:pPr>
        <w:spacing w:line="360" w:lineRule="auto"/>
        <w:ind w:left="850" w:right="899"/>
        <w:jc w:val="both"/>
        <w:rPr>
          <w:rFonts w:ascii="Palatino Linotype" w:eastAsia="Palatino Linotype" w:hAnsi="Palatino Linotype" w:cs="Palatino Linotype"/>
          <w:bCs/>
          <w:i/>
          <w:sz w:val="20"/>
          <w:szCs w:val="20"/>
        </w:rPr>
      </w:pPr>
      <w:r>
        <w:rPr>
          <w:rFonts w:ascii="Palatino Linotype" w:eastAsia="Palatino Linotype" w:hAnsi="Palatino Linotype" w:cs="Palatino Linotype"/>
          <w:i/>
          <w:sz w:val="20"/>
          <w:szCs w:val="20"/>
        </w:rPr>
        <w:t xml:space="preserve">XVI. </w:t>
      </w:r>
      <w:r>
        <w:rPr>
          <w:rFonts w:ascii="Palatino Linotype" w:eastAsia="Palatino Linotype" w:hAnsi="Palatino Linotype" w:cs="Palatino Linotype"/>
          <w:b/>
          <w:i/>
          <w:sz w:val="20"/>
          <w:szCs w:val="20"/>
        </w:rPr>
        <w:t xml:space="preserve">Administrar la asignación de plazas </w:t>
      </w:r>
      <w:r>
        <w:rPr>
          <w:rFonts w:ascii="Palatino Linotype" w:eastAsia="Palatino Linotype" w:hAnsi="Palatino Linotype" w:cs="Palatino Linotype"/>
          <w:i/>
          <w:sz w:val="20"/>
          <w:szCs w:val="20"/>
        </w:rPr>
        <w:t>con estricto apego al orden establecido con base en los puntajes obtenidos de mayor a menor de los sustentantes que resultaron idóneos en el concurso.</w:t>
      </w:r>
      <w:r>
        <w:rPr>
          <w:rFonts w:ascii="Palatino Linotype" w:eastAsia="Palatino Linotype" w:hAnsi="Palatino Linotype" w:cs="Palatino Linotype"/>
          <w:b/>
          <w:i/>
          <w:sz w:val="20"/>
          <w:szCs w:val="20"/>
        </w:rPr>
        <w:t xml:space="preserve"> </w:t>
      </w:r>
      <w:r w:rsidRPr="006D508B">
        <w:rPr>
          <w:rFonts w:ascii="Palatino Linotype" w:eastAsia="Palatino Linotype" w:hAnsi="Palatino Linotype" w:cs="Palatino Linotype"/>
          <w:bCs/>
          <w:i/>
          <w:sz w:val="20"/>
          <w:szCs w:val="20"/>
        </w:rPr>
        <w:t>Podrán asignarse para el inicio del ciclo escolar o en el transcurso de éste cuando se generen vacantes que la Autoridad Educativa determine que deban ser ocupadas;”</w:t>
      </w:r>
    </w:p>
    <w:p w14:paraId="0666B7E4"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(Énfasis añadido)</w:t>
      </w:r>
    </w:p>
    <w:p w14:paraId="2DA96572" w14:textId="77777777" w:rsidR="002A63C6" w:rsidRDefault="002A63C6">
      <w:pPr>
        <w:spacing w:line="360" w:lineRule="auto"/>
        <w:ind w:left="850" w:right="899"/>
        <w:jc w:val="both"/>
        <w:rPr>
          <w:rFonts w:ascii="Palatino Linotype" w:eastAsia="Palatino Linotype" w:hAnsi="Palatino Linotype" w:cs="Palatino Linotype"/>
          <w:i/>
          <w:sz w:val="20"/>
          <w:szCs w:val="20"/>
        </w:rPr>
      </w:pPr>
    </w:p>
    <w:p w14:paraId="56A5820E" w14:textId="77777777"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 partir de los preceptos antes transcritos, se advierte que dentro de las atribuciones conferidas a las autoridades estatales en materia de educación se encuentran la de administrar la asignación de plazas ya sea al inicio del ciclo escolar o cuando quede vacante alguna de estas. </w:t>
      </w:r>
    </w:p>
    <w:p w14:paraId="267B4368" w14:textId="77777777" w:rsidR="002A63C6" w:rsidRDefault="002A63C6">
      <w:pPr>
        <w:spacing w:line="360" w:lineRule="auto"/>
        <w:ind w:right="49"/>
        <w:jc w:val="both"/>
        <w:rPr>
          <w:rFonts w:ascii="Palatino Linotype" w:eastAsia="Palatino Linotype" w:hAnsi="Palatino Linotype" w:cs="Palatino Linotype"/>
          <w:sz w:val="22"/>
          <w:szCs w:val="22"/>
        </w:rPr>
      </w:pPr>
    </w:p>
    <w:p w14:paraId="61D5AAF8" w14:textId="11367DFC"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Situación que queda refrendada dentro de la normatividad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en el artículo 34 Bis, fracción I, del Reglamento Interior de Servicios Educativos Integrados al Estado de México, publicado en el Periódico Oficial “Gaceta del Gobierno” el 10 de junio de 2003 y el cual se refiere a la atribuciones de la Unidad de Apoyo al Servicio Profesional Docente,  como se aprecia a continuación: </w:t>
      </w:r>
    </w:p>
    <w:p w14:paraId="5D0CE327" w14:textId="77777777" w:rsidR="002A63C6" w:rsidRDefault="002A63C6">
      <w:pPr>
        <w:spacing w:line="360" w:lineRule="auto"/>
        <w:ind w:right="49"/>
        <w:jc w:val="both"/>
        <w:rPr>
          <w:rFonts w:ascii="Palatino Linotype" w:eastAsia="Palatino Linotype" w:hAnsi="Palatino Linotype" w:cs="Palatino Linotype"/>
          <w:sz w:val="22"/>
          <w:szCs w:val="22"/>
        </w:rPr>
      </w:pPr>
    </w:p>
    <w:p w14:paraId="5273410F"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34 Bis.</w:t>
      </w:r>
      <w:r>
        <w:rPr>
          <w:rFonts w:ascii="Palatino Linotype" w:eastAsia="Palatino Linotype" w:hAnsi="Palatino Linotype" w:cs="Palatino Linotype"/>
          <w:i/>
          <w:sz w:val="20"/>
          <w:szCs w:val="20"/>
        </w:rPr>
        <w:t xml:space="preserve">- Corresponde a la Unidad de Apoyo al Servicio Profesional Docente: </w:t>
      </w:r>
    </w:p>
    <w:p w14:paraId="2A93B9E3" w14:textId="77777777" w:rsidR="002A63C6" w:rsidRDefault="00D13D19">
      <w:pPr>
        <w:spacing w:line="360" w:lineRule="auto"/>
        <w:ind w:left="850" w:right="899"/>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 xml:space="preserve">I.- Coordinar y supervisar para su atención, vinculación y gestión, al interior del Organismo, las acciones solicitadas por las instancias federales y estatales, relativas a la </w:t>
      </w:r>
      <w:r>
        <w:rPr>
          <w:rFonts w:ascii="Palatino Linotype" w:eastAsia="Palatino Linotype" w:hAnsi="Palatino Linotype" w:cs="Palatino Linotype"/>
          <w:b/>
          <w:i/>
          <w:sz w:val="20"/>
          <w:szCs w:val="20"/>
        </w:rPr>
        <w:t>operación y seguimiento de los procesos de ingreso, promoción, permanencia, y reconocimiento, conforme a la normatividad vigente del Servicio Profesional Docente;”</w:t>
      </w:r>
    </w:p>
    <w:p w14:paraId="004F005A" w14:textId="77777777" w:rsidR="002A63C6" w:rsidRDefault="00D13D19">
      <w:pPr>
        <w:spacing w:line="360" w:lineRule="auto"/>
        <w:ind w:left="850" w:right="899"/>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(Énfasis añadido)</w:t>
      </w:r>
    </w:p>
    <w:p w14:paraId="71CD29B9" w14:textId="77777777" w:rsidR="002A63C6" w:rsidRDefault="002A63C6">
      <w:pPr>
        <w:spacing w:line="360" w:lineRule="auto"/>
        <w:ind w:left="850" w:right="899"/>
        <w:jc w:val="both"/>
        <w:rPr>
          <w:rFonts w:ascii="Palatino Linotype" w:eastAsia="Palatino Linotype" w:hAnsi="Palatino Linotype" w:cs="Palatino Linotype"/>
          <w:b/>
          <w:i/>
          <w:sz w:val="20"/>
          <w:szCs w:val="20"/>
        </w:rPr>
      </w:pPr>
    </w:p>
    <w:p w14:paraId="66C6A4C7" w14:textId="77777777" w:rsidR="002A63C6" w:rsidRDefault="00D13D19">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bien, el mismo Reglamento Interior de Servicios Educativos Integrados al Estado de México indica en su artículo 32 las facultades de la Dirección de Administración y Desarrollo de personal entre las cuales se encuentran las siguientes: </w:t>
      </w:r>
    </w:p>
    <w:p w14:paraId="6DAC5735" w14:textId="77777777" w:rsidR="002A63C6" w:rsidRDefault="002A63C6">
      <w:pPr>
        <w:tabs>
          <w:tab w:val="left" w:pos="709"/>
        </w:tabs>
        <w:spacing w:line="360" w:lineRule="auto"/>
        <w:jc w:val="both"/>
        <w:rPr>
          <w:rFonts w:ascii="Palatino Linotype" w:eastAsia="Palatino Linotype" w:hAnsi="Palatino Linotype" w:cs="Palatino Linotype"/>
          <w:sz w:val="22"/>
          <w:szCs w:val="22"/>
        </w:rPr>
      </w:pPr>
    </w:p>
    <w:p w14:paraId="079A8232"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32.</w:t>
      </w:r>
      <w:r>
        <w:rPr>
          <w:rFonts w:ascii="Palatino Linotype" w:eastAsia="Palatino Linotype" w:hAnsi="Palatino Linotype" w:cs="Palatino Linotype"/>
          <w:i/>
          <w:sz w:val="20"/>
          <w:szCs w:val="20"/>
        </w:rPr>
        <w:t xml:space="preserve">- Corresponde a la Dirección de Administración y Desarrollo de Personal: </w:t>
      </w:r>
    </w:p>
    <w:p w14:paraId="4D81680B"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 Proponer políticas y lineamientos para la administración y desarrollo del personal de SEIEM, atendiendo a la normatividad aplicable; </w:t>
      </w:r>
    </w:p>
    <w:p w14:paraId="78814A74" w14:textId="77777777" w:rsidR="002A63C6" w:rsidRDefault="00D13D19">
      <w:pPr>
        <w:widowControl w:val="0"/>
        <w:spacing w:line="360" w:lineRule="auto"/>
        <w:ind w:left="850" w:right="899"/>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II. Elaborar y mantener actualizados los catálogos de puestos, tabuladores de sueldos y la plantilla de personal de SEIEM; </w:t>
      </w:r>
    </w:p>
    <w:p w14:paraId="131249E4"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III. Aplicar las normas contenidas en la legislación laboral y en las condiciones generales de trabajo, al personal de SEIEM; </w:t>
      </w:r>
    </w:p>
    <w:p w14:paraId="3FA96C25"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 Bis. Verificar y ejecutar, en el ámbito de su competencia, las acciones y estrategias derivadas del Servicio Profesional Docente, conforme a la aplicación de las normas, políticas y lineamientos vigentes;</w:t>
      </w:r>
      <w:r>
        <w:rPr>
          <w:rFonts w:ascii="Palatino Linotype" w:eastAsia="Palatino Linotype" w:hAnsi="Palatino Linotype" w:cs="Palatino Linotype"/>
          <w:i/>
          <w:sz w:val="20"/>
          <w:szCs w:val="20"/>
        </w:rPr>
        <w:t xml:space="preserve"> </w:t>
      </w:r>
    </w:p>
    <w:p w14:paraId="61A6A9BF" w14:textId="77777777" w:rsidR="002A63C6" w:rsidRDefault="00D13D19">
      <w:pPr>
        <w:widowControl w:val="0"/>
        <w:spacing w:line="360" w:lineRule="auto"/>
        <w:ind w:left="850" w:right="899"/>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IV. Tramitar los movimientos y demás incidencias del personal de SEIEM; </w:t>
      </w:r>
    </w:p>
    <w:p w14:paraId="51CAEA37"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V. Elaborar con la participación que corresponda a las unidades administrativas de SEIEM, los programas y convenios en materia de capacitación y desarrollo del personal de apoyo y asistencia a la educación y someterlos a la consideración del Coordinador de Administración y Finanzas; </w:t>
      </w:r>
    </w:p>
    <w:p w14:paraId="7088140C"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VI. Proponer políticas de estímulos y recompensas para el personal de SEIEM;</w:t>
      </w:r>
    </w:p>
    <w:p w14:paraId="2F7608EC"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lastRenderedPageBreak/>
        <w:t>VII. Organizar, controlar y mantener actualizados los expedientes del personal de SEIEM;</w:t>
      </w:r>
      <w:r>
        <w:rPr>
          <w:rFonts w:ascii="Palatino Linotype" w:eastAsia="Palatino Linotype" w:hAnsi="Palatino Linotype" w:cs="Palatino Linotype"/>
          <w:i/>
          <w:sz w:val="20"/>
          <w:szCs w:val="20"/>
        </w:rPr>
        <w:t xml:space="preserve"> </w:t>
      </w:r>
    </w:p>
    <w:p w14:paraId="5E410340"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VIII. Supervisar el proceso de pago de remuneraciones al personal de SEIEM; </w:t>
      </w:r>
    </w:p>
    <w:p w14:paraId="7F268CF5"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IX. Expedir documentos en materia de prestaciones de seguridad social y escalafón para el personal de SEIEM; </w:t>
      </w:r>
    </w:p>
    <w:p w14:paraId="04FA83A0"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X. Operar de manera directa los programas y acciones que se deriven de los acuerdos o convenios celebrados o que se celebren con el Sindicato Nacional de Trabajadores de la Educación, en materia de prestaciones laborales. </w:t>
      </w:r>
    </w:p>
    <w:p w14:paraId="199844E7"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XI. Vigilar la operación del sistema de promoción y desarrollo para el personal de apoyo y asistencia a la educación; y </w:t>
      </w:r>
    </w:p>
    <w:p w14:paraId="0198191B"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XII. Las demás que le confieran otras disposiciones legales y aquellas que le encomiende el Coordinador de Administración y Finanzas y el Director General.”</w:t>
      </w:r>
    </w:p>
    <w:p w14:paraId="4307C35A" w14:textId="77777777" w:rsidR="002A63C6" w:rsidRDefault="00D13D19">
      <w:pPr>
        <w:widowControl w:val="0"/>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(énfasis añadido)</w:t>
      </w:r>
    </w:p>
    <w:p w14:paraId="1BDE236C" w14:textId="77777777" w:rsidR="002A63C6" w:rsidRDefault="002A63C6">
      <w:pPr>
        <w:widowControl w:val="0"/>
        <w:spacing w:line="360" w:lineRule="auto"/>
        <w:ind w:left="850" w:right="899"/>
        <w:jc w:val="both"/>
        <w:rPr>
          <w:rFonts w:ascii="Palatino Linotype" w:eastAsia="Palatino Linotype" w:hAnsi="Palatino Linotype" w:cs="Palatino Linotype"/>
          <w:i/>
          <w:sz w:val="20"/>
          <w:szCs w:val="20"/>
        </w:rPr>
      </w:pPr>
    </w:p>
    <w:p w14:paraId="3401AF5E" w14:textId="749C6171"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los preceptos en cita se puede apreciar que, la Dirección de Administración y Desarrollo de Personal es el área competente para conocer de la información solicitada por </w:t>
      </w:r>
      <w:r>
        <w:rPr>
          <w:rFonts w:ascii="Palatino Linotype" w:eastAsia="Palatino Linotype" w:hAnsi="Palatino Linotype" w:cs="Palatino Linotype"/>
          <w:b/>
          <w:sz w:val="22"/>
          <w:szCs w:val="22"/>
        </w:rPr>
        <w:t xml:space="preserve">EL RECURRENTE, </w:t>
      </w:r>
      <w:r>
        <w:rPr>
          <w:rFonts w:ascii="Palatino Linotype" w:eastAsia="Palatino Linotype" w:hAnsi="Palatino Linotype" w:cs="Palatino Linotype"/>
          <w:sz w:val="22"/>
          <w:szCs w:val="22"/>
        </w:rPr>
        <w:t>pues dentro de sus atribuciones se encuentran diversas disposiciones encaminadas a llevar el registro de la plantilla del personal</w:t>
      </w:r>
      <w:r w:rsidR="006D508B">
        <w:rPr>
          <w:rFonts w:ascii="Palatino Linotype" w:eastAsia="Palatino Linotype" w:hAnsi="Palatino Linotype" w:cs="Palatino Linotype"/>
          <w:sz w:val="22"/>
          <w:szCs w:val="22"/>
        </w:rPr>
        <w:t xml:space="preserve"> docente así como del resto del personal administrativo</w:t>
      </w:r>
      <w:r>
        <w:rPr>
          <w:rFonts w:ascii="Palatino Linotype" w:eastAsia="Palatino Linotype" w:hAnsi="Palatino Linotype" w:cs="Palatino Linotype"/>
          <w:sz w:val="22"/>
          <w:szCs w:val="22"/>
        </w:rPr>
        <w:t xml:space="preserve">, así como los expedientes y demás documentos relativos. </w:t>
      </w:r>
    </w:p>
    <w:p w14:paraId="3FB1676A" w14:textId="77777777" w:rsidR="002A63C6" w:rsidRDefault="002A63C6">
      <w:pPr>
        <w:spacing w:line="360" w:lineRule="auto"/>
        <w:ind w:right="49"/>
        <w:jc w:val="both"/>
        <w:rPr>
          <w:rFonts w:ascii="Palatino Linotype" w:eastAsia="Palatino Linotype" w:hAnsi="Palatino Linotype" w:cs="Palatino Linotype"/>
          <w:sz w:val="22"/>
          <w:szCs w:val="22"/>
        </w:rPr>
      </w:pPr>
    </w:p>
    <w:p w14:paraId="13D9252D" w14:textId="2E531447"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dentro del Manual General de Organización de Servicios Educativos Integrados al Estado de México se advierte la existencia del departamento de Trámite y Control de Personal, la cual tiene como objetivo: </w:t>
      </w:r>
    </w:p>
    <w:p w14:paraId="443DB4BF" w14:textId="77777777" w:rsidR="006D508B" w:rsidRDefault="006D508B">
      <w:pPr>
        <w:spacing w:line="360" w:lineRule="auto"/>
        <w:ind w:right="49"/>
        <w:jc w:val="both"/>
        <w:rPr>
          <w:rFonts w:ascii="Palatino Linotype" w:eastAsia="Palatino Linotype" w:hAnsi="Palatino Linotype" w:cs="Palatino Linotype"/>
          <w:sz w:val="22"/>
          <w:szCs w:val="22"/>
        </w:rPr>
      </w:pPr>
    </w:p>
    <w:p w14:paraId="0C73F6C2"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“Organizar, ejecutar, controlar y evaluar los procesos relativos a la recepción, validación y captura de los movimientos de personal de los trabajadores adscritos a SEIEM, con apego a la normatividad vigente en la materia.” </w:t>
      </w:r>
    </w:p>
    <w:p w14:paraId="57CE27EC" w14:textId="77777777" w:rsidR="002A63C6" w:rsidRDefault="002A63C6">
      <w:pPr>
        <w:spacing w:line="360" w:lineRule="auto"/>
        <w:ind w:left="850" w:right="899"/>
        <w:jc w:val="both"/>
        <w:rPr>
          <w:rFonts w:ascii="Palatino Linotype" w:eastAsia="Palatino Linotype" w:hAnsi="Palatino Linotype" w:cs="Palatino Linotype"/>
          <w:i/>
          <w:sz w:val="20"/>
          <w:szCs w:val="20"/>
        </w:rPr>
      </w:pPr>
    </w:p>
    <w:p w14:paraId="1ADE7276" w14:textId="31F115E8"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Así bien, dentro de sus funciones se advierten las siguientes: </w:t>
      </w:r>
    </w:p>
    <w:p w14:paraId="08E243D8" w14:textId="77777777" w:rsidR="006D508B" w:rsidRDefault="006D508B">
      <w:pPr>
        <w:spacing w:line="360" w:lineRule="auto"/>
        <w:ind w:right="49"/>
        <w:jc w:val="both"/>
        <w:rPr>
          <w:rFonts w:ascii="Palatino Linotype" w:eastAsia="Palatino Linotype" w:hAnsi="Palatino Linotype" w:cs="Palatino Linotype"/>
          <w:sz w:val="22"/>
          <w:szCs w:val="22"/>
        </w:rPr>
      </w:pPr>
    </w:p>
    <w:p w14:paraId="62D9D7A8"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Operar, controlar y vigilar los procesos de recepción, validación y captura de los movimientos administrativos del personal, de acuerdo con la normatividad vigente</w:t>
      </w:r>
      <w:r>
        <w:rPr>
          <w:rFonts w:ascii="Palatino Linotype" w:eastAsia="Palatino Linotype" w:hAnsi="Palatino Linotype" w:cs="Palatino Linotype"/>
          <w:i/>
          <w:sz w:val="20"/>
          <w:szCs w:val="20"/>
        </w:rPr>
        <w:t xml:space="preserve">. Establecer y mantener coordinación con la Dirección de Informática y Telecomunicaciones, respecto al soporte técnico requerido para el adecuado funcionamiento de la base de datos del sistema de nómina del organismo. </w:t>
      </w:r>
    </w:p>
    <w:p w14:paraId="5A332A1C"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Difundir y verificar la aplicación de los lineamientos e instrumentos administrativos que regulen el funcionamiento de los servicios prestados, en el ámbito de su competencia. </w:t>
      </w:r>
    </w:p>
    <w:p w14:paraId="77E36B74"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Verificar la aplicación del proceso de validación y registro de la documentación relacionada con los movimientos e incidencias del personal de SEIEM.</w:t>
      </w:r>
      <w:r>
        <w:rPr>
          <w:rFonts w:ascii="Palatino Linotype" w:eastAsia="Palatino Linotype" w:hAnsi="Palatino Linotype" w:cs="Palatino Linotype"/>
          <w:i/>
          <w:sz w:val="20"/>
          <w:szCs w:val="20"/>
        </w:rPr>
        <w:t xml:space="preserve"> Operar y controlar las acciones relativas al envío de la documentación de movimientos e incidencias de personal, a la Dirección de Informática y Telecomunicaciones, para la emisión del pago.” </w:t>
      </w:r>
    </w:p>
    <w:p w14:paraId="6A9E47EF" w14:textId="77777777" w:rsidR="002A63C6" w:rsidRDefault="00D13D19">
      <w:pPr>
        <w:spacing w:line="360" w:lineRule="auto"/>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(Énfasis añadido) </w:t>
      </w:r>
    </w:p>
    <w:p w14:paraId="553A9355" w14:textId="77777777" w:rsidR="002A63C6" w:rsidRDefault="002A63C6">
      <w:pPr>
        <w:spacing w:line="360" w:lineRule="auto"/>
        <w:ind w:left="850" w:right="899"/>
        <w:jc w:val="both"/>
        <w:rPr>
          <w:rFonts w:ascii="Palatino Linotype" w:eastAsia="Palatino Linotype" w:hAnsi="Palatino Linotype" w:cs="Palatino Linotype"/>
          <w:i/>
          <w:sz w:val="20"/>
          <w:szCs w:val="20"/>
        </w:rPr>
      </w:pPr>
    </w:p>
    <w:p w14:paraId="43331937" w14:textId="7E87F088"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relación a lo anterior, según lo establecido por el Manual de Procedimientos del Departamento de Trámite y Control de Personal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El Departamento de Trámite y Control de Personal es el encargado de realizar el llenado del Formato Único de Movimientos de Personal, mismo que se trata de un documento que funge como un nombramiento, toda vez que en él se registran los movimientos del personal adscrito </w:t>
      </w:r>
      <w:r w:rsidR="006D508B" w:rsidRPr="006D508B">
        <w:rPr>
          <w:rFonts w:ascii="Palatino Linotype" w:eastAsia="Palatino Linotype" w:hAnsi="Palatino Linotype" w:cs="Palatino Linotype"/>
          <w:b/>
          <w:bCs/>
          <w:sz w:val="22"/>
          <w:szCs w:val="22"/>
        </w:rPr>
        <w:t>a EL SUJETO OBLIGADO</w:t>
      </w:r>
      <w:r>
        <w:rPr>
          <w:rFonts w:ascii="Palatino Linotype" w:eastAsia="Palatino Linotype" w:hAnsi="Palatino Linotype" w:cs="Palatino Linotype"/>
          <w:sz w:val="22"/>
          <w:szCs w:val="22"/>
        </w:rPr>
        <w:t xml:space="preserve"> y en el cual, según lo dispuesto por dicha guía, se debe asentar la plaza de cada servidor público; tal y como se aprecia en la imagen siguiente:</w:t>
      </w:r>
    </w:p>
    <w:p w14:paraId="1A5B3E0E" w14:textId="77777777" w:rsidR="002A63C6" w:rsidRDefault="00D13D19">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4405E451" wp14:editId="3114BDB6">
            <wp:extent cx="5791200" cy="4812348"/>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91200" cy="4812348"/>
                    </a:xfrm>
                    <a:prstGeom prst="rect">
                      <a:avLst/>
                    </a:prstGeom>
                    <a:ln/>
                  </pic:spPr>
                </pic:pic>
              </a:graphicData>
            </a:graphic>
          </wp:inline>
        </w:drawing>
      </w:r>
    </w:p>
    <w:p w14:paraId="2E870E54" w14:textId="77777777" w:rsidR="006D508B" w:rsidRDefault="006D508B">
      <w:pPr>
        <w:spacing w:line="360" w:lineRule="auto"/>
        <w:ind w:right="49"/>
        <w:jc w:val="both"/>
        <w:rPr>
          <w:rFonts w:ascii="Palatino Linotype" w:eastAsia="Palatino Linotype" w:hAnsi="Palatino Linotype" w:cs="Palatino Linotype"/>
          <w:sz w:val="22"/>
          <w:szCs w:val="22"/>
        </w:rPr>
      </w:pPr>
    </w:p>
    <w:p w14:paraId="39686837" w14:textId="4F73A5B0" w:rsidR="002A63C6" w:rsidRPr="00CC22D8"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 imagen antes inserta se puede apreciar el anexo No 1, el cual corresponde al Formato Único de Personal en cual se puede apreciar se deben asentar las claves y plazas de los servidores públicos así como cada movimiento que se lleve a cabo con relación a este. </w:t>
      </w:r>
      <w:r w:rsidR="006D508B">
        <w:rPr>
          <w:rFonts w:ascii="Palatino Linotype" w:eastAsia="Palatino Linotype" w:hAnsi="Palatino Linotype" w:cs="Palatino Linotype"/>
          <w:sz w:val="22"/>
          <w:szCs w:val="22"/>
        </w:rPr>
        <w:t>De tal suerte que todos los servidores públicos del SEIEM docentes no, se encuentran adscritos a alguna unidad administrativa, por lo que s</w:t>
      </w:r>
      <w:r w:rsidR="00CC22D8">
        <w:rPr>
          <w:rFonts w:ascii="Palatino Linotype" w:eastAsia="Palatino Linotype" w:hAnsi="Palatino Linotype" w:cs="Palatino Linotype"/>
          <w:sz w:val="22"/>
          <w:szCs w:val="22"/>
        </w:rPr>
        <w:t>u</w:t>
      </w:r>
      <w:r w:rsidR="006D508B">
        <w:rPr>
          <w:rFonts w:ascii="Palatino Linotype" w:eastAsia="Palatino Linotype" w:hAnsi="Palatino Linotype" w:cs="Palatino Linotype"/>
          <w:sz w:val="22"/>
          <w:szCs w:val="22"/>
        </w:rPr>
        <w:t xml:space="preserve"> </w:t>
      </w:r>
      <w:r w:rsidR="006D508B" w:rsidRPr="00CC22D8">
        <w:rPr>
          <w:rFonts w:ascii="Palatino Linotype" w:eastAsia="Palatino Linotype" w:hAnsi="Palatino Linotype" w:cs="Palatino Linotype"/>
          <w:b/>
          <w:bCs/>
          <w:sz w:val="22"/>
          <w:szCs w:val="22"/>
        </w:rPr>
        <w:t>movimiento temporal a otra unidad administrativa que no afecte su área de adscripción original se entenderá que</w:t>
      </w:r>
      <w:r w:rsidR="00CC22D8">
        <w:rPr>
          <w:rFonts w:ascii="Palatino Linotype" w:eastAsia="Palatino Linotype" w:hAnsi="Palatino Linotype" w:cs="Palatino Linotype"/>
          <w:b/>
          <w:bCs/>
          <w:sz w:val="22"/>
          <w:szCs w:val="22"/>
        </w:rPr>
        <w:t xml:space="preserve"> corresponde a una comisión temporal, </w:t>
      </w:r>
      <w:r w:rsidR="00CC22D8">
        <w:rPr>
          <w:rFonts w:ascii="Palatino Linotype" w:eastAsia="Palatino Linotype" w:hAnsi="Palatino Linotype" w:cs="Palatino Linotype"/>
          <w:sz w:val="22"/>
          <w:szCs w:val="22"/>
        </w:rPr>
        <w:t xml:space="preserve">de tal suerte que al tratarse de una modificación de las condiciones </w:t>
      </w:r>
      <w:r w:rsidR="00CC22D8">
        <w:rPr>
          <w:rFonts w:ascii="Palatino Linotype" w:eastAsia="Palatino Linotype" w:hAnsi="Palatino Linotype" w:cs="Palatino Linotype"/>
          <w:sz w:val="22"/>
          <w:szCs w:val="22"/>
        </w:rPr>
        <w:lastRenderedPageBreak/>
        <w:t>del trabajador debe constar por escrito, de igual forma debe avisarse tanto al titular del área que cede de manera temporal al trabajador, como al titular del área que lo recibe.</w:t>
      </w:r>
    </w:p>
    <w:p w14:paraId="65645040" w14:textId="77777777" w:rsidR="006D508B" w:rsidRDefault="006D508B">
      <w:pPr>
        <w:spacing w:line="360" w:lineRule="auto"/>
        <w:ind w:right="49"/>
        <w:jc w:val="both"/>
        <w:rPr>
          <w:rFonts w:ascii="Palatino Linotype" w:eastAsia="Palatino Linotype" w:hAnsi="Palatino Linotype" w:cs="Palatino Linotype"/>
          <w:sz w:val="22"/>
          <w:szCs w:val="22"/>
        </w:rPr>
      </w:pPr>
    </w:p>
    <w:p w14:paraId="4AA4C2C7" w14:textId="0DEDA6CA" w:rsidR="002A63C6" w:rsidRDefault="00D13D19">
      <w:pPr>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De manera que en su respuesta, la cual fue refrendada mediante el Informe Justificado,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señala por conducto del Jefe de Departamento de Asuntos Laborales no contar con personal comisionado a su cargo, el cual, si bien es cierto, es el área competente, este </w:t>
      </w:r>
      <w:r w:rsidRPr="00BC5967">
        <w:rPr>
          <w:rFonts w:ascii="Palatino Linotype" w:eastAsia="Palatino Linotype" w:hAnsi="Palatino Linotype" w:cs="Palatino Linotype"/>
          <w:b/>
          <w:bCs/>
          <w:sz w:val="22"/>
          <w:szCs w:val="22"/>
        </w:rPr>
        <w:t>únicamente se pronuncia respecto de los servidores públicos a su cargo, no así de la totalidad del personal</w:t>
      </w:r>
      <w:r>
        <w:rPr>
          <w:rFonts w:ascii="Palatino Linotype" w:eastAsia="Palatino Linotype" w:hAnsi="Palatino Linotype" w:cs="Palatino Linotype"/>
          <w:sz w:val="22"/>
          <w:szCs w:val="22"/>
        </w:rPr>
        <w:t xml:space="preserve"> que labora para </w:t>
      </w:r>
      <w:r>
        <w:rPr>
          <w:rFonts w:ascii="Palatino Linotype" w:eastAsia="Palatino Linotype" w:hAnsi="Palatino Linotype" w:cs="Palatino Linotype"/>
          <w:b/>
          <w:sz w:val="22"/>
          <w:szCs w:val="22"/>
        </w:rPr>
        <w:t xml:space="preserve">EL SUJETO OBLIGADO. </w:t>
      </w:r>
    </w:p>
    <w:p w14:paraId="71245DDC" w14:textId="77777777" w:rsidR="00BC5967" w:rsidRDefault="00BC5967">
      <w:pPr>
        <w:spacing w:line="360" w:lineRule="auto"/>
        <w:ind w:right="49"/>
        <w:jc w:val="both"/>
        <w:rPr>
          <w:rFonts w:ascii="Palatino Linotype" w:eastAsia="Palatino Linotype" w:hAnsi="Palatino Linotype" w:cs="Palatino Linotype"/>
          <w:b/>
          <w:sz w:val="22"/>
          <w:szCs w:val="22"/>
        </w:rPr>
      </w:pPr>
    </w:p>
    <w:p w14:paraId="2DD1296E" w14:textId="5C35981E"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bien se advierte que la petición </w:t>
      </w:r>
      <w:r w:rsidR="006C048C" w:rsidRPr="006C048C">
        <w:rPr>
          <w:rFonts w:ascii="Palatino Linotype" w:eastAsia="Palatino Linotype" w:hAnsi="Palatino Linotype" w:cs="Palatino Linotype"/>
          <w:b/>
          <w:bCs/>
          <w:sz w:val="22"/>
          <w:szCs w:val="22"/>
        </w:rPr>
        <w:t>de EL RECURRENTE</w:t>
      </w:r>
      <w:r>
        <w:rPr>
          <w:rFonts w:ascii="Palatino Linotype" w:eastAsia="Palatino Linotype" w:hAnsi="Palatino Linotype" w:cs="Palatino Linotype"/>
          <w:sz w:val="22"/>
          <w:szCs w:val="22"/>
        </w:rPr>
        <w:t xml:space="preserve"> es muy clara en solicitar la información de diversas áreas, por lo que en atención a los principios de congruencia y exhaustividad, </w:t>
      </w:r>
      <w:r>
        <w:rPr>
          <w:rFonts w:ascii="Palatino Linotype" w:eastAsia="Palatino Linotype" w:hAnsi="Palatino Linotype" w:cs="Palatino Linotype"/>
          <w:b/>
          <w:sz w:val="22"/>
          <w:szCs w:val="22"/>
        </w:rPr>
        <w:t>EL SUJETO OBLIGADO</w:t>
      </w:r>
      <w:r>
        <w:rPr>
          <w:rFonts w:ascii="Palatino Linotype" w:eastAsia="Palatino Linotype" w:hAnsi="Palatino Linotype" w:cs="Palatino Linotype"/>
          <w:sz w:val="22"/>
          <w:szCs w:val="22"/>
        </w:rPr>
        <w:t xml:space="preserve"> debió pronunciarse sobre las plazas de las diferentes áreas no únicamente de la que tiene el servidor público habilitado a su cargo. </w:t>
      </w:r>
    </w:p>
    <w:p w14:paraId="0F198C05" w14:textId="77777777" w:rsidR="00BC5967" w:rsidRDefault="00BC5967">
      <w:pPr>
        <w:spacing w:line="360" w:lineRule="auto"/>
        <w:ind w:right="49"/>
        <w:jc w:val="both"/>
        <w:rPr>
          <w:rFonts w:ascii="Palatino Linotype" w:eastAsia="Palatino Linotype" w:hAnsi="Palatino Linotype" w:cs="Palatino Linotype"/>
          <w:sz w:val="22"/>
          <w:szCs w:val="22"/>
        </w:rPr>
      </w:pPr>
    </w:p>
    <w:p w14:paraId="4C2F3255" w14:textId="621D5C7A"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ello versa el criterio orientador 002/2017 del INAI, y la tesis 1a. CCCXXVII/2014 (10a.) emitida por la Primera Sala de la Suprema Corte de Justicia de la Nación, cuyo tenor es el siguiente:</w:t>
      </w:r>
    </w:p>
    <w:p w14:paraId="1B71AB29" w14:textId="77777777" w:rsidR="00BC5967" w:rsidRDefault="00BC5967">
      <w:pPr>
        <w:spacing w:line="360" w:lineRule="auto"/>
        <w:ind w:right="49"/>
        <w:jc w:val="both"/>
        <w:rPr>
          <w:rFonts w:ascii="Palatino Linotype" w:eastAsia="Palatino Linotype" w:hAnsi="Palatino Linotype" w:cs="Palatino Linotype"/>
          <w:sz w:val="22"/>
          <w:szCs w:val="22"/>
        </w:rPr>
      </w:pPr>
    </w:p>
    <w:p w14:paraId="49AACAC2" w14:textId="77777777" w:rsidR="002A63C6" w:rsidRDefault="00D13D19" w:rsidP="00BC5967">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Congruencia y exhaustividad</w:t>
      </w: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 Sus alcances para garantizar el derecho de acceso a la información.</w:t>
      </w:r>
      <w:r>
        <w:rPr>
          <w:rFonts w:ascii="Palatino Linotype" w:eastAsia="Palatino Linotype" w:hAnsi="Palatino Linotype" w:cs="Palatino Linotype"/>
          <w:i/>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w:t>
      </w:r>
      <w:r>
        <w:rPr>
          <w:rFonts w:ascii="Palatino Linotype" w:eastAsia="Palatino Linotype" w:hAnsi="Palatino Linotype" w:cs="Palatino Linotype"/>
          <w:i/>
          <w:sz w:val="20"/>
          <w:szCs w:val="20"/>
        </w:rPr>
        <w:lastRenderedPageBreak/>
        <w:t>guarden una relación lógica con lo solicitado y atiendan de manera puntual y expresa, cada uno de los contenidos de información.”(Sic)</w:t>
      </w:r>
    </w:p>
    <w:p w14:paraId="38315330" w14:textId="77777777" w:rsidR="002A63C6" w:rsidRDefault="002A63C6">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5" w:name="_heading=h.h5f6uylknmte" w:colFirst="0" w:colLast="0"/>
      <w:bookmarkEnd w:id="5"/>
    </w:p>
    <w:p w14:paraId="575122B1" w14:textId="3A60E363" w:rsidR="002A63C6" w:rsidRDefault="00D13D19">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criterio citado se desprende que las respuestas de los Sujetos Obligados deberán contar con dos elementos; la congruencia y la exhaustividad.</w:t>
      </w:r>
      <w:r w:rsidR="00BC5967">
        <w:rPr>
          <w:rFonts w:ascii="Palatino Linotype" w:eastAsia="Palatino Linotype" w:hAnsi="Palatino Linotype" w:cs="Palatino Linotype"/>
          <w:sz w:val="22"/>
          <w:szCs w:val="22"/>
        </w:rPr>
        <w:t xml:space="preserve"> Se</w:t>
      </w:r>
      <w:r>
        <w:rPr>
          <w:rFonts w:ascii="Palatino Linotype" w:eastAsia="Palatino Linotype" w:hAnsi="Palatino Linotype" w:cs="Palatino Linotype"/>
          <w:sz w:val="22"/>
          <w:szCs w:val="22"/>
        </w:rPr>
        <w:t xml:space="preserve"> </w:t>
      </w:r>
      <w:r w:rsidR="00BC5967">
        <w:rPr>
          <w:rFonts w:ascii="Palatino Linotype" w:eastAsia="Palatino Linotype" w:hAnsi="Palatino Linotype" w:cs="Palatino Linotype"/>
          <w:sz w:val="22"/>
          <w:szCs w:val="22"/>
        </w:rPr>
        <w:t>e</w:t>
      </w:r>
      <w:r>
        <w:rPr>
          <w:rFonts w:ascii="Palatino Linotype" w:eastAsia="Palatino Linotype" w:hAnsi="Palatino Linotype" w:cs="Palatino Linotype"/>
          <w:sz w:val="22"/>
          <w:szCs w:val="22"/>
        </w:rPr>
        <w:t>ntiend</w:t>
      </w:r>
      <w:r w:rsidR="00BC5967">
        <w:rPr>
          <w:rFonts w:ascii="Palatino Linotype" w:eastAsia="Palatino Linotype" w:hAnsi="Palatino Linotype" w:cs="Palatino Linotype"/>
          <w:sz w:val="22"/>
          <w:szCs w:val="22"/>
        </w:rPr>
        <w:t>e por</w:t>
      </w:r>
      <w:r>
        <w:rPr>
          <w:rFonts w:ascii="Palatino Linotype" w:eastAsia="Palatino Linotype" w:hAnsi="Palatino Linotype" w:cs="Palatino Linotype"/>
          <w:sz w:val="22"/>
          <w:szCs w:val="22"/>
        </w:rPr>
        <w:t xml:space="preserve"> el primero como una relación entre el requerimiento formulado y la respuesta propiciada y el segundo como atender de manera puntual a cada uno de los pronunciamientos en la solicitud. </w:t>
      </w:r>
    </w:p>
    <w:p w14:paraId="320021C9" w14:textId="77777777" w:rsidR="00BC5967" w:rsidRDefault="00BC5967">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2376685D" w14:textId="69C6989F"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w:t>
      </w:r>
      <w:r w:rsidR="00BC5967">
        <w:rPr>
          <w:rFonts w:ascii="Palatino Linotype" w:eastAsia="Palatino Linotype" w:hAnsi="Palatino Linotype" w:cs="Palatino Linotype"/>
          <w:sz w:val="22"/>
          <w:szCs w:val="22"/>
        </w:rPr>
        <w:t>el Servidor Público Habilitado</w:t>
      </w:r>
      <w:r>
        <w:rPr>
          <w:rFonts w:ascii="Palatino Linotype" w:eastAsia="Palatino Linotype" w:hAnsi="Palatino Linotype" w:cs="Palatino Linotype"/>
          <w:sz w:val="22"/>
          <w:szCs w:val="22"/>
        </w:rPr>
        <w:t xml:space="preserve"> debió pronunciarse respecto de cada un</w:t>
      </w:r>
      <w:r w:rsidR="00BC5967">
        <w:rPr>
          <w:rFonts w:ascii="Palatino Linotype" w:eastAsia="Palatino Linotype" w:hAnsi="Palatino Linotype" w:cs="Palatino Linotype"/>
          <w:sz w:val="22"/>
          <w:szCs w:val="22"/>
        </w:rPr>
        <w:t>o</w:t>
      </w:r>
      <w:r>
        <w:rPr>
          <w:rFonts w:ascii="Palatino Linotype" w:eastAsia="Palatino Linotype" w:hAnsi="Palatino Linotype" w:cs="Palatino Linotype"/>
          <w:sz w:val="22"/>
          <w:szCs w:val="22"/>
        </w:rPr>
        <w:t xml:space="preserve"> de los departamentos y direcciones que conforman</w:t>
      </w:r>
      <w:r w:rsidR="00BC5967">
        <w:rPr>
          <w:rFonts w:ascii="Palatino Linotype" w:eastAsia="Palatino Linotype" w:hAnsi="Palatino Linotype" w:cs="Palatino Linotype"/>
          <w:sz w:val="22"/>
          <w:szCs w:val="22"/>
        </w:rPr>
        <w:t xml:space="preserve"> al SEIEM y no sólo del personal a su cargo</w:t>
      </w:r>
      <w:r>
        <w:rPr>
          <w:rFonts w:ascii="Palatino Linotype" w:eastAsia="Palatino Linotype" w:hAnsi="Palatino Linotype" w:cs="Palatino Linotype"/>
          <w:sz w:val="22"/>
          <w:szCs w:val="22"/>
        </w:rPr>
        <w:t>.</w:t>
      </w:r>
      <w:r w:rsidR="00BC5967">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Así este Instituto realizó investigación en el portal de IPOMEX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en el apartado correspondiente a su estructura orgánica encontrando que su organización según lo dispuesto por dicha estructura se divide en: </w:t>
      </w:r>
    </w:p>
    <w:p w14:paraId="02DA0A2B" w14:textId="77777777" w:rsidR="00BC5967" w:rsidRDefault="00BC5967">
      <w:pPr>
        <w:spacing w:line="360" w:lineRule="auto"/>
        <w:ind w:right="49"/>
        <w:jc w:val="both"/>
        <w:rPr>
          <w:rFonts w:ascii="Palatino Linotype" w:eastAsia="Palatino Linotype" w:hAnsi="Palatino Linotype" w:cs="Palatino Linotype"/>
          <w:sz w:val="22"/>
          <w:szCs w:val="22"/>
        </w:rPr>
      </w:pPr>
    </w:p>
    <w:p w14:paraId="108E84D1" w14:textId="77777777" w:rsidR="002A63C6" w:rsidRDefault="00D13D19">
      <w:pPr>
        <w:numPr>
          <w:ilvl w:val="0"/>
          <w:numId w:val="3"/>
        </w:num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Dirección General </w:t>
      </w:r>
    </w:p>
    <w:p w14:paraId="4689EEE9" w14:textId="77777777" w:rsidR="002A63C6" w:rsidRDefault="00D13D19">
      <w:pPr>
        <w:numPr>
          <w:ilvl w:val="0"/>
          <w:numId w:val="3"/>
        </w:num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Coordinación Académica y de Operación Educativa </w:t>
      </w:r>
    </w:p>
    <w:p w14:paraId="349F4832" w14:textId="77777777" w:rsidR="002A63C6" w:rsidRDefault="00D13D19">
      <w:pPr>
        <w:numPr>
          <w:ilvl w:val="0"/>
          <w:numId w:val="3"/>
        </w:num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Subdirección de Finanzas. </w:t>
      </w:r>
    </w:p>
    <w:p w14:paraId="5DA1810D" w14:textId="77777777" w:rsidR="002A63C6" w:rsidRDefault="002A63C6">
      <w:pPr>
        <w:spacing w:line="360" w:lineRule="auto"/>
        <w:ind w:left="720" w:right="49"/>
        <w:jc w:val="both"/>
        <w:rPr>
          <w:rFonts w:ascii="Palatino Linotype" w:eastAsia="Palatino Linotype" w:hAnsi="Palatino Linotype" w:cs="Palatino Linotype"/>
          <w:sz w:val="22"/>
          <w:szCs w:val="22"/>
        </w:rPr>
      </w:pPr>
    </w:p>
    <w:p w14:paraId="17E0B63A" w14:textId="77777777"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la Dirección General se divide en diversas unidades de las cuales para el caso que nos ocupa resulta relevante la Coordinación de Administración y Finanzas, misma que a su vez, se compone de cuatro direcciones, entre ellas, la Dirección de Administración y Desarrollo de Personal, la cual dio respuesta a la solicitud de información materia del presente recurso, por medio del Departamento de Asuntos Laborales dependiente de la Subdirección de Desarrollo de Personal. </w:t>
      </w:r>
    </w:p>
    <w:p w14:paraId="22BB9521" w14:textId="77777777" w:rsidR="002A63C6" w:rsidRDefault="002A63C6">
      <w:pPr>
        <w:spacing w:line="360" w:lineRule="auto"/>
        <w:ind w:right="49"/>
        <w:jc w:val="both"/>
        <w:rPr>
          <w:rFonts w:ascii="Palatino Linotype" w:eastAsia="Palatino Linotype" w:hAnsi="Palatino Linotype" w:cs="Palatino Linotype"/>
          <w:sz w:val="22"/>
          <w:szCs w:val="22"/>
        </w:rPr>
      </w:pPr>
    </w:p>
    <w:p w14:paraId="0119FDAF" w14:textId="77777777" w:rsidR="002A63C6" w:rsidRDefault="00D13D19">
      <w:pPr>
        <w:spacing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lastRenderedPageBreak/>
        <w:drawing>
          <wp:inline distT="114300" distB="114300" distL="114300" distR="114300" wp14:anchorId="09BFB906" wp14:editId="1B29CECF">
            <wp:extent cx="4391025" cy="1588135"/>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10685" b="26936"/>
                    <a:stretch>
                      <a:fillRect/>
                    </a:stretch>
                  </pic:blipFill>
                  <pic:spPr>
                    <a:xfrm>
                      <a:off x="0" y="0"/>
                      <a:ext cx="4391025" cy="1588135"/>
                    </a:xfrm>
                    <a:prstGeom prst="rect">
                      <a:avLst/>
                    </a:prstGeom>
                    <a:ln/>
                  </pic:spPr>
                </pic:pic>
              </a:graphicData>
            </a:graphic>
          </wp:inline>
        </w:drawing>
      </w:r>
    </w:p>
    <w:p w14:paraId="5D25DA9E" w14:textId="77777777" w:rsidR="002A63C6" w:rsidRDefault="00D13D19">
      <w:pPr>
        <w:spacing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114300" distB="114300" distL="114300" distR="114300" wp14:anchorId="2DEF9472" wp14:editId="5B1EAA8F">
            <wp:extent cx="4314190" cy="2179801"/>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12675"/>
                    <a:stretch>
                      <a:fillRect/>
                    </a:stretch>
                  </pic:blipFill>
                  <pic:spPr>
                    <a:xfrm>
                      <a:off x="0" y="0"/>
                      <a:ext cx="4314190" cy="2179801"/>
                    </a:xfrm>
                    <a:prstGeom prst="rect">
                      <a:avLst/>
                    </a:prstGeom>
                    <a:ln/>
                  </pic:spPr>
                </pic:pic>
              </a:graphicData>
            </a:graphic>
          </wp:inline>
        </w:drawing>
      </w:r>
    </w:p>
    <w:p w14:paraId="1040DA83" w14:textId="77777777" w:rsidR="002A63C6" w:rsidRDefault="00D13D19">
      <w:pPr>
        <w:spacing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114300" distB="114300" distL="114300" distR="114300" wp14:anchorId="42822549" wp14:editId="15DD4C98">
            <wp:extent cx="3952240" cy="1165059"/>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17564"/>
                    <a:stretch>
                      <a:fillRect/>
                    </a:stretch>
                  </pic:blipFill>
                  <pic:spPr>
                    <a:xfrm>
                      <a:off x="0" y="0"/>
                      <a:ext cx="3952240" cy="1165059"/>
                    </a:xfrm>
                    <a:prstGeom prst="rect">
                      <a:avLst/>
                    </a:prstGeom>
                    <a:ln/>
                  </pic:spPr>
                </pic:pic>
              </a:graphicData>
            </a:graphic>
          </wp:inline>
        </w:drawing>
      </w:r>
    </w:p>
    <w:p w14:paraId="230B7CE1" w14:textId="77777777" w:rsidR="002A63C6" w:rsidRDefault="00D13D19">
      <w:pPr>
        <w:spacing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114300" distB="114300" distL="114300" distR="114300" wp14:anchorId="65D02C59" wp14:editId="7E4236F5">
            <wp:extent cx="3547428" cy="868571"/>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547428" cy="868571"/>
                    </a:xfrm>
                    <a:prstGeom prst="rect">
                      <a:avLst/>
                    </a:prstGeom>
                    <a:ln/>
                  </pic:spPr>
                </pic:pic>
              </a:graphicData>
            </a:graphic>
          </wp:inline>
        </w:drawing>
      </w:r>
    </w:p>
    <w:p w14:paraId="0AC27A71" w14:textId="77777777" w:rsidR="002A63C6" w:rsidRDefault="00D13D19">
      <w:pPr>
        <w:spacing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lastRenderedPageBreak/>
        <w:drawing>
          <wp:inline distT="114300" distB="114300" distL="114300" distR="114300" wp14:anchorId="4D435308" wp14:editId="2AD547D4">
            <wp:extent cx="3610610" cy="1693313"/>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610610" cy="1693313"/>
                    </a:xfrm>
                    <a:prstGeom prst="rect">
                      <a:avLst/>
                    </a:prstGeom>
                    <a:ln/>
                  </pic:spPr>
                </pic:pic>
              </a:graphicData>
            </a:graphic>
          </wp:inline>
        </w:drawing>
      </w:r>
    </w:p>
    <w:p w14:paraId="778C5F6E" w14:textId="77777777" w:rsidR="00BC5967" w:rsidRDefault="00BC5967">
      <w:pPr>
        <w:spacing w:line="360" w:lineRule="auto"/>
        <w:ind w:right="49"/>
        <w:jc w:val="both"/>
        <w:rPr>
          <w:rFonts w:ascii="Palatino Linotype" w:eastAsia="Palatino Linotype" w:hAnsi="Palatino Linotype" w:cs="Palatino Linotype"/>
          <w:sz w:val="22"/>
          <w:szCs w:val="22"/>
        </w:rPr>
      </w:pPr>
    </w:p>
    <w:p w14:paraId="4903E79B" w14:textId="77777777" w:rsidR="00BC5967"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de la imágenes antes insertas se puede apreciar </w:t>
      </w:r>
      <w:r w:rsidR="00BC5967">
        <w:rPr>
          <w:rFonts w:ascii="Palatino Linotype" w:eastAsia="Palatino Linotype" w:hAnsi="Palatino Linotype" w:cs="Palatino Linotype"/>
          <w:sz w:val="22"/>
          <w:szCs w:val="22"/>
        </w:rPr>
        <w:t>de manera general que la respuesta debió pronunciarse sobre diversas áreas y no sólo sobre una jefatura de departamento.</w:t>
      </w:r>
    </w:p>
    <w:p w14:paraId="09D34371" w14:textId="77777777" w:rsidR="002A63C6" w:rsidRDefault="002A63C6">
      <w:pPr>
        <w:spacing w:line="360" w:lineRule="auto"/>
        <w:jc w:val="both"/>
        <w:rPr>
          <w:rFonts w:ascii="Palatino Linotype" w:eastAsia="Palatino Linotype" w:hAnsi="Palatino Linotype" w:cs="Palatino Linotype"/>
          <w:sz w:val="22"/>
          <w:szCs w:val="22"/>
        </w:rPr>
      </w:pPr>
    </w:p>
    <w:p w14:paraId="2A92C331" w14:textId="77777777" w:rsidR="005358DD" w:rsidRDefault="00D13D19">
      <w:pPr>
        <w:tabs>
          <w:tab w:val="left" w:pos="2422"/>
        </w:tabs>
        <w:spacing w:line="360" w:lineRule="auto"/>
        <w:ind w:right="49"/>
        <w:jc w:val="both"/>
        <w:rPr>
          <w:rFonts w:ascii="Palatino Linotype" w:eastAsia="Palatino Linotype" w:hAnsi="Palatino Linotype" w:cs="Palatino Linotype"/>
          <w:b/>
          <w:bCs/>
          <w:sz w:val="22"/>
          <w:szCs w:val="22"/>
        </w:rPr>
      </w:pPr>
      <w:bookmarkStart w:id="6" w:name="_heading=h.30j0zll" w:colFirst="0" w:colLast="0"/>
      <w:bookmarkEnd w:id="6"/>
      <w:r>
        <w:rPr>
          <w:rFonts w:ascii="Palatino Linotype" w:eastAsia="Palatino Linotype" w:hAnsi="Palatino Linotype" w:cs="Palatino Linotype"/>
          <w:sz w:val="22"/>
          <w:szCs w:val="22"/>
        </w:rPr>
        <w:t xml:space="preserve">Atento a lo anterior, este Órgano Garante considera que no se tiene por colmado el requerimiento del particular; en razón de que, </w:t>
      </w:r>
      <w:r w:rsidR="00BC5967">
        <w:rPr>
          <w:rFonts w:ascii="Palatino Linotype" w:eastAsia="Palatino Linotype" w:hAnsi="Palatino Linotype" w:cs="Palatino Linotype"/>
          <w:sz w:val="22"/>
          <w:szCs w:val="22"/>
        </w:rPr>
        <w:t>pudieron haberse llevado comisiones en otras áreas del Sujeto Obligado; sin embargo, si derivado de la búsqueda exhaust</w:t>
      </w:r>
      <w:r w:rsidR="005358DD">
        <w:rPr>
          <w:rFonts w:ascii="Palatino Linotype" w:eastAsia="Palatino Linotype" w:hAnsi="Palatino Linotype" w:cs="Palatino Linotype"/>
          <w:sz w:val="22"/>
          <w:szCs w:val="22"/>
        </w:rPr>
        <w:t xml:space="preserve">iva y razonable en los archivos de todo el personal de </w:t>
      </w:r>
      <w:r w:rsidR="005358DD">
        <w:rPr>
          <w:rFonts w:ascii="Palatino Linotype" w:eastAsia="Palatino Linotype" w:hAnsi="Palatino Linotype" w:cs="Palatino Linotype"/>
          <w:b/>
          <w:bCs/>
          <w:sz w:val="22"/>
          <w:szCs w:val="22"/>
        </w:rPr>
        <w:t>EL SUJETO OBLIGADO,</w:t>
      </w:r>
      <w:r w:rsidR="005358DD">
        <w:rPr>
          <w:rFonts w:ascii="Palatino Linotype" w:eastAsia="Palatino Linotype" w:hAnsi="Palatino Linotype" w:cs="Palatino Linotype"/>
          <w:sz w:val="22"/>
          <w:szCs w:val="22"/>
        </w:rPr>
        <w:t xml:space="preserve"> la misma no se haya generado, por ser una situación excepcional, ya que no existe a una atribución legal que deba realizarse, bastará con que lo haga del conocimiento de </w:t>
      </w:r>
      <w:r w:rsidR="005358DD">
        <w:rPr>
          <w:rFonts w:ascii="Palatino Linotype" w:eastAsia="Palatino Linotype" w:hAnsi="Palatino Linotype" w:cs="Palatino Linotype"/>
          <w:b/>
          <w:bCs/>
          <w:sz w:val="22"/>
          <w:szCs w:val="22"/>
        </w:rPr>
        <w:t>EL RECURRENTE.</w:t>
      </w:r>
    </w:p>
    <w:p w14:paraId="34245690" w14:textId="77777777" w:rsidR="005358DD" w:rsidRDefault="005358DD">
      <w:pPr>
        <w:tabs>
          <w:tab w:val="left" w:pos="2422"/>
        </w:tabs>
        <w:spacing w:line="360" w:lineRule="auto"/>
        <w:ind w:right="49"/>
        <w:jc w:val="both"/>
        <w:rPr>
          <w:rFonts w:ascii="Palatino Linotype" w:eastAsia="Palatino Linotype" w:hAnsi="Palatino Linotype" w:cs="Palatino Linotype"/>
          <w:b/>
          <w:bCs/>
          <w:sz w:val="22"/>
          <w:szCs w:val="22"/>
        </w:rPr>
      </w:pPr>
    </w:p>
    <w:p w14:paraId="69D4D40D" w14:textId="25FF2B7B" w:rsidR="00184631" w:rsidRDefault="00184631">
      <w:pPr>
        <w:tabs>
          <w:tab w:val="left" w:pos="2422"/>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deja de lado que el Particular no indicó el plazo por el cual requiere la información, por lo cual se deberá estar al Criterio 3/19 del INAI, el cual refiere:</w:t>
      </w:r>
    </w:p>
    <w:p w14:paraId="4933DC35" w14:textId="6593C4E1" w:rsidR="00184631" w:rsidRDefault="00184631">
      <w:pPr>
        <w:tabs>
          <w:tab w:val="left" w:pos="2422"/>
        </w:tabs>
        <w:spacing w:line="360" w:lineRule="auto"/>
        <w:ind w:right="49"/>
        <w:jc w:val="both"/>
        <w:rPr>
          <w:rFonts w:ascii="Palatino Linotype" w:eastAsia="Palatino Linotype" w:hAnsi="Palatino Linotype" w:cs="Palatino Linotype"/>
          <w:sz w:val="22"/>
          <w:szCs w:val="22"/>
        </w:rPr>
      </w:pPr>
    </w:p>
    <w:p w14:paraId="70F4CD98" w14:textId="0E5191E4" w:rsidR="00184631" w:rsidRPr="00184631" w:rsidRDefault="00184631" w:rsidP="00184631">
      <w:pPr>
        <w:tabs>
          <w:tab w:val="left" w:pos="2422"/>
        </w:tabs>
        <w:spacing w:line="360" w:lineRule="auto"/>
        <w:ind w:left="567" w:right="567"/>
        <w:jc w:val="both"/>
        <w:rPr>
          <w:rFonts w:ascii="Palatino Linotype" w:eastAsia="Palatino Linotype" w:hAnsi="Palatino Linotype" w:cs="Palatino Linotype"/>
          <w:i/>
          <w:iCs/>
          <w:sz w:val="22"/>
          <w:szCs w:val="22"/>
        </w:rPr>
      </w:pPr>
      <w:r w:rsidRPr="00184631">
        <w:rPr>
          <w:rFonts w:ascii="Palatino Linotype" w:eastAsia="Palatino Linotype" w:hAnsi="Palatino Linotype" w:cs="Palatino Linotype"/>
          <w:i/>
          <w:iCs/>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97C928D" w14:textId="77777777" w:rsidR="00184631" w:rsidRDefault="00184631">
      <w:pPr>
        <w:tabs>
          <w:tab w:val="left" w:pos="2422"/>
        </w:tabs>
        <w:spacing w:line="360" w:lineRule="auto"/>
        <w:ind w:right="49"/>
        <w:jc w:val="both"/>
        <w:rPr>
          <w:rFonts w:ascii="Palatino Linotype" w:eastAsia="Palatino Linotype" w:hAnsi="Palatino Linotype" w:cs="Palatino Linotype"/>
          <w:sz w:val="22"/>
          <w:szCs w:val="22"/>
        </w:rPr>
      </w:pPr>
    </w:p>
    <w:p w14:paraId="08CEFE8D" w14:textId="70D71BF7" w:rsidR="002A63C6" w:rsidRDefault="00BC5967">
      <w:pPr>
        <w:tabs>
          <w:tab w:val="left" w:pos="2422"/>
        </w:tabs>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r w:rsidR="00184631">
        <w:rPr>
          <w:rFonts w:ascii="Palatino Linotype" w:eastAsia="Palatino Linotype" w:hAnsi="Palatino Linotype" w:cs="Palatino Linotype"/>
          <w:sz w:val="22"/>
          <w:szCs w:val="22"/>
        </w:rPr>
        <w:t>De tal suerte que, la información se deberá entregar por el plazo correspondiente del veintitrés de noviembre de dos mil veinte al veintitrés de noviembre de dos mil veintiuno.</w:t>
      </w:r>
    </w:p>
    <w:p w14:paraId="0758D7BB" w14:textId="7658E44B" w:rsidR="00184631" w:rsidRDefault="00184631">
      <w:pPr>
        <w:tabs>
          <w:tab w:val="left" w:pos="2422"/>
        </w:tabs>
        <w:spacing w:line="360" w:lineRule="auto"/>
        <w:ind w:right="49"/>
        <w:jc w:val="both"/>
        <w:rPr>
          <w:rFonts w:ascii="Palatino Linotype" w:eastAsia="Palatino Linotype" w:hAnsi="Palatino Linotype" w:cs="Palatino Linotype"/>
          <w:sz w:val="22"/>
          <w:szCs w:val="22"/>
        </w:rPr>
      </w:pPr>
    </w:p>
    <w:p w14:paraId="300B8949" w14:textId="77777777" w:rsidR="00184631" w:rsidRPr="00F512DF" w:rsidRDefault="00184631" w:rsidP="00184631">
      <w:pPr>
        <w:tabs>
          <w:tab w:val="left" w:pos="4962"/>
        </w:tabs>
        <w:spacing w:line="360" w:lineRule="auto"/>
        <w:jc w:val="both"/>
        <w:rPr>
          <w:rFonts w:ascii="Palatino Linotype" w:hAnsi="Palatino Linotype" w:cs="Tahoma"/>
          <w:b/>
          <w:sz w:val="22"/>
          <w:szCs w:val="22"/>
        </w:rPr>
      </w:pPr>
      <w:r w:rsidRPr="00F512DF">
        <w:rPr>
          <w:rFonts w:ascii="Palatino Linotype" w:hAnsi="Palatino Linotype" w:cs="Tahoma"/>
          <w:b/>
          <w:sz w:val="22"/>
          <w:szCs w:val="22"/>
        </w:rPr>
        <w:t>Versión Pública</w:t>
      </w:r>
    </w:p>
    <w:p w14:paraId="459E9461" w14:textId="77777777" w:rsidR="00184631" w:rsidRPr="00F512DF" w:rsidRDefault="00184631" w:rsidP="00184631">
      <w:pPr>
        <w:tabs>
          <w:tab w:val="left" w:pos="4962"/>
        </w:tabs>
        <w:spacing w:line="360" w:lineRule="auto"/>
        <w:jc w:val="both"/>
        <w:rPr>
          <w:rFonts w:ascii="Palatino Linotype" w:hAnsi="Palatino Linotype" w:cs="Tahoma"/>
          <w:sz w:val="22"/>
          <w:szCs w:val="22"/>
        </w:rPr>
      </w:pPr>
    </w:p>
    <w:p w14:paraId="6FAF256D" w14:textId="44824A80" w:rsidR="00184631" w:rsidRDefault="00184631" w:rsidP="00184631">
      <w:pPr>
        <w:spacing w:line="360" w:lineRule="auto"/>
        <w:ind w:right="-93"/>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No pasa desapercibido, que </w:t>
      </w:r>
      <w:r w:rsidRPr="006B075A">
        <w:rPr>
          <w:rFonts w:ascii="Palatino Linotype" w:eastAsia="Calibri" w:hAnsi="Palatino Linotype" w:cs="Tahoma"/>
          <w:bCs/>
          <w:iCs/>
          <w:sz w:val="22"/>
          <w:szCs w:val="22"/>
          <w:lang w:eastAsia="es-ES_tradnl"/>
        </w:rPr>
        <w:t xml:space="preserve">es </w:t>
      </w:r>
      <w:r w:rsidRPr="00052CA8">
        <w:rPr>
          <w:rFonts w:ascii="Palatino Linotype" w:eastAsia="Calibri" w:hAnsi="Palatino Linotype" w:cs="Tahoma"/>
          <w:bCs/>
          <w:sz w:val="22"/>
          <w:szCs w:val="22"/>
          <w:lang w:eastAsia="en-US"/>
        </w:rPr>
        <w:t>posible</w:t>
      </w:r>
      <w:r w:rsidRPr="006B075A">
        <w:rPr>
          <w:rFonts w:ascii="Palatino Linotype" w:eastAsia="Calibri" w:hAnsi="Palatino Linotype" w:cs="Tahoma"/>
          <w:bCs/>
          <w:iCs/>
          <w:sz w:val="22"/>
          <w:szCs w:val="22"/>
          <w:lang w:eastAsia="es-ES_tradnl"/>
        </w:rPr>
        <w:t xml:space="preserve"> que los documentos que den cuenta de </w:t>
      </w:r>
      <w:r>
        <w:rPr>
          <w:rFonts w:ascii="Palatino Linotype" w:eastAsia="Calibri" w:hAnsi="Palatino Linotype" w:cs="Tahoma"/>
          <w:bCs/>
          <w:iCs/>
          <w:sz w:val="22"/>
          <w:szCs w:val="22"/>
          <w:lang w:eastAsia="es-ES_tradnl"/>
        </w:rPr>
        <w:t>la información</w:t>
      </w:r>
      <w:r w:rsidRPr="006B075A">
        <w:rPr>
          <w:rFonts w:ascii="Palatino Linotype" w:eastAsia="Calibri" w:hAnsi="Palatino Linotype" w:cs="Tahoma"/>
          <w:bCs/>
          <w:iCs/>
          <w:sz w:val="22"/>
          <w:szCs w:val="22"/>
          <w:lang w:eastAsia="es-ES_tradnl"/>
        </w:rPr>
        <w:t xml:space="preserve"> </w:t>
      </w:r>
      <w:r>
        <w:rPr>
          <w:rFonts w:ascii="Palatino Linotype" w:eastAsia="Calibri" w:hAnsi="Palatino Linotype" w:cs="Tahoma"/>
          <w:bCs/>
          <w:iCs/>
          <w:sz w:val="22"/>
          <w:szCs w:val="22"/>
          <w:lang w:eastAsia="es-ES_tradnl"/>
        </w:rPr>
        <w:t xml:space="preserve">que se ordena entregar </w:t>
      </w:r>
      <w:r w:rsidRPr="006B075A">
        <w:rPr>
          <w:rFonts w:ascii="Palatino Linotype" w:eastAsia="Calibri" w:hAnsi="Palatino Linotype" w:cs="Tahoma"/>
          <w:bCs/>
          <w:iCs/>
          <w:sz w:val="22"/>
          <w:szCs w:val="22"/>
          <w:lang w:eastAsia="es-ES_tradnl"/>
        </w:rPr>
        <w:t xml:space="preserve">pudiera </w:t>
      </w:r>
      <w:r>
        <w:rPr>
          <w:rFonts w:ascii="Palatino Linotype" w:eastAsia="Calibri" w:hAnsi="Palatino Linotype" w:cs="Tahoma"/>
          <w:bCs/>
          <w:iCs/>
          <w:sz w:val="22"/>
          <w:szCs w:val="22"/>
          <w:lang w:eastAsia="es-ES_tradnl"/>
        </w:rPr>
        <w:t xml:space="preserve">contener </w:t>
      </w:r>
      <w:r w:rsidRPr="006B075A">
        <w:rPr>
          <w:rFonts w:ascii="Palatino Linotype" w:eastAsia="Calibri" w:hAnsi="Palatino Linotype" w:cs="Tahoma"/>
          <w:bCs/>
          <w:iCs/>
          <w:sz w:val="22"/>
          <w:szCs w:val="22"/>
          <w:lang w:eastAsia="es-ES_tradnl"/>
        </w:rPr>
        <w:t>información clasificada</w:t>
      </w:r>
      <w:r>
        <w:rPr>
          <w:rFonts w:ascii="Palatino Linotype" w:eastAsia="Calibri" w:hAnsi="Palatino Linotype" w:cs="Tahoma"/>
          <w:bCs/>
          <w:iCs/>
          <w:sz w:val="22"/>
          <w:szCs w:val="22"/>
          <w:lang w:eastAsia="es-ES_tradnl"/>
        </w:rPr>
        <w:t>, por tratarse de datos personales confidenciales de acuerdo a lo establecido en el artículo 143, fracción I de la Ley de Transparencia y Acceso a la Información Pública del Estado de México y Municipios</w:t>
      </w:r>
      <w:r w:rsidRPr="006B075A">
        <w:rPr>
          <w:rFonts w:ascii="Palatino Linotype" w:eastAsia="Calibri" w:hAnsi="Palatino Linotype" w:cs="Tahoma"/>
          <w:bCs/>
          <w:iCs/>
          <w:sz w:val="22"/>
          <w:szCs w:val="22"/>
          <w:lang w:eastAsia="es-ES_tradnl"/>
        </w:rPr>
        <w:t xml:space="preserve">, por lo que es de señalar que previo a la entrega al </w:t>
      </w:r>
      <w:r>
        <w:rPr>
          <w:rFonts w:ascii="Palatino Linotype" w:eastAsia="Calibri" w:hAnsi="Palatino Linotype" w:cs="Tahoma"/>
          <w:bCs/>
          <w:iCs/>
          <w:sz w:val="22"/>
          <w:szCs w:val="22"/>
          <w:lang w:eastAsia="es-ES_tradnl"/>
        </w:rPr>
        <w:t>R</w:t>
      </w:r>
      <w:r w:rsidRPr="006B075A">
        <w:rPr>
          <w:rFonts w:ascii="Palatino Linotype" w:eastAsia="Calibri" w:hAnsi="Palatino Linotype" w:cs="Tahoma"/>
          <w:bCs/>
          <w:iCs/>
          <w:sz w:val="22"/>
          <w:szCs w:val="22"/>
          <w:lang w:eastAsia="es-ES_tradnl"/>
        </w:rPr>
        <w:t xml:space="preserve">ecurrente, </w:t>
      </w:r>
      <w:r>
        <w:rPr>
          <w:rFonts w:ascii="Palatino Linotype" w:eastAsia="Calibri" w:hAnsi="Palatino Linotype" w:cs="Tahoma"/>
          <w:bCs/>
          <w:iCs/>
          <w:sz w:val="22"/>
          <w:szCs w:val="22"/>
          <w:lang w:eastAsia="es-ES_tradnl"/>
        </w:rPr>
        <w:t xml:space="preserve">de ser el caso, </w:t>
      </w:r>
      <w:r w:rsidRPr="006B075A">
        <w:rPr>
          <w:rFonts w:ascii="Palatino Linotype" w:eastAsia="Calibri" w:hAnsi="Palatino Linotype" w:cs="Tahoma"/>
          <w:bCs/>
          <w:iCs/>
          <w:sz w:val="22"/>
          <w:szCs w:val="22"/>
          <w:lang w:eastAsia="es-ES_tradnl"/>
        </w:rPr>
        <w:t xml:space="preserve">deberá llevarse a cabo la revisión de los documentos y </w:t>
      </w:r>
      <w:r>
        <w:rPr>
          <w:rFonts w:ascii="Palatino Linotype" w:eastAsia="Calibri" w:hAnsi="Palatino Linotype" w:cs="Tahoma"/>
          <w:bCs/>
          <w:iCs/>
          <w:sz w:val="22"/>
          <w:szCs w:val="22"/>
          <w:lang w:eastAsia="es-ES_tradnl"/>
        </w:rPr>
        <w:t>d</w:t>
      </w:r>
      <w:r w:rsidRPr="006B075A">
        <w:rPr>
          <w:rFonts w:ascii="Palatino Linotype" w:eastAsia="Calibri" w:hAnsi="Palatino Linotype" w:cs="Tahoma"/>
          <w:bCs/>
          <w:iCs/>
          <w:sz w:val="22"/>
          <w:szCs w:val="22"/>
          <w:lang w:eastAsia="es-ES_tradnl"/>
        </w:rPr>
        <w:t>e</w:t>
      </w:r>
      <w:r>
        <w:rPr>
          <w:rFonts w:ascii="Palatino Linotype" w:eastAsia="Calibri" w:hAnsi="Palatino Linotype" w:cs="Tahoma"/>
          <w:bCs/>
          <w:iCs/>
          <w:sz w:val="22"/>
          <w:szCs w:val="22"/>
          <w:lang w:eastAsia="es-ES_tradnl"/>
        </w:rPr>
        <w:t xml:space="preserve"> resultar</w:t>
      </w:r>
      <w:r w:rsidRPr="006B075A">
        <w:rPr>
          <w:rFonts w:ascii="Palatino Linotype" w:eastAsia="Calibri" w:hAnsi="Palatino Linotype" w:cs="Tahoma"/>
          <w:bCs/>
          <w:iCs/>
          <w:sz w:val="22"/>
          <w:szCs w:val="22"/>
          <w:lang w:eastAsia="es-ES_tradnl"/>
        </w:rPr>
        <w:t xml:space="preserve"> procede</w:t>
      </w:r>
      <w:r>
        <w:rPr>
          <w:rFonts w:ascii="Palatino Linotype" w:eastAsia="Calibri" w:hAnsi="Palatino Linotype" w:cs="Tahoma"/>
          <w:bCs/>
          <w:iCs/>
          <w:sz w:val="22"/>
          <w:szCs w:val="22"/>
          <w:lang w:eastAsia="es-ES_tradnl"/>
        </w:rPr>
        <w:t>nte</w:t>
      </w:r>
      <w:r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Pr>
          <w:rFonts w:ascii="Palatino Linotype" w:eastAsia="Calibri" w:hAnsi="Palatino Linotype" w:cs="Tahoma"/>
          <w:bCs/>
          <w:iCs/>
          <w:sz w:val="22"/>
          <w:szCs w:val="22"/>
          <w:lang w:eastAsia="es-ES_tradnl"/>
        </w:rPr>
        <w:t>Transparencia</w:t>
      </w:r>
      <w:r w:rsidRPr="006B075A">
        <w:rPr>
          <w:rFonts w:ascii="Palatino Linotype" w:eastAsia="Calibri" w:hAnsi="Palatino Linotype" w:cs="Tahoma"/>
          <w:bCs/>
          <w:iCs/>
          <w:sz w:val="22"/>
          <w:szCs w:val="22"/>
          <w:lang w:eastAsia="es-ES_tradnl"/>
        </w:rPr>
        <w:t>, en donde se funde y motive la clasificación de la información eliminada, de conformidad con lo previsto en el artículo 49, fracciones II y VIII</w:t>
      </w:r>
      <w:r>
        <w:rPr>
          <w:rFonts w:ascii="Palatino Linotype" w:eastAsia="Calibri" w:hAnsi="Palatino Linotype" w:cs="Tahoma"/>
          <w:bCs/>
          <w:iCs/>
          <w:sz w:val="22"/>
          <w:szCs w:val="22"/>
          <w:lang w:eastAsia="es-ES_tradnl"/>
        </w:rPr>
        <w:t xml:space="preserve"> y 149</w:t>
      </w:r>
      <w:r w:rsidRPr="006B075A">
        <w:rPr>
          <w:rFonts w:ascii="Palatino Linotype" w:eastAsia="Calibri" w:hAnsi="Palatino Linotype" w:cs="Tahoma"/>
          <w:bCs/>
          <w:iCs/>
          <w:sz w:val="22"/>
          <w:szCs w:val="22"/>
          <w:lang w:eastAsia="es-ES_tradnl"/>
        </w:rPr>
        <w:t xml:space="preserve"> de la Ley </w:t>
      </w:r>
      <w:r>
        <w:rPr>
          <w:rFonts w:ascii="Palatino Linotype" w:eastAsia="Calibri" w:hAnsi="Palatino Linotype" w:cs="Tahoma"/>
          <w:bCs/>
          <w:iCs/>
          <w:sz w:val="22"/>
          <w:szCs w:val="22"/>
          <w:lang w:eastAsia="es-ES_tradnl"/>
        </w:rPr>
        <w:t>de referencia,</w:t>
      </w:r>
      <w:r w:rsidRPr="006B075A">
        <w:rPr>
          <w:rFonts w:ascii="Palatino Linotype" w:eastAsia="Calibri" w:hAnsi="Palatino Linotype" w:cs="Tahoma"/>
          <w:bCs/>
          <w:iCs/>
          <w:sz w:val="22"/>
          <w:szCs w:val="22"/>
          <w:lang w:eastAsia="es-ES_tradnl"/>
        </w:rPr>
        <w:t xml:space="preserve"> en relación con lo establecido en los Lineamientos Generales en materia de Clasificación y Desclasificación de la Información, así como para Elaboración de Versiones Públicas.</w:t>
      </w:r>
    </w:p>
    <w:p w14:paraId="5570D9A1" w14:textId="6559DA1D" w:rsidR="0088393A" w:rsidRDefault="0088393A" w:rsidP="00184631">
      <w:pPr>
        <w:spacing w:line="360" w:lineRule="auto"/>
        <w:ind w:right="-93"/>
        <w:jc w:val="both"/>
        <w:rPr>
          <w:rFonts w:ascii="Palatino Linotype" w:eastAsia="Calibri" w:hAnsi="Palatino Linotype" w:cs="Tahoma"/>
          <w:bCs/>
          <w:iCs/>
          <w:sz w:val="22"/>
          <w:szCs w:val="22"/>
          <w:lang w:eastAsia="es-ES_tradnl"/>
        </w:rPr>
      </w:pPr>
    </w:p>
    <w:p w14:paraId="12B0EA16" w14:textId="5FFCFA2D"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Precisado lo anterior, entre los datos que de manera enunciativa más no limitativa, pudieran contenerse en los documentos</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que se ordena entregar en versión pública, se encuentran el </w:t>
      </w:r>
      <w:r>
        <w:rPr>
          <w:rFonts w:ascii="Palatino Linotype" w:eastAsia="Palatino Linotype" w:hAnsi="Palatino Linotype" w:cs="Palatino Linotype"/>
          <w:b/>
          <w:sz w:val="22"/>
          <w:szCs w:val="22"/>
        </w:rPr>
        <w:t>Registro Federal de Contribuyentes</w:t>
      </w:r>
      <w:r>
        <w:rPr>
          <w:rFonts w:ascii="Palatino Linotype" w:eastAsia="Palatino Linotype" w:hAnsi="Palatino Linotype" w:cs="Palatino Linotype"/>
          <w:sz w:val="22"/>
          <w:szCs w:val="22"/>
        </w:rPr>
        <w:t xml:space="preserve"> (RFC), la </w:t>
      </w:r>
      <w:r>
        <w:rPr>
          <w:rFonts w:ascii="Palatino Linotype" w:eastAsia="Palatino Linotype" w:hAnsi="Palatino Linotype" w:cs="Palatino Linotype"/>
          <w:b/>
          <w:sz w:val="22"/>
          <w:szCs w:val="22"/>
        </w:rPr>
        <w:t>Clave Única de Registro de Población</w:t>
      </w:r>
      <w:r>
        <w:rPr>
          <w:rFonts w:ascii="Palatino Linotype" w:eastAsia="Palatino Linotype" w:hAnsi="Palatino Linotype" w:cs="Palatino Linotype"/>
          <w:sz w:val="22"/>
          <w:szCs w:val="22"/>
        </w:rPr>
        <w:t xml:space="preserve"> (CURP), </w:t>
      </w:r>
      <w:r w:rsidR="00F97B83">
        <w:rPr>
          <w:rFonts w:ascii="Palatino Linotype" w:eastAsia="Palatino Linotype" w:hAnsi="Palatino Linotype" w:cs="Palatino Linotype"/>
          <w:b/>
          <w:sz w:val="22"/>
          <w:szCs w:val="22"/>
        </w:rPr>
        <w:t xml:space="preserve">o </w:t>
      </w:r>
      <w:r w:rsidR="00F97B83">
        <w:rPr>
          <w:rFonts w:ascii="Palatino Linotype" w:eastAsia="Palatino Linotype" w:hAnsi="Palatino Linotype" w:cs="Palatino Linotype"/>
          <w:sz w:val="22"/>
          <w:szCs w:val="22"/>
        </w:rPr>
        <w:t>Clave</w:t>
      </w:r>
      <w:r>
        <w:rPr>
          <w:rFonts w:ascii="Palatino Linotype" w:eastAsia="Palatino Linotype" w:hAnsi="Palatino Linotype" w:cs="Palatino Linotype"/>
          <w:b/>
          <w:sz w:val="22"/>
          <w:szCs w:val="22"/>
        </w:rPr>
        <w:t xml:space="preserve"> de seguridad social</w:t>
      </w:r>
      <w:r>
        <w:rPr>
          <w:rFonts w:ascii="Palatino Linotype" w:eastAsia="Palatino Linotype" w:hAnsi="Palatino Linotype" w:cs="Palatino Linotype"/>
          <w:sz w:val="22"/>
          <w:szCs w:val="22"/>
        </w:rPr>
        <w:t xml:space="preserve"> (ISSEMYM, u otros) los cuales son susceptibles de ser clasificados como información </w:t>
      </w:r>
      <w:r>
        <w:rPr>
          <w:rFonts w:ascii="Palatino Linotype" w:eastAsia="Palatino Linotype" w:hAnsi="Palatino Linotype" w:cs="Palatino Linotype"/>
          <w:b/>
          <w:sz w:val="22"/>
          <w:szCs w:val="22"/>
          <w:u w:val="single"/>
        </w:rPr>
        <w:t>confidencial</w:t>
      </w:r>
      <w:r>
        <w:rPr>
          <w:rFonts w:ascii="Palatino Linotype" w:eastAsia="Palatino Linotype" w:hAnsi="Palatino Linotype" w:cs="Palatino Linotype"/>
          <w:sz w:val="22"/>
          <w:szCs w:val="22"/>
        </w:rPr>
        <w:t>.</w:t>
      </w:r>
    </w:p>
    <w:p w14:paraId="38E60E2F" w14:textId="77777777" w:rsidR="0088393A" w:rsidRDefault="0088393A" w:rsidP="0088393A">
      <w:pPr>
        <w:widowControl w:val="0"/>
        <w:spacing w:line="360" w:lineRule="auto"/>
        <w:jc w:val="both"/>
        <w:rPr>
          <w:rFonts w:ascii="Palatino Linotype" w:eastAsia="Palatino Linotype" w:hAnsi="Palatino Linotype" w:cs="Palatino Linotype"/>
          <w:sz w:val="22"/>
          <w:szCs w:val="22"/>
        </w:rPr>
      </w:pPr>
    </w:p>
    <w:p w14:paraId="28110571" w14:textId="5844E234"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cuanto hace al </w:t>
      </w:r>
      <w:r>
        <w:rPr>
          <w:rFonts w:ascii="Palatino Linotype" w:eastAsia="Palatino Linotype" w:hAnsi="Palatino Linotype" w:cs="Palatino Linotype"/>
          <w:b/>
          <w:sz w:val="22"/>
          <w:szCs w:val="22"/>
        </w:rPr>
        <w:t>Registro Federal de Contribuyentes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de las personas físicas</w:t>
      </w:r>
      <w:r>
        <w:rPr>
          <w:rFonts w:ascii="Palatino Linotype" w:eastAsia="Palatino Linotype" w:hAnsi="Palatino Linotype" w:cs="Palatino Linotype"/>
          <w:sz w:val="22"/>
          <w:szCs w:val="22"/>
        </w:rPr>
        <w:t xml:space="preserve">, constituye un dato personal, ya que se genera con caracteres alfanuméricos obtenidos a partir del nombre en mayúsculas sin acentos ni diéresis y la fecha de nacimiento de cada persona; es decir la primera </w:t>
      </w:r>
      <w:r>
        <w:rPr>
          <w:rFonts w:ascii="Palatino Linotype" w:eastAsia="Palatino Linotype" w:hAnsi="Palatino Linotype" w:cs="Palatino Linotype"/>
          <w:sz w:val="22"/>
          <w:szCs w:val="22"/>
        </w:rPr>
        <w:lastRenderedPageBreak/>
        <w:t>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65A6B73C" w14:textId="77777777" w:rsidR="0088393A" w:rsidRDefault="0088393A" w:rsidP="0088393A">
      <w:pPr>
        <w:widowControl w:val="0"/>
        <w:spacing w:line="360" w:lineRule="auto"/>
        <w:jc w:val="both"/>
        <w:rPr>
          <w:rFonts w:ascii="Palatino Linotype" w:eastAsia="Palatino Linotype" w:hAnsi="Palatino Linotype" w:cs="Palatino Linotype"/>
          <w:sz w:val="22"/>
          <w:szCs w:val="22"/>
        </w:rPr>
      </w:pPr>
    </w:p>
    <w:p w14:paraId="300A836A" w14:textId="47D06A8A" w:rsidR="0088393A" w:rsidRDefault="0088393A" w:rsidP="0088393A">
      <w:pPr>
        <w:widowControl w:val="0"/>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Al respecto, es aplicable el Criterio 19/17 de la Segunda Época, emitido por el Instituto Nacional de Transparencia, Acceso a la Información y Protección de Datos Personales, que dice:</w:t>
      </w:r>
      <w:r>
        <w:rPr>
          <w:rFonts w:ascii="Palatino Linotype" w:eastAsia="Palatino Linotype" w:hAnsi="Palatino Linotype" w:cs="Palatino Linotype"/>
          <w:b/>
          <w:sz w:val="22"/>
          <w:szCs w:val="22"/>
        </w:rPr>
        <w:t xml:space="preserve"> </w:t>
      </w:r>
    </w:p>
    <w:p w14:paraId="2193FFA2" w14:textId="77777777" w:rsidR="0088393A" w:rsidRDefault="0088393A" w:rsidP="0088393A">
      <w:pPr>
        <w:widowControl w:val="0"/>
        <w:spacing w:line="360" w:lineRule="auto"/>
        <w:jc w:val="both"/>
        <w:rPr>
          <w:rFonts w:ascii="Palatino Linotype" w:eastAsia="Palatino Linotype" w:hAnsi="Palatino Linotype" w:cs="Palatino Linotype"/>
          <w:b/>
          <w:sz w:val="22"/>
          <w:szCs w:val="22"/>
        </w:rPr>
      </w:pPr>
    </w:p>
    <w:p w14:paraId="1E60384D" w14:textId="77777777" w:rsidR="0088393A" w:rsidRDefault="0088393A" w:rsidP="0088393A">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Registro Federal de Contribuyentes (RFC) de personas físicas. El RFC es una clave</w:t>
      </w:r>
      <w:r>
        <w:rPr>
          <w:rFonts w:ascii="Palatino Linotype" w:eastAsia="Palatino Linotype" w:hAnsi="Palatino Linotype" w:cs="Palatino Linotype"/>
          <w:i/>
          <w:sz w:val="20"/>
          <w:szCs w:val="20"/>
        </w:rPr>
        <w:t xml:space="preserve"> de carácter fiscal, única e irrepetible, </w:t>
      </w:r>
      <w:r>
        <w:rPr>
          <w:rFonts w:ascii="Palatino Linotype" w:eastAsia="Palatino Linotype" w:hAnsi="Palatino Linotype" w:cs="Palatino Linotype"/>
          <w:b/>
          <w:i/>
          <w:sz w:val="20"/>
          <w:szCs w:val="20"/>
        </w:rPr>
        <w:t>que permite identificar al titular, su edad y fecha de nacimiento</w:t>
      </w:r>
      <w:r>
        <w:rPr>
          <w:rFonts w:ascii="Palatino Linotype" w:eastAsia="Palatino Linotype" w:hAnsi="Palatino Linotype" w:cs="Palatino Linotype"/>
          <w:i/>
          <w:sz w:val="20"/>
          <w:szCs w:val="20"/>
        </w:rPr>
        <w:t xml:space="preserve">, por lo que </w:t>
      </w:r>
      <w:r>
        <w:rPr>
          <w:rFonts w:ascii="Palatino Linotype" w:eastAsia="Palatino Linotype" w:hAnsi="Palatino Linotype" w:cs="Palatino Linotype"/>
          <w:b/>
          <w:i/>
          <w:sz w:val="20"/>
          <w:szCs w:val="20"/>
        </w:rPr>
        <w:t>es un dato personal de carácter confidencial</w:t>
      </w:r>
      <w:r>
        <w:rPr>
          <w:rFonts w:ascii="Palatino Linotype" w:eastAsia="Palatino Linotype" w:hAnsi="Palatino Linotype" w:cs="Palatino Linotype"/>
          <w:i/>
          <w:sz w:val="20"/>
          <w:szCs w:val="20"/>
        </w:rPr>
        <w:t>.</w:t>
      </w:r>
    </w:p>
    <w:p w14:paraId="6C5C9DB0" w14:textId="77777777" w:rsidR="0088393A" w:rsidRDefault="0088393A" w:rsidP="0088393A">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Resoluciones:</w:t>
      </w:r>
    </w:p>
    <w:p w14:paraId="25F4A178" w14:textId="00017DFE" w:rsidR="0088393A" w:rsidRDefault="0088393A" w:rsidP="0088393A">
      <w:pPr>
        <w:spacing w:line="360" w:lineRule="auto"/>
        <w:ind w:left="567" w:right="567"/>
        <w:jc w:val="both"/>
        <w:rPr>
          <w:rFonts w:ascii="Palatino Linotype" w:eastAsia="Palatino Linotype" w:hAnsi="Palatino Linotype" w:cs="Palatino Linotype"/>
          <w:bCs/>
          <w:sz w:val="20"/>
          <w:szCs w:val="20"/>
        </w:rPr>
      </w:pPr>
      <w:r w:rsidRPr="0088393A">
        <w:rPr>
          <w:rFonts w:ascii="Palatino Linotype" w:eastAsia="Palatino Linotype" w:hAnsi="Palatino Linotype" w:cs="Palatino Linotype"/>
          <w:bCs/>
          <w:sz w:val="20"/>
          <w:szCs w:val="20"/>
        </w:rPr>
        <w:t>(Énfasis añadido)</w:t>
      </w:r>
      <w:r>
        <w:rPr>
          <w:rFonts w:ascii="Palatino Linotype" w:eastAsia="Palatino Linotype" w:hAnsi="Palatino Linotype" w:cs="Palatino Linotype"/>
          <w:bCs/>
          <w:sz w:val="20"/>
          <w:szCs w:val="20"/>
        </w:rPr>
        <w:t>.</w:t>
      </w:r>
    </w:p>
    <w:p w14:paraId="544B23AF" w14:textId="77777777" w:rsidR="00844144" w:rsidRPr="0088393A" w:rsidRDefault="00844144" w:rsidP="0088393A">
      <w:pPr>
        <w:spacing w:line="360" w:lineRule="auto"/>
        <w:ind w:left="567" w:right="567"/>
        <w:jc w:val="both"/>
        <w:rPr>
          <w:rFonts w:ascii="Palatino Linotype" w:eastAsia="Palatino Linotype" w:hAnsi="Palatino Linotype" w:cs="Palatino Linotype"/>
          <w:bCs/>
          <w:sz w:val="20"/>
          <w:szCs w:val="20"/>
        </w:rPr>
      </w:pPr>
    </w:p>
    <w:p w14:paraId="34E33A62" w14:textId="1BED0816"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se desprende que el Registro Federal de Contribuyentes se vincula al nombre de su titular</w:t>
      </w:r>
      <w:r w:rsidR="00844144">
        <w:rPr>
          <w:rFonts w:ascii="Palatino Linotype" w:eastAsia="Palatino Linotype" w:hAnsi="Palatino Linotype" w:cs="Palatino Linotype"/>
          <w:sz w:val="22"/>
          <w:szCs w:val="22"/>
        </w:rPr>
        <w:t xml:space="preserve"> y</w:t>
      </w:r>
      <w:r>
        <w:rPr>
          <w:rFonts w:ascii="Palatino Linotype" w:eastAsia="Palatino Linotype" w:hAnsi="Palatino Linotype" w:cs="Palatino Linotype"/>
          <w:sz w:val="22"/>
          <w:szCs w:val="22"/>
        </w:rPr>
        <w:t xml:space="preserve"> permite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6F5BE990" w14:textId="77777777" w:rsidR="00844144" w:rsidRDefault="00844144" w:rsidP="0088393A">
      <w:pPr>
        <w:widowControl w:val="0"/>
        <w:spacing w:line="360" w:lineRule="auto"/>
        <w:jc w:val="both"/>
        <w:rPr>
          <w:rFonts w:ascii="Palatino Linotype" w:eastAsia="Palatino Linotype" w:hAnsi="Palatino Linotype" w:cs="Palatino Linotype"/>
          <w:sz w:val="22"/>
          <w:szCs w:val="22"/>
        </w:rPr>
      </w:pPr>
    </w:p>
    <w:p w14:paraId="0C438783" w14:textId="77777777"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cuanto hace a la </w:t>
      </w:r>
      <w:r>
        <w:rPr>
          <w:rFonts w:ascii="Palatino Linotype" w:eastAsia="Palatino Linotype" w:hAnsi="Palatino Linotype" w:cs="Palatino Linotype"/>
          <w:b/>
          <w:sz w:val="22"/>
          <w:szCs w:val="22"/>
        </w:rPr>
        <w:t xml:space="preserve">Clave Única de Registro de Población, </w:t>
      </w:r>
      <w:r>
        <w:rPr>
          <w:rFonts w:ascii="Palatino Linotype" w:eastAsia="Palatino Linotype" w:hAnsi="Palatino Linotype" w:cs="Palatino Linotype"/>
          <w:sz w:val="22"/>
          <w:szCs w:val="22"/>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5B27220" w14:textId="341C34A5"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 anterior, tiene sustento en los artículos 86 y 91 de la Ley General de Población, la cual señala lo siguiente:</w:t>
      </w:r>
    </w:p>
    <w:p w14:paraId="391C772F" w14:textId="1CBCD608" w:rsidR="00844144" w:rsidRDefault="00844144" w:rsidP="0088393A">
      <w:pPr>
        <w:widowControl w:val="0"/>
        <w:spacing w:line="360" w:lineRule="auto"/>
        <w:jc w:val="both"/>
        <w:rPr>
          <w:rFonts w:ascii="Palatino Linotype" w:eastAsia="Palatino Linotype" w:hAnsi="Palatino Linotype" w:cs="Palatino Linotype"/>
          <w:sz w:val="22"/>
          <w:szCs w:val="22"/>
        </w:rPr>
      </w:pPr>
    </w:p>
    <w:p w14:paraId="79D0FEAD" w14:textId="77777777" w:rsidR="0088393A" w:rsidRDefault="0088393A" w:rsidP="00844144">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Artículo 86. </w:t>
      </w:r>
      <w:r>
        <w:rPr>
          <w:rFonts w:ascii="Palatino Linotype" w:eastAsia="Palatino Linotype" w:hAnsi="Palatino Linotype" w:cs="Palatino Linotype"/>
          <w:i/>
          <w:sz w:val="20"/>
          <w:szCs w:val="20"/>
        </w:rPr>
        <w:t>El Registro Nacional de Población tiene como finalidad registrar a cada una de las personas que integran la población del país, con los datos que permitan certificar y acreditar fehacientemente su identidad.</w:t>
      </w:r>
    </w:p>
    <w:p w14:paraId="61C736DF" w14:textId="77777777" w:rsidR="0088393A" w:rsidRDefault="0088393A" w:rsidP="00844144">
      <w:pPr>
        <w:spacing w:line="360" w:lineRule="auto"/>
        <w:ind w:left="567" w:right="567"/>
        <w:jc w:val="both"/>
        <w:rPr>
          <w:rFonts w:ascii="Palatino Linotype" w:eastAsia="Palatino Linotype" w:hAnsi="Palatino Linotype" w:cs="Palatino Linotype"/>
          <w:b/>
          <w:i/>
          <w:sz w:val="20"/>
          <w:szCs w:val="20"/>
        </w:rPr>
      </w:pPr>
    </w:p>
    <w:p w14:paraId="3290E4F3" w14:textId="77777777" w:rsidR="0088393A" w:rsidRDefault="0088393A" w:rsidP="00844144">
      <w:pPr>
        <w:spacing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Artículo 91. </w:t>
      </w:r>
      <w:r>
        <w:rPr>
          <w:rFonts w:ascii="Palatino Linotype" w:eastAsia="Palatino Linotype" w:hAnsi="Palatino Linotype" w:cs="Palatino Linotype"/>
          <w:i/>
          <w:sz w:val="20"/>
          <w:szCs w:val="20"/>
        </w:rPr>
        <w:t>Al incorporar a una persona en el Registro Nacional de Población, se le asignará una clave que se denominará Clave Única de Registro de Población. Esta servirá para registrarla e identificarla en forma individual.”</w:t>
      </w:r>
    </w:p>
    <w:p w14:paraId="7BAC133E" w14:textId="77777777" w:rsidR="0088393A" w:rsidRDefault="0088393A" w:rsidP="00844144">
      <w:pPr>
        <w:spacing w:line="360" w:lineRule="auto"/>
        <w:ind w:left="567" w:right="567"/>
        <w:jc w:val="both"/>
        <w:rPr>
          <w:rFonts w:ascii="Palatino Linotype" w:eastAsia="Palatino Linotype" w:hAnsi="Palatino Linotype" w:cs="Palatino Linotype"/>
          <w:i/>
          <w:sz w:val="20"/>
          <w:szCs w:val="20"/>
        </w:rPr>
      </w:pPr>
    </w:p>
    <w:p w14:paraId="136B30FB" w14:textId="136BA1EA"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así como un dígito verificador.</w:t>
      </w:r>
    </w:p>
    <w:p w14:paraId="232F398B" w14:textId="77777777" w:rsidR="00844144" w:rsidRDefault="00844144" w:rsidP="0088393A">
      <w:pPr>
        <w:widowControl w:val="0"/>
        <w:spacing w:line="360" w:lineRule="auto"/>
        <w:jc w:val="both"/>
        <w:rPr>
          <w:rFonts w:ascii="Palatino Linotype" w:eastAsia="Palatino Linotype" w:hAnsi="Palatino Linotype" w:cs="Palatino Linotype"/>
          <w:sz w:val="22"/>
          <w:szCs w:val="22"/>
        </w:rPr>
      </w:pPr>
    </w:p>
    <w:p w14:paraId="1242BF9D" w14:textId="65BF516D"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Instituto Nacional de Transparencia, Acceso a la Información y Protección de Datos Personales (INAI), a través del Criterio 18/17 de la Segunda Época, señala literalmente lo siguiente:</w:t>
      </w:r>
    </w:p>
    <w:p w14:paraId="77A3AAD2" w14:textId="77777777" w:rsidR="00844144" w:rsidRDefault="00844144" w:rsidP="0088393A">
      <w:pPr>
        <w:widowControl w:val="0"/>
        <w:spacing w:line="360" w:lineRule="auto"/>
        <w:jc w:val="both"/>
        <w:rPr>
          <w:rFonts w:ascii="Palatino Linotype" w:eastAsia="Palatino Linotype" w:hAnsi="Palatino Linotype" w:cs="Palatino Linotype"/>
          <w:sz w:val="22"/>
          <w:szCs w:val="22"/>
        </w:rPr>
      </w:pPr>
    </w:p>
    <w:p w14:paraId="25BDA6E1" w14:textId="77777777" w:rsidR="0088393A" w:rsidRDefault="0088393A" w:rsidP="00844144">
      <w:pPr>
        <w:spacing w:line="360" w:lineRule="auto"/>
        <w:ind w:left="567" w:right="567"/>
        <w:jc w:val="both"/>
        <w:rPr>
          <w:rFonts w:ascii="Palatino Linotype" w:eastAsia="Palatino Linotype" w:hAnsi="Palatino Linotype" w:cs="Palatino Linotype"/>
          <w:b/>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Clave Única de Registro de Población (CURP).</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u w:val="single"/>
        </w:rPr>
        <w:t>La Clave Única de Registro de Población se integra por datos personales que sólo conciernen al particular titular</w:t>
      </w:r>
      <w:r>
        <w:rPr>
          <w:rFonts w:ascii="Palatino Linotype" w:eastAsia="Palatino Linotype" w:hAnsi="Palatino Linotype" w:cs="Palatino Linotype"/>
          <w:i/>
          <w:sz w:val="20"/>
          <w:szCs w:val="20"/>
        </w:rPr>
        <w:t xml:space="preserve"> de la misma, </w:t>
      </w:r>
      <w:r>
        <w:rPr>
          <w:rFonts w:ascii="Palatino Linotype" w:eastAsia="Palatino Linotype" w:hAnsi="Palatino Linotype" w:cs="Palatino Linotype"/>
          <w:b/>
          <w:i/>
          <w:sz w:val="20"/>
          <w:szCs w:val="20"/>
          <w:u w:val="single"/>
        </w:rPr>
        <w:t>como lo son su nombre, apellidos, fecha de nacimiento, lugar de nacimiento y sexo</w:t>
      </w:r>
      <w:r>
        <w:rPr>
          <w:rFonts w:ascii="Palatino Linotype" w:eastAsia="Palatino Linotype" w:hAnsi="Palatino Linotype" w:cs="Palatino Linotype"/>
          <w:i/>
          <w:sz w:val="20"/>
          <w:szCs w:val="20"/>
        </w:rPr>
        <w:t xml:space="preserve">. Dichos datos, </w:t>
      </w:r>
      <w:r>
        <w:rPr>
          <w:rFonts w:ascii="Palatino Linotype" w:eastAsia="Palatino Linotype" w:hAnsi="Palatino Linotype" w:cs="Palatino Linotype"/>
          <w:i/>
          <w:sz w:val="20"/>
          <w:szCs w:val="20"/>
        </w:rPr>
        <w:lastRenderedPageBreak/>
        <w:t xml:space="preserve">constituyen información que distingue plenamente a una persona física del resto de los habitantes del país, </w:t>
      </w:r>
      <w:r>
        <w:rPr>
          <w:rFonts w:ascii="Palatino Linotype" w:eastAsia="Palatino Linotype" w:hAnsi="Palatino Linotype" w:cs="Palatino Linotype"/>
          <w:b/>
          <w:i/>
          <w:sz w:val="20"/>
          <w:szCs w:val="20"/>
          <w:u w:val="single"/>
        </w:rPr>
        <w:t>por lo que la CURP está considerada como información confidencial</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sz w:val="20"/>
          <w:szCs w:val="20"/>
        </w:rPr>
        <w:t xml:space="preserve"> (Énfasis añadido)</w:t>
      </w:r>
    </w:p>
    <w:p w14:paraId="77B7CC18" w14:textId="77777777" w:rsidR="0088393A" w:rsidRDefault="0088393A" w:rsidP="0088393A">
      <w:pPr>
        <w:spacing w:line="360" w:lineRule="auto"/>
        <w:ind w:left="709" w:right="709"/>
        <w:jc w:val="both"/>
        <w:rPr>
          <w:rFonts w:ascii="Palatino Linotype" w:eastAsia="Palatino Linotype" w:hAnsi="Palatino Linotype" w:cs="Palatino Linotype"/>
          <w:i/>
          <w:sz w:val="20"/>
          <w:szCs w:val="20"/>
        </w:rPr>
      </w:pPr>
    </w:p>
    <w:p w14:paraId="611DA40F" w14:textId="77777777" w:rsidR="0088393A" w:rsidRDefault="0088393A" w:rsidP="0088393A">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 anterior, se desprende que la Clave Única de Registro de Población, se encuentra vinculado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492BD0A7" w14:textId="77777777" w:rsidR="0088393A" w:rsidRDefault="0088393A" w:rsidP="0088393A">
      <w:pPr>
        <w:widowControl w:val="0"/>
        <w:spacing w:line="360" w:lineRule="auto"/>
        <w:jc w:val="both"/>
        <w:rPr>
          <w:rFonts w:ascii="Palatino Linotype" w:eastAsia="Palatino Linotype" w:hAnsi="Palatino Linotype" w:cs="Palatino Linotype"/>
          <w:sz w:val="22"/>
          <w:szCs w:val="22"/>
        </w:rPr>
      </w:pPr>
    </w:p>
    <w:p w14:paraId="30F08484" w14:textId="57F038E1" w:rsidR="0088393A" w:rsidRDefault="0088393A" w:rsidP="0088393A">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también la </w:t>
      </w:r>
      <w:r w:rsidR="00844144">
        <w:rPr>
          <w:rFonts w:ascii="Palatino Linotype" w:eastAsia="Palatino Linotype" w:hAnsi="Palatino Linotype" w:cs="Palatino Linotype"/>
          <w:b/>
          <w:sz w:val="22"/>
          <w:szCs w:val="22"/>
        </w:rPr>
        <w:t>c</w:t>
      </w:r>
      <w:r>
        <w:rPr>
          <w:rFonts w:ascii="Palatino Linotype" w:eastAsia="Palatino Linotype" w:hAnsi="Palatino Linotype" w:cs="Palatino Linotype"/>
          <w:b/>
          <w:sz w:val="22"/>
          <w:szCs w:val="22"/>
        </w:rPr>
        <w:t>lave de  seguridad social</w:t>
      </w:r>
      <w:r>
        <w:rPr>
          <w:rFonts w:ascii="Palatino Linotype" w:eastAsia="Palatino Linotype" w:hAnsi="Palatino Linotype" w:cs="Palatino Linotype"/>
          <w:sz w:val="22"/>
          <w:szCs w:val="22"/>
        </w:rPr>
        <w:t xml:space="preserve"> (ISSEMYM), está integrado por una secuencia de números con los que se identifica a los trabajadores que cubren las cuotas respectivas, asimismo;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3118891" w14:textId="77777777" w:rsidR="0088393A" w:rsidRPr="00F7756B" w:rsidRDefault="0088393A" w:rsidP="00184631">
      <w:pPr>
        <w:spacing w:line="360" w:lineRule="auto"/>
        <w:ind w:right="-93"/>
        <w:jc w:val="both"/>
        <w:rPr>
          <w:rFonts w:ascii="Palatino Linotype" w:eastAsia="Calibri" w:hAnsi="Palatino Linotype" w:cs="Tahoma"/>
          <w:bCs/>
          <w:iCs/>
          <w:sz w:val="22"/>
          <w:szCs w:val="22"/>
          <w:lang w:eastAsia="es-ES_tradnl"/>
        </w:rPr>
      </w:pPr>
    </w:p>
    <w:p w14:paraId="69371238" w14:textId="35C303A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que la sustente, en el que se expongan los fundamentos y razones que llevaron a la autoridad a testar, suprimir o eliminar datos de dicho soporte documental.</w:t>
      </w:r>
    </w:p>
    <w:p w14:paraId="00C2EA5B" w14:textId="77777777" w:rsidR="002A63C6" w:rsidRDefault="002A63C6">
      <w:pPr>
        <w:spacing w:line="360" w:lineRule="auto"/>
        <w:jc w:val="both"/>
        <w:rPr>
          <w:rFonts w:ascii="Palatino Linotype" w:eastAsia="Palatino Linotype" w:hAnsi="Palatino Linotype" w:cs="Palatino Linotype"/>
          <w:sz w:val="22"/>
          <w:szCs w:val="22"/>
        </w:rPr>
      </w:pPr>
    </w:p>
    <w:p w14:paraId="50A549C6" w14:textId="2EC5C02E" w:rsidR="002A63C6" w:rsidRDefault="005900CD">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acuerdo con lo expuesta</w:t>
      </w:r>
      <w:r w:rsidR="00D13D19">
        <w:rPr>
          <w:rFonts w:ascii="Palatino Linotype" w:eastAsia="Palatino Linotype" w:hAnsi="Palatino Linotype" w:cs="Palatino Linotype"/>
          <w:sz w:val="22"/>
          <w:szCs w:val="22"/>
        </w:rPr>
        <w:t xml:space="preserve"> y por las razones expuestas a lo largo del presente estudio es que se estima que los motivos de inconformidad vertidos por </w:t>
      </w:r>
      <w:r w:rsidR="00D13D19">
        <w:rPr>
          <w:rFonts w:ascii="Palatino Linotype" w:eastAsia="Palatino Linotype" w:hAnsi="Palatino Linotype" w:cs="Palatino Linotype"/>
          <w:b/>
          <w:sz w:val="22"/>
          <w:szCs w:val="22"/>
        </w:rPr>
        <w:t xml:space="preserve">EL RECURRENTE </w:t>
      </w:r>
      <w:r w:rsidR="00D13D19">
        <w:rPr>
          <w:rFonts w:ascii="Palatino Linotype" w:eastAsia="Palatino Linotype" w:hAnsi="Palatino Linotype" w:cs="Palatino Linotype"/>
          <w:sz w:val="22"/>
          <w:szCs w:val="22"/>
        </w:rPr>
        <w:t xml:space="preserve">son fundados y en consecuencia se determina </w:t>
      </w:r>
      <w:r w:rsidR="00D13D19">
        <w:rPr>
          <w:rFonts w:ascii="Palatino Linotype" w:eastAsia="Palatino Linotype" w:hAnsi="Palatino Linotype" w:cs="Palatino Linotype"/>
          <w:b/>
          <w:sz w:val="22"/>
          <w:szCs w:val="22"/>
        </w:rPr>
        <w:t>MODIFICAR</w:t>
      </w:r>
      <w:r w:rsidR="00D13D19">
        <w:rPr>
          <w:rFonts w:ascii="Palatino Linotype" w:eastAsia="Palatino Linotype" w:hAnsi="Palatino Linotype" w:cs="Palatino Linotype"/>
          <w:sz w:val="22"/>
          <w:szCs w:val="22"/>
        </w:rPr>
        <w:t xml:space="preserve"> la respuesta </w:t>
      </w:r>
      <w:r w:rsidR="006D508B" w:rsidRPr="006D508B">
        <w:rPr>
          <w:rFonts w:ascii="Palatino Linotype" w:eastAsia="Palatino Linotype" w:hAnsi="Palatino Linotype" w:cs="Palatino Linotype"/>
          <w:b/>
          <w:bCs/>
          <w:sz w:val="22"/>
          <w:szCs w:val="22"/>
        </w:rPr>
        <w:t>de EL SUJETO OBLIGADO</w:t>
      </w:r>
      <w:r w:rsidR="00D13D19">
        <w:rPr>
          <w:rFonts w:ascii="Palatino Linotype" w:eastAsia="Palatino Linotype" w:hAnsi="Palatino Linotype" w:cs="Palatino Linotype"/>
          <w:sz w:val="22"/>
          <w:szCs w:val="22"/>
        </w:rPr>
        <w:t xml:space="preserve"> y ordenar haga entrega al </w:t>
      </w:r>
      <w:r w:rsidR="00D13D19">
        <w:rPr>
          <w:rFonts w:ascii="Palatino Linotype" w:eastAsia="Palatino Linotype" w:hAnsi="Palatino Linotype" w:cs="Palatino Linotype"/>
          <w:b/>
          <w:sz w:val="22"/>
          <w:szCs w:val="22"/>
        </w:rPr>
        <w:t>RECURRENTE</w:t>
      </w:r>
      <w:r w:rsidR="00D13D19">
        <w:rPr>
          <w:rFonts w:ascii="Palatino Linotype" w:eastAsia="Palatino Linotype" w:hAnsi="Palatino Linotype" w:cs="Palatino Linotype"/>
          <w:sz w:val="22"/>
          <w:szCs w:val="22"/>
        </w:rPr>
        <w:t xml:space="preserve"> en </w:t>
      </w:r>
      <w:r w:rsidR="00D13D19">
        <w:rPr>
          <w:rFonts w:ascii="Palatino Linotype" w:eastAsia="Palatino Linotype" w:hAnsi="Palatino Linotype" w:cs="Palatino Linotype"/>
          <w:b/>
          <w:sz w:val="22"/>
          <w:szCs w:val="22"/>
        </w:rPr>
        <w:t>versión pública</w:t>
      </w:r>
      <w:r w:rsidR="00D13D19">
        <w:rPr>
          <w:rFonts w:ascii="Palatino Linotype" w:eastAsia="Palatino Linotype" w:hAnsi="Palatino Linotype" w:cs="Palatino Linotype"/>
          <w:sz w:val="22"/>
          <w:szCs w:val="22"/>
        </w:rPr>
        <w:t xml:space="preserve"> de ser procedente, del soporte documental donde conste el número de plazas comisionadas de servidores públicos adscritos a cualquiera de sus áreas </w:t>
      </w:r>
      <w:r>
        <w:rPr>
          <w:rFonts w:ascii="Palatino Linotype" w:eastAsia="Palatino Linotype" w:hAnsi="Palatino Linotype" w:cs="Palatino Linotype"/>
          <w:sz w:val="22"/>
          <w:szCs w:val="22"/>
        </w:rPr>
        <w:t xml:space="preserve">del 23 de noviembre de dos mil veinte </w:t>
      </w:r>
      <w:r w:rsidR="00D13D19">
        <w:rPr>
          <w:rFonts w:ascii="Palatino Linotype" w:eastAsia="Palatino Linotype" w:hAnsi="Palatino Linotype" w:cs="Palatino Linotype"/>
          <w:sz w:val="22"/>
          <w:szCs w:val="22"/>
        </w:rPr>
        <w:t xml:space="preserve">al 23 de noviembre de dos mil veintiuno. </w:t>
      </w:r>
    </w:p>
    <w:p w14:paraId="700C0AEB" w14:textId="4E041294" w:rsidR="002A63C6" w:rsidRDefault="002A63C6">
      <w:pPr>
        <w:spacing w:line="360" w:lineRule="auto"/>
        <w:jc w:val="both"/>
        <w:rPr>
          <w:rFonts w:ascii="Palatino Linotype" w:eastAsia="Palatino Linotype" w:hAnsi="Palatino Linotype" w:cs="Palatino Linotype"/>
          <w:b/>
        </w:rPr>
      </w:pPr>
    </w:p>
    <w:p w14:paraId="79E322FE" w14:textId="77777777" w:rsidR="002A63C6" w:rsidRDefault="00D13D19">
      <w:pPr>
        <w:spacing w:line="360" w:lineRule="auto"/>
        <w:jc w:val="center"/>
        <w:rPr>
          <w:rFonts w:ascii="Palatino Linotype" w:eastAsia="Palatino Linotype" w:hAnsi="Palatino Linotype" w:cs="Palatino Linotype"/>
          <w:b/>
        </w:rPr>
      </w:pPr>
      <w:bookmarkStart w:id="7" w:name="_heading=h.26in1rg" w:colFirst="0" w:colLast="0"/>
      <w:bookmarkEnd w:id="7"/>
      <w:r>
        <w:rPr>
          <w:rFonts w:ascii="Palatino Linotype" w:eastAsia="Palatino Linotype" w:hAnsi="Palatino Linotype" w:cs="Palatino Linotype"/>
          <w:b/>
        </w:rPr>
        <w:t>RESUELVE</w:t>
      </w:r>
    </w:p>
    <w:p w14:paraId="19C2642F" w14:textId="77777777" w:rsidR="002A63C6" w:rsidRDefault="002A63C6">
      <w:pPr>
        <w:spacing w:line="360" w:lineRule="auto"/>
        <w:jc w:val="center"/>
        <w:rPr>
          <w:rFonts w:ascii="Palatino Linotype" w:eastAsia="Palatino Linotype" w:hAnsi="Palatino Linotype" w:cs="Palatino Linotype"/>
          <w:b/>
        </w:rPr>
      </w:pPr>
    </w:p>
    <w:p w14:paraId="518A26EE" w14:textId="77777777" w:rsidR="002A63C6" w:rsidRDefault="00D13D19">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rPr>
        <w:t>PRIMERO.</w:t>
      </w:r>
      <w:r>
        <w:rPr>
          <w:rFonts w:ascii="Palatino Linotype" w:eastAsia="Palatino Linotype" w:hAnsi="Palatino Linotype" w:cs="Palatino Linotype"/>
          <w:sz w:val="22"/>
          <w:szCs w:val="22"/>
        </w:rPr>
        <w:t xml:space="preserve"> Resultan </w:t>
      </w:r>
      <w:r>
        <w:rPr>
          <w:rFonts w:ascii="Palatino Linotype" w:eastAsia="Palatino Linotype" w:hAnsi="Palatino Linotype" w:cs="Palatino Linotype"/>
          <w:b/>
          <w:sz w:val="22"/>
          <w:szCs w:val="22"/>
        </w:rPr>
        <w:t>fundados</w:t>
      </w:r>
      <w:r>
        <w:rPr>
          <w:rFonts w:ascii="Palatino Linotype" w:eastAsia="Palatino Linotype" w:hAnsi="Palatino Linotype" w:cs="Palatino Linotype"/>
          <w:sz w:val="22"/>
          <w:szCs w:val="22"/>
        </w:rPr>
        <w:t xml:space="preserve"> los motivos de inconformidad hechos valer por </w:t>
      </w:r>
      <w:r>
        <w:rPr>
          <w:rFonts w:ascii="Palatino Linotype" w:eastAsia="Palatino Linotype" w:hAnsi="Palatino Linotype" w:cs="Palatino Linotype"/>
          <w:b/>
          <w:sz w:val="22"/>
          <w:szCs w:val="22"/>
        </w:rPr>
        <w:t>EL 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sz w:val="22"/>
          <w:szCs w:val="22"/>
        </w:rPr>
        <w:t>00092/INFOEM/IP/RR/2021</w:t>
      </w:r>
      <w:r>
        <w:rPr>
          <w:rFonts w:ascii="Palatino Linotype" w:eastAsia="Palatino Linotype" w:hAnsi="Palatino Linotype" w:cs="Palatino Linotype"/>
          <w:sz w:val="22"/>
          <w:szCs w:val="22"/>
        </w:rPr>
        <w:t xml:space="preserve">, en términos del considerando </w:t>
      </w:r>
      <w:r>
        <w:rPr>
          <w:rFonts w:ascii="Palatino Linotype" w:eastAsia="Palatino Linotype" w:hAnsi="Palatino Linotype" w:cs="Palatino Linotype"/>
          <w:b/>
          <w:sz w:val="22"/>
          <w:szCs w:val="22"/>
        </w:rPr>
        <w:t>QUINTO</w:t>
      </w:r>
      <w:r>
        <w:rPr>
          <w:rFonts w:ascii="Palatino Linotype" w:eastAsia="Palatino Linotype" w:hAnsi="Palatino Linotype" w:cs="Palatino Linotype"/>
          <w:sz w:val="22"/>
          <w:szCs w:val="22"/>
        </w:rPr>
        <w:t>.</w:t>
      </w:r>
    </w:p>
    <w:p w14:paraId="3C0459B8" w14:textId="77777777" w:rsidR="002A63C6" w:rsidRDefault="002A63C6">
      <w:pPr>
        <w:spacing w:line="360" w:lineRule="auto"/>
        <w:ind w:right="49"/>
        <w:jc w:val="both"/>
        <w:rPr>
          <w:rFonts w:ascii="Palatino Linotype" w:eastAsia="Palatino Linotype" w:hAnsi="Palatino Linotype" w:cs="Palatino Linotype"/>
          <w:sz w:val="22"/>
          <w:szCs w:val="22"/>
        </w:rPr>
      </w:pPr>
    </w:p>
    <w:p w14:paraId="0DF2B8D8" w14:textId="6FCF35F3"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SEGUNDO.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MODIFICA</w:t>
      </w:r>
      <w:r>
        <w:rPr>
          <w:rFonts w:ascii="Palatino Linotype" w:eastAsia="Palatino Linotype" w:hAnsi="Palatino Linotype" w:cs="Palatino Linotype"/>
          <w:sz w:val="22"/>
          <w:szCs w:val="22"/>
        </w:rPr>
        <w:t xml:space="preserve"> la respuesta emitida por </w:t>
      </w:r>
      <w:r>
        <w:rPr>
          <w:rFonts w:ascii="Palatino Linotype" w:eastAsia="Palatino Linotype" w:hAnsi="Palatino Linotype" w:cs="Palatino Linotype"/>
          <w:b/>
          <w:sz w:val="22"/>
          <w:szCs w:val="22"/>
        </w:rPr>
        <w:t>EL</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y se </w:t>
      </w:r>
      <w:r w:rsidR="005900CD">
        <w:rPr>
          <w:rFonts w:ascii="Palatino Linotype" w:eastAsia="Palatino Linotype" w:hAnsi="Palatino Linotype" w:cs="Palatino Linotype"/>
          <w:sz w:val="22"/>
          <w:szCs w:val="22"/>
        </w:rPr>
        <w:t xml:space="preserve">le </w:t>
      </w:r>
      <w:r>
        <w:rPr>
          <w:rFonts w:ascii="Palatino Linotype" w:eastAsia="Palatino Linotype" w:hAnsi="Palatino Linotype" w:cs="Palatino Linotype"/>
          <w:sz w:val="22"/>
          <w:szCs w:val="22"/>
        </w:rPr>
        <w:t xml:space="preserve">ordena </w:t>
      </w:r>
      <w:r w:rsidR="005900CD">
        <w:rPr>
          <w:rFonts w:ascii="Palatino Linotype" w:eastAsia="Palatino Linotype" w:hAnsi="Palatino Linotype" w:cs="Palatino Linotype"/>
          <w:sz w:val="22"/>
          <w:szCs w:val="22"/>
        </w:rPr>
        <w:t xml:space="preserve">a que entregue a </w:t>
      </w:r>
      <w:r w:rsidR="005900CD" w:rsidRPr="005900CD">
        <w:rPr>
          <w:rFonts w:ascii="Palatino Linotype" w:eastAsia="Palatino Linotype" w:hAnsi="Palatino Linotype" w:cs="Palatino Linotype"/>
          <w:b/>
          <w:bCs/>
          <w:sz w:val="22"/>
          <w:szCs w:val="22"/>
        </w:rPr>
        <w:t>EL</w:t>
      </w:r>
      <w:r w:rsidR="005900CD">
        <w:rPr>
          <w:rFonts w:ascii="Palatino Linotype" w:eastAsia="Palatino Linotype" w:hAnsi="Palatino Linotype" w:cs="Palatino Linotype"/>
          <w:sz w:val="22"/>
          <w:szCs w:val="22"/>
        </w:rPr>
        <w:t xml:space="preserve"> </w:t>
      </w:r>
      <w:r w:rsidR="005900CD">
        <w:rPr>
          <w:rFonts w:ascii="Palatino Linotype" w:eastAsia="Palatino Linotype" w:hAnsi="Palatino Linotype" w:cs="Palatino Linotype"/>
          <w:b/>
          <w:sz w:val="22"/>
          <w:szCs w:val="22"/>
        </w:rPr>
        <w:t>RECURRENTE,</w:t>
      </w:r>
      <w:r w:rsidR="005900CD">
        <w:rPr>
          <w:rFonts w:ascii="Palatino Linotype" w:eastAsia="Palatino Linotype" w:hAnsi="Palatino Linotype" w:cs="Palatino Linotype"/>
          <w:sz w:val="22"/>
          <w:szCs w:val="22"/>
        </w:rPr>
        <w:t xml:space="preserve"> previa </w:t>
      </w:r>
      <w:r>
        <w:rPr>
          <w:rFonts w:ascii="Palatino Linotype" w:eastAsia="Palatino Linotype" w:hAnsi="Palatino Linotype" w:cs="Palatino Linotype"/>
          <w:sz w:val="22"/>
          <w:szCs w:val="22"/>
        </w:rPr>
        <w:t>búsqueda exhaustiva y razonable</w:t>
      </w:r>
      <w:r w:rsidR="005900CD">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mediante el Sistema de Acceso a la Información Mexiquense (SAIMEX), de ser procedente en versión pública, </w:t>
      </w:r>
      <w:r w:rsidR="005900CD">
        <w:rPr>
          <w:rFonts w:ascii="Palatino Linotype" w:eastAsia="Palatino Linotype" w:hAnsi="Palatino Linotype" w:cs="Palatino Linotype"/>
          <w:sz w:val="22"/>
          <w:szCs w:val="22"/>
        </w:rPr>
        <w:t>los</w:t>
      </w:r>
      <w:r>
        <w:rPr>
          <w:rFonts w:ascii="Palatino Linotype" w:eastAsia="Palatino Linotype" w:hAnsi="Palatino Linotype" w:cs="Palatino Linotype"/>
          <w:sz w:val="22"/>
          <w:szCs w:val="22"/>
        </w:rPr>
        <w:t xml:space="preserve"> </w:t>
      </w:r>
      <w:r w:rsidR="005900CD">
        <w:rPr>
          <w:rFonts w:ascii="Palatino Linotype" w:eastAsia="Palatino Linotype" w:hAnsi="Palatino Linotype" w:cs="Palatino Linotype"/>
          <w:sz w:val="22"/>
          <w:szCs w:val="22"/>
        </w:rPr>
        <w:t xml:space="preserve">documentos </w:t>
      </w:r>
      <w:r>
        <w:rPr>
          <w:rFonts w:ascii="Palatino Linotype" w:eastAsia="Palatino Linotype" w:hAnsi="Palatino Linotype" w:cs="Palatino Linotype"/>
          <w:sz w:val="22"/>
          <w:szCs w:val="22"/>
        </w:rPr>
        <w:t>donde conste</w:t>
      </w:r>
      <w:r w:rsidR="005900CD">
        <w:rPr>
          <w:rFonts w:ascii="Palatino Linotype" w:eastAsia="Palatino Linotype" w:hAnsi="Palatino Linotype" w:cs="Palatino Linotype"/>
          <w:sz w:val="22"/>
          <w:szCs w:val="22"/>
        </w:rPr>
        <w:t>n</w:t>
      </w:r>
      <w:r>
        <w:rPr>
          <w:rFonts w:ascii="Palatino Linotype" w:eastAsia="Palatino Linotype" w:hAnsi="Palatino Linotype" w:cs="Palatino Linotype"/>
          <w:sz w:val="22"/>
          <w:szCs w:val="22"/>
        </w:rPr>
        <w:t xml:space="preserve">: </w:t>
      </w:r>
    </w:p>
    <w:p w14:paraId="33A9F782" w14:textId="77777777" w:rsidR="002A63C6" w:rsidRDefault="002A63C6">
      <w:pPr>
        <w:spacing w:line="360" w:lineRule="auto"/>
        <w:jc w:val="both"/>
        <w:rPr>
          <w:rFonts w:ascii="Palatino Linotype" w:eastAsia="Palatino Linotype" w:hAnsi="Palatino Linotype" w:cs="Palatino Linotype"/>
          <w:sz w:val="22"/>
          <w:szCs w:val="22"/>
        </w:rPr>
      </w:pPr>
    </w:p>
    <w:p w14:paraId="18D0375F" w14:textId="508293EC" w:rsidR="005900CD" w:rsidRPr="00B5017F" w:rsidRDefault="00D13D19" w:rsidP="00B5017F">
      <w:pPr>
        <w:pStyle w:val="Prrafodelista"/>
        <w:numPr>
          <w:ilvl w:val="0"/>
          <w:numId w:val="5"/>
        </w:numPr>
        <w:spacing w:line="360" w:lineRule="auto"/>
        <w:ind w:right="899"/>
        <w:jc w:val="both"/>
        <w:rPr>
          <w:rFonts w:ascii="Palatino Linotype" w:eastAsia="Palatino Linotype" w:hAnsi="Palatino Linotype" w:cs="Palatino Linotype"/>
          <w:iCs/>
          <w:sz w:val="22"/>
          <w:szCs w:val="22"/>
        </w:rPr>
      </w:pPr>
      <w:r w:rsidRPr="00B5017F">
        <w:rPr>
          <w:rFonts w:ascii="Palatino Linotype" w:eastAsia="Palatino Linotype" w:hAnsi="Palatino Linotype" w:cs="Palatino Linotype"/>
          <w:iCs/>
          <w:sz w:val="22"/>
          <w:szCs w:val="22"/>
        </w:rPr>
        <w:t xml:space="preserve">El número de plazas </w:t>
      </w:r>
      <w:r w:rsidR="005900CD" w:rsidRPr="00B5017F">
        <w:rPr>
          <w:rFonts w:ascii="Palatino Linotype" w:eastAsia="Palatino Linotype" w:hAnsi="Palatino Linotype" w:cs="Palatino Linotype"/>
          <w:iCs/>
          <w:sz w:val="22"/>
          <w:szCs w:val="22"/>
        </w:rPr>
        <w:t>comisionadas, de todos los tipos y modalidades, respecto de todos los</w:t>
      </w:r>
      <w:r w:rsidRPr="00B5017F">
        <w:rPr>
          <w:rFonts w:ascii="Palatino Linotype" w:eastAsia="Palatino Linotype" w:hAnsi="Palatino Linotype" w:cs="Palatino Linotype"/>
          <w:iCs/>
          <w:sz w:val="22"/>
          <w:szCs w:val="22"/>
        </w:rPr>
        <w:t xml:space="preserve"> servidores públicos adscritos a cualquiera de </w:t>
      </w:r>
      <w:r w:rsidR="005900CD" w:rsidRPr="00B5017F">
        <w:rPr>
          <w:rFonts w:ascii="Palatino Linotype" w:eastAsia="Palatino Linotype" w:hAnsi="Palatino Linotype" w:cs="Palatino Linotype"/>
          <w:iCs/>
          <w:sz w:val="22"/>
          <w:szCs w:val="22"/>
        </w:rPr>
        <w:t>la</w:t>
      </w:r>
      <w:r w:rsidRPr="00B5017F">
        <w:rPr>
          <w:rFonts w:ascii="Palatino Linotype" w:eastAsia="Palatino Linotype" w:hAnsi="Palatino Linotype" w:cs="Palatino Linotype"/>
          <w:iCs/>
          <w:sz w:val="22"/>
          <w:szCs w:val="22"/>
        </w:rPr>
        <w:t>s áreas,</w:t>
      </w:r>
      <w:r w:rsidR="005900CD" w:rsidRPr="00B5017F">
        <w:rPr>
          <w:rFonts w:ascii="Palatino Linotype" w:eastAsia="Palatino Linotype" w:hAnsi="Palatino Linotype" w:cs="Palatino Linotype"/>
          <w:iCs/>
          <w:sz w:val="22"/>
          <w:szCs w:val="22"/>
        </w:rPr>
        <w:t xml:space="preserve"> del periodo comprendido del</w:t>
      </w:r>
      <w:r w:rsidRPr="00B5017F">
        <w:rPr>
          <w:rFonts w:ascii="Palatino Linotype" w:eastAsia="Palatino Linotype" w:hAnsi="Palatino Linotype" w:cs="Palatino Linotype"/>
          <w:iCs/>
          <w:sz w:val="22"/>
          <w:szCs w:val="22"/>
        </w:rPr>
        <w:t xml:space="preserve"> 23 de noviembre de dos mil veint</w:t>
      </w:r>
      <w:r w:rsidR="005900CD" w:rsidRPr="00B5017F">
        <w:rPr>
          <w:rFonts w:ascii="Palatino Linotype" w:eastAsia="Palatino Linotype" w:hAnsi="Palatino Linotype" w:cs="Palatino Linotype"/>
          <w:iCs/>
          <w:sz w:val="22"/>
          <w:szCs w:val="22"/>
        </w:rPr>
        <w:t>e al</w:t>
      </w:r>
      <w:r w:rsidRPr="00B5017F">
        <w:rPr>
          <w:rFonts w:ascii="Palatino Linotype" w:eastAsia="Palatino Linotype" w:hAnsi="Palatino Linotype" w:cs="Palatino Linotype"/>
          <w:iCs/>
          <w:sz w:val="22"/>
          <w:szCs w:val="22"/>
        </w:rPr>
        <w:t xml:space="preserve"> </w:t>
      </w:r>
      <w:r w:rsidR="005900CD" w:rsidRPr="00B5017F">
        <w:rPr>
          <w:rFonts w:ascii="Palatino Linotype" w:eastAsia="Palatino Linotype" w:hAnsi="Palatino Linotype" w:cs="Palatino Linotype"/>
          <w:iCs/>
          <w:sz w:val="22"/>
          <w:szCs w:val="22"/>
        </w:rPr>
        <w:t>23 de noviembre de dos mil veintiuno.</w:t>
      </w:r>
    </w:p>
    <w:p w14:paraId="1A89032E" w14:textId="06E8F841" w:rsidR="002A63C6" w:rsidRDefault="002A63C6">
      <w:pPr>
        <w:spacing w:line="360" w:lineRule="auto"/>
        <w:ind w:left="850" w:right="899"/>
        <w:jc w:val="both"/>
        <w:rPr>
          <w:rFonts w:ascii="Palatino Linotype" w:eastAsia="Palatino Linotype" w:hAnsi="Palatino Linotype" w:cs="Palatino Linotype"/>
          <w:i/>
          <w:sz w:val="20"/>
          <w:szCs w:val="20"/>
        </w:rPr>
      </w:pPr>
    </w:p>
    <w:p w14:paraId="0EBFE06F" w14:textId="7E24FFA1" w:rsidR="003E72A4" w:rsidRDefault="003E72A4" w:rsidP="003E72A4">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De ser necesarias las versiones públicas, j</w:t>
      </w:r>
      <w:r w:rsidRPr="00910DB8">
        <w:rPr>
          <w:rFonts w:ascii="Palatino Linotype" w:eastAsia="Calibri" w:hAnsi="Palatino Linotype" w:cs="Tahoma"/>
          <w:iCs/>
          <w:sz w:val="22"/>
          <w:szCs w:val="22"/>
          <w:lang w:val="es-ES" w:eastAsia="es-ES_tradnl"/>
        </w:rPr>
        <w:t xml:space="preserve">unto con la documentación se deberá entregar el Acuerdo del Comité de Transparencia mediante el cual se funde y motive la eliminación de los </w:t>
      </w:r>
      <w:r w:rsidRPr="00910DB8">
        <w:rPr>
          <w:rFonts w:ascii="Palatino Linotype" w:eastAsia="Calibri" w:hAnsi="Palatino Linotype" w:cs="Tahoma"/>
          <w:iCs/>
          <w:sz w:val="22"/>
          <w:szCs w:val="22"/>
          <w:lang w:val="es-ES" w:eastAsia="es-ES_tradnl"/>
        </w:rPr>
        <w:lastRenderedPageBreak/>
        <w:t>datos y documentos confidenciales, en términos de los artículos 49, fracciones II y VII, 143, fracción I y 149, de la Ley de Transparencia y Acceso a la Información Pública del Estado de México y Municipios.</w:t>
      </w:r>
    </w:p>
    <w:p w14:paraId="6C6FC842" w14:textId="17628716" w:rsidR="00B5017F" w:rsidRDefault="00B5017F" w:rsidP="003E72A4">
      <w:pPr>
        <w:spacing w:line="360" w:lineRule="auto"/>
        <w:contextualSpacing/>
        <w:jc w:val="both"/>
        <w:rPr>
          <w:rFonts w:ascii="Palatino Linotype" w:eastAsia="Calibri" w:hAnsi="Palatino Linotype" w:cs="Tahoma"/>
          <w:iCs/>
          <w:sz w:val="22"/>
          <w:szCs w:val="22"/>
          <w:lang w:val="es-ES" w:eastAsia="es-ES_tradnl"/>
        </w:rPr>
      </w:pPr>
    </w:p>
    <w:p w14:paraId="39E51B41" w14:textId="26A686F6" w:rsidR="00B5017F" w:rsidRPr="00910DB8" w:rsidRDefault="00B5017F" w:rsidP="003E72A4">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Si derivado de la búsqueda exhaustiva y razonable, no se localizan los documentos porque ninguno de los servidores públicos adscritos a </w:t>
      </w:r>
      <w:r>
        <w:rPr>
          <w:rFonts w:ascii="Palatino Linotype" w:eastAsia="Calibri" w:hAnsi="Palatino Linotype" w:cs="Tahoma"/>
          <w:b/>
          <w:bCs/>
          <w:iCs/>
          <w:sz w:val="22"/>
          <w:szCs w:val="22"/>
          <w:lang w:val="es-ES" w:eastAsia="es-ES_tradnl"/>
        </w:rPr>
        <w:t xml:space="preserve">EL SUJETO OBLIGADO, </w:t>
      </w:r>
      <w:r>
        <w:rPr>
          <w:rFonts w:ascii="Palatino Linotype" w:eastAsia="Calibri" w:hAnsi="Palatino Linotype" w:cs="Tahoma"/>
          <w:iCs/>
          <w:sz w:val="22"/>
          <w:szCs w:val="22"/>
          <w:lang w:val="es-ES" w:eastAsia="es-ES_tradnl"/>
        </w:rPr>
        <w:t>fue comisionado en el periodo que se ordena entregar</w:t>
      </w:r>
      <w:r w:rsidR="00DC7DEC">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deberá hacerlo del conocimiento de manera precisa y clara. </w:t>
      </w:r>
    </w:p>
    <w:p w14:paraId="16AE9208" w14:textId="77777777" w:rsidR="002A63C6" w:rsidRDefault="002A63C6">
      <w:pPr>
        <w:spacing w:line="360" w:lineRule="auto"/>
        <w:jc w:val="both"/>
        <w:rPr>
          <w:rFonts w:ascii="Palatino Linotype" w:eastAsia="Palatino Linotype" w:hAnsi="Palatino Linotype" w:cs="Palatino Linotype"/>
          <w:sz w:val="22"/>
          <w:szCs w:val="22"/>
        </w:rPr>
      </w:pPr>
    </w:p>
    <w:p w14:paraId="4224F10E" w14:textId="345F750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 Notifíquese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al Titular de la Unidad de Transparencia </w:t>
      </w:r>
      <w:r w:rsidR="006D508B" w:rsidRPr="006D508B">
        <w:rPr>
          <w:rFonts w:ascii="Palatino Linotype" w:eastAsia="Palatino Linotype" w:hAnsi="Palatino Linotype" w:cs="Palatino Linotype"/>
          <w:b/>
          <w:bCs/>
          <w:sz w:val="22"/>
          <w:szCs w:val="22"/>
        </w:rPr>
        <w:t>de EL SUJETO OBLIGADO</w:t>
      </w:r>
      <w:r>
        <w:rPr>
          <w:rFonts w:ascii="Palatino Linotype" w:eastAsia="Palatino Linotype" w:hAnsi="Palatino Linotype" w:cs="Palatino Linotype"/>
          <w:sz w:val="22"/>
          <w:szCs w:val="22"/>
        </w:rPr>
        <w:t xml:space="preserve"> por medio del Sistema de Acceso a la Información Mexiquense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w:t>
      </w:r>
      <w:r w:rsidR="00DC7DEC">
        <w:rPr>
          <w:rFonts w:ascii="Palatino Linotype" w:eastAsia="Palatino Linotype" w:hAnsi="Palatino Linotype" w:cs="Palatino Linotype"/>
          <w:sz w:val="22"/>
          <w:szCs w:val="22"/>
        </w:rPr>
        <w:t xml:space="preserve"> e </w:t>
      </w:r>
      <w:r>
        <w:rPr>
          <w:rFonts w:ascii="Palatino Linotype" w:eastAsia="Palatino Linotype" w:hAnsi="Palatino Linotype" w:cs="Palatino Linotype"/>
          <w:sz w:val="22"/>
          <w:szCs w:val="22"/>
        </w:rPr>
        <w:t>inform</w:t>
      </w:r>
      <w:r w:rsidR="00DC7DEC">
        <w:rPr>
          <w:rFonts w:ascii="Palatino Linotype" w:eastAsia="Palatino Linotype" w:hAnsi="Palatino Linotype" w:cs="Palatino Linotype"/>
          <w:sz w:val="22"/>
          <w:szCs w:val="22"/>
        </w:rPr>
        <w:t>e</w:t>
      </w:r>
      <w:r>
        <w:rPr>
          <w:rFonts w:ascii="Palatino Linotype" w:eastAsia="Palatino Linotype" w:hAnsi="Palatino Linotype" w:cs="Palatino Linotype"/>
          <w:sz w:val="22"/>
          <w:szCs w:val="22"/>
        </w:rPr>
        <w:t xml:space="preserve"> a este Instituto en un plazo de tres días hábiles siguientes sobre el cumplimiento dado a la presente resolución.</w:t>
      </w:r>
    </w:p>
    <w:p w14:paraId="1E40901D" w14:textId="77777777" w:rsidR="002A63C6" w:rsidRDefault="002A63C6">
      <w:pPr>
        <w:spacing w:line="360" w:lineRule="auto"/>
        <w:jc w:val="both"/>
        <w:rPr>
          <w:rFonts w:ascii="Palatino Linotype" w:eastAsia="Palatino Linotype" w:hAnsi="Palatino Linotype" w:cs="Palatino Linotype"/>
          <w:sz w:val="22"/>
          <w:szCs w:val="22"/>
        </w:rPr>
      </w:pPr>
    </w:p>
    <w:p w14:paraId="2DE55CD6"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CUARTO.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274F57" w14:textId="77777777" w:rsidR="002A63C6" w:rsidRDefault="002A63C6">
      <w:pPr>
        <w:spacing w:line="360" w:lineRule="auto"/>
        <w:jc w:val="both"/>
        <w:rPr>
          <w:rFonts w:ascii="Palatino Linotype" w:eastAsia="Palatino Linotype" w:hAnsi="Palatino Linotype" w:cs="Palatino Linotype"/>
          <w:b/>
          <w:sz w:val="22"/>
          <w:szCs w:val="22"/>
        </w:rPr>
      </w:pPr>
    </w:p>
    <w:p w14:paraId="261B8F07" w14:textId="77777777" w:rsidR="002A63C6" w:rsidRDefault="00D13D19">
      <w:pPr>
        <w:spacing w:line="360" w:lineRule="auto"/>
        <w:jc w:val="both"/>
        <w:rPr>
          <w:rFonts w:ascii="Palatino Linotype" w:eastAsia="Palatino Linotype" w:hAnsi="Palatino Linotype" w:cs="Palatino Linotype"/>
          <w:sz w:val="22"/>
          <w:szCs w:val="22"/>
          <w:highlight w:val="white"/>
        </w:rPr>
      </w:pPr>
      <w:r>
        <w:rPr>
          <w:rFonts w:ascii="Palatino Linotype" w:eastAsia="Palatino Linotype" w:hAnsi="Palatino Linotype" w:cs="Palatino Linotype"/>
          <w:b/>
        </w:rPr>
        <w:t>QUINTO.</w:t>
      </w:r>
      <w:r>
        <w:rPr>
          <w:rFonts w:ascii="Palatino Linotype" w:eastAsia="Palatino Linotype" w:hAnsi="Palatino Linotype" w:cs="Palatino Linotype"/>
          <w:b/>
          <w:sz w:val="22"/>
          <w:szCs w:val="22"/>
        </w:rPr>
        <w:t xml:space="preserve"> Notifíquese </w:t>
      </w:r>
      <w:r>
        <w:rPr>
          <w:rFonts w:ascii="Palatino Linotype" w:eastAsia="Palatino Linotype" w:hAnsi="Palatino Linotype" w:cs="Palatino Linotype"/>
          <w:sz w:val="22"/>
          <w:szCs w:val="22"/>
        </w:rPr>
        <w:t xml:space="preserve">la presente resolución al Recurrente mediante el Sistema de Acceso a la Información Mexiquense (SAIMEX) y hágase de su conocimiento que, </w:t>
      </w:r>
      <w:r>
        <w:rPr>
          <w:rFonts w:ascii="Palatino Linotype" w:eastAsia="Palatino Linotype" w:hAnsi="Palatino Linotype" w:cs="Palatino Linotype"/>
          <w:sz w:val="22"/>
          <w:szCs w:val="22"/>
          <w:highlight w:val="white"/>
        </w:rPr>
        <w:t>de conformidad con lo establecido en el artículo 196 de la Ley de Transparencia y Acceso a la Información Pública del Estado de México y Municipios, podrá promover el Juicio de Amparo en los términos de las leyes aplicables.</w:t>
      </w:r>
    </w:p>
    <w:p w14:paraId="0A4AD1E5" w14:textId="77777777" w:rsidR="002A63C6" w:rsidRDefault="002A63C6">
      <w:pPr>
        <w:spacing w:line="360" w:lineRule="auto"/>
        <w:jc w:val="both"/>
        <w:rPr>
          <w:rFonts w:ascii="Palatino Linotype" w:eastAsia="Palatino Linotype" w:hAnsi="Palatino Linotype" w:cs="Palatino Linotype"/>
          <w:highlight w:val="white"/>
        </w:rPr>
      </w:pPr>
    </w:p>
    <w:p w14:paraId="7362E334" w14:textId="77777777" w:rsidR="002A63C6" w:rsidRDefault="00D13D19">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ASÍ LO RESUELVE, </w:t>
      </w:r>
      <w:r w:rsidRPr="00DC7DEC">
        <w:rPr>
          <w:rFonts w:ascii="Palatino Linotype" w:eastAsia="Palatino Linotype" w:hAnsi="Palatino Linotype" w:cs="Palatino Linotype"/>
          <w:sz w:val="22"/>
          <w:szCs w:val="22"/>
        </w:rPr>
        <w:t>POR UNANIMIDAD DE VOTOS EL PL</w:t>
      </w:r>
      <w:r>
        <w:rPr>
          <w:rFonts w:ascii="Palatino Linotype" w:eastAsia="Palatino Linotype" w:hAnsi="Palatino Linotype" w:cs="Palatino Linotype"/>
          <w:sz w:val="22"/>
          <w:szCs w:val="22"/>
        </w:rPr>
        <w:t>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w:t>
      </w:r>
    </w:p>
    <w:p w14:paraId="33B337C1" w14:textId="77777777" w:rsidR="002A63C6" w:rsidRDefault="00D13D19">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LGPN/SIR/BLA/DEMF/PMRE</w:t>
      </w:r>
    </w:p>
    <w:p w14:paraId="7D6EB64F" w14:textId="77777777" w:rsidR="002A63C6" w:rsidRDefault="00D13D19">
      <w:pPr>
        <w:spacing w:line="360" w:lineRule="auto"/>
        <w:rPr>
          <w:rFonts w:ascii="Palatino Linotype" w:eastAsia="Palatino Linotype" w:hAnsi="Palatino Linotype" w:cs="Palatino Linotype"/>
        </w:rPr>
      </w:pPr>
      <w:r>
        <w:br w:type="page"/>
      </w:r>
    </w:p>
    <w:p w14:paraId="5F54D56C" w14:textId="77777777" w:rsidR="002A63C6" w:rsidRDefault="002A63C6">
      <w:pPr>
        <w:spacing w:line="360" w:lineRule="auto"/>
        <w:jc w:val="both"/>
        <w:rPr>
          <w:rFonts w:ascii="Palatino Linotype" w:eastAsia="Palatino Linotype" w:hAnsi="Palatino Linotype" w:cs="Palatino Linotype"/>
        </w:rPr>
      </w:pPr>
    </w:p>
    <w:sectPr w:rsidR="002A63C6">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312FB" w14:textId="77777777" w:rsidR="002143DE" w:rsidRDefault="002143DE">
      <w:r>
        <w:separator/>
      </w:r>
    </w:p>
  </w:endnote>
  <w:endnote w:type="continuationSeparator" w:id="0">
    <w:p w14:paraId="74CC933D" w14:textId="77777777" w:rsidR="002143DE" w:rsidRDefault="0021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66FE" w14:textId="77777777" w:rsidR="002A63C6" w:rsidRDefault="00D13D1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E59FE">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E59FE">
      <w:rPr>
        <w:rFonts w:ascii="Palatino Linotype" w:eastAsia="Palatino Linotype" w:hAnsi="Palatino Linotype" w:cs="Palatino Linotype"/>
        <w:noProof/>
        <w:color w:val="000000"/>
        <w:sz w:val="22"/>
        <w:szCs w:val="22"/>
      </w:rPr>
      <w:t>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40A3" w14:textId="77777777" w:rsidR="002A63C6" w:rsidRDefault="00D13D19">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E59F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E59FE">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D06DA" w14:textId="77777777" w:rsidR="002143DE" w:rsidRDefault="002143DE">
      <w:r>
        <w:separator/>
      </w:r>
    </w:p>
  </w:footnote>
  <w:footnote w:type="continuationSeparator" w:id="0">
    <w:p w14:paraId="69F011CF" w14:textId="77777777" w:rsidR="002143DE" w:rsidRDefault="0021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11059" w14:textId="77777777" w:rsidR="002A63C6" w:rsidRDefault="002143D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8C1A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RESOLUCIÓN" style="position:absolute;margin-left:0;margin-top:0;width:540pt;height:10in;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ABFB" w14:textId="77777777" w:rsidR="002A63C6" w:rsidRDefault="002143D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729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RESOLUCIÓN" style="position:absolute;margin-left:0;margin-top:0;width:540pt;height:10in;z-index:-251659776;mso-position-horizontal:center;mso-position-horizontal-relative:margin;mso-position-vertical:center;mso-position-vertical-relative:margin">
          <v:imagedata r:id="rId1" o:title="image7"/>
          <w10:wrap anchorx="margin" anchory="margin"/>
        </v:shape>
      </w:pict>
    </w:r>
  </w:p>
  <w:tbl>
    <w:tblPr>
      <w:tblStyle w:val="a6"/>
      <w:tblW w:w="9534" w:type="dxa"/>
      <w:tblInd w:w="-142" w:type="dxa"/>
      <w:tblLayout w:type="fixed"/>
      <w:tblLook w:val="0400" w:firstRow="0" w:lastRow="0" w:firstColumn="0" w:lastColumn="0" w:noHBand="0" w:noVBand="1"/>
    </w:tblPr>
    <w:tblGrid>
      <w:gridCol w:w="3261"/>
      <w:gridCol w:w="2551"/>
      <w:gridCol w:w="3722"/>
    </w:tblGrid>
    <w:tr w:rsidR="002A63C6" w14:paraId="32960343" w14:textId="77777777">
      <w:tc>
        <w:tcPr>
          <w:tcW w:w="3261" w:type="dxa"/>
          <w:vMerge w:val="restart"/>
        </w:tcPr>
        <w:p w14:paraId="6DDAB963"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52DE9798" wp14:editId="406A85B9">
                <wp:extent cx="1692162" cy="852673"/>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B06F8E2"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5586E1EC" w14:textId="77777777" w:rsidR="002A63C6" w:rsidRDefault="00D13D19">
          <w:pPr>
            <w:ind w:right="36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00092/INFOEM/IP/RR/2022</w:t>
          </w:r>
        </w:p>
      </w:tc>
    </w:tr>
    <w:tr w:rsidR="002A63C6" w14:paraId="792D0408" w14:textId="77777777">
      <w:tc>
        <w:tcPr>
          <w:tcW w:w="3261" w:type="dxa"/>
          <w:vMerge/>
        </w:tcPr>
        <w:p w14:paraId="4007E3BA" w14:textId="77777777" w:rsidR="002A63C6" w:rsidRDefault="002A63C6">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9B82DDE"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79C44236" w14:textId="77777777" w:rsidR="002A63C6" w:rsidRDefault="00D13D19">
          <w:pPr>
            <w:ind w:right="36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Servicios Educativos Integrados al Estado de México </w:t>
          </w:r>
        </w:p>
      </w:tc>
    </w:tr>
    <w:tr w:rsidR="002A63C6" w14:paraId="31834758" w14:textId="77777777">
      <w:trPr>
        <w:trHeight w:val="228"/>
      </w:trPr>
      <w:tc>
        <w:tcPr>
          <w:tcW w:w="3261" w:type="dxa"/>
          <w:vMerge/>
        </w:tcPr>
        <w:p w14:paraId="4F008ED5" w14:textId="77777777" w:rsidR="002A63C6" w:rsidRDefault="002A63C6">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637458D2"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722" w:type="dxa"/>
          <w:shd w:val="clear" w:color="auto" w:fill="auto"/>
        </w:tcPr>
        <w:p w14:paraId="01804928" w14:textId="77777777" w:rsidR="002A63C6" w:rsidRDefault="00D13D19">
          <w:pPr>
            <w:ind w:right="36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Luis Gustavo Parra Noriega </w:t>
          </w:r>
        </w:p>
      </w:tc>
    </w:tr>
  </w:tbl>
  <w:p w14:paraId="1454BD36" w14:textId="77777777" w:rsidR="002A63C6" w:rsidRDefault="002A63C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6A95" w14:textId="77777777" w:rsidR="002A63C6" w:rsidRDefault="002143DE">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198E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RESOLUCIÓN" style="position:absolute;margin-left:0;margin-top:0;width:540pt;height:10in;z-index:-251658752;mso-position-horizontal:center;mso-position-horizontal-relative:margin;mso-position-vertical:center;mso-position-vertical-relative:margin">
          <v:imagedata r:id="rId1" o:title="image7"/>
          <w10:wrap anchorx="margin" anchory="margin"/>
        </v:shape>
      </w:pict>
    </w:r>
  </w:p>
  <w:tbl>
    <w:tblPr>
      <w:tblStyle w:val="a7"/>
      <w:tblW w:w="9900" w:type="dxa"/>
      <w:tblInd w:w="-833" w:type="dxa"/>
      <w:tblLayout w:type="fixed"/>
      <w:tblLook w:val="0400" w:firstRow="0" w:lastRow="0" w:firstColumn="0" w:lastColumn="0" w:noHBand="0" w:noVBand="1"/>
    </w:tblPr>
    <w:tblGrid>
      <w:gridCol w:w="3805"/>
      <w:gridCol w:w="3000"/>
      <w:gridCol w:w="3095"/>
    </w:tblGrid>
    <w:tr w:rsidR="002A63C6" w14:paraId="56A4E4EF" w14:textId="77777777">
      <w:tc>
        <w:tcPr>
          <w:tcW w:w="3805" w:type="dxa"/>
          <w:vMerge w:val="restart"/>
          <w:shd w:val="clear" w:color="auto" w:fill="auto"/>
        </w:tcPr>
        <w:p w14:paraId="137BCC42" w14:textId="77777777" w:rsidR="002A63C6" w:rsidRDefault="00D13D19">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2B3638B" wp14:editId="66FECA0C">
                <wp:extent cx="1692162" cy="852673"/>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0F57ADFC"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095" w:type="dxa"/>
          <w:shd w:val="clear" w:color="auto" w:fill="auto"/>
          <w:vAlign w:val="center"/>
        </w:tcPr>
        <w:p w14:paraId="31BA6441" w14:textId="77777777" w:rsidR="002A63C6" w:rsidRDefault="00D13D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00092/INFOEM/IP/RR/2022 </w:t>
          </w:r>
        </w:p>
      </w:tc>
    </w:tr>
    <w:tr w:rsidR="002A63C6" w14:paraId="7F8B034B" w14:textId="77777777">
      <w:tc>
        <w:tcPr>
          <w:tcW w:w="3805" w:type="dxa"/>
          <w:vMerge/>
          <w:shd w:val="clear" w:color="auto" w:fill="auto"/>
        </w:tcPr>
        <w:p w14:paraId="0EEF7E11" w14:textId="77777777" w:rsidR="002A63C6" w:rsidRDefault="002A63C6">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3000" w:type="dxa"/>
          <w:shd w:val="clear" w:color="auto" w:fill="auto"/>
        </w:tcPr>
        <w:p w14:paraId="14C41278"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095" w:type="dxa"/>
          <w:shd w:val="clear" w:color="auto" w:fill="auto"/>
          <w:vAlign w:val="center"/>
        </w:tcPr>
        <w:p w14:paraId="4105333A" w14:textId="77777777" w:rsidR="002A63C6" w:rsidRDefault="002A63C6">
          <w:pPr>
            <w:jc w:val="both"/>
            <w:rPr>
              <w:rFonts w:ascii="Palatino Linotype" w:eastAsia="Palatino Linotype" w:hAnsi="Palatino Linotype" w:cs="Palatino Linotype"/>
              <w:b/>
              <w:sz w:val="22"/>
              <w:szCs w:val="22"/>
            </w:rPr>
          </w:pPr>
        </w:p>
      </w:tc>
    </w:tr>
    <w:tr w:rsidR="002A63C6" w14:paraId="207509DC" w14:textId="77777777">
      <w:trPr>
        <w:trHeight w:val="228"/>
      </w:trPr>
      <w:tc>
        <w:tcPr>
          <w:tcW w:w="3805" w:type="dxa"/>
          <w:vMerge/>
          <w:shd w:val="clear" w:color="auto" w:fill="auto"/>
        </w:tcPr>
        <w:p w14:paraId="130A628A" w14:textId="77777777" w:rsidR="002A63C6" w:rsidRDefault="002A63C6">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3000" w:type="dxa"/>
          <w:shd w:val="clear" w:color="auto" w:fill="auto"/>
        </w:tcPr>
        <w:p w14:paraId="1072F937"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095" w:type="dxa"/>
          <w:shd w:val="clear" w:color="auto" w:fill="auto"/>
          <w:vAlign w:val="center"/>
        </w:tcPr>
        <w:p w14:paraId="25CF657C" w14:textId="77777777" w:rsidR="002A63C6" w:rsidRDefault="00D13D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2A63C6" w14:paraId="58F05589" w14:textId="77777777">
      <w:tc>
        <w:tcPr>
          <w:tcW w:w="3805" w:type="dxa"/>
          <w:vMerge/>
          <w:shd w:val="clear" w:color="auto" w:fill="auto"/>
        </w:tcPr>
        <w:p w14:paraId="4507FF29" w14:textId="77777777" w:rsidR="002A63C6" w:rsidRDefault="002A63C6">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3000" w:type="dxa"/>
          <w:shd w:val="clear" w:color="auto" w:fill="auto"/>
        </w:tcPr>
        <w:p w14:paraId="5ED4913F" w14:textId="77777777" w:rsidR="002A63C6" w:rsidRDefault="00D13D1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095" w:type="dxa"/>
          <w:shd w:val="clear" w:color="auto" w:fill="auto"/>
        </w:tcPr>
        <w:p w14:paraId="1BD5176C" w14:textId="77777777" w:rsidR="002A63C6" w:rsidRDefault="00D13D1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Luis Gustavo Parra Noriega</w:t>
          </w:r>
        </w:p>
      </w:tc>
    </w:tr>
  </w:tbl>
  <w:p w14:paraId="170E57AB" w14:textId="77777777" w:rsidR="002A63C6" w:rsidRDefault="002A63C6">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87D"/>
    <w:multiLevelType w:val="hybridMultilevel"/>
    <w:tmpl w:val="A58C8D12"/>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 w15:restartNumberingAfterBreak="0">
    <w:nsid w:val="56820EC5"/>
    <w:multiLevelType w:val="multilevel"/>
    <w:tmpl w:val="7FEAA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1E3F35"/>
    <w:multiLevelType w:val="multilevel"/>
    <w:tmpl w:val="2656F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0336AB"/>
    <w:multiLevelType w:val="hybridMultilevel"/>
    <w:tmpl w:val="00CA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070D9F"/>
    <w:multiLevelType w:val="multilevel"/>
    <w:tmpl w:val="971CB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7924305">
    <w:abstractNumId w:val="1"/>
  </w:num>
  <w:num w:numId="2" w16cid:durableId="964891467">
    <w:abstractNumId w:val="4"/>
  </w:num>
  <w:num w:numId="3" w16cid:durableId="1620338677">
    <w:abstractNumId w:val="2"/>
  </w:num>
  <w:num w:numId="4" w16cid:durableId="781922331">
    <w:abstractNumId w:val="0"/>
  </w:num>
  <w:num w:numId="5" w16cid:durableId="397485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3C6"/>
    <w:rsid w:val="00070BAF"/>
    <w:rsid w:val="00184631"/>
    <w:rsid w:val="002143DE"/>
    <w:rsid w:val="002A63C6"/>
    <w:rsid w:val="00366D93"/>
    <w:rsid w:val="003E72A4"/>
    <w:rsid w:val="004C3DA1"/>
    <w:rsid w:val="005358DD"/>
    <w:rsid w:val="005900CD"/>
    <w:rsid w:val="006C048C"/>
    <w:rsid w:val="006D508B"/>
    <w:rsid w:val="008127A5"/>
    <w:rsid w:val="00844144"/>
    <w:rsid w:val="0088393A"/>
    <w:rsid w:val="00B5017F"/>
    <w:rsid w:val="00BC5967"/>
    <w:rsid w:val="00CC22D8"/>
    <w:rsid w:val="00D13D19"/>
    <w:rsid w:val="00D17BCA"/>
    <w:rsid w:val="00DC7DEC"/>
    <w:rsid w:val="00F97B83"/>
    <w:rsid w:val="00FE5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71527"/>
  <w15:docId w15:val="{E47473C3-BB65-4E8F-8D29-64969378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PC9cGRYInCaUj1gbrn1flkjNHQ==">AMUW2mWwbVJvFNkLjISiGG/PXAKc8jo8rP9sKVffYCRmiQ1nVWKMAoMaSyF3NF686A4GUaWfnwVplICP/JqAGQW0ymJ6RvU/tulrl4fdJR13d4k3aUWiiqqvarwscE1hvqK9PE3hwt15KCVQDfcIx3Acum7Szve+G0aQBLucvbe3md6phleBteAmv9qhfCfQf66nF7PkHSW2sdizfLjtVk5fs0P3tJb7uzNPEA5SItOMjTufx7rNR7Y=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5898</Words>
  <Characters>32445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Yesica Gonzales Romero</cp:lastModifiedBy>
  <cp:revision>2</cp:revision>
  <dcterms:created xsi:type="dcterms:W3CDTF">2022-05-18T02:11:00Z</dcterms:created>
  <dcterms:modified xsi:type="dcterms:W3CDTF">2022-05-18T02:11:00Z</dcterms:modified>
</cp:coreProperties>
</file>