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marzo de dos mil veintidós. </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00459/INFOEM/IP/RR/2022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BE3C99">
        <w:rPr>
          <w:rFonts w:ascii="Palatino Linotype" w:eastAsia="Palatino Linotype" w:hAnsi="Palatino Linotype" w:cs="Palatino Linotype"/>
          <w:b/>
          <w:sz w:val="22"/>
          <w:szCs w:val="22"/>
        </w:rPr>
        <w:t>XXXXXX XXXXXX XXXXXX</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BD101D" w:rsidRDefault="001843BD">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diez de enero de dos mil veintidós,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w:t>
      </w:r>
      <w:r>
        <w:rPr>
          <w:rFonts w:ascii="Palatino Linotype" w:eastAsia="Palatino Linotype" w:hAnsi="Palatino Linotype" w:cs="Palatino Linotype"/>
        </w:rPr>
        <w:t>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00152/TOLUCA/IP/2022, </w:t>
      </w:r>
      <w:r>
        <w:rPr>
          <w:rFonts w:ascii="Palatino Linotype" w:eastAsia="Palatino Linotype" w:hAnsi="Palatino Linotype" w:cs="Palatino Linotype"/>
        </w:rPr>
        <w:t xml:space="preserve">mediante la cual requirió la información siguiente: </w:t>
      </w:r>
    </w:p>
    <w:p w:rsidR="00BD101D" w:rsidRDefault="001843BD">
      <w:pPr>
        <w:spacing w:before="240" w:after="240" w:line="276" w:lineRule="auto"/>
        <w:ind w:left="851" w:right="616"/>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Sueldo del Presidente Municipal, Regidores, Sindico, Secretario del ayun</w:t>
      </w:r>
      <w:r>
        <w:rPr>
          <w:rFonts w:ascii="Palatino Linotype" w:eastAsia="Palatino Linotype" w:hAnsi="Palatino Linotype" w:cs="Palatino Linotype"/>
          <w:i/>
          <w:color w:val="000000"/>
          <w:sz w:val="22"/>
          <w:szCs w:val="22"/>
        </w:rPr>
        <w:t>tamiento Relación del personal y salarios de servidores publicos adscritos a Presidencia, Secretaria del Ayuntamiento, Regidores, Direcciones Generales, Coordinación de asesores</w:t>
      </w:r>
      <w:r>
        <w:rPr>
          <w:rFonts w:ascii="Palatino Linotype" w:eastAsia="Palatino Linotype" w:hAnsi="Palatino Linotype" w:cs="Palatino Linotype"/>
          <w:i/>
          <w:sz w:val="22"/>
          <w:szCs w:val="22"/>
        </w:rPr>
        <w:t xml:space="preserve"> “ (sic)</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w:t>
      </w:r>
      <w:r>
        <w:rPr>
          <w:rFonts w:ascii="Palatino Linotype" w:eastAsia="Palatino Linotype" w:hAnsi="Palatino Linotype" w:cs="Palatino Linotype"/>
        </w:rPr>
        <w:t>Mexiquense (SAIMEX).</w:t>
      </w:r>
    </w:p>
    <w:p w:rsidR="00BD101D" w:rsidRDefault="001843BD">
      <w:pPr>
        <w:tabs>
          <w:tab w:val="left" w:pos="499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treinta y uno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BD101D" w:rsidRDefault="001843BD">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w:t>
      </w:r>
      <w:r>
        <w:rPr>
          <w:rFonts w:ascii="Palatino Linotype" w:eastAsia="Palatino Linotype" w:hAnsi="Palatino Linotype" w:cs="Palatino Linotype"/>
          <w:i/>
          <w:sz w:val="22"/>
          <w:szCs w:val="22"/>
        </w:rPr>
        <w:t>cimiento que con fundamento en el artículo 53, Fracciones: II, V y VI de la Ley de Transparencia y Acceso a la Información Pública del Estado de México y Municipios, le contestamos que:</w:t>
      </w:r>
    </w:p>
    <w:p w:rsidR="00BD101D" w:rsidRDefault="001843BD">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su solicitud de información de fecha diez de enero del a</w:t>
      </w:r>
      <w:r>
        <w:rPr>
          <w:rFonts w:ascii="Palatino Linotype" w:eastAsia="Palatino Linotype" w:hAnsi="Palatino Linotype" w:cs="Palatino Linotype"/>
          <w:i/>
          <w:sz w:val="22"/>
          <w:szCs w:val="22"/>
        </w:rPr>
        <w:t>ño dos mil veintidós, a través del Sistema de Acceso a la Información Mexiquense (SAIMEX) número 00152/TOLUCA/IP/2022; mediante la cual solicitó lo siguiente: “SUELDO DEL PRESIDENTE MUNICIPAL, REGIDORES, SINDICO, SECRETARIO DEL AYUNTAMIENTO RELACIÓN DEL PE</w:t>
      </w:r>
      <w:r>
        <w:rPr>
          <w:rFonts w:ascii="Palatino Linotype" w:eastAsia="Palatino Linotype" w:hAnsi="Palatino Linotype" w:cs="Palatino Linotype"/>
          <w:i/>
          <w:sz w:val="22"/>
          <w:szCs w:val="22"/>
        </w:rPr>
        <w:t xml:space="preserve">RSONAL Y SALARIOS DE SERVIDORES PUBLICOS ADSCRITOS A PRESIDENCIA, SECRETARIA DEL AYUNTAMIENTO, REGIDORES, DIRECCIONESGENERALES, COORDINACIÓN DE ASESORES....” (Sic) </w:t>
      </w:r>
    </w:p>
    <w:p w:rsidR="00BD101D" w:rsidRDefault="001843BD">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Al respecto y de conformidad con lo dispuesto en los artículos 6 apartado A y 8 de la Const</w:t>
      </w:r>
      <w:r>
        <w:rPr>
          <w:rFonts w:ascii="Palatino Linotype" w:eastAsia="Palatino Linotype" w:hAnsi="Palatino Linotype" w:cs="Palatino Linotype"/>
          <w:i/>
          <w:sz w:val="22"/>
          <w:szCs w:val="22"/>
        </w:rPr>
        <w:t xml:space="preserve">itución Política de los Estados Unidos Mexicanos; 5 de la Constitución Política del Estado Libre y Soberano de México; 1, 2, 3 fracción XXXIX, 4, 7 fracción I, 8, 11, 12 párrafo segundo, 15, 17, 21, 23 fracción I, 24 último párrafo, 53 fracción I, II y V, </w:t>
      </w:r>
      <w:r>
        <w:rPr>
          <w:rFonts w:ascii="Palatino Linotype" w:eastAsia="Palatino Linotype" w:hAnsi="Palatino Linotype" w:cs="Palatino Linotype"/>
          <w:i/>
          <w:sz w:val="22"/>
          <w:szCs w:val="22"/>
        </w:rPr>
        <w:t>59 fracción I, II y III, 75, 150, 151, 162 y 163 de la Ley de Transparencia y Acceso a la Información Pública del Estado de México y Municipios; 3.3 del Código Reglamentario de Toluca; además de lo relativo al Manual de Procedimientos de la Unidad de Trans</w:t>
      </w:r>
      <w:r>
        <w:rPr>
          <w:rFonts w:ascii="Palatino Linotype" w:eastAsia="Palatino Linotype" w:hAnsi="Palatino Linotype" w:cs="Palatino Linotype"/>
          <w:i/>
          <w:sz w:val="22"/>
          <w:szCs w:val="22"/>
        </w:rPr>
        <w:t xml:space="preserve">parencia de Toluca; hago de su conocimiento que la Dirección General de Administración y Servidora Pública Habilitada. Informa a la que suscribe; Respecto a la información que es competencia de esta Dirección: </w:t>
      </w:r>
      <w:r>
        <w:rPr>
          <w:rFonts w:ascii="Palatino Linotype" w:eastAsia="Palatino Linotype" w:hAnsi="Palatino Linotype" w:cs="Palatino Linotype"/>
          <w:b/>
          <w:i/>
          <w:sz w:val="22"/>
          <w:szCs w:val="22"/>
        </w:rPr>
        <w:t>Se envía el “Anexo 152” documento en formato .</w:t>
      </w:r>
      <w:r>
        <w:rPr>
          <w:rFonts w:ascii="Palatino Linotype" w:eastAsia="Palatino Linotype" w:hAnsi="Palatino Linotype" w:cs="Palatino Linotype"/>
          <w:b/>
          <w:i/>
          <w:sz w:val="22"/>
          <w:szCs w:val="22"/>
        </w:rPr>
        <w:t>pdf, la información correspondiente a Sueldo del Presidente Municipal, Regidores, Sindico, Secretario del ayuntamiento Relación del personal y salarios de servidores públicos adscritos a Presidencia, Secretaria del Ayuntamiento, Regidores, Direcciones Gene</w:t>
      </w:r>
      <w:r>
        <w:rPr>
          <w:rFonts w:ascii="Palatino Linotype" w:eastAsia="Palatino Linotype" w:hAnsi="Palatino Linotype" w:cs="Palatino Linotype"/>
          <w:b/>
          <w:i/>
          <w:sz w:val="22"/>
          <w:szCs w:val="22"/>
        </w:rPr>
        <w:t>rales, Coordinación de asesores.</w:t>
      </w:r>
      <w:r>
        <w:rPr>
          <w:rFonts w:ascii="Palatino Linotype" w:eastAsia="Palatino Linotype" w:hAnsi="Palatino Linotype" w:cs="Palatino Linotype"/>
          <w:i/>
          <w:sz w:val="22"/>
          <w:szCs w:val="22"/>
        </w:rPr>
        <w:t xml:space="preserve"> Lo anterior de conformidad con el artículo 12 de la </w:t>
      </w:r>
      <w:r>
        <w:rPr>
          <w:rFonts w:ascii="Palatino Linotype" w:eastAsia="Palatino Linotype" w:hAnsi="Palatino Linotype" w:cs="Palatino Linotype"/>
          <w:i/>
          <w:sz w:val="22"/>
          <w:szCs w:val="22"/>
        </w:rPr>
        <w:lastRenderedPageBreak/>
        <w:t xml:space="preserve">Ley de Transparencia y Acceso a la Información Publica del Estado de México y Municipios. Bajo esta misma tesitura informo que el Instituto Municipal de la Mujer y Servidora Pública Habilitada informa a </w:t>
      </w:r>
      <w:r>
        <w:rPr>
          <w:rFonts w:ascii="Palatino Linotype" w:eastAsia="Palatino Linotype" w:hAnsi="Palatino Linotype" w:cs="Palatino Linotype"/>
          <w:i/>
          <w:sz w:val="22"/>
          <w:szCs w:val="22"/>
        </w:rPr>
        <w:t xml:space="preserve">la que suscribe: </w:t>
      </w:r>
      <w:r>
        <w:rPr>
          <w:rFonts w:ascii="Palatino Linotype" w:eastAsia="Palatino Linotype" w:hAnsi="Palatino Linotype" w:cs="Palatino Linotype"/>
          <w:b/>
          <w:i/>
          <w:sz w:val="22"/>
          <w:szCs w:val="22"/>
        </w:rPr>
        <w:t>Se presenta una tabla en formato PDF con la información solicitada en Anexo I</w:t>
      </w:r>
      <w:r>
        <w:rPr>
          <w:rFonts w:ascii="Palatino Linotype" w:eastAsia="Palatino Linotype" w:hAnsi="Palatino Linotype" w:cs="Palatino Linotype"/>
          <w:i/>
          <w:sz w:val="22"/>
          <w:szCs w:val="22"/>
        </w:rPr>
        <w:t>. Por lo anterior el Instituto Municipal de Cultura Física y Deporte de Toluca y Servidora Pública Habilitada le informo que este Instituto solo puede proporciona</w:t>
      </w:r>
      <w:r>
        <w:rPr>
          <w:rFonts w:ascii="Palatino Linotype" w:eastAsia="Palatino Linotype" w:hAnsi="Palatino Linotype" w:cs="Palatino Linotype"/>
          <w:i/>
          <w:sz w:val="22"/>
          <w:szCs w:val="22"/>
        </w:rPr>
        <w:t xml:space="preserve">r el sueldo de la Directora General, el cual es el siguiente: </w:t>
      </w:r>
      <w:r>
        <w:rPr>
          <w:rFonts w:ascii="Palatino Linotype" w:eastAsia="Palatino Linotype" w:hAnsi="Palatino Linotype" w:cs="Palatino Linotype"/>
          <w:b/>
          <w:i/>
          <w:sz w:val="22"/>
          <w:szCs w:val="22"/>
        </w:rPr>
        <w:t>• Puesto: Directora General • Sueldo Neto Mensual $ 57 238.14</w:t>
      </w:r>
      <w:r>
        <w:rPr>
          <w:rFonts w:ascii="Palatino Linotype" w:eastAsia="Palatino Linotype" w:hAnsi="Palatino Linotype" w:cs="Palatino Linotype"/>
          <w:i/>
          <w:sz w:val="22"/>
          <w:szCs w:val="22"/>
        </w:rPr>
        <w:t xml:space="preserve"> Lo anterior, de conformidad con los artículos 12 y 24 de la Ley de Transparencia, Acceso a la Información Pública del Estado de Méxi</w:t>
      </w:r>
      <w:r>
        <w:rPr>
          <w:rFonts w:ascii="Palatino Linotype" w:eastAsia="Palatino Linotype" w:hAnsi="Palatino Linotype" w:cs="Palatino Linotype"/>
          <w:i/>
          <w:sz w:val="22"/>
          <w:szCs w:val="22"/>
        </w:rPr>
        <w:t xml:space="preserve">co y Municipios que a la letra dicen: “…Artículo 12. Quienes generen, recopilen, administren, manejen, procesen, archiven o conserven información pública serán responsables de la misma en los términos de las disposiciones jurídicas aplicables. Los sujetos </w:t>
      </w:r>
      <w:r>
        <w:rPr>
          <w:rFonts w:ascii="Palatino Linotype" w:eastAsia="Palatino Linotype" w:hAnsi="Palatino Linotype" w:cs="Palatino Linotype"/>
          <w:i/>
          <w:sz w:val="22"/>
          <w:szCs w:val="22"/>
        </w:rPr>
        <w:t xml:space="preserve">obligados sólo proporcionarán la información pública que se les requiera y que obre en sus archivos y en el estado en que ésta se encuentre. La obligación de proporcionar información no comprende el procesamiento de la misma, ni el presentarla conforme al </w:t>
      </w:r>
      <w:r>
        <w:rPr>
          <w:rFonts w:ascii="Palatino Linotype" w:eastAsia="Palatino Linotype" w:hAnsi="Palatino Linotype" w:cs="Palatino Linotype"/>
          <w:i/>
          <w:sz w:val="22"/>
          <w:szCs w:val="22"/>
        </w:rPr>
        <w:t>interés del solicitante; no estarán obligados a generarla, resumirla, efectuar cálculos o practicar investigaciones…” “…Artículo 24. Para el cumplimiento de los objetivos de esta Ley, los sujetos obligados deberán cumplir con las siguientes obligaciones, s</w:t>
      </w:r>
      <w:r>
        <w:rPr>
          <w:rFonts w:ascii="Palatino Linotype" w:eastAsia="Palatino Linotype" w:hAnsi="Palatino Linotype" w:cs="Palatino Linotype"/>
          <w:i/>
          <w:sz w:val="22"/>
          <w:szCs w:val="22"/>
        </w:rPr>
        <w:t xml:space="preserve">egún corresponda, de acuerdo a su naturaleza: … Los sujetos obligados solo proporcionarán la información pública que generen, administren o posean en el ejercicio de sus atribuciones…” Sin otro particular por el momento, aprovecho la ocasión para enviarle </w:t>
      </w:r>
      <w:r>
        <w:rPr>
          <w:rFonts w:ascii="Palatino Linotype" w:eastAsia="Palatino Linotype" w:hAnsi="Palatino Linotype" w:cs="Palatino Linotype"/>
          <w:i/>
          <w:sz w:val="22"/>
          <w:szCs w:val="22"/>
        </w:rPr>
        <w:t>un cordial saludo.</w:t>
      </w:r>
    </w:p>
    <w:p w:rsidR="00BD101D" w:rsidRDefault="001843BD">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BD101D" w:rsidRDefault="001843BD">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 (sic)</w:t>
      </w:r>
    </w:p>
    <w:p w:rsidR="00BD101D" w:rsidRDefault="001843B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los archivos electrónicos identificados como:</w:t>
      </w:r>
    </w:p>
    <w:p w:rsidR="00BD101D" w:rsidRDefault="001843BD">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 xml:space="preserve">ANEXO 1 Solicitud 152.pdf”, </w:t>
      </w:r>
      <w:r>
        <w:rPr>
          <w:rFonts w:ascii="Palatino Linotype" w:eastAsia="Palatino Linotype" w:hAnsi="Palatino Linotype" w:cs="Palatino Linotype"/>
          <w:color w:val="000000"/>
        </w:rPr>
        <w:t>consistente en una tabla que señala el sueldo bruto mensual de la Directora General del Instituto Estatal de la Mujer, como se muestra a continuación:</w:t>
      </w:r>
    </w:p>
    <w:p w:rsidR="00BD101D" w:rsidRDefault="001843BD">
      <w:pPr>
        <w:spacing w:before="240" w:after="240" w:line="360" w:lineRule="auto"/>
        <w:ind w:right="49"/>
        <w:jc w:val="center"/>
        <w:rPr>
          <w:rFonts w:ascii="Palatino Linotype" w:eastAsia="Palatino Linotype" w:hAnsi="Palatino Linotype" w:cs="Palatino Linotype"/>
        </w:rPr>
      </w:pPr>
      <w:r>
        <w:rPr>
          <w:noProof/>
          <w:lang w:val="es-MX"/>
        </w:rPr>
        <w:lastRenderedPageBreak/>
        <w:drawing>
          <wp:inline distT="0" distB="0" distL="0" distR="0">
            <wp:extent cx="4286764" cy="2763032"/>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8710" t="19614" r="15477" b="39348"/>
                    <a:stretch>
                      <a:fillRect/>
                    </a:stretch>
                  </pic:blipFill>
                  <pic:spPr>
                    <a:xfrm>
                      <a:off x="0" y="0"/>
                      <a:ext cx="4286764" cy="2763032"/>
                    </a:xfrm>
                    <a:prstGeom prst="rect">
                      <a:avLst/>
                    </a:prstGeom>
                    <a:ln/>
                  </pic:spPr>
                </pic:pic>
              </a:graphicData>
            </a:graphic>
          </wp:inline>
        </w:drawing>
      </w:r>
    </w:p>
    <w:p w:rsidR="00BD101D" w:rsidRDefault="001843BD">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“anexo 152.pdf”  </w:t>
      </w:r>
      <w:r>
        <w:rPr>
          <w:rFonts w:ascii="Palatino Linotype" w:eastAsia="Palatino Linotype" w:hAnsi="Palatino Linotype" w:cs="Palatino Linotype"/>
          <w:color w:val="000000"/>
        </w:rPr>
        <w:t>de la Dirección de Recursos Humanos, consistente en ochenta y ocho fojas, que dan a conocer mediante tablas, el nombre, categoría, sueldo mensual bruto, sueldo mensual neto y adscripción, como se muestra a manera de ejemplo en la siguiente captura:</w: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457200</wp:posOffset>
                </wp:positionH>
                <wp:positionV relativeFrom="paragraph">
                  <wp:posOffset>1181100</wp:posOffset>
                </wp:positionV>
                <wp:extent cx="4621254" cy="2243814"/>
                <wp:effectExtent l="0" t="0" r="0" b="0"/>
                <wp:wrapNone/>
                <wp:docPr id="25" name="Conector recto de flecha 25"/>
                <wp:cNvGraphicFramePr/>
                <a:graphic xmlns:a="http://schemas.openxmlformats.org/drawingml/2006/main">
                  <a:graphicData uri="http://schemas.microsoft.com/office/word/2010/wordprocessingShape">
                    <wps:wsp>
                      <wps:cNvCnPr/>
                      <wps:spPr>
                        <a:xfrm>
                          <a:off x="3048073" y="2670793"/>
                          <a:ext cx="4595854" cy="2218414"/>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1181100</wp:posOffset>
                </wp:positionV>
                <wp:extent cx="4621254" cy="2243814"/>
                <wp:effectExtent b="0" l="0" r="0" t="0"/>
                <wp:wrapNone/>
                <wp:docPr id="25"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4621254" cy="2243814"/>
                        </a:xfrm>
                        <a:prstGeom prst="rect"/>
                        <a:ln/>
                      </pic:spPr>
                    </pic:pic>
                  </a:graphicData>
                </a:graphic>
              </wp:anchor>
            </w:drawing>
          </mc:Fallback>
        </mc:AlternateContent>
      </w:r>
    </w:p>
    <w:p w:rsidR="00BD101D" w:rsidRDefault="001843BD">
      <w:pPr>
        <w:pBdr>
          <w:top w:val="nil"/>
          <w:left w:val="nil"/>
          <w:bottom w:val="nil"/>
          <w:right w:val="nil"/>
          <w:between w:val="nil"/>
        </w:pBdr>
        <w:spacing w:before="240" w:after="240" w:line="360" w:lineRule="auto"/>
        <w:ind w:left="780" w:right="49"/>
        <w:jc w:val="both"/>
        <w:rPr>
          <w:rFonts w:ascii="Palatino Linotype" w:eastAsia="Palatino Linotype" w:hAnsi="Palatino Linotype" w:cs="Palatino Linotype"/>
          <w:b/>
          <w:i/>
          <w:color w:val="000000"/>
        </w:rPr>
      </w:pPr>
      <w:r>
        <w:rPr>
          <w:noProof/>
          <w:color w:val="000000"/>
          <w:lang w:val="es-MX"/>
        </w:rPr>
        <w:lastRenderedPageBreak/>
        <w:drawing>
          <wp:inline distT="0" distB="0" distL="0" distR="0">
            <wp:extent cx="5079408" cy="5372048"/>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45824" t="19008" r="12934" b="3441"/>
                    <a:stretch>
                      <a:fillRect/>
                    </a:stretch>
                  </pic:blipFill>
                  <pic:spPr>
                    <a:xfrm>
                      <a:off x="0" y="0"/>
                      <a:ext cx="5079408" cy="5372048"/>
                    </a:xfrm>
                    <a:prstGeom prst="rect">
                      <a:avLst/>
                    </a:prstGeom>
                    <a:ln/>
                  </pic:spPr>
                </pic:pic>
              </a:graphicData>
            </a:graphic>
          </wp:inline>
        </w:drawing>
      </w:r>
      <w:r>
        <w:rPr>
          <w:rFonts w:ascii="Palatino Linotype" w:eastAsia="Palatino Linotype" w:hAnsi="Palatino Linotype" w:cs="Palatino Linotype"/>
          <w:color w:val="000000"/>
        </w:rPr>
        <w:t xml:space="preserve"> </w:t>
      </w:r>
    </w:p>
    <w:p w:rsidR="00BD101D" w:rsidRDefault="001843BD">
      <w:pPr>
        <w:pBdr>
          <w:top w:val="nil"/>
          <w:left w:val="nil"/>
          <w:bottom w:val="nil"/>
          <w:right w:val="nil"/>
          <w:between w:val="nil"/>
        </w:pBdr>
        <w:spacing w:before="240" w:after="240" w:line="360" w:lineRule="auto"/>
        <w:ind w:left="780"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Dic</w:t>
      </w:r>
      <w:r>
        <w:rPr>
          <w:rFonts w:ascii="Palatino Linotype" w:eastAsia="Palatino Linotype" w:hAnsi="Palatino Linotype" w:cs="Palatino Linotype"/>
          <w:color w:val="000000"/>
        </w:rPr>
        <w:t>ha información contempla los salarios de:</w:t>
      </w:r>
    </w:p>
    <w:p w:rsidR="00BD101D" w:rsidRDefault="001843BD">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Presidente, Síndicos, Regidores y Secretario del Ayuntamiento de Toluca.</w:t>
      </w:r>
    </w:p>
    <w:p w:rsidR="00BD101D" w:rsidRDefault="001843BD">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Relación del personal y salarios de servidores públicos adscritos a Presidencia, Secretaría del Ayuntamiento, Regidores, Direcciones Generales, Coordinación de asesores. </w:t>
      </w:r>
    </w:p>
    <w:p w:rsidR="00BD101D" w:rsidRDefault="001843B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y uno de enero de dos mil veint</w:t>
      </w:r>
      <w:r>
        <w:rPr>
          <w:rFonts w:ascii="Palatino Linotype" w:eastAsia="Palatino Linotype" w:hAnsi="Palatino Linotype" w:cs="Palatino Linotype"/>
          <w:b/>
        </w:rPr>
        <w: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rsidR="00BD101D" w:rsidRDefault="001843BD">
      <w:pPr>
        <w:tabs>
          <w:tab w:val="left" w:pos="2745"/>
        </w:tabs>
        <w:spacing w:before="240" w:after="240" w:line="360" w:lineRule="auto"/>
        <w:jc w:val="both"/>
        <w:rPr>
          <w:rFonts w:ascii="Palatino Linotype" w:eastAsia="Palatino Linotype" w:hAnsi="Palatino Linotype" w:cs="Palatino Linotype"/>
          <w:i/>
          <w:sz w:val="2"/>
          <w:szCs w:val="2"/>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BD101D" w:rsidRDefault="001843BD">
      <w:pPr>
        <w:spacing w:before="240" w:after="240"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Ayuntamiento de Toluca.” (sic)</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BD101D" w:rsidRDefault="001843BD">
      <w:pPr>
        <w:spacing w:before="240" w:after="240" w:line="360"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No me entregaron los oficios de respuesta de la Direccion de Administracion y de las áreas que turnaron la información</w:t>
      </w:r>
      <w:r>
        <w:rPr>
          <w:rFonts w:ascii="Palatino Linotype" w:eastAsia="Palatino Linotype" w:hAnsi="Palatino Linotype" w:cs="Palatino Linotype"/>
          <w:i/>
          <w:sz w:val="22"/>
          <w:szCs w:val="22"/>
        </w:rPr>
        <w:t xml:space="preserve">, supuestamente disocian la nómina de Seguridad Pública, </w:t>
      </w:r>
      <w:r>
        <w:rPr>
          <w:rFonts w:ascii="Palatino Linotype" w:eastAsia="Palatino Linotype" w:hAnsi="Palatino Linotype" w:cs="Palatino Linotype"/>
          <w:b/>
          <w:i/>
          <w:sz w:val="22"/>
          <w:szCs w:val="22"/>
        </w:rPr>
        <w:t>pero dejan a la vista el nombre y salario de los policías.</w:t>
      </w:r>
      <w:r>
        <w:rPr>
          <w:rFonts w:ascii="Palatino Linotype" w:eastAsia="Palatino Linotype" w:hAnsi="Palatino Linotype" w:cs="Palatino Linotype"/>
          <w:i/>
          <w:sz w:val="22"/>
          <w:szCs w:val="22"/>
        </w:rPr>
        <w:t>” (sic)</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w:t>
      </w:r>
      <w:r>
        <w:rPr>
          <w:rFonts w:ascii="Palatino Linotype" w:eastAsia="Palatino Linotype" w:hAnsi="Palatino Linotype" w:cs="Palatino Linotype"/>
        </w:rPr>
        <w:t>nformidad con el artículo 185 fracción I de la Ley de Transparencia y Acceso a la Información Pública del Estado de México y Municipios vigente, el presente recurso de revisión se turnó por el sistema electrónico del Instituto de Transparencia, Acceso a la</w:t>
      </w:r>
      <w:r>
        <w:rPr>
          <w:rFonts w:ascii="Palatino Linotype" w:eastAsia="Palatino Linotype" w:hAnsi="Palatino Linotype" w:cs="Palatino Linotype"/>
        </w:rPr>
        <w:t xml:space="preserve">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BD101D" w:rsidRDefault="001843B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tres de febrero de dos</w:t>
      </w:r>
      <w:r>
        <w:rPr>
          <w:rFonts w:ascii="Palatino Linotype" w:eastAsia="Palatino Linotype" w:hAnsi="Palatino Linotype" w:cs="Palatino Linotype"/>
          <w:b/>
        </w:rPr>
        <w:t xml:space="preserve"> mil veintidós, </w:t>
      </w:r>
      <w:r>
        <w:rPr>
          <w:rFonts w:ascii="Palatino Linotype" w:eastAsia="Palatino Linotype" w:hAnsi="Palatino Linotype" w:cs="Palatino Linotype"/>
        </w:rPr>
        <w:t xml:space="preserve">este Instituto de Transparencia, Acceso a la Información Pública y Protección de Datos </w:t>
      </w:r>
      <w:r>
        <w:rPr>
          <w:rFonts w:ascii="Palatino Linotype" w:eastAsia="Palatino Linotype" w:hAnsi="Palatino Linotype" w:cs="Palatino Linotype"/>
        </w:rPr>
        <w:lastRenderedPageBreak/>
        <w:t>Personales del Estado de México y Municipios, admitió a trámite el recurso de revisión, dando un plazo máximo de siete días hábiles para que las partes m</w:t>
      </w:r>
      <w:r>
        <w:rPr>
          <w:rFonts w:ascii="Palatino Linotype" w:eastAsia="Palatino Linotype" w:hAnsi="Palatino Linotype" w:cs="Palatino Linotype"/>
        </w:rPr>
        <w:t xml:space="preserve">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BD101D" w:rsidRDefault="001843BD">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quince</w:t>
      </w:r>
      <w:r>
        <w:rPr>
          <w:rFonts w:ascii="Palatino Linotype" w:eastAsia="Palatino Linotype" w:hAnsi="Palatino Linotype" w:cs="Palatino Linotype"/>
        </w:rPr>
        <w:t xml:space="preserve"> </w:t>
      </w:r>
      <w:r>
        <w:rPr>
          <w:rFonts w:ascii="Palatino Linotype" w:eastAsia="Palatino Linotype" w:hAnsi="Palatino Linotype" w:cs="Palatino Linotype"/>
          <w:b/>
        </w:rPr>
        <w:t>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rindió informe justifica</w:t>
      </w:r>
      <w:r>
        <w:rPr>
          <w:rFonts w:ascii="Palatino Linotype" w:eastAsia="Palatino Linotype" w:hAnsi="Palatino Linotype" w:cs="Palatino Linotype"/>
        </w:rPr>
        <w:t xml:space="preserve">do y adjuntó el archivo electrónico siguiente: </w:t>
      </w:r>
    </w:p>
    <w:p w:rsidR="00BD101D" w:rsidRDefault="001843BD">
      <w:pPr>
        <w:widowControl w:val="0"/>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“INF. JUST. 00459_2022.pdf”  </w:t>
      </w:r>
      <w:r>
        <w:rPr>
          <w:rFonts w:ascii="Palatino Linotype" w:eastAsia="Palatino Linotype" w:hAnsi="Palatino Linotype" w:cs="Palatino Linotype"/>
          <w:color w:val="000000"/>
        </w:rPr>
        <w:t>Oficio número UT/0117/2022 del quince de febrero de dos mil veintidós, suscrito por la Titular de la Unidad de Transparencia y Acceso a la Información Pública, por medio del cual rinde el informe justificado en los términos siguientes:</w:t>
      </w:r>
    </w:p>
    <w:p w:rsidR="00BD101D" w:rsidRDefault="001843BD">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070805" cy="3881986"/>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070805" cy="3881986"/>
                    </a:xfrm>
                    <a:prstGeom prst="rect">
                      <a:avLst/>
                    </a:prstGeom>
                    <a:ln/>
                  </pic:spPr>
                </pic:pic>
              </a:graphicData>
            </a:graphic>
          </wp:inline>
        </w:drawing>
      </w:r>
    </w:p>
    <w:p w:rsidR="00BD101D" w:rsidRDefault="00BD101D">
      <w:pPr>
        <w:widowControl w:val="0"/>
        <w:spacing w:before="240" w:after="240" w:line="360" w:lineRule="auto"/>
        <w:jc w:val="center"/>
        <w:rPr>
          <w:rFonts w:ascii="Palatino Linotype" w:eastAsia="Palatino Linotype" w:hAnsi="Palatino Linotype" w:cs="Palatino Linotype"/>
        </w:rPr>
      </w:pPr>
    </w:p>
    <w:p w:rsidR="00BD101D" w:rsidRDefault="001843BD">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616377" cy="5901837"/>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616377" cy="5901837"/>
                    </a:xfrm>
                    <a:prstGeom prst="rect">
                      <a:avLst/>
                    </a:prstGeom>
                    <a:ln/>
                  </pic:spPr>
                </pic:pic>
              </a:graphicData>
            </a:graphic>
          </wp:inline>
        </w:drawing>
      </w:r>
    </w:p>
    <w:p w:rsidR="00BD101D" w:rsidRDefault="00BD101D">
      <w:pPr>
        <w:widowControl w:val="0"/>
        <w:spacing w:before="240" w:after="240" w:line="360" w:lineRule="auto"/>
        <w:jc w:val="both"/>
        <w:rPr>
          <w:rFonts w:ascii="Palatino Linotype" w:eastAsia="Palatino Linotype" w:hAnsi="Palatino Linotype" w:cs="Palatino Linotype"/>
        </w:rPr>
      </w:pPr>
    </w:p>
    <w:p w:rsidR="00BD101D" w:rsidRDefault="00BD101D">
      <w:pPr>
        <w:widowControl w:val="0"/>
        <w:spacing w:before="240" w:after="240" w:line="360" w:lineRule="auto"/>
        <w:jc w:val="both"/>
        <w:rPr>
          <w:rFonts w:ascii="Palatino Linotype" w:eastAsia="Palatino Linotype" w:hAnsi="Palatino Linotype" w:cs="Palatino Linotype"/>
        </w:rPr>
      </w:pPr>
    </w:p>
    <w:p w:rsidR="00BD101D" w:rsidRDefault="00BD101D">
      <w:pPr>
        <w:widowControl w:val="0"/>
        <w:spacing w:before="240" w:after="240" w:line="360" w:lineRule="auto"/>
        <w:jc w:val="both"/>
        <w:rPr>
          <w:rFonts w:ascii="Palatino Linotype" w:eastAsia="Palatino Linotype" w:hAnsi="Palatino Linotype" w:cs="Palatino Linotype"/>
        </w:rPr>
      </w:pPr>
    </w:p>
    <w:p w:rsidR="00BD101D" w:rsidRDefault="00BD101D">
      <w:pPr>
        <w:widowControl w:val="0"/>
        <w:spacing w:before="240" w:after="240" w:line="360" w:lineRule="auto"/>
        <w:jc w:val="both"/>
        <w:rPr>
          <w:rFonts w:ascii="Palatino Linotype" w:eastAsia="Palatino Linotype" w:hAnsi="Palatino Linotype" w:cs="Palatino Linotype"/>
        </w:rPr>
      </w:pPr>
    </w:p>
    <w:p w:rsidR="00BD101D" w:rsidRDefault="001843BD">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925650" cy="5862516"/>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925650" cy="5862516"/>
                    </a:xfrm>
                    <a:prstGeom prst="rect">
                      <a:avLst/>
                    </a:prstGeom>
                    <a:ln/>
                  </pic:spPr>
                </pic:pic>
              </a:graphicData>
            </a:graphic>
          </wp:inline>
        </w:drawing>
      </w:r>
    </w:p>
    <w:p w:rsidR="00BD101D" w:rsidRDefault="00BD101D">
      <w:pPr>
        <w:widowControl w:val="0"/>
        <w:spacing w:before="240" w:after="240" w:line="360" w:lineRule="auto"/>
        <w:jc w:val="center"/>
        <w:rPr>
          <w:rFonts w:ascii="Palatino Linotype" w:eastAsia="Palatino Linotype" w:hAnsi="Palatino Linotype" w:cs="Palatino Linotype"/>
        </w:rPr>
      </w:pPr>
    </w:p>
    <w:p w:rsidR="00BD101D" w:rsidRDefault="00BD101D">
      <w:pPr>
        <w:widowControl w:val="0"/>
        <w:spacing w:before="240" w:after="240" w:line="360" w:lineRule="auto"/>
        <w:jc w:val="center"/>
        <w:rPr>
          <w:rFonts w:ascii="Palatino Linotype" w:eastAsia="Palatino Linotype" w:hAnsi="Palatino Linotype" w:cs="Palatino Linotype"/>
        </w:rPr>
      </w:pPr>
    </w:p>
    <w:p w:rsidR="00BD101D" w:rsidRDefault="00BD101D">
      <w:pPr>
        <w:widowControl w:val="0"/>
        <w:spacing w:before="240" w:after="240" w:line="360" w:lineRule="auto"/>
        <w:jc w:val="center"/>
        <w:rPr>
          <w:rFonts w:ascii="Palatino Linotype" w:eastAsia="Palatino Linotype" w:hAnsi="Palatino Linotype" w:cs="Palatino Linotype"/>
        </w:rPr>
      </w:pPr>
    </w:p>
    <w:p w:rsidR="00BD101D" w:rsidRDefault="001843BD">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059965" cy="6286311"/>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059965" cy="6286311"/>
                    </a:xfrm>
                    <a:prstGeom prst="rect">
                      <a:avLst/>
                    </a:prstGeom>
                    <a:ln/>
                  </pic:spPr>
                </pic:pic>
              </a:graphicData>
            </a:graphic>
          </wp:inline>
        </w:drawing>
      </w:r>
    </w:p>
    <w:p w:rsidR="00BD101D" w:rsidRDefault="00BD101D">
      <w:pPr>
        <w:widowControl w:val="0"/>
        <w:spacing w:before="240" w:after="240" w:line="360" w:lineRule="auto"/>
        <w:jc w:val="both"/>
        <w:rPr>
          <w:rFonts w:ascii="Palatino Linotype" w:eastAsia="Palatino Linotype" w:hAnsi="Palatino Linotype" w:cs="Palatino Linotype"/>
        </w:rPr>
      </w:pPr>
    </w:p>
    <w:p w:rsidR="00BD101D" w:rsidRDefault="001843BD">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037929" cy="6511458"/>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037929" cy="6511458"/>
                    </a:xfrm>
                    <a:prstGeom prst="rect">
                      <a:avLst/>
                    </a:prstGeom>
                    <a:ln/>
                  </pic:spPr>
                </pic:pic>
              </a:graphicData>
            </a:graphic>
          </wp:inline>
        </w:drawing>
      </w:r>
      <w:r>
        <w:rPr>
          <w:rFonts w:ascii="Palatino Linotype" w:eastAsia="Palatino Linotype" w:hAnsi="Palatino Linotype" w:cs="Palatino Linotype"/>
          <w:noProof/>
          <w:lang w:val="es-MX"/>
        </w:rPr>
        <w:lastRenderedPageBreak/>
        <w:drawing>
          <wp:inline distT="0" distB="0" distL="0" distR="0">
            <wp:extent cx="5137239" cy="6611914"/>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137239" cy="6611914"/>
                    </a:xfrm>
                    <a:prstGeom prst="rect">
                      <a:avLst/>
                    </a:prstGeom>
                    <a:ln/>
                  </pic:spPr>
                </pic:pic>
              </a:graphicData>
            </a:graphic>
          </wp:inline>
        </w:drawing>
      </w:r>
    </w:p>
    <w:p w:rsidR="00BD101D" w:rsidRDefault="001843BD">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Documento que mediante acuerdo de fecha veintidós de febrero de dos mil veintidós se puso a la vista de la </w:t>
      </w:r>
      <w:r>
        <w:rPr>
          <w:rFonts w:ascii="Palatino Linotype" w:eastAsia="Palatino Linotype" w:hAnsi="Palatino Linotype" w:cs="Palatino Linotype"/>
          <w:b/>
        </w:rPr>
        <w:t>RECURRENTE.</w:t>
      </w:r>
    </w:p>
    <w:p w:rsidR="00BD101D" w:rsidRDefault="001843BD">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Por su parte,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la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no realizó manifestaciones, ni formuló alegatos y tampoco ofreció medios de prueba. </w:t>
      </w:r>
    </w:p>
    <w:p w:rsidR="00BD101D" w:rsidRDefault="001843BD">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Cierre de instrucción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tres de marzo 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BD101D" w:rsidRDefault="001843BD">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w:t>
      </w:r>
      <w:r>
        <w:rPr>
          <w:rFonts w:ascii="Palatino Linotype" w:eastAsia="Palatino Linotype" w:hAnsi="Palatino Linotype" w:cs="Palatino Linotype"/>
        </w:rPr>
        <w:t xml:space="preserve">puesto en los artículos 6, apartado A de la Constitución Política de los Estados Unidos Mexicanos; 5 párrafos trigésimo, trigésimo primero y trigésimo segundo fracciones IV y V de la Constitución Política del Estado Libre y Soberano de México; 2, fracción </w:t>
      </w:r>
      <w:r>
        <w:rPr>
          <w:rFonts w:ascii="Palatino Linotype" w:eastAsia="Palatino Linotype" w:hAnsi="Palatino Linotype" w:cs="Palatino Linotype"/>
        </w:rPr>
        <w:t xml:space="preserve">II; 29, 36 fracciones I y II; 176, 178, 181, 185, fracción I, 186 y 188 de la Ley Transparencia y Acceso a la Información Pública del Estado de México y Municipios; 9, fracciones I y XXIV y 11 del Reglamento Interior del Instituto de Transparencia, Acceso </w:t>
      </w:r>
      <w:r>
        <w:rPr>
          <w:rFonts w:ascii="Palatino Linotype" w:eastAsia="Palatino Linotype" w:hAnsi="Palatino Linotype" w:cs="Palatino Linotype"/>
        </w:rPr>
        <w:t>a la Información Pública y Protección de Datos Personales del Estado de México y Municipios.</w:t>
      </w:r>
    </w:p>
    <w:p w:rsidR="00BD101D" w:rsidRDefault="001843BD">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w:t>
      </w:r>
      <w:r>
        <w:rPr>
          <w:rFonts w:ascii="Palatino Linotype" w:eastAsia="Palatino Linotype" w:hAnsi="Palatino Linotype" w:cs="Palatino Linotype"/>
        </w:rPr>
        <w:t xml:space="preserve">ibilidad que debe reunir el recurso de revisión interpuesto, previstos en los </w:t>
      </w:r>
      <w:r>
        <w:rPr>
          <w:rFonts w:ascii="Palatino Linotype" w:eastAsia="Palatino Linotype" w:hAnsi="Palatino Linotype" w:cs="Palatino Linotype"/>
        </w:rPr>
        <w:lastRenderedPageBreak/>
        <w:t>artículos 178 y 180 de la Ley de Transparencia y Acceso a la Información Pública del Estado de México y Municipios.</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recurso de revisión fue interpuesto dentro del plazo de qui</w:t>
      </w:r>
      <w:r>
        <w:rPr>
          <w:rFonts w:ascii="Palatino Linotype" w:eastAsia="Palatino Linotype" w:hAnsi="Palatino Linotype" w:cs="Palatino Linotype"/>
        </w:rPr>
        <w:t xml:space="preserve">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treinta y uno de enero de dos mil veint</w:t>
      </w:r>
      <w:r>
        <w:rPr>
          <w:rFonts w:ascii="Palatino Linotype" w:eastAsia="Palatino Linotype" w:hAnsi="Palatino Linotype" w:cs="Palatino Linotype"/>
          <w:b/>
        </w:rPr>
        <w:t xml:space="preserve">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treinta y uno de enero de dos mil veintidós</w:t>
      </w:r>
      <w:r>
        <w:rPr>
          <w:rFonts w:ascii="Palatino Linotype" w:eastAsia="Palatino Linotype" w:hAnsi="Palatino Linotype" w:cs="Palatino Linotype"/>
        </w:rPr>
        <w:t>, esto es el mismo día en que tuvo conocimiento de la respuesta impugnada.</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al considerar la fecha en que se formuló la solicitud y la fecha</w:t>
      </w:r>
      <w:r>
        <w:rPr>
          <w:rFonts w:ascii="Palatino Linotype" w:eastAsia="Palatino Linotype" w:hAnsi="Palatino Linotype" w:cs="Palatino Linotype"/>
        </w:rPr>
        <w:t xml:space="preserve"> en la que respondió a ésta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así como, en la que se interpuso el recurso de revisión, éste se encuentra dentro de los márgenes temporales previstos en el citado precepto legal.</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que contraríe a lo anterior, el artículo 178 en análisis</w:t>
      </w:r>
      <w:r>
        <w:rPr>
          <w:rFonts w:ascii="Palatino Linotype" w:eastAsia="Palatino Linotype" w:hAnsi="Palatino Linotype" w:cs="Palatino Linotype"/>
        </w:rPr>
        <w:t>, refiere que el plazo de quince días hábiles se contará a partir del día siguiente de la fecha en que el afectado tuvo conocimiento de la resolución materia de impugnación, ya que ello debe entenderse para el efecto de que transcurrido dicho plazo ya no p</w:t>
      </w:r>
      <w:r>
        <w:rPr>
          <w:rFonts w:ascii="Palatino Linotype" w:eastAsia="Palatino Linotype" w:hAnsi="Palatino Linotype" w:cs="Palatino Linotype"/>
        </w:rPr>
        <w:t>odrá presentarse el medio de impugnación o si es que se presenta, el mismo se considerará extemporáneo, no así cuando el medio de defensa se interponga antes de que comience a correr el plazo legal; tiene aplicación por analogía, la jurisprudencia 1ª. /J.4</w:t>
      </w:r>
      <w:r>
        <w:rPr>
          <w:rFonts w:ascii="Palatino Linotype" w:eastAsia="Palatino Linotype" w:hAnsi="Palatino Linotype" w:cs="Palatino Linotype"/>
        </w:rPr>
        <w:t>1/2015, publicada en el Semanario Judicial de la Federación y su Gaceta, Libro 19, Junio de 2015, Tomo I, página 569 de la Décima época que lleva por rubro y texto los siguientes:</w:t>
      </w:r>
    </w:p>
    <w:p w:rsidR="00BD101D" w:rsidRDefault="001843BD">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“RECURSO DE RECLAMACIÓN. SU INTERPOSICIÓN NO ES EXTEMPORÁNEA SI SE REALIZA A</w:t>
      </w:r>
      <w:r>
        <w:rPr>
          <w:rFonts w:ascii="Palatino Linotype" w:eastAsia="Palatino Linotype" w:hAnsi="Palatino Linotype" w:cs="Palatino Linotype"/>
          <w:b/>
          <w:i/>
          <w:sz w:val="22"/>
          <w:szCs w:val="22"/>
        </w:rPr>
        <w:t>NTES DE QUE INICIE EL PLAZO PARA HACERLO</w:t>
      </w:r>
      <w:r>
        <w:rPr>
          <w:rFonts w:ascii="Palatino Linotype" w:eastAsia="Palatino Linotype" w:hAnsi="Palatino Linotype" w:cs="Palatino Linotype"/>
          <w:i/>
          <w:sz w:val="22"/>
          <w:szCs w:val="22"/>
        </w:rPr>
        <w:t>.</w:t>
      </w:r>
    </w:p>
    <w:p w:rsidR="00BD101D" w:rsidRDefault="001843BD">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w:t>
      </w:r>
      <w:r>
        <w:rPr>
          <w:rFonts w:ascii="Palatino Linotype" w:eastAsia="Palatino Linotype" w:hAnsi="Palatino Linotype" w:cs="Palatino Linotype"/>
          <w:i/>
          <w:sz w:val="22"/>
          <w:szCs w:val="22"/>
        </w:rPr>
        <w:t>ectos la notificación de la resolución impugnada. Ahora bien, dicho numeral sólo refiere que el aludido medio de defensa no puede hacerse valer después de tres días, por tanto, no impide que el escrito correspondiente se presente antes de iniciado ese térm</w:t>
      </w:r>
      <w:r>
        <w:rPr>
          <w:rFonts w:ascii="Palatino Linotype" w:eastAsia="Palatino Linotype" w:hAnsi="Palatino Linotype" w:cs="Palatino Linotype"/>
          <w:i/>
          <w:sz w:val="22"/>
          <w:szCs w:val="22"/>
        </w:rPr>
        <w:t>ino. De ahí que si dicho recurso se interpone antes de que inicie el plazo para hacerlo, su presentación no es extemporánea.”</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w:t>
      </w:r>
      <w:r>
        <w:rPr>
          <w:rFonts w:ascii="Palatino Linotype" w:eastAsia="Palatino Linotype" w:hAnsi="Palatino Linotype" w:cs="Palatino Linotype"/>
        </w:rPr>
        <w:t>curso, se concluye la acreditación plena de los elementos formales precisados por el artículo 180 de la Ley de Transparencia y Acceso a la Información Pública del Estado de México y Municipios, en atención a que fue presentado mediante el formato visible e</w:t>
      </w:r>
      <w:r>
        <w:rPr>
          <w:rFonts w:ascii="Palatino Linotype" w:eastAsia="Palatino Linotype" w:hAnsi="Palatino Linotype" w:cs="Palatino Linotype"/>
        </w:rPr>
        <w:t>n el SAIMEX.</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rsidR="00BD101D" w:rsidRDefault="001843BD">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w:t>
      </w:r>
      <w:r>
        <w:rPr>
          <w:rFonts w:ascii="Palatino Linotype" w:eastAsia="Palatino Linotype" w:hAnsi="Palatino Linotype" w:cs="Palatino Linotype"/>
          <w:b/>
          <w:i/>
          <w:sz w:val="22"/>
          <w:szCs w:val="22"/>
        </w:rPr>
        <w:t>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BD101D" w:rsidRDefault="001843BD">
      <w:pPr>
        <w:tabs>
          <w:tab w:val="left" w:pos="7088"/>
        </w:tabs>
        <w:spacing w:before="240" w:after="240" w:line="276" w:lineRule="auto"/>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BD101D" w:rsidRDefault="001843BD" w:rsidP="00BE3C99">
      <w:pPr>
        <w:tabs>
          <w:tab w:val="left" w:pos="7088"/>
        </w:tabs>
        <w:spacing w:before="240" w:after="240" w:line="276" w:lineRule="auto"/>
        <w:ind w:left="993" w:right="616"/>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b/>
          <w:i/>
          <w:sz w:val="22"/>
          <w:szCs w:val="22"/>
        </w:rPr>
        <w:br/>
        <w:t>…</w:t>
      </w:r>
      <w:r>
        <w:rPr>
          <w:rFonts w:ascii="Palatino Linotype" w:eastAsia="Palatino Linotype" w:hAnsi="Palatino Linotype" w:cs="Palatino Linotype"/>
          <w:i/>
          <w:sz w:val="22"/>
          <w:szCs w:val="22"/>
        </w:rPr>
        <w:t>”</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verificar s</w:t>
      </w:r>
      <w:r>
        <w:rPr>
          <w:rFonts w:ascii="Palatino Linotype" w:eastAsia="Palatino Linotype" w:hAnsi="Palatino Linotype" w:cs="Palatino Linotype"/>
          <w:b/>
        </w:rPr>
        <w:t xml:space="preserve">i la respuesta otorgada por EL SUJETO OBLIGADO es adecuada y suficiente para satisfacer el derecho de acceso a la información pública </w:t>
      </w:r>
      <w:r>
        <w:rPr>
          <w:rFonts w:ascii="Palatino Linotype" w:eastAsia="Palatino Linotype" w:hAnsi="Palatino Linotype" w:cs="Palatino Linotype"/>
        </w:rPr>
        <w:t>de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o en su defecto, en caso de ser procedente, ordenar la entrega de información oportuna.</w:t>
      </w:r>
    </w:p>
    <w:p w:rsidR="00BD101D" w:rsidRDefault="001843B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Cuarto. Estudio del asunto.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w:t>
      </w:r>
      <w:r>
        <w:rPr>
          <w:rFonts w:ascii="Palatino Linotype" w:eastAsia="Palatino Linotype" w:hAnsi="Palatino Linotype" w:cs="Palatino Linotype"/>
        </w:rPr>
        <w:t>s el Estado Mexicano se ha adherido, sin oponer reserva alguna sobre lo que nos interesa, adoptando dichas disposiciones al Derecho Interno, específicamente a nivel Constitucional, tal y como lo prevén los arábigos 1 párrafos primero, segundo y tercero y 6</w:t>
      </w:r>
      <w:r>
        <w:rPr>
          <w:rFonts w:ascii="Palatino Linotype" w:eastAsia="Palatino Linotype" w:hAnsi="Palatino Linotype" w:cs="Palatino Linotype"/>
        </w:rPr>
        <w:t xml:space="preserve"> apartado A fracciones I, II, III, IV, V, VI y VII que a la letra señalan:</w:t>
      </w:r>
    </w:p>
    <w:p w:rsidR="00BD101D" w:rsidRDefault="001843BD">
      <w:pPr>
        <w:tabs>
          <w:tab w:val="left" w:pos="709"/>
        </w:tabs>
        <w:spacing w:before="240" w:after="240" w:line="276" w:lineRule="auto"/>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Artículo 1o. En los Estados Unidos Mexicanos todas las personas gozarán de los derechos humanos reconocidos en esta Constitución y en los tratados internacionales de los que el Esta</w:t>
      </w:r>
      <w:r>
        <w:rPr>
          <w:rFonts w:ascii="Palatino Linotype" w:eastAsia="Palatino Linotype" w:hAnsi="Palatino Linotype" w:cs="Palatino Linotype"/>
          <w:b/>
          <w:i/>
          <w:sz w:val="21"/>
          <w:szCs w:val="21"/>
          <w:u w:val="single"/>
        </w:rPr>
        <w:t>do Mexicano sea parte</w:t>
      </w:r>
      <w:r>
        <w:rPr>
          <w:rFonts w:ascii="Palatino Linotype" w:eastAsia="Palatino Linotype" w:hAnsi="Palatino Linotype" w:cs="Palatino Linotype"/>
          <w:i/>
          <w:sz w:val="21"/>
          <w:szCs w:val="21"/>
        </w:rPr>
        <w:t>, así como de las garantías para su protección, cuyo ejercicio no podrá restringirse ni suspenderse, salvo en los casos y bajo las condiciones que esta Constitución establece.</w:t>
      </w:r>
    </w:p>
    <w:p w:rsidR="00BD101D" w:rsidRDefault="001843BD">
      <w:pPr>
        <w:tabs>
          <w:tab w:val="left" w:pos="709"/>
        </w:tabs>
        <w:spacing w:before="240" w:after="240" w:line="276" w:lineRule="auto"/>
        <w:ind w:left="851" w:right="850"/>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Las normas relativas a los derechos humanos se interpretará</w:t>
      </w:r>
      <w:r>
        <w:rPr>
          <w:rFonts w:ascii="Palatino Linotype" w:eastAsia="Palatino Linotype" w:hAnsi="Palatino Linotype" w:cs="Palatino Linotype"/>
          <w:b/>
          <w:i/>
          <w:sz w:val="21"/>
          <w:szCs w:val="21"/>
        </w:rPr>
        <w:t>n de conformidad con esta Constitución y con los tratados internacionales de la materia favoreciendo en todo tiempo a las personas la protección más amplia.</w:t>
      </w:r>
    </w:p>
    <w:p w:rsidR="00BD101D" w:rsidRDefault="001843BD">
      <w:pPr>
        <w:tabs>
          <w:tab w:val="left" w:pos="709"/>
        </w:tabs>
        <w:spacing w:before="240" w:after="240" w:line="276" w:lineRule="auto"/>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Todas las autoridades, en el ámbito de sus competencias, tienen la obligación de promover, respetar</w:t>
      </w:r>
      <w:r>
        <w:rPr>
          <w:rFonts w:ascii="Palatino Linotype" w:eastAsia="Palatino Linotype" w:hAnsi="Palatino Linotype" w:cs="Palatino Linotype"/>
          <w:b/>
          <w:i/>
          <w:sz w:val="21"/>
          <w:szCs w:val="21"/>
          <w:u w:val="single"/>
        </w:rPr>
        <w:t xml:space="preserve">, proteger y garantizar los derechos humanos de </w:t>
      </w:r>
      <w:r>
        <w:rPr>
          <w:rFonts w:ascii="Palatino Linotype" w:eastAsia="Palatino Linotype" w:hAnsi="Palatino Linotype" w:cs="Palatino Linotype"/>
          <w:b/>
          <w:i/>
          <w:sz w:val="21"/>
          <w:szCs w:val="21"/>
          <w:u w:val="single"/>
        </w:rPr>
        <w:lastRenderedPageBreak/>
        <w:t>conformidad con los principios de universalidad, interdependencia, indivisibilidad y progresividad.</w:t>
      </w:r>
      <w:r>
        <w:rPr>
          <w:rFonts w:ascii="Palatino Linotype" w:eastAsia="Palatino Linotype" w:hAnsi="Palatino Linotype" w:cs="Palatino Linotype"/>
          <w:i/>
          <w:sz w:val="21"/>
          <w:szCs w:val="21"/>
        </w:rPr>
        <w:t xml:space="preserve"> En consecuencia, el Estado deberá prevenir, investigar, sancionar y reparar las violaciones a los derechos h</w:t>
      </w:r>
      <w:r>
        <w:rPr>
          <w:rFonts w:ascii="Palatino Linotype" w:eastAsia="Palatino Linotype" w:hAnsi="Palatino Linotype" w:cs="Palatino Linotype"/>
          <w:i/>
          <w:sz w:val="21"/>
          <w:szCs w:val="21"/>
        </w:rPr>
        <w:t>umanos, en los términos que establezca la ley</w:t>
      </w:r>
    </w:p>
    <w:p w:rsidR="00BD101D" w:rsidRDefault="001843BD">
      <w:pPr>
        <w:tabs>
          <w:tab w:val="left" w:pos="709"/>
        </w:tabs>
        <w:spacing w:before="240" w:after="240" w:line="276" w:lineRule="auto"/>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rsidR="00BD101D" w:rsidRDefault="001843BD">
      <w:pPr>
        <w:spacing w:before="240" w:after="240" w:line="276" w:lineRule="auto"/>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“Artículo 6o.</w:t>
      </w:r>
    </w:p>
    <w:p w:rsidR="00BD101D" w:rsidRDefault="001843BD">
      <w:pPr>
        <w:spacing w:before="240" w:after="240" w:line="276" w:lineRule="auto"/>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rsidR="00BD101D" w:rsidRDefault="001843BD">
      <w:pPr>
        <w:spacing w:before="240" w:after="240" w:line="276"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A. Para el ejercicio del derecho de acceso a la información, la Federación y </w:t>
      </w:r>
      <w:r>
        <w:rPr>
          <w:rFonts w:ascii="Palatino Linotype" w:eastAsia="Palatino Linotype" w:hAnsi="Palatino Linotype" w:cs="Palatino Linotype"/>
          <w:b/>
          <w:i/>
          <w:sz w:val="21"/>
          <w:szCs w:val="21"/>
          <w:u w:val="single"/>
        </w:rPr>
        <w:t>las entidades federativas</w:t>
      </w:r>
      <w:r>
        <w:rPr>
          <w:rFonts w:ascii="Palatino Linotype" w:eastAsia="Palatino Linotype" w:hAnsi="Palatino Linotype" w:cs="Palatino Linotype"/>
          <w:b/>
          <w:i/>
          <w:sz w:val="21"/>
          <w:szCs w:val="21"/>
        </w:rPr>
        <w:t>,</w:t>
      </w:r>
      <w:r>
        <w:rPr>
          <w:rFonts w:ascii="Palatino Linotype" w:eastAsia="Palatino Linotype" w:hAnsi="Palatino Linotype" w:cs="Palatino Linotype"/>
          <w:i/>
          <w:sz w:val="21"/>
          <w:szCs w:val="21"/>
        </w:rPr>
        <w:t xml:space="preserve"> en el ámbito de sus respectivas competencias, se regirán por los siguientes principios y bases:</w:t>
      </w:r>
    </w:p>
    <w:p w:rsidR="00BD101D" w:rsidRDefault="001843BD">
      <w:pPr>
        <w:spacing w:before="240" w:after="240" w:line="276"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b/>
          <w:i/>
          <w:sz w:val="21"/>
          <w:szCs w:val="21"/>
          <w:u w:val="single"/>
        </w:rPr>
        <w:t>Toda la información en posesión de cualquier autoridad, entidad, órgano y organismo de los Poderes</w:t>
      </w:r>
      <w:r>
        <w:rPr>
          <w:rFonts w:ascii="Palatino Linotype" w:eastAsia="Palatino Linotype" w:hAnsi="Palatino Linotype" w:cs="Palatino Linotype"/>
          <w:i/>
          <w:sz w:val="21"/>
          <w:szCs w:val="21"/>
        </w:rPr>
        <w:t xml:space="preserve"> Ejecutivo, Legislativo </w:t>
      </w:r>
      <w:r>
        <w:rPr>
          <w:rFonts w:ascii="Palatino Linotype" w:eastAsia="Palatino Linotype" w:hAnsi="Palatino Linotype" w:cs="Palatino Linotype"/>
          <w:b/>
          <w:i/>
          <w:sz w:val="21"/>
          <w:szCs w:val="21"/>
          <w:u w:val="single"/>
        </w:rPr>
        <w:t>y Judicial</w:t>
      </w:r>
      <w:r>
        <w:rPr>
          <w:rFonts w:ascii="Palatino Linotype" w:eastAsia="Palatino Linotype" w:hAnsi="Palatino Linotype" w:cs="Palatino Linotype"/>
          <w:i/>
          <w:sz w:val="21"/>
          <w:szCs w:val="21"/>
        </w:rPr>
        <w:t>, órganos autónomos, pa</w:t>
      </w:r>
      <w:r>
        <w:rPr>
          <w:rFonts w:ascii="Palatino Linotype" w:eastAsia="Palatino Linotype" w:hAnsi="Palatino Linotype" w:cs="Palatino Linotype"/>
          <w:i/>
          <w:sz w:val="21"/>
          <w:szCs w:val="21"/>
        </w:rPr>
        <w:t xml:space="preserve">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1"/>
          <w:szCs w:val="21"/>
        </w:rPr>
        <w:t>es pública y sólo podrá ser reservada te</w:t>
      </w:r>
      <w:r>
        <w:rPr>
          <w:rFonts w:ascii="Palatino Linotype" w:eastAsia="Palatino Linotype" w:hAnsi="Palatino Linotype" w:cs="Palatino Linotype"/>
          <w:b/>
          <w:i/>
          <w:sz w:val="21"/>
          <w:szCs w:val="21"/>
        </w:rPr>
        <w:t>mporalmente por razones de interés público y seguridad nacional,</w:t>
      </w:r>
      <w:r>
        <w:rPr>
          <w:rFonts w:ascii="Palatino Linotype" w:eastAsia="Palatino Linotype" w:hAnsi="Palatino Linotype" w:cs="Palatino Linotype"/>
          <w:i/>
          <w:sz w:val="21"/>
          <w:szCs w:val="21"/>
        </w:rPr>
        <w:t xml:space="preserve"> en los términos que fijen las leyes. En la interpretación de este derecho deberá prevalecer el principio de máxima publicidad. Los sujetos obligados deberán documentar todo acto que derive de</w:t>
      </w:r>
      <w:r>
        <w:rPr>
          <w:rFonts w:ascii="Palatino Linotype" w:eastAsia="Palatino Linotype" w:hAnsi="Palatino Linotype" w:cs="Palatino Linotype"/>
          <w:i/>
          <w:sz w:val="21"/>
          <w:szCs w:val="21"/>
        </w:rPr>
        <w:t>l ejercicio de sus facultades, competencias o funciones, la ley determinará los supuestos específicos bajo los cuales procederá la declaración de inexistencia de la información.</w:t>
      </w:r>
    </w:p>
    <w:p w:rsidR="00BD101D" w:rsidRDefault="001843BD">
      <w:pPr>
        <w:spacing w:before="240" w:after="240" w:line="276" w:lineRule="auto"/>
        <w:ind w:left="851" w:right="851"/>
        <w:jc w:val="both"/>
        <w:rPr>
          <w:rFonts w:ascii="Palatino Linotype" w:eastAsia="Palatino Linotype" w:hAnsi="Palatino Linotype" w:cs="Palatino Linotype"/>
          <w:b/>
          <w:i/>
          <w:sz w:val="21"/>
          <w:szCs w:val="21"/>
        </w:rPr>
      </w:pPr>
      <w:r>
        <w:rPr>
          <w:rFonts w:ascii="Palatino Linotype" w:eastAsia="Palatino Linotype" w:hAnsi="Palatino Linotype" w:cs="Palatino Linotype"/>
          <w:i/>
          <w:sz w:val="21"/>
          <w:szCs w:val="21"/>
        </w:rPr>
        <w:t> </w:t>
      </w:r>
      <w:r>
        <w:rPr>
          <w:rFonts w:ascii="Palatino Linotype" w:eastAsia="Palatino Linotype" w:hAnsi="Palatino Linotype" w:cs="Palatino Linotype"/>
          <w:b/>
          <w:i/>
          <w:sz w:val="21"/>
          <w:szCs w:val="21"/>
        </w:rPr>
        <w:t>II. La información que se refiere a la vida privada y los datos personales se</w:t>
      </w:r>
      <w:r>
        <w:rPr>
          <w:rFonts w:ascii="Palatino Linotype" w:eastAsia="Palatino Linotype" w:hAnsi="Palatino Linotype" w:cs="Palatino Linotype"/>
          <w:b/>
          <w:i/>
          <w:sz w:val="21"/>
          <w:szCs w:val="21"/>
        </w:rPr>
        <w:t>rá protegida en los términos y con las excepciones que fijen las leyes.</w:t>
      </w:r>
    </w:p>
    <w:p w:rsidR="00BD101D" w:rsidRDefault="001843BD">
      <w:pPr>
        <w:spacing w:before="240" w:after="240" w:line="276"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r>
        <w:rPr>
          <w:rFonts w:ascii="Palatino Linotype" w:eastAsia="Palatino Linotype" w:hAnsi="Palatino Linotype" w:cs="Palatino Linotype"/>
          <w:b/>
          <w:i/>
          <w:sz w:val="21"/>
          <w:szCs w:val="21"/>
        </w:rPr>
        <w:t xml:space="preserve">III. </w:t>
      </w:r>
      <w:r>
        <w:rPr>
          <w:rFonts w:ascii="Palatino Linotype" w:eastAsia="Palatino Linotype" w:hAnsi="Palatino Linotype" w:cs="Palatino Linotype"/>
          <w:b/>
          <w:i/>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1"/>
          <w:szCs w:val="21"/>
        </w:rPr>
        <w:t xml:space="preserve"> a sus datos personales o a la rectificación de éstos.</w:t>
      </w:r>
    </w:p>
    <w:p w:rsidR="00BD101D" w:rsidRDefault="001843BD">
      <w:pPr>
        <w:spacing w:before="240" w:after="240" w:line="276"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r>
        <w:rPr>
          <w:rFonts w:ascii="Palatino Linotype" w:eastAsia="Palatino Linotype" w:hAnsi="Palatino Linotype" w:cs="Palatino Linotype"/>
          <w:b/>
          <w:i/>
          <w:sz w:val="21"/>
          <w:szCs w:val="21"/>
        </w:rPr>
        <w:t xml:space="preserve">IV. </w:t>
      </w:r>
      <w:r>
        <w:rPr>
          <w:rFonts w:ascii="Palatino Linotype" w:eastAsia="Palatino Linotype" w:hAnsi="Palatino Linotype" w:cs="Palatino Linotype"/>
          <w:i/>
          <w:sz w:val="21"/>
          <w:szCs w:val="21"/>
        </w:rPr>
        <w:t>Se establecerán mecanismos de acceso a la información y procedimientos de revisión expeditos que se sustanciarán ante los organismos autónomos especializados e imparciales que establece esta Const</w:t>
      </w:r>
      <w:r>
        <w:rPr>
          <w:rFonts w:ascii="Palatino Linotype" w:eastAsia="Palatino Linotype" w:hAnsi="Palatino Linotype" w:cs="Palatino Linotype"/>
          <w:i/>
          <w:sz w:val="21"/>
          <w:szCs w:val="21"/>
        </w:rPr>
        <w:t>itución.</w:t>
      </w:r>
    </w:p>
    <w:p w:rsidR="00BD101D" w:rsidRDefault="001843BD">
      <w:pPr>
        <w:spacing w:before="240" w:after="240" w:line="276"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lastRenderedPageBreak/>
        <w:t xml:space="preserve">V. </w:t>
      </w:r>
      <w:r>
        <w:rPr>
          <w:rFonts w:ascii="Palatino Linotype" w:eastAsia="Palatino Linotype" w:hAnsi="Palatino Linotype" w:cs="Palatino Linotype"/>
          <w:i/>
          <w:sz w:val="21"/>
          <w:szCs w:val="21"/>
        </w:rPr>
        <w:t>Los sujetos obligados deberán preservar sus documentos en archivos administrativos actualizados y publicarán, a través de los medios electrónicos disponibles, la información completa y actualizada sobre el ejercicio de los recursos públicos y l</w:t>
      </w:r>
      <w:r>
        <w:rPr>
          <w:rFonts w:ascii="Palatino Linotype" w:eastAsia="Palatino Linotype" w:hAnsi="Palatino Linotype" w:cs="Palatino Linotype"/>
          <w:i/>
          <w:sz w:val="21"/>
          <w:szCs w:val="21"/>
        </w:rPr>
        <w:t>os indicadores que permitan rendir cuenta del cumplimiento de sus objetivos y de los resultados obtenidos.</w:t>
      </w:r>
    </w:p>
    <w:p w:rsidR="00BD101D" w:rsidRDefault="001843BD">
      <w:pPr>
        <w:spacing w:before="240" w:after="240" w:line="276"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r>
        <w:rPr>
          <w:rFonts w:ascii="Palatino Linotype" w:eastAsia="Palatino Linotype" w:hAnsi="Palatino Linotype" w:cs="Palatino Linotype"/>
          <w:b/>
          <w:i/>
          <w:sz w:val="21"/>
          <w:szCs w:val="21"/>
        </w:rPr>
        <w:t xml:space="preserve">VI. </w:t>
      </w:r>
      <w:r>
        <w:rPr>
          <w:rFonts w:ascii="Palatino Linotype" w:eastAsia="Palatino Linotype" w:hAnsi="Palatino Linotype" w:cs="Palatino Linotype"/>
          <w:i/>
          <w:sz w:val="21"/>
          <w:szCs w:val="21"/>
        </w:rPr>
        <w:t>Las leyes determinarán la manera en que los sujetos obligados deberán hacer pública la información relativa a los recursos públicos que entregue</w:t>
      </w:r>
      <w:r>
        <w:rPr>
          <w:rFonts w:ascii="Palatino Linotype" w:eastAsia="Palatino Linotype" w:hAnsi="Palatino Linotype" w:cs="Palatino Linotype"/>
          <w:i/>
          <w:sz w:val="21"/>
          <w:szCs w:val="21"/>
        </w:rPr>
        <w:t>n a personas físicas o morales.</w:t>
      </w:r>
    </w:p>
    <w:p w:rsidR="00BD101D" w:rsidRDefault="001843BD">
      <w:pPr>
        <w:spacing w:before="240" w:after="240" w:line="276"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r>
        <w:rPr>
          <w:rFonts w:ascii="Palatino Linotype" w:eastAsia="Palatino Linotype" w:hAnsi="Palatino Linotype" w:cs="Palatino Linotype"/>
          <w:b/>
          <w:i/>
          <w:sz w:val="21"/>
          <w:szCs w:val="21"/>
        </w:rPr>
        <w:t xml:space="preserve">VII. </w:t>
      </w:r>
      <w:r>
        <w:rPr>
          <w:rFonts w:ascii="Palatino Linotype" w:eastAsia="Palatino Linotype" w:hAnsi="Palatino Linotype" w:cs="Palatino Linotype"/>
          <w:i/>
          <w:sz w:val="21"/>
          <w:szCs w:val="21"/>
        </w:rPr>
        <w:t>La inobservancia a las disposiciones en materia de acceso a la información pública será sancionada en los términos que dispongan las leyes. [...]</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w:t>
      </w:r>
      <w:r>
        <w:rPr>
          <w:rFonts w:ascii="Palatino Linotype" w:eastAsia="Palatino Linotype" w:hAnsi="Palatino Linotype" w:cs="Palatino Linotype"/>
        </w:rPr>
        <w:t>ión pública, información que consiste en aquella que sea generada, obtenida, adquirida, transformada, administrada o en posesión de los Sujetos Obligados, como así también lo señala la Ley de Transparencia y Acceso a la Información Pública del Estado de Mé</w:t>
      </w:r>
      <w:r>
        <w:rPr>
          <w:rFonts w:ascii="Palatino Linotype" w:eastAsia="Palatino Linotype" w:hAnsi="Palatino Linotype" w:cs="Palatino Linotype"/>
        </w:rPr>
        <w:t>xico y Municipios en su artículo 4, que toda la información generada, obtenida, adquirida, transformada, administrada o en posesión de los sujetos obligados, es pública y accesible, de manera permanente a cualquier persona, privilegiando el principio de má</w:t>
      </w:r>
      <w:r>
        <w:rPr>
          <w:rFonts w:ascii="Palatino Linotype" w:eastAsia="Palatino Linotype" w:hAnsi="Palatino Linotype" w:cs="Palatino Linotype"/>
        </w:rPr>
        <w:t>xima publicidad, como así lo establece dicha determinación, que a continuación se trascribe para un mejor entendimiento:</w:t>
      </w:r>
    </w:p>
    <w:p w:rsidR="00BD101D" w:rsidRDefault="001843BD">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El derecho humano de acceso a la información pública es la prerrogativa de las personas para buscar, difundir, investigar,</w:t>
      </w:r>
      <w:r>
        <w:rPr>
          <w:rFonts w:ascii="Palatino Linotype" w:eastAsia="Palatino Linotype" w:hAnsi="Palatino Linotype" w:cs="Palatino Linotype"/>
          <w:i/>
          <w:sz w:val="22"/>
          <w:szCs w:val="22"/>
        </w:rPr>
        <w:t xml:space="preserve"> recabar, recibir y solicitar información pública, sin necesidad de acreditar personalidad ni interés jurídico. </w:t>
      </w:r>
    </w:p>
    <w:p w:rsidR="00BD101D" w:rsidRDefault="001843BD">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w:t>
      </w:r>
      <w:r>
        <w:rPr>
          <w:rFonts w:ascii="Palatino Linotype" w:eastAsia="Palatino Linotype" w:hAnsi="Palatino Linotype" w:cs="Palatino Linotype"/>
          <w:b/>
          <w:i/>
          <w:sz w:val="22"/>
          <w:szCs w:val="22"/>
        </w:rPr>
        <w:t>manera permanente a cualquier persona, en los términos y condiciones que se establezcan en los tratados internacionales de los que el Estado mexicano sea parte, en la Ley General, la presente Ley y demás disposiciones de la materia, privilegiando el princi</w:t>
      </w:r>
      <w:r>
        <w:rPr>
          <w:rFonts w:ascii="Palatino Linotype" w:eastAsia="Palatino Linotype" w:hAnsi="Palatino Linotype" w:cs="Palatino Linotype"/>
          <w:b/>
          <w:i/>
          <w:sz w:val="22"/>
          <w:szCs w:val="22"/>
        </w:rPr>
        <w:t xml:space="preserve">pio de máxima publicidad de la </w:t>
      </w:r>
      <w:r>
        <w:rPr>
          <w:rFonts w:ascii="Palatino Linotype" w:eastAsia="Palatino Linotype" w:hAnsi="Palatino Linotype" w:cs="Palatino Linotype"/>
          <w:b/>
          <w:i/>
          <w:sz w:val="22"/>
          <w:szCs w:val="22"/>
        </w:rPr>
        <w:lastRenderedPageBreak/>
        <w:t>información. Solo podrá ser clasificada excepcionalmente Ley de Transparencia y Acceso a la Información Pública del Estado de México y Municipios 29 como reservada temporalmente por razones de interés público, en los términos</w:t>
      </w:r>
      <w:r>
        <w:rPr>
          <w:rFonts w:ascii="Palatino Linotype" w:eastAsia="Palatino Linotype" w:hAnsi="Palatino Linotype" w:cs="Palatino Linotype"/>
          <w:b/>
          <w:i/>
          <w:sz w:val="22"/>
          <w:szCs w:val="22"/>
        </w:rPr>
        <w:t xml:space="preserve"> de las causas legítimas y estrictamente necesarias previstas por esta Ley.</w:t>
      </w:r>
    </w:p>
    <w:p w:rsidR="00BD101D" w:rsidRDefault="001843BD">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w:t>
      </w:r>
      <w:r>
        <w:rPr>
          <w:rFonts w:ascii="Palatino Linotype" w:eastAsia="Palatino Linotype" w:hAnsi="Palatino Linotype" w:cs="Palatino Linotype"/>
          <w:i/>
          <w:sz w:val="22"/>
          <w:szCs w:val="22"/>
        </w:rPr>
        <w:t>encia en beneficio de los solicitantes.”(Sic)</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w:t>
      </w:r>
      <w:r>
        <w:rPr>
          <w:rFonts w:ascii="Palatino Linotype" w:eastAsia="Palatino Linotype" w:hAnsi="Palatino Linotype" w:cs="Palatino Linotype"/>
        </w:rPr>
        <w:t>ón pública que obren en su poder como así lo establece el artículo 12 de la Ley de Transparencia y Acceso a la Información Pública del Estado de México y Municipios, el cual a la letra dice:</w:t>
      </w:r>
    </w:p>
    <w:p w:rsidR="00BD101D" w:rsidRDefault="001843BD">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D101D" w:rsidRDefault="001843BD">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Pr>
          <w:rFonts w:ascii="Palatino Linotype" w:eastAsia="Palatino Linotype" w:hAnsi="Palatino Linotype" w:cs="Palatino Linotype"/>
          <w:i/>
          <w:sz w:val="22"/>
          <w:szCs w:val="22"/>
        </w:rPr>
        <w:t>conforme al interés del solicitante; no estarán obligados a generarla, resumirla, efectuar cálculos o practicar investigaciones.” (Sic)</w:t>
      </w:r>
    </w:p>
    <w:p w:rsidR="00BD101D" w:rsidRDefault="001843BD">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el derecho de acceso a la información pública se satisface en aquellos casos en que se entregue documento </w:t>
      </w:r>
      <w:r>
        <w:rPr>
          <w:rFonts w:ascii="Palatino Linotype" w:eastAsia="Palatino Linotype" w:hAnsi="Palatino Linotype" w:cs="Palatino Linotype"/>
          <w:color w:val="000000"/>
        </w:rPr>
        <w:t>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w:t>
      </w:r>
      <w:r>
        <w:rPr>
          <w:rFonts w:ascii="Palatino Linotype" w:eastAsia="Palatino Linotype" w:hAnsi="Palatino Linotype" w:cs="Palatino Linotype"/>
          <w:color w:val="000000"/>
        </w:rPr>
        <w:t xml:space="preserve">satisfacer el derecho de acceso a la información pública, </w:t>
      </w:r>
      <w:r>
        <w:rPr>
          <w:rFonts w:ascii="Palatino Linotype" w:eastAsia="Palatino Linotype" w:hAnsi="Palatino Linotype" w:cs="Palatino Linotype"/>
        </w:rPr>
        <w:t xml:space="preserve">como así lo establece el criterio 03/17 emitido por el Instituto </w:t>
      </w:r>
      <w:r>
        <w:rPr>
          <w:rFonts w:ascii="Palatino Linotype" w:eastAsia="Palatino Linotype" w:hAnsi="Palatino Linotype" w:cs="Palatino Linotype"/>
        </w:rPr>
        <w:lastRenderedPageBreak/>
        <w:t>Nacional de Transparencia, Acceso a la Información Pública y Protección de Datos Personales, el cual señala lo siguiente:</w:t>
      </w:r>
    </w:p>
    <w:p w:rsidR="00BD101D" w:rsidRDefault="001843BD">
      <w:pPr>
        <w:spacing w:before="240" w:after="240" w:line="276" w:lineRule="auto"/>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03/17</w:t>
      </w:r>
    </w:p>
    <w:p w:rsidR="00BD101D" w:rsidRDefault="001843BD">
      <w:pPr>
        <w:spacing w:before="240" w:after="240" w:line="276" w:lineRule="auto"/>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E</w:t>
      </w:r>
      <w:r>
        <w:rPr>
          <w:rFonts w:ascii="Palatino Linotype" w:eastAsia="Palatino Linotype" w:hAnsi="Palatino Linotype" w:cs="Palatino Linotype"/>
          <w:b/>
          <w:i/>
          <w:sz w:val="20"/>
          <w:szCs w:val="20"/>
        </w:rPr>
        <w:t>XISTE OBLIGACIÓN DE ELABORAR DOCUMENTOS AD HOC PARA ATENDER LAS SOLICITUDES DE ACCESO A LA INFORMACIÓN.</w:t>
      </w:r>
    </w:p>
    <w:p w:rsidR="00BD101D" w:rsidRDefault="001843BD">
      <w:pPr>
        <w:spacing w:before="240" w:after="240" w:line="276" w:lineRule="auto"/>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artículos 129 de la Ley General de Transparencia y Acceso a la Información Pública y 130, párrafo cuarto, de la Ley Federal de Transparencia y Acces</w:t>
      </w:r>
      <w:r>
        <w:rPr>
          <w:rFonts w:ascii="Palatino Linotype" w:eastAsia="Palatino Linotype" w:hAnsi="Palatino Linotype" w:cs="Palatino Linotype"/>
          <w:i/>
          <w:sz w:val="20"/>
          <w:szCs w:val="20"/>
        </w:rPr>
        <w:t>o a la Información Pública, señalan que los sujetos obligados deberán otorgar acceso a los documentos que se encuentren en sus archivos o que estén obligados a documentar, de acuerdo con sus facultades, competencias o funciones, conforme a Las característi</w:t>
      </w:r>
      <w:r>
        <w:rPr>
          <w:rFonts w:ascii="Palatino Linotype" w:eastAsia="Palatino Linotype" w:hAnsi="Palatino Linotype" w:cs="Palatino Linotype"/>
          <w:i/>
          <w:sz w:val="20"/>
          <w:szCs w:val="20"/>
        </w:rPr>
        <w:t xml:space="preserve">cas físicas de la información o del lugar donde se encuentre. Por lo anterior, los sujetos obligados deben garantizar el derecho de acceso a la información del particular, proporcionando la información con la que cuentan en el formato en que la misma obre </w:t>
      </w:r>
      <w:r>
        <w:rPr>
          <w:rFonts w:ascii="Palatino Linotype" w:eastAsia="Palatino Linotype" w:hAnsi="Palatino Linotype" w:cs="Palatino Linotype"/>
          <w:i/>
          <w:sz w:val="20"/>
          <w:szCs w:val="20"/>
        </w:rPr>
        <w:t>en sus archivos; sin necesidad de elaborar documentos ad hoc para atender las solicitudes de información."(Sic)</w:t>
      </w:r>
    </w:p>
    <w:p w:rsidR="00BD101D" w:rsidRDefault="001843BD">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sólo prop</w:t>
      </w:r>
      <w:r>
        <w:rPr>
          <w:rFonts w:ascii="Palatino Linotype" w:eastAsia="Palatino Linotype" w:hAnsi="Palatino Linotype" w:cs="Palatino Linotype"/>
          <w:color w:val="000000"/>
        </w:rPr>
        <w:t xml:space="preserve">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w:t>
      </w:r>
      <w:r>
        <w:rPr>
          <w:rFonts w:ascii="Palatino Linotype" w:eastAsia="Palatino Linotype" w:hAnsi="Palatino Linotype" w:cs="Palatino Linotype"/>
          <w:color w:val="000000"/>
        </w:rPr>
        <w:t>zar el Derecho de Acceso a la Información Pública.</w:t>
      </w:r>
    </w:p>
    <w:p w:rsidR="00BD101D" w:rsidRDefault="001843B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w:t>
      </w:r>
      <w:r>
        <w:rPr>
          <w:rFonts w:ascii="Palatino Linotype" w:eastAsia="Palatino Linotype" w:hAnsi="Palatino Linotype" w:cs="Palatino Linotype"/>
        </w:rPr>
        <w:t xml:space="preserve">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rPr>
        <w:lastRenderedPageBreak/>
        <w:t>Ley de Transparencia y Acceso a la Informaci</w:t>
      </w:r>
      <w:r>
        <w:rPr>
          <w:rFonts w:ascii="Palatino Linotype" w:eastAsia="Palatino Linotype" w:hAnsi="Palatino Linotype" w:cs="Palatino Linotype"/>
        </w:rPr>
        <w:t>ón Pública del Estado de México y Municipios.</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w:t>
      </w:r>
      <w:r>
        <w:rPr>
          <w:rFonts w:ascii="Palatino Linotype" w:eastAsia="Palatino Linotype" w:hAnsi="Palatino Linotype" w:cs="Palatino Linotype"/>
        </w:rPr>
        <w:t xml:space="preserve">uciones, oficios, correspondencia, acuerdos, directivas, directrices, circulares, contratos, convenios, instructivos, notas, memorandos, estadísticas o bien, cualquier otro registro que documente el ejercicio de las facultades, funciones y competencias de </w:t>
      </w:r>
      <w:r>
        <w:rPr>
          <w:rFonts w:ascii="Palatino Linotype" w:eastAsia="Palatino Linotype" w:hAnsi="Palatino Linotype" w:cs="Palatino Linotype"/>
        </w:rPr>
        <w:t xml:space="preserve">los Sujetos Obligados; los que, podrán estar en cualquier medio, sea escrito, impreso, sonoro, visual, electrónico, informático u holográfico de conformidad con el artículo 3, fracción XI de la Ley de la materia, el cual señala lo siguiente: </w:t>
      </w:r>
    </w:p>
    <w:p w:rsidR="00BD101D" w:rsidRDefault="001843BD">
      <w:pPr>
        <w:spacing w:before="240" w:after="240"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BD101D" w:rsidRDefault="001843BD">
      <w:pPr>
        <w:spacing w:before="240" w:after="240"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101D" w:rsidRDefault="001843BD">
      <w:pPr>
        <w:spacing w:before="240" w:after="240" w:line="276" w:lineRule="auto"/>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w:t>
      </w:r>
      <w:r>
        <w:rPr>
          <w:rFonts w:ascii="Palatino Linotype" w:eastAsia="Palatino Linotype" w:hAnsi="Palatino Linotype" w:cs="Palatino Linotype"/>
          <w:i/>
          <w:color w:val="000000"/>
          <w:sz w:val="22"/>
          <w:szCs w:val="22"/>
        </w:rPr>
        <w:t xml:space="preserve"> estadísticas o bien, cualquier otro registro que documente el ejercicio de las facultades, funciones y competencias de los sujetos obligados, sus servidores públicos e integrantes, sin importar su fuente o fecha de elaboración. Los documentos podrán estar</w:t>
      </w:r>
      <w:r>
        <w:rPr>
          <w:rFonts w:ascii="Palatino Linotype" w:eastAsia="Palatino Linotype" w:hAnsi="Palatino Linotype" w:cs="Palatino Linotype"/>
          <w:i/>
          <w:color w:val="000000"/>
          <w:sz w:val="22"/>
          <w:szCs w:val="22"/>
        </w:rPr>
        <w:t xml:space="preserve">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w:t>
      </w:r>
      <w:r>
        <w:rPr>
          <w:rFonts w:ascii="Palatino Linotype" w:eastAsia="Palatino Linotype" w:hAnsi="Palatino Linotype" w:cs="Palatino Linotype"/>
        </w:rPr>
        <w:t xml:space="preserve">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w:t>
      </w:r>
      <w:r>
        <w:rPr>
          <w:rFonts w:ascii="Palatino Linotype" w:eastAsia="Palatino Linotype" w:hAnsi="Palatino Linotype" w:cs="Palatino Linotype"/>
        </w:rPr>
        <w:t>iente:</w:t>
      </w:r>
    </w:p>
    <w:p w:rsidR="00BD101D" w:rsidRDefault="001843BD">
      <w:pPr>
        <w:spacing w:before="240" w:after="240" w:line="276" w:lineRule="auto"/>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BD101D" w:rsidRDefault="001843BD">
      <w:pPr>
        <w:spacing w:before="240" w:after="240"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w:t>
      </w:r>
      <w:r>
        <w:rPr>
          <w:rFonts w:ascii="Palatino Linotype" w:eastAsia="Palatino Linotype" w:hAnsi="Palatino Linotype" w:cs="Palatino Linotype"/>
          <w:i/>
          <w:sz w:val="22"/>
          <w:szCs w:val="22"/>
        </w:rPr>
        <w:t>rmación pública, se define en cuanto a su alcance y resultado material, el acceso a los archivos, registros y documentos públicos, administrados, generados o en posesión de los órganos u organismos públicos, en virtud del ejercicio de sus funciones de dere</w:t>
      </w:r>
      <w:r>
        <w:rPr>
          <w:rFonts w:ascii="Palatino Linotype" w:eastAsia="Palatino Linotype" w:hAnsi="Palatino Linotype" w:cs="Palatino Linotype"/>
          <w:i/>
          <w:sz w:val="22"/>
          <w:szCs w:val="22"/>
        </w:rPr>
        <w:t>cho público, sin importar su fuente, soporte o fecha de elaboración.</w:t>
      </w:r>
    </w:p>
    <w:p w:rsidR="00BD101D" w:rsidRDefault="001843BD">
      <w:pPr>
        <w:spacing w:before="240" w:after="240"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D101D" w:rsidRDefault="001843BD">
      <w:pPr>
        <w:numPr>
          <w:ilvl w:val="0"/>
          <w:numId w:val="4"/>
        </w:numPr>
        <w:pBdr>
          <w:top w:val="nil"/>
          <w:left w:val="nil"/>
          <w:bottom w:val="nil"/>
          <w:right w:val="nil"/>
          <w:between w:val="nil"/>
        </w:pBdr>
        <w:spacing w:before="240" w:after="240" w:line="276" w:lineRule="auto"/>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BD101D" w:rsidRDefault="001843BD">
      <w:pPr>
        <w:numPr>
          <w:ilvl w:val="0"/>
          <w:numId w:val="4"/>
        </w:numPr>
        <w:pBdr>
          <w:top w:val="nil"/>
          <w:left w:val="nil"/>
          <w:bottom w:val="nil"/>
          <w:right w:val="nil"/>
          <w:between w:val="nil"/>
        </w:pBdr>
        <w:spacing w:before="240" w:after="240" w:line="276" w:lineRule="auto"/>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w:t>
      </w:r>
      <w:r>
        <w:rPr>
          <w:rFonts w:ascii="Palatino Linotype" w:eastAsia="Palatino Linotype" w:hAnsi="Palatino Linotype" w:cs="Palatino Linotype"/>
          <w:i/>
          <w:color w:val="000000"/>
          <w:sz w:val="22"/>
          <w:szCs w:val="22"/>
        </w:rPr>
        <w:t xml:space="preserve"> atribuciones conferidas, sea administrada por los Sujetos Obligados, y</w:t>
      </w:r>
    </w:p>
    <w:p w:rsidR="00BD101D" w:rsidRDefault="001843BD">
      <w:pPr>
        <w:spacing w:before="240" w:after="240" w:line="276" w:lineRule="auto"/>
        <w:ind w:left="1418"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w:t>
      </w:r>
      <w:r>
        <w:rPr>
          <w:rFonts w:ascii="Palatino Linotype" w:eastAsia="Palatino Linotype" w:hAnsi="Palatino Linotype" w:cs="Palatino Linotype"/>
        </w:rPr>
        <w:t xml:space="preserv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w:t>
      </w:r>
      <w:r>
        <w:rPr>
          <w:rFonts w:ascii="Palatino Linotype" w:eastAsia="Palatino Linotype" w:hAnsi="Palatino Linotype" w:cs="Palatino Linotype"/>
        </w:rPr>
        <w:t xml:space="preserve">que se genere de acuerdo con sus facultades, </w:t>
      </w:r>
      <w:r>
        <w:rPr>
          <w:rFonts w:ascii="Palatino Linotype" w:eastAsia="Palatino Linotype" w:hAnsi="Palatino Linotype" w:cs="Palatino Linotype"/>
        </w:rPr>
        <w:lastRenderedPageBreak/>
        <w:t>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w:t>
      </w:r>
      <w:r>
        <w:rPr>
          <w:rFonts w:ascii="Palatino Linotype" w:eastAsia="Palatino Linotype" w:hAnsi="Palatino Linotype" w:cs="Palatino Linotype"/>
        </w:rPr>
        <w:t>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 deuda pública.</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con la finalidad de ilustrar el asunto qué se resuelve, es importante precisar</w:t>
      </w:r>
      <w:r>
        <w:rPr>
          <w:rFonts w:ascii="Palatino Linotype" w:eastAsia="Palatino Linotype" w:hAnsi="Palatino Linotype" w:cs="Palatino Linotype"/>
        </w:rPr>
        <w:t xml:space="preserve"> que lo que la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solicitó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fue:</w:t>
      </w:r>
    </w:p>
    <w:p w:rsidR="00BD101D" w:rsidRDefault="001843BD">
      <w:pPr>
        <w:spacing w:before="240" w:after="24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Sueldo del Presidente Municipal, Regidores, Sindico, Secretario del ayuntamiento Relación del personal y salarios de servidores publicos adscritos a Presidencia, Secretaria del Ayuntamiento, Regid</w:t>
      </w:r>
      <w:r>
        <w:rPr>
          <w:rFonts w:ascii="Palatino Linotype" w:eastAsia="Palatino Linotype" w:hAnsi="Palatino Linotype" w:cs="Palatino Linotype"/>
          <w:i/>
          <w:color w:val="000000"/>
          <w:sz w:val="22"/>
          <w:szCs w:val="22"/>
        </w:rPr>
        <w:t>ores, Direcciones Generales, Coordinación de asesores</w:t>
      </w:r>
      <w:r>
        <w:rPr>
          <w:rFonts w:ascii="Palatino Linotype" w:eastAsia="Palatino Linotype" w:hAnsi="Palatino Linotype" w:cs="Palatino Linotype"/>
          <w:i/>
          <w:sz w:val="22"/>
          <w:szCs w:val="22"/>
        </w:rPr>
        <w:t>“ (sic)</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respondió a la solicitud de acceso a la información en los términos siguientes:   </w:t>
      </w:r>
    </w:p>
    <w:p w:rsidR="00BD101D" w:rsidRDefault="001843BD">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 envía el “Anexo 152” documento en formato .pdf, la información correspon</w:t>
      </w:r>
      <w:r>
        <w:rPr>
          <w:rFonts w:ascii="Palatino Linotype" w:eastAsia="Palatino Linotype" w:hAnsi="Palatino Linotype" w:cs="Palatino Linotype"/>
          <w:b/>
          <w:i/>
          <w:sz w:val="22"/>
          <w:szCs w:val="22"/>
        </w:rPr>
        <w:t>diente a Sueldo del Presidente Municipal, Regidores, Sindico, Secretario del ayuntamiento Relación del personal y salarios de servidores públicos adscritos a Presidencia, Secretaria del Ayuntamiento, Regidores, Direcciones Generales, Coordinación de asesor</w:t>
      </w:r>
      <w:r>
        <w:rPr>
          <w:rFonts w:ascii="Palatino Linotype" w:eastAsia="Palatino Linotype" w:hAnsi="Palatino Linotype" w:cs="Palatino Linotype"/>
          <w:b/>
          <w:i/>
          <w:sz w:val="22"/>
          <w:szCs w:val="22"/>
        </w:rPr>
        <w:t>es.</w:t>
      </w:r>
      <w:r>
        <w:rPr>
          <w:rFonts w:ascii="Palatino Linotype" w:eastAsia="Palatino Linotype" w:hAnsi="Palatino Linotype" w:cs="Palatino Linotype"/>
          <w:i/>
          <w:sz w:val="22"/>
          <w:szCs w:val="22"/>
        </w:rPr>
        <w:t xml:space="preserve"> Lo anterior de conformidad con el artículo 12 de la Ley de Transparencia y Acceso a la Información Publica del Estado de México y Municipios. Bajo esta misma tesitura informo que el Instituto Municipal de la Mujer y Servidora Pública Habilitada informa</w:t>
      </w:r>
      <w:r>
        <w:rPr>
          <w:rFonts w:ascii="Palatino Linotype" w:eastAsia="Palatino Linotype" w:hAnsi="Palatino Linotype" w:cs="Palatino Linotype"/>
          <w:i/>
          <w:sz w:val="22"/>
          <w:szCs w:val="22"/>
        </w:rPr>
        <w:t xml:space="preserve"> a la que suscribe: </w:t>
      </w:r>
      <w:r>
        <w:rPr>
          <w:rFonts w:ascii="Palatino Linotype" w:eastAsia="Palatino Linotype" w:hAnsi="Palatino Linotype" w:cs="Palatino Linotype"/>
          <w:b/>
          <w:i/>
          <w:sz w:val="22"/>
          <w:szCs w:val="22"/>
        </w:rPr>
        <w:t xml:space="preserve">Se presenta </w:t>
      </w:r>
      <w:r>
        <w:rPr>
          <w:rFonts w:ascii="Palatino Linotype" w:eastAsia="Palatino Linotype" w:hAnsi="Palatino Linotype" w:cs="Palatino Linotype"/>
          <w:b/>
          <w:i/>
          <w:sz w:val="22"/>
          <w:szCs w:val="22"/>
        </w:rPr>
        <w:lastRenderedPageBreak/>
        <w:t>una tabla en formato PDF con la información solicitada en Anexo I</w:t>
      </w:r>
      <w:r>
        <w:rPr>
          <w:rFonts w:ascii="Palatino Linotype" w:eastAsia="Palatino Linotype" w:hAnsi="Palatino Linotype" w:cs="Palatino Linotype"/>
          <w:i/>
          <w:sz w:val="22"/>
          <w:szCs w:val="22"/>
        </w:rPr>
        <w:t>. Por lo anterior el Instituto Municipal de Cultura Física y Deporte de Toluca y Servidora Pública Habilitada le informo que este Instituto solo puede proporci</w:t>
      </w:r>
      <w:r>
        <w:rPr>
          <w:rFonts w:ascii="Palatino Linotype" w:eastAsia="Palatino Linotype" w:hAnsi="Palatino Linotype" w:cs="Palatino Linotype"/>
          <w:i/>
          <w:sz w:val="22"/>
          <w:szCs w:val="22"/>
        </w:rPr>
        <w:t xml:space="preserve">onar el sueldo de la Directora General, el cual es el siguiente: </w:t>
      </w:r>
      <w:r>
        <w:rPr>
          <w:rFonts w:ascii="Palatino Linotype" w:eastAsia="Palatino Linotype" w:hAnsi="Palatino Linotype" w:cs="Palatino Linotype"/>
          <w:b/>
          <w:i/>
          <w:sz w:val="22"/>
          <w:szCs w:val="22"/>
        </w:rPr>
        <w:t>• Puesto: Directora General • Sueldo Neto Mensual $ 57 238.14</w:t>
      </w:r>
      <w:r>
        <w:rPr>
          <w:rFonts w:ascii="Palatino Linotype" w:eastAsia="Palatino Linotype" w:hAnsi="Palatino Linotype" w:cs="Palatino Linotype"/>
          <w:i/>
          <w:sz w:val="22"/>
          <w:szCs w:val="22"/>
        </w:rPr>
        <w:t xml:space="preserve"> Lo anterior, de conformidad con los artículos 12 y 24 de la Ley de Transparencia, Acceso a la Información Pública del Estado de M</w:t>
      </w:r>
      <w:r>
        <w:rPr>
          <w:rFonts w:ascii="Palatino Linotype" w:eastAsia="Palatino Linotype" w:hAnsi="Palatino Linotype" w:cs="Palatino Linotype"/>
          <w:i/>
          <w:sz w:val="22"/>
          <w:szCs w:val="22"/>
        </w:rPr>
        <w:t>éxico y Municipios …</w:t>
      </w:r>
    </w:p>
    <w:p w:rsidR="00BD101D" w:rsidRDefault="001843BD">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BD101D" w:rsidRDefault="001843BD">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 (sic)</w:t>
      </w:r>
    </w:p>
    <w:p w:rsidR="00BD101D" w:rsidRDefault="001843B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 su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archivos electrónicos siguientes:</w:t>
      </w:r>
    </w:p>
    <w:p w:rsidR="00BD101D" w:rsidRDefault="001843BD">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 xml:space="preserve">ANEXO 1 Solicitud 152.pdf”, </w:t>
      </w:r>
      <w:r>
        <w:rPr>
          <w:rFonts w:ascii="Palatino Linotype" w:eastAsia="Palatino Linotype" w:hAnsi="Palatino Linotype" w:cs="Palatino Linotype"/>
          <w:color w:val="000000"/>
        </w:rPr>
        <w:t>consistente en una tabla que señala el sueldo bruto mensual de la Directora General del Instituto Estatal de la Mujer, como se muestra a continuación:</w:t>
      </w:r>
    </w:p>
    <w:p w:rsidR="00BD101D" w:rsidRDefault="001843BD">
      <w:pPr>
        <w:spacing w:before="240" w:after="240" w:line="360" w:lineRule="auto"/>
        <w:ind w:right="49"/>
        <w:jc w:val="center"/>
        <w:rPr>
          <w:rFonts w:ascii="Palatino Linotype" w:eastAsia="Palatino Linotype" w:hAnsi="Palatino Linotype" w:cs="Palatino Linotype"/>
        </w:rPr>
      </w:pPr>
      <w:r>
        <w:rPr>
          <w:noProof/>
          <w:lang w:val="es-MX"/>
        </w:rPr>
        <w:drawing>
          <wp:inline distT="0" distB="0" distL="0" distR="0">
            <wp:extent cx="3153860" cy="1636759"/>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8710" t="19614" r="15477" b="39348"/>
                    <a:stretch>
                      <a:fillRect/>
                    </a:stretch>
                  </pic:blipFill>
                  <pic:spPr>
                    <a:xfrm>
                      <a:off x="0" y="0"/>
                      <a:ext cx="3153860" cy="1636759"/>
                    </a:xfrm>
                    <a:prstGeom prst="rect">
                      <a:avLst/>
                    </a:prstGeom>
                    <a:ln/>
                  </pic:spPr>
                </pic:pic>
              </a:graphicData>
            </a:graphic>
          </wp:inline>
        </w:drawing>
      </w:r>
    </w:p>
    <w:p w:rsidR="00BD101D" w:rsidRDefault="00BE3C99">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“anexo 152.pdf”</w:t>
      </w:r>
      <w:r w:rsidR="001843BD">
        <w:rPr>
          <w:rFonts w:ascii="Palatino Linotype" w:eastAsia="Palatino Linotype" w:hAnsi="Palatino Linotype" w:cs="Palatino Linotype"/>
          <w:b/>
          <w:i/>
          <w:color w:val="000000"/>
        </w:rPr>
        <w:t xml:space="preserve"> </w:t>
      </w:r>
      <w:r w:rsidR="001843BD">
        <w:rPr>
          <w:rFonts w:ascii="Palatino Linotype" w:eastAsia="Palatino Linotype" w:hAnsi="Palatino Linotype" w:cs="Palatino Linotype"/>
          <w:color w:val="000000"/>
        </w:rPr>
        <w:t>de la Dirección de Recursos Humanos, consistente en ochenta y ocho fojas, que dan a co</w:t>
      </w:r>
      <w:r w:rsidR="001843BD">
        <w:rPr>
          <w:rFonts w:ascii="Palatino Linotype" w:eastAsia="Palatino Linotype" w:hAnsi="Palatino Linotype" w:cs="Palatino Linotype"/>
          <w:color w:val="000000"/>
        </w:rPr>
        <w:t>nocer mediante tablas, el nombre, categoría, sueldo mensual bruto, sueldo mensual neto y adscripción, como se muestra a manera de ejemplo en la siguiente captura:</w:t>
      </w:r>
    </w:p>
    <w:p w:rsidR="00BD101D" w:rsidRDefault="001843BD">
      <w:pPr>
        <w:pBdr>
          <w:top w:val="nil"/>
          <w:left w:val="nil"/>
          <w:bottom w:val="nil"/>
          <w:right w:val="nil"/>
          <w:between w:val="nil"/>
        </w:pBdr>
        <w:spacing w:before="240" w:after="240" w:line="360" w:lineRule="auto"/>
        <w:ind w:left="780" w:right="49"/>
        <w:jc w:val="center"/>
        <w:rPr>
          <w:rFonts w:ascii="Palatino Linotype" w:eastAsia="Palatino Linotype" w:hAnsi="Palatino Linotype" w:cs="Palatino Linotype"/>
          <w:b/>
          <w:i/>
          <w:color w:val="000000"/>
        </w:rPr>
      </w:pPr>
      <w:r>
        <w:rPr>
          <w:noProof/>
          <w:color w:val="000000"/>
          <w:lang w:val="es-MX"/>
        </w:rPr>
        <w:lastRenderedPageBreak/>
        <w:drawing>
          <wp:inline distT="0" distB="0" distL="0" distR="0">
            <wp:extent cx="3808063" cy="4027457"/>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45824" t="19008" r="12934" b="3441"/>
                    <a:stretch>
                      <a:fillRect/>
                    </a:stretch>
                  </pic:blipFill>
                  <pic:spPr>
                    <a:xfrm>
                      <a:off x="0" y="0"/>
                      <a:ext cx="3808063" cy="4027457"/>
                    </a:xfrm>
                    <a:prstGeom prst="rect">
                      <a:avLst/>
                    </a:prstGeom>
                    <a:ln/>
                  </pic:spPr>
                </pic:pic>
              </a:graphicData>
            </a:graphic>
          </wp:inline>
        </w:drawing>
      </w:r>
    </w:p>
    <w:p w:rsidR="00BD101D" w:rsidRDefault="001843B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Dicha información contempla:</w:t>
      </w:r>
    </w:p>
    <w:p w:rsidR="00BD101D" w:rsidRDefault="001843BD">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Sueldos de Presidente, Síndicos, Regidores y Secretario del Ayuntamiento de Toluca.</w:t>
      </w:r>
    </w:p>
    <w:p w:rsidR="00BD101D" w:rsidRDefault="001843BD">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Relación del personal y salarios de servidores públicos adscritos a Presidencia, Secretaría del Ayuntamiento, Regidores, Direcciones Generales, Coordinación de asesores. </w:t>
      </w:r>
    </w:p>
    <w:p w:rsidR="00BD101D" w:rsidRDefault="001843BD">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P</w:t>
      </w:r>
      <w:r>
        <w:rPr>
          <w:rFonts w:ascii="Palatino Linotype" w:eastAsia="Palatino Linotype" w:hAnsi="Palatino Linotype" w:cs="Palatino Linotype"/>
        </w:rPr>
        <w:t xml:space="preserve">osteriormente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interpone recurso de revisión y señala como acto impugnado: </w:t>
      </w:r>
      <w:r>
        <w:rPr>
          <w:rFonts w:ascii="Palatino Linotype" w:eastAsia="Palatino Linotype" w:hAnsi="Palatino Linotype" w:cs="Palatino Linotype"/>
        </w:rPr>
        <w:tab/>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La respuesta proporcionada por el Ayuntamiento de Toluca.” (sic), </w:t>
      </w:r>
      <w:r>
        <w:rPr>
          <w:rFonts w:ascii="Palatino Linotype" w:eastAsia="Palatino Linotype" w:hAnsi="Palatino Linotype" w:cs="Palatino Linotype"/>
        </w:rPr>
        <w:t xml:space="preserve">y como Razones o motivos de inconformidad: </w:t>
      </w:r>
      <w:r>
        <w:rPr>
          <w:rFonts w:ascii="Palatino Linotype" w:eastAsia="Palatino Linotype" w:hAnsi="Palatino Linotype" w:cs="Palatino Linotype"/>
          <w:i/>
        </w:rPr>
        <w:t xml:space="preserve">“No me entregaron los oficios de respuesta de la </w:t>
      </w:r>
      <w:r>
        <w:rPr>
          <w:rFonts w:ascii="Palatino Linotype" w:eastAsia="Palatino Linotype" w:hAnsi="Palatino Linotype" w:cs="Palatino Linotype"/>
          <w:i/>
        </w:rPr>
        <w:lastRenderedPageBreak/>
        <w:t xml:space="preserve">Direccion de Administracion y de las áreas que turnaron la información, supuestamente disocian la nómina de Seguridad Pública, pero dejan a la vista el nombre y salario de los policías.” (sic) </w:t>
      </w:r>
      <w:r>
        <w:rPr>
          <w:rFonts w:ascii="Palatino Linotype" w:eastAsia="Palatino Linotype" w:hAnsi="Palatino Linotype" w:cs="Palatino Linotype"/>
          <w:color w:val="222222"/>
        </w:rPr>
        <w:t>de tal circuns</w:t>
      </w:r>
      <w:r>
        <w:rPr>
          <w:rFonts w:ascii="Palatino Linotype" w:eastAsia="Palatino Linotype" w:hAnsi="Palatino Linotype" w:cs="Palatino Linotype"/>
          <w:color w:val="222222"/>
        </w:rPr>
        <w:t xml:space="preserve">tancia, se considera que los motivos de inconformidad aducidos por </w:t>
      </w:r>
      <w:r>
        <w:rPr>
          <w:rFonts w:ascii="Palatino Linotype" w:eastAsia="Palatino Linotype" w:hAnsi="Palatino Linotype" w:cs="Palatino Linotype"/>
          <w:b/>
          <w:color w:val="222222"/>
        </w:rPr>
        <w:t>la RECURRENTE</w:t>
      </w:r>
      <w:r>
        <w:rPr>
          <w:rFonts w:ascii="Palatino Linotype" w:eastAsia="Palatino Linotype" w:hAnsi="Palatino Linotype" w:cs="Palatino Linotype"/>
          <w:color w:val="222222"/>
        </w:rPr>
        <w:t xml:space="preserve">  no se refieren a la totalidad de información proporcionada, sino porque se dejan visibles nombres y salarios de policías. </w:t>
      </w:r>
    </w:p>
    <w:p w:rsidR="00BD101D" w:rsidRDefault="001843BD">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En este sentido, la información remitida, materia d</w:t>
      </w:r>
      <w:r>
        <w:rPr>
          <w:rFonts w:ascii="Palatino Linotype" w:eastAsia="Palatino Linotype" w:hAnsi="Palatino Linotype" w:cs="Palatino Linotype"/>
          <w:color w:val="222222"/>
        </w:rPr>
        <w:t xml:space="preserve">e la solicitud de información, debe declararse consentida, toda vez que, al no haber realizado manifestaciones de inconformidad al respecto, no pueden producirse efectos jurídicos tendentes a revocar, confirmar o modificar el acto reclamado, ya que, en el </w:t>
      </w:r>
      <w:r>
        <w:rPr>
          <w:rFonts w:ascii="Palatino Linotype" w:eastAsia="Palatino Linotype" w:hAnsi="Palatino Linotype" w:cs="Palatino Linotype"/>
          <w:color w:val="222222"/>
        </w:rPr>
        <w:t>caso concreto se infiere que la información proporcionada por el Sujeto Obligado, satisface la solicitud presentada.</w:t>
      </w:r>
    </w:p>
    <w:p w:rsidR="00BD101D" w:rsidRDefault="001843BD">
      <w:pPr>
        <w:spacing w:before="240" w:after="240" w:line="360" w:lineRule="auto"/>
        <w:jc w:val="both"/>
        <w:rPr>
          <w:color w:val="222222"/>
        </w:rPr>
      </w:pPr>
      <w:r>
        <w:rPr>
          <w:rFonts w:ascii="Palatino Linotype" w:eastAsia="Palatino Linotype" w:hAnsi="Palatino Linotype" w:cs="Palatino Linotype"/>
          <w:color w:val="222222"/>
        </w:rPr>
        <w:t>Lo anterior es así, debido a que cuando la</w:t>
      </w:r>
      <w:r>
        <w:rPr>
          <w:rFonts w:ascii="Palatino Linotype" w:eastAsia="Palatino Linotype" w:hAnsi="Palatino Linotype" w:cs="Palatino Linotype"/>
          <w:b/>
          <w:color w:val="222222"/>
        </w:rPr>
        <w:t xml:space="preserve"> </w:t>
      </w:r>
      <w:r w:rsidRPr="00BE3C99">
        <w:rPr>
          <w:rFonts w:ascii="Palatino Linotype" w:eastAsia="Palatino Linotype" w:hAnsi="Palatino Linotype" w:cs="Palatino Linotype"/>
          <w:b/>
          <w:color w:val="222222"/>
        </w:rPr>
        <w:t>R</w:t>
      </w:r>
      <w:r w:rsidRPr="00BE3C99">
        <w:rPr>
          <w:rFonts w:ascii="Palatino Linotype" w:eastAsia="Palatino Linotype" w:hAnsi="Palatino Linotype" w:cs="Palatino Linotype"/>
          <w:b/>
          <w:color w:val="222222"/>
        </w:rPr>
        <w:t>E</w:t>
      </w:r>
      <w:r>
        <w:rPr>
          <w:rFonts w:ascii="Palatino Linotype" w:eastAsia="Palatino Linotype" w:hAnsi="Palatino Linotype" w:cs="Palatino Linotype"/>
          <w:b/>
          <w:color w:val="222222"/>
        </w:rPr>
        <w:t>CURRENTE</w:t>
      </w:r>
      <w:r>
        <w:rPr>
          <w:rFonts w:ascii="Palatino Linotype" w:eastAsia="Palatino Linotype" w:hAnsi="Palatino Linotype" w:cs="Palatino Linotype"/>
          <w:color w:val="222222"/>
        </w:rPr>
        <w:t xml:space="preserve"> no expresa razón o motivo de inconformidad en contra de la información proporcionada </w:t>
      </w:r>
      <w:r>
        <w:rPr>
          <w:rFonts w:ascii="Palatino Linotype" w:eastAsia="Palatino Linotype" w:hAnsi="Palatino Linotype" w:cs="Palatino Linotype"/>
          <w:color w:val="222222"/>
        </w:rPr>
        <w:t xml:space="preserve">en la respuesta que pudieran ser un agravio a su derecho, los mismos deben estimarse atendidos. Sirve de apoyo a lo anterior, por analogía, la Tesis Jurisprudencial Número 3ª./J.7/91, publicada en el Semanario Judicial de la Federación y su Gaceta bajo el </w:t>
      </w:r>
      <w:r>
        <w:rPr>
          <w:rFonts w:ascii="Palatino Linotype" w:eastAsia="Palatino Linotype" w:hAnsi="Palatino Linotype" w:cs="Palatino Linotype"/>
          <w:color w:val="222222"/>
        </w:rPr>
        <w:t>número de registro 174,177, que establece lo siguiente:</w:t>
      </w:r>
    </w:p>
    <w:p w:rsidR="00BD101D" w:rsidRDefault="001843BD">
      <w:pPr>
        <w:shd w:val="clear" w:color="auto" w:fill="FFFFFF"/>
        <w:spacing w:before="240" w:after="240" w:line="276" w:lineRule="auto"/>
        <w:ind w:left="567" w:right="567"/>
        <w:jc w:val="both"/>
        <w:rPr>
          <w:color w:val="222222"/>
        </w:rPr>
      </w:pPr>
      <w:r>
        <w:rPr>
          <w:rFonts w:ascii="Palatino Linotype" w:eastAsia="Palatino Linotype" w:hAnsi="Palatino Linotype" w:cs="Palatino Linotype"/>
          <w:color w:val="222222"/>
        </w:rPr>
        <w:t> </w:t>
      </w:r>
      <w:r>
        <w:rPr>
          <w:rFonts w:ascii="Palatino Linotype" w:eastAsia="Palatino Linotype" w:hAnsi="Palatino Linotype" w:cs="Palatino Linotype"/>
          <w:color w:val="222222"/>
          <w:sz w:val="22"/>
          <w:szCs w:val="22"/>
        </w:rPr>
        <w:t>“</w:t>
      </w:r>
      <w:r>
        <w:rPr>
          <w:rFonts w:ascii="Palatino Linotype" w:eastAsia="Palatino Linotype" w:hAnsi="Palatino Linotype" w:cs="Palatino Linotype"/>
          <w:b/>
          <w:i/>
          <w:color w:val="222222"/>
          <w:sz w:val="22"/>
          <w:szCs w:val="22"/>
        </w:rPr>
        <w:t>REVISIÓN EN AMPARO. LOS RESOLUTIVOS NO COMBATIDOS DEBEN DECLARARSE FIRMES</w:t>
      </w:r>
      <w:r>
        <w:rPr>
          <w:rFonts w:ascii="Palatino Linotype" w:eastAsia="Palatino Linotype" w:hAnsi="Palatino Linotype" w:cs="Palatino Linotype"/>
          <w:i/>
          <w:color w:val="222222"/>
          <w:sz w:val="22"/>
          <w:szCs w:val="22"/>
        </w:rPr>
        <w:t>. Cuando algún resolutivo de la sentencia impugnada afecta a la recurrente, y ésta no expresa agravio en contra de las consid</w:t>
      </w:r>
      <w:r>
        <w:rPr>
          <w:rFonts w:ascii="Palatino Linotype" w:eastAsia="Palatino Linotype" w:hAnsi="Palatino Linotype" w:cs="Palatino Linotype"/>
          <w:i/>
          <w:color w:val="222222"/>
          <w:sz w:val="22"/>
          <w:szCs w:val="22"/>
        </w:rPr>
        <w:t>eraciones que le sirven de base, dicho resolutivo debe declararse firme. Esto es, en el caso referido, no obstante que la materia de la revisión comprende a todos los resolutivos que afectan a la recurrente, deben declararse firmes aquéllos en contra de lo</w:t>
      </w:r>
      <w:r>
        <w:rPr>
          <w:rFonts w:ascii="Palatino Linotype" w:eastAsia="Palatino Linotype" w:hAnsi="Palatino Linotype" w:cs="Palatino Linotype"/>
          <w:i/>
          <w:color w:val="222222"/>
          <w:sz w:val="22"/>
          <w:szCs w:val="22"/>
        </w:rPr>
        <w:t>s cuales no se formuló agravio y dicha declaración de firmeza debe reflejarse en la parte considerativa y en los resolutivos debe confirmarse la sentencia recurrida en la parte correspondiente.”</w:t>
      </w:r>
    </w:p>
    <w:p w:rsidR="00BD101D" w:rsidRDefault="001843BD">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lastRenderedPageBreak/>
        <w:t xml:space="preserve">Esto es, la parte de la solicitud sobre la que no se expresó </w:t>
      </w:r>
      <w:r>
        <w:rPr>
          <w:rFonts w:ascii="Palatino Linotype" w:eastAsia="Palatino Linotype" w:hAnsi="Palatino Linotype" w:cs="Palatino Linotype"/>
          <w:color w:val="222222"/>
        </w:rPr>
        <w:t>inconformidad, debe declararse consentida por la</w:t>
      </w:r>
      <w:r>
        <w:rPr>
          <w:rFonts w:ascii="Palatino Linotype" w:eastAsia="Palatino Linotype" w:hAnsi="Palatino Linotype" w:cs="Palatino Linotype"/>
          <w:b/>
          <w:color w:val="222222"/>
        </w:rPr>
        <w:t xml:space="preserve"> RECURRENTE</w:t>
      </w:r>
      <w:r>
        <w:rPr>
          <w:rFonts w:ascii="Palatino Linotype" w:eastAsia="Palatino Linotype" w:hAnsi="Palatino Linotype" w:cs="Palatino Linotype"/>
          <w:color w:val="222222"/>
        </w:rPr>
        <w:t>, ya que no pueden producirse efectos jurídicos tendentes a revocar, confirmar o modificar la parte de la respuesta con relación a la parte de la solicitud que no fue motivo de inconformidad, ya qu</w:t>
      </w:r>
      <w:r>
        <w:rPr>
          <w:rFonts w:ascii="Palatino Linotype" w:eastAsia="Palatino Linotype" w:hAnsi="Palatino Linotype" w:cs="Palatino Linotype"/>
          <w:color w:val="222222"/>
        </w:rPr>
        <w:t>e se infiere un consentimiento de la</w:t>
      </w:r>
      <w:r>
        <w:rPr>
          <w:rFonts w:ascii="Palatino Linotype" w:eastAsia="Palatino Linotype" w:hAnsi="Palatino Linotype" w:cs="Palatino Linotype"/>
          <w:b/>
          <w:color w:val="222222"/>
        </w:rPr>
        <w:t xml:space="preserve"> RECURRENTE</w:t>
      </w:r>
      <w:r>
        <w:rPr>
          <w:rFonts w:ascii="Palatino Linotype" w:eastAsia="Palatino Linotype" w:hAnsi="Palatino Linotype" w:cs="Palatino Linotype"/>
          <w:color w:val="222222"/>
        </w:rPr>
        <w:t xml:space="preserve"> ante la falta de impugnación eficaz.</w:t>
      </w:r>
    </w:p>
    <w:p w:rsidR="00BD101D" w:rsidRDefault="001843BD">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Sirve de sustento a lo anterior, por analogía, la tesis jurisprudencial número VI.3o.C. J/60, publicada en el Semanario Judicial de la Federación y su Gaceta bajo el númer</w:t>
      </w:r>
      <w:r>
        <w:rPr>
          <w:rFonts w:ascii="Palatino Linotype" w:eastAsia="Palatino Linotype" w:hAnsi="Palatino Linotype" w:cs="Palatino Linotype"/>
          <w:color w:val="222222"/>
        </w:rPr>
        <w:t>o de registro 176,608 que a la letra dice:</w:t>
      </w:r>
    </w:p>
    <w:p w:rsidR="00BD101D" w:rsidRDefault="001843BD">
      <w:pPr>
        <w:shd w:val="clear" w:color="auto" w:fill="FFFFFF"/>
        <w:spacing w:before="240" w:after="240" w:line="276" w:lineRule="auto"/>
        <w:ind w:left="851" w:right="900"/>
        <w:jc w:val="both"/>
        <w:rPr>
          <w:rFonts w:ascii="Palatino Linotype" w:eastAsia="Palatino Linotype" w:hAnsi="Palatino Linotype" w:cs="Palatino Linotype"/>
          <w:i/>
          <w:color w:val="222222"/>
          <w:sz w:val="22"/>
          <w:szCs w:val="22"/>
          <w:u w:val="single"/>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ACTOS CONSENTIDOS. SON LOS QUE NO SE IMPUGNAN MEDIANTE EL RECURSO IDÓNEO</w:t>
      </w:r>
      <w:r>
        <w:rPr>
          <w:rFonts w:ascii="Palatino Linotype" w:eastAsia="Palatino Linotype" w:hAnsi="Palatino Linotype" w:cs="Palatino Linotype"/>
          <w:i/>
          <w:color w:val="222222"/>
          <w:sz w:val="22"/>
          <w:szCs w:val="22"/>
        </w:rPr>
        <w:t>. Debe reputarse como consentido el acto que no se impugnó por el medio establecido por la ley, ya que, si se hizo uso de otro no previsto p</w:t>
      </w:r>
      <w:r>
        <w:rPr>
          <w:rFonts w:ascii="Palatino Linotype" w:eastAsia="Palatino Linotype" w:hAnsi="Palatino Linotype" w:cs="Palatino Linotype"/>
          <w:i/>
          <w:color w:val="222222"/>
          <w:sz w:val="22"/>
          <w:szCs w:val="22"/>
        </w:rPr>
        <w:t>or ella o si se hace una simple manifestación de inconformidad, tales actuaciones no producen efectos jurídicos tendientes a revocar, confirmar o modificar el acto reclamado en amparo, lo que significa consentimiento del mismo por falta de impugnación efic</w:t>
      </w:r>
      <w:r>
        <w:rPr>
          <w:rFonts w:ascii="Palatino Linotype" w:eastAsia="Palatino Linotype" w:hAnsi="Palatino Linotype" w:cs="Palatino Linotype"/>
          <w:i/>
          <w:color w:val="222222"/>
          <w:sz w:val="22"/>
          <w:szCs w:val="22"/>
        </w:rPr>
        <w:t>az.”</w:t>
      </w:r>
      <w:r>
        <w:rPr>
          <w:rFonts w:ascii="Palatino Linotype" w:eastAsia="Palatino Linotype" w:hAnsi="Palatino Linotype" w:cs="Palatino Linotype"/>
          <w:i/>
          <w:color w:val="222222"/>
          <w:sz w:val="22"/>
          <w:szCs w:val="22"/>
          <w:u w:val="single"/>
        </w:rPr>
        <w:t xml:space="preserve"> (Sic)</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Continuando con el análisis de las constancias que integran el expediente de mérito se tiene que una vez admitido el presente recurso de revisión, en términos del artículo 185 fracción II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w:t>
      </w:r>
      <w:r>
        <w:rPr>
          <w:rFonts w:ascii="Palatino Linotype" w:eastAsia="Palatino Linotype" w:hAnsi="Palatino Linotype" w:cs="Palatino Linotype"/>
        </w:rPr>
        <w:t>onveniente.</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sentido,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su informe justificado, mediante el cual, en términos generales ratifica su respuesta, documento que se hizo del conocimiento de la </w:t>
      </w:r>
      <w:r>
        <w:rPr>
          <w:rFonts w:ascii="Palatino Linotype" w:eastAsia="Palatino Linotype" w:hAnsi="Palatino Linotype" w:cs="Palatino Linotype"/>
          <w:b/>
        </w:rPr>
        <w:t>RECURRENTE</w:t>
      </w:r>
      <w:r>
        <w:rPr>
          <w:rFonts w:ascii="Palatino Linotype" w:eastAsia="Palatino Linotype" w:hAnsi="Palatino Linotype" w:cs="Palatino Linotype"/>
        </w:rPr>
        <w:t>, a efecto de que manifestara l</w:t>
      </w:r>
      <w:r>
        <w:rPr>
          <w:rFonts w:ascii="Palatino Linotype" w:eastAsia="Palatino Linotype" w:hAnsi="Palatino Linotype" w:cs="Palatino Linotype"/>
        </w:rPr>
        <w:t>o que a su derecho estimara conveniente, siendo omisa en ejercer dicha prerrogativa hasta el momento de decretar el cierre de instrucción.</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anterior, este estudio se enfocará en las razones y motivos de inconformidad, los cuales son:</w:t>
      </w:r>
    </w:p>
    <w:p w:rsidR="00BD101D" w:rsidRDefault="001843BD">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oficios de respuesta de la Dirección de Administración y de las áreas que turnaron la información; y </w:t>
      </w:r>
    </w:p>
    <w:p w:rsidR="00BD101D" w:rsidRDefault="001843BD">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Nómina de Seguridad Pública, donde dejan a la vista el nombre y salario de los policías.</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los oficios de respuesta de la </w:t>
      </w:r>
      <w:r>
        <w:rPr>
          <w:rFonts w:ascii="Palatino Linotype" w:eastAsia="Palatino Linotype" w:hAnsi="Palatino Linotype" w:cs="Palatino Linotype"/>
        </w:rPr>
        <w:t>Dirección de Administración y de las áreas a las que turnaron la información, que no se entregaron como parte de la respuesta, cabe señalar que de la confronta a la solicitud de información y el acto impugnado y las razones o motivos de inconformidad, dich</w:t>
      </w:r>
      <w:r>
        <w:rPr>
          <w:rFonts w:ascii="Palatino Linotype" w:eastAsia="Palatino Linotype" w:hAnsi="Palatino Linotype" w:cs="Palatino Linotype"/>
        </w:rPr>
        <w:t xml:space="preserve">os documentos no fueron solicitados, como se desprende del antecedente marcado con el numeral 1 de la presente resolución, por lo que constituyen en su totalidad nuevos requerimientos de información, configurándose así lo que se conoce como </w:t>
      </w:r>
      <w:r>
        <w:rPr>
          <w:rFonts w:ascii="Palatino Linotype" w:eastAsia="Palatino Linotype" w:hAnsi="Palatino Linotype" w:cs="Palatino Linotype"/>
          <w:i/>
        </w:rPr>
        <w:t>plus petitio</w:t>
      </w:r>
      <w:r>
        <w:rPr>
          <w:rFonts w:ascii="Palatino Linotype" w:eastAsia="Palatino Linotype" w:hAnsi="Palatino Linotype" w:cs="Palatino Linotype"/>
          <w:b/>
          <w:i/>
        </w:rPr>
        <w:t xml:space="preserve">, </w:t>
      </w:r>
      <w:r>
        <w:rPr>
          <w:rFonts w:ascii="Palatino Linotype" w:eastAsia="Palatino Linotype" w:hAnsi="Palatino Linotype" w:cs="Palatino Linotype"/>
        </w:rPr>
        <w:t>q</w:t>
      </w:r>
      <w:r>
        <w:rPr>
          <w:rFonts w:ascii="Palatino Linotype" w:eastAsia="Palatino Linotype" w:hAnsi="Palatino Linotype" w:cs="Palatino Linotype"/>
        </w:rPr>
        <w:t>ue consiste en una ampliación a su requerimiento informativo, argumentos que no son susceptibles de ser valorados en términos de la fracción VII del Artículo 191 de la Ley de Transparencia y Acceso a la Información Pública del Estado de México y Municipios</w:t>
      </w:r>
      <w:r>
        <w:rPr>
          <w:rFonts w:ascii="Palatino Linotype" w:eastAsia="Palatino Linotype" w:hAnsi="Palatino Linotype" w:cs="Palatino Linotype"/>
        </w:rPr>
        <w:t xml:space="preserve">, el cual señala la improcedencia cuando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amplíe su solicitud en el Recurso de Revisión, </w:t>
      </w:r>
      <w:r>
        <w:rPr>
          <w:rFonts w:ascii="Palatino Linotype" w:eastAsia="Palatino Linotype" w:hAnsi="Palatino Linotype" w:cs="Palatino Linotype"/>
          <w:b/>
          <w:u w:val="single"/>
        </w:rPr>
        <w:t xml:space="preserve">únicamente </w:t>
      </w:r>
      <w:r>
        <w:rPr>
          <w:rFonts w:ascii="Palatino Linotype" w:eastAsia="Palatino Linotype" w:hAnsi="Palatino Linotype" w:cs="Palatino Linotype"/>
          <w:b/>
          <w:u w:val="single"/>
        </w:rPr>
        <w:lastRenderedPageBreak/>
        <w:t xml:space="preserve">respecto de los nuevos contenidos; </w:t>
      </w:r>
      <w:r>
        <w:rPr>
          <w:rFonts w:ascii="Palatino Linotype" w:eastAsia="Palatino Linotype" w:hAnsi="Palatino Linotype" w:cs="Palatino Linotype"/>
        </w:rPr>
        <w:t xml:space="preserve">cuestión que tuvo lugar en el presente caso, pues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nuevos cuestionamientos, en los que </w:t>
      </w:r>
      <w:r>
        <w:rPr>
          <w:rFonts w:ascii="Palatino Linotype" w:eastAsia="Palatino Linotype" w:hAnsi="Palatino Linotype" w:cs="Palatino Linotype"/>
        </w:rPr>
        <w:t>solicitó información que no formó parte de su solicitud inicial y por lo tanto son inatendibles a través del recurso de revisión.</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una vez formulada su solicitud inicial,</w:t>
      </w:r>
      <w:r>
        <w:rPr>
          <w:rFonts w:ascii="Palatino Linotype" w:eastAsia="Palatino Linotype" w:hAnsi="Palatino Linotype" w:cs="Palatino Linotype"/>
          <w:i/>
        </w:rPr>
        <w:t xml:space="preserve"> </w:t>
      </w:r>
      <w:r>
        <w:rPr>
          <w:rFonts w:ascii="Palatino Linotype" w:eastAsia="Palatino Linotype" w:hAnsi="Palatino Linotype" w:cs="Palatino Linotype"/>
        </w:rPr>
        <w:t>los particulares no pueden modificarla o ampliarla a través de</w:t>
      </w:r>
      <w:r>
        <w:rPr>
          <w:rFonts w:ascii="Palatino Linotype" w:eastAsia="Palatino Linotype" w:hAnsi="Palatino Linotype" w:cs="Palatino Linotype"/>
        </w:rPr>
        <w:t xml:space="preserve"> posteriores promociones o en el momento de ingresar su recurso de revisión; por tanto, la materia de las solicitudes de información se circunscribe a que se permita el acceso a los documentos inicialmente solicitados y en su caso a los aclarados o corregi</w:t>
      </w:r>
      <w:r>
        <w:rPr>
          <w:rFonts w:ascii="Palatino Linotype" w:eastAsia="Palatino Linotype" w:hAnsi="Palatino Linotype" w:cs="Palatino Linotype"/>
        </w:rPr>
        <w:t>dos.</w:t>
      </w:r>
    </w:p>
    <w:p w:rsidR="00BD101D" w:rsidRDefault="001843B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w:t>
      </w:r>
      <w:r>
        <w:rPr>
          <w:rFonts w:ascii="Palatino Linotype" w:eastAsia="Palatino Linotype" w:hAnsi="Palatino Linotype" w:cs="Palatino Linotype"/>
          <w:color w:val="000000"/>
        </w:rPr>
        <w:t>e:</w:t>
      </w:r>
    </w:p>
    <w:p w:rsidR="00BD101D" w:rsidRDefault="001843BD">
      <w:pPr>
        <w:pBdr>
          <w:top w:val="nil"/>
          <w:left w:val="nil"/>
          <w:bottom w:val="nil"/>
          <w:right w:val="nil"/>
          <w:between w:val="nil"/>
        </w:pBdr>
        <w:spacing w:before="240" w:after="240"/>
        <w:ind w:left="780" w:right="90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color w:val="000000"/>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w:t>
      </w:r>
      <w:r>
        <w:rPr>
          <w:rFonts w:ascii="Palatino Linotype" w:eastAsia="Palatino Linotype" w:hAnsi="Palatino Linotype" w:cs="Palatino Linotype"/>
          <w:i/>
          <w:color w:val="000000"/>
          <w:sz w:val="22"/>
          <w:szCs w:val="22"/>
        </w:rPr>
        <w:t>e su recurso de revisión, amplíen los alcances de la solicitud de información inicial, los nuevos contenidos no podrán constituir materia del procedimiento a sustanciarse por el Instituto Nacional de Transparencia, Acceso a la Información y Protección de D</w:t>
      </w:r>
      <w:r>
        <w:rPr>
          <w:rFonts w:ascii="Palatino Linotype" w:eastAsia="Palatino Linotype" w:hAnsi="Palatino Linotype" w:cs="Palatino Linotype"/>
          <w:i/>
          <w:color w:val="000000"/>
          <w:sz w:val="22"/>
          <w:szCs w:val="22"/>
        </w:rPr>
        <w:t>atos Personales; actualizándose la hipótesis de improcedencia respectiva</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sin contrariar lo anterior, es de señalar que de las constancias que se tienen en el SAIMEX, se aprecia que la </w:t>
      </w:r>
      <w:r>
        <w:rPr>
          <w:rFonts w:ascii="Palatino Linotype" w:eastAsia="Palatino Linotype" w:hAnsi="Palatino Linotype" w:cs="Palatino Linotype"/>
          <w:b/>
        </w:rPr>
        <w:t>Titular de la Unidad de Transparencia del 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r</w:t>
      </w:r>
      <w:r>
        <w:rPr>
          <w:rFonts w:ascii="Palatino Linotype" w:eastAsia="Palatino Linotype" w:hAnsi="Palatino Linotype" w:cs="Palatino Linotype"/>
        </w:rPr>
        <w:t xml:space="preserve">ealizó los requerimientos de información correspondientes </w:t>
      </w:r>
      <w:r>
        <w:rPr>
          <w:rFonts w:ascii="Palatino Linotype" w:eastAsia="Palatino Linotype" w:hAnsi="Palatino Linotype" w:cs="Palatino Linotype"/>
        </w:rPr>
        <w:lastRenderedPageBreak/>
        <w:t>a los Servidores Públicos Habilitados, quienes emitieron su respuesta a través del sistema en comento, como se puede apreciar en la siguiente captura de pantalla:</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47019" cy="1730800"/>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647019" cy="1730800"/>
                    </a:xfrm>
                    <a:prstGeom prst="rect">
                      <a:avLst/>
                    </a:prstGeom>
                    <a:ln/>
                  </pic:spPr>
                </pic:pic>
              </a:graphicData>
            </a:graphic>
          </wp:inline>
        </w:drawing>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cual, para generar una respuesta no se requiere de un oficio del Servidor Público Habilitado, sino de las documentales que dan cuenta de la información solicitada.</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lo previo, es evidente que el motivo de inconformidad, materia del presente medi</w:t>
      </w:r>
      <w:r>
        <w:rPr>
          <w:rFonts w:ascii="Palatino Linotype" w:eastAsia="Palatino Linotype" w:hAnsi="Palatino Linotype" w:cs="Palatino Linotype"/>
        </w:rPr>
        <w:t>o de impugnación, es improcedente, al garantizarse lo previsto en los artículos 4, 12 y 166 párrafo primero de la Ley de Transparencia en la Entidad, que son de la literalidad siguiente:</w:t>
      </w:r>
    </w:p>
    <w:p w:rsidR="00BD101D" w:rsidRDefault="001843BD">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w:t>
      </w:r>
      <w:r>
        <w:rPr>
          <w:rFonts w:ascii="Palatino Linotype" w:eastAsia="Palatino Linotype" w:hAnsi="Palatino Linotype" w:cs="Palatino Linotype"/>
          <w:i/>
          <w:sz w:val="22"/>
          <w:szCs w:val="22"/>
        </w:rPr>
        <w:t xml:space="preserve">la prerrogativa de las personas para buscar, difundir, investigar, recabar, recibir y solicitar información pública, sin necesidad de acreditar personalidad ni interés jurídico. </w:t>
      </w:r>
    </w:p>
    <w:p w:rsidR="00BD101D" w:rsidRDefault="001843BD">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la información generada, obtenida, adquirida, transformada, administrada</w:t>
      </w:r>
      <w:r>
        <w:rPr>
          <w:rFonts w:ascii="Palatino Linotype" w:eastAsia="Palatino Linotype" w:hAnsi="Palatino Linotype" w:cs="Palatino Linotype"/>
          <w:i/>
          <w:sz w:val="22"/>
          <w:szCs w:val="22"/>
        </w:rPr>
        <w:t xml:space="preserve"> o en posesión de los sujetos obligados es pública y accesible de manera permanente a cualquier persona, en los términos y condiciones que se establezcan en los tratados internacionales de los que el Estado mexicano sea parte, en la Ley General, la present</w:t>
      </w:r>
      <w:r>
        <w:rPr>
          <w:rFonts w:ascii="Palatino Linotype" w:eastAsia="Palatino Linotype" w:hAnsi="Palatino Linotype" w:cs="Palatino Linotype"/>
          <w:i/>
          <w:sz w:val="22"/>
          <w:szCs w:val="22"/>
        </w:rPr>
        <w:t xml:space="preserve">e Ley y demás disposiciones de la materia, privilegiando el principio de máxima publicidad de la información. Solo podrá ser clasificada excepcionalmente como reservada temporalmente por razones </w:t>
      </w:r>
      <w:r>
        <w:rPr>
          <w:rFonts w:ascii="Palatino Linotype" w:eastAsia="Palatino Linotype" w:hAnsi="Palatino Linotype" w:cs="Palatino Linotype"/>
          <w:i/>
          <w:sz w:val="22"/>
          <w:szCs w:val="22"/>
        </w:rPr>
        <w:lastRenderedPageBreak/>
        <w:t>de interés público, en los términos de las causas legítimas y</w:t>
      </w:r>
      <w:r>
        <w:rPr>
          <w:rFonts w:ascii="Palatino Linotype" w:eastAsia="Palatino Linotype" w:hAnsi="Palatino Linotype" w:cs="Palatino Linotype"/>
          <w:i/>
          <w:sz w:val="22"/>
          <w:szCs w:val="22"/>
        </w:rPr>
        <w:t xml:space="preserve"> estrictamente necesarias previstas por esta Ley. </w:t>
      </w:r>
    </w:p>
    <w:p w:rsidR="00BD101D" w:rsidRDefault="001843BD">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w:t>
      </w:r>
      <w:r>
        <w:rPr>
          <w:rFonts w:ascii="Palatino Linotype" w:eastAsia="Palatino Linotype" w:hAnsi="Palatino Linotype" w:cs="Palatino Linotype"/>
          <w:i/>
          <w:sz w:val="22"/>
          <w:szCs w:val="22"/>
        </w:rPr>
        <w:t xml:space="preserve"> solicitantes.</w:t>
      </w:r>
    </w:p>
    <w:p w:rsidR="00BD101D" w:rsidRDefault="001843BD">
      <w:pPr>
        <w:spacing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BD101D" w:rsidRDefault="001843BD">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D101D" w:rsidRDefault="001843BD">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Pr>
          <w:rFonts w:ascii="Palatino Linotype" w:eastAsia="Palatino Linotype" w:hAnsi="Palatino Linotype" w:cs="Palatino Linotype"/>
          <w:i/>
          <w:sz w:val="22"/>
          <w:szCs w:val="22"/>
        </w:rPr>
        <w:t>conforme al interés del solicitante; no estarán obligados a generarla, resumirla, efectuar cálculos o practicar investigaciones.”</w:t>
      </w:r>
    </w:p>
    <w:p w:rsidR="00BD101D" w:rsidRDefault="001843BD">
      <w:pPr>
        <w:spacing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BD101D" w:rsidRDefault="001843BD">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La obligación de acceso a la información pública </w:t>
      </w:r>
      <w:r>
        <w:rPr>
          <w:rFonts w:ascii="Palatino Linotype" w:eastAsia="Palatino Linotype" w:hAnsi="Palatino Linotype" w:cs="Palatino Linotype"/>
          <w:b/>
          <w:i/>
          <w:sz w:val="22"/>
          <w:szCs w:val="22"/>
        </w:rPr>
        <w:t>se tendrá por cumplida cuando el solicitante tenga a su dis</w:t>
      </w:r>
      <w:r>
        <w:rPr>
          <w:rFonts w:ascii="Palatino Linotype" w:eastAsia="Palatino Linotype" w:hAnsi="Palatino Linotype" w:cs="Palatino Linotype"/>
          <w:b/>
          <w:i/>
          <w:sz w:val="22"/>
          <w:szCs w:val="22"/>
        </w:rPr>
        <w:t>posición la información requerida</w:t>
      </w:r>
      <w:r>
        <w:rPr>
          <w:rFonts w:ascii="Palatino Linotype" w:eastAsia="Palatino Linotype" w:hAnsi="Palatino Linotype" w:cs="Palatino Linotype"/>
          <w:i/>
          <w:sz w:val="22"/>
          <w:szCs w:val="22"/>
        </w:rPr>
        <w:t>, o cuando realice la consulta de la misma en el lugar en el que ésta se localice.”</w:t>
      </w:r>
    </w:p>
    <w:p w:rsidR="00BD101D" w:rsidRDefault="00BD101D">
      <w:pPr>
        <w:spacing w:after="120"/>
        <w:ind w:left="1134" w:right="900"/>
        <w:jc w:val="both"/>
        <w:rPr>
          <w:rFonts w:ascii="Palatino Linotype" w:eastAsia="Palatino Linotype" w:hAnsi="Palatino Linotype" w:cs="Palatino Linotype"/>
          <w:i/>
          <w:sz w:val="22"/>
          <w:szCs w:val="22"/>
        </w:rPr>
      </w:pP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w:t>
      </w:r>
      <w:r w:rsidR="00BE3C99">
        <w:rPr>
          <w:rFonts w:ascii="Palatino Linotype" w:eastAsia="Palatino Linotype" w:hAnsi="Palatino Linotype" w:cs="Palatino Linotype"/>
        </w:rPr>
        <w:t xml:space="preserve">a </w:t>
      </w:r>
      <w:r>
        <w:rPr>
          <w:rFonts w:ascii="Palatino Linotype" w:eastAsia="Palatino Linotype" w:hAnsi="Palatino Linotype" w:cs="Palatino Linotype"/>
        </w:rPr>
        <w:t xml:space="preserve">su motivo de inconformidad relativo a que </w:t>
      </w:r>
      <w:bookmarkStart w:id="3" w:name="_GoBack"/>
      <w:bookmarkEnd w:id="3"/>
      <w:r>
        <w:rPr>
          <w:rFonts w:ascii="Palatino Linotype" w:eastAsia="Palatino Linotype" w:hAnsi="Palatino Linotype" w:cs="Palatino Linotype"/>
          <w:b/>
        </w:rPr>
        <w:t>dejan a la vista el nombre y salario de los policías,</w:t>
      </w:r>
      <w:r>
        <w:rPr>
          <w:rFonts w:ascii="Palatino Linotype" w:eastAsia="Palatino Linotype" w:hAnsi="Palatino Linotype" w:cs="Palatino Linotype"/>
        </w:rPr>
        <w:t xml:space="preserve"> se advierte que efecto en l</w:t>
      </w:r>
      <w:r>
        <w:rPr>
          <w:rFonts w:ascii="Palatino Linotype" w:eastAsia="Palatino Linotype" w:hAnsi="Palatino Linotype" w:cs="Palatino Linotype"/>
        </w:rPr>
        <w:t xml:space="preserve">a documental </w:t>
      </w:r>
      <w:r>
        <w:rPr>
          <w:rFonts w:ascii="Palatino Linotype" w:eastAsia="Palatino Linotype" w:hAnsi="Palatino Linotype" w:cs="Palatino Linotype"/>
          <w:b/>
          <w:i/>
        </w:rPr>
        <w:t xml:space="preserve">“anexo 152.pdf”, </w:t>
      </w:r>
      <w:r>
        <w:rPr>
          <w:rFonts w:ascii="Palatino Linotype" w:eastAsia="Palatino Linotype" w:hAnsi="Palatino Linotype" w:cs="Palatino Linotype"/>
        </w:rPr>
        <w:t xml:space="preserve">emitida por la Dirección de Recursos Humanos, se dan a conocer mediante tablas, el nombre, categoría, sueldo mensual bruto, sueldo mensual neto y adscripción del personal del </w:t>
      </w:r>
      <w:r>
        <w:rPr>
          <w:rFonts w:ascii="Palatino Linotype" w:eastAsia="Palatino Linotype" w:hAnsi="Palatino Linotype" w:cs="Palatino Linotype"/>
          <w:b/>
        </w:rPr>
        <w:t>SUJETO OBLIGADO</w:t>
      </w:r>
      <w:r>
        <w:rPr>
          <w:rFonts w:ascii="Palatino Linotype" w:eastAsia="Palatino Linotype" w:hAnsi="Palatino Linotype" w:cs="Palatino Linotype"/>
        </w:rPr>
        <w:t>, y en ella se puede advertir que en</w:t>
      </w:r>
      <w:r>
        <w:rPr>
          <w:rFonts w:ascii="Palatino Linotype" w:eastAsia="Palatino Linotype" w:hAnsi="Palatino Linotype" w:cs="Palatino Linotype"/>
        </w:rPr>
        <w:t xml:space="preserve"> la misma se da a conocer los nombres del personal operativo de seguridad pública.</w:t>
      </w:r>
    </w:p>
    <w:p w:rsidR="00BD101D" w:rsidRDefault="001843BD">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Al respecto, es necesario considerar que esta información sería pública por tratarse de servidores públicos en ejercicio de sus funciones, sin embargo</w:t>
      </w:r>
      <w:r>
        <w:rPr>
          <w:rFonts w:ascii="Palatino Linotype" w:eastAsia="Palatino Linotype" w:hAnsi="Palatino Linotype" w:cs="Palatino Linotype"/>
          <w:color w:val="000000"/>
        </w:rPr>
        <w:t>, en efecto adquiere un</w:t>
      </w:r>
      <w:r>
        <w:rPr>
          <w:rFonts w:ascii="Palatino Linotype" w:eastAsia="Palatino Linotype" w:hAnsi="Palatino Linotype" w:cs="Palatino Linotype"/>
          <w:color w:val="000000"/>
        </w:rPr>
        <w:t xml:space="preserve">a característica especial por ser de elementos de seguridad pública, ya que el </w:t>
      </w:r>
      <w:r>
        <w:rPr>
          <w:rFonts w:ascii="Palatino Linotype" w:eastAsia="Palatino Linotype" w:hAnsi="Palatino Linotype" w:cs="Palatino Linotype"/>
          <w:color w:val="000000"/>
        </w:rPr>
        <w:lastRenderedPageBreak/>
        <w:t xml:space="preserve">proporcionar su nombre, hace identificable al oficial de policía, por lo que, </w:t>
      </w:r>
      <w:r>
        <w:rPr>
          <w:rFonts w:ascii="Palatino Linotype" w:eastAsia="Palatino Linotype" w:hAnsi="Palatino Linotype" w:cs="Palatino Linotype"/>
        </w:rPr>
        <w:t>con la finalidad de evitar la identificación de personas al amparo de la protección a la vida, toda</w:t>
      </w:r>
      <w:r>
        <w:rPr>
          <w:rFonts w:ascii="Palatino Linotype" w:eastAsia="Palatino Linotype" w:hAnsi="Palatino Linotype" w:cs="Palatino Linotype"/>
        </w:rPr>
        <w:t xml:space="preserve"> vez que los miembros de las instituciones policiales se encuentran en un régimen de excepción respecto de las condiciones que presentan los servidores públicos administrativos, lo cual obedece a que, el solo ejercicio de las funciones que tienen encomenda</w:t>
      </w:r>
      <w:r>
        <w:rPr>
          <w:rFonts w:ascii="Palatino Linotype" w:eastAsia="Palatino Linotype" w:hAnsi="Palatino Linotype" w:cs="Palatino Linotype"/>
        </w:rPr>
        <w:t>das lleva implícito el riesgo a su integridad, en virtud de que son responsables de procurar el orden, la estabilidad y la defensa de la sociedad a la que pertenecen.</w:t>
      </w:r>
    </w:p>
    <w:p w:rsidR="00BD101D" w:rsidRDefault="001843BD">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ahí, que el Estado deba garantizar y respetar sus derechos humanos como servidores púb</w:t>
      </w:r>
      <w:r>
        <w:rPr>
          <w:rFonts w:ascii="Palatino Linotype" w:eastAsia="Palatino Linotype" w:hAnsi="Palatino Linotype" w:cs="Palatino Linotype"/>
        </w:rPr>
        <w:t>licos y como personas sujetas de derechos y obligaciones, como lo es la protección a sus datos personales, incluido su nombre que, si bien pudiera tenerse como público ante la inminente evidencia de que recibe recursos públicos por concepto de sueldo, tamb</w:t>
      </w:r>
      <w:r>
        <w:rPr>
          <w:rFonts w:ascii="Palatino Linotype" w:eastAsia="Palatino Linotype" w:hAnsi="Palatino Linotype" w:cs="Palatino Linotype"/>
        </w:rPr>
        <w:t>ién lo es, que al pertenecer a una institución policial la difusión del mismo, pone en riesgo su vida, integridad o seguridad.</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Se afirma lo anterior, en virtud de que no debe perderse de vista que existen funciones a cargo de servidores públicos, tendiente</w:t>
      </w:r>
      <w:r>
        <w:rPr>
          <w:rFonts w:ascii="Palatino Linotype" w:eastAsia="Palatino Linotype" w:hAnsi="Palatino Linotype" w:cs="Palatino Linotype"/>
        </w:rPr>
        <w:t>s a garantizar de manera directa la seguridad pública, a través de acciones preventivas y correctivas encaminadas a combatir a la delincuencia en sus diferentes manifestaciones, al respecto, el artículo 113 fracción I de la Ley General de Transparencia y A</w:t>
      </w:r>
      <w:r>
        <w:rPr>
          <w:rFonts w:ascii="Palatino Linotype" w:eastAsia="Palatino Linotype" w:hAnsi="Palatino Linotype" w:cs="Palatino Linotype"/>
        </w:rPr>
        <w:t>cceso a la Información Pública, se establece que podrá clasificarse aquella información cuya difusión pueda comprometer la seguridad nacional y pública, en el mismo tenor, el artículo 140 fracción I de la Ley de Transparencia y Acceso a la Información Públ</w:t>
      </w:r>
      <w:r>
        <w:rPr>
          <w:rFonts w:ascii="Palatino Linotype" w:eastAsia="Palatino Linotype" w:hAnsi="Palatino Linotype" w:cs="Palatino Linotype"/>
        </w:rPr>
        <w:t xml:space="preserve">ica del Estado de México y Municipios, estipula que el acceso a la información pública será restringido cuando comprometa la seguridad pública.  </w:t>
      </w:r>
    </w:p>
    <w:p w:rsidR="00BD101D" w:rsidRDefault="001843BD">
      <w:pPr>
        <w:spacing w:before="240" w:after="240" w:line="360" w:lineRule="auto"/>
        <w:jc w:val="both"/>
        <w:rPr>
          <w:rFonts w:ascii="Palatino Linotype" w:eastAsia="Palatino Linotype" w:hAnsi="Palatino Linotype" w:cs="Palatino Linotype"/>
          <w:sz w:val="23"/>
          <w:szCs w:val="23"/>
        </w:rPr>
      </w:pPr>
      <w:r>
        <w:rPr>
          <w:rFonts w:ascii="Palatino Linotype" w:eastAsia="Palatino Linotype" w:hAnsi="Palatino Linotype" w:cs="Palatino Linotype"/>
        </w:rPr>
        <w:lastRenderedPageBreak/>
        <w:t xml:space="preserve"> En este orden de ideas, una de las formas en que la delincuencia puede llegar a poner en riesgo la seguridad </w:t>
      </w:r>
      <w:r>
        <w:rPr>
          <w:rFonts w:ascii="Palatino Linotype" w:eastAsia="Palatino Linotype" w:hAnsi="Palatino Linotype" w:cs="Palatino Linotype"/>
        </w:rPr>
        <w:t xml:space="preserve">del estado es, precisamente, anulando, impidiendo u obstaculizando la actuación de los servidores públicos que </w:t>
      </w:r>
      <w:r>
        <w:rPr>
          <w:rFonts w:ascii="Palatino Linotype" w:eastAsia="Palatino Linotype" w:hAnsi="Palatino Linotype" w:cs="Palatino Linotype"/>
          <w:b/>
        </w:rPr>
        <w:t>realizan funciones de carácter operativo</w:t>
      </w:r>
      <w:r>
        <w:rPr>
          <w:rFonts w:ascii="Palatino Linotype" w:eastAsia="Palatino Linotype" w:hAnsi="Palatino Linotype" w:cs="Palatino Linotype"/>
        </w:rPr>
        <w:t>, mediante el conocimiento de dicha situación, por lo que permitir el acceso a la información de los serv</w:t>
      </w:r>
      <w:r>
        <w:rPr>
          <w:rFonts w:ascii="Palatino Linotype" w:eastAsia="Palatino Linotype" w:hAnsi="Palatino Linotype" w:cs="Palatino Linotype"/>
        </w:rPr>
        <w:t>idores públicos operativos en áreas de seguridad  pública, puede llegar a constituirse en un componente fundamental en el esfuerzo que realiza el Estado Mexicano para garantizar la seguridad del país en sus diferentes vertientes, toda vez que como se ha me</w:t>
      </w:r>
      <w:r>
        <w:rPr>
          <w:rFonts w:ascii="Palatino Linotype" w:eastAsia="Palatino Linotype" w:hAnsi="Palatino Linotype" w:cs="Palatino Linotype"/>
        </w:rPr>
        <w:t xml:space="preserve">ncionado con antelación, al proporcionar la información solicitada por </w:t>
      </w:r>
      <w:r>
        <w:rPr>
          <w:rFonts w:ascii="Palatino Linotype" w:eastAsia="Palatino Linotype" w:hAnsi="Palatino Linotype" w:cs="Palatino Linotype"/>
          <w:b/>
        </w:rPr>
        <w:t>el Recurrente</w:t>
      </w:r>
      <w:r>
        <w:rPr>
          <w:rFonts w:ascii="Palatino Linotype" w:eastAsia="Palatino Linotype" w:hAnsi="Palatino Linotype" w:cs="Palatino Linotype"/>
        </w:rPr>
        <w:t>, es posible identificar a un  servidor público operativo, circunstancia que puede poner en riesgo la vida e integridad física del mismo, al respecto el artículo 81 fracció</w:t>
      </w:r>
      <w:r>
        <w:rPr>
          <w:rFonts w:ascii="Palatino Linotype" w:eastAsia="Palatino Linotype" w:hAnsi="Palatino Linotype" w:cs="Palatino Linotype"/>
        </w:rPr>
        <w:t>n III de la Ley de Seguridad del Estado de México, establece lo siguiente:</w:t>
      </w:r>
      <w:r>
        <w:rPr>
          <w:rFonts w:ascii="Palatino Linotype" w:eastAsia="Palatino Linotype" w:hAnsi="Palatino Linotype" w:cs="Palatino Linotype"/>
          <w:sz w:val="23"/>
          <w:szCs w:val="23"/>
        </w:rPr>
        <w:t xml:space="preserve"> </w:t>
      </w:r>
    </w:p>
    <w:p w:rsidR="00BD101D" w:rsidRDefault="001843BD">
      <w:pPr>
        <w:spacing w:before="240" w:after="240" w:line="276" w:lineRule="auto"/>
        <w:ind w:left="567" w:right="706"/>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81.-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Toda información para la seguridad pública generada o en poder de Instituciones de Seguridad Pública o de cualquier instancia del Sistema Estatal debe registrarse, clasificarse y tratarse de conformidad con las disposiciones aplicables. </w:t>
      </w:r>
      <w:r>
        <w:rPr>
          <w:rFonts w:ascii="Palatino Linotype" w:eastAsia="Palatino Linotype" w:hAnsi="Palatino Linotype" w:cs="Palatino Linotype"/>
          <w:b/>
          <w:i/>
          <w:sz w:val="22"/>
          <w:szCs w:val="22"/>
          <w:u w:val="single"/>
        </w:rPr>
        <w:t>No obstante lo ante</w:t>
      </w:r>
      <w:r>
        <w:rPr>
          <w:rFonts w:ascii="Palatino Linotype" w:eastAsia="Palatino Linotype" w:hAnsi="Palatino Linotype" w:cs="Palatino Linotype"/>
          <w:b/>
          <w:i/>
          <w:sz w:val="22"/>
          <w:szCs w:val="22"/>
          <w:u w:val="single"/>
        </w:rPr>
        <w:t>rior, esta información se considerará reservada</w:t>
      </w:r>
      <w:r>
        <w:rPr>
          <w:rFonts w:ascii="Palatino Linotype" w:eastAsia="Palatino Linotype" w:hAnsi="Palatino Linotype" w:cs="Palatino Linotype"/>
          <w:i/>
          <w:sz w:val="22"/>
          <w:szCs w:val="22"/>
        </w:rPr>
        <w:t xml:space="preserve"> en los casos siguientes:</w:t>
      </w:r>
    </w:p>
    <w:p w:rsidR="00BD101D" w:rsidRDefault="001843BD">
      <w:pPr>
        <w:spacing w:before="240" w:after="240" w:line="276" w:lineRule="auto"/>
        <w:ind w:left="567" w:right="7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D101D" w:rsidRDefault="001843BD">
      <w:pPr>
        <w:spacing w:before="240" w:after="240" w:line="276" w:lineRule="auto"/>
        <w:ind w:left="567" w:right="7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relativa a servidores públicos miembros de las instituciones de seguridad pública, cuya revelación pueda poner en riesgo su vida e integridad física con motivo de sus func</w:t>
      </w:r>
      <w:r>
        <w:rPr>
          <w:rFonts w:ascii="Palatino Linotype" w:eastAsia="Palatino Linotype" w:hAnsi="Palatino Linotype" w:cs="Palatino Linotype"/>
          <w:b/>
          <w:i/>
          <w:sz w:val="22"/>
          <w:szCs w:val="22"/>
          <w:u w:val="single"/>
        </w:rPr>
        <w:t>iones;</w:t>
      </w:r>
      <w:r>
        <w:rPr>
          <w:rFonts w:ascii="Palatino Linotype" w:eastAsia="Palatino Linotype" w:hAnsi="Palatino Linotype" w:cs="Palatino Linotype"/>
          <w:i/>
          <w:sz w:val="22"/>
          <w:szCs w:val="22"/>
        </w:rPr>
        <w:t>”</w:t>
      </w:r>
    </w:p>
    <w:p w:rsidR="00BD101D" w:rsidRDefault="001843BD">
      <w:pPr>
        <w:spacing w:before="240" w:after="240" w:line="276" w:lineRule="auto"/>
        <w:ind w:left="567" w:right="7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se fortalece con lo estipulado en el criterio número 6-09, emitido por el Instituto Nacional de Transparencia, Acceso a la Información y Protección de Datos Personales, antes (IFAI)</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cual refiere: </w:t>
      </w:r>
    </w:p>
    <w:p w:rsidR="00BD101D" w:rsidRDefault="001843BD">
      <w:pPr>
        <w:spacing w:before="240" w:after="240" w:line="276" w:lineRule="auto"/>
        <w:ind w:left="567" w:right="7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lastRenderedPageBreak/>
        <w:t>“</w:t>
      </w:r>
      <w:r>
        <w:rPr>
          <w:rFonts w:ascii="Palatino Linotype" w:eastAsia="Palatino Linotype" w:hAnsi="Palatino Linotype" w:cs="Palatino Linotype"/>
          <w:b/>
          <w:i/>
          <w:sz w:val="22"/>
          <w:szCs w:val="22"/>
        </w:rPr>
        <w:t>Criterio 6-09</w:t>
      </w:r>
    </w:p>
    <w:p w:rsidR="00BD101D" w:rsidRDefault="001843BD">
      <w:pPr>
        <w:spacing w:before="240" w:after="240" w:line="276" w:lineRule="auto"/>
        <w:ind w:left="567" w:right="7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Nombres de servidores públicos dedicados a actividades en materia de seguridad, por excepción pueden considerarse información reservada. </w:t>
      </w:r>
      <w:r>
        <w:rPr>
          <w:rFonts w:ascii="Palatino Linotype" w:eastAsia="Palatino Linotype" w:hAnsi="Palatino Linotype" w:cs="Palatino Linotype"/>
          <w:i/>
          <w:sz w:val="22"/>
          <w:szCs w:val="22"/>
        </w:rPr>
        <w:t>De conformidad con el artículo 7, fracciones I y III de la Ley Federal de Transparencia y Acceso a la Información Públi</w:t>
      </w:r>
      <w:r>
        <w:rPr>
          <w:rFonts w:ascii="Palatino Linotype" w:eastAsia="Palatino Linotype" w:hAnsi="Palatino Linotype" w:cs="Palatino Linotype"/>
          <w:i/>
          <w:sz w:val="22"/>
          <w:szCs w:val="22"/>
        </w:rPr>
        <w:t xml:space="preserve">ca Gubernamental </w:t>
      </w:r>
      <w:r>
        <w:rPr>
          <w:rFonts w:ascii="Palatino Linotype" w:eastAsia="Palatino Linotype" w:hAnsi="Palatino Linotype" w:cs="Palatino Linotype"/>
          <w:b/>
          <w:i/>
          <w:sz w:val="22"/>
          <w:szCs w:val="22"/>
          <w:u w:val="single"/>
        </w:rPr>
        <w:t>el nombre de los servidores públicos es información de naturaleza pública. No obstante lo anterior, el mismo precepto establece la posibilidad de que existan excepciones a las obligaciones ahí establecidas cuando la información actualice a</w:t>
      </w:r>
      <w:r>
        <w:rPr>
          <w:rFonts w:ascii="Palatino Linotype" w:eastAsia="Palatino Linotype" w:hAnsi="Palatino Linotype" w:cs="Palatino Linotype"/>
          <w:b/>
          <w:i/>
          <w:sz w:val="22"/>
          <w:szCs w:val="22"/>
          <w:u w:val="single"/>
        </w:rPr>
        <w:t>lgunos de los supuestos de reserva o confidencialidad previstos en los artículos 13, 14 y 18 de la citada ley</w:t>
      </w:r>
      <w:r>
        <w:rPr>
          <w:rFonts w:ascii="Palatino Linotype" w:eastAsia="Palatino Linotype" w:hAnsi="Palatino Linotype" w:cs="Palatino Linotype"/>
          <w:i/>
          <w:sz w:val="22"/>
          <w:szCs w:val="22"/>
        </w:rPr>
        <w:t>. En este sentido, se debe señalar que existen funciones a cargo de servidores públicos, tendientes a garantizar de manera directa la seguridad nac</w:t>
      </w:r>
      <w:r>
        <w:rPr>
          <w:rFonts w:ascii="Palatino Linotype" w:eastAsia="Palatino Linotype" w:hAnsi="Palatino Linotype" w:cs="Palatino Linotype"/>
          <w:i/>
          <w:sz w:val="22"/>
          <w:szCs w:val="22"/>
        </w:rPr>
        <w:t xml:space="preserve">ional y pública, a través de acciones preventivas y correctivas encaminadas a combatir a la delincuencia en sus diferentes manifestaciones. Así, es pertinente señalar que en </w:t>
      </w:r>
      <w:r>
        <w:rPr>
          <w:rFonts w:ascii="Palatino Linotype" w:eastAsia="Palatino Linotype" w:hAnsi="Palatino Linotype" w:cs="Palatino Linotype"/>
          <w:b/>
          <w:i/>
          <w:sz w:val="22"/>
          <w:szCs w:val="22"/>
          <w:u w:val="single"/>
        </w:rPr>
        <w:t>el artículo 13, fracción I de la ley de referencia se establece que podrá clasific</w:t>
      </w:r>
      <w:r>
        <w:rPr>
          <w:rFonts w:ascii="Palatino Linotype" w:eastAsia="Palatino Linotype" w:hAnsi="Palatino Linotype" w:cs="Palatino Linotype"/>
          <w:b/>
          <w:i/>
          <w:sz w:val="22"/>
          <w:szCs w:val="22"/>
          <w:u w:val="single"/>
        </w:rPr>
        <w:t>arse aquella información cuya difusión pueda comprometer la seguridad nacional y pública</w:t>
      </w:r>
      <w:r>
        <w:rPr>
          <w:rFonts w:ascii="Palatino Linotype" w:eastAsia="Palatino Linotype" w:hAnsi="Palatino Linotype" w:cs="Palatino Linotype"/>
          <w:i/>
          <w:sz w:val="22"/>
          <w:szCs w:val="22"/>
        </w:rPr>
        <w:t>. En este orden de ideas, una de las formas en que la delincuencia puede llegar a poner en riesgo la seguridad del país es precisamente anulando, impidiendo u obstaculi</w:t>
      </w:r>
      <w:r>
        <w:rPr>
          <w:rFonts w:ascii="Palatino Linotype" w:eastAsia="Palatino Linotype" w:hAnsi="Palatino Linotype" w:cs="Palatino Linotype"/>
          <w:i/>
          <w:sz w:val="22"/>
          <w:szCs w:val="22"/>
        </w:rPr>
        <w:t xml:space="preserve">zando la actuación de los servidores públicos que realizan funciones de carácter operativo, mediante el conocimiento de dicha situación, </w:t>
      </w:r>
      <w:r>
        <w:rPr>
          <w:rFonts w:ascii="Palatino Linotype" w:eastAsia="Palatino Linotype" w:hAnsi="Palatino Linotype" w:cs="Palatino Linotype"/>
          <w:b/>
          <w:i/>
          <w:sz w:val="22"/>
          <w:szCs w:val="22"/>
          <w:u w:val="single"/>
        </w:rPr>
        <w:t xml:space="preserve">por lo que la reserva de la relación de los nombres y las funciones que desempeñan los servidores públicos que prestan </w:t>
      </w:r>
      <w:r>
        <w:rPr>
          <w:rFonts w:ascii="Palatino Linotype" w:eastAsia="Palatino Linotype" w:hAnsi="Palatino Linotype" w:cs="Palatino Linotype"/>
          <w:b/>
          <w:i/>
          <w:sz w:val="22"/>
          <w:szCs w:val="22"/>
          <w:u w:val="single"/>
        </w:rPr>
        <w:t>sus servicios en áreas de seguridad nacional o pública</w:t>
      </w:r>
      <w:r>
        <w:rPr>
          <w:rFonts w:ascii="Palatino Linotype" w:eastAsia="Palatino Linotype" w:hAnsi="Palatino Linotype" w:cs="Palatino Linotype"/>
          <w:i/>
          <w:sz w:val="22"/>
          <w:szCs w:val="22"/>
        </w:rPr>
        <w:t>, puede llegar a constituirse en un componente fundamental en el esfuerzo que realiza el Estado Mexicano para garantizar la seguridad del país en sus diferentes vertientes” (Sic)</w:t>
      </w:r>
    </w:p>
    <w:p w:rsidR="00BD101D" w:rsidRDefault="001843BD">
      <w:pPr>
        <w:tabs>
          <w:tab w:val="left" w:pos="3583"/>
        </w:tabs>
        <w:spacing w:before="240" w:after="240" w:line="276" w:lineRule="auto"/>
        <w:ind w:left="567" w:right="7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w:t>
      </w:r>
      <w:r>
        <w:rPr>
          <w:rFonts w:ascii="Palatino Linotype" w:eastAsia="Palatino Linotype" w:hAnsi="Palatino Linotype" w:cs="Palatino Linotype"/>
        </w:rPr>
        <w:t>fecto, con base en lo expuesto por el ahora Instituto Nacional de Transparencia y Acceso a la Información y Protección de Datos Personales, desde el año dos mil nueve, ya se había precisado que la manera de evitar que se haga identificables a los policías,</w:t>
      </w:r>
      <w:r>
        <w:rPr>
          <w:rFonts w:ascii="Palatino Linotype" w:eastAsia="Palatino Linotype" w:hAnsi="Palatino Linotype" w:cs="Palatino Linotype"/>
        </w:rPr>
        <w:t xml:space="preserve"> quienes, al realizar funciones operativas, en el contexto en donde la violencia se ha recrudecido y el Estado Mexicano ha redoblado esfuerzos para </w:t>
      </w:r>
      <w:r>
        <w:rPr>
          <w:rFonts w:ascii="Palatino Linotype" w:eastAsia="Palatino Linotype" w:hAnsi="Palatino Linotype" w:cs="Palatino Linotype"/>
        </w:rPr>
        <w:lastRenderedPageBreak/>
        <w:t>garantizar la seguridad pública, es eliminando, mediante la reserva el nombre y datos que faciliten su ubica</w:t>
      </w:r>
      <w:r>
        <w:rPr>
          <w:rFonts w:ascii="Palatino Linotype" w:eastAsia="Palatino Linotype" w:hAnsi="Palatino Linotype" w:cs="Palatino Linotype"/>
        </w:rPr>
        <w:t>ción de estos elementos, en aquellos documentos que se entreguen en atención a solicitudes de acceso a la información pública.</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en efecto debió de reservar el nombre del personal operativo de la Dirección de Seguridad Pública, </w:t>
      </w:r>
      <w:r>
        <w:rPr>
          <w:rFonts w:ascii="Palatino Linotype" w:eastAsia="Palatino Linotype" w:hAnsi="Palatino Linotype" w:cs="Palatino Linotype"/>
        </w:rPr>
        <w:t>mediante el procedimiento que establecen los artículos 122, 125 y 140 fracciones I y IV de la Ley de Transparencia y Acceso a la Información Pública del Estado de México y Municipios, situación que no ocurrió, no obstante toda vez que ya se ha hecho del co</w:t>
      </w:r>
      <w:r>
        <w:rPr>
          <w:rFonts w:ascii="Palatino Linotype" w:eastAsia="Palatino Linotype" w:hAnsi="Palatino Linotype" w:cs="Palatino Linotype"/>
        </w:rPr>
        <w:t xml:space="preserve">nocimiento del particular, únicamente se conmina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hacer buen uso de ella y evitar su difusión, así mismo se considera procedente dar vista al Contralor Interno y Titular del Órgano de Control y Vigilancia de este Instituto, a fin de que re</w:t>
      </w:r>
      <w:r>
        <w:rPr>
          <w:rFonts w:ascii="Palatino Linotype" w:eastAsia="Palatino Linotype" w:hAnsi="Palatino Linotype" w:cs="Palatino Linotype"/>
        </w:rPr>
        <w:t>suelva lo conducente y determine en su caso el grado de responsabilidad en el incumplimiento de las obligaciones establecidas en la misma, en términos del artículo 190 de la Ley de Transparencia y Acceso a la Información Pública del Estado de México y Muni</w:t>
      </w:r>
      <w:r>
        <w:rPr>
          <w:rFonts w:ascii="Palatino Linotype" w:eastAsia="Palatino Linotype" w:hAnsi="Palatino Linotype" w:cs="Palatino Linotype"/>
        </w:rPr>
        <w:t>cipios.</w:t>
      </w:r>
    </w:p>
    <w:p w:rsidR="00BD101D" w:rsidRDefault="001843BD">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resultan parcialmente fundadas las razones o motivos de inconformidad hechos valer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sin embargo insuficientes, toda vez si bien se dejaron visibles datos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tuvo que haber clasificado, lo cierto es que se dio respuesta a lo solicitado y la información ya obran en poder del particular, por lo que ante este escenario, el particular deberá de ser responsable en el buen uso de la información proporcionada, pues s</w:t>
      </w:r>
      <w:r>
        <w:rPr>
          <w:rFonts w:ascii="Palatino Linotype" w:eastAsia="Palatino Linotype" w:hAnsi="Palatino Linotype" w:cs="Palatino Linotype"/>
          <w:color w:val="000000"/>
        </w:rPr>
        <w:t xml:space="preserve">e trata de datos reservados que le fueron proporcionados por haber incurrido en una probable responsabilidad administrativa, de conformidad con la fracción IV del artículo 222 de la Ley de Transparencia y Acceso  a la </w:t>
      </w:r>
      <w:r>
        <w:rPr>
          <w:rFonts w:ascii="Palatino Linotype" w:eastAsia="Palatino Linotype" w:hAnsi="Palatino Linotype" w:cs="Palatino Linotype"/>
          <w:color w:val="000000"/>
        </w:rPr>
        <w:lastRenderedPageBreak/>
        <w:t>Información Pública del Estado de Méxi</w:t>
      </w:r>
      <w:r>
        <w:rPr>
          <w:rFonts w:ascii="Palatino Linotype" w:eastAsia="Palatino Linotype" w:hAnsi="Palatino Linotype" w:cs="Palatino Linotype"/>
          <w:color w:val="000000"/>
        </w:rPr>
        <w:t xml:space="preserve">co y Municipios, tema que en su momento deberá de analizar y resolver la </w:t>
      </w:r>
      <w:r>
        <w:rPr>
          <w:rFonts w:ascii="Palatino Linotype" w:eastAsia="Palatino Linotype" w:hAnsi="Palatino Linotype" w:cs="Palatino Linotype"/>
        </w:rPr>
        <w:t>Contraloría Interna y Órgano de Control y Vigilancia de este Instituto.</w:t>
      </w:r>
    </w:p>
    <w:p w:rsidR="00BD101D" w:rsidRDefault="001843BD">
      <w:pPr>
        <w:spacing w:before="240" w:after="240" w:line="360" w:lineRule="auto"/>
        <w:jc w:val="both"/>
      </w:pPr>
      <w:r>
        <w:rPr>
          <w:rFonts w:ascii="Palatino Linotype" w:eastAsia="Palatino Linotype" w:hAnsi="Palatino Linotype" w:cs="Palatino Linotype"/>
          <w:color w:val="000000"/>
        </w:rPr>
        <w:t xml:space="preserve">Es orientadora la tesis de jurisprudencia VI.2o.C.30 C (10a.) sostenida por el </w:t>
      </w:r>
      <w:r>
        <w:rPr>
          <w:rFonts w:ascii="Palatino Linotype" w:eastAsia="Palatino Linotype" w:hAnsi="Palatino Linotype" w:cs="Palatino Linotype"/>
          <w:color w:val="212529"/>
          <w:highlight w:val="white"/>
        </w:rPr>
        <w:t>SEGUNDO TRIBUNAL COLEGIADO EN MA</w:t>
      </w:r>
      <w:r>
        <w:rPr>
          <w:rFonts w:ascii="Palatino Linotype" w:eastAsia="Palatino Linotype" w:hAnsi="Palatino Linotype" w:cs="Palatino Linotype"/>
          <w:color w:val="212529"/>
          <w:highlight w:val="white"/>
        </w:rPr>
        <w:t>TERIA CIVIL DEL SEXTO CIRCUITO visible en la página 1699 del Tomo 3, de mayo de 2013, publicada en el Semanario Judicial de la Federación y su Gaceta, Décima Época, cuyo rubro y texto son: </w:t>
      </w:r>
    </w:p>
    <w:p w:rsidR="00BD101D" w:rsidRDefault="001843BD">
      <w:pPr>
        <w:spacing w:before="240" w:after="240"/>
        <w:ind w:left="567" w:right="616"/>
        <w:jc w:val="both"/>
      </w:pPr>
      <w:r>
        <w:rPr>
          <w:rFonts w:ascii="Palatino Linotype" w:eastAsia="Palatino Linotype" w:hAnsi="Palatino Linotype" w:cs="Palatino Linotype"/>
          <w:i/>
          <w:color w:val="000000"/>
          <w:sz w:val="22"/>
          <w:szCs w:val="22"/>
        </w:rPr>
        <w:t>AGRAVIOS EN LA APELACIÓN. PUEDEN DECLARARSE FUNDADOS PERO INSUFICI</w:t>
      </w:r>
      <w:r>
        <w:rPr>
          <w:rFonts w:ascii="Palatino Linotype" w:eastAsia="Palatino Linotype" w:hAnsi="Palatino Linotype" w:cs="Palatino Linotype"/>
          <w:i/>
          <w:color w:val="000000"/>
          <w:sz w:val="22"/>
          <w:szCs w:val="22"/>
        </w:rPr>
        <w:t>ENTES PARA TRASCENDER AL RESULTADO DEL FALLO Y BENEFICIAR A LOS INTERESES DEL INCONFORME (LEGISLACIÓN DEL ESTADO DE PUEBLA). El artículo 396 del Código de Procedimientos Civiles para el Estado de Puebla precisa que el tribunal de apelación al emitir su eje</w:t>
      </w:r>
      <w:r>
        <w:rPr>
          <w:rFonts w:ascii="Palatino Linotype" w:eastAsia="Palatino Linotype" w:hAnsi="Palatino Linotype" w:cs="Palatino Linotype"/>
          <w:i/>
          <w:color w:val="000000"/>
          <w:sz w:val="22"/>
          <w:szCs w:val="22"/>
        </w:rPr>
        <w:t>cutoria puede declarar que los agravios son fundados, infundados, inoperantes, e insuficientes; y así no obliga a la Sala a clasificarlos en una sola categoría, pues puede hacerlo indistintamente en dos o más hipótesis de las mencionadas. Pero principalmen</w:t>
      </w:r>
      <w:r>
        <w:rPr>
          <w:rFonts w:ascii="Palatino Linotype" w:eastAsia="Palatino Linotype" w:hAnsi="Palatino Linotype" w:cs="Palatino Linotype"/>
          <w:i/>
          <w:color w:val="000000"/>
          <w:sz w:val="22"/>
          <w:szCs w:val="22"/>
        </w:rPr>
        <w:t xml:space="preserve">te no obliga a la autoridad de segunda instancia a que por la sola circunstancia de que resulten fundados deba emitir su fallo en sentido favorable al recurrente y a la modificación o revocación del fallo apelado en su beneficio, ya que puede resultar que </w:t>
      </w:r>
      <w:r>
        <w:rPr>
          <w:rFonts w:ascii="Palatino Linotype" w:eastAsia="Palatino Linotype" w:hAnsi="Palatino Linotype" w:cs="Palatino Linotype"/>
          <w:i/>
          <w:color w:val="000000"/>
          <w:sz w:val="22"/>
          <w:szCs w:val="22"/>
        </w:rPr>
        <w:t>a pesar de ser fundados los agravios sean insuficientes para trascender al resultado del fallo y, por tanto para beneficiar a los intereses del inconforme, lo que por esa única razón no causa perjuicio alguno a las partes, siempre y cuando las consideracio</w:t>
      </w:r>
      <w:r>
        <w:rPr>
          <w:rFonts w:ascii="Palatino Linotype" w:eastAsia="Palatino Linotype" w:hAnsi="Palatino Linotype" w:cs="Palatino Linotype"/>
          <w:i/>
          <w:color w:val="000000"/>
          <w:sz w:val="22"/>
          <w:szCs w:val="22"/>
        </w:rPr>
        <w:t>nes y fundamentos que rijan la sentencia se encuentren apegados a derecho. </w:t>
      </w:r>
    </w:p>
    <w:p w:rsidR="00BD101D" w:rsidRDefault="001843BD">
      <w:pPr>
        <w:spacing w:before="240" w:after="240"/>
        <w:ind w:left="567" w:right="616"/>
        <w:jc w:val="both"/>
      </w:pPr>
      <w:r>
        <w:rPr>
          <w:rFonts w:ascii="Palatino Linotype" w:eastAsia="Palatino Linotype" w:hAnsi="Palatino Linotype" w:cs="Palatino Linotype"/>
          <w:i/>
          <w:color w:val="000000"/>
          <w:sz w:val="22"/>
          <w:szCs w:val="22"/>
        </w:rPr>
        <w:t xml:space="preserve">SEGUNDO TRIBUNAL COLEGIADO EN MATERIA CIVIL DEL SEXTO CIRCUITO. Amparo directo 12/2013. Itzel Dailyn Romero Hernández. 28 de febrero de 2013. Unanimidad de votos. Ponente: Gustavo </w:t>
      </w:r>
      <w:r>
        <w:rPr>
          <w:rFonts w:ascii="Palatino Linotype" w:eastAsia="Palatino Linotype" w:hAnsi="Palatino Linotype" w:cs="Palatino Linotype"/>
          <w:i/>
          <w:color w:val="000000"/>
          <w:sz w:val="22"/>
          <w:szCs w:val="22"/>
        </w:rPr>
        <w:t>Calvillo Rangel. Secretario: Humberto Schettino Reyna. </w:t>
      </w:r>
    </w:p>
    <w:p w:rsidR="00BD101D" w:rsidRDefault="001843BD">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w:t>
      </w:r>
      <w:r>
        <w:rPr>
          <w:rFonts w:ascii="Palatino Linotype" w:eastAsia="Palatino Linotype" w:hAnsi="Palatino Linotype" w:cs="Palatino Linotype"/>
        </w:rPr>
        <w:t xml:space="preserve"> 36 fracciones I y II; 176, 178, 179, fracción I, </w:t>
      </w:r>
      <w:r>
        <w:rPr>
          <w:rFonts w:ascii="Palatino Linotype" w:eastAsia="Palatino Linotype" w:hAnsi="Palatino Linotype" w:cs="Palatino Linotype"/>
        </w:rPr>
        <w:lastRenderedPageBreak/>
        <w:t>181, 185 de la Ley de Transparencia y Acceso a la Información Pública del Estado de México y Municipios, este Pleno:</w:t>
      </w:r>
    </w:p>
    <w:p w:rsidR="00BD101D" w:rsidRDefault="001843BD">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b/>
        </w:rPr>
        <w:t>III. R E S U E L V E</w:t>
      </w:r>
    </w:p>
    <w:p w:rsidR="00BD101D" w:rsidRDefault="001843B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color w:val="000000"/>
        </w:rPr>
        <w:t>Resultan fundados, pero insuficientes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las razones y motivos</w:t>
      </w:r>
      <w:r>
        <w:rPr>
          <w:rFonts w:ascii="Palatino Linotype" w:eastAsia="Palatino Linotype" w:hAnsi="Palatino Linotype" w:cs="Palatino Linotype"/>
          <w:color w:val="000000"/>
        </w:rPr>
        <w:t xml:space="preserve"> de inconformidad hechos valer en el recurso de revisión </w:t>
      </w:r>
      <w:r>
        <w:rPr>
          <w:rFonts w:ascii="Palatino Linotype" w:eastAsia="Palatino Linotype" w:hAnsi="Palatino Linotype" w:cs="Palatino Linotype"/>
          <w:b/>
          <w:color w:val="000000"/>
        </w:rPr>
        <w:t>00459/INFOEM/IP/RR/2022</w:t>
      </w:r>
      <w:r>
        <w:rPr>
          <w:rFonts w:ascii="Palatino Linotype" w:eastAsia="Palatino Linotype" w:hAnsi="Palatino Linotype" w:cs="Palatino Linotype"/>
          <w:color w:val="000000"/>
        </w:rPr>
        <w:t xml:space="preserve"> en términos del </w:t>
      </w:r>
      <w:r>
        <w:rPr>
          <w:rFonts w:ascii="Palatino Linotype" w:eastAsia="Palatino Linotype" w:hAnsi="Palatino Linotype" w:cs="Palatino Linotype"/>
          <w:b/>
          <w:color w:val="000000"/>
        </w:rPr>
        <w:t xml:space="preserve">Considerando Cuarto </w:t>
      </w:r>
      <w:r>
        <w:rPr>
          <w:rFonts w:ascii="Palatino Linotype" w:eastAsia="Palatino Linotype" w:hAnsi="Palatino Linotype" w:cs="Palatino Linotype"/>
          <w:color w:val="000000"/>
        </w:rPr>
        <w:t>de la presente resolución.</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CONFIRMA</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emitida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00152/TOLUCA/IP/2022</w:t>
      </w:r>
      <w:r>
        <w:rPr>
          <w:rFonts w:ascii="Palatino Linotype" w:eastAsia="Palatino Linotype" w:hAnsi="Palatino Linotype" w:cs="Palatino Linotype"/>
        </w:rPr>
        <w:t xml:space="preserve">. </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NOTIFÍQUESE </w:t>
      </w:r>
      <w:r>
        <w:rPr>
          <w:rFonts w:ascii="Palatino Linotype" w:eastAsia="Palatino Linotype" w:hAnsi="Palatino Linotype" w:cs="Palatino Linotype"/>
        </w:rPr>
        <w:t xml:space="preserve">vía SAIMEX la presente resolución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  </w:t>
      </w:r>
      <w:r>
        <w:rPr>
          <w:rFonts w:ascii="Palatino Linotype" w:eastAsia="Palatino Linotype" w:hAnsi="Palatino Linotype" w:cs="Palatino Linotype"/>
        </w:rPr>
        <w:t>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a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w:t>
      </w:r>
      <w:r>
        <w:rPr>
          <w:rFonts w:ascii="Palatino Linotype" w:eastAsia="Palatino Linotype" w:hAnsi="Palatino Linotype" w:cs="Palatino Linotype"/>
        </w:rPr>
        <w:t>icables.</w:t>
      </w:r>
    </w:p>
    <w:p w:rsidR="00BD101D" w:rsidRDefault="001843B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w:t>
      </w:r>
      <w:r>
        <w:rPr>
          <w:rFonts w:ascii="Palatino Linotype" w:eastAsia="Palatino Linotype" w:hAnsi="Palatino Linotype" w:cs="Palatino Linotype"/>
        </w:rPr>
        <w:t>Gírese oficio al Contralor Interno y Órgano de Control y Vigilancia de este Instituto para hacer de su conocimiento la presente resolución, a fin de que en ejercicio de sus atribuciones y de conformidad al artículo 190, de la Ley de Transp</w:t>
      </w:r>
      <w:r>
        <w:rPr>
          <w:rFonts w:ascii="Palatino Linotype" w:eastAsia="Palatino Linotype" w:hAnsi="Palatino Linotype" w:cs="Palatino Linotype"/>
        </w:rPr>
        <w:t>arencia y Acceso a la Información Pública del Estado de México y Municipios, determine lo conducente, en términos de lo señalado en el Considerando Cuarto de la presente resolución.</w:t>
      </w:r>
    </w:p>
    <w:p w:rsidR="00BD101D" w:rsidRDefault="001843BD">
      <w:pPr>
        <w:spacing w:before="240" w:after="240" w:line="360" w:lineRule="auto"/>
        <w:jc w:val="both"/>
      </w:pPr>
      <w:r>
        <w:rPr>
          <w:rFonts w:ascii="Palatino Linotype" w:eastAsia="Palatino Linotype" w:hAnsi="Palatino Linotype" w:cs="Palatino Linotype"/>
          <w:color w:val="000000"/>
        </w:rPr>
        <w:lastRenderedPageBreak/>
        <w:t>ASÍ LO RESUELVE, POR UNANIMIDAD DE VOTOS, EL PLENO DEL INSTITUTO DE TRANSP</w:t>
      </w:r>
      <w:r>
        <w:rPr>
          <w:rFonts w:ascii="Palatino Linotype" w:eastAsia="Palatino Linotype" w:hAnsi="Palatino Linotype" w:cs="Palatino Linotype"/>
          <w:color w:val="000000"/>
        </w:rPr>
        <w:t>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eastAsia="Palatino Linotype" w:hAnsi="Palatino Linotype" w:cs="Palatino Linotype"/>
          <w:color w:val="000000"/>
        </w:rPr>
        <w:t xml:space="preserve"> Y GUADALUPE RAMÍREZ PEÑA; EN LA NOVENA SESIÓN ORDINARIA CELEBRADA EL NUEVE DE MARZO DEL DOS MIL VEINTIDÓS, ANTE EL SECRETARIO TÉCNICO DEL PLENO, ALEXIS TAPIA RAMÍREZ.</w:t>
      </w:r>
      <w:r>
        <w:rPr>
          <w:rFonts w:ascii="Palatino Linotype" w:eastAsia="Palatino Linotype" w:hAnsi="Palatino Linotype" w:cs="Palatino Linotype"/>
          <w:color w:val="000000"/>
        </w:rPr>
        <w:br/>
      </w:r>
    </w:p>
    <w:p w:rsidR="00BD101D" w:rsidRDefault="00BD101D">
      <w:pPr>
        <w:spacing w:before="240" w:after="240" w:line="360" w:lineRule="auto"/>
        <w:jc w:val="both"/>
        <w:rPr>
          <w:rFonts w:ascii="Palatino Linotype" w:eastAsia="Palatino Linotype" w:hAnsi="Palatino Linotype" w:cs="Palatino Linotype"/>
        </w:rPr>
      </w:pPr>
    </w:p>
    <w:p w:rsidR="00BD101D" w:rsidRDefault="00BD101D">
      <w:pPr>
        <w:spacing w:before="240" w:after="240" w:line="360" w:lineRule="auto"/>
        <w:jc w:val="both"/>
        <w:rPr>
          <w:rFonts w:ascii="Palatino Linotype" w:eastAsia="Palatino Linotype" w:hAnsi="Palatino Linotype" w:cs="Palatino Linotype"/>
        </w:rPr>
      </w:pPr>
    </w:p>
    <w:p w:rsidR="00BD101D" w:rsidRDefault="00BD101D">
      <w:pPr>
        <w:spacing w:before="240" w:after="240" w:line="360" w:lineRule="auto"/>
        <w:jc w:val="both"/>
        <w:rPr>
          <w:rFonts w:ascii="Palatino Linotype" w:eastAsia="Palatino Linotype" w:hAnsi="Palatino Linotype" w:cs="Palatino Linotype"/>
        </w:rPr>
      </w:pPr>
    </w:p>
    <w:p w:rsidR="00BD101D" w:rsidRDefault="00BD101D">
      <w:pPr>
        <w:spacing w:before="240" w:after="240" w:line="360" w:lineRule="auto"/>
        <w:jc w:val="both"/>
        <w:rPr>
          <w:rFonts w:ascii="Palatino Linotype" w:eastAsia="Palatino Linotype" w:hAnsi="Palatino Linotype" w:cs="Palatino Linotype"/>
        </w:rPr>
      </w:pPr>
    </w:p>
    <w:p w:rsidR="00BD101D" w:rsidRDefault="00BD101D">
      <w:pPr>
        <w:spacing w:before="240" w:after="240" w:line="360" w:lineRule="auto"/>
        <w:jc w:val="both"/>
        <w:rPr>
          <w:rFonts w:ascii="Palatino Linotype" w:eastAsia="Palatino Linotype" w:hAnsi="Palatino Linotype" w:cs="Palatino Linotype"/>
        </w:rPr>
      </w:pPr>
    </w:p>
    <w:p w:rsidR="00BD101D" w:rsidRDefault="00BD101D">
      <w:pPr>
        <w:spacing w:before="240" w:after="240" w:line="360" w:lineRule="auto"/>
        <w:jc w:val="both"/>
        <w:rPr>
          <w:rFonts w:ascii="Palatino Linotype" w:eastAsia="Palatino Linotype" w:hAnsi="Palatino Linotype" w:cs="Palatino Linotype"/>
        </w:rPr>
      </w:pPr>
    </w:p>
    <w:p w:rsidR="00BD101D" w:rsidRDefault="00BD101D">
      <w:pPr>
        <w:spacing w:before="240" w:after="240" w:line="360" w:lineRule="auto"/>
        <w:jc w:val="both"/>
        <w:rPr>
          <w:rFonts w:ascii="Palatino Linotype" w:eastAsia="Palatino Linotype" w:hAnsi="Palatino Linotype" w:cs="Palatino Linotype"/>
        </w:rPr>
      </w:pPr>
    </w:p>
    <w:p w:rsidR="00BD101D" w:rsidRDefault="00BD101D">
      <w:pPr>
        <w:spacing w:before="240" w:after="240" w:line="360" w:lineRule="auto"/>
        <w:jc w:val="both"/>
        <w:rPr>
          <w:rFonts w:ascii="Palatino Linotype" w:eastAsia="Palatino Linotype" w:hAnsi="Palatino Linotype" w:cs="Palatino Linotype"/>
        </w:rPr>
      </w:pPr>
    </w:p>
    <w:p w:rsidR="00BD101D" w:rsidRDefault="00BD101D">
      <w:pPr>
        <w:spacing w:before="240" w:after="240" w:line="360" w:lineRule="auto"/>
        <w:jc w:val="both"/>
        <w:rPr>
          <w:rFonts w:ascii="Palatino Linotype" w:eastAsia="Palatino Linotype" w:hAnsi="Palatino Linotype" w:cs="Palatino Linotype"/>
        </w:rPr>
      </w:pPr>
    </w:p>
    <w:p w:rsidR="00BD101D" w:rsidRDefault="00BD101D">
      <w:pPr>
        <w:spacing w:before="240" w:after="240" w:line="360" w:lineRule="auto"/>
        <w:jc w:val="both"/>
        <w:rPr>
          <w:rFonts w:ascii="Palatino Linotype" w:eastAsia="Palatino Linotype" w:hAnsi="Palatino Linotype" w:cs="Palatino Linotype"/>
          <w:sz w:val="20"/>
          <w:szCs w:val="20"/>
        </w:rPr>
      </w:pPr>
    </w:p>
    <w:p w:rsidR="00BD101D" w:rsidRDefault="00BD101D">
      <w:pPr>
        <w:spacing w:before="240" w:after="240" w:line="360" w:lineRule="auto"/>
        <w:jc w:val="both"/>
        <w:rPr>
          <w:rFonts w:ascii="Palatino Linotype" w:eastAsia="Palatino Linotype" w:hAnsi="Palatino Linotype" w:cs="Palatino Linotype"/>
          <w:sz w:val="20"/>
          <w:szCs w:val="20"/>
        </w:rPr>
      </w:pPr>
    </w:p>
    <w:p w:rsidR="00BD101D" w:rsidRDefault="00BD101D">
      <w:pPr>
        <w:spacing w:before="240" w:after="240" w:line="360" w:lineRule="auto"/>
        <w:jc w:val="both"/>
        <w:rPr>
          <w:rFonts w:ascii="Palatino Linotype" w:eastAsia="Palatino Linotype" w:hAnsi="Palatino Linotype" w:cs="Palatino Linotype"/>
          <w:sz w:val="20"/>
          <w:szCs w:val="20"/>
        </w:rPr>
      </w:pPr>
    </w:p>
    <w:p w:rsidR="00BD101D" w:rsidRDefault="00BD101D">
      <w:pPr>
        <w:spacing w:before="240" w:after="240" w:line="360" w:lineRule="auto"/>
        <w:jc w:val="both"/>
        <w:rPr>
          <w:rFonts w:ascii="Palatino Linotype" w:eastAsia="Palatino Linotype" w:hAnsi="Palatino Linotype" w:cs="Palatino Linotype"/>
          <w:sz w:val="20"/>
          <w:szCs w:val="20"/>
        </w:rPr>
      </w:pPr>
    </w:p>
    <w:p w:rsidR="00BD101D" w:rsidRDefault="00BD101D">
      <w:pPr>
        <w:spacing w:before="240" w:after="240" w:line="360" w:lineRule="auto"/>
        <w:jc w:val="both"/>
        <w:rPr>
          <w:rFonts w:ascii="Palatino Linotype" w:eastAsia="Palatino Linotype" w:hAnsi="Palatino Linotype" w:cs="Palatino Linotype"/>
          <w:sz w:val="20"/>
          <w:szCs w:val="20"/>
        </w:rPr>
      </w:pPr>
    </w:p>
    <w:p w:rsidR="00BD101D" w:rsidRDefault="00BD101D">
      <w:pPr>
        <w:spacing w:before="240" w:after="240" w:line="360" w:lineRule="auto"/>
        <w:jc w:val="both"/>
        <w:rPr>
          <w:rFonts w:ascii="Palatino Linotype" w:eastAsia="Palatino Linotype" w:hAnsi="Palatino Linotype" w:cs="Palatino Linotype"/>
          <w:sz w:val="20"/>
          <w:szCs w:val="20"/>
        </w:rPr>
      </w:pPr>
    </w:p>
    <w:p w:rsidR="00BD101D" w:rsidRDefault="00BD101D">
      <w:pPr>
        <w:spacing w:before="240" w:after="240" w:line="360" w:lineRule="auto"/>
        <w:jc w:val="both"/>
        <w:rPr>
          <w:rFonts w:ascii="Palatino Linotype" w:eastAsia="Palatino Linotype" w:hAnsi="Palatino Linotype" w:cs="Palatino Linotype"/>
          <w:sz w:val="20"/>
          <w:szCs w:val="20"/>
        </w:rPr>
      </w:pPr>
    </w:p>
    <w:sectPr w:rsidR="00BD101D">
      <w:headerReference w:type="default" r:id="rId18"/>
      <w:footerReference w:type="default" r:id="rId19"/>
      <w:headerReference w:type="first" r:id="rId20"/>
      <w:footerReference w:type="first" r:id="rId21"/>
      <w:pgSz w:w="12240" w:h="15840"/>
      <w:pgMar w:top="1985" w:right="1701" w:bottom="1701" w:left="1701" w:header="709" w:footer="54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3BD" w:rsidRDefault="001843BD">
      <w:r>
        <w:separator/>
      </w:r>
    </w:p>
  </w:endnote>
  <w:endnote w:type="continuationSeparator" w:id="0">
    <w:p w:rsidR="001843BD" w:rsidRDefault="0018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1D" w:rsidRDefault="001843B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BE3C99">
      <w:rPr>
        <w:rFonts w:ascii="Palatino Linotype" w:eastAsia="Palatino Linotype" w:hAnsi="Palatino Linotype" w:cs="Palatino Linotype"/>
        <w:b/>
        <w:color w:val="000000"/>
        <w:sz w:val="20"/>
        <w:szCs w:val="20"/>
      </w:rPr>
      <w:fldChar w:fldCharType="separate"/>
    </w:r>
    <w:r w:rsidR="00BE3C99">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BE3C99">
      <w:rPr>
        <w:rFonts w:ascii="Palatino Linotype" w:eastAsia="Palatino Linotype" w:hAnsi="Palatino Linotype" w:cs="Palatino Linotype"/>
        <w:b/>
        <w:color w:val="000000"/>
        <w:sz w:val="20"/>
        <w:szCs w:val="20"/>
      </w:rPr>
      <w:fldChar w:fldCharType="separate"/>
    </w:r>
    <w:r w:rsidR="00BE3C99">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rsidR="00BD101D" w:rsidRDefault="00BD101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1D" w:rsidRDefault="001843B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BE3C99">
      <w:rPr>
        <w:rFonts w:ascii="Palatino Linotype" w:eastAsia="Palatino Linotype" w:hAnsi="Palatino Linotype" w:cs="Palatino Linotype"/>
        <w:b/>
        <w:color w:val="000000"/>
        <w:sz w:val="20"/>
        <w:szCs w:val="20"/>
      </w:rPr>
      <w:fldChar w:fldCharType="separate"/>
    </w:r>
    <w:r w:rsidR="00BE3C9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BE3C99">
      <w:rPr>
        <w:rFonts w:ascii="Palatino Linotype" w:eastAsia="Palatino Linotype" w:hAnsi="Palatino Linotype" w:cs="Palatino Linotype"/>
        <w:b/>
        <w:color w:val="000000"/>
        <w:sz w:val="20"/>
        <w:szCs w:val="20"/>
      </w:rPr>
      <w:fldChar w:fldCharType="separate"/>
    </w:r>
    <w:r w:rsidR="00BE3C99">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rsidR="00BD101D" w:rsidRDefault="00BD101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3BD" w:rsidRDefault="001843BD">
      <w:r>
        <w:separator/>
      </w:r>
    </w:p>
  </w:footnote>
  <w:footnote w:type="continuationSeparator" w:id="0">
    <w:p w:rsidR="001843BD" w:rsidRDefault="001843BD">
      <w:r>
        <w:continuationSeparator/>
      </w:r>
    </w:p>
  </w:footnote>
  <w:footnote w:id="1">
    <w:p w:rsidR="00BD101D" w:rsidRDefault="001843B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BD101D" w:rsidRDefault="001843B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w:t>
      </w:r>
      <w:r>
        <w:rPr>
          <w:rFonts w:ascii="Palatino Linotype" w:eastAsia="Palatino Linotype" w:hAnsi="Palatino Linotype" w:cs="Palatino Linotype"/>
          <w:color w:val="000000"/>
          <w:sz w:val="16"/>
          <w:szCs w:val="16"/>
        </w:rPr>
        <w:t>til para que el público comprenda las actividades que llevan a cabo los sujetos obligados…”</w:t>
      </w:r>
    </w:p>
  </w:footnote>
  <w:footnote w:id="3">
    <w:p w:rsidR="00BD101D" w:rsidRDefault="001843BD">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BD101D" w:rsidRDefault="001843B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II. Admitido el recurso de revisión, la o el Comisionado ponente deberá </w:t>
      </w:r>
      <w:r>
        <w:rPr>
          <w:rFonts w:ascii="Palatino Linotype" w:eastAsia="Palatino Linotype" w:hAnsi="Palatino Linotype" w:cs="Palatino Linotype"/>
          <w:color w:val="000000"/>
          <w:sz w:val="16"/>
          <w:szCs w:val="16"/>
        </w:rPr>
        <w:t>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1D" w:rsidRDefault="001843B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-396401</wp:posOffset>
          </wp:positionV>
          <wp:extent cx="7809865" cy="10165715"/>
          <wp:effectExtent l="0" t="0" r="0" b="0"/>
          <wp:wrapNone/>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BD101D">
      <w:tc>
        <w:tcPr>
          <w:tcW w:w="2489" w:type="dxa"/>
          <w:shd w:val="clear" w:color="auto" w:fill="auto"/>
        </w:tcPr>
        <w:p w:rsidR="00BD101D" w:rsidRDefault="001843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BD101D" w:rsidRDefault="001843B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00459/INFOEM/IP/RR/2022</w:t>
          </w:r>
        </w:p>
      </w:tc>
    </w:tr>
    <w:tr w:rsidR="00BD101D">
      <w:trPr>
        <w:trHeight w:val="228"/>
      </w:trPr>
      <w:tc>
        <w:tcPr>
          <w:tcW w:w="2489" w:type="dxa"/>
          <w:shd w:val="clear" w:color="auto" w:fill="auto"/>
          <w:vAlign w:val="center"/>
        </w:tcPr>
        <w:p w:rsidR="00BD101D" w:rsidRDefault="001843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BD101D" w:rsidRDefault="001843B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D101D">
      <w:tc>
        <w:tcPr>
          <w:tcW w:w="2489" w:type="dxa"/>
          <w:shd w:val="clear" w:color="auto" w:fill="auto"/>
          <w:vAlign w:val="center"/>
        </w:tcPr>
        <w:p w:rsidR="00BD101D" w:rsidRDefault="001843B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BD101D" w:rsidRDefault="001843B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D101D" w:rsidRDefault="001843B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01D" w:rsidRDefault="00BD101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
      <w:tblW w:w="5953" w:type="dxa"/>
      <w:tblInd w:w="3261" w:type="dxa"/>
      <w:tblLayout w:type="fixed"/>
      <w:tblLook w:val="0400" w:firstRow="0" w:lastRow="0" w:firstColumn="0" w:lastColumn="0" w:noHBand="0" w:noVBand="1"/>
    </w:tblPr>
    <w:tblGrid>
      <w:gridCol w:w="2551"/>
      <w:gridCol w:w="3402"/>
    </w:tblGrid>
    <w:tr w:rsidR="00BD101D">
      <w:tc>
        <w:tcPr>
          <w:tcW w:w="2551" w:type="dxa"/>
          <w:shd w:val="clear" w:color="auto" w:fill="auto"/>
          <w:vAlign w:val="center"/>
        </w:tcPr>
        <w:p w:rsidR="00BD101D" w:rsidRDefault="001843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BD101D" w:rsidRDefault="001843B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00459/INFOEM/IP/RR/2022</w:t>
          </w:r>
        </w:p>
      </w:tc>
    </w:tr>
    <w:tr w:rsidR="00BD101D">
      <w:trPr>
        <w:trHeight w:val="130"/>
      </w:trPr>
      <w:tc>
        <w:tcPr>
          <w:tcW w:w="2551" w:type="dxa"/>
          <w:shd w:val="clear" w:color="auto" w:fill="auto"/>
          <w:vAlign w:val="center"/>
        </w:tcPr>
        <w:p w:rsidR="00BD101D" w:rsidRDefault="001843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BD101D" w:rsidRDefault="00BE3C99">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 XXXXXX</w:t>
          </w:r>
        </w:p>
      </w:tc>
    </w:tr>
    <w:tr w:rsidR="00BD101D">
      <w:trPr>
        <w:trHeight w:val="228"/>
      </w:trPr>
      <w:tc>
        <w:tcPr>
          <w:tcW w:w="2551" w:type="dxa"/>
          <w:shd w:val="clear" w:color="auto" w:fill="auto"/>
          <w:vAlign w:val="center"/>
        </w:tcPr>
        <w:p w:rsidR="00BD101D" w:rsidRDefault="001843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BD101D" w:rsidRDefault="001843BD">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D101D">
      <w:tc>
        <w:tcPr>
          <w:tcW w:w="2551" w:type="dxa"/>
          <w:shd w:val="clear" w:color="auto" w:fill="auto"/>
          <w:vAlign w:val="center"/>
        </w:tcPr>
        <w:p w:rsidR="00BD101D" w:rsidRDefault="001843B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BD101D" w:rsidRDefault="001843B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D101D" w:rsidRDefault="001843BD">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0</wp:posOffset>
          </wp:positionH>
          <wp:positionV relativeFrom="paragraph">
            <wp:posOffset>-1963419</wp:posOffset>
          </wp:positionV>
          <wp:extent cx="7809865" cy="10165715"/>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03B24"/>
    <w:multiLevelType w:val="multilevel"/>
    <w:tmpl w:val="3D0203F0"/>
    <w:lvl w:ilvl="0">
      <w:start w:val="2"/>
      <w:numFmt w:val="bullet"/>
      <w:pStyle w:val="Listaconvietas3"/>
      <w:lvlText w:val="-"/>
      <w:lvlJc w:val="left"/>
      <w:pPr>
        <w:ind w:left="1140" w:hanging="360"/>
      </w:pPr>
      <w:rPr>
        <w:rFonts w:ascii="Times New Roman" w:eastAsia="Times New Roman" w:hAnsi="Times New Roman" w:cs="Times New Roman"/>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1" w15:restartNumberingAfterBreak="0">
    <w:nsid w:val="160F773D"/>
    <w:multiLevelType w:val="multilevel"/>
    <w:tmpl w:val="79F41BC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35B06F21"/>
    <w:multiLevelType w:val="multilevel"/>
    <w:tmpl w:val="3F38D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F61FC8"/>
    <w:multiLevelType w:val="multilevel"/>
    <w:tmpl w:val="CA583E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01D"/>
    <w:rsid w:val="001843BD"/>
    <w:rsid w:val="00BD101D"/>
    <w:rsid w:val="00BE3C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F749E1-2894-4CA7-8E9B-7994146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UnresolvedMention">
    <w:name w:val="Unresolved Mention"/>
    <w:basedOn w:val="Fuentedeprrafopredeter"/>
    <w:uiPriority w:val="99"/>
    <w:semiHidden/>
    <w:unhideWhenUsed/>
    <w:rsid w:val="00AA259F"/>
    <w:rPr>
      <w:color w:val="605E5C"/>
      <w:shd w:val="clear" w:color="auto" w:fill="E1DFDD"/>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h2XT3PSt2E9SynUGgh5UNn6ZEg==">AMUW2mVsZ18JjoWuZxxPWbIReEkx5myD7oGVIocAWeUhDuoHeHLl87TOwxVXF+BYTWYXJhpljtt5iYDkmVNmreeqPaIKJQ26dTdSF0pnaw+H4xDoRly0/F/Y4zQS8hrQd7eKKvU7BXwzW4U00hnQ47l1eqHOk33y68wMn5gQZRpA5sDFlzSLHzQ=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7857</Words>
  <Characters>43217</Characters>
  <Application>Microsoft Office Word</Application>
  <DocSecurity>0</DocSecurity>
  <Lines>360</Lines>
  <Paragraphs>101</Paragraphs>
  <ScaleCrop>false</ScaleCrop>
  <Company>Hewlett-Packard Company</Company>
  <LinksUpToDate>false</LinksUpToDate>
  <CharactersWithSpaces>50973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3</cp:revision>
  <dcterms:created xsi:type="dcterms:W3CDTF">2022-03-03T05:53:00Z</dcterms:created>
  <dcterms:modified xsi:type="dcterms:W3CDTF">2022-04-04T16:14:00Z</dcterms:modified>
</cp:coreProperties>
</file>