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E2C4F8" w14:textId="2161F689" w:rsidR="00427401" w:rsidRPr="00395986" w:rsidRDefault="00427401" w:rsidP="00E95235">
      <w:pPr>
        <w:spacing w:line="360" w:lineRule="auto"/>
        <w:jc w:val="both"/>
        <w:rPr>
          <w:rFonts w:ascii="Palatino Linotype" w:eastAsiaTheme="minorEastAsia" w:hAnsi="Palatino Linotype"/>
          <w:lang w:val="es-ES_tradnl" w:eastAsia="es-ES"/>
        </w:rPr>
      </w:pPr>
      <w:r w:rsidRPr="00395986">
        <w:rPr>
          <w:rFonts w:ascii="Palatino Linotype" w:eastAsiaTheme="minorEastAsia" w:hAnsi="Palatino Linotype"/>
          <w:lang w:val="es-ES_tradnl" w:eastAsia="es-ES"/>
        </w:rPr>
        <w:t>Resolución del Pleno del Instituto de Transparencia, Acceso a la Información Pública y Protección de Datos Personales del Estado de México y Municipios, con domicilio en Mete</w:t>
      </w:r>
      <w:r w:rsidR="00C11FF8" w:rsidRPr="00395986">
        <w:rPr>
          <w:rFonts w:ascii="Palatino Linotype" w:eastAsiaTheme="minorEastAsia" w:hAnsi="Palatino Linotype"/>
          <w:lang w:val="es-ES_tradnl" w:eastAsia="es-ES"/>
        </w:rPr>
        <w:t>pec, Estado</w:t>
      </w:r>
      <w:r w:rsidR="00E1093A" w:rsidRPr="00395986">
        <w:rPr>
          <w:rFonts w:ascii="Palatino Linotype" w:eastAsiaTheme="minorEastAsia" w:hAnsi="Palatino Linotype"/>
          <w:lang w:val="es-ES_tradnl" w:eastAsia="es-ES"/>
        </w:rPr>
        <w:t xml:space="preserve"> de México; de f</w:t>
      </w:r>
      <w:r w:rsidR="002527E8" w:rsidRPr="00395986">
        <w:rPr>
          <w:rFonts w:ascii="Palatino Linotype" w:eastAsiaTheme="minorEastAsia" w:hAnsi="Palatino Linotype"/>
          <w:lang w:val="es-ES_tradnl" w:eastAsia="es-ES"/>
        </w:rPr>
        <w:t xml:space="preserve">echa  cinco (05) de octubre </w:t>
      </w:r>
      <w:r w:rsidR="00E1093A" w:rsidRPr="00395986">
        <w:rPr>
          <w:rFonts w:ascii="Palatino Linotype" w:eastAsiaTheme="minorEastAsia" w:hAnsi="Palatino Linotype"/>
          <w:lang w:val="es-ES_tradnl" w:eastAsia="es-ES"/>
        </w:rPr>
        <w:t xml:space="preserve"> de dos mil veintidós</w:t>
      </w:r>
      <w:r w:rsidRPr="00395986">
        <w:rPr>
          <w:rFonts w:ascii="Palatino Linotype" w:eastAsiaTheme="minorEastAsia" w:hAnsi="Palatino Linotype"/>
          <w:lang w:val="es-ES_tradnl" w:eastAsia="es-ES"/>
        </w:rPr>
        <w:t>.</w:t>
      </w:r>
    </w:p>
    <w:p w14:paraId="48AB53A8" w14:textId="77777777" w:rsidR="00427401" w:rsidRPr="00395986" w:rsidRDefault="00427401" w:rsidP="00E95235">
      <w:pPr>
        <w:spacing w:line="360" w:lineRule="auto"/>
        <w:jc w:val="both"/>
        <w:rPr>
          <w:rFonts w:ascii="Palatino Linotype" w:eastAsiaTheme="minorEastAsia" w:hAnsi="Palatino Linotype"/>
          <w:lang w:val="es-ES_tradnl" w:eastAsia="es-ES"/>
        </w:rPr>
      </w:pPr>
    </w:p>
    <w:p w14:paraId="6FB52DA5" w14:textId="5D64B865" w:rsidR="00427401" w:rsidRPr="00395986" w:rsidRDefault="00427401" w:rsidP="00E95235">
      <w:pPr>
        <w:spacing w:line="360" w:lineRule="auto"/>
        <w:jc w:val="both"/>
        <w:rPr>
          <w:rFonts w:ascii="Palatino Linotype" w:hAnsi="Palatino Linotype"/>
        </w:rPr>
      </w:pPr>
      <w:r w:rsidRPr="00395986">
        <w:rPr>
          <w:rFonts w:ascii="Palatino Linotype" w:hAnsi="Palatino Linotype"/>
          <w:b/>
        </w:rPr>
        <w:t>VISTO</w:t>
      </w:r>
      <w:r w:rsidRPr="00395986">
        <w:rPr>
          <w:rFonts w:ascii="Palatino Linotype" w:hAnsi="Palatino Linotype"/>
        </w:rPr>
        <w:t xml:space="preserve"> el expediente electrónico formado con motivo del recurso de revisión </w:t>
      </w:r>
      <w:r w:rsidR="002527E8" w:rsidRPr="00395986">
        <w:rPr>
          <w:rFonts w:ascii="Palatino Linotype" w:hAnsi="Palatino Linotype"/>
          <w:b/>
        </w:rPr>
        <w:t>13153</w:t>
      </w:r>
      <w:r w:rsidR="00E1093A" w:rsidRPr="00395986">
        <w:rPr>
          <w:rFonts w:ascii="Palatino Linotype" w:hAnsi="Palatino Linotype"/>
          <w:b/>
        </w:rPr>
        <w:t>/INFOEM/IP/RR/2022</w:t>
      </w:r>
      <w:r w:rsidRPr="00395986">
        <w:rPr>
          <w:rFonts w:ascii="Palatino Linotype" w:hAnsi="Palatino Linotype"/>
          <w:b/>
        </w:rPr>
        <w:t>,</w:t>
      </w:r>
      <w:r w:rsidRPr="00395986">
        <w:rPr>
          <w:rFonts w:ascii="Palatino Linotype" w:hAnsi="Palatino Linotype" w:cs="Arial"/>
          <w:b/>
          <w:bCs/>
        </w:rPr>
        <w:t xml:space="preserve"> </w:t>
      </w:r>
      <w:r w:rsidRPr="00395986">
        <w:rPr>
          <w:rFonts w:ascii="Palatino Linotype" w:eastAsiaTheme="minorEastAsia" w:hAnsi="Palatino Linotype"/>
          <w:lang w:val="es-ES_tradnl" w:eastAsia="es-ES"/>
        </w:rPr>
        <w:t xml:space="preserve">promovido </w:t>
      </w:r>
      <w:r w:rsidR="001A65AC" w:rsidRPr="00395986">
        <w:rPr>
          <w:rFonts w:ascii="Palatino Linotype" w:eastAsiaTheme="minorEastAsia" w:hAnsi="Palatino Linotype"/>
          <w:b/>
          <w:lang w:val="es-ES_tradnl" w:eastAsia="es-ES"/>
        </w:rPr>
        <w:t xml:space="preserve">XXXXXX XXXXX </w:t>
      </w:r>
      <w:proofErr w:type="spellStart"/>
      <w:r w:rsidR="001A65AC" w:rsidRPr="00395986">
        <w:rPr>
          <w:rFonts w:ascii="Palatino Linotype" w:eastAsiaTheme="minorEastAsia" w:hAnsi="Palatino Linotype"/>
          <w:b/>
          <w:lang w:val="es-ES_tradnl" w:eastAsia="es-ES"/>
        </w:rPr>
        <w:t>XXXXX</w:t>
      </w:r>
      <w:proofErr w:type="spellEnd"/>
      <w:r w:rsidR="002527E8" w:rsidRPr="00395986">
        <w:rPr>
          <w:rFonts w:ascii="Palatino Linotype" w:eastAsiaTheme="minorEastAsia" w:hAnsi="Palatino Linotype"/>
          <w:b/>
          <w:lang w:val="es-ES_tradnl" w:eastAsia="es-ES"/>
        </w:rPr>
        <w:t>,</w:t>
      </w:r>
      <w:r w:rsidRPr="00395986">
        <w:rPr>
          <w:rFonts w:ascii="Palatino Linotype" w:hAnsi="Palatino Linotype"/>
        </w:rPr>
        <w:t xml:space="preserve"> quien en lo sucesivo se identificará como </w:t>
      </w:r>
      <w:r w:rsidRPr="00395986">
        <w:rPr>
          <w:rFonts w:ascii="Palatino Linotype" w:hAnsi="Palatino Linotype"/>
          <w:b/>
        </w:rPr>
        <w:t xml:space="preserve">EL </w:t>
      </w:r>
      <w:r w:rsidRPr="00395986">
        <w:rPr>
          <w:rFonts w:ascii="Palatino Linotype" w:hAnsi="Palatino Linotype" w:cs="Arial"/>
          <w:b/>
        </w:rPr>
        <w:t>RECURRENTE</w:t>
      </w:r>
      <w:r w:rsidRPr="00395986">
        <w:rPr>
          <w:rFonts w:ascii="Palatino Linotype" w:hAnsi="Palatino Linotype" w:cs="Arial"/>
        </w:rPr>
        <w:t>, en con</w:t>
      </w:r>
      <w:bookmarkStart w:id="0" w:name="_GoBack"/>
      <w:bookmarkEnd w:id="0"/>
      <w:r w:rsidRPr="00395986">
        <w:rPr>
          <w:rFonts w:ascii="Palatino Linotype" w:hAnsi="Palatino Linotype" w:cs="Arial"/>
        </w:rPr>
        <w:t xml:space="preserve">tra de la respuesta del </w:t>
      </w:r>
      <w:r w:rsidR="002527E8" w:rsidRPr="00395986">
        <w:rPr>
          <w:rFonts w:ascii="Palatino Linotype" w:hAnsi="Palatino Linotype" w:cs="Arial"/>
          <w:b/>
        </w:rPr>
        <w:t>Ayuntamiento de Tultepec</w:t>
      </w:r>
      <w:r w:rsidR="00D42CC7" w:rsidRPr="00395986">
        <w:rPr>
          <w:rFonts w:ascii="Palatino Linotype" w:hAnsi="Palatino Linotype" w:cs="Arial"/>
          <w:b/>
        </w:rPr>
        <w:t>,</w:t>
      </w:r>
      <w:r w:rsidRPr="00395986">
        <w:rPr>
          <w:rFonts w:ascii="Palatino Linotype" w:hAnsi="Palatino Linotype"/>
          <w:b/>
        </w:rPr>
        <w:t xml:space="preserve"> </w:t>
      </w:r>
      <w:r w:rsidRPr="00395986">
        <w:rPr>
          <w:rFonts w:ascii="Palatino Linotype" w:hAnsi="Palatino Linotype"/>
        </w:rPr>
        <w:t>en lo sucesivo el</w:t>
      </w:r>
      <w:r w:rsidRPr="00395986">
        <w:rPr>
          <w:rFonts w:ascii="Palatino Linotype" w:hAnsi="Palatino Linotype"/>
          <w:b/>
        </w:rPr>
        <w:t xml:space="preserve"> SUJETO OBLIGADO</w:t>
      </w:r>
      <w:r w:rsidRPr="00395986">
        <w:rPr>
          <w:rFonts w:ascii="Palatino Linotype" w:hAnsi="Palatino Linotype"/>
        </w:rPr>
        <w:t>, por lo que se procede a dictar la presente resolución, con base en los siguientes:</w:t>
      </w:r>
    </w:p>
    <w:p w14:paraId="14A4F613" w14:textId="77777777" w:rsidR="00427401" w:rsidRPr="00395986" w:rsidRDefault="00427401" w:rsidP="00E95235">
      <w:pPr>
        <w:spacing w:line="360" w:lineRule="auto"/>
        <w:jc w:val="both"/>
        <w:rPr>
          <w:rFonts w:ascii="Palatino Linotype" w:hAnsi="Palatino Linotype"/>
          <w:b/>
        </w:rPr>
      </w:pPr>
    </w:p>
    <w:p w14:paraId="1780F65F" w14:textId="77777777" w:rsidR="00427401" w:rsidRPr="00395986" w:rsidRDefault="00427401" w:rsidP="00E95235">
      <w:pPr>
        <w:keepNext/>
        <w:keepLines/>
        <w:spacing w:line="360" w:lineRule="auto"/>
        <w:jc w:val="center"/>
        <w:outlineLvl w:val="0"/>
        <w:rPr>
          <w:rFonts w:ascii="Palatino Linotype" w:eastAsiaTheme="majorEastAsia" w:hAnsi="Palatino Linotype" w:cstheme="majorBidi"/>
          <w:b/>
        </w:rPr>
      </w:pPr>
      <w:bookmarkStart w:id="1" w:name="_Toc66992241"/>
      <w:r w:rsidRPr="00395986">
        <w:rPr>
          <w:rFonts w:ascii="Palatino Linotype" w:eastAsiaTheme="majorEastAsia" w:hAnsi="Palatino Linotype" w:cstheme="majorBidi"/>
          <w:b/>
        </w:rPr>
        <w:t>ANTECEDENTES</w:t>
      </w:r>
      <w:bookmarkEnd w:id="1"/>
    </w:p>
    <w:p w14:paraId="49784838" w14:textId="77777777" w:rsidR="00427401" w:rsidRPr="00395986" w:rsidRDefault="00427401" w:rsidP="00E95235">
      <w:pPr>
        <w:spacing w:line="360" w:lineRule="auto"/>
        <w:rPr>
          <w:rFonts w:ascii="Palatino Linotype" w:eastAsiaTheme="minorEastAsia" w:hAnsi="Palatino Linotype"/>
        </w:rPr>
      </w:pPr>
    </w:p>
    <w:p w14:paraId="69A9081A" w14:textId="1186F875" w:rsidR="00C11FF8" w:rsidRPr="00395986" w:rsidRDefault="002527E8" w:rsidP="00E95235">
      <w:pPr>
        <w:pStyle w:val="Prrafodelista"/>
        <w:numPr>
          <w:ilvl w:val="0"/>
          <w:numId w:val="13"/>
        </w:numPr>
        <w:spacing w:line="360" w:lineRule="auto"/>
        <w:ind w:left="0" w:firstLine="0"/>
        <w:jc w:val="both"/>
        <w:rPr>
          <w:rFonts w:ascii="Palatino Linotype" w:hAnsi="Palatino Linotype" w:cs="Arial"/>
          <w:sz w:val="24"/>
          <w:lang w:val="es-ES" w:eastAsia="es-ES"/>
        </w:rPr>
      </w:pPr>
      <w:r w:rsidRPr="00395986">
        <w:rPr>
          <w:rFonts w:ascii="Palatino Linotype" w:eastAsia="Calibri" w:hAnsi="Palatino Linotype" w:cs="Arial"/>
          <w:sz w:val="24"/>
          <w:lang w:val="es-ES" w:eastAsia="es-ES"/>
        </w:rPr>
        <w:t>El veintisiete (27</w:t>
      </w:r>
      <w:r w:rsidR="0097162E" w:rsidRPr="00395986">
        <w:rPr>
          <w:rFonts w:ascii="Palatino Linotype" w:eastAsia="Calibri" w:hAnsi="Palatino Linotype" w:cs="Arial"/>
          <w:sz w:val="24"/>
          <w:lang w:val="es-ES" w:eastAsia="es-ES"/>
        </w:rPr>
        <w:t>) de junio de dos mil veintidós</w:t>
      </w:r>
      <w:r w:rsidR="00427401" w:rsidRPr="00395986">
        <w:rPr>
          <w:rFonts w:ascii="Palatino Linotype" w:eastAsia="Calibri" w:hAnsi="Palatino Linotype" w:cs="Arial"/>
          <w:sz w:val="24"/>
          <w:lang w:val="es-ES" w:eastAsia="es-ES"/>
        </w:rPr>
        <w:t>,</w:t>
      </w:r>
      <w:r w:rsidR="00427401" w:rsidRPr="00395986">
        <w:rPr>
          <w:rFonts w:ascii="Palatino Linotype" w:eastAsia="Calibri" w:hAnsi="Palatino Linotype"/>
          <w:sz w:val="24"/>
          <w:lang w:val="es-ES" w:eastAsia="es-ES"/>
        </w:rPr>
        <w:t xml:space="preserve"> </w:t>
      </w:r>
      <w:r w:rsidR="00427401" w:rsidRPr="00395986">
        <w:rPr>
          <w:rFonts w:ascii="Palatino Linotype" w:eastAsia="Calibri" w:hAnsi="Palatino Linotype"/>
          <w:b/>
          <w:sz w:val="24"/>
          <w:lang w:val="es-ES" w:eastAsia="es-ES"/>
        </w:rPr>
        <w:t>EL RECURRENTE</w:t>
      </w:r>
      <w:r w:rsidR="00427401" w:rsidRPr="00395986">
        <w:rPr>
          <w:rFonts w:ascii="Palatino Linotype" w:eastAsiaTheme="minorEastAsia" w:hAnsi="Palatino Linotype"/>
          <w:b/>
          <w:sz w:val="24"/>
          <w:lang w:val="es-ES_tradnl" w:eastAsia="es-ES"/>
        </w:rPr>
        <w:t>,</w:t>
      </w:r>
      <w:r w:rsidR="00427401" w:rsidRPr="00395986">
        <w:rPr>
          <w:rFonts w:ascii="Palatino Linotype" w:eastAsia="Calibri" w:hAnsi="Palatino Linotype" w:cs="Arial"/>
          <w:sz w:val="24"/>
          <w:lang w:val="es-ES" w:eastAsia="es-ES"/>
        </w:rPr>
        <w:t xml:space="preserve"> ante el </w:t>
      </w:r>
      <w:r w:rsidR="00427401" w:rsidRPr="00395986">
        <w:rPr>
          <w:rFonts w:ascii="Palatino Linotype" w:eastAsia="Calibri" w:hAnsi="Palatino Linotype" w:cs="Arial"/>
          <w:b/>
          <w:sz w:val="24"/>
          <w:lang w:val="es-ES" w:eastAsia="es-ES"/>
        </w:rPr>
        <w:t>SUJETO OBLIGADO</w:t>
      </w:r>
      <w:r w:rsidR="00427401" w:rsidRPr="00395986">
        <w:rPr>
          <w:rFonts w:ascii="Palatino Linotype" w:eastAsia="Calibri" w:hAnsi="Palatino Linotype" w:cs="Arial"/>
          <w:sz w:val="24"/>
          <w:lang w:val="es-ES_tradnl" w:eastAsia="es-ES"/>
        </w:rPr>
        <w:t xml:space="preserve"> vía </w:t>
      </w:r>
      <w:r w:rsidR="00427401" w:rsidRPr="00395986">
        <w:rPr>
          <w:rFonts w:ascii="Palatino Linotype" w:eastAsia="Calibri" w:hAnsi="Palatino Linotype" w:cs="Arial"/>
          <w:sz w:val="24"/>
          <w:lang w:val="es-ES" w:eastAsia="es-ES"/>
        </w:rPr>
        <w:t>Sistema de Acceso a la Información Mexiquense (</w:t>
      </w:r>
      <w:r w:rsidR="00427401" w:rsidRPr="00395986">
        <w:rPr>
          <w:rFonts w:ascii="Palatino Linotype" w:eastAsia="Calibri" w:hAnsi="Palatino Linotype" w:cs="Arial"/>
          <w:b/>
          <w:sz w:val="24"/>
          <w:lang w:val="es-ES" w:eastAsia="es-ES"/>
        </w:rPr>
        <w:t>SAIMEX)</w:t>
      </w:r>
      <w:r w:rsidR="00427401" w:rsidRPr="00395986">
        <w:rPr>
          <w:rFonts w:ascii="Palatino Linotype" w:eastAsia="Calibri" w:hAnsi="Palatino Linotype" w:cs="Arial"/>
          <w:sz w:val="24"/>
          <w:lang w:val="es-ES" w:eastAsia="es-ES"/>
        </w:rPr>
        <w:t xml:space="preserve">, presentó una solicitud de información registrada con el número </w:t>
      </w:r>
      <w:r w:rsidRPr="00395986">
        <w:rPr>
          <w:rFonts w:ascii="Palatino Linotype" w:hAnsi="Palatino Linotype"/>
          <w:b/>
          <w:bCs/>
          <w:sz w:val="24"/>
        </w:rPr>
        <w:t>00140/TULTEPEC/IP/2022</w:t>
      </w:r>
      <w:r w:rsidR="00427401" w:rsidRPr="00395986">
        <w:rPr>
          <w:rFonts w:ascii="Palatino Linotype" w:eastAsiaTheme="minorEastAsia" w:hAnsi="Palatino Linotype"/>
          <w:b/>
          <w:sz w:val="24"/>
          <w:lang w:val="es-ES_tradnl" w:eastAsia="es-ES"/>
        </w:rPr>
        <w:t xml:space="preserve">, </w:t>
      </w:r>
      <w:r w:rsidR="00427401" w:rsidRPr="00395986">
        <w:rPr>
          <w:rFonts w:ascii="Palatino Linotype" w:eastAsia="Calibri" w:hAnsi="Palatino Linotype" w:cs="Arial"/>
          <w:sz w:val="24"/>
          <w:lang w:val="es-ES" w:eastAsia="es-ES"/>
        </w:rPr>
        <w:t>mediante la cual solicitó lo siguiente:</w:t>
      </w:r>
    </w:p>
    <w:p w14:paraId="09E53F5B" w14:textId="77777777" w:rsidR="00C11FF8" w:rsidRPr="00395986" w:rsidRDefault="00C11FF8" w:rsidP="00E95235">
      <w:pPr>
        <w:pStyle w:val="Prrafodelista"/>
        <w:spacing w:line="360" w:lineRule="auto"/>
        <w:ind w:left="0"/>
        <w:jc w:val="both"/>
        <w:rPr>
          <w:rFonts w:ascii="Palatino Linotype" w:hAnsi="Palatino Linotype" w:cs="Arial"/>
          <w:szCs w:val="22"/>
          <w:lang w:val="es-ES" w:eastAsia="es-ES"/>
        </w:rPr>
      </w:pPr>
    </w:p>
    <w:p w14:paraId="0FF82134" w14:textId="6E5C0470" w:rsidR="00DE6A5F" w:rsidRPr="00395986" w:rsidRDefault="00C11FF8" w:rsidP="00E95235">
      <w:pPr>
        <w:pStyle w:val="Prrafodelista"/>
        <w:spacing w:line="360" w:lineRule="auto"/>
        <w:ind w:right="567"/>
        <w:jc w:val="both"/>
        <w:rPr>
          <w:rFonts w:ascii="Palatino Linotype" w:hAnsi="Palatino Linotype"/>
          <w:i/>
          <w:color w:val="000000"/>
          <w:szCs w:val="22"/>
        </w:rPr>
      </w:pPr>
      <w:r w:rsidRPr="00395986">
        <w:rPr>
          <w:rFonts w:ascii="Palatino Linotype" w:hAnsi="Palatino Linotype"/>
          <w:i/>
          <w:color w:val="000000"/>
          <w:szCs w:val="22"/>
        </w:rPr>
        <w:t>“</w:t>
      </w:r>
      <w:r w:rsidR="002527E8" w:rsidRPr="00395986">
        <w:rPr>
          <w:rFonts w:ascii="Palatino Linotype" w:hAnsi="Palatino Linotype"/>
          <w:i/>
          <w:color w:val="000000"/>
          <w:szCs w:val="22"/>
        </w:rPr>
        <w:t>Versión pública del padrón de licencias de venta de alcohol que tenga en sus archivos el área de desarrollo económico, actualizado al 25 de junio de 2022. Se requiere la información por giro y ubicación de los negocios que tienen ese permiso, de acuerdo con los registros de esa área del ayuntamiento.</w:t>
      </w:r>
      <w:r w:rsidRPr="00395986">
        <w:rPr>
          <w:rFonts w:ascii="Palatino Linotype" w:hAnsi="Palatino Linotype"/>
          <w:i/>
          <w:color w:val="000000"/>
          <w:szCs w:val="22"/>
        </w:rPr>
        <w:t xml:space="preserve">” (Sic) </w:t>
      </w:r>
    </w:p>
    <w:p w14:paraId="79EB88C9" w14:textId="77777777" w:rsidR="002527E8" w:rsidRPr="00395986" w:rsidRDefault="002527E8" w:rsidP="00E95235">
      <w:pPr>
        <w:pStyle w:val="Prrafodelista"/>
        <w:spacing w:line="360" w:lineRule="auto"/>
        <w:ind w:right="567"/>
        <w:jc w:val="both"/>
        <w:rPr>
          <w:rFonts w:ascii="Palatino Linotype" w:hAnsi="Palatino Linotype"/>
          <w:i/>
          <w:color w:val="000000"/>
          <w:szCs w:val="22"/>
        </w:rPr>
      </w:pPr>
    </w:p>
    <w:p w14:paraId="5BEB8C9E" w14:textId="0F647D31" w:rsidR="002527E8" w:rsidRPr="00395986" w:rsidRDefault="002527E8" w:rsidP="00E95235">
      <w:pPr>
        <w:pStyle w:val="Prrafodelista"/>
        <w:numPr>
          <w:ilvl w:val="0"/>
          <w:numId w:val="13"/>
        </w:numPr>
        <w:spacing w:line="360" w:lineRule="auto"/>
        <w:ind w:left="0" w:firstLine="0"/>
        <w:jc w:val="both"/>
        <w:rPr>
          <w:rFonts w:ascii="Palatino Linotype" w:hAnsi="Palatino Linotype" w:cs="Arial"/>
          <w:sz w:val="24"/>
          <w:szCs w:val="22"/>
          <w:lang w:val="es-ES" w:eastAsia="es-ES"/>
        </w:rPr>
      </w:pPr>
      <w:r w:rsidRPr="00395986">
        <w:rPr>
          <w:rFonts w:ascii="Palatino Linotype" w:hAnsi="Palatino Linotype" w:cs="Arial"/>
          <w:sz w:val="24"/>
          <w:szCs w:val="22"/>
          <w:lang w:val="es-ES" w:eastAsia="es-ES"/>
        </w:rPr>
        <w:t>Se señaló como modalidad de entrega a través del Sistema de Acceso a la Información Mexiquense (SAIMEX).</w:t>
      </w:r>
    </w:p>
    <w:p w14:paraId="59CDA550" w14:textId="753BED6F" w:rsidR="00C11FF8" w:rsidRPr="00395986" w:rsidRDefault="00427401" w:rsidP="00E95235">
      <w:pPr>
        <w:pStyle w:val="Prrafodelista"/>
        <w:numPr>
          <w:ilvl w:val="0"/>
          <w:numId w:val="13"/>
        </w:numPr>
        <w:spacing w:line="360" w:lineRule="auto"/>
        <w:ind w:left="0" w:firstLine="0"/>
        <w:jc w:val="both"/>
        <w:rPr>
          <w:rFonts w:ascii="Palatino Linotype" w:hAnsi="Palatino Linotype" w:cs="Arial"/>
          <w:sz w:val="24"/>
          <w:szCs w:val="22"/>
          <w:lang w:val="es-ES" w:eastAsia="es-ES"/>
        </w:rPr>
      </w:pPr>
      <w:r w:rsidRPr="00395986">
        <w:rPr>
          <w:rFonts w:ascii="Palatino Linotype" w:eastAsiaTheme="minorEastAsia" w:hAnsi="Palatino Linotype"/>
          <w:sz w:val="24"/>
          <w:szCs w:val="22"/>
          <w:lang w:val="es-ES_tradnl" w:eastAsia="es-ES"/>
        </w:rPr>
        <w:lastRenderedPageBreak/>
        <w:t xml:space="preserve">El </w:t>
      </w:r>
      <w:r w:rsidR="002527E8" w:rsidRPr="00395986">
        <w:rPr>
          <w:rFonts w:ascii="Palatino Linotype" w:eastAsiaTheme="minorEastAsia" w:hAnsi="Palatino Linotype"/>
          <w:sz w:val="24"/>
          <w:szCs w:val="22"/>
          <w:lang w:val="es-ES_tradnl" w:eastAsia="es-ES"/>
        </w:rPr>
        <w:t xml:space="preserve">siete (07) de julio </w:t>
      </w:r>
      <w:r w:rsidR="00DE6A5F" w:rsidRPr="00395986">
        <w:rPr>
          <w:rFonts w:ascii="Palatino Linotype" w:eastAsiaTheme="minorEastAsia" w:hAnsi="Palatino Linotype"/>
          <w:sz w:val="24"/>
          <w:szCs w:val="22"/>
          <w:lang w:val="es-ES_tradnl" w:eastAsia="es-ES"/>
        </w:rPr>
        <w:t xml:space="preserve"> de dos mil veintidós</w:t>
      </w:r>
      <w:r w:rsidRPr="00395986">
        <w:rPr>
          <w:rFonts w:ascii="Palatino Linotype" w:eastAsiaTheme="minorEastAsia" w:hAnsi="Palatino Linotype"/>
          <w:sz w:val="24"/>
          <w:szCs w:val="22"/>
          <w:lang w:val="es-ES_tradnl" w:eastAsia="es-ES"/>
        </w:rPr>
        <w:t xml:space="preserve">, </w:t>
      </w:r>
      <w:r w:rsidRPr="00395986">
        <w:rPr>
          <w:rFonts w:ascii="Palatino Linotype" w:eastAsia="Calibri" w:hAnsi="Palatino Linotype"/>
          <w:sz w:val="24"/>
          <w:szCs w:val="22"/>
          <w:lang w:val="es-ES" w:eastAsia="es-ES"/>
        </w:rPr>
        <w:t xml:space="preserve">el </w:t>
      </w:r>
      <w:r w:rsidRPr="00395986">
        <w:rPr>
          <w:rFonts w:ascii="Palatino Linotype" w:eastAsia="Calibri" w:hAnsi="Palatino Linotype" w:cs="Arial"/>
          <w:b/>
          <w:sz w:val="24"/>
          <w:szCs w:val="22"/>
          <w:lang w:val="es-AR" w:eastAsia="es-ES"/>
        </w:rPr>
        <w:t>SUJETO OBLIGADO</w:t>
      </w:r>
      <w:r w:rsidRPr="00395986">
        <w:rPr>
          <w:rFonts w:ascii="Palatino Linotype" w:eastAsia="Calibri" w:hAnsi="Palatino Linotype" w:cs="Arial"/>
          <w:b/>
          <w:i/>
          <w:sz w:val="24"/>
          <w:szCs w:val="22"/>
          <w:lang w:val="es-AR" w:eastAsia="es-ES"/>
        </w:rPr>
        <w:t xml:space="preserve"> </w:t>
      </w:r>
      <w:r w:rsidRPr="00395986">
        <w:rPr>
          <w:rFonts w:ascii="Palatino Linotype" w:hAnsi="Palatino Linotype" w:cs="Arial"/>
          <w:sz w:val="24"/>
          <w:szCs w:val="22"/>
          <w:lang w:val="es-ES" w:eastAsia="es-ES"/>
        </w:rPr>
        <w:t xml:space="preserve">dio </w:t>
      </w:r>
      <w:r w:rsidR="009340FE" w:rsidRPr="00395986">
        <w:rPr>
          <w:rFonts w:ascii="Palatino Linotype" w:hAnsi="Palatino Linotype" w:cs="Arial"/>
          <w:sz w:val="24"/>
          <w:szCs w:val="22"/>
          <w:lang w:val="es-ES" w:eastAsia="es-ES"/>
        </w:rPr>
        <w:t>respuesta</w:t>
      </w:r>
      <w:r w:rsidRPr="00395986">
        <w:rPr>
          <w:rFonts w:ascii="Palatino Linotype" w:hAnsi="Palatino Linotype" w:cs="Arial"/>
          <w:sz w:val="24"/>
          <w:szCs w:val="22"/>
          <w:lang w:val="es-ES" w:eastAsia="es-ES"/>
        </w:rPr>
        <w:t xml:space="preserve"> a la solicitud de información en los siguientes términos:</w:t>
      </w:r>
    </w:p>
    <w:p w14:paraId="1710BB74" w14:textId="77777777" w:rsidR="002527E8" w:rsidRPr="00395986" w:rsidRDefault="002527E8" w:rsidP="002527E8">
      <w:pPr>
        <w:spacing w:line="360" w:lineRule="auto"/>
        <w:jc w:val="both"/>
        <w:rPr>
          <w:rFonts w:ascii="Palatino Linotype" w:hAnsi="Palatino Linotype" w:cs="Arial"/>
          <w:szCs w:val="22"/>
          <w:lang w:val="es-ES" w:eastAsia="es-ES"/>
        </w:rPr>
      </w:pPr>
    </w:p>
    <w:tbl>
      <w:tblPr>
        <w:tblW w:w="6816" w:type="dxa"/>
        <w:jc w:val="center"/>
        <w:tblCellSpacing w:w="0" w:type="dxa"/>
        <w:tblCellMar>
          <w:left w:w="0" w:type="dxa"/>
          <w:right w:w="0" w:type="dxa"/>
        </w:tblCellMar>
        <w:tblLook w:val="04A0" w:firstRow="1" w:lastRow="0" w:firstColumn="1" w:lastColumn="0" w:noHBand="0" w:noVBand="1"/>
      </w:tblPr>
      <w:tblGrid>
        <w:gridCol w:w="6816"/>
      </w:tblGrid>
      <w:tr w:rsidR="002527E8" w:rsidRPr="00395986" w14:paraId="2FE6990B" w14:textId="77777777" w:rsidTr="002527E8">
        <w:trPr>
          <w:trHeight w:val="319"/>
          <w:tblCellSpacing w:w="0" w:type="dxa"/>
          <w:jc w:val="center"/>
        </w:trPr>
        <w:tc>
          <w:tcPr>
            <w:tcW w:w="0" w:type="auto"/>
            <w:vAlign w:val="center"/>
            <w:hideMark/>
          </w:tcPr>
          <w:p w14:paraId="3CAC0FCA" w14:textId="29A4BA5F" w:rsidR="002527E8" w:rsidRPr="00395986" w:rsidRDefault="002527E8" w:rsidP="002527E8">
            <w:pPr>
              <w:jc w:val="right"/>
              <w:rPr>
                <w:rFonts w:ascii="Palatino Linotype" w:hAnsi="Palatino Linotype"/>
                <w:i/>
                <w:sz w:val="22"/>
                <w:lang w:val="es-ES" w:eastAsia="es-ES"/>
              </w:rPr>
            </w:pPr>
            <w:r w:rsidRPr="00395986">
              <w:rPr>
                <w:rFonts w:ascii="Palatino Linotype" w:hAnsi="Palatino Linotype"/>
                <w:i/>
                <w:sz w:val="22"/>
                <w:szCs w:val="18"/>
                <w:lang w:val="es-ES" w:eastAsia="es-ES"/>
              </w:rPr>
              <w:t>“Tultepec, México a 07 de Julio de 2022</w:t>
            </w:r>
          </w:p>
        </w:tc>
      </w:tr>
      <w:tr w:rsidR="002527E8" w:rsidRPr="00395986" w14:paraId="146014AE" w14:textId="77777777" w:rsidTr="002527E8">
        <w:trPr>
          <w:trHeight w:val="319"/>
          <w:tblCellSpacing w:w="0" w:type="dxa"/>
          <w:jc w:val="center"/>
        </w:trPr>
        <w:tc>
          <w:tcPr>
            <w:tcW w:w="0" w:type="auto"/>
            <w:vAlign w:val="center"/>
            <w:hideMark/>
          </w:tcPr>
          <w:p w14:paraId="3C89FA9C" w14:textId="77777777" w:rsidR="002527E8" w:rsidRPr="00395986" w:rsidRDefault="002527E8" w:rsidP="002527E8">
            <w:pPr>
              <w:jc w:val="right"/>
              <w:rPr>
                <w:rFonts w:ascii="Palatino Linotype" w:hAnsi="Palatino Linotype"/>
                <w:i/>
                <w:sz w:val="22"/>
                <w:lang w:val="es-ES" w:eastAsia="es-ES"/>
              </w:rPr>
            </w:pPr>
            <w:r w:rsidRPr="00395986">
              <w:rPr>
                <w:rFonts w:ascii="Palatino Linotype" w:hAnsi="Palatino Linotype"/>
                <w:i/>
                <w:sz w:val="22"/>
                <w:szCs w:val="18"/>
                <w:lang w:val="es-ES" w:eastAsia="es-ES"/>
              </w:rPr>
              <w:t>Nombre del solicitante: C. Solicitante</w:t>
            </w:r>
          </w:p>
        </w:tc>
      </w:tr>
      <w:tr w:rsidR="002527E8" w:rsidRPr="00395986" w14:paraId="17332CD0" w14:textId="77777777" w:rsidTr="002527E8">
        <w:trPr>
          <w:trHeight w:val="319"/>
          <w:tblCellSpacing w:w="0" w:type="dxa"/>
          <w:jc w:val="center"/>
        </w:trPr>
        <w:tc>
          <w:tcPr>
            <w:tcW w:w="0" w:type="auto"/>
            <w:vAlign w:val="center"/>
            <w:hideMark/>
          </w:tcPr>
          <w:p w14:paraId="4506212A" w14:textId="77777777" w:rsidR="002527E8" w:rsidRPr="00395986" w:rsidRDefault="002527E8" w:rsidP="002527E8">
            <w:pPr>
              <w:jc w:val="right"/>
              <w:rPr>
                <w:rFonts w:ascii="Palatino Linotype" w:hAnsi="Palatino Linotype"/>
                <w:i/>
                <w:sz w:val="22"/>
                <w:lang w:val="es-ES" w:eastAsia="es-ES"/>
              </w:rPr>
            </w:pPr>
            <w:r w:rsidRPr="00395986">
              <w:rPr>
                <w:rFonts w:ascii="Palatino Linotype" w:hAnsi="Palatino Linotype"/>
                <w:i/>
                <w:sz w:val="22"/>
                <w:szCs w:val="18"/>
                <w:lang w:val="es-ES" w:eastAsia="es-ES"/>
              </w:rPr>
              <w:t>Folio de la solicitud: 00140/TULTEPEC/IP/2022</w:t>
            </w:r>
          </w:p>
        </w:tc>
      </w:tr>
      <w:tr w:rsidR="002527E8" w:rsidRPr="00395986" w14:paraId="5422EDDE" w14:textId="77777777" w:rsidTr="002527E8">
        <w:trPr>
          <w:trHeight w:val="478"/>
          <w:tblCellSpacing w:w="0" w:type="dxa"/>
          <w:jc w:val="center"/>
        </w:trPr>
        <w:tc>
          <w:tcPr>
            <w:tcW w:w="0" w:type="auto"/>
            <w:vAlign w:val="center"/>
            <w:hideMark/>
          </w:tcPr>
          <w:p w14:paraId="214AF843" w14:textId="77777777" w:rsidR="002527E8" w:rsidRPr="00395986" w:rsidRDefault="002527E8" w:rsidP="002527E8">
            <w:pPr>
              <w:jc w:val="right"/>
              <w:rPr>
                <w:rFonts w:ascii="Palatino Linotype" w:hAnsi="Palatino Linotype"/>
                <w:i/>
                <w:sz w:val="22"/>
                <w:lang w:val="es-ES" w:eastAsia="es-ES"/>
              </w:rPr>
            </w:pPr>
          </w:p>
        </w:tc>
      </w:tr>
      <w:tr w:rsidR="002527E8" w:rsidRPr="00395986" w14:paraId="7F4381DF" w14:textId="77777777" w:rsidTr="002527E8">
        <w:trPr>
          <w:trHeight w:val="159"/>
          <w:tblCellSpacing w:w="0" w:type="dxa"/>
          <w:jc w:val="center"/>
        </w:trPr>
        <w:tc>
          <w:tcPr>
            <w:tcW w:w="0" w:type="auto"/>
            <w:vAlign w:val="center"/>
            <w:hideMark/>
          </w:tcPr>
          <w:p w14:paraId="5B0C3B15" w14:textId="77777777" w:rsidR="002527E8" w:rsidRPr="00395986" w:rsidRDefault="002527E8" w:rsidP="002527E8">
            <w:pPr>
              <w:jc w:val="center"/>
              <w:rPr>
                <w:rFonts w:ascii="Palatino Linotype" w:hAnsi="Palatino Linotype"/>
                <w:i/>
                <w:sz w:val="22"/>
                <w:szCs w:val="20"/>
                <w:lang w:val="es-ES" w:eastAsia="es-ES"/>
              </w:rPr>
            </w:pPr>
          </w:p>
        </w:tc>
      </w:tr>
      <w:tr w:rsidR="002527E8" w:rsidRPr="00395986" w14:paraId="5F1A02D9" w14:textId="77777777" w:rsidTr="002527E8">
        <w:trPr>
          <w:trHeight w:val="399"/>
          <w:tblCellSpacing w:w="0" w:type="dxa"/>
          <w:jc w:val="center"/>
        </w:trPr>
        <w:tc>
          <w:tcPr>
            <w:tcW w:w="0" w:type="auto"/>
            <w:vAlign w:val="center"/>
            <w:hideMark/>
          </w:tcPr>
          <w:p w14:paraId="5BDA41C5" w14:textId="77777777" w:rsidR="002527E8" w:rsidRPr="00395986" w:rsidRDefault="002527E8" w:rsidP="002527E8">
            <w:pPr>
              <w:rPr>
                <w:rFonts w:ascii="Palatino Linotype" w:hAnsi="Palatino Linotype"/>
                <w:i/>
                <w:sz w:val="22"/>
                <w:szCs w:val="20"/>
                <w:lang w:val="es-ES" w:eastAsia="es-ES"/>
              </w:rPr>
            </w:pPr>
          </w:p>
        </w:tc>
      </w:tr>
      <w:tr w:rsidR="002527E8" w:rsidRPr="00395986" w14:paraId="15D41521" w14:textId="77777777" w:rsidTr="002527E8">
        <w:trPr>
          <w:trHeight w:val="159"/>
          <w:tblCellSpacing w:w="0" w:type="dxa"/>
          <w:jc w:val="center"/>
        </w:trPr>
        <w:tc>
          <w:tcPr>
            <w:tcW w:w="0" w:type="auto"/>
            <w:vAlign w:val="center"/>
            <w:hideMark/>
          </w:tcPr>
          <w:p w14:paraId="03EC2856" w14:textId="77777777" w:rsidR="002527E8" w:rsidRPr="00395986" w:rsidRDefault="002527E8" w:rsidP="002527E8">
            <w:pPr>
              <w:rPr>
                <w:rFonts w:ascii="Palatino Linotype" w:hAnsi="Palatino Linotype"/>
                <w:i/>
                <w:sz w:val="22"/>
                <w:lang w:val="es-ES" w:eastAsia="es-ES"/>
              </w:rPr>
            </w:pPr>
            <w:r w:rsidRPr="00395986">
              <w:rPr>
                <w:rFonts w:ascii="Palatino Linotype" w:hAnsi="Palatino Linotype"/>
                <w:i/>
                <w:sz w:val="22"/>
                <w:szCs w:val="18"/>
                <w:lang w:val="es-ES" w:eastAsia="es-ES"/>
              </w:rPr>
              <w:t>Por medio de la presente y con la finalidad de garantizar su derecho de acceso a la información pública y cubrir satisfactoriamente su solicitud ingresada bajo el número de folio 00140/TULTEPEC/IP/2022, dando cumplimiento a lo establecido en el artículo 53, Fracciones II, V y VI de la Ley de Transparencia y Acceso a la Información Pública del Estado de México y Municipios, ANEXO ARCHIVO ELECTRONICO CON RESPUESTA. Sin otro particular quedo a sus órdenes. ATTE: LIC. Luis Fernando Hurtado Aduna. Encargado de despacho de la Unidad de Transparencia</w:t>
            </w:r>
          </w:p>
        </w:tc>
      </w:tr>
      <w:tr w:rsidR="002527E8" w:rsidRPr="00395986" w14:paraId="74219156" w14:textId="77777777" w:rsidTr="002527E8">
        <w:trPr>
          <w:trHeight w:val="399"/>
          <w:tblCellSpacing w:w="0" w:type="dxa"/>
          <w:jc w:val="center"/>
        </w:trPr>
        <w:tc>
          <w:tcPr>
            <w:tcW w:w="0" w:type="auto"/>
            <w:vAlign w:val="center"/>
            <w:hideMark/>
          </w:tcPr>
          <w:p w14:paraId="043B5B13" w14:textId="77777777" w:rsidR="002527E8" w:rsidRPr="00395986" w:rsidRDefault="002527E8" w:rsidP="002527E8">
            <w:pPr>
              <w:rPr>
                <w:rFonts w:ascii="Palatino Linotype" w:hAnsi="Palatino Linotype"/>
                <w:i/>
                <w:sz w:val="22"/>
                <w:lang w:val="es-ES" w:eastAsia="es-ES"/>
              </w:rPr>
            </w:pPr>
          </w:p>
        </w:tc>
      </w:tr>
      <w:tr w:rsidR="002527E8" w:rsidRPr="00395986" w14:paraId="6D71BBAF" w14:textId="77777777" w:rsidTr="002527E8">
        <w:trPr>
          <w:trHeight w:val="159"/>
          <w:tblCellSpacing w:w="0" w:type="dxa"/>
          <w:jc w:val="center"/>
        </w:trPr>
        <w:tc>
          <w:tcPr>
            <w:tcW w:w="0" w:type="auto"/>
            <w:vAlign w:val="center"/>
            <w:hideMark/>
          </w:tcPr>
          <w:p w14:paraId="46D17B3D" w14:textId="77777777" w:rsidR="002527E8" w:rsidRPr="00395986" w:rsidRDefault="002527E8" w:rsidP="002527E8">
            <w:pPr>
              <w:jc w:val="center"/>
              <w:rPr>
                <w:rFonts w:ascii="Palatino Linotype" w:hAnsi="Palatino Linotype"/>
                <w:i/>
                <w:sz w:val="22"/>
                <w:szCs w:val="20"/>
                <w:lang w:val="es-ES" w:eastAsia="es-ES"/>
              </w:rPr>
            </w:pPr>
          </w:p>
        </w:tc>
      </w:tr>
      <w:tr w:rsidR="002527E8" w:rsidRPr="00395986" w14:paraId="31B77498" w14:textId="77777777" w:rsidTr="002527E8">
        <w:trPr>
          <w:trHeight w:val="159"/>
          <w:tblCellSpacing w:w="0" w:type="dxa"/>
          <w:jc w:val="center"/>
        </w:trPr>
        <w:tc>
          <w:tcPr>
            <w:tcW w:w="0" w:type="auto"/>
            <w:vAlign w:val="center"/>
            <w:hideMark/>
          </w:tcPr>
          <w:p w14:paraId="3F3A1153" w14:textId="77777777" w:rsidR="002527E8" w:rsidRPr="00395986" w:rsidRDefault="002527E8" w:rsidP="002527E8">
            <w:pPr>
              <w:rPr>
                <w:rFonts w:ascii="Palatino Linotype" w:hAnsi="Palatino Linotype"/>
                <w:i/>
                <w:sz w:val="22"/>
                <w:szCs w:val="20"/>
                <w:lang w:val="es-ES" w:eastAsia="es-ES"/>
              </w:rPr>
            </w:pPr>
          </w:p>
        </w:tc>
      </w:tr>
      <w:tr w:rsidR="002527E8" w:rsidRPr="00395986" w14:paraId="466F43CD" w14:textId="77777777" w:rsidTr="002527E8">
        <w:trPr>
          <w:trHeight w:val="159"/>
          <w:tblCellSpacing w:w="0" w:type="dxa"/>
          <w:jc w:val="center"/>
        </w:trPr>
        <w:tc>
          <w:tcPr>
            <w:tcW w:w="0" w:type="auto"/>
            <w:vAlign w:val="center"/>
            <w:hideMark/>
          </w:tcPr>
          <w:p w14:paraId="6600C415" w14:textId="77777777" w:rsidR="002527E8" w:rsidRPr="00395986" w:rsidRDefault="002527E8" w:rsidP="002527E8">
            <w:pPr>
              <w:rPr>
                <w:rFonts w:ascii="Palatino Linotype" w:hAnsi="Palatino Linotype"/>
                <w:i/>
                <w:sz w:val="22"/>
                <w:lang w:val="es-ES" w:eastAsia="es-ES"/>
              </w:rPr>
            </w:pPr>
            <w:r w:rsidRPr="00395986">
              <w:rPr>
                <w:rFonts w:ascii="Palatino Linotype" w:hAnsi="Palatino Linotype"/>
                <w:i/>
                <w:sz w:val="22"/>
                <w:szCs w:val="18"/>
                <w:lang w:val="es-ES" w:eastAsia="es-ES"/>
              </w:rPr>
              <w:t>ATENTAMENTE</w:t>
            </w:r>
          </w:p>
        </w:tc>
      </w:tr>
      <w:tr w:rsidR="002527E8" w:rsidRPr="00395986" w14:paraId="62A1BA41" w14:textId="77777777" w:rsidTr="002527E8">
        <w:trPr>
          <w:trHeight w:val="239"/>
          <w:tblCellSpacing w:w="0" w:type="dxa"/>
          <w:jc w:val="center"/>
        </w:trPr>
        <w:tc>
          <w:tcPr>
            <w:tcW w:w="0" w:type="auto"/>
            <w:vAlign w:val="center"/>
            <w:hideMark/>
          </w:tcPr>
          <w:p w14:paraId="3588F813" w14:textId="77777777" w:rsidR="002527E8" w:rsidRPr="00395986" w:rsidRDefault="002527E8" w:rsidP="002527E8">
            <w:pPr>
              <w:rPr>
                <w:rFonts w:ascii="Palatino Linotype" w:hAnsi="Palatino Linotype"/>
                <w:i/>
                <w:sz w:val="22"/>
                <w:lang w:val="es-ES" w:eastAsia="es-ES"/>
              </w:rPr>
            </w:pPr>
          </w:p>
        </w:tc>
      </w:tr>
      <w:tr w:rsidR="002527E8" w:rsidRPr="00395986" w14:paraId="6ECA021B" w14:textId="77777777" w:rsidTr="002527E8">
        <w:trPr>
          <w:trHeight w:val="159"/>
          <w:tblCellSpacing w:w="0" w:type="dxa"/>
          <w:jc w:val="center"/>
        </w:trPr>
        <w:tc>
          <w:tcPr>
            <w:tcW w:w="0" w:type="auto"/>
            <w:vAlign w:val="center"/>
            <w:hideMark/>
          </w:tcPr>
          <w:p w14:paraId="71734925" w14:textId="376991AF" w:rsidR="002527E8" w:rsidRPr="00395986" w:rsidRDefault="002527E8" w:rsidP="002527E8">
            <w:pPr>
              <w:rPr>
                <w:rFonts w:ascii="Palatino Linotype" w:hAnsi="Palatino Linotype"/>
                <w:i/>
                <w:sz w:val="22"/>
                <w:lang w:val="es-ES" w:eastAsia="es-ES"/>
              </w:rPr>
            </w:pPr>
            <w:r w:rsidRPr="00395986">
              <w:rPr>
                <w:rFonts w:ascii="Palatino Linotype" w:hAnsi="Palatino Linotype"/>
                <w:i/>
                <w:sz w:val="22"/>
                <w:szCs w:val="18"/>
                <w:lang w:val="es-ES" w:eastAsia="es-ES"/>
              </w:rPr>
              <w:t>LUIS FERNANDO HURTADO ADUNA”</w:t>
            </w:r>
          </w:p>
        </w:tc>
      </w:tr>
    </w:tbl>
    <w:p w14:paraId="108CD863" w14:textId="77777777" w:rsidR="002527E8" w:rsidRPr="00395986" w:rsidRDefault="002527E8" w:rsidP="002527E8">
      <w:pPr>
        <w:spacing w:line="360" w:lineRule="auto"/>
        <w:jc w:val="both"/>
        <w:rPr>
          <w:rFonts w:ascii="Palatino Linotype" w:hAnsi="Palatino Linotype" w:cs="Arial"/>
          <w:szCs w:val="22"/>
          <w:lang w:val="es-ES" w:eastAsia="es-ES"/>
        </w:rPr>
      </w:pPr>
    </w:p>
    <w:p w14:paraId="4D3062B4" w14:textId="77777777" w:rsidR="002527E8" w:rsidRPr="00395986" w:rsidRDefault="002527E8" w:rsidP="00E95235">
      <w:pPr>
        <w:spacing w:line="360" w:lineRule="auto"/>
        <w:jc w:val="both"/>
        <w:rPr>
          <w:rFonts w:ascii="Palatino Linotype" w:hAnsi="Palatino Linotype" w:cs="Arial"/>
          <w:szCs w:val="22"/>
          <w:lang w:val="es-ES" w:eastAsia="es-ES"/>
        </w:rPr>
      </w:pPr>
      <w:r w:rsidRPr="00395986">
        <w:rPr>
          <w:rFonts w:ascii="Palatino Linotype" w:hAnsi="Palatino Linotype" w:cs="Arial"/>
          <w:szCs w:val="22"/>
          <w:lang w:val="es-ES" w:eastAsia="es-ES"/>
        </w:rPr>
        <w:t xml:space="preserve">Se adjuntó a la respuesta el archivo </w:t>
      </w:r>
      <w:hyperlink r:id="rId7" w:tgtFrame="_blank" w:history="1">
        <w:r w:rsidRPr="00395986">
          <w:rPr>
            <w:rStyle w:val="Hipervnculo"/>
            <w:rFonts w:ascii="Palatino Linotype" w:hAnsi="Palatino Linotype" w:cs="Arial"/>
            <w:b/>
            <w:bCs/>
            <w:szCs w:val="22"/>
            <w:lang w:eastAsia="es-ES"/>
          </w:rPr>
          <w:t>0140-TULTEPEC-IP-2022.zip</w:t>
        </w:r>
      </w:hyperlink>
      <w:r w:rsidRPr="00395986">
        <w:rPr>
          <w:rFonts w:ascii="Palatino Linotype" w:hAnsi="Palatino Linotype" w:cs="Arial"/>
          <w:szCs w:val="22"/>
          <w:lang w:val="es-ES" w:eastAsia="es-ES"/>
        </w:rPr>
        <w:t xml:space="preserve"> que consta de los documentos:</w:t>
      </w:r>
    </w:p>
    <w:p w14:paraId="6CEA0E6D" w14:textId="66880B59" w:rsidR="00DE6A5F" w:rsidRPr="00395986" w:rsidRDefault="002527E8" w:rsidP="002527E8">
      <w:pPr>
        <w:pStyle w:val="Prrafodelista"/>
        <w:numPr>
          <w:ilvl w:val="0"/>
          <w:numId w:val="14"/>
        </w:numPr>
        <w:spacing w:line="360" w:lineRule="auto"/>
        <w:jc w:val="both"/>
        <w:rPr>
          <w:rFonts w:ascii="Palatino Linotype" w:hAnsi="Palatino Linotype" w:cs="Arial"/>
          <w:szCs w:val="22"/>
          <w:lang w:val="es-ES" w:eastAsia="es-ES"/>
        </w:rPr>
      </w:pPr>
      <w:r w:rsidRPr="00395986">
        <w:rPr>
          <w:rFonts w:ascii="Palatino Linotype" w:hAnsi="Palatino Linotype" w:cs="Arial"/>
          <w:szCs w:val="22"/>
          <w:lang w:val="es-ES" w:eastAsia="es-ES"/>
        </w:rPr>
        <w:t>OFICIO EMITIDO A DESARROLLO ECONOMICO 014.pdf: oficio UT/289/JUNIO/2022 de fecha veintisiete de junio de dos mil veintidós, suscrito por la Titular de la Unidad de Transparencia</w:t>
      </w:r>
      <w:r w:rsidR="00AE4164" w:rsidRPr="00395986">
        <w:rPr>
          <w:rFonts w:ascii="Palatino Linotype" w:hAnsi="Palatino Linotype" w:cs="Arial"/>
          <w:szCs w:val="22"/>
          <w:lang w:val="es-ES" w:eastAsia="es-ES"/>
        </w:rPr>
        <w:t xml:space="preserve"> y dirigido al Director de Desarrollo Económico, mediante el cual solicitó dar contestación a la solicitud de información en el término de cinco días hábiles.</w:t>
      </w:r>
    </w:p>
    <w:p w14:paraId="340CB4FD" w14:textId="77777777" w:rsidR="00AE4164" w:rsidRPr="00395986" w:rsidRDefault="00AE4164" w:rsidP="00AE4164">
      <w:pPr>
        <w:pStyle w:val="Prrafodelista"/>
        <w:spacing w:line="360" w:lineRule="auto"/>
        <w:ind w:left="781"/>
        <w:jc w:val="both"/>
        <w:rPr>
          <w:rFonts w:ascii="Palatino Linotype" w:hAnsi="Palatino Linotype" w:cs="Arial"/>
          <w:szCs w:val="22"/>
          <w:lang w:val="es-ES" w:eastAsia="es-ES"/>
        </w:rPr>
      </w:pPr>
    </w:p>
    <w:p w14:paraId="4E3CEE31" w14:textId="7C6CD341" w:rsidR="002527E8" w:rsidRPr="00395986" w:rsidRDefault="002527E8" w:rsidP="002527E8">
      <w:pPr>
        <w:pStyle w:val="Prrafodelista"/>
        <w:numPr>
          <w:ilvl w:val="0"/>
          <w:numId w:val="14"/>
        </w:numPr>
        <w:spacing w:line="360" w:lineRule="auto"/>
        <w:jc w:val="both"/>
        <w:rPr>
          <w:rFonts w:ascii="Palatino Linotype" w:hAnsi="Palatino Linotype" w:cs="Arial"/>
          <w:szCs w:val="22"/>
          <w:lang w:val="es-ES" w:eastAsia="es-ES"/>
        </w:rPr>
      </w:pPr>
      <w:r w:rsidRPr="00395986">
        <w:rPr>
          <w:rFonts w:ascii="Palatino Linotype" w:hAnsi="Palatino Linotype" w:cs="Arial"/>
          <w:szCs w:val="22"/>
          <w:lang w:val="es-ES" w:eastAsia="es-ES"/>
        </w:rPr>
        <w:lastRenderedPageBreak/>
        <w:t xml:space="preserve">OFICIO RECIBIDO DE DESARROLLO ECONOMICO 0140.pdf: </w:t>
      </w:r>
      <w:r w:rsidR="00AE4164" w:rsidRPr="00395986">
        <w:rPr>
          <w:rFonts w:ascii="Palatino Linotype" w:hAnsi="Palatino Linotype" w:cs="Arial"/>
          <w:szCs w:val="22"/>
          <w:lang w:val="es-ES" w:eastAsia="es-ES"/>
        </w:rPr>
        <w:t xml:space="preserve">oficio DDE/150/2022, de fecha treinta de junio de dos mil veintidós, suscrito por el Director de Desarrollo Económico mediante el cual manifestó </w:t>
      </w:r>
      <w:r w:rsidR="00AE4164" w:rsidRPr="00395986">
        <w:rPr>
          <w:rFonts w:ascii="Palatino Linotype" w:hAnsi="Palatino Linotype" w:cs="Arial"/>
          <w:i/>
          <w:szCs w:val="22"/>
          <w:lang w:val="es-ES" w:eastAsia="es-ES"/>
        </w:rPr>
        <w:t>“…La información solicitada la puede consultar en la página oficial de ipomex (</w:t>
      </w:r>
      <w:hyperlink r:id="rId8" w:history="1">
        <w:r w:rsidR="00AE4164" w:rsidRPr="00395986">
          <w:rPr>
            <w:rStyle w:val="Hipervnculo"/>
            <w:rFonts w:ascii="Palatino Linotype" w:hAnsi="Palatino Linotype" w:cs="Arial"/>
            <w:i/>
            <w:szCs w:val="22"/>
            <w:lang w:val="es-ES" w:eastAsia="es-ES"/>
          </w:rPr>
          <w:t>https://www.ipomex.org.mx/tipo3/lgt/índice/TULTEPEC.web</w:t>
        </w:r>
      </w:hyperlink>
      <w:r w:rsidR="00AE4164" w:rsidRPr="00395986">
        <w:rPr>
          <w:rFonts w:ascii="Palatino Linotype" w:hAnsi="Palatino Linotype" w:cs="Arial"/>
          <w:i/>
          <w:szCs w:val="22"/>
          <w:lang w:val="es-ES" w:eastAsia="es-ES"/>
        </w:rPr>
        <w:t>)</w:t>
      </w:r>
      <w:r w:rsidR="005F7806" w:rsidRPr="00395986">
        <w:rPr>
          <w:rFonts w:ascii="Palatino Linotype" w:hAnsi="Palatino Linotype" w:cs="Arial"/>
          <w:i/>
          <w:szCs w:val="22"/>
          <w:lang w:val="es-ES" w:eastAsia="es-ES"/>
        </w:rPr>
        <w:t>”</w:t>
      </w:r>
      <w:r w:rsidR="00AE4164" w:rsidRPr="00395986">
        <w:rPr>
          <w:rFonts w:ascii="Palatino Linotype" w:hAnsi="Palatino Linotype" w:cs="Arial"/>
          <w:i/>
          <w:szCs w:val="22"/>
          <w:lang w:val="es-ES" w:eastAsia="es-ES"/>
        </w:rPr>
        <w:t>.</w:t>
      </w:r>
    </w:p>
    <w:p w14:paraId="3562A45A" w14:textId="77777777" w:rsidR="00C11FF8" w:rsidRPr="00395986" w:rsidRDefault="00C11FF8" w:rsidP="00E95235">
      <w:pPr>
        <w:spacing w:line="360" w:lineRule="auto"/>
        <w:jc w:val="both"/>
        <w:rPr>
          <w:rFonts w:ascii="Palatino Linotype" w:hAnsi="Palatino Linotype" w:cs="Arial"/>
          <w:szCs w:val="22"/>
          <w:lang w:val="es-ES" w:eastAsia="es-ES"/>
        </w:rPr>
      </w:pPr>
    </w:p>
    <w:p w14:paraId="58F029DA" w14:textId="370216FE" w:rsidR="00C11FF8" w:rsidRPr="00395986" w:rsidRDefault="00427401" w:rsidP="00E95235">
      <w:pPr>
        <w:pStyle w:val="Prrafodelista"/>
        <w:numPr>
          <w:ilvl w:val="0"/>
          <w:numId w:val="13"/>
        </w:numPr>
        <w:spacing w:line="360" w:lineRule="auto"/>
        <w:ind w:left="0" w:firstLine="0"/>
        <w:jc w:val="both"/>
        <w:rPr>
          <w:rFonts w:ascii="Palatino Linotype" w:hAnsi="Palatino Linotype" w:cs="Arial"/>
          <w:sz w:val="24"/>
          <w:szCs w:val="22"/>
          <w:lang w:val="es-ES" w:eastAsia="es-ES"/>
        </w:rPr>
      </w:pPr>
      <w:r w:rsidRPr="00395986">
        <w:rPr>
          <w:rFonts w:ascii="Palatino Linotype" w:eastAsia="Calibri" w:hAnsi="Palatino Linotype" w:cs="Arial"/>
          <w:sz w:val="24"/>
          <w:szCs w:val="22"/>
          <w:lang w:val="es-AR" w:eastAsia="es-ES"/>
        </w:rPr>
        <w:t xml:space="preserve">El </w:t>
      </w:r>
      <w:r w:rsidR="00AE4164" w:rsidRPr="00395986">
        <w:rPr>
          <w:rFonts w:ascii="Palatino Linotype" w:eastAsia="Calibri" w:hAnsi="Palatino Linotype" w:cs="Arial"/>
          <w:sz w:val="24"/>
          <w:szCs w:val="22"/>
          <w:lang w:val="es-AR" w:eastAsia="es-ES"/>
        </w:rPr>
        <w:t>seis (06) de agosto</w:t>
      </w:r>
      <w:r w:rsidR="00CA2D70" w:rsidRPr="00395986">
        <w:rPr>
          <w:rFonts w:ascii="Palatino Linotype" w:eastAsia="Calibri" w:hAnsi="Palatino Linotype" w:cs="Arial"/>
          <w:sz w:val="24"/>
          <w:szCs w:val="22"/>
          <w:lang w:val="es-AR" w:eastAsia="es-ES"/>
        </w:rPr>
        <w:t xml:space="preserve"> de dos mil veintidós</w:t>
      </w:r>
      <w:r w:rsidRPr="00395986">
        <w:rPr>
          <w:rFonts w:ascii="Palatino Linotype" w:hAnsi="Palatino Linotype" w:cs="Arial"/>
          <w:sz w:val="24"/>
          <w:szCs w:val="22"/>
          <w:lang w:val="es-ES" w:eastAsia="es-ES"/>
        </w:rPr>
        <w:t xml:space="preserve">, </w:t>
      </w:r>
      <w:r w:rsidRPr="00395986">
        <w:rPr>
          <w:rFonts w:ascii="Palatino Linotype" w:eastAsiaTheme="minorEastAsia" w:hAnsi="Palatino Linotype"/>
          <w:b/>
          <w:sz w:val="24"/>
          <w:szCs w:val="22"/>
          <w:lang w:val="es-ES_tradnl" w:eastAsia="es-ES"/>
        </w:rPr>
        <w:t>EL RECURRENTE</w:t>
      </w:r>
      <w:r w:rsidRPr="00395986">
        <w:rPr>
          <w:rFonts w:ascii="Palatino Linotype" w:hAnsi="Palatino Linotype" w:cs="Arial"/>
          <w:sz w:val="24"/>
          <w:szCs w:val="22"/>
          <w:lang w:val="es-ES" w:eastAsia="es-ES"/>
        </w:rPr>
        <w:t xml:space="preserve"> interpuso el recurso de revisión, en contra de la respuesta, señalando como:</w:t>
      </w:r>
    </w:p>
    <w:p w14:paraId="4F65B805" w14:textId="77777777" w:rsidR="00C11FF8" w:rsidRPr="00395986" w:rsidRDefault="00C11FF8" w:rsidP="00E95235">
      <w:pPr>
        <w:pStyle w:val="Prrafodelista"/>
        <w:spacing w:line="360" w:lineRule="auto"/>
        <w:ind w:left="0"/>
        <w:jc w:val="both"/>
        <w:rPr>
          <w:rFonts w:ascii="Palatino Linotype" w:hAnsi="Palatino Linotype" w:cs="Arial"/>
          <w:szCs w:val="22"/>
          <w:lang w:val="es-ES" w:eastAsia="es-ES"/>
        </w:rPr>
      </w:pPr>
    </w:p>
    <w:p w14:paraId="62DE2B07" w14:textId="41FE2C91" w:rsidR="00C11FF8" w:rsidRPr="00395986" w:rsidRDefault="00C11FF8" w:rsidP="00E95235">
      <w:pPr>
        <w:spacing w:line="360" w:lineRule="auto"/>
        <w:ind w:left="567" w:right="567"/>
        <w:contextualSpacing/>
        <w:jc w:val="both"/>
        <w:rPr>
          <w:rFonts w:ascii="Palatino Linotype" w:eastAsia="Calibri" w:hAnsi="Palatino Linotype" w:cs="Arial"/>
          <w:i/>
          <w:sz w:val="22"/>
          <w:szCs w:val="22"/>
          <w:lang w:val="es-ES" w:eastAsia="es-ES"/>
        </w:rPr>
      </w:pPr>
      <w:r w:rsidRPr="00395986">
        <w:rPr>
          <w:rFonts w:ascii="Palatino Linotype" w:eastAsiaTheme="minorEastAsia" w:hAnsi="Palatino Linotype"/>
          <w:b/>
          <w:sz w:val="22"/>
          <w:szCs w:val="22"/>
          <w:lang w:val="es-ES_tradnl" w:eastAsia="es-ES"/>
        </w:rPr>
        <w:t>Acto impugnado</w:t>
      </w:r>
      <w:r w:rsidRPr="00395986">
        <w:rPr>
          <w:rFonts w:ascii="Palatino Linotype" w:eastAsiaTheme="minorEastAsia" w:hAnsi="Palatino Linotype"/>
          <w:b/>
          <w:i/>
          <w:sz w:val="22"/>
          <w:szCs w:val="22"/>
          <w:lang w:val="es-ES_tradnl" w:eastAsia="es-ES"/>
        </w:rPr>
        <w:t>:</w:t>
      </w:r>
      <w:r w:rsidRPr="00395986">
        <w:rPr>
          <w:rFonts w:ascii="Palatino Linotype" w:hAnsi="Palatino Linotype"/>
          <w:i/>
          <w:color w:val="000000"/>
          <w:sz w:val="22"/>
          <w:szCs w:val="22"/>
        </w:rPr>
        <w:t xml:space="preserve"> “</w:t>
      </w:r>
      <w:r w:rsidR="004703E3" w:rsidRPr="00395986">
        <w:rPr>
          <w:rFonts w:ascii="Palatino Linotype" w:hAnsi="Palatino Linotype"/>
          <w:i/>
          <w:color w:val="000000"/>
          <w:sz w:val="22"/>
          <w:szCs w:val="22"/>
        </w:rPr>
        <w:t>Respuesta incompleta a la solicitud realizada.</w:t>
      </w:r>
      <w:r w:rsidR="00CA2D70" w:rsidRPr="00395986">
        <w:rPr>
          <w:rFonts w:ascii="Palatino Linotype" w:hAnsi="Palatino Linotype"/>
          <w:i/>
          <w:color w:val="000000"/>
          <w:sz w:val="22"/>
          <w:szCs w:val="22"/>
        </w:rPr>
        <w:t>" (Sic)</w:t>
      </w:r>
    </w:p>
    <w:p w14:paraId="00259BDD" w14:textId="77777777" w:rsidR="00C11FF8" w:rsidRPr="00395986" w:rsidRDefault="00C11FF8" w:rsidP="00E95235">
      <w:pPr>
        <w:spacing w:line="360" w:lineRule="auto"/>
        <w:ind w:left="567" w:right="567"/>
        <w:contextualSpacing/>
        <w:jc w:val="both"/>
        <w:rPr>
          <w:rFonts w:ascii="Palatino Linotype" w:eastAsia="Calibri" w:hAnsi="Palatino Linotype" w:cs="Arial"/>
          <w:sz w:val="22"/>
          <w:szCs w:val="22"/>
          <w:lang w:val="es-ES" w:eastAsia="es-ES"/>
        </w:rPr>
      </w:pPr>
    </w:p>
    <w:p w14:paraId="3DD92B7A" w14:textId="0A522385" w:rsidR="00C11FF8" w:rsidRPr="00395986" w:rsidRDefault="00C11FF8" w:rsidP="00E95235">
      <w:pPr>
        <w:spacing w:line="360" w:lineRule="auto"/>
        <w:ind w:left="567" w:right="567"/>
        <w:contextualSpacing/>
        <w:jc w:val="both"/>
        <w:rPr>
          <w:rFonts w:ascii="Palatino Linotype" w:hAnsi="Palatino Linotype"/>
          <w:i/>
          <w:color w:val="000000"/>
          <w:sz w:val="22"/>
          <w:szCs w:val="22"/>
        </w:rPr>
      </w:pPr>
      <w:r w:rsidRPr="00395986">
        <w:rPr>
          <w:rFonts w:ascii="Palatino Linotype" w:eastAsiaTheme="minorEastAsia" w:hAnsi="Palatino Linotype"/>
          <w:b/>
          <w:sz w:val="22"/>
          <w:szCs w:val="22"/>
          <w:lang w:val="es-ES_tradnl" w:eastAsia="es-ES"/>
        </w:rPr>
        <w:t>Razones o Motivos de inconformidad:</w:t>
      </w:r>
      <w:r w:rsidRPr="00395986">
        <w:rPr>
          <w:rFonts w:ascii="Palatino Linotype" w:eastAsiaTheme="majorEastAsia" w:hAnsi="Palatino Linotype" w:cstheme="majorBidi"/>
          <w:b/>
          <w:color w:val="2E74B5" w:themeColor="accent1" w:themeShade="BF"/>
          <w:sz w:val="22"/>
          <w:szCs w:val="22"/>
          <w:lang w:val="es-ES" w:eastAsia="es-ES"/>
        </w:rPr>
        <w:t xml:space="preserve"> </w:t>
      </w:r>
      <w:r w:rsidRPr="00395986">
        <w:rPr>
          <w:rFonts w:ascii="Palatino Linotype" w:eastAsiaTheme="majorEastAsia" w:hAnsi="Palatino Linotype" w:cstheme="majorBidi"/>
          <w:i/>
          <w:sz w:val="22"/>
          <w:szCs w:val="22"/>
          <w:lang w:val="es-ES" w:eastAsia="es-ES"/>
        </w:rPr>
        <w:t>“</w:t>
      </w:r>
      <w:r w:rsidR="004703E3" w:rsidRPr="00395986">
        <w:rPr>
          <w:rFonts w:ascii="Palatino Linotype" w:hAnsi="Palatino Linotype"/>
          <w:i/>
          <w:color w:val="000000"/>
          <w:sz w:val="22"/>
          <w:szCs w:val="22"/>
        </w:rPr>
        <w:t>El padron 2022 solicitado que la Direccion de Desarrollo Economico subió al IPOMEX carece de los nombres y apellidos de los titulares de licencias emitidas por su dirección, por lo que la respuesta ESTA INCOMPLETA y se solicita que el INFOEM garantice el acceso a la información mandatando que se entregue la información COMPLETA con nombres y apellidos. Adjunto capturas de pantalla y el documento en excel que ofreció como respuesta.</w:t>
      </w:r>
      <w:r w:rsidRPr="00395986">
        <w:rPr>
          <w:rFonts w:ascii="Palatino Linotype" w:hAnsi="Palatino Linotype"/>
          <w:i/>
          <w:color w:val="000000"/>
          <w:sz w:val="22"/>
          <w:szCs w:val="22"/>
        </w:rPr>
        <w:t>” (Sic).</w:t>
      </w:r>
    </w:p>
    <w:p w14:paraId="628ED807" w14:textId="77777777" w:rsidR="004E228C" w:rsidRPr="00395986" w:rsidRDefault="004E228C" w:rsidP="00E95235">
      <w:pPr>
        <w:spacing w:line="360" w:lineRule="auto"/>
        <w:ind w:left="567" w:right="567"/>
        <w:contextualSpacing/>
        <w:jc w:val="both"/>
        <w:rPr>
          <w:rFonts w:ascii="Palatino Linotype" w:hAnsi="Palatino Linotype"/>
          <w:i/>
          <w:color w:val="000000"/>
          <w:sz w:val="22"/>
          <w:szCs w:val="22"/>
        </w:rPr>
      </w:pPr>
    </w:p>
    <w:p w14:paraId="4C7FEC08" w14:textId="7575C24A" w:rsidR="004E228C" w:rsidRPr="00395986" w:rsidRDefault="004E228C" w:rsidP="00180811">
      <w:pPr>
        <w:spacing w:line="360" w:lineRule="auto"/>
        <w:ind w:right="567"/>
        <w:contextualSpacing/>
        <w:jc w:val="both"/>
        <w:rPr>
          <w:rFonts w:ascii="Palatino Linotype" w:eastAsiaTheme="minorEastAsia" w:hAnsi="Palatino Linotype"/>
          <w:b/>
          <w:sz w:val="22"/>
          <w:szCs w:val="22"/>
          <w:lang w:val="es-ES_tradnl" w:eastAsia="es-ES"/>
        </w:rPr>
      </w:pPr>
      <w:r w:rsidRPr="00395986">
        <w:rPr>
          <w:rFonts w:ascii="Palatino Linotype" w:eastAsiaTheme="minorEastAsia" w:hAnsi="Palatino Linotype"/>
          <w:b/>
          <w:sz w:val="22"/>
          <w:szCs w:val="22"/>
          <w:lang w:val="es-ES_tradnl" w:eastAsia="es-ES"/>
        </w:rPr>
        <w:t>Documentos adjunto a la interposición del recurso de revisión:</w:t>
      </w:r>
    </w:p>
    <w:p w14:paraId="36D607DF" w14:textId="1D1AEDF2" w:rsidR="0053267B" w:rsidRPr="00395986" w:rsidRDefault="00B1412B" w:rsidP="0053267B">
      <w:pPr>
        <w:numPr>
          <w:ilvl w:val="0"/>
          <w:numId w:val="15"/>
        </w:numPr>
        <w:spacing w:before="100" w:beforeAutospacing="1" w:after="100" w:afterAutospacing="1" w:line="360" w:lineRule="auto"/>
        <w:rPr>
          <w:rFonts w:ascii="Palatino Linotype" w:hAnsi="Palatino Linotype" w:cs="Arial"/>
          <w:sz w:val="22"/>
          <w:szCs w:val="22"/>
          <w:lang w:eastAsia="es-ES"/>
        </w:rPr>
      </w:pPr>
      <w:hyperlink r:id="rId9" w:tgtFrame="_blank" w:history="1">
        <w:r w:rsidR="004E228C" w:rsidRPr="00395986">
          <w:rPr>
            <w:rStyle w:val="Hipervnculo"/>
            <w:rFonts w:ascii="Palatino Linotype" w:hAnsi="Palatino Linotype" w:cs="Arial"/>
            <w:b/>
            <w:bCs/>
            <w:color w:val="auto"/>
            <w:sz w:val="22"/>
            <w:szCs w:val="22"/>
          </w:rPr>
          <w:t>info_Art92_32.xlsx</w:t>
        </w:r>
      </w:hyperlink>
      <w:r w:rsidR="004E228C" w:rsidRPr="00395986">
        <w:rPr>
          <w:rFonts w:ascii="Palatino Linotype" w:hAnsi="Palatino Linotype" w:cs="Arial"/>
          <w:sz w:val="22"/>
          <w:szCs w:val="22"/>
        </w:rPr>
        <w:t xml:space="preserve">: documento en formato Excel </w:t>
      </w:r>
      <w:r w:rsidR="0053267B" w:rsidRPr="00395986">
        <w:rPr>
          <w:rFonts w:ascii="Palatino Linotype" w:hAnsi="Palatino Linotype" w:cs="Arial"/>
          <w:sz w:val="22"/>
          <w:szCs w:val="22"/>
        </w:rPr>
        <w:t xml:space="preserve">donde consta información sobre las licencias de funcionamiento. </w:t>
      </w:r>
    </w:p>
    <w:p w14:paraId="0E031389" w14:textId="2EC41900" w:rsidR="004E228C" w:rsidRPr="00395986" w:rsidRDefault="00B1412B" w:rsidP="0053267B">
      <w:pPr>
        <w:numPr>
          <w:ilvl w:val="0"/>
          <w:numId w:val="15"/>
        </w:numPr>
        <w:spacing w:before="100" w:beforeAutospacing="1" w:after="100" w:afterAutospacing="1" w:line="360" w:lineRule="auto"/>
        <w:rPr>
          <w:rFonts w:ascii="Palatino Linotype" w:hAnsi="Palatino Linotype" w:cs="Arial"/>
          <w:sz w:val="22"/>
          <w:szCs w:val="22"/>
          <w:lang w:eastAsia="es-ES"/>
        </w:rPr>
      </w:pPr>
      <w:hyperlink r:id="rId10" w:tgtFrame="_blank" w:history="1">
        <w:r w:rsidR="004E228C" w:rsidRPr="00395986">
          <w:rPr>
            <w:rStyle w:val="Hipervnculo"/>
            <w:rFonts w:ascii="Palatino Linotype" w:hAnsi="Palatino Linotype" w:cs="Arial"/>
            <w:b/>
            <w:bCs/>
            <w:color w:val="auto"/>
            <w:sz w:val="22"/>
            <w:szCs w:val="22"/>
          </w:rPr>
          <w:t>NOMBRES 322.jpg</w:t>
        </w:r>
      </w:hyperlink>
      <w:r w:rsidR="004E228C" w:rsidRPr="00395986">
        <w:rPr>
          <w:rFonts w:ascii="Palatino Linotype" w:hAnsi="Palatino Linotype" w:cs="Arial"/>
          <w:sz w:val="22"/>
          <w:szCs w:val="22"/>
        </w:rPr>
        <w:t xml:space="preserve">: </w:t>
      </w:r>
      <w:r w:rsidR="0053267B" w:rsidRPr="00395986">
        <w:rPr>
          <w:rFonts w:ascii="Palatino Linotype" w:hAnsi="Palatino Linotype" w:cs="Arial"/>
          <w:sz w:val="22"/>
          <w:szCs w:val="22"/>
        </w:rPr>
        <w:t xml:space="preserve">imagen de la página de información de oficio mexiquense de Tultepec, del apartado de las concesiones, contratos, convenios, permisos, licencias o autorizaciones otorgados. </w:t>
      </w:r>
    </w:p>
    <w:p w14:paraId="1D027EAE" w14:textId="77777777" w:rsidR="004E228C" w:rsidRPr="00395986" w:rsidRDefault="004E228C" w:rsidP="00180811">
      <w:pPr>
        <w:spacing w:line="360" w:lineRule="auto"/>
        <w:ind w:right="567"/>
        <w:contextualSpacing/>
        <w:jc w:val="both"/>
        <w:rPr>
          <w:rFonts w:ascii="Palatino Linotype" w:eastAsiaTheme="minorEastAsia" w:hAnsi="Palatino Linotype"/>
          <w:b/>
          <w:sz w:val="22"/>
          <w:szCs w:val="22"/>
          <w:lang w:val="es-ES_tradnl" w:eastAsia="es-ES"/>
        </w:rPr>
      </w:pPr>
    </w:p>
    <w:p w14:paraId="78BFCF31" w14:textId="77777777" w:rsidR="00C11FF8" w:rsidRPr="00395986" w:rsidRDefault="00C11FF8" w:rsidP="00E95235">
      <w:pPr>
        <w:spacing w:line="360" w:lineRule="auto"/>
        <w:jc w:val="both"/>
        <w:rPr>
          <w:rFonts w:ascii="Palatino Linotype" w:hAnsi="Palatino Linotype" w:cs="Arial"/>
          <w:szCs w:val="22"/>
          <w:lang w:val="es-ES" w:eastAsia="es-ES"/>
        </w:rPr>
      </w:pPr>
    </w:p>
    <w:p w14:paraId="737C61CE" w14:textId="77777777" w:rsidR="00C11FF8" w:rsidRPr="00395986" w:rsidRDefault="00427401" w:rsidP="00E95235">
      <w:pPr>
        <w:pStyle w:val="Prrafodelista"/>
        <w:numPr>
          <w:ilvl w:val="0"/>
          <w:numId w:val="13"/>
        </w:numPr>
        <w:spacing w:line="360" w:lineRule="auto"/>
        <w:ind w:left="0" w:firstLine="0"/>
        <w:jc w:val="both"/>
        <w:rPr>
          <w:rFonts w:ascii="Palatino Linotype" w:hAnsi="Palatino Linotype" w:cs="Arial"/>
          <w:sz w:val="24"/>
          <w:szCs w:val="22"/>
          <w:lang w:val="es-ES" w:eastAsia="es-ES"/>
        </w:rPr>
      </w:pPr>
      <w:r w:rsidRPr="00395986">
        <w:rPr>
          <w:rFonts w:ascii="Palatino Linotype" w:hAnsi="Palatino Linotype" w:cs="Arial"/>
          <w:sz w:val="24"/>
          <w:lang w:val="es-ES" w:eastAsia="es-ES"/>
        </w:rPr>
        <w:lastRenderedPageBreak/>
        <w:t xml:space="preserve">Se registró el recurso de revisión bajo el número de expediente </w:t>
      </w:r>
      <w:r w:rsidRPr="00395986">
        <w:rPr>
          <w:rFonts w:ascii="Palatino Linotype" w:eastAsiaTheme="minorEastAsia" w:hAnsi="Palatino Linotype" w:cs="Arial"/>
          <w:bCs/>
          <w:sz w:val="24"/>
          <w:lang w:val="es-ES_tradnl" w:eastAsia="es-ES"/>
        </w:rPr>
        <w:t xml:space="preserve">al rubro indicado, asimismo con fundamento en lo dispuesto por el </w:t>
      </w:r>
      <w:r w:rsidRPr="00395986">
        <w:rPr>
          <w:rFonts w:ascii="Palatino Linotype" w:eastAsia="Calibri" w:hAnsi="Palatino Linotype" w:cs="Arial"/>
          <w:sz w:val="24"/>
          <w:lang w:val="es-ES" w:eastAsia="es-ES"/>
        </w:rPr>
        <w:t xml:space="preserve">artículo 185 fracción I de la </w:t>
      </w:r>
      <w:r w:rsidRPr="00395986">
        <w:rPr>
          <w:rFonts w:ascii="Palatino Linotype" w:eastAsia="Calibri" w:hAnsi="Palatino Linotype" w:cs="Arial"/>
          <w:b/>
          <w:sz w:val="24"/>
          <w:lang w:val="es-ES" w:eastAsia="es-ES"/>
        </w:rPr>
        <w:t xml:space="preserve">Ley de Transparencia y Acceso a la Información Pública del Estado de México y Municipios </w:t>
      </w:r>
      <w:r w:rsidRPr="00395986">
        <w:rPr>
          <w:rFonts w:ascii="Palatino Linotype" w:hAnsi="Palatino Linotype" w:cs="Arial"/>
          <w:sz w:val="24"/>
          <w:lang w:val="es-ES" w:eastAsia="es-ES"/>
        </w:rPr>
        <w:t>se turnó a</w:t>
      </w:r>
      <w:r w:rsidR="004C365C" w:rsidRPr="00395986">
        <w:rPr>
          <w:rFonts w:ascii="Palatino Linotype" w:hAnsi="Palatino Linotype" w:cs="Arial"/>
          <w:sz w:val="24"/>
          <w:lang w:val="es-ES" w:eastAsia="es-ES"/>
        </w:rPr>
        <w:t xml:space="preserve"> </w:t>
      </w:r>
      <w:r w:rsidRPr="00395986">
        <w:rPr>
          <w:rFonts w:ascii="Palatino Linotype" w:hAnsi="Palatino Linotype" w:cs="Arial"/>
          <w:sz w:val="24"/>
          <w:lang w:val="es-ES" w:eastAsia="es-ES"/>
        </w:rPr>
        <w:t>l</w:t>
      </w:r>
      <w:r w:rsidR="004C365C" w:rsidRPr="00395986">
        <w:rPr>
          <w:rFonts w:ascii="Palatino Linotype" w:hAnsi="Palatino Linotype" w:cs="Arial"/>
          <w:sz w:val="24"/>
          <w:lang w:val="es-ES" w:eastAsia="es-ES"/>
        </w:rPr>
        <w:t>a</w:t>
      </w:r>
      <w:r w:rsidRPr="00395986">
        <w:rPr>
          <w:rFonts w:ascii="Palatino Linotype" w:hAnsi="Palatino Linotype" w:cs="Arial"/>
          <w:sz w:val="24"/>
          <w:lang w:val="es-ES" w:eastAsia="es-ES"/>
        </w:rPr>
        <w:t xml:space="preserve"> </w:t>
      </w:r>
      <w:r w:rsidR="004C365C" w:rsidRPr="00395986">
        <w:rPr>
          <w:rFonts w:ascii="Palatino Linotype" w:hAnsi="Palatino Linotype" w:cs="Arial"/>
          <w:b/>
          <w:sz w:val="24"/>
          <w:lang w:val="es-ES" w:eastAsia="es-ES"/>
        </w:rPr>
        <w:t>Comisionada María del Rosario Mejía Ayala</w:t>
      </w:r>
      <w:r w:rsidRPr="00395986">
        <w:rPr>
          <w:rFonts w:ascii="Palatino Linotype" w:hAnsi="Palatino Linotype" w:cs="Arial"/>
          <w:b/>
          <w:sz w:val="24"/>
          <w:lang w:val="es-ES" w:eastAsia="es-ES"/>
        </w:rPr>
        <w:t xml:space="preserve">, </w:t>
      </w:r>
      <w:r w:rsidRPr="00395986">
        <w:rPr>
          <w:rFonts w:ascii="Palatino Linotype" w:hAnsi="Palatino Linotype" w:cs="Arial"/>
          <w:sz w:val="24"/>
          <w:lang w:val="es-ES" w:eastAsia="es-ES"/>
        </w:rPr>
        <w:t xml:space="preserve">con el objeto de </w:t>
      </w:r>
      <w:r w:rsidRPr="00395986">
        <w:rPr>
          <w:rFonts w:ascii="Palatino Linotype" w:hAnsi="Palatino Linotype" w:cs="Arial"/>
          <w:sz w:val="24"/>
          <w:lang w:eastAsia="es-ES"/>
        </w:rPr>
        <w:t xml:space="preserve">su análisis. </w:t>
      </w:r>
    </w:p>
    <w:p w14:paraId="58EDE4F4" w14:textId="77777777" w:rsidR="00C11FF8" w:rsidRPr="00395986" w:rsidRDefault="00C11FF8" w:rsidP="00E95235">
      <w:pPr>
        <w:pStyle w:val="Prrafodelista"/>
        <w:spacing w:line="360" w:lineRule="auto"/>
        <w:ind w:left="0"/>
        <w:jc w:val="both"/>
        <w:rPr>
          <w:rFonts w:ascii="Palatino Linotype" w:hAnsi="Palatino Linotype" w:cs="Arial"/>
          <w:sz w:val="24"/>
          <w:szCs w:val="22"/>
          <w:lang w:val="es-ES" w:eastAsia="es-ES"/>
        </w:rPr>
      </w:pPr>
    </w:p>
    <w:p w14:paraId="579F71E1" w14:textId="02CAB57B" w:rsidR="00C11FF8" w:rsidRPr="00395986" w:rsidRDefault="00427401" w:rsidP="00E95235">
      <w:pPr>
        <w:pStyle w:val="Prrafodelista"/>
        <w:numPr>
          <w:ilvl w:val="0"/>
          <w:numId w:val="13"/>
        </w:numPr>
        <w:spacing w:line="360" w:lineRule="auto"/>
        <w:ind w:left="0" w:firstLine="0"/>
        <w:jc w:val="both"/>
        <w:rPr>
          <w:rFonts w:ascii="Palatino Linotype" w:hAnsi="Palatino Linotype" w:cs="Arial"/>
          <w:sz w:val="24"/>
          <w:szCs w:val="22"/>
          <w:lang w:val="es-ES" w:eastAsia="es-ES"/>
        </w:rPr>
      </w:pPr>
      <w:r w:rsidRPr="00395986">
        <w:rPr>
          <w:rFonts w:ascii="Palatino Linotype" w:eastAsia="Calibri" w:hAnsi="Palatino Linotype" w:cs="Arial"/>
          <w:sz w:val="24"/>
          <w:lang w:val="es-ES" w:eastAsia="es-ES"/>
        </w:rPr>
        <w:t xml:space="preserve">El Comisionado Ponente con fundamento en lo dispuesto por el artículo 185 fracción II de la ley de la materia, a través del acuerdo de admisión de </w:t>
      </w:r>
      <w:r w:rsidR="00CA2D70" w:rsidRPr="00395986">
        <w:rPr>
          <w:rFonts w:ascii="Palatino Linotype" w:eastAsia="Calibri" w:hAnsi="Palatino Linotype" w:cs="Arial"/>
          <w:sz w:val="24"/>
          <w:lang w:val="es-ES" w:eastAsia="es-ES"/>
        </w:rPr>
        <w:t xml:space="preserve">fecha </w:t>
      </w:r>
      <w:r w:rsidR="004703E3" w:rsidRPr="00395986">
        <w:rPr>
          <w:rFonts w:ascii="Palatino Linotype" w:eastAsia="Calibri" w:hAnsi="Palatino Linotype" w:cs="Arial"/>
          <w:sz w:val="24"/>
          <w:lang w:val="es-ES" w:eastAsia="es-ES"/>
        </w:rPr>
        <w:t xml:space="preserve">once (11) de agosto </w:t>
      </w:r>
      <w:r w:rsidR="00CA2D70" w:rsidRPr="00395986">
        <w:rPr>
          <w:rFonts w:ascii="Palatino Linotype" w:eastAsia="Calibri" w:hAnsi="Palatino Linotype" w:cs="Arial"/>
          <w:sz w:val="24"/>
          <w:lang w:val="es-ES" w:eastAsia="es-ES"/>
        </w:rPr>
        <w:t xml:space="preserve"> de dos mil veintidós</w:t>
      </w:r>
      <w:r w:rsidRPr="00395986">
        <w:rPr>
          <w:rFonts w:ascii="Palatino Linotype" w:eastAsia="Calibri" w:hAnsi="Palatino Linotype" w:cs="Arial"/>
          <w:sz w:val="24"/>
          <w:lang w:val="es-ES" w:eastAsia="es-ES"/>
        </w:rPr>
        <w:t xml:space="preserve">, puso a disposición de las partes el expediente electrónico </w:t>
      </w:r>
      <w:r w:rsidRPr="00395986">
        <w:rPr>
          <w:rFonts w:ascii="Palatino Linotype" w:eastAsia="Calibri" w:hAnsi="Palatino Linotype" w:cs="Arial"/>
          <w:sz w:val="24"/>
          <w:lang w:val="es-ES_tradnl" w:eastAsia="es-ES"/>
        </w:rPr>
        <w:t xml:space="preserve">vía </w:t>
      </w:r>
      <w:r w:rsidRPr="00395986">
        <w:rPr>
          <w:rFonts w:ascii="Palatino Linotype" w:eastAsia="Calibri" w:hAnsi="Palatino Linotype" w:cs="Arial"/>
          <w:b/>
          <w:sz w:val="24"/>
          <w:lang w:val="es-ES" w:eastAsia="es-ES"/>
        </w:rPr>
        <w:t xml:space="preserve">SAIMEX </w:t>
      </w:r>
      <w:r w:rsidRPr="00395986">
        <w:rPr>
          <w:rFonts w:ascii="Palatino Linotype" w:eastAsia="Calibri" w:hAnsi="Palatino Linotype" w:cs="Arial"/>
          <w:sz w:val="24"/>
          <w:lang w:val="es-ES" w:eastAsia="es-ES"/>
        </w:rPr>
        <w:t xml:space="preserve">a efecto de que en un plazo máximo de siete días manifestaran lo que a derecho convinieran, ofrecieran pruebas y alegatos según corresponda al caso concreto, de esta forma para que el </w:t>
      </w:r>
      <w:r w:rsidRPr="00395986">
        <w:rPr>
          <w:rFonts w:ascii="Palatino Linotype" w:eastAsia="Calibri" w:hAnsi="Palatino Linotype" w:cs="Arial"/>
          <w:b/>
          <w:sz w:val="24"/>
          <w:lang w:val="es-ES" w:eastAsia="es-ES"/>
        </w:rPr>
        <w:t>SUJETO OBLIGADO</w:t>
      </w:r>
      <w:r w:rsidRPr="00395986">
        <w:rPr>
          <w:rFonts w:ascii="Palatino Linotype" w:eastAsia="Calibri" w:hAnsi="Palatino Linotype" w:cs="Arial"/>
          <w:sz w:val="24"/>
          <w:lang w:val="es-ES" w:eastAsia="es-ES"/>
        </w:rPr>
        <w:t xml:space="preserve"> presentara el informe justificado procedente. De las constancias que obran en el expediente electrónico SAIMEX el partic</w:t>
      </w:r>
      <w:r w:rsidR="004703E3" w:rsidRPr="00395986">
        <w:rPr>
          <w:rFonts w:ascii="Palatino Linotype" w:eastAsia="Calibri" w:hAnsi="Palatino Linotype" w:cs="Arial"/>
          <w:sz w:val="24"/>
          <w:lang w:val="es-ES" w:eastAsia="es-ES"/>
        </w:rPr>
        <w:t xml:space="preserve">ular no realizó manifestaciones, por su parte, el Sujeto Obligado no remitió informe justificado. </w:t>
      </w:r>
    </w:p>
    <w:p w14:paraId="3AC558C1" w14:textId="77777777" w:rsidR="00C11FF8" w:rsidRPr="00395986" w:rsidRDefault="00C11FF8" w:rsidP="00E95235">
      <w:pPr>
        <w:pStyle w:val="Prrafodelista"/>
        <w:spacing w:line="360" w:lineRule="auto"/>
        <w:ind w:left="0"/>
        <w:jc w:val="both"/>
        <w:rPr>
          <w:rFonts w:ascii="Palatino Linotype" w:hAnsi="Palatino Linotype" w:cs="Arial"/>
          <w:sz w:val="24"/>
          <w:szCs w:val="22"/>
          <w:lang w:val="es-ES" w:eastAsia="es-ES"/>
        </w:rPr>
      </w:pPr>
    </w:p>
    <w:p w14:paraId="61765E83" w14:textId="7918B1B3" w:rsidR="00C07594" w:rsidRPr="00395986" w:rsidRDefault="00427401" w:rsidP="00E95235">
      <w:pPr>
        <w:pStyle w:val="Prrafodelista"/>
        <w:numPr>
          <w:ilvl w:val="0"/>
          <w:numId w:val="13"/>
        </w:numPr>
        <w:spacing w:line="360" w:lineRule="auto"/>
        <w:ind w:left="0" w:firstLine="0"/>
        <w:jc w:val="both"/>
        <w:rPr>
          <w:rFonts w:ascii="Palatino Linotype" w:hAnsi="Palatino Linotype" w:cs="Arial"/>
          <w:sz w:val="24"/>
          <w:szCs w:val="22"/>
          <w:lang w:val="es-ES" w:eastAsia="es-ES"/>
        </w:rPr>
      </w:pPr>
      <w:r w:rsidRPr="00395986">
        <w:rPr>
          <w:rFonts w:ascii="Palatino Linotype" w:eastAsiaTheme="minorEastAsia" w:hAnsi="Palatino Linotype"/>
          <w:sz w:val="24"/>
          <w:lang w:val="es-ES_tradnl" w:eastAsia="es-ES"/>
        </w:rPr>
        <w:t>El Comisionado Ponente decretó el cierre de instrucción</w:t>
      </w:r>
      <w:r w:rsidRPr="00395986">
        <w:rPr>
          <w:rFonts w:ascii="Palatino Linotype" w:eastAsiaTheme="minorEastAsia" w:hAnsi="Palatino Linotype" w:cs="Arial"/>
          <w:sz w:val="24"/>
          <w:lang w:val="es-ES_tradnl" w:eastAsia="es-ES"/>
        </w:rPr>
        <w:t xml:space="preserve"> </w:t>
      </w:r>
      <w:r w:rsidRPr="00395986">
        <w:rPr>
          <w:rFonts w:ascii="Palatino Linotype" w:eastAsiaTheme="minorEastAsia" w:hAnsi="Palatino Linotype"/>
          <w:sz w:val="24"/>
          <w:lang w:val="es-ES_tradnl" w:eastAsia="es-ES"/>
        </w:rPr>
        <w:t xml:space="preserve">mediante el acuerdo de fecha </w:t>
      </w:r>
      <w:r w:rsidR="005F7806" w:rsidRPr="00395986">
        <w:rPr>
          <w:rFonts w:ascii="Palatino Linotype" w:eastAsiaTheme="minorEastAsia" w:hAnsi="Palatino Linotype"/>
          <w:sz w:val="24"/>
          <w:lang w:val="es-ES_tradnl" w:eastAsia="es-ES"/>
        </w:rPr>
        <w:t>cinco (05</w:t>
      </w:r>
      <w:r w:rsidR="00C007A1" w:rsidRPr="00395986">
        <w:rPr>
          <w:rFonts w:ascii="Palatino Linotype" w:eastAsiaTheme="minorEastAsia" w:hAnsi="Palatino Linotype"/>
          <w:sz w:val="24"/>
          <w:lang w:val="es-ES_tradnl" w:eastAsia="es-ES"/>
        </w:rPr>
        <w:t xml:space="preserve">) de septiembre de dos mil veintidós. </w:t>
      </w:r>
    </w:p>
    <w:p w14:paraId="55A6D1EE" w14:textId="77777777" w:rsidR="00C07594" w:rsidRPr="00395986" w:rsidRDefault="00C07594" w:rsidP="00E95235">
      <w:pPr>
        <w:pStyle w:val="Prrafodelista"/>
        <w:spacing w:line="360" w:lineRule="auto"/>
        <w:ind w:left="0"/>
        <w:jc w:val="both"/>
        <w:rPr>
          <w:rFonts w:ascii="Palatino Linotype" w:hAnsi="Palatino Linotype" w:cs="Arial"/>
          <w:sz w:val="24"/>
          <w:szCs w:val="22"/>
          <w:lang w:val="es-ES" w:eastAsia="es-ES"/>
        </w:rPr>
      </w:pPr>
    </w:p>
    <w:p w14:paraId="0F37AA3D" w14:textId="3F56F01C" w:rsidR="00C07594" w:rsidRPr="00395986" w:rsidRDefault="005F7806" w:rsidP="00E95235">
      <w:pPr>
        <w:pStyle w:val="Prrafodelista"/>
        <w:numPr>
          <w:ilvl w:val="0"/>
          <w:numId w:val="13"/>
        </w:numPr>
        <w:spacing w:line="360" w:lineRule="auto"/>
        <w:ind w:left="0" w:firstLine="0"/>
        <w:jc w:val="both"/>
        <w:rPr>
          <w:rFonts w:ascii="Palatino Linotype" w:hAnsi="Palatino Linotype" w:cs="Arial"/>
          <w:sz w:val="24"/>
          <w:szCs w:val="22"/>
          <w:lang w:val="es-ES" w:eastAsia="es-ES"/>
        </w:rPr>
      </w:pPr>
      <w:r w:rsidRPr="00395986">
        <w:rPr>
          <w:rFonts w:ascii="Palatino Linotype" w:eastAsia="Calibri" w:hAnsi="Palatino Linotype" w:cs="Arial"/>
          <w:sz w:val="24"/>
          <w:lang w:val="es-ES"/>
        </w:rPr>
        <w:t>El veintiocho (28</w:t>
      </w:r>
      <w:r w:rsidR="00C07594" w:rsidRPr="00395986">
        <w:rPr>
          <w:rFonts w:ascii="Palatino Linotype" w:eastAsia="Calibri" w:hAnsi="Palatino Linotype" w:cs="Arial"/>
          <w:sz w:val="24"/>
          <w:lang w:val="es-ES"/>
        </w:rPr>
        <w:t>) de septiembre  de dos mil veintidós, se notificó mediante acuerdo que el plazo para resolver el recurso de revisión, se ampliaría por un periodo de quince días hábiles.</w:t>
      </w:r>
    </w:p>
    <w:p w14:paraId="6F659611" w14:textId="77777777" w:rsidR="0024149B" w:rsidRPr="00395986" w:rsidRDefault="0024149B" w:rsidP="00E95235">
      <w:pPr>
        <w:spacing w:line="360" w:lineRule="auto"/>
        <w:jc w:val="center"/>
        <w:rPr>
          <w:rFonts w:ascii="Palatino Linotype" w:hAnsi="Palatino Linotype" w:cs="Arial"/>
          <w:szCs w:val="22"/>
          <w:lang w:val="es-ES" w:eastAsia="es-ES"/>
        </w:rPr>
      </w:pPr>
    </w:p>
    <w:p w14:paraId="5FE457B7" w14:textId="77777777" w:rsidR="00E95235" w:rsidRPr="00395986" w:rsidRDefault="00E95235" w:rsidP="00E95235">
      <w:pPr>
        <w:spacing w:line="360" w:lineRule="auto"/>
        <w:jc w:val="center"/>
        <w:rPr>
          <w:rFonts w:ascii="Palatino Linotype" w:hAnsi="Palatino Linotype" w:cs="Arial"/>
          <w:szCs w:val="22"/>
          <w:lang w:val="es-ES" w:eastAsia="es-ES"/>
        </w:rPr>
      </w:pPr>
    </w:p>
    <w:p w14:paraId="33FFDA3C" w14:textId="77777777" w:rsidR="0053267B" w:rsidRPr="00395986" w:rsidRDefault="0053267B" w:rsidP="00E95235">
      <w:pPr>
        <w:spacing w:line="360" w:lineRule="auto"/>
        <w:jc w:val="center"/>
        <w:rPr>
          <w:rFonts w:ascii="Palatino Linotype" w:hAnsi="Palatino Linotype" w:cs="Arial"/>
          <w:szCs w:val="22"/>
          <w:lang w:val="es-ES" w:eastAsia="es-ES"/>
        </w:rPr>
      </w:pPr>
    </w:p>
    <w:p w14:paraId="1980BDE7" w14:textId="7D12A098" w:rsidR="0024149B" w:rsidRPr="00395986" w:rsidRDefault="0024149B" w:rsidP="00E95235">
      <w:pPr>
        <w:spacing w:line="360" w:lineRule="auto"/>
        <w:jc w:val="center"/>
        <w:rPr>
          <w:rFonts w:ascii="Palatino Linotype" w:hAnsi="Palatino Linotype" w:cs="Arial"/>
          <w:lang w:eastAsia="es-ES"/>
        </w:rPr>
      </w:pPr>
      <w:bookmarkStart w:id="2" w:name="_Toc66992242"/>
      <w:r w:rsidRPr="00395986">
        <w:rPr>
          <w:rFonts w:ascii="Palatino Linotype" w:hAnsi="Palatino Linotype" w:cs="Arial"/>
          <w:b/>
          <w:lang w:eastAsia="es-ES"/>
        </w:rPr>
        <w:lastRenderedPageBreak/>
        <w:t>CONSIDERANDO</w:t>
      </w:r>
      <w:bookmarkEnd w:id="2"/>
    </w:p>
    <w:p w14:paraId="7B01F645" w14:textId="77777777" w:rsidR="0024149B" w:rsidRPr="00395986" w:rsidRDefault="0024149B" w:rsidP="00E95235">
      <w:pPr>
        <w:spacing w:line="360" w:lineRule="auto"/>
        <w:jc w:val="both"/>
        <w:rPr>
          <w:rFonts w:ascii="Palatino Linotype" w:hAnsi="Palatino Linotype" w:cs="Arial"/>
          <w:lang w:eastAsia="es-ES"/>
        </w:rPr>
      </w:pPr>
    </w:p>
    <w:p w14:paraId="6513F605" w14:textId="4EA7EEC3" w:rsidR="0024149B" w:rsidRPr="00395986" w:rsidRDefault="0024149B" w:rsidP="00E95235">
      <w:pPr>
        <w:spacing w:line="360" w:lineRule="auto"/>
        <w:jc w:val="both"/>
        <w:rPr>
          <w:rFonts w:ascii="Palatino Linotype" w:hAnsi="Palatino Linotype" w:cs="Arial"/>
          <w:b/>
          <w:lang w:eastAsia="es-ES"/>
        </w:rPr>
      </w:pPr>
      <w:bookmarkStart w:id="3" w:name="_Toc66992243"/>
      <w:r w:rsidRPr="00395986">
        <w:rPr>
          <w:rFonts w:ascii="Palatino Linotype" w:hAnsi="Palatino Linotype" w:cs="Arial"/>
          <w:b/>
          <w:lang w:eastAsia="es-ES"/>
        </w:rPr>
        <w:t>PRIMERO. De la competencia</w:t>
      </w:r>
      <w:bookmarkEnd w:id="3"/>
    </w:p>
    <w:p w14:paraId="49D207C4" w14:textId="77777777" w:rsidR="0024149B" w:rsidRPr="00395986" w:rsidRDefault="0024149B" w:rsidP="00E95235">
      <w:pPr>
        <w:spacing w:line="360" w:lineRule="auto"/>
        <w:jc w:val="both"/>
        <w:rPr>
          <w:rFonts w:ascii="Palatino Linotype" w:hAnsi="Palatino Linotype" w:cs="Arial"/>
          <w:lang w:val="es-ES" w:eastAsia="es-ES"/>
        </w:rPr>
      </w:pPr>
    </w:p>
    <w:p w14:paraId="38121488" w14:textId="77777777" w:rsidR="0024149B" w:rsidRPr="00395986" w:rsidRDefault="00DA0566" w:rsidP="00E95235">
      <w:pPr>
        <w:pStyle w:val="Prrafodelista"/>
        <w:numPr>
          <w:ilvl w:val="0"/>
          <w:numId w:val="13"/>
        </w:numPr>
        <w:spacing w:line="360" w:lineRule="auto"/>
        <w:ind w:left="0" w:firstLine="0"/>
        <w:jc w:val="both"/>
        <w:rPr>
          <w:rFonts w:ascii="Palatino Linotype" w:hAnsi="Palatino Linotype" w:cs="Arial"/>
          <w:sz w:val="24"/>
          <w:lang w:val="es-ES" w:eastAsia="es-ES"/>
        </w:rPr>
      </w:pPr>
      <w:r w:rsidRPr="00395986">
        <w:rPr>
          <w:rFonts w:ascii="Palatino Linotype" w:eastAsia="Calibri" w:hAnsi="Palatino Linotype"/>
          <w:sz w:val="24"/>
          <w:lang w:val="es-ES" w:eastAsia="es-ES"/>
        </w:rPr>
        <w:t>Este  Instituto de Transparencia, Acceso a la Información Pública y Protección de Datos Personales del Estado de México y Municipios, es competente para conocer y resolver el presente recurso de conformidad con el artículo: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0C845A05" w14:textId="77777777" w:rsidR="0024149B" w:rsidRPr="00395986" w:rsidRDefault="0024149B" w:rsidP="00E95235">
      <w:pPr>
        <w:pStyle w:val="Prrafodelista"/>
        <w:spacing w:line="360" w:lineRule="auto"/>
        <w:ind w:left="0"/>
        <w:jc w:val="both"/>
        <w:rPr>
          <w:rFonts w:ascii="Palatino Linotype" w:hAnsi="Palatino Linotype" w:cs="Arial"/>
          <w:sz w:val="24"/>
          <w:lang w:val="es-ES" w:eastAsia="es-ES"/>
        </w:rPr>
      </w:pPr>
    </w:p>
    <w:p w14:paraId="7AF462EF" w14:textId="77777777" w:rsidR="0024149B" w:rsidRPr="00395986" w:rsidRDefault="0024149B" w:rsidP="00E95235">
      <w:pPr>
        <w:keepNext/>
        <w:keepLines/>
        <w:spacing w:line="360" w:lineRule="auto"/>
        <w:outlineLvl w:val="1"/>
        <w:rPr>
          <w:rFonts w:ascii="Palatino Linotype" w:eastAsiaTheme="majorEastAsia" w:hAnsi="Palatino Linotype" w:cstheme="majorBidi"/>
          <w:b/>
        </w:rPr>
      </w:pPr>
      <w:bookmarkStart w:id="4" w:name="_Toc66992244"/>
      <w:r w:rsidRPr="00395986">
        <w:rPr>
          <w:rFonts w:ascii="Palatino Linotype" w:eastAsiaTheme="majorEastAsia" w:hAnsi="Palatino Linotype" w:cstheme="majorBidi"/>
          <w:b/>
        </w:rPr>
        <w:t>SEGUNDO. De la oportunidad y procedencia.</w:t>
      </w:r>
      <w:bookmarkEnd w:id="4"/>
    </w:p>
    <w:p w14:paraId="3017031A" w14:textId="77777777" w:rsidR="0024149B" w:rsidRPr="00395986" w:rsidRDefault="0024149B" w:rsidP="00E95235">
      <w:pPr>
        <w:pStyle w:val="Prrafodelista"/>
        <w:spacing w:line="360" w:lineRule="auto"/>
        <w:ind w:left="0"/>
        <w:jc w:val="both"/>
        <w:rPr>
          <w:rFonts w:ascii="Palatino Linotype" w:hAnsi="Palatino Linotype" w:cs="Arial"/>
          <w:sz w:val="24"/>
          <w:lang w:val="es-ES" w:eastAsia="es-ES"/>
        </w:rPr>
      </w:pPr>
    </w:p>
    <w:p w14:paraId="516DC86F" w14:textId="1B0F3E4D" w:rsidR="0024149B" w:rsidRPr="00395986" w:rsidRDefault="00427401" w:rsidP="00E95235">
      <w:pPr>
        <w:pStyle w:val="Prrafodelista"/>
        <w:numPr>
          <w:ilvl w:val="0"/>
          <w:numId w:val="13"/>
        </w:numPr>
        <w:spacing w:line="360" w:lineRule="auto"/>
        <w:ind w:left="0" w:firstLine="0"/>
        <w:jc w:val="both"/>
        <w:rPr>
          <w:rFonts w:ascii="Palatino Linotype" w:hAnsi="Palatino Linotype" w:cs="Arial"/>
          <w:sz w:val="24"/>
          <w:lang w:val="es-ES" w:eastAsia="es-ES"/>
        </w:rPr>
      </w:pPr>
      <w:r w:rsidRPr="00395986">
        <w:rPr>
          <w:rFonts w:ascii="Palatino Linotype" w:eastAsia="Calibri" w:hAnsi="Palatino Linotype" w:cs="Arial"/>
          <w:sz w:val="24"/>
          <w:lang w:val="es-ES_tradnl" w:eastAsia="es-ES"/>
        </w:rPr>
        <w:t xml:space="preserve">El medio de impugnación fue presentado a través del </w:t>
      </w:r>
      <w:r w:rsidRPr="00395986">
        <w:rPr>
          <w:rFonts w:ascii="Palatino Linotype" w:eastAsia="Calibri" w:hAnsi="Palatino Linotype" w:cs="Arial"/>
          <w:b/>
          <w:sz w:val="24"/>
          <w:lang w:val="es-ES_tradnl" w:eastAsia="es-ES"/>
        </w:rPr>
        <w:t>SAIMEX,</w:t>
      </w:r>
      <w:r w:rsidRPr="00395986">
        <w:rPr>
          <w:rFonts w:ascii="Palatino Linotype" w:eastAsia="Calibri" w:hAnsi="Palatino Linotype" w:cs="Arial"/>
          <w:sz w:val="24"/>
          <w:lang w:val="es-ES_tradnl" w:eastAsia="es-ES"/>
        </w:rPr>
        <w:t xml:space="preserve"> en el formato previamente aprobado para tal efecto y dentro del plazo legal de quince días hábiles otorgados; siendo así que el </w:t>
      </w:r>
      <w:r w:rsidRPr="00395986">
        <w:rPr>
          <w:rFonts w:ascii="Palatino Linotype" w:eastAsia="Calibri" w:hAnsi="Palatino Linotype" w:cs="Arial"/>
          <w:b/>
          <w:sz w:val="24"/>
          <w:lang w:val="es-ES_tradnl" w:eastAsia="es-ES"/>
        </w:rPr>
        <w:t>SUJETO OBLIGADO</w:t>
      </w:r>
      <w:r w:rsidRPr="00395986">
        <w:rPr>
          <w:rFonts w:ascii="Palatino Linotype" w:eastAsia="Calibri" w:hAnsi="Palatino Linotype" w:cs="Arial"/>
          <w:sz w:val="24"/>
          <w:lang w:val="es-ES_tradnl" w:eastAsia="es-ES"/>
        </w:rPr>
        <w:t xml:space="preserve"> entregó respuesta a la solicitud el día </w:t>
      </w:r>
      <w:r w:rsidR="005F7806" w:rsidRPr="00395986">
        <w:rPr>
          <w:rFonts w:ascii="Palatino Linotype" w:eastAsia="Calibri" w:hAnsi="Palatino Linotype" w:cs="Arial"/>
          <w:sz w:val="24"/>
          <w:lang w:val="es-ES_tradnl" w:eastAsia="es-ES"/>
        </w:rPr>
        <w:t xml:space="preserve">siete (07) de julio </w:t>
      </w:r>
      <w:r w:rsidR="00C07594" w:rsidRPr="00395986">
        <w:rPr>
          <w:rFonts w:ascii="Palatino Linotype" w:eastAsia="Calibri" w:hAnsi="Palatino Linotype" w:cs="Arial"/>
          <w:sz w:val="24"/>
          <w:lang w:val="es-ES_tradnl" w:eastAsia="es-ES"/>
        </w:rPr>
        <w:t xml:space="preserve"> de dos mil veintidós</w:t>
      </w:r>
      <w:r w:rsidRPr="00395986">
        <w:rPr>
          <w:rFonts w:ascii="Palatino Linotype" w:eastAsia="Calibri" w:hAnsi="Palatino Linotype" w:cs="Arial"/>
          <w:sz w:val="24"/>
          <w:lang w:val="es-ES_tradnl" w:eastAsia="es-ES"/>
        </w:rPr>
        <w:t xml:space="preserve">, </w:t>
      </w:r>
      <w:r w:rsidRPr="00395986">
        <w:rPr>
          <w:rFonts w:ascii="Palatino Linotype" w:eastAsiaTheme="minorEastAsia" w:hAnsi="Palatino Linotype" w:cs="Arial"/>
          <w:sz w:val="24"/>
          <w:lang w:val="es-ES_tradnl" w:eastAsia="es-ES"/>
        </w:rPr>
        <w:t xml:space="preserve">de tal forma que el plazo para interponer el recurso de revisión transcurrió del </w:t>
      </w:r>
      <w:r w:rsidR="005F7806" w:rsidRPr="00395986">
        <w:rPr>
          <w:rFonts w:ascii="Palatino Linotype" w:eastAsiaTheme="minorEastAsia" w:hAnsi="Palatino Linotype" w:cs="Arial"/>
          <w:sz w:val="24"/>
          <w:lang w:val="es-ES_tradnl" w:eastAsia="es-ES"/>
        </w:rPr>
        <w:t xml:space="preserve">ocho (08) de julio al once (11) de agosto </w:t>
      </w:r>
      <w:r w:rsidR="00C07594" w:rsidRPr="00395986">
        <w:rPr>
          <w:rFonts w:ascii="Palatino Linotype" w:eastAsiaTheme="minorEastAsia" w:hAnsi="Palatino Linotype" w:cs="Arial"/>
          <w:sz w:val="24"/>
          <w:lang w:val="es-ES_tradnl" w:eastAsia="es-ES"/>
        </w:rPr>
        <w:t xml:space="preserve"> de dos mil veintidós</w:t>
      </w:r>
      <w:r w:rsidRPr="00395986">
        <w:rPr>
          <w:rFonts w:ascii="Palatino Linotype" w:eastAsiaTheme="minorEastAsia" w:hAnsi="Palatino Linotype" w:cs="Arial"/>
          <w:sz w:val="24"/>
          <w:lang w:val="es-ES_tradnl" w:eastAsia="es-ES"/>
        </w:rPr>
        <w:t>; en consecuencia, p</w:t>
      </w:r>
      <w:r w:rsidR="00C07594" w:rsidRPr="00395986">
        <w:rPr>
          <w:rFonts w:ascii="Palatino Linotype" w:eastAsiaTheme="minorEastAsia" w:hAnsi="Palatino Linotype" w:cs="Arial"/>
          <w:sz w:val="24"/>
          <w:lang w:val="es-ES_tradnl" w:eastAsia="es-ES"/>
        </w:rPr>
        <w:t xml:space="preserve">resentó su inconformidad </w:t>
      </w:r>
      <w:r w:rsidR="005F7806" w:rsidRPr="00395986">
        <w:rPr>
          <w:rFonts w:ascii="Palatino Linotype" w:eastAsiaTheme="minorEastAsia" w:hAnsi="Palatino Linotype" w:cs="Arial"/>
          <w:sz w:val="24"/>
          <w:lang w:val="es-ES_tradnl" w:eastAsia="es-ES"/>
        </w:rPr>
        <w:t xml:space="preserve">el día seis (06) de agosto </w:t>
      </w:r>
      <w:r w:rsidR="00C07594" w:rsidRPr="00395986">
        <w:rPr>
          <w:rFonts w:ascii="Palatino Linotype" w:eastAsiaTheme="minorEastAsia" w:hAnsi="Palatino Linotype" w:cs="Arial"/>
          <w:sz w:val="24"/>
          <w:lang w:val="es-ES_tradnl" w:eastAsia="es-ES"/>
        </w:rPr>
        <w:t xml:space="preserve"> de dos mil veintidós</w:t>
      </w:r>
      <w:r w:rsidRPr="00395986">
        <w:rPr>
          <w:rFonts w:ascii="Palatino Linotype" w:eastAsiaTheme="minorEastAsia" w:hAnsi="Palatino Linotype" w:cs="Arial"/>
          <w:sz w:val="24"/>
          <w:lang w:val="es-ES_tradnl" w:eastAsia="es-ES"/>
        </w:rPr>
        <w:t xml:space="preserve">, por lo que se encuentra dentro de los márgenes temporales </w:t>
      </w:r>
      <w:r w:rsidRPr="00395986">
        <w:rPr>
          <w:rFonts w:ascii="Palatino Linotype" w:eastAsiaTheme="minorEastAsia" w:hAnsi="Palatino Linotype" w:cs="Arial"/>
          <w:sz w:val="24"/>
          <w:lang w:val="es-ES_tradnl" w:eastAsia="es-ES"/>
        </w:rPr>
        <w:lastRenderedPageBreak/>
        <w:t xml:space="preserve">previstos en el artículo 178 de la </w:t>
      </w:r>
      <w:r w:rsidRPr="00395986">
        <w:rPr>
          <w:rFonts w:ascii="Palatino Linotype" w:eastAsiaTheme="minorEastAsia" w:hAnsi="Palatino Linotype" w:cs="Arial"/>
          <w:b/>
          <w:sz w:val="24"/>
          <w:lang w:val="es-ES_tradnl" w:eastAsia="es-ES"/>
        </w:rPr>
        <w:t xml:space="preserve">Ley de Transparencia y Acceso a la Información Pública del Estado de México y Municipios </w:t>
      </w:r>
      <w:r w:rsidRPr="00395986">
        <w:rPr>
          <w:rFonts w:ascii="Palatino Linotype" w:eastAsiaTheme="minorEastAsia" w:hAnsi="Palatino Linotype" w:cs="Arial"/>
          <w:sz w:val="24"/>
          <w:lang w:val="es-ES_tradnl" w:eastAsia="es-ES"/>
        </w:rPr>
        <w:t>vigente.</w:t>
      </w:r>
    </w:p>
    <w:p w14:paraId="7852B069" w14:textId="77777777" w:rsidR="00C07594" w:rsidRPr="00395986" w:rsidRDefault="00C07594" w:rsidP="005F7806">
      <w:pPr>
        <w:spacing w:line="360" w:lineRule="auto"/>
        <w:rPr>
          <w:rFonts w:ascii="Palatino Linotype" w:eastAsia="Calibri" w:hAnsi="Palatino Linotype" w:cs="Arial"/>
          <w:lang w:val="es-ES_tradnl" w:eastAsia="es-ES"/>
        </w:rPr>
      </w:pPr>
    </w:p>
    <w:p w14:paraId="5F9152AE" w14:textId="581A344F" w:rsidR="00C07594" w:rsidRPr="00395986" w:rsidRDefault="00427401" w:rsidP="00E95235">
      <w:pPr>
        <w:pStyle w:val="Prrafodelista"/>
        <w:numPr>
          <w:ilvl w:val="0"/>
          <w:numId w:val="13"/>
        </w:numPr>
        <w:spacing w:line="360" w:lineRule="auto"/>
        <w:ind w:left="0" w:firstLine="0"/>
        <w:jc w:val="both"/>
        <w:rPr>
          <w:rFonts w:ascii="Palatino Linotype" w:hAnsi="Palatino Linotype" w:cs="Arial"/>
          <w:sz w:val="24"/>
          <w:lang w:val="es-ES" w:eastAsia="es-ES"/>
        </w:rPr>
      </w:pPr>
      <w:r w:rsidRPr="00395986">
        <w:rPr>
          <w:rFonts w:ascii="Palatino Linotype" w:eastAsia="Calibri" w:hAnsi="Palatino Linotype" w:cs="Arial"/>
          <w:sz w:val="24"/>
          <w:lang w:val="es-ES_tradnl" w:eastAsia="es-ES"/>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71A69642" w14:textId="77777777" w:rsidR="00180811" w:rsidRPr="00395986" w:rsidRDefault="00180811" w:rsidP="005F7806">
      <w:pPr>
        <w:pStyle w:val="Prrafodelista"/>
        <w:spacing w:line="360" w:lineRule="auto"/>
        <w:ind w:left="0"/>
        <w:jc w:val="both"/>
        <w:rPr>
          <w:rFonts w:ascii="Palatino Linotype" w:hAnsi="Palatino Linotype" w:cs="Arial"/>
          <w:sz w:val="24"/>
          <w:lang w:val="es-ES" w:eastAsia="es-ES"/>
        </w:rPr>
      </w:pPr>
    </w:p>
    <w:p w14:paraId="5E094C09" w14:textId="77777777" w:rsidR="0024149B" w:rsidRPr="00395986" w:rsidRDefault="0024149B" w:rsidP="00E95235">
      <w:pPr>
        <w:spacing w:line="360" w:lineRule="auto"/>
        <w:jc w:val="both"/>
        <w:rPr>
          <w:rFonts w:ascii="Palatino Linotype" w:hAnsi="Palatino Linotype" w:cs="Arial"/>
          <w:b/>
          <w:lang w:eastAsia="es-ES"/>
        </w:rPr>
      </w:pPr>
      <w:bookmarkStart w:id="5" w:name="_Toc486525253"/>
      <w:bookmarkStart w:id="6" w:name="_Toc66992246"/>
      <w:r w:rsidRPr="00395986">
        <w:rPr>
          <w:rFonts w:ascii="Palatino Linotype" w:hAnsi="Palatino Linotype" w:cs="Arial"/>
          <w:b/>
          <w:lang w:eastAsia="es-ES"/>
        </w:rPr>
        <w:t xml:space="preserve">TERCERO. </w:t>
      </w:r>
      <w:bookmarkEnd w:id="5"/>
      <w:r w:rsidRPr="00395986">
        <w:rPr>
          <w:rFonts w:ascii="Palatino Linotype" w:hAnsi="Palatino Linotype" w:cs="Arial"/>
          <w:b/>
          <w:lang w:eastAsia="es-ES"/>
        </w:rPr>
        <w:t>Planteamiento de la Litis.</w:t>
      </w:r>
      <w:bookmarkEnd w:id="6"/>
    </w:p>
    <w:p w14:paraId="35E6459C" w14:textId="77777777" w:rsidR="0024149B" w:rsidRPr="00395986" w:rsidRDefault="0024149B" w:rsidP="00E95235">
      <w:pPr>
        <w:spacing w:line="360" w:lineRule="auto"/>
        <w:jc w:val="both"/>
        <w:rPr>
          <w:rFonts w:ascii="Palatino Linotype" w:hAnsi="Palatino Linotype" w:cs="Arial"/>
          <w:lang w:val="es-ES" w:eastAsia="es-ES"/>
        </w:rPr>
      </w:pPr>
    </w:p>
    <w:p w14:paraId="384FE9C4" w14:textId="29A6927F" w:rsidR="0024149B" w:rsidRPr="00395986" w:rsidRDefault="00427401" w:rsidP="00E95235">
      <w:pPr>
        <w:pStyle w:val="Prrafodelista"/>
        <w:numPr>
          <w:ilvl w:val="0"/>
          <w:numId w:val="13"/>
        </w:numPr>
        <w:spacing w:line="360" w:lineRule="auto"/>
        <w:ind w:left="0" w:firstLine="0"/>
        <w:jc w:val="both"/>
        <w:rPr>
          <w:rFonts w:ascii="Palatino Linotype" w:hAnsi="Palatino Linotype" w:cs="Arial"/>
          <w:sz w:val="24"/>
          <w:lang w:val="es-ES" w:eastAsia="es-ES"/>
        </w:rPr>
      </w:pPr>
      <w:r w:rsidRPr="00395986">
        <w:rPr>
          <w:rFonts w:ascii="Palatino Linotype" w:eastAsia="MS Gothic" w:hAnsi="Palatino Linotype"/>
          <w:sz w:val="24"/>
        </w:rPr>
        <w:t xml:space="preserve">De las constancias que obran en el expediente electrónico SAIMEX, el particular solicitó </w:t>
      </w:r>
      <w:r w:rsidR="005F7806" w:rsidRPr="00395986">
        <w:rPr>
          <w:rFonts w:ascii="Palatino Linotype" w:eastAsia="MS Gothic" w:hAnsi="Palatino Linotype"/>
          <w:sz w:val="24"/>
        </w:rPr>
        <w:t>la versión pública del padrón de licencias de venta de alcohol, por giro y ubicación, actualizado al veinticinco (25) de junio de dos mil veintidós</w:t>
      </w:r>
      <w:r w:rsidR="00873265" w:rsidRPr="00395986">
        <w:rPr>
          <w:rFonts w:ascii="Palatino Linotype" w:eastAsia="MS Gothic" w:hAnsi="Palatino Linotype"/>
          <w:sz w:val="24"/>
        </w:rPr>
        <w:t xml:space="preserve"> </w:t>
      </w:r>
    </w:p>
    <w:p w14:paraId="4964CBC4" w14:textId="77777777" w:rsidR="0024149B" w:rsidRPr="00395986" w:rsidRDefault="0024149B" w:rsidP="00E95235">
      <w:pPr>
        <w:pStyle w:val="Prrafodelista"/>
        <w:spacing w:line="360" w:lineRule="auto"/>
        <w:ind w:left="0"/>
        <w:jc w:val="both"/>
        <w:rPr>
          <w:rFonts w:ascii="Palatino Linotype" w:hAnsi="Palatino Linotype" w:cs="Arial"/>
          <w:sz w:val="24"/>
          <w:lang w:val="es-ES" w:eastAsia="es-ES"/>
        </w:rPr>
      </w:pPr>
    </w:p>
    <w:p w14:paraId="63872D02" w14:textId="52B2DD2F" w:rsidR="0024149B" w:rsidRPr="00395986" w:rsidRDefault="00427401" w:rsidP="00180811">
      <w:pPr>
        <w:pStyle w:val="Prrafodelista"/>
        <w:numPr>
          <w:ilvl w:val="0"/>
          <w:numId w:val="13"/>
        </w:numPr>
        <w:spacing w:line="360" w:lineRule="auto"/>
        <w:ind w:left="0" w:firstLine="0"/>
        <w:jc w:val="both"/>
        <w:rPr>
          <w:rFonts w:ascii="Palatino Linotype" w:hAnsi="Palatino Linotype" w:cs="Arial"/>
          <w:sz w:val="24"/>
          <w:lang w:val="es-ES" w:eastAsia="es-ES"/>
        </w:rPr>
      </w:pPr>
      <w:r w:rsidRPr="00395986">
        <w:rPr>
          <w:rFonts w:ascii="Palatino Linotype" w:eastAsia="MS Gothic" w:hAnsi="Palatino Linotype"/>
          <w:sz w:val="24"/>
        </w:rPr>
        <w:t xml:space="preserve">El </w:t>
      </w:r>
      <w:r w:rsidRPr="00395986">
        <w:rPr>
          <w:rFonts w:ascii="Palatino Linotype" w:eastAsia="MS Gothic" w:hAnsi="Palatino Linotype"/>
          <w:b/>
          <w:sz w:val="24"/>
        </w:rPr>
        <w:t>SUJETO OBLIGADO</w:t>
      </w:r>
      <w:r w:rsidR="005F7806" w:rsidRPr="00395986">
        <w:rPr>
          <w:rFonts w:ascii="Palatino Linotype" w:eastAsia="MS Gothic" w:hAnsi="Palatino Linotype"/>
          <w:sz w:val="24"/>
        </w:rPr>
        <w:t xml:space="preserve"> manifestó que la información solicitada podía ser consultada en la liga electrónica </w:t>
      </w:r>
      <w:r w:rsidR="00873265" w:rsidRPr="00395986">
        <w:rPr>
          <w:rFonts w:ascii="Palatino Linotype" w:eastAsia="MS Gothic" w:hAnsi="Palatino Linotype"/>
          <w:sz w:val="24"/>
        </w:rPr>
        <w:t xml:space="preserve"> </w:t>
      </w:r>
      <w:r w:rsidR="00873265" w:rsidRPr="00395986">
        <w:rPr>
          <w:rFonts w:ascii="Palatino Linotype" w:hAnsi="Palatino Linotype"/>
          <w:sz w:val="24"/>
        </w:rPr>
        <w:t xml:space="preserve"> </w:t>
      </w:r>
      <w:hyperlink r:id="rId11" w:history="1">
        <w:r w:rsidR="00180811" w:rsidRPr="00395986">
          <w:rPr>
            <w:rStyle w:val="Hipervnculo"/>
            <w:rFonts w:ascii="Palatino Linotype" w:hAnsi="Palatino Linotype" w:cs="Arial"/>
            <w:szCs w:val="22"/>
            <w:lang w:val="es-ES" w:eastAsia="es-ES"/>
          </w:rPr>
          <w:t>https://www.ipomex.org.mx/tipo3/lgt/índice/TULTEPEC.web</w:t>
        </w:r>
      </w:hyperlink>
      <w:r w:rsidR="00180811" w:rsidRPr="00395986">
        <w:rPr>
          <w:rFonts w:ascii="Palatino Linotype" w:hAnsi="Palatino Linotype" w:cs="Arial"/>
          <w:szCs w:val="22"/>
          <w:lang w:val="es-ES" w:eastAsia="es-ES"/>
        </w:rPr>
        <w:t xml:space="preserve">. </w:t>
      </w:r>
      <w:r w:rsidR="00180811" w:rsidRPr="00395986">
        <w:rPr>
          <w:rFonts w:ascii="Palatino Linotype" w:hAnsi="Palatino Linotype" w:cs="Arial"/>
          <w:sz w:val="24"/>
          <w:lang w:val="es-ES" w:eastAsia="es-ES"/>
        </w:rPr>
        <w:t xml:space="preserve"> </w:t>
      </w:r>
      <w:r w:rsidRPr="00395986">
        <w:rPr>
          <w:rFonts w:ascii="Palatino Linotype" w:eastAsia="MS Gothic" w:hAnsi="Palatino Linotype"/>
          <w:sz w:val="24"/>
        </w:rPr>
        <w:t>Derivado de la respuest</w:t>
      </w:r>
      <w:r w:rsidR="00180811" w:rsidRPr="00395986">
        <w:rPr>
          <w:rFonts w:ascii="Palatino Linotype" w:eastAsia="MS Gothic" w:hAnsi="Palatino Linotype"/>
          <w:sz w:val="24"/>
        </w:rPr>
        <w:t xml:space="preserve">a, el particular interpuso recurso de revisión; manifestó en sus motivos de inconformidad de forma medular, la entrega de la información incompleta por la falta de los nombres y apellidos de los titulares de las licencias. </w:t>
      </w:r>
    </w:p>
    <w:p w14:paraId="6805428B" w14:textId="77777777" w:rsidR="0024149B" w:rsidRPr="00395986" w:rsidRDefault="0024149B" w:rsidP="00E95235">
      <w:pPr>
        <w:pStyle w:val="Prrafodelista"/>
        <w:spacing w:line="360" w:lineRule="auto"/>
        <w:ind w:left="0"/>
        <w:jc w:val="both"/>
        <w:rPr>
          <w:rFonts w:ascii="Palatino Linotype" w:hAnsi="Palatino Linotype" w:cs="Arial"/>
          <w:sz w:val="24"/>
          <w:lang w:val="es-ES" w:eastAsia="es-ES"/>
        </w:rPr>
      </w:pPr>
    </w:p>
    <w:p w14:paraId="77E93499" w14:textId="451F0D11" w:rsidR="0024149B" w:rsidRPr="00395986" w:rsidRDefault="00427401" w:rsidP="00E95235">
      <w:pPr>
        <w:pStyle w:val="Prrafodelista"/>
        <w:numPr>
          <w:ilvl w:val="0"/>
          <w:numId w:val="13"/>
        </w:numPr>
        <w:spacing w:line="360" w:lineRule="auto"/>
        <w:ind w:left="0" w:firstLine="0"/>
        <w:jc w:val="both"/>
        <w:rPr>
          <w:rFonts w:ascii="Palatino Linotype" w:hAnsi="Palatino Linotype" w:cs="Arial"/>
          <w:sz w:val="24"/>
          <w:lang w:val="es-ES" w:eastAsia="es-ES"/>
        </w:rPr>
      </w:pPr>
      <w:r w:rsidRPr="00395986">
        <w:rPr>
          <w:rFonts w:ascii="Palatino Linotype" w:eastAsia="MS Gothic" w:hAnsi="Palatino Linotype"/>
          <w:sz w:val="24"/>
        </w:rPr>
        <w:t>En consecuencia, la Litis del presente asunt</w:t>
      </w:r>
      <w:r w:rsidR="00470B46" w:rsidRPr="00395986">
        <w:rPr>
          <w:rFonts w:ascii="Palatino Linotype" w:eastAsia="MS Gothic" w:hAnsi="Palatino Linotype"/>
          <w:sz w:val="24"/>
        </w:rPr>
        <w:t>o corresponde en resolver si el Sujeto Obligado</w:t>
      </w:r>
      <w:r w:rsidRPr="00395986">
        <w:rPr>
          <w:rFonts w:ascii="Palatino Linotype" w:eastAsia="MS Gothic" w:hAnsi="Palatino Linotype"/>
          <w:sz w:val="24"/>
        </w:rPr>
        <w:t xml:space="preserve"> atendió la solicitud con apego a los principios establecidos en el artículo 11 de la Ley de Transparencia Local, si con la entrega de los documentos en respuesta se garantiza </w:t>
      </w:r>
      <w:r w:rsidR="005A6DD1" w:rsidRPr="00395986">
        <w:rPr>
          <w:rFonts w:ascii="Palatino Linotype" w:eastAsia="MS Gothic" w:hAnsi="Palatino Linotype"/>
          <w:sz w:val="24"/>
        </w:rPr>
        <w:t>q</w:t>
      </w:r>
      <w:r w:rsidR="00180811" w:rsidRPr="00395986">
        <w:rPr>
          <w:rFonts w:ascii="Palatino Linotype" w:eastAsia="MS Gothic" w:hAnsi="Palatino Linotype"/>
          <w:sz w:val="24"/>
        </w:rPr>
        <w:t>ue la información sea completa</w:t>
      </w:r>
      <w:r w:rsidRPr="00395986">
        <w:rPr>
          <w:rFonts w:ascii="Palatino Linotype" w:eastAsia="MS Gothic" w:hAnsi="Palatino Linotype"/>
          <w:sz w:val="24"/>
        </w:rPr>
        <w:t>.</w:t>
      </w:r>
    </w:p>
    <w:p w14:paraId="68AD6BBB" w14:textId="77777777" w:rsidR="0024149B" w:rsidRPr="00395986" w:rsidRDefault="0024149B" w:rsidP="00E95235">
      <w:pPr>
        <w:pStyle w:val="Prrafodelista"/>
        <w:spacing w:line="360" w:lineRule="auto"/>
        <w:ind w:left="0"/>
        <w:jc w:val="both"/>
        <w:rPr>
          <w:rFonts w:ascii="Palatino Linotype" w:hAnsi="Palatino Linotype" w:cs="Arial"/>
          <w:sz w:val="24"/>
          <w:lang w:val="es-ES" w:eastAsia="es-ES"/>
        </w:rPr>
      </w:pPr>
    </w:p>
    <w:p w14:paraId="26D7A264" w14:textId="7EB27EE3" w:rsidR="0024149B" w:rsidRPr="00395986" w:rsidRDefault="00427401" w:rsidP="00180811">
      <w:pPr>
        <w:pStyle w:val="Prrafodelista"/>
        <w:numPr>
          <w:ilvl w:val="0"/>
          <w:numId w:val="13"/>
        </w:numPr>
        <w:spacing w:line="360" w:lineRule="auto"/>
        <w:ind w:left="0" w:firstLine="0"/>
        <w:jc w:val="both"/>
        <w:rPr>
          <w:rFonts w:ascii="Palatino Linotype" w:hAnsi="Palatino Linotype" w:cs="Arial"/>
          <w:sz w:val="24"/>
          <w:lang w:val="es-ES" w:eastAsia="es-ES"/>
        </w:rPr>
      </w:pPr>
      <w:r w:rsidRPr="00395986">
        <w:rPr>
          <w:rFonts w:ascii="Palatino Linotype" w:eastAsia="MS Gothic" w:hAnsi="Palatino Linotype"/>
          <w:sz w:val="24"/>
        </w:rPr>
        <w:t>Así mismo determinar si se actualizan la causal de procedencia pre</w:t>
      </w:r>
      <w:r w:rsidR="00180811" w:rsidRPr="00395986">
        <w:rPr>
          <w:rFonts w:ascii="Palatino Linotype" w:eastAsia="MS Gothic" w:hAnsi="Palatino Linotype"/>
          <w:sz w:val="24"/>
        </w:rPr>
        <w:t>vistas en las fracciones I y V</w:t>
      </w:r>
      <w:r w:rsidRPr="00395986">
        <w:rPr>
          <w:rFonts w:ascii="Palatino Linotype" w:eastAsia="MS Gothic" w:hAnsi="Palatino Linotype"/>
          <w:sz w:val="24"/>
        </w:rPr>
        <w:t xml:space="preserve"> del artículo 179 de la Ley de Transparencia y Acceso a la Información Pública del Estado de México y sus Municipios, que establecen la negativa de la información solicitada</w:t>
      </w:r>
      <w:bookmarkStart w:id="7" w:name="_Toc452722829"/>
      <w:bookmarkStart w:id="8" w:name="_Toc454373811"/>
      <w:bookmarkStart w:id="9" w:name="_Toc476675991"/>
      <w:r w:rsidR="00180811" w:rsidRPr="00395986">
        <w:rPr>
          <w:rFonts w:ascii="Palatino Linotype" w:eastAsia="MS Gothic" w:hAnsi="Palatino Linotype"/>
          <w:sz w:val="24"/>
        </w:rPr>
        <w:t xml:space="preserve"> y la entrega de la información incompleta</w:t>
      </w:r>
      <w:r w:rsidR="00873265" w:rsidRPr="00395986">
        <w:rPr>
          <w:rFonts w:ascii="Palatino Linotype" w:eastAsia="MS Gothic" w:hAnsi="Palatino Linotype"/>
          <w:sz w:val="24"/>
        </w:rPr>
        <w:t xml:space="preserve">. </w:t>
      </w:r>
    </w:p>
    <w:p w14:paraId="7CC60B7E" w14:textId="77777777" w:rsidR="00873265" w:rsidRPr="00395986" w:rsidRDefault="00873265" w:rsidP="00E95235">
      <w:pPr>
        <w:pStyle w:val="Prrafodelista"/>
        <w:spacing w:line="360" w:lineRule="auto"/>
        <w:ind w:left="0"/>
        <w:jc w:val="both"/>
        <w:rPr>
          <w:rFonts w:ascii="Palatino Linotype" w:hAnsi="Palatino Linotype" w:cs="Arial"/>
          <w:sz w:val="24"/>
          <w:lang w:val="es-ES" w:eastAsia="es-ES"/>
        </w:rPr>
      </w:pPr>
    </w:p>
    <w:p w14:paraId="5D60B388" w14:textId="77777777" w:rsidR="0024149B" w:rsidRPr="00395986" w:rsidRDefault="0024149B" w:rsidP="00E95235">
      <w:pPr>
        <w:keepNext/>
        <w:keepLines/>
        <w:spacing w:line="360" w:lineRule="auto"/>
        <w:outlineLvl w:val="0"/>
        <w:rPr>
          <w:rFonts w:ascii="Palatino Linotype" w:eastAsiaTheme="majorEastAsia" w:hAnsi="Palatino Linotype" w:cstheme="majorBidi"/>
          <w:b/>
        </w:rPr>
      </w:pPr>
      <w:bookmarkStart w:id="10" w:name="_Toc66992247"/>
      <w:r w:rsidRPr="00395986">
        <w:rPr>
          <w:rFonts w:ascii="Palatino Linotype" w:eastAsiaTheme="majorEastAsia" w:hAnsi="Palatino Linotype" w:cstheme="majorBidi"/>
          <w:b/>
        </w:rPr>
        <w:t>CUARTO. Del estudio y resolución del asunto</w:t>
      </w:r>
      <w:bookmarkEnd w:id="10"/>
      <w:r w:rsidRPr="00395986">
        <w:rPr>
          <w:rFonts w:ascii="Palatino Linotype" w:eastAsiaTheme="majorEastAsia" w:hAnsi="Palatino Linotype" w:cstheme="majorBidi"/>
          <w:b/>
        </w:rPr>
        <w:t>.</w:t>
      </w:r>
    </w:p>
    <w:p w14:paraId="207E311D" w14:textId="77777777" w:rsidR="0024149B" w:rsidRPr="00395986" w:rsidRDefault="0024149B" w:rsidP="00E95235">
      <w:pPr>
        <w:pStyle w:val="Prrafodelista"/>
        <w:spacing w:line="360" w:lineRule="auto"/>
        <w:ind w:left="0"/>
        <w:jc w:val="both"/>
        <w:rPr>
          <w:rFonts w:ascii="Palatino Linotype" w:hAnsi="Palatino Linotype" w:cs="Arial"/>
          <w:sz w:val="24"/>
          <w:lang w:val="es-ES" w:eastAsia="es-ES"/>
        </w:rPr>
      </w:pPr>
    </w:p>
    <w:p w14:paraId="011FF321" w14:textId="77777777" w:rsidR="0024149B" w:rsidRPr="00395986" w:rsidRDefault="00D662F4" w:rsidP="00E95235">
      <w:pPr>
        <w:pStyle w:val="Prrafodelista"/>
        <w:numPr>
          <w:ilvl w:val="0"/>
          <w:numId w:val="13"/>
        </w:numPr>
        <w:spacing w:line="360" w:lineRule="auto"/>
        <w:ind w:left="0" w:firstLine="0"/>
        <w:jc w:val="both"/>
        <w:rPr>
          <w:rFonts w:ascii="Palatino Linotype" w:hAnsi="Palatino Linotype" w:cs="Arial"/>
          <w:sz w:val="24"/>
          <w:lang w:val="es-ES" w:eastAsia="es-ES"/>
        </w:rPr>
      </w:pPr>
      <w:r w:rsidRPr="00395986">
        <w:rPr>
          <w:rFonts w:ascii="Palatino Linotype" w:hAnsi="Palatino Linotype" w:cs="Tahoma"/>
          <w:sz w:val="24"/>
        </w:rPr>
        <w:t>Una vez determinada la vía sobre la que versará el presente Recurso y previa revisión del expediente electrónico formado en el Sistema de Acceso a la Información Mexiquense (SAIMEX), con motivo de la solicitud de información y del Recurso a que da origen, es conveniente analizar si la respuesta del Sujeto Obligado cumple con los requisitos y procedimientos del derecho de acceso a la información pública.</w:t>
      </w:r>
    </w:p>
    <w:p w14:paraId="521875B4" w14:textId="77777777" w:rsidR="0024149B" w:rsidRPr="00395986" w:rsidRDefault="0024149B" w:rsidP="00E95235">
      <w:pPr>
        <w:pStyle w:val="Prrafodelista"/>
        <w:spacing w:line="360" w:lineRule="auto"/>
        <w:ind w:left="0"/>
        <w:jc w:val="both"/>
        <w:rPr>
          <w:rFonts w:ascii="Palatino Linotype" w:hAnsi="Palatino Linotype" w:cs="Arial"/>
          <w:sz w:val="24"/>
          <w:lang w:val="es-ES" w:eastAsia="es-ES"/>
        </w:rPr>
      </w:pPr>
    </w:p>
    <w:p w14:paraId="479C8DBB" w14:textId="77777777" w:rsidR="0024149B" w:rsidRPr="00395986" w:rsidRDefault="009F4D14" w:rsidP="00E95235">
      <w:pPr>
        <w:pStyle w:val="Prrafodelista"/>
        <w:numPr>
          <w:ilvl w:val="0"/>
          <w:numId w:val="13"/>
        </w:numPr>
        <w:spacing w:line="360" w:lineRule="auto"/>
        <w:ind w:left="0" w:firstLine="0"/>
        <w:jc w:val="both"/>
        <w:rPr>
          <w:rFonts w:ascii="Palatino Linotype" w:hAnsi="Palatino Linotype" w:cs="Arial"/>
          <w:sz w:val="24"/>
          <w:lang w:val="es-ES" w:eastAsia="es-ES"/>
        </w:rPr>
      </w:pPr>
      <w:r w:rsidRPr="00395986">
        <w:rPr>
          <w:rFonts w:ascii="Palatino Linotype" w:eastAsia="Calibri" w:hAnsi="Palatino Linotype" w:cs="Tahoma"/>
          <w:bCs/>
          <w:sz w:val="24"/>
          <w:lang w:eastAsia="en-US"/>
        </w:rPr>
        <w:t>Primeramente, el artículo 4°</w:t>
      </w:r>
      <w:r w:rsidR="00D662F4" w:rsidRPr="00395986">
        <w:rPr>
          <w:rFonts w:ascii="Palatino Linotype" w:eastAsia="Calibri" w:hAnsi="Palatino Linotype" w:cs="Tahoma"/>
          <w:bCs/>
          <w:sz w:val="24"/>
          <w:lang w:eastAsia="en-US"/>
        </w:rPr>
        <w:t xml:space="preserve"> párrafo segundo de la Ley de Transparencia y Acceso a la Información Pública del Estado de México y Municipios, señala que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w:t>
      </w:r>
    </w:p>
    <w:p w14:paraId="0A779D3C" w14:textId="77777777" w:rsidR="0024149B" w:rsidRPr="00395986" w:rsidRDefault="0024149B" w:rsidP="00E95235">
      <w:pPr>
        <w:pStyle w:val="Prrafodelista"/>
        <w:spacing w:line="360" w:lineRule="auto"/>
        <w:ind w:left="0"/>
        <w:jc w:val="both"/>
        <w:rPr>
          <w:rFonts w:ascii="Palatino Linotype" w:hAnsi="Palatino Linotype" w:cs="Arial"/>
          <w:sz w:val="24"/>
          <w:lang w:val="es-ES" w:eastAsia="es-ES"/>
        </w:rPr>
      </w:pPr>
    </w:p>
    <w:p w14:paraId="64D1E2AF" w14:textId="267B9D83" w:rsidR="0024149B" w:rsidRPr="00395986" w:rsidRDefault="00D662F4" w:rsidP="00E95235">
      <w:pPr>
        <w:pStyle w:val="Prrafodelista"/>
        <w:numPr>
          <w:ilvl w:val="0"/>
          <w:numId w:val="13"/>
        </w:numPr>
        <w:spacing w:line="360" w:lineRule="auto"/>
        <w:ind w:left="0" w:firstLine="0"/>
        <w:jc w:val="both"/>
        <w:rPr>
          <w:rFonts w:ascii="Palatino Linotype" w:hAnsi="Palatino Linotype" w:cs="Arial"/>
          <w:sz w:val="24"/>
          <w:lang w:val="es-ES" w:eastAsia="es-ES"/>
        </w:rPr>
      </w:pPr>
      <w:r w:rsidRPr="00395986">
        <w:rPr>
          <w:rFonts w:ascii="Palatino Linotype" w:eastAsia="Calibri" w:hAnsi="Palatino Linotype" w:cs="Tahoma"/>
          <w:bCs/>
          <w:sz w:val="24"/>
          <w:lang w:eastAsia="en-US"/>
        </w:rPr>
        <w:lastRenderedPageBreak/>
        <w:t>De lo anterior, se deduce que la información generada, obtenida, adquirida, transmitida, administrada o en posesión de los Sujetos Obligados, será accesible a cualquier persona, privilegiando el principio de máxima publicidad de la información.</w:t>
      </w:r>
    </w:p>
    <w:p w14:paraId="79640357" w14:textId="77777777" w:rsidR="0053267B" w:rsidRPr="00395986" w:rsidRDefault="0053267B" w:rsidP="0053267B">
      <w:pPr>
        <w:pStyle w:val="Prrafodelista"/>
        <w:spacing w:line="360" w:lineRule="auto"/>
        <w:ind w:left="0"/>
        <w:jc w:val="both"/>
        <w:rPr>
          <w:rFonts w:ascii="Palatino Linotype" w:hAnsi="Palatino Linotype" w:cs="Arial"/>
          <w:sz w:val="24"/>
          <w:lang w:val="es-ES" w:eastAsia="es-ES"/>
        </w:rPr>
      </w:pPr>
    </w:p>
    <w:p w14:paraId="1AEF329E" w14:textId="77777777" w:rsidR="0024149B" w:rsidRPr="00395986" w:rsidRDefault="00D662F4" w:rsidP="00E95235">
      <w:pPr>
        <w:pStyle w:val="Prrafodelista"/>
        <w:numPr>
          <w:ilvl w:val="0"/>
          <w:numId w:val="13"/>
        </w:numPr>
        <w:spacing w:line="360" w:lineRule="auto"/>
        <w:ind w:left="0" w:firstLine="0"/>
        <w:jc w:val="both"/>
        <w:rPr>
          <w:rFonts w:ascii="Palatino Linotype" w:hAnsi="Palatino Linotype" w:cs="Arial"/>
          <w:sz w:val="24"/>
          <w:lang w:val="es-ES" w:eastAsia="es-ES"/>
        </w:rPr>
      </w:pPr>
      <w:r w:rsidRPr="00395986">
        <w:rPr>
          <w:rFonts w:ascii="Palatino Linotype" w:eastAsia="Calibri" w:hAnsi="Palatino Linotype" w:cs="Tahoma"/>
          <w:bCs/>
          <w:sz w:val="24"/>
          <w:lang w:eastAsia="en-US"/>
        </w:rPr>
        <w:t>Asimismo, 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6940C657" w14:textId="77777777" w:rsidR="0024149B" w:rsidRPr="00395986" w:rsidRDefault="0024149B" w:rsidP="00E95235">
      <w:pPr>
        <w:pStyle w:val="Prrafodelista"/>
        <w:spacing w:line="360" w:lineRule="auto"/>
        <w:ind w:left="0"/>
        <w:jc w:val="both"/>
        <w:rPr>
          <w:rFonts w:ascii="Palatino Linotype" w:hAnsi="Palatino Linotype" w:cs="Arial"/>
          <w:sz w:val="24"/>
          <w:lang w:val="es-ES" w:eastAsia="es-ES"/>
        </w:rPr>
      </w:pPr>
    </w:p>
    <w:p w14:paraId="6AE1412B" w14:textId="77777777" w:rsidR="0053267B" w:rsidRPr="00395986" w:rsidRDefault="00C83CA5" w:rsidP="0053267B">
      <w:pPr>
        <w:pStyle w:val="Prrafodelista"/>
        <w:numPr>
          <w:ilvl w:val="0"/>
          <w:numId w:val="13"/>
        </w:numPr>
        <w:spacing w:line="360" w:lineRule="auto"/>
        <w:ind w:left="0" w:firstLine="0"/>
        <w:jc w:val="both"/>
        <w:rPr>
          <w:rFonts w:ascii="Palatino Linotype" w:hAnsi="Palatino Linotype" w:cs="Arial"/>
          <w:sz w:val="24"/>
          <w:lang w:val="es-ES" w:eastAsia="es-ES"/>
        </w:rPr>
      </w:pPr>
      <w:r w:rsidRPr="00395986">
        <w:rPr>
          <w:rFonts w:ascii="Palatino Linotype" w:eastAsia="Calibri" w:hAnsi="Palatino Linotype" w:cs="Tahoma"/>
          <w:bCs/>
          <w:sz w:val="24"/>
          <w:lang w:eastAsia="en-US"/>
        </w:rPr>
        <w:t>En este caso</w:t>
      </w:r>
      <w:r w:rsidRPr="00395986">
        <w:rPr>
          <w:rFonts w:ascii="Palatino Linotype" w:eastAsia="Calibri" w:hAnsi="Palatino Linotype" w:cs="Tahoma"/>
          <w:bCs/>
          <w:iCs/>
          <w:sz w:val="24"/>
          <w:lang w:val="es-ES" w:eastAsia="en-US"/>
        </w:rPr>
        <w:t xml:space="preserve">, el particular solicitó </w:t>
      </w:r>
      <w:r w:rsidR="0053267B" w:rsidRPr="00395986">
        <w:rPr>
          <w:rFonts w:ascii="Palatino Linotype" w:eastAsia="MS Gothic" w:hAnsi="Palatino Linotype"/>
          <w:sz w:val="24"/>
        </w:rPr>
        <w:t xml:space="preserve">la versión pública del padrón de licencias de venta de alcohol, por giro y ubicación, actualizado al veinticinco (25) de junio de dos mil veintidós </w:t>
      </w:r>
    </w:p>
    <w:p w14:paraId="5E8E0AED" w14:textId="77777777" w:rsidR="0053267B" w:rsidRPr="00395986" w:rsidRDefault="0053267B" w:rsidP="0053267B">
      <w:pPr>
        <w:pStyle w:val="Prrafodelista"/>
        <w:spacing w:line="360" w:lineRule="auto"/>
        <w:ind w:left="0"/>
        <w:jc w:val="both"/>
        <w:rPr>
          <w:rFonts w:ascii="Palatino Linotype" w:hAnsi="Palatino Linotype" w:cs="Arial"/>
          <w:sz w:val="24"/>
          <w:lang w:val="es-ES" w:eastAsia="es-ES"/>
        </w:rPr>
      </w:pPr>
    </w:p>
    <w:p w14:paraId="0A460D21" w14:textId="77777777" w:rsidR="0053267B" w:rsidRPr="00395986" w:rsidRDefault="0053267B" w:rsidP="0053267B">
      <w:pPr>
        <w:pStyle w:val="Prrafodelista"/>
        <w:numPr>
          <w:ilvl w:val="0"/>
          <w:numId w:val="13"/>
        </w:numPr>
        <w:spacing w:line="360" w:lineRule="auto"/>
        <w:ind w:left="0" w:firstLine="0"/>
        <w:jc w:val="both"/>
        <w:rPr>
          <w:rFonts w:ascii="Palatino Linotype" w:hAnsi="Palatino Linotype" w:cs="Arial"/>
          <w:sz w:val="24"/>
          <w:lang w:val="es-ES" w:eastAsia="es-ES"/>
        </w:rPr>
      </w:pPr>
      <w:r w:rsidRPr="00395986">
        <w:rPr>
          <w:rFonts w:ascii="Palatino Linotype" w:eastAsia="MS Gothic" w:hAnsi="Palatino Linotype"/>
          <w:sz w:val="24"/>
        </w:rPr>
        <w:t xml:space="preserve">El </w:t>
      </w:r>
      <w:r w:rsidRPr="00395986">
        <w:rPr>
          <w:rFonts w:ascii="Palatino Linotype" w:eastAsia="MS Gothic" w:hAnsi="Palatino Linotype"/>
          <w:b/>
          <w:sz w:val="24"/>
        </w:rPr>
        <w:t>SUJETO OBLIGADO</w:t>
      </w:r>
      <w:r w:rsidRPr="00395986">
        <w:rPr>
          <w:rFonts w:ascii="Palatino Linotype" w:eastAsia="MS Gothic" w:hAnsi="Palatino Linotype"/>
          <w:sz w:val="24"/>
        </w:rPr>
        <w:t xml:space="preserve"> manifestó que la información solicitada podía ser consultada en la liga electrónica  </w:t>
      </w:r>
      <w:r w:rsidRPr="00395986">
        <w:rPr>
          <w:rFonts w:ascii="Palatino Linotype" w:hAnsi="Palatino Linotype"/>
          <w:sz w:val="24"/>
        </w:rPr>
        <w:t xml:space="preserve"> </w:t>
      </w:r>
      <w:hyperlink r:id="rId12" w:history="1">
        <w:r w:rsidRPr="00395986">
          <w:rPr>
            <w:rStyle w:val="Hipervnculo"/>
            <w:rFonts w:ascii="Palatino Linotype" w:hAnsi="Palatino Linotype" w:cs="Arial"/>
            <w:szCs w:val="22"/>
            <w:lang w:val="es-ES" w:eastAsia="es-ES"/>
          </w:rPr>
          <w:t>https://www.ipomex.org.mx/tipo3/lgt/índice/TULTEPEC.web</w:t>
        </w:r>
      </w:hyperlink>
      <w:r w:rsidRPr="00395986">
        <w:rPr>
          <w:rFonts w:ascii="Palatino Linotype" w:hAnsi="Palatino Linotype" w:cs="Arial"/>
          <w:szCs w:val="22"/>
          <w:lang w:val="es-ES" w:eastAsia="es-ES"/>
        </w:rPr>
        <w:t xml:space="preserve">. </w:t>
      </w:r>
      <w:r w:rsidRPr="00395986">
        <w:rPr>
          <w:rFonts w:ascii="Palatino Linotype" w:hAnsi="Palatino Linotype" w:cs="Arial"/>
          <w:sz w:val="24"/>
          <w:lang w:val="es-ES" w:eastAsia="es-ES"/>
        </w:rPr>
        <w:t xml:space="preserve"> </w:t>
      </w:r>
      <w:r w:rsidRPr="00395986">
        <w:rPr>
          <w:rFonts w:ascii="Palatino Linotype" w:eastAsia="MS Gothic" w:hAnsi="Palatino Linotype"/>
          <w:sz w:val="24"/>
        </w:rPr>
        <w:t xml:space="preserve">Derivado de la respuesta, el particular interpuso recurso de revisión; manifestó en sus motivos de inconformidad de forma medular, la entrega de la información incompleta por la falta de los nombres y apellidos de los titulares de las licencias. </w:t>
      </w:r>
    </w:p>
    <w:p w14:paraId="3C725519" w14:textId="77777777" w:rsidR="0053267B" w:rsidRPr="00395986" w:rsidRDefault="0053267B" w:rsidP="0053267B">
      <w:pPr>
        <w:pStyle w:val="Prrafodelista"/>
        <w:spacing w:line="360" w:lineRule="auto"/>
        <w:ind w:left="0"/>
        <w:jc w:val="both"/>
        <w:rPr>
          <w:rFonts w:ascii="Palatino Linotype" w:hAnsi="Palatino Linotype" w:cs="Arial"/>
          <w:sz w:val="24"/>
          <w:lang w:val="es-ES" w:eastAsia="es-ES"/>
        </w:rPr>
      </w:pPr>
    </w:p>
    <w:p w14:paraId="768519B8" w14:textId="2977E51A" w:rsidR="00906281" w:rsidRPr="00395986" w:rsidRDefault="0053267B" w:rsidP="00906281">
      <w:pPr>
        <w:numPr>
          <w:ilvl w:val="0"/>
          <w:numId w:val="13"/>
        </w:numPr>
        <w:spacing w:line="360" w:lineRule="auto"/>
        <w:ind w:left="0" w:right="49" w:firstLine="0"/>
        <w:contextualSpacing/>
        <w:jc w:val="both"/>
        <w:rPr>
          <w:rFonts w:ascii="Palatino Linotype" w:eastAsia="MS Gothic" w:hAnsi="Palatino Linotype" w:cstheme="majorBidi"/>
          <w:lang w:val="es-ES_tradnl" w:eastAsia="es-ES"/>
        </w:rPr>
      </w:pPr>
      <w:r w:rsidRPr="00395986">
        <w:rPr>
          <w:rFonts w:ascii="Palatino Linotype" w:hAnsi="Palatino Linotype" w:cs="Arial"/>
          <w:lang w:val="es-ES" w:eastAsia="es-ES"/>
        </w:rPr>
        <w:t>Puntualizado lo ante</w:t>
      </w:r>
      <w:r w:rsidR="00906281" w:rsidRPr="00395986">
        <w:rPr>
          <w:rFonts w:ascii="Palatino Linotype" w:hAnsi="Palatino Linotype" w:cs="Arial"/>
          <w:lang w:val="es-ES" w:eastAsia="es-ES"/>
        </w:rPr>
        <w:t xml:space="preserve">rior, </w:t>
      </w:r>
      <w:r w:rsidR="00906281" w:rsidRPr="00395986">
        <w:rPr>
          <w:rFonts w:ascii="Palatino Linotype" w:eastAsia="MS Gothic" w:hAnsi="Palatino Linotype" w:cstheme="majorBidi"/>
          <w:lang w:val="es-ES_tradnl" w:eastAsia="es-ES"/>
        </w:rPr>
        <w:t xml:space="preserve">se advierte que el </w:t>
      </w:r>
      <w:r w:rsidR="00906281" w:rsidRPr="00395986">
        <w:rPr>
          <w:rFonts w:ascii="Palatino Linotype" w:eastAsia="MS Gothic" w:hAnsi="Palatino Linotype" w:cstheme="majorBidi"/>
          <w:b/>
          <w:lang w:val="es-ES_tradnl" w:eastAsia="es-ES"/>
        </w:rPr>
        <w:t>Recurrente</w:t>
      </w:r>
      <w:r w:rsidR="00906281" w:rsidRPr="00395986">
        <w:rPr>
          <w:rFonts w:ascii="Palatino Linotype" w:eastAsia="MS Gothic" w:hAnsi="Palatino Linotype" w:cstheme="majorBidi"/>
          <w:lang w:val="es-ES_tradnl" w:eastAsia="es-ES"/>
        </w:rPr>
        <w:t xml:space="preserve"> no se inconforma por la totalidad de la respuesta, únicamente, se in</w:t>
      </w:r>
      <w:r w:rsidR="005C54D8" w:rsidRPr="00395986">
        <w:rPr>
          <w:rFonts w:ascii="Palatino Linotype" w:eastAsia="MS Gothic" w:hAnsi="Palatino Linotype" w:cstheme="majorBidi"/>
          <w:lang w:val="es-ES_tradnl" w:eastAsia="es-ES"/>
        </w:rPr>
        <w:t>con</w:t>
      </w:r>
      <w:r w:rsidR="00906281" w:rsidRPr="00395986">
        <w:rPr>
          <w:rFonts w:ascii="Palatino Linotype" w:eastAsia="MS Gothic" w:hAnsi="Palatino Linotype" w:cstheme="majorBidi"/>
          <w:lang w:val="es-ES_tradnl" w:eastAsia="es-ES"/>
        </w:rPr>
        <w:t>formó por la falta de los nombres de</w:t>
      </w:r>
      <w:r w:rsidR="005C54D8" w:rsidRPr="00395986">
        <w:rPr>
          <w:rFonts w:ascii="Palatino Linotype" w:eastAsia="MS Gothic" w:hAnsi="Palatino Linotype" w:cstheme="majorBidi"/>
          <w:lang w:val="es-ES_tradnl" w:eastAsia="es-ES"/>
        </w:rPr>
        <w:t xml:space="preserve"> los titulares de las licencias</w:t>
      </w:r>
      <w:r w:rsidR="00906281" w:rsidRPr="00395986">
        <w:rPr>
          <w:rFonts w:ascii="Palatino Linotype" w:eastAsia="MS Gothic" w:hAnsi="Palatino Linotype" w:cstheme="majorBidi"/>
          <w:lang w:val="es-ES_tradnl" w:eastAsia="es-ES"/>
        </w:rPr>
        <w:t xml:space="preserve">. Bajo ese tenor, se tiene que la parte de la respuesta que no fue impugnada, debe declararse como consentida, toda vez que, </w:t>
      </w:r>
      <w:r w:rsidR="00906281" w:rsidRPr="00395986">
        <w:rPr>
          <w:rFonts w:ascii="Palatino Linotype" w:eastAsia="Palatino Linotype" w:hAnsi="Palatino Linotype" w:cs="Palatino Linotype"/>
          <w:color w:val="000000"/>
        </w:rPr>
        <w:t xml:space="preserve">al no haber </w:t>
      </w:r>
      <w:r w:rsidR="00906281" w:rsidRPr="00395986">
        <w:rPr>
          <w:rFonts w:ascii="Palatino Linotype" w:eastAsia="Palatino Linotype" w:hAnsi="Palatino Linotype" w:cs="Palatino Linotype"/>
          <w:color w:val="000000"/>
        </w:rPr>
        <w:lastRenderedPageBreak/>
        <w:t>realizado manifestaciones de inconformidad al respecto, se infiere que la información proporcionada por el Sujeto Obligado, satisface este punto de la solicitud presentada.</w:t>
      </w:r>
    </w:p>
    <w:p w14:paraId="6AAE6C17" w14:textId="77777777" w:rsidR="00906281" w:rsidRPr="00395986" w:rsidRDefault="00906281" w:rsidP="00906281">
      <w:pPr>
        <w:spacing w:line="360" w:lineRule="auto"/>
        <w:ind w:right="49"/>
        <w:contextualSpacing/>
        <w:jc w:val="both"/>
        <w:rPr>
          <w:rFonts w:ascii="Palatino Linotype" w:eastAsia="MS Gothic" w:hAnsi="Palatino Linotype" w:cstheme="majorBidi"/>
          <w:lang w:val="es-ES_tradnl" w:eastAsia="es-ES"/>
        </w:rPr>
      </w:pPr>
    </w:p>
    <w:p w14:paraId="6B389529" w14:textId="77777777" w:rsidR="00906281" w:rsidRPr="00395986" w:rsidRDefault="00906281" w:rsidP="00906281">
      <w:pPr>
        <w:numPr>
          <w:ilvl w:val="0"/>
          <w:numId w:val="13"/>
        </w:numPr>
        <w:spacing w:line="360" w:lineRule="auto"/>
        <w:ind w:left="0" w:right="49" w:firstLine="0"/>
        <w:contextualSpacing/>
        <w:jc w:val="both"/>
        <w:rPr>
          <w:rFonts w:ascii="Palatino Linotype" w:eastAsia="MS Gothic" w:hAnsi="Palatino Linotype" w:cstheme="majorBidi"/>
          <w:lang w:val="es-ES_tradnl" w:eastAsia="es-ES"/>
        </w:rPr>
      </w:pPr>
      <w:r w:rsidRPr="00395986">
        <w:rPr>
          <w:rFonts w:ascii="Palatino Linotype" w:eastAsia="Palatino Linotype" w:hAnsi="Palatino Linotype" w:cs="Palatino Linotype"/>
          <w:color w:val="000000"/>
        </w:rPr>
        <w:t xml:space="preserve">Lo anterior es así, debido a que cuando un Recurrente impugna la respuesta del Sujeto Obligado, y éste no expresa Razón o Motivo de Inconformidad en contra de todos los rubros solicitados, dichos rubros deben declararse atendidos, pues se entiende que el </w:t>
      </w:r>
      <w:r w:rsidRPr="00395986">
        <w:rPr>
          <w:rFonts w:ascii="Palatino Linotype" w:eastAsia="Palatino Linotype" w:hAnsi="Palatino Linotype" w:cs="Palatino Linotype"/>
          <w:b/>
          <w:color w:val="000000"/>
        </w:rPr>
        <w:t xml:space="preserve">Recurrente </w:t>
      </w:r>
      <w:r w:rsidRPr="00395986">
        <w:rPr>
          <w:rFonts w:ascii="Palatino Linotype" w:eastAsia="Palatino Linotype" w:hAnsi="Palatino Linotype" w:cs="Palatino Linotype"/>
          <w:color w:val="000000"/>
        </w:rPr>
        <w:t>está conforme con la información entregada al no contravenir la misma. Sirve de Apoyo a lo anterior, por analogía la Tesis Jurisprudencial Número 3ª./J.7/91, Publicada en el Semanario Judicial de la Federación y su Gaceta bajo el número de registro 174,177, que establece lo siguiente:</w:t>
      </w:r>
    </w:p>
    <w:p w14:paraId="74BF46B2" w14:textId="77777777" w:rsidR="00906281" w:rsidRPr="00395986" w:rsidRDefault="00906281" w:rsidP="00906281">
      <w:pPr>
        <w:pStyle w:val="Prrafodelista"/>
        <w:spacing w:line="360" w:lineRule="auto"/>
        <w:ind w:left="851" w:right="822"/>
        <w:jc w:val="both"/>
        <w:rPr>
          <w:rFonts w:ascii="Palatino Linotype" w:eastAsia="Palatino Linotype" w:hAnsi="Palatino Linotype" w:cs="Palatino Linotype"/>
          <w:b/>
          <w:i/>
          <w:color w:val="000000"/>
          <w:szCs w:val="22"/>
        </w:rPr>
      </w:pPr>
    </w:p>
    <w:p w14:paraId="6907FDCB" w14:textId="77777777" w:rsidR="00906281" w:rsidRPr="00395986" w:rsidRDefault="00906281" w:rsidP="00906281">
      <w:pPr>
        <w:pStyle w:val="Prrafodelista"/>
        <w:spacing w:line="360" w:lineRule="auto"/>
        <w:ind w:left="851" w:right="822"/>
        <w:jc w:val="both"/>
        <w:rPr>
          <w:rFonts w:ascii="Palatino Linotype" w:eastAsia="Palatino Linotype" w:hAnsi="Palatino Linotype" w:cs="Palatino Linotype"/>
          <w:i/>
          <w:color w:val="000000"/>
          <w:szCs w:val="22"/>
        </w:rPr>
      </w:pPr>
      <w:r w:rsidRPr="00395986">
        <w:rPr>
          <w:rFonts w:ascii="Palatino Linotype" w:eastAsia="Palatino Linotype" w:hAnsi="Palatino Linotype" w:cs="Palatino Linotype"/>
          <w:b/>
          <w:i/>
          <w:color w:val="000000"/>
          <w:szCs w:val="22"/>
        </w:rPr>
        <w:t xml:space="preserve">“REVISIÓN EN AMPARO. LOS RESOLUTIVOS NO COMBATIDOS DEBEN DECLARARSE FIRMES. </w:t>
      </w:r>
      <w:r w:rsidRPr="00395986">
        <w:rPr>
          <w:rFonts w:ascii="Palatino Linotype" w:eastAsia="Palatino Linotype" w:hAnsi="Palatino Linotype" w:cs="Palatino Linotype"/>
          <w:i/>
          <w:color w:val="000000"/>
          <w:szCs w:val="22"/>
        </w:rPr>
        <w:t>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72A03A92" w14:textId="77777777" w:rsidR="00906281" w:rsidRPr="00395986" w:rsidRDefault="00906281" w:rsidP="00906281">
      <w:pPr>
        <w:pStyle w:val="Prrafodelista"/>
        <w:spacing w:line="360" w:lineRule="auto"/>
        <w:ind w:left="851" w:right="822"/>
        <w:jc w:val="both"/>
        <w:rPr>
          <w:rFonts w:ascii="Palatino Linotype" w:eastAsia="Palatino Linotype" w:hAnsi="Palatino Linotype" w:cs="Palatino Linotype"/>
          <w:i/>
          <w:color w:val="000000"/>
          <w:szCs w:val="22"/>
        </w:rPr>
      </w:pPr>
    </w:p>
    <w:p w14:paraId="07F3ED7A" w14:textId="77777777" w:rsidR="00906281" w:rsidRPr="00395986" w:rsidRDefault="00906281" w:rsidP="00906281">
      <w:pPr>
        <w:pStyle w:val="Prrafodelista"/>
        <w:numPr>
          <w:ilvl w:val="0"/>
          <w:numId w:val="13"/>
        </w:numPr>
        <w:spacing w:line="360" w:lineRule="auto"/>
        <w:ind w:left="0" w:firstLine="0"/>
        <w:jc w:val="both"/>
        <w:rPr>
          <w:rFonts w:ascii="Palatino Linotype" w:eastAsia="Palatino Linotype" w:hAnsi="Palatino Linotype" w:cs="Palatino Linotype"/>
          <w:color w:val="000000"/>
          <w:sz w:val="24"/>
        </w:rPr>
      </w:pPr>
      <w:r w:rsidRPr="00395986">
        <w:rPr>
          <w:rFonts w:ascii="Palatino Linotype" w:eastAsia="Palatino Linotype" w:hAnsi="Palatino Linotype" w:cs="Palatino Linotype"/>
          <w:color w:val="000000"/>
          <w:sz w:val="24"/>
        </w:rPr>
        <w:t xml:space="preserve">Consecuentemente, se reitera que la parte de la solicitud que no fue impugnada debe declararse consentida por </w:t>
      </w:r>
      <w:r w:rsidRPr="00395986">
        <w:rPr>
          <w:rFonts w:ascii="Palatino Linotype" w:eastAsia="Palatino Linotype" w:hAnsi="Palatino Linotype" w:cs="Palatino Linotype"/>
          <w:b/>
          <w:color w:val="000000"/>
          <w:sz w:val="24"/>
        </w:rPr>
        <w:t>el Recurrente</w:t>
      </w:r>
      <w:r w:rsidRPr="00395986">
        <w:rPr>
          <w:rFonts w:ascii="Palatino Linotype" w:eastAsia="Palatino Linotype" w:hAnsi="Palatino Linotype" w:cs="Palatino Linotype"/>
          <w:color w:val="000000"/>
          <w:sz w:val="24"/>
        </w:rPr>
        <w:t xml:space="preserve">, en razón de que no se realizaron manifestaciones de inconformidad, por lo que no pueden producirse efectos jurídicos tendentes a revocar, confirmar o modificar el acto reclamado ya que se infiere un consentimiento del </w:t>
      </w:r>
      <w:r w:rsidRPr="00395986">
        <w:rPr>
          <w:rFonts w:ascii="Palatino Linotype" w:eastAsia="Palatino Linotype" w:hAnsi="Palatino Linotype" w:cs="Palatino Linotype"/>
          <w:b/>
          <w:color w:val="000000"/>
          <w:sz w:val="24"/>
        </w:rPr>
        <w:t xml:space="preserve">Recurrente </w:t>
      </w:r>
      <w:r w:rsidRPr="00395986">
        <w:rPr>
          <w:rFonts w:ascii="Palatino Linotype" w:eastAsia="Palatino Linotype" w:hAnsi="Palatino Linotype" w:cs="Palatino Linotype"/>
          <w:color w:val="000000"/>
          <w:sz w:val="24"/>
        </w:rPr>
        <w:t xml:space="preserve">ante la falta de impugnación eficaz. </w:t>
      </w:r>
    </w:p>
    <w:p w14:paraId="33EA0D4E" w14:textId="77777777" w:rsidR="00906281" w:rsidRPr="00395986" w:rsidRDefault="00906281" w:rsidP="00906281">
      <w:pPr>
        <w:pStyle w:val="Prrafodelista"/>
        <w:spacing w:line="360" w:lineRule="auto"/>
        <w:ind w:left="0"/>
        <w:jc w:val="both"/>
        <w:rPr>
          <w:rFonts w:ascii="Palatino Linotype" w:eastAsia="Palatino Linotype" w:hAnsi="Palatino Linotype" w:cs="Palatino Linotype"/>
          <w:color w:val="000000"/>
          <w:sz w:val="24"/>
        </w:rPr>
      </w:pPr>
    </w:p>
    <w:p w14:paraId="350D34B7" w14:textId="77777777" w:rsidR="00906281" w:rsidRPr="00395986" w:rsidRDefault="00906281" w:rsidP="00906281">
      <w:pPr>
        <w:pStyle w:val="Prrafodelista"/>
        <w:numPr>
          <w:ilvl w:val="0"/>
          <w:numId w:val="13"/>
        </w:numPr>
        <w:spacing w:line="360" w:lineRule="auto"/>
        <w:ind w:left="0" w:firstLine="0"/>
        <w:jc w:val="both"/>
        <w:rPr>
          <w:rFonts w:ascii="Palatino Linotype" w:eastAsia="Palatino Linotype" w:hAnsi="Palatino Linotype" w:cs="Palatino Linotype"/>
          <w:color w:val="000000"/>
          <w:sz w:val="24"/>
        </w:rPr>
      </w:pPr>
      <w:r w:rsidRPr="00395986">
        <w:rPr>
          <w:rFonts w:ascii="Palatino Linotype" w:eastAsia="Palatino Linotype" w:hAnsi="Palatino Linotype" w:cs="Palatino Linotype"/>
          <w:color w:val="000000"/>
          <w:sz w:val="24"/>
        </w:rPr>
        <w:t>Sirve de sustento a lo anterior por analogía la tesis jurisprudencial número VI.3o.C. J/60, publicada en el Semanario Judicial de la Federación y su Gaceta bajo el número de registro 176,608 que a la letra dice:</w:t>
      </w:r>
    </w:p>
    <w:p w14:paraId="56AC1FFA" w14:textId="77777777" w:rsidR="00906281" w:rsidRPr="00395986" w:rsidRDefault="00906281" w:rsidP="00906281">
      <w:pPr>
        <w:pStyle w:val="Prrafodelista"/>
        <w:spacing w:line="360" w:lineRule="auto"/>
        <w:ind w:left="0"/>
        <w:jc w:val="both"/>
        <w:rPr>
          <w:rFonts w:ascii="Palatino Linotype" w:eastAsia="Palatino Linotype" w:hAnsi="Palatino Linotype" w:cs="Palatino Linotype"/>
          <w:color w:val="000000"/>
          <w:sz w:val="24"/>
        </w:rPr>
      </w:pPr>
    </w:p>
    <w:p w14:paraId="2453AF4F" w14:textId="77777777" w:rsidR="00906281" w:rsidRPr="00395986" w:rsidRDefault="00906281" w:rsidP="00906281">
      <w:pPr>
        <w:pStyle w:val="Prrafodelista"/>
        <w:spacing w:line="360" w:lineRule="auto"/>
        <w:ind w:left="851" w:right="822"/>
        <w:jc w:val="both"/>
        <w:rPr>
          <w:rFonts w:ascii="Palatino Linotype" w:eastAsia="Palatino Linotype" w:hAnsi="Palatino Linotype" w:cs="Palatino Linotype"/>
          <w:i/>
          <w:color w:val="000000"/>
          <w:szCs w:val="22"/>
        </w:rPr>
      </w:pPr>
      <w:r w:rsidRPr="00395986">
        <w:rPr>
          <w:rFonts w:ascii="Palatino Linotype" w:eastAsia="Palatino Linotype" w:hAnsi="Palatino Linotype" w:cs="Palatino Linotype"/>
          <w:b/>
          <w:i/>
          <w:smallCaps/>
          <w:color w:val="000000"/>
          <w:szCs w:val="22"/>
        </w:rPr>
        <w:t xml:space="preserve">“ACTOS CONSENTIDOS. SON LOS QUE NO SE IMPUGNAN MEDIANTE EL RECURSO IDÓNEO. </w:t>
      </w:r>
      <w:r w:rsidRPr="00395986">
        <w:rPr>
          <w:rFonts w:ascii="Palatino Linotype" w:eastAsia="Palatino Linotype" w:hAnsi="Palatino Linotype" w:cs="Palatino Linotype"/>
          <w:i/>
          <w:color w:val="000000"/>
          <w:szCs w:val="22"/>
        </w:rPr>
        <w:t>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39793C59" w14:textId="77777777" w:rsidR="00906281" w:rsidRPr="00395986" w:rsidRDefault="00906281" w:rsidP="00906281">
      <w:pPr>
        <w:pStyle w:val="Prrafodelista"/>
        <w:spacing w:line="360" w:lineRule="auto"/>
        <w:ind w:left="644" w:right="900"/>
        <w:jc w:val="both"/>
        <w:rPr>
          <w:rFonts w:ascii="Palatino Linotype" w:eastAsia="Palatino Linotype" w:hAnsi="Palatino Linotype" w:cs="Palatino Linotype"/>
        </w:rPr>
      </w:pPr>
    </w:p>
    <w:p w14:paraId="7B0CE337" w14:textId="77777777" w:rsidR="00906281" w:rsidRPr="00395986" w:rsidRDefault="00906281" w:rsidP="00906281">
      <w:pPr>
        <w:pStyle w:val="Prrafodelista"/>
        <w:numPr>
          <w:ilvl w:val="0"/>
          <w:numId w:val="13"/>
        </w:numPr>
        <w:spacing w:line="360" w:lineRule="auto"/>
        <w:ind w:left="0" w:firstLine="0"/>
        <w:jc w:val="both"/>
        <w:rPr>
          <w:rFonts w:ascii="Palatino Linotype" w:eastAsia="Palatino Linotype" w:hAnsi="Palatino Linotype" w:cs="Palatino Linotype"/>
          <w:sz w:val="24"/>
        </w:rPr>
      </w:pPr>
      <w:r w:rsidRPr="00395986">
        <w:rPr>
          <w:rFonts w:ascii="Palatino Linotype" w:eastAsia="Palatino Linotype" w:hAnsi="Palatino Linotype" w:cs="Palatino Linotype"/>
          <w:sz w:val="24"/>
        </w:rPr>
        <w:t xml:space="preserve">Para mayor abundamiento, también resulta aplicable el criterio 01/20 emitido por el Instituto Nacional de Transparencia, Acceso a la Información Pública y Protección de Datos Personales, que a la letra estipula lo siguiente: </w:t>
      </w:r>
    </w:p>
    <w:p w14:paraId="3875C0B9" w14:textId="77777777" w:rsidR="00906281" w:rsidRPr="00395986" w:rsidRDefault="00906281" w:rsidP="00906281">
      <w:pPr>
        <w:pStyle w:val="Prrafodelista"/>
        <w:spacing w:line="360" w:lineRule="auto"/>
        <w:ind w:left="0"/>
        <w:jc w:val="both"/>
        <w:rPr>
          <w:rFonts w:ascii="Palatino Linotype" w:eastAsia="Palatino Linotype" w:hAnsi="Palatino Linotype" w:cs="Palatino Linotype"/>
          <w:sz w:val="24"/>
        </w:rPr>
      </w:pPr>
    </w:p>
    <w:p w14:paraId="186F49E8" w14:textId="77777777" w:rsidR="00906281" w:rsidRPr="00395986" w:rsidRDefault="00906281" w:rsidP="00906281">
      <w:pPr>
        <w:pStyle w:val="Prrafodelista"/>
        <w:spacing w:line="360" w:lineRule="auto"/>
        <w:ind w:left="851" w:right="822"/>
        <w:jc w:val="both"/>
        <w:rPr>
          <w:rFonts w:ascii="Palatino Linotype" w:eastAsia="Palatino Linotype" w:hAnsi="Palatino Linotype" w:cs="Palatino Linotype"/>
          <w:i/>
        </w:rPr>
      </w:pPr>
      <w:r w:rsidRPr="00395986">
        <w:rPr>
          <w:rFonts w:ascii="Palatino Linotype" w:eastAsia="Palatino Linotype" w:hAnsi="Palatino Linotype" w:cs="Palatino Linotype"/>
          <w:b/>
          <w:i/>
        </w:rPr>
        <w:t>“Actos consentidos tácitamente. Improcedencia de su análisis.</w:t>
      </w:r>
      <w:r w:rsidRPr="00395986">
        <w:rPr>
          <w:rFonts w:ascii="Palatino Linotype" w:eastAsia="Palatino Linotype" w:hAnsi="Palatino Linotype" w:cs="Palatino Linotype"/>
          <w:i/>
        </w:rPr>
        <w:t xml:space="preserve"> Si en su recurso de revisión, la persona recurrente no expresó inconformidad alguna con ciertas partes de la respuesta otorgada, se entienden tácitamente consentidas, por ende, no deben formar parte del estudio de fondo de la resolución que emite el Instituto.”</w:t>
      </w:r>
    </w:p>
    <w:p w14:paraId="007314D0" w14:textId="77777777" w:rsidR="00906281" w:rsidRPr="00395986" w:rsidRDefault="00906281" w:rsidP="00906281">
      <w:pPr>
        <w:pStyle w:val="Prrafodelista"/>
        <w:spacing w:line="360" w:lineRule="auto"/>
        <w:ind w:left="851" w:right="822"/>
        <w:jc w:val="both"/>
        <w:rPr>
          <w:rFonts w:ascii="Palatino Linotype" w:eastAsia="Palatino Linotype" w:hAnsi="Palatino Linotype" w:cs="Palatino Linotype"/>
          <w:i/>
        </w:rPr>
      </w:pPr>
    </w:p>
    <w:p w14:paraId="4BAF2C1F" w14:textId="77777777" w:rsidR="005C54D8" w:rsidRPr="00395986" w:rsidRDefault="00906281" w:rsidP="005C54D8">
      <w:pPr>
        <w:pStyle w:val="Prrafodelista"/>
        <w:numPr>
          <w:ilvl w:val="0"/>
          <w:numId w:val="13"/>
        </w:numPr>
        <w:spacing w:line="360" w:lineRule="auto"/>
        <w:ind w:left="0" w:firstLine="0"/>
        <w:jc w:val="both"/>
        <w:rPr>
          <w:rFonts w:ascii="Palatino Linotype" w:eastAsia="Palatino Linotype" w:hAnsi="Palatino Linotype" w:cs="Palatino Linotype"/>
          <w:b/>
          <w:sz w:val="24"/>
        </w:rPr>
      </w:pPr>
      <w:bookmarkStart w:id="11" w:name="_Hlk115717985"/>
      <w:r w:rsidRPr="00395986">
        <w:rPr>
          <w:rFonts w:ascii="Palatino Linotype" w:eastAsia="Palatino Linotype" w:hAnsi="Palatino Linotype" w:cs="Palatino Linotype"/>
          <w:sz w:val="24"/>
        </w:rPr>
        <w:t xml:space="preserve">Derivado de lo anteriormente referido, y a efecto de garantizar el efectivo ejercicio del derecho de acceso a la información pública que asiste al particular, resulta </w:t>
      </w:r>
      <w:r w:rsidRPr="00395986">
        <w:rPr>
          <w:rFonts w:ascii="Palatino Linotype" w:eastAsia="Palatino Linotype" w:hAnsi="Palatino Linotype" w:cs="Palatino Linotype"/>
          <w:sz w:val="24"/>
        </w:rPr>
        <w:lastRenderedPageBreak/>
        <w:t xml:space="preserve">conveniente precisar que el presente análisis versará únicamente sobre </w:t>
      </w:r>
      <w:r w:rsidR="005C54D8" w:rsidRPr="00395986">
        <w:rPr>
          <w:rFonts w:ascii="Palatino Linotype" w:eastAsia="Palatino Linotype" w:hAnsi="Palatino Linotype" w:cs="Palatino Linotype"/>
          <w:sz w:val="24"/>
        </w:rPr>
        <w:t xml:space="preserve">los nombres de los titulares de las licencias de funcionamiento. </w:t>
      </w:r>
    </w:p>
    <w:p w14:paraId="1FA42B17" w14:textId="77777777" w:rsidR="005C54D8" w:rsidRPr="00395986" w:rsidRDefault="005C54D8" w:rsidP="005C54D8">
      <w:pPr>
        <w:pStyle w:val="Prrafodelista"/>
        <w:spacing w:line="360" w:lineRule="auto"/>
        <w:ind w:left="0"/>
        <w:jc w:val="both"/>
        <w:rPr>
          <w:rFonts w:ascii="Palatino Linotype" w:eastAsia="Palatino Linotype" w:hAnsi="Palatino Linotype" w:cs="Palatino Linotype"/>
          <w:b/>
          <w:sz w:val="24"/>
        </w:rPr>
      </w:pPr>
    </w:p>
    <w:p w14:paraId="0E03FEA6" w14:textId="77777777" w:rsidR="00C61B6B" w:rsidRPr="00395986" w:rsidRDefault="005C54D8" w:rsidP="00C61B6B">
      <w:pPr>
        <w:pStyle w:val="Prrafodelista"/>
        <w:numPr>
          <w:ilvl w:val="0"/>
          <w:numId w:val="13"/>
        </w:numPr>
        <w:spacing w:line="360" w:lineRule="auto"/>
        <w:ind w:left="0" w:firstLine="0"/>
        <w:jc w:val="both"/>
        <w:rPr>
          <w:rFonts w:ascii="Palatino Linotype" w:eastAsia="Palatino Linotype" w:hAnsi="Palatino Linotype" w:cs="Palatino Linotype"/>
          <w:b/>
          <w:sz w:val="24"/>
        </w:rPr>
      </w:pPr>
      <w:r w:rsidRPr="00395986">
        <w:rPr>
          <w:rFonts w:ascii="Palatino Linotype" w:eastAsia="Palatino Linotype" w:hAnsi="Palatino Linotype" w:cs="Palatino Linotype"/>
          <w:sz w:val="24"/>
        </w:rPr>
        <w:t xml:space="preserve">Ahora bien, el </w:t>
      </w:r>
      <w:r w:rsidRPr="00395986">
        <w:rPr>
          <w:rFonts w:ascii="Palatino Linotype" w:eastAsia="Calibri" w:hAnsi="Palatino Linotype" w:cs="Tahoma"/>
          <w:bCs/>
          <w:sz w:val="24"/>
          <w:lang w:eastAsia="en-US"/>
        </w:rPr>
        <w:t xml:space="preserve">nombre de una persona física se integra con el sustantivo propio y el primer apellido de los padres; asimismo es la manifestación principal del derecho subjetivo a la personalidad y atributo de esta en términos del artículo 2.3 del Código Civil del Estado de México, de tal suerte, el nombre </w:t>
      </w:r>
      <w:r w:rsidRPr="00395986">
        <w:rPr>
          <w:rFonts w:ascii="Palatino Linotype" w:eastAsia="Calibri" w:hAnsi="Palatino Linotype" w:cs="Tahoma"/>
          <w:bCs/>
          <w:i/>
          <w:sz w:val="24"/>
          <w:lang w:eastAsia="en-US"/>
        </w:rPr>
        <w:t>per se</w:t>
      </w:r>
      <w:r w:rsidRPr="00395986">
        <w:rPr>
          <w:rFonts w:ascii="Palatino Linotype" w:eastAsia="Calibri" w:hAnsi="Palatino Linotype" w:cs="Tahoma"/>
          <w:bCs/>
          <w:sz w:val="24"/>
          <w:lang w:eastAsia="en-US"/>
        </w:rPr>
        <w:t xml:space="preserve"> es un elemento que hace a una persona física identificada o identificable, por lo que, tiene la naturaleza de dato personal.</w:t>
      </w:r>
    </w:p>
    <w:p w14:paraId="00855F42" w14:textId="77777777" w:rsidR="00C61B6B" w:rsidRPr="00395986" w:rsidRDefault="00C61B6B" w:rsidP="00C61B6B">
      <w:pPr>
        <w:pStyle w:val="Prrafodelista"/>
        <w:spacing w:line="360" w:lineRule="auto"/>
        <w:ind w:left="0"/>
        <w:jc w:val="both"/>
        <w:rPr>
          <w:rFonts w:ascii="Palatino Linotype" w:eastAsia="Palatino Linotype" w:hAnsi="Palatino Linotype" w:cs="Palatino Linotype"/>
          <w:b/>
          <w:sz w:val="24"/>
        </w:rPr>
      </w:pPr>
    </w:p>
    <w:p w14:paraId="3C1B9697" w14:textId="77777777" w:rsidR="002D6639" w:rsidRPr="00395986" w:rsidRDefault="002D6639" w:rsidP="002D6639">
      <w:pPr>
        <w:numPr>
          <w:ilvl w:val="0"/>
          <w:numId w:val="13"/>
        </w:numPr>
        <w:spacing w:line="360" w:lineRule="auto"/>
        <w:ind w:left="0" w:right="-93" w:firstLine="0"/>
        <w:contextualSpacing/>
        <w:jc w:val="both"/>
        <w:rPr>
          <w:rFonts w:ascii="Palatino Linotype" w:eastAsia="Calibri" w:hAnsi="Palatino Linotype" w:cs="Tahoma"/>
          <w:b/>
          <w:bCs/>
          <w:lang w:val="es-ES_tradnl" w:eastAsia="en-US"/>
        </w:rPr>
      </w:pPr>
      <w:r w:rsidRPr="00395986">
        <w:rPr>
          <w:rFonts w:ascii="Palatino Linotype" w:eastAsia="Calibri" w:hAnsi="Palatino Linotype" w:cs="Tahoma"/>
          <w:bCs/>
          <w:lang w:val="es-ES_tradnl" w:eastAsia="en-US"/>
        </w:rPr>
        <w:t>Sobre el tema, se tiene presente que, este Instituto emitió el Criterio Relevante 01/18, de la Segunda Época de este Instituto, que establece que el nombre del titular de una licencia, como en el caso que nos ocupa, es información confidencial, cuando no involucra aprovechamiento de recursos públicos.</w:t>
      </w:r>
    </w:p>
    <w:p w14:paraId="096CFD92" w14:textId="77777777" w:rsidR="002D6639" w:rsidRPr="00395986" w:rsidRDefault="002D6639" w:rsidP="002D6639">
      <w:pPr>
        <w:spacing w:line="360" w:lineRule="auto"/>
        <w:jc w:val="both"/>
        <w:rPr>
          <w:rFonts w:ascii="Palatino Linotype" w:eastAsia="Calibri" w:hAnsi="Palatino Linotype" w:cs="Tahoma"/>
          <w:bCs/>
          <w:lang w:val="es-ES_tradnl" w:eastAsia="en-US"/>
        </w:rPr>
      </w:pPr>
    </w:p>
    <w:p w14:paraId="35486DEE" w14:textId="77777777" w:rsidR="002D6639" w:rsidRPr="00395986" w:rsidRDefault="002D6639" w:rsidP="002D6639">
      <w:pPr>
        <w:spacing w:line="360" w:lineRule="auto"/>
        <w:ind w:left="567" w:right="567"/>
        <w:jc w:val="both"/>
        <w:rPr>
          <w:rFonts w:ascii="Palatino Linotype" w:eastAsiaTheme="minorHAnsi" w:hAnsi="Palatino Linotype" w:cs="Tahoma"/>
          <w:bCs/>
          <w:i/>
          <w:sz w:val="22"/>
          <w:lang w:val="es-ES_tradnl"/>
        </w:rPr>
      </w:pPr>
      <w:r w:rsidRPr="00395986">
        <w:rPr>
          <w:rFonts w:ascii="Palatino Linotype" w:eastAsiaTheme="minorHAnsi" w:hAnsi="Palatino Linotype" w:cs="Tahoma"/>
          <w:b/>
          <w:bCs/>
          <w:i/>
          <w:sz w:val="22"/>
          <w:lang w:val="es-ES_tradnl"/>
        </w:rPr>
        <w:t>“Nombre del titular de una licencia que no involucre el aprovechamiento de bienes, servicios y/o recursos públicos, constituye un dato personal susceptible de clasificar como confidencial.</w:t>
      </w:r>
      <w:r w:rsidRPr="00395986">
        <w:rPr>
          <w:rFonts w:ascii="Palatino Linotype" w:eastAsiaTheme="minorHAnsi" w:hAnsi="Palatino Linotype" w:cs="Tahoma"/>
          <w:bCs/>
          <w:i/>
          <w:sz w:val="22"/>
          <w:lang w:val="es-ES_tradnl"/>
        </w:rPr>
        <w:t xml:space="preserve"> El artículo 1, párrafo segundo de la Constitución Política de los Estados Unidos Mexicanos determina que las normas relativas a los derechos humanos se interpretarán de conformidad con la Constitución y con los tratados internacionales de la materia favoreciendo en todo tiempo a las personas la protección más amplia, por su parte el artículo 6, apartado A, fracciones I y II, de dicho ordenamiento establece que toda información en posesión de los sujetos obligados es pública y sólo podrá limitarse de manera justificada por razones de interés público, seguridad nacional, y para proteger la vida privada y datos personales en los términos precisados por las Leyes reglamentarias. Ahora bien, el artículo 92, fracción XXXII de la Ley de Transparencia y </w:t>
      </w:r>
      <w:r w:rsidRPr="00395986">
        <w:rPr>
          <w:rFonts w:ascii="Palatino Linotype" w:eastAsiaTheme="minorHAnsi" w:hAnsi="Palatino Linotype" w:cs="Tahoma"/>
          <w:bCs/>
          <w:i/>
          <w:sz w:val="22"/>
          <w:lang w:val="es-ES_tradnl"/>
        </w:rPr>
        <w:lastRenderedPageBreak/>
        <w:t>Acceso a la Información Pública del Estado de México y Municipios, señala que el nombre de los titulares de las licencias es un dato de carácter público, no obstante, para su aplicación, dicho numeral debe ser interpretado de manera armónica y sistemática con el ordenamiento reglamentario de la materia de transparencia y protección de datos personales, pues la intromisión a los datos personales de particulares únicamente se verá justificada cuando se involucre el aprovechamiento de bienes, servicios y/o recursos públicos en términos de lo dispuesto por los artículos 6, 92, fracción XXXII, 122 y 143, fracción I, de la Ley de Transparencia referida en concordancia con lo establecido por los numerales 6 y 15 de la Ley de Protección de Datos Personales en Posesión de Sujetos Obligados de la entidad. En ese sentido, el nombre de los titulares de licencias constituye un dato personal que debe ser tratado bajo los principios y términos de la ley reglamentaria de la materia, y para su publicidad se requerirá que la expedición de la licencia correspondiente involucre el aprovechamiento de bienes, servicios y/o recursos públicos, caso contrario se deberá clasificar como confidencial.”</w:t>
      </w:r>
    </w:p>
    <w:p w14:paraId="36AE1D87" w14:textId="77777777" w:rsidR="002D6639" w:rsidRPr="00395986" w:rsidRDefault="002D6639" w:rsidP="002D6639">
      <w:pPr>
        <w:spacing w:line="360" w:lineRule="auto"/>
        <w:ind w:right="-93"/>
        <w:jc w:val="both"/>
        <w:rPr>
          <w:rFonts w:ascii="Palatino Linotype" w:eastAsia="Calibri" w:hAnsi="Palatino Linotype" w:cs="Tahoma"/>
          <w:bCs/>
          <w:lang w:val="es-ES_tradnl" w:eastAsia="en-US"/>
        </w:rPr>
      </w:pPr>
    </w:p>
    <w:p w14:paraId="50AF8441" w14:textId="77777777" w:rsidR="002D6639" w:rsidRPr="00395986" w:rsidRDefault="002D6639" w:rsidP="002D6639">
      <w:pPr>
        <w:numPr>
          <w:ilvl w:val="0"/>
          <w:numId w:val="13"/>
        </w:numPr>
        <w:spacing w:line="360" w:lineRule="auto"/>
        <w:ind w:left="0" w:right="-93" w:firstLine="0"/>
        <w:contextualSpacing/>
        <w:jc w:val="both"/>
        <w:rPr>
          <w:rFonts w:ascii="Palatino Linotype" w:eastAsia="Calibri" w:hAnsi="Palatino Linotype" w:cs="Tahoma"/>
          <w:bCs/>
          <w:lang w:val="es-ES_tradnl" w:eastAsia="en-US"/>
        </w:rPr>
      </w:pPr>
      <w:r w:rsidRPr="00395986">
        <w:rPr>
          <w:rFonts w:ascii="Palatino Linotype" w:eastAsia="Calibri" w:hAnsi="Palatino Linotype" w:cs="Tahoma"/>
          <w:bCs/>
          <w:lang w:val="es-ES_tradnl" w:eastAsia="en-US"/>
        </w:rPr>
        <w:t>En el Criterio en citado, contempla que si bien el nombre de los titulares de las licencias es un dato de carácter público, en términos del artículo 92, fracción XXXII de la Ley de Transparencia y Acceso a la Información Pública del Estado de México y Municipios, dicho precepto legal debe ser interpretado de manera armónica y sistemática, pues la intromisión a los datos personales de particulares únicamente se verá justificada cuando involucre el aprovechamiento de bienes, servicios o recursos públicos; por lo que constituye un dato personal, a menos que se actualice alguno de los supuestos previamente señalados.</w:t>
      </w:r>
    </w:p>
    <w:p w14:paraId="7871A500" w14:textId="77777777" w:rsidR="002D6639" w:rsidRPr="00395986" w:rsidRDefault="002D6639" w:rsidP="002D6639">
      <w:pPr>
        <w:spacing w:line="360" w:lineRule="auto"/>
        <w:ind w:right="-93"/>
        <w:contextualSpacing/>
        <w:jc w:val="both"/>
        <w:rPr>
          <w:rFonts w:ascii="Palatino Linotype" w:eastAsia="Calibri" w:hAnsi="Palatino Linotype" w:cs="Tahoma"/>
          <w:bCs/>
          <w:lang w:val="es-ES_tradnl" w:eastAsia="en-US"/>
        </w:rPr>
      </w:pPr>
    </w:p>
    <w:p w14:paraId="3AD3E6B7" w14:textId="77777777" w:rsidR="002D6639" w:rsidRPr="00395986" w:rsidRDefault="002D6639" w:rsidP="002D6639">
      <w:pPr>
        <w:numPr>
          <w:ilvl w:val="0"/>
          <w:numId w:val="13"/>
        </w:numPr>
        <w:spacing w:line="360" w:lineRule="auto"/>
        <w:ind w:left="0" w:right="-93" w:firstLine="0"/>
        <w:contextualSpacing/>
        <w:jc w:val="both"/>
        <w:rPr>
          <w:rFonts w:ascii="Palatino Linotype" w:eastAsia="Calibri" w:hAnsi="Palatino Linotype" w:cs="Tahoma"/>
          <w:bCs/>
          <w:lang w:val="es-ES_tradnl" w:eastAsia="en-US"/>
        </w:rPr>
      </w:pPr>
      <w:r w:rsidRPr="00395986">
        <w:rPr>
          <w:rFonts w:ascii="Palatino Linotype" w:eastAsia="Calibri" w:hAnsi="Palatino Linotype" w:cs="Tahoma"/>
          <w:bCs/>
          <w:lang w:val="es-ES_tradnl" w:eastAsia="en-US"/>
        </w:rPr>
        <w:t xml:space="preserve">No obstante, se considera que el nombre localizado en una licencia de funcionamiento, guarda cierto </w:t>
      </w:r>
      <w:r w:rsidRPr="00395986">
        <w:rPr>
          <w:rFonts w:ascii="Palatino Linotype" w:eastAsia="Calibri" w:hAnsi="Palatino Linotype" w:cs="Tahoma"/>
          <w:b/>
          <w:bCs/>
          <w:lang w:val="es-ES_tradnl" w:eastAsia="en-US"/>
        </w:rPr>
        <w:t>interés público</w:t>
      </w:r>
      <w:r w:rsidRPr="00395986">
        <w:rPr>
          <w:rFonts w:ascii="Palatino Linotype" w:eastAsia="Calibri" w:hAnsi="Palatino Linotype" w:cs="Tahoma"/>
          <w:bCs/>
          <w:lang w:val="es-ES_tradnl" w:eastAsia="en-US"/>
        </w:rPr>
        <w:t xml:space="preserve">, dado que cualquier actividad </w:t>
      </w:r>
      <w:r w:rsidRPr="00395986">
        <w:rPr>
          <w:rFonts w:ascii="Palatino Linotype" w:eastAsia="Calibri" w:hAnsi="Palatino Linotype" w:cs="Tahoma"/>
          <w:bCs/>
          <w:lang w:val="es-ES_tradnl" w:eastAsia="en-US"/>
        </w:rPr>
        <w:lastRenderedPageBreak/>
        <w:t>comercial, industrial o económica, es regulada los Ayuntamientos dentro de su circunscripción territorial, pues ayuda a transparentar la gestión pública.</w:t>
      </w:r>
    </w:p>
    <w:p w14:paraId="6E46BBBE" w14:textId="77777777" w:rsidR="002D6639" w:rsidRPr="00395986" w:rsidRDefault="002D6639" w:rsidP="002D6639">
      <w:pPr>
        <w:contextualSpacing/>
        <w:rPr>
          <w:rFonts w:ascii="Palatino Linotype" w:eastAsia="Calibri" w:hAnsi="Palatino Linotype" w:cs="Tahoma"/>
          <w:bCs/>
          <w:lang w:val="es-ES_tradnl" w:eastAsia="en-US"/>
        </w:rPr>
      </w:pPr>
    </w:p>
    <w:p w14:paraId="2A9D49E2" w14:textId="77777777" w:rsidR="002D6639" w:rsidRPr="00395986" w:rsidRDefault="002D6639" w:rsidP="002D6639">
      <w:pPr>
        <w:numPr>
          <w:ilvl w:val="0"/>
          <w:numId w:val="13"/>
        </w:numPr>
        <w:spacing w:line="360" w:lineRule="auto"/>
        <w:ind w:left="0" w:right="-93" w:firstLine="0"/>
        <w:contextualSpacing/>
        <w:jc w:val="both"/>
        <w:rPr>
          <w:rFonts w:ascii="Palatino Linotype" w:eastAsia="Calibri" w:hAnsi="Palatino Linotype" w:cs="Tahoma"/>
          <w:bCs/>
          <w:lang w:val="es-ES_tradnl" w:eastAsia="en-US"/>
        </w:rPr>
      </w:pPr>
      <w:r w:rsidRPr="00395986">
        <w:rPr>
          <w:rFonts w:ascii="Palatino Linotype" w:eastAsia="Calibri" w:hAnsi="Palatino Linotype" w:cs="Tahoma"/>
          <w:bCs/>
          <w:lang w:val="es-ES_tradnl" w:eastAsia="en-US"/>
        </w:rPr>
        <w:t xml:space="preserve">En ese sentido, el artículo 92, fracción XXXII, de la Ley de Transparencia y Acceso a la Información Pública del Estado de México y Municipios, establece que los Sujetos Obligados deberán poner a disposición del público de manera permanente y actualizada de las licencias otorgadas, especificando los titulares de estas, debiendo publicarse el objeto, </w:t>
      </w:r>
      <w:r w:rsidRPr="00395986">
        <w:rPr>
          <w:rFonts w:ascii="Palatino Linotype" w:eastAsia="Calibri" w:hAnsi="Palatino Linotype" w:cs="Tahoma"/>
          <w:b/>
          <w:bCs/>
          <w:lang w:val="es-ES_tradnl" w:eastAsia="en-US"/>
        </w:rPr>
        <w:t xml:space="preserve">nombre </w:t>
      </w:r>
      <w:r w:rsidRPr="00395986">
        <w:rPr>
          <w:rFonts w:ascii="Palatino Linotype" w:eastAsia="Calibri" w:hAnsi="Palatino Linotype" w:cs="Tahoma"/>
          <w:bCs/>
          <w:lang w:val="es-ES_tradnl" w:eastAsia="en-US"/>
        </w:rPr>
        <w:t xml:space="preserve">o razón social, vigencia, tipo, términos, condiciones, monto o modificación. </w:t>
      </w:r>
    </w:p>
    <w:p w14:paraId="6F281F44" w14:textId="77777777" w:rsidR="002D6639" w:rsidRPr="00395986" w:rsidRDefault="002D6639" w:rsidP="002D6639">
      <w:pPr>
        <w:spacing w:line="360" w:lineRule="auto"/>
        <w:contextualSpacing/>
        <w:rPr>
          <w:rFonts w:ascii="Palatino Linotype" w:eastAsia="Calibri" w:hAnsi="Palatino Linotype" w:cs="Tahoma"/>
          <w:bCs/>
          <w:lang w:val="es-ES_tradnl" w:eastAsia="en-US"/>
        </w:rPr>
      </w:pPr>
    </w:p>
    <w:p w14:paraId="71446E6F" w14:textId="48C9BAEA" w:rsidR="002D6639" w:rsidRPr="00395986" w:rsidRDefault="002D6639" w:rsidP="002D6639">
      <w:pPr>
        <w:numPr>
          <w:ilvl w:val="0"/>
          <w:numId w:val="13"/>
        </w:numPr>
        <w:spacing w:line="360" w:lineRule="auto"/>
        <w:ind w:left="0" w:right="-93" w:firstLine="0"/>
        <w:contextualSpacing/>
        <w:jc w:val="both"/>
        <w:rPr>
          <w:rFonts w:ascii="Palatino Linotype" w:eastAsia="Calibri" w:hAnsi="Palatino Linotype" w:cs="Tahoma"/>
          <w:bCs/>
          <w:lang w:val="es-ES_tradnl" w:eastAsia="en-US"/>
        </w:rPr>
      </w:pPr>
      <w:r w:rsidRPr="00395986">
        <w:rPr>
          <w:rFonts w:ascii="Palatino Linotype" w:eastAsia="Calibri" w:hAnsi="Palatino Linotype" w:cs="Tahoma"/>
          <w:bCs/>
          <w:lang w:val="es-ES_tradnl" w:eastAsia="en-US"/>
        </w:rPr>
        <w:t>Ca</w:t>
      </w:r>
      <w:r w:rsidR="0073428B" w:rsidRPr="00395986">
        <w:rPr>
          <w:rFonts w:ascii="Palatino Linotype" w:eastAsia="Calibri" w:hAnsi="Palatino Linotype" w:cs="Tahoma"/>
          <w:bCs/>
          <w:lang w:val="es-ES_tradnl" w:eastAsia="en-US"/>
        </w:rPr>
        <w:t>be puntualizar que la licencia</w:t>
      </w:r>
      <w:r w:rsidRPr="00395986">
        <w:rPr>
          <w:rFonts w:ascii="Palatino Linotype" w:eastAsia="Calibri" w:hAnsi="Palatino Linotype" w:cs="Tahoma"/>
          <w:bCs/>
          <w:lang w:val="es-ES_tradnl" w:eastAsia="en-US"/>
        </w:rPr>
        <w:t>, se refiere al documento que contiene la autorización por parte de los Ayuntamientos para que un particular pueda realizar una actividad económica, comercial o industrial, regulada por las Leyes respectivas.</w:t>
      </w:r>
    </w:p>
    <w:p w14:paraId="694D868B" w14:textId="77777777" w:rsidR="002D6639" w:rsidRPr="00395986" w:rsidRDefault="002D6639" w:rsidP="002D6639">
      <w:pPr>
        <w:spacing w:line="360" w:lineRule="auto"/>
        <w:contextualSpacing/>
        <w:rPr>
          <w:rFonts w:ascii="Palatino Linotype" w:eastAsia="Calibri" w:hAnsi="Palatino Linotype" w:cs="Tahoma"/>
          <w:bCs/>
          <w:lang w:val="es-ES_tradnl" w:eastAsia="en-US"/>
        </w:rPr>
      </w:pPr>
    </w:p>
    <w:p w14:paraId="5E2F63D4" w14:textId="77777777" w:rsidR="002D6639" w:rsidRPr="00395986" w:rsidRDefault="002D6639" w:rsidP="002D6639">
      <w:pPr>
        <w:numPr>
          <w:ilvl w:val="0"/>
          <w:numId w:val="13"/>
        </w:numPr>
        <w:spacing w:line="360" w:lineRule="auto"/>
        <w:ind w:left="0" w:right="-93" w:firstLine="0"/>
        <w:contextualSpacing/>
        <w:jc w:val="both"/>
        <w:rPr>
          <w:rFonts w:ascii="Palatino Linotype" w:eastAsia="Calibri" w:hAnsi="Palatino Linotype" w:cs="Tahoma"/>
          <w:bCs/>
          <w:lang w:val="es-ES_tradnl" w:eastAsia="en-US"/>
        </w:rPr>
      </w:pPr>
      <w:r w:rsidRPr="00395986">
        <w:rPr>
          <w:rFonts w:ascii="Palatino Linotype" w:eastAsia="Calibri" w:hAnsi="Palatino Linotype" w:cs="Tahoma"/>
          <w:bCs/>
          <w:lang w:val="es-ES_tradnl" w:eastAsia="en-US"/>
        </w:rPr>
        <w:t>En ese sentido, de acuerdo con el artículo 92, fracción XXXII de la Ley en cita, el legislador contempló como información de interés público y que debe estar disponible para consulta, aquellas licencias otorgadas, especificando el nombre de su titular y las   características principales. Ello, con la finalidad de asegurar su mayor difusión, que permita a los ciudadanos evaluar de manera permanente los indicadores más importantes de la gestión pública, como lo son, la autorización de licencias de funcionamiento, pues es facultad exclusiva de los Ayuntamientos.</w:t>
      </w:r>
    </w:p>
    <w:p w14:paraId="5B1593FB" w14:textId="77777777" w:rsidR="002D6639" w:rsidRPr="00395986" w:rsidRDefault="002D6639" w:rsidP="002D6639">
      <w:pPr>
        <w:spacing w:line="360" w:lineRule="auto"/>
        <w:contextualSpacing/>
        <w:rPr>
          <w:rFonts w:ascii="Palatino Linotype" w:eastAsia="Calibri" w:hAnsi="Palatino Linotype" w:cs="Tahoma"/>
          <w:bCs/>
          <w:lang w:val="es-ES_tradnl" w:eastAsia="en-US"/>
        </w:rPr>
      </w:pPr>
    </w:p>
    <w:p w14:paraId="65DAE776" w14:textId="77777777" w:rsidR="002D6639" w:rsidRPr="00395986" w:rsidRDefault="002D6639" w:rsidP="002D6639">
      <w:pPr>
        <w:numPr>
          <w:ilvl w:val="0"/>
          <w:numId w:val="13"/>
        </w:numPr>
        <w:spacing w:line="360" w:lineRule="auto"/>
        <w:ind w:left="0" w:right="-93" w:firstLine="0"/>
        <w:contextualSpacing/>
        <w:jc w:val="both"/>
        <w:rPr>
          <w:rFonts w:ascii="Palatino Linotype" w:eastAsia="Calibri" w:hAnsi="Palatino Linotype" w:cs="Tahoma"/>
          <w:bCs/>
          <w:lang w:val="es-ES_tradnl" w:eastAsia="en-US"/>
        </w:rPr>
      </w:pPr>
      <w:r w:rsidRPr="00395986">
        <w:rPr>
          <w:rFonts w:ascii="Palatino Linotype" w:eastAsia="Calibri" w:hAnsi="Palatino Linotype" w:cs="Tahoma"/>
          <w:bCs/>
          <w:lang w:val="es-ES_tradnl" w:eastAsia="en-US"/>
        </w:rPr>
        <w:t xml:space="preserve">Bajo tal premisa, podría concluirse que la hipótesis normativa del artículo 92, fracción XXXII de la Ley de Transparencia y Acceso a la Información Pública del Estado de México y los Municipios, se traduce en una excepción a la información personal que </w:t>
      </w:r>
      <w:r w:rsidRPr="00395986">
        <w:rPr>
          <w:rFonts w:ascii="Palatino Linotype" w:eastAsia="Calibri" w:hAnsi="Palatino Linotype" w:cs="Tahoma"/>
          <w:bCs/>
          <w:lang w:val="es-ES_tradnl" w:eastAsia="en-US"/>
        </w:rPr>
        <w:lastRenderedPageBreak/>
        <w:t>debe ser protegida, tal como es en el caso que nos ocupa el nombre del titular de una licencia de funcionamiento, por lo que no es dable, como se asienta en el Criterio Relevante, considerar que el nombre de los titulares de licencias de funcionamiento deba ser considerado confidencial, aún y cuando el mismo no involucre aprovechamiento de bienes o recursos públicos.</w:t>
      </w:r>
    </w:p>
    <w:p w14:paraId="19B4864E" w14:textId="77777777" w:rsidR="003B0D34" w:rsidRPr="00395986" w:rsidRDefault="003B0D34" w:rsidP="003B0D34">
      <w:pPr>
        <w:spacing w:line="360" w:lineRule="auto"/>
        <w:ind w:right="-93"/>
        <w:contextualSpacing/>
        <w:jc w:val="both"/>
        <w:rPr>
          <w:rFonts w:ascii="Palatino Linotype" w:eastAsia="Calibri" w:hAnsi="Palatino Linotype" w:cs="Tahoma"/>
          <w:bCs/>
          <w:lang w:val="es-ES_tradnl" w:eastAsia="en-US"/>
        </w:rPr>
      </w:pPr>
    </w:p>
    <w:p w14:paraId="77478F26" w14:textId="77777777" w:rsidR="00431D95" w:rsidRPr="00395986" w:rsidRDefault="00431D95" w:rsidP="00431D95">
      <w:pPr>
        <w:pStyle w:val="Prrafodelista"/>
        <w:numPr>
          <w:ilvl w:val="0"/>
          <w:numId w:val="13"/>
        </w:numPr>
        <w:spacing w:line="360" w:lineRule="auto"/>
        <w:ind w:left="0" w:right="-93" w:firstLine="0"/>
        <w:jc w:val="both"/>
        <w:rPr>
          <w:rFonts w:ascii="Palatino Linotype" w:eastAsia="Calibri" w:hAnsi="Palatino Linotype" w:cs="Tahoma"/>
          <w:bCs/>
          <w:sz w:val="24"/>
          <w:lang w:eastAsia="en-US"/>
        </w:rPr>
      </w:pPr>
      <w:r w:rsidRPr="00395986">
        <w:rPr>
          <w:rFonts w:ascii="Palatino Linotype" w:eastAsia="Calibri" w:hAnsi="Palatino Linotype" w:cs="Tahoma"/>
          <w:bCs/>
          <w:sz w:val="24"/>
          <w:lang w:eastAsia="en-US"/>
        </w:rPr>
        <w:t>Se puede referir que, el artículo 91 de dicho ordenamiento jurídico, establece que la información pública será restringida excepcionalmente, cuando ésta sea clasificada como reservada o confidencial; por lo que, se colige que las obligaciones de transparencia no superan de forma automática la prohibición de no difundir datos personales sin el consentimiento de su titular, como sucede en el caso concreto.</w:t>
      </w:r>
    </w:p>
    <w:p w14:paraId="0F4BA922" w14:textId="77777777" w:rsidR="00431D95" w:rsidRPr="00395986" w:rsidRDefault="00431D95" w:rsidP="00431D95">
      <w:pPr>
        <w:pStyle w:val="Prrafodelista"/>
        <w:spacing w:line="360" w:lineRule="auto"/>
        <w:ind w:left="0"/>
        <w:rPr>
          <w:rFonts w:ascii="Palatino Linotype" w:eastAsia="Calibri" w:hAnsi="Palatino Linotype" w:cs="Tahoma"/>
          <w:bCs/>
          <w:sz w:val="24"/>
          <w:lang w:eastAsia="en-US"/>
        </w:rPr>
      </w:pPr>
    </w:p>
    <w:p w14:paraId="64A4286F" w14:textId="77777777" w:rsidR="00431D95" w:rsidRPr="00395986" w:rsidRDefault="00431D95" w:rsidP="00431D95">
      <w:pPr>
        <w:pStyle w:val="Prrafodelista"/>
        <w:numPr>
          <w:ilvl w:val="0"/>
          <w:numId w:val="13"/>
        </w:numPr>
        <w:spacing w:line="360" w:lineRule="auto"/>
        <w:ind w:left="0" w:right="-93" w:firstLine="0"/>
        <w:jc w:val="both"/>
        <w:rPr>
          <w:rFonts w:ascii="Palatino Linotype" w:eastAsia="Calibri" w:hAnsi="Palatino Linotype" w:cs="Tahoma"/>
          <w:bCs/>
          <w:sz w:val="24"/>
          <w:lang w:eastAsia="en-US"/>
        </w:rPr>
      </w:pPr>
      <w:r w:rsidRPr="00395986">
        <w:rPr>
          <w:rFonts w:ascii="Palatino Linotype" w:eastAsia="Calibri" w:hAnsi="Palatino Linotype" w:cs="Tahoma"/>
          <w:bCs/>
          <w:sz w:val="24"/>
          <w:lang w:eastAsia="en-US"/>
        </w:rPr>
        <w:t xml:space="preserve">Ante tales circunstancias, se desprende que, en el caso concreto, sobreviene una </w:t>
      </w:r>
      <w:r w:rsidRPr="00395986">
        <w:rPr>
          <w:rFonts w:ascii="Palatino Linotype" w:eastAsia="Calibri" w:hAnsi="Palatino Linotype" w:cs="Tahoma"/>
          <w:b/>
          <w:bCs/>
          <w:sz w:val="24"/>
          <w:lang w:eastAsia="en-US"/>
        </w:rPr>
        <w:t>colisión de derechos fundamentales,</w:t>
      </w:r>
      <w:r w:rsidRPr="00395986">
        <w:rPr>
          <w:rFonts w:ascii="Palatino Linotype" w:eastAsia="Calibri" w:hAnsi="Palatino Linotype" w:cs="Tahoma"/>
          <w:bCs/>
          <w:sz w:val="24"/>
          <w:lang w:eastAsia="en-US"/>
        </w:rPr>
        <w:t xml:space="preserve"> esto es, por una parte, se tiene el derecho de acceso a la información, para conocer el nombre de la persona a la cual se le otorgó una licencia para desarrollar determinada actividad, y por la otra, el derecho a la protección de los nombres de aquellas a quienes obtuvieron una autorización específica, lo cual implica dar a conocer datos personales confidenciales consistentes, en el nombre de personas físicas y este vincularlo en la actividad que desarrollan y el lugar en el que se ubica su establecimiento.</w:t>
      </w:r>
    </w:p>
    <w:p w14:paraId="08B0152D" w14:textId="77777777" w:rsidR="00431D95" w:rsidRPr="00395986" w:rsidRDefault="00431D95" w:rsidP="00431D95">
      <w:pPr>
        <w:pStyle w:val="Prrafodelista"/>
        <w:spacing w:line="360" w:lineRule="auto"/>
        <w:ind w:left="0"/>
        <w:rPr>
          <w:rFonts w:ascii="Palatino Linotype" w:eastAsia="Calibri" w:hAnsi="Palatino Linotype" w:cs="Tahoma"/>
          <w:bCs/>
          <w:sz w:val="24"/>
          <w:lang w:eastAsia="en-US"/>
        </w:rPr>
      </w:pPr>
    </w:p>
    <w:p w14:paraId="66291392" w14:textId="77777777" w:rsidR="00431D95" w:rsidRPr="00395986" w:rsidRDefault="00431D95" w:rsidP="00431D95">
      <w:pPr>
        <w:pStyle w:val="Prrafodelista"/>
        <w:numPr>
          <w:ilvl w:val="0"/>
          <w:numId w:val="13"/>
        </w:numPr>
        <w:spacing w:line="360" w:lineRule="auto"/>
        <w:ind w:left="0" w:right="-93" w:firstLine="0"/>
        <w:jc w:val="both"/>
        <w:rPr>
          <w:rFonts w:ascii="Palatino Linotype" w:eastAsia="Calibri" w:hAnsi="Palatino Linotype" w:cs="Tahoma"/>
          <w:bCs/>
          <w:sz w:val="24"/>
          <w:lang w:eastAsia="en-US"/>
        </w:rPr>
      </w:pPr>
      <w:r w:rsidRPr="00395986">
        <w:rPr>
          <w:rFonts w:ascii="Palatino Linotype" w:eastAsia="Calibri" w:hAnsi="Palatino Linotype" w:cs="Tahoma"/>
          <w:bCs/>
          <w:sz w:val="24"/>
          <w:lang w:eastAsia="en-US"/>
        </w:rPr>
        <w:t>Sobre el particular, debe señalarse que en un sistema jurídico los derechos fundamentales no son absolutos y la colisión entre derechos fundamentales debe resolverse mediante una ponderación que determine el derecho que ha de prevalecer en el caso concretó, y no apelando a reglas de prioridad entre normas.</w:t>
      </w:r>
    </w:p>
    <w:p w14:paraId="50E0B908" w14:textId="77777777" w:rsidR="00431D95" w:rsidRPr="00395986" w:rsidRDefault="00431D95" w:rsidP="00431D95">
      <w:pPr>
        <w:pStyle w:val="Prrafodelista"/>
        <w:spacing w:line="360" w:lineRule="auto"/>
        <w:ind w:left="0"/>
        <w:rPr>
          <w:rFonts w:ascii="Palatino Linotype" w:eastAsia="Calibri" w:hAnsi="Palatino Linotype" w:cs="Tahoma"/>
          <w:bCs/>
          <w:sz w:val="24"/>
          <w:lang w:eastAsia="en-US"/>
        </w:rPr>
      </w:pPr>
    </w:p>
    <w:p w14:paraId="58273E73" w14:textId="77777777" w:rsidR="00431D95" w:rsidRPr="00395986" w:rsidRDefault="00431D95" w:rsidP="00431D95">
      <w:pPr>
        <w:pStyle w:val="Prrafodelista"/>
        <w:numPr>
          <w:ilvl w:val="0"/>
          <w:numId w:val="13"/>
        </w:numPr>
        <w:spacing w:line="360" w:lineRule="auto"/>
        <w:ind w:left="0" w:right="-93" w:firstLine="0"/>
        <w:jc w:val="both"/>
        <w:rPr>
          <w:rFonts w:ascii="Palatino Linotype" w:eastAsia="Calibri" w:hAnsi="Palatino Linotype" w:cs="Tahoma"/>
          <w:bCs/>
          <w:sz w:val="24"/>
          <w:lang w:eastAsia="en-US"/>
        </w:rPr>
      </w:pPr>
      <w:r w:rsidRPr="00395986">
        <w:rPr>
          <w:rFonts w:ascii="Palatino Linotype" w:eastAsia="Calibri" w:hAnsi="Palatino Linotype" w:cs="Tahoma"/>
          <w:bCs/>
          <w:sz w:val="24"/>
          <w:lang w:eastAsia="en-US"/>
        </w:rPr>
        <w:t xml:space="preserve">Por cuanto hace a la colisión entre el derecho a la información y el derecho a la intimidad o a la vida privada, el Poder Judicial de la Federación ha sostenido la </w:t>
      </w:r>
      <w:r w:rsidRPr="00395986">
        <w:rPr>
          <w:rFonts w:ascii="Palatino Linotype" w:eastAsia="Calibri" w:hAnsi="Palatino Linotype" w:cs="Tahoma"/>
          <w:b/>
          <w:bCs/>
          <w:sz w:val="24"/>
          <w:lang w:eastAsia="en-US"/>
        </w:rPr>
        <w:t xml:space="preserve">necesidad de resolver el conflicto apuntado mediante el ejercicio de ponderación; además, que el interés público que tenga cierta información, será concepto legitimador de las intromisiones en la intimidad o la vida privada, en donde este derecho debe ceder a favor del derecho a comunicar y recibir información, atendiendo a las circunstancias de cada caso en concreto, </w:t>
      </w:r>
      <w:r w:rsidRPr="00395986">
        <w:rPr>
          <w:rFonts w:ascii="Palatino Linotype" w:eastAsia="Calibri" w:hAnsi="Palatino Linotype" w:cs="Tahoma"/>
          <w:bCs/>
          <w:sz w:val="24"/>
          <w:lang w:eastAsia="en-US"/>
        </w:rPr>
        <w:t>tal y como se desprende de la tesis 1a. XLIII/2010, emitida por la Primera Sala de la Suprema Corte de Justicia de la Nación, publicada en el Semanario Judicial de la Federación y su Gaceta, Tomo XXXI, página 928, de marzo de 2010, Novena Época, materia constitucional.</w:t>
      </w:r>
    </w:p>
    <w:p w14:paraId="749393BF" w14:textId="77777777" w:rsidR="00431D95" w:rsidRPr="00395986" w:rsidRDefault="00431D95" w:rsidP="00431D95">
      <w:pPr>
        <w:pStyle w:val="Prrafodelista"/>
        <w:spacing w:line="360" w:lineRule="auto"/>
        <w:ind w:left="0"/>
        <w:rPr>
          <w:rFonts w:ascii="Palatino Linotype" w:eastAsia="Calibri" w:hAnsi="Palatino Linotype" w:cs="Tahoma"/>
          <w:bCs/>
          <w:sz w:val="24"/>
          <w:lang w:eastAsia="en-US"/>
        </w:rPr>
      </w:pPr>
    </w:p>
    <w:p w14:paraId="5C97FBA6" w14:textId="77777777" w:rsidR="00431D95" w:rsidRPr="00395986" w:rsidRDefault="00431D95" w:rsidP="00431D95">
      <w:pPr>
        <w:pStyle w:val="Prrafodelista"/>
        <w:numPr>
          <w:ilvl w:val="0"/>
          <w:numId w:val="13"/>
        </w:numPr>
        <w:spacing w:line="360" w:lineRule="auto"/>
        <w:ind w:left="0" w:right="-93" w:firstLine="0"/>
        <w:jc w:val="both"/>
        <w:rPr>
          <w:rFonts w:ascii="Palatino Linotype" w:eastAsia="Calibri" w:hAnsi="Palatino Linotype" w:cs="Tahoma"/>
          <w:bCs/>
          <w:sz w:val="24"/>
          <w:lang w:eastAsia="en-US"/>
        </w:rPr>
      </w:pPr>
      <w:r w:rsidRPr="00395986">
        <w:rPr>
          <w:rFonts w:ascii="Palatino Linotype" w:eastAsia="Calibri" w:hAnsi="Palatino Linotype" w:cs="Tahoma"/>
          <w:bCs/>
          <w:sz w:val="24"/>
          <w:lang w:eastAsia="en-US"/>
        </w:rPr>
        <w:t>En ese mismo sentido y atendiendo a la naturaleza del derecho a la protección de datos personales, por analogía, este debe ceder cuando exista un interés público mayor de acuerdo a las circunstancias del caso.</w:t>
      </w:r>
      <w:r w:rsidRPr="00395986">
        <w:rPr>
          <w:rFonts w:ascii="Palatino Linotype" w:hAnsi="Palatino Linotype" w:cs="Tahoma"/>
          <w:bCs/>
          <w:iCs/>
          <w:sz w:val="24"/>
        </w:rPr>
        <w:t xml:space="preserve"> Señalado lo anterior, resulta necesario realizar una ponderación de los dos intereses jurídicos tutelados que convergen en la controversia que se dirime; para lo cual, el artículo </w:t>
      </w:r>
      <w:r w:rsidRPr="00395986">
        <w:rPr>
          <w:rFonts w:ascii="Palatino Linotype" w:eastAsia="Calibri" w:hAnsi="Palatino Linotype" w:cs="Tahoma"/>
          <w:bCs/>
          <w:sz w:val="24"/>
          <w:lang w:eastAsia="en-US"/>
        </w:rPr>
        <w:t>184 de la Ley de Transparencia y Acceso a la Información Pública del Estado de México y Municipios</w:t>
      </w:r>
      <w:r w:rsidRPr="00395986">
        <w:rPr>
          <w:rFonts w:ascii="Palatino Linotype" w:hAnsi="Palatino Linotype" w:cs="Tahoma"/>
          <w:bCs/>
          <w:iCs/>
          <w:sz w:val="24"/>
        </w:rPr>
        <w:t xml:space="preserve"> prevé que cuando exista una colisión de derechos, este Instituto, al resolver el recurso de revisión, debe aplicar una prueba de interés público con base en elementos de idoneidad, necesidad y proporcionalidad. Para estos efectos, se entenderá por: </w:t>
      </w:r>
    </w:p>
    <w:p w14:paraId="4D9DF37C" w14:textId="77777777" w:rsidR="00431D95" w:rsidRPr="00395986" w:rsidRDefault="00431D95" w:rsidP="00431D95">
      <w:pPr>
        <w:spacing w:line="360" w:lineRule="auto"/>
        <w:ind w:right="49"/>
        <w:jc w:val="both"/>
        <w:rPr>
          <w:rFonts w:ascii="Palatino Linotype" w:hAnsi="Palatino Linotype" w:cs="Tahoma"/>
          <w:bCs/>
          <w:iCs/>
        </w:rPr>
      </w:pPr>
    </w:p>
    <w:p w14:paraId="3F92B044" w14:textId="77777777" w:rsidR="00431D95" w:rsidRPr="00395986" w:rsidRDefault="00431D95" w:rsidP="00431D95">
      <w:pPr>
        <w:numPr>
          <w:ilvl w:val="0"/>
          <w:numId w:val="17"/>
        </w:numPr>
        <w:spacing w:line="360" w:lineRule="auto"/>
        <w:ind w:right="49"/>
        <w:contextualSpacing/>
        <w:jc w:val="both"/>
        <w:rPr>
          <w:rFonts w:ascii="Palatino Linotype" w:hAnsi="Palatino Linotype" w:cs="Tahoma"/>
          <w:bCs/>
          <w:iCs/>
        </w:rPr>
      </w:pPr>
      <w:r w:rsidRPr="00395986">
        <w:rPr>
          <w:rFonts w:ascii="Palatino Linotype" w:hAnsi="Palatino Linotype" w:cs="Tahoma"/>
          <w:b/>
          <w:bCs/>
          <w:iCs/>
        </w:rPr>
        <w:t>Idoneidad:</w:t>
      </w:r>
      <w:r w:rsidRPr="00395986">
        <w:rPr>
          <w:rFonts w:ascii="Palatino Linotype" w:hAnsi="Palatino Linotype" w:cs="Tahoma"/>
          <w:bCs/>
          <w:iCs/>
        </w:rPr>
        <w:t xml:space="preserve"> La legitimidad del derecho adoptado como preferente, que sea el adecuado para el logro de un fin constitucionalmente válido o apto para conseguir el fin pretendido;</w:t>
      </w:r>
    </w:p>
    <w:p w14:paraId="798100D5" w14:textId="77777777" w:rsidR="00431D95" w:rsidRPr="00395986" w:rsidRDefault="00431D95" w:rsidP="00431D95">
      <w:pPr>
        <w:spacing w:line="360" w:lineRule="auto"/>
        <w:ind w:left="426" w:right="49"/>
        <w:contextualSpacing/>
        <w:jc w:val="both"/>
        <w:rPr>
          <w:rFonts w:ascii="Palatino Linotype" w:hAnsi="Palatino Linotype" w:cs="Tahoma"/>
          <w:bCs/>
          <w:iCs/>
        </w:rPr>
      </w:pPr>
    </w:p>
    <w:p w14:paraId="6509ED4D" w14:textId="77777777" w:rsidR="00431D95" w:rsidRPr="00395986" w:rsidRDefault="00431D95" w:rsidP="00431D95">
      <w:pPr>
        <w:numPr>
          <w:ilvl w:val="0"/>
          <w:numId w:val="17"/>
        </w:numPr>
        <w:spacing w:line="360" w:lineRule="auto"/>
        <w:ind w:right="49"/>
        <w:contextualSpacing/>
        <w:jc w:val="both"/>
        <w:rPr>
          <w:rFonts w:ascii="Palatino Linotype" w:hAnsi="Palatino Linotype" w:cs="Tahoma"/>
          <w:bCs/>
          <w:iCs/>
        </w:rPr>
      </w:pPr>
      <w:r w:rsidRPr="00395986">
        <w:rPr>
          <w:rFonts w:ascii="Palatino Linotype" w:hAnsi="Palatino Linotype" w:cs="Tahoma"/>
          <w:b/>
          <w:bCs/>
          <w:iCs/>
        </w:rPr>
        <w:t>Necesidad:</w:t>
      </w:r>
      <w:r w:rsidRPr="00395986">
        <w:rPr>
          <w:rFonts w:ascii="Palatino Linotype" w:hAnsi="Palatino Linotype" w:cs="Tahoma"/>
          <w:bCs/>
          <w:iCs/>
        </w:rPr>
        <w:t xml:space="preserve"> La falta de un medio alternativo menos lesivo a la apertura de la información, para satisfacer el interés público, y</w:t>
      </w:r>
    </w:p>
    <w:p w14:paraId="48E1A1FA" w14:textId="77777777" w:rsidR="00431D95" w:rsidRPr="00395986" w:rsidRDefault="00431D95" w:rsidP="00431D95">
      <w:pPr>
        <w:spacing w:line="360" w:lineRule="auto"/>
        <w:ind w:left="426" w:right="49"/>
        <w:contextualSpacing/>
        <w:jc w:val="both"/>
        <w:rPr>
          <w:rFonts w:ascii="Palatino Linotype" w:hAnsi="Palatino Linotype" w:cs="Tahoma"/>
          <w:bCs/>
          <w:iCs/>
        </w:rPr>
      </w:pPr>
    </w:p>
    <w:p w14:paraId="130FC917" w14:textId="77777777" w:rsidR="00431D95" w:rsidRPr="00395986" w:rsidRDefault="00431D95" w:rsidP="00431D95">
      <w:pPr>
        <w:numPr>
          <w:ilvl w:val="0"/>
          <w:numId w:val="17"/>
        </w:numPr>
        <w:spacing w:line="360" w:lineRule="auto"/>
        <w:ind w:right="49"/>
        <w:contextualSpacing/>
        <w:jc w:val="both"/>
        <w:rPr>
          <w:rFonts w:ascii="Palatino Linotype" w:hAnsi="Palatino Linotype" w:cs="Tahoma"/>
          <w:bCs/>
          <w:iCs/>
        </w:rPr>
      </w:pPr>
      <w:r w:rsidRPr="00395986">
        <w:rPr>
          <w:rFonts w:ascii="Palatino Linotype" w:hAnsi="Palatino Linotype" w:cs="Tahoma"/>
          <w:b/>
          <w:bCs/>
          <w:iCs/>
        </w:rPr>
        <w:t>Proporcionalidad:</w:t>
      </w:r>
      <w:r w:rsidRPr="00395986">
        <w:rPr>
          <w:rFonts w:ascii="Palatino Linotype" w:hAnsi="Palatino Linotype" w:cs="Tahoma"/>
          <w:bCs/>
          <w:iCs/>
        </w:rPr>
        <w:t xml:space="preserve"> El equilibrio entre perjuicio y beneficio a favor del interés público, a fin de que la decisión tomada represente un beneficio mayor al perjuicio que podría causar a la población.</w:t>
      </w:r>
    </w:p>
    <w:p w14:paraId="5FA245F4" w14:textId="77777777" w:rsidR="00431D95" w:rsidRPr="00395986" w:rsidRDefault="00431D95" w:rsidP="00431D95">
      <w:pPr>
        <w:spacing w:line="360" w:lineRule="auto"/>
        <w:ind w:right="-93"/>
        <w:jc w:val="both"/>
        <w:rPr>
          <w:rFonts w:ascii="Palatino Linotype" w:eastAsia="Calibri" w:hAnsi="Palatino Linotype" w:cs="Tahoma"/>
          <w:bCs/>
          <w:sz w:val="28"/>
          <w:lang w:eastAsia="en-US"/>
        </w:rPr>
      </w:pPr>
    </w:p>
    <w:p w14:paraId="58DF8771" w14:textId="77777777" w:rsidR="00431D95" w:rsidRPr="00395986" w:rsidRDefault="00431D95" w:rsidP="00431D95">
      <w:pPr>
        <w:pStyle w:val="Prrafodelista"/>
        <w:numPr>
          <w:ilvl w:val="0"/>
          <w:numId w:val="13"/>
        </w:numPr>
        <w:spacing w:line="360" w:lineRule="auto"/>
        <w:ind w:left="0" w:right="-1" w:firstLine="0"/>
        <w:jc w:val="both"/>
        <w:rPr>
          <w:rFonts w:ascii="Palatino Linotype" w:eastAsia="Calibri" w:hAnsi="Palatino Linotype" w:cs="Tahoma"/>
          <w:sz w:val="24"/>
        </w:rPr>
      </w:pPr>
      <w:r w:rsidRPr="00395986">
        <w:rPr>
          <w:rFonts w:ascii="Palatino Linotype" w:eastAsia="Calibri" w:hAnsi="Palatino Linotype" w:cs="Tahoma"/>
          <w:sz w:val="24"/>
        </w:rPr>
        <w:t>En ese orden de ideas, resulta procedente analizar cada uno de los elementos referidos, partiendo de que, en el caso concreto, se estima como preferente el derecho de acceso a la información, bajo las consideraciones que se verterán a continuación.</w:t>
      </w:r>
    </w:p>
    <w:p w14:paraId="6BE774F1" w14:textId="77777777" w:rsidR="00431D95" w:rsidRPr="00395986" w:rsidRDefault="00431D95" w:rsidP="00431D95">
      <w:pPr>
        <w:pStyle w:val="Prrafodelista"/>
        <w:spacing w:line="360" w:lineRule="auto"/>
        <w:ind w:left="0" w:right="-1"/>
        <w:jc w:val="both"/>
        <w:rPr>
          <w:rFonts w:ascii="Palatino Linotype" w:eastAsia="Calibri" w:hAnsi="Palatino Linotype" w:cs="Tahoma"/>
          <w:sz w:val="24"/>
        </w:rPr>
      </w:pPr>
    </w:p>
    <w:p w14:paraId="67BF481F" w14:textId="77777777" w:rsidR="00431D95" w:rsidRPr="00395986" w:rsidRDefault="00431D95" w:rsidP="00431D95">
      <w:pPr>
        <w:pStyle w:val="Prrafodelista"/>
        <w:numPr>
          <w:ilvl w:val="0"/>
          <w:numId w:val="18"/>
        </w:numPr>
        <w:spacing w:line="360" w:lineRule="auto"/>
        <w:ind w:right="-93"/>
        <w:jc w:val="both"/>
        <w:rPr>
          <w:rFonts w:ascii="Palatino Linotype" w:eastAsia="Calibri" w:hAnsi="Palatino Linotype" w:cs="Tahoma"/>
          <w:bCs/>
          <w:lang w:eastAsia="en-US"/>
        </w:rPr>
      </w:pPr>
      <w:r w:rsidRPr="00395986">
        <w:rPr>
          <w:rFonts w:ascii="Palatino Linotype" w:eastAsia="Calibri" w:hAnsi="Palatino Linotype" w:cs="Tahoma"/>
          <w:b/>
          <w:bCs/>
          <w:iCs/>
        </w:rPr>
        <w:t>Idoneidad</w:t>
      </w:r>
      <w:r w:rsidRPr="00395986">
        <w:rPr>
          <w:rFonts w:ascii="Palatino Linotype" w:eastAsia="Calibri" w:hAnsi="Palatino Linotype" w:cs="Tahoma"/>
          <w:bCs/>
          <w:lang w:eastAsia="en-US"/>
        </w:rPr>
        <w:t xml:space="preserve">. </w:t>
      </w:r>
    </w:p>
    <w:p w14:paraId="297E2788" w14:textId="77777777" w:rsidR="00431D95" w:rsidRPr="00395986" w:rsidRDefault="00431D95" w:rsidP="00431D95">
      <w:pPr>
        <w:pStyle w:val="Prrafodelista"/>
        <w:spacing w:line="360" w:lineRule="auto"/>
        <w:ind w:left="0" w:right="-1"/>
        <w:jc w:val="both"/>
        <w:rPr>
          <w:rFonts w:ascii="Palatino Linotype" w:eastAsia="Calibri" w:hAnsi="Palatino Linotype" w:cs="Tahoma"/>
          <w:sz w:val="24"/>
        </w:rPr>
      </w:pPr>
    </w:p>
    <w:p w14:paraId="5DB00A21" w14:textId="125BEEDE" w:rsidR="00431D95" w:rsidRPr="00395986" w:rsidRDefault="00431D95" w:rsidP="00A03C61">
      <w:pPr>
        <w:pStyle w:val="Prrafodelista"/>
        <w:numPr>
          <w:ilvl w:val="0"/>
          <w:numId w:val="13"/>
        </w:numPr>
        <w:spacing w:line="360" w:lineRule="auto"/>
        <w:ind w:left="0" w:right="-1" w:firstLine="0"/>
        <w:jc w:val="both"/>
        <w:rPr>
          <w:rFonts w:ascii="Palatino Linotype" w:eastAsia="Calibri" w:hAnsi="Palatino Linotype" w:cs="Tahoma"/>
          <w:sz w:val="28"/>
        </w:rPr>
      </w:pPr>
      <w:r w:rsidRPr="00395986">
        <w:rPr>
          <w:rFonts w:ascii="Palatino Linotype" w:eastAsia="Calibri" w:hAnsi="Palatino Linotype" w:cs="Tahoma"/>
          <w:bCs/>
          <w:sz w:val="24"/>
          <w:lang w:eastAsia="en-US"/>
        </w:rPr>
        <w:t>Existe un fin constitucionalmente válido para dar a conocer el nombre de aquellas personas físicas a quienes les fue otorgada una licencia para realizar una actividad económica, comercial o industrial en el Municipios de Tultepec; dicho fin es la transparencia y la rendición de cuentas sobre el quehacer gubernamental que permita identificar a aquellas personas que han sido autorizadas por el Ayuntamiento, para realizar actividades lícitas; esto es, las localizadas en el Catálogo Mexiquense de Actividades Industriales, Comerciales y de Servicios, a efecto de determinar si la misma se realizó atendiendo a lo previsto en el Reglamento de Licencias del Sujeto Obligado.</w:t>
      </w:r>
    </w:p>
    <w:p w14:paraId="45817BC4" w14:textId="77777777" w:rsidR="00431D95" w:rsidRPr="00395986" w:rsidRDefault="00431D95" w:rsidP="00A03C61">
      <w:pPr>
        <w:pStyle w:val="Prrafodelista"/>
        <w:spacing w:line="360" w:lineRule="auto"/>
        <w:ind w:left="0" w:right="-93"/>
        <w:jc w:val="both"/>
        <w:rPr>
          <w:rFonts w:ascii="Palatino Linotype" w:eastAsia="Calibri" w:hAnsi="Palatino Linotype" w:cs="Tahoma"/>
          <w:bCs/>
          <w:sz w:val="24"/>
          <w:lang w:eastAsia="en-US"/>
        </w:rPr>
      </w:pPr>
    </w:p>
    <w:p w14:paraId="1375D7A3" w14:textId="77777777" w:rsidR="00431D95" w:rsidRPr="00395986" w:rsidRDefault="00431D95" w:rsidP="00A03C61">
      <w:pPr>
        <w:pStyle w:val="Prrafodelista"/>
        <w:numPr>
          <w:ilvl w:val="0"/>
          <w:numId w:val="13"/>
        </w:numPr>
        <w:spacing w:line="360" w:lineRule="auto"/>
        <w:ind w:left="0" w:right="-93" w:firstLine="0"/>
        <w:jc w:val="both"/>
        <w:rPr>
          <w:rFonts w:ascii="Palatino Linotype" w:eastAsia="Calibri" w:hAnsi="Palatino Linotype" w:cs="Tahoma"/>
          <w:bCs/>
          <w:sz w:val="24"/>
          <w:lang w:eastAsia="en-US"/>
        </w:rPr>
      </w:pPr>
      <w:r w:rsidRPr="00395986">
        <w:rPr>
          <w:rFonts w:ascii="Palatino Linotype" w:eastAsia="Calibri" w:hAnsi="Palatino Linotype" w:cs="Tahoma"/>
          <w:bCs/>
          <w:sz w:val="24"/>
          <w:lang w:eastAsia="en-US"/>
        </w:rPr>
        <w:lastRenderedPageBreak/>
        <w:t xml:space="preserve">Al respecto, es de señalar que la </w:t>
      </w:r>
      <w:r w:rsidRPr="00395986">
        <w:rPr>
          <w:rFonts w:ascii="Palatino Linotype" w:eastAsia="Calibri" w:hAnsi="Palatino Linotype" w:cs="Tahoma"/>
          <w:b/>
          <w:bCs/>
          <w:sz w:val="24"/>
          <w:lang w:eastAsia="en-US"/>
        </w:rPr>
        <w:t xml:space="preserve">transparencia </w:t>
      </w:r>
      <w:r w:rsidRPr="00395986">
        <w:rPr>
          <w:rFonts w:ascii="Palatino Linotype" w:eastAsia="Calibri" w:hAnsi="Palatino Linotype" w:cs="Tahoma"/>
          <w:bCs/>
          <w:sz w:val="24"/>
          <w:lang w:eastAsia="en-US"/>
        </w:rPr>
        <w:t xml:space="preserve">está orientada a maximizar el uso social de la información de los organismos gubernamentales, misma que sirve para exigir cuentas a las autoridades; mientras que la </w:t>
      </w:r>
      <w:r w:rsidRPr="00395986">
        <w:rPr>
          <w:rFonts w:ascii="Palatino Linotype" w:eastAsia="Calibri" w:hAnsi="Palatino Linotype" w:cs="Tahoma"/>
          <w:b/>
          <w:bCs/>
          <w:sz w:val="24"/>
          <w:lang w:eastAsia="en-US"/>
        </w:rPr>
        <w:t>rendición de cuentas</w:t>
      </w:r>
      <w:r w:rsidRPr="00395986">
        <w:rPr>
          <w:rFonts w:ascii="Palatino Linotype" w:eastAsia="Calibri" w:hAnsi="Palatino Linotype" w:cs="Tahoma"/>
          <w:bCs/>
          <w:sz w:val="24"/>
          <w:lang w:eastAsia="en-US"/>
        </w:rPr>
        <w:t xml:space="preserve"> debe entenderse como la obligación de los funcionarios de responder por lo que hacen y la que atañe al poder de los ciudadanos para sancionar los resultados de la gestión en caso de que los servidores públicos hayan violado sus deberes públicos. Por lo que, estos dos conceptos están asociados de manera notable y por tanto, los gobernados requieren información para evaluar críticamente a sus gobernantes y exigirles cuentas.</w:t>
      </w:r>
    </w:p>
    <w:p w14:paraId="1809C8DD" w14:textId="77777777" w:rsidR="00431D95" w:rsidRPr="00395986" w:rsidRDefault="00431D95" w:rsidP="00A03C61">
      <w:pPr>
        <w:pStyle w:val="Prrafodelista"/>
        <w:spacing w:line="360" w:lineRule="auto"/>
        <w:ind w:left="0" w:right="-1"/>
        <w:jc w:val="both"/>
        <w:rPr>
          <w:rFonts w:ascii="Palatino Linotype" w:eastAsia="Calibri" w:hAnsi="Palatino Linotype" w:cs="Tahoma"/>
          <w:sz w:val="28"/>
        </w:rPr>
      </w:pPr>
    </w:p>
    <w:p w14:paraId="0AEA9EAE" w14:textId="77777777" w:rsidR="00431D95" w:rsidRPr="00395986" w:rsidRDefault="00431D95" w:rsidP="00A03C61">
      <w:pPr>
        <w:pStyle w:val="Prrafodelista"/>
        <w:numPr>
          <w:ilvl w:val="0"/>
          <w:numId w:val="13"/>
        </w:numPr>
        <w:spacing w:line="360" w:lineRule="auto"/>
        <w:ind w:left="0" w:right="-93" w:firstLine="0"/>
        <w:jc w:val="both"/>
        <w:rPr>
          <w:rFonts w:ascii="Palatino Linotype" w:eastAsia="Calibri" w:hAnsi="Palatino Linotype" w:cs="Tahoma"/>
          <w:bCs/>
          <w:sz w:val="24"/>
          <w:lang w:eastAsia="en-US"/>
        </w:rPr>
      </w:pPr>
      <w:r w:rsidRPr="00395986">
        <w:rPr>
          <w:rFonts w:ascii="Palatino Linotype" w:eastAsia="Calibri" w:hAnsi="Palatino Linotype" w:cs="Tahoma"/>
          <w:bCs/>
          <w:sz w:val="24"/>
          <w:lang w:eastAsia="en-US"/>
        </w:rPr>
        <w:t xml:space="preserve">En ese orden de ideas, la transparencia, al permitir y ayudar a la rendición de cuentas, funciona de doble manera, </w:t>
      </w:r>
      <w:r w:rsidRPr="00395986">
        <w:rPr>
          <w:rFonts w:ascii="Palatino Linotype" w:eastAsia="Calibri" w:hAnsi="Palatino Linotype" w:cs="Tahoma"/>
          <w:bCs/>
          <w:sz w:val="24"/>
          <w:u w:val="single"/>
          <w:lang w:eastAsia="en-US"/>
        </w:rPr>
        <w:t>capacitadora</w:t>
      </w:r>
      <w:r w:rsidRPr="00395986">
        <w:rPr>
          <w:rFonts w:ascii="Palatino Linotype" w:eastAsia="Calibri" w:hAnsi="Palatino Linotype" w:cs="Tahoma"/>
          <w:bCs/>
          <w:sz w:val="24"/>
          <w:lang w:eastAsia="en-US"/>
        </w:rPr>
        <w:t xml:space="preserve">, al permitir a la sociedad calificar el quehacer gubernamental, y cómo </w:t>
      </w:r>
      <w:r w:rsidRPr="00395986">
        <w:rPr>
          <w:rFonts w:ascii="Palatino Linotype" w:eastAsia="Calibri" w:hAnsi="Palatino Linotype" w:cs="Tahoma"/>
          <w:bCs/>
          <w:sz w:val="24"/>
          <w:u w:val="single"/>
          <w:lang w:eastAsia="en-US"/>
        </w:rPr>
        <w:t>inhibidora</w:t>
      </w:r>
      <w:r w:rsidRPr="00395986">
        <w:rPr>
          <w:rFonts w:ascii="Palatino Linotype" w:eastAsia="Calibri" w:hAnsi="Palatino Linotype" w:cs="Tahoma"/>
          <w:bCs/>
          <w:sz w:val="24"/>
          <w:lang w:eastAsia="en-US"/>
        </w:rPr>
        <w:t xml:space="preserve"> de conductas y acciones que atenten contra </w:t>
      </w:r>
      <w:r w:rsidRPr="00395986">
        <w:rPr>
          <w:rFonts w:ascii="Palatino Linotype" w:eastAsia="Calibri" w:hAnsi="Palatino Linotype" w:cs="Tahoma"/>
          <w:b/>
          <w:bCs/>
          <w:sz w:val="24"/>
          <w:lang w:eastAsia="en-US"/>
        </w:rPr>
        <w:t xml:space="preserve">el interés público. </w:t>
      </w:r>
    </w:p>
    <w:p w14:paraId="65D63F7E" w14:textId="77777777" w:rsidR="00431D95" w:rsidRPr="00395986" w:rsidRDefault="00431D95" w:rsidP="00A03C61">
      <w:pPr>
        <w:pStyle w:val="Prrafodelista"/>
        <w:spacing w:line="360" w:lineRule="auto"/>
        <w:ind w:left="0"/>
        <w:rPr>
          <w:rFonts w:ascii="Palatino Linotype" w:eastAsia="Calibri" w:hAnsi="Palatino Linotype" w:cs="Tahoma"/>
          <w:bCs/>
          <w:sz w:val="24"/>
          <w:lang w:eastAsia="en-US"/>
        </w:rPr>
      </w:pPr>
    </w:p>
    <w:p w14:paraId="674EAD25" w14:textId="3C87EEF2" w:rsidR="00431D95" w:rsidRPr="00395986" w:rsidRDefault="00431D95" w:rsidP="00A03C61">
      <w:pPr>
        <w:pStyle w:val="Prrafodelista"/>
        <w:numPr>
          <w:ilvl w:val="0"/>
          <w:numId w:val="13"/>
        </w:numPr>
        <w:spacing w:line="360" w:lineRule="auto"/>
        <w:ind w:left="0" w:right="-93" w:firstLine="0"/>
        <w:jc w:val="both"/>
        <w:rPr>
          <w:rFonts w:ascii="Palatino Linotype" w:eastAsia="Calibri" w:hAnsi="Palatino Linotype" w:cs="Tahoma"/>
          <w:bCs/>
          <w:sz w:val="24"/>
          <w:lang w:eastAsia="en-US"/>
        </w:rPr>
      </w:pPr>
      <w:r w:rsidRPr="00395986">
        <w:rPr>
          <w:rFonts w:ascii="Palatino Linotype" w:eastAsia="Calibri" w:hAnsi="Palatino Linotype" w:cs="Tahoma"/>
          <w:bCs/>
          <w:sz w:val="24"/>
          <w:lang w:eastAsia="en-US"/>
        </w:rPr>
        <w:t>Ahora bien, tal como se estableció en párrafos anteriores, cualquier actividad comercial, industrial o económica, únicamente podrá ser llevada a cabo, bajo el amparo de una licencia de funcionamiento expedida, por el Ayuntamiento de Tultepec, siempre y cuando cumplan con los requisitos establecidos en la Ley de Competitividad y Ordenamiento Comercial del Estado de México, y normatividad relativa.</w:t>
      </w:r>
    </w:p>
    <w:p w14:paraId="60603B63" w14:textId="77777777" w:rsidR="00431D95" w:rsidRPr="00395986" w:rsidRDefault="00431D95" w:rsidP="00A03C61">
      <w:pPr>
        <w:pStyle w:val="Prrafodelista"/>
        <w:numPr>
          <w:ilvl w:val="0"/>
          <w:numId w:val="13"/>
        </w:numPr>
        <w:spacing w:line="360" w:lineRule="auto"/>
        <w:ind w:left="0" w:right="-93" w:firstLine="0"/>
        <w:jc w:val="both"/>
        <w:rPr>
          <w:rFonts w:ascii="Palatino Linotype" w:eastAsia="Calibri" w:hAnsi="Palatino Linotype" w:cs="Tahoma"/>
          <w:bCs/>
          <w:sz w:val="24"/>
          <w:lang w:eastAsia="en-US"/>
        </w:rPr>
      </w:pPr>
      <w:r w:rsidRPr="00395986">
        <w:rPr>
          <w:rFonts w:ascii="Palatino Linotype" w:eastAsia="Calibri" w:hAnsi="Palatino Linotype" w:cs="Tahoma"/>
          <w:bCs/>
          <w:sz w:val="24"/>
          <w:lang w:eastAsia="en-US"/>
        </w:rPr>
        <w:t>En ese orden de ideas, la Suprema Corte de Justicia de la Nación, ha definido el acceso a la información como un derecho en sí mismo y como un medio o instrumento para el ejercicio de otros derechos,</w:t>
      </w:r>
      <w:r w:rsidRPr="00395986">
        <w:rPr>
          <w:rFonts w:ascii="Palatino Linotype" w:eastAsia="Calibri" w:hAnsi="Palatino Linotype" w:cs="Tahoma"/>
          <w:b/>
          <w:bCs/>
          <w:sz w:val="24"/>
          <w:lang w:eastAsia="en-US"/>
        </w:rPr>
        <w:t xml:space="preserve"> para que los gobernados ejerzan un control respecto del funcionamiento institucional de los poderes públicos, por lo que se constituye como una exigencia social de todo Estado de Derecho, y como un derecho </w:t>
      </w:r>
      <w:r w:rsidRPr="00395986">
        <w:rPr>
          <w:rFonts w:ascii="Palatino Linotype" w:eastAsia="Calibri" w:hAnsi="Palatino Linotype" w:cs="Tahoma"/>
          <w:b/>
          <w:bCs/>
          <w:sz w:val="24"/>
          <w:lang w:eastAsia="en-US"/>
        </w:rPr>
        <w:lastRenderedPageBreak/>
        <w:t>colectivo o garantía social</w:t>
      </w:r>
      <w:r w:rsidRPr="00395986">
        <w:rPr>
          <w:rFonts w:ascii="Palatino Linotype" w:eastAsia="Calibri" w:hAnsi="Palatino Linotype" w:cs="Tahoma"/>
          <w:bCs/>
          <w:sz w:val="24"/>
          <w:lang w:eastAsia="en-US"/>
        </w:rPr>
        <w:t>, a fin de lograr la publicidad de los actos de gobierno y la transparencia de la administración pública. Lo anterior, a través de la jurisprudencia número P./J. 54/2008, publicada en el Semanario Judicial de la Federación y su Gaceta, Tomo XXVII, página 743, Novena Época, en junio de dos mil ocho.</w:t>
      </w:r>
    </w:p>
    <w:p w14:paraId="66D341F1" w14:textId="77777777" w:rsidR="00431D95" w:rsidRPr="00395986" w:rsidRDefault="00431D95" w:rsidP="00A03C61">
      <w:pPr>
        <w:pStyle w:val="Prrafodelista"/>
        <w:spacing w:line="360" w:lineRule="auto"/>
        <w:ind w:left="0"/>
        <w:rPr>
          <w:rFonts w:ascii="Palatino Linotype" w:eastAsia="Calibri" w:hAnsi="Palatino Linotype" w:cs="Tahoma"/>
          <w:bCs/>
          <w:sz w:val="24"/>
          <w:lang w:eastAsia="en-US"/>
        </w:rPr>
      </w:pPr>
    </w:p>
    <w:p w14:paraId="5195B9DA" w14:textId="77777777" w:rsidR="00431D95" w:rsidRPr="00395986" w:rsidRDefault="00431D95" w:rsidP="00A03C61">
      <w:pPr>
        <w:pStyle w:val="Prrafodelista"/>
        <w:numPr>
          <w:ilvl w:val="0"/>
          <w:numId w:val="13"/>
        </w:numPr>
        <w:spacing w:line="360" w:lineRule="auto"/>
        <w:ind w:left="0" w:right="-93" w:firstLine="0"/>
        <w:jc w:val="both"/>
        <w:rPr>
          <w:rFonts w:ascii="Palatino Linotype" w:eastAsia="Calibri" w:hAnsi="Palatino Linotype" w:cs="Tahoma"/>
          <w:bCs/>
          <w:sz w:val="24"/>
          <w:lang w:eastAsia="en-US"/>
        </w:rPr>
      </w:pPr>
      <w:r w:rsidRPr="00395986">
        <w:rPr>
          <w:rFonts w:ascii="Palatino Linotype" w:eastAsia="Calibri" w:hAnsi="Palatino Linotype" w:cs="Tahoma"/>
          <w:bCs/>
          <w:sz w:val="24"/>
          <w:lang w:eastAsia="en-US"/>
        </w:rPr>
        <w:t>A mayor precisión, la transparencia de la información requerida permitiría a la sociedad, en general, conocer los nombres de las personas que acreditaron los elementos necesarios para poder realizar una actividad económica dentro del territorio del Municipio.</w:t>
      </w:r>
    </w:p>
    <w:p w14:paraId="7807D155" w14:textId="77777777" w:rsidR="00431D95" w:rsidRPr="00395986" w:rsidRDefault="00431D95" w:rsidP="00A03C61">
      <w:pPr>
        <w:pStyle w:val="Prrafodelista"/>
        <w:spacing w:line="360" w:lineRule="auto"/>
        <w:ind w:left="0"/>
        <w:rPr>
          <w:rFonts w:ascii="Palatino Linotype" w:eastAsia="Calibri" w:hAnsi="Palatino Linotype" w:cs="Tahoma"/>
          <w:bCs/>
          <w:sz w:val="24"/>
          <w:lang w:eastAsia="en-US"/>
        </w:rPr>
      </w:pPr>
    </w:p>
    <w:p w14:paraId="5EF6B4B8" w14:textId="77777777" w:rsidR="00431D95" w:rsidRPr="00395986" w:rsidRDefault="00431D95" w:rsidP="00A03C61">
      <w:pPr>
        <w:pStyle w:val="Prrafodelista"/>
        <w:numPr>
          <w:ilvl w:val="0"/>
          <w:numId w:val="13"/>
        </w:numPr>
        <w:spacing w:line="360" w:lineRule="auto"/>
        <w:ind w:left="0" w:right="-93" w:firstLine="0"/>
        <w:jc w:val="both"/>
        <w:rPr>
          <w:rFonts w:ascii="Palatino Linotype" w:eastAsia="Calibri" w:hAnsi="Palatino Linotype" w:cs="Tahoma"/>
          <w:bCs/>
          <w:sz w:val="24"/>
          <w:lang w:eastAsia="en-US"/>
        </w:rPr>
      </w:pPr>
      <w:r w:rsidRPr="00395986">
        <w:rPr>
          <w:rFonts w:ascii="Palatino Linotype" w:eastAsia="Calibri" w:hAnsi="Palatino Linotype" w:cs="Tahoma"/>
          <w:bCs/>
          <w:sz w:val="24"/>
          <w:lang w:eastAsia="en-US"/>
        </w:rPr>
        <w:t xml:space="preserve">Por ende, otorgar el nombre de la persona autorizada, a través de una licencia de funcionamiento, </w:t>
      </w:r>
      <w:r w:rsidRPr="00395986">
        <w:rPr>
          <w:rFonts w:ascii="Palatino Linotype" w:eastAsia="Calibri" w:hAnsi="Palatino Linotype" w:cs="Tahoma"/>
          <w:b/>
          <w:bCs/>
          <w:sz w:val="24"/>
          <w:lang w:eastAsia="en-US"/>
        </w:rPr>
        <w:t>permite corroborar que la exhibida en el establecimiento comercial, fue emitida efectivamente por la autoridad competente.</w:t>
      </w:r>
    </w:p>
    <w:p w14:paraId="397FE703" w14:textId="77777777" w:rsidR="00431D95" w:rsidRPr="00395986" w:rsidRDefault="00431D95" w:rsidP="00A03C61">
      <w:pPr>
        <w:pStyle w:val="Prrafodelista"/>
        <w:spacing w:line="360" w:lineRule="auto"/>
        <w:ind w:left="0"/>
        <w:rPr>
          <w:rFonts w:ascii="Palatino Linotype" w:eastAsia="Calibri" w:hAnsi="Palatino Linotype" w:cs="Tahoma"/>
          <w:bCs/>
          <w:sz w:val="24"/>
          <w:lang w:eastAsia="en-US"/>
        </w:rPr>
      </w:pPr>
    </w:p>
    <w:p w14:paraId="7ACE34B4" w14:textId="77777777" w:rsidR="00431D95" w:rsidRPr="00395986" w:rsidRDefault="00431D95" w:rsidP="00A03C61">
      <w:pPr>
        <w:pStyle w:val="Prrafodelista"/>
        <w:numPr>
          <w:ilvl w:val="0"/>
          <w:numId w:val="13"/>
        </w:numPr>
        <w:spacing w:line="360" w:lineRule="auto"/>
        <w:ind w:left="0" w:right="-93" w:firstLine="0"/>
        <w:jc w:val="both"/>
        <w:rPr>
          <w:rFonts w:ascii="Palatino Linotype" w:eastAsia="Calibri" w:hAnsi="Palatino Linotype" w:cs="Tahoma"/>
          <w:bCs/>
          <w:sz w:val="24"/>
          <w:lang w:eastAsia="en-US"/>
        </w:rPr>
      </w:pPr>
      <w:r w:rsidRPr="00395986">
        <w:rPr>
          <w:rFonts w:ascii="Palatino Linotype" w:eastAsia="Calibri" w:hAnsi="Palatino Linotype" w:cs="Tahoma"/>
          <w:bCs/>
          <w:sz w:val="24"/>
          <w:lang w:eastAsia="en-US"/>
        </w:rPr>
        <w:t>Bajo esa premisa, se entiende que la materia sobre la cual versa la presente solicitud, reviste un interés colectivo para la sociedad, dado que el Estado a nivel municipal, es el encargado de regular los establecimientos comerciales o industriales dentro de extensión territorial.</w:t>
      </w:r>
    </w:p>
    <w:p w14:paraId="53C8DCB1" w14:textId="77777777" w:rsidR="00431D95" w:rsidRPr="00395986" w:rsidRDefault="00431D95" w:rsidP="00A03C61">
      <w:pPr>
        <w:pStyle w:val="Prrafodelista"/>
        <w:spacing w:line="360" w:lineRule="auto"/>
        <w:ind w:left="0"/>
        <w:rPr>
          <w:rFonts w:ascii="Palatino Linotype" w:eastAsia="Calibri" w:hAnsi="Palatino Linotype" w:cs="Tahoma"/>
          <w:bCs/>
          <w:sz w:val="24"/>
          <w:lang w:eastAsia="en-US"/>
        </w:rPr>
      </w:pPr>
    </w:p>
    <w:p w14:paraId="5BC76384" w14:textId="77777777" w:rsidR="00431D95" w:rsidRPr="00395986" w:rsidRDefault="00431D95" w:rsidP="00A03C61">
      <w:pPr>
        <w:pStyle w:val="Prrafodelista"/>
        <w:numPr>
          <w:ilvl w:val="0"/>
          <w:numId w:val="13"/>
        </w:numPr>
        <w:spacing w:line="360" w:lineRule="auto"/>
        <w:ind w:left="0" w:right="-93" w:firstLine="0"/>
        <w:jc w:val="both"/>
        <w:rPr>
          <w:rFonts w:ascii="Palatino Linotype" w:eastAsia="Calibri" w:hAnsi="Palatino Linotype" w:cs="Tahoma"/>
          <w:bCs/>
          <w:sz w:val="24"/>
          <w:lang w:eastAsia="en-US"/>
        </w:rPr>
      </w:pPr>
      <w:r w:rsidRPr="00395986">
        <w:rPr>
          <w:rFonts w:ascii="Palatino Linotype" w:eastAsia="Calibri" w:hAnsi="Palatino Linotype" w:cs="Tahoma"/>
          <w:bCs/>
          <w:sz w:val="24"/>
          <w:lang w:eastAsia="en-US"/>
        </w:rPr>
        <w:t xml:space="preserve">Así, mediante la difusión de los nombres de aquellas personas que cuentan con la licencia de funcionamiento, permitiría una debida rendición de cuentas, pues es indispensable que se conozcan aquellos que están autorizados por parte de los Ayuntamientos para realizar actividades económicas, mismas que se encuentran reguladas, por lo que, con ello se garantizaría que la sociedad tenga certeza de que </w:t>
      </w:r>
      <w:r w:rsidRPr="00395986">
        <w:rPr>
          <w:rFonts w:ascii="Palatino Linotype" w:eastAsia="Calibri" w:hAnsi="Palatino Linotype" w:cs="Tahoma"/>
          <w:b/>
          <w:bCs/>
          <w:sz w:val="24"/>
          <w:lang w:eastAsia="en-US"/>
        </w:rPr>
        <w:t xml:space="preserve">las </w:t>
      </w:r>
      <w:r w:rsidRPr="00395986">
        <w:rPr>
          <w:rFonts w:ascii="Palatino Linotype" w:eastAsia="Calibri" w:hAnsi="Palatino Linotype" w:cs="Tahoma"/>
          <w:b/>
          <w:bCs/>
          <w:sz w:val="24"/>
          <w:lang w:eastAsia="en-US"/>
        </w:rPr>
        <w:lastRenderedPageBreak/>
        <w:t>autorizaciones colocadas en los establecimientos, fueron efectivamente emitidas por el sujeto obligado, y no funcionan fuera del marco de la normatividad aplicable.</w:t>
      </w:r>
    </w:p>
    <w:p w14:paraId="0B41AA67" w14:textId="77777777" w:rsidR="00431D95" w:rsidRPr="00395986" w:rsidRDefault="00431D95" w:rsidP="00A03C61">
      <w:pPr>
        <w:pStyle w:val="Prrafodelista"/>
        <w:spacing w:line="360" w:lineRule="auto"/>
        <w:ind w:left="0"/>
        <w:rPr>
          <w:rFonts w:ascii="Palatino Linotype" w:eastAsia="Calibri" w:hAnsi="Palatino Linotype" w:cs="Tahoma"/>
          <w:bCs/>
          <w:sz w:val="24"/>
          <w:lang w:eastAsia="en-US"/>
        </w:rPr>
      </w:pPr>
    </w:p>
    <w:p w14:paraId="7132F706" w14:textId="77777777" w:rsidR="00431D95" w:rsidRPr="00395986" w:rsidRDefault="00431D95" w:rsidP="00A03C61">
      <w:pPr>
        <w:pStyle w:val="Prrafodelista"/>
        <w:numPr>
          <w:ilvl w:val="0"/>
          <w:numId w:val="13"/>
        </w:numPr>
        <w:spacing w:line="360" w:lineRule="auto"/>
        <w:ind w:left="0" w:right="-93" w:firstLine="0"/>
        <w:jc w:val="both"/>
        <w:rPr>
          <w:rFonts w:ascii="Palatino Linotype" w:eastAsia="Calibri" w:hAnsi="Palatino Linotype" w:cs="Tahoma"/>
          <w:bCs/>
          <w:sz w:val="24"/>
          <w:lang w:eastAsia="en-US"/>
        </w:rPr>
      </w:pPr>
      <w:r w:rsidRPr="00395986">
        <w:rPr>
          <w:rFonts w:ascii="Palatino Linotype" w:eastAsia="Calibri" w:hAnsi="Palatino Linotype" w:cs="Tahoma"/>
          <w:bCs/>
          <w:sz w:val="24"/>
          <w:lang w:eastAsia="en-US"/>
        </w:rPr>
        <w:t xml:space="preserve">Es bajo ese contexto, que se considera que el derecho de acceso a la información debe prevalecer frente a la protección del nombre de los titules de licencias de funcionamiento, </w:t>
      </w:r>
      <w:r w:rsidRPr="00395986">
        <w:rPr>
          <w:rFonts w:ascii="Palatino Linotype" w:eastAsia="Calibri" w:hAnsi="Palatino Linotype" w:cs="Tahoma"/>
          <w:b/>
          <w:bCs/>
          <w:sz w:val="24"/>
          <w:lang w:eastAsia="en-US"/>
        </w:rPr>
        <w:t>pues resulta de interés público</w:t>
      </w:r>
      <w:r w:rsidRPr="00395986">
        <w:rPr>
          <w:rFonts w:ascii="Palatino Linotype" w:eastAsia="Calibri" w:hAnsi="Palatino Linotype" w:cs="Tahoma"/>
          <w:bCs/>
          <w:sz w:val="24"/>
          <w:lang w:eastAsia="en-US"/>
        </w:rPr>
        <w:t>, el que la sociedad pueda identificar a quiénes están autorizados para ejercer la actividad comercial; lo cual permite corroborar que la localizada en el establecimiento fue efectivamente emitida por el Sujeto Obligado.</w:t>
      </w:r>
    </w:p>
    <w:p w14:paraId="4B3B9791" w14:textId="77777777" w:rsidR="00431D95" w:rsidRPr="00395986" w:rsidRDefault="00431D95" w:rsidP="00A03C61">
      <w:pPr>
        <w:pStyle w:val="Prrafodelista"/>
        <w:spacing w:line="360" w:lineRule="auto"/>
        <w:ind w:left="0"/>
        <w:rPr>
          <w:rFonts w:ascii="Palatino Linotype" w:eastAsia="Calibri" w:hAnsi="Palatino Linotype" w:cs="Tahoma"/>
          <w:bCs/>
          <w:sz w:val="24"/>
          <w:lang w:eastAsia="en-US"/>
        </w:rPr>
      </w:pPr>
    </w:p>
    <w:p w14:paraId="111D2A17" w14:textId="77777777" w:rsidR="00431D95" w:rsidRPr="00395986" w:rsidRDefault="00431D95" w:rsidP="00A03C61">
      <w:pPr>
        <w:pStyle w:val="Prrafodelista"/>
        <w:numPr>
          <w:ilvl w:val="0"/>
          <w:numId w:val="13"/>
        </w:numPr>
        <w:spacing w:line="360" w:lineRule="auto"/>
        <w:ind w:left="0" w:right="-93" w:firstLine="0"/>
        <w:jc w:val="both"/>
        <w:rPr>
          <w:rFonts w:ascii="Palatino Linotype" w:eastAsia="Calibri" w:hAnsi="Palatino Linotype" w:cs="Tahoma"/>
          <w:bCs/>
          <w:sz w:val="24"/>
          <w:lang w:eastAsia="en-US"/>
        </w:rPr>
      </w:pPr>
      <w:r w:rsidRPr="00395986">
        <w:rPr>
          <w:rFonts w:ascii="Palatino Linotype" w:eastAsia="Calibri" w:hAnsi="Palatino Linotype" w:cs="Tahoma"/>
          <w:bCs/>
          <w:sz w:val="24"/>
          <w:lang w:eastAsia="en-US"/>
        </w:rPr>
        <w:t>Igualmente, permitiría el escrutinio de la actividad de la autoridad encargada de emitir dichas licencias, en tanto que la sociedad podría conocer si se autorizaron a quienes cumplen con los requisitos establecidos en la normatividad aplicable e incluso si dicha licencia se encuentra vigente.</w:t>
      </w:r>
    </w:p>
    <w:p w14:paraId="27193DE4" w14:textId="77777777" w:rsidR="00431D95" w:rsidRPr="00395986" w:rsidRDefault="00431D95" w:rsidP="00431D95">
      <w:pPr>
        <w:pStyle w:val="Prrafodelista"/>
        <w:spacing w:line="360" w:lineRule="auto"/>
        <w:ind w:right="-93"/>
        <w:jc w:val="both"/>
        <w:rPr>
          <w:rFonts w:ascii="Palatino Linotype" w:eastAsia="Calibri" w:hAnsi="Palatino Linotype" w:cs="Tahoma"/>
          <w:bCs/>
          <w:lang w:eastAsia="en-US"/>
        </w:rPr>
      </w:pPr>
    </w:p>
    <w:p w14:paraId="4D7ECCDD" w14:textId="77777777" w:rsidR="00431D95" w:rsidRPr="00395986" w:rsidRDefault="00431D95" w:rsidP="00431D95">
      <w:pPr>
        <w:pStyle w:val="Prrafodelista"/>
        <w:numPr>
          <w:ilvl w:val="0"/>
          <w:numId w:val="18"/>
        </w:numPr>
        <w:spacing w:line="360" w:lineRule="auto"/>
        <w:ind w:right="-93"/>
        <w:jc w:val="both"/>
        <w:rPr>
          <w:rFonts w:ascii="Palatino Linotype" w:eastAsia="Calibri" w:hAnsi="Palatino Linotype" w:cs="Tahoma"/>
          <w:bCs/>
          <w:lang w:eastAsia="en-US"/>
        </w:rPr>
      </w:pPr>
      <w:r w:rsidRPr="00395986">
        <w:rPr>
          <w:rFonts w:ascii="Palatino Linotype" w:eastAsia="Calibri" w:hAnsi="Palatino Linotype" w:cs="Tahoma"/>
          <w:b/>
        </w:rPr>
        <w:t>Necesidad.</w:t>
      </w:r>
      <w:r w:rsidRPr="00395986">
        <w:rPr>
          <w:rFonts w:ascii="Palatino Linotype" w:eastAsia="Calibri" w:hAnsi="Palatino Linotype" w:cs="Tahoma"/>
          <w:bCs/>
          <w:lang w:eastAsia="en-US"/>
        </w:rPr>
        <w:t xml:space="preserve"> </w:t>
      </w:r>
    </w:p>
    <w:p w14:paraId="0E682C79" w14:textId="77777777" w:rsidR="00431D95" w:rsidRPr="00395986" w:rsidRDefault="00431D95" w:rsidP="00431D95">
      <w:pPr>
        <w:pStyle w:val="Prrafodelista"/>
        <w:spacing w:line="360" w:lineRule="auto"/>
        <w:ind w:right="-93"/>
        <w:jc w:val="both"/>
        <w:rPr>
          <w:rFonts w:ascii="Palatino Linotype" w:eastAsia="Calibri" w:hAnsi="Palatino Linotype" w:cs="Tahoma"/>
          <w:bCs/>
          <w:lang w:eastAsia="en-US"/>
        </w:rPr>
      </w:pPr>
    </w:p>
    <w:p w14:paraId="3A9BDBE3" w14:textId="26E48042" w:rsidR="00431D95" w:rsidRPr="00395986" w:rsidRDefault="00431D95" w:rsidP="00A03C61">
      <w:pPr>
        <w:pStyle w:val="Prrafodelista"/>
        <w:numPr>
          <w:ilvl w:val="0"/>
          <w:numId w:val="13"/>
        </w:numPr>
        <w:spacing w:line="360" w:lineRule="auto"/>
        <w:ind w:left="0" w:right="-93" w:firstLine="0"/>
        <w:jc w:val="both"/>
        <w:rPr>
          <w:rFonts w:ascii="Palatino Linotype" w:eastAsia="Calibri" w:hAnsi="Palatino Linotype" w:cs="Tahoma"/>
          <w:bCs/>
          <w:sz w:val="24"/>
          <w:lang w:eastAsia="en-US"/>
        </w:rPr>
      </w:pPr>
      <w:r w:rsidRPr="00395986">
        <w:rPr>
          <w:rFonts w:ascii="Palatino Linotype" w:eastAsia="Calibri" w:hAnsi="Palatino Linotype" w:cs="Tahoma"/>
          <w:bCs/>
          <w:sz w:val="24"/>
          <w:lang w:eastAsia="en-US"/>
        </w:rPr>
        <w:t xml:space="preserve">El sacrifico de la protección del nombre de aquellas personas que se les otorgó una licencia de funcionamiento, como medio para lograr el fin constitucionalmente válido señalado previamente, se justifica en razón de que se satisface el interés mayor de los ciudadanos de conocer si los establecimientos comerciales cuentan con la autorización correspondiente. Además, corrobora si la localizada en el inmueble para llevar a cabo la actividad, fue emitida por el Sujeto Obligado, </w:t>
      </w:r>
      <w:r w:rsidRPr="00395986">
        <w:rPr>
          <w:rFonts w:ascii="Palatino Linotype" w:eastAsia="Calibri" w:hAnsi="Palatino Linotype" w:cs="Tahoma"/>
          <w:b/>
          <w:bCs/>
          <w:sz w:val="24"/>
          <w:lang w:eastAsia="en-US"/>
        </w:rPr>
        <w:t>como regulador de las actividades económicas del Municipio, además de que permite identificar a las personas que acceden al servicio quién es el responsable del local.</w:t>
      </w:r>
    </w:p>
    <w:p w14:paraId="084F5781" w14:textId="77777777" w:rsidR="00431D95" w:rsidRPr="00395986" w:rsidRDefault="00431D95" w:rsidP="00A03C61">
      <w:pPr>
        <w:pStyle w:val="Prrafodelista"/>
        <w:spacing w:line="360" w:lineRule="auto"/>
        <w:ind w:left="0" w:right="-93"/>
        <w:jc w:val="both"/>
        <w:rPr>
          <w:rFonts w:ascii="Palatino Linotype" w:eastAsia="Calibri" w:hAnsi="Palatino Linotype" w:cs="Tahoma"/>
          <w:b/>
          <w:bCs/>
          <w:sz w:val="24"/>
          <w:lang w:eastAsia="en-US"/>
        </w:rPr>
      </w:pPr>
    </w:p>
    <w:p w14:paraId="66DCA0A4" w14:textId="77777777" w:rsidR="00431D95" w:rsidRPr="00395986" w:rsidRDefault="00431D95" w:rsidP="00A03C61">
      <w:pPr>
        <w:pStyle w:val="Prrafodelista"/>
        <w:numPr>
          <w:ilvl w:val="0"/>
          <w:numId w:val="13"/>
        </w:numPr>
        <w:spacing w:line="360" w:lineRule="auto"/>
        <w:ind w:left="0" w:right="-93" w:firstLine="0"/>
        <w:jc w:val="both"/>
        <w:rPr>
          <w:rFonts w:ascii="Palatino Linotype" w:eastAsia="Calibri" w:hAnsi="Palatino Linotype" w:cs="Tahoma"/>
          <w:b/>
          <w:bCs/>
          <w:sz w:val="24"/>
          <w:lang w:eastAsia="en-US"/>
        </w:rPr>
      </w:pPr>
      <w:r w:rsidRPr="00395986">
        <w:rPr>
          <w:rFonts w:ascii="Palatino Linotype" w:eastAsia="Calibri" w:hAnsi="Palatino Linotype" w:cs="Tahoma"/>
          <w:bCs/>
          <w:sz w:val="24"/>
          <w:lang w:eastAsia="en-US"/>
        </w:rPr>
        <w:t xml:space="preserve">Sobre el particular, el artículo 2° de la Ley de Transparencia y Acceso a la Información Pública del Estado de México y Municipios, dispone que entre los objetivos de la misma, se encuentran: </w:t>
      </w:r>
    </w:p>
    <w:p w14:paraId="390B96EF" w14:textId="77777777" w:rsidR="00431D95" w:rsidRPr="00395986" w:rsidRDefault="00431D95" w:rsidP="00A03C61">
      <w:pPr>
        <w:spacing w:line="360" w:lineRule="auto"/>
        <w:ind w:right="-93"/>
        <w:jc w:val="both"/>
        <w:rPr>
          <w:rFonts w:ascii="Palatino Linotype" w:eastAsia="Calibri" w:hAnsi="Palatino Linotype" w:cs="Tahoma"/>
          <w:bCs/>
          <w:sz w:val="28"/>
          <w:lang w:eastAsia="en-US"/>
        </w:rPr>
      </w:pPr>
    </w:p>
    <w:p w14:paraId="0CAA231F" w14:textId="77777777" w:rsidR="00431D95" w:rsidRPr="00395986" w:rsidRDefault="00431D95" w:rsidP="00A03C61">
      <w:pPr>
        <w:pStyle w:val="Prrafodelista"/>
        <w:numPr>
          <w:ilvl w:val="0"/>
          <w:numId w:val="19"/>
        </w:numPr>
        <w:spacing w:line="360" w:lineRule="auto"/>
        <w:ind w:left="0" w:right="-93" w:firstLine="0"/>
        <w:jc w:val="both"/>
        <w:rPr>
          <w:rFonts w:ascii="Palatino Linotype" w:eastAsia="Calibri" w:hAnsi="Palatino Linotype" w:cs="Tahoma"/>
          <w:bCs/>
          <w:sz w:val="24"/>
          <w:lang w:eastAsia="en-US"/>
        </w:rPr>
      </w:pPr>
      <w:r w:rsidRPr="00395986">
        <w:rPr>
          <w:rFonts w:ascii="Palatino Linotype" w:eastAsia="Calibri" w:hAnsi="Palatino Linotype" w:cs="Tahoma"/>
          <w:bCs/>
          <w:sz w:val="24"/>
          <w:lang w:eastAsia="en-US"/>
        </w:rPr>
        <w:t xml:space="preserve">transparentar la gestión pública mediante la difusión de la información generada por los Sujetos Obligados; </w:t>
      </w:r>
    </w:p>
    <w:p w14:paraId="76121CFF" w14:textId="77777777" w:rsidR="00431D95" w:rsidRPr="00395986" w:rsidRDefault="00431D95" w:rsidP="00A03C61">
      <w:pPr>
        <w:pStyle w:val="Prrafodelista"/>
        <w:numPr>
          <w:ilvl w:val="0"/>
          <w:numId w:val="19"/>
        </w:numPr>
        <w:spacing w:line="360" w:lineRule="auto"/>
        <w:ind w:left="0" w:right="-93" w:firstLine="0"/>
        <w:jc w:val="both"/>
        <w:rPr>
          <w:rFonts w:ascii="Palatino Linotype" w:eastAsia="Calibri" w:hAnsi="Palatino Linotype" w:cs="Tahoma"/>
          <w:bCs/>
          <w:sz w:val="24"/>
          <w:lang w:eastAsia="en-US"/>
        </w:rPr>
      </w:pPr>
      <w:r w:rsidRPr="00395986">
        <w:rPr>
          <w:rFonts w:ascii="Palatino Linotype" w:eastAsia="Calibri" w:hAnsi="Palatino Linotype" w:cs="Tahoma"/>
          <w:bCs/>
          <w:sz w:val="24"/>
          <w:lang w:eastAsia="en-US"/>
        </w:rPr>
        <w:t xml:space="preserve">promover, fomentar y la cultura de la transparencia, el acceso a la información y a la rendición de cuentas; y, </w:t>
      </w:r>
    </w:p>
    <w:p w14:paraId="2FEF6071" w14:textId="77777777" w:rsidR="00431D95" w:rsidRPr="00395986" w:rsidRDefault="00431D95" w:rsidP="00A03C61">
      <w:pPr>
        <w:pStyle w:val="Prrafodelista"/>
        <w:numPr>
          <w:ilvl w:val="0"/>
          <w:numId w:val="19"/>
        </w:numPr>
        <w:spacing w:line="360" w:lineRule="auto"/>
        <w:ind w:left="0" w:right="-93" w:firstLine="0"/>
        <w:jc w:val="both"/>
        <w:rPr>
          <w:rFonts w:ascii="Palatino Linotype" w:eastAsia="Calibri" w:hAnsi="Palatino Linotype" w:cs="Tahoma"/>
          <w:bCs/>
          <w:sz w:val="24"/>
          <w:lang w:eastAsia="en-US"/>
        </w:rPr>
      </w:pPr>
      <w:r w:rsidRPr="00395986">
        <w:rPr>
          <w:rFonts w:ascii="Palatino Linotype" w:eastAsia="Calibri" w:hAnsi="Palatino Linotype" w:cs="Tahoma"/>
          <w:bCs/>
          <w:sz w:val="24"/>
          <w:lang w:eastAsia="en-US"/>
        </w:rPr>
        <w:t>propiciar la participación ciudadana en la toma de las decisiones públicas, a fin de contribuir a la consolidación de la democracia.</w:t>
      </w:r>
    </w:p>
    <w:p w14:paraId="0D53A7FE" w14:textId="77777777" w:rsidR="00431D95" w:rsidRPr="00395986" w:rsidRDefault="00431D95" w:rsidP="00A03C61">
      <w:pPr>
        <w:spacing w:line="360" w:lineRule="auto"/>
        <w:ind w:right="-93"/>
        <w:jc w:val="both"/>
        <w:rPr>
          <w:rFonts w:ascii="Palatino Linotype" w:eastAsia="Calibri" w:hAnsi="Palatino Linotype" w:cs="Tahoma"/>
          <w:bCs/>
          <w:sz w:val="28"/>
          <w:lang w:eastAsia="en-US"/>
        </w:rPr>
      </w:pPr>
    </w:p>
    <w:p w14:paraId="5D60860D" w14:textId="77777777" w:rsidR="00431D95" w:rsidRPr="00395986" w:rsidRDefault="00431D95" w:rsidP="00A03C61">
      <w:pPr>
        <w:pStyle w:val="Prrafodelista"/>
        <w:numPr>
          <w:ilvl w:val="0"/>
          <w:numId w:val="13"/>
        </w:numPr>
        <w:spacing w:line="360" w:lineRule="auto"/>
        <w:ind w:left="0" w:right="-93" w:firstLine="0"/>
        <w:jc w:val="both"/>
        <w:rPr>
          <w:rFonts w:ascii="Palatino Linotype" w:eastAsia="Calibri" w:hAnsi="Palatino Linotype" w:cs="Tahoma"/>
          <w:bCs/>
          <w:sz w:val="24"/>
          <w:lang w:eastAsia="en-US"/>
        </w:rPr>
      </w:pPr>
      <w:r w:rsidRPr="00395986">
        <w:rPr>
          <w:rFonts w:ascii="Palatino Linotype" w:eastAsia="Calibri" w:hAnsi="Palatino Linotype" w:cs="Tahoma"/>
          <w:bCs/>
          <w:sz w:val="24"/>
          <w:lang w:eastAsia="en-US"/>
        </w:rPr>
        <w:t>En el caso concreto, se considera que no existe un medio menos oneroso que el ejercicio del derecho de acceso a la información para lograr el fin constitucionalmente válido, que es transparentar y rendir cuentas a la sociedad sobre las personas a quiénes se les otorgaron licencias, por parte del Municipio, para que pudieran realizar actividades económicas, comerciales o industriales, pues sólo por esta vía se puede conocer la forma en la cual el ente recurrido ejerció sus facultades emanadas en los diversos ordenamientos jurídicos, lo cual permitiría comprobar que las licencias localizadas en los respectivos establecimientos cumplieron con los requisitos establecidos en los mismos.</w:t>
      </w:r>
    </w:p>
    <w:p w14:paraId="5B038533" w14:textId="77777777" w:rsidR="00431D95" w:rsidRPr="00395986" w:rsidRDefault="00431D95" w:rsidP="00A03C61">
      <w:pPr>
        <w:pStyle w:val="Prrafodelista"/>
        <w:spacing w:line="360" w:lineRule="auto"/>
        <w:ind w:left="0" w:right="-93"/>
        <w:jc w:val="both"/>
        <w:rPr>
          <w:rFonts w:ascii="Palatino Linotype" w:eastAsia="Calibri" w:hAnsi="Palatino Linotype" w:cs="Tahoma"/>
          <w:bCs/>
          <w:sz w:val="24"/>
          <w:lang w:eastAsia="en-US"/>
        </w:rPr>
      </w:pPr>
    </w:p>
    <w:p w14:paraId="3119E59F" w14:textId="77777777" w:rsidR="00431D95" w:rsidRPr="00395986" w:rsidRDefault="00431D95" w:rsidP="00A03C61">
      <w:pPr>
        <w:pStyle w:val="Prrafodelista"/>
        <w:numPr>
          <w:ilvl w:val="0"/>
          <w:numId w:val="13"/>
        </w:numPr>
        <w:spacing w:line="360" w:lineRule="auto"/>
        <w:ind w:left="0" w:right="-93" w:firstLine="0"/>
        <w:jc w:val="both"/>
        <w:rPr>
          <w:rFonts w:ascii="Palatino Linotype" w:eastAsia="Calibri" w:hAnsi="Palatino Linotype" w:cs="Tahoma"/>
          <w:bCs/>
          <w:sz w:val="24"/>
          <w:lang w:eastAsia="en-US"/>
        </w:rPr>
      </w:pPr>
      <w:r w:rsidRPr="00395986">
        <w:rPr>
          <w:rFonts w:ascii="Palatino Linotype" w:eastAsia="Calibri" w:hAnsi="Palatino Linotype" w:cs="Tahoma"/>
          <w:bCs/>
          <w:sz w:val="24"/>
          <w:lang w:eastAsia="en-US"/>
        </w:rPr>
        <w:t xml:space="preserve">En otras palabras, se considera que sólo con la difusión del nombre del titular de la licencia de funcionamiento, se podrían aportar los elementos necesarios a la </w:t>
      </w:r>
      <w:r w:rsidRPr="00395986">
        <w:rPr>
          <w:rFonts w:ascii="Palatino Linotype" w:eastAsia="Calibri" w:hAnsi="Palatino Linotype" w:cs="Tahoma"/>
          <w:bCs/>
          <w:sz w:val="24"/>
          <w:lang w:eastAsia="en-US"/>
        </w:rPr>
        <w:lastRenderedPageBreak/>
        <w:t>ciudadanía para conocer que cualquier establecimiento comercial cuenta con la autorización emitida por el Ayuntamiento.</w:t>
      </w:r>
    </w:p>
    <w:p w14:paraId="498AD469" w14:textId="77777777" w:rsidR="00431D95" w:rsidRPr="00395986" w:rsidRDefault="00431D95" w:rsidP="00A03C61">
      <w:pPr>
        <w:pStyle w:val="Prrafodelista"/>
        <w:spacing w:line="360" w:lineRule="auto"/>
        <w:ind w:left="0" w:right="-93"/>
        <w:jc w:val="both"/>
        <w:rPr>
          <w:rFonts w:ascii="Palatino Linotype" w:eastAsia="Calibri" w:hAnsi="Palatino Linotype" w:cs="Tahoma"/>
          <w:bCs/>
          <w:sz w:val="24"/>
          <w:lang w:eastAsia="en-US"/>
        </w:rPr>
      </w:pPr>
      <w:r w:rsidRPr="00395986">
        <w:rPr>
          <w:rFonts w:ascii="Palatino Linotype" w:eastAsia="Calibri" w:hAnsi="Palatino Linotype" w:cs="Tahoma"/>
          <w:bCs/>
          <w:sz w:val="24"/>
          <w:lang w:eastAsia="en-US"/>
        </w:rPr>
        <w:t xml:space="preserve"> </w:t>
      </w:r>
    </w:p>
    <w:p w14:paraId="2E62933B" w14:textId="77777777" w:rsidR="00A03C61" w:rsidRPr="00395986" w:rsidRDefault="00431D95" w:rsidP="00A03C61">
      <w:pPr>
        <w:pStyle w:val="Prrafodelista"/>
        <w:numPr>
          <w:ilvl w:val="0"/>
          <w:numId w:val="13"/>
        </w:numPr>
        <w:spacing w:line="360" w:lineRule="auto"/>
        <w:ind w:left="0" w:right="-93" w:firstLine="0"/>
        <w:jc w:val="both"/>
        <w:rPr>
          <w:rFonts w:ascii="Palatino Linotype" w:eastAsia="Calibri" w:hAnsi="Palatino Linotype" w:cs="Tahoma"/>
          <w:bCs/>
          <w:sz w:val="24"/>
          <w:lang w:eastAsia="en-US"/>
        </w:rPr>
      </w:pPr>
      <w:r w:rsidRPr="00395986">
        <w:rPr>
          <w:rFonts w:ascii="Palatino Linotype" w:eastAsia="Calibri" w:hAnsi="Palatino Linotype" w:cs="Tahoma"/>
          <w:bCs/>
          <w:sz w:val="24"/>
          <w:lang w:eastAsia="en-US"/>
        </w:rPr>
        <w:t>Las Licencias de funcionamiento deben encontrarse en un lugar visible dentro del establecimiento comercial y, si se negara el derecho de acceso a la información al nombre localizado en dicho documento, se impediría que los ciudadanos pudieran corroborar que la licencia de funcionamiento efectivamente fue emitida por el Sujeto Obligado a nombre de la persona responsable, pues al proteger dicho dato no se tendría certeza de que el titular corresponde con el emitido por el Municipio en comento, pues debe tener presente que la licencia de funcionamiento se entrega para brindar servicios a terceros, de ahí que se advierta un tema de interés público y que resulte imperativo la difusión de la información, advirtiéndose una desventaja de menor proporción en cuanto a la afectación de la protección de los datos personales.</w:t>
      </w:r>
    </w:p>
    <w:p w14:paraId="04B2FA94" w14:textId="77777777" w:rsidR="00A03C61" w:rsidRPr="00395986" w:rsidRDefault="00A03C61" w:rsidP="00A03C61">
      <w:pPr>
        <w:pStyle w:val="Prrafodelista"/>
        <w:spacing w:line="360" w:lineRule="auto"/>
        <w:ind w:right="-93"/>
        <w:jc w:val="both"/>
        <w:rPr>
          <w:rFonts w:ascii="Palatino Linotype" w:eastAsia="Calibri" w:hAnsi="Palatino Linotype" w:cs="Tahoma"/>
          <w:bCs/>
          <w:lang w:eastAsia="en-US"/>
        </w:rPr>
      </w:pPr>
    </w:p>
    <w:p w14:paraId="7BC4B443" w14:textId="77777777" w:rsidR="00A03C61" w:rsidRPr="00395986" w:rsidRDefault="00A03C61" w:rsidP="00A03C61">
      <w:pPr>
        <w:pStyle w:val="Prrafodelista"/>
        <w:numPr>
          <w:ilvl w:val="0"/>
          <w:numId w:val="18"/>
        </w:numPr>
        <w:spacing w:line="360" w:lineRule="auto"/>
        <w:ind w:right="-93"/>
        <w:jc w:val="both"/>
        <w:rPr>
          <w:rFonts w:ascii="Palatino Linotype" w:hAnsi="Palatino Linotype" w:cs="Tahoma"/>
        </w:rPr>
      </w:pPr>
      <w:r w:rsidRPr="00395986">
        <w:rPr>
          <w:rFonts w:ascii="Palatino Linotype" w:hAnsi="Palatino Linotype" w:cs="Tahoma"/>
          <w:b/>
        </w:rPr>
        <w:t>Proporcionalidad en sentido estricto</w:t>
      </w:r>
      <w:r w:rsidRPr="00395986">
        <w:rPr>
          <w:rFonts w:ascii="Palatino Linotype" w:hAnsi="Palatino Linotype" w:cs="Tahoma"/>
        </w:rPr>
        <w:t xml:space="preserve">. </w:t>
      </w:r>
    </w:p>
    <w:p w14:paraId="6143A959" w14:textId="77777777" w:rsidR="00A03C61" w:rsidRPr="00395986" w:rsidRDefault="00A03C61" w:rsidP="00A03C61">
      <w:pPr>
        <w:pStyle w:val="Prrafodelista"/>
        <w:spacing w:line="360" w:lineRule="auto"/>
        <w:ind w:right="-93"/>
        <w:jc w:val="both"/>
        <w:rPr>
          <w:rFonts w:ascii="Palatino Linotype" w:eastAsia="Calibri" w:hAnsi="Palatino Linotype" w:cs="Tahoma"/>
          <w:bCs/>
          <w:lang w:eastAsia="en-US"/>
        </w:rPr>
      </w:pPr>
    </w:p>
    <w:p w14:paraId="1CE61A14" w14:textId="16B6FA74" w:rsidR="00A03C61" w:rsidRPr="00395986" w:rsidRDefault="00A03C61" w:rsidP="00A03C61">
      <w:pPr>
        <w:pStyle w:val="Prrafodelista"/>
        <w:numPr>
          <w:ilvl w:val="0"/>
          <w:numId w:val="13"/>
        </w:numPr>
        <w:spacing w:line="360" w:lineRule="auto"/>
        <w:ind w:left="0" w:right="-93" w:firstLine="0"/>
        <w:jc w:val="both"/>
        <w:rPr>
          <w:rFonts w:ascii="Palatino Linotype" w:eastAsia="Calibri" w:hAnsi="Palatino Linotype" w:cs="Tahoma"/>
          <w:bCs/>
          <w:sz w:val="24"/>
          <w:lang w:eastAsia="en-US"/>
        </w:rPr>
      </w:pPr>
      <w:r w:rsidRPr="00395986">
        <w:rPr>
          <w:rFonts w:ascii="Palatino Linotype" w:eastAsia="Calibri" w:hAnsi="Palatino Linotype" w:cs="Tahoma"/>
          <w:bCs/>
          <w:sz w:val="24"/>
          <w:lang w:eastAsia="en-US"/>
        </w:rPr>
        <w:t>El sacrificio de la protección al nombre de aquellas personas que se les otorgó una licencia para realizar actividades económicas, como medio para lograr el fin constitucionalmente válido señalado previamente, se justifica en razón de que se satisface el interés mayor de los ciudadanos de conocer si los comerciantes cuentan con la autorización correspondiente para llevar a cabo dichas actividades, las cuales son reguladas, específicamente por los Municipios del Estado de México.</w:t>
      </w:r>
    </w:p>
    <w:p w14:paraId="42834449" w14:textId="77777777" w:rsidR="00A03C61" w:rsidRPr="00395986" w:rsidRDefault="00A03C61" w:rsidP="00A03C61">
      <w:pPr>
        <w:pStyle w:val="Prrafodelista"/>
        <w:spacing w:line="360" w:lineRule="auto"/>
        <w:ind w:left="0" w:right="-93"/>
        <w:jc w:val="both"/>
        <w:rPr>
          <w:rFonts w:ascii="Palatino Linotype" w:eastAsia="Calibri" w:hAnsi="Palatino Linotype" w:cs="Tahoma"/>
          <w:bCs/>
          <w:sz w:val="24"/>
          <w:lang w:eastAsia="en-US"/>
        </w:rPr>
      </w:pPr>
    </w:p>
    <w:p w14:paraId="40DF8840" w14:textId="77777777" w:rsidR="00A03C61" w:rsidRPr="00395986" w:rsidRDefault="00A03C61" w:rsidP="00A03C61">
      <w:pPr>
        <w:pStyle w:val="Prrafodelista"/>
        <w:numPr>
          <w:ilvl w:val="0"/>
          <w:numId w:val="13"/>
        </w:numPr>
        <w:spacing w:line="360" w:lineRule="auto"/>
        <w:ind w:left="0" w:right="-93" w:firstLine="0"/>
        <w:jc w:val="both"/>
        <w:rPr>
          <w:rFonts w:ascii="Palatino Linotype" w:eastAsia="Calibri" w:hAnsi="Palatino Linotype" w:cs="Tahoma"/>
          <w:bCs/>
          <w:sz w:val="24"/>
          <w:lang w:eastAsia="en-US"/>
        </w:rPr>
      </w:pPr>
      <w:r w:rsidRPr="00395986">
        <w:rPr>
          <w:rFonts w:ascii="Palatino Linotype" w:eastAsia="Calibri" w:hAnsi="Palatino Linotype" w:cs="Tahoma"/>
          <w:bCs/>
          <w:sz w:val="24"/>
          <w:lang w:eastAsia="en-US"/>
        </w:rPr>
        <w:t xml:space="preserve">Aunado a ello, se aportarían elementos para determinar si esas autorizaciones se emitieron conforme a derecho y que las que se encuentran visibles en los </w:t>
      </w:r>
      <w:r w:rsidRPr="00395986">
        <w:rPr>
          <w:rFonts w:ascii="Palatino Linotype" w:eastAsia="Calibri" w:hAnsi="Palatino Linotype" w:cs="Tahoma"/>
          <w:bCs/>
          <w:sz w:val="24"/>
          <w:lang w:eastAsia="en-US"/>
        </w:rPr>
        <w:lastRenderedPageBreak/>
        <w:t>establecimientos fueron efectivamente emitidas por el Ayuntamiento, esto es, que se cumplen con los requisitos legales que marcan las disposiciones antes estudiadas.</w:t>
      </w:r>
    </w:p>
    <w:p w14:paraId="5A7AD005" w14:textId="77777777" w:rsidR="00A03C61" w:rsidRPr="00395986" w:rsidRDefault="00A03C61" w:rsidP="00A03C61">
      <w:pPr>
        <w:pStyle w:val="Prrafodelista"/>
        <w:spacing w:line="360" w:lineRule="auto"/>
        <w:ind w:left="0"/>
        <w:rPr>
          <w:rFonts w:ascii="Palatino Linotype" w:eastAsia="Calibri" w:hAnsi="Palatino Linotype" w:cs="Tahoma"/>
          <w:bCs/>
          <w:sz w:val="24"/>
          <w:lang w:eastAsia="en-US"/>
        </w:rPr>
      </w:pPr>
    </w:p>
    <w:p w14:paraId="348B48AD" w14:textId="77777777" w:rsidR="00A03C61" w:rsidRPr="00395986" w:rsidRDefault="00A03C61" w:rsidP="00A03C61">
      <w:pPr>
        <w:pStyle w:val="Prrafodelista"/>
        <w:numPr>
          <w:ilvl w:val="0"/>
          <w:numId w:val="13"/>
        </w:numPr>
        <w:spacing w:line="360" w:lineRule="auto"/>
        <w:ind w:left="0" w:right="-93" w:firstLine="0"/>
        <w:jc w:val="both"/>
        <w:rPr>
          <w:rFonts w:ascii="Palatino Linotype" w:eastAsia="Calibri" w:hAnsi="Palatino Linotype" w:cs="Tahoma"/>
          <w:bCs/>
          <w:sz w:val="24"/>
          <w:lang w:eastAsia="en-US"/>
        </w:rPr>
      </w:pPr>
      <w:r w:rsidRPr="00395986">
        <w:rPr>
          <w:rFonts w:ascii="Palatino Linotype" w:eastAsia="Calibri" w:hAnsi="Palatino Linotype" w:cs="Tahoma"/>
          <w:bCs/>
          <w:sz w:val="24"/>
          <w:lang w:eastAsia="en-US"/>
        </w:rPr>
        <w:t xml:space="preserve">Conforme a lo anterior, el </w:t>
      </w:r>
      <w:r w:rsidRPr="00395986">
        <w:rPr>
          <w:rFonts w:ascii="Palatino Linotype" w:hAnsi="Palatino Linotype" w:cs="Tahoma"/>
          <w:sz w:val="24"/>
        </w:rPr>
        <w:t>bien jurídico tutelado por el supuesto de confidencialidad previsto en el artículo 143, fracción I de la Ley de la materia, debe ceder frente al derecho de la sociedad de obtener información, en tanto que es mayor el beneficio que representa su publicidad, pues la misma da cuenta del correcto actuar del Sujeto Obligado como regulador de las actividades comerciales en la extensión territorial del Municipio y permite a los usuarios del local comercial identificar al responsable del mismo.</w:t>
      </w:r>
    </w:p>
    <w:p w14:paraId="5E6FEE29" w14:textId="77777777" w:rsidR="00A03C61" w:rsidRPr="00395986" w:rsidRDefault="00A03C61" w:rsidP="00A03C61">
      <w:pPr>
        <w:pStyle w:val="Prrafodelista"/>
        <w:spacing w:line="360" w:lineRule="auto"/>
        <w:ind w:left="0"/>
        <w:rPr>
          <w:rFonts w:ascii="Palatino Linotype" w:eastAsia="Calibri" w:hAnsi="Palatino Linotype" w:cs="Tahoma"/>
          <w:bCs/>
          <w:sz w:val="24"/>
          <w:lang w:eastAsia="en-US"/>
        </w:rPr>
      </w:pPr>
    </w:p>
    <w:p w14:paraId="07108885" w14:textId="77777777" w:rsidR="00A03C61" w:rsidRPr="00395986" w:rsidRDefault="00A03C61" w:rsidP="00A03C61">
      <w:pPr>
        <w:pStyle w:val="Prrafodelista"/>
        <w:numPr>
          <w:ilvl w:val="0"/>
          <w:numId w:val="13"/>
        </w:numPr>
        <w:spacing w:line="360" w:lineRule="auto"/>
        <w:ind w:left="0" w:right="-93" w:firstLine="0"/>
        <w:jc w:val="both"/>
        <w:rPr>
          <w:rFonts w:ascii="Palatino Linotype" w:eastAsia="Calibri" w:hAnsi="Palatino Linotype" w:cs="Tahoma"/>
          <w:bCs/>
          <w:sz w:val="24"/>
          <w:lang w:eastAsia="en-US"/>
        </w:rPr>
      </w:pPr>
      <w:r w:rsidRPr="00395986">
        <w:rPr>
          <w:rFonts w:ascii="Palatino Linotype" w:eastAsia="Calibri" w:hAnsi="Palatino Linotype" w:cs="Tahoma"/>
          <w:bCs/>
          <w:sz w:val="24"/>
          <w:lang w:eastAsia="en-US"/>
        </w:rPr>
        <w:t>En ese sentido, la difusión del nombre de los titulares de las licencias de funcionamiento revisten un claro interés público, puesto que existe una necesidad colectiva de conocer y evaluar la emisión de dichas autorizaciones; en razón de que se trata de información generada con motivo del ejercicio de las funciones del Ayuntamiento, como regulador de cualquier actividad económica, comercial o industrial dentro de su territorio; lo anterior, conforme a la Ley Orgánica Municipal el Estado de México, la Ley de Competitividad y Ordenamiento Comercial del Estado de México y demás normatividad aplicable.</w:t>
      </w:r>
    </w:p>
    <w:p w14:paraId="2051FFD4" w14:textId="77777777" w:rsidR="00A03C61" w:rsidRPr="00395986" w:rsidRDefault="00A03C61" w:rsidP="00A03C61">
      <w:pPr>
        <w:pStyle w:val="Prrafodelista"/>
        <w:ind w:left="0"/>
        <w:rPr>
          <w:rFonts w:ascii="Palatino Linotype" w:eastAsia="Calibri" w:hAnsi="Palatino Linotype" w:cs="Tahoma"/>
          <w:bCs/>
          <w:sz w:val="24"/>
          <w:lang w:eastAsia="en-US"/>
        </w:rPr>
      </w:pPr>
    </w:p>
    <w:p w14:paraId="04D0339F" w14:textId="77777777" w:rsidR="00A03C61" w:rsidRPr="00395986" w:rsidRDefault="00A03C61" w:rsidP="00A03C61">
      <w:pPr>
        <w:pStyle w:val="Prrafodelista"/>
        <w:numPr>
          <w:ilvl w:val="0"/>
          <w:numId w:val="13"/>
        </w:numPr>
        <w:spacing w:line="360" w:lineRule="auto"/>
        <w:ind w:left="0" w:right="-93" w:firstLine="0"/>
        <w:jc w:val="both"/>
        <w:rPr>
          <w:rFonts w:ascii="Palatino Linotype" w:eastAsia="Calibri" w:hAnsi="Palatino Linotype" w:cs="Tahoma"/>
          <w:bCs/>
          <w:sz w:val="32"/>
          <w:lang w:eastAsia="en-US"/>
        </w:rPr>
      </w:pPr>
      <w:r w:rsidRPr="00395986">
        <w:rPr>
          <w:rFonts w:ascii="Palatino Linotype" w:eastAsia="Calibri" w:hAnsi="Palatino Linotype" w:cs="Arial"/>
          <w:sz w:val="24"/>
          <w:szCs w:val="22"/>
          <w:lang w:val="es-ES"/>
        </w:rPr>
        <w:t>En conclusión, las licencias de funcionamiento son entregadas a aquellas personas físicas o jurídico colectivas que cumplen con los requisitos y formalidades exigidas por un determinado Ayuntamiento</w:t>
      </w:r>
      <w:r w:rsidRPr="00395986">
        <w:rPr>
          <w:rFonts w:ascii="Palatino Linotype" w:eastAsia="Calibri" w:hAnsi="Palatino Linotype" w:cs="Arial"/>
          <w:b/>
          <w:sz w:val="24"/>
          <w:szCs w:val="22"/>
          <w:lang w:val="es-ES"/>
        </w:rPr>
        <w:t xml:space="preserve">, </w:t>
      </w:r>
      <w:r w:rsidRPr="00395986">
        <w:rPr>
          <w:rFonts w:ascii="Palatino Linotype" w:eastAsia="Calibri" w:hAnsi="Palatino Linotype" w:cs="Arial"/>
          <w:sz w:val="24"/>
          <w:szCs w:val="22"/>
          <w:lang w:val="es-ES"/>
        </w:rPr>
        <w:t xml:space="preserve">para instaurar un establecimiento comercial. Asimismo, la licencia de funcionamiento debe encontrarse en un lugar visible dentro del establecimiento, de acuerdo con la normatividad en materia. Por ello, </w:t>
      </w:r>
      <w:r w:rsidRPr="00395986">
        <w:rPr>
          <w:rFonts w:ascii="Palatino Linotype" w:eastAsia="Calibri" w:hAnsi="Palatino Linotype" w:cs="Arial"/>
          <w:sz w:val="24"/>
          <w:szCs w:val="22"/>
          <w:lang w:val="es-ES"/>
        </w:rPr>
        <w:lastRenderedPageBreak/>
        <w:t>el nombre del titular es de carácter público, toda vez que ayuda a verificar si el establecimiento comercial cuenta con la debida licencia, también así, se brinda la certeza de que la información contenida en la licencia que se localiza en el establecimiento corresponde con la entregada por el Sujeto Obligado.</w:t>
      </w:r>
    </w:p>
    <w:p w14:paraId="425918CD" w14:textId="77777777" w:rsidR="00A03C61" w:rsidRPr="00395986" w:rsidRDefault="00A03C61" w:rsidP="00A03C61">
      <w:pPr>
        <w:pStyle w:val="Prrafodelista"/>
        <w:ind w:left="0"/>
        <w:rPr>
          <w:rFonts w:ascii="Palatino Linotype" w:eastAsia="Calibri" w:hAnsi="Palatino Linotype" w:cs="Tahoma"/>
          <w:bCs/>
          <w:sz w:val="24"/>
          <w:lang w:eastAsia="en-US"/>
        </w:rPr>
      </w:pPr>
    </w:p>
    <w:p w14:paraId="6F195998" w14:textId="77777777" w:rsidR="00A03C61" w:rsidRPr="00395986" w:rsidRDefault="00A03C61" w:rsidP="00A03C61">
      <w:pPr>
        <w:pStyle w:val="Prrafodelista"/>
        <w:numPr>
          <w:ilvl w:val="0"/>
          <w:numId w:val="13"/>
        </w:numPr>
        <w:spacing w:line="360" w:lineRule="auto"/>
        <w:ind w:left="0" w:right="-93" w:firstLine="0"/>
        <w:jc w:val="both"/>
        <w:rPr>
          <w:rFonts w:ascii="Palatino Linotype" w:eastAsia="Calibri" w:hAnsi="Palatino Linotype" w:cs="Tahoma"/>
          <w:bCs/>
          <w:sz w:val="24"/>
          <w:lang w:eastAsia="en-US"/>
        </w:rPr>
      </w:pPr>
      <w:r w:rsidRPr="00395986">
        <w:rPr>
          <w:rFonts w:ascii="Palatino Linotype" w:eastAsia="Calibri" w:hAnsi="Palatino Linotype" w:cs="Tahoma"/>
          <w:b/>
          <w:bCs/>
          <w:sz w:val="24"/>
          <w:lang w:eastAsia="en-US"/>
        </w:rPr>
        <w:t>Dar a conocer el nombre de los titulares de licencias, prevalece sobre la protección de los datos personales confidenciales de dichas personas, en razón del interés público que reviste;</w:t>
      </w:r>
      <w:r w:rsidRPr="00395986">
        <w:rPr>
          <w:rFonts w:ascii="Palatino Linotype" w:eastAsia="Calibri" w:hAnsi="Palatino Linotype" w:cs="Tahoma"/>
          <w:bCs/>
          <w:sz w:val="24"/>
          <w:lang w:eastAsia="en-US"/>
        </w:rPr>
        <w:t xml:space="preserve"> por lo que, no resulta aplicable, en el presente caso, el artículo 143 de la Ley de Transparencia y Acceso a la Información Pública del Estado de México y Municipios.</w:t>
      </w:r>
    </w:p>
    <w:p w14:paraId="2BDA58C8" w14:textId="77777777" w:rsidR="008D19BD" w:rsidRPr="00395986" w:rsidRDefault="008D19BD" w:rsidP="008D19BD">
      <w:pPr>
        <w:pStyle w:val="Prrafodelista"/>
        <w:spacing w:line="360" w:lineRule="auto"/>
        <w:ind w:left="0" w:right="-93"/>
        <w:jc w:val="both"/>
        <w:rPr>
          <w:rFonts w:ascii="Palatino Linotype" w:eastAsia="Calibri" w:hAnsi="Palatino Linotype" w:cs="Tahoma"/>
          <w:bCs/>
          <w:sz w:val="24"/>
          <w:lang w:eastAsia="en-US"/>
        </w:rPr>
      </w:pPr>
    </w:p>
    <w:p w14:paraId="2974C064" w14:textId="7F057605" w:rsidR="008D19BD" w:rsidRPr="00395986" w:rsidRDefault="008D19BD" w:rsidP="00A03C61">
      <w:pPr>
        <w:pStyle w:val="Prrafodelista"/>
        <w:spacing w:line="360" w:lineRule="auto"/>
        <w:ind w:left="0" w:right="-93"/>
        <w:jc w:val="both"/>
        <w:rPr>
          <w:rFonts w:ascii="Palatino Linotype" w:eastAsia="Calibri" w:hAnsi="Palatino Linotype" w:cs="Tahoma"/>
          <w:bCs/>
          <w:sz w:val="24"/>
          <w:lang w:eastAsia="en-US"/>
        </w:rPr>
      </w:pPr>
      <w:r w:rsidRPr="00395986">
        <w:rPr>
          <w:rFonts w:ascii="Palatino Linotype" w:eastAsia="Calibri" w:hAnsi="Palatino Linotype" w:cs="Tahoma"/>
          <w:b/>
          <w:bCs/>
          <w:sz w:val="24"/>
          <w:lang w:eastAsia="en-US"/>
        </w:rPr>
        <w:t>QUINTO</w:t>
      </w:r>
      <w:r w:rsidR="00A03C61" w:rsidRPr="00395986">
        <w:rPr>
          <w:rFonts w:ascii="Palatino Linotype" w:eastAsia="Calibri" w:hAnsi="Palatino Linotype" w:cs="Tahoma"/>
          <w:b/>
          <w:bCs/>
          <w:sz w:val="24"/>
          <w:lang w:eastAsia="en-US"/>
        </w:rPr>
        <w:t>.</w:t>
      </w:r>
      <w:r w:rsidR="00A03C61" w:rsidRPr="00395986">
        <w:rPr>
          <w:rFonts w:ascii="Palatino Linotype" w:eastAsia="Calibri" w:hAnsi="Palatino Linotype" w:cs="Tahoma"/>
          <w:bCs/>
          <w:sz w:val="24"/>
          <w:lang w:eastAsia="en-US"/>
        </w:rPr>
        <w:t xml:space="preserve"> </w:t>
      </w:r>
      <w:r w:rsidR="00A03C61" w:rsidRPr="00395986">
        <w:rPr>
          <w:rFonts w:ascii="Palatino Linotype" w:eastAsia="Calibri" w:hAnsi="Palatino Linotype" w:cs="Tahoma"/>
          <w:b/>
          <w:bCs/>
          <w:sz w:val="24"/>
          <w:lang w:eastAsia="en-US"/>
        </w:rPr>
        <w:t>D</w:t>
      </w:r>
      <w:r w:rsidRPr="00395986">
        <w:rPr>
          <w:rFonts w:ascii="Palatino Linotype" w:eastAsia="Calibri" w:hAnsi="Palatino Linotype" w:cs="Tahoma"/>
          <w:b/>
          <w:bCs/>
          <w:sz w:val="24"/>
          <w:lang w:eastAsia="en-US"/>
        </w:rPr>
        <w:t>e la vista a la Dirección Jurídica y de Verificación</w:t>
      </w:r>
      <w:r w:rsidRPr="00395986">
        <w:rPr>
          <w:rFonts w:ascii="Palatino Linotype" w:eastAsia="Calibri" w:hAnsi="Palatino Linotype" w:cs="Tahoma"/>
          <w:bCs/>
          <w:sz w:val="24"/>
          <w:lang w:eastAsia="en-US"/>
        </w:rPr>
        <w:t xml:space="preserve"> </w:t>
      </w:r>
    </w:p>
    <w:p w14:paraId="0F8D98C7" w14:textId="77777777" w:rsidR="008D19BD" w:rsidRPr="00395986" w:rsidRDefault="008D19BD" w:rsidP="00A03C61">
      <w:pPr>
        <w:pStyle w:val="Prrafodelista"/>
        <w:spacing w:line="360" w:lineRule="auto"/>
        <w:ind w:left="0" w:right="-93"/>
        <w:jc w:val="both"/>
        <w:rPr>
          <w:rFonts w:ascii="Palatino Linotype" w:eastAsia="Calibri" w:hAnsi="Palatino Linotype" w:cs="Tahoma"/>
          <w:bCs/>
          <w:sz w:val="24"/>
          <w:lang w:eastAsia="en-US"/>
        </w:rPr>
      </w:pPr>
    </w:p>
    <w:p w14:paraId="25F68E3F" w14:textId="2263131A" w:rsidR="00A03C61" w:rsidRPr="00395986" w:rsidRDefault="00572C0E" w:rsidP="00A03C61">
      <w:pPr>
        <w:pStyle w:val="Prrafodelista"/>
        <w:numPr>
          <w:ilvl w:val="0"/>
          <w:numId w:val="13"/>
        </w:numPr>
        <w:spacing w:line="360" w:lineRule="auto"/>
        <w:ind w:left="0" w:right="-93" w:firstLine="0"/>
        <w:jc w:val="both"/>
        <w:rPr>
          <w:rFonts w:ascii="Palatino Linotype" w:eastAsia="Calibri" w:hAnsi="Palatino Linotype" w:cs="Tahoma"/>
          <w:bCs/>
          <w:sz w:val="28"/>
          <w:lang w:eastAsia="en-US"/>
        </w:rPr>
      </w:pPr>
      <w:r w:rsidRPr="00395986">
        <w:rPr>
          <w:rFonts w:ascii="Palatino Linotype" w:hAnsi="Palatino Linotype"/>
          <w:sz w:val="24"/>
        </w:rPr>
        <w:t>Ahora bien, es de referir que el Sujeto Obligado no cuenta con la información actualizada respecto al Portal de Información Pública de Oficio Mexiquense (IPOMEX), pues este Instituto pudo verificar que lo requerido por el Particular, debe encontrarse publicado y actualizado, por tratarse de obligaciones comunes de transparencia; sobre el particular, si bien, la presente resolución no tiene por objetivo investigar y determinar posibles violaciones al derecho de acceso a la información, sin embargo toda vez que este Organismo Autónomo, advirtió que el Sujeto Obligado no mantiene actualizado su portal de internet, referente a las obligaciones de transparencia, se considera procedente dar vista a la Dirección General Jurídica y de Verificación de este Instituto con fundamento en el artículo 23, fracciones XII y XIV del Reglamento Interior del Instituto de Transparencia, Acceso a la Información Pública y Protección de Datos Personales del Estado de México y Municipios.</w:t>
      </w:r>
    </w:p>
    <w:p w14:paraId="07E879E9" w14:textId="29B942E5" w:rsidR="00A03C61" w:rsidRPr="00395986" w:rsidRDefault="008D19BD" w:rsidP="00A03C61">
      <w:pPr>
        <w:pStyle w:val="Prrafodelista"/>
        <w:tabs>
          <w:tab w:val="left" w:pos="426"/>
        </w:tabs>
        <w:spacing w:line="360" w:lineRule="auto"/>
        <w:ind w:left="0" w:right="51"/>
        <w:jc w:val="both"/>
        <w:outlineLvl w:val="1"/>
        <w:rPr>
          <w:rFonts w:ascii="Palatino Linotype" w:hAnsi="Palatino Linotype"/>
          <w:b/>
          <w:bCs/>
          <w:color w:val="000000" w:themeColor="text1"/>
          <w:sz w:val="24"/>
        </w:rPr>
      </w:pPr>
      <w:bookmarkStart w:id="12" w:name="_Toc89350464"/>
      <w:bookmarkStart w:id="13" w:name="_Toc94119619"/>
      <w:r w:rsidRPr="00395986">
        <w:rPr>
          <w:rFonts w:ascii="Palatino Linotype" w:hAnsi="Palatino Linotype"/>
          <w:b/>
          <w:bCs/>
          <w:color w:val="000000" w:themeColor="text1"/>
          <w:sz w:val="24"/>
        </w:rPr>
        <w:lastRenderedPageBreak/>
        <w:t>SEX</w:t>
      </w:r>
      <w:r w:rsidR="00A03C61" w:rsidRPr="00395986">
        <w:rPr>
          <w:rFonts w:ascii="Palatino Linotype" w:hAnsi="Palatino Linotype"/>
          <w:b/>
          <w:bCs/>
          <w:color w:val="000000" w:themeColor="text1"/>
          <w:sz w:val="24"/>
        </w:rPr>
        <w:t>TO. De la versión pública.</w:t>
      </w:r>
      <w:bookmarkEnd w:id="12"/>
      <w:bookmarkEnd w:id="13"/>
    </w:p>
    <w:p w14:paraId="7C999A4F" w14:textId="77777777" w:rsidR="00A03C61" w:rsidRPr="00395986" w:rsidRDefault="00A03C61" w:rsidP="00A03C61">
      <w:pPr>
        <w:pStyle w:val="Prrafodelista"/>
        <w:tabs>
          <w:tab w:val="left" w:pos="426"/>
        </w:tabs>
        <w:spacing w:line="360" w:lineRule="auto"/>
        <w:ind w:left="0" w:right="51"/>
        <w:jc w:val="both"/>
        <w:rPr>
          <w:rFonts w:ascii="Palatino Linotype" w:hAnsi="Palatino Linotype"/>
          <w:color w:val="000000" w:themeColor="text1"/>
        </w:rPr>
      </w:pPr>
    </w:p>
    <w:p w14:paraId="2BC1D185" w14:textId="77777777" w:rsidR="00A03C61" w:rsidRPr="00395986" w:rsidRDefault="00A03C61" w:rsidP="00A03C61">
      <w:pPr>
        <w:pStyle w:val="Prrafodelista"/>
        <w:numPr>
          <w:ilvl w:val="0"/>
          <w:numId w:val="13"/>
        </w:numPr>
        <w:tabs>
          <w:tab w:val="left" w:pos="426"/>
        </w:tabs>
        <w:spacing w:line="360" w:lineRule="auto"/>
        <w:ind w:left="0" w:right="51" w:firstLine="0"/>
        <w:jc w:val="both"/>
        <w:rPr>
          <w:rFonts w:ascii="Palatino Linotype" w:hAnsi="Palatino Linotype"/>
          <w:color w:val="000000" w:themeColor="text1"/>
          <w:sz w:val="24"/>
        </w:rPr>
      </w:pPr>
      <w:r w:rsidRPr="00395986">
        <w:rPr>
          <w:rFonts w:ascii="Palatino Linotype" w:hAnsi="Palatino Linotype"/>
          <w:color w:val="000000" w:themeColor="text1"/>
          <w:sz w:val="24"/>
        </w:rPr>
        <w:t>Debe destacarse que, debido a la naturaleza de la información solicitada</w:t>
      </w:r>
      <w:r w:rsidRPr="00395986">
        <w:rPr>
          <w:rFonts w:ascii="Palatino Linotype" w:hAnsi="Palatino Linotype"/>
          <w:b/>
          <w:color w:val="000000" w:themeColor="text1"/>
          <w:sz w:val="24"/>
        </w:rPr>
        <w:t xml:space="preserve"> </w:t>
      </w:r>
      <w:r w:rsidRPr="00395986">
        <w:rPr>
          <w:rFonts w:ascii="Palatino Linotype" w:hAnsi="Palatino Linotype"/>
          <w:color w:val="000000" w:themeColor="text1"/>
          <w:sz w:val="24"/>
        </w:rPr>
        <w:t>eventualmente pudieran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versión pública de los documentos por las consideraciones que se estimen pertinentes.</w:t>
      </w:r>
    </w:p>
    <w:p w14:paraId="458FA8DE" w14:textId="77777777" w:rsidR="00A03C61" w:rsidRPr="00395986" w:rsidRDefault="00A03C61" w:rsidP="00A03C61">
      <w:pPr>
        <w:pStyle w:val="Prrafodelista"/>
        <w:tabs>
          <w:tab w:val="left" w:pos="426"/>
        </w:tabs>
        <w:spacing w:line="360" w:lineRule="auto"/>
        <w:ind w:left="0" w:right="51"/>
        <w:jc w:val="both"/>
        <w:rPr>
          <w:rFonts w:ascii="Palatino Linotype" w:hAnsi="Palatino Linotype"/>
          <w:color w:val="000000" w:themeColor="text1"/>
          <w:sz w:val="24"/>
        </w:rPr>
      </w:pPr>
    </w:p>
    <w:p w14:paraId="334E266A" w14:textId="77777777" w:rsidR="00A03C61" w:rsidRPr="00395986" w:rsidRDefault="00A03C61" w:rsidP="00A03C61">
      <w:pPr>
        <w:pStyle w:val="Prrafodelista"/>
        <w:numPr>
          <w:ilvl w:val="0"/>
          <w:numId w:val="13"/>
        </w:numPr>
        <w:tabs>
          <w:tab w:val="left" w:pos="284"/>
        </w:tabs>
        <w:spacing w:line="360" w:lineRule="auto"/>
        <w:ind w:left="0" w:right="51" w:firstLine="0"/>
        <w:jc w:val="both"/>
        <w:rPr>
          <w:rFonts w:ascii="Palatino Linotype" w:hAnsi="Palatino Linotype"/>
          <w:color w:val="000000" w:themeColor="text1"/>
          <w:sz w:val="24"/>
        </w:rPr>
      </w:pPr>
      <w:r w:rsidRPr="00395986">
        <w:rPr>
          <w:rFonts w:ascii="Palatino Linotype" w:hAnsi="Palatino Linotype"/>
          <w:color w:val="000000" w:themeColor="text1"/>
          <w:sz w:val="24"/>
        </w:rPr>
        <w:t xml:space="preserve">La </w:t>
      </w:r>
      <w:r w:rsidRPr="00395986">
        <w:rPr>
          <w:rFonts w:ascii="Palatino Linotype" w:eastAsia="MS Mincho" w:hAnsi="Palatino Linotype"/>
          <w:sz w:val="24"/>
        </w:rPr>
        <w:t xml:space="preserve">clasificación total o parcial de la información requerida, mediante solicitud de acceso a la información pública, constituye una restricción al derecho humano de acceso a la información. </w:t>
      </w:r>
      <w:r w:rsidRPr="00395986">
        <w:rPr>
          <w:rFonts w:ascii="Palatino Linotype" w:hAnsi="Palatino Linotype" w:cs="Arial"/>
          <w:color w:val="000000"/>
          <w:sz w:val="24"/>
        </w:rPr>
        <w:t xml:space="preserve">Actualmente, el grave problema que enfrentamos son los Acuerdos de Clasificación de la Información que emiten los </w:t>
      </w:r>
      <w:r w:rsidRPr="00395986">
        <w:rPr>
          <w:rFonts w:ascii="Palatino Linotype" w:hAnsi="Palatino Linotype" w:cs="Arial"/>
          <w:b/>
          <w:color w:val="000000"/>
          <w:sz w:val="24"/>
        </w:rPr>
        <w:t>SUJETOS OBLIGADOS</w:t>
      </w:r>
      <w:r w:rsidRPr="00395986">
        <w:rPr>
          <w:rFonts w:ascii="Palatino Linotype" w:hAnsi="Palatino Linotype" w:cs="Arial"/>
          <w:color w:val="000000"/>
          <w:sz w:val="24"/>
        </w:rPr>
        <w:t>, ya que no observan los requisitos que deben de llevar a cabo para la realización de la clasificación de la información, tanto por la complejidad del procedimiento como por la falta de atención de los operadores jurídicos, por lo que es menester reiterar los mismos:</w:t>
      </w:r>
    </w:p>
    <w:p w14:paraId="58247B36" w14:textId="77777777" w:rsidR="00A03C61" w:rsidRPr="00395986" w:rsidRDefault="00A03C61" w:rsidP="00A03C61">
      <w:pPr>
        <w:pStyle w:val="Prrafodelista"/>
        <w:tabs>
          <w:tab w:val="left" w:pos="426"/>
        </w:tabs>
        <w:spacing w:line="360" w:lineRule="auto"/>
        <w:ind w:left="0" w:right="51"/>
        <w:jc w:val="both"/>
        <w:rPr>
          <w:rFonts w:ascii="Palatino Linotype" w:hAnsi="Palatino Linotype"/>
          <w:color w:val="000000" w:themeColor="text1"/>
        </w:rPr>
      </w:pPr>
    </w:p>
    <w:tbl>
      <w:tblPr>
        <w:tblStyle w:val="Tabladecuadrcula6concolores"/>
        <w:tblW w:w="0" w:type="auto"/>
        <w:tblLook w:val="04A0" w:firstRow="1" w:lastRow="0" w:firstColumn="1" w:lastColumn="0" w:noHBand="0" w:noVBand="1"/>
      </w:tblPr>
      <w:tblGrid>
        <w:gridCol w:w="1838"/>
        <w:gridCol w:w="6990"/>
      </w:tblGrid>
      <w:tr w:rsidR="00A03C61" w:rsidRPr="00395986" w14:paraId="02370F86" w14:textId="77777777" w:rsidTr="00370B7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0A97A422" w14:textId="77777777" w:rsidR="00A03C61" w:rsidRPr="00395986" w:rsidRDefault="00A03C61" w:rsidP="00370B7F">
            <w:pPr>
              <w:spacing w:line="360" w:lineRule="auto"/>
              <w:rPr>
                <w:rFonts w:ascii="Palatino Linotype" w:hAnsi="Palatino Linotype"/>
                <w:sz w:val="20"/>
                <w:szCs w:val="20"/>
              </w:rPr>
            </w:pPr>
            <w:r w:rsidRPr="00395986">
              <w:rPr>
                <w:rFonts w:ascii="Palatino Linotype" w:hAnsi="Palatino Linotype" w:cstheme="majorBidi"/>
                <w:b w:val="0"/>
                <w:sz w:val="20"/>
                <w:szCs w:val="20"/>
              </w:rPr>
              <w:t>a) Requisitos previos.</w:t>
            </w:r>
          </w:p>
        </w:tc>
        <w:tc>
          <w:tcPr>
            <w:tcW w:w="6990" w:type="dxa"/>
          </w:tcPr>
          <w:p w14:paraId="768053D6" w14:textId="77777777" w:rsidR="00A03C61" w:rsidRPr="00395986" w:rsidRDefault="00A03C61" w:rsidP="00370B7F">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color w:val="000000"/>
                <w:sz w:val="20"/>
                <w:szCs w:val="20"/>
              </w:rPr>
            </w:pPr>
            <w:r w:rsidRPr="00395986">
              <w:rPr>
                <w:rFonts w:ascii="Palatino Linotype" w:hAnsi="Palatino Linotype" w:cs="Arial"/>
                <w:color w:val="000000"/>
                <w:sz w:val="20"/>
                <w:szCs w:val="20"/>
              </w:rPr>
              <w:t xml:space="preserve">Los artículos 100 y 122 de la Ley Estatal y de la Ley General, respectivamente, señalan que si los </w:t>
            </w:r>
            <w:r w:rsidRPr="00395986">
              <w:rPr>
                <w:rFonts w:ascii="Palatino Linotype" w:hAnsi="Palatino Linotype" w:cs="Arial"/>
                <w:b w:val="0"/>
                <w:color w:val="000000"/>
                <w:sz w:val="20"/>
                <w:szCs w:val="20"/>
              </w:rPr>
              <w:t>Sujetos Obligados</w:t>
            </w:r>
            <w:r w:rsidRPr="00395986">
              <w:rPr>
                <w:rFonts w:ascii="Palatino Linotype" w:hAnsi="Palatino Linotype" w:cs="Arial"/>
                <w:color w:val="000000"/>
                <w:sz w:val="20"/>
                <w:szCs w:val="20"/>
              </w:rPr>
              <w:t xml:space="preserve"> determinan que la información actualiza alguno de los supuestos de clasificación, es deber de los titulares de las áreas proponer su clasificación y no del Comité de Transparencia. </w:t>
            </w:r>
          </w:p>
          <w:p w14:paraId="341D2E61" w14:textId="77777777" w:rsidR="00A03C61" w:rsidRPr="00395986" w:rsidRDefault="00A03C61" w:rsidP="00370B7F">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color w:val="000000"/>
                <w:sz w:val="20"/>
                <w:szCs w:val="20"/>
              </w:rPr>
            </w:pPr>
            <w:r w:rsidRPr="00395986">
              <w:rPr>
                <w:rFonts w:ascii="Palatino Linotype" w:hAnsi="Palatino Linotype" w:cs="Arial"/>
                <w:color w:val="000000"/>
                <w:sz w:val="20"/>
                <w:szCs w:val="20"/>
              </w:rPr>
              <w:t>Al hacerlo tienen que precisar de qué información se trata, señalando el supuesto de clasificación (confidencialidad o reserva).</w:t>
            </w:r>
          </w:p>
          <w:p w14:paraId="5E891FF8" w14:textId="77777777" w:rsidR="00A03C61" w:rsidRPr="00395986" w:rsidRDefault="00A03C61" w:rsidP="00370B7F">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color w:val="000000"/>
                <w:sz w:val="20"/>
                <w:szCs w:val="20"/>
              </w:rPr>
            </w:pPr>
            <w:r w:rsidRPr="00395986">
              <w:rPr>
                <w:rFonts w:ascii="Palatino Linotype" w:hAnsi="Palatino Linotype" w:cs="Arial"/>
                <w:color w:val="000000"/>
                <w:sz w:val="20"/>
                <w:szCs w:val="20"/>
              </w:rPr>
              <w:lastRenderedPageBreak/>
              <w:t>Además, se debe señalar el procedimiento, de los tres que establecen los artículos 132 y 106 de la Ley Estatal y General, respectivamente.</w:t>
            </w:r>
          </w:p>
          <w:p w14:paraId="4D9C5A0A" w14:textId="77777777" w:rsidR="00A03C61" w:rsidRPr="00395986" w:rsidRDefault="00A03C61" w:rsidP="00370B7F">
            <w:pPr>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sz w:val="20"/>
                <w:szCs w:val="20"/>
              </w:rPr>
            </w:pPr>
            <w:r w:rsidRPr="00395986">
              <w:rPr>
                <w:rFonts w:ascii="Palatino Linotype" w:hAnsi="Palatino Linotype" w:cs="Arial"/>
                <w:color w:val="000000"/>
                <w:sz w:val="20"/>
                <w:szCs w:val="20"/>
              </w:rPr>
              <w:t xml:space="preserve">El último de estos requisitos previos consiste en que no se pueden emitir acuerdos de carácter general ni particular, esto es, </w:t>
            </w:r>
            <w:r w:rsidRPr="00395986">
              <w:rPr>
                <w:rFonts w:ascii="Palatino Linotype" w:hAnsi="Palatino Linotype" w:cs="Arial"/>
                <w:b w:val="0"/>
                <w:color w:val="000000"/>
                <w:sz w:val="20"/>
                <w:szCs w:val="20"/>
                <w:u w:val="single"/>
              </w:rPr>
              <w:t xml:space="preserve">no se puede hacer un acuerdo para clasificar de manera general todos los documentos de un expediente o área,  </w:t>
            </w:r>
            <w:r w:rsidRPr="00395986">
              <w:rPr>
                <w:rFonts w:ascii="Palatino Linotype" w:hAnsi="Palatino Linotype" w:cs="Arial"/>
                <w:color w:val="000000"/>
                <w:sz w:val="20"/>
                <w:szCs w:val="20"/>
              </w:rPr>
              <w:t>sin individualizar su análisis y tampoco se puede hacer un acuerdo por cada dato que se vaya a clasificar dentro de un documento con diez datos, por ejemplo, susceptibles de ser clasificados.</w:t>
            </w:r>
          </w:p>
        </w:tc>
      </w:tr>
      <w:tr w:rsidR="00A03C61" w:rsidRPr="00395986" w14:paraId="5FFF8967" w14:textId="77777777" w:rsidTr="00370B7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155B2BA6" w14:textId="77777777" w:rsidR="00A03C61" w:rsidRPr="00395986" w:rsidRDefault="00A03C61" w:rsidP="00370B7F">
            <w:pPr>
              <w:spacing w:line="360" w:lineRule="auto"/>
              <w:rPr>
                <w:rFonts w:ascii="Palatino Linotype" w:hAnsi="Palatino Linotype"/>
                <w:sz w:val="20"/>
                <w:szCs w:val="20"/>
              </w:rPr>
            </w:pPr>
            <w:r w:rsidRPr="00395986">
              <w:rPr>
                <w:rFonts w:ascii="Palatino Linotype" w:hAnsi="Palatino Linotype" w:cstheme="majorBidi"/>
                <w:b w:val="0"/>
                <w:sz w:val="20"/>
                <w:szCs w:val="20"/>
              </w:rPr>
              <w:lastRenderedPageBreak/>
              <w:t>b) Supuestos de clasificación.</w:t>
            </w:r>
          </w:p>
        </w:tc>
        <w:tc>
          <w:tcPr>
            <w:tcW w:w="6990" w:type="dxa"/>
          </w:tcPr>
          <w:p w14:paraId="65A639F9" w14:textId="77777777" w:rsidR="00A03C61" w:rsidRPr="00395986" w:rsidRDefault="00A03C61" w:rsidP="00370B7F">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szCs w:val="20"/>
              </w:rPr>
            </w:pPr>
            <w:r w:rsidRPr="00395986">
              <w:rPr>
                <w:rFonts w:ascii="Palatino Linotype" w:hAnsi="Palatino Linotype" w:cs="Arial"/>
                <w:color w:val="000000"/>
                <w:sz w:val="20"/>
                <w:szCs w:val="20"/>
              </w:rPr>
              <w:t>Las disposiciones constitucionales y legales en la materia establecen los dos supuestos generales para clasificar la información: por reserva y por confidencialidad.</w:t>
            </w:r>
          </w:p>
          <w:p w14:paraId="350AFEEB" w14:textId="77777777" w:rsidR="00A03C61" w:rsidRPr="00395986" w:rsidRDefault="00A03C61" w:rsidP="00370B7F">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szCs w:val="20"/>
              </w:rPr>
            </w:pPr>
            <w:r w:rsidRPr="00395986">
              <w:rPr>
                <w:rFonts w:ascii="Palatino Linotype" w:hAnsi="Palatino Linotype" w:cs="Arial"/>
                <w:color w:val="000000"/>
                <w:sz w:val="20"/>
                <w:szCs w:val="20"/>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14:paraId="01E241B6" w14:textId="77777777" w:rsidR="00A03C61" w:rsidRPr="00395986" w:rsidRDefault="00A03C61" w:rsidP="00370B7F">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395986">
              <w:rPr>
                <w:rFonts w:ascii="Palatino Linotype" w:hAnsi="Palatino Linotype" w:cs="Arial"/>
                <w:color w:val="000000"/>
                <w:sz w:val="20"/>
                <w:szCs w:val="20"/>
              </w:rPr>
              <w:t xml:space="preserve">El </w:t>
            </w:r>
            <w:r w:rsidRPr="00395986">
              <w:rPr>
                <w:rFonts w:ascii="Palatino Linotype" w:hAnsi="Palatino Linotype" w:cs="Arial"/>
                <w:b/>
                <w:color w:val="000000"/>
                <w:sz w:val="20"/>
                <w:szCs w:val="20"/>
              </w:rPr>
              <w:t>SUJETO OBLIGADO</w:t>
            </w:r>
            <w:r w:rsidRPr="00395986">
              <w:rPr>
                <w:rFonts w:ascii="Palatino Linotype" w:hAnsi="Palatino Linotype" w:cs="Arial"/>
                <w:color w:val="000000"/>
                <w:sz w:val="20"/>
                <w:szCs w:val="20"/>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A03C61" w:rsidRPr="00395986" w14:paraId="11182E71" w14:textId="77777777" w:rsidTr="00370B7F">
        <w:tc>
          <w:tcPr>
            <w:cnfStyle w:val="001000000000" w:firstRow="0" w:lastRow="0" w:firstColumn="1" w:lastColumn="0" w:oddVBand="0" w:evenVBand="0" w:oddHBand="0" w:evenHBand="0" w:firstRowFirstColumn="0" w:firstRowLastColumn="0" w:lastRowFirstColumn="0" w:lastRowLastColumn="0"/>
            <w:tcW w:w="1838" w:type="dxa"/>
          </w:tcPr>
          <w:p w14:paraId="69472DA7" w14:textId="77777777" w:rsidR="00A03C61" w:rsidRPr="00395986" w:rsidRDefault="00A03C61" w:rsidP="00370B7F">
            <w:pPr>
              <w:spacing w:line="360" w:lineRule="auto"/>
              <w:rPr>
                <w:rFonts w:ascii="Palatino Linotype" w:hAnsi="Palatino Linotype"/>
                <w:sz w:val="20"/>
                <w:szCs w:val="20"/>
              </w:rPr>
            </w:pPr>
            <w:r w:rsidRPr="00395986">
              <w:rPr>
                <w:rFonts w:ascii="Palatino Linotype" w:hAnsi="Palatino Linotype" w:cstheme="majorBidi"/>
                <w:b w:val="0"/>
                <w:sz w:val="20"/>
                <w:szCs w:val="20"/>
              </w:rPr>
              <w:t>c) Formalidades para emitir el acuerdo de clasificación.</w:t>
            </w:r>
          </w:p>
        </w:tc>
        <w:tc>
          <w:tcPr>
            <w:tcW w:w="6990" w:type="dxa"/>
          </w:tcPr>
          <w:p w14:paraId="6AAF4C76" w14:textId="77777777" w:rsidR="00A03C61" w:rsidRPr="00395986" w:rsidRDefault="00A03C61" w:rsidP="00370B7F">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szCs w:val="20"/>
              </w:rPr>
            </w:pPr>
            <w:r w:rsidRPr="00395986">
              <w:rPr>
                <w:rFonts w:ascii="Palatino Linotype" w:hAnsi="Palatino Linotype" w:cs="Arial"/>
                <w:color w:val="000000"/>
                <w:sz w:val="20"/>
                <w:szCs w:val="20"/>
              </w:rPr>
              <w:t xml:space="preserve">El Comité de Transparencia, según lo dispuesto en los artículos cuenta con las facultades para aprobar, modificar o revocar la clasificación de la información que haya propuesto. </w:t>
            </w:r>
          </w:p>
          <w:p w14:paraId="6215412D" w14:textId="77777777" w:rsidR="00A03C61" w:rsidRPr="00395986" w:rsidRDefault="00A03C61" w:rsidP="00370B7F">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szCs w:val="20"/>
              </w:rPr>
            </w:pPr>
            <w:r w:rsidRPr="00395986">
              <w:rPr>
                <w:rFonts w:ascii="Palatino Linotype" w:hAnsi="Palatino Linotype" w:cs="Arial"/>
                <w:color w:val="000000"/>
                <w:sz w:val="20"/>
                <w:szCs w:val="20"/>
              </w:rPr>
              <w:t xml:space="preserve">Es necesario que </w:t>
            </w:r>
            <w:r w:rsidRPr="00395986">
              <w:rPr>
                <w:rFonts w:ascii="Palatino Linotype" w:hAnsi="Palatino Linotype" w:cs="Arial"/>
                <w:b/>
                <w:color w:val="000000"/>
                <w:sz w:val="20"/>
                <w:szCs w:val="20"/>
                <w:u w:val="single"/>
              </w:rPr>
              <w:t>el acto reúna con los requisitos elementales</w:t>
            </w:r>
            <w:r w:rsidRPr="00395986">
              <w:rPr>
                <w:rFonts w:ascii="Palatino Linotype" w:hAnsi="Palatino Linotype" w:cs="Arial"/>
                <w:color w:val="000000"/>
                <w:sz w:val="20"/>
                <w:szCs w:val="20"/>
              </w:rPr>
              <w:t>, entre ellos, que la autoridad que va a emitir el acto de autoridad sea la legalmente facultada para ello.</w:t>
            </w:r>
          </w:p>
          <w:p w14:paraId="64725448" w14:textId="77777777" w:rsidR="00A03C61" w:rsidRPr="00395986" w:rsidRDefault="00A03C61" w:rsidP="00370B7F">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395986">
              <w:rPr>
                <w:rFonts w:ascii="Palatino Linotype" w:hAnsi="Palatino Linotype" w:cs="Arial"/>
                <w:color w:val="000000"/>
                <w:sz w:val="20"/>
                <w:szCs w:val="20"/>
              </w:rPr>
              <w:lastRenderedPageBreak/>
              <w:t>La decisión de aprobar, modificar o revocar la clasificación deberá de asentarse en un documento que registre la determinación a la que se llegue después de un análisis minucioso a partir de lo propuesto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A03C61" w:rsidRPr="00395986" w14:paraId="71A5C8ED" w14:textId="77777777" w:rsidTr="00370B7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67BA682F" w14:textId="77777777" w:rsidR="00A03C61" w:rsidRPr="00395986" w:rsidRDefault="00A03C61" w:rsidP="00370B7F">
            <w:pPr>
              <w:spacing w:line="360" w:lineRule="auto"/>
              <w:rPr>
                <w:rFonts w:ascii="Palatino Linotype" w:hAnsi="Palatino Linotype"/>
                <w:b w:val="0"/>
                <w:sz w:val="20"/>
                <w:szCs w:val="20"/>
              </w:rPr>
            </w:pPr>
          </w:p>
          <w:p w14:paraId="753BC9AF" w14:textId="77777777" w:rsidR="00A03C61" w:rsidRPr="00395986" w:rsidRDefault="00A03C61" w:rsidP="00370B7F">
            <w:pPr>
              <w:spacing w:line="360" w:lineRule="auto"/>
              <w:jc w:val="both"/>
              <w:rPr>
                <w:rFonts w:ascii="Palatino Linotype" w:hAnsi="Palatino Linotype"/>
                <w:b w:val="0"/>
                <w:sz w:val="20"/>
                <w:szCs w:val="20"/>
              </w:rPr>
            </w:pPr>
            <w:r w:rsidRPr="00395986">
              <w:rPr>
                <w:rFonts w:ascii="Palatino Linotype" w:hAnsi="Palatino Linotype" w:cs="Arial"/>
                <w:b w:val="0"/>
                <w:color w:val="000000"/>
                <w:sz w:val="20"/>
                <w:szCs w:val="20"/>
              </w:rPr>
              <w:t xml:space="preserve">d) Requisitos de fondo del acuerdo de clasificación. </w:t>
            </w:r>
          </w:p>
        </w:tc>
        <w:tc>
          <w:tcPr>
            <w:tcW w:w="6990" w:type="dxa"/>
          </w:tcPr>
          <w:p w14:paraId="11B52D06" w14:textId="77777777" w:rsidR="00A03C61" w:rsidRPr="00395986" w:rsidRDefault="00A03C61" w:rsidP="00370B7F">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szCs w:val="20"/>
              </w:rPr>
            </w:pPr>
            <w:r w:rsidRPr="00395986">
              <w:rPr>
                <w:rFonts w:ascii="Palatino Linotype" w:hAnsi="Palatino Linotype" w:cs="Arial"/>
                <w:color w:val="000000"/>
                <w:sz w:val="20"/>
                <w:szCs w:val="20"/>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395986">
              <w:rPr>
                <w:rFonts w:ascii="Palatino Linotype" w:hAnsi="Palatino Linotype" w:cs="Arial"/>
                <w:b/>
                <w:color w:val="000000"/>
                <w:sz w:val="20"/>
                <w:szCs w:val="20"/>
              </w:rPr>
              <w:t>Sujetos Obligados</w:t>
            </w:r>
            <w:r w:rsidRPr="00395986">
              <w:rPr>
                <w:rFonts w:ascii="Palatino Linotype" w:hAnsi="Palatino Linotype" w:cs="Arial"/>
                <w:color w:val="000000"/>
                <w:sz w:val="20"/>
                <w:szCs w:val="20"/>
              </w:rPr>
              <w:t xml:space="preserve">, por lo que deberán fundar y motivar debidamente la clasificación. </w:t>
            </w:r>
          </w:p>
          <w:p w14:paraId="6E8CE8C3" w14:textId="77777777" w:rsidR="00A03C61" w:rsidRPr="00395986" w:rsidRDefault="00A03C61" w:rsidP="00370B7F">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szCs w:val="20"/>
              </w:rPr>
            </w:pPr>
            <w:r w:rsidRPr="00395986">
              <w:rPr>
                <w:rFonts w:ascii="Palatino Linotype" w:hAnsi="Palatino Linotype" w:cs="Arial"/>
                <w:color w:val="000000"/>
                <w:sz w:val="20"/>
                <w:szCs w:val="20"/>
              </w:rPr>
              <w:t xml:space="preserve">De lo anterior, se desprende que para una correcta </w:t>
            </w:r>
            <w:r w:rsidRPr="00395986">
              <w:rPr>
                <w:rFonts w:ascii="Palatino Linotype" w:hAnsi="Palatino Linotype" w:cs="Arial"/>
                <w:b/>
                <w:color w:val="000000"/>
                <w:sz w:val="20"/>
                <w:szCs w:val="20"/>
              </w:rPr>
              <w:t>clasificación total o parcial</w:t>
            </w:r>
            <w:r w:rsidRPr="00395986">
              <w:rPr>
                <w:rFonts w:ascii="Palatino Linotype" w:hAnsi="Palatino Linotype" w:cs="Arial"/>
                <w:color w:val="000000"/>
                <w:sz w:val="20"/>
                <w:szCs w:val="20"/>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2ECA79C7" w14:textId="77777777" w:rsidR="00A03C61" w:rsidRPr="00395986" w:rsidRDefault="00A03C61" w:rsidP="00370B7F">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szCs w:val="20"/>
              </w:rPr>
            </w:pPr>
            <w:r w:rsidRPr="00395986">
              <w:rPr>
                <w:rFonts w:ascii="Palatino Linotype" w:hAnsi="Palatino Linotype" w:cs="Arial"/>
                <w:color w:val="000000"/>
                <w:sz w:val="20"/>
                <w:szCs w:val="20"/>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14:paraId="28AE815D" w14:textId="77777777" w:rsidR="00A03C61" w:rsidRPr="00395986" w:rsidRDefault="00A03C61" w:rsidP="00370B7F">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szCs w:val="20"/>
              </w:rPr>
            </w:pPr>
            <w:r w:rsidRPr="00395986">
              <w:rPr>
                <w:rFonts w:ascii="Palatino Linotype" w:hAnsi="Palatino Linotype" w:cs="Arial"/>
                <w:color w:val="000000"/>
                <w:sz w:val="20"/>
                <w:szCs w:val="20"/>
              </w:rPr>
              <w:t>En ese mismo sentido, el numeral trigésimo tercero fracción V de los Lineamientos Generales, precisa que para motivar la clasificación se deben acreditar las circunstancias de tiempo, modo y lugar.</w:t>
            </w:r>
          </w:p>
          <w:p w14:paraId="49A59DDB" w14:textId="77777777" w:rsidR="00A03C61" w:rsidRPr="00395986" w:rsidRDefault="00A03C61" w:rsidP="00370B7F">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szCs w:val="20"/>
              </w:rPr>
            </w:pPr>
            <w:r w:rsidRPr="00395986">
              <w:rPr>
                <w:rFonts w:ascii="Palatino Linotype" w:hAnsi="Palatino Linotype" w:cs="Arial"/>
                <w:color w:val="000000"/>
                <w:sz w:val="20"/>
                <w:szCs w:val="20"/>
              </w:rPr>
              <w:lastRenderedPageBreak/>
              <w:t xml:space="preserve">Ahora bien, </w:t>
            </w:r>
            <w:r w:rsidRPr="00395986">
              <w:rPr>
                <w:rFonts w:ascii="Palatino Linotype" w:hAnsi="Palatino Linotype" w:cs="Arial"/>
                <w:b/>
                <w:color w:val="000000"/>
                <w:sz w:val="20"/>
                <w:szCs w:val="20"/>
                <w:u w:val="single"/>
              </w:rPr>
              <w:t>para cada caso además de fundar y motivar</w:t>
            </w:r>
            <w:r w:rsidRPr="00395986">
              <w:rPr>
                <w:rFonts w:ascii="Palatino Linotype" w:hAnsi="Palatino Linotype" w:cs="Arial"/>
                <w:color w:val="000000"/>
                <w:sz w:val="20"/>
                <w:szCs w:val="20"/>
              </w:rPr>
              <w:t xml:space="preserve">, se debe identificar con claridad que datos contenidos en las documentales que son susceptibles de suprimirse, por ejemplo; </w:t>
            </w:r>
            <w:r w:rsidRPr="00395986">
              <w:rPr>
                <w:rFonts w:ascii="Palatino Linotype" w:hAnsi="Palatino Linotype" w:cs="Arial"/>
                <w:color w:val="000000"/>
                <w:sz w:val="20"/>
                <w:szCs w:val="20"/>
                <w:lang w:val="es-ES"/>
              </w:rPr>
              <w:t>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A03C61" w:rsidRPr="00395986" w14:paraId="44EA7EBC" w14:textId="77777777" w:rsidTr="00370B7F">
        <w:tc>
          <w:tcPr>
            <w:cnfStyle w:val="001000000000" w:firstRow="0" w:lastRow="0" w:firstColumn="1" w:lastColumn="0" w:oddVBand="0" w:evenVBand="0" w:oddHBand="0" w:evenHBand="0" w:firstRowFirstColumn="0" w:firstRowLastColumn="0" w:lastRowFirstColumn="0" w:lastRowLastColumn="0"/>
            <w:tcW w:w="1838" w:type="dxa"/>
          </w:tcPr>
          <w:p w14:paraId="001A1B4C" w14:textId="77777777" w:rsidR="00A03C61" w:rsidRPr="00395986" w:rsidRDefault="00A03C61" w:rsidP="00370B7F">
            <w:pPr>
              <w:spacing w:line="360" w:lineRule="auto"/>
              <w:ind w:right="49"/>
              <w:jc w:val="both"/>
              <w:rPr>
                <w:rFonts w:ascii="Palatino Linotype" w:hAnsi="Palatino Linotype" w:cs="Arial"/>
                <w:color w:val="000000"/>
                <w:sz w:val="20"/>
                <w:szCs w:val="20"/>
              </w:rPr>
            </w:pPr>
            <w:r w:rsidRPr="00395986">
              <w:rPr>
                <w:rFonts w:ascii="Palatino Linotype" w:eastAsia="MS Gothic" w:hAnsi="Palatino Linotype"/>
                <w:b w:val="0"/>
                <w:sz w:val="20"/>
                <w:szCs w:val="20"/>
              </w:rPr>
              <w:lastRenderedPageBreak/>
              <w:t xml:space="preserve">e) Condiciones especiales de la clasificación de la información como confidencial. </w:t>
            </w:r>
          </w:p>
          <w:p w14:paraId="0495D501" w14:textId="77777777" w:rsidR="00A03C61" w:rsidRPr="00395986" w:rsidRDefault="00A03C61" w:rsidP="00370B7F">
            <w:pPr>
              <w:spacing w:line="360" w:lineRule="auto"/>
              <w:rPr>
                <w:rFonts w:ascii="Palatino Linotype" w:hAnsi="Palatino Linotype"/>
                <w:sz w:val="20"/>
                <w:szCs w:val="20"/>
              </w:rPr>
            </w:pPr>
          </w:p>
        </w:tc>
        <w:tc>
          <w:tcPr>
            <w:tcW w:w="6990" w:type="dxa"/>
          </w:tcPr>
          <w:p w14:paraId="03194928" w14:textId="77777777" w:rsidR="00A03C61" w:rsidRPr="00395986" w:rsidRDefault="00A03C61" w:rsidP="00370B7F">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szCs w:val="20"/>
              </w:rPr>
            </w:pPr>
            <w:r w:rsidRPr="00395986">
              <w:rPr>
                <w:rFonts w:ascii="Palatino Linotype" w:hAnsi="Palatino Linotype" w:cs="Arial"/>
                <w:color w:val="000000"/>
                <w:sz w:val="20"/>
                <w:szCs w:val="20"/>
              </w:rPr>
              <w:t xml:space="preserve">Los artículos 148 y 120 de la Ley Estatal y de la Ley General, respectivamente, establecen que aun tratándose de datos personales, se podrán proporcionar, incluso sin solicitar el consentimiento de su titular. </w:t>
            </w:r>
          </w:p>
          <w:p w14:paraId="7C183172" w14:textId="77777777" w:rsidR="00A03C61" w:rsidRPr="00395986" w:rsidRDefault="00A03C61" w:rsidP="00370B7F">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szCs w:val="20"/>
              </w:rPr>
            </w:pPr>
            <w:r w:rsidRPr="00395986">
              <w:rPr>
                <w:rFonts w:ascii="Palatino Linotype" w:hAnsi="Palatino Linotype" w:cs="Arial"/>
                <w:color w:val="000000"/>
                <w:sz w:val="20"/>
                <w:szCs w:val="20"/>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472DD8FF" w14:textId="77777777" w:rsidR="00A03C61" w:rsidRPr="00395986" w:rsidRDefault="00A03C61" w:rsidP="00370B7F">
            <w:pPr>
              <w:spacing w:line="36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395986">
              <w:rPr>
                <w:rFonts w:ascii="Palatino Linotype" w:hAnsi="Palatino Linotype" w:cs="Arial"/>
                <w:color w:val="000000"/>
                <w:sz w:val="20"/>
                <w:szCs w:val="20"/>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14:paraId="730CD2CD" w14:textId="77777777" w:rsidR="00A03C61" w:rsidRPr="00395986" w:rsidRDefault="00A03C61" w:rsidP="00A03C61">
      <w:pPr>
        <w:pStyle w:val="Prrafodelista"/>
        <w:tabs>
          <w:tab w:val="left" w:pos="426"/>
        </w:tabs>
        <w:spacing w:line="360" w:lineRule="auto"/>
        <w:ind w:left="0" w:right="51"/>
        <w:jc w:val="both"/>
        <w:rPr>
          <w:rFonts w:ascii="Palatino Linotype" w:hAnsi="Palatino Linotype"/>
          <w:color w:val="000000" w:themeColor="text1"/>
          <w:sz w:val="24"/>
        </w:rPr>
      </w:pPr>
    </w:p>
    <w:p w14:paraId="4E0000E0" w14:textId="67A3F6C8" w:rsidR="00A03C61" w:rsidRPr="00395986" w:rsidRDefault="008D19BD" w:rsidP="00A03C61">
      <w:pPr>
        <w:pStyle w:val="Prrafodelista"/>
        <w:tabs>
          <w:tab w:val="left" w:pos="426"/>
        </w:tabs>
        <w:spacing w:line="360" w:lineRule="auto"/>
        <w:ind w:left="0" w:right="51"/>
        <w:jc w:val="both"/>
        <w:outlineLvl w:val="1"/>
        <w:rPr>
          <w:rFonts w:ascii="Palatino Linotype" w:hAnsi="Palatino Linotype"/>
          <w:b/>
          <w:bCs/>
          <w:color w:val="000000" w:themeColor="text1"/>
          <w:sz w:val="24"/>
        </w:rPr>
      </w:pPr>
      <w:bookmarkStart w:id="14" w:name="_Toc89350469"/>
      <w:bookmarkStart w:id="15" w:name="_Toc94119620"/>
      <w:r w:rsidRPr="00395986">
        <w:rPr>
          <w:rFonts w:ascii="Palatino Linotype" w:hAnsi="Palatino Linotype"/>
          <w:b/>
          <w:bCs/>
          <w:color w:val="000000" w:themeColor="text1"/>
          <w:sz w:val="24"/>
        </w:rPr>
        <w:t>SÉPTIM</w:t>
      </w:r>
      <w:r w:rsidR="00A03C61" w:rsidRPr="00395986">
        <w:rPr>
          <w:rFonts w:ascii="Palatino Linotype" w:hAnsi="Palatino Linotype"/>
          <w:b/>
          <w:bCs/>
          <w:color w:val="000000" w:themeColor="text1"/>
          <w:sz w:val="24"/>
        </w:rPr>
        <w:t>O. Decisión</w:t>
      </w:r>
      <w:bookmarkEnd w:id="14"/>
      <w:bookmarkEnd w:id="15"/>
    </w:p>
    <w:p w14:paraId="712E7BB2" w14:textId="77777777" w:rsidR="00A03C61" w:rsidRPr="00395986" w:rsidRDefault="00A03C61" w:rsidP="00A03C61">
      <w:pPr>
        <w:pStyle w:val="Prrafodelista"/>
        <w:tabs>
          <w:tab w:val="left" w:pos="426"/>
        </w:tabs>
        <w:spacing w:line="360" w:lineRule="auto"/>
        <w:ind w:left="0" w:right="51"/>
        <w:jc w:val="both"/>
        <w:rPr>
          <w:rFonts w:ascii="Palatino Linotype" w:hAnsi="Palatino Linotype"/>
          <w:color w:val="000000" w:themeColor="text1"/>
        </w:rPr>
      </w:pPr>
    </w:p>
    <w:p w14:paraId="1F4C5234" w14:textId="0C152DF5" w:rsidR="00A03C61" w:rsidRPr="00395986" w:rsidRDefault="00A03C61" w:rsidP="001C2D6B">
      <w:pPr>
        <w:numPr>
          <w:ilvl w:val="0"/>
          <w:numId w:val="13"/>
        </w:numPr>
        <w:spacing w:line="360" w:lineRule="auto"/>
        <w:ind w:left="0" w:right="49" w:firstLine="0"/>
        <w:contextualSpacing/>
        <w:jc w:val="both"/>
        <w:rPr>
          <w:rFonts w:ascii="Palatino Linotype" w:eastAsia="MS Gothic" w:hAnsi="Palatino Linotype" w:cstheme="majorBidi"/>
          <w:lang w:val="es-ES_tradnl" w:eastAsia="es-ES"/>
        </w:rPr>
      </w:pPr>
      <w:r w:rsidRPr="00395986">
        <w:rPr>
          <w:rFonts w:ascii="Palatino Linotype" w:hAnsi="Palatino Linotype"/>
          <w:color w:val="000000" w:themeColor="text1"/>
        </w:rPr>
        <w:t xml:space="preserve">Una vez analizadas las constancias que forman el expediente electrónico, </w:t>
      </w:r>
      <w:r w:rsidRPr="00395986">
        <w:rPr>
          <w:rFonts w:ascii="Palatino Linotype" w:eastAsia="MS Mincho" w:hAnsi="Palatino Linotype" w:cstheme="majorBidi"/>
          <w:lang w:val="es-ES"/>
        </w:rPr>
        <w:t xml:space="preserve">resultan fundadas las razones o motivos de inconformidad hechos valer por el </w:t>
      </w:r>
      <w:r w:rsidRPr="00395986">
        <w:rPr>
          <w:rFonts w:ascii="Palatino Linotype" w:eastAsia="MS Mincho" w:hAnsi="Palatino Linotype" w:cstheme="majorBidi"/>
          <w:b/>
          <w:lang w:val="es-ES"/>
        </w:rPr>
        <w:t>RECURRENTE</w:t>
      </w:r>
      <w:r w:rsidRPr="00395986">
        <w:rPr>
          <w:rFonts w:ascii="Palatino Linotype" w:eastAsia="MS Mincho" w:hAnsi="Palatino Linotype" w:cstheme="majorBidi"/>
          <w:lang w:val="es-ES"/>
        </w:rPr>
        <w:t xml:space="preserve"> dentro del recurso de revisión </w:t>
      </w:r>
      <w:r w:rsidR="001C2D6B" w:rsidRPr="00395986">
        <w:rPr>
          <w:rFonts w:ascii="Palatino Linotype" w:eastAsia="MS Mincho" w:hAnsi="Palatino Linotype" w:cstheme="majorBidi"/>
          <w:b/>
          <w:bCs/>
          <w:lang w:val="es-ES"/>
        </w:rPr>
        <w:t>13153</w:t>
      </w:r>
      <w:r w:rsidRPr="00395986">
        <w:rPr>
          <w:rFonts w:ascii="Palatino Linotype" w:eastAsia="MS Mincho" w:hAnsi="Palatino Linotype" w:cstheme="majorBidi"/>
          <w:b/>
          <w:bCs/>
          <w:lang w:val="es-ES"/>
        </w:rPr>
        <w:t>/INFOEM/IP/RR/2022,</w:t>
      </w:r>
      <w:r w:rsidRPr="00395986">
        <w:rPr>
          <w:rFonts w:ascii="Palatino Linotype" w:eastAsia="MS Mincho" w:hAnsi="Palatino Linotype" w:cstheme="majorBidi"/>
          <w:bCs/>
          <w:lang w:val="es-ES"/>
        </w:rPr>
        <w:t xml:space="preserve"> al determinarse que la información remitida en respuesta es incompleta</w:t>
      </w:r>
      <w:r w:rsidRPr="00395986">
        <w:rPr>
          <w:rFonts w:ascii="Palatino Linotype" w:eastAsia="MS Mincho" w:hAnsi="Palatino Linotype" w:cstheme="majorBidi"/>
          <w:lang w:val="es-ES"/>
        </w:rPr>
        <w:t xml:space="preserve">; por ello, y con fundamento en la fracción III del numeral 186 de la Ley de Transparencia y Acceso a la Información Pública del Estado de México y Municipios, se </w:t>
      </w:r>
      <w:r w:rsidRPr="00395986">
        <w:rPr>
          <w:rFonts w:ascii="Palatino Linotype" w:eastAsia="MS Mincho" w:hAnsi="Palatino Linotype" w:cstheme="majorBidi"/>
          <w:b/>
          <w:lang w:val="es-ES"/>
        </w:rPr>
        <w:t>MODIFICA</w:t>
      </w:r>
      <w:r w:rsidRPr="00395986">
        <w:rPr>
          <w:rFonts w:ascii="Palatino Linotype" w:eastAsia="MS Mincho" w:hAnsi="Palatino Linotype" w:cstheme="majorBidi"/>
          <w:lang w:val="es-ES"/>
        </w:rPr>
        <w:t xml:space="preserve"> la </w:t>
      </w:r>
      <w:r w:rsidRPr="00395986">
        <w:rPr>
          <w:rFonts w:ascii="Palatino Linotype" w:eastAsia="MS Mincho" w:hAnsi="Palatino Linotype" w:cstheme="majorBidi"/>
          <w:lang w:val="es-ES"/>
        </w:rPr>
        <w:lastRenderedPageBreak/>
        <w:t xml:space="preserve">respuesta del Sujeto Obligado y se ordena la entrega de ser procedente en versión pública. </w:t>
      </w:r>
    </w:p>
    <w:bookmarkEnd w:id="11"/>
    <w:p w14:paraId="4DFA5627" w14:textId="77777777" w:rsidR="00A03C61" w:rsidRPr="00395986" w:rsidRDefault="00A03C61" w:rsidP="00A03C61">
      <w:pPr>
        <w:spacing w:line="360" w:lineRule="auto"/>
        <w:rPr>
          <w:rFonts w:ascii="Palatino Linotype" w:eastAsia="Calibri" w:hAnsi="Palatino Linotype"/>
        </w:rPr>
      </w:pPr>
    </w:p>
    <w:p w14:paraId="17C7F807" w14:textId="77777777" w:rsidR="00A03C61" w:rsidRPr="00395986" w:rsidRDefault="00A03C61" w:rsidP="001C2D6B">
      <w:pPr>
        <w:numPr>
          <w:ilvl w:val="0"/>
          <w:numId w:val="13"/>
        </w:numPr>
        <w:spacing w:line="360" w:lineRule="auto"/>
        <w:ind w:left="0" w:right="49" w:firstLine="0"/>
        <w:contextualSpacing/>
        <w:jc w:val="both"/>
        <w:rPr>
          <w:rFonts w:ascii="Palatino Linotype" w:eastAsia="MS Gothic" w:hAnsi="Palatino Linotype" w:cstheme="majorBidi"/>
          <w:lang w:val="es-ES_tradnl" w:eastAsia="es-ES"/>
        </w:rPr>
      </w:pPr>
      <w:r w:rsidRPr="00395986">
        <w:rPr>
          <w:rFonts w:ascii="Palatino Linotype" w:eastAsia="Calibri" w:hAnsi="Palatino Linotype"/>
        </w:rPr>
        <w:t xml:space="preserve">Por lo anteriormente expuesto y fundado, este </w:t>
      </w:r>
      <w:r w:rsidRPr="00395986">
        <w:rPr>
          <w:rFonts w:ascii="Palatino Linotype" w:eastAsia="Calibri" w:hAnsi="Palatino Linotype"/>
          <w:b/>
          <w:bCs/>
        </w:rPr>
        <w:t>ÓRGANO GARANTE</w:t>
      </w:r>
      <w:r w:rsidRPr="00395986">
        <w:rPr>
          <w:rFonts w:ascii="Palatino Linotype" w:eastAsia="Calibri" w:hAnsi="Palatino Linotype"/>
        </w:rPr>
        <w:t xml:space="preserve"> emite los siguientes:</w:t>
      </w:r>
    </w:p>
    <w:p w14:paraId="6D82E08F" w14:textId="77777777" w:rsidR="00A03C61" w:rsidRPr="00395986" w:rsidRDefault="00A03C61" w:rsidP="00A03C61">
      <w:pPr>
        <w:spacing w:line="360" w:lineRule="auto"/>
        <w:contextualSpacing/>
        <w:jc w:val="both"/>
        <w:rPr>
          <w:rFonts w:ascii="Palatino Linotype" w:eastAsia="Calibri" w:hAnsi="Palatino Linotype"/>
        </w:rPr>
      </w:pPr>
    </w:p>
    <w:p w14:paraId="50EDBABF" w14:textId="77777777" w:rsidR="00A03C61" w:rsidRPr="00395986" w:rsidRDefault="00A03C61" w:rsidP="00A03C61">
      <w:pPr>
        <w:spacing w:line="360" w:lineRule="auto"/>
        <w:contextualSpacing/>
        <w:jc w:val="both"/>
        <w:rPr>
          <w:rFonts w:ascii="Palatino Linotype" w:eastAsia="Calibri" w:hAnsi="Palatino Linotype"/>
        </w:rPr>
      </w:pPr>
    </w:p>
    <w:p w14:paraId="4B220156" w14:textId="77777777" w:rsidR="00A03C61" w:rsidRPr="00395986" w:rsidRDefault="00A03C61" w:rsidP="00A03C61">
      <w:pPr>
        <w:keepNext/>
        <w:keepLines/>
        <w:spacing w:line="360" w:lineRule="auto"/>
        <w:jc w:val="center"/>
        <w:outlineLvl w:val="0"/>
        <w:rPr>
          <w:rFonts w:ascii="Palatino Linotype" w:eastAsiaTheme="majorEastAsia" w:hAnsi="Palatino Linotype" w:cstheme="majorBidi"/>
          <w:b/>
          <w:color w:val="000000" w:themeColor="text1"/>
          <w:lang w:eastAsia="en-US"/>
        </w:rPr>
      </w:pPr>
      <w:bookmarkStart w:id="16" w:name="_Toc528153792"/>
      <w:bookmarkStart w:id="17" w:name="_Toc71158406"/>
      <w:bookmarkStart w:id="18" w:name="_Toc83301643"/>
      <w:r w:rsidRPr="00395986">
        <w:rPr>
          <w:rFonts w:ascii="Palatino Linotype" w:eastAsiaTheme="majorEastAsia" w:hAnsi="Palatino Linotype" w:cstheme="majorBidi"/>
          <w:b/>
          <w:color w:val="000000" w:themeColor="text1"/>
          <w:lang w:eastAsia="en-US"/>
        </w:rPr>
        <w:t>R E S O L U T I V O S</w:t>
      </w:r>
      <w:bookmarkEnd w:id="16"/>
      <w:bookmarkEnd w:id="17"/>
      <w:bookmarkEnd w:id="18"/>
    </w:p>
    <w:p w14:paraId="729A12CF" w14:textId="77777777" w:rsidR="00A03C61" w:rsidRPr="00395986" w:rsidRDefault="00A03C61" w:rsidP="00A03C61">
      <w:pPr>
        <w:keepNext/>
        <w:keepLines/>
        <w:spacing w:line="360" w:lineRule="auto"/>
        <w:jc w:val="center"/>
        <w:outlineLvl w:val="0"/>
        <w:rPr>
          <w:rFonts w:ascii="Palatino Linotype" w:eastAsiaTheme="majorEastAsia" w:hAnsi="Palatino Linotype" w:cstheme="majorBidi"/>
          <w:b/>
          <w:color w:val="000000" w:themeColor="text1"/>
          <w:lang w:eastAsia="en-US"/>
        </w:rPr>
      </w:pPr>
    </w:p>
    <w:p w14:paraId="1BD095D9" w14:textId="6C38DDB0" w:rsidR="00A03C61" w:rsidRPr="00395986" w:rsidRDefault="00A03C61" w:rsidP="00A03C61">
      <w:pPr>
        <w:spacing w:line="360" w:lineRule="auto"/>
        <w:ind w:right="48"/>
        <w:jc w:val="both"/>
        <w:rPr>
          <w:rFonts w:ascii="Palatino Linotype" w:hAnsi="Palatino Linotype" w:cs="Arial"/>
          <w:bCs/>
        </w:rPr>
      </w:pPr>
      <w:r w:rsidRPr="00395986">
        <w:rPr>
          <w:rFonts w:ascii="Palatino Linotype" w:hAnsi="Palatino Linotype" w:cs="Arial"/>
          <w:b/>
        </w:rPr>
        <w:t xml:space="preserve">PRIMERO. </w:t>
      </w:r>
      <w:r w:rsidRPr="00395986">
        <w:rPr>
          <w:rFonts w:ascii="Palatino Linotype" w:hAnsi="Palatino Linotype" w:cs="Arial"/>
        </w:rPr>
        <w:t>Resultan fundadas las</w:t>
      </w:r>
      <w:r w:rsidRPr="00395986">
        <w:rPr>
          <w:rFonts w:ascii="Palatino Linotype" w:hAnsi="Palatino Linotype" w:cs="Arial"/>
          <w:b/>
        </w:rPr>
        <w:t xml:space="preserve"> </w:t>
      </w:r>
      <w:r w:rsidRPr="00395986">
        <w:rPr>
          <w:rFonts w:ascii="Palatino Linotype" w:hAnsi="Palatino Linotype" w:cs="Arial"/>
          <w:lang w:val="es-ES"/>
        </w:rPr>
        <w:t xml:space="preserve">razones o motivos de inconformidad hechos valer </w:t>
      </w:r>
      <w:r w:rsidRPr="00395986">
        <w:rPr>
          <w:rFonts w:ascii="Palatino Linotype" w:eastAsia="Calibri" w:hAnsi="Palatino Linotype" w:cs="Arial"/>
          <w:lang w:val="es-ES"/>
        </w:rPr>
        <w:t xml:space="preserve">en el recurso de revisión </w:t>
      </w:r>
      <w:r w:rsidR="001C2D6B" w:rsidRPr="00395986">
        <w:rPr>
          <w:rFonts w:ascii="Palatino Linotype" w:hAnsi="Palatino Linotype" w:cs="Arial"/>
          <w:b/>
          <w:bCs/>
        </w:rPr>
        <w:t>13153</w:t>
      </w:r>
      <w:r w:rsidRPr="00395986">
        <w:rPr>
          <w:rFonts w:ascii="Palatino Linotype" w:hAnsi="Palatino Linotype" w:cs="Arial"/>
          <w:b/>
          <w:bCs/>
        </w:rPr>
        <w:t xml:space="preserve">/INFOEM/IP/RR/2022, </w:t>
      </w:r>
      <w:r w:rsidRPr="00395986">
        <w:rPr>
          <w:rFonts w:ascii="Palatino Linotype" w:hAnsi="Palatino Linotype" w:cs="Arial"/>
          <w:bCs/>
        </w:rPr>
        <w:t xml:space="preserve">en términos de los </w:t>
      </w:r>
      <w:r w:rsidRPr="00395986">
        <w:rPr>
          <w:rFonts w:ascii="Palatino Linotype" w:hAnsi="Palatino Linotype" w:cs="Arial"/>
          <w:b/>
          <w:bCs/>
        </w:rPr>
        <w:t>Considerandos</w:t>
      </w:r>
      <w:r w:rsidRPr="00395986">
        <w:rPr>
          <w:rFonts w:ascii="Palatino Linotype" w:hAnsi="Palatino Linotype" w:cs="Arial"/>
          <w:bCs/>
        </w:rPr>
        <w:t xml:space="preserve"> </w:t>
      </w:r>
      <w:r w:rsidRPr="00395986">
        <w:rPr>
          <w:rFonts w:ascii="Palatino Linotype" w:hAnsi="Palatino Linotype" w:cs="Arial"/>
          <w:b/>
          <w:bCs/>
        </w:rPr>
        <w:t xml:space="preserve">CUARTO y QUINTO </w:t>
      </w:r>
      <w:r w:rsidRPr="00395986">
        <w:rPr>
          <w:rFonts w:ascii="Palatino Linotype" w:hAnsi="Palatino Linotype" w:cs="Arial"/>
          <w:bCs/>
        </w:rPr>
        <w:t>de la presente resolución.</w:t>
      </w:r>
    </w:p>
    <w:p w14:paraId="2C11690B" w14:textId="77777777" w:rsidR="00A03C61" w:rsidRPr="00395986" w:rsidRDefault="00A03C61" w:rsidP="00A03C61">
      <w:pPr>
        <w:spacing w:line="360" w:lineRule="auto"/>
        <w:ind w:right="48"/>
        <w:jc w:val="both"/>
        <w:rPr>
          <w:rFonts w:ascii="Palatino Linotype" w:hAnsi="Palatino Linotype" w:cs="Arial"/>
          <w:bCs/>
        </w:rPr>
      </w:pPr>
    </w:p>
    <w:p w14:paraId="32F7A237" w14:textId="2307CE86" w:rsidR="00A03C61" w:rsidRPr="00395986" w:rsidRDefault="00A03C61" w:rsidP="00A03C61">
      <w:pPr>
        <w:spacing w:line="360" w:lineRule="auto"/>
        <w:ind w:right="48"/>
        <w:jc w:val="both"/>
        <w:rPr>
          <w:rFonts w:ascii="Palatino Linotype" w:hAnsi="Palatino Linotype" w:cs="Arial"/>
          <w:bCs/>
        </w:rPr>
      </w:pPr>
      <w:bookmarkStart w:id="19" w:name="_Toc477891768"/>
      <w:bookmarkStart w:id="20" w:name="_Toc477891858"/>
      <w:bookmarkStart w:id="21" w:name="_Toc481576259"/>
      <w:bookmarkStart w:id="22" w:name="_Toc492590391"/>
      <w:bookmarkStart w:id="23" w:name="_Toc462653937"/>
      <w:bookmarkStart w:id="24" w:name="_Toc453696502"/>
      <w:bookmarkStart w:id="25" w:name="_Toc454301155"/>
      <w:r w:rsidRPr="00395986">
        <w:rPr>
          <w:rFonts w:ascii="Palatino Linotype" w:hAnsi="Palatino Linotype"/>
          <w:b/>
        </w:rPr>
        <w:t>SEGUNDO.</w:t>
      </w:r>
      <w:r w:rsidRPr="00395986">
        <w:rPr>
          <w:rStyle w:val="Ttulo2Car"/>
          <w:rFonts w:ascii="Palatino Linotype" w:hAnsi="Palatino Linotype"/>
          <w:sz w:val="28"/>
        </w:rPr>
        <w:t xml:space="preserve"> </w:t>
      </w:r>
      <w:bookmarkEnd w:id="19"/>
      <w:bookmarkEnd w:id="20"/>
      <w:bookmarkEnd w:id="21"/>
      <w:bookmarkEnd w:id="22"/>
      <w:bookmarkEnd w:id="23"/>
      <w:bookmarkEnd w:id="24"/>
      <w:bookmarkEnd w:id="25"/>
      <w:r w:rsidRPr="00395986">
        <w:rPr>
          <w:rFonts w:ascii="Palatino Linotype" w:eastAsia="Calibri" w:hAnsi="Palatino Linotype" w:cs="Arial"/>
          <w:lang w:val="es-ES"/>
        </w:rPr>
        <w:t>Se</w:t>
      </w:r>
      <w:r w:rsidRPr="00395986">
        <w:rPr>
          <w:rFonts w:ascii="Palatino Linotype" w:eastAsia="Calibri" w:hAnsi="Palatino Linotype" w:cs="Arial"/>
          <w:b/>
          <w:lang w:val="es-ES"/>
        </w:rPr>
        <w:t xml:space="preserve"> MODIFICA </w:t>
      </w:r>
      <w:r w:rsidRPr="00395986">
        <w:rPr>
          <w:rFonts w:ascii="Palatino Linotype" w:eastAsia="Calibri" w:hAnsi="Palatino Linotype" w:cs="Arial"/>
          <w:lang w:val="es-ES"/>
        </w:rPr>
        <w:t xml:space="preserve">la respuesta emitida por el </w:t>
      </w:r>
      <w:r w:rsidR="001C2D6B" w:rsidRPr="00395986">
        <w:rPr>
          <w:rFonts w:ascii="Palatino Linotype" w:hAnsi="Palatino Linotype" w:cs="Arial"/>
          <w:b/>
        </w:rPr>
        <w:t>Ayuntamiento de Tultepec</w:t>
      </w:r>
      <w:r w:rsidRPr="00395986">
        <w:rPr>
          <w:rFonts w:ascii="Palatino Linotype" w:hAnsi="Palatino Linotype" w:cs="Arial"/>
          <w:b/>
        </w:rPr>
        <w:t xml:space="preserve"> </w:t>
      </w:r>
      <w:r w:rsidRPr="00395986">
        <w:rPr>
          <w:rFonts w:ascii="Palatino Linotype" w:eastAsia="Calibri" w:hAnsi="Palatino Linotype" w:cs="Arial"/>
          <w:lang w:val="es-ES"/>
        </w:rPr>
        <w:t>y se</w:t>
      </w:r>
      <w:r w:rsidRPr="00395986">
        <w:rPr>
          <w:rFonts w:ascii="Palatino Linotype" w:eastAsia="Calibri" w:hAnsi="Palatino Linotype" w:cs="Arial"/>
          <w:b/>
          <w:lang w:val="es-ES"/>
        </w:rPr>
        <w:t xml:space="preserve"> ORDENA </w:t>
      </w:r>
      <w:r w:rsidRPr="00395986">
        <w:rPr>
          <w:rFonts w:ascii="Palatino Linotype" w:hAnsi="Palatino Linotype" w:cs="Arial"/>
          <w:lang w:val="es-ES"/>
        </w:rPr>
        <w:t xml:space="preserve">entregar vía Sistema de Accesos a la Información Mexiquense (SAIMEX), </w:t>
      </w:r>
      <w:r w:rsidRPr="00395986">
        <w:rPr>
          <w:rFonts w:ascii="Palatino Linotype" w:hAnsi="Palatino Linotype" w:cs="Arial"/>
          <w:b/>
          <w:lang w:val="es-ES"/>
        </w:rPr>
        <w:t>de ser procedente en versión pública</w:t>
      </w:r>
      <w:r w:rsidRPr="00395986">
        <w:rPr>
          <w:rFonts w:ascii="Palatino Linotype" w:hAnsi="Palatino Linotype" w:cs="Arial"/>
          <w:lang w:val="es-ES"/>
        </w:rPr>
        <w:t xml:space="preserve">, la siguiente </w:t>
      </w:r>
      <w:r w:rsidRPr="00395986">
        <w:rPr>
          <w:rFonts w:ascii="Palatino Linotype" w:hAnsi="Palatino Linotype" w:cs="Arial"/>
          <w:bCs/>
        </w:rPr>
        <w:t>información:</w:t>
      </w:r>
    </w:p>
    <w:p w14:paraId="6116DBF0" w14:textId="77777777" w:rsidR="00A03C61" w:rsidRPr="00395986" w:rsidRDefault="00A03C61" w:rsidP="00A03C61">
      <w:pPr>
        <w:spacing w:line="360" w:lineRule="auto"/>
        <w:ind w:right="48"/>
        <w:jc w:val="both"/>
        <w:rPr>
          <w:rFonts w:ascii="Palatino Linotype" w:hAnsi="Palatino Linotype" w:cs="Arial"/>
          <w:b/>
          <w:bCs/>
        </w:rPr>
      </w:pPr>
    </w:p>
    <w:p w14:paraId="45007CB9" w14:textId="38D1884C" w:rsidR="00A03C61" w:rsidRPr="00395986" w:rsidRDefault="00B82209" w:rsidP="00A03C61">
      <w:pPr>
        <w:pStyle w:val="Prrafodelista"/>
        <w:numPr>
          <w:ilvl w:val="0"/>
          <w:numId w:val="7"/>
        </w:numPr>
        <w:spacing w:line="360" w:lineRule="auto"/>
        <w:ind w:left="851" w:right="48" w:firstLine="0"/>
        <w:rPr>
          <w:rFonts w:ascii="Palatino Linotype" w:eastAsia="Palatino Linotype" w:hAnsi="Palatino Linotype" w:cs="Palatino Linotype"/>
          <w:b/>
          <w:lang w:val="es-ES_tradnl"/>
        </w:rPr>
      </w:pPr>
      <w:bookmarkStart w:id="26" w:name="_Toc460947013"/>
      <w:r w:rsidRPr="00395986">
        <w:rPr>
          <w:rFonts w:ascii="Palatino Linotype" w:eastAsia="Palatino Linotype" w:hAnsi="Palatino Linotype" w:cs="Palatino Linotype"/>
          <w:b/>
          <w:lang w:val="es-ES_tradnl"/>
        </w:rPr>
        <w:t xml:space="preserve">Soporte documental donde conste en nombre de los titulares de las licencias de funcionamiento de venta de alcohol remitidas en respuesta. </w:t>
      </w:r>
    </w:p>
    <w:p w14:paraId="0D96897F" w14:textId="77777777" w:rsidR="00A03C61" w:rsidRPr="00395986" w:rsidRDefault="00A03C61" w:rsidP="00A03C61">
      <w:pPr>
        <w:spacing w:line="360" w:lineRule="auto"/>
        <w:ind w:right="48"/>
        <w:jc w:val="both"/>
        <w:rPr>
          <w:rFonts w:ascii="Palatino Linotype" w:eastAsia="Palatino Linotype" w:hAnsi="Palatino Linotype" w:cs="Palatino Linotype"/>
          <w:b/>
        </w:rPr>
      </w:pPr>
    </w:p>
    <w:p w14:paraId="63259165" w14:textId="77777777" w:rsidR="00A03C61" w:rsidRPr="00395986" w:rsidRDefault="00A03C61" w:rsidP="00A03C61">
      <w:pPr>
        <w:spacing w:line="360" w:lineRule="auto"/>
        <w:jc w:val="both"/>
        <w:rPr>
          <w:rFonts w:ascii="Palatino Linotype" w:eastAsia="Calibri" w:hAnsi="Palatino Linotype" w:cs="Arial"/>
        </w:rPr>
      </w:pPr>
      <w:r w:rsidRPr="00395986">
        <w:rPr>
          <w:rFonts w:ascii="Palatino Linotype" w:eastAsia="Calibri" w:hAnsi="Palatino Linotype" w:cs="Arial"/>
        </w:rPr>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w:t>
      </w:r>
      <w:r w:rsidRPr="00395986">
        <w:rPr>
          <w:rFonts w:ascii="Palatino Linotype" w:eastAsia="Calibri" w:hAnsi="Palatino Linotype" w:cs="Arial"/>
        </w:rPr>
        <w:lastRenderedPageBreak/>
        <w:t>documental respectivo objeto de las versiones públicas que se formulen y se ponga a disposición de la parte recurrente.</w:t>
      </w:r>
    </w:p>
    <w:p w14:paraId="3347BBBD" w14:textId="77777777" w:rsidR="00A03C61" w:rsidRPr="00395986" w:rsidRDefault="00A03C61" w:rsidP="00A03C61">
      <w:pPr>
        <w:spacing w:line="360" w:lineRule="auto"/>
        <w:ind w:right="48"/>
        <w:jc w:val="both"/>
        <w:rPr>
          <w:rFonts w:ascii="Palatino Linotype" w:eastAsia="Palatino Linotype" w:hAnsi="Palatino Linotype" w:cs="Palatino Linotype"/>
          <w:b/>
        </w:rPr>
      </w:pPr>
    </w:p>
    <w:p w14:paraId="61FA18A6" w14:textId="77777777" w:rsidR="00A03C61" w:rsidRPr="00395986" w:rsidRDefault="00A03C61" w:rsidP="00A03C61">
      <w:pPr>
        <w:tabs>
          <w:tab w:val="left" w:pos="8080"/>
        </w:tabs>
        <w:spacing w:line="360" w:lineRule="auto"/>
        <w:ind w:right="48"/>
        <w:contextualSpacing/>
        <w:jc w:val="both"/>
        <w:rPr>
          <w:rFonts w:ascii="Palatino Linotype" w:hAnsi="Palatino Linotype"/>
          <w:color w:val="222222"/>
          <w:shd w:val="clear" w:color="auto" w:fill="FFFFFF"/>
        </w:rPr>
      </w:pPr>
      <w:r w:rsidRPr="00395986">
        <w:rPr>
          <w:rFonts w:ascii="Palatino Linotype" w:eastAsia="Palatino Linotype" w:hAnsi="Palatino Linotype" w:cs="Palatino Linotype"/>
          <w:b/>
        </w:rPr>
        <w:t xml:space="preserve">TERCERO. Notifíquese </w:t>
      </w:r>
      <w:r w:rsidRPr="00395986">
        <w:rPr>
          <w:rFonts w:ascii="Palatino Linotype" w:eastAsia="Palatino Linotype" w:hAnsi="Palatino Linotype" w:cs="Palatino Linotype"/>
        </w:rPr>
        <w:t xml:space="preserve">al Titular de la Unidad de Transparencia del </w:t>
      </w:r>
      <w:r w:rsidRPr="00395986">
        <w:rPr>
          <w:rFonts w:ascii="Palatino Linotype" w:eastAsia="Palatino Linotype" w:hAnsi="Palatino Linotype" w:cs="Palatino Linotype"/>
          <w:b/>
        </w:rPr>
        <w:t>SUJETO OBLIGADO</w:t>
      </w:r>
      <w:r w:rsidRPr="00395986">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395986">
        <w:rPr>
          <w:rFonts w:ascii="Palatino Linotype" w:hAnsi="Palatino Linotype"/>
          <w:color w:val="222222"/>
          <w:shd w:val="clear" w:color="auto" w:fill="FFFFFF"/>
        </w:rPr>
        <w:t>vigente, dé cumplimiento a lo ordenado dentro del plazo de diez días hábiles, debiendo rendir a este Instituto el informe de cumplimiento de la resolución en un plazo de tres días hábiles posteriores.</w:t>
      </w:r>
    </w:p>
    <w:p w14:paraId="52909416" w14:textId="77777777" w:rsidR="00A03C61" w:rsidRPr="00395986" w:rsidRDefault="00A03C61" w:rsidP="00A03C61">
      <w:pPr>
        <w:tabs>
          <w:tab w:val="left" w:pos="8080"/>
        </w:tabs>
        <w:spacing w:line="360" w:lineRule="auto"/>
        <w:ind w:right="48"/>
        <w:contextualSpacing/>
        <w:jc w:val="both"/>
        <w:rPr>
          <w:rFonts w:ascii="Palatino Linotype" w:hAnsi="Palatino Linotype"/>
          <w:color w:val="222222"/>
          <w:shd w:val="clear" w:color="auto" w:fill="FFFFFF"/>
        </w:rPr>
      </w:pPr>
    </w:p>
    <w:p w14:paraId="0F8DEC88" w14:textId="77777777" w:rsidR="00A03C61" w:rsidRPr="00395986" w:rsidRDefault="00A03C61" w:rsidP="00A03C61">
      <w:pPr>
        <w:shd w:val="clear" w:color="auto" w:fill="FFFFFF"/>
        <w:spacing w:line="360" w:lineRule="auto"/>
        <w:ind w:right="48"/>
        <w:jc w:val="both"/>
        <w:rPr>
          <w:rFonts w:ascii="Palatino Linotype" w:hAnsi="Palatino Linotype"/>
        </w:rPr>
      </w:pPr>
      <w:r w:rsidRPr="00395986">
        <w:rPr>
          <w:rFonts w:ascii="Palatino Linotype" w:hAnsi="Palatino Linotype" w:cs="Arial"/>
          <w:b/>
        </w:rPr>
        <w:t xml:space="preserve">CUARTO. </w:t>
      </w:r>
      <w:r w:rsidRPr="00395986">
        <w:rPr>
          <w:rFonts w:ascii="Palatino Linotype" w:hAnsi="Palatino Linotype"/>
          <w:b/>
          <w:bCs/>
          <w:lang w:val="es-ES"/>
        </w:rPr>
        <w:t>Notifíquese al RECURRENTE</w:t>
      </w:r>
      <w:r w:rsidRPr="00395986">
        <w:rPr>
          <w:rFonts w:ascii="Palatino Linotype" w:hAnsi="Palatino Linotype"/>
        </w:rPr>
        <w:t xml:space="preserve"> la presente resolución.</w:t>
      </w:r>
    </w:p>
    <w:p w14:paraId="52B7DD65" w14:textId="77777777" w:rsidR="00A03C61" w:rsidRPr="00395986" w:rsidRDefault="00A03C61" w:rsidP="00A03C61">
      <w:pPr>
        <w:shd w:val="clear" w:color="auto" w:fill="FFFFFF"/>
        <w:spacing w:line="360" w:lineRule="auto"/>
        <w:ind w:right="48"/>
        <w:jc w:val="both"/>
        <w:rPr>
          <w:rFonts w:ascii="Palatino Linotype" w:hAnsi="Palatino Linotype"/>
          <w:b/>
          <w:color w:val="FF0000"/>
        </w:rPr>
      </w:pPr>
    </w:p>
    <w:bookmarkEnd w:id="26"/>
    <w:p w14:paraId="72B54A2C" w14:textId="77777777" w:rsidR="00A03C61" w:rsidRPr="00395986" w:rsidRDefault="00A03C61" w:rsidP="00A03C61">
      <w:pPr>
        <w:spacing w:line="360" w:lineRule="auto"/>
        <w:ind w:right="48"/>
        <w:jc w:val="both"/>
        <w:rPr>
          <w:rFonts w:ascii="Palatino Linotype" w:eastAsia="MS Mincho" w:hAnsi="Palatino Linotype"/>
          <w:lang w:val="es-ES"/>
        </w:rPr>
      </w:pPr>
      <w:r w:rsidRPr="00395986">
        <w:rPr>
          <w:rFonts w:ascii="Palatino Linotype" w:eastAsia="MS Mincho" w:hAnsi="Palatino Linotype"/>
          <w:b/>
        </w:rPr>
        <w:t>QUINTO.</w:t>
      </w:r>
      <w:r w:rsidRPr="00395986">
        <w:rPr>
          <w:rFonts w:ascii="Palatino Linotype" w:eastAsia="MS Mincho" w:hAnsi="Palatino Linotype"/>
        </w:rPr>
        <w:t xml:space="preserve"> </w:t>
      </w:r>
      <w:r w:rsidRPr="00395986">
        <w:rPr>
          <w:rFonts w:ascii="Palatino Linotype" w:eastAsia="MS Mincho" w:hAnsi="Palatino Linotype"/>
          <w:lang w:val="es-ES"/>
        </w:rPr>
        <w:t xml:space="preserve">Se hace del conocimiento del </w:t>
      </w:r>
      <w:r w:rsidRPr="00395986">
        <w:rPr>
          <w:rFonts w:ascii="Palatino Linotype" w:hAnsi="Palatino Linotype"/>
          <w:b/>
        </w:rPr>
        <w:t>RECURRENTE</w:t>
      </w:r>
      <w:r w:rsidRPr="00395986">
        <w:rPr>
          <w:rFonts w:ascii="Palatino Linotype" w:hAnsi="Palatino Linotype"/>
        </w:rPr>
        <w:t xml:space="preserve"> </w:t>
      </w:r>
      <w:r w:rsidRPr="00395986">
        <w:rPr>
          <w:rFonts w:ascii="Palatino Linotype" w:eastAsia="MS Mincho" w:hAnsi="Palatino Linotype"/>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Pr="00395986">
        <w:rPr>
          <w:rFonts w:ascii="Palatino Linotype" w:eastAsia="MS Mincho" w:hAnsi="Palatino Linotype"/>
          <w:bCs/>
          <w:lang w:val="es-ES"/>
        </w:rPr>
        <w:t>vía juicio de amparo</w:t>
      </w:r>
      <w:r w:rsidRPr="00395986">
        <w:rPr>
          <w:rFonts w:ascii="Palatino Linotype" w:eastAsia="MS Mincho" w:hAnsi="Palatino Linotype"/>
          <w:lang w:val="es-ES"/>
        </w:rPr>
        <w:t> en los términos de las leyes aplicables.</w:t>
      </w:r>
    </w:p>
    <w:p w14:paraId="2FEB7C10" w14:textId="77777777" w:rsidR="00A03C61" w:rsidRPr="00395986" w:rsidRDefault="00A03C61" w:rsidP="00A03C61">
      <w:pPr>
        <w:spacing w:line="360" w:lineRule="auto"/>
        <w:ind w:right="48"/>
        <w:jc w:val="both"/>
        <w:rPr>
          <w:rFonts w:ascii="Palatino Linotype" w:hAnsi="Palatino Linotype"/>
          <w:color w:val="000000"/>
          <w:shd w:val="clear" w:color="auto" w:fill="FFFFFF"/>
        </w:rPr>
      </w:pPr>
    </w:p>
    <w:p w14:paraId="780331E0" w14:textId="77777777" w:rsidR="00A03C61" w:rsidRPr="00395986" w:rsidRDefault="00A03C61" w:rsidP="00A03C61">
      <w:pPr>
        <w:spacing w:line="360" w:lineRule="auto"/>
        <w:ind w:right="48"/>
        <w:jc w:val="both"/>
        <w:rPr>
          <w:rFonts w:ascii="Palatino Linotype" w:eastAsia="Calibri" w:hAnsi="Palatino Linotype" w:cs="Arial"/>
          <w:bCs/>
        </w:rPr>
      </w:pPr>
      <w:r w:rsidRPr="00395986">
        <w:rPr>
          <w:rFonts w:ascii="Palatino Linotype" w:hAnsi="Palatino Linotype"/>
          <w:b/>
          <w:color w:val="000000"/>
          <w:shd w:val="clear" w:color="auto" w:fill="FFFFFF"/>
        </w:rPr>
        <w:t xml:space="preserve">SEXTO. </w:t>
      </w:r>
      <w:r w:rsidRPr="00395986">
        <w:rPr>
          <w:rFonts w:ascii="Palatino Linotype" w:eastAsia="Calibri" w:hAnsi="Palatino Linotype" w:cs="Arial"/>
          <w:bC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183F40D5" w14:textId="34C565D3" w:rsidR="008D19BD" w:rsidRPr="00395986" w:rsidRDefault="008D19BD" w:rsidP="00A03C61">
      <w:pPr>
        <w:spacing w:line="360" w:lineRule="auto"/>
        <w:ind w:right="48"/>
        <w:jc w:val="both"/>
        <w:rPr>
          <w:rFonts w:ascii="Palatino Linotype" w:eastAsia="Calibri" w:hAnsi="Palatino Linotype" w:cs="Arial"/>
          <w:bCs/>
        </w:rPr>
      </w:pPr>
    </w:p>
    <w:p w14:paraId="36623E57" w14:textId="2420661A" w:rsidR="00A03C61" w:rsidRPr="00395986" w:rsidRDefault="008D19BD" w:rsidP="00B82209">
      <w:pPr>
        <w:spacing w:line="360" w:lineRule="auto"/>
        <w:ind w:right="48"/>
        <w:jc w:val="both"/>
        <w:rPr>
          <w:rFonts w:ascii="Palatino Linotype" w:eastAsia="Calibri" w:hAnsi="Palatino Linotype" w:cs="Arial"/>
          <w:bCs/>
        </w:rPr>
      </w:pPr>
      <w:r w:rsidRPr="00395986">
        <w:rPr>
          <w:rFonts w:ascii="Palatino Linotype" w:eastAsia="Calibri" w:hAnsi="Palatino Linotype" w:cs="Arial"/>
          <w:b/>
          <w:bCs/>
        </w:rPr>
        <w:t>SÉPTIMO. Gírese oficio</w:t>
      </w:r>
      <w:r w:rsidRPr="00395986">
        <w:rPr>
          <w:rFonts w:ascii="Palatino Linotype" w:eastAsia="Calibri" w:hAnsi="Palatino Linotype" w:cs="Arial"/>
          <w:bCs/>
        </w:rPr>
        <w:t xml:space="preserve"> al Titular de la Dirección Jurídica y de Verificación de este Instituto, de conformidad con el artículo 23, fracción XIV del Reglamento Interior del </w:t>
      </w:r>
      <w:r w:rsidRPr="00395986">
        <w:rPr>
          <w:rFonts w:ascii="Palatino Linotype" w:eastAsia="Calibri" w:hAnsi="Palatino Linotype" w:cs="Arial"/>
          <w:bCs/>
        </w:rPr>
        <w:lastRenderedPageBreak/>
        <w:t xml:space="preserve">Instituto de Transparencia, Acceso a la Información Pública y Protección de Datos Personales del Estado de México y Municipios, con el fin que determine lo conducente en términos de considerando </w:t>
      </w:r>
      <w:r w:rsidRPr="00395986">
        <w:rPr>
          <w:rFonts w:ascii="Palatino Linotype" w:eastAsia="Calibri" w:hAnsi="Palatino Linotype" w:cs="Arial"/>
          <w:b/>
          <w:bCs/>
        </w:rPr>
        <w:t>QUINTO</w:t>
      </w:r>
      <w:r w:rsidRPr="00395986">
        <w:rPr>
          <w:rFonts w:ascii="Palatino Linotype" w:eastAsia="Calibri" w:hAnsi="Palatino Linotype" w:cs="Arial"/>
          <w:bCs/>
        </w:rPr>
        <w:t xml:space="preserve"> de la presente resolución.</w:t>
      </w:r>
    </w:p>
    <w:p w14:paraId="739C51E0" w14:textId="77777777" w:rsidR="00427401" w:rsidRPr="00395986" w:rsidRDefault="00427401" w:rsidP="00E95235">
      <w:pPr>
        <w:shd w:val="clear" w:color="auto" w:fill="FFFFFF"/>
        <w:spacing w:line="360" w:lineRule="auto"/>
        <w:contextualSpacing/>
        <w:jc w:val="both"/>
        <w:rPr>
          <w:rFonts w:ascii="Palatino Linotype" w:eastAsiaTheme="minorEastAsia" w:hAnsi="Palatino Linotype" w:cs="Arial"/>
          <w:lang w:val="es-ES_tradnl" w:eastAsia="es-ES"/>
        </w:rPr>
      </w:pPr>
    </w:p>
    <w:bookmarkEnd w:id="7"/>
    <w:bookmarkEnd w:id="8"/>
    <w:bookmarkEnd w:id="9"/>
    <w:p w14:paraId="4D8F42D0" w14:textId="35A58F49" w:rsidR="00685D3C" w:rsidRPr="00685D3C" w:rsidRDefault="00685D3C" w:rsidP="00685D3C">
      <w:pPr>
        <w:spacing w:before="240" w:after="240" w:line="360" w:lineRule="auto"/>
        <w:jc w:val="both"/>
        <w:rPr>
          <w:rFonts w:ascii="Palatino Linotype" w:hAnsi="Palatino Linotype"/>
        </w:rPr>
      </w:pPr>
      <w:r w:rsidRPr="00395986">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w:t>
      </w:r>
      <w:r w:rsidR="009328D0" w:rsidRPr="00395986">
        <w:rPr>
          <w:rFonts w:ascii="Palatino Linotype" w:hAnsi="Palatino Linotype"/>
        </w:rPr>
        <w:t xml:space="preserve"> EMITIENDO VOTO PARTICULAR</w:t>
      </w:r>
      <w:r w:rsidRPr="00395986">
        <w:rPr>
          <w:rFonts w:ascii="Palatino Linotype" w:hAnsi="Palatino Linotype"/>
        </w:rPr>
        <w:t xml:space="preserve"> Y GUADALUPE RAMÍREZ PEÑA EN LA TRIGÉSIMA SEXTA SESIÓN ORDINARIA CELEBRADA EL CINCO (05) DE OCTUBRE DE DOS MIL VEINTIDÓS, ANTE EL SECRETARIO TÉCNICO DEL PLENO ALEXIS TAPIA RAMÍREZ.</w:t>
      </w:r>
      <w:r w:rsidRPr="00685D3C">
        <w:rPr>
          <w:rFonts w:ascii="Palatino Linotype" w:hAnsi="Palatino Linotype"/>
        </w:rPr>
        <w:t xml:space="preserve"> </w:t>
      </w:r>
    </w:p>
    <w:p w14:paraId="021C19EE" w14:textId="77777777" w:rsidR="00427401" w:rsidRPr="00E95235" w:rsidRDefault="00427401" w:rsidP="00E95235">
      <w:pPr>
        <w:spacing w:line="360" w:lineRule="auto"/>
        <w:ind w:right="49"/>
        <w:jc w:val="both"/>
        <w:rPr>
          <w:rFonts w:ascii="Palatino Linotype" w:eastAsiaTheme="minorEastAsia" w:hAnsi="Palatino Linotype" w:cs="Arial"/>
          <w:sz w:val="22"/>
          <w:szCs w:val="22"/>
          <w:lang w:val="es-ES_tradnl" w:eastAsia="es-ES"/>
        </w:rPr>
      </w:pPr>
    </w:p>
    <w:p w14:paraId="0B1B8359" w14:textId="77777777" w:rsidR="00427401" w:rsidRPr="00E95235" w:rsidRDefault="00427401" w:rsidP="00E95235">
      <w:pPr>
        <w:spacing w:line="360" w:lineRule="auto"/>
        <w:ind w:right="49"/>
        <w:jc w:val="both"/>
        <w:rPr>
          <w:rFonts w:ascii="Palatino Linotype" w:eastAsiaTheme="minorEastAsia" w:hAnsi="Palatino Linotype" w:cs="Arial"/>
          <w:sz w:val="22"/>
          <w:szCs w:val="22"/>
          <w:lang w:val="es-ES_tradnl" w:eastAsia="es-ES"/>
        </w:rPr>
      </w:pPr>
    </w:p>
    <w:p w14:paraId="398AB68A" w14:textId="77777777" w:rsidR="00427401" w:rsidRPr="00E95235" w:rsidRDefault="00427401" w:rsidP="00E95235">
      <w:pPr>
        <w:spacing w:line="360" w:lineRule="auto"/>
        <w:ind w:right="49"/>
        <w:jc w:val="both"/>
        <w:rPr>
          <w:rFonts w:ascii="Palatino Linotype" w:eastAsiaTheme="minorEastAsia" w:hAnsi="Palatino Linotype" w:cs="Arial"/>
          <w:sz w:val="22"/>
          <w:szCs w:val="22"/>
          <w:lang w:val="es-ES_tradnl" w:eastAsia="es-ES"/>
        </w:rPr>
      </w:pPr>
    </w:p>
    <w:p w14:paraId="1989A85D" w14:textId="77777777" w:rsidR="00427401" w:rsidRPr="00E95235" w:rsidRDefault="00427401" w:rsidP="00E95235">
      <w:pPr>
        <w:spacing w:line="360" w:lineRule="auto"/>
        <w:rPr>
          <w:rFonts w:ascii="Palatino Linotype" w:hAnsi="Palatino Linotype"/>
          <w:sz w:val="22"/>
          <w:szCs w:val="22"/>
        </w:rPr>
      </w:pPr>
    </w:p>
    <w:p w14:paraId="510CB2FA" w14:textId="77777777" w:rsidR="00496A20" w:rsidRPr="00E95235" w:rsidRDefault="00496A20" w:rsidP="00E95235">
      <w:pPr>
        <w:spacing w:line="360" w:lineRule="auto"/>
        <w:rPr>
          <w:rFonts w:ascii="Palatino Linotype" w:hAnsi="Palatino Linotype"/>
          <w:sz w:val="22"/>
          <w:szCs w:val="22"/>
        </w:rPr>
      </w:pPr>
    </w:p>
    <w:p w14:paraId="6F3B0DB0" w14:textId="77777777" w:rsidR="00496A20" w:rsidRPr="00E95235" w:rsidRDefault="00496A20" w:rsidP="00E95235">
      <w:pPr>
        <w:spacing w:line="360" w:lineRule="auto"/>
        <w:rPr>
          <w:rFonts w:ascii="Palatino Linotype" w:hAnsi="Palatino Linotype"/>
          <w:sz w:val="22"/>
          <w:szCs w:val="22"/>
        </w:rPr>
      </w:pPr>
    </w:p>
    <w:p w14:paraId="47891638" w14:textId="77777777" w:rsidR="00496A20" w:rsidRPr="00E95235" w:rsidRDefault="00496A20" w:rsidP="00E95235">
      <w:pPr>
        <w:spacing w:line="360" w:lineRule="auto"/>
        <w:rPr>
          <w:rFonts w:ascii="Palatino Linotype" w:hAnsi="Palatino Linotype"/>
          <w:sz w:val="22"/>
          <w:szCs w:val="22"/>
        </w:rPr>
      </w:pPr>
    </w:p>
    <w:p w14:paraId="712630CA" w14:textId="77777777" w:rsidR="00496A20" w:rsidRPr="00E95235" w:rsidRDefault="00496A20" w:rsidP="00E95235">
      <w:pPr>
        <w:spacing w:line="360" w:lineRule="auto"/>
        <w:rPr>
          <w:rFonts w:ascii="Palatino Linotype" w:hAnsi="Palatino Linotype"/>
          <w:sz w:val="22"/>
          <w:szCs w:val="22"/>
        </w:rPr>
      </w:pPr>
    </w:p>
    <w:p w14:paraId="73BBF1BB" w14:textId="77777777" w:rsidR="009340FE" w:rsidRPr="00E95235" w:rsidRDefault="009340FE" w:rsidP="00E95235">
      <w:pPr>
        <w:spacing w:line="360" w:lineRule="auto"/>
        <w:rPr>
          <w:rFonts w:ascii="Palatino Linotype" w:hAnsi="Palatino Linotype"/>
          <w:sz w:val="22"/>
          <w:szCs w:val="22"/>
        </w:rPr>
      </w:pPr>
    </w:p>
    <w:p w14:paraId="0C35789D" w14:textId="77777777" w:rsidR="009340FE" w:rsidRPr="00E95235" w:rsidRDefault="009340FE" w:rsidP="00E95235">
      <w:pPr>
        <w:spacing w:line="360" w:lineRule="auto"/>
        <w:rPr>
          <w:rFonts w:ascii="Palatino Linotype" w:hAnsi="Palatino Linotype"/>
          <w:sz w:val="22"/>
          <w:szCs w:val="22"/>
        </w:rPr>
      </w:pPr>
    </w:p>
    <w:p w14:paraId="7A60E53D" w14:textId="77777777" w:rsidR="009340FE" w:rsidRPr="00E95235" w:rsidRDefault="009340FE" w:rsidP="00E95235">
      <w:pPr>
        <w:spacing w:line="360" w:lineRule="auto"/>
        <w:rPr>
          <w:rFonts w:ascii="Palatino Linotype" w:hAnsi="Palatino Linotype"/>
          <w:sz w:val="22"/>
          <w:szCs w:val="22"/>
        </w:rPr>
      </w:pPr>
    </w:p>
    <w:p w14:paraId="72475CED" w14:textId="77777777" w:rsidR="009340FE" w:rsidRPr="00E95235" w:rsidRDefault="009340FE" w:rsidP="00E95235">
      <w:pPr>
        <w:spacing w:line="360" w:lineRule="auto"/>
        <w:rPr>
          <w:rFonts w:ascii="Palatino Linotype" w:hAnsi="Palatino Linotype"/>
          <w:sz w:val="22"/>
          <w:szCs w:val="22"/>
        </w:rPr>
      </w:pPr>
    </w:p>
    <w:p w14:paraId="36C4F565" w14:textId="77777777" w:rsidR="009340FE" w:rsidRPr="00E95235" w:rsidRDefault="009340FE" w:rsidP="00E95235">
      <w:pPr>
        <w:spacing w:line="360" w:lineRule="auto"/>
        <w:rPr>
          <w:rFonts w:ascii="Palatino Linotype" w:hAnsi="Palatino Linotype"/>
          <w:sz w:val="22"/>
          <w:szCs w:val="22"/>
        </w:rPr>
      </w:pPr>
    </w:p>
    <w:p w14:paraId="3D0702ED" w14:textId="77777777" w:rsidR="009340FE" w:rsidRPr="00E95235" w:rsidRDefault="009340FE" w:rsidP="00E95235">
      <w:pPr>
        <w:spacing w:line="360" w:lineRule="auto"/>
        <w:rPr>
          <w:rFonts w:ascii="Palatino Linotype" w:hAnsi="Palatino Linotype"/>
          <w:sz w:val="22"/>
          <w:szCs w:val="22"/>
        </w:rPr>
      </w:pPr>
    </w:p>
    <w:p w14:paraId="510812C4" w14:textId="77777777" w:rsidR="009340FE" w:rsidRPr="00E95235" w:rsidRDefault="009340FE" w:rsidP="00E95235">
      <w:pPr>
        <w:spacing w:line="360" w:lineRule="auto"/>
        <w:rPr>
          <w:rFonts w:ascii="Palatino Linotype" w:hAnsi="Palatino Linotype"/>
          <w:sz w:val="22"/>
          <w:szCs w:val="22"/>
        </w:rPr>
      </w:pPr>
    </w:p>
    <w:p w14:paraId="3DC4CCC9" w14:textId="77777777" w:rsidR="009340FE" w:rsidRPr="00E95235" w:rsidRDefault="009340FE" w:rsidP="00E95235">
      <w:pPr>
        <w:spacing w:line="360" w:lineRule="auto"/>
        <w:rPr>
          <w:rFonts w:ascii="Palatino Linotype" w:hAnsi="Palatino Linotype"/>
          <w:sz w:val="22"/>
          <w:szCs w:val="22"/>
        </w:rPr>
      </w:pPr>
    </w:p>
    <w:p w14:paraId="41F0FDDB" w14:textId="77777777" w:rsidR="009340FE" w:rsidRPr="00E95235" w:rsidRDefault="009340FE" w:rsidP="00E95235">
      <w:pPr>
        <w:spacing w:line="360" w:lineRule="auto"/>
        <w:rPr>
          <w:rFonts w:ascii="Palatino Linotype" w:hAnsi="Palatino Linotype"/>
          <w:sz w:val="22"/>
          <w:szCs w:val="22"/>
        </w:rPr>
      </w:pPr>
    </w:p>
    <w:p w14:paraId="5547954C" w14:textId="77777777" w:rsidR="009340FE" w:rsidRPr="00E95235" w:rsidRDefault="009340FE" w:rsidP="00E95235">
      <w:pPr>
        <w:spacing w:line="360" w:lineRule="auto"/>
        <w:rPr>
          <w:rFonts w:ascii="Palatino Linotype" w:hAnsi="Palatino Linotype"/>
          <w:sz w:val="22"/>
          <w:szCs w:val="22"/>
        </w:rPr>
      </w:pPr>
    </w:p>
    <w:p w14:paraId="36375D2D" w14:textId="77777777" w:rsidR="009340FE" w:rsidRPr="00E95235" w:rsidRDefault="009340FE" w:rsidP="00E95235">
      <w:pPr>
        <w:spacing w:line="360" w:lineRule="auto"/>
        <w:rPr>
          <w:rFonts w:ascii="Palatino Linotype" w:hAnsi="Palatino Linotype"/>
          <w:sz w:val="22"/>
          <w:szCs w:val="22"/>
        </w:rPr>
      </w:pPr>
    </w:p>
    <w:p w14:paraId="04FE55A7" w14:textId="77777777" w:rsidR="009340FE" w:rsidRPr="00E95235" w:rsidRDefault="009340FE" w:rsidP="00E95235">
      <w:pPr>
        <w:spacing w:line="360" w:lineRule="auto"/>
        <w:rPr>
          <w:rFonts w:ascii="Palatino Linotype" w:hAnsi="Palatino Linotype"/>
          <w:sz w:val="22"/>
          <w:szCs w:val="22"/>
        </w:rPr>
      </w:pPr>
    </w:p>
    <w:p w14:paraId="2C289407" w14:textId="77777777" w:rsidR="009340FE" w:rsidRPr="00E95235" w:rsidRDefault="009340FE" w:rsidP="00E95235">
      <w:pPr>
        <w:spacing w:line="360" w:lineRule="auto"/>
        <w:rPr>
          <w:rFonts w:ascii="Palatino Linotype" w:hAnsi="Palatino Linotype"/>
          <w:sz w:val="22"/>
          <w:szCs w:val="22"/>
        </w:rPr>
      </w:pPr>
    </w:p>
    <w:p w14:paraId="2BC39867" w14:textId="77777777" w:rsidR="009340FE" w:rsidRPr="00E95235" w:rsidRDefault="009340FE" w:rsidP="00E95235">
      <w:pPr>
        <w:spacing w:line="360" w:lineRule="auto"/>
        <w:rPr>
          <w:rFonts w:ascii="Palatino Linotype" w:hAnsi="Palatino Linotype"/>
          <w:sz w:val="22"/>
          <w:szCs w:val="22"/>
        </w:rPr>
      </w:pPr>
    </w:p>
    <w:p w14:paraId="09BA6251" w14:textId="77777777" w:rsidR="009340FE" w:rsidRPr="00E95235" w:rsidRDefault="009340FE" w:rsidP="00E95235">
      <w:pPr>
        <w:spacing w:line="360" w:lineRule="auto"/>
        <w:rPr>
          <w:rFonts w:ascii="Palatino Linotype" w:hAnsi="Palatino Linotype"/>
          <w:sz w:val="22"/>
          <w:szCs w:val="22"/>
        </w:rPr>
      </w:pPr>
    </w:p>
    <w:p w14:paraId="4E5A680F" w14:textId="77777777" w:rsidR="009340FE" w:rsidRPr="00E95235" w:rsidRDefault="009340FE" w:rsidP="00E95235">
      <w:pPr>
        <w:spacing w:line="360" w:lineRule="auto"/>
        <w:rPr>
          <w:rFonts w:ascii="Palatino Linotype" w:hAnsi="Palatino Linotype"/>
          <w:sz w:val="22"/>
          <w:szCs w:val="22"/>
        </w:rPr>
      </w:pPr>
    </w:p>
    <w:p w14:paraId="7D56EED9" w14:textId="77777777" w:rsidR="009340FE" w:rsidRPr="00E95235" w:rsidRDefault="009340FE" w:rsidP="00E95235">
      <w:pPr>
        <w:spacing w:line="360" w:lineRule="auto"/>
        <w:rPr>
          <w:rFonts w:ascii="Palatino Linotype" w:hAnsi="Palatino Linotype"/>
          <w:sz w:val="22"/>
          <w:szCs w:val="22"/>
        </w:rPr>
      </w:pPr>
    </w:p>
    <w:p w14:paraId="0B15EE26" w14:textId="77777777" w:rsidR="009340FE" w:rsidRPr="00E95235" w:rsidRDefault="009340FE" w:rsidP="00E95235">
      <w:pPr>
        <w:spacing w:line="360" w:lineRule="auto"/>
        <w:rPr>
          <w:rFonts w:ascii="Palatino Linotype" w:hAnsi="Palatino Linotype"/>
          <w:sz w:val="22"/>
          <w:szCs w:val="22"/>
        </w:rPr>
      </w:pPr>
    </w:p>
    <w:p w14:paraId="635DF042" w14:textId="77777777" w:rsidR="009340FE" w:rsidRPr="00E95235" w:rsidRDefault="009340FE" w:rsidP="00E95235">
      <w:pPr>
        <w:spacing w:line="360" w:lineRule="auto"/>
        <w:rPr>
          <w:rFonts w:ascii="Palatino Linotype" w:hAnsi="Palatino Linotype"/>
          <w:sz w:val="22"/>
          <w:szCs w:val="22"/>
        </w:rPr>
      </w:pPr>
    </w:p>
    <w:p w14:paraId="25D7069E" w14:textId="77777777" w:rsidR="009340FE" w:rsidRPr="00E95235" w:rsidRDefault="009340FE" w:rsidP="00E95235">
      <w:pPr>
        <w:spacing w:line="360" w:lineRule="auto"/>
        <w:rPr>
          <w:rFonts w:ascii="Palatino Linotype" w:hAnsi="Palatino Linotype"/>
          <w:sz w:val="22"/>
          <w:szCs w:val="22"/>
        </w:rPr>
      </w:pPr>
    </w:p>
    <w:p w14:paraId="4525B1CA" w14:textId="77777777" w:rsidR="009340FE" w:rsidRPr="00E95235" w:rsidRDefault="009340FE" w:rsidP="00E95235">
      <w:pPr>
        <w:spacing w:line="360" w:lineRule="auto"/>
        <w:rPr>
          <w:rFonts w:ascii="Palatino Linotype" w:hAnsi="Palatino Linotype"/>
          <w:sz w:val="22"/>
          <w:szCs w:val="22"/>
        </w:rPr>
      </w:pPr>
    </w:p>
    <w:p w14:paraId="52227CC8" w14:textId="77777777" w:rsidR="009340FE" w:rsidRPr="00E95235" w:rsidRDefault="009340FE" w:rsidP="00E95235">
      <w:pPr>
        <w:spacing w:line="360" w:lineRule="auto"/>
        <w:rPr>
          <w:rFonts w:ascii="Palatino Linotype" w:hAnsi="Palatino Linotype"/>
          <w:sz w:val="22"/>
          <w:szCs w:val="22"/>
        </w:rPr>
      </w:pPr>
    </w:p>
    <w:p w14:paraId="1019DBCD" w14:textId="77777777" w:rsidR="009340FE" w:rsidRPr="00E95235" w:rsidRDefault="009340FE" w:rsidP="00E95235">
      <w:pPr>
        <w:spacing w:line="360" w:lineRule="auto"/>
        <w:rPr>
          <w:rFonts w:ascii="Palatino Linotype" w:hAnsi="Palatino Linotype"/>
          <w:sz w:val="22"/>
          <w:szCs w:val="22"/>
        </w:rPr>
      </w:pPr>
    </w:p>
    <w:p w14:paraId="4B120477" w14:textId="77777777" w:rsidR="009340FE" w:rsidRPr="00E95235" w:rsidRDefault="009340FE" w:rsidP="00E95235">
      <w:pPr>
        <w:spacing w:line="360" w:lineRule="auto"/>
        <w:rPr>
          <w:rFonts w:ascii="Palatino Linotype" w:hAnsi="Palatino Linotype"/>
          <w:sz w:val="22"/>
          <w:szCs w:val="22"/>
        </w:rPr>
      </w:pPr>
    </w:p>
    <w:p w14:paraId="0D421D87" w14:textId="77777777" w:rsidR="009340FE" w:rsidRPr="00E95235" w:rsidRDefault="009340FE" w:rsidP="00E95235">
      <w:pPr>
        <w:spacing w:line="360" w:lineRule="auto"/>
        <w:rPr>
          <w:rFonts w:ascii="Palatino Linotype" w:hAnsi="Palatino Linotype"/>
          <w:sz w:val="22"/>
          <w:szCs w:val="22"/>
        </w:rPr>
      </w:pPr>
    </w:p>
    <w:p w14:paraId="612ABC67" w14:textId="77777777" w:rsidR="00496A20" w:rsidRPr="00E95235" w:rsidRDefault="00496A20" w:rsidP="00E95235">
      <w:pPr>
        <w:spacing w:line="360" w:lineRule="auto"/>
        <w:rPr>
          <w:rFonts w:ascii="Palatino Linotype" w:hAnsi="Palatino Linotype"/>
          <w:sz w:val="22"/>
          <w:szCs w:val="22"/>
        </w:rPr>
      </w:pPr>
    </w:p>
    <w:p w14:paraId="3F8AA18C" w14:textId="77777777" w:rsidR="00496A20" w:rsidRPr="00E95235" w:rsidRDefault="00496A20" w:rsidP="00E95235">
      <w:pPr>
        <w:spacing w:line="360" w:lineRule="auto"/>
        <w:rPr>
          <w:rFonts w:ascii="Palatino Linotype" w:hAnsi="Palatino Linotype"/>
          <w:sz w:val="22"/>
          <w:szCs w:val="22"/>
        </w:rPr>
      </w:pPr>
    </w:p>
    <w:p w14:paraId="44644170" w14:textId="77777777" w:rsidR="00496A20" w:rsidRPr="00E95235" w:rsidRDefault="00496A20" w:rsidP="00E95235">
      <w:pPr>
        <w:spacing w:line="360" w:lineRule="auto"/>
        <w:rPr>
          <w:rFonts w:ascii="Palatino Linotype" w:hAnsi="Palatino Linotype"/>
          <w:sz w:val="22"/>
          <w:szCs w:val="22"/>
        </w:rPr>
      </w:pPr>
    </w:p>
    <w:p w14:paraId="552F4DC3" w14:textId="77777777" w:rsidR="00496A20" w:rsidRPr="00E95235" w:rsidRDefault="00496A20" w:rsidP="00E95235">
      <w:pPr>
        <w:spacing w:line="360" w:lineRule="auto"/>
        <w:rPr>
          <w:rFonts w:ascii="Palatino Linotype" w:hAnsi="Palatino Linotype"/>
          <w:sz w:val="22"/>
          <w:szCs w:val="22"/>
        </w:rPr>
      </w:pPr>
    </w:p>
    <w:p w14:paraId="12C71725" w14:textId="77777777" w:rsidR="00496A20" w:rsidRPr="00E95235" w:rsidRDefault="00496A20" w:rsidP="00E95235">
      <w:pPr>
        <w:spacing w:line="360" w:lineRule="auto"/>
        <w:rPr>
          <w:rFonts w:ascii="Palatino Linotype" w:hAnsi="Palatino Linotype"/>
          <w:sz w:val="22"/>
          <w:szCs w:val="22"/>
        </w:rPr>
      </w:pPr>
    </w:p>
    <w:p w14:paraId="7ACFB018" w14:textId="77777777" w:rsidR="00496A20" w:rsidRPr="00E95235" w:rsidRDefault="00496A20" w:rsidP="00E95235">
      <w:pPr>
        <w:spacing w:line="360" w:lineRule="auto"/>
        <w:rPr>
          <w:rFonts w:ascii="Palatino Linotype" w:hAnsi="Palatino Linotype"/>
          <w:sz w:val="22"/>
          <w:szCs w:val="22"/>
        </w:rPr>
      </w:pPr>
    </w:p>
    <w:p w14:paraId="0CA377C4" w14:textId="77777777" w:rsidR="00496A20" w:rsidRPr="00E95235" w:rsidRDefault="00496A20" w:rsidP="00E95235">
      <w:pPr>
        <w:spacing w:line="360" w:lineRule="auto"/>
        <w:rPr>
          <w:rFonts w:ascii="Palatino Linotype" w:hAnsi="Palatino Linotype"/>
          <w:sz w:val="22"/>
          <w:szCs w:val="22"/>
        </w:rPr>
      </w:pPr>
    </w:p>
    <w:p w14:paraId="7636552B" w14:textId="77777777" w:rsidR="00496A20" w:rsidRPr="00E95235" w:rsidRDefault="00496A20" w:rsidP="00E95235">
      <w:pPr>
        <w:spacing w:line="360" w:lineRule="auto"/>
        <w:rPr>
          <w:rFonts w:ascii="Palatino Linotype" w:hAnsi="Palatino Linotype"/>
          <w:sz w:val="22"/>
          <w:szCs w:val="22"/>
        </w:rPr>
      </w:pPr>
    </w:p>
    <w:p w14:paraId="1D6E50F4" w14:textId="77777777" w:rsidR="00496A20" w:rsidRPr="00E95235" w:rsidRDefault="00496A20" w:rsidP="00E95235">
      <w:pPr>
        <w:spacing w:line="360" w:lineRule="auto"/>
        <w:rPr>
          <w:rFonts w:ascii="Palatino Linotype" w:hAnsi="Palatino Linotype"/>
          <w:sz w:val="22"/>
          <w:szCs w:val="22"/>
        </w:rPr>
      </w:pPr>
    </w:p>
    <w:p w14:paraId="2C245DB5" w14:textId="77777777" w:rsidR="00496A20" w:rsidRPr="00E95235" w:rsidRDefault="00496A20" w:rsidP="00E95235">
      <w:pPr>
        <w:spacing w:line="360" w:lineRule="auto"/>
        <w:rPr>
          <w:rFonts w:ascii="Palatino Linotype" w:hAnsi="Palatino Linotype"/>
          <w:sz w:val="22"/>
          <w:szCs w:val="22"/>
        </w:rPr>
      </w:pPr>
    </w:p>
    <w:p w14:paraId="0A2BC405" w14:textId="77777777" w:rsidR="00496A20" w:rsidRPr="00E95235" w:rsidRDefault="00496A20" w:rsidP="00E95235">
      <w:pPr>
        <w:spacing w:line="360" w:lineRule="auto"/>
        <w:rPr>
          <w:rFonts w:ascii="Palatino Linotype" w:hAnsi="Palatino Linotype"/>
          <w:sz w:val="22"/>
          <w:szCs w:val="22"/>
        </w:rPr>
      </w:pPr>
    </w:p>
    <w:p w14:paraId="4C0BB06F" w14:textId="77777777" w:rsidR="00496A20" w:rsidRPr="00E95235" w:rsidRDefault="00496A20" w:rsidP="00E95235">
      <w:pPr>
        <w:spacing w:line="360" w:lineRule="auto"/>
        <w:rPr>
          <w:rFonts w:ascii="Palatino Linotype" w:hAnsi="Palatino Linotype"/>
          <w:sz w:val="22"/>
          <w:szCs w:val="22"/>
        </w:rPr>
      </w:pPr>
    </w:p>
    <w:p w14:paraId="777C6A23" w14:textId="77777777" w:rsidR="00496A20" w:rsidRPr="00E95235" w:rsidRDefault="00496A20" w:rsidP="00E95235">
      <w:pPr>
        <w:spacing w:line="360" w:lineRule="auto"/>
        <w:rPr>
          <w:rFonts w:ascii="Palatino Linotype" w:hAnsi="Palatino Linotype"/>
          <w:sz w:val="22"/>
          <w:szCs w:val="22"/>
        </w:rPr>
      </w:pPr>
    </w:p>
    <w:p w14:paraId="7B00BC6B" w14:textId="77777777" w:rsidR="00496A20" w:rsidRPr="00E95235" w:rsidRDefault="00496A20" w:rsidP="00E95235">
      <w:pPr>
        <w:spacing w:line="360" w:lineRule="auto"/>
        <w:rPr>
          <w:rFonts w:ascii="Palatino Linotype" w:hAnsi="Palatino Linotype"/>
          <w:sz w:val="22"/>
          <w:szCs w:val="22"/>
        </w:rPr>
      </w:pPr>
    </w:p>
    <w:p w14:paraId="664950E0" w14:textId="77777777" w:rsidR="00496A20" w:rsidRPr="00E95235" w:rsidRDefault="00496A20" w:rsidP="00E95235">
      <w:pPr>
        <w:spacing w:line="360" w:lineRule="auto"/>
        <w:rPr>
          <w:rFonts w:ascii="Palatino Linotype" w:hAnsi="Palatino Linotype"/>
          <w:sz w:val="22"/>
          <w:szCs w:val="22"/>
        </w:rPr>
      </w:pPr>
    </w:p>
    <w:p w14:paraId="25B092E5" w14:textId="77777777" w:rsidR="0018087B" w:rsidRPr="00E95235" w:rsidRDefault="0018087B" w:rsidP="00E95235">
      <w:pPr>
        <w:spacing w:line="360" w:lineRule="auto"/>
        <w:rPr>
          <w:rFonts w:ascii="Palatino Linotype" w:hAnsi="Palatino Linotype"/>
          <w:sz w:val="22"/>
          <w:szCs w:val="22"/>
        </w:rPr>
      </w:pPr>
    </w:p>
    <w:sectPr w:rsidR="0018087B" w:rsidRPr="00E95235" w:rsidSect="0026086D">
      <w:headerReference w:type="even" r:id="rId13"/>
      <w:headerReference w:type="default" r:id="rId14"/>
      <w:footerReference w:type="default" r:id="rId15"/>
      <w:headerReference w:type="first" r:id="rId16"/>
      <w:footerReference w:type="first" r:id="rId17"/>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FD3A98" w14:textId="77777777" w:rsidR="00B1412B" w:rsidRDefault="00B1412B" w:rsidP="00427401">
      <w:r>
        <w:separator/>
      </w:r>
    </w:p>
  </w:endnote>
  <w:endnote w:type="continuationSeparator" w:id="0">
    <w:p w14:paraId="24C6F2E1" w14:textId="77777777" w:rsidR="00B1412B" w:rsidRDefault="00B1412B" w:rsidP="004274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BBFADF" w14:textId="77777777" w:rsidR="0026086D" w:rsidRDefault="0026086D">
    <w:pPr>
      <w:pStyle w:val="Piedepgina"/>
      <w:jc w:val="right"/>
    </w:pPr>
    <w:r>
      <w:rPr>
        <w:lang w:val="es-ES"/>
      </w:rPr>
      <w:t xml:space="preserve">Página </w:t>
    </w:r>
    <w:r>
      <w:rPr>
        <w:b/>
        <w:bCs/>
      </w:rPr>
      <w:fldChar w:fldCharType="begin"/>
    </w:r>
    <w:r>
      <w:rPr>
        <w:b/>
        <w:bCs/>
      </w:rPr>
      <w:instrText>PAGE</w:instrText>
    </w:r>
    <w:r>
      <w:rPr>
        <w:b/>
        <w:bCs/>
      </w:rPr>
      <w:fldChar w:fldCharType="separate"/>
    </w:r>
    <w:r w:rsidR="00395986">
      <w:rPr>
        <w:b/>
        <w:bCs/>
        <w:noProof/>
      </w:rPr>
      <w:t>21</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395986">
      <w:rPr>
        <w:b/>
        <w:bCs/>
        <w:noProof/>
      </w:rPr>
      <w:t>32</w:t>
    </w:r>
    <w:r>
      <w:rPr>
        <w:b/>
        <w:bCs/>
      </w:rPr>
      <w:fldChar w:fldCharType="end"/>
    </w:r>
  </w:p>
  <w:p w14:paraId="0D943786" w14:textId="77777777" w:rsidR="0026086D" w:rsidRDefault="0026086D">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51E204" w14:textId="77777777" w:rsidR="0026086D" w:rsidRDefault="0026086D">
    <w:pPr>
      <w:pStyle w:val="Piedepgina"/>
      <w:jc w:val="right"/>
    </w:pPr>
    <w:r>
      <w:rPr>
        <w:lang w:val="es-ES"/>
      </w:rPr>
      <w:t xml:space="preserve">Página </w:t>
    </w:r>
    <w:r>
      <w:rPr>
        <w:b/>
        <w:bCs/>
      </w:rPr>
      <w:fldChar w:fldCharType="begin"/>
    </w:r>
    <w:r>
      <w:rPr>
        <w:b/>
        <w:bCs/>
      </w:rPr>
      <w:instrText>PAGE</w:instrText>
    </w:r>
    <w:r>
      <w:rPr>
        <w:b/>
        <w:bCs/>
      </w:rPr>
      <w:fldChar w:fldCharType="separate"/>
    </w:r>
    <w:r w:rsidR="00395986">
      <w:rPr>
        <w:b/>
        <w:bCs/>
        <w:noProof/>
      </w:rPr>
      <w:t>1</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395986">
      <w:rPr>
        <w:b/>
        <w:bCs/>
        <w:noProof/>
      </w:rPr>
      <w:t>32</w:t>
    </w:r>
    <w:r>
      <w:rPr>
        <w:b/>
        <w:bCs/>
      </w:rPr>
      <w:fldChar w:fldCharType="end"/>
    </w:r>
  </w:p>
  <w:p w14:paraId="72587876" w14:textId="77777777" w:rsidR="0026086D" w:rsidRDefault="0026086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B39EE0" w14:textId="77777777" w:rsidR="00B1412B" w:rsidRDefault="00B1412B" w:rsidP="00427401">
      <w:r>
        <w:separator/>
      </w:r>
    </w:p>
  </w:footnote>
  <w:footnote w:type="continuationSeparator" w:id="0">
    <w:p w14:paraId="27558793" w14:textId="77777777" w:rsidR="00B1412B" w:rsidRDefault="00B1412B" w:rsidP="004274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85D97C" w14:textId="77777777" w:rsidR="0026086D" w:rsidRDefault="00B1412B">
    <w:pPr>
      <w:pStyle w:val="Encabezado"/>
    </w:pPr>
    <w:r>
      <w:rPr>
        <w:noProof/>
      </w:rPr>
      <w:pict w14:anchorId="243C7DB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3" o:spid="_x0000_s2049" type="#_x0000_t75" alt="" style="position:absolute;margin-left:0;margin-top:0;width:589.8pt;height:768pt;z-index:-251657216;mso-wrap-edited:f;mso-width-percent:0;mso-height-percent:0;mso-position-horizontal:center;mso-position-horizontal-relative:margin;mso-position-vertical:center;mso-position-vertical-relative:margin;mso-width-percent:0;mso-height-percent:0" o:allowincell="f">
          <v:imagedata r:id="rId1" o:title="resolución infoem image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4" w:type="dxa"/>
      <w:tblLayout w:type="fixed"/>
      <w:tblLook w:val="04A0" w:firstRow="1" w:lastRow="0" w:firstColumn="1" w:lastColumn="0" w:noHBand="0" w:noVBand="1"/>
    </w:tblPr>
    <w:tblGrid>
      <w:gridCol w:w="2268"/>
      <w:gridCol w:w="6946"/>
    </w:tblGrid>
    <w:tr w:rsidR="0026086D" w:rsidRPr="005C106F" w14:paraId="46B5261B" w14:textId="77777777" w:rsidTr="0026086D">
      <w:trPr>
        <w:trHeight w:val="1435"/>
      </w:trPr>
      <w:tc>
        <w:tcPr>
          <w:tcW w:w="2268" w:type="dxa"/>
          <w:shd w:val="clear" w:color="auto" w:fill="auto"/>
        </w:tcPr>
        <w:p w14:paraId="114275BB" w14:textId="77777777" w:rsidR="0026086D" w:rsidRPr="005C106F" w:rsidRDefault="0026086D" w:rsidP="0026086D">
          <w:pPr>
            <w:tabs>
              <w:tab w:val="right" w:pos="4273"/>
            </w:tabs>
            <w:rPr>
              <w:rFonts w:ascii="Garamond" w:eastAsia="Calibri" w:hAnsi="Garamond"/>
              <w:sz w:val="16"/>
              <w:szCs w:val="16"/>
              <w:lang w:eastAsia="en-US"/>
            </w:rPr>
          </w:pPr>
        </w:p>
      </w:tc>
      <w:tc>
        <w:tcPr>
          <w:tcW w:w="6946" w:type="dxa"/>
          <w:shd w:val="clear" w:color="auto" w:fill="auto"/>
        </w:tcPr>
        <w:p w14:paraId="3DAB4F51" w14:textId="77777777" w:rsidR="0026086D" w:rsidRDefault="0026086D" w:rsidP="0026086D"/>
        <w:tbl>
          <w:tblPr>
            <w:tblW w:w="6662" w:type="dxa"/>
            <w:tblInd w:w="40" w:type="dxa"/>
            <w:tblLayout w:type="fixed"/>
            <w:tblLook w:val="0420" w:firstRow="1" w:lastRow="0" w:firstColumn="0" w:lastColumn="0" w:noHBand="0" w:noVBand="1"/>
          </w:tblPr>
          <w:tblGrid>
            <w:gridCol w:w="2551"/>
            <w:gridCol w:w="4111"/>
          </w:tblGrid>
          <w:tr w:rsidR="0026086D" w14:paraId="78DDD038" w14:textId="77777777" w:rsidTr="0026086D">
            <w:trPr>
              <w:trHeight w:val="150"/>
            </w:trPr>
            <w:tc>
              <w:tcPr>
                <w:tcW w:w="2551" w:type="dxa"/>
                <w:shd w:val="clear" w:color="auto" w:fill="auto"/>
              </w:tcPr>
              <w:p w14:paraId="700E9BBB" w14:textId="77777777" w:rsidR="0026086D" w:rsidRPr="00020E73" w:rsidRDefault="0026086D" w:rsidP="0026086D">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4111" w:type="dxa"/>
                <w:shd w:val="clear" w:color="auto" w:fill="auto"/>
              </w:tcPr>
              <w:p w14:paraId="7B7955CF" w14:textId="0993D992" w:rsidR="0026086D" w:rsidRPr="00020E73" w:rsidRDefault="002527E8" w:rsidP="0026086D">
                <w:pPr>
                  <w:tabs>
                    <w:tab w:val="right" w:pos="8838"/>
                  </w:tabs>
                  <w:ind w:left="-108" w:right="-102"/>
                  <w:jc w:val="both"/>
                  <w:rPr>
                    <w:rFonts w:ascii="Palatino Linotype" w:eastAsia="Calibri" w:hAnsi="Palatino Linotype" w:cs="Tahoma"/>
                    <w:bCs/>
                    <w:sz w:val="22"/>
                    <w:szCs w:val="22"/>
                    <w:lang w:val="es-ES" w:eastAsia="en-US"/>
                  </w:rPr>
                </w:pPr>
                <w:r>
                  <w:rPr>
                    <w:rFonts w:ascii="Palatino Linotype" w:eastAsia="Calibri" w:hAnsi="Palatino Linotype" w:cs="Tahoma"/>
                    <w:bCs/>
                    <w:sz w:val="22"/>
                    <w:szCs w:val="22"/>
                    <w:lang w:eastAsia="en-US"/>
                  </w:rPr>
                  <w:t>13153</w:t>
                </w:r>
                <w:r w:rsidR="00E1093A">
                  <w:rPr>
                    <w:rFonts w:ascii="Palatino Linotype" w:eastAsia="Calibri" w:hAnsi="Palatino Linotype" w:cs="Tahoma"/>
                    <w:bCs/>
                    <w:sz w:val="22"/>
                    <w:szCs w:val="22"/>
                    <w:lang w:eastAsia="en-US"/>
                  </w:rPr>
                  <w:t>/INFOEM/IP/RR/2022</w:t>
                </w:r>
                <w:r w:rsidR="0026086D" w:rsidRPr="009E7B0A">
                  <w:rPr>
                    <w:rFonts w:ascii="Palatino Linotype" w:eastAsia="Calibri" w:hAnsi="Palatino Linotype" w:cs="Tahoma"/>
                    <w:b/>
                    <w:bCs/>
                    <w:sz w:val="22"/>
                    <w:szCs w:val="22"/>
                    <w:lang w:eastAsia="en-US"/>
                  </w:rPr>
                  <w:t xml:space="preserve"> </w:t>
                </w:r>
              </w:p>
            </w:tc>
          </w:tr>
          <w:tr w:rsidR="0026086D" w14:paraId="6774C16D" w14:textId="77777777" w:rsidTr="0026086D">
            <w:trPr>
              <w:trHeight w:val="295"/>
            </w:trPr>
            <w:tc>
              <w:tcPr>
                <w:tcW w:w="2551" w:type="dxa"/>
                <w:shd w:val="clear" w:color="auto" w:fill="auto"/>
              </w:tcPr>
              <w:p w14:paraId="7089F571" w14:textId="77777777" w:rsidR="0026086D" w:rsidRPr="00020E73" w:rsidRDefault="0026086D" w:rsidP="0026086D">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4111" w:type="dxa"/>
                <w:shd w:val="clear" w:color="auto" w:fill="auto"/>
              </w:tcPr>
              <w:p w14:paraId="7799EF0D" w14:textId="2C93B762" w:rsidR="0026086D" w:rsidRPr="00020E73" w:rsidRDefault="002527E8" w:rsidP="0026086D">
                <w:pPr>
                  <w:tabs>
                    <w:tab w:val="left" w:pos="2834"/>
                    <w:tab w:val="right" w:pos="8838"/>
                  </w:tabs>
                  <w:ind w:left="-108" w:right="-102"/>
                  <w:jc w:val="both"/>
                  <w:rPr>
                    <w:rFonts w:ascii="Palatino Linotype" w:eastAsia="Calibri" w:hAnsi="Palatino Linotype" w:cs="Tahoma"/>
                    <w:b/>
                    <w:sz w:val="22"/>
                    <w:szCs w:val="22"/>
                    <w:lang w:val="es-ES" w:eastAsia="en-US"/>
                  </w:rPr>
                </w:pPr>
                <w:r>
                  <w:rPr>
                    <w:rFonts w:ascii="Palatino Linotype" w:eastAsia="Calibri" w:hAnsi="Palatino Linotype" w:cs="Tahoma"/>
                    <w:sz w:val="22"/>
                    <w:szCs w:val="22"/>
                    <w:lang w:eastAsia="en-US"/>
                  </w:rPr>
                  <w:t>Ayuntamiento de Tultepec</w:t>
                </w:r>
              </w:p>
            </w:tc>
          </w:tr>
          <w:tr w:rsidR="0026086D" w14:paraId="7406163F" w14:textId="77777777" w:rsidTr="0026086D">
            <w:trPr>
              <w:trHeight w:val="295"/>
            </w:trPr>
            <w:tc>
              <w:tcPr>
                <w:tcW w:w="2551" w:type="dxa"/>
                <w:shd w:val="clear" w:color="auto" w:fill="auto"/>
              </w:tcPr>
              <w:p w14:paraId="052D6E9C" w14:textId="77777777" w:rsidR="0026086D" w:rsidRPr="00020E73" w:rsidRDefault="0026086D" w:rsidP="0026086D">
                <w:pPr>
                  <w:tabs>
                    <w:tab w:val="right" w:pos="8838"/>
                  </w:tabs>
                  <w:ind w:right="-105"/>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Comisionado ponente</w:t>
                </w:r>
                <w:r w:rsidRPr="00020E73">
                  <w:rPr>
                    <w:rFonts w:ascii="Palatino Linotype" w:eastAsia="Calibri" w:hAnsi="Palatino Linotype" w:cs="Tahoma"/>
                    <w:b/>
                    <w:sz w:val="22"/>
                    <w:szCs w:val="22"/>
                    <w:lang w:val="es-ES" w:eastAsia="en-US"/>
                  </w:rPr>
                  <w:t>:</w:t>
                </w:r>
              </w:p>
            </w:tc>
            <w:tc>
              <w:tcPr>
                <w:tcW w:w="4111" w:type="dxa"/>
                <w:shd w:val="clear" w:color="auto" w:fill="auto"/>
              </w:tcPr>
              <w:p w14:paraId="3AF8FB63" w14:textId="5FD22545" w:rsidR="0026086D" w:rsidRPr="00020E73" w:rsidRDefault="00583DED" w:rsidP="0026086D">
                <w:pPr>
                  <w:tabs>
                    <w:tab w:val="right" w:pos="8838"/>
                  </w:tabs>
                  <w:ind w:left="-108" w:right="171"/>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val="es-ES" w:eastAsia="en-US"/>
                  </w:rPr>
                  <w:t>María del Rosario Mejía Ayala</w:t>
                </w:r>
              </w:p>
              <w:p w14:paraId="7CD0DEF3" w14:textId="77777777" w:rsidR="0026086D" w:rsidRPr="00020E73" w:rsidRDefault="0026086D" w:rsidP="0026086D">
                <w:pPr>
                  <w:tabs>
                    <w:tab w:val="right" w:pos="8838"/>
                  </w:tabs>
                  <w:ind w:left="-108" w:right="171"/>
                  <w:jc w:val="both"/>
                  <w:rPr>
                    <w:rFonts w:ascii="Palatino Linotype" w:eastAsia="Calibri" w:hAnsi="Palatino Linotype" w:cs="Tahoma"/>
                    <w:b/>
                    <w:sz w:val="22"/>
                    <w:szCs w:val="22"/>
                    <w:lang w:val="es-ES" w:eastAsia="en-US"/>
                  </w:rPr>
                </w:pPr>
              </w:p>
            </w:tc>
          </w:tr>
        </w:tbl>
        <w:p w14:paraId="28906666" w14:textId="77777777" w:rsidR="0026086D" w:rsidRPr="005C106F" w:rsidRDefault="0026086D" w:rsidP="0026086D">
          <w:pPr>
            <w:tabs>
              <w:tab w:val="right" w:pos="8838"/>
            </w:tabs>
            <w:ind w:left="-28"/>
            <w:jc w:val="both"/>
            <w:rPr>
              <w:rFonts w:ascii="Arial" w:eastAsia="Calibri" w:hAnsi="Arial" w:cs="Arial"/>
              <w:b/>
              <w:sz w:val="22"/>
              <w:szCs w:val="22"/>
              <w:lang w:eastAsia="en-US"/>
            </w:rPr>
          </w:pPr>
        </w:p>
      </w:tc>
    </w:tr>
  </w:tbl>
  <w:p w14:paraId="2E83A57D" w14:textId="77777777" w:rsidR="0026086D" w:rsidRPr="00443C6B" w:rsidRDefault="00B1412B" w:rsidP="0026086D">
    <w:pPr>
      <w:pStyle w:val="Encabezado"/>
      <w:rPr>
        <w:sz w:val="14"/>
      </w:rPr>
    </w:pPr>
    <w:r>
      <w:rPr>
        <w:noProof/>
        <w:sz w:val="14"/>
      </w:rPr>
      <w:pict w14:anchorId="3FAEF5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4" o:spid="_x0000_s2050" type="#_x0000_t75" alt="" style="position:absolute;margin-left:-68.8pt;margin-top:-120.5pt;width:589.8pt;height:768pt;z-index:-251656192;mso-wrap-edited:f;mso-width-percent:0;mso-height-percent:0;mso-position-horizontal-relative:margin;mso-position-vertical-relative:margin;mso-width-percent:0;mso-height-percent:0" o:allowincell="f">
          <v:imagedata r:id="rId1" o:title="resolución infoem imagen"/>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72" w:type="dxa"/>
      <w:tblLayout w:type="fixed"/>
      <w:tblLook w:val="04A0" w:firstRow="1" w:lastRow="0" w:firstColumn="1" w:lastColumn="0" w:noHBand="0" w:noVBand="1"/>
    </w:tblPr>
    <w:tblGrid>
      <w:gridCol w:w="2268"/>
      <w:gridCol w:w="6804"/>
    </w:tblGrid>
    <w:tr w:rsidR="0026086D" w:rsidRPr="00330DA7" w14:paraId="5606BA67" w14:textId="77777777" w:rsidTr="0026086D">
      <w:trPr>
        <w:trHeight w:val="1435"/>
      </w:trPr>
      <w:tc>
        <w:tcPr>
          <w:tcW w:w="2268" w:type="dxa"/>
          <w:shd w:val="clear" w:color="auto" w:fill="auto"/>
        </w:tcPr>
        <w:p w14:paraId="728EA83C" w14:textId="77777777" w:rsidR="0026086D" w:rsidRPr="00330DA7" w:rsidRDefault="0026086D" w:rsidP="0026086D">
          <w:pPr>
            <w:tabs>
              <w:tab w:val="right" w:pos="4273"/>
            </w:tabs>
            <w:rPr>
              <w:rFonts w:ascii="Garamond" w:eastAsia="Calibri" w:hAnsi="Garamond"/>
              <w:sz w:val="22"/>
              <w:szCs w:val="22"/>
              <w:lang w:eastAsia="en-US"/>
            </w:rPr>
          </w:pPr>
        </w:p>
      </w:tc>
      <w:tc>
        <w:tcPr>
          <w:tcW w:w="6804" w:type="dxa"/>
          <w:shd w:val="clear" w:color="auto" w:fill="auto"/>
        </w:tcPr>
        <w:tbl>
          <w:tblPr>
            <w:tblW w:w="6662" w:type="dxa"/>
            <w:tblInd w:w="40" w:type="dxa"/>
            <w:tblLayout w:type="fixed"/>
            <w:tblLook w:val="0420" w:firstRow="1" w:lastRow="0" w:firstColumn="0" w:lastColumn="0" w:noHBand="0" w:noVBand="1"/>
          </w:tblPr>
          <w:tblGrid>
            <w:gridCol w:w="2444"/>
            <w:gridCol w:w="4218"/>
          </w:tblGrid>
          <w:tr w:rsidR="0026086D" w:rsidRPr="00330DA7" w14:paraId="6736DF45" w14:textId="77777777" w:rsidTr="0026086D">
            <w:trPr>
              <w:trHeight w:val="144"/>
            </w:trPr>
            <w:tc>
              <w:tcPr>
                <w:tcW w:w="2444" w:type="dxa"/>
                <w:shd w:val="clear" w:color="auto" w:fill="auto"/>
              </w:tcPr>
              <w:p w14:paraId="65D90027" w14:textId="77777777" w:rsidR="0026086D" w:rsidRPr="00020E73" w:rsidRDefault="0026086D" w:rsidP="0026086D">
                <w:pPr>
                  <w:tabs>
                    <w:tab w:val="right" w:pos="8838"/>
                  </w:tabs>
                  <w:ind w:left="-264" w:right="-105" w:firstLine="19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4218" w:type="dxa"/>
                <w:shd w:val="clear" w:color="auto" w:fill="auto"/>
              </w:tcPr>
              <w:p w14:paraId="50E7C9D5" w14:textId="7EA15C4D" w:rsidR="0026086D" w:rsidRPr="00020E73" w:rsidRDefault="002527E8" w:rsidP="0026086D">
                <w:pPr>
                  <w:tabs>
                    <w:tab w:val="right" w:pos="8838"/>
                  </w:tabs>
                  <w:ind w:left="-74" w:right="-105"/>
                  <w:jc w:val="both"/>
                  <w:rPr>
                    <w:rFonts w:ascii="Palatino Linotype" w:eastAsia="Calibri" w:hAnsi="Palatino Linotype" w:cs="Tahoma"/>
                    <w:bCs/>
                    <w:sz w:val="22"/>
                    <w:szCs w:val="22"/>
                    <w:lang w:val="es-ES" w:eastAsia="en-US"/>
                  </w:rPr>
                </w:pPr>
                <w:r>
                  <w:rPr>
                    <w:rFonts w:ascii="Palatino Linotype" w:eastAsia="Calibri" w:hAnsi="Palatino Linotype" w:cs="Tahoma"/>
                    <w:sz w:val="22"/>
                    <w:szCs w:val="22"/>
                    <w:lang w:eastAsia="en-US"/>
                  </w:rPr>
                  <w:t>13153</w:t>
                </w:r>
                <w:r w:rsidR="00E1093A">
                  <w:rPr>
                    <w:rFonts w:ascii="Palatino Linotype" w:eastAsia="Calibri" w:hAnsi="Palatino Linotype" w:cs="Tahoma"/>
                    <w:sz w:val="22"/>
                    <w:szCs w:val="22"/>
                    <w:lang w:eastAsia="en-US"/>
                  </w:rPr>
                  <w:t>/INFOEM/IP/RR/2022</w:t>
                </w:r>
                <w:r w:rsidR="0026086D">
                  <w:rPr>
                    <w:rFonts w:ascii="Palatino Linotype" w:eastAsia="Calibri" w:hAnsi="Palatino Linotype" w:cs="Tahoma"/>
                    <w:b/>
                    <w:bCs/>
                    <w:sz w:val="22"/>
                    <w:szCs w:val="22"/>
                    <w:lang w:eastAsia="en-US"/>
                  </w:rPr>
                  <w:t xml:space="preserve"> </w:t>
                </w:r>
              </w:p>
            </w:tc>
          </w:tr>
          <w:tr w:rsidR="0026086D" w:rsidRPr="00330DA7" w14:paraId="1326F7AD" w14:textId="77777777" w:rsidTr="0026086D">
            <w:trPr>
              <w:trHeight w:val="144"/>
            </w:trPr>
            <w:tc>
              <w:tcPr>
                <w:tcW w:w="2444" w:type="dxa"/>
                <w:shd w:val="clear" w:color="auto" w:fill="auto"/>
              </w:tcPr>
              <w:p w14:paraId="3F2053AD" w14:textId="77777777" w:rsidR="0026086D" w:rsidRPr="00020E73" w:rsidRDefault="0026086D" w:rsidP="0026086D">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Recurrente:</w:t>
                </w:r>
              </w:p>
            </w:tc>
            <w:tc>
              <w:tcPr>
                <w:tcW w:w="4218" w:type="dxa"/>
                <w:shd w:val="clear" w:color="auto" w:fill="auto"/>
              </w:tcPr>
              <w:p w14:paraId="5636E61E" w14:textId="7EF0E7FF" w:rsidR="0026086D" w:rsidRPr="00020E73" w:rsidRDefault="001A65AC" w:rsidP="0026086D">
                <w:pPr>
                  <w:tabs>
                    <w:tab w:val="left" w:pos="3122"/>
                    <w:tab w:val="right" w:pos="8838"/>
                  </w:tabs>
                  <w:ind w:left="-74" w:right="-105"/>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val="es-ES" w:eastAsia="en-US"/>
                  </w:rPr>
                  <w:t xml:space="preserve">XXXX XXXXX </w:t>
                </w:r>
                <w:proofErr w:type="spellStart"/>
                <w:r>
                  <w:rPr>
                    <w:rFonts w:ascii="Palatino Linotype" w:eastAsia="Calibri" w:hAnsi="Palatino Linotype" w:cs="Tahoma"/>
                    <w:sz w:val="22"/>
                    <w:szCs w:val="22"/>
                    <w:lang w:val="es-ES" w:eastAsia="en-US"/>
                  </w:rPr>
                  <w:t>XXXXX</w:t>
                </w:r>
                <w:proofErr w:type="spellEnd"/>
              </w:p>
            </w:tc>
          </w:tr>
          <w:tr w:rsidR="0026086D" w:rsidRPr="00330DA7" w14:paraId="0D59331F" w14:textId="77777777" w:rsidTr="0026086D">
            <w:trPr>
              <w:trHeight w:val="283"/>
            </w:trPr>
            <w:tc>
              <w:tcPr>
                <w:tcW w:w="2444" w:type="dxa"/>
                <w:shd w:val="clear" w:color="auto" w:fill="auto"/>
              </w:tcPr>
              <w:p w14:paraId="58F8551A" w14:textId="77777777" w:rsidR="0026086D" w:rsidRPr="00020E73" w:rsidRDefault="0026086D" w:rsidP="0026086D">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4218" w:type="dxa"/>
                <w:shd w:val="clear" w:color="auto" w:fill="auto"/>
              </w:tcPr>
              <w:p w14:paraId="49E5BB8F" w14:textId="4B4A54BF" w:rsidR="0026086D" w:rsidRPr="009E7B0A" w:rsidRDefault="002527E8" w:rsidP="0026086D">
                <w:pPr>
                  <w:tabs>
                    <w:tab w:val="left" w:pos="2834"/>
                    <w:tab w:val="right" w:pos="8838"/>
                  </w:tabs>
                  <w:ind w:left="-74" w:right="-105"/>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eastAsia="en-US"/>
                  </w:rPr>
                  <w:t>Ayuntamiento de Tultepec</w:t>
                </w:r>
              </w:p>
            </w:tc>
          </w:tr>
          <w:tr w:rsidR="0026086D" w:rsidRPr="00330DA7" w14:paraId="54AC1688" w14:textId="77777777" w:rsidTr="0026086D">
            <w:trPr>
              <w:trHeight w:val="283"/>
            </w:trPr>
            <w:tc>
              <w:tcPr>
                <w:tcW w:w="2444" w:type="dxa"/>
                <w:shd w:val="clear" w:color="auto" w:fill="auto"/>
              </w:tcPr>
              <w:p w14:paraId="320ADB65" w14:textId="77777777" w:rsidR="0026086D" w:rsidRPr="00020E73" w:rsidRDefault="0026086D" w:rsidP="0026086D">
                <w:pPr>
                  <w:tabs>
                    <w:tab w:val="right" w:pos="8838"/>
                  </w:tabs>
                  <w:ind w:left="-74" w:right="-105"/>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Comisionado ponente</w:t>
                </w:r>
                <w:r w:rsidRPr="00020E73">
                  <w:rPr>
                    <w:rFonts w:ascii="Palatino Linotype" w:eastAsia="Calibri" w:hAnsi="Palatino Linotype" w:cs="Tahoma"/>
                    <w:b/>
                    <w:sz w:val="22"/>
                    <w:szCs w:val="22"/>
                    <w:lang w:val="es-ES" w:eastAsia="en-US"/>
                  </w:rPr>
                  <w:t>:</w:t>
                </w:r>
              </w:p>
            </w:tc>
            <w:tc>
              <w:tcPr>
                <w:tcW w:w="4218" w:type="dxa"/>
                <w:shd w:val="clear" w:color="auto" w:fill="auto"/>
              </w:tcPr>
              <w:p w14:paraId="658F6ED5" w14:textId="44E1AB6C" w:rsidR="0026086D" w:rsidRPr="00020E73" w:rsidRDefault="00583DED" w:rsidP="0026086D">
                <w:pPr>
                  <w:tabs>
                    <w:tab w:val="right" w:pos="8838"/>
                  </w:tabs>
                  <w:ind w:left="-74" w:right="-105"/>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val="es-ES" w:eastAsia="en-US"/>
                  </w:rPr>
                  <w:t>María del Rosario Mejía Ayala</w:t>
                </w:r>
              </w:p>
              <w:p w14:paraId="4A9BC39C" w14:textId="77777777" w:rsidR="0026086D" w:rsidRPr="00020E73" w:rsidRDefault="0026086D" w:rsidP="0026086D">
                <w:pPr>
                  <w:tabs>
                    <w:tab w:val="right" w:pos="8838"/>
                  </w:tabs>
                  <w:ind w:left="-74" w:right="-105"/>
                  <w:jc w:val="both"/>
                  <w:rPr>
                    <w:rFonts w:ascii="Palatino Linotype" w:eastAsia="Calibri" w:hAnsi="Palatino Linotype" w:cs="Tahoma"/>
                    <w:b/>
                    <w:sz w:val="22"/>
                    <w:szCs w:val="22"/>
                    <w:lang w:val="es-ES" w:eastAsia="en-US"/>
                  </w:rPr>
                </w:pPr>
              </w:p>
            </w:tc>
          </w:tr>
        </w:tbl>
        <w:p w14:paraId="68E93798" w14:textId="77777777" w:rsidR="0026086D" w:rsidRPr="00330DA7" w:rsidRDefault="0026086D" w:rsidP="0026086D">
          <w:pPr>
            <w:tabs>
              <w:tab w:val="right" w:pos="8838"/>
            </w:tabs>
            <w:ind w:left="-28"/>
            <w:jc w:val="both"/>
            <w:rPr>
              <w:rFonts w:ascii="Arial" w:eastAsia="Calibri" w:hAnsi="Arial" w:cs="Arial"/>
              <w:b/>
              <w:sz w:val="22"/>
              <w:szCs w:val="22"/>
              <w:lang w:eastAsia="en-US"/>
            </w:rPr>
          </w:pPr>
        </w:p>
      </w:tc>
    </w:tr>
  </w:tbl>
  <w:p w14:paraId="5B29E8BE" w14:textId="77777777" w:rsidR="0026086D" w:rsidRPr="00827FA0" w:rsidRDefault="00B1412B" w:rsidP="0026086D">
    <w:pPr>
      <w:pStyle w:val="Encabezado"/>
      <w:rPr>
        <w:sz w:val="2"/>
        <w:szCs w:val="22"/>
      </w:rPr>
    </w:pPr>
    <w:r>
      <w:rPr>
        <w:noProof/>
        <w:sz w:val="2"/>
        <w:szCs w:val="22"/>
      </w:rPr>
      <w:pict w14:anchorId="36072F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2" o:spid="_x0000_s2051" type="#_x0000_t75" alt="" style="position:absolute;margin-left:-68.8pt;margin-top:-117.6pt;width:589.8pt;height:768pt;z-index:-251655168;mso-wrap-edited:f;mso-width-percent:0;mso-height-percent:0;mso-position-horizontal-relative:margin;mso-position-vertical-relative:margin;mso-width-percent:0;mso-height-percent:0" o:allowincell="f">
          <v:imagedata r:id="rId1" o:title="resolución infoem image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2A0624"/>
    <w:multiLevelType w:val="hybridMultilevel"/>
    <w:tmpl w:val="9D2E8E9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048F1FA9"/>
    <w:multiLevelType w:val="hybridMultilevel"/>
    <w:tmpl w:val="CAEA1478"/>
    <w:lvl w:ilvl="0" w:tplc="893E82A6">
      <w:start w:val="1"/>
      <w:numFmt w:val="lowerLetter"/>
      <w:lvlText w:val="%1)"/>
      <w:lvlJc w:val="left"/>
      <w:pPr>
        <w:ind w:left="720" w:hanging="360"/>
      </w:pPr>
      <w:rPr>
        <w:rFonts w:ascii="Palatino Linotype" w:eastAsiaTheme="minorHAnsi" w:hAnsi="Palatino Linotype" w:cstheme="minorBidi"/>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12161270"/>
    <w:multiLevelType w:val="hybridMultilevel"/>
    <w:tmpl w:val="E87A2706"/>
    <w:lvl w:ilvl="0" w:tplc="9AE83E36">
      <w:start w:val="1"/>
      <w:numFmt w:val="decimal"/>
      <w:lvlText w:val="%1."/>
      <w:lvlJc w:val="left"/>
      <w:pPr>
        <w:ind w:left="720" w:hanging="360"/>
      </w:pPr>
      <w:rPr>
        <w:rFonts w:eastAsia="Calibri" w:hint="default"/>
        <w:b/>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12945EC4"/>
    <w:multiLevelType w:val="multilevel"/>
    <w:tmpl w:val="89502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94762A3"/>
    <w:multiLevelType w:val="multilevel"/>
    <w:tmpl w:val="8D2C7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F856966"/>
    <w:multiLevelType w:val="hybridMultilevel"/>
    <w:tmpl w:val="8F0ADF54"/>
    <w:lvl w:ilvl="0" w:tplc="1BC82DE8">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2DC0610A"/>
    <w:multiLevelType w:val="hybridMultilevel"/>
    <w:tmpl w:val="C44AC4EC"/>
    <w:lvl w:ilvl="0" w:tplc="5B82041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3161204A"/>
    <w:multiLevelType w:val="multilevel"/>
    <w:tmpl w:val="D944A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4317490"/>
    <w:multiLevelType w:val="hybridMultilevel"/>
    <w:tmpl w:val="744E3D24"/>
    <w:lvl w:ilvl="0" w:tplc="F4F4E21C">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35D44ADA"/>
    <w:multiLevelType w:val="hybridMultilevel"/>
    <w:tmpl w:val="484CEC70"/>
    <w:lvl w:ilvl="0" w:tplc="494A33C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39F76562"/>
    <w:multiLevelType w:val="hybridMultilevel"/>
    <w:tmpl w:val="8B62CE2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453307AB"/>
    <w:multiLevelType w:val="hybridMultilevel"/>
    <w:tmpl w:val="D96A4F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46671D71"/>
    <w:multiLevelType w:val="hybridMultilevel"/>
    <w:tmpl w:val="CE8AFD78"/>
    <w:lvl w:ilvl="0" w:tplc="CE6A37BE">
      <w:start w:val="5"/>
      <w:numFmt w:val="bullet"/>
      <w:lvlText w:val="-"/>
      <w:lvlJc w:val="left"/>
      <w:pPr>
        <w:ind w:left="1080" w:hanging="360"/>
      </w:pPr>
      <w:rPr>
        <w:rFonts w:ascii="Palatino Linotype" w:eastAsia="Calibri" w:hAnsi="Palatino Linotype" w:cs="Tahoma"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3">
    <w:nsid w:val="48AA5D73"/>
    <w:multiLevelType w:val="hybridMultilevel"/>
    <w:tmpl w:val="BE540E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4D8C342F"/>
    <w:multiLevelType w:val="hybridMultilevel"/>
    <w:tmpl w:val="6972D054"/>
    <w:lvl w:ilvl="0" w:tplc="080A000B">
      <w:start w:val="1"/>
      <w:numFmt w:val="bullet"/>
      <w:lvlText w:val=""/>
      <w:lvlJc w:val="left"/>
      <w:pPr>
        <w:ind w:left="720" w:hanging="360"/>
      </w:pPr>
      <w:rPr>
        <w:rFonts w:ascii="Wingdings" w:hAnsi="Wingdings" w:hint="default"/>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5">
    <w:nsid w:val="4E707071"/>
    <w:multiLevelType w:val="hybridMultilevel"/>
    <w:tmpl w:val="CAEA1478"/>
    <w:lvl w:ilvl="0" w:tplc="893E82A6">
      <w:start w:val="1"/>
      <w:numFmt w:val="lowerLetter"/>
      <w:lvlText w:val="%1)"/>
      <w:lvlJc w:val="left"/>
      <w:pPr>
        <w:ind w:left="720" w:hanging="360"/>
      </w:pPr>
      <w:rPr>
        <w:rFonts w:ascii="Palatino Linotype" w:eastAsiaTheme="minorHAnsi" w:hAnsi="Palatino Linotype" w:cstheme="minorBidi"/>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51612CBD"/>
    <w:multiLevelType w:val="hybridMultilevel"/>
    <w:tmpl w:val="F5E2801A"/>
    <w:lvl w:ilvl="0" w:tplc="0C0A0001">
      <w:start w:val="1"/>
      <w:numFmt w:val="bullet"/>
      <w:lvlText w:val=""/>
      <w:lvlJc w:val="left"/>
      <w:pPr>
        <w:ind w:left="781" w:hanging="360"/>
      </w:pPr>
      <w:rPr>
        <w:rFonts w:ascii="Symbol" w:hAnsi="Symbol" w:hint="default"/>
      </w:rPr>
    </w:lvl>
    <w:lvl w:ilvl="1" w:tplc="0C0A0003" w:tentative="1">
      <w:start w:val="1"/>
      <w:numFmt w:val="bullet"/>
      <w:lvlText w:val="o"/>
      <w:lvlJc w:val="left"/>
      <w:pPr>
        <w:ind w:left="1501" w:hanging="360"/>
      </w:pPr>
      <w:rPr>
        <w:rFonts w:ascii="Courier New" w:hAnsi="Courier New" w:cs="Courier New" w:hint="default"/>
      </w:rPr>
    </w:lvl>
    <w:lvl w:ilvl="2" w:tplc="0C0A0005" w:tentative="1">
      <w:start w:val="1"/>
      <w:numFmt w:val="bullet"/>
      <w:lvlText w:val=""/>
      <w:lvlJc w:val="left"/>
      <w:pPr>
        <w:ind w:left="2221" w:hanging="360"/>
      </w:pPr>
      <w:rPr>
        <w:rFonts w:ascii="Wingdings" w:hAnsi="Wingdings" w:hint="default"/>
      </w:rPr>
    </w:lvl>
    <w:lvl w:ilvl="3" w:tplc="0C0A0001" w:tentative="1">
      <w:start w:val="1"/>
      <w:numFmt w:val="bullet"/>
      <w:lvlText w:val=""/>
      <w:lvlJc w:val="left"/>
      <w:pPr>
        <w:ind w:left="2941" w:hanging="360"/>
      </w:pPr>
      <w:rPr>
        <w:rFonts w:ascii="Symbol" w:hAnsi="Symbol" w:hint="default"/>
      </w:rPr>
    </w:lvl>
    <w:lvl w:ilvl="4" w:tplc="0C0A0003" w:tentative="1">
      <w:start w:val="1"/>
      <w:numFmt w:val="bullet"/>
      <w:lvlText w:val="o"/>
      <w:lvlJc w:val="left"/>
      <w:pPr>
        <w:ind w:left="3661" w:hanging="360"/>
      </w:pPr>
      <w:rPr>
        <w:rFonts w:ascii="Courier New" w:hAnsi="Courier New" w:cs="Courier New" w:hint="default"/>
      </w:rPr>
    </w:lvl>
    <w:lvl w:ilvl="5" w:tplc="0C0A0005" w:tentative="1">
      <w:start w:val="1"/>
      <w:numFmt w:val="bullet"/>
      <w:lvlText w:val=""/>
      <w:lvlJc w:val="left"/>
      <w:pPr>
        <w:ind w:left="4381" w:hanging="360"/>
      </w:pPr>
      <w:rPr>
        <w:rFonts w:ascii="Wingdings" w:hAnsi="Wingdings" w:hint="default"/>
      </w:rPr>
    </w:lvl>
    <w:lvl w:ilvl="6" w:tplc="0C0A0001" w:tentative="1">
      <w:start w:val="1"/>
      <w:numFmt w:val="bullet"/>
      <w:lvlText w:val=""/>
      <w:lvlJc w:val="left"/>
      <w:pPr>
        <w:ind w:left="5101" w:hanging="360"/>
      </w:pPr>
      <w:rPr>
        <w:rFonts w:ascii="Symbol" w:hAnsi="Symbol" w:hint="default"/>
      </w:rPr>
    </w:lvl>
    <w:lvl w:ilvl="7" w:tplc="0C0A0003" w:tentative="1">
      <w:start w:val="1"/>
      <w:numFmt w:val="bullet"/>
      <w:lvlText w:val="o"/>
      <w:lvlJc w:val="left"/>
      <w:pPr>
        <w:ind w:left="5821" w:hanging="360"/>
      </w:pPr>
      <w:rPr>
        <w:rFonts w:ascii="Courier New" w:hAnsi="Courier New" w:cs="Courier New" w:hint="default"/>
      </w:rPr>
    </w:lvl>
    <w:lvl w:ilvl="8" w:tplc="0C0A0005" w:tentative="1">
      <w:start w:val="1"/>
      <w:numFmt w:val="bullet"/>
      <w:lvlText w:val=""/>
      <w:lvlJc w:val="left"/>
      <w:pPr>
        <w:ind w:left="6541" w:hanging="360"/>
      </w:pPr>
      <w:rPr>
        <w:rFonts w:ascii="Wingdings" w:hAnsi="Wingdings" w:hint="default"/>
      </w:rPr>
    </w:lvl>
  </w:abstractNum>
  <w:abstractNum w:abstractNumId="17">
    <w:nsid w:val="602B190D"/>
    <w:multiLevelType w:val="hybridMultilevel"/>
    <w:tmpl w:val="D6B690CA"/>
    <w:lvl w:ilvl="0" w:tplc="3EF48730">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8">
    <w:nsid w:val="746F0785"/>
    <w:multiLevelType w:val="hybridMultilevel"/>
    <w:tmpl w:val="28302D04"/>
    <w:lvl w:ilvl="0" w:tplc="F01C2C6A">
      <w:start w:val="8"/>
      <w:numFmt w:val="bullet"/>
      <w:lvlText w:val="-"/>
      <w:lvlJc w:val="left"/>
      <w:pPr>
        <w:ind w:left="720" w:hanging="360"/>
      </w:pPr>
      <w:rPr>
        <w:rFonts w:ascii="Palatino Linotype" w:eastAsia="Calibri"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11"/>
  </w:num>
  <w:num w:numId="4">
    <w:abstractNumId w:val="10"/>
  </w:num>
  <w:num w:numId="5">
    <w:abstractNumId w:val="18"/>
  </w:num>
  <w:num w:numId="6">
    <w:abstractNumId w:val="12"/>
  </w:num>
  <w:num w:numId="7">
    <w:abstractNumId w:val="15"/>
  </w:num>
  <w:num w:numId="8">
    <w:abstractNumId w:val="1"/>
  </w:num>
  <w:num w:numId="9">
    <w:abstractNumId w:val="13"/>
  </w:num>
  <w:num w:numId="10">
    <w:abstractNumId w:val="7"/>
  </w:num>
  <w:num w:numId="11">
    <w:abstractNumId w:val="17"/>
  </w:num>
  <w:num w:numId="12">
    <w:abstractNumId w:val="0"/>
  </w:num>
  <w:num w:numId="13">
    <w:abstractNumId w:val="2"/>
  </w:num>
  <w:num w:numId="14">
    <w:abstractNumId w:val="16"/>
  </w:num>
  <w:num w:numId="15">
    <w:abstractNumId w:val="4"/>
  </w:num>
  <w:num w:numId="16">
    <w:abstractNumId w:val="3"/>
  </w:num>
  <w:num w:numId="17">
    <w:abstractNumId w:val="14"/>
  </w:num>
  <w:num w:numId="18">
    <w:abstractNumId w:val="9"/>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7401"/>
    <w:rsid w:val="000739C5"/>
    <w:rsid w:val="00095BD0"/>
    <w:rsid w:val="000C3A3D"/>
    <w:rsid w:val="00180811"/>
    <w:rsid w:val="0018087B"/>
    <w:rsid w:val="00197CDB"/>
    <w:rsid w:val="001A5D60"/>
    <w:rsid w:val="001A65AC"/>
    <w:rsid w:val="001C2D6B"/>
    <w:rsid w:val="001C341C"/>
    <w:rsid w:val="0024149B"/>
    <w:rsid w:val="002527E8"/>
    <w:rsid w:val="0026086D"/>
    <w:rsid w:val="00270103"/>
    <w:rsid w:val="002D6639"/>
    <w:rsid w:val="003236FD"/>
    <w:rsid w:val="00395986"/>
    <w:rsid w:val="003B0D34"/>
    <w:rsid w:val="003C7E9E"/>
    <w:rsid w:val="003D0614"/>
    <w:rsid w:val="003E2441"/>
    <w:rsid w:val="00427401"/>
    <w:rsid w:val="00431D95"/>
    <w:rsid w:val="00442E68"/>
    <w:rsid w:val="00445E98"/>
    <w:rsid w:val="00462FB5"/>
    <w:rsid w:val="004703E3"/>
    <w:rsid w:val="00470B46"/>
    <w:rsid w:val="004856EF"/>
    <w:rsid w:val="00496A20"/>
    <w:rsid w:val="004C0D4E"/>
    <w:rsid w:val="004C365C"/>
    <w:rsid w:val="004C62B6"/>
    <w:rsid w:val="004E228C"/>
    <w:rsid w:val="00524F17"/>
    <w:rsid w:val="0053267B"/>
    <w:rsid w:val="00550466"/>
    <w:rsid w:val="0056424E"/>
    <w:rsid w:val="00572C0E"/>
    <w:rsid w:val="00583DED"/>
    <w:rsid w:val="005A6DD1"/>
    <w:rsid w:val="005C54D8"/>
    <w:rsid w:val="005D22A1"/>
    <w:rsid w:val="005F7806"/>
    <w:rsid w:val="00685D3C"/>
    <w:rsid w:val="006A7409"/>
    <w:rsid w:val="006C27A6"/>
    <w:rsid w:val="0073428B"/>
    <w:rsid w:val="0074173A"/>
    <w:rsid w:val="007457FE"/>
    <w:rsid w:val="00750EEF"/>
    <w:rsid w:val="007B0E3A"/>
    <w:rsid w:val="00812DFE"/>
    <w:rsid w:val="00841C4B"/>
    <w:rsid w:val="00873265"/>
    <w:rsid w:val="0088389B"/>
    <w:rsid w:val="0088408F"/>
    <w:rsid w:val="008A4851"/>
    <w:rsid w:val="008B5659"/>
    <w:rsid w:val="008C07DD"/>
    <w:rsid w:val="008D19BD"/>
    <w:rsid w:val="008D1BFB"/>
    <w:rsid w:val="00906281"/>
    <w:rsid w:val="0092793A"/>
    <w:rsid w:val="009328D0"/>
    <w:rsid w:val="009340FE"/>
    <w:rsid w:val="009434C4"/>
    <w:rsid w:val="00943C60"/>
    <w:rsid w:val="00970156"/>
    <w:rsid w:val="0097162E"/>
    <w:rsid w:val="009B247B"/>
    <w:rsid w:val="009E44AF"/>
    <w:rsid w:val="009F4D14"/>
    <w:rsid w:val="009F5495"/>
    <w:rsid w:val="00A03C61"/>
    <w:rsid w:val="00A318CF"/>
    <w:rsid w:val="00A347CC"/>
    <w:rsid w:val="00A7401C"/>
    <w:rsid w:val="00AA333B"/>
    <w:rsid w:val="00AB253A"/>
    <w:rsid w:val="00AE4164"/>
    <w:rsid w:val="00B10FDF"/>
    <w:rsid w:val="00B1412B"/>
    <w:rsid w:val="00B70044"/>
    <w:rsid w:val="00B80E39"/>
    <w:rsid w:val="00B82209"/>
    <w:rsid w:val="00B91B4F"/>
    <w:rsid w:val="00BB4523"/>
    <w:rsid w:val="00BB667F"/>
    <w:rsid w:val="00C005AF"/>
    <w:rsid w:val="00C007A1"/>
    <w:rsid w:val="00C028A2"/>
    <w:rsid w:val="00C07594"/>
    <w:rsid w:val="00C10B1A"/>
    <w:rsid w:val="00C11FF8"/>
    <w:rsid w:val="00C61B6B"/>
    <w:rsid w:val="00C71BFD"/>
    <w:rsid w:val="00C83CA5"/>
    <w:rsid w:val="00C90D9C"/>
    <w:rsid w:val="00CA2D70"/>
    <w:rsid w:val="00CB36F0"/>
    <w:rsid w:val="00D42CC7"/>
    <w:rsid w:val="00D662F4"/>
    <w:rsid w:val="00D75AFC"/>
    <w:rsid w:val="00D86E0A"/>
    <w:rsid w:val="00DA0566"/>
    <w:rsid w:val="00DB1841"/>
    <w:rsid w:val="00DE6A5F"/>
    <w:rsid w:val="00E1093A"/>
    <w:rsid w:val="00E73CA6"/>
    <w:rsid w:val="00E91C1F"/>
    <w:rsid w:val="00E95235"/>
    <w:rsid w:val="00EA225D"/>
    <w:rsid w:val="00EA4F69"/>
    <w:rsid w:val="00F469B6"/>
    <w:rsid w:val="00F550C8"/>
    <w:rsid w:val="00F55ACC"/>
    <w:rsid w:val="00F71AF5"/>
    <w:rsid w:val="00FA7182"/>
    <w:rsid w:val="00FF19A0"/>
    <w:rsid w:val="00FF65F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44820F0"/>
  <w15:chartTrackingRefBased/>
  <w15:docId w15:val="{67A90EA0-F58E-4BD1-B8D5-46B73AB4F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7401"/>
    <w:pPr>
      <w:spacing w:after="0" w:line="240" w:lineRule="auto"/>
    </w:pPr>
    <w:rPr>
      <w:rFonts w:ascii="Times New Roman" w:eastAsia="Times New Roman" w:hAnsi="Times New Roman" w:cs="Times New Roman"/>
      <w:sz w:val="24"/>
      <w:szCs w:val="24"/>
      <w:lang w:eastAsia="es-MX"/>
    </w:rPr>
  </w:style>
  <w:style w:type="paragraph" w:styleId="Ttulo1">
    <w:name w:val="heading 1"/>
    <w:basedOn w:val="Normal"/>
    <w:next w:val="Normal"/>
    <w:link w:val="Ttulo1Car"/>
    <w:uiPriority w:val="9"/>
    <w:qFormat/>
    <w:rsid w:val="00427401"/>
    <w:pPr>
      <w:keepNext/>
      <w:keepLines/>
      <w:spacing w:before="240"/>
      <w:outlineLvl w:val="0"/>
    </w:pPr>
    <w:rPr>
      <w:rFonts w:ascii="Calibri Light" w:hAnsi="Calibri Light"/>
      <w:color w:val="2F5496"/>
      <w:sz w:val="32"/>
      <w:szCs w:val="32"/>
    </w:rPr>
  </w:style>
  <w:style w:type="paragraph" w:styleId="Ttulo2">
    <w:name w:val="heading 2"/>
    <w:basedOn w:val="Normal"/>
    <w:next w:val="Normal"/>
    <w:link w:val="Ttulo2Car"/>
    <w:uiPriority w:val="9"/>
    <w:semiHidden/>
    <w:unhideWhenUsed/>
    <w:qFormat/>
    <w:rsid w:val="00A03C61"/>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27401"/>
    <w:rPr>
      <w:rFonts w:ascii="Calibri Light" w:eastAsia="Times New Roman" w:hAnsi="Calibri Light" w:cs="Times New Roman"/>
      <w:color w:val="2F5496"/>
      <w:sz w:val="32"/>
      <w:szCs w:val="32"/>
      <w:lang w:eastAsia="es-MX"/>
    </w:rPr>
  </w:style>
  <w:style w:type="paragraph" w:styleId="Encabezado">
    <w:name w:val="header"/>
    <w:basedOn w:val="Normal"/>
    <w:link w:val="EncabezadoCar"/>
    <w:uiPriority w:val="99"/>
    <w:unhideWhenUsed/>
    <w:rsid w:val="00427401"/>
    <w:pPr>
      <w:tabs>
        <w:tab w:val="center" w:pos="4419"/>
        <w:tab w:val="right" w:pos="8838"/>
      </w:tabs>
    </w:pPr>
  </w:style>
  <w:style w:type="character" w:customStyle="1" w:styleId="EncabezadoCar">
    <w:name w:val="Encabezado Car"/>
    <w:basedOn w:val="Fuentedeprrafopredeter"/>
    <w:link w:val="Encabezado"/>
    <w:uiPriority w:val="99"/>
    <w:rsid w:val="00427401"/>
    <w:rPr>
      <w:rFonts w:ascii="Times New Roman" w:eastAsia="Times New Roman" w:hAnsi="Times New Roman" w:cs="Times New Roman"/>
      <w:sz w:val="24"/>
      <w:szCs w:val="24"/>
      <w:lang w:eastAsia="es-MX"/>
    </w:rPr>
  </w:style>
  <w:style w:type="paragraph" w:styleId="Piedepgina">
    <w:name w:val="footer"/>
    <w:basedOn w:val="Normal"/>
    <w:link w:val="PiedepginaCar"/>
    <w:uiPriority w:val="99"/>
    <w:unhideWhenUsed/>
    <w:rsid w:val="00427401"/>
    <w:pPr>
      <w:tabs>
        <w:tab w:val="center" w:pos="4419"/>
        <w:tab w:val="right" w:pos="8838"/>
      </w:tabs>
    </w:pPr>
  </w:style>
  <w:style w:type="character" w:customStyle="1" w:styleId="PiedepginaCar">
    <w:name w:val="Pie de página Car"/>
    <w:basedOn w:val="Fuentedeprrafopredeter"/>
    <w:link w:val="Piedepgina"/>
    <w:uiPriority w:val="99"/>
    <w:rsid w:val="00427401"/>
    <w:rPr>
      <w:rFonts w:ascii="Times New Roman" w:eastAsia="Times New Roman" w:hAnsi="Times New Roman" w:cs="Times New Roman"/>
      <w:sz w:val="24"/>
      <w:szCs w:val="24"/>
      <w:lang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427401"/>
    <w:pPr>
      <w:ind w:left="720"/>
      <w:contextualSpacing/>
    </w:pPr>
    <w:rPr>
      <w:rFonts w:ascii="Century Gothic" w:hAnsi="Century Gothic"/>
      <w:sz w:val="2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427401"/>
    <w:rPr>
      <w:rFonts w:ascii="Century Gothic" w:eastAsia="Times New Roman" w:hAnsi="Century Gothic" w:cs="Times New Roman"/>
      <w:szCs w:val="24"/>
      <w:lang w:eastAsia="es-MX"/>
    </w:rPr>
  </w:style>
  <w:style w:type="character" w:styleId="Hipervnculo">
    <w:name w:val="Hyperlink"/>
    <w:aliases w:val="Hipervínculo1,Hipervínculo11,Hipervínculo12,Hipervínculo13,Hipervínculo14,Hipervínculo15"/>
    <w:uiPriority w:val="99"/>
    <w:unhideWhenUsed/>
    <w:rsid w:val="00427401"/>
    <w:rPr>
      <w:color w:val="0563C1"/>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uiPriority w:val="99"/>
    <w:unhideWhenUsed/>
    <w:qFormat/>
    <w:rsid w:val="00427401"/>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427401"/>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427401"/>
    <w:rPr>
      <w:rFonts w:ascii="Calibri" w:eastAsia="Calibri" w:hAnsi="Calibri" w:cs="Times New Roman"/>
      <w:sz w:val="24"/>
      <w:szCs w:val="24"/>
    </w:rPr>
  </w:style>
  <w:style w:type="paragraph" w:styleId="TDC1">
    <w:name w:val="toc 1"/>
    <w:basedOn w:val="Normal"/>
    <w:next w:val="Normal"/>
    <w:autoRedefine/>
    <w:uiPriority w:val="39"/>
    <w:unhideWhenUsed/>
    <w:rsid w:val="00427401"/>
    <w:pPr>
      <w:spacing w:after="100" w:line="259" w:lineRule="auto"/>
    </w:pPr>
    <w:rPr>
      <w:rFonts w:asciiTheme="minorHAnsi" w:eastAsiaTheme="minorHAnsi" w:hAnsiTheme="minorHAnsi" w:cstheme="minorBidi"/>
      <w:sz w:val="22"/>
      <w:szCs w:val="22"/>
      <w:lang w:eastAsia="en-US"/>
    </w:rPr>
  </w:style>
  <w:style w:type="paragraph" w:styleId="TDC2">
    <w:name w:val="toc 2"/>
    <w:basedOn w:val="Normal"/>
    <w:next w:val="Normal"/>
    <w:autoRedefine/>
    <w:uiPriority w:val="39"/>
    <w:unhideWhenUsed/>
    <w:rsid w:val="00427401"/>
    <w:pPr>
      <w:tabs>
        <w:tab w:val="right" w:leader="dot" w:pos="8637"/>
      </w:tabs>
      <w:spacing w:line="480" w:lineRule="auto"/>
    </w:pPr>
    <w:rPr>
      <w:rFonts w:asciiTheme="minorHAnsi" w:eastAsiaTheme="minorHAnsi" w:hAnsiTheme="minorHAnsi" w:cstheme="minorBidi"/>
      <w:sz w:val="22"/>
      <w:szCs w:val="22"/>
      <w:lang w:eastAsia="en-US"/>
    </w:rPr>
  </w:style>
  <w:style w:type="paragraph" w:customStyle="1" w:styleId="Default">
    <w:name w:val="Default"/>
    <w:rsid w:val="00427401"/>
    <w:pPr>
      <w:autoSpaceDE w:val="0"/>
      <w:autoSpaceDN w:val="0"/>
      <w:adjustRightInd w:val="0"/>
      <w:spacing w:after="0" w:line="240" w:lineRule="auto"/>
    </w:pPr>
    <w:rPr>
      <w:rFonts w:ascii="Arial" w:hAnsi="Arial" w:cs="Arial"/>
      <w:color w:val="000000"/>
      <w:sz w:val="24"/>
      <w:szCs w:val="24"/>
    </w:rPr>
  </w:style>
  <w:style w:type="character" w:customStyle="1" w:styleId="Ttulo2Car">
    <w:name w:val="Título 2 Car"/>
    <w:basedOn w:val="Fuentedeprrafopredeter"/>
    <w:link w:val="Ttulo2"/>
    <w:uiPriority w:val="9"/>
    <w:rsid w:val="00A03C61"/>
    <w:rPr>
      <w:rFonts w:asciiTheme="majorHAnsi" w:eastAsiaTheme="majorEastAsia" w:hAnsiTheme="majorHAnsi" w:cstheme="majorBidi"/>
      <w:color w:val="2E74B5" w:themeColor="accent1" w:themeShade="BF"/>
      <w:sz w:val="26"/>
      <w:szCs w:val="26"/>
      <w:lang w:eastAsia="es-MX"/>
    </w:rPr>
  </w:style>
  <w:style w:type="table" w:styleId="Tabladecuadrcula6concolores">
    <w:name w:val="Grid Table 6 Colorful"/>
    <w:basedOn w:val="Tablanormal"/>
    <w:uiPriority w:val="51"/>
    <w:rsid w:val="00A03C61"/>
    <w:pPr>
      <w:spacing w:after="0" w:line="240" w:lineRule="auto"/>
    </w:pPr>
    <w:rPr>
      <w:color w:val="000000" w:themeColor="text1"/>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9199259">
      <w:bodyDiv w:val="1"/>
      <w:marLeft w:val="0"/>
      <w:marRight w:val="0"/>
      <w:marTop w:val="0"/>
      <w:marBottom w:val="0"/>
      <w:divBdr>
        <w:top w:val="none" w:sz="0" w:space="0" w:color="auto"/>
        <w:left w:val="none" w:sz="0" w:space="0" w:color="auto"/>
        <w:bottom w:val="none" w:sz="0" w:space="0" w:color="auto"/>
        <w:right w:val="none" w:sz="0" w:space="0" w:color="auto"/>
      </w:divBdr>
    </w:div>
    <w:div w:id="324822128">
      <w:bodyDiv w:val="1"/>
      <w:marLeft w:val="0"/>
      <w:marRight w:val="0"/>
      <w:marTop w:val="0"/>
      <w:marBottom w:val="0"/>
      <w:divBdr>
        <w:top w:val="none" w:sz="0" w:space="0" w:color="auto"/>
        <w:left w:val="none" w:sz="0" w:space="0" w:color="auto"/>
        <w:bottom w:val="none" w:sz="0" w:space="0" w:color="auto"/>
        <w:right w:val="none" w:sz="0" w:space="0" w:color="auto"/>
      </w:divBdr>
    </w:div>
    <w:div w:id="1147742387">
      <w:bodyDiv w:val="1"/>
      <w:marLeft w:val="0"/>
      <w:marRight w:val="0"/>
      <w:marTop w:val="0"/>
      <w:marBottom w:val="0"/>
      <w:divBdr>
        <w:top w:val="none" w:sz="0" w:space="0" w:color="auto"/>
        <w:left w:val="none" w:sz="0" w:space="0" w:color="auto"/>
        <w:bottom w:val="none" w:sz="0" w:space="0" w:color="auto"/>
        <w:right w:val="none" w:sz="0" w:space="0" w:color="auto"/>
      </w:divBdr>
    </w:div>
    <w:div w:id="1223371455">
      <w:bodyDiv w:val="1"/>
      <w:marLeft w:val="0"/>
      <w:marRight w:val="0"/>
      <w:marTop w:val="0"/>
      <w:marBottom w:val="0"/>
      <w:divBdr>
        <w:top w:val="none" w:sz="0" w:space="0" w:color="auto"/>
        <w:left w:val="none" w:sz="0" w:space="0" w:color="auto"/>
        <w:bottom w:val="none" w:sz="0" w:space="0" w:color="auto"/>
        <w:right w:val="none" w:sz="0" w:space="0" w:color="auto"/>
      </w:divBdr>
    </w:div>
    <w:div w:id="1587693844">
      <w:bodyDiv w:val="1"/>
      <w:marLeft w:val="0"/>
      <w:marRight w:val="0"/>
      <w:marTop w:val="0"/>
      <w:marBottom w:val="0"/>
      <w:divBdr>
        <w:top w:val="none" w:sz="0" w:space="0" w:color="auto"/>
        <w:left w:val="none" w:sz="0" w:space="0" w:color="auto"/>
        <w:bottom w:val="none" w:sz="0" w:space="0" w:color="auto"/>
        <w:right w:val="none" w:sz="0" w:space="0" w:color="auto"/>
      </w:divBdr>
    </w:div>
    <w:div w:id="1796481153">
      <w:bodyDiv w:val="1"/>
      <w:marLeft w:val="0"/>
      <w:marRight w:val="0"/>
      <w:marTop w:val="0"/>
      <w:marBottom w:val="0"/>
      <w:divBdr>
        <w:top w:val="none" w:sz="0" w:space="0" w:color="auto"/>
        <w:left w:val="none" w:sz="0" w:space="0" w:color="auto"/>
        <w:bottom w:val="none" w:sz="0" w:space="0" w:color="auto"/>
        <w:right w:val="none" w:sz="0" w:space="0" w:color="auto"/>
      </w:divBdr>
    </w:div>
    <w:div w:id="2018192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pomex.org.mx/tipo3/lgt/&#237;ndice/TULTEPEC.web" TargetMode="Externa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aimex.org.mx/saimex/solicitud/downloadAttach/1505570.page" TargetMode="External"/><Relationship Id="rId12" Type="http://schemas.openxmlformats.org/officeDocument/2006/relationships/hyperlink" Target="https://www.ipomex.org.mx/tipo3/lgt/&#237;ndice/TULTEPEC.web"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pomex.org.mx/tipo3/lgt/&#237;ndice/TULTEPEC.web"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saimex.org.mx/saimex/solicitud/downloadAttach/1526794.page"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saimex.org.mx/saimex/solicitud/downloadAttach/1526793.page"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192</TotalTime>
  <Pages>32</Pages>
  <Words>7270</Words>
  <Characters>39986</Characters>
  <Application>Microsoft Office Word</Application>
  <DocSecurity>0</DocSecurity>
  <Lines>333</Lines>
  <Paragraphs>94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47162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Usuario</cp:lastModifiedBy>
  <cp:revision>11</cp:revision>
  <dcterms:created xsi:type="dcterms:W3CDTF">2022-09-28T21:23:00Z</dcterms:created>
  <dcterms:modified xsi:type="dcterms:W3CDTF">2022-11-04T00:02:00Z</dcterms:modified>
</cp:coreProperties>
</file>