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siete de septiembre de dos mil veintidós</w:t>
      </w:r>
      <w:r>
        <w:rPr>
          <w:rFonts w:ascii="Palatino Linotype" w:eastAsia="Palatino Linotype" w:hAnsi="Palatino Linotype" w:cs="Palatino Linotype"/>
        </w:rPr>
        <w:t xml:space="preserve">. </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06754/INFOEM/IP/RR/2022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un particular de manera anónima,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como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Tianguistenco,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6E1E11" w:rsidRDefault="00BE0A01">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nueve de marzo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00059/TIANGUIS/IP/2022, </w:t>
      </w:r>
      <w:r>
        <w:rPr>
          <w:rFonts w:ascii="Palatino Linotype" w:eastAsia="Palatino Linotype" w:hAnsi="Palatino Linotype" w:cs="Palatino Linotype"/>
        </w:rPr>
        <w:t xml:space="preserve">mediante la cual requirió la información siguiente: </w:t>
      </w:r>
    </w:p>
    <w:p w:rsidR="006E1E11" w:rsidRDefault="00BE0A01">
      <w:pPr>
        <w:spacing w:before="240" w:after="240" w:line="276" w:lineRule="auto"/>
        <w:ind w:left="567" w:right="900"/>
        <w:jc w:val="both"/>
        <w:rPr>
          <w:rFonts w:ascii="Palatino Linotype" w:eastAsia="Palatino Linotype" w:hAnsi="Palatino Linotype" w:cs="Palatino Linotype"/>
          <w:b/>
          <w:i/>
          <w:sz w:val="22"/>
          <w:szCs w:val="22"/>
        </w:rPr>
      </w:pPr>
      <w:bookmarkStart w:id="0" w:name="_heading=h.gjdgxs" w:colFirst="0" w:colLast="0"/>
      <w:bookmarkEnd w:id="0"/>
      <w:r>
        <w:rPr>
          <w:rFonts w:ascii="Palatino Linotype" w:eastAsia="Palatino Linotype" w:hAnsi="Palatino Linotype" w:cs="Palatino Linotype"/>
          <w:i/>
          <w:sz w:val="22"/>
          <w:szCs w:val="22"/>
        </w:rPr>
        <w:t xml:space="preserve">“solicito </w:t>
      </w:r>
      <w:r>
        <w:rPr>
          <w:rFonts w:ascii="Palatino Linotype" w:eastAsia="Palatino Linotype" w:hAnsi="Palatino Linotype" w:cs="Palatino Linotype"/>
          <w:b/>
          <w:i/>
          <w:sz w:val="22"/>
          <w:szCs w:val="22"/>
        </w:rPr>
        <w:t>los permisos, autorizaciones de todas las áreas involucradas para dar la licencia de funcionamiento de los centros cheleros, (protección civil, salud, gobernación, desarrollo económico, desarrollo urbano,), específicamente del centro chelero ubicado en el paraje denominado la playita, en santiago tilapa, mpio de tinguistenco.</w:t>
      </w:r>
      <w:r>
        <w:rPr>
          <w:rFonts w:ascii="Palatino Linotype" w:eastAsia="Palatino Linotype" w:hAnsi="Palatino Linotype" w:cs="Palatino Linotype"/>
          <w:i/>
          <w:sz w:val="22"/>
          <w:szCs w:val="22"/>
        </w:rPr>
        <w:t xml:space="preserve"> ya que el presidente municipal no esta haciendo su trabajo, y esta permitiendo que funcionen centros cheleros sin permisos, y lo peor aun es, que se le vende bebidas alcohólicas a menores de edad.” (Sic) (Énfasis añadido)</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Solicitud de aclaración.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quince de marzo de dos mil veintidós, </w:t>
      </w:r>
      <w:r>
        <w:rPr>
          <w:rFonts w:ascii="Palatino Linotype" w:eastAsia="Palatino Linotype" w:hAnsi="Palatino Linotype" w:cs="Palatino Linotype"/>
        </w:rPr>
        <w:t>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 xml:space="preserve">notificó al particular un requerimiento de aclaración parcial, en los siguientes términos: </w:t>
      </w:r>
    </w:p>
    <w:p w:rsidR="006E1E11" w:rsidRDefault="00BE0A01">
      <w:pPr>
        <w:spacing w:before="240" w:after="240"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“Con fundamento en el articulo 159 de la Ley de Transparencia y Acceso a la Información Pública del Estado de México y Municipios, se le requiere para que dentro del plazo de diez días hábiles realice lo siguiente:</w:t>
      </w:r>
    </w:p>
    <w:p w:rsidR="006E1E11" w:rsidRDefault="00BE0A01">
      <w:pPr>
        <w:spacing w:before="240" w:after="240" w:line="276" w:lineRule="auto"/>
        <w:ind w:left="567" w:right="900"/>
        <w:jc w:val="both"/>
        <w:rPr>
          <w:rFonts w:ascii="Palatino Linotype" w:eastAsia="Palatino Linotype" w:hAnsi="Palatino Linotype" w:cs="Palatino Linotype"/>
          <w:b/>
          <w:i/>
        </w:rPr>
      </w:pPr>
      <w:r>
        <w:rPr>
          <w:rFonts w:ascii="Palatino Linotype" w:eastAsia="Palatino Linotype" w:hAnsi="Palatino Linotype" w:cs="Palatino Linotype"/>
          <w:i/>
        </w:rPr>
        <w:t xml:space="preserve">CON LO ESTABLECIDO EN EL ARTÍCULO 159 DE LA LEY DE TRANSPARENCIA Y ACCESO A LA INFORMACIÓN PÚBLICA DEL ESTADO DE MÉXICO Y MUNICIPIOS. QUE A LA LETRA DICE: 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w:t>
      </w:r>
      <w:r>
        <w:rPr>
          <w:rFonts w:ascii="Palatino Linotype" w:eastAsia="Palatino Linotype" w:hAnsi="Palatino Linotype" w:cs="Palatino Linotype"/>
          <w:b/>
          <w:i/>
        </w:rPr>
        <w:t>POR LO ANTES EXPUESTO SOLICITO ME PUEDA ACLARAR LA INFORMACIÓN QUE REFIERE AL PUNTO EN DONDE DICE: YA QUE EL PRESIDENTE MUNICIPAL NO ESTA HACIENDO SU TRABAJO, ASÍ COMO , QUE SE LE VENDE BEBIDAS ALCOHÓLICAS A MENORES DE EDAD.</w:t>
      </w:r>
    </w:p>
    <w:p w:rsidR="006E1E11" w:rsidRDefault="00BE0A01">
      <w:pPr>
        <w:spacing w:before="240" w:after="240"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6E1E11" w:rsidRDefault="00BE0A01">
      <w:pPr>
        <w:spacing w:before="240" w:after="240"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6E1E11" w:rsidRDefault="00BE0A01">
      <w:pPr>
        <w:spacing w:before="240" w:after="240"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L.A.E RAMSES OLIVARES MOJICA” (Sic) (Énfasis añadido)</w:t>
      </w:r>
    </w:p>
    <w:p w:rsidR="006E1E11" w:rsidRDefault="00BE0A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Aclaración. </w:t>
      </w:r>
      <w:r>
        <w:rPr>
          <w:rFonts w:ascii="Palatino Linotype" w:eastAsia="Palatino Linotype" w:hAnsi="Palatino Linotype" w:cs="Palatino Linotype"/>
        </w:rPr>
        <w:t>Posteriormente,</w:t>
      </w:r>
      <w:r>
        <w:rPr>
          <w:rFonts w:ascii="Palatino Linotype" w:eastAsia="Palatino Linotype" w:hAnsi="Palatino Linotype" w:cs="Palatino Linotype"/>
          <w:b/>
        </w:rPr>
        <w:t xml:space="preserve"> el dieciocho de marzo de dos mil veintidós, la parte Recurrente </w:t>
      </w:r>
      <w:r>
        <w:rPr>
          <w:rFonts w:ascii="Palatino Linotype" w:eastAsia="Palatino Linotype" w:hAnsi="Palatino Linotype" w:cs="Palatino Linotype"/>
        </w:rPr>
        <w:t xml:space="preserve">atendió dicho requerimiento de la siguiente manera: </w:t>
      </w:r>
    </w:p>
    <w:p w:rsidR="006E1E11" w:rsidRDefault="00BE0A0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“que tipo de aclaración es la que solicitas? no quieras evadir tu responsabilidad de proporcionar la información; al decir que el presidente municipal no esta haciendo su trabajo me refiero a que, esta permitiendo que los centros cheleros funcionen sin los permisos correspondientes, y lo referente a que e le vende bebidas alcohólicas a menores de edad, me refiero a que entran bastantes perronas que no han cumplido los 18 años de edad, y consumen alcohol en ese lugar, solo es necesario de que las áreas correspondientes hagan una supervisión al lugar y se darán cuenta de mi dicho. una vez especificado lo anterior, solicito la información inicial.” (Sic) </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Respuesta. </w:t>
      </w:r>
      <w:r>
        <w:rPr>
          <w:rFonts w:ascii="Palatino Linotype" w:eastAsia="Palatino Linotype" w:hAnsi="Palatino Linotype" w:cs="Palatino Linotype"/>
        </w:rPr>
        <w:t xml:space="preserve"> El </w:t>
      </w:r>
      <w:r>
        <w:rPr>
          <w:rFonts w:ascii="Palatino Linotype" w:eastAsia="Palatino Linotype" w:hAnsi="Palatino Linotype" w:cs="Palatino Linotype"/>
          <w:b/>
        </w:rPr>
        <w:t>seis de abril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acceso a la información en los términos siguientes:   </w:t>
      </w:r>
    </w:p>
    <w:p w:rsidR="006E1E11" w:rsidRDefault="00BE0A0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le contestamos que:</w:t>
      </w:r>
    </w:p>
    <w:p w:rsidR="006E1E11" w:rsidRDefault="00BE0A0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CONFORMIDAD A LO ESTABLECIDO EN LA LEY DE TRANSPARENCIA Y ACCESO A LA INFORMACIÓN PÚBLICA DEL ESTADO DE MÉXICO Y MUNICIPIOS. REMITO A USTED RESPUESTA PARA DAR CUMPLIMIENTO A SU SOLICITUD.</w:t>
      </w:r>
    </w:p>
    <w:p w:rsidR="006E1E11" w:rsidRDefault="00BE0A0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6E1E11" w:rsidRDefault="00BE0A0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L.A.E RAMSES OLIVARES MOJICA” (sic)</w:t>
      </w:r>
    </w:p>
    <w:p w:rsidR="006E1E11" w:rsidRDefault="00BE0A01">
      <w:pPr>
        <w:spacing w:before="240" w:after="240" w:line="276" w:lineRule="auto"/>
        <w:ind w:left="851"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Archivos adjuntos:</w:t>
      </w:r>
    </w:p>
    <w:p w:rsidR="006E1E11" w:rsidRDefault="00BE0A01">
      <w:pPr>
        <w:spacing w:before="240" w:after="240" w:line="360" w:lineRule="auto"/>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“ACLARACION DE LA INFORMACION.pdf”: </w:t>
      </w:r>
      <w:r>
        <w:rPr>
          <w:rFonts w:ascii="Palatino Linotype" w:eastAsia="Palatino Linotype" w:hAnsi="Palatino Linotype" w:cs="Palatino Linotype"/>
          <w:sz w:val="22"/>
          <w:szCs w:val="22"/>
        </w:rPr>
        <w:t xml:space="preserve">Desahogo del requerimiento de aclaración por parte del particular. </w:t>
      </w:r>
    </w:p>
    <w:p w:rsidR="006E1E11" w:rsidRDefault="00BE0A01">
      <w:pPr>
        <w:spacing w:before="240" w:after="240" w:line="276" w:lineRule="auto"/>
        <w:ind w:left="851"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lastRenderedPageBreak/>
        <w:drawing>
          <wp:inline distT="0" distB="0" distL="0" distR="0">
            <wp:extent cx="4756338" cy="3270487"/>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756338" cy="3270487"/>
                    </a:xfrm>
                    <a:prstGeom prst="rect">
                      <a:avLst/>
                    </a:prstGeom>
                    <a:ln/>
                  </pic:spPr>
                </pic:pic>
              </a:graphicData>
            </a:graphic>
          </wp:inline>
        </w:drawing>
      </w:r>
    </w:p>
    <w:p w:rsidR="006E1E11" w:rsidRDefault="00BE0A01">
      <w:pPr>
        <w:spacing w:before="240" w:after="240" w:line="276" w:lineRule="auto"/>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“OFICIOS A RESPUESTA DEL SERVIDOR PÚBLICO HABILITADO.pdf”: </w:t>
      </w:r>
      <w:r>
        <w:rPr>
          <w:rFonts w:ascii="Palatino Linotype" w:eastAsia="Palatino Linotype" w:hAnsi="Palatino Linotype" w:cs="Palatino Linotype"/>
          <w:sz w:val="22"/>
          <w:szCs w:val="22"/>
        </w:rPr>
        <w:t>Documento de cuatro fojas, signado por la Directora de Desarrollo Económico, en el que se advierte el procedimiento para obtener la licencia de mediano y alto impacto con venta de bebidas alcohólicas. Asimismo refiere que se visitó al dueño del establecimiento y se le extendió un citatorio para efecto de que muestre la documentación entregada para la expedición de su licencia de funcionamiento.</w:t>
      </w:r>
    </w:p>
    <w:p w:rsidR="006E1E11" w:rsidRDefault="00BE0A01">
      <w:pPr>
        <w:spacing w:before="240" w:after="240" w:line="276" w:lineRule="auto"/>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También refiere que se está ejerciendo el derecho de petición y no así el de acceso a la información pública. </w:t>
      </w:r>
    </w:p>
    <w:p w:rsidR="006E1E11" w:rsidRDefault="00BE0A01">
      <w:pPr>
        <w:spacing w:before="240" w:after="240" w:line="276" w:lineRule="auto"/>
        <w:ind w:left="851" w:right="900"/>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extent cx="4289278" cy="5700010"/>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289278" cy="5700010"/>
                    </a:xfrm>
                    <a:prstGeom prst="rect">
                      <a:avLst/>
                    </a:prstGeom>
                    <a:ln/>
                  </pic:spPr>
                </pic:pic>
              </a:graphicData>
            </a:graphic>
          </wp:inline>
        </w:drawing>
      </w:r>
    </w:p>
    <w:p w:rsidR="006E1E11" w:rsidRDefault="00BE0A01">
      <w:pPr>
        <w:spacing w:before="240" w:after="240"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“RESPUESTA A SOLICITANTE.pdf”: </w:t>
      </w:r>
      <w:r>
        <w:rPr>
          <w:rFonts w:ascii="Palatino Linotype" w:eastAsia="Palatino Linotype" w:hAnsi="Palatino Linotype" w:cs="Palatino Linotype"/>
          <w:sz w:val="22"/>
          <w:szCs w:val="22"/>
        </w:rPr>
        <w:t xml:space="preserve">Oficio suscrito por el Titular de la Unidad de Transparencia, mediante el cual remite la respuesta al solicitante. </w:t>
      </w:r>
    </w:p>
    <w:p w:rsidR="006E1E11" w:rsidRDefault="006E1E11">
      <w:pPr>
        <w:spacing w:before="240" w:after="240" w:line="276" w:lineRule="auto"/>
        <w:ind w:left="851" w:right="900"/>
        <w:rPr>
          <w:rFonts w:ascii="Palatino Linotype" w:eastAsia="Palatino Linotype" w:hAnsi="Palatino Linotype" w:cs="Palatino Linotype"/>
          <w:b/>
          <w:i/>
          <w:sz w:val="22"/>
          <w:szCs w:val="22"/>
        </w:rPr>
      </w:pPr>
    </w:p>
    <w:p w:rsidR="006E1E11" w:rsidRDefault="006E1E11">
      <w:pPr>
        <w:spacing w:before="240" w:after="240" w:line="276" w:lineRule="auto"/>
        <w:ind w:left="851" w:right="900"/>
        <w:rPr>
          <w:rFonts w:ascii="Palatino Linotype" w:eastAsia="Palatino Linotype" w:hAnsi="Palatino Linotype" w:cs="Palatino Linotype"/>
          <w:b/>
          <w:i/>
          <w:sz w:val="22"/>
          <w:szCs w:val="22"/>
        </w:rPr>
      </w:pPr>
    </w:p>
    <w:p w:rsidR="006E1E11" w:rsidRDefault="006E1E11">
      <w:pPr>
        <w:spacing w:before="240" w:after="240" w:line="276" w:lineRule="auto"/>
        <w:ind w:left="851" w:right="900"/>
        <w:rPr>
          <w:rFonts w:ascii="Palatino Linotype" w:eastAsia="Palatino Linotype" w:hAnsi="Palatino Linotype" w:cs="Palatino Linotype"/>
          <w:b/>
          <w:i/>
          <w:sz w:val="22"/>
          <w:szCs w:val="22"/>
        </w:rPr>
      </w:pPr>
    </w:p>
    <w:p w:rsidR="006E1E11" w:rsidRDefault="006E1E11">
      <w:pPr>
        <w:spacing w:before="240" w:after="240" w:line="276" w:lineRule="auto"/>
        <w:ind w:left="851" w:right="900"/>
        <w:rPr>
          <w:rFonts w:ascii="Palatino Linotype" w:eastAsia="Palatino Linotype" w:hAnsi="Palatino Linotype" w:cs="Palatino Linotype"/>
          <w:b/>
          <w:i/>
          <w:sz w:val="22"/>
          <w:szCs w:val="22"/>
        </w:rPr>
      </w:pPr>
    </w:p>
    <w:p w:rsidR="006E1E11" w:rsidRDefault="006E1E11">
      <w:pPr>
        <w:spacing w:before="240" w:after="240" w:line="276" w:lineRule="auto"/>
        <w:ind w:left="851" w:right="900"/>
        <w:rPr>
          <w:rFonts w:ascii="Palatino Linotype" w:eastAsia="Palatino Linotype" w:hAnsi="Palatino Linotype" w:cs="Palatino Linotype"/>
          <w:b/>
          <w:i/>
          <w:sz w:val="22"/>
          <w:szCs w:val="22"/>
        </w:rPr>
      </w:pPr>
    </w:p>
    <w:p w:rsidR="006E1E11" w:rsidRDefault="00BE0A01">
      <w:pPr>
        <w:spacing w:before="240" w:after="240" w:line="276" w:lineRule="auto"/>
        <w:ind w:left="851" w:right="900"/>
        <w:rPr>
          <w:rFonts w:ascii="Palatino Linotype" w:eastAsia="Palatino Linotype" w:hAnsi="Palatino Linotype" w:cs="Palatino Linotype"/>
          <w:b/>
          <w:i/>
          <w:sz w:val="22"/>
          <w:szCs w:val="22"/>
        </w:rPr>
      </w:pPr>
      <w:r>
        <w:rPr>
          <w:noProof/>
          <w:lang w:val="es-MX"/>
        </w:rPr>
        <w:drawing>
          <wp:anchor distT="0" distB="0" distL="114300" distR="114300" simplePos="0" relativeHeight="251658240" behindDoc="0" locked="0" layoutInCell="1" hidden="0" allowOverlap="1">
            <wp:simplePos x="0" y="0"/>
            <wp:positionH relativeFrom="column">
              <wp:posOffset>662940</wp:posOffset>
            </wp:positionH>
            <wp:positionV relativeFrom="paragraph">
              <wp:posOffset>0</wp:posOffset>
            </wp:positionV>
            <wp:extent cx="3905250" cy="4894580"/>
            <wp:effectExtent l="0" t="0" r="0" b="0"/>
            <wp:wrapTopAndBottom distT="0" dist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905250" cy="4894580"/>
                    </a:xfrm>
                    <a:prstGeom prst="rect">
                      <a:avLst/>
                    </a:prstGeom>
                    <a:ln/>
                  </pic:spPr>
                </pic:pic>
              </a:graphicData>
            </a:graphic>
          </wp:anchor>
        </w:drawing>
      </w:r>
    </w:p>
    <w:p w:rsidR="006E1E11" w:rsidRDefault="00BE0A01">
      <w:pPr>
        <w:spacing w:before="240" w:after="240" w:line="276" w:lineRule="auto"/>
        <w:ind w:left="851" w:right="900"/>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“OFICIO GIRADO A SERVIDOR PÚBLICO HABILITADO.pdf”: </w:t>
      </w:r>
      <w:r>
        <w:rPr>
          <w:rFonts w:ascii="Palatino Linotype" w:eastAsia="Palatino Linotype" w:hAnsi="Palatino Linotype" w:cs="Palatino Linotype"/>
          <w:sz w:val="22"/>
          <w:szCs w:val="22"/>
        </w:rPr>
        <w:t xml:space="preserve">Consiste en un oficio de turno a la Directora de Desarrollo Económico. </w:t>
      </w:r>
    </w:p>
    <w:p w:rsidR="006E1E11" w:rsidRDefault="00BE0A01">
      <w:pPr>
        <w:spacing w:before="240" w:after="240" w:line="276" w:lineRule="auto"/>
        <w:ind w:left="851" w:right="900"/>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lang w:val="es-MX"/>
        </w:rPr>
        <w:lastRenderedPageBreak/>
        <w:drawing>
          <wp:inline distT="0" distB="0" distL="0" distR="0">
            <wp:extent cx="3807640" cy="5189233"/>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807640" cy="5189233"/>
                    </a:xfrm>
                    <a:prstGeom prst="rect">
                      <a:avLst/>
                    </a:prstGeom>
                    <a:ln/>
                  </pic:spPr>
                </pic:pic>
              </a:graphicData>
            </a:graphic>
          </wp:inline>
        </w:drawing>
      </w:r>
    </w:p>
    <w:p w:rsidR="006E1E11" w:rsidRDefault="00BE0A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veintisiete de abril de dos mil veintidós, el Recurrente, </w:t>
      </w:r>
      <w:r>
        <w:rPr>
          <w:rFonts w:ascii="Palatino Linotype" w:eastAsia="Palatino Linotype" w:hAnsi="Palatino Linotype" w:cs="Palatino Linotype"/>
        </w:rPr>
        <w:t>inconforme con la respuesta, presentó el recurso de revisión a través del cual expresó lo siguiente:</w:t>
      </w:r>
    </w:p>
    <w:p w:rsidR="006E1E11" w:rsidRDefault="00BE0A01">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6E1E11" w:rsidRDefault="00BE0A01">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negativa de la información” (Sic)</w:t>
      </w:r>
    </w:p>
    <w:p w:rsidR="006E1E11" w:rsidRDefault="00BE0A01">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6E1E11" w:rsidRDefault="00BE0A01">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“solicito la intervención del órgano interno de control del INFOEM, para que en su caso sancione al o a los servidores públicos responsables de negarme la información, ya que con la respuesta que emite el sujeto obligado, esta aceptando que si cuenta con la información e intenta evadir su responsabilidad de proporcionar la información pública, violando así mi derecho humano de acceso a la información pública, contemplado en la constitución federal. exijo se me proporcione la información solicitada y se sancione a los servidores públicos responsables. esta solicitud la realizo por cuestiones personales, y con esta evasión por parte del sujeto obligado, solo esta retrasando mis propios tramites personales con respecto a este centro chelero; además de que el titular de la unidad de transparencia, no esta haciendo su trabajo, ya que no esta enviando oficios a todas las areas involucradas, ya que no solo es responsabilidad de desarrollo económico, si que intervienen mas áreas” (Sic)</w:t>
      </w:r>
    </w:p>
    <w:p w:rsidR="006E1E11" w:rsidRDefault="006E1E11">
      <w:pPr>
        <w:spacing w:before="240" w:after="240" w:line="360" w:lineRule="auto"/>
        <w:jc w:val="both"/>
        <w:rPr>
          <w:rFonts w:ascii="Palatino Linotype" w:eastAsia="Palatino Linotype" w:hAnsi="Palatino Linotype" w:cs="Palatino Linotype"/>
          <w:sz w:val="2"/>
          <w:szCs w:val="2"/>
        </w:rPr>
      </w:pP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a efecto de que analizara sobre su admisión o su desechamiento.</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dos de mayo de dos mil veintidós,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rsidR="006E1E11" w:rsidRDefault="006E1E11">
      <w:pPr>
        <w:spacing w:before="240" w:after="240" w:line="360" w:lineRule="auto"/>
        <w:jc w:val="both"/>
        <w:rPr>
          <w:rFonts w:ascii="Palatino Linotype" w:eastAsia="Palatino Linotype" w:hAnsi="Palatino Linotype" w:cs="Palatino Linotype"/>
          <w:b/>
        </w:rPr>
      </w:pPr>
    </w:p>
    <w:p w:rsidR="006E1E11" w:rsidRDefault="00BE0A01">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7.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E</w:t>
      </w:r>
      <w:r>
        <w:rPr>
          <w:rFonts w:ascii="Palatino Linotype" w:eastAsia="Palatino Linotype" w:hAnsi="Palatino Linotype" w:cs="Palatino Linotype"/>
        </w:rPr>
        <w:t xml:space="preserv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rindió informe justificado mediante los archivos electrónicos </w:t>
      </w:r>
      <w:r>
        <w:rPr>
          <w:rFonts w:ascii="Palatino Linotype" w:eastAsia="Palatino Linotype" w:hAnsi="Palatino Linotype" w:cs="Palatino Linotype"/>
          <w:b/>
          <w:i/>
        </w:rPr>
        <w:t>“manifestaciones del Solicitante.pdf” y “Manifestaciones a Recurso de Revision 06754.infoem.pdf”</w:t>
      </w:r>
      <w:r>
        <w:rPr>
          <w:rFonts w:ascii="Palatino Linotype" w:eastAsia="Palatino Linotype" w:hAnsi="Palatino Linotype" w:cs="Palatino Linotype"/>
        </w:rPr>
        <w:t xml:space="preserve">, los cuales se describen a continuación: </w:t>
      </w:r>
    </w:p>
    <w:p w:rsidR="006E1E11" w:rsidRDefault="00BE0A01">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“manifestaciones del Solicitante.pdf”: </w:t>
      </w:r>
      <w:r>
        <w:rPr>
          <w:rFonts w:ascii="Palatino Linotype" w:eastAsia="Palatino Linotype" w:hAnsi="Palatino Linotype" w:cs="Palatino Linotype"/>
        </w:rPr>
        <w:t xml:space="preserve">Formato de interposición del Recurso de Revisión del particular. </w:t>
      </w:r>
    </w:p>
    <w:p w:rsidR="006E1E11" w:rsidRDefault="00BE0A01">
      <w:pPr>
        <w:widowControl w:val="0"/>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735675" cy="4671354"/>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735675" cy="4671354"/>
                    </a:xfrm>
                    <a:prstGeom prst="rect">
                      <a:avLst/>
                    </a:prstGeom>
                    <a:ln/>
                  </pic:spPr>
                </pic:pic>
              </a:graphicData>
            </a:graphic>
          </wp:inline>
        </w:drawing>
      </w:r>
    </w:p>
    <w:p w:rsidR="006E1E11" w:rsidRDefault="00BE0A01">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“Manifestaciones a Recurso de Revision 06754.infoem.pdf”: </w:t>
      </w:r>
      <w:r>
        <w:rPr>
          <w:rFonts w:ascii="Palatino Linotype" w:eastAsia="Palatino Linotype" w:hAnsi="Palatino Linotype" w:cs="Palatino Linotype"/>
        </w:rPr>
        <w:t xml:space="preserve">Documento de cuatro fojas en el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refiere que el solicitante pretende que se atiendan </w:t>
      </w:r>
      <w:r>
        <w:rPr>
          <w:rFonts w:ascii="Palatino Linotype" w:eastAsia="Palatino Linotype" w:hAnsi="Palatino Linotype" w:cs="Palatino Linotype"/>
        </w:rPr>
        <w:lastRenderedPageBreak/>
        <w:t xml:space="preserve">cuestionamientos a través del procesamiento de información y que no existe violación al derecho de acceso a la información pública. </w:t>
      </w:r>
    </w:p>
    <w:p w:rsidR="006E1E11" w:rsidRDefault="00BE0A01">
      <w:pPr>
        <w:widowControl w:val="0"/>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865546" cy="6412861"/>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865546" cy="6412861"/>
                    </a:xfrm>
                    <a:prstGeom prst="rect">
                      <a:avLst/>
                    </a:prstGeom>
                    <a:ln/>
                  </pic:spPr>
                </pic:pic>
              </a:graphicData>
            </a:graphic>
          </wp:inline>
        </w:drawing>
      </w:r>
    </w:p>
    <w:p w:rsidR="006E1E11" w:rsidRDefault="006E1E11">
      <w:pPr>
        <w:widowControl w:val="0"/>
        <w:spacing w:before="240" w:after="240" w:line="360" w:lineRule="auto"/>
        <w:jc w:val="both"/>
        <w:rPr>
          <w:rFonts w:ascii="Palatino Linotype" w:eastAsia="Palatino Linotype" w:hAnsi="Palatino Linotype" w:cs="Palatino Linotype"/>
        </w:rPr>
      </w:pPr>
    </w:p>
    <w:p w:rsidR="006E1E11" w:rsidRDefault="00BE0A01">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no realizó manifestaciones, ni formuló alegatos y no ofreció medios de prueba, por lo tanto, se tiene por precluido su derecho para tal efecto. </w:t>
      </w:r>
    </w:p>
    <w:p w:rsidR="006E1E11" w:rsidRDefault="00BE0A01">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Es de señalar que esta documentación se puso a la vista del particular mediante acuerdo emitido por la Comisionada Ponente.</w:t>
      </w:r>
    </w:p>
    <w:p w:rsidR="006E1E11" w:rsidRDefault="00BE0A01">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drawing>
          <wp:inline distT="0" distB="0" distL="0" distR="0">
            <wp:extent cx="5610225" cy="1476375"/>
            <wp:effectExtent l="0" t="0" r="0"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610225" cy="1476375"/>
                    </a:xfrm>
                    <a:prstGeom prst="rect">
                      <a:avLst/>
                    </a:prstGeom>
                    <a:ln/>
                  </pic:spPr>
                </pic:pic>
              </a:graphicData>
            </a:graphic>
          </wp:inline>
        </w:drawing>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Ampliación de plazo. </w:t>
      </w:r>
      <w:r>
        <w:rPr>
          <w:rFonts w:ascii="Palatino Linotype" w:eastAsia="Palatino Linotype" w:hAnsi="Palatino Linotype" w:cs="Palatino Linotype"/>
        </w:rPr>
        <w:t>En fecha</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b/>
          <w:color w:val="000000"/>
        </w:rPr>
        <w:t>veinticinco</w:t>
      </w:r>
      <w:r>
        <w:rPr>
          <w:rFonts w:ascii="Palatino Linotype" w:eastAsia="Palatino Linotype" w:hAnsi="Palatino Linotype" w:cs="Palatino Linotype"/>
          <w:b/>
          <w:color w:val="FF0000"/>
        </w:rPr>
        <w:t xml:space="preserve"> </w:t>
      </w:r>
      <w:r>
        <w:rPr>
          <w:rFonts w:ascii="Palatino Linotype" w:eastAsia="Palatino Linotype" w:hAnsi="Palatino Linotype" w:cs="Palatino Linotype"/>
          <w:b/>
        </w:rPr>
        <w:t>de agosto de dos mil veintidós</w:t>
      </w:r>
      <w:r>
        <w:rPr>
          <w:rFonts w:ascii="Palatino Linotype" w:eastAsia="Palatino Linotype" w:hAnsi="Palatino Linotype" w:cs="Palatino Linotype"/>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Pr>
          <w:rFonts w:ascii="Palatino Linotype" w:eastAsia="Palatino Linotype" w:hAnsi="Palatino Linotype" w:cs="Palatino Linotype"/>
        </w:rPr>
        <w:lastRenderedPageBreak/>
        <w:t>las capacidades técnicas y humanas del personal encargado de la proyección de las resoluciones a dichos medios de impugnación.</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rsidR="006E1E11" w:rsidRDefault="00BE0A01">
      <w:pPr>
        <w:numPr>
          <w:ilvl w:val="0"/>
          <w:numId w:val="1"/>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rsidR="006E1E11" w:rsidRDefault="00BE0A01">
      <w:pPr>
        <w:numPr>
          <w:ilvl w:val="0"/>
          <w:numId w:val="1"/>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lastRenderedPageBreak/>
        <w:t>Actividad Procesal del interesado. Acciones u omisiones del interesado.</w:t>
      </w:r>
    </w:p>
    <w:p w:rsidR="006E1E11" w:rsidRDefault="00BE0A01">
      <w:pPr>
        <w:numPr>
          <w:ilvl w:val="0"/>
          <w:numId w:val="2"/>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rsidR="006E1E11" w:rsidRDefault="00BE0A01">
      <w:p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lastRenderedPageBreak/>
        <w:t xml:space="preserve">9.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Una vez transcurrido el periodo otorgado a las partes para realizar sus manifestaciones y no habiendo documentos que integrar al expediente, el</w:t>
      </w:r>
      <w:r>
        <w:rPr>
          <w:rFonts w:ascii="Palatino Linotype" w:eastAsia="Palatino Linotype" w:hAnsi="Palatino Linotype" w:cs="Palatino Linotype"/>
          <w:color w:val="000000"/>
        </w:rPr>
        <w:t xml:space="preserve"> </w:t>
      </w:r>
      <w:r w:rsidR="00F124C8">
        <w:rPr>
          <w:rFonts w:ascii="Palatino Linotype" w:eastAsia="Palatino Linotype" w:hAnsi="Palatino Linotype" w:cs="Palatino Linotype"/>
          <w:b/>
          <w:color w:val="000000"/>
        </w:rPr>
        <w:t>siete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rPr>
        <w:t>de septiembre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w:t>
      </w:r>
      <w:r>
        <w:rPr>
          <w:rFonts w:ascii="Palatino Linotype" w:eastAsia="Palatino Linotype" w:hAnsi="Palatino Linotype" w:cs="Palatino Linotype"/>
          <w:color w:val="000000"/>
        </w:rPr>
        <w:t xml:space="preserve">fue debidamente sustanciado el expediente electrónico </w:t>
      </w:r>
      <w:r>
        <w:rPr>
          <w:rFonts w:ascii="Palatino Linotype" w:eastAsia="Palatino Linotype" w:hAnsi="Palatino Linotype" w:cs="Palatino Linotype"/>
        </w:rPr>
        <w:t xml:space="preserve">y no existen diligencias pendientes de desahogo, se emite la Resolución que conforme a Derecho proceda, de acuerdo con los siguientes: </w:t>
      </w:r>
    </w:p>
    <w:p w:rsidR="006E1E11" w:rsidRDefault="00BE0A01">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6E1E11" w:rsidRDefault="00BE0A01">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w:t>
      </w:r>
      <w:r>
        <w:rPr>
          <w:rFonts w:ascii="Palatino Linotype" w:eastAsia="Palatino Linotype" w:hAnsi="Palatino Linotype" w:cs="Palatino Linotype"/>
        </w:rPr>
        <w:lastRenderedPageBreak/>
        <w:t>artículos 178 y 180 de la Ley de Transparencia y Acceso a la Información Pública del Estado de México y Municipios.</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Pr>
          <w:rFonts w:ascii="Palatino Linotype" w:eastAsia="Palatino Linotype" w:hAnsi="Palatino Linotype" w:cs="Palatino Linotype"/>
          <w:b/>
        </w:rPr>
        <w:t xml:space="preserve">seis de abril de dos mil veintidós,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veintisiete de abril de dos mil veintidós</w:t>
      </w:r>
      <w:r>
        <w:rPr>
          <w:rFonts w:ascii="Palatino Linotype" w:eastAsia="Palatino Linotype" w:hAnsi="Palatino Linotype" w:cs="Palatino Linotype"/>
        </w:rPr>
        <w:t xml:space="preserve">, esto es, el </w:t>
      </w:r>
      <w:r>
        <w:rPr>
          <w:rFonts w:ascii="Palatino Linotype" w:eastAsia="Palatino Linotype" w:hAnsi="Palatino Linotype" w:cs="Palatino Linotype"/>
          <w:b/>
        </w:rPr>
        <w:t>décimo día hábil</w:t>
      </w:r>
      <w:r>
        <w:rPr>
          <w:rFonts w:ascii="Palatino Linotype" w:eastAsia="Palatino Linotype" w:hAnsi="Palatino Linotype" w:cs="Palatino Linotype"/>
        </w:rPr>
        <w:t xml:space="preserve"> posterior en que tuvo conocimiento de la respuesta impugnada.</w:t>
      </w:r>
    </w:p>
    <w:p w:rsidR="006E1E11" w:rsidRDefault="00BE0A0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por cuanto hace a la procedibilidad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6E1E11" w:rsidRDefault="00BE0A01">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una vez realizado el análisis de los formatos de interposición del recurso, se concluye la acreditación plena de los elementos formales precisados por el artículo 180 de la Ley de </w:t>
      </w:r>
      <w:r>
        <w:rPr>
          <w:rFonts w:ascii="Palatino Linotype" w:eastAsia="Palatino Linotype" w:hAnsi="Palatino Linotype" w:cs="Palatino Linotype"/>
        </w:rPr>
        <w:lastRenderedPageBreak/>
        <w:t>Transparencia y Acceso a la Información Pública del Estado de México y Municipios, en atención a que fue presentado mediante el formato visible en el SAIMEX.</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I del ordenamiento legal citado, que a la letra dice: </w:t>
      </w:r>
    </w:p>
    <w:p w:rsidR="006E1E11" w:rsidRDefault="00BE0A01">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6E1E11" w:rsidRDefault="00BE0A01">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p>
    <w:p w:rsidR="006E1E11" w:rsidRDefault="00BE0A01">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6E1E11" w:rsidRDefault="00BE0A01">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008A4109" w:rsidRPr="00F124C8">
        <w:rPr>
          <w:rFonts w:ascii="Palatino Linotype" w:eastAsia="Palatino Linotype" w:hAnsi="Palatino Linotype" w:cs="Palatino Linotype"/>
        </w:rPr>
        <w:t>del</w:t>
      </w:r>
      <w:r>
        <w:rPr>
          <w:rFonts w:ascii="Palatino Linotype" w:eastAsia="Palatino Linotype" w:hAnsi="Palatino Linotype" w:cs="Palatino Linotype"/>
        </w:rPr>
        <w:t xml:space="preserve"> Recurrente, o en su defecto, en caso de ser procedente, ordenar la entrega de información oportuna.</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w:t>
      </w:r>
      <w:r>
        <w:rPr>
          <w:rFonts w:ascii="Palatino Linotype" w:eastAsia="Palatino Linotype" w:hAnsi="Palatino Linotype" w:cs="Palatino Linotype"/>
          <w:color w:val="000000"/>
        </w:rPr>
        <w:lastRenderedPageBreak/>
        <w:t>primero, segundo y tercero y 6 apartado A fracciones I, II, III, IV, V, VI y VII que a la letra señalan:</w:t>
      </w:r>
    </w:p>
    <w:p w:rsidR="006E1E11" w:rsidRDefault="00BE0A01">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6E1E11" w:rsidRDefault="00BE0A01">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6E1E11" w:rsidRDefault="00BE0A01">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6E1E11" w:rsidRDefault="00BE0A01">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i/>
          <w:color w:val="000000"/>
          <w:sz w:val="22"/>
          <w:szCs w:val="22"/>
        </w:rPr>
        <w:t>[…]</w:t>
      </w:r>
    </w:p>
    <w:p w:rsidR="006E1E11" w:rsidRDefault="00BE0A01">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b/>
          <w:i/>
          <w:color w:val="000000"/>
          <w:sz w:val="22"/>
          <w:szCs w:val="22"/>
        </w:rPr>
        <w:t>“Artículo 6o.</w:t>
      </w:r>
    </w:p>
    <w:p w:rsidR="006E1E11" w:rsidRDefault="00BE0A01">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i/>
          <w:color w:val="000000"/>
          <w:sz w:val="22"/>
          <w:szCs w:val="22"/>
        </w:rPr>
        <w:t>[...]</w:t>
      </w:r>
    </w:p>
    <w:p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w:t>
      </w:r>
      <w:r>
        <w:rPr>
          <w:rFonts w:ascii="Palatino Linotype" w:eastAsia="Palatino Linotype" w:hAnsi="Palatino Linotype" w:cs="Palatino Linotype"/>
          <w:i/>
          <w:color w:val="000000"/>
          <w:sz w:val="22"/>
          <w:szCs w:val="22"/>
        </w:rPr>
        <w:lastRenderedPageBreak/>
        <w:t>obligados deberán documentar todo acto que derive del ejercicio de sus facultades, competencias o funciones, la ley determinará los supuestos específicos bajo los cuales procederá la declaración de inexistencia de la información.</w:t>
      </w:r>
    </w:p>
    <w:p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Pr>
          <w:rFonts w:ascii="Palatino Linotype" w:eastAsia="Palatino Linotype" w:hAnsi="Palatino Linotype" w:cs="Palatino Linotype"/>
          <w:color w:val="000000"/>
        </w:rPr>
        <w:lastRenderedPageBreak/>
        <w:t>privilegiando el principio de máxima publicidad, como así lo establece dicha determinación, que a continuación se transcribe para un mejor entendimiento:</w:t>
      </w:r>
    </w:p>
    <w:p w:rsidR="006E1E11" w:rsidRDefault="00BE0A01">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w:t>
      </w:r>
      <w:r>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6E1E11" w:rsidRDefault="00BE0A01">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6E1E11" w:rsidRDefault="00BE0A01">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6E1E11" w:rsidRDefault="00BE0A01">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6E1E11" w:rsidRDefault="00BE0A01">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Pr>
          <w:rFonts w:ascii="Palatino Linotype" w:eastAsia="Palatino Linotype" w:hAnsi="Palatino Linotype" w:cs="Palatino Linotype"/>
          <w:i/>
          <w:color w:val="000000"/>
          <w:sz w:val="22"/>
          <w:szCs w:val="22"/>
        </w:rPr>
        <w:lastRenderedPageBreak/>
        <w:t>presentarla conforme al interés del solicitante; no estarán obligados a generarla, resumirla, efectuar cálculos o practicar investigaciones.” (Sic)</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03/17</w:t>
      </w:r>
    </w:p>
    <w:p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Pr>
          <w:rFonts w:ascii="Palatino Linotype" w:eastAsia="Palatino Linotype" w:hAnsi="Palatino Linotype" w:cs="Palatino Linotype"/>
          <w:color w:val="000000"/>
        </w:rPr>
        <w:lastRenderedPageBreak/>
        <w:t>persona, lo que implica que es deber de los Sujetos Obligados, garantizar el Derecho de Acceso a la Información Pública.</w:t>
      </w:r>
    </w:p>
    <w:p w:rsidR="006E1E11" w:rsidRDefault="00BE0A01">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p>
    <w:p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Pr>
          <w:rFonts w:ascii="Palatino Linotype" w:eastAsia="Palatino Linotype" w:hAnsi="Palatino Linotype" w:cs="Palatino Linotype"/>
          <w:i/>
          <w:color w:val="000000"/>
          <w:sz w:val="22"/>
          <w:szCs w:val="22"/>
        </w:rPr>
        <w:lastRenderedPageBreak/>
        <w:t>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CRITERIO 0002-11</w:t>
      </w:r>
    </w:p>
    <w:p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6E1E11" w:rsidRDefault="00BE0A01">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6E1E11" w:rsidRDefault="00BE0A01">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6E1E11" w:rsidRDefault="00BE0A01">
      <w:pPr>
        <w:pBdr>
          <w:top w:val="nil"/>
          <w:left w:val="nil"/>
          <w:bottom w:val="nil"/>
          <w:right w:val="nil"/>
          <w:between w:val="nil"/>
        </w:pBdr>
        <w:spacing w:before="240" w:after="240"/>
        <w:ind w:left="567" w:right="567" w:hanging="284"/>
        <w:jc w:val="both"/>
        <w:rPr>
          <w:color w:val="000000"/>
        </w:rPr>
      </w:pPr>
      <w:r>
        <w:rPr>
          <w:rFonts w:ascii="Palatino Linotype" w:eastAsia="Palatino Linotype" w:hAnsi="Palatino Linotype" w:cs="Palatino Linotype"/>
          <w:i/>
          <w:color w:val="000000"/>
          <w:sz w:val="22"/>
          <w:szCs w:val="22"/>
        </w:rPr>
        <w:t xml:space="preserve">3. </w:t>
      </w: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w:t>
      </w:r>
      <w:r>
        <w:rPr>
          <w:rFonts w:ascii="Palatino Linotype" w:eastAsia="Palatino Linotype" w:hAnsi="Palatino Linotype" w:cs="Palatino Linotype"/>
          <w:color w:val="000000"/>
        </w:rPr>
        <w:lastRenderedPageBreak/>
        <w:t>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le proporcionara lo siguiente:</w:t>
      </w:r>
    </w:p>
    <w:p w:rsidR="006E1E11" w:rsidRDefault="00BE0A01">
      <w:pPr>
        <w:numPr>
          <w:ilvl w:val="0"/>
          <w:numId w:val="4"/>
        </w:numPr>
        <w:pBdr>
          <w:top w:val="nil"/>
          <w:left w:val="nil"/>
          <w:bottom w:val="nil"/>
          <w:right w:val="nil"/>
          <w:between w:val="nil"/>
        </w:pBdr>
        <w:spacing w:before="240" w:after="240" w:line="360" w:lineRule="auto"/>
        <w:ind w:left="567" w:right="758" w:hanging="283"/>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Los permisos, autorizaciones de todas las áreas involucradas para dar la licencia de funcionamiento de los centros cheleros, (protección civil, salud, gobernación, desarrollo económico, desarrollo urbano</w:t>
      </w:r>
      <w:r>
        <w:rPr>
          <w:rFonts w:ascii="Palatino Linotype" w:eastAsia="Palatino Linotype" w:hAnsi="Palatino Linotype" w:cs="Palatino Linotype"/>
          <w:b/>
          <w:i/>
          <w:color w:val="000000"/>
        </w:rPr>
        <w:t>),</w:t>
      </w:r>
      <w:r>
        <w:rPr>
          <w:rFonts w:ascii="Palatino Linotype" w:eastAsia="Palatino Linotype" w:hAnsi="Palatino Linotype" w:cs="Palatino Linotype"/>
          <w:b/>
          <w:color w:val="000000"/>
        </w:rPr>
        <w:t xml:space="preserve"> </w:t>
      </w:r>
      <w:r w:rsidRPr="00F124C8">
        <w:rPr>
          <w:rFonts w:ascii="Palatino Linotype" w:eastAsia="Palatino Linotype" w:hAnsi="Palatino Linotype" w:cs="Palatino Linotype"/>
          <w:b/>
          <w:color w:val="000000"/>
        </w:rPr>
        <w:t>específicamente del centro chelero ubicado en el paraje denominado</w:t>
      </w:r>
      <w:r>
        <w:rPr>
          <w:rFonts w:ascii="Palatino Linotype" w:eastAsia="Palatino Linotype" w:hAnsi="Palatino Linotype" w:cs="Palatino Linotype"/>
          <w:b/>
          <w:color w:val="000000"/>
        </w:rPr>
        <w:t xml:space="preserve"> la playita, en Santiago Tilapa, Municipio de Tianguistenco.</w:t>
      </w:r>
    </w:p>
    <w:p w:rsidR="006E1E11" w:rsidRDefault="00BE0A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su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por conducto de la </w:t>
      </w:r>
      <w:r>
        <w:rPr>
          <w:rFonts w:ascii="Palatino Linotype" w:eastAsia="Palatino Linotype" w:hAnsi="Palatino Linotype" w:cs="Palatino Linotype"/>
          <w:sz w:val="22"/>
          <w:szCs w:val="22"/>
        </w:rPr>
        <w:t xml:space="preserve">Directora de Desarrollo Económico, </w:t>
      </w:r>
      <w:r>
        <w:rPr>
          <w:rFonts w:ascii="Palatino Linotype" w:eastAsia="Palatino Linotype" w:hAnsi="Palatino Linotype" w:cs="Palatino Linotype"/>
        </w:rPr>
        <w:t xml:space="preserve">remitió el procedimiento para obtener la licencia de mediano y alto impacto con venta de bebidas alcohólicas. Asimismo refiere que se visitó al dueño del establecimiento y se le extendió un citatorio para efecto de que muestre la documentación entregada para la expedición de su licencia de funcionamiento. También refiere que se está ejerciendo el derecho de petición y no así el de acceso a la información pública. </w:t>
      </w:r>
    </w:p>
    <w:p w:rsidR="006E1E11" w:rsidRDefault="00BE0A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Una vez conocida la respuesta a la solicitud de información, expresó las siguientes manifestaciones mediante la interposición del recurso de revisión: </w:t>
      </w:r>
    </w:p>
    <w:p w:rsidR="006E1E11" w:rsidRDefault="00BE0A01">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lastRenderedPageBreak/>
        <w:t>a) Acto impugnado.</w:t>
      </w:r>
    </w:p>
    <w:p w:rsidR="006E1E11" w:rsidRDefault="00BE0A01">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negativa de la información” (Sic)</w:t>
      </w:r>
    </w:p>
    <w:p w:rsidR="006E1E11" w:rsidRDefault="00BE0A01">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6E1E11" w:rsidRDefault="00BE0A01">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la intervención del órgano interno de control del INFOEM, para que en su caso sancione al o a los servidores públicos responsables de negarme la información, ya que con la respuesta que emite el sujeto obligado, esta aceptando que si cuenta con la información e intenta evadir su responsabilidad de proporcionar la información pública, violando así mi derecho humano de acceso a la información pública, contemplado en la constitución federal. exijo se me proporcione la información solicitada y se sancione a los servidores públicos responsables. esta solicitud la realizo por cuestiones personales, y con esta evasión por parte del sujeto obligado, solo esta retrasando mis propios tramites personales con respecto a este centro chelero; además de que el titular de la unidad de transparencia, no esta haciendo su trabajo, ya que no esta enviando oficios a todas las areas involucradas, ya que no solo es responsabilidad de desarrollo económico, si que intervienen mas áreas” (Sic)</w:t>
      </w:r>
    </w:p>
    <w:p w:rsidR="006E1E11" w:rsidRDefault="00BE0A01">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Admitido a trámite el presente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informe justificado, mediante el cual argumenta que el particular pretende que se atiendan cuestionamientos a través del procesamiento de información y que no existe violación al derecho de acceso a la información pública. </w:t>
      </w:r>
    </w:p>
    <w:p w:rsidR="006E1E11" w:rsidRDefault="00BE0A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Expuesto lo anterior, resulta pertinente analizar la respuesta vertida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quien respecto de lo solicitado, remitió un listado de requisitos para la obtención de la licencia de funcionamiento de mediano y alto impacto, con venta de bebidas alcohólicas, tal como se visualiza en la siguiente ilustración: </w:t>
      </w:r>
    </w:p>
    <w:p w:rsidR="006E1E11" w:rsidRDefault="006E1E11">
      <w:pPr>
        <w:spacing w:before="240" w:after="240" w:line="360" w:lineRule="auto"/>
        <w:ind w:right="49"/>
        <w:jc w:val="both"/>
        <w:rPr>
          <w:rFonts w:ascii="Palatino Linotype" w:eastAsia="Palatino Linotype" w:hAnsi="Palatino Linotype" w:cs="Palatino Linotype"/>
        </w:rPr>
      </w:pPr>
    </w:p>
    <w:p w:rsidR="006E1E11" w:rsidRDefault="00BE0A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Teniendo esto en cuenta debe iniciarse resaltando que la Dirección de Desarrollo Económico, asumió contar con la información requerida, por lo que se considera que la misma efectivamente debe obrar en sus archivos, de conformidad con lo previsto por el artículo 90 del Bando Municipal vigente, el cual se inserta a continuación: </w:t>
      </w:r>
      <w:r>
        <w:rPr>
          <w:noProof/>
          <w:lang w:val="es-MX"/>
        </w:rPr>
        <w:drawing>
          <wp:anchor distT="0" distB="0" distL="114300" distR="114300" simplePos="0" relativeHeight="251659264" behindDoc="0" locked="0" layoutInCell="1" hidden="0" allowOverlap="1">
            <wp:simplePos x="0" y="0"/>
            <wp:positionH relativeFrom="column">
              <wp:posOffset>481965</wp:posOffset>
            </wp:positionH>
            <wp:positionV relativeFrom="paragraph">
              <wp:posOffset>0</wp:posOffset>
            </wp:positionV>
            <wp:extent cx="4200525" cy="2943225"/>
            <wp:effectExtent l="0" t="0" r="0" b="0"/>
            <wp:wrapTopAndBottom distT="0" dist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t="48328" r="1999"/>
                    <a:stretch>
                      <a:fillRect/>
                    </a:stretch>
                  </pic:blipFill>
                  <pic:spPr>
                    <a:xfrm>
                      <a:off x="0" y="0"/>
                      <a:ext cx="4200525" cy="2943225"/>
                    </a:xfrm>
                    <a:prstGeom prst="rect">
                      <a:avLst/>
                    </a:prstGeom>
                    <a:ln/>
                  </pic:spPr>
                </pic:pic>
              </a:graphicData>
            </a:graphic>
          </wp:anchor>
        </w:drawing>
      </w:r>
    </w:p>
    <w:p w:rsidR="006E1E11" w:rsidRDefault="00BE0A0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90. </w:t>
      </w:r>
      <w:r>
        <w:rPr>
          <w:rFonts w:ascii="Palatino Linotype" w:eastAsia="Palatino Linotype" w:hAnsi="Palatino Linotype" w:cs="Palatino Linotype"/>
          <w:b/>
          <w:i/>
          <w:sz w:val="22"/>
          <w:szCs w:val="22"/>
        </w:rPr>
        <w:t>El Ayuntamiento está encargado de planear, coordinar, dirigir y ejecutar los programas, planes y políticas Federales, Estatales y Municipales en materia de desarrollo económico, en coordinación con la UIPPE, en beneficio de la población en general, a través de la Dirección de Desarrollo Económico, la cual, promoverá y fomentará la actividad económica</w:t>
      </w:r>
      <w:r>
        <w:rPr>
          <w:rFonts w:ascii="Palatino Linotype" w:eastAsia="Palatino Linotype" w:hAnsi="Palatino Linotype" w:cs="Palatino Linotype"/>
          <w:i/>
          <w:sz w:val="22"/>
          <w:szCs w:val="22"/>
        </w:rPr>
        <w:t xml:space="preserve"> y la competitividad del municipio, en el marco de un modelo de desarrollo económico basado en la sustentabilidad acorde a los objetivos de desarrollo de la agenda 2030, procurando que la inversión aplicada al municipio genere empleos dignos con salarios justos, implementando medidas para normar, fortalecer y fomentar las actividades económicas de ramo industrial, el comercio, la artesanía, las actividades agropecuarias y turísticas; para ello se apoyará en las Coordinaciones de Turismo y Fomento Artesanal así como de la Coordinación de Desarrollo </w:t>
      </w:r>
      <w:r>
        <w:rPr>
          <w:rFonts w:ascii="Palatino Linotype" w:eastAsia="Palatino Linotype" w:hAnsi="Palatino Linotype" w:cs="Palatino Linotype"/>
          <w:i/>
          <w:sz w:val="22"/>
          <w:szCs w:val="22"/>
        </w:rPr>
        <w:lastRenderedPageBreak/>
        <w:t xml:space="preserve">Agropecuario y Rural. En este sentido, el Ayuntamiento a través de la Dirección de Desarrollo Económico realizará las siguientes acciones: </w:t>
      </w:r>
    </w:p>
    <w:p w:rsidR="006E1E11" w:rsidRDefault="00BE0A01">
      <w:pPr>
        <w:pBdr>
          <w:top w:val="nil"/>
          <w:left w:val="nil"/>
          <w:bottom w:val="nil"/>
          <w:right w:val="nil"/>
          <w:between w:val="nil"/>
        </w:pBdr>
        <w:spacing w:before="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6E1E11" w:rsidRDefault="00BE0A01">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X. Otorgar licencias de funcionamiento para unidades económicas de bajo, mediano y alto impacto que no impliquen riesgos sanitarios, ambientales o de protección civil, conforme al Catálogo Mexiquense de Actividades Industriales, Comerciales y de Servicios de Bajo Riesgo conforme a la Ley de Competitividad y Ordenamiento Comercial del Estado de México, las cuales deberán cubrir su correspondiente refrendo, en términos del artículo 31° Fracción IV de la Constitución Política de los Estados Unidos Mexicanos y las demás aplicables;</w:t>
      </w:r>
    </w:p>
    <w:p w:rsidR="006E1E11" w:rsidRDefault="00BE0A01">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rsidR="006E1E11" w:rsidRDefault="00BE0A01">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XX. Conducir la coordinación interinstitucional de las dependencias municipales a las que corresponda conocer sobre el otorgamiento de permisos y licencias para la apertura y funcionamiento de unidades económicas de mediano y alto impacto.” </w:t>
      </w:r>
      <w:r>
        <w:rPr>
          <w:rFonts w:ascii="Palatino Linotype" w:eastAsia="Palatino Linotype" w:hAnsi="Palatino Linotype" w:cs="Palatino Linotype"/>
          <w:i/>
          <w:color w:val="000000"/>
          <w:sz w:val="22"/>
          <w:szCs w:val="22"/>
        </w:rPr>
        <w:t>(Sic) (Énfasis añadido)</w:t>
      </w:r>
    </w:p>
    <w:p w:rsidR="006E1E11" w:rsidRDefault="00BE0A01">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en atención a lo anterior, conviene señalar que la </w:t>
      </w:r>
      <w:r>
        <w:rPr>
          <w:rFonts w:ascii="Palatino Linotype" w:eastAsia="Palatino Linotype" w:hAnsi="Palatino Linotype" w:cs="Palatino Linotype"/>
          <w:color w:val="000000"/>
        </w:rPr>
        <w:t xml:space="preserve">respuesta careció de los principios de congruencia y exhaustividad, ello encuentra sustento en las constancias que obran en el expediente electrónico del recurso de revisión, toda vez que la respuesta entregada no guarda relación con lo peticionado, ello en virtud de que no se pronuncia puntualmente respecto de los permisos, autorizaciones de todas las áreas involucradas para dar la licencia de funcionamiento (protección civil, salud, gobernación, desarrollo económico, desarrollo urbano), </w:t>
      </w:r>
      <w:r w:rsidRPr="00F124C8">
        <w:rPr>
          <w:rFonts w:ascii="Palatino Linotype" w:eastAsia="Palatino Linotype" w:hAnsi="Palatino Linotype" w:cs="Palatino Linotype"/>
          <w:color w:val="000000"/>
        </w:rPr>
        <w:t>específicamente del centro chelero ubicado en el paraje denominado la playita, en Santiago Tilapa,</w:t>
      </w:r>
      <w:r>
        <w:rPr>
          <w:rFonts w:ascii="Palatino Linotype" w:eastAsia="Palatino Linotype" w:hAnsi="Palatino Linotype" w:cs="Palatino Linotype"/>
          <w:color w:val="000000"/>
        </w:rPr>
        <w:t xml:space="preserve"> Municipio de Tianguistenco, como refuerzo de lo anterior</w:t>
      </w:r>
      <w:r>
        <w:rPr>
          <w:rFonts w:ascii="Palatino Linotype" w:eastAsia="Palatino Linotype" w:hAnsi="Palatino Linotype" w:cs="Palatino Linotype"/>
          <w:color w:val="000000"/>
          <w:u w:val="single"/>
        </w:rPr>
        <w:t xml:space="preserve">, resulta crucial traer a colación el Criterio 02/17, emitido por el Pleno del </w:t>
      </w:r>
      <w:r>
        <w:rPr>
          <w:rFonts w:ascii="Palatino Linotype" w:eastAsia="Palatino Linotype" w:hAnsi="Palatino Linotype" w:cs="Palatino Linotype"/>
          <w:color w:val="000000"/>
        </w:rPr>
        <w:t>Instituto Nacional de Transparencia y Acceso a la Información y Protección de Datos Personales, de título y texto siguientes:</w:t>
      </w:r>
    </w:p>
    <w:p w:rsidR="006E1E11" w:rsidRDefault="00BE0A01">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 xml:space="preserve"> “Congruencia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sz w:val="22"/>
          <w:szCs w:val="22"/>
        </w:rPr>
        <w:t xml:space="preserve">; mientras que </w:t>
      </w:r>
      <w:r>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6E1E11" w:rsidRDefault="00BE0A01">
      <w:pPr>
        <w:spacing w:before="240" w:after="240"/>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(Énfasis añadido)</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Bajo esta tesitura, se menciona que no pasa desapercibido para este Organismo Garante que el particular, al no ser experto en la materia, omitió señalar de manera concreta el o los documentos a los que pretende acceder, no obstante, es obligación de los Sujetos Obligados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en el presente caso, se deberá proceder a la entrega del soporte documental en donde conste la información que brinde respuesta a la solicitud, así el particular podrá buscar conforme a su interés.</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Como sustento a lo anterior resulta aplicable el Criterio 16/17, emitido por el Instituto Nacional de Transparencia, Acceso a la Información y Protección de Datos Personales, INAI, establece lo siguiente: </w:t>
      </w:r>
    </w:p>
    <w:p w:rsidR="006E1E11" w:rsidRDefault="00BE0A01">
      <w:pPr>
        <w:pBdr>
          <w:top w:val="nil"/>
          <w:left w:val="nil"/>
          <w:bottom w:val="nil"/>
          <w:right w:val="nil"/>
          <w:between w:val="nil"/>
        </w:pBdr>
        <w:spacing w:after="120"/>
        <w:ind w:left="851" w:right="902"/>
        <w:jc w:val="both"/>
        <w:rPr>
          <w:color w:val="000000"/>
        </w:rPr>
      </w:pPr>
      <w:r>
        <w:rPr>
          <w:color w:val="000000"/>
          <w:sz w:val="22"/>
          <w:szCs w:val="22"/>
        </w:rPr>
        <w:t> “</w:t>
      </w:r>
      <w:r>
        <w:rPr>
          <w:rFonts w:ascii="Palatino Linotype" w:eastAsia="Palatino Linotype" w:hAnsi="Palatino Linotype" w:cs="Palatino Linotype"/>
          <w:b/>
          <w:i/>
          <w:color w:val="000000"/>
          <w:sz w:val="22"/>
          <w:szCs w:val="22"/>
        </w:rPr>
        <w:t xml:space="preserve">Expresión documental. </w:t>
      </w:r>
      <w:r>
        <w:rPr>
          <w:rFonts w:ascii="Palatino Linotype" w:eastAsia="Palatino Linotype" w:hAnsi="Palatino Linotype" w:cs="Palatino Linotype"/>
          <w:i/>
          <w:color w:val="000000"/>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6E1E11" w:rsidRDefault="006E1E11"/>
    <w:p w:rsidR="006E1E11" w:rsidRDefault="00BE0A01">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Asimismo, es pertinente mencionar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rsidR="006E1E11" w:rsidRDefault="00BE0A01">
      <w:pPr>
        <w:pBdr>
          <w:top w:val="nil"/>
          <w:left w:val="nil"/>
          <w:bottom w:val="nil"/>
          <w:right w:val="nil"/>
          <w:between w:val="nil"/>
        </w:pBdr>
        <w:ind w:left="567" w:right="630"/>
        <w:jc w:val="both"/>
        <w:rPr>
          <w:color w:val="000000"/>
        </w:rPr>
      </w:pPr>
      <w:r>
        <w:rPr>
          <w:rFonts w:ascii="Palatino Linotype" w:eastAsia="Palatino Linotype" w:hAnsi="Palatino Linotype" w:cs="Palatino Linotype"/>
          <w:i/>
          <w:color w:val="000000"/>
          <w:sz w:val="22"/>
          <w:szCs w:val="22"/>
        </w:rPr>
        <w:t>Artículo 18. Los sujetos obligados deberán documentar todo acto que derive del ejercicio de sus facultades, competencias o funciones, considerando desde su origen la eventual publicidad y reutilización de la información que generen.</w:t>
      </w:r>
    </w:p>
    <w:p w:rsidR="006E1E11" w:rsidRDefault="006E1E11">
      <w:pPr>
        <w:shd w:val="clear" w:color="auto" w:fill="FFFFFF"/>
        <w:spacing w:line="360" w:lineRule="auto"/>
        <w:jc w:val="both"/>
        <w:rPr>
          <w:rFonts w:ascii="Palatino Linotype" w:eastAsia="Palatino Linotype" w:hAnsi="Palatino Linotype" w:cs="Palatino Linotype"/>
          <w:i/>
          <w:sz w:val="22"/>
          <w:szCs w:val="22"/>
        </w:rPr>
      </w:pPr>
    </w:p>
    <w:p w:rsidR="006E1E11" w:rsidRDefault="00BE0A0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highlight w:val="white"/>
        </w:rPr>
        <w:t xml:space="preserve">Lo anterior, se estima resulta aplicable en el caso concreto, derivado de que si bien es cierto la petición del particular consistió en acceder a </w:t>
      </w:r>
      <w:r>
        <w:rPr>
          <w:rFonts w:ascii="Palatino Linotype" w:eastAsia="Palatino Linotype" w:hAnsi="Palatino Linotype" w:cs="Palatino Linotype"/>
        </w:rPr>
        <w:t xml:space="preserve">los permisos, autorizaciones de todas las áreas involucradas para dar la licencia de funcionamiento (protección civil, salud, gobernación, desarrollo económico, desarrollo urbano), </w:t>
      </w:r>
      <w:r w:rsidRPr="00F124C8">
        <w:rPr>
          <w:rFonts w:ascii="Palatino Linotype" w:eastAsia="Palatino Linotype" w:hAnsi="Palatino Linotype" w:cs="Palatino Linotype"/>
        </w:rPr>
        <w:t>específicamente del centro chelero ubicado en el paraje denominado la playita, en Santiago Tilapa,</w:t>
      </w:r>
      <w:r>
        <w:rPr>
          <w:rFonts w:ascii="Palatino Linotype" w:eastAsia="Palatino Linotype" w:hAnsi="Palatino Linotype" w:cs="Palatino Linotype"/>
        </w:rPr>
        <w:t xml:space="preserve"> Municipio de Tianguistenco, bajo la óptica de esta autoridad se precisa que el particular requiere </w:t>
      </w:r>
      <w:r>
        <w:rPr>
          <w:rFonts w:ascii="Palatino Linotype" w:eastAsia="Palatino Linotype" w:hAnsi="Palatino Linotype" w:cs="Palatino Linotype"/>
          <w:b/>
        </w:rPr>
        <w:t>los dictámenes de giro</w:t>
      </w:r>
      <w:r>
        <w:rPr>
          <w:b/>
        </w:rPr>
        <w:t xml:space="preserve"> </w:t>
      </w:r>
      <w:r>
        <w:rPr>
          <w:rFonts w:ascii="Palatino Linotype" w:eastAsia="Palatino Linotype" w:hAnsi="Palatino Linotype" w:cs="Palatino Linotype"/>
          <w:b/>
        </w:rPr>
        <w:t xml:space="preserve">emitido por el Comité Municipal de Dictámenes de Giro, emitidos para las unidades económicas que se dedican a la </w:t>
      </w:r>
      <w:r>
        <w:rPr>
          <w:rFonts w:ascii="Palatino Linotype" w:eastAsia="Palatino Linotype" w:hAnsi="Palatino Linotype" w:cs="Palatino Linotype"/>
          <w:b/>
        </w:rPr>
        <w:lastRenderedPageBreak/>
        <w:t>venta de bebidas alcohólicas</w:t>
      </w:r>
      <w:r>
        <w:rPr>
          <w:rFonts w:ascii="Palatino Linotype" w:eastAsia="Palatino Linotype" w:hAnsi="Palatino Linotype" w:cs="Palatino Linotype"/>
        </w:rPr>
        <w:t xml:space="preserve">, lo anterior es así, toda vez que se insiste, los particulares no son expertos en la materia para conocer las denominaciones específicas de los documentos. </w:t>
      </w:r>
    </w:p>
    <w:p w:rsidR="006E1E11" w:rsidRDefault="00BE0A01">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esta tesitura, conviene señalar que de conformidad con la Ley de Competitividad y Ordenamiento Comercial del Estado de México, las unidades económicas que tienen autorizada la venta de bebidas alcohólicas, son las de mediano y alto impacto, las cuales deberán contar con el dictamen de giro: </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2. Para los efectos de esta Ley, se entenderá por:</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6E1E11" w:rsidRDefault="00BE0A01">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XXXIII. Unidad económica de alto impacto</w:t>
      </w:r>
      <w:r>
        <w:rPr>
          <w:rFonts w:ascii="Palatino Linotype" w:eastAsia="Palatino Linotype" w:hAnsi="Palatino Linotype" w:cs="Palatino Linotype"/>
          <w:i/>
          <w:color w:val="000000"/>
          <w:sz w:val="22"/>
          <w:szCs w:val="22"/>
        </w:rPr>
        <w:t xml:space="preserve">: A la que </w:t>
      </w:r>
      <w:r>
        <w:rPr>
          <w:rFonts w:ascii="Palatino Linotype" w:eastAsia="Palatino Linotype" w:hAnsi="Palatino Linotype" w:cs="Palatino Linotype"/>
          <w:b/>
          <w:i/>
          <w:color w:val="000000"/>
          <w:sz w:val="22"/>
          <w:szCs w:val="22"/>
          <w:u w:val="single"/>
        </w:rPr>
        <w:t>tiene como actividad principal la venta de bebidas alcohólicas para su consumo inmediato y todas aquellas que requieran de Dictamen de Giro</w:t>
      </w:r>
      <w:r>
        <w:rPr>
          <w:rFonts w:ascii="Palatino Linotype" w:eastAsia="Palatino Linotype" w:hAnsi="Palatino Linotype" w:cs="Palatino Linotype"/>
          <w:b/>
          <w:i/>
          <w:color w:val="000000"/>
          <w:sz w:val="22"/>
          <w:szCs w:val="22"/>
        </w:rPr>
        <w:t xml:space="preserve"> en los términos previstos por las disposiciones jurídicas correspondientes;</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XXXV. </w:t>
      </w:r>
      <w:r>
        <w:rPr>
          <w:rFonts w:ascii="Palatino Linotype" w:eastAsia="Palatino Linotype" w:hAnsi="Palatino Linotype" w:cs="Palatino Linotype"/>
          <w:b/>
          <w:i/>
          <w:color w:val="000000"/>
          <w:sz w:val="22"/>
          <w:szCs w:val="22"/>
        </w:rPr>
        <w:t>Unidad económica de mediano impacto</w:t>
      </w:r>
      <w:r>
        <w:rPr>
          <w:rFonts w:ascii="Palatino Linotype" w:eastAsia="Palatino Linotype" w:hAnsi="Palatino Linotype" w:cs="Palatino Linotype"/>
          <w:i/>
          <w:color w:val="000000"/>
          <w:sz w:val="22"/>
          <w:szCs w:val="22"/>
        </w:rPr>
        <w:t xml:space="preserve">: A las que </w:t>
      </w:r>
      <w:r>
        <w:rPr>
          <w:rFonts w:ascii="Palatino Linotype" w:eastAsia="Palatino Linotype" w:hAnsi="Palatino Linotype" w:cs="Palatino Linotype"/>
          <w:b/>
          <w:i/>
          <w:color w:val="000000"/>
          <w:sz w:val="22"/>
          <w:szCs w:val="22"/>
          <w:u w:val="single"/>
        </w:rPr>
        <w:t>se les autoriza la venta de bebidas alcohólicas para consumo inmediato</w:t>
      </w:r>
      <w:r>
        <w:rPr>
          <w:rFonts w:ascii="Palatino Linotype" w:eastAsia="Palatino Linotype" w:hAnsi="Palatino Linotype" w:cs="Palatino Linotype"/>
          <w:i/>
          <w:color w:val="000000"/>
          <w:sz w:val="22"/>
          <w:szCs w:val="22"/>
        </w:rPr>
        <w:t>, siendo otra su actividad principal.</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SECCIÓN III DE LOS REQUISITOS PARA OBTENER PERMISO O LICENCIA DE FUNCIONAMIENTO PARA LAS UNIDADES ECONÓMICAS DE MEDIANO Y ALTO IMPACTO</w:t>
      </w:r>
    </w:p>
    <w:p w:rsidR="006E1E11" w:rsidRDefault="00BE0A01">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Artículo 66. Para la obtención de un permiso o licencia de funcionamiento, los solicitantes o representante legal tendrán que cumplir los requisitos siguientes:</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I. Solicitud en la que se señale la razón social del solicitante, así como domicilio para oír y recibir notificaciones y dirección de correo electrónico para los efectos de esta Ley. </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caso de que el solicitante sea persona física se cotejarán los datos de la credencial para votar con fotografía. </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Actividad económica que se pretende operar. </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Datos de la licencia de uso del suelo que señale el permitido para la actividad económica que se pretende operar. </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Que cuenta con los cajones de estacionamiento que determine la autoridad correspondiente. </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La capacidad de aforo respectiva. </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Dar cuenta del programa interno de protección civil. </w:t>
      </w:r>
    </w:p>
    <w:p w:rsidR="006E1E11" w:rsidRDefault="00BE0A01">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VII. Dictamen de Giro o permiso, en su caso, emitido por la autoridad municipal. </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Para el caso de las unidades económicas de alto impacto deberá manifestar que cuenta con el sistema de seguridad a que hace referencia esta Ley. </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Una vez cubiertos los requisitos señalados en el presente artículo y en caso de ser procedente el permiso o licencia de funcionamiento, la autoridad hará del conocimiento al solicitante o representante legal el monto a cubrir por los derechos correspondientes, una vez cubiertos se otorgará el permiso o licencia de funcionamiento. </w:t>
      </w:r>
    </w:p>
    <w:p w:rsidR="006E1E11" w:rsidRDefault="00BE0A01">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Artículo 67. La licencia de funcionamiento se revalidará cada año, el titular o la autoridad deberá ingresar al Sistema la solicitud correspondiente, proporcionando la información siguiente: </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Que las condiciones originales para el funcionamiento de las unidades económicas no han variado. </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II. Monto del pago de derechos efectuado y datos de la tesorería. </w:t>
      </w:r>
    </w:p>
    <w:p w:rsidR="006E1E11" w:rsidRDefault="00BE0A01">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III. En su caso contar con Dictamen de Giro.</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Artículo 71. Los ayuntamientos </w:t>
      </w:r>
      <w:r>
        <w:rPr>
          <w:rFonts w:ascii="Palatino Linotype" w:eastAsia="Palatino Linotype" w:hAnsi="Palatino Linotype" w:cs="Palatino Linotype"/>
          <w:b/>
          <w:i/>
          <w:color w:val="000000"/>
          <w:sz w:val="22"/>
          <w:szCs w:val="22"/>
          <w:u w:val="single"/>
        </w:rPr>
        <w:t>solo permitirán el funcionamiento de unidades económicas cuya actividad principal contemple la venta y/o distribución de bebidas alcohólicas en envase abierto y/o al copeo para su consumo en el interior, a las personas físicas y jurídicas colectivas que cuenten previamente con el Dictamen de Giro</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(Sic) (Énfasis añadido)</w:t>
      </w:r>
    </w:p>
    <w:p w:rsidR="006E1E11" w:rsidRDefault="00BE0A01">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manera que con lo citado anteriormente, se colige lo siguiente: </w:t>
      </w:r>
    </w:p>
    <w:p w:rsidR="006E1E11" w:rsidRDefault="00BE0A01">
      <w:pPr>
        <w:numPr>
          <w:ilvl w:val="0"/>
          <w:numId w:val="4"/>
        </w:numPr>
        <w:pBdr>
          <w:top w:val="nil"/>
          <w:left w:val="nil"/>
          <w:bottom w:val="nil"/>
          <w:right w:val="nil"/>
          <w:between w:val="nil"/>
        </w:pBdr>
        <w:spacing w:before="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Las unidades económicas que tienen permitida la venta de bebidas alcohólicas son las de mediano y alto impacto. </w:t>
      </w:r>
    </w:p>
    <w:p w:rsidR="006E1E11" w:rsidRDefault="00BE0A01">
      <w:pPr>
        <w:numPr>
          <w:ilvl w:val="0"/>
          <w:numId w:val="4"/>
        </w:numPr>
        <w:pBdr>
          <w:top w:val="nil"/>
          <w:left w:val="nil"/>
          <w:bottom w:val="nil"/>
          <w:right w:val="nil"/>
          <w:between w:val="nil"/>
        </w:pBdr>
        <w:spacing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Dichas unidades deberán contar con una serie de requisitos, entre los cuales destaca el dictamen de giro. </w:t>
      </w:r>
    </w:p>
    <w:p w:rsidR="006E1E11" w:rsidRDefault="00BE0A01">
      <w:pPr>
        <w:numPr>
          <w:ilvl w:val="0"/>
          <w:numId w:val="4"/>
        </w:numPr>
        <w:pBdr>
          <w:top w:val="nil"/>
          <w:left w:val="nil"/>
          <w:bottom w:val="nil"/>
          <w:right w:val="nil"/>
          <w:between w:val="nil"/>
        </w:pBdr>
        <w:spacing w:after="240" w:line="360" w:lineRule="auto"/>
        <w:ind w:left="426" w:right="90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Específicamente para el caso de las unidades económicas que tengan como actividad preponderante la venta de bebidas alcohólicas para su consumo al interior, deberá contarse previamente con el dictamen de giro. </w:t>
      </w:r>
    </w:p>
    <w:p w:rsidR="006E1E11" w:rsidRDefault="00BE0A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si estamos analizando a los centros cerveceros, es de observancia obligatoria el contenido de estos preceptos. Determinado esto, el dictamen de giro, se concibe como el </w:t>
      </w:r>
      <w:r>
        <w:rPr>
          <w:rFonts w:ascii="Palatino Linotype" w:eastAsia="Palatino Linotype" w:hAnsi="Palatino Linotype" w:cs="Palatino Linotype"/>
          <w:b/>
        </w:rPr>
        <w:t>documento de carácter permanente emitido por el Comité Municipal de Dictámenes de Giro, sustentado en las evaluaciones que realicen las autoridades municipales en el ámbito de su competencia</w:t>
      </w:r>
      <w:r>
        <w:rPr>
          <w:rFonts w:ascii="Palatino Linotype" w:eastAsia="Palatino Linotype" w:hAnsi="Palatino Linotype" w:cs="Palatino Linotype"/>
        </w:rPr>
        <w:t xml:space="preserve">, en materias de salubridad local tratándose de venta de bebidas alcohólicas para consumo inmediato y rastros, previo análisis normativo multidisciplinario, para el funcionamiento de las unidades económicas que regula la presente Ley en los casos </w:t>
      </w:r>
      <w:r>
        <w:rPr>
          <w:rFonts w:ascii="Palatino Linotype" w:eastAsia="Palatino Linotype" w:hAnsi="Palatino Linotype" w:cs="Palatino Linotype"/>
        </w:rPr>
        <w:lastRenderedPageBreak/>
        <w:t xml:space="preserve">que expresamente así lo prevé y en términos de las disposiciones jurídicas aplicables de acuerdo con los principios de transparencia y publicidad. </w:t>
      </w:r>
    </w:p>
    <w:p w:rsidR="006E1E11" w:rsidRDefault="00BE0A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teniendo esto en cuenta, conviene traer a colación lo que regula la multicitada Ley de Competitividad y Ordenamiento Comercial del Estado de México, respecto del dictamen de giro: </w:t>
      </w:r>
    </w:p>
    <w:p w:rsidR="006E1E11" w:rsidRDefault="00BE0A0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20 Bis. - </w:t>
      </w:r>
      <w:r>
        <w:rPr>
          <w:rFonts w:ascii="Palatino Linotype" w:eastAsia="Palatino Linotype" w:hAnsi="Palatino Linotype" w:cs="Palatino Linotype"/>
          <w:b/>
          <w:i/>
          <w:sz w:val="22"/>
          <w:szCs w:val="22"/>
        </w:rPr>
        <w:t>El Dictamen de Giro es el documento de carácter permanente emitido por el Comité Municipal de Dictámenes de Giro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sustentado en las evaluaciones técnicas de factibilidad en materias de salubridad local tratándose de venta de bebidas alcohólicas</w:t>
      </w:r>
      <w:r>
        <w:rPr>
          <w:rFonts w:ascii="Palatino Linotype" w:eastAsia="Palatino Linotype" w:hAnsi="Palatino Linotype" w:cs="Palatino Linotype"/>
          <w:i/>
          <w:sz w:val="22"/>
          <w:szCs w:val="22"/>
        </w:rPr>
        <w:t xml:space="preserve"> y rastros, cuya finalidad es determinar el funcionamiento de unidades económicas, en términos de esta Ley y las disposiciones jurídicas aplicables de acuerdo con los principios de transparencia y publicidad. </w:t>
      </w:r>
    </w:p>
    <w:p w:rsidR="006E1E11" w:rsidRDefault="00BE0A01">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El Comité a que se refiere el párrafo anterior, estará integrado por las personas titulares de las Direcciones municipales de </w:t>
      </w:r>
      <w:r>
        <w:rPr>
          <w:rFonts w:ascii="Palatino Linotype" w:eastAsia="Palatino Linotype" w:hAnsi="Palatino Linotype" w:cs="Palatino Linotype"/>
          <w:b/>
          <w:i/>
          <w:sz w:val="22"/>
          <w:szCs w:val="22"/>
          <w:u w:val="single"/>
        </w:rPr>
        <w:t>Desarrollo Económico, Desarrollo Urbano, Ecología, Protección Civil, Salud o sus equivalentes</w:t>
      </w:r>
      <w:r>
        <w:rPr>
          <w:rFonts w:ascii="Palatino Linotype" w:eastAsia="Palatino Linotype" w:hAnsi="Palatino Linotype" w:cs="Palatino Linotype"/>
          <w:i/>
          <w:sz w:val="22"/>
          <w:szCs w:val="22"/>
        </w:rPr>
        <w:t xml:space="preserve">, un representante de las Cámaras Empresariales, así como un representante del Comité Coordinador del Sistema Municipal Anticorrupción y un representante de la Contraloría Municipal. </w:t>
      </w:r>
      <w:r>
        <w:rPr>
          <w:rFonts w:ascii="Palatino Linotype" w:eastAsia="Palatino Linotype" w:hAnsi="Palatino Linotype" w:cs="Palatino Linotype"/>
          <w:b/>
          <w:i/>
          <w:sz w:val="22"/>
          <w:szCs w:val="22"/>
          <w:u w:val="single"/>
        </w:rPr>
        <w:t>Será presidido por la o el Presidente Municipal</w:t>
      </w:r>
      <w:r>
        <w:rPr>
          <w:rFonts w:ascii="Palatino Linotype" w:eastAsia="Palatino Linotype" w:hAnsi="Palatino Linotype" w:cs="Palatino Linotype"/>
          <w:b/>
          <w:i/>
          <w:sz w:val="22"/>
          <w:szCs w:val="22"/>
        </w:rPr>
        <w:t xml:space="preserve"> o quien éste determine, y tendrá la finalidad de establecer la factibilidad para la operación de las actividades previstas en la presente Ley en términos de las disposiciones jurídicas aplicables.</w:t>
      </w:r>
    </w:p>
    <w:p w:rsidR="006E1E11" w:rsidRDefault="00BE0A01">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6E1E11" w:rsidRDefault="00BE0A01">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20 Quinquies. Una vez cumplida la integración de la totalidad de los formatos, requisitos, documentos y anexos técnicos establecidos en el Registro Municipal de Trámites y servicios que acompañan a la solicitud del Dictamen de Giro, el Comité Municipal de Dictámenes de Giro, emitirá el oficio de procedencia jurídica con el cual, la o el solicitante, puede iniciar la gestión de autorizaciones, licencias y permisos ante las autoridades </w:t>
      </w:r>
      <w:r>
        <w:rPr>
          <w:rFonts w:ascii="Palatino Linotype" w:eastAsia="Palatino Linotype" w:hAnsi="Palatino Linotype" w:cs="Palatino Linotype"/>
          <w:b/>
          <w:i/>
          <w:sz w:val="22"/>
          <w:szCs w:val="22"/>
        </w:rPr>
        <w:lastRenderedPageBreak/>
        <w:t xml:space="preserve">municipales correspondientes, mismo que no es vinculante para la determinación de procedencia del Dictamen de Giro. </w:t>
      </w:r>
    </w:p>
    <w:p w:rsidR="006E1E11" w:rsidRDefault="00BE0A0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20 Sexties. Recibidos los documentos que acrediten los requisitos, en un plazo no mayor a tres días hábiles, </w:t>
      </w:r>
      <w:r>
        <w:rPr>
          <w:rFonts w:ascii="Palatino Linotype" w:eastAsia="Palatino Linotype" w:hAnsi="Palatino Linotype" w:cs="Palatino Linotype"/>
          <w:b/>
          <w:i/>
          <w:sz w:val="22"/>
          <w:szCs w:val="22"/>
        </w:rPr>
        <w:t>el Comité Municipal de Dictámenes de Giro, determinará si existe la necesidad de practicar visita o supervisión técnica y física a la unidad económica, precisando el objeto y alcance de la misma, así como, las autoridades que sean competentes para realizar dicha visita y el plazo para ejecutarla, el cual no será mayor a diez días hábiles. De ser así, en un plazo máximo de tres días hábiles, el Comité Municipal de Dictámenes de Giro notificará a las autoridades municipales correspondientes, para que realicen la supervisión técnica y física del inmueble de la unidad económica, con el objeto de allegarse de los elementos indispensables y estar en aptitud de emitir la evaluación técnica de factibilidad respectiva, que en su caso integre la determinación del Dictamen de Giro o la resolución correspondiente.</w:t>
      </w:r>
      <w:r>
        <w:rPr>
          <w:rFonts w:ascii="Palatino Linotype" w:eastAsia="Palatino Linotype" w:hAnsi="Palatino Linotype" w:cs="Palatino Linotype"/>
          <w:i/>
          <w:sz w:val="22"/>
          <w:szCs w:val="22"/>
        </w:rPr>
        <w:t xml:space="preserve"> Una vez realizada la visita, se deberá elaborar el acta de la misma y entregar al Comité Municipal de Dictámenes de Giro, dentro del término de tres días hábiles. </w:t>
      </w:r>
    </w:p>
    <w:p w:rsidR="006E1E11" w:rsidRDefault="00BE0A01">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20 Septies. </w:t>
      </w:r>
      <w:r>
        <w:rPr>
          <w:rFonts w:ascii="Palatino Linotype" w:eastAsia="Palatino Linotype" w:hAnsi="Palatino Linotype" w:cs="Palatino Linotype"/>
          <w:b/>
          <w:i/>
          <w:sz w:val="22"/>
          <w:szCs w:val="22"/>
        </w:rPr>
        <w:t xml:space="preserve">Concluidas las visitas o supervisiones del artículo anterior, las instancias correspondientes contarán con un plazo improrrogable de veinte días hábiles para emitir las evaluaciones técnicas de factibilidad o la determinación correspondiente y remitirlas al Comité Municipal de Dictámenes de Giro. </w:t>
      </w:r>
    </w:p>
    <w:p w:rsidR="006E1E11" w:rsidRDefault="00BE0A0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20 Octies. </w:t>
      </w:r>
      <w:r>
        <w:rPr>
          <w:rFonts w:ascii="Palatino Linotype" w:eastAsia="Palatino Linotype" w:hAnsi="Palatino Linotype" w:cs="Palatino Linotype"/>
          <w:b/>
          <w:i/>
          <w:sz w:val="22"/>
          <w:szCs w:val="22"/>
        </w:rPr>
        <w:t>Si del análisis técnico de la documentación de la unidad económica y de la visita o supervisión, se concluye, de manera fundada y motivada, la necesidad de otros estudios específicos, contemplados en las disposiciones jurídicas aplicables, dentro del plazo máximo de cinco días hábiles, se notificará a la o el solicitante, a fin de que dé cumplimiento en el término fijado al efecto, que en ningún caso podrá exceder quince días hábiles.</w:t>
      </w:r>
      <w:r>
        <w:rPr>
          <w:rFonts w:ascii="Palatino Linotype" w:eastAsia="Palatino Linotype" w:hAnsi="Palatino Linotype" w:cs="Palatino Linotype"/>
          <w:i/>
          <w:sz w:val="22"/>
          <w:szCs w:val="22"/>
        </w:rPr>
        <w:t xml:space="preserve"> Si por caso fortuito o fuerza mayor el solicitante no pudiera dar cumplimiento o presentar los estudios específicos requeridos, podrá solicitar una prórroga al Comité Municipal de Dictámenes de Giro, el que notificará sobre la procedencia y la ampliación del plazo, hasta por diez días hábiles más. La solicitud de prórroga deberá ser presentada antes de que concluya el plazo fijado para la </w:t>
      </w:r>
      <w:r>
        <w:rPr>
          <w:rFonts w:ascii="Palatino Linotype" w:eastAsia="Palatino Linotype" w:hAnsi="Palatino Linotype" w:cs="Palatino Linotype"/>
          <w:i/>
          <w:sz w:val="22"/>
          <w:szCs w:val="22"/>
        </w:rPr>
        <w:lastRenderedPageBreak/>
        <w:t xml:space="preserve">presentación de los estudios específicos. Si los estudios no son presentados dentro del plazo fijado para dicho efecto, se dará por concluida la solicitud correspondiente. </w:t>
      </w:r>
    </w:p>
    <w:p w:rsidR="006E1E11" w:rsidRDefault="00BE0A01">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20 Nonies. </w:t>
      </w:r>
      <w:r>
        <w:rPr>
          <w:rFonts w:ascii="Palatino Linotype" w:eastAsia="Palatino Linotype" w:hAnsi="Palatino Linotype" w:cs="Palatino Linotype"/>
          <w:b/>
          <w:i/>
          <w:sz w:val="22"/>
          <w:szCs w:val="22"/>
        </w:rPr>
        <w:t xml:space="preserve">Emitidas las evaluaciones técnicas favorables, se procederá a elaborar el Dictamen de Giro, en un plazo no mayor a diez días hábiles, debiendo notificar al solicitante.” </w:t>
      </w:r>
      <w:r>
        <w:rPr>
          <w:rFonts w:ascii="Palatino Linotype" w:eastAsia="Palatino Linotype" w:hAnsi="Palatino Linotype" w:cs="Palatino Linotype"/>
          <w:i/>
          <w:sz w:val="22"/>
          <w:szCs w:val="22"/>
        </w:rPr>
        <w:t>(Sic) (Énfasis añadido)</w:t>
      </w:r>
    </w:p>
    <w:p w:rsidR="006E1E11" w:rsidRDefault="00BE0A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por la cita a estos artículos que encuentra sustento la suplencia previamente invocada, pues debemos recordar que </w:t>
      </w:r>
      <w:r w:rsidRPr="00F124C8">
        <w:rPr>
          <w:rFonts w:ascii="Palatino Linotype" w:eastAsia="Palatino Linotype" w:hAnsi="Palatino Linotype" w:cs="Palatino Linotype"/>
        </w:rPr>
        <w:t>el requerimiento del particular versa específicamente sobre los permisos, autorizaciones de todas las áreas involucradas para dar la licencia de fun</w:t>
      </w:r>
      <w:r w:rsidR="008A4109" w:rsidRPr="00F124C8">
        <w:rPr>
          <w:rFonts w:ascii="Palatino Linotype" w:eastAsia="Palatino Linotype" w:hAnsi="Palatino Linotype" w:cs="Palatino Linotype"/>
        </w:rPr>
        <w:t xml:space="preserve">cionamiento, </w:t>
      </w:r>
      <w:r w:rsidRPr="00F124C8">
        <w:rPr>
          <w:rFonts w:ascii="Palatino Linotype" w:eastAsia="Palatino Linotype" w:hAnsi="Palatino Linotype" w:cs="Palatino Linotype"/>
        </w:rPr>
        <w:t>específicamente del centro chelero ubicado en el paraje denominado la playita, en Santiago Tilapa, Municipio de Tianguistenco,</w:t>
      </w:r>
      <w:r>
        <w:rPr>
          <w:rFonts w:ascii="Palatino Linotype" w:eastAsia="Palatino Linotype" w:hAnsi="Palatino Linotype" w:cs="Palatino Linotype"/>
        </w:rPr>
        <w:t xml:space="preserve"> situación que acontece en la emisión del dictamen de giro pues son estas entidades de la administración pública quienes determinan la factibilidad de las unidades económicas y en consecuencia, se otorga la autorización. </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teniendo estas premisas en cuenta, debe trasladarse al caso concreto que sobre este requerimiento de información, únicamente se pronunciaron la</w:t>
      </w:r>
      <w:r>
        <w:rPr>
          <w:rFonts w:ascii="Palatino Linotype" w:eastAsia="Palatino Linotype" w:hAnsi="Palatino Linotype" w:cs="Palatino Linotype"/>
          <w:b/>
        </w:rPr>
        <w:t xml:space="preserve"> Dirección de Desarrollo Económico, </w:t>
      </w:r>
      <w:r>
        <w:rPr>
          <w:rFonts w:ascii="Palatino Linotype" w:eastAsia="Palatino Linotype" w:hAnsi="Palatino Linotype" w:cs="Palatino Linotype"/>
        </w:rPr>
        <w:t xml:space="preserve">lo cual no satisfizo el derecho de acceso el derecho de acceso a la información de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al incumplir el principio de exhaustividad, toda vez que no se advierte una correcta búsqueda exhaustiva y razonable de la información solicitada por el Particular, lo anterior es así, en razón de que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6E1E11" w:rsidRDefault="00BE0A0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6E1E11" w:rsidRDefault="00BE0A0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rsidR="006E1E11" w:rsidRDefault="00BE0A0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rsidR="006E1E11" w:rsidRDefault="00BE0A0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6E1E11" w:rsidRDefault="00BE0A0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6E1E11" w:rsidRDefault="00BE0A0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6E1E11" w:rsidRDefault="00BE0A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pudieran contar con la información, la Coordinación de Protección Civil y Bomberos, y Dirección de Desarrollo Urbano,  por formar parte del Comité Municipal de Dictámenes de Giro, en los cuales, se insiste, realizan un estudio de carácter multidisciplinario para determinar la factibilidad de las unidades económica de alto impacto que se dedican a la venta de bebidas alcohólicas, esta argumentación se robustece con la siguiente cita del Bando Municipal: </w:t>
      </w:r>
    </w:p>
    <w:p w:rsidR="006E1E11" w:rsidRDefault="00BE0A0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rPr>
        <w:t>“</w:t>
      </w:r>
      <w:r>
        <w:rPr>
          <w:rFonts w:ascii="Palatino Linotype" w:eastAsia="Palatino Linotype" w:hAnsi="Palatino Linotype" w:cs="Palatino Linotype"/>
          <w:b/>
          <w:i/>
          <w:sz w:val="22"/>
          <w:szCs w:val="22"/>
        </w:rPr>
        <w:t xml:space="preserve">Artículo 85. El Ayuntamiento, a través </w:t>
      </w:r>
      <w:r>
        <w:rPr>
          <w:rFonts w:ascii="Palatino Linotype" w:eastAsia="Palatino Linotype" w:hAnsi="Palatino Linotype" w:cs="Palatino Linotype"/>
          <w:b/>
          <w:i/>
          <w:sz w:val="22"/>
          <w:szCs w:val="22"/>
          <w:u w:val="single"/>
        </w:rPr>
        <w:t>de la Dirección de Desarrollo Urbano</w:t>
      </w:r>
      <w:r>
        <w:rPr>
          <w:rFonts w:ascii="Palatino Linotype" w:eastAsia="Palatino Linotype" w:hAnsi="Palatino Linotype" w:cs="Palatino Linotype"/>
          <w:i/>
          <w:sz w:val="22"/>
          <w:szCs w:val="22"/>
        </w:rPr>
        <w:t>, con base en la legislación federal, estatal y municipal tiene las siguientes atribuciones:</w:t>
      </w:r>
    </w:p>
    <w:p w:rsidR="006E1E11" w:rsidRDefault="00BE0A0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E1E11" w:rsidRDefault="00BE0A01">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XLII. Realizar las visitas de verificación </w:t>
      </w:r>
      <w:r>
        <w:rPr>
          <w:rFonts w:ascii="Palatino Linotype" w:eastAsia="Palatino Linotype" w:hAnsi="Palatino Linotype" w:cs="Palatino Linotype"/>
          <w:b/>
          <w:i/>
          <w:sz w:val="22"/>
          <w:szCs w:val="22"/>
          <w:u w:val="single"/>
        </w:rPr>
        <w:t>para el alta de las licencias de funcionamiento en coordinación con la Dirección de Desarrollo Económico y la Coordinación de Protección Civil y Bomberos</w:t>
      </w:r>
      <w:r>
        <w:rPr>
          <w:rFonts w:ascii="Palatino Linotype" w:eastAsia="Palatino Linotype" w:hAnsi="Palatino Linotype" w:cs="Palatino Linotype"/>
          <w:b/>
          <w:i/>
          <w:sz w:val="22"/>
          <w:szCs w:val="22"/>
        </w:rPr>
        <w:t>; y</w:t>
      </w:r>
    </w:p>
    <w:p w:rsidR="006E1E11" w:rsidRDefault="00BE0A01">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(Sic) (Énfasis añadido)</w:t>
      </w:r>
    </w:p>
    <w:p w:rsidR="006E1E11" w:rsidRPr="00BE0A01" w:rsidRDefault="00BE0A01" w:rsidP="00BE0A01">
      <w:pPr>
        <w:spacing w:before="240" w:after="240" w:line="360" w:lineRule="auto"/>
        <w:ind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Ahora bien, </w:t>
      </w:r>
      <w:r>
        <w:rPr>
          <w:rFonts w:ascii="Palatino Linotype" w:eastAsia="Palatino Linotype" w:hAnsi="Palatino Linotype" w:cs="Palatino Linotype"/>
          <w:sz w:val="22"/>
          <w:szCs w:val="22"/>
        </w:rPr>
        <w:t>r</w:t>
      </w:r>
      <w:r>
        <w:rPr>
          <w:rFonts w:ascii="Palatino Linotype" w:eastAsia="Palatino Linotype" w:hAnsi="Palatino Linotype" w:cs="Palatino Linotype"/>
        </w:rPr>
        <w:t xml:space="preserve">especto al punto de la solicitud concerniente a </w:t>
      </w:r>
      <w:r>
        <w:rPr>
          <w:rFonts w:ascii="Palatino Linotype" w:eastAsia="Palatino Linotype" w:hAnsi="Palatino Linotype" w:cs="Palatino Linotype"/>
          <w:b/>
          <w:i/>
        </w:rPr>
        <w:t xml:space="preserve">“ya que el presidente municipal no esta haciendo su trabajo, y esta permitiendo que funcionen centros </w:t>
      </w:r>
      <w:r>
        <w:rPr>
          <w:rFonts w:ascii="Palatino Linotype" w:eastAsia="Palatino Linotype" w:hAnsi="Palatino Linotype" w:cs="Palatino Linotype"/>
          <w:b/>
          <w:i/>
        </w:rPr>
        <w:lastRenderedPageBreak/>
        <w:t>cheleros sin permisos, y lo peor aun es, que se le vende bebidas alcohólicas a menores de edad.”</w:t>
      </w:r>
      <w:r>
        <w:rPr>
          <w:rFonts w:ascii="Palatino Linotype" w:eastAsia="Palatino Linotype" w:hAnsi="Palatino Linotype" w:cs="Palatino Linotype"/>
        </w:rPr>
        <w:t xml:space="preserve">, se advierte que el particular no pretendió ejercer su derecho de acceso a la información pública; sino que por este medio presentó una inquietud, que no es factible atenderse vía acceso a la información pública, toda vez, que la atención a dicha pretensión no se puede colmar con documentos que obren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del análisis realizado al expediente electrónico, se advierte que esta parte de la solicitud no constituye un derecho de acceso a la información y por lo tanto, no es atendible mediante una solicitud de acceso a la información pública, porque se tratan de </w:t>
      </w:r>
      <w:r>
        <w:rPr>
          <w:rFonts w:ascii="Palatino Linotype" w:eastAsia="Palatino Linotype" w:hAnsi="Palatino Linotype" w:cs="Palatino Linotype"/>
          <w:b/>
          <w:u w:val="single"/>
        </w:rPr>
        <w:t>manifestaciones subjetivas</w:t>
      </w:r>
      <w:r>
        <w:rPr>
          <w:rFonts w:ascii="Palatino Linotype" w:eastAsia="Palatino Linotype" w:hAnsi="Palatino Linotype" w:cs="Palatino Linotype"/>
        </w:rPr>
        <w:t xml:space="preserve"> vertidas por el particular como declaraciones, situación que conlleva a afirmar que se está en presencia del ejercicio del derecho a la libre expresión y en todo caso a un derecho de petición. </w:t>
      </w:r>
    </w:p>
    <w:p w:rsidR="006E1E11" w:rsidRDefault="00BE0A01">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A efecto de sustentar lo anterior, es preciso mencionar que David Cienfuegos Salgado, concibe al derecho de petición como </w:t>
      </w:r>
      <w:r>
        <w:rPr>
          <w:rFonts w:ascii="Palatino Linotype" w:eastAsia="Palatino Linotype" w:hAnsi="Palatino Linotype" w:cs="Palatino Linotype"/>
          <w:i/>
        </w:rPr>
        <w:t>“</w:t>
      </w:r>
      <w:r>
        <w:rPr>
          <w:rFonts w:ascii="Palatino Linotype" w:eastAsia="Palatino Linotype" w:hAnsi="Palatino Linotype" w:cs="Palatino Linotype"/>
          <w:b/>
          <w:i/>
          <w:u w:val="single"/>
        </w:rPr>
        <w:t>el derecho de toda persona a ser escuchado por quienes ejercen el poder públic</w:t>
      </w:r>
      <w:r>
        <w:rPr>
          <w:rFonts w:ascii="Palatino Linotype" w:eastAsia="Palatino Linotype" w:hAnsi="Palatino Linotype" w:cs="Palatino Linotype"/>
          <w:i/>
        </w:rPr>
        <w:t>o.</w:t>
      </w:r>
      <w:r>
        <w:rPr>
          <w:rFonts w:ascii="Palatino Linotype" w:eastAsia="Palatino Linotype" w:hAnsi="Palatino Linotype" w:cs="Palatino Linotype"/>
          <w:i/>
          <w:vertAlign w:val="superscript"/>
        </w:rPr>
        <w:t xml:space="preserve"> </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i/>
        </w:rPr>
        <w:t xml:space="preserve">” (Sic) </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misma manera, Miguel Carbonell en su libro “Los derechos fundamentales” refiere que el </w:t>
      </w:r>
      <w:r>
        <w:rPr>
          <w:rFonts w:ascii="Palatino Linotype" w:eastAsia="Palatino Linotype" w:hAnsi="Palatino Linotype" w:cs="Palatino Linotype"/>
          <w:u w:val="single"/>
        </w:rPr>
        <w:t>derecho de petición se ha entendido de dos distintitas maneras</w:t>
      </w:r>
      <w:r>
        <w:rPr>
          <w:rFonts w:ascii="Palatino Linotype" w:eastAsia="Palatino Linotype" w:hAnsi="Palatino Linotype" w:cs="Palatino Linotype"/>
        </w:rPr>
        <w:t xml:space="preserve">, a saber: como un derecho fundamental de participación política ya que </w:t>
      </w:r>
      <w:r>
        <w:rPr>
          <w:rFonts w:ascii="Palatino Linotype" w:eastAsia="Palatino Linotype" w:hAnsi="Palatino Linotype" w:cs="Palatino Linotype"/>
          <w:u w:val="single"/>
        </w:rPr>
        <w:t xml:space="preserve">permite a los particulares trasladar a las autoridades sus </w:t>
      </w:r>
      <w:r>
        <w:rPr>
          <w:rFonts w:ascii="Palatino Linotype" w:eastAsia="Palatino Linotype" w:hAnsi="Palatino Linotype" w:cs="Palatino Linotype"/>
          <w:b/>
          <w:u w:val="single"/>
        </w:rPr>
        <w:t>inquietudes, quejas</w:t>
      </w:r>
      <w:r>
        <w:rPr>
          <w:rFonts w:ascii="Palatino Linotype" w:eastAsia="Palatino Linotype" w:hAnsi="Palatino Linotype" w:cs="Palatino Linotype"/>
          <w:u w:val="single"/>
        </w:rPr>
        <w:t>, sugerencias</w:t>
      </w:r>
      <w:r>
        <w:rPr>
          <w:rFonts w:ascii="Palatino Linotype" w:eastAsia="Palatino Linotype" w:hAnsi="Palatino Linotype" w:cs="Palatino Linotype"/>
        </w:rPr>
        <w:t xml:space="preserve"> y requerimientos en cualquier materia o asunto; y como una </w:t>
      </w:r>
      <w:r>
        <w:rPr>
          <w:rFonts w:ascii="Palatino Linotype" w:eastAsia="Palatino Linotype" w:hAnsi="Palatino Linotype" w:cs="Palatino Linotype"/>
          <w:b/>
        </w:rPr>
        <w:t>forma específica de la libertad de expresión</w:t>
      </w:r>
      <w:r>
        <w:rPr>
          <w:rFonts w:ascii="Palatino Linotype" w:eastAsia="Palatino Linotype" w:hAnsi="Palatino Linotype" w:cs="Palatino Linotype"/>
        </w:rPr>
        <w:t xml:space="preserve">, en tanto que permite expresarse frente a las autoridades. De </w:t>
      </w:r>
      <w:r>
        <w:rPr>
          <w:rFonts w:ascii="Palatino Linotype" w:eastAsia="Palatino Linotype" w:hAnsi="Palatino Linotype" w:cs="Palatino Linotype"/>
        </w:rPr>
        <w:lastRenderedPageBreak/>
        <w:t>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Pr>
          <w:rFonts w:ascii="Palatino Linotype" w:eastAsia="Palatino Linotype" w:hAnsi="Palatino Linotype" w:cs="Palatino Linotype"/>
          <w:vertAlign w:val="superscript"/>
        </w:rPr>
        <w:footnoteReference w:id="2"/>
      </w:r>
    </w:p>
    <w:p w:rsidR="006E1E11" w:rsidRDefault="00BE0A01">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el autor anteriormente citado, indica que el </w:t>
      </w:r>
      <w:r>
        <w:rPr>
          <w:rFonts w:ascii="Palatino Linotype" w:eastAsia="Palatino Linotype" w:hAnsi="Palatino Linotype" w:cs="Palatino Linotype"/>
          <w:b/>
          <w:u w:val="single"/>
        </w:rPr>
        <w:t>derecho de acceso a la información pública</w:t>
      </w:r>
      <w:r>
        <w:rPr>
          <w:rFonts w:ascii="Palatino Linotype" w:eastAsia="Palatino Linotype" w:hAnsi="Palatino Linotype" w:cs="Palatino Linotype"/>
        </w:rPr>
        <w:t xml:space="preserve"> es el derecho de conocer la </w:t>
      </w:r>
      <w:r>
        <w:rPr>
          <w:rFonts w:ascii="Palatino Linotype" w:eastAsia="Palatino Linotype" w:hAnsi="Palatino Linotype" w:cs="Palatino Linotype"/>
          <w:u w:val="single"/>
        </w:rPr>
        <w:t>información de carácter público que se genera o está en posesión de los órganos del poder público</w:t>
      </w:r>
      <w:r>
        <w:rPr>
          <w:rFonts w:ascii="Palatino Linotype" w:eastAsia="Palatino Linotype" w:hAnsi="Palatino Linotype" w:cs="Palatino Linotype"/>
        </w:rPr>
        <w:t xml:space="preserve"> o de los sujetos que utilizan o se benefician con recursos provenientes del Estado, es el derecho que tienen los ciudadanos para acceder a documentos y datos que obren en el poder del gobierno.</w:t>
      </w:r>
    </w:p>
    <w:p w:rsidR="006E1E11" w:rsidRDefault="00BE0A01">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Pr>
          <w:rFonts w:ascii="Palatino Linotype" w:eastAsia="Palatino Linotype" w:hAnsi="Palatino Linotype" w:cs="Palatino Linotype"/>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Pr>
          <w:rFonts w:ascii="Palatino Linotype" w:eastAsia="Palatino Linotype" w:hAnsi="Palatino Linotype" w:cs="Palatino Linotype"/>
          <w:vertAlign w:val="superscript"/>
        </w:rPr>
        <w:footnoteReference w:id="3"/>
      </w:r>
    </w:p>
    <w:p w:rsidR="006E1E11" w:rsidRDefault="00BE0A01">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Pr>
          <w:rFonts w:ascii="Palatino Linotype" w:eastAsia="Palatino Linotype" w:hAnsi="Palatino Linotype" w:cs="Palatino Linotype"/>
        </w:rPr>
        <w:t xml:space="preserve">Es por todo lo anteriormente expuesto que se puede concluir que la distinción entre el </w:t>
      </w:r>
      <w:r>
        <w:rPr>
          <w:rFonts w:ascii="Palatino Linotype" w:eastAsia="Palatino Linotype" w:hAnsi="Palatino Linotype" w:cs="Palatino Linotype"/>
          <w:b/>
        </w:rPr>
        <w:t>derecho de petición</w:t>
      </w:r>
      <w:r>
        <w:rPr>
          <w:rFonts w:ascii="Palatino Linotype" w:eastAsia="Palatino Linotype" w:hAnsi="Palatino Linotype" w:cs="Palatino Linotype"/>
        </w:rPr>
        <w:t xml:space="preserve"> y el derecho de acceso a la información descansa, principalmente, en que </w:t>
      </w:r>
      <w:r>
        <w:rPr>
          <w:rFonts w:ascii="Palatino Linotype" w:eastAsia="Palatino Linotype" w:hAnsi="Palatino Linotype" w:cs="Palatino Linotype"/>
          <w:u w:val="single"/>
        </w:rPr>
        <w:t xml:space="preserve">la pretensión del peticionario consiste generalmente en obligar a la autoridad responsable a que actúe </w:t>
      </w:r>
      <w:r>
        <w:rPr>
          <w:rFonts w:ascii="Palatino Linotype" w:eastAsia="Palatino Linotype" w:hAnsi="Palatino Linotype" w:cs="Palatino Linotype"/>
        </w:rPr>
        <w:t xml:space="preserve">en el sentido de contestar lo solicitado, mientras que en el derecho de acceso a la información pública la </w:t>
      </w:r>
      <w:r>
        <w:rPr>
          <w:rFonts w:ascii="Palatino Linotype" w:eastAsia="Palatino Linotype" w:hAnsi="Palatino Linotype" w:cs="Palatino Linotype"/>
        </w:rPr>
        <w:lastRenderedPageBreak/>
        <w:t>pretensión radica en que se permita el acceso a datos y todo tipo de documentación que tenga el carácter de información pública, que sea generada, administrada o se encuentre en posesión de los considerados Sujetos Obligados por la Ley de la Materia.</w:t>
      </w:r>
    </w:p>
    <w:p w:rsidR="006E1E11" w:rsidRDefault="00BE0A01">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Por otro lado, respecto de las manifestaciones realizadas por el Recurrente como</w:t>
      </w:r>
      <w:r>
        <w:rPr>
          <w:rFonts w:ascii="Palatino Linotype" w:eastAsia="Palatino Linotype" w:hAnsi="Palatino Linotype" w:cs="Palatino Linotype"/>
        </w:rPr>
        <w:br/>
        <w:t xml:space="preserve">razones o motivos de inconformidad del presente recurso de revisión, consistentes en </w:t>
      </w:r>
      <w:r>
        <w:rPr>
          <w:rFonts w:ascii="Palatino Linotype" w:eastAsia="Palatino Linotype" w:hAnsi="Palatino Linotype" w:cs="Palatino Linotype"/>
          <w:i/>
        </w:rPr>
        <w:t>“</w:t>
      </w:r>
      <w:r>
        <w:rPr>
          <w:rFonts w:ascii="Palatino Linotype" w:eastAsia="Palatino Linotype" w:hAnsi="Palatino Linotype" w:cs="Palatino Linotype"/>
          <w:b/>
          <w:i/>
        </w:rPr>
        <w:t>solicito la intervención del órgano interno de control del INFOEM, para que en su caso sancione al o a los servidores públicos responsables de negarme la información</w:t>
      </w:r>
      <w:r>
        <w:rPr>
          <w:rFonts w:ascii="Palatino Linotype" w:eastAsia="Palatino Linotype" w:hAnsi="Palatino Linotype" w:cs="Palatino Linotype"/>
          <w:i/>
        </w:rPr>
        <w:t xml:space="preserve">, ya que con la respuesta que emite el sujeto obligado, esta aceptando que si cuenta con la información e intenta evadir su responsabilidad de proporcionar la información pública, violando así mi derecho humano de acceso a la información pública, contemplado en la constitución federal. </w:t>
      </w:r>
      <w:r>
        <w:rPr>
          <w:rFonts w:ascii="Palatino Linotype" w:eastAsia="Palatino Linotype" w:hAnsi="Palatino Linotype" w:cs="Palatino Linotype"/>
          <w:b/>
          <w:i/>
        </w:rPr>
        <w:t>exijo</w:t>
      </w:r>
      <w:r>
        <w:rPr>
          <w:rFonts w:ascii="Palatino Linotype" w:eastAsia="Palatino Linotype" w:hAnsi="Palatino Linotype" w:cs="Palatino Linotype"/>
          <w:i/>
        </w:rPr>
        <w:t xml:space="preserve"> se me proporcione la información solicitada y </w:t>
      </w:r>
      <w:r>
        <w:rPr>
          <w:rFonts w:ascii="Palatino Linotype" w:eastAsia="Palatino Linotype" w:hAnsi="Palatino Linotype" w:cs="Palatino Linotype"/>
          <w:b/>
          <w:i/>
        </w:rPr>
        <w:t>se sancione a los servidores públicos responsables. esta solicitud la realizo por cuestiones personales, y con esta evasión por parte del sujeto obligado,</w:t>
      </w:r>
      <w:r>
        <w:rPr>
          <w:rFonts w:ascii="Palatino Linotype" w:eastAsia="Palatino Linotype" w:hAnsi="Palatino Linotype" w:cs="Palatino Linotype"/>
          <w:i/>
        </w:rPr>
        <w:t xml:space="preserve"> solo esta retrasando mis propios tramites personales con respecto a este centro chelero; además de que el titular de la unidad de transparencia, no esta haciendo su trabajo, ya que no esta enviando oficios a todas las areas involucradas, ya que no solo es responsabilidad de desarrollo económico, si que intervienen mas áreas</w:t>
      </w:r>
      <w:r>
        <w:rPr>
          <w:rFonts w:ascii="Palatino Linotype" w:eastAsia="Palatino Linotype" w:hAnsi="Palatino Linotype" w:cs="Palatino Linotype"/>
        </w:rPr>
        <w:t>”; derivado que el Recurso de Revisión no es el medio para sancionar, este Organismo Garante sugiere al solicitante, interponer su queja o</w:t>
      </w:r>
      <w:r>
        <w:rPr>
          <w:rFonts w:ascii="Palatino Linotype" w:eastAsia="Palatino Linotype" w:hAnsi="Palatino Linotype" w:cs="Palatino Linotype"/>
        </w:rPr>
        <w:br/>
        <w:t>denuncia ante la autoridad competente.</w:t>
      </w:r>
    </w:p>
    <w:p w:rsidR="006E1E11" w:rsidRDefault="00BE0A01" w:rsidP="00BE0A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todo lo expuesto que para este Organismo Garante, queda plenamente establecido que al Ayuntamiento de Tianguistenco, </w:t>
      </w:r>
      <w:r>
        <w:rPr>
          <w:rFonts w:ascii="Palatino Linotype" w:eastAsia="Palatino Linotype" w:hAnsi="Palatino Linotype" w:cs="Palatino Linotype"/>
          <w:u w:val="single"/>
        </w:rPr>
        <w:t>le asiste la facultad de expedir los dictámenes de giro previo análisis de las condiciones de las unidades económicas de alto impacto</w:t>
      </w:r>
      <w:r>
        <w:rPr>
          <w:rFonts w:ascii="Palatino Linotype" w:eastAsia="Palatino Linotype" w:hAnsi="Palatino Linotype" w:cs="Palatino Linotype"/>
        </w:rPr>
        <w:t xml:space="preserve">, de ahí que se concluya que la información solicitada sea de carácter </w:t>
      </w:r>
      <w:r>
        <w:rPr>
          <w:rFonts w:ascii="Palatino Linotype" w:eastAsia="Palatino Linotype" w:hAnsi="Palatino Linotype" w:cs="Palatino Linotype"/>
        </w:rPr>
        <w:lastRenderedPageBreak/>
        <w:t xml:space="preserve">público, en virtud de que la genera, posee y administra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rPr>
        <w:t xml:space="preserve"> en el ejercicio de sus funciones de derecho </w:t>
      </w:r>
      <w:r w:rsidRPr="00F124C8">
        <w:rPr>
          <w:rFonts w:ascii="Palatino Linotype" w:eastAsia="Palatino Linotype" w:hAnsi="Palatino Linotype" w:cs="Palatino Linotype"/>
        </w:rPr>
        <w:t>público, por ello es dable, ordenar haga entrega del dictamen de giro del centro cervecero ubicado en el paraje denominado la playita, en la localidad de Santiago Tilapa, no obstante, para el caso en el que no cuente con este soporte documental, deberá hacerlo del conocimiento del particular de manera fundada y motivada, en términos del segundo párrafo del artículo 19 de la Ley de Transparencia y Acceso a la Información Pública del Estado de México y Municipios, toda vez que así se brinda certeza jurídica a los particulares de que se</w:t>
      </w:r>
      <w:r>
        <w:rPr>
          <w:rFonts w:ascii="Palatino Linotype" w:eastAsia="Palatino Linotype" w:hAnsi="Palatino Linotype" w:cs="Palatino Linotype"/>
        </w:rPr>
        <w:t xml:space="preserve"> agotó el procedimiento previsto por la normatividad.</w:t>
      </w:r>
    </w:p>
    <w:p w:rsidR="006E1E11" w:rsidRPr="00BE0A01" w:rsidRDefault="00BE0A01" w:rsidP="00BE0A01">
      <w:pPr>
        <w:spacing w:line="276" w:lineRule="auto"/>
        <w:ind w:left="860" w:right="860"/>
        <w:jc w:val="both"/>
        <w:rPr>
          <w:rFonts w:ascii="Palatino Linotype" w:eastAsia="Palatino Linotype" w:hAnsi="Palatino Linotype" w:cs="Palatino Linotype"/>
          <w:i/>
          <w:sz w:val="22"/>
        </w:rPr>
      </w:pPr>
      <w:r w:rsidRPr="00BE0A01">
        <w:rPr>
          <w:rFonts w:ascii="Palatino Linotype" w:eastAsia="Palatino Linotype" w:hAnsi="Palatino Linotype" w:cs="Palatino Linotype"/>
          <w:b/>
          <w:i/>
          <w:sz w:val="22"/>
        </w:rPr>
        <w:t>“FUNDAMENTACIÓN Y MOTIVACIÓN DE LOS ACTOS ADMINISTRATIVOS</w:t>
      </w:r>
      <w:r w:rsidRPr="00BE0A01">
        <w:rPr>
          <w:rFonts w:ascii="Palatino Linotype" w:eastAsia="Palatino Linotype" w:hAnsi="Palatino Linotype" w:cs="Palatino Linotype"/>
          <w:i/>
          <w:sz w:val="22"/>
        </w:rPr>
        <w:t xml:space="preserve">. De acuerdo con  el artículo 16 constitucional, </w:t>
      </w:r>
      <w:r w:rsidRPr="00BE0A01">
        <w:rPr>
          <w:rFonts w:ascii="Palatino Linotype" w:eastAsia="Palatino Linotype" w:hAnsi="Palatino Linotype" w:cs="Palatino Linotype"/>
          <w:b/>
          <w:i/>
          <w:sz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RPr="00BE0A01">
        <w:rPr>
          <w:rFonts w:ascii="Palatino Linotype" w:eastAsia="Palatino Linotype" w:hAnsi="Palatino Linotype" w:cs="Palatino Linotype"/>
          <w:i/>
          <w:sz w:val="22"/>
        </w:rPr>
        <w:t xml:space="preserve">.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w:t>
      </w:r>
      <w:r w:rsidRPr="00BE0A01">
        <w:rPr>
          <w:rFonts w:ascii="Palatino Linotype" w:eastAsia="Palatino Linotype" w:hAnsi="Palatino Linotype" w:cs="Palatino Linotype"/>
          <w:i/>
          <w:sz w:val="22"/>
        </w:rPr>
        <w:lastRenderedPageBreak/>
        <w:t>que otorgan competencia o facultades a las autoridades para emitir el acto en agravio del gobernado.”</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En mérito de lo expuesto, esta autoridad estima que las razones o motivos de inconformidad hechos valer por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estiman  parcialmente fundados; por lo que, lo procedente es </w:t>
      </w:r>
      <w:r>
        <w:rPr>
          <w:rFonts w:ascii="Palatino Linotype" w:eastAsia="Palatino Linotype" w:hAnsi="Palatino Linotype" w:cs="Palatino Linotype"/>
          <w:b/>
        </w:rPr>
        <w:t>REVOCAR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y ordenar la entrega de la información conforme al considerando siguiente.</w:t>
      </w:r>
    </w:p>
    <w:p w:rsidR="006E1E11" w:rsidRDefault="00BE0A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6E1E11" w:rsidRDefault="00BE0A01">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 Información clasificada</w:t>
      </w:r>
      <w:r>
        <w:rPr>
          <w:rFonts w:ascii="Palatino Linotype" w:eastAsia="Palatino Linotype" w:hAnsi="Palatino Linotype" w:cs="Palatino Linotype"/>
          <w:i/>
          <w:sz w:val="22"/>
          <w:szCs w:val="22"/>
        </w:rPr>
        <w:t>: Aquella considerada por la presente Ley como reservada o confidencial;</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6E1E11">
        <w:tc>
          <w:tcPr>
            <w:tcW w:w="4253" w:type="dxa"/>
            <w:gridSpan w:val="2"/>
            <w:tcBorders>
              <w:top w:val="nil"/>
              <w:left w:val="nil"/>
              <w:right w:val="nil"/>
            </w:tcBorders>
          </w:tcPr>
          <w:p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6E1E11">
        <w:tc>
          <w:tcPr>
            <w:tcW w:w="1134" w:type="dxa"/>
          </w:tcPr>
          <w:p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6E1E11">
        <w:tc>
          <w:tcPr>
            <w:tcW w:w="8828" w:type="dxa"/>
            <w:gridSpan w:val="4"/>
          </w:tcPr>
          <w:p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 como confidencial. Si el documento fuera confidencial en su totalidad, se anotarán todas las páginas que lo conforman. Si el </w:t>
            </w:r>
            <w:r>
              <w:rPr>
                <w:rFonts w:ascii="Palatino Linotype" w:eastAsia="Palatino Linotype" w:hAnsi="Palatino Linotype" w:cs="Palatino Linotype"/>
                <w:sz w:val="12"/>
                <w:szCs w:val="12"/>
              </w:rPr>
              <w:lastRenderedPageBreak/>
              <w:t>documento no contiene información confidencial, se tachará este apartado.</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Ampliación del periodo de reserva</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Fundamento legal</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6E1E11">
        <w:tc>
          <w:tcPr>
            <w:tcW w:w="1134" w:type="dxa"/>
          </w:tcPr>
          <w:p w:rsidR="006E1E11" w:rsidRDefault="006E1E11">
            <w:pPr>
              <w:jc w:val="both"/>
              <w:rPr>
                <w:rFonts w:ascii="Palatino Linotype" w:eastAsia="Palatino Linotype" w:hAnsi="Palatino Linotype" w:cs="Palatino Linotype"/>
                <w:b/>
                <w:sz w:val="12"/>
                <w:szCs w:val="12"/>
              </w:rPr>
            </w:pPr>
          </w:p>
        </w:tc>
        <w:tc>
          <w:tcPr>
            <w:tcW w:w="3119" w:type="dxa"/>
          </w:tcPr>
          <w:p w:rsidR="006E1E11" w:rsidRDefault="006E1E11">
            <w:pPr>
              <w:jc w:val="both"/>
              <w:rPr>
                <w:rFonts w:ascii="Palatino Linotype" w:eastAsia="Palatino Linotype" w:hAnsi="Palatino Linotype" w:cs="Palatino Linotype"/>
                <w:sz w:val="12"/>
                <w:szCs w:val="12"/>
              </w:rPr>
            </w:pP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6E1E11">
        <w:tc>
          <w:tcPr>
            <w:tcW w:w="1134" w:type="dxa"/>
          </w:tcPr>
          <w:p w:rsidR="006E1E11" w:rsidRDefault="006E1E11">
            <w:pPr>
              <w:jc w:val="both"/>
              <w:rPr>
                <w:rFonts w:ascii="Palatino Linotype" w:eastAsia="Palatino Linotype" w:hAnsi="Palatino Linotype" w:cs="Palatino Linotype"/>
                <w:b/>
                <w:sz w:val="12"/>
                <w:szCs w:val="12"/>
              </w:rPr>
            </w:pPr>
          </w:p>
        </w:tc>
        <w:tc>
          <w:tcPr>
            <w:tcW w:w="3119" w:type="dxa"/>
          </w:tcPr>
          <w:p w:rsidR="006E1E11" w:rsidRDefault="006E1E11">
            <w:pPr>
              <w:jc w:val="both"/>
              <w:rPr>
                <w:rFonts w:ascii="Palatino Linotype" w:eastAsia="Palatino Linotype" w:hAnsi="Palatino Linotype" w:cs="Palatino Linotype"/>
                <w:sz w:val="12"/>
                <w:szCs w:val="12"/>
              </w:rPr>
            </w:pP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anteriormente expuesto y con fundamento en lo prescrito en los artículos 5 párrafos vigésimo segundo, vigésimo tercero y vigésimo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6E1E11" w:rsidRDefault="00BE0A01">
      <w:pPr>
        <w:numPr>
          <w:ilvl w:val="0"/>
          <w:numId w:val="6"/>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6E1E11" w:rsidRDefault="00BE0A01">
      <w:pPr>
        <w:spacing w:before="240" w:after="240" w:line="360" w:lineRule="auto"/>
        <w:jc w:val="both"/>
        <w:rPr>
          <w:rFonts w:ascii="Palatino Linotype" w:eastAsia="Palatino Linotype" w:hAnsi="Palatino Linotype" w:cs="Palatino Linotype"/>
        </w:rPr>
      </w:pPr>
      <w:bookmarkStart w:id="2" w:name="_heading=h.3znysh7" w:colFirst="0" w:colLast="0"/>
      <w:bookmarkEnd w:id="2"/>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parcialmente fundadas</w:t>
      </w:r>
      <w:r>
        <w:rPr>
          <w:rFonts w:ascii="Palatino Linotype" w:eastAsia="Palatino Linotype" w:hAnsi="Palatino Linotype" w:cs="Palatino Linotype"/>
        </w:rPr>
        <w:t xml:space="preserve"> las razones o motivos de inconformidad hechos valer por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06754/INFOEM/IP/RR/2022</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p>
    <w:p w:rsidR="006E1E11" w:rsidRDefault="00BE0A01">
      <w:pPr>
        <w:spacing w:before="240" w:after="240" w:line="360" w:lineRule="auto"/>
        <w:ind w:right="49"/>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haga entrega 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previa búsqueda exhaustiva y razonable</w:t>
      </w:r>
      <w:r>
        <w:rPr>
          <w:rFonts w:ascii="Palatino Linotype" w:eastAsia="Palatino Linotype" w:hAnsi="Palatino Linotype" w:cs="Palatino Linotype"/>
        </w:rPr>
        <w:t>, vía SAIMEX</w:t>
      </w:r>
      <w:r>
        <w:rPr>
          <w:rFonts w:ascii="Palatino Linotype" w:eastAsia="Palatino Linotype" w:hAnsi="Palatino Linotype" w:cs="Palatino Linotype"/>
          <w:b/>
        </w:rPr>
        <w:t>, de ser el caso en versión pública</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Cuarto y Quinto</w:t>
      </w:r>
      <w:r>
        <w:rPr>
          <w:rFonts w:ascii="Palatino Linotype" w:eastAsia="Palatino Linotype" w:hAnsi="Palatino Linotype" w:cs="Palatino Linotype"/>
        </w:rPr>
        <w:t>:</w:t>
      </w:r>
    </w:p>
    <w:p w:rsidR="006E1E11" w:rsidRPr="00F124C8" w:rsidRDefault="00BE0A01" w:rsidP="00BE0A01">
      <w:pPr>
        <w:pStyle w:val="Prrafodelista"/>
        <w:numPr>
          <w:ilvl w:val="0"/>
          <w:numId w:val="7"/>
        </w:numPr>
        <w:pBdr>
          <w:top w:val="nil"/>
          <w:left w:val="nil"/>
          <w:bottom w:val="nil"/>
          <w:right w:val="nil"/>
          <w:between w:val="nil"/>
        </w:pBdr>
        <w:spacing w:after="240" w:line="276" w:lineRule="auto"/>
        <w:ind w:left="567" w:right="900" w:hanging="141"/>
        <w:jc w:val="both"/>
        <w:rPr>
          <w:rFonts w:ascii="Palatino Linotype" w:eastAsia="Palatino Linotype" w:hAnsi="Palatino Linotype" w:cs="Palatino Linotype"/>
          <w:b/>
          <w:i/>
          <w:color w:val="000000"/>
          <w:sz w:val="22"/>
          <w:szCs w:val="22"/>
        </w:rPr>
      </w:pPr>
      <w:r w:rsidRPr="00F124C8">
        <w:rPr>
          <w:rFonts w:ascii="Palatino Linotype" w:eastAsia="Palatino Linotype" w:hAnsi="Palatino Linotype" w:cs="Palatino Linotype"/>
          <w:b/>
          <w:i/>
          <w:color w:val="000000"/>
          <w:sz w:val="22"/>
          <w:szCs w:val="22"/>
        </w:rPr>
        <w:t xml:space="preserve">Dictamen de giro del centro cervecero ubicado en el paraje denominado la playita, en la localidad de Santiago Tilapa. </w:t>
      </w:r>
    </w:p>
    <w:p w:rsidR="006E1E11" w:rsidRDefault="00BE0A0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Pr>
          <w:rFonts w:ascii="Palatino Linotype" w:eastAsia="Palatino Linotype" w:hAnsi="Palatino Linotype" w:cs="Palatino Linotype"/>
          <w:b/>
          <w:i/>
          <w:sz w:val="22"/>
          <w:szCs w:val="22"/>
        </w:rPr>
        <w:t>la parte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bookmarkStart w:id="4" w:name="_heading=h.2et92p0" w:colFirst="0" w:colLast="0"/>
      <w:bookmarkEnd w:id="4"/>
      <w:r>
        <w:rPr>
          <w:rFonts w:ascii="Palatino Linotype" w:eastAsia="Palatino Linotype" w:hAnsi="Palatino Linotype" w:cs="Palatino Linotype"/>
          <w:i/>
          <w:color w:val="000000"/>
          <w:sz w:val="22"/>
          <w:szCs w:val="22"/>
        </w:rPr>
        <w:t xml:space="preserve">Para el caso en el que no cuente con la información que se ordena entregar, deberá hacerlo del conocimiento de </w:t>
      </w:r>
      <w:r>
        <w:rPr>
          <w:rFonts w:ascii="Palatino Linotype" w:eastAsia="Palatino Linotype" w:hAnsi="Palatino Linotype" w:cs="Palatino Linotype"/>
          <w:b/>
          <w:i/>
          <w:color w:val="000000"/>
          <w:sz w:val="22"/>
          <w:szCs w:val="22"/>
        </w:rPr>
        <w:t>la parte Recurrente</w:t>
      </w:r>
      <w:r>
        <w:rPr>
          <w:rFonts w:ascii="Palatino Linotype" w:eastAsia="Palatino Linotype" w:hAnsi="Palatino Linotype" w:cs="Palatino Linotype"/>
          <w:i/>
          <w:color w:val="000000"/>
          <w:sz w:val="22"/>
          <w:szCs w:val="22"/>
        </w:rPr>
        <w:t xml:space="preserve"> de manera fundada y motivada, en términos del segundo párrafo del artículo 19 de la Ley de Transparencia y Acceso a la Información Pública del Estado de México y Municipios. </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vía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Notifíquese vía SAIMEX,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6E1E11" w:rsidRDefault="00F124C8">
      <w:pPr>
        <w:spacing w:before="240" w:after="240" w:line="360" w:lineRule="auto"/>
        <w:jc w:val="both"/>
        <w:rPr>
          <w:rFonts w:ascii="Palatino Linotype" w:eastAsia="Palatino Linotype" w:hAnsi="Palatino Linotype" w:cs="Palatino Linotype"/>
          <w:sz w:val="20"/>
          <w:szCs w:val="20"/>
        </w:rPr>
        <w:sectPr w:rsidR="006E1E11">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pPr>
      <w:r>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0288" behindDoc="0" locked="0" layoutInCell="1" allowOverlap="1">
                <wp:simplePos x="0" y="0"/>
                <wp:positionH relativeFrom="column">
                  <wp:posOffset>24765</wp:posOffset>
                </wp:positionH>
                <wp:positionV relativeFrom="paragraph">
                  <wp:posOffset>2722879</wp:posOffset>
                </wp:positionV>
                <wp:extent cx="5486400" cy="51911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486400" cy="519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06DAD1"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5pt,214.4pt" to="433.95pt,6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" strokecolor="black [3040]"/>
            </w:pict>
          </mc:Fallback>
        </mc:AlternateContent>
      </w:r>
      <w:r w:rsidR="00BE0A01">
        <w:rPr>
          <w:rFonts w:ascii="Palatino Linotype" w:eastAsia="Palatino Linotype" w:hAnsi="Palatino Linotype" w:cs="Palatino Linotype"/>
        </w:rPr>
        <w:t>ASÍ LO RESUELVE, POR UNANIMIDAD DE VOTO</w:t>
      </w:r>
      <w:bookmarkStart w:id="5" w:name="_GoBack"/>
      <w:bookmarkEnd w:id="5"/>
      <w:r w:rsidR="00BE0A01">
        <w:rPr>
          <w:rFonts w:ascii="Palatino Linotype" w:eastAsia="Palatino Linotype" w:hAnsi="Palatino Linotype" w:cs="Palatino Linotype"/>
        </w:rPr>
        <w:t>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SIETE DE SEPTIEMBRE DE DOS MIL VEINTIDÓS, ANTE EL SECRETARIO TÉCNICO DEL PLENO, ALEXIS TAPIA RAMÍREZ.</w:t>
      </w:r>
    </w:p>
    <w:p w:rsidR="006E1E11" w:rsidRDefault="006E1E11">
      <w:pPr>
        <w:spacing w:before="240" w:after="240" w:line="360" w:lineRule="auto"/>
        <w:jc w:val="both"/>
        <w:rPr>
          <w:rFonts w:ascii="Palatino Linotype" w:eastAsia="Palatino Linotype" w:hAnsi="Palatino Linotype" w:cs="Palatino Linotype"/>
          <w:sz w:val="20"/>
          <w:szCs w:val="20"/>
        </w:rPr>
      </w:pPr>
    </w:p>
    <w:p w:rsidR="006E1E11" w:rsidRDefault="006E1E11">
      <w:pPr>
        <w:spacing w:before="240" w:after="240" w:line="360" w:lineRule="auto"/>
        <w:jc w:val="both"/>
        <w:rPr>
          <w:rFonts w:ascii="Palatino Linotype" w:eastAsia="Palatino Linotype" w:hAnsi="Palatino Linotype" w:cs="Palatino Linotype"/>
          <w:sz w:val="20"/>
          <w:szCs w:val="20"/>
        </w:rPr>
      </w:pPr>
    </w:p>
    <w:p w:rsidR="006E1E11" w:rsidRDefault="006E1E11">
      <w:pPr>
        <w:spacing w:before="240" w:after="240" w:line="360" w:lineRule="auto"/>
        <w:jc w:val="both"/>
        <w:rPr>
          <w:rFonts w:ascii="Palatino Linotype" w:eastAsia="Palatino Linotype" w:hAnsi="Palatino Linotype" w:cs="Palatino Linotype"/>
          <w:sz w:val="20"/>
          <w:szCs w:val="20"/>
        </w:rPr>
      </w:pPr>
    </w:p>
    <w:p w:rsidR="006E1E11" w:rsidRDefault="006E1E11">
      <w:pPr>
        <w:spacing w:before="240" w:after="240" w:line="360" w:lineRule="auto"/>
        <w:jc w:val="both"/>
        <w:rPr>
          <w:rFonts w:ascii="Palatino Linotype" w:eastAsia="Palatino Linotype" w:hAnsi="Palatino Linotype" w:cs="Palatino Linotype"/>
          <w:sz w:val="20"/>
          <w:szCs w:val="20"/>
        </w:rPr>
      </w:pPr>
    </w:p>
    <w:p w:rsidR="006E1E11" w:rsidRDefault="006E1E11">
      <w:pPr>
        <w:spacing w:before="240" w:after="240" w:line="360" w:lineRule="auto"/>
        <w:jc w:val="both"/>
        <w:rPr>
          <w:rFonts w:ascii="Palatino Linotype" w:eastAsia="Palatino Linotype" w:hAnsi="Palatino Linotype" w:cs="Palatino Linotype"/>
          <w:sz w:val="20"/>
          <w:szCs w:val="20"/>
        </w:rPr>
      </w:pPr>
    </w:p>
    <w:p w:rsidR="006E1E11" w:rsidRDefault="006E1E11">
      <w:pPr>
        <w:spacing w:before="240" w:after="240" w:line="360" w:lineRule="auto"/>
        <w:jc w:val="both"/>
        <w:rPr>
          <w:rFonts w:ascii="Palatino Linotype" w:eastAsia="Palatino Linotype" w:hAnsi="Palatino Linotype" w:cs="Palatino Linotype"/>
          <w:sz w:val="20"/>
          <w:szCs w:val="20"/>
        </w:rPr>
      </w:pPr>
    </w:p>
    <w:p w:rsidR="006E1E11" w:rsidRDefault="006E1E11">
      <w:pPr>
        <w:spacing w:before="240" w:after="240" w:line="360" w:lineRule="auto"/>
        <w:jc w:val="both"/>
        <w:rPr>
          <w:rFonts w:ascii="Palatino Linotype" w:eastAsia="Palatino Linotype" w:hAnsi="Palatino Linotype" w:cs="Palatino Linotype"/>
          <w:sz w:val="20"/>
          <w:szCs w:val="20"/>
        </w:rPr>
      </w:pPr>
    </w:p>
    <w:p w:rsidR="006E1E11" w:rsidRDefault="006E1E11">
      <w:pPr>
        <w:spacing w:before="240" w:after="240" w:line="360" w:lineRule="auto"/>
        <w:jc w:val="both"/>
        <w:rPr>
          <w:rFonts w:ascii="Palatino Linotype" w:eastAsia="Palatino Linotype" w:hAnsi="Palatino Linotype" w:cs="Palatino Linotype"/>
          <w:sz w:val="20"/>
          <w:szCs w:val="20"/>
        </w:rPr>
      </w:pPr>
    </w:p>
    <w:sectPr w:rsidR="006E1E11">
      <w:head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37B" w:rsidRDefault="0035437B">
      <w:r>
        <w:separator/>
      </w:r>
    </w:p>
  </w:endnote>
  <w:endnote w:type="continuationSeparator" w:id="0">
    <w:p w:rsidR="0035437B" w:rsidRDefault="00354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E11" w:rsidRDefault="00BE0A0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7331C">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7331C">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rsidR="006E1E11" w:rsidRDefault="006E1E1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E11" w:rsidRDefault="00BE0A0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7331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7331C">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rsidR="006E1E11" w:rsidRDefault="006E1E1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37B" w:rsidRDefault="0035437B">
      <w:r>
        <w:separator/>
      </w:r>
    </w:p>
  </w:footnote>
  <w:footnote w:type="continuationSeparator" w:id="0">
    <w:p w:rsidR="0035437B" w:rsidRDefault="0035437B">
      <w:r>
        <w:continuationSeparator/>
      </w:r>
    </w:p>
  </w:footnote>
  <w:footnote w:id="1">
    <w:p w:rsidR="006E1E11" w:rsidRDefault="00BE0A01">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2">
    <w:p w:rsidR="006E1E11" w:rsidRDefault="00BE0A01">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3">
    <w:p w:rsidR="006E1E11" w:rsidRDefault="00BE0A01">
      <w:pPr>
        <w:pBdr>
          <w:top w:val="nil"/>
          <w:left w:val="nil"/>
          <w:bottom w:val="nil"/>
          <w:right w:val="nil"/>
          <w:between w:val="nil"/>
        </w:pBdr>
        <w:spacing w:after="120" w:line="198"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VILLANUEVA VILLANUEVA Ernesto, Derecho de la Información, Ed, Porrúa S.A., México. 2006, pág.270.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E11" w:rsidRDefault="00BE0A01">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-1080132</wp:posOffset>
          </wp:positionH>
          <wp:positionV relativeFrom="paragraph">
            <wp:posOffset>-396399</wp:posOffset>
          </wp:positionV>
          <wp:extent cx="7809865" cy="10165715"/>
          <wp:effectExtent l="0" t="0" r="0" b="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6E1E11">
      <w:tc>
        <w:tcPr>
          <w:tcW w:w="2489" w:type="dxa"/>
          <w:shd w:val="clear" w:color="auto" w:fill="auto"/>
        </w:tcPr>
        <w:p w:rsidR="006E1E11" w:rsidRDefault="00BE0A0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6E1E11" w:rsidRDefault="00BE0A01">
          <w:pPr>
            <w:ind w:right="175"/>
            <w:jc w:val="both"/>
            <w:rPr>
              <w:rFonts w:ascii="Palatino Linotype" w:eastAsia="Palatino Linotype" w:hAnsi="Palatino Linotype" w:cs="Palatino Linotype"/>
              <w:b/>
            </w:rPr>
          </w:pPr>
          <w:r>
            <w:rPr>
              <w:rFonts w:ascii="Palatino Linotype" w:eastAsia="Palatino Linotype" w:hAnsi="Palatino Linotype" w:cs="Palatino Linotype"/>
              <w:b/>
            </w:rPr>
            <w:t>06754/INFOEM/IP/RR/2022</w:t>
          </w:r>
        </w:p>
      </w:tc>
    </w:tr>
    <w:tr w:rsidR="006E1E11">
      <w:trPr>
        <w:trHeight w:val="228"/>
      </w:trPr>
      <w:tc>
        <w:tcPr>
          <w:tcW w:w="2489" w:type="dxa"/>
          <w:shd w:val="clear" w:color="auto" w:fill="auto"/>
          <w:vAlign w:val="center"/>
        </w:tcPr>
        <w:p w:rsidR="006E1E11" w:rsidRDefault="00BE0A0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6E1E11" w:rsidRDefault="00BE0A01">
          <w:pPr>
            <w:ind w:left="-45" w:right="-257"/>
            <w:jc w:val="both"/>
            <w:rPr>
              <w:rFonts w:ascii="Palatino Linotype" w:eastAsia="Palatino Linotype" w:hAnsi="Palatino Linotype" w:cs="Palatino Linotype"/>
              <w:b/>
            </w:rPr>
          </w:pPr>
          <w:r>
            <w:rPr>
              <w:rFonts w:ascii="Palatino Linotype" w:eastAsia="Palatino Linotype" w:hAnsi="Palatino Linotype" w:cs="Palatino Linotype"/>
              <w:b/>
            </w:rPr>
            <w:t>Ayuntamiento de Tianguistenco</w:t>
          </w:r>
        </w:p>
      </w:tc>
    </w:tr>
    <w:tr w:rsidR="006E1E11">
      <w:tc>
        <w:tcPr>
          <w:tcW w:w="2489" w:type="dxa"/>
          <w:shd w:val="clear" w:color="auto" w:fill="auto"/>
          <w:vAlign w:val="center"/>
        </w:tcPr>
        <w:p w:rsidR="006E1E11" w:rsidRDefault="00BE0A01">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6E1E11" w:rsidRDefault="00BE0A01">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6E1E11" w:rsidRDefault="00BE0A0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E11" w:rsidRDefault="006E1E1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4"/>
      <w:tblW w:w="5953" w:type="dxa"/>
      <w:tblInd w:w="3261" w:type="dxa"/>
      <w:tblLayout w:type="fixed"/>
      <w:tblLook w:val="0400" w:firstRow="0" w:lastRow="0" w:firstColumn="0" w:lastColumn="0" w:noHBand="0" w:noVBand="1"/>
    </w:tblPr>
    <w:tblGrid>
      <w:gridCol w:w="2551"/>
      <w:gridCol w:w="3402"/>
    </w:tblGrid>
    <w:tr w:rsidR="006E1E11">
      <w:tc>
        <w:tcPr>
          <w:tcW w:w="2551" w:type="dxa"/>
          <w:shd w:val="clear" w:color="auto" w:fill="auto"/>
          <w:vAlign w:val="center"/>
        </w:tcPr>
        <w:p w:rsidR="006E1E11" w:rsidRDefault="00BE0A0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6E1E11" w:rsidRDefault="00BE0A01">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06754/INFOEM/IP/RR/2022</w:t>
          </w:r>
        </w:p>
      </w:tc>
    </w:tr>
    <w:tr w:rsidR="006E1E11">
      <w:trPr>
        <w:trHeight w:val="130"/>
      </w:trPr>
      <w:tc>
        <w:tcPr>
          <w:tcW w:w="2551" w:type="dxa"/>
          <w:shd w:val="clear" w:color="auto" w:fill="auto"/>
          <w:vAlign w:val="center"/>
        </w:tcPr>
        <w:p w:rsidR="006E1E11" w:rsidRDefault="00BE0A01">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6E1E11" w:rsidRDefault="006E1E11">
          <w:pPr>
            <w:ind w:left="-45"/>
            <w:jc w:val="both"/>
            <w:rPr>
              <w:rFonts w:ascii="Palatino Linotype" w:eastAsia="Palatino Linotype" w:hAnsi="Palatino Linotype" w:cs="Palatino Linotype"/>
              <w:b/>
            </w:rPr>
          </w:pPr>
        </w:p>
      </w:tc>
    </w:tr>
    <w:tr w:rsidR="006E1E11">
      <w:trPr>
        <w:trHeight w:val="228"/>
      </w:trPr>
      <w:tc>
        <w:tcPr>
          <w:tcW w:w="2551" w:type="dxa"/>
          <w:shd w:val="clear" w:color="auto" w:fill="auto"/>
          <w:vAlign w:val="center"/>
        </w:tcPr>
        <w:p w:rsidR="006E1E11" w:rsidRDefault="00BE0A0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rsidR="006E1E11" w:rsidRDefault="00BE0A01">
          <w:pPr>
            <w:ind w:left="-45" w:right="-115"/>
            <w:jc w:val="both"/>
            <w:rPr>
              <w:rFonts w:ascii="Palatino Linotype" w:eastAsia="Palatino Linotype" w:hAnsi="Palatino Linotype" w:cs="Palatino Linotype"/>
              <w:b/>
            </w:rPr>
          </w:pPr>
          <w:r>
            <w:rPr>
              <w:rFonts w:ascii="Palatino Linotype" w:eastAsia="Palatino Linotype" w:hAnsi="Palatino Linotype" w:cs="Palatino Linotype"/>
              <w:b/>
            </w:rPr>
            <w:t>Ayuntamiento de Tianguistenco</w:t>
          </w:r>
        </w:p>
      </w:tc>
    </w:tr>
    <w:tr w:rsidR="006E1E11">
      <w:tc>
        <w:tcPr>
          <w:tcW w:w="2551" w:type="dxa"/>
          <w:shd w:val="clear" w:color="auto" w:fill="auto"/>
          <w:vAlign w:val="center"/>
        </w:tcPr>
        <w:p w:rsidR="006E1E11" w:rsidRDefault="00BE0A0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6E1E11" w:rsidRDefault="00BE0A01">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6E1E11" w:rsidRDefault="00BE0A01">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-1175382</wp:posOffset>
          </wp:positionH>
          <wp:positionV relativeFrom="paragraph">
            <wp:posOffset>-1325242</wp:posOffset>
          </wp:positionV>
          <wp:extent cx="7809865" cy="10165715"/>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E11" w:rsidRDefault="006E1E1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6E1E11" w:rsidRDefault="006E1E1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354C98"/>
    <w:multiLevelType w:val="multilevel"/>
    <w:tmpl w:val="4690689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29C17AA7"/>
    <w:multiLevelType w:val="multilevel"/>
    <w:tmpl w:val="760E6B8C"/>
    <w:lvl w:ilvl="0">
      <w:start w:val="3"/>
      <w:numFmt w:val="lowerLetter"/>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3E4938E2"/>
    <w:multiLevelType w:val="multilevel"/>
    <w:tmpl w:val="102EFC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525144F9"/>
    <w:multiLevelType w:val="multilevel"/>
    <w:tmpl w:val="7CD68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CD8087A"/>
    <w:multiLevelType w:val="multilevel"/>
    <w:tmpl w:val="DD7A1B0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BEB655A"/>
    <w:multiLevelType w:val="multilevel"/>
    <w:tmpl w:val="EE84C1CC"/>
    <w:lvl w:ilvl="0">
      <w:numFmt w:val="lowerLetter"/>
      <w:lvlText w:val="%1."/>
      <w:lvlJc w:val="left"/>
      <w:pPr>
        <w:ind w:left="0" w:firstLine="0"/>
      </w:p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76FF67A3"/>
    <w:multiLevelType w:val="hybridMultilevel"/>
    <w:tmpl w:val="2DF68EF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E11"/>
    <w:rsid w:val="0035437B"/>
    <w:rsid w:val="006E1E11"/>
    <w:rsid w:val="008A4109"/>
    <w:rsid w:val="00BE0A01"/>
    <w:rsid w:val="00D7331C"/>
    <w:rsid w:val="00F124C8"/>
    <w:rsid w:val="00F75F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A5EE87-3E48-496E-8FC6-BA92BEB5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A7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2">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5">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RqbTHJzliEGhaD99yyMTP6R33w==">AMUW2mV0NtSGjCAvo2T1w8GnX+vjWT7zH/4IDsSXDPp7pEOTAH0H3GxWQtaUDPKBz8bjpGLtQk0AlwDnzTtKEgzNl1D68tmP002OF+cnSSlBC8xs35dMZx+SuhpAkFM8xHkn2Dg/JMkrYOdQh9L/AAgEL5EhFE+1IP7FS3e7IGgM59VOV363s7GneATEoMlXEj/BEkFjmcqr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11597</Words>
  <Characters>63786</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dcterms:created xsi:type="dcterms:W3CDTF">2022-09-28T17:12:00Z</dcterms:created>
  <dcterms:modified xsi:type="dcterms:W3CDTF">2022-09-28T17:12:00Z</dcterms:modified>
</cp:coreProperties>
</file>