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3790B" w14:textId="44CF1FA7" w:rsidR="006E2564" w:rsidRPr="00C21CC7" w:rsidRDefault="009B11D6" w:rsidP="006E2564">
      <w:pPr>
        <w:tabs>
          <w:tab w:val="left" w:pos="3465"/>
        </w:tabs>
        <w:spacing w:line="360" w:lineRule="auto"/>
        <w:jc w:val="both"/>
        <w:rPr>
          <w:rFonts w:ascii="Palatino Linotype" w:hAnsi="Palatino Linotype"/>
          <w:color w:val="000000" w:themeColor="text1"/>
        </w:rPr>
      </w:pPr>
      <w:r w:rsidRPr="00C21CC7">
        <w:rPr>
          <w:rFonts w:ascii="Palatino Linotype" w:hAnsi="Palatino Linotype"/>
          <w:color w:val="000000" w:themeColor="text1"/>
        </w:rPr>
        <w:t>R</w:t>
      </w:r>
      <w:r w:rsidR="00662C69" w:rsidRPr="00C21CC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C21CC7">
        <w:rPr>
          <w:rFonts w:ascii="Palatino Linotype" w:hAnsi="Palatino Linotype"/>
          <w:color w:val="000000" w:themeColor="text1"/>
        </w:rPr>
        <w:t>icipios, con</w:t>
      </w:r>
      <w:r w:rsidR="00662C69" w:rsidRPr="00C21CC7">
        <w:rPr>
          <w:rFonts w:ascii="Palatino Linotype" w:hAnsi="Palatino Linotype"/>
          <w:color w:val="000000" w:themeColor="text1"/>
        </w:rPr>
        <w:t xml:space="preserve"> </w:t>
      </w:r>
      <w:r w:rsidR="00485DB6" w:rsidRPr="00C21CC7">
        <w:rPr>
          <w:rFonts w:ascii="Palatino Linotype" w:hAnsi="Palatino Linotype"/>
          <w:color w:val="000000" w:themeColor="text1"/>
        </w:rPr>
        <w:t xml:space="preserve">domicilio </w:t>
      </w:r>
      <w:r w:rsidR="00662C69" w:rsidRPr="00C21CC7">
        <w:rPr>
          <w:rFonts w:ascii="Palatino Linotype" w:hAnsi="Palatino Linotype"/>
          <w:color w:val="000000" w:themeColor="text1"/>
        </w:rPr>
        <w:t xml:space="preserve">en Metepec, Estado de México; </w:t>
      </w:r>
      <w:r w:rsidR="00DB44EB" w:rsidRPr="00C21CC7">
        <w:rPr>
          <w:rFonts w:ascii="Palatino Linotype" w:hAnsi="Palatino Linotype"/>
          <w:color w:val="000000" w:themeColor="text1"/>
        </w:rPr>
        <w:t xml:space="preserve">celebrada el </w:t>
      </w:r>
      <w:r w:rsidR="004E15C4" w:rsidRPr="00C21CC7">
        <w:rPr>
          <w:rFonts w:ascii="Palatino Linotype" w:hAnsi="Palatino Linotype"/>
          <w:color w:val="000000" w:themeColor="text1"/>
        </w:rPr>
        <w:t xml:space="preserve">doce </w:t>
      </w:r>
      <w:r w:rsidR="002B37CE" w:rsidRPr="00C21CC7">
        <w:rPr>
          <w:rFonts w:ascii="Palatino Linotype" w:hAnsi="Palatino Linotype"/>
          <w:color w:val="000000" w:themeColor="text1"/>
        </w:rPr>
        <w:t>de octubre</w:t>
      </w:r>
      <w:r w:rsidR="00A5734E" w:rsidRPr="00C21CC7">
        <w:rPr>
          <w:rFonts w:ascii="Palatino Linotype" w:hAnsi="Palatino Linotype"/>
          <w:color w:val="000000" w:themeColor="text1"/>
        </w:rPr>
        <w:t xml:space="preserve"> </w:t>
      </w:r>
      <w:r w:rsidR="006E2564" w:rsidRPr="00C21CC7">
        <w:rPr>
          <w:rFonts w:ascii="Palatino Linotype" w:hAnsi="Palatino Linotype"/>
          <w:color w:val="000000" w:themeColor="text1"/>
        </w:rPr>
        <w:t>de dos mil veintidós.</w:t>
      </w:r>
    </w:p>
    <w:p w14:paraId="1181C59D" w14:textId="5E7E4254" w:rsidR="00B31E90" w:rsidRPr="00C21CC7" w:rsidRDefault="00B31E90" w:rsidP="00B31E90">
      <w:pPr>
        <w:tabs>
          <w:tab w:val="left" w:pos="3465"/>
        </w:tabs>
        <w:spacing w:line="360" w:lineRule="auto"/>
        <w:jc w:val="both"/>
        <w:rPr>
          <w:rFonts w:ascii="Palatino Linotype" w:hAnsi="Palatino Linotype"/>
          <w:color w:val="000000" w:themeColor="text1"/>
        </w:rPr>
      </w:pPr>
    </w:p>
    <w:p w14:paraId="04F87235" w14:textId="5577B6DB" w:rsidR="005F0007" w:rsidRPr="00C21CC7" w:rsidRDefault="00662C69" w:rsidP="00B31E90">
      <w:pPr>
        <w:spacing w:line="360" w:lineRule="auto"/>
        <w:jc w:val="both"/>
        <w:rPr>
          <w:rFonts w:ascii="Palatino Linotype" w:eastAsia="Times New Roman" w:hAnsi="Palatino Linotype" w:cs="Times New Roman"/>
          <w:color w:val="000000" w:themeColor="text1"/>
        </w:rPr>
      </w:pPr>
      <w:r w:rsidRPr="00C21CC7">
        <w:rPr>
          <w:rFonts w:ascii="Palatino Linotype" w:hAnsi="Palatino Linotype"/>
          <w:b/>
          <w:color w:val="000000" w:themeColor="text1"/>
          <w:sz w:val="28"/>
          <w:szCs w:val="28"/>
        </w:rPr>
        <w:t>VISTO</w:t>
      </w:r>
      <w:r w:rsidRPr="00C21CC7">
        <w:rPr>
          <w:rFonts w:ascii="Palatino Linotype" w:hAnsi="Palatino Linotype"/>
          <w:color w:val="000000" w:themeColor="text1"/>
        </w:rPr>
        <w:t xml:space="preserve"> el expediente electrónico for</w:t>
      </w:r>
      <w:r w:rsidR="00D37494" w:rsidRPr="00C21CC7">
        <w:rPr>
          <w:rFonts w:ascii="Palatino Linotype" w:hAnsi="Palatino Linotype"/>
          <w:color w:val="000000" w:themeColor="text1"/>
        </w:rPr>
        <w:t>mado con motivo del</w:t>
      </w:r>
      <w:r w:rsidR="00DB44EB" w:rsidRPr="00C21CC7">
        <w:rPr>
          <w:rFonts w:ascii="Palatino Linotype" w:hAnsi="Palatino Linotype"/>
          <w:color w:val="000000" w:themeColor="text1"/>
        </w:rPr>
        <w:t xml:space="preserve"> Recurso de R</w:t>
      </w:r>
      <w:r w:rsidRPr="00C21CC7">
        <w:rPr>
          <w:rFonts w:ascii="Palatino Linotype" w:hAnsi="Palatino Linotype"/>
          <w:color w:val="000000" w:themeColor="text1"/>
        </w:rPr>
        <w:t xml:space="preserve">evisión </w:t>
      </w:r>
      <w:r w:rsidR="00E31E0B" w:rsidRPr="00C21CC7">
        <w:rPr>
          <w:rFonts w:ascii="Palatino Linotype" w:hAnsi="Palatino Linotype"/>
          <w:b/>
          <w:bCs/>
          <w:color w:val="000000" w:themeColor="text1"/>
        </w:rPr>
        <w:t>13</w:t>
      </w:r>
      <w:r w:rsidR="002B37CE" w:rsidRPr="00C21CC7">
        <w:rPr>
          <w:rFonts w:ascii="Palatino Linotype" w:hAnsi="Palatino Linotype"/>
          <w:b/>
          <w:bCs/>
          <w:color w:val="000000" w:themeColor="text1"/>
        </w:rPr>
        <w:t>227</w:t>
      </w:r>
      <w:r w:rsidR="00E31E0B" w:rsidRPr="00C21CC7">
        <w:rPr>
          <w:rFonts w:ascii="Palatino Linotype" w:hAnsi="Palatino Linotype"/>
          <w:b/>
          <w:bCs/>
          <w:color w:val="000000" w:themeColor="text1"/>
        </w:rPr>
        <w:t>/INFOEM/IP/RR/2022</w:t>
      </w:r>
      <w:r w:rsidR="005F1362" w:rsidRPr="00C21CC7">
        <w:rPr>
          <w:rFonts w:ascii="Palatino Linotype" w:eastAsia="Times New Roman" w:hAnsi="Palatino Linotype" w:cs="Arial"/>
          <w:bCs/>
          <w:color w:val="000000" w:themeColor="text1"/>
        </w:rPr>
        <w:t xml:space="preserve">, </w:t>
      </w:r>
      <w:r w:rsidR="00DB44EB" w:rsidRPr="00C21CC7">
        <w:rPr>
          <w:rFonts w:ascii="Palatino Linotype" w:hAnsi="Palatino Linotype" w:cs="Arial"/>
        </w:rPr>
        <w:t xml:space="preserve">promovido </w:t>
      </w:r>
      <w:r w:rsidR="00DB44EB" w:rsidRPr="00C21CC7">
        <w:rPr>
          <w:rFonts w:ascii="Palatino Linotype" w:hAnsi="Palatino Linotype"/>
        </w:rPr>
        <w:t>por una persona de manera anónima</w:t>
      </w:r>
      <w:r w:rsidR="00DB44EB" w:rsidRPr="00C21CC7">
        <w:rPr>
          <w:rFonts w:ascii="Palatino Linotype" w:hAnsi="Palatino Linotype"/>
          <w:lang w:val="es-ES"/>
        </w:rPr>
        <w:t>,</w:t>
      </w:r>
      <w:r w:rsidR="00DB44EB" w:rsidRPr="00C21CC7">
        <w:rPr>
          <w:rFonts w:ascii="Palatino Linotype" w:hAnsi="Palatino Linotype" w:cs="Arial"/>
          <w:lang w:val="es-ES"/>
        </w:rPr>
        <w:t xml:space="preserve"> </w:t>
      </w:r>
      <w:r w:rsidR="00DB44EB" w:rsidRPr="00C21CC7">
        <w:rPr>
          <w:rFonts w:ascii="Palatino Linotype" w:hAnsi="Palatino Linotype"/>
        </w:rPr>
        <w:t xml:space="preserve">a quien en lo sucesivo se le denominará </w:t>
      </w:r>
      <w:r w:rsidR="00DB44EB" w:rsidRPr="00C21CC7">
        <w:rPr>
          <w:rFonts w:ascii="Palatino Linotype" w:hAnsi="Palatino Linotype" w:cs="Arial"/>
          <w:b/>
          <w:lang w:val="es-ES"/>
        </w:rPr>
        <w:t>EL RECURRENTE,</w:t>
      </w:r>
      <w:r w:rsidR="005F1362" w:rsidRPr="00C21CC7">
        <w:rPr>
          <w:rFonts w:ascii="Palatino Linotype" w:eastAsia="Times New Roman" w:hAnsi="Palatino Linotype" w:cs="Arial"/>
          <w:color w:val="000000" w:themeColor="text1"/>
        </w:rPr>
        <w:t xml:space="preserve"> en contra de la respuesta del</w:t>
      </w:r>
      <w:r w:rsidR="002C1007" w:rsidRPr="00C21CC7">
        <w:rPr>
          <w:rFonts w:ascii="Palatino Linotype" w:eastAsia="Times New Roman" w:hAnsi="Palatino Linotype" w:cs="Arial"/>
          <w:color w:val="000000" w:themeColor="text1"/>
        </w:rPr>
        <w:t xml:space="preserve"> </w:t>
      </w:r>
      <w:r w:rsidR="00E31E0B" w:rsidRPr="00C21CC7">
        <w:rPr>
          <w:rFonts w:ascii="Palatino Linotype" w:eastAsia="Times New Roman" w:hAnsi="Palatino Linotype" w:cs="Arial"/>
          <w:b/>
          <w:color w:val="000000" w:themeColor="text1"/>
        </w:rPr>
        <w:t>Ayuntamiento de Coacalco de Berriozábal</w:t>
      </w:r>
      <w:r w:rsidR="009572EE" w:rsidRPr="00C21CC7">
        <w:rPr>
          <w:rFonts w:ascii="Palatino Linotype" w:eastAsia="Calibri" w:hAnsi="Palatino Linotype" w:cs="Arial"/>
          <w:color w:val="000000" w:themeColor="text1"/>
          <w:lang w:val="es-ES"/>
        </w:rPr>
        <w:t>,</w:t>
      </w:r>
      <w:r w:rsidR="005F1362" w:rsidRPr="00C21CC7">
        <w:rPr>
          <w:rFonts w:ascii="Palatino Linotype" w:eastAsia="Calibri" w:hAnsi="Palatino Linotype" w:cs="Arial"/>
          <w:color w:val="000000" w:themeColor="text1"/>
          <w:lang w:val="es-ES"/>
        </w:rPr>
        <w:t xml:space="preserve"> </w:t>
      </w:r>
      <w:r w:rsidR="00DB44EB" w:rsidRPr="00C21CC7">
        <w:rPr>
          <w:rFonts w:ascii="Palatino Linotype" w:eastAsia="Calibri" w:hAnsi="Palatino Linotype" w:cs="Arial"/>
          <w:color w:val="000000" w:themeColor="text1"/>
          <w:lang w:val="es-ES"/>
        </w:rPr>
        <w:t xml:space="preserve">que </w:t>
      </w:r>
      <w:r w:rsidR="00DB44EB" w:rsidRPr="00C21CC7">
        <w:rPr>
          <w:rFonts w:ascii="Palatino Linotype" w:eastAsia="Times New Roman" w:hAnsi="Palatino Linotype" w:cs="Times New Roman"/>
          <w:color w:val="000000" w:themeColor="text1"/>
        </w:rPr>
        <w:t xml:space="preserve">en lo subsecuente se le </w:t>
      </w:r>
      <w:proofErr w:type="gramStart"/>
      <w:r w:rsidR="00DB44EB" w:rsidRPr="00C21CC7">
        <w:rPr>
          <w:rFonts w:ascii="Palatino Linotype" w:eastAsia="Times New Roman" w:hAnsi="Palatino Linotype" w:cs="Times New Roman"/>
          <w:color w:val="000000" w:themeColor="text1"/>
        </w:rPr>
        <w:t>denominara</w:t>
      </w:r>
      <w:proofErr w:type="gramEnd"/>
      <w:r w:rsidR="00DB44EB" w:rsidRPr="00C21CC7">
        <w:rPr>
          <w:rFonts w:ascii="Palatino Linotype" w:eastAsia="Times New Roman" w:hAnsi="Palatino Linotype" w:cs="Times New Roman"/>
          <w:color w:val="000000" w:themeColor="text1"/>
        </w:rPr>
        <w:t xml:space="preserve"> </w:t>
      </w:r>
      <w:r w:rsidR="005F1362" w:rsidRPr="00C21CC7">
        <w:rPr>
          <w:rFonts w:ascii="Palatino Linotype" w:eastAsia="Times New Roman" w:hAnsi="Palatino Linotype" w:cs="Times New Roman"/>
          <w:b/>
          <w:color w:val="000000" w:themeColor="text1"/>
        </w:rPr>
        <w:t xml:space="preserve">SUJETO OBLIGADO, </w:t>
      </w:r>
      <w:r w:rsidR="005F1362" w:rsidRPr="00C21CC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C21CC7" w:rsidRDefault="009A593A" w:rsidP="00B31E90">
      <w:pPr>
        <w:spacing w:line="360" w:lineRule="auto"/>
        <w:jc w:val="both"/>
        <w:rPr>
          <w:rFonts w:ascii="Palatino Linotype" w:hAnsi="Palatino Linotype"/>
          <w:b/>
          <w:color w:val="000000" w:themeColor="text1"/>
        </w:rPr>
      </w:pPr>
    </w:p>
    <w:p w14:paraId="5672105D" w14:textId="26AF9BBC" w:rsidR="00B31E90" w:rsidRPr="00C21CC7" w:rsidRDefault="00662C69" w:rsidP="00DB44EB">
      <w:pPr>
        <w:pStyle w:val="Ttulo1"/>
        <w:spacing w:before="0" w:line="360" w:lineRule="auto"/>
        <w:jc w:val="center"/>
        <w:rPr>
          <w:b/>
          <w:color w:val="000000" w:themeColor="text1"/>
          <w:szCs w:val="24"/>
        </w:rPr>
      </w:pPr>
      <w:bookmarkStart w:id="0" w:name="_Toc461555884"/>
      <w:bookmarkStart w:id="1" w:name="_Toc466371847"/>
      <w:bookmarkStart w:id="2" w:name="_Toc87456484"/>
      <w:r w:rsidRPr="00C21CC7">
        <w:rPr>
          <w:b/>
          <w:color w:val="000000" w:themeColor="text1"/>
          <w:szCs w:val="24"/>
        </w:rPr>
        <w:t>A</w:t>
      </w:r>
      <w:r w:rsidR="00C967DD" w:rsidRPr="00C21CC7">
        <w:rPr>
          <w:b/>
          <w:color w:val="000000" w:themeColor="text1"/>
          <w:szCs w:val="24"/>
        </w:rPr>
        <w:t xml:space="preserve"> </w:t>
      </w:r>
      <w:r w:rsidRPr="00C21CC7">
        <w:rPr>
          <w:b/>
          <w:color w:val="000000" w:themeColor="text1"/>
          <w:szCs w:val="24"/>
        </w:rPr>
        <w:t>N</w:t>
      </w:r>
      <w:r w:rsidR="00C967DD" w:rsidRPr="00C21CC7">
        <w:rPr>
          <w:b/>
          <w:color w:val="000000" w:themeColor="text1"/>
          <w:szCs w:val="24"/>
        </w:rPr>
        <w:t xml:space="preserve"> </w:t>
      </w:r>
      <w:r w:rsidRPr="00C21CC7">
        <w:rPr>
          <w:b/>
          <w:color w:val="000000" w:themeColor="text1"/>
          <w:szCs w:val="24"/>
        </w:rPr>
        <w:t>T</w:t>
      </w:r>
      <w:r w:rsidR="00C967DD" w:rsidRPr="00C21CC7">
        <w:rPr>
          <w:b/>
          <w:color w:val="000000" w:themeColor="text1"/>
          <w:szCs w:val="24"/>
        </w:rPr>
        <w:t xml:space="preserve"> </w:t>
      </w:r>
      <w:r w:rsidRPr="00C21CC7">
        <w:rPr>
          <w:b/>
          <w:color w:val="000000" w:themeColor="text1"/>
          <w:szCs w:val="24"/>
        </w:rPr>
        <w:t>E</w:t>
      </w:r>
      <w:r w:rsidR="00C967DD" w:rsidRPr="00C21CC7">
        <w:rPr>
          <w:b/>
          <w:color w:val="000000" w:themeColor="text1"/>
          <w:szCs w:val="24"/>
        </w:rPr>
        <w:t xml:space="preserve"> </w:t>
      </w:r>
      <w:r w:rsidRPr="00C21CC7">
        <w:rPr>
          <w:b/>
          <w:color w:val="000000" w:themeColor="text1"/>
          <w:szCs w:val="24"/>
        </w:rPr>
        <w:t>C</w:t>
      </w:r>
      <w:r w:rsidR="00C967DD" w:rsidRPr="00C21CC7">
        <w:rPr>
          <w:b/>
          <w:color w:val="000000" w:themeColor="text1"/>
          <w:szCs w:val="24"/>
        </w:rPr>
        <w:t xml:space="preserve"> </w:t>
      </w:r>
      <w:r w:rsidRPr="00C21CC7">
        <w:rPr>
          <w:b/>
          <w:color w:val="000000" w:themeColor="text1"/>
          <w:szCs w:val="24"/>
        </w:rPr>
        <w:t>E</w:t>
      </w:r>
      <w:r w:rsidR="00C967DD" w:rsidRPr="00C21CC7">
        <w:rPr>
          <w:b/>
          <w:color w:val="000000" w:themeColor="text1"/>
          <w:szCs w:val="24"/>
        </w:rPr>
        <w:t xml:space="preserve"> </w:t>
      </w:r>
      <w:r w:rsidRPr="00C21CC7">
        <w:rPr>
          <w:b/>
          <w:color w:val="000000" w:themeColor="text1"/>
          <w:szCs w:val="24"/>
        </w:rPr>
        <w:t>D</w:t>
      </w:r>
      <w:r w:rsidR="00C967DD" w:rsidRPr="00C21CC7">
        <w:rPr>
          <w:b/>
          <w:color w:val="000000" w:themeColor="text1"/>
          <w:szCs w:val="24"/>
        </w:rPr>
        <w:t xml:space="preserve"> </w:t>
      </w:r>
      <w:r w:rsidRPr="00C21CC7">
        <w:rPr>
          <w:b/>
          <w:color w:val="000000" w:themeColor="text1"/>
          <w:szCs w:val="24"/>
        </w:rPr>
        <w:t>E</w:t>
      </w:r>
      <w:r w:rsidR="00C967DD" w:rsidRPr="00C21CC7">
        <w:rPr>
          <w:b/>
          <w:color w:val="000000" w:themeColor="text1"/>
          <w:szCs w:val="24"/>
        </w:rPr>
        <w:t xml:space="preserve"> </w:t>
      </w:r>
      <w:r w:rsidRPr="00C21CC7">
        <w:rPr>
          <w:b/>
          <w:color w:val="000000" w:themeColor="text1"/>
          <w:szCs w:val="24"/>
        </w:rPr>
        <w:t>N</w:t>
      </w:r>
      <w:r w:rsidR="00C967DD" w:rsidRPr="00C21CC7">
        <w:rPr>
          <w:b/>
          <w:color w:val="000000" w:themeColor="text1"/>
          <w:szCs w:val="24"/>
        </w:rPr>
        <w:t xml:space="preserve"> </w:t>
      </w:r>
      <w:r w:rsidRPr="00C21CC7">
        <w:rPr>
          <w:b/>
          <w:color w:val="000000" w:themeColor="text1"/>
          <w:szCs w:val="24"/>
        </w:rPr>
        <w:t>T</w:t>
      </w:r>
      <w:r w:rsidR="00C967DD" w:rsidRPr="00C21CC7">
        <w:rPr>
          <w:b/>
          <w:color w:val="000000" w:themeColor="text1"/>
          <w:szCs w:val="24"/>
        </w:rPr>
        <w:t xml:space="preserve"> </w:t>
      </w:r>
      <w:r w:rsidRPr="00C21CC7">
        <w:rPr>
          <w:b/>
          <w:color w:val="000000" w:themeColor="text1"/>
          <w:szCs w:val="24"/>
        </w:rPr>
        <w:t>E</w:t>
      </w:r>
      <w:r w:rsidR="00C967DD" w:rsidRPr="00C21CC7">
        <w:rPr>
          <w:b/>
          <w:color w:val="000000" w:themeColor="text1"/>
          <w:szCs w:val="24"/>
        </w:rPr>
        <w:t xml:space="preserve"> </w:t>
      </w:r>
      <w:r w:rsidRPr="00C21CC7">
        <w:rPr>
          <w:b/>
          <w:color w:val="000000" w:themeColor="text1"/>
          <w:szCs w:val="24"/>
        </w:rPr>
        <w:t>S</w:t>
      </w:r>
      <w:bookmarkEnd w:id="0"/>
      <w:bookmarkEnd w:id="1"/>
      <w:bookmarkEnd w:id="2"/>
    </w:p>
    <w:p w14:paraId="38D9A977" w14:textId="77777777" w:rsidR="00DB44EB" w:rsidRPr="00C21CC7" w:rsidRDefault="00DB44EB" w:rsidP="00DB44EB">
      <w:pPr>
        <w:rPr>
          <w:rFonts w:ascii="Palatino Linotype" w:hAnsi="Palatino Linotype"/>
          <w:b/>
          <w:lang w:eastAsia="en-US"/>
        </w:rPr>
      </w:pPr>
      <w:r w:rsidRPr="00C21CC7">
        <w:rPr>
          <w:rFonts w:ascii="Palatino Linotype" w:hAnsi="Palatino Linotype"/>
          <w:b/>
          <w:lang w:val="es-ES" w:eastAsia="en-US"/>
        </w:rPr>
        <w:t xml:space="preserve">I. </w:t>
      </w:r>
      <w:r w:rsidRPr="00C21CC7">
        <w:rPr>
          <w:rFonts w:ascii="Palatino Linotype" w:hAnsi="Palatino Linotype"/>
          <w:b/>
          <w:lang w:eastAsia="en-US"/>
        </w:rPr>
        <w:t>De la Solicitud de Información</w:t>
      </w:r>
    </w:p>
    <w:p w14:paraId="6BDEE8E1" w14:textId="77777777" w:rsidR="00612E64" w:rsidRPr="00C21CC7" w:rsidRDefault="00612E64" w:rsidP="00DB44EB">
      <w:pPr>
        <w:rPr>
          <w:rFonts w:ascii="Palatino Linotype" w:hAnsi="Palatino Linotype"/>
          <w:b/>
          <w:lang w:val="es-ES" w:eastAsia="en-US"/>
        </w:rPr>
      </w:pPr>
    </w:p>
    <w:p w14:paraId="20D35B0F" w14:textId="1113CB51" w:rsidR="00612E64" w:rsidRPr="00C21CC7" w:rsidRDefault="00DB44EB" w:rsidP="00612E64">
      <w:pPr>
        <w:spacing w:line="360" w:lineRule="auto"/>
        <w:jc w:val="both"/>
        <w:rPr>
          <w:rFonts w:ascii="Palatino Linotype" w:eastAsia="Palatino Linotype" w:hAnsi="Palatino Linotype" w:cs="Palatino Linotype"/>
        </w:rPr>
      </w:pPr>
      <w:r w:rsidRPr="00C21CC7">
        <w:rPr>
          <w:rFonts w:ascii="Palatino Linotype" w:hAnsi="Palatino Linotype"/>
          <w:lang w:eastAsia="en-US"/>
        </w:rPr>
        <w:t xml:space="preserve">En fecha siente de julio </w:t>
      </w:r>
      <w:r w:rsidR="000F0E0D" w:rsidRPr="00C21CC7">
        <w:rPr>
          <w:rFonts w:ascii="Palatino Linotype" w:eastAsia="Calibri" w:hAnsi="Palatino Linotype" w:cs="Arial"/>
          <w:color w:val="000000" w:themeColor="text1"/>
          <w:lang w:val="es-ES"/>
        </w:rPr>
        <w:t>de dos mil veintidós</w:t>
      </w:r>
      <w:r w:rsidR="005F1362" w:rsidRPr="00C21CC7">
        <w:rPr>
          <w:rFonts w:ascii="Palatino Linotype" w:eastAsia="Calibri" w:hAnsi="Palatino Linotype" w:cs="Arial"/>
          <w:color w:val="000000" w:themeColor="text1"/>
          <w:lang w:val="es-ES"/>
        </w:rPr>
        <w:t xml:space="preserve">, </w:t>
      </w:r>
      <w:r w:rsidR="00612E64" w:rsidRPr="00C21CC7">
        <w:rPr>
          <w:rFonts w:ascii="Palatino Linotype" w:hAnsi="Palatino Linotype" w:cs="Arial"/>
          <w:b/>
        </w:rPr>
        <w:t>EL RECURRENTE</w:t>
      </w:r>
      <w:r w:rsidR="00612E64" w:rsidRPr="00C21CC7">
        <w:rPr>
          <w:rFonts w:ascii="Palatino Linotype" w:hAnsi="Palatino Linotype" w:cs="Arial"/>
        </w:rPr>
        <w:t xml:space="preserve"> presentó a través del Sistema de Acceso a la Información Mexiquense, que en lo subsecuente se le denominará el </w:t>
      </w:r>
      <w:r w:rsidR="00612E64" w:rsidRPr="00C21CC7">
        <w:rPr>
          <w:rFonts w:ascii="Palatino Linotype" w:hAnsi="Palatino Linotype" w:cs="Arial"/>
          <w:b/>
          <w:bCs/>
        </w:rPr>
        <w:t>SAIMEX</w:t>
      </w:r>
      <w:r w:rsidR="00612E64" w:rsidRPr="00C21CC7">
        <w:rPr>
          <w:rFonts w:ascii="Palatino Linotype" w:hAnsi="Palatino Linotype" w:cs="Arial"/>
          <w:b/>
        </w:rPr>
        <w:t>,</w:t>
      </w:r>
      <w:r w:rsidR="00612E64" w:rsidRPr="00C21CC7">
        <w:rPr>
          <w:rFonts w:ascii="Palatino Linotype" w:hAnsi="Palatino Linotype"/>
        </w:rPr>
        <w:t xml:space="preserve"> ante </w:t>
      </w:r>
      <w:r w:rsidR="00612E64" w:rsidRPr="00C21CC7">
        <w:rPr>
          <w:rFonts w:ascii="Palatino Linotype" w:hAnsi="Palatino Linotype"/>
          <w:b/>
        </w:rPr>
        <w:t>EL SUJETO OBLIGADO</w:t>
      </w:r>
      <w:r w:rsidR="00612E64" w:rsidRPr="00C21CC7">
        <w:rPr>
          <w:rFonts w:ascii="Palatino Linotype" w:eastAsia="MS Mincho" w:hAnsi="Palatino Linotype" w:cs="Arial"/>
          <w:lang w:val="es-ES_tradnl"/>
        </w:rPr>
        <w:t>, la solicitud de Acceso a la Información Pública</w:t>
      </w:r>
      <w:r w:rsidR="00612E64" w:rsidRPr="00C21CC7">
        <w:rPr>
          <w:rFonts w:ascii="Palatino Linotype" w:eastAsia="Palatino Linotype" w:hAnsi="Palatino Linotype" w:cs="Palatino Linotype"/>
          <w:lang w:val="es-ES_tradnl"/>
        </w:rPr>
        <w:t xml:space="preserve">, </w:t>
      </w:r>
      <w:r w:rsidR="00612E64" w:rsidRPr="00C21CC7">
        <w:rPr>
          <w:rFonts w:ascii="Palatino Linotype" w:eastAsia="Palatino Linotype" w:hAnsi="Palatino Linotype" w:cs="Palatino Linotype"/>
        </w:rPr>
        <w:t xml:space="preserve">la cual fue registrado en </w:t>
      </w:r>
      <w:r w:rsidR="00612E64" w:rsidRPr="00C21CC7">
        <w:rPr>
          <w:rFonts w:ascii="Palatino Linotype" w:eastAsia="Palatino Linotype" w:hAnsi="Palatino Linotype" w:cs="Palatino Linotype"/>
          <w:b/>
        </w:rPr>
        <w:t>EL SAIMEX</w:t>
      </w:r>
      <w:r w:rsidR="00612E64" w:rsidRPr="00C21CC7">
        <w:rPr>
          <w:rFonts w:ascii="Palatino Linotype" w:eastAsia="Palatino Linotype" w:hAnsi="Palatino Linotype" w:cs="Palatino Linotype"/>
        </w:rPr>
        <w:t xml:space="preserve"> y se le asignó el número de expediente </w:t>
      </w:r>
      <w:r w:rsidR="00612E64" w:rsidRPr="00C21CC7">
        <w:rPr>
          <w:rFonts w:ascii="Palatino Linotype" w:hAnsi="Palatino Linotype"/>
          <w:b/>
          <w:bCs/>
          <w:color w:val="000000" w:themeColor="text1"/>
        </w:rPr>
        <w:t>00267/COACALCO/IP/2022</w:t>
      </w:r>
      <w:r w:rsidR="00612E64" w:rsidRPr="00C21CC7">
        <w:rPr>
          <w:rFonts w:ascii="Palatino Linotype" w:eastAsia="Palatino Linotype" w:hAnsi="Palatino Linotype" w:cs="Palatino Linotype"/>
          <w:b/>
        </w:rPr>
        <w:t>,</w:t>
      </w:r>
      <w:r w:rsidR="00612E64" w:rsidRPr="00C21CC7">
        <w:rPr>
          <w:rFonts w:ascii="Palatino Linotype" w:eastAsia="Palatino Linotype" w:hAnsi="Palatino Linotype" w:cs="Palatino Linotype"/>
        </w:rPr>
        <w:t xml:space="preserve"> mediante el cual requirió, lo siguiente:</w:t>
      </w:r>
    </w:p>
    <w:p w14:paraId="76EB7490" w14:textId="77777777" w:rsidR="00B31E90" w:rsidRPr="00C21CC7" w:rsidRDefault="00B31E90" w:rsidP="00A65FA8">
      <w:pPr>
        <w:pStyle w:val="Prrafodelista"/>
        <w:spacing w:line="276" w:lineRule="auto"/>
        <w:ind w:left="850" w:right="901"/>
        <w:jc w:val="both"/>
        <w:rPr>
          <w:rFonts w:ascii="Palatino Linotype" w:hAnsi="Palatino Linotype"/>
          <w:i/>
          <w:color w:val="000000" w:themeColor="text1"/>
          <w:sz w:val="22"/>
          <w:szCs w:val="22"/>
        </w:rPr>
      </w:pPr>
    </w:p>
    <w:p w14:paraId="605C5067" w14:textId="633B5C58" w:rsidR="0097210F" w:rsidRPr="00C21CC7" w:rsidRDefault="005F1362" w:rsidP="00A65FA8">
      <w:pPr>
        <w:pStyle w:val="Prrafodelista"/>
        <w:spacing w:line="276" w:lineRule="auto"/>
        <w:ind w:left="850" w:right="901"/>
        <w:jc w:val="both"/>
        <w:rPr>
          <w:rFonts w:ascii="Palatino Linotype" w:hAnsi="Palatino Linotype"/>
          <w:color w:val="000000" w:themeColor="text1"/>
          <w:sz w:val="22"/>
          <w:szCs w:val="22"/>
        </w:rPr>
      </w:pPr>
      <w:r w:rsidRPr="00C21CC7">
        <w:rPr>
          <w:rFonts w:ascii="Palatino Linotype" w:hAnsi="Palatino Linotype"/>
          <w:i/>
          <w:color w:val="000000" w:themeColor="text1"/>
          <w:sz w:val="22"/>
          <w:szCs w:val="22"/>
        </w:rPr>
        <w:t>“</w:t>
      </w:r>
      <w:r w:rsidR="00B84FD7" w:rsidRPr="00C21CC7">
        <w:rPr>
          <w:rFonts w:ascii="Palatino Linotype" w:hAnsi="Palatino Linotype"/>
          <w:i/>
          <w:iCs/>
          <w:color w:val="000000" w:themeColor="text1"/>
          <w:sz w:val="22"/>
          <w:szCs w:val="22"/>
        </w:rPr>
        <w:t>c</w:t>
      </w:r>
      <w:r w:rsidR="002B37CE" w:rsidRPr="00C21CC7">
        <w:rPr>
          <w:rFonts w:ascii="Palatino Linotype" w:hAnsi="Palatino Linotype"/>
          <w:i/>
          <w:iCs/>
          <w:color w:val="000000" w:themeColor="text1"/>
          <w:sz w:val="22"/>
          <w:szCs w:val="22"/>
        </w:rPr>
        <w:t>ontrato para el diseño y operación de la aplicación Coacalco Seguro</w:t>
      </w:r>
      <w:r w:rsidRPr="00C21CC7">
        <w:rPr>
          <w:rFonts w:ascii="Palatino Linotype" w:hAnsi="Palatino Linotype"/>
          <w:i/>
          <w:color w:val="000000" w:themeColor="text1"/>
          <w:sz w:val="22"/>
          <w:szCs w:val="22"/>
        </w:rPr>
        <w:t xml:space="preserve">” </w:t>
      </w:r>
      <w:r w:rsidRPr="00C21CC7">
        <w:rPr>
          <w:rFonts w:ascii="Palatino Linotype" w:hAnsi="Palatino Linotype"/>
          <w:color w:val="000000" w:themeColor="text1"/>
          <w:sz w:val="22"/>
          <w:szCs w:val="22"/>
        </w:rPr>
        <w:t>(Sic).</w:t>
      </w:r>
    </w:p>
    <w:p w14:paraId="14BFE6A9" w14:textId="77777777" w:rsidR="00612E64" w:rsidRPr="00C21CC7" w:rsidRDefault="00612E64" w:rsidP="00612E64">
      <w:pPr>
        <w:spacing w:line="276" w:lineRule="auto"/>
        <w:ind w:right="901"/>
        <w:jc w:val="both"/>
        <w:rPr>
          <w:rFonts w:ascii="Palatino Linotype" w:hAnsi="Palatino Linotype"/>
          <w:i/>
          <w:color w:val="000000" w:themeColor="text1"/>
        </w:rPr>
      </w:pPr>
    </w:p>
    <w:p w14:paraId="47258009" w14:textId="77777777" w:rsidR="00612E64" w:rsidRPr="00C21CC7" w:rsidRDefault="00612E64" w:rsidP="00612E64">
      <w:pPr>
        <w:widowControl w:val="0"/>
        <w:autoSpaceDE w:val="0"/>
        <w:autoSpaceDN w:val="0"/>
        <w:adjustRightInd w:val="0"/>
        <w:spacing w:line="360" w:lineRule="auto"/>
        <w:jc w:val="both"/>
        <w:rPr>
          <w:rFonts w:ascii="Palatino Linotype" w:eastAsia="Calibri" w:hAnsi="Palatino Linotype" w:cs="Arial"/>
          <w:b/>
          <w:bCs/>
          <w:lang w:val="es-ES" w:eastAsia="en-US"/>
        </w:rPr>
      </w:pPr>
      <w:r w:rsidRPr="00C21CC7">
        <w:rPr>
          <w:rFonts w:ascii="Palatino Linotype" w:eastAsia="Calibri" w:hAnsi="Palatino Linotype" w:cs="Arial"/>
          <w:b/>
          <w:bCs/>
          <w:lang w:val="es-ES" w:eastAsia="en-US"/>
        </w:rPr>
        <w:t xml:space="preserve">MODALIDAD DE ENTREGA: </w:t>
      </w:r>
      <w:r w:rsidRPr="00C21CC7">
        <w:rPr>
          <w:rFonts w:ascii="Palatino Linotype" w:eastAsia="Calibri" w:hAnsi="Palatino Linotype" w:cs="Arial"/>
          <w:lang w:val="es-ES" w:eastAsia="en-US"/>
        </w:rPr>
        <w:t>Vía</w:t>
      </w:r>
      <w:r w:rsidRPr="00C21CC7">
        <w:rPr>
          <w:rFonts w:ascii="Palatino Linotype" w:eastAsia="Calibri" w:hAnsi="Palatino Linotype" w:cs="Arial"/>
          <w:b/>
          <w:bCs/>
          <w:lang w:val="es-ES" w:eastAsia="en-US"/>
        </w:rPr>
        <w:t xml:space="preserve"> </w:t>
      </w:r>
      <w:r w:rsidRPr="00C21CC7">
        <w:rPr>
          <w:rFonts w:ascii="Palatino Linotype" w:eastAsia="Calibri" w:hAnsi="Palatino Linotype" w:cs="Arial"/>
          <w:lang w:eastAsia="en-US"/>
        </w:rPr>
        <w:t>Sistema de Acceso a la Información Mexiquense</w:t>
      </w:r>
      <w:r w:rsidRPr="00C21CC7">
        <w:rPr>
          <w:rFonts w:ascii="Palatino Linotype" w:eastAsia="Calibri" w:hAnsi="Palatino Linotype" w:cs="Arial"/>
          <w:b/>
          <w:bCs/>
          <w:lang w:eastAsia="en-US"/>
        </w:rPr>
        <w:t xml:space="preserve"> (SAIMEX)</w:t>
      </w:r>
      <w:r w:rsidRPr="00C21CC7">
        <w:rPr>
          <w:rFonts w:ascii="Palatino Linotype" w:eastAsia="Calibri" w:hAnsi="Palatino Linotype" w:cs="Arial"/>
          <w:b/>
          <w:bCs/>
          <w:lang w:val="es-ES" w:eastAsia="en-US"/>
        </w:rPr>
        <w:t>.</w:t>
      </w:r>
    </w:p>
    <w:p w14:paraId="04ADAF5E" w14:textId="77777777" w:rsidR="00612E64" w:rsidRPr="00C21CC7" w:rsidRDefault="00612E64" w:rsidP="00612E64">
      <w:pPr>
        <w:widowControl w:val="0"/>
        <w:autoSpaceDE w:val="0"/>
        <w:autoSpaceDN w:val="0"/>
        <w:adjustRightInd w:val="0"/>
        <w:spacing w:line="360" w:lineRule="auto"/>
        <w:jc w:val="both"/>
        <w:rPr>
          <w:rFonts w:ascii="Palatino Linotype" w:eastAsia="Calibri" w:hAnsi="Palatino Linotype" w:cs="Arial"/>
          <w:b/>
          <w:bCs/>
          <w:lang w:val="es-ES" w:eastAsia="en-US"/>
        </w:rPr>
      </w:pPr>
      <w:r w:rsidRPr="00C21CC7">
        <w:rPr>
          <w:rFonts w:ascii="Palatino Linotype" w:eastAsia="Calibri" w:hAnsi="Palatino Linotype" w:cs="Arial"/>
          <w:b/>
          <w:bCs/>
          <w:lang w:val="es-ES" w:eastAsia="en-US"/>
        </w:rPr>
        <w:tab/>
      </w:r>
    </w:p>
    <w:p w14:paraId="162D5150" w14:textId="77777777" w:rsidR="00612E64" w:rsidRPr="00C21CC7" w:rsidRDefault="00612E64" w:rsidP="00612E64">
      <w:pPr>
        <w:spacing w:line="360" w:lineRule="auto"/>
        <w:jc w:val="both"/>
        <w:rPr>
          <w:rFonts w:ascii="Palatino Linotype" w:eastAsia="Calibri" w:hAnsi="Palatino Linotype" w:cs="Arial"/>
          <w:sz w:val="26"/>
          <w:szCs w:val="26"/>
          <w:lang w:val="es-ES" w:eastAsia="en-US"/>
        </w:rPr>
      </w:pPr>
      <w:r w:rsidRPr="00C21CC7">
        <w:rPr>
          <w:rFonts w:ascii="Palatino Linotype" w:eastAsia="Palatino Linotype" w:hAnsi="Palatino Linotype" w:cs="Palatino Linotype"/>
          <w:b/>
          <w:sz w:val="28"/>
          <w:szCs w:val="28"/>
        </w:rPr>
        <w:lastRenderedPageBreak/>
        <w:t>II</w:t>
      </w:r>
      <w:r w:rsidRPr="00C21CC7">
        <w:rPr>
          <w:rFonts w:ascii="Palatino Linotype" w:eastAsia="Calibri" w:hAnsi="Palatino Linotype" w:cs="Arial"/>
          <w:b/>
          <w:bCs/>
          <w:sz w:val="26"/>
          <w:szCs w:val="26"/>
          <w:lang w:val="es-ES" w:eastAsia="en-US"/>
        </w:rPr>
        <w:t>.</w:t>
      </w:r>
      <w:r w:rsidRPr="00C21CC7">
        <w:rPr>
          <w:rFonts w:ascii="Palatino Linotype" w:eastAsia="Calibri" w:hAnsi="Palatino Linotype" w:cs="Arial"/>
          <w:sz w:val="26"/>
          <w:szCs w:val="26"/>
          <w:lang w:val="es-ES" w:eastAsia="en-US"/>
        </w:rPr>
        <w:t xml:space="preserve"> </w:t>
      </w:r>
      <w:r w:rsidRPr="00C21CC7">
        <w:rPr>
          <w:rFonts w:ascii="Palatino Linotype" w:hAnsi="Palatino Linotype" w:cs="Arial"/>
          <w:b/>
          <w:sz w:val="26"/>
          <w:szCs w:val="26"/>
        </w:rPr>
        <w:t>Respuesta del Sujeto Obligado</w:t>
      </w:r>
    </w:p>
    <w:p w14:paraId="63952B53" w14:textId="1B49BC1C" w:rsidR="00612E64" w:rsidRPr="00C21CC7" w:rsidRDefault="00612E64" w:rsidP="00612E64">
      <w:pPr>
        <w:widowControl w:val="0"/>
        <w:autoSpaceDE w:val="0"/>
        <w:autoSpaceDN w:val="0"/>
        <w:adjustRightInd w:val="0"/>
        <w:spacing w:line="360" w:lineRule="auto"/>
        <w:jc w:val="both"/>
        <w:rPr>
          <w:rFonts w:ascii="Palatino Linotype" w:eastAsia="Times New Roman" w:hAnsi="Palatino Linotype" w:cs="Segoe UI"/>
          <w:lang w:eastAsia="es-MX"/>
        </w:rPr>
      </w:pPr>
      <w:r w:rsidRPr="00C21CC7">
        <w:rPr>
          <w:rFonts w:ascii="Palatino Linotype" w:hAnsi="Palatino Linotype" w:cs="Segoe UI"/>
          <w:lang w:eastAsia="es-MX"/>
        </w:rPr>
        <w:t xml:space="preserve">En fecha ocho de agosto de dos mil veintidós, </w:t>
      </w:r>
      <w:r w:rsidRPr="00C21CC7">
        <w:rPr>
          <w:rFonts w:ascii="Palatino Linotype" w:hAnsi="Palatino Linotype" w:cs="Segoe UI"/>
          <w:b/>
          <w:bCs/>
          <w:lang w:eastAsia="es-MX"/>
        </w:rPr>
        <w:t>EL SU</w:t>
      </w:r>
      <w:r w:rsidRPr="00C21CC7">
        <w:rPr>
          <w:rFonts w:ascii="Palatino Linotype" w:hAnsi="Palatino Linotype" w:cs="Segoe UI"/>
          <w:b/>
          <w:lang w:eastAsia="es-MX"/>
        </w:rPr>
        <w:t>JETO OBLIGADO</w:t>
      </w:r>
      <w:r w:rsidRPr="00C21CC7">
        <w:rPr>
          <w:rFonts w:ascii="Palatino Linotype" w:hAnsi="Palatino Linotype" w:cs="Segoe UI"/>
          <w:lang w:eastAsia="es-MX"/>
        </w:rPr>
        <w:t xml:space="preserve"> dio respuesta a la solicitud de información en los siguientes términos:</w:t>
      </w:r>
    </w:p>
    <w:p w14:paraId="0E759FD5" w14:textId="77777777" w:rsidR="009A593A" w:rsidRPr="00C21CC7" w:rsidRDefault="009A593A" w:rsidP="00612E64">
      <w:pPr>
        <w:pStyle w:val="Sinespaciado"/>
        <w:ind w:right="907"/>
        <w:rPr>
          <w:rFonts w:ascii="Palatino Linotype" w:hAnsi="Palatino Linotype"/>
          <w:i/>
          <w:noProof/>
          <w:color w:val="000000" w:themeColor="text1"/>
          <w:sz w:val="22"/>
          <w:szCs w:val="22"/>
          <w:lang w:eastAsia="es-MX"/>
        </w:rPr>
      </w:pPr>
    </w:p>
    <w:p w14:paraId="20C03E3D" w14:textId="77777777" w:rsidR="00241A2F" w:rsidRPr="00C21CC7" w:rsidRDefault="005F1362" w:rsidP="00A65FA8">
      <w:pPr>
        <w:pStyle w:val="Sinespaciado"/>
        <w:spacing w:line="276" w:lineRule="auto"/>
        <w:ind w:left="850" w:right="907"/>
        <w:jc w:val="both"/>
        <w:rPr>
          <w:rFonts w:ascii="Palatino Linotype" w:hAnsi="Palatino Linotype"/>
          <w:i/>
          <w:noProof/>
          <w:color w:val="000000" w:themeColor="text1"/>
          <w:sz w:val="22"/>
          <w:szCs w:val="22"/>
          <w:lang w:val="es-MX" w:eastAsia="es-MX"/>
        </w:rPr>
      </w:pPr>
      <w:r w:rsidRPr="00C21CC7">
        <w:rPr>
          <w:rFonts w:ascii="Palatino Linotype" w:hAnsi="Palatino Linotype"/>
          <w:i/>
          <w:noProof/>
          <w:color w:val="000000" w:themeColor="text1"/>
          <w:sz w:val="22"/>
          <w:szCs w:val="22"/>
          <w:lang w:val="es-MX" w:eastAsia="es-MX"/>
        </w:rPr>
        <w:t>“</w:t>
      </w:r>
      <w:r w:rsidR="00241A2F" w:rsidRPr="00C21CC7">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A207EFC" w14:textId="77777777" w:rsidR="00241A2F" w:rsidRPr="00C21CC7" w:rsidRDefault="00241A2F" w:rsidP="00A65FA8">
      <w:pPr>
        <w:pStyle w:val="Sinespaciado"/>
        <w:spacing w:line="276" w:lineRule="auto"/>
        <w:ind w:left="850" w:right="907"/>
        <w:jc w:val="both"/>
        <w:rPr>
          <w:rFonts w:ascii="Palatino Linotype" w:hAnsi="Palatino Linotype"/>
          <w:i/>
          <w:noProof/>
          <w:color w:val="000000" w:themeColor="text1"/>
          <w:sz w:val="22"/>
          <w:szCs w:val="22"/>
          <w:lang w:val="es-MX" w:eastAsia="es-MX"/>
        </w:rPr>
      </w:pPr>
      <w:r w:rsidRPr="00C21CC7">
        <w:rPr>
          <w:rFonts w:ascii="Palatino Linotype" w:hAnsi="Palatino Linotype"/>
          <w:i/>
          <w:noProof/>
          <w:color w:val="000000" w:themeColor="text1"/>
          <w:sz w:val="22"/>
          <w:szCs w:val="22"/>
          <w:lang w:val="es-MX" w:eastAsia="es-MX"/>
        </w:rPr>
        <w:t>Con fundamento en el articulo 53 Fracción II y 163 de la Ley de Transparencia y Acceso a la Información Pública del Estado de México y Municipios, se da respuesta a la presente solicitud con el oficio que emite la Dirección de Administración del cual se anexa copia, así como la respuesta integradora por parte de la Unidad de Transparencia cumpliendo en tiempo y forma con lo solicitado</w:t>
      </w:r>
    </w:p>
    <w:p w14:paraId="5EF6D203" w14:textId="77777777" w:rsidR="00241A2F" w:rsidRPr="00C21CC7" w:rsidRDefault="00241A2F" w:rsidP="00A65FA8">
      <w:pPr>
        <w:pStyle w:val="Sinespaciado"/>
        <w:spacing w:line="276" w:lineRule="auto"/>
        <w:ind w:left="850" w:right="907"/>
        <w:jc w:val="both"/>
        <w:rPr>
          <w:rFonts w:ascii="Palatino Linotype" w:hAnsi="Palatino Linotype"/>
          <w:i/>
          <w:noProof/>
          <w:color w:val="000000" w:themeColor="text1"/>
          <w:sz w:val="22"/>
          <w:szCs w:val="22"/>
          <w:lang w:val="es-MX" w:eastAsia="es-MX"/>
        </w:rPr>
      </w:pPr>
    </w:p>
    <w:p w14:paraId="1BB42E57" w14:textId="77777777" w:rsidR="00241A2F" w:rsidRPr="00C21CC7" w:rsidRDefault="00241A2F" w:rsidP="00A65FA8">
      <w:pPr>
        <w:pStyle w:val="Sinespaciado"/>
        <w:spacing w:line="276" w:lineRule="auto"/>
        <w:ind w:left="850" w:right="907"/>
        <w:jc w:val="both"/>
        <w:rPr>
          <w:rFonts w:ascii="Palatino Linotype" w:hAnsi="Palatino Linotype"/>
          <w:i/>
          <w:noProof/>
          <w:color w:val="000000" w:themeColor="text1"/>
          <w:sz w:val="22"/>
          <w:szCs w:val="22"/>
          <w:lang w:val="es-MX" w:eastAsia="es-MX"/>
        </w:rPr>
      </w:pPr>
      <w:r w:rsidRPr="00C21CC7">
        <w:rPr>
          <w:rFonts w:ascii="Palatino Linotype" w:hAnsi="Palatino Linotype"/>
          <w:i/>
          <w:noProof/>
          <w:color w:val="000000" w:themeColor="text1"/>
          <w:sz w:val="22"/>
          <w:szCs w:val="22"/>
          <w:lang w:val="es-MX" w:eastAsia="es-MX"/>
        </w:rPr>
        <w:t>ATENTAMENTE</w:t>
      </w:r>
    </w:p>
    <w:p w14:paraId="35A36DE0" w14:textId="6A627A32" w:rsidR="0039142B" w:rsidRPr="00C21CC7" w:rsidRDefault="00241A2F" w:rsidP="00A65FA8">
      <w:pPr>
        <w:pStyle w:val="Sinespaciado"/>
        <w:spacing w:line="276" w:lineRule="auto"/>
        <w:ind w:left="850" w:right="907"/>
        <w:jc w:val="both"/>
        <w:rPr>
          <w:rFonts w:ascii="Palatino Linotype" w:hAnsi="Palatino Linotype"/>
          <w:noProof/>
          <w:color w:val="000000" w:themeColor="text1"/>
          <w:sz w:val="22"/>
          <w:szCs w:val="22"/>
          <w:lang w:val="es-MX" w:eastAsia="es-MX"/>
        </w:rPr>
      </w:pPr>
      <w:r w:rsidRPr="00C21CC7">
        <w:rPr>
          <w:rFonts w:ascii="Palatino Linotype" w:hAnsi="Palatino Linotype"/>
          <w:i/>
          <w:noProof/>
          <w:color w:val="000000" w:themeColor="text1"/>
          <w:sz w:val="22"/>
          <w:szCs w:val="22"/>
          <w:lang w:val="es-MX" w:eastAsia="es-MX"/>
        </w:rPr>
        <w:t>LIC. CESAR AUGUSTO MAGDALENO GUERRERO</w:t>
      </w:r>
      <w:r w:rsidR="005F1362" w:rsidRPr="00C21CC7">
        <w:rPr>
          <w:rFonts w:ascii="Palatino Linotype" w:hAnsi="Palatino Linotype"/>
          <w:i/>
          <w:noProof/>
          <w:color w:val="000000" w:themeColor="text1"/>
          <w:sz w:val="22"/>
          <w:szCs w:val="22"/>
          <w:lang w:val="es-MX" w:eastAsia="es-MX"/>
        </w:rPr>
        <w:t>”</w:t>
      </w:r>
      <w:r w:rsidR="00EB3DF7" w:rsidRPr="00C21CC7">
        <w:rPr>
          <w:rFonts w:ascii="Palatino Linotype" w:hAnsi="Palatino Linotype"/>
          <w:noProof/>
          <w:color w:val="000000" w:themeColor="text1"/>
          <w:sz w:val="22"/>
          <w:szCs w:val="22"/>
          <w:lang w:val="es-MX" w:eastAsia="es-MX"/>
        </w:rPr>
        <w:t xml:space="preserve"> (Sic.)</w:t>
      </w:r>
    </w:p>
    <w:p w14:paraId="25E435EC" w14:textId="77777777" w:rsidR="00612E64" w:rsidRPr="00C21CC7" w:rsidRDefault="00612E64" w:rsidP="00612E64">
      <w:pPr>
        <w:pStyle w:val="Sinespaciado"/>
        <w:spacing w:line="276" w:lineRule="auto"/>
        <w:ind w:right="907"/>
        <w:jc w:val="both"/>
        <w:rPr>
          <w:rFonts w:ascii="Palatino Linotype" w:hAnsi="Palatino Linotype"/>
          <w:noProof/>
          <w:color w:val="000000" w:themeColor="text1"/>
          <w:sz w:val="22"/>
          <w:szCs w:val="22"/>
          <w:lang w:val="es-MX" w:eastAsia="es-MX"/>
        </w:rPr>
      </w:pPr>
    </w:p>
    <w:p w14:paraId="4269F8F0" w14:textId="77777777" w:rsidR="00612E64" w:rsidRPr="00C21CC7" w:rsidRDefault="00612E64" w:rsidP="00612E64">
      <w:pPr>
        <w:spacing w:line="360" w:lineRule="auto"/>
        <w:jc w:val="both"/>
        <w:rPr>
          <w:rFonts w:ascii="Palatino Linotype" w:hAnsi="Palatino Linotype" w:cs="Arial"/>
          <w:b/>
          <w:sz w:val="26"/>
          <w:szCs w:val="26"/>
        </w:rPr>
      </w:pPr>
      <w:r w:rsidRPr="00C21CC7">
        <w:rPr>
          <w:rFonts w:ascii="Palatino Linotype" w:hAnsi="Palatino Linotype" w:cs="Arial"/>
          <w:b/>
          <w:sz w:val="26"/>
          <w:szCs w:val="26"/>
        </w:rPr>
        <w:t xml:space="preserve">III. </w:t>
      </w:r>
      <w:r w:rsidRPr="00C21CC7">
        <w:rPr>
          <w:rFonts w:ascii="Palatino Linotype" w:hAnsi="Palatino Linotype" w:cs="Arial"/>
          <w:b/>
          <w:bCs/>
          <w:sz w:val="26"/>
          <w:szCs w:val="26"/>
        </w:rPr>
        <w:t>Del Recurso de Revisión</w:t>
      </w:r>
    </w:p>
    <w:p w14:paraId="44CF2A12" w14:textId="12A52B0D" w:rsidR="00612E64" w:rsidRPr="00C21CC7" w:rsidRDefault="00612E64" w:rsidP="00612E64">
      <w:pPr>
        <w:spacing w:line="360" w:lineRule="auto"/>
        <w:jc w:val="both"/>
        <w:rPr>
          <w:rFonts w:ascii="Palatino Linotype" w:hAnsi="Palatino Linotype" w:cs="Arial"/>
        </w:rPr>
      </w:pPr>
      <w:r w:rsidRPr="00C21CC7">
        <w:rPr>
          <w:rFonts w:ascii="Palatino Linotype" w:hAnsi="Palatino Linotype" w:cs="Arial"/>
        </w:rPr>
        <w:t>Inconforme por la respuesta proporcionada por el</w:t>
      </w:r>
      <w:r w:rsidRPr="00C21CC7">
        <w:rPr>
          <w:rFonts w:ascii="Palatino Linotype" w:hAnsi="Palatino Linotype" w:cs="Arial"/>
          <w:b/>
        </w:rPr>
        <w:t xml:space="preserve"> SUJETO OBLIGADO</w:t>
      </w:r>
      <w:r w:rsidRPr="00C21CC7">
        <w:rPr>
          <w:rFonts w:ascii="Palatino Linotype" w:hAnsi="Palatino Linotype" w:cs="Arial"/>
        </w:rPr>
        <w:t xml:space="preserve">, </w:t>
      </w:r>
      <w:bookmarkStart w:id="3" w:name="_Hlk65869348"/>
      <w:r w:rsidRPr="00C21CC7">
        <w:rPr>
          <w:rFonts w:ascii="Palatino Linotype" w:hAnsi="Palatino Linotype" w:cs="Arial"/>
          <w:bCs/>
        </w:rPr>
        <w:t>el</w:t>
      </w:r>
      <w:r w:rsidRPr="00C21CC7">
        <w:rPr>
          <w:rFonts w:ascii="Palatino Linotype" w:hAnsi="Palatino Linotype" w:cs="Arial"/>
        </w:rPr>
        <w:t xml:space="preserve"> </w:t>
      </w:r>
      <w:bookmarkStart w:id="4" w:name="_Hlk94635182"/>
      <w:bookmarkEnd w:id="3"/>
      <w:r w:rsidRPr="00C21CC7">
        <w:rPr>
          <w:rFonts w:ascii="Palatino Linotype" w:hAnsi="Palatino Linotype" w:cs="Arial"/>
        </w:rPr>
        <w:t>diecinueve de mayo de dos mil veintidós</w:t>
      </w:r>
      <w:bookmarkEnd w:id="4"/>
      <w:r w:rsidRPr="00C21CC7">
        <w:rPr>
          <w:rFonts w:ascii="Palatino Linotype" w:hAnsi="Palatino Linotype" w:cs="Arial"/>
        </w:rPr>
        <w:t xml:space="preserve">, </w:t>
      </w:r>
      <w:r w:rsidRPr="00C21CC7">
        <w:rPr>
          <w:rFonts w:ascii="Palatino Linotype" w:hAnsi="Palatino Linotype" w:cs="Arial"/>
          <w:bCs/>
        </w:rPr>
        <w:t>se</w:t>
      </w:r>
      <w:r w:rsidRPr="00C21CC7">
        <w:rPr>
          <w:rFonts w:ascii="Palatino Linotype" w:hAnsi="Palatino Linotype" w:cs="Arial"/>
          <w:b/>
        </w:rPr>
        <w:t xml:space="preserve"> </w:t>
      </w:r>
      <w:r w:rsidRPr="00C21CC7">
        <w:rPr>
          <w:rFonts w:ascii="Palatino Linotype" w:hAnsi="Palatino Linotype" w:cs="Arial"/>
        </w:rPr>
        <w:t xml:space="preserve">interpuso el Recurso de Revisión materia del presente estudio, el cual fue registrado en </w:t>
      </w:r>
      <w:r w:rsidRPr="00C21CC7">
        <w:rPr>
          <w:rFonts w:ascii="Palatino Linotype" w:hAnsi="Palatino Linotype" w:cs="Arial"/>
          <w:b/>
        </w:rPr>
        <w:t>EL SAIMEX</w:t>
      </w:r>
      <w:r w:rsidRPr="00C21CC7">
        <w:rPr>
          <w:rFonts w:ascii="Palatino Linotype" w:hAnsi="Palatino Linotype" w:cs="Arial"/>
        </w:rPr>
        <w:t xml:space="preserve"> y se le asignó el número de expediente anotado al rubro</w:t>
      </w:r>
      <w:r w:rsidRPr="00C21CC7">
        <w:rPr>
          <w:rFonts w:ascii="Palatino Linotype" w:hAnsi="Palatino Linotype" w:cs="Arial"/>
          <w:b/>
        </w:rPr>
        <w:t>,</w:t>
      </w:r>
      <w:r w:rsidRPr="00C21CC7">
        <w:rPr>
          <w:rFonts w:ascii="Palatino Linotype" w:hAnsi="Palatino Linotype" w:cs="Arial"/>
        </w:rPr>
        <w:t xml:space="preserve"> en el que señaló el particular, lo siguiente:</w:t>
      </w:r>
    </w:p>
    <w:p w14:paraId="42BEFEBE" w14:textId="04B5BC01" w:rsidR="00612E64" w:rsidRPr="00C21CC7" w:rsidRDefault="00612E64" w:rsidP="00612E64">
      <w:pPr>
        <w:pStyle w:val="Prrafodelista"/>
        <w:numPr>
          <w:ilvl w:val="0"/>
          <w:numId w:val="19"/>
        </w:numPr>
        <w:spacing w:line="360" w:lineRule="auto"/>
        <w:contextualSpacing w:val="0"/>
        <w:jc w:val="both"/>
        <w:rPr>
          <w:rFonts w:ascii="Palatino Linotype" w:hAnsi="Palatino Linotype" w:cs="Arial"/>
          <w:b/>
          <w:bCs/>
          <w:sz w:val="22"/>
          <w:szCs w:val="22"/>
        </w:rPr>
      </w:pPr>
      <w:r w:rsidRPr="00C21CC7">
        <w:rPr>
          <w:rFonts w:ascii="Palatino Linotype" w:hAnsi="Palatino Linotype" w:cs="Arial"/>
          <w:b/>
          <w:bCs/>
          <w:sz w:val="22"/>
          <w:szCs w:val="22"/>
        </w:rPr>
        <w:t xml:space="preserve">Acto impugnado: </w:t>
      </w:r>
    </w:p>
    <w:p w14:paraId="3E784D93" w14:textId="687C24C1" w:rsidR="00612E64" w:rsidRPr="00C21CC7" w:rsidRDefault="00612E64" w:rsidP="00612E64">
      <w:pPr>
        <w:pStyle w:val="Prrafodelista"/>
        <w:spacing w:line="360" w:lineRule="auto"/>
        <w:contextualSpacing w:val="0"/>
        <w:jc w:val="both"/>
        <w:rPr>
          <w:rFonts w:ascii="Palatino Linotype" w:hAnsi="Palatino Linotype" w:cs="Arial"/>
          <w:bCs/>
          <w:sz w:val="22"/>
          <w:szCs w:val="22"/>
          <w:lang w:val="es-ES"/>
        </w:rPr>
      </w:pPr>
      <w:r w:rsidRPr="00C21CC7">
        <w:rPr>
          <w:rFonts w:ascii="Palatino Linotype" w:hAnsi="Palatino Linotype" w:cs="Arial"/>
          <w:bCs/>
          <w:sz w:val="22"/>
          <w:szCs w:val="22"/>
          <w:lang w:val="es-ES"/>
        </w:rPr>
        <w:t>“</w:t>
      </w:r>
      <w:r w:rsidRPr="00C21CC7">
        <w:rPr>
          <w:rFonts w:ascii="Palatino Linotype" w:hAnsi="Palatino Linotype" w:cs="Arial"/>
          <w:bCs/>
          <w:i/>
          <w:sz w:val="22"/>
          <w:szCs w:val="22"/>
        </w:rPr>
        <w:t xml:space="preserve">La negativa a entregar la </w:t>
      </w:r>
      <w:proofErr w:type="spellStart"/>
      <w:r w:rsidRPr="00C21CC7">
        <w:rPr>
          <w:rFonts w:ascii="Palatino Linotype" w:hAnsi="Palatino Linotype" w:cs="Arial"/>
          <w:bCs/>
          <w:i/>
          <w:sz w:val="22"/>
          <w:szCs w:val="22"/>
        </w:rPr>
        <w:t>informacion</w:t>
      </w:r>
      <w:proofErr w:type="spellEnd"/>
      <w:r w:rsidRPr="00C21CC7">
        <w:rPr>
          <w:rFonts w:ascii="Palatino Linotype" w:hAnsi="Palatino Linotype" w:cs="Arial"/>
          <w:bCs/>
          <w:i/>
          <w:sz w:val="22"/>
          <w:szCs w:val="22"/>
        </w:rPr>
        <w:t xml:space="preserve"> solicitada</w:t>
      </w:r>
      <w:r w:rsidRPr="00C21CC7">
        <w:rPr>
          <w:rFonts w:ascii="Palatino Linotype" w:hAnsi="Palatino Linotype" w:cs="Arial"/>
          <w:bCs/>
          <w:i/>
          <w:sz w:val="22"/>
          <w:szCs w:val="22"/>
          <w:lang w:val="es-ES"/>
        </w:rPr>
        <w:t>”</w:t>
      </w:r>
      <w:r w:rsidRPr="00C21CC7">
        <w:rPr>
          <w:rFonts w:ascii="Palatino Linotype" w:hAnsi="Palatino Linotype" w:cs="Arial"/>
          <w:bCs/>
          <w:sz w:val="22"/>
          <w:szCs w:val="22"/>
          <w:lang w:val="es-ES"/>
        </w:rPr>
        <w:t xml:space="preserve"> (sic).</w:t>
      </w:r>
    </w:p>
    <w:p w14:paraId="7FAF7B5A" w14:textId="77777777" w:rsidR="00612E64" w:rsidRPr="00C21CC7" w:rsidRDefault="00612E64" w:rsidP="00612E64">
      <w:pPr>
        <w:pStyle w:val="Prrafodelista"/>
        <w:numPr>
          <w:ilvl w:val="0"/>
          <w:numId w:val="19"/>
        </w:numPr>
        <w:spacing w:line="360" w:lineRule="auto"/>
        <w:contextualSpacing w:val="0"/>
        <w:jc w:val="both"/>
        <w:rPr>
          <w:rFonts w:ascii="Palatino Linotype" w:hAnsi="Palatino Linotype" w:cs="Arial"/>
          <w:b/>
          <w:bCs/>
          <w:sz w:val="22"/>
          <w:szCs w:val="22"/>
        </w:rPr>
      </w:pPr>
      <w:r w:rsidRPr="00C21CC7">
        <w:rPr>
          <w:rFonts w:ascii="Palatino Linotype" w:hAnsi="Palatino Linotype" w:cs="Arial"/>
          <w:b/>
          <w:bCs/>
          <w:sz w:val="22"/>
          <w:szCs w:val="22"/>
        </w:rPr>
        <w:t>Razones o motivos de inconformidad:</w:t>
      </w:r>
    </w:p>
    <w:p w14:paraId="3700F7D1" w14:textId="329F5C7C" w:rsidR="00612E64" w:rsidRPr="00C21CC7" w:rsidRDefault="00612E64" w:rsidP="00612E64">
      <w:pPr>
        <w:pStyle w:val="Prrafodelista"/>
        <w:spacing w:line="360" w:lineRule="auto"/>
        <w:contextualSpacing w:val="0"/>
        <w:jc w:val="both"/>
        <w:rPr>
          <w:rFonts w:ascii="Palatino Linotype" w:hAnsi="Palatino Linotype" w:cs="Arial"/>
          <w:bCs/>
          <w:i/>
          <w:sz w:val="22"/>
          <w:szCs w:val="22"/>
        </w:rPr>
      </w:pPr>
      <w:r w:rsidRPr="00C21CC7">
        <w:rPr>
          <w:rFonts w:ascii="Palatino Linotype" w:hAnsi="Palatino Linotype" w:cs="Arial"/>
          <w:bCs/>
          <w:i/>
          <w:sz w:val="22"/>
          <w:szCs w:val="22"/>
        </w:rPr>
        <w:t xml:space="preserve">“QUE AMABLES AL DARME LOS DATOS DEL CONTRATO Y SU PROCESO DE LICITACIÓN, CUANDO LES CONVIENE GENERAN UN DOCUMENTO ADOC PARA DAR LA RESPUESTA, CUANDO NO LES CONVIENE DICEN QUE NO </w:t>
      </w:r>
      <w:r w:rsidRPr="00C21CC7">
        <w:rPr>
          <w:rFonts w:ascii="Palatino Linotype" w:hAnsi="Palatino Linotype" w:cs="Arial"/>
          <w:bCs/>
          <w:i/>
          <w:sz w:val="22"/>
          <w:szCs w:val="22"/>
        </w:rPr>
        <w:lastRenderedPageBreak/>
        <w:t>TIENEN LA OBLIGACIÓN DE GENERAR UN DOCUMENTO, PERO LO ESPECTACULAR ES QUE NO OCULTARAN EL CONTRATO Y LO ADJUNTARAN A SU RESPUESTA.” (Sic).</w:t>
      </w:r>
    </w:p>
    <w:p w14:paraId="39BB5213" w14:textId="77777777" w:rsidR="00FB2494" w:rsidRPr="00C21CC7" w:rsidRDefault="00FB2494" w:rsidP="00612E64">
      <w:pPr>
        <w:pStyle w:val="Prrafodelista"/>
        <w:spacing w:line="360" w:lineRule="auto"/>
        <w:contextualSpacing w:val="0"/>
        <w:jc w:val="both"/>
        <w:rPr>
          <w:rFonts w:ascii="Palatino Linotype" w:hAnsi="Palatino Linotype" w:cs="Arial"/>
          <w:bCs/>
          <w:i/>
          <w:sz w:val="22"/>
          <w:szCs w:val="22"/>
        </w:rPr>
      </w:pPr>
    </w:p>
    <w:p w14:paraId="3D09BD98" w14:textId="77777777" w:rsidR="00FB2494" w:rsidRPr="00C21CC7" w:rsidRDefault="00FB2494" w:rsidP="00FB2494">
      <w:pPr>
        <w:spacing w:line="360" w:lineRule="auto"/>
        <w:jc w:val="both"/>
        <w:rPr>
          <w:rFonts w:ascii="Palatino Linotype" w:hAnsi="Palatino Linotype" w:cs="Segoe UI"/>
          <w:lang w:eastAsia="es-MX"/>
        </w:rPr>
      </w:pPr>
      <w:r w:rsidRPr="00C21CC7">
        <w:rPr>
          <w:rFonts w:ascii="Palatino Linotype" w:hAnsi="Palatino Linotype" w:cs="Segoe UI"/>
          <w:b/>
          <w:lang w:eastAsia="es-MX"/>
        </w:rPr>
        <w:t xml:space="preserve">El SUJETO OBLIGADO </w:t>
      </w:r>
      <w:r w:rsidRPr="00C21CC7">
        <w:rPr>
          <w:rFonts w:ascii="Palatino Linotype" w:hAnsi="Palatino Linotype" w:cs="Segoe UI"/>
          <w:lang w:eastAsia="es-MX"/>
        </w:rPr>
        <w:t xml:space="preserve">adjunto a la respuesta los archivos electrónicos denominados </w:t>
      </w:r>
      <w:r w:rsidRPr="00C21CC7">
        <w:rPr>
          <w:rFonts w:ascii="Palatino Linotype" w:hAnsi="Palatino Linotype" w:cs="Segoe UI"/>
          <w:b/>
          <w:lang w:eastAsia="es-MX"/>
        </w:rPr>
        <w:t>CONTESTACION ADMON 00267_2022.pdf con número de oficio DA/1595/2022</w:t>
      </w:r>
      <w:r w:rsidRPr="00C21CC7">
        <w:rPr>
          <w:rFonts w:ascii="Palatino Linotype" w:hAnsi="Palatino Linotype" w:cs="Segoe UI"/>
          <w:lang w:eastAsia="es-MX"/>
        </w:rPr>
        <w:t xml:space="preserve"> signado por la directora de administración y el oficio número </w:t>
      </w:r>
      <w:r w:rsidRPr="00C21CC7">
        <w:rPr>
          <w:rFonts w:ascii="Palatino Linotype" w:hAnsi="Palatino Linotype" w:cs="Segoe UI"/>
          <w:b/>
          <w:lang w:eastAsia="es-MX"/>
        </w:rPr>
        <w:t>SRM/ACO/187/2022</w:t>
      </w:r>
      <w:r w:rsidRPr="00C21CC7">
        <w:rPr>
          <w:rFonts w:ascii="Palatino Linotype" w:hAnsi="Palatino Linotype" w:cs="Segoe UI"/>
          <w:lang w:eastAsia="es-MX"/>
        </w:rPr>
        <w:t xml:space="preserve"> signado por el subdirector de recursos materiales, documentales con las que manifiesta el Sujeto Obligado que actualmente no se cuenta con un contrato por medio del cual se haya llevado el diseño de la aplicación; RESPUESTA AL SOLICITANTE 00267_2022.pdf con número de oficio PM/UT/CAMG/891/2022 signado por el Titular de la Unidad de Transparencia y Protección de Datos Personales, oficio con el que da contestación al solicitante. </w:t>
      </w:r>
    </w:p>
    <w:p w14:paraId="2ABF5F37" w14:textId="77777777" w:rsidR="00612E64" w:rsidRPr="00C21CC7" w:rsidRDefault="00612E64" w:rsidP="00612E64">
      <w:pPr>
        <w:pStyle w:val="Prrafodelista"/>
        <w:spacing w:line="360" w:lineRule="auto"/>
        <w:contextualSpacing w:val="0"/>
        <w:jc w:val="both"/>
        <w:rPr>
          <w:rFonts w:ascii="Palatino Linotype" w:hAnsi="Palatino Linotype" w:cs="Arial"/>
          <w:bCs/>
          <w:i/>
          <w:sz w:val="22"/>
          <w:szCs w:val="22"/>
        </w:rPr>
      </w:pPr>
    </w:p>
    <w:p w14:paraId="0A1C199F" w14:textId="1D117815" w:rsidR="00612E64" w:rsidRPr="00C21CC7" w:rsidRDefault="00C21CC7" w:rsidP="00612E64">
      <w:pPr>
        <w:spacing w:line="360" w:lineRule="auto"/>
        <w:jc w:val="both"/>
        <w:rPr>
          <w:rFonts w:ascii="Palatino Linotype" w:hAnsi="Palatino Linotype" w:cs="Arial"/>
          <w:b/>
          <w:color w:val="000000" w:themeColor="text1"/>
          <w:sz w:val="26"/>
          <w:szCs w:val="26"/>
        </w:rPr>
      </w:pPr>
      <w:r w:rsidRPr="00C21CC7">
        <w:rPr>
          <w:rFonts w:ascii="Palatino Linotype" w:hAnsi="Palatino Linotype" w:cs="Arial"/>
          <w:b/>
          <w:sz w:val="26"/>
          <w:szCs w:val="26"/>
        </w:rPr>
        <w:t>IV</w:t>
      </w:r>
      <w:r w:rsidR="00612E64" w:rsidRPr="00C21CC7">
        <w:rPr>
          <w:rFonts w:ascii="Palatino Linotype" w:hAnsi="Palatino Linotype" w:cs="Arial"/>
          <w:b/>
          <w:sz w:val="26"/>
          <w:szCs w:val="26"/>
        </w:rPr>
        <w:t>. Del turno del Recurso de Revisión</w:t>
      </w:r>
    </w:p>
    <w:p w14:paraId="730F8F7F" w14:textId="7D36C506" w:rsidR="00612E64" w:rsidRPr="00C21CC7" w:rsidRDefault="00612E64" w:rsidP="00612E64">
      <w:pPr>
        <w:spacing w:line="360" w:lineRule="auto"/>
        <w:jc w:val="both"/>
        <w:rPr>
          <w:rFonts w:ascii="Palatino Linotype" w:hAnsi="Palatino Linotype" w:cs="Arial"/>
        </w:rPr>
      </w:pPr>
      <w:r w:rsidRPr="00C21CC7">
        <w:rPr>
          <w:rFonts w:ascii="Palatino Linotype" w:hAnsi="Palatino Linotype" w:cs="Arial"/>
        </w:rPr>
        <w:t xml:space="preserve">El diez de agosto de dos mil veintidós, el recurso que se trata se envió electrónicamente al Instituto de </w:t>
      </w:r>
      <w:r w:rsidRPr="00C21CC7">
        <w:rPr>
          <w:rFonts w:ascii="Palatino Linotype" w:eastAsia="Arial Unicode MS" w:hAnsi="Palatino Linotype" w:cs="Arial"/>
        </w:rPr>
        <w:t>Transparencia</w:t>
      </w:r>
      <w:r w:rsidRPr="00C21CC7">
        <w:rPr>
          <w:rFonts w:ascii="Palatino Linotype" w:hAnsi="Palatino Linotype" w:cs="Arial"/>
        </w:rPr>
        <w:t xml:space="preserve">, Acceso a la Información Pública y Protección de Datos Personales del Estado de México y Municipios y con fundamento en el artículo 185, fracción I de la </w:t>
      </w:r>
      <w:r w:rsidRPr="00C21CC7">
        <w:rPr>
          <w:rFonts w:ascii="Palatino Linotype" w:hAnsi="Palatino Linotype"/>
        </w:rPr>
        <w:t>Ley de Transparencia y Acceso a la Información Pública del Estado de México y Municipios</w:t>
      </w:r>
      <w:r w:rsidRPr="00C21CC7">
        <w:rPr>
          <w:rFonts w:ascii="Palatino Linotype" w:hAnsi="Palatino Linotype" w:cs="Arial"/>
        </w:rPr>
        <w:t>, se turnó mediante el</w:t>
      </w:r>
      <w:r w:rsidRPr="00C21CC7">
        <w:rPr>
          <w:rFonts w:ascii="Palatino Linotype" w:eastAsia="Arial Unicode MS" w:hAnsi="Palatino Linotype" w:cs="Arial"/>
        </w:rPr>
        <w:t xml:space="preserve"> </w:t>
      </w:r>
      <w:r w:rsidRPr="00C21CC7">
        <w:rPr>
          <w:rFonts w:ascii="Palatino Linotype" w:eastAsia="Arial Unicode MS" w:hAnsi="Palatino Linotype" w:cs="Arial"/>
          <w:b/>
        </w:rPr>
        <w:t>SAIMEX</w:t>
      </w:r>
      <w:r w:rsidRPr="00C21CC7">
        <w:rPr>
          <w:rFonts w:ascii="Palatino Linotype" w:hAnsi="Palatino Linotype"/>
        </w:rPr>
        <w:t xml:space="preserve">, a la </w:t>
      </w:r>
      <w:bookmarkStart w:id="5" w:name="_Hlk96369776"/>
      <w:r w:rsidRPr="00C21CC7">
        <w:rPr>
          <w:rFonts w:ascii="Palatino Linotype" w:hAnsi="Palatino Linotype" w:cs="Arial"/>
          <w:b/>
          <w:bCs/>
        </w:rPr>
        <w:t xml:space="preserve">Comisionada </w:t>
      </w:r>
      <w:bookmarkEnd w:id="5"/>
      <w:r w:rsidRPr="00C21CC7">
        <w:rPr>
          <w:rFonts w:ascii="Palatino Linotype" w:hAnsi="Palatino Linotype" w:cs="Arial"/>
          <w:b/>
          <w:bCs/>
          <w:lang w:val="es-ES_tradnl"/>
        </w:rPr>
        <w:t>Sharon Cristina Morales Martínez</w:t>
      </w:r>
      <w:r w:rsidRPr="00C21CC7">
        <w:rPr>
          <w:rFonts w:ascii="Palatino Linotype" w:hAnsi="Palatino Linotype"/>
        </w:rPr>
        <w:t>,</w:t>
      </w:r>
      <w:r w:rsidRPr="00C21CC7">
        <w:rPr>
          <w:rFonts w:ascii="Palatino Linotype" w:hAnsi="Palatino Linotype" w:cs="Arial"/>
        </w:rPr>
        <w:t xml:space="preserve"> a efecto de decretar su admisión o desechamiento.</w:t>
      </w:r>
    </w:p>
    <w:p w14:paraId="62488548" w14:textId="77777777" w:rsidR="00FB2494" w:rsidRPr="00C21CC7" w:rsidRDefault="00FB2494" w:rsidP="00612E64">
      <w:pPr>
        <w:spacing w:line="360" w:lineRule="auto"/>
        <w:jc w:val="both"/>
        <w:rPr>
          <w:rFonts w:ascii="Palatino Linotype" w:hAnsi="Palatino Linotype" w:cs="Arial"/>
        </w:rPr>
      </w:pPr>
    </w:p>
    <w:p w14:paraId="67F3EB96" w14:textId="77777777" w:rsidR="00FB2494" w:rsidRPr="00C21CC7" w:rsidRDefault="00FB2494" w:rsidP="00612E64">
      <w:pPr>
        <w:spacing w:line="360" w:lineRule="auto"/>
        <w:jc w:val="both"/>
        <w:rPr>
          <w:rFonts w:ascii="Palatino Linotype" w:hAnsi="Palatino Linotype" w:cs="Arial"/>
        </w:rPr>
      </w:pPr>
    </w:p>
    <w:p w14:paraId="0AB48A90" w14:textId="77777777" w:rsidR="00612E64" w:rsidRPr="00C21CC7" w:rsidRDefault="00612E64" w:rsidP="00612E64">
      <w:pPr>
        <w:spacing w:line="360" w:lineRule="auto"/>
        <w:jc w:val="both"/>
        <w:rPr>
          <w:rFonts w:ascii="Palatino Linotype" w:hAnsi="Palatino Linotype" w:cs="Arial"/>
        </w:rPr>
      </w:pPr>
    </w:p>
    <w:p w14:paraId="28B1C699" w14:textId="77777777" w:rsidR="00612E64" w:rsidRPr="00C21CC7" w:rsidRDefault="00612E64" w:rsidP="00612E64">
      <w:pPr>
        <w:spacing w:line="360" w:lineRule="auto"/>
        <w:jc w:val="both"/>
        <w:rPr>
          <w:rFonts w:ascii="Palatino Linotype" w:hAnsi="Palatino Linotype" w:cs="Arial"/>
          <w:b/>
        </w:rPr>
      </w:pPr>
      <w:r w:rsidRPr="00C21CC7">
        <w:rPr>
          <w:rFonts w:ascii="Palatino Linotype" w:hAnsi="Palatino Linotype" w:cs="Arial"/>
          <w:b/>
        </w:rPr>
        <w:lastRenderedPageBreak/>
        <w:t>a) Admisión del Recurso de Revisión</w:t>
      </w:r>
    </w:p>
    <w:p w14:paraId="471C9607" w14:textId="77777777" w:rsidR="00612E64" w:rsidRPr="00C21CC7" w:rsidRDefault="00612E64" w:rsidP="00612E64">
      <w:pPr>
        <w:spacing w:line="360" w:lineRule="auto"/>
        <w:jc w:val="both"/>
        <w:rPr>
          <w:rFonts w:ascii="Palatino Linotype" w:hAnsi="Palatino Linotype" w:cs="Arial"/>
        </w:rPr>
      </w:pPr>
      <w:r w:rsidRPr="00C21CC7">
        <w:rPr>
          <w:rFonts w:ascii="Palatino Linotype" w:hAnsi="Palatino Linotype" w:cs="Arial"/>
        </w:rPr>
        <w:t>De las constancias del expediente electrónico del</w:t>
      </w:r>
      <w:r w:rsidRPr="00C21CC7">
        <w:rPr>
          <w:rFonts w:ascii="Palatino Linotype" w:hAnsi="Palatino Linotype" w:cs="Arial"/>
          <w:b/>
        </w:rPr>
        <w:t xml:space="preserve"> SAIMEX</w:t>
      </w:r>
      <w:r w:rsidRPr="00C21CC7">
        <w:rPr>
          <w:rFonts w:ascii="Palatino Linotype" w:hAnsi="Palatino Linotype" w:cs="Arial"/>
        </w:rPr>
        <w:t xml:space="preserve">, se advierte que en fecha veinticuatro de mayo de dos mil veintidós, se acordó la admisión a trámite del Recurso de Revisión que nos ocupa; así como la integración del expediente respectivo, mismo que se puso a disposición de las partes, para que en un plazo máximo de siete días hábiles, manifestaran lo que a su derecho conviniera, a efecto de presentar pruebas y alegatos; así como para que </w:t>
      </w:r>
      <w:r w:rsidRPr="00C21CC7">
        <w:rPr>
          <w:rFonts w:ascii="Palatino Linotype" w:hAnsi="Palatino Linotype" w:cs="Arial"/>
          <w:b/>
        </w:rPr>
        <w:t xml:space="preserve">EL SUJETO OBLIGADO </w:t>
      </w:r>
      <w:r w:rsidRPr="00C21CC7">
        <w:rPr>
          <w:rFonts w:ascii="Palatino Linotype" w:hAnsi="Palatino Linotype" w:cs="Arial"/>
        </w:rPr>
        <w:t>rindiera su</w:t>
      </w:r>
      <w:r w:rsidRPr="00C21CC7">
        <w:rPr>
          <w:rFonts w:ascii="Palatino Linotype" w:hAnsi="Palatino Linotype" w:cs="Arial"/>
          <w:b/>
        </w:rPr>
        <w:t xml:space="preserve"> </w:t>
      </w:r>
      <w:r w:rsidRPr="00C21CC7">
        <w:rPr>
          <w:rFonts w:ascii="Palatino Linotype" w:hAnsi="Palatino Linotype" w:cs="Arial"/>
        </w:rPr>
        <w:t>Informe Justificado, conforme a lo dispuesto por el artículo 185, de la Ley de Transparencia y Acceso a la Información Pública del Estado de México y Municipios.</w:t>
      </w:r>
    </w:p>
    <w:p w14:paraId="36ED637C" w14:textId="77777777" w:rsidR="00612E64" w:rsidRPr="00C21CC7" w:rsidRDefault="00612E64" w:rsidP="00612E64">
      <w:pPr>
        <w:spacing w:line="360" w:lineRule="auto"/>
        <w:jc w:val="both"/>
        <w:rPr>
          <w:rFonts w:ascii="Palatino Linotype" w:hAnsi="Palatino Linotype" w:cs="Arial"/>
        </w:rPr>
      </w:pPr>
    </w:p>
    <w:p w14:paraId="2EB45818" w14:textId="77777777" w:rsidR="00612E64" w:rsidRPr="00C21CC7" w:rsidRDefault="00612E64" w:rsidP="00612E64">
      <w:pPr>
        <w:spacing w:line="360" w:lineRule="auto"/>
        <w:jc w:val="both"/>
        <w:rPr>
          <w:rFonts w:ascii="Palatino Linotype" w:hAnsi="Palatino Linotype" w:cs="Arial"/>
          <w:b/>
        </w:rPr>
      </w:pPr>
      <w:r w:rsidRPr="00C21CC7">
        <w:rPr>
          <w:rFonts w:ascii="Palatino Linotype" w:hAnsi="Palatino Linotype" w:cs="Arial"/>
          <w:b/>
        </w:rPr>
        <w:t xml:space="preserve">b) </w:t>
      </w:r>
      <w:r w:rsidRPr="00C21CC7">
        <w:rPr>
          <w:rFonts w:ascii="Palatino Linotype" w:hAnsi="Palatino Linotype" w:cs="Arial"/>
          <w:b/>
          <w:bCs/>
        </w:rPr>
        <w:t>Informe Justificado</w:t>
      </w:r>
    </w:p>
    <w:p w14:paraId="57A46A7B" w14:textId="435001FB" w:rsidR="00612E64" w:rsidRPr="00C21CC7" w:rsidRDefault="00612E64" w:rsidP="00612E64">
      <w:pPr>
        <w:spacing w:line="360" w:lineRule="auto"/>
        <w:jc w:val="both"/>
        <w:rPr>
          <w:rFonts w:ascii="Palatino Linotype" w:hAnsi="Palatino Linotype" w:cs="Arial"/>
        </w:rPr>
      </w:pPr>
      <w:r w:rsidRPr="00C21CC7">
        <w:rPr>
          <w:rFonts w:ascii="Palatino Linotype" w:hAnsi="Palatino Linotype" w:cs="Arial"/>
        </w:rPr>
        <w:t>En cumplimiento a lo anterior, de las constancias del expediente electrónico que obran en el </w:t>
      </w:r>
      <w:r w:rsidRPr="00C21CC7">
        <w:rPr>
          <w:rFonts w:ascii="Palatino Linotype" w:hAnsi="Palatino Linotype" w:cs="Arial"/>
          <w:b/>
          <w:bCs/>
        </w:rPr>
        <w:t>SAIMEX</w:t>
      </w:r>
      <w:r w:rsidRPr="00C21CC7">
        <w:rPr>
          <w:rFonts w:ascii="Palatino Linotype" w:hAnsi="Palatino Linotype" w:cs="Arial"/>
        </w:rPr>
        <w:t xml:space="preserve">, del Recurso materia del presente estudio, se advierte que </w:t>
      </w:r>
      <w:r w:rsidRPr="00C21CC7">
        <w:rPr>
          <w:rFonts w:ascii="Palatino Linotype" w:hAnsi="Palatino Linotype" w:cs="Arial"/>
          <w:b/>
          <w:bCs/>
        </w:rPr>
        <w:t xml:space="preserve">EL SUJETO OBLIGADO </w:t>
      </w:r>
      <w:r w:rsidRPr="00C21CC7">
        <w:rPr>
          <w:rFonts w:ascii="Palatino Linotype" w:hAnsi="Palatino Linotype" w:cs="Arial"/>
        </w:rPr>
        <w:t xml:space="preserve">presento su Informe Justificado en fecha </w:t>
      </w:r>
      <w:r w:rsidR="00645F79" w:rsidRPr="00C21CC7">
        <w:rPr>
          <w:rFonts w:ascii="Palatino Linotype" w:hAnsi="Palatino Linotype" w:cs="Arial"/>
        </w:rPr>
        <w:t xml:space="preserve">veintidós </w:t>
      </w:r>
      <w:r w:rsidRPr="00C21CC7">
        <w:rPr>
          <w:rFonts w:ascii="Palatino Linotype" w:hAnsi="Palatino Linotype" w:cs="Arial"/>
        </w:rPr>
        <w:t xml:space="preserve">de </w:t>
      </w:r>
      <w:r w:rsidR="00645F79" w:rsidRPr="00C21CC7">
        <w:rPr>
          <w:rFonts w:ascii="Palatino Linotype" w:hAnsi="Palatino Linotype" w:cs="Arial"/>
        </w:rPr>
        <w:t>agosto</w:t>
      </w:r>
      <w:r w:rsidRPr="00C21CC7">
        <w:rPr>
          <w:rFonts w:ascii="Palatino Linotype" w:hAnsi="Palatino Linotype" w:cs="Arial"/>
        </w:rPr>
        <w:t xml:space="preserve"> de dos mil veintidós, como se desprende en la imagen que se anexa a continuación:</w:t>
      </w:r>
    </w:p>
    <w:p w14:paraId="31B532DB" w14:textId="77777777" w:rsidR="00645F79" w:rsidRPr="00C21CC7" w:rsidRDefault="00645F79" w:rsidP="00612E64">
      <w:pPr>
        <w:spacing w:line="360" w:lineRule="auto"/>
        <w:jc w:val="both"/>
        <w:rPr>
          <w:rFonts w:ascii="Palatino Linotype" w:hAnsi="Palatino Linotype" w:cs="Arial"/>
        </w:rPr>
      </w:pPr>
    </w:p>
    <w:p w14:paraId="6F68CA48" w14:textId="14CA5896" w:rsidR="00645F79" w:rsidRPr="00C21CC7" w:rsidRDefault="00645F79" w:rsidP="00612E64">
      <w:pPr>
        <w:spacing w:line="360" w:lineRule="auto"/>
        <w:jc w:val="both"/>
        <w:rPr>
          <w:rFonts w:ascii="Palatino Linotype" w:hAnsi="Palatino Linotype" w:cs="Arial"/>
        </w:rPr>
      </w:pPr>
      <w:r w:rsidRPr="00C21CC7">
        <w:rPr>
          <w:rFonts w:ascii="Palatino Linotype" w:hAnsi="Palatino Linotype" w:cs="Arial"/>
          <w:noProof/>
          <w:lang w:eastAsia="es-MX"/>
        </w:rPr>
        <w:lastRenderedPageBreak/>
        <w:drawing>
          <wp:inline distT="0" distB="0" distL="0" distR="0" wp14:anchorId="1F112B96" wp14:editId="30CBC827">
            <wp:extent cx="5602605" cy="246316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2605" cy="2463165"/>
                    </a:xfrm>
                    <a:prstGeom prst="rect">
                      <a:avLst/>
                    </a:prstGeom>
                    <a:noFill/>
                    <a:ln>
                      <a:noFill/>
                    </a:ln>
                  </pic:spPr>
                </pic:pic>
              </a:graphicData>
            </a:graphic>
          </wp:inline>
        </w:drawing>
      </w:r>
    </w:p>
    <w:p w14:paraId="14C08779" w14:textId="77777777" w:rsidR="00EF2C7B" w:rsidRPr="00C21CC7" w:rsidRDefault="00EF2C7B" w:rsidP="00645F79">
      <w:pPr>
        <w:tabs>
          <w:tab w:val="center" w:pos="4252"/>
          <w:tab w:val="right" w:pos="8504"/>
        </w:tabs>
        <w:spacing w:line="360" w:lineRule="auto"/>
        <w:jc w:val="both"/>
        <w:rPr>
          <w:rFonts w:ascii="Palatino Linotype" w:hAnsi="Palatino Linotype" w:cs="Arial"/>
        </w:rPr>
      </w:pPr>
    </w:p>
    <w:p w14:paraId="47A5E25C" w14:textId="3919F03E" w:rsidR="00645F79" w:rsidRPr="00C21CC7" w:rsidRDefault="00645F79" w:rsidP="00645F79">
      <w:pPr>
        <w:tabs>
          <w:tab w:val="center" w:pos="4252"/>
          <w:tab w:val="right" w:pos="8504"/>
        </w:tabs>
        <w:spacing w:line="360" w:lineRule="auto"/>
        <w:jc w:val="both"/>
        <w:rPr>
          <w:rFonts w:ascii="Palatino Linotype" w:hAnsi="Palatino Linotype" w:cs="Arial"/>
          <w:bCs/>
        </w:rPr>
      </w:pPr>
      <w:r w:rsidRPr="00C21CC7">
        <w:rPr>
          <w:rFonts w:ascii="Palatino Linotype" w:hAnsi="Palatino Linotype" w:cs="Arial"/>
        </w:rPr>
        <w:t xml:space="preserve">Informe Justificado que se puso a la vista del particular en fecha veinticuatro de agosto de dos mil veintidós, en donde </w:t>
      </w:r>
      <w:r w:rsidRPr="00C21CC7">
        <w:rPr>
          <w:rFonts w:ascii="Palatino Linotype" w:eastAsia="Arial Unicode MS" w:hAnsi="Palatino Linotype" w:cs="Arial"/>
          <w:b/>
          <w:iCs/>
        </w:rPr>
        <w:t>EL SUJETO OBLIGADO</w:t>
      </w:r>
      <w:r w:rsidRPr="00C21CC7">
        <w:rPr>
          <w:rFonts w:ascii="Palatino Linotype" w:eastAsia="Arial Unicode MS" w:hAnsi="Palatino Linotype" w:cs="Arial"/>
          <w:bCs/>
          <w:iCs/>
        </w:rPr>
        <w:t xml:space="preserve"> mediante informe Justificado </w:t>
      </w:r>
      <w:r w:rsidRPr="00C21CC7">
        <w:rPr>
          <w:rFonts w:ascii="Palatino Linotype" w:hAnsi="Palatino Linotype" w:cs="Arial"/>
          <w:bCs/>
        </w:rPr>
        <w:t>hace de conocimiento al particular</w:t>
      </w:r>
      <w:r w:rsidR="00EF2C7B" w:rsidRPr="00C21CC7">
        <w:rPr>
          <w:rFonts w:ascii="Palatino Linotype" w:hAnsi="Palatino Linotype" w:cs="Arial"/>
          <w:bCs/>
        </w:rPr>
        <w:t xml:space="preserve"> que</w:t>
      </w:r>
      <w:r w:rsidRPr="00C21CC7">
        <w:rPr>
          <w:rFonts w:ascii="Palatino Linotype" w:hAnsi="Palatino Linotype" w:cs="Arial"/>
          <w:bCs/>
        </w:rPr>
        <w:t xml:space="preserve"> ofrece lo siguiente: </w:t>
      </w:r>
    </w:p>
    <w:p w14:paraId="7786B286" w14:textId="77777777" w:rsidR="00645F79" w:rsidRPr="00C21CC7" w:rsidRDefault="00645F79" w:rsidP="00645F79">
      <w:pPr>
        <w:tabs>
          <w:tab w:val="center" w:pos="4252"/>
          <w:tab w:val="right" w:pos="8504"/>
        </w:tabs>
        <w:spacing w:line="360" w:lineRule="auto"/>
        <w:ind w:left="850" w:right="907"/>
        <w:jc w:val="both"/>
        <w:rPr>
          <w:rFonts w:ascii="Palatino Linotype" w:hAnsi="Palatino Linotype" w:cs="Arial"/>
          <w:bCs/>
          <w:sz w:val="22"/>
          <w:szCs w:val="22"/>
        </w:rPr>
      </w:pPr>
    </w:p>
    <w:p w14:paraId="2F4D5325" w14:textId="77777777" w:rsidR="00645F79" w:rsidRPr="00C21CC7" w:rsidRDefault="00645F79" w:rsidP="00EF2C7B">
      <w:pPr>
        <w:pStyle w:val="Prrafodelista"/>
        <w:tabs>
          <w:tab w:val="left" w:pos="426"/>
        </w:tabs>
        <w:spacing w:line="360" w:lineRule="auto"/>
        <w:ind w:left="850" w:right="907"/>
        <w:jc w:val="both"/>
        <w:rPr>
          <w:rFonts w:ascii="Palatino Linotype" w:hAnsi="Palatino Linotype"/>
          <w:color w:val="000000" w:themeColor="text1"/>
          <w:sz w:val="22"/>
          <w:szCs w:val="22"/>
        </w:rPr>
      </w:pPr>
      <w:r w:rsidRPr="00C21CC7">
        <w:rPr>
          <w:rFonts w:ascii="Palatino Linotype" w:eastAsia="Calibri" w:hAnsi="Palatino Linotype" w:cs="Arial"/>
          <w:b/>
          <w:i/>
          <w:color w:val="000000" w:themeColor="text1"/>
          <w:sz w:val="22"/>
          <w:szCs w:val="22"/>
          <w:lang w:val="es-ES"/>
        </w:rPr>
        <w:t>“INFORME JUSTIFICADO 13227_2022_0001.pdf”</w:t>
      </w:r>
      <w:r w:rsidRPr="00C21CC7">
        <w:rPr>
          <w:rFonts w:ascii="Palatino Linotype" w:eastAsia="Calibri" w:hAnsi="Palatino Linotype" w:cs="Arial"/>
          <w:color w:val="000000" w:themeColor="text1"/>
          <w:sz w:val="22"/>
          <w:szCs w:val="22"/>
          <w:lang w:val="es-ES"/>
        </w:rPr>
        <w:t>: Documento de tres fojas consistente en el Informe Justificado presentado por el Titular de la Unidad de Transparencia, y que por medio del cual, ofrece los alegatos emitidos por la Subdirección de Recursos Materiales contra el recurso de revisión.</w:t>
      </w:r>
    </w:p>
    <w:p w14:paraId="447B8217" w14:textId="77777777" w:rsidR="00645F79" w:rsidRPr="00C21CC7" w:rsidRDefault="00645F79" w:rsidP="00EF2C7B">
      <w:pPr>
        <w:pStyle w:val="Prrafodelista"/>
        <w:tabs>
          <w:tab w:val="left" w:pos="426"/>
        </w:tabs>
        <w:spacing w:line="360" w:lineRule="auto"/>
        <w:ind w:left="850" w:right="907"/>
        <w:jc w:val="both"/>
        <w:rPr>
          <w:rFonts w:ascii="Palatino Linotype" w:eastAsia="Calibri" w:hAnsi="Palatino Linotype" w:cs="Arial"/>
          <w:color w:val="000000" w:themeColor="text1"/>
          <w:sz w:val="22"/>
          <w:szCs w:val="22"/>
          <w:lang w:val="es-ES"/>
        </w:rPr>
      </w:pPr>
      <w:r w:rsidRPr="00C21CC7">
        <w:rPr>
          <w:rFonts w:ascii="Palatino Linotype" w:eastAsia="Calibri" w:hAnsi="Palatino Linotype" w:cs="Arial"/>
          <w:b/>
          <w:i/>
          <w:color w:val="000000" w:themeColor="text1"/>
          <w:sz w:val="22"/>
          <w:szCs w:val="22"/>
          <w:lang w:val="es-ES"/>
        </w:rPr>
        <w:t>“CONTESTACION ADMON Y RECURMATE RR_13227_2022_0001.pdf”</w:t>
      </w:r>
      <w:r w:rsidRPr="00C21CC7">
        <w:rPr>
          <w:rFonts w:ascii="Palatino Linotype" w:eastAsia="Calibri" w:hAnsi="Palatino Linotype" w:cs="Arial"/>
          <w:color w:val="000000" w:themeColor="text1"/>
          <w:sz w:val="22"/>
          <w:szCs w:val="22"/>
          <w:lang w:val="es-ES"/>
        </w:rPr>
        <w:t>: Archivo de nueve fojas consistente en los siguientes instrumentos:</w:t>
      </w:r>
    </w:p>
    <w:p w14:paraId="332258B6" w14:textId="77777777" w:rsidR="00EF2C7B" w:rsidRPr="00C21CC7" w:rsidRDefault="00EF2C7B" w:rsidP="00EF2C7B">
      <w:pPr>
        <w:pStyle w:val="Prrafodelista"/>
        <w:tabs>
          <w:tab w:val="left" w:pos="426"/>
        </w:tabs>
        <w:spacing w:line="360" w:lineRule="auto"/>
        <w:ind w:left="850" w:right="907"/>
        <w:jc w:val="both"/>
        <w:rPr>
          <w:rFonts w:ascii="Palatino Linotype" w:hAnsi="Palatino Linotype"/>
          <w:color w:val="000000" w:themeColor="text1"/>
          <w:sz w:val="22"/>
          <w:szCs w:val="22"/>
        </w:rPr>
      </w:pPr>
    </w:p>
    <w:p w14:paraId="513A896A" w14:textId="77777777" w:rsidR="00645F79" w:rsidRPr="00C21CC7" w:rsidRDefault="00645F79" w:rsidP="00645F79">
      <w:pPr>
        <w:pStyle w:val="Prrafodelista"/>
        <w:numPr>
          <w:ilvl w:val="2"/>
          <w:numId w:val="14"/>
        </w:numPr>
        <w:tabs>
          <w:tab w:val="left" w:pos="426"/>
        </w:tabs>
        <w:spacing w:line="360" w:lineRule="auto"/>
        <w:ind w:left="850" w:right="907"/>
        <w:jc w:val="both"/>
        <w:rPr>
          <w:rFonts w:ascii="Palatino Linotype" w:hAnsi="Palatino Linotype"/>
          <w:color w:val="000000" w:themeColor="text1"/>
          <w:sz w:val="22"/>
          <w:szCs w:val="22"/>
        </w:rPr>
      </w:pPr>
      <w:r w:rsidRPr="00C21CC7">
        <w:rPr>
          <w:rFonts w:ascii="Palatino Linotype" w:eastAsia="Calibri" w:hAnsi="Palatino Linotype" w:cs="Arial"/>
          <w:color w:val="000000" w:themeColor="text1"/>
          <w:sz w:val="22"/>
          <w:szCs w:val="22"/>
          <w:lang w:val="es-ES"/>
        </w:rPr>
        <w:t xml:space="preserve">Oficio número DA/1710/2022, de diecisiete (17) de agosto de dos mil veintidós, firmado por la Directora de Administración, y dirigido al </w:t>
      </w:r>
      <w:r w:rsidRPr="00C21CC7">
        <w:rPr>
          <w:rFonts w:ascii="Palatino Linotype" w:eastAsia="Calibri" w:hAnsi="Palatino Linotype" w:cs="Arial"/>
          <w:color w:val="000000" w:themeColor="text1"/>
          <w:sz w:val="22"/>
          <w:szCs w:val="22"/>
          <w:lang w:val="es-ES"/>
        </w:rPr>
        <w:lastRenderedPageBreak/>
        <w:t>titular de la Unidad de Transparencia, por el que adjunta la respuesta de la Subdirección de Adquisiciones y Recursos Materiales.</w:t>
      </w:r>
    </w:p>
    <w:p w14:paraId="4DB69846" w14:textId="77777777" w:rsidR="00645F79" w:rsidRPr="00C21CC7" w:rsidRDefault="00645F79" w:rsidP="00645F79">
      <w:pPr>
        <w:pStyle w:val="Prrafodelista"/>
        <w:numPr>
          <w:ilvl w:val="2"/>
          <w:numId w:val="14"/>
        </w:numPr>
        <w:tabs>
          <w:tab w:val="left" w:pos="426"/>
        </w:tabs>
        <w:spacing w:line="360" w:lineRule="auto"/>
        <w:ind w:left="850" w:right="907"/>
        <w:jc w:val="both"/>
        <w:rPr>
          <w:rFonts w:ascii="Palatino Linotype" w:hAnsi="Palatino Linotype"/>
          <w:color w:val="000000" w:themeColor="text1"/>
          <w:sz w:val="22"/>
          <w:szCs w:val="22"/>
        </w:rPr>
      </w:pPr>
      <w:r w:rsidRPr="00C21CC7">
        <w:rPr>
          <w:rFonts w:ascii="Palatino Linotype" w:eastAsia="Calibri" w:hAnsi="Palatino Linotype" w:cs="Arial"/>
          <w:color w:val="000000" w:themeColor="text1"/>
          <w:sz w:val="22"/>
          <w:szCs w:val="22"/>
          <w:lang w:val="es-ES"/>
        </w:rPr>
        <w:t>Oficio número SRM/ACO/218/2022, de diecisiete (17) de agosto de dos mil veintidós, firmado por el Subdirector de Recursos Materiales, y dirigido a la Directora de Administración, por el que ratifica su respuesta, y ofrece copia del documento del proveedor que llevo a cabo la licencia de la App Coacalco seguro.</w:t>
      </w:r>
    </w:p>
    <w:p w14:paraId="70FC9D6D" w14:textId="77777777" w:rsidR="00645F79" w:rsidRPr="00C21CC7" w:rsidRDefault="00645F79" w:rsidP="00645F79">
      <w:pPr>
        <w:pStyle w:val="Prrafodelista"/>
        <w:numPr>
          <w:ilvl w:val="2"/>
          <w:numId w:val="14"/>
        </w:numPr>
        <w:tabs>
          <w:tab w:val="left" w:pos="426"/>
        </w:tabs>
        <w:spacing w:line="360" w:lineRule="auto"/>
        <w:ind w:left="850" w:right="907"/>
        <w:jc w:val="both"/>
        <w:rPr>
          <w:rFonts w:ascii="Palatino Linotype" w:hAnsi="Palatino Linotype"/>
          <w:color w:val="000000" w:themeColor="text1"/>
          <w:sz w:val="22"/>
          <w:szCs w:val="22"/>
        </w:rPr>
      </w:pPr>
      <w:r w:rsidRPr="00C21CC7">
        <w:rPr>
          <w:rFonts w:ascii="Palatino Linotype" w:hAnsi="Palatino Linotype" w:cs="Arial"/>
          <w:sz w:val="22"/>
          <w:szCs w:val="22"/>
        </w:rPr>
        <w:t>Acuerdo de Licencia de usuario final número 0003/COA/01/05/2022/SECURITY-IUBEO/CITY-IUBEO.</w:t>
      </w:r>
    </w:p>
    <w:p w14:paraId="763A2293" w14:textId="77777777" w:rsidR="00645F79" w:rsidRPr="00C21CC7" w:rsidRDefault="00645F79" w:rsidP="00645F79">
      <w:pPr>
        <w:tabs>
          <w:tab w:val="center" w:pos="4252"/>
          <w:tab w:val="right" w:pos="8504"/>
        </w:tabs>
        <w:spacing w:line="360" w:lineRule="auto"/>
        <w:ind w:right="907"/>
        <w:jc w:val="both"/>
        <w:rPr>
          <w:rFonts w:ascii="Palatino Linotype" w:hAnsi="Palatino Linotype" w:cs="Arial"/>
          <w:sz w:val="22"/>
          <w:szCs w:val="22"/>
        </w:rPr>
      </w:pPr>
    </w:p>
    <w:p w14:paraId="3573F49D" w14:textId="77777777" w:rsidR="00645F79" w:rsidRPr="00C21CC7" w:rsidRDefault="00645F79" w:rsidP="00645F79">
      <w:pPr>
        <w:spacing w:line="360" w:lineRule="auto"/>
        <w:jc w:val="both"/>
        <w:rPr>
          <w:rFonts w:ascii="Palatino Linotype" w:eastAsia="Arial Unicode MS" w:hAnsi="Palatino Linotype" w:cs="Arial"/>
          <w:b/>
          <w:sz w:val="26"/>
          <w:szCs w:val="26"/>
        </w:rPr>
      </w:pPr>
      <w:bookmarkStart w:id="6" w:name="_Hlk97138918"/>
      <w:r w:rsidRPr="00C21CC7">
        <w:rPr>
          <w:rFonts w:ascii="Palatino Linotype" w:hAnsi="Palatino Linotype" w:cs="Arial"/>
          <w:b/>
          <w:bCs/>
          <w:sz w:val="26"/>
          <w:szCs w:val="26"/>
        </w:rPr>
        <w:t xml:space="preserve">c) </w:t>
      </w:r>
      <w:bookmarkEnd w:id="6"/>
      <w:r w:rsidRPr="00C21CC7">
        <w:rPr>
          <w:rFonts w:ascii="Palatino Linotype" w:eastAsia="Arial Unicode MS" w:hAnsi="Palatino Linotype" w:cs="Arial"/>
          <w:b/>
          <w:sz w:val="26"/>
          <w:szCs w:val="26"/>
        </w:rPr>
        <w:t>Manifestaciones del Recurrente.</w:t>
      </w:r>
    </w:p>
    <w:p w14:paraId="3C7BFA89" w14:textId="77777777" w:rsidR="00645F79" w:rsidRPr="00C21CC7" w:rsidRDefault="00645F79" w:rsidP="00645F79">
      <w:pPr>
        <w:spacing w:line="360" w:lineRule="auto"/>
        <w:jc w:val="both"/>
        <w:rPr>
          <w:rFonts w:ascii="Palatino Linotype" w:eastAsia="Arial Unicode MS" w:hAnsi="Palatino Linotype" w:cs="Arial"/>
          <w:bCs/>
        </w:rPr>
      </w:pPr>
      <w:r w:rsidRPr="00C21CC7">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p>
    <w:p w14:paraId="7B4728E4" w14:textId="77777777" w:rsidR="00645F79" w:rsidRPr="00C21CC7" w:rsidRDefault="00645F79" w:rsidP="00645F79">
      <w:pPr>
        <w:spacing w:line="360" w:lineRule="auto"/>
        <w:jc w:val="both"/>
        <w:rPr>
          <w:rFonts w:ascii="Palatino Linotype" w:eastAsia="Arial Unicode MS" w:hAnsi="Palatino Linotype" w:cs="Arial"/>
          <w:bCs/>
        </w:rPr>
      </w:pPr>
    </w:p>
    <w:p w14:paraId="73F8ABD6" w14:textId="77777777" w:rsidR="00645F79" w:rsidRPr="00C21CC7" w:rsidRDefault="00645F79" w:rsidP="00645F79">
      <w:pPr>
        <w:spacing w:line="360" w:lineRule="auto"/>
        <w:jc w:val="both"/>
        <w:rPr>
          <w:rFonts w:ascii="Palatino Linotype" w:eastAsia="Times New Roman" w:hAnsi="Palatino Linotype" w:cs="Arial"/>
          <w:b/>
          <w:sz w:val="26"/>
          <w:szCs w:val="26"/>
        </w:rPr>
      </w:pPr>
      <w:r w:rsidRPr="00C21CC7">
        <w:rPr>
          <w:rFonts w:ascii="Palatino Linotype" w:hAnsi="Palatino Linotype"/>
          <w:b/>
          <w:color w:val="000000" w:themeColor="text1"/>
          <w:sz w:val="26"/>
          <w:szCs w:val="26"/>
        </w:rPr>
        <w:t>d)</w:t>
      </w:r>
      <w:r w:rsidRPr="00C21CC7">
        <w:rPr>
          <w:rFonts w:ascii="Palatino Linotype" w:hAnsi="Palatino Linotype" w:cs="Arial"/>
          <w:b/>
          <w:bCs/>
          <w:sz w:val="26"/>
          <w:szCs w:val="26"/>
        </w:rPr>
        <w:t xml:space="preserve"> </w:t>
      </w:r>
      <w:r w:rsidRPr="00C21CC7">
        <w:rPr>
          <w:rFonts w:ascii="Palatino Linotype" w:hAnsi="Palatino Linotype" w:cs="Arial"/>
          <w:b/>
          <w:sz w:val="26"/>
          <w:szCs w:val="26"/>
        </w:rPr>
        <w:t>De ampliación plazo para resolver</w:t>
      </w:r>
    </w:p>
    <w:p w14:paraId="74DCFF2A" w14:textId="693AD590" w:rsidR="00355DF5" w:rsidRPr="00C21CC7" w:rsidRDefault="00355DF5" w:rsidP="00355DF5">
      <w:pPr>
        <w:spacing w:line="360" w:lineRule="auto"/>
        <w:jc w:val="both"/>
        <w:rPr>
          <w:rFonts w:ascii="Palatino Linotype" w:hAnsi="Palatino Linotype" w:cs="Arial"/>
          <w:color w:val="000000"/>
          <w:lang w:eastAsia="es-MX"/>
        </w:rPr>
      </w:pPr>
      <w:r w:rsidRPr="00C21CC7">
        <w:rPr>
          <w:rFonts w:ascii="Palatino Linotype" w:hAnsi="Palatino Linotype" w:cs="Arial"/>
          <w:color w:val="000000"/>
          <w:lang w:eastAsia="es-MX"/>
        </w:rPr>
        <w:t xml:space="preserve">El </w:t>
      </w:r>
      <w:r w:rsidR="00C21CC7" w:rsidRPr="00C21CC7">
        <w:rPr>
          <w:rFonts w:ascii="Palatino Linotype" w:hAnsi="Palatino Linotype" w:cs="Arial"/>
        </w:rPr>
        <w:t>siete</w:t>
      </w:r>
      <w:r w:rsidRPr="00C21CC7">
        <w:rPr>
          <w:rFonts w:ascii="Palatino Linotype" w:hAnsi="Palatino Linotype" w:cs="Arial"/>
        </w:rPr>
        <w:t xml:space="preserve"> de octubre </w:t>
      </w:r>
      <w:r w:rsidRPr="00C21CC7">
        <w:rPr>
          <w:rFonts w:ascii="Palatino Linotype" w:hAnsi="Palatino Linotype" w:cs="Arial"/>
          <w:color w:val="000000"/>
          <w:lang w:eastAsia="es-MX"/>
        </w:rPr>
        <w:t xml:space="preserve">de dos mil veintidós, se notificó a las partes el Acuerdo de ampliación del plazo para resolver </w:t>
      </w:r>
      <w:r w:rsidRPr="00C21CC7">
        <w:rPr>
          <w:rFonts w:ascii="Palatino Linotype" w:hAnsi="Palatino Linotype" w:cs="Arial"/>
          <w:color w:val="000000"/>
          <w:lang w:val="es-419" w:eastAsia="es-MX"/>
        </w:rPr>
        <w:t>los</w:t>
      </w:r>
      <w:r w:rsidRPr="00C21CC7">
        <w:rPr>
          <w:rFonts w:ascii="Palatino Linotype" w:hAnsi="Palatino Linotype" w:cs="Arial"/>
          <w:color w:val="000000"/>
          <w:lang w:eastAsia="es-MX"/>
        </w:rPr>
        <w:t xml:space="preserve"> Recursos de Revisión </w:t>
      </w:r>
      <w:r w:rsidRPr="00C21CC7">
        <w:rPr>
          <w:rFonts w:ascii="Palatino Linotype" w:hAnsi="Palatino Linotype" w:cs="Arial"/>
          <w:color w:val="000000"/>
          <w:lang w:val="es-419" w:eastAsia="es-MX"/>
        </w:rPr>
        <w:t>en estudio</w:t>
      </w:r>
      <w:r w:rsidRPr="00C21CC7">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7C5E6327" w14:textId="77777777" w:rsidR="00355DF5" w:rsidRPr="00C21CC7" w:rsidRDefault="00355DF5" w:rsidP="00355DF5">
      <w:pPr>
        <w:spacing w:line="360" w:lineRule="auto"/>
        <w:jc w:val="both"/>
        <w:rPr>
          <w:rFonts w:ascii="Palatino Linotype" w:hAnsi="Palatino Linotype" w:cs="Arial"/>
          <w:color w:val="000000"/>
          <w:lang w:eastAsia="es-MX"/>
        </w:rPr>
      </w:pPr>
    </w:p>
    <w:p w14:paraId="072A310E" w14:textId="77777777" w:rsidR="00645F79" w:rsidRPr="00C21CC7" w:rsidRDefault="00645F79" w:rsidP="00645F79">
      <w:pPr>
        <w:pStyle w:val="Prrafodelista"/>
        <w:spacing w:line="360" w:lineRule="auto"/>
        <w:ind w:left="0"/>
        <w:jc w:val="both"/>
        <w:rPr>
          <w:rFonts w:ascii="Palatino Linotype" w:hAnsi="Palatino Linotype" w:cs="Arial"/>
          <w:b/>
          <w:bCs/>
          <w:sz w:val="26"/>
          <w:szCs w:val="26"/>
        </w:rPr>
      </w:pPr>
      <w:r w:rsidRPr="00C21CC7">
        <w:rPr>
          <w:rFonts w:ascii="Palatino Linotype" w:hAnsi="Palatino Linotype" w:cs="Arial"/>
          <w:b/>
          <w:sz w:val="26"/>
          <w:szCs w:val="26"/>
        </w:rPr>
        <w:t xml:space="preserve">e) </w:t>
      </w:r>
      <w:r w:rsidRPr="00C21CC7">
        <w:rPr>
          <w:rFonts w:ascii="Palatino Linotype" w:hAnsi="Palatino Linotype" w:cs="Arial"/>
          <w:b/>
          <w:bCs/>
          <w:sz w:val="26"/>
          <w:szCs w:val="26"/>
        </w:rPr>
        <w:t>Cierre de Instrucción</w:t>
      </w:r>
    </w:p>
    <w:p w14:paraId="7917A3F6" w14:textId="22987A08" w:rsidR="00645F79" w:rsidRPr="00C21CC7" w:rsidRDefault="00645F79" w:rsidP="001C33F9">
      <w:pPr>
        <w:tabs>
          <w:tab w:val="left" w:pos="709"/>
        </w:tabs>
        <w:spacing w:line="360" w:lineRule="auto"/>
        <w:jc w:val="both"/>
        <w:rPr>
          <w:rFonts w:ascii="Palatino Linotype" w:hAnsi="Palatino Linotype" w:cs="Times New Roman"/>
          <w:color w:val="000000" w:themeColor="text1"/>
        </w:rPr>
      </w:pPr>
      <w:r w:rsidRPr="00C21CC7">
        <w:rPr>
          <w:rFonts w:ascii="Palatino Linotype" w:hAnsi="Palatino Linotype" w:cs="Arial"/>
        </w:rPr>
        <w:t xml:space="preserve">Una vez analizado el estado procesal que guarda el expediente, en fecha </w:t>
      </w:r>
      <w:bookmarkStart w:id="7" w:name="_Hlk104892386"/>
      <w:r w:rsidR="00C21CC7" w:rsidRPr="00C21CC7">
        <w:rPr>
          <w:rFonts w:ascii="Palatino Linotype" w:hAnsi="Palatino Linotype" w:cs="Arial"/>
          <w:b/>
        </w:rPr>
        <w:t>once</w:t>
      </w:r>
      <w:r w:rsidR="00FB2494" w:rsidRPr="00C21CC7">
        <w:rPr>
          <w:rFonts w:ascii="Palatino Linotype" w:hAnsi="Palatino Linotype" w:cs="Arial"/>
          <w:b/>
        </w:rPr>
        <w:t xml:space="preserve"> de octubre</w:t>
      </w:r>
      <w:r w:rsidRPr="00C21CC7">
        <w:rPr>
          <w:rFonts w:ascii="Palatino Linotype" w:hAnsi="Palatino Linotype" w:cs="Arial"/>
          <w:b/>
        </w:rPr>
        <w:t xml:space="preserve"> de d</w:t>
      </w:r>
      <w:bookmarkEnd w:id="7"/>
      <w:r w:rsidRPr="00C21CC7">
        <w:rPr>
          <w:rFonts w:ascii="Palatino Linotype" w:hAnsi="Palatino Linotype" w:cs="Arial"/>
          <w:b/>
        </w:rPr>
        <w:t>os mil veintidós,</w:t>
      </w:r>
      <w:r w:rsidRPr="00C21CC7">
        <w:rPr>
          <w:rFonts w:ascii="Palatino Linotype" w:hAnsi="Palatino Linotype" w:cs="Arial"/>
        </w:rPr>
        <w:t xml:space="preserve"> la </w:t>
      </w:r>
      <w:r w:rsidRPr="00C21CC7">
        <w:rPr>
          <w:rFonts w:ascii="Palatino Linotype" w:hAnsi="Palatino Linotype" w:cs="Arial"/>
          <w:b/>
          <w:bCs/>
        </w:rPr>
        <w:t xml:space="preserve">Comisionada </w:t>
      </w:r>
      <w:r w:rsidRPr="00C21CC7">
        <w:rPr>
          <w:rFonts w:ascii="Palatino Linotype" w:hAnsi="Palatino Linotype"/>
          <w:b/>
          <w:color w:val="000000" w:themeColor="text1"/>
        </w:rPr>
        <w:t xml:space="preserve">Sharon Cristina Morales Martínez </w:t>
      </w:r>
      <w:r w:rsidRPr="00C21CC7">
        <w:rPr>
          <w:rFonts w:ascii="Palatino Linotype" w:hAnsi="Palatino Linotype" w:cs="Arial"/>
        </w:rPr>
        <w:lastRenderedPageBreak/>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C21CC7">
        <w:rPr>
          <w:rFonts w:ascii="Palatino Linotype" w:hAnsi="Palatino Linotype"/>
          <w:color w:val="000000" w:themeColor="text1"/>
        </w:rPr>
        <w:t>.</w:t>
      </w:r>
    </w:p>
    <w:p w14:paraId="57E563E8" w14:textId="0393473F" w:rsidR="00612E64" w:rsidRPr="00C21CC7" w:rsidRDefault="00645F79" w:rsidP="001C33F9">
      <w:pPr>
        <w:spacing w:line="360" w:lineRule="auto"/>
        <w:jc w:val="center"/>
        <w:rPr>
          <w:rFonts w:ascii="Palatino Linotype" w:hAnsi="Palatino Linotype" w:cs="Arial"/>
          <w:b/>
          <w:bCs/>
          <w:spacing w:val="60"/>
          <w:sz w:val="28"/>
        </w:rPr>
      </w:pPr>
      <w:r w:rsidRPr="00C21CC7">
        <w:rPr>
          <w:rFonts w:ascii="Palatino Linotype" w:hAnsi="Palatino Linotype" w:cs="Arial"/>
          <w:b/>
          <w:bCs/>
          <w:spacing w:val="60"/>
          <w:sz w:val="28"/>
        </w:rPr>
        <w:t>CONSIDERANDO</w:t>
      </w:r>
    </w:p>
    <w:p w14:paraId="35628B19" w14:textId="77777777" w:rsidR="001C33F9" w:rsidRPr="00C21CC7" w:rsidRDefault="001C33F9" w:rsidP="001C33F9">
      <w:pPr>
        <w:spacing w:line="360" w:lineRule="auto"/>
        <w:rPr>
          <w:rFonts w:ascii="Palatino Linotype" w:hAnsi="Palatino Linotype" w:cs="Arial"/>
          <w:b/>
          <w:bCs/>
          <w:spacing w:val="60"/>
          <w:sz w:val="28"/>
        </w:rPr>
      </w:pPr>
    </w:p>
    <w:p w14:paraId="207F080A" w14:textId="77777777" w:rsidR="001C33F9" w:rsidRPr="00C21CC7" w:rsidRDefault="001C33F9" w:rsidP="001C33F9">
      <w:pPr>
        <w:widowControl w:val="0"/>
        <w:numPr>
          <w:ilvl w:val="0"/>
          <w:numId w:val="20"/>
        </w:numPr>
        <w:tabs>
          <w:tab w:val="left" w:pos="1701"/>
        </w:tabs>
        <w:autoSpaceDE w:val="0"/>
        <w:autoSpaceDN w:val="0"/>
        <w:adjustRightInd w:val="0"/>
        <w:spacing w:line="360" w:lineRule="auto"/>
        <w:ind w:left="0" w:firstLine="0"/>
        <w:jc w:val="both"/>
        <w:rPr>
          <w:rFonts w:ascii="Palatino Linotype" w:hAnsi="Palatino Linotype" w:cs="Arial"/>
        </w:rPr>
      </w:pPr>
      <w:r w:rsidRPr="00C21CC7">
        <w:rPr>
          <w:rFonts w:ascii="Palatino Linotype" w:hAnsi="Palatino Linotype"/>
          <w:b/>
        </w:rPr>
        <w:t>Competencia</w:t>
      </w:r>
      <w:r w:rsidRPr="00C21CC7">
        <w:rPr>
          <w:rFonts w:ascii="Palatino Linotype" w:hAnsi="Palatino Linotype"/>
        </w:rPr>
        <w:t>.</w:t>
      </w:r>
      <w:r w:rsidRPr="00C21CC7">
        <w:rPr>
          <w:rFonts w:ascii="Palatino Linotype" w:hAnsi="Palatino Linotype"/>
          <w:b/>
        </w:rPr>
        <w:t xml:space="preserve"> </w:t>
      </w:r>
    </w:p>
    <w:p w14:paraId="446425D3" w14:textId="77777777" w:rsidR="001C33F9" w:rsidRPr="00C21CC7" w:rsidRDefault="001C33F9" w:rsidP="001C33F9">
      <w:pPr>
        <w:widowControl w:val="0"/>
        <w:tabs>
          <w:tab w:val="left" w:pos="1701"/>
        </w:tabs>
        <w:autoSpaceDE w:val="0"/>
        <w:autoSpaceDN w:val="0"/>
        <w:adjustRightInd w:val="0"/>
        <w:spacing w:line="360" w:lineRule="auto"/>
        <w:jc w:val="both"/>
        <w:rPr>
          <w:rFonts w:ascii="Palatino Linotype" w:hAnsi="Palatino Linotype" w:cs="Arial"/>
        </w:rPr>
      </w:pPr>
      <w:r w:rsidRPr="00C21CC7">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8" w:name="_Hlk77183116"/>
      <w:r w:rsidRPr="00C21CC7">
        <w:rPr>
          <w:rFonts w:ascii="Palatino Linotype" w:eastAsia="Calibri" w:hAnsi="Palatino Linotype" w:cs="Arial"/>
          <w:lang w:val="es-ES_tradnl"/>
        </w:rPr>
        <w:t>trigésimo, trigésimo primero y trigésimo segundo</w:t>
      </w:r>
      <w:bookmarkEnd w:id="8"/>
      <w:r w:rsidRPr="00C21CC7">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C21CC7">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510BE059" w14:textId="77777777" w:rsidR="001C33F9" w:rsidRPr="00C21CC7" w:rsidRDefault="001C33F9" w:rsidP="001C33F9">
      <w:pPr>
        <w:widowControl w:val="0"/>
        <w:tabs>
          <w:tab w:val="left" w:pos="1701"/>
        </w:tabs>
        <w:autoSpaceDE w:val="0"/>
        <w:autoSpaceDN w:val="0"/>
        <w:adjustRightInd w:val="0"/>
        <w:spacing w:line="360" w:lineRule="auto"/>
        <w:jc w:val="both"/>
        <w:rPr>
          <w:rFonts w:ascii="Palatino Linotype" w:hAnsi="Palatino Linotype" w:cs="Arial"/>
        </w:rPr>
      </w:pPr>
    </w:p>
    <w:p w14:paraId="4FAAA839" w14:textId="77777777" w:rsidR="001C33F9" w:rsidRPr="00C21CC7" w:rsidRDefault="001C33F9" w:rsidP="001C33F9">
      <w:pPr>
        <w:spacing w:line="360" w:lineRule="auto"/>
        <w:jc w:val="both"/>
        <w:rPr>
          <w:rFonts w:ascii="Palatino Linotype" w:hAnsi="Palatino Linotype" w:cs="Arial"/>
          <w:b/>
        </w:rPr>
      </w:pPr>
      <w:r w:rsidRPr="00C21CC7">
        <w:rPr>
          <w:rFonts w:ascii="Palatino Linotype" w:hAnsi="Palatino Linotype" w:cs="Arial"/>
          <w:b/>
          <w:sz w:val="28"/>
        </w:rPr>
        <w:t>SEGUNDO</w:t>
      </w:r>
      <w:r w:rsidRPr="00C21CC7">
        <w:rPr>
          <w:rFonts w:ascii="Palatino Linotype" w:hAnsi="Palatino Linotype" w:cs="Arial"/>
          <w:b/>
        </w:rPr>
        <w:t xml:space="preserve">. Interés. </w:t>
      </w:r>
    </w:p>
    <w:p w14:paraId="61047024" w14:textId="77777777" w:rsidR="001C33F9" w:rsidRPr="00C21CC7" w:rsidRDefault="001C33F9" w:rsidP="001C33F9">
      <w:pPr>
        <w:spacing w:line="360" w:lineRule="auto"/>
        <w:jc w:val="both"/>
        <w:rPr>
          <w:rFonts w:ascii="Palatino Linotype" w:eastAsia="Calibri" w:hAnsi="Palatino Linotype" w:cs="Arial"/>
          <w:lang w:eastAsia="en-US"/>
        </w:rPr>
      </w:pPr>
      <w:r w:rsidRPr="00C21CC7">
        <w:rPr>
          <w:rFonts w:ascii="Palatino Linotype" w:hAnsi="Palatino Linotype" w:cs="Arial"/>
          <w:bCs/>
        </w:rPr>
        <w:t xml:space="preserve">El Recurso de Revisión fue interpuesto por parte legítima, en atención a que se presentó por </w:t>
      </w:r>
      <w:r w:rsidRPr="00C21CC7">
        <w:rPr>
          <w:rFonts w:ascii="Palatino Linotype" w:hAnsi="Palatino Linotype" w:cs="Arial"/>
          <w:b/>
          <w:bCs/>
        </w:rPr>
        <w:t>EL RECURRENTE,</w:t>
      </w:r>
      <w:r w:rsidRPr="00C21CC7">
        <w:rPr>
          <w:rFonts w:ascii="Palatino Linotype" w:hAnsi="Palatino Linotype" w:cs="Arial"/>
          <w:bCs/>
        </w:rPr>
        <w:t xml:space="preserve"> quien es la misma persona que formuló la solicitud de acceso a la Información Pública al </w:t>
      </w:r>
      <w:r w:rsidRPr="00C21CC7">
        <w:rPr>
          <w:rFonts w:ascii="Palatino Linotype" w:hAnsi="Palatino Linotype" w:cs="Arial"/>
          <w:b/>
          <w:bCs/>
        </w:rPr>
        <w:t xml:space="preserve">SUJETO OBLIGADO, </w:t>
      </w:r>
      <w:proofErr w:type="gramStart"/>
      <w:r w:rsidRPr="00C21CC7">
        <w:rPr>
          <w:rFonts w:ascii="Palatino Linotype" w:hAnsi="Palatino Linotype" w:cs="Arial"/>
        </w:rPr>
        <w:t>en razón de</w:t>
      </w:r>
      <w:proofErr w:type="gramEnd"/>
      <w:r w:rsidRPr="00C21CC7">
        <w:rPr>
          <w:rFonts w:ascii="Palatino Linotype" w:hAnsi="Palatino Linotype" w:cs="Arial"/>
        </w:rPr>
        <w:t xml:space="preserve"> que las </w:t>
      </w:r>
      <w:r w:rsidRPr="00C21CC7">
        <w:rPr>
          <w:rFonts w:ascii="Palatino Linotype" w:hAnsi="Palatino Linotype" w:cs="Arial"/>
        </w:rPr>
        <w:lastRenderedPageBreak/>
        <w:t>claves de acceso</w:t>
      </w:r>
      <w:r w:rsidRPr="00C21CC7">
        <w:rPr>
          <w:rFonts w:ascii="Palatino Linotype" w:hAnsi="Palatino Linotype" w:cs="Arial"/>
          <w:b/>
          <w:bCs/>
        </w:rPr>
        <w:t xml:space="preserve"> </w:t>
      </w:r>
      <w:r w:rsidRPr="00C21CC7">
        <w:rPr>
          <w:rFonts w:ascii="Palatino Linotype" w:hAnsi="Palatino Linotype" w:cs="Arial"/>
        </w:rPr>
        <w:t>al</w:t>
      </w:r>
      <w:r w:rsidRPr="00C21CC7">
        <w:rPr>
          <w:rFonts w:ascii="Palatino Linotype" w:hAnsi="Palatino Linotype" w:cs="Arial"/>
          <w:b/>
          <w:bCs/>
        </w:rPr>
        <w:t xml:space="preserve"> </w:t>
      </w:r>
      <w:r w:rsidRPr="00C21CC7">
        <w:rPr>
          <w:rFonts w:ascii="Palatino Linotype" w:eastAsia="Calibri" w:hAnsi="Palatino Linotype" w:cs="Arial"/>
          <w:lang w:eastAsia="en-US"/>
        </w:rPr>
        <w:t xml:space="preserve">Sistema de Acceso a la Información Mexiquense </w:t>
      </w:r>
      <w:r w:rsidRPr="00C21CC7">
        <w:rPr>
          <w:rFonts w:ascii="Palatino Linotype" w:eastAsia="Calibri" w:hAnsi="Palatino Linotype" w:cs="Arial"/>
          <w:b/>
          <w:bCs/>
          <w:lang w:eastAsia="en-US"/>
        </w:rPr>
        <w:t>SAIMEX</w:t>
      </w:r>
      <w:r w:rsidRPr="00C21CC7">
        <w:rPr>
          <w:rFonts w:ascii="Palatino Linotype" w:eastAsia="Calibri" w:hAnsi="Palatino Linotype" w:cs="Arial"/>
          <w:lang w:eastAsia="en-US"/>
        </w:rPr>
        <w:t xml:space="preserve"> son personales e irrepetibles a lo cual se tiene certeza que se trata del mismo particular.</w:t>
      </w:r>
    </w:p>
    <w:p w14:paraId="024F0254" w14:textId="77777777" w:rsidR="001C33F9" w:rsidRPr="00C21CC7" w:rsidRDefault="001C33F9" w:rsidP="001C33F9">
      <w:pPr>
        <w:spacing w:line="360" w:lineRule="auto"/>
        <w:jc w:val="both"/>
        <w:rPr>
          <w:rFonts w:ascii="Palatino Linotype" w:eastAsia="Calibri" w:hAnsi="Palatino Linotype" w:cs="Arial"/>
          <w:lang w:eastAsia="en-US"/>
        </w:rPr>
      </w:pPr>
    </w:p>
    <w:p w14:paraId="2C18FD8D" w14:textId="77777777" w:rsidR="001C33F9" w:rsidRPr="00C21CC7" w:rsidRDefault="001C33F9" w:rsidP="001C33F9">
      <w:pPr>
        <w:pStyle w:val="Prrafodelista"/>
        <w:widowControl w:val="0"/>
        <w:tabs>
          <w:tab w:val="left" w:pos="1701"/>
        </w:tabs>
        <w:autoSpaceDE w:val="0"/>
        <w:autoSpaceDN w:val="0"/>
        <w:adjustRightInd w:val="0"/>
        <w:spacing w:line="360" w:lineRule="auto"/>
        <w:ind w:left="0" w:right="49"/>
        <w:jc w:val="both"/>
        <w:rPr>
          <w:rFonts w:ascii="Palatino Linotype" w:eastAsia="Times New Roman" w:hAnsi="Palatino Linotype" w:cs="Arial"/>
        </w:rPr>
      </w:pPr>
      <w:r w:rsidRPr="00C21CC7">
        <w:rPr>
          <w:rFonts w:ascii="Palatino Linotype" w:hAnsi="Palatino Linotype" w:cs="Arial"/>
          <w:b/>
          <w:sz w:val="28"/>
        </w:rPr>
        <w:t>TERCERO</w:t>
      </w:r>
      <w:r w:rsidRPr="00C21CC7">
        <w:rPr>
          <w:rFonts w:ascii="Palatino Linotype" w:hAnsi="Palatino Linotype" w:cs="Arial"/>
          <w:b/>
        </w:rPr>
        <w:t xml:space="preserve">. </w:t>
      </w:r>
      <w:r w:rsidRPr="00C21CC7">
        <w:rPr>
          <w:rFonts w:ascii="Palatino Linotype" w:hAnsi="Palatino Linotype" w:cs="Arial"/>
          <w:b/>
          <w:lang w:val="es-ES"/>
        </w:rPr>
        <w:t>Oportunidad</w:t>
      </w:r>
      <w:r w:rsidRPr="00C21CC7">
        <w:rPr>
          <w:rFonts w:ascii="Palatino Linotype" w:hAnsi="Palatino Linotype" w:cs="Arial"/>
        </w:rPr>
        <w:t xml:space="preserve">. </w:t>
      </w:r>
    </w:p>
    <w:p w14:paraId="55C3C412" w14:textId="77777777" w:rsidR="001C33F9" w:rsidRPr="00C21CC7" w:rsidRDefault="001C33F9" w:rsidP="001C33F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C21CC7">
        <w:rPr>
          <w:rFonts w:ascii="Palatino Linotype" w:hAnsi="Palatino Linotype" w:cs="Arial"/>
        </w:rPr>
        <w:t xml:space="preserve">El Recurso de Revisión fue interpuesto dentro del plazo de quince días hábiles, contados a partir del día siguiente al que </w:t>
      </w:r>
      <w:r w:rsidRPr="00C21CC7">
        <w:rPr>
          <w:rFonts w:ascii="Palatino Linotype" w:hAnsi="Palatino Linotype" w:cs="Arial"/>
          <w:b/>
        </w:rPr>
        <w:t xml:space="preserve">EL RECURRENTE </w:t>
      </w:r>
      <w:r w:rsidRPr="00C21CC7">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5245B9B5" w14:textId="77777777" w:rsidR="001C33F9" w:rsidRPr="00C21CC7" w:rsidRDefault="001C33F9" w:rsidP="001C33F9">
      <w:pPr>
        <w:ind w:left="720" w:right="709"/>
        <w:contextualSpacing/>
        <w:jc w:val="both"/>
        <w:rPr>
          <w:rFonts w:ascii="Palatino Linotype" w:hAnsi="Palatino Linotype" w:cs="Arial"/>
          <w:i/>
          <w:sz w:val="22"/>
        </w:rPr>
      </w:pPr>
    </w:p>
    <w:p w14:paraId="57F2466B" w14:textId="77777777" w:rsidR="001C33F9" w:rsidRPr="00C21CC7" w:rsidRDefault="001C33F9" w:rsidP="001C33F9">
      <w:pPr>
        <w:spacing w:line="276" w:lineRule="auto"/>
        <w:ind w:left="851" w:right="899"/>
        <w:contextualSpacing/>
        <w:jc w:val="both"/>
        <w:rPr>
          <w:rFonts w:ascii="Palatino Linotype" w:hAnsi="Palatino Linotype" w:cs="Arial"/>
          <w:i/>
          <w:sz w:val="22"/>
        </w:rPr>
      </w:pPr>
      <w:r w:rsidRPr="00C21CC7">
        <w:rPr>
          <w:rFonts w:ascii="Palatino Linotype" w:hAnsi="Palatino Linotype" w:cs="Arial"/>
          <w:i/>
          <w:sz w:val="22"/>
        </w:rPr>
        <w:t>“</w:t>
      </w:r>
      <w:r w:rsidRPr="00C21CC7">
        <w:rPr>
          <w:rFonts w:ascii="Palatino Linotype" w:hAnsi="Palatino Linotype" w:cs="Arial"/>
          <w:b/>
          <w:i/>
          <w:sz w:val="22"/>
        </w:rPr>
        <w:t>Artículo 178.</w:t>
      </w:r>
      <w:r w:rsidRPr="00C21CC7">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48465C5" w14:textId="77777777" w:rsidR="001C33F9" w:rsidRPr="00C21CC7" w:rsidRDefault="001C33F9" w:rsidP="001C33F9">
      <w:pPr>
        <w:spacing w:line="276" w:lineRule="auto"/>
        <w:ind w:left="851" w:right="899"/>
        <w:contextualSpacing/>
        <w:jc w:val="both"/>
        <w:rPr>
          <w:rFonts w:ascii="Palatino Linotype" w:hAnsi="Palatino Linotype" w:cs="Arial"/>
          <w:i/>
          <w:sz w:val="22"/>
        </w:rPr>
      </w:pPr>
    </w:p>
    <w:p w14:paraId="6640E372" w14:textId="77777777" w:rsidR="001C33F9" w:rsidRPr="00C21CC7" w:rsidRDefault="001C33F9" w:rsidP="001C33F9">
      <w:pPr>
        <w:spacing w:line="276" w:lineRule="auto"/>
        <w:ind w:left="851" w:right="899"/>
        <w:contextualSpacing/>
        <w:jc w:val="both"/>
        <w:rPr>
          <w:rFonts w:ascii="Palatino Linotype" w:hAnsi="Palatino Linotype" w:cs="Arial"/>
          <w:i/>
          <w:sz w:val="22"/>
        </w:rPr>
      </w:pPr>
      <w:r w:rsidRPr="00C21CC7">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262850C" w14:textId="77777777" w:rsidR="001C33F9" w:rsidRPr="00C21CC7" w:rsidRDefault="001C33F9" w:rsidP="001C33F9">
      <w:pPr>
        <w:spacing w:line="276" w:lineRule="auto"/>
        <w:ind w:left="851" w:right="899"/>
        <w:contextualSpacing/>
        <w:jc w:val="both"/>
        <w:rPr>
          <w:rFonts w:ascii="Palatino Linotype" w:hAnsi="Palatino Linotype" w:cs="Arial"/>
          <w:i/>
          <w:sz w:val="22"/>
        </w:rPr>
      </w:pPr>
    </w:p>
    <w:p w14:paraId="78970821" w14:textId="77777777" w:rsidR="001C33F9" w:rsidRPr="00C21CC7" w:rsidRDefault="001C33F9" w:rsidP="001C33F9">
      <w:pPr>
        <w:spacing w:line="276" w:lineRule="auto"/>
        <w:ind w:left="851" w:right="899"/>
        <w:jc w:val="both"/>
        <w:rPr>
          <w:rFonts w:ascii="Palatino Linotype" w:hAnsi="Palatino Linotype" w:cs="Arial"/>
          <w:i/>
          <w:sz w:val="22"/>
        </w:rPr>
      </w:pPr>
      <w:r w:rsidRPr="00C21CC7">
        <w:rPr>
          <w:rFonts w:ascii="Palatino Linotype" w:hAnsi="Palatino Linotype" w:cs="Arial"/>
          <w:i/>
          <w:sz w:val="22"/>
        </w:rPr>
        <w:t xml:space="preserve">En el caso de que se interponga ante la Unidad de Transparencia, ésta deberá remitir el Recurso de Revisión al Instituto a más tardar al día </w:t>
      </w:r>
      <w:r w:rsidRPr="00C21CC7">
        <w:rPr>
          <w:rFonts w:ascii="Palatino Linotype" w:hAnsi="Palatino Linotype" w:cs="Arial"/>
          <w:i/>
          <w:sz w:val="22"/>
          <w:lang w:eastAsia="es-MX"/>
        </w:rPr>
        <w:t>siguiente</w:t>
      </w:r>
      <w:r w:rsidRPr="00C21CC7">
        <w:rPr>
          <w:rFonts w:ascii="Palatino Linotype" w:hAnsi="Palatino Linotype" w:cs="Arial"/>
          <w:i/>
          <w:sz w:val="22"/>
        </w:rPr>
        <w:t xml:space="preserve"> de haberlo recibido.”</w:t>
      </w:r>
    </w:p>
    <w:p w14:paraId="551FD3F8" w14:textId="77777777" w:rsidR="001C33F9" w:rsidRPr="00C21CC7" w:rsidRDefault="001C33F9" w:rsidP="001C33F9">
      <w:pPr>
        <w:ind w:left="720" w:right="709"/>
        <w:jc w:val="both"/>
        <w:rPr>
          <w:rFonts w:ascii="Palatino Linotype" w:hAnsi="Palatino Linotype" w:cs="Arial"/>
          <w:i/>
          <w:sz w:val="22"/>
        </w:rPr>
      </w:pPr>
    </w:p>
    <w:p w14:paraId="4113C635" w14:textId="21F96705" w:rsidR="001C33F9" w:rsidRPr="00C21CC7" w:rsidRDefault="001C33F9" w:rsidP="001C33F9">
      <w:pPr>
        <w:spacing w:line="360" w:lineRule="auto"/>
        <w:jc w:val="both"/>
        <w:rPr>
          <w:rFonts w:ascii="Palatino Linotype" w:hAnsi="Palatino Linotype" w:cs="Arial"/>
          <w:lang w:val="es-ES_tradnl"/>
        </w:rPr>
      </w:pPr>
      <w:r w:rsidRPr="00C21CC7">
        <w:rPr>
          <w:rFonts w:ascii="Palatino Linotype" w:hAnsi="Palatino Linotype" w:cs="Arial"/>
        </w:rPr>
        <w:t xml:space="preserve">En esa tesitura, atendiendo a que </w:t>
      </w:r>
      <w:r w:rsidRPr="00C21CC7">
        <w:rPr>
          <w:rFonts w:ascii="Palatino Linotype" w:hAnsi="Palatino Linotype" w:cs="Arial"/>
          <w:b/>
        </w:rPr>
        <w:t>EL SUJETO OBLIGADO</w:t>
      </w:r>
      <w:r w:rsidRPr="00C21CC7">
        <w:rPr>
          <w:rFonts w:ascii="Palatino Linotype" w:hAnsi="Palatino Linotype" w:cs="Arial"/>
        </w:rPr>
        <w:t xml:space="preserve"> notificó la respuesta a la solicitud de acceso a la Información Pública el día</w:t>
      </w:r>
      <w:r w:rsidRPr="00C21CC7">
        <w:rPr>
          <w:rFonts w:ascii="Palatino Linotype" w:hAnsi="Palatino Linotype" w:cs="Arial"/>
          <w:b/>
        </w:rPr>
        <w:t xml:space="preserve"> ocho de agosto de dos mil veintidós</w:t>
      </w:r>
      <w:r w:rsidRPr="00C21CC7">
        <w:rPr>
          <w:rFonts w:ascii="Palatino Linotype" w:hAnsi="Palatino Linotype" w:cs="Arial"/>
        </w:rPr>
        <w:t xml:space="preserve">; así, el plazo de quince días hábiles que el artículo 178 de la Ley de la materia otorga a </w:t>
      </w:r>
      <w:r w:rsidRPr="00C21CC7">
        <w:rPr>
          <w:rFonts w:ascii="Palatino Linotype" w:hAnsi="Palatino Linotype" w:cs="Arial"/>
          <w:b/>
        </w:rPr>
        <w:t>EL RECURRENTE</w:t>
      </w:r>
      <w:r w:rsidRPr="00C21CC7">
        <w:rPr>
          <w:rFonts w:ascii="Palatino Linotype" w:hAnsi="Palatino Linotype" w:cs="Arial"/>
        </w:rPr>
        <w:t xml:space="preserve"> para presentar el respectivo Recurso de </w:t>
      </w:r>
      <w:r w:rsidRPr="00C21CC7">
        <w:rPr>
          <w:rFonts w:ascii="Palatino Linotype" w:hAnsi="Palatino Linotype" w:cs="Arial"/>
        </w:rPr>
        <w:lastRenderedPageBreak/>
        <w:t xml:space="preserve">Revisión, transcurrió del </w:t>
      </w:r>
      <w:r w:rsidR="007D33CA" w:rsidRPr="00C21CC7">
        <w:rPr>
          <w:rFonts w:ascii="Palatino Linotype" w:hAnsi="Palatino Linotype" w:cs="Arial"/>
          <w:b/>
        </w:rPr>
        <w:t xml:space="preserve">nueve al veintinueve de agosto </w:t>
      </w:r>
      <w:r w:rsidRPr="00C21CC7">
        <w:rPr>
          <w:rFonts w:ascii="Palatino Linotype" w:hAnsi="Palatino Linotype" w:cs="Arial"/>
          <w:b/>
        </w:rPr>
        <w:t>de dos mil veintidós</w:t>
      </w:r>
      <w:r w:rsidRPr="00C21CC7">
        <w:rPr>
          <w:rFonts w:ascii="Palatino Linotype" w:hAnsi="Palatino Linotype" w:cs="Arial"/>
        </w:rPr>
        <w:t xml:space="preserve">, </w:t>
      </w:r>
      <w:r w:rsidRPr="00C21CC7">
        <w:rPr>
          <w:rFonts w:ascii="Palatino Linotype" w:hAnsi="Palatino Linotype" w:cs="Arial"/>
          <w:lang w:val="es-ES_tradnl"/>
        </w:rPr>
        <w:t xml:space="preserve">sin contemplar en el cómputo los días  </w:t>
      </w:r>
      <w:r w:rsidR="007D33CA" w:rsidRPr="00C21CC7">
        <w:rPr>
          <w:rFonts w:ascii="Palatino Linotype" w:hAnsi="Palatino Linotype" w:cs="Arial"/>
          <w:lang w:val="es-ES_tradnl"/>
        </w:rPr>
        <w:t xml:space="preserve">trece, catorce, veinte, veintiuno, veintisiete y veintiocho de agosto de </w:t>
      </w:r>
      <w:r w:rsidRPr="00C21CC7">
        <w:rPr>
          <w:rFonts w:ascii="Palatino Linotype" w:hAnsi="Palatino Linotype" w:cs="Arial"/>
          <w:lang w:val="es-ES_tradnl"/>
        </w:rPr>
        <w:t xml:space="preserve">dos mil veintidós, </w:t>
      </w:r>
      <w:bookmarkStart w:id="9" w:name="_Hlk62134391"/>
      <w:r w:rsidRPr="00C21CC7">
        <w:rPr>
          <w:rFonts w:ascii="Palatino Linotype"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9"/>
      <w:r w:rsidR="007D33CA" w:rsidRPr="00C21CC7">
        <w:rPr>
          <w:rFonts w:ascii="Palatino Linotype" w:hAnsi="Palatino Linotype" w:cs="Arial"/>
          <w:lang w:val="es-ES_tradnl"/>
        </w:rPr>
        <w:t xml:space="preserve">. </w:t>
      </w:r>
    </w:p>
    <w:p w14:paraId="36F64D1F" w14:textId="77777777" w:rsidR="007D33CA" w:rsidRPr="00C21CC7" w:rsidRDefault="007D33CA" w:rsidP="001C33F9">
      <w:pPr>
        <w:spacing w:line="360" w:lineRule="auto"/>
        <w:jc w:val="both"/>
        <w:rPr>
          <w:rFonts w:ascii="Palatino Linotype" w:hAnsi="Palatino Linotype" w:cs="Arial"/>
          <w:lang w:val="es-ES_tradnl"/>
        </w:rPr>
      </w:pPr>
    </w:p>
    <w:p w14:paraId="2EA7B56C" w14:textId="0321E272" w:rsidR="001C33F9" w:rsidRPr="00C21CC7" w:rsidRDefault="001C33F9" w:rsidP="001C33F9">
      <w:pPr>
        <w:spacing w:line="360" w:lineRule="auto"/>
        <w:jc w:val="both"/>
        <w:rPr>
          <w:rFonts w:ascii="Palatino Linotype" w:eastAsia="Palatino Linotype" w:hAnsi="Palatino Linotype" w:cs="Palatino Linotype"/>
        </w:rPr>
      </w:pPr>
      <w:r w:rsidRPr="00C21CC7">
        <w:rPr>
          <w:rFonts w:ascii="Palatino Linotype" w:eastAsia="Palatino Linotype" w:hAnsi="Palatino Linotype" w:cs="Palatino Linotype"/>
        </w:rPr>
        <w:t>En ese tenor, si el recurso de revisión que nos ocupa, se interpuso el</w:t>
      </w:r>
      <w:r w:rsidRPr="00C21CC7">
        <w:rPr>
          <w:rFonts w:ascii="Palatino Linotype" w:eastAsia="Palatino Linotype" w:hAnsi="Palatino Linotype" w:cs="Palatino Linotype"/>
          <w:b/>
        </w:rPr>
        <w:t xml:space="preserve"> </w:t>
      </w:r>
      <w:r w:rsidR="007D33CA" w:rsidRPr="00C21CC7">
        <w:rPr>
          <w:rFonts w:ascii="Palatino Linotype" w:eastAsia="Palatino Linotype" w:hAnsi="Palatino Linotype" w:cs="Palatino Linotype"/>
          <w:b/>
        </w:rPr>
        <w:t>diez</w:t>
      </w:r>
      <w:r w:rsidRPr="00C21CC7">
        <w:rPr>
          <w:rFonts w:ascii="Palatino Linotype" w:eastAsia="Palatino Linotype" w:hAnsi="Palatino Linotype" w:cs="Palatino Linotype"/>
          <w:b/>
        </w:rPr>
        <w:t xml:space="preserve"> de </w:t>
      </w:r>
      <w:r w:rsidR="007D33CA" w:rsidRPr="00C21CC7">
        <w:rPr>
          <w:rFonts w:ascii="Palatino Linotype" w:eastAsia="Palatino Linotype" w:hAnsi="Palatino Linotype" w:cs="Palatino Linotype"/>
          <w:b/>
        </w:rPr>
        <w:t>agosto</w:t>
      </w:r>
      <w:r w:rsidRPr="00C21CC7">
        <w:rPr>
          <w:rFonts w:ascii="Palatino Linotype" w:eastAsia="Palatino Linotype" w:hAnsi="Palatino Linotype" w:cs="Palatino Linotype"/>
          <w:b/>
        </w:rPr>
        <w:t xml:space="preserve"> de dos mil veintidós,</w:t>
      </w:r>
      <w:r w:rsidRPr="00C21CC7">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35E53E6D" w14:textId="77777777" w:rsidR="007D33CA" w:rsidRPr="00C21CC7" w:rsidRDefault="007D33CA" w:rsidP="001C33F9">
      <w:pPr>
        <w:spacing w:line="360" w:lineRule="auto"/>
        <w:ind w:left="-5" w:hanging="10"/>
        <w:jc w:val="both"/>
        <w:rPr>
          <w:rFonts w:ascii="Palatino Linotype" w:eastAsia="Palatino Linotype" w:hAnsi="Palatino Linotype" w:cs="Palatino Linotype"/>
          <w:lang w:eastAsia="es-MX"/>
        </w:rPr>
      </w:pPr>
    </w:p>
    <w:p w14:paraId="40995413" w14:textId="77777777" w:rsidR="001C33F9" w:rsidRPr="00C21CC7" w:rsidRDefault="001C33F9" w:rsidP="001C33F9">
      <w:pPr>
        <w:autoSpaceDE w:val="0"/>
        <w:autoSpaceDN w:val="0"/>
        <w:adjustRightInd w:val="0"/>
        <w:spacing w:line="360" w:lineRule="auto"/>
        <w:ind w:right="49"/>
        <w:jc w:val="both"/>
        <w:rPr>
          <w:rFonts w:ascii="Palatino Linotype" w:eastAsia="Times New Roman" w:hAnsi="Palatino Linotype" w:cs="Times New Roman"/>
          <w:b/>
        </w:rPr>
      </w:pPr>
      <w:r w:rsidRPr="00C21CC7">
        <w:rPr>
          <w:rFonts w:ascii="Palatino Linotype" w:hAnsi="Palatino Linotype" w:cs="Arial"/>
          <w:b/>
          <w:sz w:val="28"/>
        </w:rPr>
        <w:t>CUARTO</w:t>
      </w:r>
      <w:r w:rsidRPr="00C21CC7">
        <w:rPr>
          <w:rFonts w:ascii="Palatino Linotype" w:hAnsi="Palatino Linotype"/>
          <w:b/>
        </w:rPr>
        <w:t xml:space="preserve">. Procedibilidad. </w:t>
      </w:r>
    </w:p>
    <w:p w14:paraId="5CF1DA36" w14:textId="21CC568B" w:rsidR="001C33F9" w:rsidRPr="00C21CC7" w:rsidRDefault="001C33F9" w:rsidP="001C33F9">
      <w:pPr>
        <w:autoSpaceDE w:val="0"/>
        <w:autoSpaceDN w:val="0"/>
        <w:adjustRightInd w:val="0"/>
        <w:spacing w:line="360" w:lineRule="auto"/>
        <w:ind w:right="49"/>
        <w:jc w:val="both"/>
        <w:rPr>
          <w:rFonts w:ascii="Palatino Linotype" w:hAnsi="Palatino Linotype" w:cs="Arial"/>
          <w:lang w:val="es-ES" w:eastAsia="es-MX"/>
        </w:rPr>
      </w:pPr>
      <w:r w:rsidRPr="00C21CC7">
        <w:rPr>
          <w:rFonts w:ascii="Palatino Linotype" w:hAnsi="Palatino Linotype" w:cs="Arial"/>
          <w:lang w:val="es-ES"/>
        </w:rPr>
        <w:t xml:space="preserve">Este Órgano Garante considera importante precisar que conforme al artículo 180, fracción II, último párrafo de la </w:t>
      </w:r>
      <w:r w:rsidRPr="00C21CC7">
        <w:rPr>
          <w:rFonts w:ascii="Palatino Linotype" w:hAnsi="Palatino Linotype" w:cs="Arial"/>
          <w:lang w:val="es-ES" w:eastAsia="es-MX"/>
        </w:rPr>
        <w:t>Ley de Transparencia y Acceso a la Información Pública del Estado de México y Municipios, que prevé cuando las solicitudes se presenten de manera electrónica no es requisito indispensable el proporcionar el nombre, tal c</w:t>
      </w:r>
      <w:r w:rsidR="00A35D56" w:rsidRPr="00C21CC7">
        <w:rPr>
          <w:rFonts w:ascii="Palatino Linotype" w:hAnsi="Palatino Linotype" w:cs="Arial"/>
          <w:lang w:val="es-ES" w:eastAsia="es-MX"/>
        </w:rPr>
        <w:t xml:space="preserve">omo se muestra a continuación: </w:t>
      </w:r>
    </w:p>
    <w:p w14:paraId="3720E525" w14:textId="77777777" w:rsidR="00A35D56" w:rsidRPr="00C21CC7" w:rsidRDefault="00A35D56" w:rsidP="001C33F9">
      <w:pPr>
        <w:autoSpaceDE w:val="0"/>
        <w:autoSpaceDN w:val="0"/>
        <w:adjustRightInd w:val="0"/>
        <w:spacing w:line="360" w:lineRule="auto"/>
        <w:ind w:right="49"/>
        <w:jc w:val="both"/>
        <w:rPr>
          <w:rFonts w:ascii="Palatino Linotype" w:hAnsi="Palatino Linotype" w:cs="Arial"/>
          <w:lang w:val="es-ES" w:eastAsia="es-MX"/>
        </w:rPr>
      </w:pPr>
    </w:p>
    <w:p w14:paraId="454D21CF" w14:textId="77777777" w:rsidR="001C33F9" w:rsidRPr="00C21CC7" w:rsidRDefault="001C33F9" w:rsidP="001C33F9">
      <w:pPr>
        <w:tabs>
          <w:tab w:val="left" w:pos="851"/>
        </w:tabs>
        <w:spacing w:line="276" w:lineRule="auto"/>
        <w:ind w:left="851" w:right="902"/>
        <w:jc w:val="both"/>
        <w:rPr>
          <w:rFonts w:ascii="Palatino Linotype" w:hAnsi="Palatino Linotype" w:cs="Times New Roman"/>
          <w:b/>
          <w:i/>
          <w:sz w:val="22"/>
          <w:szCs w:val="22"/>
          <w:lang w:val="es-ES"/>
        </w:rPr>
      </w:pPr>
      <w:r w:rsidRPr="00C21CC7">
        <w:rPr>
          <w:rFonts w:ascii="Palatino Linotype" w:hAnsi="Palatino Linotype"/>
          <w:b/>
          <w:i/>
          <w:sz w:val="22"/>
          <w:szCs w:val="22"/>
          <w:lang w:val="es-ES"/>
        </w:rPr>
        <w:t xml:space="preserve">“Artículo 180. </w:t>
      </w:r>
      <w:r w:rsidRPr="00C21CC7">
        <w:rPr>
          <w:rFonts w:ascii="Palatino Linotype" w:hAnsi="Palatino Linotype"/>
          <w:i/>
          <w:sz w:val="22"/>
          <w:szCs w:val="22"/>
          <w:lang w:val="es-ES"/>
        </w:rPr>
        <w:t xml:space="preserve">El </w:t>
      </w:r>
      <w:r w:rsidRPr="00C21CC7">
        <w:rPr>
          <w:rFonts w:ascii="Palatino Linotype" w:hAnsi="Palatino Linotype" w:cs="Arial"/>
          <w:i/>
          <w:sz w:val="22"/>
          <w:szCs w:val="22"/>
          <w:lang w:val="es-ES"/>
        </w:rPr>
        <w:t>Recurso de Revisión</w:t>
      </w:r>
      <w:r w:rsidRPr="00C21CC7">
        <w:rPr>
          <w:rFonts w:ascii="Palatino Linotype" w:hAnsi="Palatino Linotype"/>
          <w:i/>
          <w:sz w:val="22"/>
          <w:szCs w:val="22"/>
          <w:lang w:val="es-ES"/>
        </w:rPr>
        <w:t xml:space="preserve"> contendrá:</w:t>
      </w:r>
      <w:r w:rsidRPr="00C21CC7">
        <w:rPr>
          <w:rFonts w:ascii="Palatino Linotype" w:hAnsi="Palatino Linotype"/>
          <w:b/>
          <w:i/>
          <w:sz w:val="22"/>
          <w:szCs w:val="22"/>
          <w:lang w:val="es-ES"/>
        </w:rPr>
        <w:t xml:space="preserve"> </w:t>
      </w:r>
    </w:p>
    <w:p w14:paraId="3B16D406" w14:textId="77777777" w:rsidR="001C33F9" w:rsidRPr="00C21CC7" w:rsidRDefault="001C33F9" w:rsidP="001C33F9">
      <w:pPr>
        <w:tabs>
          <w:tab w:val="left" w:pos="851"/>
        </w:tabs>
        <w:spacing w:line="276" w:lineRule="auto"/>
        <w:ind w:left="851" w:right="902"/>
        <w:jc w:val="both"/>
        <w:rPr>
          <w:rFonts w:ascii="Palatino Linotype" w:hAnsi="Palatino Linotype"/>
          <w:b/>
          <w:i/>
          <w:sz w:val="22"/>
          <w:szCs w:val="22"/>
          <w:lang w:val="es-ES"/>
        </w:rPr>
      </w:pPr>
      <w:r w:rsidRPr="00C21CC7">
        <w:rPr>
          <w:rFonts w:ascii="Palatino Linotype" w:hAnsi="Palatino Linotype"/>
          <w:b/>
          <w:i/>
          <w:sz w:val="22"/>
          <w:szCs w:val="22"/>
          <w:lang w:val="es-ES"/>
        </w:rPr>
        <w:t>…</w:t>
      </w:r>
    </w:p>
    <w:p w14:paraId="75D0AB24" w14:textId="77777777" w:rsidR="001C33F9" w:rsidRPr="00C21CC7" w:rsidRDefault="001C33F9" w:rsidP="001C33F9">
      <w:pPr>
        <w:tabs>
          <w:tab w:val="left" w:pos="851"/>
        </w:tabs>
        <w:spacing w:line="276" w:lineRule="auto"/>
        <w:ind w:left="851" w:right="902"/>
        <w:jc w:val="both"/>
        <w:rPr>
          <w:rFonts w:ascii="Palatino Linotype" w:hAnsi="Palatino Linotype"/>
          <w:i/>
          <w:sz w:val="22"/>
          <w:szCs w:val="22"/>
          <w:lang w:val="es-ES"/>
        </w:rPr>
      </w:pPr>
      <w:r w:rsidRPr="00C21CC7">
        <w:rPr>
          <w:rFonts w:ascii="Palatino Linotype" w:hAnsi="Palatino Linotype"/>
          <w:b/>
          <w:i/>
          <w:sz w:val="22"/>
          <w:szCs w:val="22"/>
          <w:lang w:val="es-ES"/>
        </w:rPr>
        <w:t xml:space="preserve">II. El nombre del solicitante </w:t>
      </w:r>
      <w:r w:rsidRPr="00C21CC7">
        <w:rPr>
          <w:rFonts w:ascii="Palatino Linotype" w:hAnsi="Palatino Linotype" w:cs="Arial"/>
          <w:b/>
          <w:i/>
          <w:sz w:val="22"/>
          <w:szCs w:val="22"/>
          <w:lang w:val="es-ES" w:eastAsia="es-MX"/>
        </w:rPr>
        <w:t>que</w:t>
      </w:r>
      <w:r w:rsidRPr="00C21CC7">
        <w:rPr>
          <w:rFonts w:ascii="Palatino Linotype" w:hAnsi="Palatino Linotype"/>
          <w:b/>
          <w:i/>
          <w:sz w:val="22"/>
          <w:szCs w:val="22"/>
          <w:lang w:val="es-ES"/>
        </w:rPr>
        <w:t xml:space="preserve"> recurre </w:t>
      </w:r>
      <w:r w:rsidRPr="00C21CC7">
        <w:rPr>
          <w:rFonts w:ascii="Palatino Linotype" w:hAnsi="Palatino Linotype"/>
          <w:i/>
          <w:sz w:val="22"/>
          <w:szCs w:val="22"/>
          <w:lang w:val="es-ES"/>
        </w:rPr>
        <w:t>o de su representante y, en su caso, …</w:t>
      </w:r>
    </w:p>
    <w:p w14:paraId="6142706C" w14:textId="77777777" w:rsidR="001C33F9" w:rsidRPr="00C21CC7" w:rsidRDefault="001C33F9" w:rsidP="001C33F9">
      <w:pPr>
        <w:tabs>
          <w:tab w:val="left" w:pos="851"/>
        </w:tabs>
        <w:spacing w:line="276" w:lineRule="auto"/>
        <w:ind w:left="851" w:right="902"/>
        <w:jc w:val="both"/>
        <w:rPr>
          <w:rFonts w:ascii="Palatino Linotype" w:hAnsi="Palatino Linotype"/>
          <w:b/>
          <w:i/>
          <w:sz w:val="22"/>
          <w:szCs w:val="22"/>
          <w:lang w:val="es-ES"/>
        </w:rPr>
      </w:pPr>
      <w:r w:rsidRPr="00C21CC7">
        <w:rPr>
          <w:rFonts w:ascii="Palatino Linotype" w:hAnsi="Palatino Linotype"/>
          <w:b/>
          <w:i/>
          <w:sz w:val="22"/>
          <w:szCs w:val="22"/>
          <w:lang w:val="es-ES"/>
        </w:rPr>
        <w:t xml:space="preserve">En caso de </w:t>
      </w:r>
      <w:r w:rsidRPr="00C21CC7">
        <w:rPr>
          <w:rFonts w:ascii="Palatino Linotype" w:hAnsi="Palatino Linotype" w:cs="Arial"/>
          <w:b/>
          <w:i/>
          <w:sz w:val="22"/>
          <w:szCs w:val="22"/>
          <w:lang w:val="es-ES" w:eastAsia="es-MX"/>
        </w:rPr>
        <w:t>que</w:t>
      </w:r>
      <w:r w:rsidRPr="00C21CC7">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C21CC7">
        <w:rPr>
          <w:rFonts w:ascii="Palatino Linotype" w:hAnsi="Palatino Linotype"/>
          <w:i/>
          <w:sz w:val="22"/>
          <w:szCs w:val="22"/>
          <w:lang w:val="es-ES"/>
        </w:rPr>
        <w:t>, IV, VII y VIII.</w:t>
      </w:r>
      <w:r w:rsidRPr="00C21CC7">
        <w:rPr>
          <w:rFonts w:ascii="Palatino Linotype" w:hAnsi="Palatino Linotype"/>
          <w:b/>
          <w:i/>
          <w:sz w:val="22"/>
          <w:szCs w:val="22"/>
          <w:lang w:val="es-ES"/>
        </w:rPr>
        <w:t>”</w:t>
      </w:r>
    </w:p>
    <w:p w14:paraId="4CDFD240" w14:textId="77777777" w:rsidR="001C33F9" w:rsidRPr="00C21CC7" w:rsidRDefault="001C33F9" w:rsidP="001C33F9">
      <w:pPr>
        <w:tabs>
          <w:tab w:val="left" w:pos="851"/>
        </w:tabs>
        <w:spacing w:line="276" w:lineRule="auto"/>
        <w:ind w:left="851" w:right="902"/>
        <w:jc w:val="both"/>
        <w:rPr>
          <w:rFonts w:ascii="Palatino Linotype" w:hAnsi="Palatino Linotype"/>
          <w:i/>
          <w:sz w:val="22"/>
          <w:szCs w:val="22"/>
          <w:lang w:val="es-ES"/>
        </w:rPr>
      </w:pPr>
      <w:r w:rsidRPr="00C21CC7">
        <w:rPr>
          <w:rFonts w:ascii="Palatino Linotype" w:hAnsi="Palatino Linotype"/>
          <w:i/>
          <w:sz w:val="22"/>
          <w:szCs w:val="22"/>
          <w:lang w:val="es-ES"/>
        </w:rPr>
        <w:t>(Énfasis añadido)</w:t>
      </w:r>
    </w:p>
    <w:p w14:paraId="4191B41F" w14:textId="77777777" w:rsidR="001C33F9" w:rsidRPr="00C21CC7" w:rsidRDefault="001C33F9" w:rsidP="001C33F9">
      <w:pPr>
        <w:tabs>
          <w:tab w:val="left" w:pos="851"/>
        </w:tabs>
        <w:spacing w:line="360" w:lineRule="auto"/>
        <w:ind w:right="901"/>
        <w:jc w:val="both"/>
        <w:rPr>
          <w:rFonts w:ascii="Palatino Linotype" w:hAnsi="Palatino Linotype"/>
          <w:i/>
          <w:sz w:val="22"/>
          <w:szCs w:val="22"/>
          <w:lang w:val="es-ES"/>
        </w:rPr>
      </w:pPr>
    </w:p>
    <w:p w14:paraId="0DB7DF0F" w14:textId="77777777" w:rsidR="001C33F9" w:rsidRPr="00C21CC7" w:rsidRDefault="001C33F9" w:rsidP="001C33F9">
      <w:pPr>
        <w:spacing w:line="360" w:lineRule="auto"/>
        <w:jc w:val="both"/>
        <w:rPr>
          <w:rFonts w:ascii="Palatino Linotype" w:hAnsi="Palatino Linotype"/>
          <w:lang w:val="es-ES"/>
        </w:rPr>
      </w:pPr>
      <w:r w:rsidRPr="00C21CC7">
        <w:rPr>
          <w:rFonts w:ascii="Palatino Linotype" w:hAnsi="Palatino Linotype"/>
          <w:lang w:val="es-ES"/>
        </w:rPr>
        <w:lastRenderedPageBreak/>
        <w:t>Por lo que, derivado que el Recurso de Revisión materia del presente asunto, se interpuso de manera electrónica, no es necesario que contenga determinados requisitos, entre ellos, el nombre del</w:t>
      </w:r>
      <w:r w:rsidRPr="00C21CC7">
        <w:rPr>
          <w:rFonts w:ascii="Palatino Linotype" w:hAnsi="Palatino Linotype" w:cs="Arial"/>
          <w:b/>
          <w:lang w:val="es-ES"/>
        </w:rPr>
        <w:t xml:space="preserve"> RECURRENTE;</w:t>
      </w:r>
      <w:r w:rsidRPr="00C21CC7">
        <w:rPr>
          <w:rFonts w:ascii="Palatino Linotype" w:hAnsi="Palatino Linotype"/>
          <w:lang w:val="es-ES"/>
        </w:rPr>
        <w:t xml:space="preserve"> por lo que, en el presente caso, al haber sido presentado el Recurso de Revisión vía </w:t>
      </w:r>
      <w:r w:rsidRPr="00C21CC7">
        <w:rPr>
          <w:rFonts w:ascii="Palatino Linotype" w:hAnsi="Palatino Linotype"/>
          <w:b/>
          <w:lang w:val="es-ES"/>
        </w:rPr>
        <w:t>SAIMEX</w:t>
      </w:r>
      <w:r w:rsidRPr="00C21CC7">
        <w:rPr>
          <w:rFonts w:ascii="Palatino Linotype" w:hAnsi="Palatino Linotype"/>
          <w:lang w:val="es-ES"/>
        </w:rPr>
        <w:t>, dicho requisito resulta innecesario.</w:t>
      </w:r>
    </w:p>
    <w:p w14:paraId="61F4F519" w14:textId="77777777" w:rsidR="001C33F9" w:rsidRPr="00C21CC7" w:rsidRDefault="001C33F9" w:rsidP="001C33F9">
      <w:pPr>
        <w:spacing w:line="360" w:lineRule="auto"/>
        <w:jc w:val="both"/>
        <w:rPr>
          <w:rFonts w:ascii="Palatino Linotype" w:hAnsi="Palatino Linotype"/>
          <w:b/>
          <w:lang w:val="es-ES"/>
        </w:rPr>
      </w:pPr>
    </w:p>
    <w:p w14:paraId="0D6BB832" w14:textId="77777777" w:rsidR="001C33F9" w:rsidRPr="00C21CC7" w:rsidRDefault="001C33F9" w:rsidP="001C33F9">
      <w:pPr>
        <w:spacing w:line="360" w:lineRule="auto"/>
        <w:jc w:val="both"/>
        <w:rPr>
          <w:rFonts w:ascii="Palatino Linotype" w:hAnsi="Palatino Linotype"/>
          <w:lang w:val="es-ES"/>
        </w:rPr>
      </w:pPr>
      <w:r w:rsidRPr="00C21CC7">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8861028" w14:textId="77777777" w:rsidR="001C33F9" w:rsidRPr="00C21CC7" w:rsidRDefault="001C33F9" w:rsidP="001C33F9">
      <w:pPr>
        <w:spacing w:line="360" w:lineRule="auto"/>
        <w:jc w:val="both"/>
        <w:rPr>
          <w:rFonts w:ascii="Palatino Linotype" w:hAnsi="Palatino Linotype"/>
          <w:sz w:val="22"/>
          <w:szCs w:val="22"/>
          <w:lang w:val="es-ES"/>
        </w:rPr>
      </w:pPr>
    </w:p>
    <w:p w14:paraId="4A26BF00" w14:textId="77777777" w:rsidR="001C33F9" w:rsidRPr="00C21CC7" w:rsidRDefault="001C33F9" w:rsidP="001C33F9">
      <w:pPr>
        <w:spacing w:line="360" w:lineRule="auto"/>
        <w:jc w:val="both"/>
        <w:rPr>
          <w:rFonts w:ascii="Palatino Linotype" w:hAnsi="Palatino Linotype"/>
          <w:lang w:val="es-ES"/>
        </w:rPr>
      </w:pPr>
      <w:r w:rsidRPr="00C21CC7">
        <w:rPr>
          <w:rFonts w:ascii="Palatino Linotype" w:hAnsi="Palatino Linotype"/>
          <w:lang w:val="es-ES"/>
        </w:rPr>
        <w:t xml:space="preserve">Asimismo, se estima que el requisito relativo al nombre del </w:t>
      </w:r>
      <w:r w:rsidRPr="00C21CC7">
        <w:rPr>
          <w:rFonts w:ascii="Palatino Linotype" w:hAnsi="Palatino Linotype" w:cs="Arial"/>
          <w:b/>
          <w:lang w:val="es-ES"/>
        </w:rPr>
        <w:t>RECURRENTE</w:t>
      </w:r>
      <w:r w:rsidRPr="00C21CC7">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w:t>
      </w:r>
      <w:r w:rsidRPr="00C21CC7">
        <w:rPr>
          <w:rFonts w:ascii="Palatino Linotype" w:hAnsi="Palatino Linotype"/>
          <w:lang w:val="es-ES"/>
        </w:rPr>
        <w:lastRenderedPageBreak/>
        <w:t xml:space="preserve">desprende que </w:t>
      </w:r>
      <w:r w:rsidRPr="00C21CC7">
        <w:rPr>
          <w:rFonts w:ascii="Palatino Linotype" w:hAnsi="Palatino Linotype" w:cs="Arial"/>
          <w:b/>
          <w:lang w:val="es-ES"/>
        </w:rPr>
        <w:t>EL RECURRENTE</w:t>
      </w:r>
      <w:r w:rsidRPr="00C21CC7">
        <w:rPr>
          <w:rFonts w:ascii="Palatino Linotype" w:hAnsi="Palatino Linotype"/>
          <w:lang w:val="es-ES"/>
        </w:rPr>
        <w:t xml:space="preserve"> es la misma persona que realizó la solicitud de acceso a la Información Pública que ahora se impugna.</w:t>
      </w:r>
    </w:p>
    <w:p w14:paraId="4B7A2F34" w14:textId="77777777" w:rsidR="001C33F9" w:rsidRPr="00C21CC7" w:rsidRDefault="001C33F9" w:rsidP="001C33F9">
      <w:pPr>
        <w:spacing w:line="360" w:lineRule="auto"/>
        <w:jc w:val="both"/>
        <w:rPr>
          <w:rFonts w:ascii="Palatino Linotype" w:hAnsi="Palatino Linotype"/>
          <w:lang w:val="es-ES"/>
        </w:rPr>
      </w:pPr>
    </w:p>
    <w:p w14:paraId="2971AD51" w14:textId="77777777" w:rsidR="001C33F9" w:rsidRPr="00C21CC7" w:rsidRDefault="001C33F9" w:rsidP="001C33F9">
      <w:pPr>
        <w:spacing w:line="360" w:lineRule="auto"/>
        <w:jc w:val="both"/>
        <w:rPr>
          <w:rFonts w:ascii="Palatino Linotype" w:hAnsi="Palatino Linotype"/>
          <w:lang w:val="es-ES"/>
        </w:rPr>
      </w:pPr>
      <w:r w:rsidRPr="00C21CC7">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C21CC7">
        <w:rPr>
          <w:rFonts w:ascii="Palatino Linotype" w:hAnsi="Palatino Linotype"/>
        </w:rPr>
        <w:t>Constitución Política de los Estados Unidos Mexicanos</w:t>
      </w:r>
      <w:r w:rsidRPr="00C21CC7">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912C496" w14:textId="77777777" w:rsidR="001C33F9" w:rsidRPr="00C21CC7" w:rsidRDefault="001C33F9" w:rsidP="001C33F9">
      <w:pPr>
        <w:spacing w:line="360" w:lineRule="auto"/>
        <w:jc w:val="both"/>
        <w:rPr>
          <w:rFonts w:ascii="Palatino Linotype" w:hAnsi="Palatino Linotype"/>
          <w:lang w:val="es-ES"/>
        </w:rPr>
      </w:pPr>
    </w:p>
    <w:p w14:paraId="64EB045C" w14:textId="77777777" w:rsidR="007D33CA" w:rsidRPr="00C21CC7" w:rsidRDefault="007D33CA" w:rsidP="007D33CA">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C21CC7">
        <w:rPr>
          <w:rFonts w:ascii="Palatino Linotype" w:hAnsi="Palatino Linotype" w:cs="Arial"/>
          <w:b/>
          <w:color w:val="000000" w:themeColor="text1"/>
          <w:sz w:val="28"/>
        </w:rPr>
        <w:t>QUINTO</w:t>
      </w:r>
      <w:r w:rsidRPr="00C21CC7">
        <w:rPr>
          <w:rFonts w:ascii="Palatino Linotype" w:hAnsi="Palatino Linotype" w:cs="Arial"/>
          <w:b/>
          <w:color w:val="000000" w:themeColor="text1"/>
        </w:rPr>
        <w:t xml:space="preserve">. Estudio y Resolución del Recurso. </w:t>
      </w:r>
    </w:p>
    <w:p w14:paraId="04446292" w14:textId="77777777" w:rsidR="007D33CA" w:rsidRPr="00C21CC7" w:rsidRDefault="007D33CA" w:rsidP="007D33CA">
      <w:pPr>
        <w:spacing w:line="360" w:lineRule="auto"/>
        <w:jc w:val="both"/>
        <w:rPr>
          <w:rFonts w:ascii="Palatino Linotype" w:hAnsi="Palatino Linotype" w:cs="Arial"/>
          <w:lang w:val="es-ES"/>
        </w:rPr>
      </w:pPr>
      <w:r w:rsidRPr="00C21CC7">
        <w:rPr>
          <w:rFonts w:ascii="Palatino Linotype" w:hAnsi="Palatino Linotype" w:cs="Arial"/>
          <w:color w:val="000000" w:themeColor="text1"/>
        </w:rPr>
        <w:t xml:space="preserve">Una vez determinada la vía sobre la que versará el presente recurso, y previa revisión del expediente electrónico formado en </w:t>
      </w:r>
      <w:r w:rsidRPr="00C21CC7">
        <w:rPr>
          <w:rFonts w:ascii="Palatino Linotype" w:hAnsi="Palatino Linotype" w:cs="Arial"/>
          <w:b/>
          <w:color w:val="000000" w:themeColor="text1"/>
        </w:rPr>
        <w:t>EL SAIMEX</w:t>
      </w:r>
      <w:r w:rsidRPr="00C21CC7">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C21CC7">
        <w:rPr>
          <w:rFonts w:ascii="Palatino Linotype" w:hAnsi="Palatino Linotype"/>
          <w:lang w:val="es-ES"/>
        </w:rPr>
        <w:t>Constitución Política de los Estados Unidos Mexicanos, Constitución Política del Estado Libre y Soberano de México</w:t>
      </w:r>
      <w:r w:rsidRPr="00C21CC7">
        <w:rPr>
          <w:rFonts w:ascii="Palatino Linotype" w:hAnsi="Palatino Linotype" w:cs="Arial"/>
          <w:color w:val="000000" w:themeColor="text1"/>
        </w:rPr>
        <w:t xml:space="preserve"> y demás leyes aplicables en la materia; así como, en los Tratados Internacionales en los que </w:t>
      </w:r>
      <w:r w:rsidRPr="00C21CC7">
        <w:rPr>
          <w:rFonts w:ascii="Palatino Linotype" w:hAnsi="Palatino Linotype" w:cs="Arial"/>
          <w:color w:val="000000" w:themeColor="text1"/>
        </w:rPr>
        <w:lastRenderedPageBreak/>
        <w:t xml:space="preserve">el Estado Mexicano sea parte, en concordancia con el párrafo tercero del artículo 1 de la </w:t>
      </w:r>
      <w:r w:rsidRPr="00C21CC7">
        <w:rPr>
          <w:rFonts w:ascii="Palatino Linotype" w:hAnsi="Palatino Linotype"/>
          <w:lang w:val="es-ES"/>
        </w:rPr>
        <w:t>Constitución Política de los Estados Unidos Mexicanos</w:t>
      </w:r>
      <w:r w:rsidRPr="00C21CC7">
        <w:rPr>
          <w:rFonts w:ascii="Palatino Linotype" w:hAnsi="Palatino Linotype" w:cs="Arial"/>
          <w:color w:val="000000" w:themeColor="text1"/>
        </w:rPr>
        <w:t xml:space="preserve"> y los numerales 8 y 9 de la </w:t>
      </w:r>
      <w:r w:rsidRPr="00C21CC7">
        <w:rPr>
          <w:rFonts w:ascii="Palatino Linotype" w:hAnsi="Palatino Linotype" w:cs="Arial"/>
          <w:lang w:val="es-ES"/>
        </w:rPr>
        <w:t>Ley de Transparencia y Acceso a la Información Pública del Estado de México y Municipios.</w:t>
      </w:r>
    </w:p>
    <w:p w14:paraId="762E0D22" w14:textId="77777777" w:rsidR="007D33CA" w:rsidRPr="00C21CC7" w:rsidRDefault="007D33CA" w:rsidP="001C33F9">
      <w:pPr>
        <w:spacing w:line="360" w:lineRule="auto"/>
        <w:jc w:val="both"/>
        <w:rPr>
          <w:rFonts w:ascii="Palatino Linotype" w:hAnsi="Palatino Linotype"/>
          <w:lang w:val="es-ES"/>
        </w:rPr>
      </w:pPr>
    </w:p>
    <w:p w14:paraId="4E863363" w14:textId="45C24C49" w:rsidR="007D33CA" w:rsidRPr="00C21CC7" w:rsidRDefault="007D33CA" w:rsidP="001C33F9">
      <w:pPr>
        <w:spacing w:line="360" w:lineRule="auto"/>
        <w:jc w:val="both"/>
        <w:rPr>
          <w:rFonts w:ascii="Palatino Linotype" w:hAnsi="Palatino Linotype" w:cs="Arial"/>
        </w:rPr>
      </w:pPr>
      <w:r w:rsidRPr="00C21CC7">
        <w:rPr>
          <w:rFonts w:ascii="Palatino Linotype" w:hAnsi="Palatino Linotype" w:cs="Arial"/>
          <w:lang w:val="es-ES_tradnl"/>
        </w:rPr>
        <w:t xml:space="preserve">Señalado lo anterior, se procede a analizar las documentales que integran el expediente electrónico, formado en el </w:t>
      </w:r>
      <w:r w:rsidRPr="00C21CC7">
        <w:rPr>
          <w:rFonts w:ascii="Palatino Linotype" w:hAnsi="Palatino Linotype" w:cs="Arial"/>
          <w:b/>
          <w:bCs/>
          <w:lang w:val="es-ES_tradnl"/>
        </w:rPr>
        <w:t>SAIMEX</w:t>
      </w:r>
      <w:r w:rsidRPr="00C21CC7">
        <w:rPr>
          <w:rFonts w:ascii="Palatino Linotype" w:hAnsi="Palatino Linotype" w:cs="Arial"/>
        </w:rPr>
        <w:t xml:space="preserve">, es preciso señalar que </w:t>
      </w:r>
      <w:r w:rsidRPr="00C21CC7">
        <w:rPr>
          <w:rFonts w:ascii="Palatino Linotype" w:hAnsi="Palatino Linotype" w:cs="Arial"/>
          <w:b/>
        </w:rPr>
        <w:t>EL RECURRENTE</w:t>
      </w:r>
      <w:r w:rsidRPr="00C21CC7">
        <w:rPr>
          <w:rFonts w:ascii="Palatino Linotype" w:hAnsi="Palatino Linotype" w:cs="Arial"/>
        </w:rPr>
        <w:t xml:space="preserve"> soli</w:t>
      </w:r>
      <w:r w:rsidR="00A07B69" w:rsidRPr="00C21CC7">
        <w:rPr>
          <w:rFonts w:ascii="Palatino Linotype" w:hAnsi="Palatino Linotype" w:cs="Arial"/>
        </w:rPr>
        <w:t>citó medularmente lo siguiente:</w:t>
      </w:r>
    </w:p>
    <w:p w14:paraId="49F56E60" w14:textId="77777777" w:rsidR="00A07B69" w:rsidRPr="00C21CC7" w:rsidRDefault="00A07B69" w:rsidP="001C33F9">
      <w:pPr>
        <w:spacing w:line="360" w:lineRule="auto"/>
        <w:jc w:val="both"/>
        <w:rPr>
          <w:rFonts w:ascii="Palatino Linotype" w:hAnsi="Palatino Linotype" w:cs="Arial"/>
        </w:rPr>
      </w:pPr>
    </w:p>
    <w:p w14:paraId="4812A37B" w14:textId="19610BA3" w:rsidR="00A07B69" w:rsidRPr="00C21CC7" w:rsidRDefault="00A07B69" w:rsidP="00A07B69">
      <w:pPr>
        <w:tabs>
          <w:tab w:val="left" w:pos="851"/>
        </w:tabs>
        <w:spacing w:line="276" w:lineRule="auto"/>
        <w:ind w:left="992" w:right="901" w:hanging="142"/>
        <w:jc w:val="both"/>
        <w:rPr>
          <w:rFonts w:ascii="Palatino Linotype" w:eastAsia="MS Mincho" w:hAnsi="Palatino Linotype" w:cs="Arial"/>
          <w:i/>
          <w:lang w:val="es-ES"/>
        </w:rPr>
      </w:pPr>
      <w:r w:rsidRPr="00C21CC7">
        <w:rPr>
          <w:rFonts w:ascii="Palatino Linotype" w:eastAsia="MS Mincho" w:hAnsi="Palatino Linotype" w:cs="Arial"/>
          <w:i/>
        </w:rPr>
        <w:t>“contrato para el diseño y operación de la aplicación Coacalco Seguro” (Sic)</w:t>
      </w:r>
    </w:p>
    <w:p w14:paraId="7529F833" w14:textId="77777777" w:rsidR="00A07B69" w:rsidRPr="00C21CC7" w:rsidRDefault="00A07B69" w:rsidP="00A07B69">
      <w:pPr>
        <w:pStyle w:val="Sinespaciado"/>
        <w:ind w:right="907"/>
        <w:jc w:val="both"/>
        <w:rPr>
          <w:rFonts w:ascii="Palatino Linotype" w:hAnsi="Palatino Linotype"/>
          <w:lang w:val="es-ES"/>
        </w:rPr>
      </w:pPr>
    </w:p>
    <w:p w14:paraId="170BD45E" w14:textId="3A6FFC2C" w:rsidR="00022D89" w:rsidRPr="00C21CC7" w:rsidRDefault="00A07B69" w:rsidP="00A07B69">
      <w:pPr>
        <w:pStyle w:val="Sinespaciado"/>
        <w:ind w:right="907"/>
        <w:jc w:val="both"/>
        <w:rPr>
          <w:rFonts w:ascii="Palatino Linotype" w:hAnsi="Palatino Linotype"/>
          <w:noProof/>
          <w:color w:val="000000" w:themeColor="text1"/>
          <w:lang w:val="es-MX" w:eastAsia="es-MX"/>
        </w:rPr>
      </w:pPr>
      <w:r w:rsidRPr="00C21CC7">
        <w:rPr>
          <w:rFonts w:ascii="Palatino Linotype" w:hAnsi="Palatino Linotype"/>
          <w:iCs/>
          <w:noProof/>
          <w:color w:val="000000" w:themeColor="text1"/>
          <w:lang w:val="es-MX" w:eastAsia="es-MX"/>
        </w:rPr>
        <w:t xml:space="preserve">Mediante respuesta </w:t>
      </w:r>
      <w:r w:rsidRPr="00C21CC7">
        <w:rPr>
          <w:rFonts w:ascii="Palatino Linotype" w:hAnsi="Palatino Linotype"/>
          <w:noProof/>
          <w:color w:val="000000" w:themeColor="text1"/>
          <w:lang w:val="es-MX" w:eastAsia="es-MX"/>
        </w:rPr>
        <w:t xml:space="preserve">el Titular de la Unidad de Transparencia </w:t>
      </w:r>
      <w:r w:rsidR="00022D89" w:rsidRPr="00C21CC7">
        <w:rPr>
          <w:rFonts w:ascii="Palatino Linotype" w:hAnsi="Palatino Linotype"/>
          <w:color w:val="000000" w:themeColor="text1"/>
        </w:rPr>
        <w:t>entregó a</w:t>
      </w:r>
      <w:r w:rsidR="002B37CE" w:rsidRPr="00C21CC7">
        <w:rPr>
          <w:rFonts w:ascii="Palatino Linotype" w:hAnsi="Palatino Linotype"/>
          <w:color w:val="000000" w:themeColor="text1"/>
        </w:rPr>
        <w:t>l</w:t>
      </w:r>
      <w:r w:rsidRPr="00C21CC7">
        <w:rPr>
          <w:rFonts w:ascii="Palatino Linotype" w:hAnsi="Palatino Linotype"/>
          <w:color w:val="000000" w:themeColor="text1"/>
        </w:rPr>
        <w:t xml:space="preserve"> </w:t>
      </w:r>
      <w:r w:rsidR="00022D89" w:rsidRPr="00C21CC7">
        <w:rPr>
          <w:rFonts w:ascii="Palatino Linotype" w:hAnsi="Palatino Linotype"/>
          <w:color w:val="000000" w:themeColor="text1"/>
        </w:rPr>
        <w:t xml:space="preserve">particular </w:t>
      </w:r>
      <w:r w:rsidR="007076C5" w:rsidRPr="00C21CC7">
        <w:rPr>
          <w:rFonts w:ascii="Palatino Linotype" w:hAnsi="Palatino Linotype"/>
          <w:color w:val="000000" w:themeColor="text1"/>
        </w:rPr>
        <w:t>el</w:t>
      </w:r>
      <w:r w:rsidR="00022D89" w:rsidRPr="00C21CC7">
        <w:rPr>
          <w:rFonts w:ascii="Palatino Linotype" w:hAnsi="Palatino Linotype"/>
          <w:color w:val="000000" w:themeColor="text1"/>
        </w:rPr>
        <w:t xml:space="preserve"> </w:t>
      </w:r>
      <w:r w:rsidR="007076C5" w:rsidRPr="00C21CC7">
        <w:rPr>
          <w:rFonts w:ascii="Palatino Linotype" w:hAnsi="Palatino Linotype"/>
          <w:color w:val="000000" w:themeColor="text1"/>
        </w:rPr>
        <w:t>archivo electrónico</w:t>
      </w:r>
      <w:r w:rsidR="00022D89" w:rsidRPr="00C21CC7">
        <w:rPr>
          <w:rFonts w:ascii="Palatino Linotype" w:hAnsi="Palatino Linotype"/>
          <w:color w:val="000000" w:themeColor="text1"/>
        </w:rPr>
        <w:t xml:space="preserve"> </w:t>
      </w:r>
      <w:r w:rsidR="007076C5" w:rsidRPr="00C21CC7">
        <w:rPr>
          <w:rFonts w:ascii="Palatino Linotype" w:hAnsi="Palatino Linotype"/>
          <w:color w:val="000000" w:themeColor="text1"/>
        </w:rPr>
        <w:t>cuyo contenido</w:t>
      </w:r>
      <w:r w:rsidR="00022D89" w:rsidRPr="00C21CC7">
        <w:rPr>
          <w:rFonts w:ascii="Palatino Linotype" w:hAnsi="Palatino Linotype"/>
          <w:color w:val="000000" w:themeColor="text1"/>
        </w:rPr>
        <w:t xml:space="preserve"> se describe a continuación:</w:t>
      </w:r>
    </w:p>
    <w:p w14:paraId="3067C332" w14:textId="77777777" w:rsidR="00A65FA8" w:rsidRPr="00C21CC7" w:rsidRDefault="00A65FA8" w:rsidP="00A07B69">
      <w:pPr>
        <w:pStyle w:val="Prrafodelista"/>
        <w:tabs>
          <w:tab w:val="left" w:pos="284"/>
          <w:tab w:val="left" w:pos="426"/>
        </w:tabs>
        <w:spacing w:line="360" w:lineRule="auto"/>
        <w:ind w:left="851" w:right="907"/>
        <w:jc w:val="both"/>
        <w:rPr>
          <w:rFonts w:ascii="Palatino Linotype" w:hAnsi="Palatino Linotype"/>
          <w:color w:val="000000" w:themeColor="text1"/>
          <w:sz w:val="22"/>
          <w:szCs w:val="22"/>
        </w:rPr>
      </w:pPr>
    </w:p>
    <w:p w14:paraId="11423777" w14:textId="473CDC71" w:rsidR="00F96460" w:rsidRPr="00C21CC7" w:rsidRDefault="006B31E7" w:rsidP="00A35D56">
      <w:pPr>
        <w:pStyle w:val="Prrafodelista"/>
        <w:spacing w:line="360" w:lineRule="auto"/>
        <w:ind w:left="851" w:right="907"/>
        <w:contextualSpacing w:val="0"/>
        <w:jc w:val="both"/>
        <w:rPr>
          <w:rFonts w:ascii="Palatino Linotype" w:hAnsi="Palatino Linotype" w:cs="Arial"/>
          <w:sz w:val="22"/>
          <w:szCs w:val="22"/>
        </w:rPr>
      </w:pPr>
      <w:r w:rsidRPr="00C21CC7">
        <w:rPr>
          <w:rFonts w:ascii="Palatino Linotype" w:hAnsi="Palatino Linotype" w:cs="Arial"/>
          <w:b/>
          <w:i/>
          <w:sz w:val="22"/>
          <w:szCs w:val="22"/>
        </w:rPr>
        <w:t>“</w:t>
      </w:r>
      <w:r w:rsidR="00241A2F" w:rsidRPr="00C21CC7">
        <w:rPr>
          <w:rFonts w:ascii="Palatino Linotype" w:hAnsi="Palatino Linotype" w:cs="Arial"/>
          <w:b/>
          <w:i/>
          <w:sz w:val="22"/>
          <w:szCs w:val="22"/>
        </w:rPr>
        <w:t xml:space="preserve">RESPUESTA AL </w:t>
      </w:r>
      <w:r w:rsidR="002B37CE" w:rsidRPr="00C21CC7">
        <w:rPr>
          <w:rFonts w:ascii="Palatino Linotype" w:hAnsi="Palatino Linotype" w:cs="Arial"/>
          <w:b/>
          <w:i/>
          <w:sz w:val="22"/>
          <w:szCs w:val="22"/>
        </w:rPr>
        <w:t>SOLICITANTE 00267</w:t>
      </w:r>
      <w:r w:rsidR="00241A2F" w:rsidRPr="00C21CC7">
        <w:rPr>
          <w:rFonts w:ascii="Palatino Linotype" w:hAnsi="Palatino Linotype" w:cs="Arial"/>
          <w:b/>
          <w:i/>
          <w:sz w:val="22"/>
          <w:szCs w:val="22"/>
        </w:rPr>
        <w:t>_2022.pdf</w:t>
      </w:r>
      <w:r w:rsidRPr="00C21CC7">
        <w:rPr>
          <w:rFonts w:ascii="Palatino Linotype" w:hAnsi="Palatino Linotype" w:cs="Arial"/>
          <w:b/>
          <w:i/>
          <w:sz w:val="22"/>
          <w:szCs w:val="22"/>
        </w:rPr>
        <w:t>”</w:t>
      </w:r>
      <w:r w:rsidRPr="00C21CC7">
        <w:rPr>
          <w:rFonts w:ascii="Palatino Linotype" w:hAnsi="Palatino Linotype" w:cs="Arial"/>
          <w:sz w:val="22"/>
          <w:szCs w:val="22"/>
        </w:rPr>
        <w:t xml:space="preserve">: Documento </w:t>
      </w:r>
      <w:r w:rsidR="00241A2F" w:rsidRPr="00C21CC7">
        <w:rPr>
          <w:rFonts w:ascii="Palatino Linotype" w:hAnsi="Palatino Linotype" w:cs="Arial"/>
          <w:sz w:val="22"/>
          <w:szCs w:val="22"/>
        </w:rPr>
        <w:t>de una foja consistente en el oficio número</w:t>
      </w:r>
      <w:r w:rsidR="002B37CE" w:rsidRPr="00C21CC7">
        <w:rPr>
          <w:rFonts w:ascii="Palatino Linotype" w:hAnsi="Palatino Linotype" w:cs="Arial"/>
          <w:sz w:val="22"/>
          <w:szCs w:val="22"/>
        </w:rPr>
        <w:t xml:space="preserve"> PM/UT/CAMG/891</w:t>
      </w:r>
      <w:r w:rsidR="00916C14" w:rsidRPr="00C21CC7">
        <w:rPr>
          <w:rFonts w:ascii="Palatino Linotype" w:hAnsi="Palatino Linotype" w:cs="Arial"/>
          <w:sz w:val="22"/>
          <w:szCs w:val="22"/>
        </w:rPr>
        <w:t>/2022, de</w:t>
      </w:r>
      <w:r w:rsidR="002B37CE" w:rsidRPr="00C21CC7">
        <w:rPr>
          <w:rFonts w:ascii="Palatino Linotype" w:hAnsi="Palatino Linotype" w:cs="Arial"/>
          <w:sz w:val="22"/>
          <w:szCs w:val="22"/>
        </w:rPr>
        <w:t>l uno (0</w:t>
      </w:r>
      <w:r w:rsidR="00241A2F" w:rsidRPr="00C21CC7">
        <w:rPr>
          <w:rFonts w:ascii="Palatino Linotype" w:hAnsi="Palatino Linotype" w:cs="Arial"/>
          <w:sz w:val="22"/>
          <w:szCs w:val="22"/>
        </w:rPr>
        <w:t>1) de agosto de dos mil veintidós, emitido por el Titular de la Unidad de Transparencia, y dirigido al particular, por el que ofrece las respuestas proveídas por la Dirección de Administración.</w:t>
      </w:r>
    </w:p>
    <w:p w14:paraId="41AB4CA4" w14:textId="61193DCF" w:rsidR="00241A2F" w:rsidRPr="00C21CC7" w:rsidRDefault="00241A2F" w:rsidP="00A35D56">
      <w:pPr>
        <w:pStyle w:val="Prrafodelista"/>
        <w:spacing w:line="360" w:lineRule="auto"/>
        <w:ind w:left="851" w:right="907"/>
        <w:contextualSpacing w:val="0"/>
        <w:jc w:val="both"/>
        <w:rPr>
          <w:rFonts w:ascii="Palatino Linotype" w:hAnsi="Palatino Linotype" w:cs="Arial"/>
          <w:sz w:val="22"/>
          <w:szCs w:val="22"/>
        </w:rPr>
      </w:pPr>
      <w:r w:rsidRPr="00C21CC7">
        <w:rPr>
          <w:rFonts w:ascii="Palatino Linotype" w:hAnsi="Palatino Linotype" w:cs="Arial"/>
          <w:b/>
          <w:i/>
          <w:sz w:val="22"/>
          <w:szCs w:val="22"/>
        </w:rPr>
        <w:t>“</w:t>
      </w:r>
      <w:r w:rsidR="001516B2" w:rsidRPr="00C21CC7">
        <w:rPr>
          <w:rFonts w:ascii="Palatino Linotype" w:hAnsi="Palatino Linotype" w:cs="Arial"/>
          <w:b/>
          <w:i/>
          <w:sz w:val="22"/>
          <w:szCs w:val="22"/>
        </w:rPr>
        <w:t>CONTESTACION ADMON 00267</w:t>
      </w:r>
      <w:r w:rsidRPr="00C21CC7">
        <w:rPr>
          <w:rFonts w:ascii="Palatino Linotype" w:hAnsi="Palatino Linotype" w:cs="Arial"/>
          <w:b/>
          <w:i/>
          <w:sz w:val="22"/>
          <w:szCs w:val="22"/>
        </w:rPr>
        <w:t>_2022.pdf”</w:t>
      </w:r>
      <w:r w:rsidRPr="00C21CC7">
        <w:rPr>
          <w:rFonts w:ascii="Palatino Linotype" w:hAnsi="Palatino Linotype" w:cs="Arial"/>
          <w:sz w:val="22"/>
          <w:szCs w:val="22"/>
        </w:rPr>
        <w:t xml:space="preserve">: Archivo de </w:t>
      </w:r>
      <w:r w:rsidR="001516B2" w:rsidRPr="00C21CC7">
        <w:rPr>
          <w:rFonts w:ascii="Palatino Linotype" w:hAnsi="Palatino Linotype" w:cs="Arial"/>
          <w:sz w:val="22"/>
          <w:szCs w:val="22"/>
        </w:rPr>
        <w:t>dos</w:t>
      </w:r>
      <w:r w:rsidRPr="00C21CC7">
        <w:rPr>
          <w:rFonts w:ascii="Palatino Linotype" w:hAnsi="Palatino Linotype" w:cs="Arial"/>
          <w:sz w:val="22"/>
          <w:szCs w:val="22"/>
        </w:rPr>
        <w:t xml:space="preserve"> fojas consistente en los siguientes instrumentos:</w:t>
      </w:r>
    </w:p>
    <w:p w14:paraId="05A2717A" w14:textId="328447D5" w:rsidR="00241A2F" w:rsidRPr="00C21CC7" w:rsidRDefault="00241A2F" w:rsidP="00A07B69">
      <w:pPr>
        <w:pStyle w:val="Prrafodelista"/>
        <w:numPr>
          <w:ilvl w:val="1"/>
          <w:numId w:val="12"/>
        </w:numPr>
        <w:spacing w:line="360" w:lineRule="auto"/>
        <w:ind w:left="851" w:right="907"/>
        <w:contextualSpacing w:val="0"/>
        <w:jc w:val="both"/>
        <w:rPr>
          <w:rFonts w:ascii="Palatino Linotype" w:hAnsi="Palatino Linotype" w:cs="Arial"/>
          <w:sz w:val="22"/>
          <w:szCs w:val="22"/>
        </w:rPr>
      </w:pPr>
      <w:r w:rsidRPr="00C21CC7">
        <w:rPr>
          <w:rFonts w:ascii="Palatino Linotype" w:hAnsi="Palatino Linotype" w:cs="Arial"/>
          <w:sz w:val="22"/>
          <w:szCs w:val="22"/>
        </w:rPr>
        <w:t>Oficio número DA/1</w:t>
      </w:r>
      <w:r w:rsidR="00A8247A" w:rsidRPr="00C21CC7">
        <w:rPr>
          <w:rFonts w:ascii="Palatino Linotype" w:hAnsi="Palatino Linotype" w:cs="Arial"/>
          <w:sz w:val="22"/>
          <w:szCs w:val="22"/>
        </w:rPr>
        <w:t>595</w:t>
      </w:r>
      <w:r w:rsidRPr="00C21CC7">
        <w:rPr>
          <w:rFonts w:ascii="Palatino Linotype" w:hAnsi="Palatino Linotype" w:cs="Arial"/>
          <w:sz w:val="22"/>
          <w:szCs w:val="22"/>
        </w:rPr>
        <w:t xml:space="preserve">/2022, de </w:t>
      </w:r>
      <w:r w:rsidR="001516B2" w:rsidRPr="00C21CC7">
        <w:rPr>
          <w:rFonts w:ascii="Palatino Linotype" w:hAnsi="Palatino Linotype" w:cs="Arial"/>
          <w:sz w:val="22"/>
          <w:szCs w:val="22"/>
        </w:rPr>
        <w:t>veintinueve (29</w:t>
      </w:r>
      <w:r w:rsidRPr="00C21CC7">
        <w:rPr>
          <w:rFonts w:ascii="Palatino Linotype" w:hAnsi="Palatino Linotype" w:cs="Arial"/>
          <w:sz w:val="22"/>
          <w:szCs w:val="22"/>
        </w:rPr>
        <w:t xml:space="preserve">) de </w:t>
      </w:r>
      <w:r w:rsidR="001516B2" w:rsidRPr="00C21CC7">
        <w:rPr>
          <w:rFonts w:ascii="Palatino Linotype" w:hAnsi="Palatino Linotype" w:cs="Arial"/>
          <w:sz w:val="22"/>
          <w:szCs w:val="22"/>
        </w:rPr>
        <w:t>julio</w:t>
      </w:r>
      <w:r w:rsidRPr="00C21CC7">
        <w:rPr>
          <w:rFonts w:ascii="Palatino Linotype" w:hAnsi="Palatino Linotype" w:cs="Arial"/>
          <w:sz w:val="22"/>
          <w:szCs w:val="22"/>
        </w:rPr>
        <w:t xml:space="preserve"> de dos mil veintidós, emitido por la Directora de Administración, y dirigido al Titular de la Unidad de Transparencia, por el que manifiesta adjuntar el oficio de respuesta de la Subdirección de Adquisiciones y Recursos Materiales.</w:t>
      </w:r>
    </w:p>
    <w:p w14:paraId="5F0711F5" w14:textId="7F765630" w:rsidR="0080187E" w:rsidRPr="00C21CC7" w:rsidRDefault="00A8247A" w:rsidP="00A07B69">
      <w:pPr>
        <w:pStyle w:val="Prrafodelista"/>
        <w:numPr>
          <w:ilvl w:val="1"/>
          <w:numId w:val="12"/>
        </w:numPr>
        <w:spacing w:line="360" w:lineRule="auto"/>
        <w:ind w:left="851" w:right="907"/>
        <w:contextualSpacing w:val="0"/>
        <w:jc w:val="both"/>
        <w:rPr>
          <w:rFonts w:ascii="Palatino Linotype" w:hAnsi="Palatino Linotype" w:cs="Arial"/>
          <w:sz w:val="22"/>
          <w:szCs w:val="22"/>
        </w:rPr>
      </w:pPr>
      <w:r w:rsidRPr="00C21CC7">
        <w:rPr>
          <w:rFonts w:ascii="Palatino Linotype" w:hAnsi="Palatino Linotype" w:cs="Arial"/>
          <w:sz w:val="22"/>
          <w:szCs w:val="22"/>
        </w:rPr>
        <w:lastRenderedPageBreak/>
        <w:t>Oficio número SRM/ACO/187</w:t>
      </w:r>
      <w:r w:rsidR="00241A2F" w:rsidRPr="00C21CC7">
        <w:rPr>
          <w:rFonts w:ascii="Palatino Linotype" w:hAnsi="Palatino Linotype" w:cs="Arial"/>
          <w:sz w:val="22"/>
          <w:szCs w:val="22"/>
        </w:rPr>
        <w:t xml:space="preserve">/2022, de </w:t>
      </w:r>
      <w:r w:rsidRPr="00C21CC7">
        <w:rPr>
          <w:rFonts w:ascii="Palatino Linotype" w:hAnsi="Palatino Linotype" w:cs="Arial"/>
          <w:sz w:val="22"/>
          <w:szCs w:val="22"/>
        </w:rPr>
        <w:t>once (11</w:t>
      </w:r>
      <w:r w:rsidR="00241A2F" w:rsidRPr="00C21CC7">
        <w:rPr>
          <w:rFonts w:ascii="Palatino Linotype" w:hAnsi="Palatino Linotype" w:cs="Arial"/>
          <w:sz w:val="22"/>
          <w:szCs w:val="22"/>
        </w:rPr>
        <w:t xml:space="preserve">) de </w:t>
      </w:r>
      <w:r w:rsidRPr="00C21CC7">
        <w:rPr>
          <w:rFonts w:ascii="Palatino Linotype" w:hAnsi="Palatino Linotype" w:cs="Arial"/>
          <w:sz w:val="22"/>
          <w:szCs w:val="22"/>
        </w:rPr>
        <w:t>julio</w:t>
      </w:r>
      <w:r w:rsidR="00241A2F" w:rsidRPr="00C21CC7">
        <w:rPr>
          <w:rFonts w:ascii="Palatino Linotype" w:hAnsi="Palatino Linotype" w:cs="Arial"/>
          <w:sz w:val="22"/>
          <w:szCs w:val="22"/>
        </w:rPr>
        <w:t xml:space="preserve"> de dos mil veintidós, emitido por el Subdirector de Recursos Materiales, y dirigido a la Directora de </w:t>
      </w:r>
      <w:r w:rsidR="00071543" w:rsidRPr="00C21CC7">
        <w:rPr>
          <w:rFonts w:ascii="Palatino Linotype" w:hAnsi="Palatino Linotype" w:cs="Arial"/>
          <w:sz w:val="22"/>
          <w:szCs w:val="22"/>
        </w:rPr>
        <w:t>Administración</w:t>
      </w:r>
      <w:r w:rsidR="00241A2F" w:rsidRPr="00C21CC7">
        <w:rPr>
          <w:rFonts w:ascii="Palatino Linotype" w:hAnsi="Palatino Linotype" w:cs="Arial"/>
          <w:sz w:val="22"/>
          <w:szCs w:val="22"/>
        </w:rPr>
        <w:t xml:space="preserve"> </w:t>
      </w:r>
      <w:r w:rsidR="00071543" w:rsidRPr="00C21CC7">
        <w:rPr>
          <w:rFonts w:ascii="Palatino Linotype" w:hAnsi="Palatino Linotype" w:cs="Arial"/>
          <w:sz w:val="22"/>
          <w:szCs w:val="22"/>
        </w:rPr>
        <w:t xml:space="preserve">por </w:t>
      </w:r>
      <w:r w:rsidR="002568FB" w:rsidRPr="00C21CC7">
        <w:rPr>
          <w:rFonts w:ascii="Palatino Linotype" w:hAnsi="Palatino Linotype" w:cs="Arial"/>
          <w:sz w:val="22"/>
          <w:szCs w:val="22"/>
        </w:rPr>
        <w:t xml:space="preserve">el que informa que actualmente no se cuenta con un contrato </w:t>
      </w:r>
      <w:r w:rsidR="0080187E" w:rsidRPr="00C21CC7">
        <w:rPr>
          <w:rFonts w:ascii="Palatino Linotype" w:hAnsi="Palatino Linotype" w:cs="Arial"/>
          <w:sz w:val="22"/>
          <w:szCs w:val="22"/>
        </w:rPr>
        <w:t>por medio del cual se haya llevado a cabo el diseño de la aplicación “Coacalco Seguro” (Sic).</w:t>
      </w:r>
    </w:p>
    <w:p w14:paraId="494BEE2B" w14:textId="77777777" w:rsidR="00A07B69" w:rsidRPr="00C21CC7" w:rsidRDefault="00A07B69" w:rsidP="00A07B69">
      <w:pPr>
        <w:spacing w:line="360" w:lineRule="auto"/>
        <w:jc w:val="both"/>
        <w:rPr>
          <w:rFonts w:ascii="Palatino Linotype" w:hAnsi="Palatino Linotype" w:cs="Arial"/>
        </w:rPr>
      </w:pPr>
    </w:p>
    <w:p w14:paraId="6BBF7209" w14:textId="303B4827" w:rsidR="00A07B69" w:rsidRPr="00C21CC7" w:rsidRDefault="00A07B69" w:rsidP="00A07B69">
      <w:pPr>
        <w:tabs>
          <w:tab w:val="left" w:pos="426"/>
        </w:tabs>
        <w:spacing w:line="360" w:lineRule="auto"/>
        <w:ind w:right="907"/>
        <w:jc w:val="both"/>
        <w:rPr>
          <w:rFonts w:ascii="Palatino Linotype" w:eastAsia="Times New Roman" w:hAnsi="Palatino Linotype" w:cs="Arial"/>
          <w:color w:val="000000" w:themeColor="text1"/>
        </w:rPr>
      </w:pPr>
      <w:r w:rsidRPr="00C21CC7">
        <w:rPr>
          <w:rFonts w:ascii="Palatino Linotype" w:hAnsi="Palatino Linotype" w:cs="Arial"/>
        </w:rPr>
        <w:t xml:space="preserve">Inconforme por la respuesta </w:t>
      </w:r>
      <w:r w:rsidRPr="00C21CC7">
        <w:rPr>
          <w:rFonts w:ascii="Palatino Linotype" w:hAnsi="Palatino Linotype" w:cs="Arial"/>
          <w:b/>
          <w:bCs/>
        </w:rPr>
        <w:t xml:space="preserve">EL RECURRENTE </w:t>
      </w:r>
      <w:r w:rsidRPr="00C21CC7">
        <w:rPr>
          <w:rFonts w:ascii="Palatino Linotype" w:hAnsi="Palatino Linotype" w:cs="Arial"/>
        </w:rPr>
        <w:t xml:space="preserve">interpuso el presente Recurso de Revisión que nos ocupan, realizando los siguientes </w:t>
      </w:r>
      <w:r w:rsidRPr="00C21CC7">
        <w:rPr>
          <w:rFonts w:ascii="Palatino Linotype" w:hAnsi="Palatino Linotype" w:cs="Arial"/>
          <w:b/>
          <w:bCs/>
        </w:rPr>
        <w:t>agravios</w:t>
      </w:r>
      <w:r w:rsidRPr="00C21CC7">
        <w:rPr>
          <w:rFonts w:ascii="Palatino Linotype" w:hAnsi="Palatino Linotype" w:cs="Arial"/>
        </w:rPr>
        <w:t xml:space="preserve">, en el </w:t>
      </w:r>
      <w:r w:rsidRPr="00C21CC7">
        <w:rPr>
          <w:rFonts w:ascii="Palatino Linotype" w:hAnsi="Palatino Linotype" w:cs="Arial"/>
          <w:b/>
          <w:bCs/>
        </w:rPr>
        <w:t xml:space="preserve">Acto impugnado: </w:t>
      </w:r>
      <w:r w:rsidRPr="00C21CC7">
        <w:rPr>
          <w:rFonts w:ascii="Palatino Linotype" w:eastAsia="Times New Roman" w:hAnsi="Palatino Linotype" w:cs="Arial"/>
          <w:color w:val="000000" w:themeColor="text1"/>
          <w:lang w:val="es-ES"/>
        </w:rPr>
        <w:t>“</w:t>
      </w:r>
      <w:r w:rsidRPr="00C21CC7">
        <w:rPr>
          <w:rFonts w:ascii="Palatino Linotype" w:eastAsia="Times New Roman" w:hAnsi="Palatino Linotype" w:cs="Arial"/>
          <w:i/>
          <w:color w:val="000000" w:themeColor="text1"/>
        </w:rPr>
        <w:t>LA NEGATIVA A ENTREGAR LA INFORMACION SOLICITADA</w:t>
      </w:r>
      <w:r w:rsidRPr="00C21CC7">
        <w:rPr>
          <w:rFonts w:ascii="Palatino Linotype" w:eastAsia="Times New Roman" w:hAnsi="Palatino Linotype" w:cs="Arial"/>
          <w:i/>
          <w:color w:val="000000" w:themeColor="text1"/>
          <w:lang w:val="es-ES"/>
        </w:rPr>
        <w:t>”</w:t>
      </w:r>
      <w:r w:rsidRPr="00C21CC7">
        <w:rPr>
          <w:rFonts w:ascii="Palatino Linotype" w:eastAsia="Times New Roman" w:hAnsi="Palatino Linotype" w:cs="Arial"/>
          <w:color w:val="000000" w:themeColor="text1"/>
          <w:lang w:val="es-ES"/>
        </w:rPr>
        <w:t xml:space="preserve"> (Sic), </w:t>
      </w:r>
      <w:r w:rsidRPr="00C21CC7">
        <w:rPr>
          <w:rFonts w:ascii="Palatino Linotype" w:hAnsi="Palatino Linotype" w:cs="Arial"/>
          <w:iCs/>
        </w:rPr>
        <w:t xml:space="preserve">así como en las </w:t>
      </w:r>
      <w:r w:rsidRPr="00C21CC7">
        <w:rPr>
          <w:rFonts w:ascii="Palatino Linotype" w:hAnsi="Palatino Linotype" w:cs="Arial"/>
          <w:b/>
          <w:bCs/>
        </w:rPr>
        <w:t xml:space="preserve">Razones o motivos de inconformidad medularmente menciona: </w:t>
      </w:r>
      <w:r w:rsidRPr="00C21CC7">
        <w:rPr>
          <w:rFonts w:ascii="Palatino Linotype" w:eastAsia="Times New Roman" w:hAnsi="Palatino Linotype" w:cs="Arial"/>
          <w:i/>
          <w:color w:val="000000" w:themeColor="text1"/>
          <w:lang w:val="es-ES"/>
        </w:rPr>
        <w:t>“</w:t>
      </w:r>
      <w:r w:rsidRPr="00C21CC7">
        <w:rPr>
          <w:rFonts w:ascii="Palatino Linotype" w:eastAsia="Times New Roman" w:hAnsi="Palatino Linotype" w:cs="Arial"/>
          <w:i/>
          <w:color w:val="000000" w:themeColor="text1"/>
        </w:rPr>
        <w:t>QUE AMABLES AL DARME LOS DATOS DEL CONTRATO Y SU PROCESO DE LICITACIÓN, CUANDO LES CONVIENE GENERAN UN DOCUMENTO ADOC PARA DAR LA RESPUESTA, CUANDO NO LES CONVIENE DICEN QUE NO TIENEN LA OBLIGACIÓN DE GENERAR UN DOCUMENTO, PERO LO ESPECTACULAR ES QUE NO OCULTARAN EL CONTRATO Y LO ADJUNTARAN A SU RESPUESTA.”</w:t>
      </w:r>
      <w:r w:rsidRPr="00C21CC7">
        <w:rPr>
          <w:rFonts w:ascii="Palatino Linotype" w:eastAsia="Times New Roman" w:hAnsi="Palatino Linotype" w:cs="Arial"/>
          <w:color w:val="000000" w:themeColor="text1"/>
        </w:rPr>
        <w:t xml:space="preserve"> (Sic). </w:t>
      </w:r>
    </w:p>
    <w:p w14:paraId="7B4564DC" w14:textId="77777777" w:rsidR="00A07B69" w:rsidRPr="00C21CC7" w:rsidRDefault="00A07B69" w:rsidP="00A07B69">
      <w:pPr>
        <w:tabs>
          <w:tab w:val="left" w:pos="426"/>
        </w:tabs>
        <w:spacing w:line="360" w:lineRule="auto"/>
        <w:ind w:right="907"/>
        <w:jc w:val="both"/>
        <w:rPr>
          <w:rFonts w:ascii="Palatino Linotype" w:eastAsia="Times New Roman" w:hAnsi="Palatino Linotype" w:cs="Arial"/>
          <w:color w:val="000000" w:themeColor="text1"/>
        </w:rPr>
      </w:pPr>
    </w:p>
    <w:p w14:paraId="4477AE27" w14:textId="4C946F2A" w:rsidR="00A07B69" w:rsidRPr="00C21CC7" w:rsidRDefault="00A07B69" w:rsidP="00A07B69">
      <w:pPr>
        <w:tabs>
          <w:tab w:val="center" w:pos="4252"/>
          <w:tab w:val="right" w:pos="8504"/>
        </w:tabs>
        <w:spacing w:line="360" w:lineRule="auto"/>
        <w:jc w:val="both"/>
        <w:rPr>
          <w:rFonts w:ascii="Palatino Linotype" w:hAnsi="Palatino Linotype"/>
          <w:lang w:val="es-ES_tradnl"/>
        </w:rPr>
      </w:pPr>
      <w:r w:rsidRPr="00C21CC7">
        <w:rPr>
          <w:rFonts w:ascii="Palatino Linotype" w:hAnsi="Palatino Linotype" w:cs="Arial"/>
        </w:rPr>
        <w:t xml:space="preserve">Abierta la etapa de manifestaciones, el particular no realizo </w:t>
      </w:r>
      <w:r w:rsidRPr="00C21CC7">
        <w:rPr>
          <w:rFonts w:ascii="Palatino Linotype" w:hAnsi="Palatino Linotype"/>
          <w:lang w:val="es-419"/>
        </w:rPr>
        <w:t>manifestaciones, así como tampoco ofreció pruebas o alegatos</w:t>
      </w:r>
      <w:r w:rsidRPr="00C21CC7">
        <w:rPr>
          <w:rFonts w:ascii="Palatino Linotype" w:hAnsi="Palatino Linotype"/>
          <w:lang w:val="es-ES_tradnl"/>
        </w:rPr>
        <w:t xml:space="preserve">; por su parte, </w:t>
      </w:r>
      <w:r w:rsidRPr="00C21CC7">
        <w:rPr>
          <w:rFonts w:ascii="Palatino Linotype" w:hAnsi="Palatino Linotype"/>
          <w:b/>
          <w:bCs/>
          <w:sz w:val="22"/>
          <w:szCs w:val="22"/>
        </w:rPr>
        <w:t xml:space="preserve">EL SUJETO OBLIGADO </w:t>
      </w:r>
      <w:r w:rsidRPr="00C21CC7">
        <w:rPr>
          <w:rFonts w:ascii="Palatino Linotype" w:hAnsi="Palatino Linotype"/>
          <w:lang w:val="es-ES_tradnl"/>
        </w:rPr>
        <w:t>rindió Informe Justificado, en el cual de manera detallada se precisan tal y como se precisa a continuación:</w:t>
      </w:r>
    </w:p>
    <w:p w14:paraId="56AAB963" w14:textId="77777777" w:rsidR="00A07B69" w:rsidRPr="00C21CC7" w:rsidRDefault="00A07B69" w:rsidP="00A07B69">
      <w:pPr>
        <w:pStyle w:val="Prrafodelista"/>
        <w:tabs>
          <w:tab w:val="left" w:pos="426"/>
        </w:tabs>
        <w:spacing w:line="360" w:lineRule="auto"/>
        <w:ind w:left="851" w:right="907"/>
        <w:jc w:val="both"/>
        <w:rPr>
          <w:rFonts w:ascii="Palatino Linotype" w:hAnsi="Palatino Linotype"/>
          <w:color w:val="000000" w:themeColor="text1"/>
          <w:sz w:val="22"/>
          <w:szCs w:val="22"/>
        </w:rPr>
      </w:pPr>
    </w:p>
    <w:p w14:paraId="6E96EE64" w14:textId="77777777" w:rsidR="00A07B69" w:rsidRPr="00C21CC7" w:rsidRDefault="00A07B69" w:rsidP="00A35D56">
      <w:pPr>
        <w:pStyle w:val="Prrafodelista"/>
        <w:tabs>
          <w:tab w:val="left" w:pos="426"/>
        </w:tabs>
        <w:spacing w:line="360" w:lineRule="auto"/>
        <w:ind w:left="851" w:right="907"/>
        <w:jc w:val="both"/>
        <w:rPr>
          <w:rFonts w:ascii="Palatino Linotype" w:eastAsia="Calibri" w:hAnsi="Palatino Linotype" w:cs="Arial"/>
          <w:color w:val="000000" w:themeColor="text1"/>
          <w:sz w:val="22"/>
          <w:szCs w:val="22"/>
          <w:lang w:val="es-ES"/>
        </w:rPr>
      </w:pPr>
      <w:r w:rsidRPr="00C21CC7">
        <w:rPr>
          <w:rFonts w:ascii="Palatino Linotype" w:eastAsia="Calibri" w:hAnsi="Palatino Linotype" w:cs="Arial"/>
          <w:b/>
          <w:i/>
          <w:color w:val="000000" w:themeColor="text1"/>
          <w:sz w:val="22"/>
          <w:szCs w:val="22"/>
          <w:lang w:val="es-ES"/>
        </w:rPr>
        <w:t>“INFORME JUSTIFICADO 13227_2022_0001.pdf”</w:t>
      </w:r>
      <w:r w:rsidRPr="00C21CC7">
        <w:rPr>
          <w:rFonts w:ascii="Palatino Linotype" w:eastAsia="Calibri" w:hAnsi="Palatino Linotype" w:cs="Arial"/>
          <w:color w:val="000000" w:themeColor="text1"/>
          <w:sz w:val="22"/>
          <w:szCs w:val="22"/>
          <w:lang w:val="es-ES"/>
        </w:rPr>
        <w:t xml:space="preserve">: Documento de tres fojas consistente en el Informe Justificado presentado por el Titular de la </w:t>
      </w:r>
      <w:r w:rsidRPr="00C21CC7">
        <w:rPr>
          <w:rFonts w:ascii="Palatino Linotype" w:eastAsia="Calibri" w:hAnsi="Palatino Linotype" w:cs="Arial"/>
          <w:color w:val="000000" w:themeColor="text1"/>
          <w:sz w:val="22"/>
          <w:szCs w:val="22"/>
          <w:lang w:val="es-ES"/>
        </w:rPr>
        <w:lastRenderedPageBreak/>
        <w:t>Unidad de Transparencia, y que por medio del cual, ofrece los alegatos emitidos por la Subdirección de Recursos Materiales contra el recurso de revisión.</w:t>
      </w:r>
    </w:p>
    <w:p w14:paraId="7729F23F" w14:textId="77777777" w:rsidR="00A35D56" w:rsidRPr="00C21CC7" w:rsidRDefault="00A35D56" w:rsidP="00A35D56">
      <w:pPr>
        <w:pStyle w:val="Prrafodelista"/>
        <w:tabs>
          <w:tab w:val="left" w:pos="426"/>
        </w:tabs>
        <w:spacing w:line="360" w:lineRule="auto"/>
        <w:ind w:left="851" w:right="907"/>
        <w:jc w:val="both"/>
        <w:rPr>
          <w:rFonts w:ascii="Palatino Linotype" w:hAnsi="Palatino Linotype"/>
          <w:color w:val="000000" w:themeColor="text1"/>
          <w:sz w:val="22"/>
          <w:szCs w:val="22"/>
        </w:rPr>
      </w:pPr>
    </w:p>
    <w:p w14:paraId="2F4473F5" w14:textId="77777777" w:rsidR="00A07B69" w:rsidRPr="00C21CC7" w:rsidRDefault="00A07B69" w:rsidP="00A35D56">
      <w:pPr>
        <w:pStyle w:val="Prrafodelista"/>
        <w:tabs>
          <w:tab w:val="left" w:pos="426"/>
        </w:tabs>
        <w:spacing w:line="360" w:lineRule="auto"/>
        <w:ind w:left="851" w:right="907"/>
        <w:jc w:val="both"/>
        <w:rPr>
          <w:rFonts w:ascii="Palatino Linotype" w:hAnsi="Palatino Linotype"/>
          <w:color w:val="000000" w:themeColor="text1"/>
          <w:sz w:val="22"/>
          <w:szCs w:val="22"/>
        </w:rPr>
      </w:pPr>
      <w:r w:rsidRPr="00C21CC7">
        <w:rPr>
          <w:rFonts w:ascii="Palatino Linotype" w:eastAsia="Calibri" w:hAnsi="Palatino Linotype" w:cs="Arial"/>
          <w:b/>
          <w:i/>
          <w:color w:val="000000" w:themeColor="text1"/>
          <w:sz w:val="22"/>
          <w:szCs w:val="22"/>
          <w:lang w:val="es-ES"/>
        </w:rPr>
        <w:t>“CONTESTACION ADMON Y RECURMATE RR_13227_2022_0001.pdf”</w:t>
      </w:r>
      <w:r w:rsidRPr="00C21CC7">
        <w:rPr>
          <w:rFonts w:ascii="Palatino Linotype" w:eastAsia="Calibri" w:hAnsi="Palatino Linotype" w:cs="Arial"/>
          <w:color w:val="000000" w:themeColor="text1"/>
          <w:sz w:val="22"/>
          <w:szCs w:val="22"/>
          <w:lang w:val="es-ES"/>
        </w:rPr>
        <w:t>: Archivo de nueve fojas consistente en los siguientes instrumentos:</w:t>
      </w:r>
    </w:p>
    <w:p w14:paraId="70213AC5" w14:textId="77777777" w:rsidR="00A07B69" w:rsidRPr="00C21CC7" w:rsidRDefault="00A07B69" w:rsidP="00A07B69">
      <w:pPr>
        <w:pStyle w:val="Prrafodelista"/>
        <w:numPr>
          <w:ilvl w:val="0"/>
          <w:numId w:val="22"/>
        </w:numPr>
        <w:tabs>
          <w:tab w:val="left" w:pos="426"/>
        </w:tabs>
        <w:spacing w:line="360" w:lineRule="auto"/>
        <w:ind w:left="851" w:right="907"/>
        <w:jc w:val="both"/>
        <w:rPr>
          <w:rFonts w:ascii="Palatino Linotype" w:hAnsi="Palatino Linotype"/>
          <w:color w:val="000000" w:themeColor="text1"/>
          <w:sz w:val="22"/>
          <w:szCs w:val="22"/>
        </w:rPr>
      </w:pPr>
      <w:r w:rsidRPr="00C21CC7">
        <w:rPr>
          <w:rFonts w:ascii="Palatino Linotype" w:eastAsia="Calibri" w:hAnsi="Palatino Linotype" w:cs="Arial"/>
          <w:color w:val="000000" w:themeColor="text1"/>
          <w:sz w:val="22"/>
          <w:szCs w:val="22"/>
          <w:lang w:val="es-ES"/>
        </w:rPr>
        <w:t>Oficio número DA/1710/2022, de diecisiete (17) de agosto de dos mil veintidós, firmado por la Directora de Administración, y dirigido al titular de la Unidad de Transparencia, por el que adjunta la respuesta de la Subdirección de Adquisiciones y Recursos Materiales.</w:t>
      </w:r>
    </w:p>
    <w:p w14:paraId="45D87D52" w14:textId="77777777" w:rsidR="00A07B69" w:rsidRPr="00C21CC7" w:rsidRDefault="00A07B69" w:rsidP="00A07B69">
      <w:pPr>
        <w:pStyle w:val="Prrafodelista"/>
        <w:numPr>
          <w:ilvl w:val="0"/>
          <w:numId w:val="22"/>
        </w:numPr>
        <w:tabs>
          <w:tab w:val="left" w:pos="426"/>
        </w:tabs>
        <w:spacing w:line="360" w:lineRule="auto"/>
        <w:ind w:left="851" w:right="907"/>
        <w:jc w:val="both"/>
        <w:rPr>
          <w:rFonts w:ascii="Palatino Linotype" w:hAnsi="Palatino Linotype"/>
          <w:color w:val="000000" w:themeColor="text1"/>
          <w:sz w:val="22"/>
          <w:szCs w:val="22"/>
        </w:rPr>
      </w:pPr>
      <w:r w:rsidRPr="00C21CC7">
        <w:rPr>
          <w:rFonts w:ascii="Palatino Linotype" w:eastAsia="Calibri" w:hAnsi="Palatino Linotype" w:cs="Arial"/>
          <w:color w:val="000000" w:themeColor="text1"/>
          <w:sz w:val="22"/>
          <w:szCs w:val="22"/>
          <w:lang w:val="es-ES"/>
        </w:rPr>
        <w:t>Oficio número SRM/ACO/218/2022, de diecisiete (17) de agosto de dos mil veintidós, firmado por el Subdirector de Recursos Materiales, y dirigido a la Directora de Administración, por el que ratifica su respuesta, y ofrece copia del documento del proveedor que llevo a cabo la licencia de la App Coacalco seguro.</w:t>
      </w:r>
    </w:p>
    <w:p w14:paraId="1D4C800B" w14:textId="77777777" w:rsidR="00A07B69" w:rsidRPr="00C21CC7" w:rsidRDefault="00A07B69" w:rsidP="00A07B69">
      <w:pPr>
        <w:pStyle w:val="Prrafodelista"/>
        <w:numPr>
          <w:ilvl w:val="0"/>
          <w:numId w:val="22"/>
        </w:numPr>
        <w:tabs>
          <w:tab w:val="left" w:pos="426"/>
        </w:tabs>
        <w:spacing w:line="360" w:lineRule="auto"/>
        <w:ind w:left="851" w:right="907"/>
        <w:jc w:val="both"/>
        <w:rPr>
          <w:rFonts w:ascii="Palatino Linotype" w:hAnsi="Palatino Linotype"/>
          <w:color w:val="000000" w:themeColor="text1"/>
          <w:sz w:val="22"/>
          <w:szCs w:val="22"/>
        </w:rPr>
      </w:pPr>
      <w:r w:rsidRPr="00C21CC7">
        <w:rPr>
          <w:rFonts w:ascii="Palatino Linotype" w:hAnsi="Palatino Linotype" w:cs="Arial"/>
          <w:sz w:val="22"/>
          <w:szCs w:val="22"/>
        </w:rPr>
        <w:t>Acuerdo de Licencia de usuario final número 0003/COA/01/05/2022/SECURITY-IUBEO/CITY-IUBEO.</w:t>
      </w:r>
    </w:p>
    <w:p w14:paraId="6D4BE04C" w14:textId="77777777" w:rsidR="00A07B69" w:rsidRPr="00C21CC7" w:rsidRDefault="00A07B69" w:rsidP="00A07B69">
      <w:pPr>
        <w:tabs>
          <w:tab w:val="left" w:pos="426"/>
        </w:tabs>
        <w:spacing w:line="360" w:lineRule="auto"/>
        <w:ind w:right="907"/>
        <w:jc w:val="both"/>
        <w:rPr>
          <w:rFonts w:ascii="Palatino Linotype" w:eastAsia="Times New Roman" w:hAnsi="Palatino Linotype" w:cs="Arial"/>
          <w:color w:val="000000" w:themeColor="text1"/>
        </w:rPr>
      </w:pPr>
    </w:p>
    <w:p w14:paraId="59CA5ACC" w14:textId="77777777" w:rsidR="00A07B69" w:rsidRPr="00C21CC7" w:rsidRDefault="00A07B69" w:rsidP="00A07B69">
      <w:pPr>
        <w:suppressAutoHyphens/>
        <w:spacing w:line="360" w:lineRule="auto"/>
        <w:jc w:val="both"/>
        <w:rPr>
          <w:rStyle w:val="normaltextrun"/>
          <w:rFonts w:ascii="Palatino Linotype" w:hAnsi="Palatino Linotype"/>
          <w:color w:val="000000"/>
          <w:shd w:val="clear" w:color="auto" w:fill="FFFFFF"/>
          <w:lang w:val="es-ES"/>
        </w:rPr>
      </w:pPr>
      <w:r w:rsidRPr="00C21CC7">
        <w:rPr>
          <w:rStyle w:val="normaltextrun"/>
          <w:rFonts w:ascii="Palatino Linotype" w:hAnsi="Palatino Linotype"/>
          <w:color w:val="000000"/>
          <w:shd w:val="clear" w:color="auto" w:fill="FFFFFF"/>
          <w:lang w:val="es-ES"/>
        </w:rPr>
        <w:t xml:space="preserve">En ese contexto, este Instituto analizó la totalidad de las constancias que integran el expediente electrónico conformado en el </w:t>
      </w:r>
      <w:r w:rsidRPr="00C21CC7">
        <w:rPr>
          <w:rStyle w:val="normaltextrun"/>
          <w:rFonts w:ascii="Palatino Linotype" w:hAnsi="Palatino Linotype"/>
          <w:b/>
          <w:bCs/>
          <w:color w:val="000000"/>
          <w:shd w:val="clear" w:color="auto" w:fill="FFFFFF"/>
          <w:lang w:val="es-ES"/>
        </w:rPr>
        <w:t>SAIMEX</w:t>
      </w:r>
      <w:r w:rsidRPr="00C21CC7">
        <w:rPr>
          <w:rStyle w:val="normaltextrun"/>
          <w:rFonts w:ascii="Palatino Linotype" w:hAnsi="Palatino Linotype"/>
          <w:color w:val="000000"/>
          <w:shd w:val="clear" w:color="auto" w:fill="FFFFFF"/>
          <w:lang w:val="es-ES"/>
        </w:rPr>
        <w:t xml:space="preserve">, del Recurso de Revisión materia del presente estudio, por lo que, derivado del análisis realizado por este Órgano Garante, se concluye en, </w:t>
      </w:r>
      <w:r w:rsidRPr="00C21CC7">
        <w:rPr>
          <w:rStyle w:val="normaltextrun"/>
          <w:rFonts w:ascii="Palatino Linotype" w:hAnsi="Palatino Linotype"/>
          <w:b/>
          <w:bCs/>
          <w:color w:val="000000"/>
          <w:shd w:val="clear" w:color="auto" w:fill="FFFFFF"/>
          <w:lang w:val="es-ES"/>
        </w:rPr>
        <w:t>MODIFICAR</w:t>
      </w:r>
      <w:r w:rsidRPr="00C21CC7">
        <w:rPr>
          <w:rStyle w:val="normaltextrun"/>
          <w:rFonts w:ascii="Palatino Linotype" w:hAnsi="Palatino Linotype"/>
          <w:color w:val="000000"/>
          <w:shd w:val="clear" w:color="auto" w:fill="FFFFFF"/>
          <w:lang w:val="es-ES"/>
        </w:rPr>
        <w:t xml:space="preserve"> el presente asunto por las siguientes consideraciones de derecho y hecho:</w:t>
      </w:r>
    </w:p>
    <w:p w14:paraId="4ABF92FE" w14:textId="77777777" w:rsidR="006E1791" w:rsidRPr="00C21CC7" w:rsidRDefault="006E1791" w:rsidP="00A07B69">
      <w:pPr>
        <w:suppressAutoHyphens/>
        <w:spacing w:line="360" w:lineRule="auto"/>
        <w:jc w:val="both"/>
        <w:rPr>
          <w:rStyle w:val="normaltextrun"/>
          <w:rFonts w:ascii="Palatino Linotype" w:hAnsi="Palatino Linotype"/>
          <w:color w:val="000000"/>
          <w:shd w:val="clear" w:color="auto" w:fill="FFFFFF"/>
          <w:lang w:val="es-ES"/>
        </w:rPr>
      </w:pPr>
    </w:p>
    <w:p w14:paraId="78E0C51D" w14:textId="0F514F1B" w:rsidR="00204FF8" w:rsidRPr="00C21CC7" w:rsidRDefault="006E1791" w:rsidP="006E1791">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color w:val="000000" w:themeColor="text1"/>
        </w:rPr>
      </w:pPr>
      <w:r w:rsidRPr="00C21CC7">
        <w:rPr>
          <w:rFonts w:ascii="Palatino Linotype" w:hAnsi="Palatino Linotype" w:cs="Arial"/>
        </w:rPr>
        <w:t>De lo anterior, se puede advertir que, s</w:t>
      </w:r>
      <w:r w:rsidRPr="00C21CC7">
        <w:rPr>
          <w:rFonts w:ascii="Palatino Linotype" w:hAnsi="Palatino Linotype" w:cs="Arial"/>
          <w:color w:val="000000" w:themeColor="text1"/>
        </w:rPr>
        <w:t xml:space="preserve">e requirió el contrato para el diseño y </w:t>
      </w:r>
      <w:r w:rsidRPr="00C21CC7">
        <w:rPr>
          <w:rFonts w:ascii="Palatino Linotype" w:hAnsi="Palatino Linotype" w:cs="Arial"/>
          <w:color w:val="000000" w:themeColor="text1"/>
        </w:rPr>
        <w:lastRenderedPageBreak/>
        <w:t xml:space="preserve">operación de la aplicación </w:t>
      </w:r>
      <w:r w:rsidRPr="00C21CC7">
        <w:rPr>
          <w:rFonts w:ascii="Palatino Linotype" w:hAnsi="Palatino Linotype" w:cs="Arial"/>
          <w:i/>
          <w:color w:val="000000" w:themeColor="text1"/>
        </w:rPr>
        <w:t>Coacalco Seguro</w:t>
      </w:r>
      <w:r w:rsidRPr="00C21CC7">
        <w:rPr>
          <w:rFonts w:ascii="Palatino Linotype" w:hAnsi="Palatino Linotype" w:cs="Arial"/>
          <w:color w:val="000000" w:themeColor="text1"/>
        </w:rPr>
        <w:t xml:space="preserve">. El </w:t>
      </w:r>
      <w:r w:rsidRPr="00C21CC7">
        <w:rPr>
          <w:rFonts w:ascii="Palatino Linotype" w:hAnsi="Palatino Linotype" w:cs="Arial"/>
          <w:b/>
          <w:bCs/>
          <w:color w:val="000000" w:themeColor="text1"/>
        </w:rPr>
        <w:t>SUJETO OBLIGADO</w:t>
      </w:r>
      <w:r w:rsidRPr="00C21CC7">
        <w:rPr>
          <w:rFonts w:ascii="Palatino Linotype" w:hAnsi="Palatino Linotype" w:cs="Arial"/>
          <w:color w:val="000000" w:themeColor="text1"/>
        </w:rPr>
        <w:t xml:space="preserve"> manifestó que actualmente no se cuenta con un contrato por medio del cual se haya llevado a cabo</w:t>
      </w:r>
      <w:r w:rsidR="00204FF8" w:rsidRPr="00C21CC7">
        <w:rPr>
          <w:rFonts w:ascii="Palatino Linotype" w:hAnsi="Palatino Linotype" w:cs="Arial"/>
          <w:color w:val="000000" w:themeColor="text1"/>
        </w:rPr>
        <w:t xml:space="preserve"> la plataforma para puesta en marcha de la APP MEJORAS DE LA PRESTACIÓN DE LOS SERVICIOS MUNICIPALES, de la cual se desprende el programa “Coacalco Seguro” contrato que se identifica con </w:t>
      </w:r>
      <w:proofErr w:type="gramStart"/>
      <w:r w:rsidR="00204FF8" w:rsidRPr="00C21CC7">
        <w:rPr>
          <w:rFonts w:ascii="Palatino Linotype" w:hAnsi="Palatino Linotype" w:cs="Arial"/>
          <w:color w:val="000000" w:themeColor="text1"/>
        </w:rPr>
        <w:t>la las</w:t>
      </w:r>
      <w:proofErr w:type="gramEnd"/>
      <w:r w:rsidR="00204FF8" w:rsidRPr="00C21CC7">
        <w:rPr>
          <w:rFonts w:ascii="Palatino Linotype" w:hAnsi="Palatino Linotype" w:cs="Arial"/>
          <w:color w:val="000000" w:themeColor="text1"/>
        </w:rPr>
        <w:t xml:space="preserve"> literales MC-CSPYTM-LPNO-FORTAMUNDF-RP-2022, mismo que se desprende del Procedimiento de Licitación Pública Nacional Presencial número MC-CSPYTM-LPNO-FORTAMUNDF-RP-2022.</w:t>
      </w:r>
    </w:p>
    <w:p w14:paraId="2C174B83" w14:textId="6B925DF0" w:rsidR="00555354" w:rsidRPr="00C21CC7" w:rsidRDefault="00204FF8" w:rsidP="00241089">
      <w:pPr>
        <w:pStyle w:val="Prrafodelista"/>
        <w:tabs>
          <w:tab w:val="left" w:pos="426"/>
        </w:tabs>
        <w:spacing w:before="240" w:after="240" w:line="360" w:lineRule="auto"/>
        <w:ind w:left="0" w:right="51"/>
        <w:jc w:val="both"/>
        <w:rPr>
          <w:rFonts w:ascii="Palatino Linotype" w:hAnsi="Palatino Linotype"/>
          <w:color w:val="000000" w:themeColor="text1"/>
        </w:rPr>
      </w:pPr>
      <w:r w:rsidRPr="00C21CC7">
        <w:rPr>
          <w:rFonts w:ascii="Palatino Linotype" w:hAnsi="Palatino Linotype"/>
          <w:color w:val="000000" w:themeColor="text1"/>
        </w:rPr>
        <w:t xml:space="preserve">Ante la respuesta del </w:t>
      </w:r>
      <w:r w:rsidRPr="00C21CC7">
        <w:rPr>
          <w:rFonts w:ascii="Palatino Linotype" w:hAnsi="Palatino Linotype"/>
          <w:b/>
          <w:color w:val="000000" w:themeColor="text1"/>
        </w:rPr>
        <w:t>SUJETO OBLIGADO</w:t>
      </w:r>
      <w:r w:rsidR="00555354" w:rsidRPr="00C21CC7">
        <w:rPr>
          <w:rFonts w:ascii="Palatino Linotype" w:hAnsi="Palatino Linotype"/>
          <w:color w:val="000000" w:themeColor="text1"/>
        </w:rPr>
        <w:t xml:space="preserve">, el </w:t>
      </w:r>
      <w:r w:rsidR="00555354" w:rsidRPr="00C21CC7">
        <w:rPr>
          <w:rFonts w:ascii="Palatino Linotype" w:hAnsi="Palatino Linotype"/>
          <w:b/>
          <w:color w:val="000000" w:themeColor="text1"/>
        </w:rPr>
        <w:t>RECURRENTE</w:t>
      </w:r>
      <w:r w:rsidR="00555354" w:rsidRPr="00C21CC7">
        <w:rPr>
          <w:rFonts w:ascii="Palatino Linotype" w:hAnsi="Palatino Linotype"/>
          <w:color w:val="000000" w:themeColor="text1"/>
        </w:rPr>
        <w:t xml:space="preserve"> promovió el recurso de revisión con número al rubro indicado, en contra de la respuesta del </w:t>
      </w:r>
      <w:r w:rsidR="00555354" w:rsidRPr="00C21CC7">
        <w:rPr>
          <w:rFonts w:ascii="Palatino Linotype" w:hAnsi="Palatino Linotype"/>
          <w:b/>
          <w:color w:val="000000" w:themeColor="text1"/>
        </w:rPr>
        <w:t>SUJETO OBLIGADO</w:t>
      </w:r>
      <w:r w:rsidR="00555354" w:rsidRPr="00C21CC7">
        <w:rPr>
          <w:rFonts w:ascii="Palatino Linotype" w:hAnsi="Palatino Linotype"/>
          <w:color w:val="000000" w:themeColor="text1"/>
        </w:rPr>
        <w:t>, y en el que señaló por agravios, lo siguiente:</w:t>
      </w:r>
    </w:p>
    <w:p w14:paraId="1F3F45BD" w14:textId="77777777" w:rsidR="00A35D56" w:rsidRPr="00C21CC7" w:rsidRDefault="00A35D56" w:rsidP="00241089">
      <w:pPr>
        <w:pStyle w:val="Prrafodelista"/>
        <w:tabs>
          <w:tab w:val="left" w:pos="426"/>
        </w:tabs>
        <w:spacing w:before="240" w:after="240" w:line="360" w:lineRule="auto"/>
        <w:ind w:left="0" w:right="51"/>
        <w:jc w:val="both"/>
        <w:rPr>
          <w:rFonts w:ascii="Palatino Linotype" w:hAnsi="Palatino Linotype"/>
          <w:color w:val="000000" w:themeColor="text1"/>
        </w:rPr>
      </w:pPr>
    </w:p>
    <w:p w14:paraId="14B8B21D" w14:textId="77777777" w:rsidR="00555354" w:rsidRPr="00C21CC7" w:rsidRDefault="00555354" w:rsidP="00555354">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C21CC7">
        <w:rPr>
          <w:rFonts w:ascii="Palatino Linotype" w:hAnsi="Palatino Linotype"/>
          <w:color w:val="000000" w:themeColor="text1"/>
        </w:rPr>
        <w:t>La negativa a entregar la información solicitada.</w:t>
      </w:r>
    </w:p>
    <w:p w14:paraId="0C95CDFE" w14:textId="77777777" w:rsidR="00555354" w:rsidRPr="00C21CC7" w:rsidRDefault="00555354" w:rsidP="00555354">
      <w:pPr>
        <w:pStyle w:val="Prrafodelista"/>
        <w:tabs>
          <w:tab w:val="left" w:pos="426"/>
        </w:tabs>
        <w:spacing w:before="240" w:after="240" w:line="360" w:lineRule="auto"/>
        <w:ind w:left="993" w:right="51"/>
        <w:jc w:val="both"/>
        <w:rPr>
          <w:rFonts w:ascii="Palatino Linotype" w:hAnsi="Palatino Linotype"/>
          <w:color w:val="000000" w:themeColor="text1"/>
        </w:rPr>
      </w:pPr>
    </w:p>
    <w:p w14:paraId="6A0C3960" w14:textId="77777777" w:rsidR="00555354" w:rsidRPr="00C21CC7" w:rsidRDefault="00555354" w:rsidP="00241089">
      <w:pPr>
        <w:pStyle w:val="Prrafodelista"/>
        <w:tabs>
          <w:tab w:val="left" w:pos="426"/>
        </w:tabs>
        <w:spacing w:before="240" w:after="240" w:line="360" w:lineRule="auto"/>
        <w:ind w:left="0" w:right="51"/>
        <w:jc w:val="both"/>
        <w:rPr>
          <w:rFonts w:ascii="Palatino Linotype" w:hAnsi="Palatino Linotype"/>
          <w:color w:val="000000" w:themeColor="text1"/>
        </w:rPr>
      </w:pPr>
      <w:r w:rsidRPr="00C21CC7">
        <w:rPr>
          <w:rFonts w:ascii="Palatino Linotype" w:hAnsi="Palatino Linotype"/>
          <w:color w:val="000000" w:themeColor="text1"/>
        </w:rPr>
        <w:t xml:space="preserve">En razón de lo anterior, el estudio del presente asuntó versará en analizar las constancias que obran dentro del expediente digital formado en el SAIMEX, con el objeto de determinar si, con su respuesta, el </w:t>
      </w:r>
      <w:r w:rsidRPr="00C21CC7">
        <w:rPr>
          <w:rFonts w:ascii="Palatino Linotype" w:hAnsi="Palatino Linotype"/>
          <w:b/>
          <w:color w:val="000000" w:themeColor="text1"/>
        </w:rPr>
        <w:t>SUJETO OBLIGADO</w:t>
      </w:r>
      <w:r w:rsidRPr="00C21CC7">
        <w:rPr>
          <w:rFonts w:ascii="Palatino Linotype" w:hAnsi="Palatino Linotype"/>
          <w:color w:val="000000" w:themeColor="text1"/>
        </w:rPr>
        <w:t xml:space="preserve"> colmó el derecho de acceso a la información o, </w:t>
      </w:r>
      <w:proofErr w:type="gramStart"/>
      <w:r w:rsidRPr="00C21CC7">
        <w:rPr>
          <w:rFonts w:ascii="Palatino Linotype" w:hAnsi="Palatino Linotype"/>
          <w:color w:val="000000" w:themeColor="text1"/>
        </w:rPr>
        <w:t>si</w:t>
      </w:r>
      <w:proofErr w:type="gramEnd"/>
      <w:r w:rsidRPr="00C21CC7">
        <w:rPr>
          <w:rFonts w:ascii="Palatino Linotype" w:hAnsi="Palatino Linotype"/>
          <w:color w:val="000000" w:themeColor="text1"/>
        </w:rPr>
        <w:t xml:space="preserve"> por el contrario, procede la entrega de información.</w:t>
      </w:r>
    </w:p>
    <w:p w14:paraId="75B65239" w14:textId="77777777" w:rsidR="00555354" w:rsidRPr="00C21CC7" w:rsidRDefault="00555354" w:rsidP="00555354">
      <w:pPr>
        <w:pStyle w:val="Prrafodelista"/>
        <w:tabs>
          <w:tab w:val="left" w:pos="426"/>
        </w:tabs>
        <w:spacing w:before="240" w:after="240" w:line="360" w:lineRule="auto"/>
        <w:ind w:left="0" w:right="51"/>
        <w:jc w:val="both"/>
        <w:rPr>
          <w:rFonts w:ascii="Palatino Linotype" w:hAnsi="Palatino Linotype"/>
          <w:color w:val="000000" w:themeColor="text1"/>
        </w:rPr>
      </w:pPr>
    </w:p>
    <w:p w14:paraId="6E7D4BD7" w14:textId="77777777" w:rsidR="00555354" w:rsidRPr="00C21CC7" w:rsidRDefault="00555354" w:rsidP="00241089">
      <w:pPr>
        <w:pStyle w:val="Prrafodelista"/>
        <w:tabs>
          <w:tab w:val="left" w:pos="426"/>
        </w:tabs>
        <w:spacing w:before="240" w:after="240" w:line="360" w:lineRule="auto"/>
        <w:ind w:left="0" w:right="51"/>
        <w:jc w:val="both"/>
        <w:rPr>
          <w:rFonts w:ascii="Palatino Linotype" w:hAnsi="Palatino Linotype"/>
          <w:color w:val="000000" w:themeColor="text1"/>
        </w:rPr>
      </w:pPr>
      <w:r w:rsidRPr="00C21CC7">
        <w:rPr>
          <w:rFonts w:ascii="Palatino Linotype" w:hAnsi="Palatino Linotype"/>
          <w:color w:val="000000" w:themeColor="text1"/>
        </w:rPr>
        <w:t xml:space="preserve">El artículo 115 de la Constitución Política de los Estados Unidos Mexicanos, en su fracción II, establece que los municipios estarán investidos de personalidad jurídica y manejarán su patrimonio conforme a la ley; derivado de lo anterior, tendrán facultades para aprobar, de acuerdo con las leyes en materia municipal, los bandos de policía y gobierno, los reglamentos, circulares y disposiciones administrativas de </w:t>
      </w:r>
      <w:r w:rsidRPr="00C21CC7">
        <w:rPr>
          <w:rFonts w:ascii="Palatino Linotype" w:hAnsi="Palatino Linotype"/>
          <w:color w:val="000000" w:themeColor="text1"/>
        </w:rPr>
        <w:lastRenderedPageBreak/>
        <w:t xml:space="preserve">observancia general dentro de sus respectivas jurisdicciones, que organicen </w:t>
      </w:r>
      <w:r w:rsidRPr="00C21CC7">
        <w:rPr>
          <w:rFonts w:ascii="Palatino Linotype" w:hAnsi="Palatino Linotype"/>
          <w:b/>
          <w:color w:val="000000" w:themeColor="text1"/>
        </w:rPr>
        <w:t>la administración pública municipal, regulen las materias, procedimientos, funciones y servicios públicos de su competencia y aseguren la participación ciudadana y vecinal</w:t>
      </w:r>
      <w:r w:rsidRPr="00C21CC7">
        <w:rPr>
          <w:rFonts w:ascii="Palatino Linotype" w:hAnsi="Palatino Linotype"/>
          <w:color w:val="000000" w:themeColor="text1"/>
        </w:rPr>
        <w:t>.</w:t>
      </w:r>
    </w:p>
    <w:p w14:paraId="57D3701D" w14:textId="77777777" w:rsidR="00555354" w:rsidRPr="00C21CC7" w:rsidRDefault="00555354" w:rsidP="00555354">
      <w:pPr>
        <w:pStyle w:val="Prrafodelista"/>
        <w:tabs>
          <w:tab w:val="left" w:pos="426"/>
        </w:tabs>
        <w:spacing w:before="240" w:after="240" w:line="360" w:lineRule="auto"/>
        <w:ind w:left="0" w:right="51"/>
        <w:jc w:val="both"/>
        <w:rPr>
          <w:rFonts w:ascii="Palatino Linotype" w:hAnsi="Palatino Linotype"/>
          <w:color w:val="000000" w:themeColor="text1"/>
        </w:rPr>
      </w:pPr>
    </w:p>
    <w:p w14:paraId="6580EFDC" w14:textId="77777777" w:rsidR="00555354" w:rsidRPr="00C21CC7" w:rsidRDefault="00555354" w:rsidP="00241089">
      <w:pPr>
        <w:pStyle w:val="Prrafodelista"/>
        <w:tabs>
          <w:tab w:val="left" w:pos="426"/>
        </w:tabs>
        <w:spacing w:before="240" w:after="240" w:line="360" w:lineRule="auto"/>
        <w:ind w:left="0" w:right="51"/>
        <w:jc w:val="both"/>
        <w:rPr>
          <w:rFonts w:ascii="Palatino Linotype" w:hAnsi="Palatino Linotype"/>
          <w:color w:val="000000" w:themeColor="text1"/>
        </w:rPr>
      </w:pPr>
      <w:r w:rsidRPr="00C21CC7">
        <w:rPr>
          <w:rFonts w:ascii="Palatino Linotype" w:hAnsi="Palatino Linotype"/>
          <w:color w:val="000000" w:themeColor="text1"/>
        </w:rPr>
        <w:t>Por su parte, la fracción III del dispositivo constitucional antes señalado establece que los municipios tendrán a su cargo las funciones y servicios públicos siguientes:</w:t>
      </w:r>
    </w:p>
    <w:p w14:paraId="59631809" w14:textId="77777777" w:rsidR="00A35D56" w:rsidRPr="00C21CC7" w:rsidRDefault="00A35D56" w:rsidP="00241089">
      <w:pPr>
        <w:pStyle w:val="Prrafodelista"/>
        <w:tabs>
          <w:tab w:val="left" w:pos="426"/>
        </w:tabs>
        <w:spacing w:before="240" w:after="240" w:line="360" w:lineRule="auto"/>
        <w:ind w:left="0" w:right="51"/>
        <w:jc w:val="both"/>
        <w:rPr>
          <w:rFonts w:ascii="Palatino Linotype" w:hAnsi="Palatino Linotype"/>
          <w:color w:val="000000" w:themeColor="text1"/>
        </w:rPr>
      </w:pPr>
    </w:p>
    <w:p w14:paraId="1E7EB745" w14:textId="77777777" w:rsidR="00555354" w:rsidRPr="00C21CC7" w:rsidRDefault="00555354" w:rsidP="00555354">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C21CC7">
        <w:rPr>
          <w:rFonts w:ascii="Palatino Linotype" w:hAnsi="Palatino Linotype"/>
          <w:color w:val="000000" w:themeColor="text1"/>
        </w:rPr>
        <w:t xml:space="preserve">Agua potable, drenaje, alcantarillado, tratamiento y disposición de sus aguas residuales; </w:t>
      </w:r>
    </w:p>
    <w:p w14:paraId="7E499E91" w14:textId="77777777" w:rsidR="00555354" w:rsidRPr="00C21CC7" w:rsidRDefault="00555354" w:rsidP="00555354">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C21CC7">
        <w:rPr>
          <w:rFonts w:ascii="Palatino Linotype" w:hAnsi="Palatino Linotype"/>
          <w:color w:val="000000" w:themeColor="text1"/>
        </w:rPr>
        <w:t xml:space="preserve">Alumbrado público. </w:t>
      </w:r>
    </w:p>
    <w:p w14:paraId="69550BF9" w14:textId="77777777" w:rsidR="00555354" w:rsidRPr="00C21CC7" w:rsidRDefault="00555354" w:rsidP="00555354">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C21CC7">
        <w:rPr>
          <w:rFonts w:ascii="Palatino Linotype" w:hAnsi="Palatino Linotype"/>
          <w:color w:val="000000" w:themeColor="text1"/>
        </w:rPr>
        <w:t xml:space="preserve">Limpia, recolección, traslado, tratamiento y disposición final de residuos; </w:t>
      </w:r>
    </w:p>
    <w:p w14:paraId="7EB92D7D" w14:textId="77777777" w:rsidR="00555354" w:rsidRPr="00C21CC7" w:rsidRDefault="00555354" w:rsidP="00555354">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C21CC7">
        <w:rPr>
          <w:rFonts w:ascii="Palatino Linotype" w:hAnsi="Palatino Linotype"/>
          <w:color w:val="000000" w:themeColor="text1"/>
        </w:rPr>
        <w:t xml:space="preserve">Mercados y centrales de abasto. </w:t>
      </w:r>
    </w:p>
    <w:p w14:paraId="2113130B" w14:textId="77777777" w:rsidR="00555354" w:rsidRPr="00C21CC7" w:rsidRDefault="00555354" w:rsidP="00555354">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C21CC7">
        <w:rPr>
          <w:rFonts w:ascii="Palatino Linotype" w:hAnsi="Palatino Linotype"/>
          <w:color w:val="000000" w:themeColor="text1"/>
        </w:rPr>
        <w:t xml:space="preserve">Panteones. </w:t>
      </w:r>
    </w:p>
    <w:p w14:paraId="73CE3F92" w14:textId="77777777" w:rsidR="00555354" w:rsidRPr="00C21CC7" w:rsidRDefault="00555354" w:rsidP="00555354">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C21CC7">
        <w:rPr>
          <w:rFonts w:ascii="Palatino Linotype" w:hAnsi="Palatino Linotype"/>
          <w:color w:val="000000" w:themeColor="text1"/>
        </w:rPr>
        <w:t xml:space="preserve">Rastro. </w:t>
      </w:r>
    </w:p>
    <w:p w14:paraId="4A69B52E" w14:textId="77777777" w:rsidR="00555354" w:rsidRPr="00C21CC7" w:rsidRDefault="00555354" w:rsidP="00555354">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C21CC7">
        <w:rPr>
          <w:rFonts w:ascii="Palatino Linotype" w:hAnsi="Palatino Linotype"/>
          <w:color w:val="000000" w:themeColor="text1"/>
        </w:rPr>
        <w:t xml:space="preserve">Calles, parques y jardines y su equipamiento; </w:t>
      </w:r>
    </w:p>
    <w:p w14:paraId="54588A57" w14:textId="77777777" w:rsidR="00555354" w:rsidRPr="00C21CC7" w:rsidRDefault="00555354" w:rsidP="00555354">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C21CC7">
        <w:rPr>
          <w:rFonts w:ascii="Palatino Linotype" w:hAnsi="Palatino Linotype"/>
          <w:b/>
          <w:color w:val="000000" w:themeColor="text1"/>
        </w:rPr>
        <w:t>Seguridad pública</w:t>
      </w:r>
      <w:r w:rsidRPr="00C21CC7">
        <w:rPr>
          <w:rFonts w:ascii="Palatino Linotype" w:hAnsi="Palatino Linotype"/>
          <w:color w:val="000000" w:themeColor="text1"/>
        </w:rPr>
        <w:t xml:space="preserve">, en los términos del artículo 21 de la Constitución Política de los Estados Unidos Mexicanos, policía preventiva municipal y tránsito; e </w:t>
      </w:r>
    </w:p>
    <w:p w14:paraId="63C00345" w14:textId="77777777" w:rsidR="00555354" w:rsidRPr="00C21CC7" w:rsidRDefault="00555354" w:rsidP="00555354">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C21CC7">
        <w:rPr>
          <w:rFonts w:ascii="Palatino Linotype" w:hAnsi="Palatino Linotype"/>
          <w:color w:val="000000" w:themeColor="text1"/>
        </w:rPr>
        <w:t xml:space="preserve">Los demás que las Legislaturas locales determinen según las condiciones territoriales y </w:t>
      </w:r>
      <w:proofErr w:type="gramStart"/>
      <w:r w:rsidRPr="00C21CC7">
        <w:rPr>
          <w:rFonts w:ascii="Palatino Linotype" w:hAnsi="Palatino Linotype"/>
          <w:color w:val="000000" w:themeColor="text1"/>
        </w:rPr>
        <w:t>socio-económicas</w:t>
      </w:r>
      <w:proofErr w:type="gramEnd"/>
      <w:r w:rsidRPr="00C21CC7">
        <w:rPr>
          <w:rFonts w:ascii="Palatino Linotype" w:hAnsi="Palatino Linotype"/>
          <w:color w:val="000000" w:themeColor="text1"/>
        </w:rPr>
        <w:t xml:space="preserve"> de los Municipios, así como su capacidad administrativa y financiera.</w:t>
      </w:r>
    </w:p>
    <w:p w14:paraId="584A5BD6" w14:textId="77777777" w:rsidR="00555354" w:rsidRPr="00C21CC7" w:rsidRDefault="00555354" w:rsidP="00555354">
      <w:pPr>
        <w:pStyle w:val="Prrafodelista"/>
        <w:tabs>
          <w:tab w:val="left" w:pos="426"/>
        </w:tabs>
        <w:spacing w:before="240" w:after="240" w:line="360" w:lineRule="auto"/>
        <w:ind w:left="0" w:right="51"/>
        <w:jc w:val="both"/>
        <w:rPr>
          <w:rFonts w:ascii="Palatino Linotype" w:hAnsi="Palatino Linotype"/>
          <w:color w:val="000000" w:themeColor="text1"/>
        </w:rPr>
      </w:pPr>
    </w:p>
    <w:p w14:paraId="37B1FE8E" w14:textId="77777777" w:rsidR="00555354" w:rsidRPr="00C21CC7" w:rsidRDefault="00555354" w:rsidP="00241089">
      <w:pPr>
        <w:pStyle w:val="Prrafodelista"/>
        <w:tabs>
          <w:tab w:val="left" w:pos="426"/>
        </w:tabs>
        <w:spacing w:before="240" w:after="240" w:line="360" w:lineRule="auto"/>
        <w:ind w:left="0" w:right="51"/>
        <w:jc w:val="both"/>
        <w:rPr>
          <w:rFonts w:ascii="Palatino Linotype" w:hAnsi="Palatino Linotype"/>
          <w:color w:val="000000" w:themeColor="text1"/>
        </w:rPr>
      </w:pPr>
      <w:r w:rsidRPr="00C21CC7">
        <w:rPr>
          <w:rFonts w:ascii="Palatino Linotype" w:hAnsi="Palatino Linotype"/>
          <w:color w:val="000000" w:themeColor="text1"/>
        </w:rPr>
        <w:lastRenderedPageBreak/>
        <w:t xml:space="preserve">Correlativo a lo anterior, el numeral 21 de nuestra </w:t>
      </w:r>
      <w:r w:rsidRPr="00C21CC7">
        <w:rPr>
          <w:rFonts w:ascii="Palatino Linotype" w:hAnsi="Palatino Linotype"/>
          <w:i/>
          <w:color w:val="000000" w:themeColor="text1"/>
        </w:rPr>
        <w:t>Magna Carta</w:t>
      </w:r>
      <w:r w:rsidRPr="00C21CC7">
        <w:rPr>
          <w:rFonts w:ascii="Palatino Linotype" w:hAnsi="Palatino Linotype"/>
          <w:color w:val="000000" w:themeColor="text1"/>
        </w:rPr>
        <w:t xml:space="preserve"> reconoce a la seguridad pública como una función del Estado a cargo de la Federación, las entidades federativas y los Municipios, cuyos fines son salvaguardar la vida, las libertades, la integridad y el patrimonio de las personas, así como contribuir a la generación y preservación del orden público y la paz social, de conformidad con lo previsto en la Constitución Federal y las leyes en la materia; comprende la prevención, investigación y persecución de los delitos, así como la sanción de las infracciones administrativas, en los términos de la ley, en las respectivas competencias que la propia Constitución señala.</w:t>
      </w:r>
    </w:p>
    <w:p w14:paraId="427F50F2" w14:textId="77777777" w:rsidR="00555354" w:rsidRPr="00C21CC7" w:rsidRDefault="00555354" w:rsidP="00555354">
      <w:pPr>
        <w:pStyle w:val="Prrafodelista"/>
        <w:tabs>
          <w:tab w:val="left" w:pos="426"/>
        </w:tabs>
        <w:spacing w:before="240" w:after="240" w:line="360" w:lineRule="auto"/>
        <w:ind w:left="0" w:right="51"/>
        <w:jc w:val="both"/>
        <w:rPr>
          <w:rFonts w:ascii="Palatino Linotype" w:hAnsi="Palatino Linotype"/>
          <w:color w:val="000000" w:themeColor="text1"/>
        </w:rPr>
      </w:pPr>
    </w:p>
    <w:p w14:paraId="29513912" w14:textId="77777777" w:rsidR="00555354" w:rsidRPr="00C21CC7" w:rsidRDefault="00555354" w:rsidP="00241089">
      <w:pPr>
        <w:pStyle w:val="Prrafodelista"/>
        <w:tabs>
          <w:tab w:val="left" w:pos="426"/>
        </w:tabs>
        <w:spacing w:before="240" w:after="240" w:line="360" w:lineRule="auto"/>
        <w:ind w:left="0" w:right="51"/>
        <w:jc w:val="both"/>
        <w:rPr>
          <w:rFonts w:ascii="Palatino Linotype" w:hAnsi="Palatino Linotype"/>
          <w:color w:val="000000" w:themeColor="text1"/>
        </w:rPr>
      </w:pPr>
      <w:r w:rsidRPr="00C21CC7">
        <w:rPr>
          <w:rFonts w:ascii="Palatino Linotype" w:hAnsi="Palatino Linotype"/>
          <w:color w:val="000000" w:themeColor="text1"/>
        </w:rPr>
        <w:t>Dicho lo anterior, este Organismo Garante realizó un ejercicio de búsqueda de la información solicitada a través de internet, específicamente dentro del portal oficial del Ayuntamiento de Coacalco de Berriozábal</w:t>
      </w:r>
      <w:r w:rsidRPr="00C21CC7">
        <w:rPr>
          <w:rStyle w:val="Refdenotaalpie"/>
          <w:rFonts w:ascii="Palatino Linotype" w:hAnsi="Palatino Linotype"/>
          <w:color w:val="000000" w:themeColor="text1"/>
        </w:rPr>
        <w:footnoteReference w:id="1"/>
      </w:r>
      <w:r w:rsidRPr="00C21CC7">
        <w:rPr>
          <w:rFonts w:ascii="Palatino Linotype" w:hAnsi="Palatino Linotype"/>
          <w:color w:val="000000" w:themeColor="text1"/>
        </w:rPr>
        <w:t>, encontrándose un micrositio</w:t>
      </w:r>
      <w:r w:rsidRPr="00C21CC7">
        <w:rPr>
          <w:rStyle w:val="Refdenotaalpie"/>
          <w:rFonts w:ascii="Palatino Linotype" w:hAnsi="Palatino Linotype"/>
          <w:color w:val="000000" w:themeColor="text1"/>
        </w:rPr>
        <w:footnoteReference w:id="2"/>
      </w:r>
      <w:r w:rsidRPr="00C21CC7">
        <w:rPr>
          <w:rFonts w:ascii="Palatino Linotype" w:hAnsi="Palatino Linotype"/>
          <w:color w:val="000000" w:themeColor="text1"/>
        </w:rPr>
        <w:t xml:space="preserve"> destinado a acercar a la sociedad con la aplicación denominada </w:t>
      </w:r>
      <w:r w:rsidRPr="00C21CC7">
        <w:rPr>
          <w:rFonts w:ascii="Palatino Linotype" w:hAnsi="Palatino Linotype"/>
          <w:i/>
          <w:color w:val="000000" w:themeColor="text1"/>
        </w:rPr>
        <w:t>Coacalco Seguro</w:t>
      </w:r>
      <w:r w:rsidRPr="00C21CC7">
        <w:rPr>
          <w:rFonts w:ascii="Palatino Linotype" w:hAnsi="Palatino Linotype"/>
          <w:color w:val="000000" w:themeColor="text1"/>
        </w:rPr>
        <w:t>, la cual, consiste en una plataforma que incluye una serie de servicios para mejorar la gestión municipal, la solución de incidencias y fomentar la comunicación con los ciudadanos creando una “Ciudad en Sincronía”</w:t>
      </w:r>
      <w:r w:rsidRPr="00C21CC7">
        <w:rPr>
          <w:rStyle w:val="Refdenotaalpie"/>
          <w:rFonts w:ascii="Palatino Linotype" w:hAnsi="Palatino Linotype"/>
          <w:color w:val="000000" w:themeColor="text1"/>
        </w:rPr>
        <w:footnoteReference w:id="3"/>
      </w:r>
      <w:r w:rsidRPr="00C21CC7">
        <w:rPr>
          <w:rFonts w:ascii="Palatino Linotype" w:hAnsi="Palatino Linotype"/>
          <w:color w:val="000000" w:themeColor="text1"/>
        </w:rPr>
        <w:t xml:space="preserve">, se adjunta captura de pantalla del portal oficial del sujeto obligado. </w:t>
      </w:r>
    </w:p>
    <w:p w14:paraId="2C072342" w14:textId="77777777" w:rsidR="00555354" w:rsidRPr="00C21CC7" w:rsidRDefault="00555354" w:rsidP="00555354">
      <w:pPr>
        <w:pStyle w:val="Prrafodelista"/>
        <w:rPr>
          <w:rFonts w:ascii="Palatino Linotype" w:hAnsi="Palatino Linotype"/>
          <w:color w:val="000000" w:themeColor="text1"/>
        </w:rPr>
      </w:pPr>
    </w:p>
    <w:p w14:paraId="28E06BE7" w14:textId="77777777" w:rsidR="00555354" w:rsidRPr="00C21CC7" w:rsidRDefault="00555354" w:rsidP="00555354">
      <w:pPr>
        <w:pStyle w:val="Prrafodelista"/>
        <w:tabs>
          <w:tab w:val="left" w:pos="426"/>
        </w:tabs>
        <w:spacing w:before="240" w:after="240" w:line="360" w:lineRule="auto"/>
        <w:ind w:left="0" w:right="51"/>
        <w:jc w:val="both"/>
        <w:rPr>
          <w:rFonts w:ascii="Palatino Linotype" w:hAnsi="Palatino Linotype"/>
          <w:color w:val="000000" w:themeColor="text1"/>
        </w:rPr>
      </w:pPr>
      <w:r w:rsidRPr="00C21CC7">
        <w:rPr>
          <w:rFonts w:ascii="Palatino Linotype" w:hAnsi="Palatino Linotype"/>
          <w:noProof/>
          <w:color w:val="000000" w:themeColor="text1"/>
          <w:lang w:eastAsia="es-MX"/>
        </w:rPr>
        <w:lastRenderedPageBreak/>
        <w:drawing>
          <wp:inline distT="0" distB="0" distL="0" distR="0" wp14:anchorId="2056A36F" wp14:editId="36C8A959">
            <wp:extent cx="5605780" cy="493776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6978" cy="4938815"/>
                    </a:xfrm>
                    <a:prstGeom prst="rect">
                      <a:avLst/>
                    </a:prstGeom>
                    <a:noFill/>
                    <a:ln>
                      <a:noFill/>
                    </a:ln>
                  </pic:spPr>
                </pic:pic>
              </a:graphicData>
            </a:graphic>
          </wp:inline>
        </w:drawing>
      </w:r>
    </w:p>
    <w:p w14:paraId="449836FD" w14:textId="77777777" w:rsidR="00555354" w:rsidRPr="00C21CC7" w:rsidRDefault="00555354" w:rsidP="00555354">
      <w:pPr>
        <w:pStyle w:val="Prrafodelista"/>
        <w:tabs>
          <w:tab w:val="left" w:pos="426"/>
        </w:tabs>
        <w:spacing w:before="240" w:after="240" w:line="360" w:lineRule="auto"/>
        <w:ind w:left="0" w:right="51"/>
        <w:jc w:val="both"/>
        <w:rPr>
          <w:rFonts w:ascii="Palatino Linotype" w:hAnsi="Palatino Linotype"/>
          <w:color w:val="000000" w:themeColor="text1"/>
        </w:rPr>
      </w:pPr>
    </w:p>
    <w:p w14:paraId="1E8258FC" w14:textId="77777777" w:rsidR="00555354" w:rsidRPr="00C21CC7" w:rsidRDefault="00555354" w:rsidP="00241089">
      <w:pPr>
        <w:pStyle w:val="Prrafodelista"/>
        <w:tabs>
          <w:tab w:val="left" w:pos="426"/>
        </w:tabs>
        <w:spacing w:before="240" w:after="240" w:line="360" w:lineRule="auto"/>
        <w:ind w:left="0" w:right="51"/>
        <w:jc w:val="both"/>
        <w:rPr>
          <w:rFonts w:ascii="Palatino Linotype" w:hAnsi="Palatino Linotype"/>
          <w:color w:val="000000" w:themeColor="text1"/>
        </w:rPr>
      </w:pPr>
      <w:r w:rsidRPr="00C21CC7">
        <w:rPr>
          <w:rFonts w:ascii="Palatino Linotype" w:hAnsi="Palatino Linotype"/>
          <w:color w:val="000000" w:themeColor="text1"/>
        </w:rPr>
        <w:t xml:space="preserve">De acuerdo con lo publicado en el micrositio de mérito, la aplicación </w:t>
      </w:r>
      <w:r w:rsidRPr="00C21CC7">
        <w:rPr>
          <w:rFonts w:ascii="Palatino Linotype" w:hAnsi="Palatino Linotype"/>
          <w:i/>
          <w:color w:val="000000" w:themeColor="text1"/>
        </w:rPr>
        <w:t>Coacalco Seguro</w:t>
      </w:r>
      <w:r w:rsidRPr="00C21CC7">
        <w:rPr>
          <w:rFonts w:ascii="Palatino Linotype" w:hAnsi="Palatino Linotype"/>
          <w:color w:val="000000" w:themeColor="text1"/>
        </w:rPr>
        <w:t xml:space="preserve"> tiene el objetivo de combatir conductas delictivas a través de la </w:t>
      </w:r>
      <w:proofErr w:type="gramStart"/>
      <w:r w:rsidRPr="00C21CC7">
        <w:rPr>
          <w:rFonts w:ascii="Palatino Linotype" w:hAnsi="Palatino Linotype"/>
          <w:color w:val="000000" w:themeColor="text1"/>
        </w:rPr>
        <w:t>participación activa</w:t>
      </w:r>
      <w:proofErr w:type="gramEnd"/>
      <w:r w:rsidRPr="00C21CC7">
        <w:rPr>
          <w:rFonts w:ascii="Palatino Linotype" w:hAnsi="Palatino Linotype"/>
          <w:color w:val="000000" w:themeColor="text1"/>
        </w:rPr>
        <w:t xml:space="preserve"> y organizada de autoridades, grupos de respuesta y ciudadanos. Pretende simplificar los datos subyacentes y presentarlos en un formato procesable, los cuales, se utilizan para prevenir y predecir actividades delictivas, así como la planificación de misiones y el establecimiento de distintos niveles de recursos; </w:t>
      </w:r>
      <w:r w:rsidRPr="00C21CC7">
        <w:rPr>
          <w:rFonts w:ascii="Palatino Linotype" w:hAnsi="Palatino Linotype"/>
          <w:color w:val="000000" w:themeColor="text1"/>
        </w:rPr>
        <w:lastRenderedPageBreak/>
        <w:t xml:space="preserve">activando, con ello, la cohesión social en el municipio, al gestionar y administrar </w:t>
      </w:r>
      <w:proofErr w:type="gramStart"/>
      <w:r w:rsidRPr="00C21CC7">
        <w:rPr>
          <w:rFonts w:ascii="Palatino Linotype" w:hAnsi="Palatino Linotype"/>
          <w:color w:val="000000" w:themeColor="text1"/>
        </w:rPr>
        <w:t>las incidencia</w:t>
      </w:r>
      <w:proofErr w:type="gramEnd"/>
      <w:r w:rsidRPr="00C21CC7">
        <w:rPr>
          <w:rFonts w:ascii="Palatino Linotype" w:hAnsi="Palatino Linotype"/>
          <w:color w:val="000000" w:themeColor="text1"/>
        </w:rPr>
        <w:t>, incluyendo informe y herramientas para así optimizar tiempos y costos</w:t>
      </w:r>
      <w:r w:rsidRPr="00C21CC7">
        <w:rPr>
          <w:rStyle w:val="Refdenotaalpie"/>
          <w:rFonts w:ascii="Palatino Linotype" w:hAnsi="Palatino Linotype"/>
          <w:color w:val="000000" w:themeColor="text1"/>
        </w:rPr>
        <w:footnoteReference w:id="4"/>
      </w:r>
      <w:r w:rsidRPr="00C21CC7">
        <w:rPr>
          <w:rFonts w:ascii="Palatino Linotype" w:hAnsi="Palatino Linotype"/>
          <w:color w:val="000000" w:themeColor="text1"/>
        </w:rPr>
        <w:t>.</w:t>
      </w:r>
    </w:p>
    <w:p w14:paraId="3648951E" w14:textId="77777777" w:rsidR="00241089" w:rsidRPr="00C21CC7" w:rsidRDefault="00241089" w:rsidP="00241089">
      <w:pPr>
        <w:pStyle w:val="Prrafodelista"/>
        <w:tabs>
          <w:tab w:val="left" w:pos="426"/>
        </w:tabs>
        <w:spacing w:before="240" w:after="240" w:line="360" w:lineRule="auto"/>
        <w:ind w:left="0" w:right="51"/>
        <w:jc w:val="both"/>
        <w:rPr>
          <w:rFonts w:ascii="Palatino Linotype" w:hAnsi="Palatino Linotype"/>
          <w:color w:val="000000" w:themeColor="text1"/>
        </w:rPr>
      </w:pPr>
    </w:p>
    <w:p w14:paraId="546FA76A" w14:textId="77777777" w:rsidR="00555354" w:rsidRPr="00C21CC7" w:rsidRDefault="00555354" w:rsidP="00241089">
      <w:pPr>
        <w:pStyle w:val="Prrafodelista"/>
        <w:tabs>
          <w:tab w:val="left" w:pos="426"/>
        </w:tabs>
        <w:spacing w:before="240" w:after="240" w:line="360" w:lineRule="auto"/>
        <w:ind w:left="0" w:right="51"/>
        <w:jc w:val="both"/>
        <w:rPr>
          <w:rFonts w:ascii="Palatino Linotype" w:hAnsi="Palatino Linotype"/>
          <w:color w:val="000000" w:themeColor="text1"/>
        </w:rPr>
      </w:pPr>
      <w:r w:rsidRPr="00C21CC7">
        <w:rPr>
          <w:rFonts w:ascii="Palatino Linotype" w:hAnsi="Palatino Linotype"/>
          <w:color w:val="000000" w:themeColor="text1"/>
        </w:rPr>
        <w:t xml:space="preserve">La aplicación está disponible para su descarga en la </w:t>
      </w:r>
      <w:r w:rsidRPr="00C21CC7">
        <w:rPr>
          <w:rFonts w:ascii="Palatino Linotype" w:hAnsi="Palatino Linotype"/>
          <w:i/>
          <w:color w:val="000000" w:themeColor="text1"/>
        </w:rPr>
        <w:t>App Store</w:t>
      </w:r>
      <w:r w:rsidRPr="00C21CC7">
        <w:rPr>
          <w:rFonts w:ascii="Palatino Linotype" w:hAnsi="Palatino Linotype"/>
          <w:color w:val="000000" w:themeColor="text1"/>
        </w:rPr>
        <w:t xml:space="preserve"> de dispositivos móviles con sistema operativo </w:t>
      </w:r>
      <w:r w:rsidRPr="00C21CC7">
        <w:rPr>
          <w:rFonts w:ascii="Palatino Linotype" w:hAnsi="Palatino Linotype"/>
          <w:i/>
          <w:color w:val="000000" w:themeColor="text1"/>
        </w:rPr>
        <w:t>iOS</w:t>
      </w:r>
      <w:r w:rsidRPr="00C21CC7">
        <w:rPr>
          <w:rFonts w:ascii="Palatino Linotype" w:hAnsi="Palatino Linotype"/>
          <w:color w:val="000000" w:themeColor="text1"/>
        </w:rPr>
        <w:t xml:space="preserve">, y </w:t>
      </w:r>
      <w:r w:rsidRPr="00C21CC7">
        <w:rPr>
          <w:rFonts w:ascii="Palatino Linotype" w:hAnsi="Palatino Linotype"/>
          <w:i/>
          <w:color w:val="000000" w:themeColor="text1"/>
        </w:rPr>
        <w:t>Play Store</w:t>
      </w:r>
      <w:r w:rsidRPr="00C21CC7">
        <w:rPr>
          <w:rFonts w:ascii="Palatino Linotype" w:hAnsi="Palatino Linotype"/>
          <w:color w:val="000000" w:themeColor="text1"/>
        </w:rPr>
        <w:t xml:space="preserve"> para dispositivos con sistema operativo </w:t>
      </w:r>
      <w:r w:rsidRPr="00C21CC7">
        <w:rPr>
          <w:rFonts w:ascii="Palatino Linotype" w:hAnsi="Palatino Linotype"/>
          <w:i/>
          <w:color w:val="000000" w:themeColor="text1"/>
        </w:rPr>
        <w:t>Android</w:t>
      </w:r>
      <w:r w:rsidRPr="00C21CC7">
        <w:rPr>
          <w:rFonts w:ascii="Palatino Linotype" w:hAnsi="Palatino Linotype"/>
          <w:color w:val="000000" w:themeColor="text1"/>
        </w:rPr>
        <w:t>; y ofrece los siguientes servicios:</w:t>
      </w:r>
    </w:p>
    <w:p w14:paraId="5A767CA0" w14:textId="77777777" w:rsidR="00555354" w:rsidRPr="00C21CC7" w:rsidRDefault="00555354" w:rsidP="00555354">
      <w:pPr>
        <w:pStyle w:val="Prrafodelista"/>
        <w:tabs>
          <w:tab w:val="left" w:pos="426"/>
        </w:tabs>
        <w:spacing w:before="240" w:after="240" w:line="360" w:lineRule="auto"/>
        <w:ind w:left="0" w:right="51"/>
        <w:jc w:val="both"/>
        <w:rPr>
          <w:rFonts w:ascii="Palatino Linotype" w:hAnsi="Palatino Linotype"/>
          <w:color w:val="000000" w:themeColor="text1"/>
        </w:rPr>
      </w:pPr>
    </w:p>
    <w:p w14:paraId="0E97EE47" w14:textId="77777777" w:rsidR="00555354" w:rsidRPr="00C21CC7" w:rsidRDefault="00555354" w:rsidP="00555354">
      <w:pPr>
        <w:pStyle w:val="Prrafodelista"/>
        <w:tabs>
          <w:tab w:val="left" w:pos="426"/>
        </w:tabs>
        <w:spacing w:before="240" w:after="240" w:line="360" w:lineRule="auto"/>
        <w:ind w:left="0" w:right="51"/>
        <w:jc w:val="center"/>
        <w:rPr>
          <w:rFonts w:ascii="Palatino Linotype" w:hAnsi="Palatino Linotype"/>
          <w:color w:val="000000" w:themeColor="text1"/>
        </w:rPr>
      </w:pPr>
      <w:r w:rsidRPr="00C21CC7">
        <w:rPr>
          <w:rFonts w:ascii="Palatino Linotype" w:hAnsi="Palatino Linotype"/>
          <w:noProof/>
          <w:color w:val="000000" w:themeColor="text1"/>
          <w:lang w:eastAsia="es-MX"/>
        </w:rPr>
        <w:drawing>
          <wp:inline distT="0" distB="0" distL="0" distR="0" wp14:anchorId="4B1594DF" wp14:editId="10DCE0D1">
            <wp:extent cx="4694555" cy="347472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35876" cy="3505304"/>
                    </a:xfrm>
                    <a:prstGeom prst="rect">
                      <a:avLst/>
                    </a:prstGeom>
                    <a:noFill/>
                    <a:ln>
                      <a:noFill/>
                    </a:ln>
                  </pic:spPr>
                </pic:pic>
              </a:graphicData>
            </a:graphic>
          </wp:inline>
        </w:drawing>
      </w:r>
    </w:p>
    <w:p w14:paraId="1E3EC1ED" w14:textId="77777777" w:rsidR="00555354" w:rsidRPr="00C21CC7" w:rsidRDefault="00555354" w:rsidP="00241089">
      <w:pPr>
        <w:pStyle w:val="Prrafodelista"/>
        <w:tabs>
          <w:tab w:val="left" w:pos="426"/>
        </w:tabs>
        <w:spacing w:before="240" w:after="240" w:line="360" w:lineRule="auto"/>
        <w:ind w:left="0" w:right="51"/>
        <w:jc w:val="both"/>
        <w:rPr>
          <w:rFonts w:ascii="Palatino Linotype" w:hAnsi="Palatino Linotype"/>
          <w:color w:val="000000" w:themeColor="text1"/>
        </w:rPr>
      </w:pPr>
      <w:r w:rsidRPr="00C21CC7">
        <w:rPr>
          <w:rFonts w:ascii="Palatino Linotype" w:hAnsi="Palatino Linotype"/>
          <w:color w:val="000000" w:themeColor="text1"/>
        </w:rPr>
        <w:t xml:space="preserve">Una vez expuesto lo anterior, conviene recordar que el </w:t>
      </w:r>
      <w:r w:rsidRPr="00C21CC7">
        <w:rPr>
          <w:rFonts w:ascii="Palatino Linotype" w:hAnsi="Palatino Linotype"/>
          <w:b/>
          <w:color w:val="000000" w:themeColor="text1"/>
        </w:rPr>
        <w:t>SUJETO OBLIGADO</w:t>
      </w:r>
      <w:r w:rsidRPr="00C21CC7">
        <w:rPr>
          <w:rFonts w:ascii="Palatino Linotype" w:hAnsi="Palatino Linotype"/>
          <w:color w:val="000000" w:themeColor="text1"/>
        </w:rPr>
        <w:t xml:space="preserve"> hizo entrega del </w:t>
      </w:r>
      <w:r w:rsidRPr="00C21CC7">
        <w:rPr>
          <w:rFonts w:ascii="Palatino Linotype" w:hAnsi="Palatino Linotype" w:cs="Arial"/>
        </w:rPr>
        <w:t xml:space="preserve">Licencia número 0003/COA/01/05/2022/SECURITY-IUBEO/CITY-IUBEO, generado por la persona jurídico-colectiva </w:t>
      </w:r>
      <w:r w:rsidRPr="00C21CC7">
        <w:rPr>
          <w:rFonts w:ascii="Palatino Linotype" w:hAnsi="Palatino Linotype" w:cs="Arial"/>
          <w:i/>
        </w:rPr>
        <w:t>IUBEO</w:t>
      </w:r>
      <w:r w:rsidRPr="00C21CC7">
        <w:rPr>
          <w:rFonts w:ascii="Palatino Linotype" w:hAnsi="Palatino Linotype" w:cs="Arial"/>
        </w:rPr>
        <w:t xml:space="preserve">, que reconoce al Municipio de Coacalco de Berriozábal como un socio autorizado para hacer uso del </w:t>
      </w:r>
      <w:r w:rsidRPr="00C21CC7">
        <w:rPr>
          <w:rFonts w:ascii="Palatino Linotype" w:hAnsi="Palatino Linotype" w:cs="Arial"/>
          <w:i/>
        </w:rPr>
        <w:lastRenderedPageBreak/>
        <w:t>software</w:t>
      </w:r>
      <w:r w:rsidRPr="00C21CC7">
        <w:rPr>
          <w:rFonts w:ascii="Palatino Linotype" w:hAnsi="Palatino Linotype" w:cs="Arial"/>
        </w:rPr>
        <w:t xml:space="preserve"> concedido a través del acuerdo en cuestión, y </w:t>
      </w:r>
      <w:proofErr w:type="gramStart"/>
      <w:r w:rsidRPr="00C21CC7">
        <w:rPr>
          <w:rFonts w:ascii="Palatino Linotype" w:hAnsi="Palatino Linotype" w:cs="Arial"/>
        </w:rPr>
        <w:t>que</w:t>
      </w:r>
      <w:proofErr w:type="gramEnd"/>
      <w:r w:rsidRPr="00C21CC7">
        <w:rPr>
          <w:rFonts w:ascii="Palatino Linotype" w:hAnsi="Palatino Linotype" w:cs="Arial"/>
        </w:rPr>
        <w:t xml:space="preserve"> dentro de su apartado de </w:t>
      </w:r>
      <w:r w:rsidRPr="00C21CC7">
        <w:rPr>
          <w:rFonts w:ascii="Palatino Linotype" w:hAnsi="Palatino Linotype" w:cs="Arial"/>
          <w:i/>
        </w:rPr>
        <w:t>Definiciones</w:t>
      </w:r>
      <w:r w:rsidRPr="00C21CC7">
        <w:rPr>
          <w:rFonts w:ascii="Palatino Linotype" w:hAnsi="Palatino Linotype" w:cs="Arial"/>
        </w:rPr>
        <w:t>, menciona lo siguiente:</w:t>
      </w:r>
    </w:p>
    <w:p w14:paraId="68A26A27" w14:textId="77777777" w:rsidR="00555354" w:rsidRPr="00C21CC7" w:rsidRDefault="00555354" w:rsidP="00555354">
      <w:pPr>
        <w:pStyle w:val="Prrafodelista"/>
        <w:tabs>
          <w:tab w:val="left" w:pos="426"/>
        </w:tabs>
        <w:spacing w:before="240" w:after="240" w:line="360" w:lineRule="auto"/>
        <w:ind w:left="850" w:right="907"/>
        <w:jc w:val="both"/>
        <w:rPr>
          <w:rFonts w:ascii="Palatino Linotype" w:hAnsi="Palatino Linotype"/>
          <w:color w:val="000000" w:themeColor="text1"/>
        </w:rPr>
      </w:pPr>
    </w:p>
    <w:p w14:paraId="39CF37D4" w14:textId="77777777" w:rsidR="00555354" w:rsidRPr="00C21CC7" w:rsidRDefault="00555354" w:rsidP="00555354">
      <w:pPr>
        <w:pStyle w:val="Prrafodelista"/>
        <w:tabs>
          <w:tab w:val="left" w:pos="426"/>
        </w:tabs>
        <w:spacing w:before="240" w:after="240" w:line="276" w:lineRule="auto"/>
        <w:ind w:left="850" w:right="907"/>
        <w:jc w:val="both"/>
        <w:rPr>
          <w:rFonts w:ascii="Palatino Linotype" w:hAnsi="Palatino Linotype"/>
          <w:i/>
          <w:color w:val="000000" w:themeColor="text1"/>
        </w:rPr>
      </w:pPr>
      <w:r w:rsidRPr="00C21CC7">
        <w:rPr>
          <w:rFonts w:ascii="Palatino Linotype" w:hAnsi="Palatino Linotype"/>
          <w:i/>
          <w:color w:val="000000" w:themeColor="text1"/>
        </w:rPr>
        <w:t>“c) El término “sistema de riesgo alto” hace referencia a un dispositivo o sistema que requiere funcionalidades de seguridad adicionales, para mantener un estado seguro cuando sea razonablemente previsible que una falla en el dispositivo o el sistema pueda provocar directamente muertes, lesiones personales o daños materiales catastróficos. Un dispositivo o sistema con una función a prueba de fallas puede volver, en caso de que se produzca una falla, a una condición de seguridad en lugar de a un estado de desperfecto, puede incluir un sistema secundario que entra en funcionamiento para evitar un desperfecto o puede funcionar como una copia de seguridad en caso de avería. Un dispositivo o sistema con una función tolerante a fallas puede continuar con la operación prevista en caso de que produzca una falla, posiblemente a un nivel reducido, en lugar de fallar por completo. A título enunciativo, es posible que se soliciten sistemas de riesgo alto en infraestructura en áreas de seguridad pública.</w:t>
      </w:r>
    </w:p>
    <w:p w14:paraId="5D9D9BCD" w14:textId="77777777" w:rsidR="00555354" w:rsidRPr="00C21CC7" w:rsidRDefault="00555354" w:rsidP="00555354">
      <w:pPr>
        <w:pStyle w:val="Prrafodelista"/>
        <w:tabs>
          <w:tab w:val="left" w:pos="426"/>
        </w:tabs>
        <w:spacing w:before="240" w:after="240" w:line="276" w:lineRule="auto"/>
        <w:ind w:left="850" w:right="907"/>
        <w:jc w:val="both"/>
        <w:rPr>
          <w:rFonts w:ascii="Palatino Linotype" w:hAnsi="Palatino Linotype"/>
          <w:i/>
          <w:color w:val="000000" w:themeColor="text1"/>
        </w:rPr>
      </w:pPr>
    </w:p>
    <w:p w14:paraId="026EF4DF" w14:textId="77777777" w:rsidR="00555354" w:rsidRPr="00C21CC7" w:rsidRDefault="00555354" w:rsidP="00555354">
      <w:pPr>
        <w:pStyle w:val="Prrafodelista"/>
        <w:tabs>
          <w:tab w:val="left" w:pos="426"/>
        </w:tabs>
        <w:spacing w:before="240" w:after="240" w:line="276" w:lineRule="auto"/>
        <w:ind w:left="850" w:right="907"/>
        <w:jc w:val="both"/>
        <w:rPr>
          <w:rFonts w:ascii="Palatino Linotype" w:hAnsi="Palatino Linotype"/>
          <w:color w:val="000000" w:themeColor="text1"/>
        </w:rPr>
      </w:pPr>
      <w:r w:rsidRPr="00C21CC7">
        <w:rPr>
          <w:rFonts w:ascii="Palatino Linotype" w:hAnsi="Palatino Linotype"/>
          <w:i/>
          <w:color w:val="000000" w:themeColor="text1"/>
        </w:rPr>
        <w:t xml:space="preserve">d) El término “software” hace referencia al programa de software de ciudad en sincronía en formato de código abierto cuya licencia es otorgada por </w:t>
      </w:r>
      <w:proofErr w:type="spellStart"/>
      <w:r w:rsidRPr="00C21CC7">
        <w:rPr>
          <w:rFonts w:ascii="Palatino Linotype" w:hAnsi="Palatino Linotype"/>
          <w:b/>
          <w:i/>
          <w:color w:val="000000" w:themeColor="text1"/>
        </w:rPr>
        <w:t>iubeo</w:t>
      </w:r>
      <w:proofErr w:type="spellEnd"/>
      <w:r w:rsidRPr="00C21CC7">
        <w:rPr>
          <w:rFonts w:ascii="Palatino Linotype" w:hAnsi="Palatino Linotype"/>
          <w:i/>
          <w:color w:val="000000" w:themeColor="text1"/>
        </w:rPr>
        <w:t xml:space="preserve"> o se adquiere en </w:t>
      </w:r>
      <w:r w:rsidRPr="00C21CC7">
        <w:rPr>
          <w:rFonts w:ascii="Palatino Linotype" w:hAnsi="Palatino Linotype"/>
          <w:b/>
          <w:i/>
          <w:color w:val="000000" w:themeColor="text1"/>
        </w:rPr>
        <w:t>COACALCO</w:t>
      </w:r>
      <w:r w:rsidRPr="00C21CC7">
        <w:rPr>
          <w:rFonts w:ascii="Palatino Linotype" w:hAnsi="Palatino Linotype"/>
          <w:i/>
          <w:color w:val="000000" w:themeColor="text1"/>
        </w:rPr>
        <w:t xml:space="preserve"> como sus socios autorizados, o se encuentra incorporado o cargado previamente en un equipo de hardware; en cada caso se incluyen las ampliaciones y las actualizaciones que se instalen durante el periodo de soporte correspondiente. El software también puede incluir funciones o funcionalidades adicionales a las que se puede acceder con una suscripción actual o un contrato de soporte activo a determinados servicios en la nuble, según lo requiera la oferta específica y sujetos a los términos de servicios de en la nube.”</w:t>
      </w:r>
      <w:r w:rsidRPr="00C21CC7">
        <w:rPr>
          <w:rFonts w:ascii="Palatino Linotype" w:hAnsi="Palatino Linotype"/>
          <w:color w:val="000000" w:themeColor="text1"/>
        </w:rPr>
        <w:t xml:space="preserve"> (Sic)</w:t>
      </w:r>
    </w:p>
    <w:p w14:paraId="75B4C9FA" w14:textId="77777777" w:rsidR="00555354" w:rsidRPr="00C21CC7" w:rsidRDefault="00555354" w:rsidP="00555354">
      <w:pPr>
        <w:pStyle w:val="Prrafodelista"/>
        <w:tabs>
          <w:tab w:val="left" w:pos="426"/>
        </w:tabs>
        <w:spacing w:before="240" w:after="240" w:line="360" w:lineRule="auto"/>
        <w:ind w:left="850" w:right="907"/>
        <w:jc w:val="both"/>
        <w:rPr>
          <w:rFonts w:ascii="Palatino Linotype" w:hAnsi="Palatino Linotype"/>
          <w:color w:val="000000" w:themeColor="text1"/>
        </w:rPr>
      </w:pPr>
    </w:p>
    <w:p w14:paraId="33B57A27" w14:textId="77777777" w:rsidR="00555354" w:rsidRPr="00C21CC7" w:rsidRDefault="00555354" w:rsidP="00241089">
      <w:pPr>
        <w:pStyle w:val="Prrafodelista"/>
        <w:tabs>
          <w:tab w:val="left" w:pos="426"/>
        </w:tabs>
        <w:spacing w:before="240" w:after="240" w:line="360" w:lineRule="auto"/>
        <w:ind w:left="0" w:right="51"/>
        <w:jc w:val="both"/>
        <w:rPr>
          <w:rFonts w:ascii="Palatino Linotype" w:hAnsi="Palatino Linotype"/>
          <w:color w:val="000000" w:themeColor="text1"/>
        </w:rPr>
      </w:pPr>
      <w:r w:rsidRPr="00C21CC7">
        <w:rPr>
          <w:rFonts w:ascii="Palatino Linotype" w:hAnsi="Palatino Linotype"/>
          <w:color w:val="000000" w:themeColor="text1"/>
        </w:rPr>
        <w:lastRenderedPageBreak/>
        <w:t xml:space="preserve">De lo anterior se coligue que la licencia de funcionamiento expedida por la persona jurídico-colectiva </w:t>
      </w:r>
      <w:r w:rsidRPr="00C21CC7">
        <w:rPr>
          <w:rFonts w:ascii="Palatino Linotype" w:hAnsi="Palatino Linotype"/>
          <w:i/>
          <w:color w:val="000000" w:themeColor="text1"/>
        </w:rPr>
        <w:t>IUBEO</w:t>
      </w:r>
      <w:r w:rsidRPr="00C21CC7">
        <w:rPr>
          <w:rFonts w:ascii="Palatino Linotype" w:hAnsi="Palatino Linotype"/>
          <w:color w:val="000000" w:themeColor="text1"/>
        </w:rPr>
        <w:t>, hace referencia al uso de un sistema que funciona en distintos niveles para procurar funciones de seguridad pública, y que se halla implementado en el Municipio de Coacalco de Berriozábal, al ser éste un socio autorizado.</w:t>
      </w:r>
    </w:p>
    <w:p w14:paraId="541BFE29" w14:textId="77777777" w:rsidR="00555354" w:rsidRPr="00C21CC7" w:rsidRDefault="00555354" w:rsidP="00555354">
      <w:pPr>
        <w:pStyle w:val="Prrafodelista"/>
        <w:tabs>
          <w:tab w:val="left" w:pos="426"/>
        </w:tabs>
        <w:spacing w:before="240" w:after="240" w:line="360" w:lineRule="auto"/>
        <w:ind w:left="0" w:right="51"/>
        <w:jc w:val="both"/>
        <w:rPr>
          <w:rFonts w:ascii="Palatino Linotype" w:hAnsi="Palatino Linotype"/>
          <w:color w:val="000000" w:themeColor="text1"/>
        </w:rPr>
      </w:pPr>
    </w:p>
    <w:p w14:paraId="7CD2E8F8" w14:textId="285A19C7" w:rsidR="00555354" w:rsidRPr="00C21CC7" w:rsidRDefault="00555354" w:rsidP="00555354">
      <w:pPr>
        <w:pStyle w:val="Prrafodelista"/>
        <w:tabs>
          <w:tab w:val="left" w:pos="426"/>
        </w:tabs>
        <w:spacing w:before="240" w:after="240" w:line="360" w:lineRule="auto"/>
        <w:ind w:left="0" w:right="51"/>
        <w:jc w:val="both"/>
        <w:rPr>
          <w:rFonts w:ascii="Palatino Linotype" w:hAnsi="Palatino Linotype"/>
          <w:color w:val="000000" w:themeColor="text1"/>
        </w:rPr>
      </w:pPr>
      <w:r w:rsidRPr="00C21CC7">
        <w:rPr>
          <w:rFonts w:ascii="Palatino Linotype" w:hAnsi="Palatino Linotype"/>
          <w:color w:val="000000" w:themeColor="text1"/>
        </w:rPr>
        <w:t xml:space="preserve">No es ocioso mencionar que de la consulta al </w:t>
      </w:r>
      <w:r w:rsidRPr="00C21CC7">
        <w:rPr>
          <w:rFonts w:ascii="Palatino Linotype" w:hAnsi="Palatino Linotype"/>
          <w:i/>
          <w:color w:val="000000" w:themeColor="text1"/>
        </w:rPr>
        <w:t>Padrón de proveedores y contratistas 2022</w:t>
      </w:r>
      <w:r w:rsidRPr="00C21CC7">
        <w:rPr>
          <w:rStyle w:val="Refdenotaalpie"/>
          <w:rFonts w:ascii="Palatino Linotype" w:hAnsi="Palatino Linotype"/>
          <w:i/>
          <w:color w:val="000000" w:themeColor="text1"/>
        </w:rPr>
        <w:footnoteReference w:id="5"/>
      </w:r>
      <w:r w:rsidRPr="00C21CC7">
        <w:rPr>
          <w:rFonts w:ascii="Palatino Linotype" w:hAnsi="Palatino Linotype"/>
          <w:i/>
          <w:color w:val="000000" w:themeColor="text1"/>
        </w:rPr>
        <w:t>,</w:t>
      </w:r>
      <w:r w:rsidRPr="00C21CC7">
        <w:rPr>
          <w:rFonts w:ascii="Palatino Linotype" w:hAnsi="Palatino Linotype"/>
          <w:color w:val="000000" w:themeColor="text1"/>
        </w:rPr>
        <w:t xml:space="preserve"> consultable en el portal de Información Pública de Oficio Mexiquense del Ayuntamiento de Coacalco de Berriozábal</w:t>
      </w:r>
      <w:r w:rsidRPr="00C21CC7">
        <w:rPr>
          <w:rStyle w:val="Refdenotaalpie"/>
          <w:rFonts w:ascii="Palatino Linotype" w:hAnsi="Palatino Linotype"/>
          <w:color w:val="000000" w:themeColor="text1"/>
        </w:rPr>
        <w:footnoteReference w:id="6"/>
      </w:r>
      <w:r w:rsidRPr="00C21CC7">
        <w:rPr>
          <w:rFonts w:ascii="Palatino Linotype" w:hAnsi="Palatino Linotype"/>
          <w:color w:val="000000" w:themeColor="text1"/>
        </w:rPr>
        <w:t>, específicamente en su Registro número 30, se encontró a la siguiente persona jurídico-colectiva:</w:t>
      </w:r>
    </w:p>
    <w:p w14:paraId="42406FD3" w14:textId="77777777" w:rsidR="00555354" w:rsidRPr="00C21CC7" w:rsidRDefault="00555354" w:rsidP="00555354">
      <w:pPr>
        <w:pStyle w:val="Prrafodelista"/>
        <w:tabs>
          <w:tab w:val="left" w:pos="426"/>
        </w:tabs>
        <w:spacing w:before="240" w:line="360" w:lineRule="auto"/>
        <w:ind w:left="0" w:right="51"/>
        <w:jc w:val="center"/>
        <w:rPr>
          <w:rFonts w:ascii="Palatino Linotype" w:hAnsi="Palatino Linotype"/>
          <w:color w:val="000000" w:themeColor="text1"/>
        </w:rPr>
      </w:pPr>
      <w:r w:rsidRPr="00C21CC7">
        <w:rPr>
          <w:rFonts w:ascii="Palatino Linotype" w:hAnsi="Palatino Linotype"/>
          <w:noProof/>
          <w:color w:val="000000" w:themeColor="text1"/>
          <w:lang w:eastAsia="es-MX"/>
        </w:rPr>
        <w:drawing>
          <wp:inline distT="0" distB="0" distL="0" distR="0" wp14:anchorId="27A280DC" wp14:editId="58574223">
            <wp:extent cx="4723253" cy="3277209"/>
            <wp:effectExtent l="57150" t="57150" r="115570" b="1143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50231" cy="329592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D0EC3B3" w14:textId="77777777" w:rsidR="00555354" w:rsidRPr="00C21CC7" w:rsidRDefault="00555354" w:rsidP="00555354">
      <w:pPr>
        <w:pStyle w:val="Prrafodelista"/>
        <w:tabs>
          <w:tab w:val="left" w:pos="426"/>
        </w:tabs>
        <w:spacing w:after="240" w:line="360" w:lineRule="auto"/>
        <w:ind w:left="567" w:right="567"/>
        <w:jc w:val="both"/>
        <w:rPr>
          <w:rFonts w:ascii="Palatino Linotype" w:hAnsi="Palatino Linotype"/>
          <w:color w:val="000000" w:themeColor="text1"/>
        </w:rPr>
      </w:pPr>
      <w:r w:rsidRPr="00C21CC7">
        <w:rPr>
          <w:rFonts w:ascii="Palatino Linotype" w:hAnsi="Palatino Linotype"/>
          <w:color w:val="000000" w:themeColor="text1"/>
        </w:rPr>
        <w:t>(Fragmento)</w:t>
      </w:r>
    </w:p>
    <w:p w14:paraId="7A767FE4" w14:textId="77777777" w:rsidR="00555354" w:rsidRPr="00C21CC7" w:rsidRDefault="00555354" w:rsidP="00555354">
      <w:pPr>
        <w:pStyle w:val="Prrafodelista"/>
        <w:tabs>
          <w:tab w:val="left" w:pos="426"/>
        </w:tabs>
        <w:spacing w:before="240" w:after="240" w:line="360" w:lineRule="auto"/>
        <w:ind w:left="0" w:right="51"/>
        <w:jc w:val="both"/>
        <w:rPr>
          <w:rFonts w:ascii="Palatino Linotype" w:hAnsi="Palatino Linotype"/>
          <w:color w:val="000000" w:themeColor="text1"/>
        </w:rPr>
      </w:pPr>
    </w:p>
    <w:p w14:paraId="2F15542D" w14:textId="77777777" w:rsidR="00555354" w:rsidRPr="00C21CC7" w:rsidRDefault="00555354" w:rsidP="00241089">
      <w:pPr>
        <w:pStyle w:val="Prrafodelista"/>
        <w:tabs>
          <w:tab w:val="left" w:pos="426"/>
        </w:tabs>
        <w:spacing w:before="240" w:after="240" w:line="360" w:lineRule="auto"/>
        <w:ind w:left="0" w:right="51"/>
        <w:jc w:val="both"/>
        <w:rPr>
          <w:rFonts w:ascii="Palatino Linotype" w:hAnsi="Palatino Linotype"/>
          <w:color w:val="000000" w:themeColor="text1"/>
        </w:rPr>
      </w:pPr>
      <w:r w:rsidRPr="00C21CC7">
        <w:rPr>
          <w:rFonts w:ascii="Palatino Linotype" w:hAnsi="Palatino Linotype"/>
          <w:color w:val="000000" w:themeColor="text1"/>
        </w:rPr>
        <w:t xml:space="preserve">De lo anterior se coligue que la empresa </w:t>
      </w:r>
      <w:r w:rsidRPr="00C21CC7">
        <w:rPr>
          <w:rFonts w:ascii="Palatino Linotype" w:hAnsi="Palatino Linotype"/>
          <w:i/>
          <w:color w:val="000000" w:themeColor="text1"/>
        </w:rPr>
        <w:t>IUBEO REINGENIERÍA ESTRATÉGICA DIGITAL Y ENLACE SOCIAL</w:t>
      </w:r>
      <w:r w:rsidRPr="00C21CC7">
        <w:rPr>
          <w:rFonts w:ascii="Palatino Linotype" w:hAnsi="Palatino Linotype"/>
          <w:color w:val="000000" w:themeColor="text1"/>
        </w:rPr>
        <w:t xml:space="preserve"> es una Sociedad Anónima Promotora de Inversión de Capital Variable, cuya actividad económica se orienta en la </w:t>
      </w:r>
      <w:r w:rsidRPr="00C21CC7">
        <w:rPr>
          <w:rFonts w:ascii="Palatino Linotype" w:hAnsi="Palatino Linotype"/>
          <w:i/>
          <w:color w:val="000000" w:themeColor="text1"/>
        </w:rPr>
        <w:t xml:space="preserve">compra, venta, fabricación, renta, producción, diseño, implementación, contratación, representación, distribución, exportación, importación, manufacturas, comercialización, operación, reparación, acondicionamiento, almacenamiento, administración de datos, consignación de toda clase de equipos de cómputo, </w:t>
      </w:r>
      <w:r w:rsidRPr="00C21CC7">
        <w:rPr>
          <w:rFonts w:ascii="Palatino Linotype" w:hAnsi="Palatino Linotype"/>
          <w:color w:val="000000" w:themeColor="text1"/>
        </w:rPr>
        <w:t>así como de</w:t>
      </w:r>
      <w:r w:rsidRPr="00C21CC7">
        <w:rPr>
          <w:rFonts w:ascii="Palatino Linotype" w:hAnsi="Palatino Linotype"/>
          <w:i/>
          <w:color w:val="000000" w:themeColor="text1"/>
        </w:rPr>
        <w:t xml:space="preserve"> herramientas, accesorios, refacciones, servidores, equipos de almacenamiento, equipos de telecomunicaciones, de tecnologías de virtualización, </w:t>
      </w:r>
      <w:proofErr w:type="spellStart"/>
      <w:r w:rsidRPr="00C21CC7">
        <w:rPr>
          <w:rFonts w:ascii="Palatino Linotype" w:hAnsi="Palatino Linotype"/>
          <w:i/>
          <w:color w:val="000000" w:themeColor="text1"/>
        </w:rPr>
        <w:t>hiperconvergencia</w:t>
      </w:r>
      <w:proofErr w:type="spellEnd"/>
      <w:r w:rsidRPr="00C21CC7">
        <w:rPr>
          <w:rFonts w:ascii="Palatino Linotype" w:hAnsi="Palatino Linotype"/>
          <w:i/>
          <w:color w:val="000000" w:themeColor="text1"/>
        </w:rPr>
        <w:t xml:space="preserve">, equipos de seguridad informática </w:t>
      </w:r>
      <w:r w:rsidRPr="00C21CC7">
        <w:rPr>
          <w:rFonts w:ascii="Palatino Linotype" w:hAnsi="Palatino Linotype"/>
          <w:color w:val="000000" w:themeColor="text1"/>
        </w:rPr>
        <w:t>y</w:t>
      </w:r>
      <w:r w:rsidRPr="00C21CC7">
        <w:rPr>
          <w:rFonts w:ascii="Palatino Linotype" w:hAnsi="Palatino Linotype"/>
          <w:i/>
          <w:color w:val="000000" w:themeColor="text1"/>
        </w:rPr>
        <w:t xml:space="preserve"> edición de software</w:t>
      </w:r>
      <w:r w:rsidRPr="00C21CC7">
        <w:rPr>
          <w:rFonts w:ascii="Palatino Linotype" w:hAnsi="Palatino Linotype"/>
          <w:color w:val="000000" w:themeColor="text1"/>
        </w:rPr>
        <w:t>.</w:t>
      </w:r>
    </w:p>
    <w:p w14:paraId="604B100C" w14:textId="77777777" w:rsidR="00555354" w:rsidRPr="00C21CC7" w:rsidRDefault="00555354" w:rsidP="00555354">
      <w:pPr>
        <w:pStyle w:val="Prrafodelista"/>
        <w:tabs>
          <w:tab w:val="left" w:pos="426"/>
        </w:tabs>
        <w:spacing w:before="240" w:after="240" w:line="360" w:lineRule="auto"/>
        <w:ind w:left="0" w:right="51"/>
        <w:jc w:val="both"/>
        <w:rPr>
          <w:rFonts w:ascii="Palatino Linotype" w:hAnsi="Palatino Linotype"/>
          <w:color w:val="000000" w:themeColor="text1"/>
        </w:rPr>
      </w:pPr>
    </w:p>
    <w:p w14:paraId="3AB38410" w14:textId="77777777" w:rsidR="00555354" w:rsidRPr="00C21CC7" w:rsidRDefault="00555354" w:rsidP="00241089">
      <w:pPr>
        <w:pStyle w:val="Prrafodelista"/>
        <w:tabs>
          <w:tab w:val="left" w:pos="426"/>
        </w:tabs>
        <w:spacing w:before="240" w:after="240" w:line="360" w:lineRule="auto"/>
        <w:ind w:left="0" w:right="51"/>
        <w:jc w:val="both"/>
        <w:rPr>
          <w:rFonts w:ascii="Palatino Linotype" w:hAnsi="Palatino Linotype"/>
          <w:color w:val="000000" w:themeColor="text1"/>
        </w:rPr>
      </w:pPr>
      <w:r w:rsidRPr="00C21CC7">
        <w:rPr>
          <w:rFonts w:ascii="Palatino Linotype" w:hAnsi="Palatino Linotype"/>
          <w:color w:val="000000" w:themeColor="text1"/>
        </w:rPr>
        <w:t xml:space="preserve">En ese sentido, </w:t>
      </w:r>
      <w:r w:rsidRPr="00C21CC7">
        <w:rPr>
          <w:rFonts w:ascii="Palatino Linotype" w:hAnsi="Palatino Linotype" w:cs="Arial"/>
        </w:rPr>
        <w:t xml:space="preserve">es necesario señalar que </w:t>
      </w:r>
      <w:proofErr w:type="gramStart"/>
      <w:r w:rsidRPr="00C21CC7">
        <w:rPr>
          <w:rFonts w:ascii="Palatino Linotype" w:hAnsi="Palatino Linotype" w:cs="Arial"/>
        </w:rPr>
        <w:t>éste</w:t>
      </w:r>
      <w:proofErr w:type="gramEnd"/>
      <w:r w:rsidRPr="00C21CC7">
        <w:rPr>
          <w:rFonts w:ascii="Palatino Linotype" w:hAnsi="Palatino Linotype" w:cs="Arial"/>
        </w:rPr>
        <w:t xml:space="preserve"> Órgano Garante no está facultado para pronunciarse sobre la veracidad de la información que los Sujetos Obligados ponen a disposición de los solicitantes; situación que se aleja de las atribuciones de este Instituto </w:t>
      </w:r>
      <w:r w:rsidRPr="00C21CC7">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14:paraId="13DE1C47" w14:textId="77777777" w:rsidR="00555354" w:rsidRPr="00C21CC7" w:rsidRDefault="00555354" w:rsidP="00555354">
      <w:pPr>
        <w:pStyle w:val="Prrafodelista"/>
        <w:tabs>
          <w:tab w:val="left" w:pos="426"/>
        </w:tabs>
        <w:spacing w:before="240" w:after="240" w:line="360" w:lineRule="auto"/>
        <w:ind w:left="0" w:right="51"/>
        <w:jc w:val="both"/>
        <w:rPr>
          <w:rFonts w:ascii="Palatino Linotype" w:hAnsi="Palatino Linotype"/>
          <w:color w:val="000000" w:themeColor="text1"/>
        </w:rPr>
      </w:pPr>
    </w:p>
    <w:p w14:paraId="4AEF87B0" w14:textId="77777777" w:rsidR="00555354" w:rsidRPr="00C21CC7" w:rsidRDefault="00555354" w:rsidP="00241089">
      <w:pPr>
        <w:pStyle w:val="Prrafodelista"/>
        <w:tabs>
          <w:tab w:val="left" w:pos="426"/>
        </w:tabs>
        <w:spacing w:before="240" w:after="240" w:line="360" w:lineRule="auto"/>
        <w:ind w:left="0" w:right="51"/>
        <w:jc w:val="both"/>
        <w:rPr>
          <w:rFonts w:ascii="Palatino Linotype" w:hAnsi="Palatino Linotype"/>
          <w:color w:val="000000" w:themeColor="text1"/>
        </w:rPr>
      </w:pPr>
      <w:r w:rsidRPr="00C21CC7">
        <w:rPr>
          <w:rFonts w:ascii="Palatino Linotype" w:hAnsi="Palatino Linotype"/>
          <w:color w:val="000000" w:themeColor="text1"/>
        </w:rPr>
        <w:t xml:space="preserve">Sustenta </w:t>
      </w:r>
      <w:r w:rsidRPr="00C21CC7">
        <w:rPr>
          <w:rFonts w:ascii="Palatino Linotype" w:hAnsi="Palatino Linotype"/>
        </w:rPr>
        <w:t xml:space="preserve">lo anterior el Criterio de Interpretación </w:t>
      </w:r>
      <w:r w:rsidRPr="00C21CC7">
        <w:rPr>
          <w:rFonts w:ascii="Palatino Linotype" w:hAnsi="Palatino Linotype"/>
          <w:b/>
        </w:rPr>
        <w:t>31-10</w:t>
      </w:r>
      <w:r w:rsidRPr="00C21CC7">
        <w:rPr>
          <w:rFonts w:ascii="Palatino Linotype" w:hAnsi="Palatino Linotype"/>
        </w:rPr>
        <w:t xml:space="preserve"> emitido por el ahora Instituto Nacional de Transparencia, Acceso a la Información y Protección de Datos Personales, que a la letra dice:</w:t>
      </w:r>
    </w:p>
    <w:p w14:paraId="6235581B" w14:textId="77777777" w:rsidR="00555354" w:rsidRPr="00C21CC7" w:rsidRDefault="00555354" w:rsidP="00555354">
      <w:pPr>
        <w:pStyle w:val="Prrafodelista"/>
        <w:tabs>
          <w:tab w:val="left" w:pos="426"/>
        </w:tabs>
        <w:spacing w:before="240" w:after="240" w:line="360" w:lineRule="auto"/>
        <w:ind w:left="850" w:right="907"/>
        <w:jc w:val="both"/>
        <w:rPr>
          <w:rFonts w:ascii="Palatino Linotype" w:hAnsi="Palatino Linotype"/>
          <w:color w:val="000000" w:themeColor="text1"/>
        </w:rPr>
      </w:pPr>
    </w:p>
    <w:p w14:paraId="3381F69A" w14:textId="77777777" w:rsidR="00555354" w:rsidRPr="00C21CC7" w:rsidRDefault="00555354" w:rsidP="00555354">
      <w:pPr>
        <w:pStyle w:val="Prrafodelista"/>
        <w:tabs>
          <w:tab w:val="left" w:pos="426"/>
        </w:tabs>
        <w:spacing w:before="240" w:after="240" w:line="276" w:lineRule="auto"/>
        <w:ind w:left="850" w:right="907"/>
        <w:jc w:val="both"/>
        <w:rPr>
          <w:rFonts w:ascii="Palatino Linotype" w:hAnsi="Palatino Linotype"/>
          <w:i/>
          <w:color w:val="000000" w:themeColor="text1"/>
        </w:rPr>
      </w:pPr>
      <w:r w:rsidRPr="00C21CC7">
        <w:rPr>
          <w:rFonts w:ascii="Palatino Linotype" w:hAnsi="Palatino Linotype"/>
          <w:b/>
          <w:i/>
          <w:color w:val="000000" w:themeColor="text1"/>
        </w:rPr>
        <w:t xml:space="preserve">EL INSTITUTO FEDERAL DE ACCESO A LA INFORMACIÓN Y PROTECCIÓN DE DATOS NO CUENTA CON FACULTADES PARA PRONUNCIARSE RESPECTO DE LA VERACIDAD DE </w:t>
      </w:r>
      <w:r w:rsidRPr="00C21CC7">
        <w:rPr>
          <w:rFonts w:ascii="Palatino Linotype" w:hAnsi="Palatino Linotype"/>
          <w:b/>
          <w:i/>
          <w:color w:val="000000" w:themeColor="text1"/>
        </w:rPr>
        <w:lastRenderedPageBreak/>
        <w:t>LOS DOCUMENTOS PROPORCIONADOS POR LOS SUJETOS OBLIGADOS</w:t>
      </w:r>
      <w:r w:rsidRPr="00C21CC7">
        <w:rPr>
          <w:rFonts w:ascii="Palatino Linotype" w:hAnsi="Palatino Linotype"/>
          <w:i/>
          <w:color w:val="000000" w:themeColor="text1"/>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BDE2FEA" w14:textId="77777777" w:rsidR="00555354" w:rsidRPr="00C21CC7" w:rsidRDefault="00555354" w:rsidP="00555354">
      <w:pPr>
        <w:pStyle w:val="Prrafodelista"/>
        <w:tabs>
          <w:tab w:val="left" w:pos="426"/>
        </w:tabs>
        <w:spacing w:before="240" w:after="240" w:line="360" w:lineRule="auto"/>
        <w:ind w:left="850" w:right="907"/>
        <w:jc w:val="both"/>
        <w:rPr>
          <w:rFonts w:ascii="Palatino Linotype" w:hAnsi="Palatino Linotype"/>
          <w:color w:val="000000" w:themeColor="text1"/>
        </w:rPr>
      </w:pPr>
    </w:p>
    <w:p w14:paraId="35E0DFCD" w14:textId="77777777" w:rsidR="00555354" w:rsidRPr="00C21CC7" w:rsidRDefault="00555354" w:rsidP="00241089">
      <w:pPr>
        <w:pStyle w:val="Prrafodelista"/>
        <w:tabs>
          <w:tab w:val="left" w:pos="426"/>
        </w:tabs>
        <w:spacing w:before="240" w:after="240" w:line="360" w:lineRule="auto"/>
        <w:ind w:left="0" w:right="51"/>
        <w:jc w:val="both"/>
        <w:rPr>
          <w:rFonts w:ascii="Palatino Linotype" w:hAnsi="Palatino Linotype"/>
          <w:color w:val="000000" w:themeColor="text1"/>
        </w:rPr>
      </w:pPr>
      <w:r w:rsidRPr="00C21CC7">
        <w:rPr>
          <w:rFonts w:ascii="Palatino Linotype" w:hAnsi="Palatino Linotype"/>
          <w:color w:val="000000" w:themeColor="text1"/>
        </w:rPr>
        <w:t xml:space="preserve">Así </w:t>
      </w:r>
      <w:r w:rsidRPr="00C21CC7">
        <w:rPr>
          <w:rFonts w:ascii="Palatino Linotype" w:hAnsi="Palatino Linotype" w:cs="Arial"/>
        </w:rPr>
        <w:t>mismo,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0EF6935E" w14:textId="77777777" w:rsidR="00555354" w:rsidRPr="00C21CC7" w:rsidRDefault="00555354" w:rsidP="00555354">
      <w:pPr>
        <w:pStyle w:val="Prrafodelista"/>
        <w:tabs>
          <w:tab w:val="left" w:pos="426"/>
        </w:tabs>
        <w:spacing w:before="240" w:after="240" w:line="360" w:lineRule="auto"/>
        <w:ind w:left="850" w:right="907"/>
        <w:jc w:val="both"/>
        <w:rPr>
          <w:rFonts w:ascii="Palatino Linotype" w:hAnsi="Palatino Linotype"/>
          <w:color w:val="000000" w:themeColor="text1"/>
        </w:rPr>
      </w:pPr>
    </w:p>
    <w:p w14:paraId="24803319" w14:textId="77777777" w:rsidR="00555354" w:rsidRPr="00C21CC7" w:rsidRDefault="00555354" w:rsidP="00555354">
      <w:pPr>
        <w:pStyle w:val="Prrafodelista"/>
        <w:tabs>
          <w:tab w:val="left" w:pos="426"/>
        </w:tabs>
        <w:spacing w:before="240" w:after="240" w:line="276" w:lineRule="auto"/>
        <w:ind w:left="850" w:right="907"/>
        <w:jc w:val="both"/>
        <w:rPr>
          <w:rFonts w:ascii="Palatino Linotype" w:hAnsi="Palatino Linotype"/>
          <w:i/>
          <w:color w:val="000000" w:themeColor="text1"/>
        </w:rPr>
      </w:pPr>
      <w:r w:rsidRPr="00C21CC7">
        <w:rPr>
          <w:rFonts w:ascii="Palatino Linotype" w:hAnsi="Palatino Linotype"/>
          <w:i/>
          <w:color w:val="000000" w:themeColor="text1"/>
        </w:rPr>
        <w:t>“</w:t>
      </w:r>
      <w:r w:rsidRPr="00C21CC7">
        <w:rPr>
          <w:rFonts w:ascii="Palatino Linotype" w:hAnsi="Palatino Linotype"/>
          <w:b/>
          <w:i/>
          <w:color w:val="000000" w:themeColor="text1"/>
        </w:rPr>
        <w:t>Artículo 3.-</w:t>
      </w:r>
      <w:r w:rsidRPr="00C21CC7">
        <w:rPr>
          <w:rFonts w:ascii="Palatino Linotype" w:hAnsi="Palatino Linotype"/>
          <w:i/>
          <w:color w:val="000000" w:themeColor="text1"/>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C21CC7">
        <w:rPr>
          <w:rFonts w:ascii="Palatino Linotype" w:hAnsi="Palatino Linotype"/>
          <w:b/>
          <w:i/>
          <w:color w:val="000000" w:themeColor="text1"/>
        </w:rPr>
        <w:t xml:space="preserve">Los Sujetos Obligados deben poner en práctica, políticas y programas de acceso a la información que se apeguen a criterios de publicidad, </w:t>
      </w:r>
      <w:r w:rsidRPr="00C21CC7">
        <w:rPr>
          <w:rFonts w:ascii="Palatino Linotype" w:hAnsi="Palatino Linotype"/>
          <w:b/>
          <w:i/>
          <w:color w:val="000000" w:themeColor="text1"/>
        </w:rPr>
        <w:lastRenderedPageBreak/>
        <w:t>veracidad, oportunidad, precisión y suficiencia en beneficio de los solicitantes.</w:t>
      </w:r>
      <w:r w:rsidRPr="00C21CC7">
        <w:rPr>
          <w:rFonts w:ascii="Palatino Linotype" w:hAnsi="Palatino Linotype"/>
          <w:i/>
          <w:color w:val="000000" w:themeColor="text1"/>
        </w:rPr>
        <w:t>”</w:t>
      </w:r>
    </w:p>
    <w:p w14:paraId="65351787" w14:textId="77777777" w:rsidR="00555354" w:rsidRPr="00C21CC7" w:rsidRDefault="00555354" w:rsidP="00555354">
      <w:pPr>
        <w:pStyle w:val="Prrafodelista"/>
        <w:tabs>
          <w:tab w:val="left" w:pos="426"/>
        </w:tabs>
        <w:spacing w:before="240" w:after="240" w:line="276" w:lineRule="auto"/>
        <w:ind w:left="850" w:right="907"/>
        <w:jc w:val="both"/>
        <w:rPr>
          <w:rFonts w:ascii="Palatino Linotype" w:hAnsi="Palatino Linotype"/>
          <w:color w:val="000000" w:themeColor="text1"/>
        </w:rPr>
      </w:pPr>
      <w:r w:rsidRPr="00C21CC7">
        <w:rPr>
          <w:rFonts w:ascii="Palatino Linotype" w:hAnsi="Palatino Linotype"/>
          <w:color w:val="000000" w:themeColor="text1"/>
        </w:rPr>
        <w:t>(Énfasis añadido)</w:t>
      </w:r>
    </w:p>
    <w:p w14:paraId="40D480E4" w14:textId="77777777" w:rsidR="00555354" w:rsidRPr="00C21CC7" w:rsidRDefault="00555354" w:rsidP="00555354">
      <w:pPr>
        <w:pStyle w:val="Prrafodelista"/>
        <w:tabs>
          <w:tab w:val="left" w:pos="426"/>
        </w:tabs>
        <w:spacing w:before="240" w:after="240" w:line="360" w:lineRule="auto"/>
        <w:ind w:left="850" w:right="907"/>
        <w:jc w:val="both"/>
        <w:rPr>
          <w:rFonts w:ascii="Palatino Linotype" w:hAnsi="Palatino Linotype"/>
          <w:color w:val="000000" w:themeColor="text1"/>
        </w:rPr>
      </w:pPr>
    </w:p>
    <w:p w14:paraId="3361856B" w14:textId="77777777" w:rsidR="00555354" w:rsidRPr="00C21CC7" w:rsidRDefault="00555354" w:rsidP="00241089">
      <w:pPr>
        <w:pStyle w:val="Prrafodelista"/>
        <w:tabs>
          <w:tab w:val="left" w:pos="426"/>
        </w:tabs>
        <w:spacing w:before="240" w:after="240" w:line="360" w:lineRule="auto"/>
        <w:ind w:left="0" w:right="51"/>
        <w:jc w:val="both"/>
        <w:rPr>
          <w:rFonts w:ascii="Palatino Linotype" w:hAnsi="Palatino Linotype"/>
          <w:color w:val="000000" w:themeColor="text1"/>
        </w:rPr>
      </w:pPr>
      <w:r w:rsidRPr="00C21CC7">
        <w:rPr>
          <w:rFonts w:ascii="Palatino Linotype" w:hAnsi="Palatino Linotype"/>
          <w:color w:val="000000" w:themeColor="text1"/>
        </w:rPr>
        <w:t xml:space="preserve">Numerales </w:t>
      </w:r>
      <w:r w:rsidRPr="00C21CC7">
        <w:rPr>
          <w:rFonts w:ascii="Palatino Linotype" w:hAnsi="Palatino Linotype" w:cs="Arial"/>
          <w:noProof/>
          <w:lang w:eastAsia="es-MX"/>
        </w:rPr>
        <w:t xml:space="preserve">que compelen al </w:t>
      </w:r>
      <w:r w:rsidRPr="00C21CC7">
        <w:rPr>
          <w:rFonts w:ascii="Palatino Linotype" w:hAnsi="Palatino Linotype" w:cs="Arial"/>
          <w:b/>
          <w:noProof/>
          <w:lang w:eastAsia="es-MX"/>
        </w:rPr>
        <w:t>SUJETO OBLIGADO</w:t>
      </w:r>
      <w:r w:rsidRPr="00C21CC7">
        <w:rPr>
          <w:rFonts w:ascii="Palatino Linotype" w:hAnsi="Palatino Linotype" w:cs="Arial"/>
          <w:noProof/>
          <w:lang w:eastAsia="es-MX"/>
        </w:rPr>
        <w:t xml:space="preserve"> a apegarse en todo momento a los criterios ya expuestos, imipidiendo a este Órgano Colegiado cuestionar la veracidad de la información.</w:t>
      </w:r>
    </w:p>
    <w:p w14:paraId="3F482480" w14:textId="77777777" w:rsidR="00555354" w:rsidRPr="00C21CC7" w:rsidRDefault="00555354" w:rsidP="00555354">
      <w:pPr>
        <w:pStyle w:val="Prrafodelista"/>
        <w:tabs>
          <w:tab w:val="left" w:pos="426"/>
        </w:tabs>
        <w:spacing w:before="240" w:after="240" w:line="360" w:lineRule="auto"/>
        <w:ind w:left="0" w:right="51"/>
        <w:jc w:val="both"/>
        <w:rPr>
          <w:rFonts w:ascii="Palatino Linotype" w:hAnsi="Palatino Linotype"/>
          <w:color w:val="000000" w:themeColor="text1"/>
        </w:rPr>
      </w:pPr>
    </w:p>
    <w:p w14:paraId="4DAD190B" w14:textId="77777777" w:rsidR="00555354" w:rsidRPr="00C21CC7" w:rsidRDefault="00555354" w:rsidP="00241089">
      <w:pPr>
        <w:pStyle w:val="Prrafodelista"/>
        <w:tabs>
          <w:tab w:val="left" w:pos="426"/>
        </w:tabs>
        <w:spacing w:before="240" w:after="240" w:line="360" w:lineRule="auto"/>
        <w:ind w:left="0" w:right="51"/>
        <w:jc w:val="both"/>
        <w:rPr>
          <w:rFonts w:ascii="Palatino Linotype" w:hAnsi="Palatino Linotype"/>
          <w:color w:val="000000" w:themeColor="text1"/>
        </w:rPr>
      </w:pPr>
      <w:r w:rsidRPr="00C21CC7">
        <w:rPr>
          <w:rFonts w:ascii="Palatino Linotype" w:hAnsi="Palatino Linotype"/>
          <w:color w:val="000000" w:themeColor="text1"/>
        </w:rPr>
        <w:t xml:space="preserve">Luego entonces, por cuanto hace a la persona jurídico-colectiva señalada por el </w:t>
      </w:r>
      <w:r w:rsidRPr="00C21CC7">
        <w:rPr>
          <w:rFonts w:ascii="Palatino Linotype" w:hAnsi="Palatino Linotype"/>
          <w:b/>
          <w:color w:val="000000" w:themeColor="text1"/>
        </w:rPr>
        <w:t>SUJETO OBLIGADO</w:t>
      </w:r>
      <w:r w:rsidRPr="00C21CC7">
        <w:rPr>
          <w:rFonts w:ascii="Palatino Linotype" w:hAnsi="Palatino Linotype"/>
          <w:color w:val="000000" w:themeColor="text1"/>
        </w:rPr>
        <w:t xml:space="preserve">, y quien fuera contratada por éste para diseñar e implementar la aplicación </w:t>
      </w:r>
      <w:r w:rsidRPr="00C21CC7">
        <w:rPr>
          <w:rFonts w:ascii="Palatino Linotype" w:hAnsi="Palatino Linotype"/>
          <w:i/>
          <w:color w:val="000000" w:themeColor="text1"/>
        </w:rPr>
        <w:t>Coacalco Seguro</w:t>
      </w:r>
      <w:r w:rsidRPr="00C21CC7">
        <w:rPr>
          <w:rFonts w:ascii="Palatino Linotype" w:hAnsi="Palatino Linotype"/>
          <w:color w:val="000000" w:themeColor="text1"/>
        </w:rPr>
        <w:t xml:space="preserve">, se tiene que fue la denominada </w:t>
      </w:r>
      <w:r w:rsidRPr="00C21CC7">
        <w:rPr>
          <w:rFonts w:ascii="Palatino Linotype" w:hAnsi="Palatino Linotype"/>
          <w:i/>
          <w:color w:val="000000" w:themeColor="text1"/>
        </w:rPr>
        <w:t>IUBEO REINGENIERÍA ESTRATÉGICA DIGITAL Y ENLACE SOCIAL S.A.P.I. DE C.V.</w:t>
      </w:r>
    </w:p>
    <w:p w14:paraId="04A68CF9" w14:textId="77777777" w:rsidR="00555354" w:rsidRPr="00C21CC7" w:rsidRDefault="00555354" w:rsidP="00555354">
      <w:pPr>
        <w:pStyle w:val="Prrafodelista"/>
        <w:tabs>
          <w:tab w:val="left" w:pos="426"/>
        </w:tabs>
        <w:spacing w:before="240" w:after="240" w:line="360" w:lineRule="auto"/>
        <w:ind w:left="0" w:right="51"/>
        <w:jc w:val="both"/>
        <w:rPr>
          <w:rFonts w:ascii="Palatino Linotype" w:hAnsi="Palatino Linotype"/>
          <w:color w:val="000000" w:themeColor="text1"/>
        </w:rPr>
      </w:pPr>
    </w:p>
    <w:p w14:paraId="047AD4FF" w14:textId="77777777" w:rsidR="00555354" w:rsidRPr="00C21CC7" w:rsidRDefault="00555354" w:rsidP="00241089">
      <w:pPr>
        <w:pStyle w:val="Prrafodelista"/>
        <w:tabs>
          <w:tab w:val="left" w:pos="426"/>
        </w:tabs>
        <w:spacing w:before="240" w:after="240" w:line="360" w:lineRule="auto"/>
        <w:ind w:left="0" w:right="51"/>
        <w:jc w:val="both"/>
        <w:rPr>
          <w:rFonts w:ascii="Palatino Linotype" w:hAnsi="Palatino Linotype"/>
          <w:color w:val="000000" w:themeColor="text1"/>
        </w:rPr>
      </w:pPr>
      <w:r w:rsidRPr="00C21CC7">
        <w:rPr>
          <w:rFonts w:ascii="Palatino Linotype" w:hAnsi="Palatino Linotype"/>
          <w:color w:val="000000" w:themeColor="text1"/>
        </w:rPr>
        <w:t xml:space="preserve">No obstante, </w:t>
      </w:r>
      <w:r w:rsidRPr="00C21CC7">
        <w:rPr>
          <w:rFonts w:ascii="Palatino Linotype" w:hAnsi="Palatino Linotype"/>
          <w:b/>
          <w:color w:val="000000" w:themeColor="text1"/>
        </w:rPr>
        <w:t>del análisis realizado al contenido de la Licencia de Usuario Final</w:t>
      </w:r>
      <w:r w:rsidRPr="00C21CC7">
        <w:rPr>
          <w:rFonts w:ascii="Palatino Linotype" w:hAnsi="Palatino Linotype"/>
          <w:color w:val="000000" w:themeColor="text1"/>
        </w:rPr>
        <w:t xml:space="preserve"> expedida por la persona jurídico-colectiva </w:t>
      </w:r>
      <w:r w:rsidRPr="00C21CC7">
        <w:rPr>
          <w:rFonts w:ascii="Palatino Linotype" w:hAnsi="Palatino Linotype"/>
          <w:i/>
          <w:color w:val="000000" w:themeColor="text1"/>
        </w:rPr>
        <w:t>IUBEO</w:t>
      </w:r>
      <w:r w:rsidRPr="00C21CC7">
        <w:rPr>
          <w:rFonts w:ascii="Palatino Linotype" w:hAnsi="Palatino Linotype"/>
          <w:color w:val="000000" w:themeColor="text1"/>
        </w:rPr>
        <w:t xml:space="preserve"> en favor del </w:t>
      </w:r>
      <w:r w:rsidRPr="00C21CC7">
        <w:rPr>
          <w:rFonts w:ascii="Palatino Linotype" w:hAnsi="Palatino Linotype"/>
          <w:b/>
          <w:color w:val="000000" w:themeColor="text1"/>
        </w:rPr>
        <w:t>SUJETO OBLIGADO</w:t>
      </w:r>
      <w:r w:rsidRPr="00C21CC7">
        <w:rPr>
          <w:rFonts w:ascii="Palatino Linotype" w:hAnsi="Palatino Linotype"/>
          <w:color w:val="000000" w:themeColor="text1"/>
        </w:rPr>
        <w:t xml:space="preserve">, y entregada en respuesta a la solicitud primigenia, </w:t>
      </w:r>
      <w:r w:rsidRPr="00C21CC7">
        <w:rPr>
          <w:rFonts w:ascii="Palatino Linotype" w:hAnsi="Palatino Linotype"/>
          <w:b/>
          <w:color w:val="000000" w:themeColor="text1"/>
        </w:rPr>
        <w:t>no se advierten elementos esenciales que pudieran acreditar que el documento en cuestión se trata de un contrato</w:t>
      </w:r>
      <w:r w:rsidRPr="00C21CC7">
        <w:rPr>
          <w:rFonts w:ascii="Palatino Linotype" w:hAnsi="Palatino Linotype"/>
          <w:color w:val="000000" w:themeColor="text1"/>
        </w:rPr>
        <w:t>, puesto que la licencia de mérito no contiene firmas de los suscriptores ni tampoco precios o montos de la contratación.</w:t>
      </w:r>
    </w:p>
    <w:p w14:paraId="7749F860" w14:textId="77777777" w:rsidR="00555354" w:rsidRPr="00C21CC7" w:rsidRDefault="00555354" w:rsidP="00555354">
      <w:pPr>
        <w:pStyle w:val="Prrafodelista"/>
        <w:tabs>
          <w:tab w:val="left" w:pos="426"/>
        </w:tabs>
        <w:spacing w:before="240" w:after="240" w:line="360" w:lineRule="auto"/>
        <w:ind w:left="0" w:right="51"/>
        <w:jc w:val="both"/>
        <w:rPr>
          <w:rFonts w:ascii="Palatino Linotype" w:hAnsi="Palatino Linotype"/>
          <w:color w:val="000000" w:themeColor="text1"/>
        </w:rPr>
      </w:pPr>
    </w:p>
    <w:p w14:paraId="6BCA6E7D" w14:textId="77777777" w:rsidR="00555354" w:rsidRPr="00C21CC7" w:rsidRDefault="00555354" w:rsidP="00241089">
      <w:pPr>
        <w:tabs>
          <w:tab w:val="left" w:pos="426"/>
        </w:tabs>
        <w:spacing w:line="360" w:lineRule="auto"/>
        <w:ind w:right="49"/>
        <w:contextualSpacing/>
        <w:jc w:val="both"/>
        <w:rPr>
          <w:rFonts w:ascii="Palatino Linotype" w:hAnsi="Palatino Linotype" w:cs="Arial"/>
          <w:color w:val="000000" w:themeColor="text1"/>
        </w:rPr>
      </w:pPr>
      <w:r w:rsidRPr="00C21CC7">
        <w:rPr>
          <w:rFonts w:ascii="Palatino Linotype" w:hAnsi="Palatino Linotype"/>
          <w:color w:val="000000" w:themeColor="text1"/>
        </w:rPr>
        <w:t xml:space="preserve">Así las cosas, </w:t>
      </w:r>
      <w:r w:rsidRPr="00C21CC7">
        <w:rPr>
          <w:rFonts w:ascii="Palatino Linotype" w:hAnsi="Palatino Linotype" w:cs="Arial"/>
          <w:color w:val="000000" w:themeColor="text1"/>
        </w:rPr>
        <w:t xml:space="preserve">es conveniente señalar que la naturaleza de un contrato de servicios </w:t>
      </w:r>
      <w:r w:rsidRPr="00C21CC7">
        <w:rPr>
          <w:rFonts w:ascii="Palatino Linotype" w:hAnsi="Palatino Linotype" w:cs="Arial"/>
          <w:color w:val="000000" w:themeColor="text1"/>
          <w:lang w:val="es-ES_tradnl"/>
        </w:rPr>
        <w:t xml:space="preserve">encuadra perfectamente como información pública de oficio que el </w:t>
      </w:r>
      <w:r w:rsidRPr="00C21CC7">
        <w:rPr>
          <w:rFonts w:ascii="Palatino Linotype" w:hAnsi="Palatino Linotype" w:cs="Arial"/>
          <w:b/>
          <w:color w:val="000000" w:themeColor="text1"/>
          <w:lang w:val="es-ES_tradnl"/>
        </w:rPr>
        <w:t>SUJETO OBLIGADO</w:t>
      </w:r>
      <w:r w:rsidRPr="00C21CC7">
        <w:rPr>
          <w:rFonts w:ascii="Palatino Linotype" w:hAnsi="Palatino Linotype" w:cs="Arial"/>
          <w:color w:val="000000" w:themeColor="text1"/>
          <w:lang w:val="es-ES_tradnl"/>
        </w:rPr>
        <w:t xml:space="preserve"> está impuesto a poner a disposición de los particulares, de conformidad con la fracción XXXII del artículo 92 de la Ley de Transparencia y Acceso a la Información Pública del Estado de México y Municipios, así como la </w:t>
      </w:r>
      <w:r w:rsidRPr="00C21CC7">
        <w:rPr>
          <w:rFonts w:ascii="Palatino Linotype" w:hAnsi="Palatino Linotype" w:cs="Arial"/>
          <w:color w:val="000000" w:themeColor="text1"/>
          <w:lang w:val="es-ES_tradnl"/>
        </w:rPr>
        <w:lastRenderedPageBreak/>
        <w:t>fracción XXVII del numeral 70 de su homóloga Ley General, las cuales refieren lo siguiente:</w:t>
      </w:r>
    </w:p>
    <w:p w14:paraId="4FFD95BD" w14:textId="77777777" w:rsidR="00555354" w:rsidRPr="00C21CC7" w:rsidRDefault="00555354" w:rsidP="00555354">
      <w:pPr>
        <w:pStyle w:val="Prrafodelista"/>
        <w:tabs>
          <w:tab w:val="left" w:pos="142"/>
          <w:tab w:val="left" w:pos="284"/>
          <w:tab w:val="left" w:pos="426"/>
        </w:tabs>
        <w:spacing w:before="240" w:after="240" w:line="276" w:lineRule="auto"/>
        <w:ind w:left="850" w:right="907"/>
        <w:jc w:val="center"/>
        <w:rPr>
          <w:rFonts w:ascii="Palatino Linotype" w:eastAsia="MS Gothic" w:hAnsi="Palatino Linotype" w:cs="Times New Roman"/>
          <w:b/>
          <w:i/>
        </w:rPr>
      </w:pPr>
      <w:r w:rsidRPr="00C21CC7">
        <w:rPr>
          <w:rFonts w:ascii="Palatino Linotype" w:hAnsi="Palatino Linotype"/>
          <w:b/>
          <w:i/>
        </w:rPr>
        <w:t>LEY DE TRANSPARENCIA Y ACCESO A LA INFORMACIÓN PÚBLICA DEL ESTADO DE MÉXICO Y MUNICIPIOS</w:t>
      </w:r>
    </w:p>
    <w:p w14:paraId="4E6655E4" w14:textId="77777777" w:rsidR="00555354" w:rsidRPr="00C21CC7" w:rsidRDefault="00555354" w:rsidP="00555354">
      <w:pPr>
        <w:pStyle w:val="Prrafodelista"/>
        <w:tabs>
          <w:tab w:val="left" w:pos="142"/>
          <w:tab w:val="left" w:pos="284"/>
          <w:tab w:val="left" w:pos="426"/>
        </w:tabs>
        <w:spacing w:before="240" w:after="240" w:line="276" w:lineRule="auto"/>
        <w:ind w:left="850" w:right="907"/>
        <w:jc w:val="both"/>
        <w:rPr>
          <w:rFonts w:ascii="Palatino Linotype" w:hAnsi="Palatino Linotype"/>
          <w:i/>
        </w:rPr>
      </w:pPr>
      <w:r w:rsidRPr="00C21CC7">
        <w:rPr>
          <w:rFonts w:ascii="Palatino Linotype" w:hAnsi="Palatino Linotype"/>
          <w:i/>
        </w:rPr>
        <w:t>“</w:t>
      </w:r>
      <w:r w:rsidRPr="00C21CC7">
        <w:rPr>
          <w:rFonts w:ascii="Palatino Linotype" w:hAnsi="Palatino Linotype"/>
          <w:b/>
          <w:i/>
        </w:rPr>
        <w:t>Artículo 92.</w:t>
      </w:r>
      <w:r w:rsidRPr="00C21CC7">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6F9EAB0" w14:textId="77777777" w:rsidR="00555354" w:rsidRPr="00C21CC7" w:rsidRDefault="00555354" w:rsidP="00555354">
      <w:pPr>
        <w:pStyle w:val="Prrafodelista"/>
        <w:tabs>
          <w:tab w:val="left" w:pos="142"/>
          <w:tab w:val="left" w:pos="284"/>
          <w:tab w:val="left" w:pos="426"/>
        </w:tabs>
        <w:spacing w:before="240" w:after="240" w:line="276" w:lineRule="auto"/>
        <w:ind w:left="850" w:right="907"/>
        <w:jc w:val="both"/>
        <w:rPr>
          <w:rFonts w:ascii="Palatino Linotype" w:hAnsi="Palatino Linotype"/>
          <w:i/>
        </w:rPr>
      </w:pPr>
      <w:r w:rsidRPr="00C21CC7">
        <w:rPr>
          <w:rFonts w:ascii="Palatino Linotype" w:hAnsi="Palatino Linotype"/>
          <w:i/>
        </w:rPr>
        <w:t>(…)</w:t>
      </w:r>
    </w:p>
    <w:p w14:paraId="7CAD3A20" w14:textId="77777777" w:rsidR="00555354" w:rsidRPr="00C21CC7" w:rsidRDefault="00555354" w:rsidP="00555354">
      <w:pPr>
        <w:pStyle w:val="Prrafodelista"/>
        <w:tabs>
          <w:tab w:val="left" w:pos="142"/>
          <w:tab w:val="left" w:pos="284"/>
          <w:tab w:val="left" w:pos="426"/>
        </w:tabs>
        <w:spacing w:before="240" w:after="240" w:line="276" w:lineRule="auto"/>
        <w:ind w:left="850" w:right="907"/>
        <w:jc w:val="both"/>
        <w:rPr>
          <w:rFonts w:ascii="Palatino Linotype" w:hAnsi="Palatino Linotype"/>
          <w:i/>
        </w:rPr>
      </w:pPr>
      <w:r w:rsidRPr="00C21CC7">
        <w:rPr>
          <w:rFonts w:ascii="Palatino Linotype" w:hAnsi="Palatino Linotype"/>
          <w:b/>
          <w:i/>
        </w:rPr>
        <w:t>XXIX.</w:t>
      </w:r>
      <w:r w:rsidRPr="00C21CC7">
        <w:rPr>
          <w:rFonts w:ascii="Palatino Linotype" w:hAnsi="Palatino Linotype"/>
          <w:i/>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1C9BD5D0" w14:textId="77777777" w:rsidR="00555354" w:rsidRPr="00C21CC7" w:rsidRDefault="00555354" w:rsidP="00555354">
      <w:pPr>
        <w:pStyle w:val="Prrafodelista"/>
        <w:tabs>
          <w:tab w:val="left" w:pos="142"/>
          <w:tab w:val="left" w:pos="284"/>
          <w:tab w:val="left" w:pos="851"/>
        </w:tabs>
        <w:spacing w:before="240" w:after="240" w:line="276" w:lineRule="auto"/>
        <w:ind w:left="850" w:right="907"/>
        <w:jc w:val="both"/>
        <w:rPr>
          <w:rFonts w:ascii="Palatino Linotype" w:hAnsi="Palatino Linotype"/>
          <w:b/>
          <w:i/>
        </w:rPr>
      </w:pPr>
      <w:r w:rsidRPr="00C21CC7">
        <w:rPr>
          <w:rFonts w:ascii="Palatino Linotype" w:hAnsi="Palatino Linotype"/>
          <w:b/>
          <w:i/>
        </w:rPr>
        <w:t>a) De licitaciones públicas o procedimientos de invitación restringida:</w:t>
      </w:r>
    </w:p>
    <w:p w14:paraId="21664D87" w14:textId="77777777" w:rsidR="00555354" w:rsidRPr="00C21CC7" w:rsidRDefault="00555354" w:rsidP="00555354">
      <w:pPr>
        <w:pStyle w:val="Prrafodelista"/>
        <w:tabs>
          <w:tab w:val="left" w:pos="142"/>
          <w:tab w:val="left" w:pos="284"/>
          <w:tab w:val="left" w:pos="709"/>
        </w:tabs>
        <w:spacing w:before="240" w:after="240" w:line="276" w:lineRule="auto"/>
        <w:ind w:left="850" w:right="907"/>
        <w:jc w:val="both"/>
        <w:rPr>
          <w:rFonts w:ascii="Palatino Linotype" w:hAnsi="Palatino Linotype"/>
          <w:i/>
        </w:rPr>
      </w:pPr>
      <w:r w:rsidRPr="00C21CC7">
        <w:rPr>
          <w:rFonts w:ascii="Palatino Linotype" w:hAnsi="Palatino Linotype"/>
          <w:i/>
        </w:rPr>
        <w:t>1) La convocatoria o invitación emitida, así como los fundamentos legales aplicados para llevarla a cabo;</w:t>
      </w:r>
    </w:p>
    <w:p w14:paraId="6CB8FA06" w14:textId="77777777" w:rsidR="00555354" w:rsidRPr="00C21CC7" w:rsidRDefault="00555354" w:rsidP="00555354">
      <w:pPr>
        <w:pStyle w:val="Prrafodelista"/>
        <w:tabs>
          <w:tab w:val="left" w:pos="142"/>
          <w:tab w:val="left" w:pos="284"/>
          <w:tab w:val="left" w:pos="709"/>
        </w:tabs>
        <w:spacing w:before="240" w:after="240" w:line="276" w:lineRule="auto"/>
        <w:ind w:left="850" w:right="907"/>
        <w:jc w:val="both"/>
        <w:rPr>
          <w:rFonts w:ascii="Palatino Linotype" w:hAnsi="Palatino Linotype"/>
          <w:i/>
        </w:rPr>
      </w:pPr>
      <w:r w:rsidRPr="00C21CC7">
        <w:rPr>
          <w:rFonts w:ascii="Palatino Linotype" w:hAnsi="Palatino Linotype"/>
          <w:i/>
        </w:rPr>
        <w:t>2) Los nombres de los participantes o invitados;</w:t>
      </w:r>
    </w:p>
    <w:p w14:paraId="0F5CAB0C" w14:textId="77777777" w:rsidR="00555354" w:rsidRPr="00C21CC7" w:rsidRDefault="00555354" w:rsidP="00555354">
      <w:pPr>
        <w:pStyle w:val="Prrafodelista"/>
        <w:tabs>
          <w:tab w:val="left" w:pos="142"/>
          <w:tab w:val="left" w:pos="284"/>
          <w:tab w:val="left" w:pos="709"/>
        </w:tabs>
        <w:spacing w:before="240" w:after="240" w:line="276" w:lineRule="auto"/>
        <w:ind w:left="850" w:right="907"/>
        <w:jc w:val="both"/>
        <w:rPr>
          <w:rFonts w:ascii="Palatino Linotype" w:hAnsi="Palatino Linotype"/>
          <w:i/>
        </w:rPr>
      </w:pPr>
      <w:r w:rsidRPr="00C21CC7">
        <w:rPr>
          <w:rFonts w:ascii="Palatino Linotype" w:hAnsi="Palatino Linotype"/>
          <w:i/>
        </w:rPr>
        <w:t>3) El nombre del ganador y las razones que lo justifican;</w:t>
      </w:r>
    </w:p>
    <w:p w14:paraId="711AB05E" w14:textId="77777777" w:rsidR="00555354" w:rsidRPr="00C21CC7" w:rsidRDefault="00555354" w:rsidP="00555354">
      <w:pPr>
        <w:pStyle w:val="Prrafodelista"/>
        <w:tabs>
          <w:tab w:val="left" w:pos="142"/>
          <w:tab w:val="left" w:pos="284"/>
          <w:tab w:val="left" w:pos="709"/>
        </w:tabs>
        <w:spacing w:before="240" w:after="240" w:line="276" w:lineRule="auto"/>
        <w:ind w:left="850" w:right="907"/>
        <w:jc w:val="both"/>
        <w:rPr>
          <w:rFonts w:ascii="Palatino Linotype" w:hAnsi="Palatino Linotype"/>
          <w:i/>
        </w:rPr>
      </w:pPr>
      <w:r w:rsidRPr="00C21CC7">
        <w:rPr>
          <w:rFonts w:ascii="Palatino Linotype" w:hAnsi="Palatino Linotype"/>
          <w:i/>
        </w:rPr>
        <w:t>4) El área solicitante y la responsable de su ejecución;</w:t>
      </w:r>
    </w:p>
    <w:p w14:paraId="27ECEB27" w14:textId="77777777" w:rsidR="00555354" w:rsidRPr="00C21CC7" w:rsidRDefault="00555354" w:rsidP="00555354">
      <w:pPr>
        <w:pStyle w:val="Prrafodelista"/>
        <w:tabs>
          <w:tab w:val="left" w:pos="142"/>
          <w:tab w:val="left" w:pos="284"/>
          <w:tab w:val="left" w:pos="709"/>
        </w:tabs>
        <w:spacing w:before="240" w:after="240" w:line="276" w:lineRule="auto"/>
        <w:ind w:left="850" w:right="907"/>
        <w:jc w:val="both"/>
        <w:rPr>
          <w:rFonts w:ascii="Palatino Linotype" w:hAnsi="Palatino Linotype"/>
          <w:i/>
        </w:rPr>
      </w:pPr>
      <w:r w:rsidRPr="00C21CC7">
        <w:rPr>
          <w:rFonts w:ascii="Palatino Linotype" w:hAnsi="Palatino Linotype"/>
          <w:i/>
        </w:rPr>
        <w:t>5) Las convocatorias e invitaciones emitidas;</w:t>
      </w:r>
    </w:p>
    <w:p w14:paraId="47060B50" w14:textId="77777777" w:rsidR="00555354" w:rsidRPr="00C21CC7" w:rsidRDefault="00555354" w:rsidP="00555354">
      <w:pPr>
        <w:pStyle w:val="Prrafodelista"/>
        <w:tabs>
          <w:tab w:val="left" w:pos="142"/>
          <w:tab w:val="left" w:pos="284"/>
          <w:tab w:val="left" w:pos="709"/>
        </w:tabs>
        <w:spacing w:before="240" w:after="240" w:line="276" w:lineRule="auto"/>
        <w:ind w:left="850" w:right="907"/>
        <w:jc w:val="both"/>
        <w:rPr>
          <w:rFonts w:ascii="Palatino Linotype" w:hAnsi="Palatino Linotype"/>
          <w:i/>
        </w:rPr>
      </w:pPr>
      <w:r w:rsidRPr="00C21CC7">
        <w:rPr>
          <w:rFonts w:ascii="Palatino Linotype" w:hAnsi="Palatino Linotype"/>
          <w:i/>
        </w:rPr>
        <w:t>6) Los dictámenes y fallo de adjudicación;</w:t>
      </w:r>
    </w:p>
    <w:p w14:paraId="4DECD53A" w14:textId="77777777" w:rsidR="00555354" w:rsidRPr="00C21CC7" w:rsidRDefault="00555354" w:rsidP="00555354">
      <w:pPr>
        <w:pStyle w:val="Prrafodelista"/>
        <w:tabs>
          <w:tab w:val="left" w:pos="142"/>
          <w:tab w:val="left" w:pos="284"/>
          <w:tab w:val="left" w:pos="709"/>
        </w:tabs>
        <w:spacing w:before="240" w:after="240" w:line="276" w:lineRule="auto"/>
        <w:ind w:left="850" w:right="907"/>
        <w:jc w:val="both"/>
        <w:rPr>
          <w:rFonts w:ascii="Palatino Linotype" w:hAnsi="Palatino Linotype"/>
          <w:b/>
          <w:bCs/>
          <w:i/>
        </w:rPr>
      </w:pPr>
      <w:r w:rsidRPr="00C21CC7">
        <w:rPr>
          <w:rFonts w:ascii="Palatino Linotype" w:hAnsi="Palatino Linotype"/>
          <w:b/>
          <w:bCs/>
          <w:i/>
        </w:rPr>
        <w:t>7) El contrato y, en su caso, sus anexos;</w:t>
      </w:r>
    </w:p>
    <w:p w14:paraId="11BCF1C2" w14:textId="77777777" w:rsidR="00555354" w:rsidRPr="00C21CC7" w:rsidRDefault="00555354" w:rsidP="00555354">
      <w:pPr>
        <w:pStyle w:val="Prrafodelista"/>
        <w:tabs>
          <w:tab w:val="left" w:pos="142"/>
          <w:tab w:val="left" w:pos="284"/>
          <w:tab w:val="left" w:pos="709"/>
        </w:tabs>
        <w:spacing w:before="240" w:after="240" w:line="276" w:lineRule="auto"/>
        <w:ind w:left="850" w:right="907"/>
        <w:jc w:val="both"/>
        <w:rPr>
          <w:rFonts w:ascii="Palatino Linotype" w:hAnsi="Palatino Linotype"/>
          <w:i/>
        </w:rPr>
      </w:pPr>
      <w:r w:rsidRPr="00C21CC7">
        <w:rPr>
          <w:rFonts w:ascii="Palatino Linotype" w:hAnsi="Palatino Linotype"/>
          <w:i/>
        </w:rPr>
        <w:t>8) Los mecanismos de vigilancia y supervisión, incluyendo en su caso, los estudios de impacto urbano y ambiental, según corresponda;</w:t>
      </w:r>
    </w:p>
    <w:p w14:paraId="1893513B" w14:textId="77777777" w:rsidR="00555354" w:rsidRPr="00C21CC7" w:rsidRDefault="00555354" w:rsidP="00555354">
      <w:pPr>
        <w:pStyle w:val="Prrafodelista"/>
        <w:tabs>
          <w:tab w:val="left" w:pos="142"/>
          <w:tab w:val="left" w:pos="284"/>
          <w:tab w:val="left" w:pos="709"/>
        </w:tabs>
        <w:spacing w:before="240" w:after="240" w:line="276" w:lineRule="auto"/>
        <w:ind w:left="850" w:right="907"/>
        <w:jc w:val="both"/>
        <w:rPr>
          <w:rFonts w:ascii="Palatino Linotype" w:hAnsi="Palatino Linotype"/>
          <w:i/>
        </w:rPr>
      </w:pPr>
      <w:r w:rsidRPr="00C21CC7">
        <w:rPr>
          <w:rFonts w:ascii="Palatino Linotype" w:hAnsi="Palatino Linotype"/>
          <w:i/>
        </w:rPr>
        <w:t>9) La partida presupuestal, de conformidad con el clasificador por objeto del gasto, en el caso de ser aplicable;</w:t>
      </w:r>
    </w:p>
    <w:p w14:paraId="66A00F49" w14:textId="77777777" w:rsidR="00555354" w:rsidRPr="00C21CC7" w:rsidRDefault="00555354" w:rsidP="00555354">
      <w:pPr>
        <w:pStyle w:val="Prrafodelista"/>
        <w:tabs>
          <w:tab w:val="left" w:pos="142"/>
          <w:tab w:val="left" w:pos="284"/>
          <w:tab w:val="left" w:pos="709"/>
        </w:tabs>
        <w:spacing w:before="240" w:after="240" w:line="276" w:lineRule="auto"/>
        <w:ind w:left="850" w:right="907"/>
        <w:jc w:val="both"/>
        <w:rPr>
          <w:rFonts w:ascii="Palatino Linotype" w:hAnsi="Palatino Linotype"/>
          <w:i/>
        </w:rPr>
      </w:pPr>
      <w:r w:rsidRPr="00C21CC7">
        <w:rPr>
          <w:rFonts w:ascii="Palatino Linotype" w:hAnsi="Palatino Linotype"/>
          <w:i/>
        </w:rPr>
        <w:lastRenderedPageBreak/>
        <w:t>10) Origen de los recursos especificando si son federales, estatales o municipales, así como el tipo de fondo de participación o aportación respectiva;</w:t>
      </w:r>
    </w:p>
    <w:p w14:paraId="25774EF8" w14:textId="77777777" w:rsidR="00555354" w:rsidRPr="00C21CC7" w:rsidRDefault="00555354" w:rsidP="00555354">
      <w:pPr>
        <w:pStyle w:val="Prrafodelista"/>
        <w:tabs>
          <w:tab w:val="left" w:pos="142"/>
          <w:tab w:val="left" w:pos="284"/>
          <w:tab w:val="left" w:pos="709"/>
        </w:tabs>
        <w:spacing w:before="240" w:after="240" w:line="276" w:lineRule="auto"/>
        <w:ind w:left="850" w:right="907"/>
        <w:jc w:val="both"/>
        <w:rPr>
          <w:rFonts w:ascii="Palatino Linotype" w:hAnsi="Palatino Linotype"/>
          <w:i/>
        </w:rPr>
      </w:pPr>
      <w:r w:rsidRPr="00C21CC7">
        <w:rPr>
          <w:rFonts w:ascii="Palatino Linotype" w:hAnsi="Palatino Linotype"/>
          <w:i/>
        </w:rPr>
        <w:t>11) Los convenios modificatorios que, en su caso, sean firmados, precisando el objeto y la fecha de celebración;</w:t>
      </w:r>
    </w:p>
    <w:p w14:paraId="6D1D45B3" w14:textId="77777777" w:rsidR="00555354" w:rsidRPr="00C21CC7" w:rsidRDefault="00555354" w:rsidP="00555354">
      <w:pPr>
        <w:pStyle w:val="Prrafodelista"/>
        <w:tabs>
          <w:tab w:val="left" w:pos="142"/>
          <w:tab w:val="left" w:pos="284"/>
          <w:tab w:val="left" w:pos="709"/>
        </w:tabs>
        <w:spacing w:before="240" w:after="240" w:line="276" w:lineRule="auto"/>
        <w:ind w:left="850" w:right="907"/>
        <w:jc w:val="both"/>
        <w:rPr>
          <w:rFonts w:ascii="Palatino Linotype" w:hAnsi="Palatino Linotype"/>
          <w:i/>
        </w:rPr>
      </w:pPr>
      <w:r w:rsidRPr="00C21CC7">
        <w:rPr>
          <w:rFonts w:ascii="Palatino Linotype" w:hAnsi="Palatino Linotype"/>
          <w:i/>
        </w:rPr>
        <w:t>12) Los informes de avance físico y financiero sobre las obras o servicios contratados;</w:t>
      </w:r>
    </w:p>
    <w:p w14:paraId="1707DA6B" w14:textId="77777777" w:rsidR="00555354" w:rsidRPr="00C21CC7" w:rsidRDefault="00555354" w:rsidP="00555354">
      <w:pPr>
        <w:pStyle w:val="Prrafodelista"/>
        <w:tabs>
          <w:tab w:val="left" w:pos="142"/>
          <w:tab w:val="left" w:pos="284"/>
          <w:tab w:val="left" w:pos="709"/>
        </w:tabs>
        <w:spacing w:before="240" w:after="240" w:line="276" w:lineRule="auto"/>
        <w:ind w:left="850" w:right="907"/>
        <w:jc w:val="both"/>
        <w:rPr>
          <w:rFonts w:ascii="Palatino Linotype" w:hAnsi="Palatino Linotype"/>
          <w:i/>
        </w:rPr>
      </w:pPr>
      <w:r w:rsidRPr="00C21CC7">
        <w:rPr>
          <w:rFonts w:ascii="Palatino Linotype" w:hAnsi="Palatino Linotype"/>
          <w:i/>
        </w:rPr>
        <w:t>13) El convenio de terminación; y</w:t>
      </w:r>
    </w:p>
    <w:p w14:paraId="2352EE0D" w14:textId="77777777" w:rsidR="00555354" w:rsidRPr="00C21CC7" w:rsidRDefault="00555354" w:rsidP="00555354">
      <w:pPr>
        <w:pStyle w:val="Prrafodelista"/>
        <w:tabs>
          <w:tab w:val="left" w:pos="142"/>
          <w:tab w:val="left" w:pos="284"/>
          <w:tab w:val="left" w:pos="709"/>
        </w:tabs>
        <w:spacing w:before="240" w:after="240" w:line="276" w:lineRule="auto"/>
        <w:ind w:left="850" w:right="907"/>
        <w:jc w:val="both"/>
        <w:rPr>
          <w:rFonts w:ascii="Palatino Linotype" w:hAnsi="Palatino Linotype"/>
          <w:i/>
        </w:rPr>
      </w:pPr>
      <w:r w:rsidRPr="00C21CC7">
        <w:rPr>
          <w:rFonts w:ascii="Palatino Linotype" w:hAnsi="Palatino Linotype"/>
          <w:i/>
        </w:rPr>
        <w:t>14) El finiquito.</w:t>
      </w:r>
      <w:r w:rsidRPr="00C21CC7">
        <w:rPr>
          <w:rFonts w:ascii="Palatino Linotype" w:hAnsi="Palatino Linotype"/>
          <w:i/>
        </w:rPr>
        <w:cr/>
        <w:t>(…)”</w:t>
      </w:r>
    </w:p>
    <w:p w14:paraId="3F831E86" w14:textId="77777777" w:rsidR="00555354" w:rsidRPr="00C21CC7" w:rsidRDefault="00555354" w:rsidP="00555354">
      <w:pPr>
        <w:pStyle w:val="Prrafodelista"/>
        <w:tabs>
          <w:tab w:val="left" w:pos="142"/>
          <w:tab w:val="left" w:pos="284"/>
          <w:tab w:val="left" w:pos="426"/>
        </w:tabs>
        <w:spacing w:before="240" w:after="240" w:line="276" w:lineRule="auto"/>
        <w:ind w:left="850" w:right="907"/>
        <w:jc w:val="both"/>
        <w:rPr>
          <w:rFonts w:ascii="Palatino Linotype" w:hAnsi="Palatino Linotype"/>
          <w:i/>
        </w:rPr>
      </w:pPr>
    </w:p>
    <w:p w14:paraId="2436BE31" w14:textId="77777777" w:rsidR="00555354" w:rsidRPr="00C21CC7" w:rsidRDefault="00555354" w:rsidP="00555354">
      <w:pPr>
        <w:pStyle w:val="Prrafodelista"/>
        <w:tabs>
          <w:tab w:val="left" w:pos="142"/>
          <w:tab w:val="left" w:pos="284"/>
          <w:tab w:val="left" w:pos="426"/>
        </w:tabs>
        <w:spacing w:before="240" w:after="240" w:line="276" w:lineRule="auto"/>
        <w:ind w:left="850" w:right="907"/>
        <w:jc w:val="center"/>
        <w:rPr>
          <w:rFonts w:ascii="Palatino Linotype" w:hAnsi="Palatino Linotype"/>
          <w:b/>
          <w:i/>
        </w:rPr>
      </w:pPr>
      <w:r w:rsidRPr="00C21CC7">
        <w:rPr>
          <w:rFonts w:ascii="Palatino Linotype" w:hAnsi="Palatino Linotype"/>
          <w:b/>
          <w:i/>
        </w:rPr>
        <w:t>LEY GENERAL DE TRANSPARENCIA Y ACCESO A LA INFORMAICÓN PÚBLICA</w:t>
      </w:r>
    </w:p>
    <w:p w14:paraId="632B2A87" w14:textId="77777777" w:rsidR="00555354" w:rsidRPr="00C21CC7" w:rsidRDefault="00555354" w:rsidP="00555354">
      <w:pPr>
        <w:pStyle w:val="Prrafodelista"/>
        <w:tabs>
          <w:tab w:val="left" w:pos="142"/>
          <w:tab w:val="left" w:pos="284"/>
          <w:tab w:val="left" w:pos="426"/>
        </w:tabs>
        <w:spacing w:before="240" w:after="240" w:line="276" w:lineRule="auto"/>
        <w:ind w:left="850" w:right="907"/>
        <w:jc w:val="both"/>
        <w:rPr>
          <w:rFonts w:ascii="Palatino Linotype" w:hAnsi="Palatino Linotype"/>
          <w:i/>
        </w:rPr>
      </w:pPr>
      <w:r w:rsidRPr="00C21CC7">
        <w:rPr>
          <w:rFonts w:ascii="Palatino Linotype" w:hAnsi="Palatino Linotype"/>
          <w:b/>
          <w:i/>
        </w:rPr>
        <w:t>“Artículo 70.</w:t>
      </w:r>
      <w:r w:rsidRPr="00C21CC7">
        <w:rPr>
          <w:rFonts w:ascii="Palatino Linotype" w:hAnsi="Palatino Linotype"/>
          <w:i/>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0A0B56E3" w14:textId="77777777" w:rsidR="00555354" w:rsidRPr="00C21CC7" w:rsidRDefault="00555354" w:rsidP="00555354">
      <w:pPr>
        <w:pStyle w:val="Prrafodelista"/>
        <w:tabs>
          <w:tab w:val="left" w:pos="142"/>
          <w:tab w:val="left" w:pos="284"/>
          <w:tab w:val="left" w:pos="426"/>
        </w:tabs>
        <w:spacing w:before="240" w:after="240" w:line="276" w:lineRule="auto"/>
        <w:ind w:left="850" w:right="907"/>
        <w:jc w:val="both"/>
        <w:rPr>
          <w:rFonts w:ascii="Palatino Linotype" w:hAnsi="Palatino Linotype"/>
          <w:i/>
        </w:rPr>
      </w:pPr>
      <w:r w:rsidRPr="00C21CC7">
        <w:rPr>
          <w:rFonts w:ascii="Palatino Linotype" w:hAnsi="Palatino Linotype"/>
          <w:i/>
        </w:rPr>
        <w:t>(…)</w:t>
      </w:r>
    </w:p>
    <w:p w14:paraId="7010EDC5" w14:textId="77777777" w:rsidR="00555354" w:rsidRPr="00C21CC7" w:rsidRDefault="00555354" w:rsidP="00555354">
      <w:pPr>
        <w:pStyle w:val="Prrafodelista"/>
        <w:tabs>
          <w:tab w:val="left" w:pos="142"/>
          <w:tab w:val="left" w:pos="284"/>
          <w:tab w:val="left" w:pos="426"/>
        </w:tabs>
        <w:spacing w:before="240" w:after="240" w:line="276" w:lineRule="auto"/>
        <w:ind w:left="850" w:right="907"/>
        <w:jc w:val="both"/>
        <w:rPr>
          <w:rFonts w:ascii="Palatino Linotype" w:hAnsi="Palatino Linotype"/>
          <w:i/>
        </w:rPr>
      </w:pPr>
      <w:r w:rsidRPr="00C21CC7">
        <w:rPr>
          <w:rFonts w:ascii="Palatino Linotype" w:hAnsi="Palatino Linotype"/>
          <w:b/>
          <w:i/>
        </w:rPr>
        <w:t>XXVIII.</w:t>
      </w:r>
      <w:r w:rsidRPr="00C21CC7">
        <w:rPr>
          <w:rFonts w:ascii="Palatino Linotype" w:hAnsi="Palatino Linotype"/>
          <w:i/>
        </w:rPr>
        <w:t xml:space="preserve"> La información sobre los resultados sobre procedimientos de adjudicación directa, invitación restringida y licitación de cualquier naturaleza, incluyendo la Versión Pública del Expediente respectivo y de los contratos celebrados, que deberá contener, por lo menos, lo siguiente:</w:t>
      </w:r>
    </w:p>
    <w:p w14:paraId="547E9E51" w14:textId="77777777" w:rsidR="00555354" w:rsidRPr="00C21CC7" w:rsidRDefault="00555354" w:rsidP="00555354">
      <w:pPr>
        <w:pStyle w:val="Prrafodelista"/>
        <w:tabs>
          <w:tab w:val="left" w:pos="142"/>
          <w:tab w:val="left" w:pos="284"/>
          <w:tab w:val="left" w:pos="993"/>
        </w:tabs>
        <w:spacing w:before="240" w:after="240" w:line="276" w:lineRule="auto"/>
        <w:ind w:left="850" w:right="907"/>
        <w:jc w:val="both"/>
        <w:rPr>
          <w:rFonts w:ascii="Palatino Linotype" w:hAnsi="Palatino Linotype"/>
          <w:b/>
          <w:i/>
        </w:rPr>
      </w:pPr>
      <w:r w:rsidRPr="00C21CC7">
        <w:rPr>
          <w:rFonts w:ascii="Palatino Linotype" w:hAnsi="Palatino Linotype"/>
          <w:b/>
          <w:i/>
        </w:rPr>
        <w:t>a) De licitaciones públicas o procedimientos de invitación restringida:</w:t>
      </w:r>
    </w:p>
    <w:p w14:paraId="188C7E18" w14:textId="77777777" w:rsidR="00555354" w:rsidRPr="00C21CC7" w:rsidRDefault="00555354" w:rsidP="00555354">
      <w:pPr>
        <w:pStyle w:val="Prrafodelista"/>
        <w:tabs>
          <w:tab w:val="left" w:pos="142"/>
          <w:tab w:val="left" w:pos="284"/>
        </w:tabs>
        <w:spacing w:before="240" w:after="240" w:line="276" w:lineRule="auto"/>
        <w:ind w:left="850" w:right="907"/>
        <w:jc w:val="both"/>
        <w:rPr>
          <w:rFonts w:ascii="Palatino Linotype" w:hAnsi="Palatino Linotype"/>
          <w:i/>
        </w:rPr>
      </w:pPr>
      <w:r w:rsidRPr="00C21CC7">
        <w:rPr>
          <w:rFonts w:ascii="Palatino Linotype" w:hAnsi="Palatino Linotype"/>
          <w:i/>
        </w:rPr>
        <w:t>1. La convocatoria o invitación emitida, así como los fundamentos legales aplicados para llevarla a cabo;</w:t>
      </w:r>
    </w:p>
    <w:p w14:paraId="60CE0B13" w14:textId="77777777" w:rsidR="00555354" w:rsidRPr="00C21CC7" w:rsidRDefault="00555354" w:rsidP="00555354">
      <w:pPr>
        <w:pStyle w:val="Prrafodelista"/>
        <w:tabs>
          <w:tab w:val="left" w:pos="142"/>
          <w:tab w:val="left" w:pos="284"/>
        </w:tabs>
        <w:spacing w:before="240" w:after="240" w:line="276" w:lineRule="auto"/>
        <w:ind w:left="850" w:right="907"/>
        <w:jc w:val="both"/>
        <w:rPr>
          <w:rFonts w:ascii="Palatino Linotype" w:hAnsi="Palatino Linotype"/>
          <w:i/>
        </w:rPr>
      </w:pPr>
      <w:r w:rsidRPr="00C21CC7">
        <w:rPr>
          <w:rFonts w:ascii="Palatino Linotype" w:hAnsi="Palatino Linotype"/>
          <w:i/>
        </w:rPr>
        <w:t>2. Los nombres de los participantes o invitados;</w:t>
      </w:r>
    </w:p>
    <w:p w14:paraId="5B8BC61F" w14:textId="77777777" w:rsidR="00555354" w:rsidRPr="00C21CC7" w:rsidRDefault="00555354" w:rsidP="00555354">
      <w:pPr>
        <w:pStyle w:val="Prrafodelista"/>
        <w:tabs>
          <w:tab w:val="left" w:pos="142"/>
          <w:tab w:val="left" w:pos="284"/>
        </w:tabs>
        <w:spacing w:before="240" w:after="240" w:line="276" w:lineRule="auto"/>
        <w:ind w:left="850" w:right="907"/>
        <w:jc w:val="both"/>
        <w:rPr>
          <w:rFonts w:ascii="Palatino Linotype" w:hAnsi="Palatino Linotype"/>
          <w:i/>
        </w:rPr>
      </w:pPr>
      <w:r w:rsidRPr="00C21CC7">
        <w:rPr>
          <w:rFonts w:ascii="Palatino Linotype" w:hAnsi="Palatino Linotype"/>
          <w:i/>
        </w:rPr>
        <w:t>3. El nombre del ganador y las razones que lo justifican;</w:t>
      </w:r>
    </w:p>
    <w:p w14:paraId="1C3C7485" w14:textId="77777777" w:rsidR="00555354" w:rsidRPr="00C21CC7" w:rsidRDefault="00555354" w:rsidP="00555354">
      <w:pPr>
        <w:pStyle w:val="Prrafodelista"/>
        <w:tabs>
          <w:tab w:val="left" w:pos="142"/>
          <w:tab w:val="left" w:pos="284"/>
        </w:tabs>
        <w:spacing w:before="240" w:after="240" w:line="276" w:lineRule="auto"/>
        <w:ind w:left="850" w:right="907"/>
        <w:jc w:val="both"/>
        <w:rPr>
          <w:rFonts w:ascii="Palatino Linotype" w:hAnsi="Palatino Linotype"/>
          <w:i/>
        </w:rPr>
      </w:pPr>
      <w:r w:rsidRPr="00C21CC7">
        <w:rPr>
          <w:rFonts w:ascii="Palatino Linotype" w:hAnsi="Palatino Linotype"/>
          <w:i/>
        </w:rPr>
        <w:t>4. El Área solicitante y la responsable de su ejecución;</w:t>
      </w:r>
    </w:p>
    <w:p w14:paraId="564EE350" w14:textId="77777777" w:rsidR="00555354" w:rsidRPr="00C21CC7" w:rsidRDefault="00555354" w:rsidP="00555354">
      <w:pPr>
        <w:pStyle w:val="Prrafodelista"/>
        <w:tabs>
          <w:tab w:val="left" w:pos="142"/>
          <w:tab w:val="left" w:pos="284"/>
        </w:tabs>
        <w:spacing w:before="240" w:after="240" w:line="276" w:lineRule="auto"/>
        <w:ind w:left="850" w:right="907"/>
        <w:jc w:val="both"/>
        <w:rPr>
          <w:rFonts w:ascii="Palatino Linotype" w:hAnsi="Palatino Linotype"/>
          <w:i/>
        </w:rPr>
      </w:pPr>
      <w:r w:rsidRPr="00C21CC7">
        <w:rPr>
          <w:rFonts w:ascii="Palatino Linotype" w:hAnsi="Palatino Linotype"/>
          <w:i/>
        </w:rPr>
        <w:t>5. Las convocatorias e invitaciones emitidas;</w:t>
      </w:r>
    </w:p>
    <w:p w14:paraId="2B735B77" w14:textId="77777777" w:rsidR="00555354" w:rsidRPr="00C21CC7" w:rsidRDefault="00555354" w:rsidP="00555354">
      <w:pPr>
        <w:pStyle w:val="Prrafodelista"/>
        <w:tabs>
          <w:tab w:val="left" w:pos="142"/>
          <w:tab w:val="left" w:pos="284"/>
        </w:tabs>
        <w:spacing w:before="240" w:after="240" w:line="276" w:lineRule="auto"/>
        <w:ind w:left="850" w:right="907"/>
        <w:jc w:val="both"/>
        <w:rPr>
          <w:rFonts w:ascii="Palatino Linotype" w:hAnsi="Palatino Linotype"/>
          <w:i/>
        </w:rPr>
      </w:pPr>
      <w:r w:rsidRPr="00C21CC7">
        <w:rPr>
          <w:rFonts w:ascii="Palatino Linotype" w:hAnsi="Palatino Linotype"/>
          <w:i/>
        </w:rPr>
        <w:lastRenderedPageBreak/>
        <w:t>6. Los dictámenes y fallo de adjudicación;</w:t>
      </w:r>
    </w:p>
    <w:p w14:paraId="0388B130" w14:textId="77777777" w:rsidR="00555354" w:rsidRPr="00C21CC7" w:rsidRDefault="00555354" w:rsidP="00555354">
      <w:pPr>
        <w:pStyle w:val="Prrafodelista"/>
        <w:tabs>
          <w:tab w:val="left" w:pos="142"/>
          <w:tab w:val="left" w:pos="284"/>
        </w:tabs>
        <w:spacing w:before="240" w:after="240" w:line="276" w:lineRule="auto"/>
        <w:ind w:left="850" w:right="907"/>
        <w:jc w:val="both"/>
        <w:rPr>
          <w:rFonts w:ascii="Palatino Linotype" w:hAnsi="Palatino Linotype"/>
          <w:b/>
          <w:bCs/>
          <w:i/>
        </w:rPr>
      </w:pPr>
      <w:r w:rsidRPr="00C21CC7">
        <w:rPr>
          <w:rFonts w:ascii="Palatino Linotype" w:hAnsi="Palatino Linotype"/>
          <w:b/>
          <w:bCs/>
          <w:i/>
        </w:rPr>
        <w:t>7. El contrato y, en su caso, sus anexos;</w:t>
      </w:r>
    </w:p>
    <w:p w14:paraId="2E022075" w14:textId="77777777" w:rsidR="00555354" w:rsidRPr="00C21CC7" w:rsidRDefault="00555354" w:rsidP="00555354">
      <w:pPr>
        <w:pStyle w:val="Prrafodelista"/>
        <w:tabs>
          <w:tab w:val="left" w:pos="142"/>
          <w:tab w:val="left" w:pos="284"/>
        </w:tabs>
        <w:spacing w:before="240" w:after="240" w:line="276" w:lineRule="auto"/>
        <w:ind w:left="850" w:right="907"/>
        <w:jc w:val="both"/>
        <w:rPr>
          <w:rFonts w:ascii="Palatino Linotype" w:hAnsi="Palatino Linotype"/>
          <w:i/>
        </w:rPr>
      </w:pPr>
      <w:r w:rsidRPr="00C21CC7">
        <w:rPr>
          <w:rFonts w:ascii="Palatino Linotype" w:hAnsi="Palatino Linotype"/>
          <w:i/>
        </w:rPr>
        <w:t>8. Los mecanismos de vigilancia y supervisión, incluyendo, en su caso, los estudios de impacto urbano y ambiental, según corresponda;</w:t>
      </w:r>
    </w:p>
    <w:p w14:paraId="22A3EDD1" w14:textId="77777777" w:rsidR="00555354" w:rsidRPr="00C21CC7" w:rsidRDefault="00555354" w:rsidP="00555354">
      <w:pPr>
        <w:pStyle w:val="Prrafodelista"/>
        <w:tabs>
          <w:tab w:val="left" w:pos="142"/>
          <w:tab w:val="left" w:pos="284"/>
        </w:tabs>
        <w:spacing w:before="240" w:after="240" w:line="276" w:lineRule="auto"/>
        <w:ind w:left="850" w:right="907"/>
        <w:jc w:val="both"/>
        <w:rPr>
          <w:rFonts w:ascii="Palatino Linotype" w:hAnsi="Palatino Linotype"/>
          <w:i/>
        </w:rPr>
      </w:pPr>
      <w:r w:rsidRPr="00C21CC7">
        <w:rPr>
          <w:rFonts w:ascii="Palatino Linotype" w:hAnsi="Palatino Linotype"/>
          <w:i/>
        </w:rPr>
        <w:t>9. La partida presupuestal, de conformidad con el clasificador por objeto del gasto, en el caso de ser aplicable;</w:t>
      </w:r>
    </w:p>
    <w:p w14:paraId="05E71F14" w14:textId="77777777" w:rsidR="00555354" w:rsidRPr="00C21CC7" w:rsidRDefault="00555354" w:rsidP="00555354">
      <w:pPr>
        <w:pStyle w:val="Prrafodelista"/>
        <w:tabs>
          <w:tab w:val="left" w:pos="142"/>
          <w:tab w:val="left" w:pos="284"/>
        </w:tabs>
        <w:spacing w:before="240" w:after="240" w:line="276" w:lineRule="auto"/>
        <w:ind w:left="850" w:right="907"/>
        <w:jc w:val="both"/>
        <w:rPr>
          <w:rFonts w:ascii="Palatino Linotype" w:hAnsi="Palatino Linotype"/>
          <w:i/>
        </w:rPr>
      </w:pPr>
      <w:r w:rsidRPr="00C21CC7">
        <w:rPr>
          <w:rFonts w:ascii="Palatino Linotype" w:hAnsi="Palatino Linotype"/>
          <w:i/>
        </w:rPr>
        <w:t>10. Origen de los recursos especificando si son federales, estatales o municipales, así como el tipo de fondo de participación o aportación respectiva;</w:t>
      </w:r>
    </w:p>
    <w:p w14:paraId="0EA005EE" w14:textId="77777777" w:rsidR="00555354" w:rsidRPr="00C21CC7" w:rsidRDefault="00555354" w:rsidP="00555354">
      <w:pPr>
        <w:pStyle w:val="Prrafodelista"/>
        <w:tabs>
          <w:tab w:val="left" w:pos="142"/>
          <w:tab w:val="left" w:pos="284"/>
        </w:tabs>
        <w:spacing w:before="240" w:after="240" w:line="276" w:lineRule="auto"/>
        <w:ind w:left="850" w:right="907"/>
        <w:jc w:val="both"/>
        <w:rPr>
          <w:rFonts w:ascii="Palatino Linotype" w:hAnsi="Palatino Linotype"/>
          <w:i/>
        </w:rPr>
      </w:pPr>
      <w:r w:rsidRPr="00C21CC7">
        <w:rPr>
          <w:rFonts w:ascii="Palatino Linotype" w:hAnsi="Palatino Linotype"/>
          <w:i/>
        </w:rPr>
        <w:t>11. Los convenios modificatorios que, en su caso, sean firmados, precisando el objeto y la fecha de celebración;</w:t>
      </w:r>
    </w:p>
    <w:p w14:paraId="2C102FC3" w14:textId="77777777" w:rsidR="00555354" w:rsidRPr="00C21CC7" w:rsidRDefault="00555354" w:rsidP="00555354">
      <w:pPr>
        <w:pStyle w:val="Prrafodelista"/>
        <w:tabs>
          <w:tab w:val="left" w:pos="142"/>
          <w:tab w:val="left" w:pos="284"/>
        </w:tabs>
        <w:spacing w:before="240" w:after="240" w:line="276" w:lineRule="auto"/>
        <w:ind w:left="850" w:right="907"/>
        <w:jc w:val="both"/>
        <w:rPr>
          <w:rFonts w:ascii="Palatino Linotype" w:hAnsi="Palatino Linotype"/>
          <w:i/>
        </w:rPr>
      </w:pPr>
      <w:r w:rsidRPr="00C21CC7">
        <w:rPr>
          <w:rFonts w:ascii="Palatino Linotype" w:hAnsi="Palatino Linotype"/>
          <w:i/>
        </w:rPr>
        <w:t>12. Los informes de avance físico y financiero sobre las obras o servicios contratados;</w:t>
      </w:r>
    </w:p>
    <w:p w14:paraId="04051D71" w14:textId="77777777" w:rsidR="00555354" w:rsidRPr="00C21CC7" w:rsidRDefault="00555354" w:rsidP="00555354">
      <w:pPr>
        <w:pStyle w:val="Prrafodelista"/>
        <w:tabs>
          <w:tab w:val="left" w:pos="142"/>
          <w:tab w:val="left" w:pos="284"/>
        </w:tabs>
        <w:spacing w:before="240" w:after="240" w:line="276" w:lineRule="auto"/>
        <w:ind w:left="850" w:right="907"/>
        <w:jc w:val="both"/>
        <w:rPr>
          <w:rFonts w:ascii="Palatino Linotype" w:hAnsi="Palatino Linotype"/>
          <w:i/>
        </w:rPr>
      </w:pPr>
      <w:r w:rsidRPr="00C21CC7">
        <w:rPr>
          <w:rFonts w:ascii="Palatino Linotype" w:hAnsi="Palatino Linotype"/>
          <w:i/>
        </w:rPr>
        <w:t>13. El convenio de terminación, y</w:t>
      </w:r>
    </w:p>
    <w:p w14:paraId="5347241C" w14:textId="77777777" w:rsidR="00555354" w:rsidRPr="00C21CC7" w:rsidRDefault="00555354" w:rsidP="00555354">
      <w:pPr>
        <w:pStyle w:val="Prrafodelista"/>
        <w:tabs>
          <w:tab w:val="left" w:pos="142"/>
          <w:tab w:val="left" w:pos="284"/>
        </w:tabs>
        <w:spacing w:before="240" w:after="240" w:line="276" w:lineRule="auto"/>
        <w:ind w:left="850" w:right="907"/>
        <w:jc w:val="both"/>
        <w:rPr>
          <w:rFonts w:ascii="Palatino Linotype" w:hAnsi="Palatino Linotype"/>
          <w:i/>
        </w:rPr>
      </w:pPr>
      <w:r w:rsidRPr="00C21CC7">
        <w:rPr>
          <w:rFonts w:ascii="Palatino Linotype" w:hAnsi="Palatino Linotype"/>
          <w:i/>
        </w:rPr>
        <w:t>14. El finiquito;</w:t>
      </w:r>
    </w:p>
    <w:p w14:paraId="6B411884" w14:textId="77777777" w:rsidR="00555354" w:rsidRPr="00C21CC7" w:rsidRDefault="00555354" w:rsidP="00555354">
      <w:pPr>
        <w:pStyle w:val="Prrafodelista"/>
        <w:tabs>
          <w:tab w:val="left" w:pos="142"/>
          <w:tab w:val="left" w:pos="284"/>
        </w:tabs>
        <w:spacing w:before="240" w:after="240" w:line="276" w:lineRule="auto"/>
        <w:ind w:left="850" w:right="907"/>
        <w:jc w:val="both"/>
        <w:rPr>
          <w:rFonts w:ascii="Palatino Linotype" w:hAnsi="Palatino Linotype"/>
          <w:iCs/>
        </w:rPr>
      </w:pPr>
      <w:r w:rsidRPr="00C21CC7">
        <w:rPr>
          <w:rFonts w:ascii="Palatino Linotype" w:hAnsi="Palatino Linotype"/>
          <w:i/>
        </w:rPr>
        <w:t>(…)”</w:t>
      </w:r>
    </w:p>
    <w:p w14:paraId="3B5671B2" w14:textId="77777777" w:rsidR="00555354" w:rsidRPr="00C21CC7" w:rsidRDefault="00555354" w:rsidP="00555354">
      <w:pPr>
        <w:pStyle w:val="Prrafodelista"/>
        <w:tabs>
          <w:tab w:val="left" w:pos="142"/>
          <w:tab w:val="left" w:pos="284"/>
        </w:tabs>
        <w:spacing w:before="240" w:after="240" w:line="276" w:lineRule="auto"/>
        <w:ind w:left="850" w:right="907"/>
        <w:jc w:val="both"/>
        <w:rPr>
          <w:rFonts w:ascii="Palatino Linotype" w:hAnsi="Palatino Linotype"/>
          <w:iCs/>
        </w:rPr>
      </w:pPr>
      <w:r w:rsidRPr="00C21CC7">
        <w:rPr>
          <w:rFonts w:ascii="Palatino Linotype" w:hAnsi="Palatino Linotype"/>
          <w:iCs/>
        </w:rPr>
        <w:t>(Énfasis añadido)</w:t>
      </w:r>
    </w:p>
    <w:p w14:paraId="7E54894F" w14:textId="77777777" w:rsidR="00555354" w:rsidRPr="00C21CC7" w:rsidRDefault="00555354" w:rsidP="00555354">
      <w:pPr>
        <w:tabs>
          <w:tab w:val="left" w:pos="426"/>
        </w:tabs>
        <w:spacing w:line="276" w:lineRule="auto"/>
        <w:ind w:left="567" w:right="567"/>
        <w:contextualSpacing/>
        <w:jc w:val="both"/>
        <w:rPr>
          <w:rFonts w:ascii="Palatino Linotype" w:hAnsi="Palatino Linotype" w:cs="Arial"/>
          <w:color w:val="000000" w:themeColor="text1"/>
        </w:rPr>
      </w:pPr>
    </w:p>
    <w:p w14:paraId="0C249F20" w14:textId="77777777" w:rsidR="00555354" w:rsidRPr="00C21CC7" w:rsidRDefault="00555354" w:rsidP="00241089">
      <w:pPr>
        <w:tabs>
          <w:tab w:val="left" w:pos="426"/>
        </w:tabs>
        <w:spacing w:line="360" w:lineRule="auto"/>
        <w:ind w:right="49"/>
        <w:contextualSpacing/>
        <w:jc w:val="both"/>
        <w:rPr>
          <w:rFonts w:ascii="Palatino Linotype" w:hAnsi="Palatino Linotype" w:cs="Arial"/>
          <w:iCs/>
          <w:color w:val="000000" w:themeColor="text1"/>
        </w:rPr>
      </w:pPr>
      <w:r w:rsidRPr="00C21CC7">
        <w:rPr>
          <w:rFonts w:ascii="Palatino Linotype" w:hAnsi="Palatino Linotype" w:cs="Arial"/>
          <w:color w:val="000000" w:themeColor="text1"/>
        </w:rPr>
        <w:t xml:space="preserve">Los dispositivos legales anteriormente referidos, señalan que toda la </w:t>
      </w:r>
      <w:r w:rsidRPr="00C21CC7">
        <w:rPr>
          <w:rFonts w:ascii="Palatino Linotype" w:hAnsi="Palatino Linotype" w:cs="Arial"/>
          <w:iCs/>
          <w:color w:val="000000" w:themeColor="text1"/>
        </w:rPr>
        <w:t xml:space="preserve">información relativa a los resultados sobre procedimientos de adjudicación directa, invitación restringida y/o licitación de cualquier naturaleza, </w:t>
      </w:r>
      <w:r w:rsidRPr="00C21CC7">
        <w:rPr>
          <w:rFonts w:ascii="Palatino Linotype" w:hAnsi="Palatino Linotype" w:cs="Arial"/>
          <w:b/>
          <w:iCs/>
          <w:color w:val="000000" w:themeColor="text1"/>
        </w:rPr>
        <w:t>incluyendo los contratos celebrados</w:t>
      </w:r>
      <w:r w:rsidRPr="00C21CC7">
        <w:rPr>
          <w:rFonts w:ascii="Palatino Linotype" w:hAnsi="Palatino Linotype" w:cs="Arial"/>
          <w:iCs/>
          <w:color w:val="000000" w:themeColor="text1"/>
        </w:rPr>
        <w:t xml:space="preserve">, deberá ponerse a disposición de la ciudadanía al ser información de interés público en el tenor de que cualquier tipo de contratación que realice el </w:t>
      </w:r>
      <w:r w:rsidRPr="00C21CC7">
        <w:rPr>
          <w:rFonts w:ascii="Palatino Linotype" w:hAnsi="Palatino Linotype" w:cs="Arial"/>
          <w:b/>
          <w:bCs/>
          <w:iCs/>
          <w:color w:val="000000" w:themeColor="text1"/>
        </w:rPr>
        <w:t>SUJETO OBLIGADO</w:t>
      </w:r>
      <w:r w:rsidRPr="00C21CC7">
        <w:rPr>
          <w:rFonts w:ascii="Palatino Linotype" w:hAnsi="Palatino Linotype" w:cs="Arial"/>
          <w:iCs/>
          <w:color w:val="000000" w:themeColor="text1"/>
        </w:rPr>
        <w:t xml:space="preserve"> presupone el uso y disposición del erario público, en consecuencia, debe mantener procesos transparentes en la erogación de las arcas públicas.</w:t>
      </w:r>
    </w:p>
    <w:p w14:paraId="73F9592D" w14:textId="77777777" w:rsidR="00555354" w:rsidRPr="00C21CC7" w:rsidRDefault="00555354" w:rsidP="00241089">
      <w:pPr>
        <w:pStyle w:val="Prrafodelista"/>
        <w:tabs>
          <w:tab w:val="left" w:pos="426"/>
        </w:tabs>
        <w:spacing w:before="240" w:after="240" w:line="360" w:lineRule="auto"/>
        <w:ind w:left="0" w:right="51"/>
        <w:jc w:val="both"/>
        <w:rPr>
          <w:rFonts w:ascii="Palatino Linotype" w:hAnsi="Palatino Linotype"/>
          <w:color w:val="000000" w:themeColor="text1"/>
        </w:rPr>
      </w:pPr>
      <w:r w:rsidRPr="00C21CC7">
        <w:rPr>
          <w:rFonts w:ascii="Palatino Linotype" w:hAnsi="Palatino Linotype"/>
          <w:color w:val="000000" w:themeColor="text1"/>
        </w:rPr>
        <w:t xml:space="preserve">Ahora bien, la Ley de contratación Pública del Estado de México y Municipios tiene por objeto regular los actos relativos a la planeación, programación, </w:t>
      </w:r>
      <w:r w:rsidRPr="00C21CC7">
        <w:rPr>
          <w:rFonts w:ascii="Palatino Linotype" w:hAnsi="Palatino Linotype"/>
          <w:color w:val="000000" w:themeColor="text1"/>
        </w:rPr>
        <w:lastRenderedPageBreak/>
        <w:t>presupuestación, ejecución y control de la adquisición, enajenación y arrendamiento de bienes, y la contratación de servicios de cualquier naturaleza, que realicen</w:t>
      </w:r>
      <w:r w:rsidRPr="00C21CC7">
        <w:rPr>
          <w:rStyle w:val="Refdenotaalpie"/>
          <w:rFonts w:ascii="Palatino Linotype" w:hAnsi="Palatino Linotype"/>
          <w:color w:val="000000" w:themeColor="text1"/>
        </w:rPr>
        <w:footnoteReference w:id="7"/>
      </w:r>
      <w:r w:rsidRPr="00C21CC7">
        <w:rPr>
          <w:rFonts w:ascii="Palatino Linotype" w:hAnsi="Palatino Linotype"/>
          <w:color w:val="000000" w:themeColor="text1"/>
        </w:rPr>
        <w:t>:</w:t>
      </w:r>
    </w:p>
    <w:p w14:paraId="3FDF0949" w14:textId="77777777" w:rsidR="00555354" w:rsidRPr="00C21CC7" w:rsidRDefault="00555354" w:rsidP="00241089">
      <w:pPr>
        <w:pStyle w:val="Prrafodelista"/>
        <w:numPr>
          <w:ilvl w:val="1"/>
          <w:numId w:val="16"/>
        </w:numPr>
        <w:tabs>
          <w:tab w:val="left" w:pos="426"/>
        </w:tabs>
        <w:spacing w:before="240" w:after="240" w:line="360" w:lineRule="auto"/>
        <w:ind w:left="851" w:right="907"/>
        <w:jc w:val="both"/>
        <w:rPr>
          <w:rFonts w:ascii="Palatino Linotype" w:hAnsi="Palatino Linotype"/>
          <w:color w:val="000000" w:themeColor="text1"/>
          <w:sz w:val="22"/>
          <w:szCs w:val="22"/>
        </w:rPr>
      </w:pPr>
      <w:r w:rsidRPr="00C21CC7">
        <w:rPr>
          <w:rFonts w:ascii="Palatino Linotype" w:hAnsi="Palatino Linotype"/>
          <w:color w:val="000000" w:themeColor="text1"/>
          <w:sz w:val="22"/>
          <w:szCs w:val="22"/>
        </w:rPr>
        <w:t xml:space="preserve">Las secretarías y las unidades administrativas del Poder Ejecutivo del Estado. </w:t>
      </w:r>
    </w:p>
    <w:p w14:paraId="6A740BC2" w14:textId="77777777" w:rsidR="00555354" w:rsidRPr="00C21CC7" w:rsidRDefault="00555354" w:rsidP="00241089">
      <w:pPr>
        <w:pStyle w:val="Prrafodelista"/>
        <w:numPr>
          <w:ilvl w:val="1"/>
          <w:numId w:val="16"/>
        </w:numPr>
        <w:tabs>
          <w:tab w:val="left" w:pos="426"/>
        </w:tabs>
        <w:spacing w:before="240" w:after="240" w:line="360" w:lineRule="auto"/>
        <w:ind w:left="851" w:right="907"/>
        <w:jc w:val="both"/>
        <w:rPr>
          <w:rFonts w:ascii="Palatino Linotype" w:hAnsi="Palatino Linotype"/>
          <w:color w:val="000000" w:themeColor="text1"/>
          <w:sz w:val="22"/>
          <w:szCs w:val="22"/>
        </w:rPr>
      </w:pPr>
      <w:r w:rsidRPr="00C21CC7">
        <w:rPr>
          <w:rFonts w:ascii="Palatino Linotype" w:hAnsi="Palatino Linotype"/>
          <w:color w:val="000000" w:themeColor="text1"/>
          <w:sz w:val="22"/>
          <w:szCs w:val="22"/>
        </w:rPr>
        <w:t xml:space="preserve">La Procuraduría General de Justicia. </w:t>
      </w:r>
    </w:p>
    <w:p w14:paraId="00F4144E" w14:textId="77777777" w:rsidR="00555354" w:rsidRPr="00C21CC7" w:rsidRDefault="00555354" w:rsidP="00241089">
      <w:pPr>
        <w:pStyle w:val="Prrafodelista"/>
        <w:numPr>
          <w:ilvl w:val="1"/>
          <w:numId w:val="16"/>
        </w:numPr>
        <w:tabs>
          <w:tab w:val="left" w:pos="426"/>
        </w:tabs>
        <w:spacing w:before="240" w:after="240" w:line="360" w:lineRule="auto"/>
        <w:ind w:left="851" w:right="907"/>
        <w:jc w:val="both"/>
        <w:rPr>
          <w:rFonts w:ascii="Palatino Linotype" w:hAnsi="Palatino Linotype"/>
          <w:b/>
          <w:color w:val="000000" w:themeColor="text1"/>
          <w:sz w:val="22"/>
          <w:szCs w:val="22"/>
        </w:rPr>
      </w:pPr>
      <w:r w:rsidRPr="00C21CC7">
        <w:rPr>
          <w:rFonts w:ascii="Palatino Linotype" w:hAnsi="Palatino Linotype"/>
          <w:b/>
          <w:color w:val="000000" w:themeColor="text1"/>
          <w:sz w:val="22"/>
          <w:szCs w:val="22"/>
        </w:rPr>
        <w:t xml:space="preserve">Los ayuntamientos de los municipios del Estado. </w:t>
      </w:r>
    </w:p>
    <w:p w14:paraId="2EBBAD5C" w14:textId="77777777" w:rsidR="00555354" w:rsidRPr="00C21CC7" w:rsidRDefault="00555354" w:rsidP="00241089">
      <w:pPr>
        <w:pStyle w:val="Prrafodelista"/>
        <w:numPr>
          <w:ilvl w:val="1"/>
          <w:numId w:val="16"/>
        </w:numPr>
        <w:tabs>
          <w:tab w:val="left" w:pos="426"/>
        </w:tabs>
        <w:spacing w:before="240" w:after="240" w:line="360" w:lineRule="auto"/>
        <w:ind w:left="851" w:right="907"/>
        <w:jc w:val="both"/>
        <w:rPr>
          <w:rFonts w:ascii="Palatino Linotype" w:hAnsi="Palatino Linotype"/>
          <w:color w:val="000000" w:themeColor="text1"/>
          <w:sz w:val="22"/>
          <w:szCs w:val="22"/>
        </w:rPr>
      </w:pPr>
      <w:r w:rsidRPr="00C21CC7">
        <w:rPr>
          <w:rFonts w:ascii="Palatino Linotype" w:hAnsi="Palatino Linotype"/>
          <w:color w:val="000000" w:themeColor="text1"/>
          <w:sz w:val="22"/>
          <w:szCs w:val="22"/>
        </w:rPr>
        <w:t xml:space="preserve">Los organismos auxiliares y fideicomisos públicos, de carácter estatal o municipal. </w:t>
      </w:r>
    </w:p>
    <w:p w14:paraId="70F65EAA" w14:textId="77777777" w:rsidR="00555354" w:rsidRPr="00C21CC7" w:rsidRDefault="00555354" w:rsidP="00241089">
      <w:pPr>
        <w:pStyle w:val="Prrafodelista"/>
        <w:numPr>
          <w:ilvl w:val="1"/>
          <w:numId w:val="16"/>
        </w:numPr>
        <w:tabs>
          <w:tab w:val="left" w:pos="426"/>
        </w:tabs>
        <w:spacing w:before="240" w:after="240" w:line="360" w:lineRule="auto"/>
        <w:ind w:left="851" w:right="907"/>
        <w:jc w:val="both"/>
        <w:rPr>
          <w:rFonts w:ascii="Palatino Linotype" w:hAnsi="Palatino Linotype"/>
          <w:color w:val="000000" w:themeColor="text1"/>
          <w:sz w:val="22"/>
          <w:szCs w:val="22"/>
        </w:rPr>
      </w:pPr>
      <w:r w:rsidRPr="00C21CC7">
        <w:rPr>
          <w:rFonts w:ascii="Palatino Linotype" w:hAnsi="Palatino Linotype"/>
          <w:color w:val="000000" w:themeColor="text1"/>
          <w:sz w:val="22"/>
          <w:szCs w:val="22"/>
        </w:rPr>
        <w:t>Los tribunales administrativos.</w:t>
      </w:r>
    </w:p>
    <w:p w14:paraId="369A8699" w14:textId="77777777" w:rsidR="00555354" w:rsidRPr="00C21CC7" w:rsidRDefault="00555354" w:rsidP="00241089">
      <w:pPr>
        <w:pStyle w:val="Prrafodelista"/>
        <w:tabs>
          <w:tab w:val="left" w:pos="426"/>
        </w:tabs>
        <w:spacing w:before="240" w:after="240" w:line="360" w:lineRule="auto"/>
        <w:ind w:left="851" w:right="907"/>
        <w:jc w:val="both"/>
        <w:rPr>
          <w:rFonts w:ascii="Palatino Linotype" w:hAnsi="Palatino Linotype"/>
          <w:color w:val="000000" w:themeColor="text1"/>
          <w:sz w:val="22"/>
          <w:szCs w:val="22"/>
        </w:rPr>
      </w:pPr>
    </w:p>
    <w:p w14:paraId="612A6DED" w14:textId="77777777" w:rsidR="00555354" w:rsidRPr="00C21CC7" w:rsidRDefault="00555354" w:rsidP="00241089">
      <w:pPr>
        <w:pStyle w:val="Prrafodelista"/>
        <w:tabs>
          <w:tab w:val="left" w:pos="426"/>
        </w:tabs>
        <w:spacing w:before="240" w:after="240" w:line="360" w:lineRule="auto"/>
        <w:ind w:left="0" w:right="51"/>
        <w:jc w:val="both"/>
        <w:rPr>
          <w:rFonts w:ascii="Palatino Linotype" w:hAnsi="Palatino Linotype"/>
          <w:color w:val="000000" w:themeColor="text1"/>
        </w:rPr>
      </w:pPr>
      <w:r w:rsidRPr="00C21CC7">
        <w:rPr>
          <w:rFonts w:ascii="Palatino Linotype" w:hAnsi="Palatino Linotype"/>
          <w:color w:val="000000" w:themeColor="text1"/>
        </w:rPr>
        <w:t xml:space="preserve">En lo referente a la suscripción de contratos fruto de procedimientos de la adjudicación de bienes y/o servicios, el artículo 65 de la Ley de Contratación Pública del Estado de México y Municipios establece que la convocante y el licitante ganador se obligarán a suscribir el contrato respectivo, dentro de los 10 días hábiles siguientes al de la notificación del fallo. </w:t>
      </w:r>
    </w:p>
    <w:p w14:paraId="33C80ED7" w14:textId="77777777" w:rsidR="00555354" w:rsidRPr="00C21CC7" w:rsidRDefault="00555354" w:rsidP="00555354">
      <w:pPr>
        <w:pStyle w:val="Prrafodelista"/>
        <w:tabs>
          <w:tab w:val="left" w:pos="426"/>
        </w:tabs>
        <w:spacing w:before="240" w:after="240" w:line="360" w:lineRule="auto"/>
        <w:ind w:left="0" w:right="51"/>
        <w:jc w:val="both"/>
        <w:rPr>
          <w:rFonts w:ascii="Palatino Linotype" w:hAnsi="Palatino Linotype"/>
          <w:color w:val="000000" w:themeColor="text1"/>
        </w:rPr>
      </w:pPr>
    </w:p>
    <w:p w14:paraId="1CEE1D9B" w14:textId="77777777" w:rsidR="00555354" w:rsidRPr="00C21CC7" w:rsidRDefault="00555354" w:rsidP="00241089">
      <w:pPr>
        <w:pStyle w:val="Prrafodelista"/>
        <w:tabs>
          <w:tab w:val="left" w:pos="426"/>
        </w:tabs>
        <w:spacing w:before="240" w:after="240" w:line="360" w:lineRule="auto"/>
        <w:ind w:left="0" w:right="51"/>
        <w:jc w:val="both"/>
        <w:rPr>
          <w:rFonts w:ascii="Palatino Linotype" w:hAnsi="Palatino Linotype"/>
          <w:color w:val="000000" w:themeColor="text1"/>
        </w:rPr>
      </w:pPr>
      <w:r w:rsidRPr="00C21CC7">
        <w:rPr>
          <w:rFonts w:ascii="Palatino Linotype" w:hAnsi="Palatino Linotype"/>
          <w:color w:val="000000" w:themeColor="text1"/>
        </w:rPr>
        <w:t>Por su parte, el Reglamento de la Ley de Contratación Pública del Estado de México y Municipios, en su artículo 120, señala los elementos mínimos que deberán integrarse dentro de los contratos regulados por la Ley de mérito, a saber:</w:t>
      </w:r>
    </w:p>
    <w:p w14:paraId="75F2926E" w14:textId="77777777" w:rsidR="00555354" w:rsidRPr="00C21CC7" w:rsidRDefault="00555354" w:rsidP="00241089">
      <w:pPr>
        <w:pStyle w:val="Prrafodelista"/>
        <w:numPr>
          <w:ilvl w:val="1"/>
          <w:numId w:val="17"/>
        </w:numPr>
        <w:tabs>
          <w:tab w:val="left" w:pos="426"/>
        </w:tabs>
        <w:spacing w:before="240" w:after="240" w:line="360" w:lineRule="auto"/>
        <w:ind w:left="1208" w:right="902" w:hanging="357"/>
        <w:jc w:val="both"/>
        <w:rPr>
          <w:rFonts w:ascii="Palatino Linotype" w:hAnsi="Palatino Linotype"/>
          <w:color w:val="000000" w:themeColor="text1"/>
        </w:rPr>
      </w:pPr>
      <w:r w:rsidRPr="00C21CC7">
        <w:rPr>
          <w:rFonts w:ascii="Palatino Linotype" w:hAnsi="Palatino Linotype"/>
          <w:color w:val="000000" w:themeColor="text1"/>
        </w:rPr>
        <w:t xml:space="preserve">Objeto; </w:t>
      </w:r>
    </w:p>
    <w:p w14:paraId="75E87EF8" w14:textId="77777777" w:rsidR="00555354" w:rsidRPr="00C21CC7" w:rsidRDefault="00555354" w:rsidP="00241089">
      <w:pPr>
        <w:pStyle w:val="Prrafodelista"/>
        <w:numPr>
          <w:ilvl w:val="1"/>
          <w:numId w:val="17"/>
        </w:numPr>
        <w:tabs>
          <w:tab w:val="left" w:pos="426"/>
        </w:tabs>
        <w:spacing w:before="240" w:after="240" w:line="360" w:lineRule="auto"/>
        <w:ind w:left="1208" w:right="902" w:hanging="357"/>
        <w:jc w:val="both"/>
        <w:rPr>
          <w:rFonts w:ascii="Palatino Linotype" w:hAnsi="Palatino Linotype"/>
          <w:color w:val="000000" w:themeColor="text1"/>
        </w:rPr>
      </w:pPr>
      <w:r w:rsidRPr="00C21CC7">
        <w:rPr>
          <w:rFonts w:ascii="Palatino Linotype" w:hAnsi="Palatino Linotype"/>
          <w:color w:val="000000" w:themeColor="text1"/>
        </w:rPr>
        <w:t>Fecha de suministro de los bienes o período de prestación del servicio;</w:t>
      </w:r>
    </w:p>
    <w:p w14:paraId="735BD76B" w14:textId="77777777" w:rsidR="00555354" w:rsidRPr="00C21CC7" w:rsidRDefault="00555354" w:rsidP="00241089">
      <w:pPr>
        <w:pStyle w:val="Prrafodelista"/>
        <w:numPr>
          <w:ilvl w:val="1"/>
          <w:numId w:val="17"/>
        </w:numPr>
        <w:tabs>
          <w:tab w:val="left" w:pos="426"/>
        </w:tabs>
        <w:spacing w:before="240" w:after="240" w:line="360" w:lineRule="auto"/>
        <w:ind w:left="1208" w:right="902" w:hanging="357"/>
        <w:jc w:val="both"/>
        <w:rPr>
          <w:rFonts w:ascii="Palatino Linotype" w:hAnsi="Palatino Linotype"/>
          <w:color w:val="000000" w:themeColor="text1"/>
        </w:rPr>
      </w:pPr>
      <w:r w:rsidRPr="00C21CC7">
        <w:rPr>
          <w:rFonts w:ascii="Palatino Linotype" w:hAnsi="Palatino Linotype"/>
          <w:color w:val="000000" w:themeColor="text1"/>
        </w:rPr>
        <w:t xml:space="preserve">Datos del procedimiento que dio origen al contrato; </w:t>
      </w:r>
    </w:p>
    <w:p w14:paraId="2564104B" w14:textId="77777777" w:rsidR="00555354" w:rsidRPr="00C21CC7" w:rsidRDefault="00555354" w:rsidP="00241089">
      <w:pPr>
        <w:pStyle w:val="Prrafodelista"/>
        <w:numPr>
          <w:ilvl w:val="1"/>
          <w:numId w:val="17"/>
        </w:numPr>
        <w:tabs>
          <w:tab w:val="left" w:pos="426"/>
        </w:tabs>
        <w:spacing w:before="240" w:after="240" w:line="360" w:lineRule="auto"/>
        <w:ind w:left="1208" w:right="902" w:hanging="357"/>
        <w:jc w:val="both"/>
        <w:rPr>
          <w:rFonts w:ascii="Palatino Linotype" w:hAnsi="Palatino Linotype"/>
          <w:color w:val="000000" w:themeColor="text1"/>
        </w:rPr>
      </w:pPr>
      <w:r w:rsidRPr="00C21CC7">
        <w:rPr>
          <w:rFonts w:ascii="Palatino Linotype" w:hAnsi="Palatino Linotype"/>
          <w:color w:val="000000" w:themeColor="text1"/>
        </w:rPr>
        <w:lastRenderedPageBreak/>
        <w:t xml:space="preserve">Importe total; </w:t>
      </w:r>
    </w:p>
    <w:p w14:paraId="0AD1E0CB" w14:textId="77777777" w:rsidR="00555354" w:rsidRPr="00C21CC7" w:rsidRDefault="00555354" w:rsidP="00241089">
      <w:pPr>
        <w:pStyle w:val="Prrafodelista"/>
        <w:numPr>
          <w:ilvl w:val="1"/>
          <w:numId w:val="17"/>
        </w:numPr>
        <w:tabs>
          <w:tab w:val="left" w:pos="426"/>
        </w:tabs>
        <w:spacing w:before="240" w:after="240" w:line="360" w:lineRule="auto"/>
        <w:ind w:left="1208" w:right="902" w:hanging="357"/>
        <w:jc w:val="both"/>
        <w:rPr>
          <w:rFonts w:ascii="Palatino Linotype" w:hAnsi="Palatino Linotype"/>
          <w:color w:val="000000" w:themeColor="text1"/>
        </w:rPr>
      </w:pPr>
      <w:r w:rsidRPr="00C21CC7">
        <w:rPr>
          <w:rFonts w:ascii="Palatino Linotype" w:hAnsi="Palatino Linotype"/>
          <w:color w:val="000000" w:themeColor="text1"/>
        </w:rPr>
        <w:t xml:space="preserve">Porcentajes, número y fechas de las exhibiciones y amortización de los anticipos que se otorguen; </w:t>
      </w:r>
    </w:p>
    <w:p w14:paraId="30A99387" w14:textId="77777777" w:rsidR="00555354" w:rsidRPr="00C21CC7" w:rsidRDefault="00555354" w:rsidP="00241089">
      <w:pPr>
        <w:pStyle w:val="Prrafodelista"/>
        <w:numPr>
          <w:ilvl w:val="1"/>
          <w:numId w:val="17"/>
        </w:numPr>
        <w:tabs>
          <w:tab w:val="left" w:pos="426"/>
        </w:tabs>
        <w:spacing w:before="240" w:after="240" w:line="360" w:lineRule="auto"/>
        <w:ind w:left="1208" w:right="902" w:hanging="357"/>
        <w:jc w:val="both"/>
        <w:rPr>
          <w:rFonts w:ascii="Palatino Linotype" w:hAnsi="Palatino Linotype"/>
          <w:color w:val="000000" w:themeColor="text1"/>
        </w:rPr>
      </w:pPr>
      <w:r w:rsidRPr="00C21CC7">
        <w:rPr>
          <w:rFonts w:ascii="Palatino Linotype" w:hAnsi="Palatino Linotype"/>
          <w:color w:val="000000" w:themeColor="text1"/>
        </w:rPr>
        <w:t xml:space="preserve">Formalidades para el otorgamiento y cobro de garantías; </w:t>
      </w:r>
    </w:p>
    <w:p w14:paraId="748D7C54" w14:textId="77777777" w:rsidR="00555354" w:rsidRPr="00C21CC7" w:rsidRDefault="00555354" w:rsidP="00241089">
      <w:pPr>
        <w:pStyle w:val="Prrafodelista"/>
        <w:numPr>
          <w:ilvl w:val="1"/>
          <w:numId w:val="17"/>
        </w:numPr>
        <w:tabs>
          <w:tab w:val="left" w:pos="426"/>
        </w:tabs>
        <w:spacing w:before="240" w:after="240" w:line="360" w:lineRule="auto"/>
        <w:ind w:left="1208" w:right="902" w:hanging="357"/>
        <w:jc w:val="both"/>
        <w:rPr>
          <w:rFonts w:ascii="Palatino Linotype" w:hAnsi="Palatino Linotype"/>
          <w:color w:val="000000" w:themeColor="text1"/>
        </w:rPr>
      </w:pPr>
      <w:r w:rsidRPr="00C21CC7">
        <w:rPr>
          <w:rFonts w:ascii="Palatino Linotype" w:hAnsi="Palatino Linotype"/>
          <w:color w:val="000000" w:themeColor="text1"/>
        </w:rPr>
        <w:t xml:space="preserve">Penas convencionales por causas imputables al proveedor o prestador del servicio, las que se determinarán en función del incumplimiento de las condiciones convenidas, y que en ningún caso podrán ser superiores, en su conjunto, al monto de la garantía de cumplimiento. Las dependencias, organismos auxiliares, tribunales administrativos y municipios deberán fijar los términos, forma y porcentajes para aplicar las penas convencionales; </w:t>
      </w:r>
    </w:p>
    <w:p w14:paraId="72E79DFF" w14:textId="77777777" w:rsidR="00555354" w:rsidRPr="00C21CC7" w:rsidRDefault="00555354" w:rsidP="00241089">
      <w:pPr>
        <w:pStyle w:val="Prrafodelista"/>
        <w:numPr>
          <w:ilvl w:val="1"/>
          <w:numId w:val="17"/>
        </w:numPr>
        <w:tabs>
          <w:tab w:val="left" w:pos="426"/>
        </w:tabs>
        <w:spacing w:before="240" w:after="240" w:line="360" w:lineRule="auto"/>
        <w:ind w:left="1208" w:right="902" w:hanging="357"/>
        <w:jc w:val="both"/>
        <w:rPr>
          <w:rFonts w:ascii="Palatino Linotype" w:hAnsi="Palatino Linotype"/>
          <w:color w:val="000000" w:themeColor="text1"/>
        </w:rPr>
      </w:pPr>
      <w:r w:rsidRPr="00C21CC7">
        <w:rPr>
          <w:rFonts w:ascii="Palatino Linotype" w:hAnsi="Palatino Linotype"/>
          <w:color w:val="000000" w:themeColor="text1"/>
        </w:rPr>
        <w:t xml:space="preserve">Términos en que el proveedor o prestador del servicio, en su caso, reintegrará las cantidades que, en cualquier forma, hubiere recibido en exceso por la contratación; </w:t>
      </w:r>
    </w:p>
    <w:p w14:paraId="3AA526AA" w14:textId="77777777" w:rsidR="00555354" w:rsidRPr="00C21CC7" w:rsidRDefault="00555354" w:rsidP="00241089">
      <w:pPr>
        <w:pStyle w:val="Prrafodelista"/>
        <w:numPr>
          <w:ilvl w:val="1"/>
          <w:numId w:val="17"/>
        </w:numPr>
        <w:tabs>
          <w:tab w:val="left" w:pos="426"/>
        </w:tabs>
        <w:spacing w:before="240" w:after="240" w:line="360" w:lineRule="auto"/>
        <w:ind w:left="1208" w:right="902" w:hanging="357"/>
        <w:jc w:val="both"/>
        <w:rPr>
          <w:rFonts w:ascii="Palatino Linotype" w:hAnsi="Palatino Linotype"/>
          <w:color w:val="000000" w:themeColor="text1"/>
        </w:rPr>
      </w:pPr>
      <w:r w:rsidRPr="00C21CC7">
        <w:rPr>
          <w:rFonts w:ascii="Palatino Linotype" w:hAnsi="Palatino Linotype"/>
          <w:color w:val="000000" w:themeColor="text1"/>
        </w:rPr>
        <w:t xml:space="preserve">Causales por las que la Secretaría, organismos auxiliares, tribunales administrativos o municipios podrán dar por rescindido el contrato y sus efectos; </w:t>
      </w:r>
    </w:p>
    <w:p w14:paraId="6CC9184E" w14:textId="77777777" w:rsidR="00555354" w:rsidRPr="00C21CC7" w:rsidRDefault="00555354" w:rsidP="00241089">
      <w:pPr>
        <w:pStyle w:val="Prrafodelista"/>
        <w:numPr>
          <w:ilvl w:val="1"/>
          <w:numId w:val="17"/>
        </w:numPr>
        <w:tabs>
          <w:tab w:val="left" w:pos="426"/>
        </w:tabs>
        <w:spacing w:before="240" w:after="240" w:line="360" w:lineRule="auto"/>
        <w:ind w:left="1208" w:right="902" w:hanging="357"/>
        <w:jc w:val="both"/>
        <w:rPr>
          <w:rFonts w:ascii="Palatino Linotype" w:hAnsi="Palatino Linotype"/>
          <w:color w:val="000000" w:themeColor="text1"/>
        </w:rPr>
      </w:pPr>
      <w:r w:rsidRPr="00C21CC7">
        <w:rPr>
          <w:rFonts w:ascii="Palatino Linotype" w:hAnsi="Palatino Linotype"/>
          <w:color w:val="000000" w:themeColor="text1"/>
        </w:rPr>
        <w:t xml:space="preserve">Las consecuencias de la cancelación o terminación anticipada por causas imputables al proveedor o prestador del servicio; </w:t>
      </w:r>
    </w:p>
    <w:p w14:paraId="79B64C49" w14:textId="77777777" w:rsidR="00555354" w:rsidRPr="00C21CC7" w:rsidRDefault="00555354" w:rsidP="00241089">
      <w:pPr>
        <w:pStyle w:val="Prrafodelista"/>
        <w:numPr>
          <w:ilvl w:val="1"/>
          <w:numId w:val="17"/>
        </w:numPr>
        <w:tabs>
          <w:tab w:val="left" w:pos="426"/>
        </w:tabs>
        <w:spacing w:before="240" w:after="240" w:line="360" w:lineRule="auto"/>
        <w:ind w:left="1208" w:right="902" w:hanging="357"/>
        <w:jc w:val="both"/>
        <w:rPr>
          <w:rFonts w:ascii="Palatino Linotype" w:hAnsi="Palatino Linotype"/>
          <w:color w:val="000000" w:themeColor="text1"/>
        </w:rPr>
      </w:pPr>
      <w:r w:rsidRPr="00C21CC7">
        <w:rPr>
          <w:rFonts w:ascii="Palatino Linotype" w:hAnsi="Palatino Linotype"/>
          <w:color w:val="000000" w:themeColor="text1"/>
        </w:rPr>
        <w:t xml:space="preserve">Señalamiento del domicilio de las partes, ubicado en el territorio del Estado, o bien, domicilio para oír y recibir notificaciones; y </w:t>
      </w:r>
    </w:p>
    <w:p w14:paraId="619998B5" w14:textId="77777777" w:rsidR="00555354" w:rsidRPr="00C21CC7" w:rsidRDefault="00555354" w:rsidP="00241089">
      <w:pPr>
        <w:pStyle w:val="Prrafodelista"/>
        <w:numPr>
          <w:ilvl w:val="1"/>
          <w:numId w:val="17"/>
        </w:numPr>
        <w:tabs>
          <w:tab w:val="left" w:pos="426"/>
        </w:tabs>
        <w:spacing w:before="240" w:after="240" w:line="360" w:lineRule="auto"/>
        <w:ind w:left="1208" w:right="902" w:hanging="357"/>
        <w:jc w:val="both"/>
        <w:rPr>
          <w:rFonts w:ascii="Palatino Linotype" w:hAnsi="Palatino Linotype"/>
          <w:color w:val="000000" w:themeColor="text1"/>
        </w:rPr>
      </w:pPr>
      <w:r w:rsidRPr="00C21CC7">
        <w:rPr>
          <w:rFonts w:ascii="Palatino Linotype" w:hAnsi="Palatino Linotype"/>
          <w:color w:val="000000" w:themeColor="text1"/>
        </w:rPr>
        <w:t>Renuncia expresa al fuero que les pudiera corresponder en función de su domicilio o vecindad presente o futuro.</w:t>
      </w:r>
    </w:p>
    <w:p w14:paraId="5C845243" w14:textId="77777777" w:rsidR="00555354" w:rsidRPr="00C21CC7" w:rsidRDefault="00555354" w:rsidP="00555354">
      <w:pPr>
        <w:pStyle w:val="Prrafodelista"/>
        <w:tabs>
          <w:tab w:val="left" w:pos="426"/>
        </w:tabs>
        <w:spacing w:before="240" w:after="240" w:line="360" w:lineRule="auto"/>
        <w:ind w:left="0" w:right="51"/>
        <w:jc w:val="both"/>
        <w:rPr>
          <w:rFonts w:ascii="Palatino Linotype" w:hAnsi="Palatino Linotype"/>
          <w:color w:val="000000" w:themeColor="text1"/>
        </w:rPr>
      </w:pPr>
    </w:p>
    <w:p w14:paraId="5B54AD81" w14:textId="77777777" w:rsidR="00555354" w:rsidRPr="00C21CC7" w:rsidRDefault="00555354" w:rsidP="00241089">
      <w:pPr>
        <w:pStyle w:val="Prrafodelista"/>
        <w:tabs>
          <w:tab w:val="left" w:pos="426"/>
        </w:tabs>
        <w:spacing w:before="240" w:after="240" w:line="360" w:lineRule="auto"/>
        <w:ind w:left="0" w:right="51"/>
        <w:jc w:val="both"/>
        <w:rPr>
          <w:rFonts w:ascii="Palatino Linotype" w:hAnsi="Palatino Linotype"/>
          <w:color w:val="000000" w:themeColor="text1"/>
        </w:rPr>
      </w:pPr>
      <w:r w:rsidRPr="00C21CC7">
        <w:rPr>
          <w:rFonts w:ascii="Palatino Linotype" w:hAnsi="Palatino Linotype"/>
          <w:color w:val="000000" w:themeColor="text1"/>
        </w:rPr>
        <w:t xml:space="preserve">Así las cosas, es concluyente que el </w:t>
      </w:r>
      <w:r w:rsidRPr="00C21CC7">
        <w:rPr>
          <w:rFonts w:ascii="Palatino Linotype" w:hAnsi="Palatino Linotype"/>
          <w:b/>
          <w:color w:val="000000" w:themeColor="text1"/>
        </w:rPr>
        <w:t>SUJETO OBLIGADO</w:t>
      </w:r>
      <w:r w:rsidRPr="00C21CC7">
        <w:rPr>
          <w:rFonts w:ascii="Palatino Linotype" w:hAnsi="Palatino Linotype"/>
          <w:color w:val="000000" w:themeColor="text1"/>
        </w:rPr>
        <w:t xml:space="preserve"> no entregó el contrato suscrito entre el Ayuntamiento de Coacalco de Berriozábal y la empresa </w:t>
      </w:r>
      <w:r w:rsidRPr="00C21CC7">
        <w:rPr>
          <w:rFonts w:ascii="Palatino Linotype" w:hAnsi="Palatino Linotype"/>
          <w:i/>
          <w:color w:val="000000" w:themeColor="text1"/>
        </w:rPr>
        <w:t>IUBEO REINGENIERÍA ESTRATÉGICA DIGITAL Y ENLACE SOCIAL S.A.P.I. DE C.V.</w:t>
      </w:r>
      <w:r w:rsidRPr="00C21CC7">
        <w:rPr>
          <w:rFonts w:ascii="Palatino Linotype" w:hAnsi="Palatino Linotype"/>
          <w:color w:val="000000" w:themeColor="text1"/>
        </w:rPr>
        <w:t xml:space="preserve">, suscrito con motivo del diseño y creación de la aplicación </w:t>
      </w:r>
      <w:r w:rsidRPr="00C21CC7">
        <w:rPr>
          <w:rFonts w:ascii="Palatino Linotype" w:hAnsi="Palatino Linotype"/>
          <w:i/>
          <w:color w:val="000000" w:themeColor="text1"/>
        </w:rPr>
        <w:t>Coacalco Seguro</w:t>
      </w:r>
      <w:r w:rsidRPr="00C21CC7">
        <w:rPr>
          <w:rFonts w:ascii="Palatino Linotype" w:hAnsi="Palatino Linotype"/>
          <w:color w:val="000000" w:themeColor="text1"/>
        </w:rPr>
        <w:t>.</w:t>
      </w:r>
    </w:p>
    <w:p w14:paraId="5A910D8C" w14:textId="77777777" w:rsidR="00555354" w:rsidRPr="00C21CC7" w:rsidRDefault="00555354" w:rsidP="00555354">
      <w:pPr>
        <w:pStyle w:val="Prrafodelista"/>
        <w:tabs>
          <w:tab w:val="left" w:pos="426"/>
        </w:tabs>
        <w:spacing w:before="240" w:after="240" w:line="360" w:lineRule="auto"/>
        <w:ind w:left="0" w:right="51"/>
        <w:jc w:val="both"/>
        <w:rPr>
          <w:rFonts w:ascii="Palatino Linotype" w:hAnsi="Palatino Linotype"/>
          <w:color w:val="000000" w:themeColor="text1"/>
        </w:rPr>
      </w:pPr>
    </w:p>
    <w:p w14:paraId="09C18BFB" w14:textId="77777777" w:rsidR="00555354" w:rsidRPr="00C21CC7" w:rsidRDefault="00555354" w:rsidP="00241089">
      <w:pPr>
        <w:pStyle w:val="Prrafodelista"/>
        <w:tabs>
          <w:tab w:val="left" w:pos="426"/>
        </w:tabs>
        <w:spacing w:before="240" w:after="240" w:line="360" w:lineRule="auto"/>
        <w:ind w:left="0" w:right="51"/>
        <w:jc w:val="both"/>
        <w:rPr>
          <w:rFonts w:ascii="Palatino Linotype" w:hAnsi="Palatino Linotype"/>
          <w:color w:val="000000" w:themeColor="text1"/>
        </w:rPr>
      </w:pPr>
      <w:r w:rsidRPr="00C21CC7">
        <w:rPr>
          <w:rFonts w:ascii="Palatino Linotype" w:hAnsi="Palatino Linotype"/>
          <w:color w:val="000000" w:themeColor="text1"/>
        </w:rPr>
        <w:t xml:space="preserve">Razón de lo anterior, este Organismo Garante encuentra conforme a derecho </w:t>
      </w:r>
      <w:r w:rsidRPr="00C21CC7">
        <w:rPr>
          <w:rFonts w:ascii="Palatino Linotype" w:hAnsi="Palatino Linotype"/>
          <w:b/>
          <w:color w:val="000000" w:themeColor="text1"/>
        </w:rPr>
        <w:t>modificar</w:t>
      </w:r>
      <w:r w:rsidRPr="00C21CC7">
        <w:rPr>
          <w:rFonts w:ascii="Palatino Linotype" w:hAnsi="Palatino Linotype"/>
          <w:color w:val="000000" w:themeColor="text1"/>
        </w:rPr>
        <w:t xml:space="preserve"> la respuesta proveída a la solicitud de información </w:t>
      </w:r>
      <w:r w:rsidRPr="00C21CC7">
        <w:rPr>
          <w:rFonts w:ascii="Palatino Linotype" w:hAnsi="Palatino Linotype"/>
          <w:b/>
          <w:color w:val="000000" w:themeColor="text1"/>
        </w:rPr>
        <w:t>00267/COACALCO/IP/2022</w:t>
      </w:r>
      <w:r w:rsidRPr="00C21CC7">
        <w:rPr>
          <w:rFonts w:ascii="Palatino Linotype" w:hAnsi="Palatino Linotype"/>
          <w:color w:val="000000" w:themeColor="text1"/>
        </w:rPr>
        <w:t xml:space="preserve"> y se </w:t>
      </w:r>
      <w:r w:rsidRPr="00C21CC7">
        <w:rPr>
          <w:rFonts w:ascii="Palatino Linotype" w:hAnsi="Palatino Linotype"/>
          <w:b/>
          <w:color w:val="000000" w:themeColor="text1"/>
        </w:rPr>
        <w:t>ordena</w:t>
      </w:r>
      <w:r w:rsidRPr="00C21CC7">
        <w:rPr>
          <w:rFonts w:ascii="Palatino Linotype" w:hAnsi="Palatino Linotype"/>
          <w:color w:val="000000" w:themeColor="text1"/>
        </w:rPr>
        <w:t xml:space="preserve"> entregar, previa búsqueda exhaustiva y razonable, en versión pública, el contrato suscrito entre el Ayuntamiento de Coacalco de Berriozábal y la empresa </w:t>
      </w:r>
      <w:r w:rsidRPr="00C21CC7">
        <w:rPr>
          <w:rFonts w:ascii="Palatino Linotype" w:hAnsi="Palatino Linotype"/>
          <w:i/>
          <w:color w:val="000000" w:themeColor="text1"/>
        </w:rPr>
        <w:t>IUBEO REINGENIERÍA ESTRATÉGICA DIGITAL Y ENLACE SOCIAL S.A.P.I. DE C.V.</w:t>
      </w:r>
      <w:r w:rsidRPr="00C21CC7">
        <w:rPr>
          <w:rFonts w:ascii="Palatino Linotype" w:hAnsi="Palatino Linotype"/>
          <w:color w:val="000000" w:themeColor="text1"/>
        </w:rPr>
        <w:t xml:space="preserve">, suscrito con motivo del diseño y creación de la aplicación </w:t>
      </w:r>
      <w:r w:rsidRPr="00C21CC7">
        <w:rPr>
          <w:rFonts w:ascii="Palatino Linotype" w:hAnsi="Palatino Linotype"/>
          <w:i/>
          <w:color w:val="000000" w:themeColor="text1"/>
        </w:rPr>
        <w:t>Coacalco Seguro</w:t>
      </w:r>
      <w:r w:rsidRPr="00C21CC7">
        <w:rPr>
          <w:rFonts w:ascii="Palatino Linotype" w:hAnsi="Palatino Linotype"/>
          <w:color w:val="000000" w:themeColor="text1"/>
        </w:rPr>
        <w:t>.</w:t>
      </w:r>
    </w:p>
    <w:p w14:paraId="315EA966" w14:textId="77777777" w:rsidR="00241089" w:rsidRPr="00C21CC7" w:rsidRDefault="00241089" w:rsidP="00241089">
      <w:pPr>
        <w:widowControl w:val="0"/>
        <w:autoSpaceDE w:val="0"/>
        <w:autoSpaceDN w:val="0"/>
        <w:adjustRightInd w:val="0"/>
        <w:spacing w:line="360" w:lineRule="auto"/>
        <w:jc w:val="both"/>
        <w:rPr>
          <w:rFonts w:ascii="Palatino Linotype" w:eastAsia="Arial Unicode MS" w:hAnsi="Palatino Linotype" w:cs="Arial"/>
        </w:rPr>
      </w:pPr>
      <w:r w:rsidRPr="00C21CC7">
        <w:rPr>
          <w:rFonts w:ascii="Palatino Linotype" w:hAnsi="Palatino Linotype" w:cs="Arial"/>
        </w:rPr>
        <w:t>A</w:t>
      </w:r>
      <w:r w:rsidRPr="00C21CC7">
        <w:rPr>
          <w:rFonts w:ascii="Palatino Linotype" w:hAnsi="Palatino Linotype"/>
        </w:rPr>
        <w:t xml:space="preserve">hora </w:t>
      </w:r>
      <w:r w:rsidRPr="00C21CC7">
        <w:rPr>
          <w:rFonts w:ascii="Palatino Linotype" w:hAnsi="Palatino Linotype" w:cs="Arial"/>
          <w:noProof/>
          <w:lang w:eastAsia="es-MX"/>
        </w:rPr>
        <w:t>bien</w:t>
      </w:r>
      <w:r w:rsidRPr="00C21CC7">
        <w:rPr>
          <w:rFonts w:ascii="Palatino Linotype" w:hAnsi="Palatino Linotype"/>
        </w:rPr>
        <w:t xml:space="preserve">, </w:t>
      </w:r>
      <w:proofErr w:type="gramStart"/>
      <w:r w:rsidRPr="00C21CC7">
        <w:rPr>
          <w:rFonts w:ascii="Palatino Linotype" w:hAnsi="Palatino Linotype"/>
        </w:rPr>
        <w:t>en relación a</w:t>
      </w:r>
      <w:proofErr w:type="gramEnd"/>
      <w:r w:rsidRPr="00C21CC7">
        <w:rPr>
          <w:rFonts w:ascii="Palatino Linotype" w:hAnsi="Palatino Linotype"/>
        </w:rPr>
        <w:t xml:space="preserve"> la </w:t>
      </w:r>
      <w:r w:rsidRPr="00C21CC7">
        <w:rPr>
          <w:rFonts w:ascii="Palatino Linotype" w:hAnsi="Palatino Linotype"/>
          <w:b/>
        </w:rPr>
        <w:t xml:space="preserve">versión pública </w:t>
      </w:r>
      <w:r w:rsidRPr="00C21CC7">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C21CC7">
        <w:rPr>
          <w:rFonts w:ascii="Palatino Linotype" w:eastAsia="Arial Unicode MS" w:hAnsi="Palatino Linotype" w:cs="Arial"/>
        </w:rPr>
        <w:t>omitirse, eliminarse o suprimirse la</w:t>
      </w:r>
      <w:r w:rsidRPr="00C21CC7">
        <w:rPr>
          <w:rFonts w:ascii="Palatino Linotype" w:hAnsi="Palatino Linotype"/>
        </w:rPr>
        <w:t xml:space="preserve"> información </w:t>
      </w:r>
      <w:r w:rsidRPr="00C21CC7">
        <w:rPr>
          <w:rFonts w:ascii="Palatino Linotype" w:hAnsi="Palatino Linotype"/>
          <w:b/>
        </w:rPr>
        <w:t>confidencial</w:t>
      </w:r>
      <w:r w:rsidRPr="00C21CC7">
        <w:rPr>
          <w:rFonts w:ascii="Palatino Linotype" w:eastAsia="Arial Unicode MS" w:hAnsi="Palatino Linotype" w:cs="Arial"/>
        </w:rPr>
        <w:t xml:space="preserve">. </w:t>
      </w:r>
    </w:p>
    <w:p w14:paraId="17957491" w14:textId="77777777" w:rsidR="00241089" w:rsidRPr="00C21CC7" w:rsidRDefault="00241089" w:rsidP="00241089">
      <w:pPr>
        <w:widowControl w:val="0"/>
        <w:autoSpaceDE w:val="0"/>
        <w:autoSpaceDN w:val="0"/>
        <w:adjustRightInd w:val="0"/>
        <w:spacing w:line="360" w:lineRule="auto"/>
        <w:jc w:val="both"/>
        <w:rPr>
          <w:rFonts w:ascii="Palatino Linotype" w:eastAsia="Arial Unicode MS" w:hAnsi="Palatino Linotype" w:cs="Arial"/>
        </w:rPr>
      </w:pPr>
    </w:p>
    <w:p w14:paraId="5BA58F3A" w14:textId="77777777" w:rsidR="00241089" w:rsidRPr="00C21CC7" w:rsidRDefault="00241089" w:rsidP="00241089">
      <w:pPr>
        <w:spacing w:line="360" w:lineRule="auto"/>
        <w:jc w:val="both"/>
        <w:rPr>
          <w:rFonts w:ascii="Palatino Linotype" w:eastAsia="Times New Roman" w:hAnsi="Palatino Linotype" w:cs="Arial"/>
        </w:rPr>
      </w:pPr>
      <w:r w:rsidRPr="00C21CC7">
        <w:rPr>
          <w:rFonts w:ascii="Palatino Linotype" w:eastAsia="Arial Unicode MS" w:hAnsi="Palatino Linotype" w:cs="Arial"/>
        </w:rPr>
        <w:t xml:space="preserve">En ese sentido, </w:t>
      </w:r>
      <w:r w:rsidRPr="00C21CC7">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C21CC7">
        <w:rPr>
          <w:rFonts w:ascii="Palatino Linotype" w:hAnsi="Palatino Linotype" w:cs="Arial"/>
        </w:rPr>
        <w:t xml:space="preserve"> que el Comité de Transparencia del </w:t>
      </w:r>
      <w:r w:rsidRPr="00C21CC7">
        <w:rPr>
          <w:rFonts w:ascii="Palatino Linotype" w:hAnsi="Palatino Linotype" w:cs="Arial"/>
          <w:b/>
        </w:rPr>
        <w:t>SUJETO OBLIGADO</w:t>
      </w:r>
      <w:r w:rsidRPr="00C21CC7">
        <w:rPr>
          <w:rFonts w:ascii="Palatino Linotype" w:hAnsi="Palatino Linotype" w:cs="Arial"/>
        </w:rPr>
        <w:t xml:space="preserve"> emita el Acuerdo de Clasificación correspondiente</w:t>
      </w:r>
      <w:r w:rsidRPr="00C21CC7">
        <w:rPr>
          <w:rFonts w:ascii="Palatino Linotype" w:hAnsi="Palatino Linotype" w:cs="Arial"/>
          <w:lang w:val="es-ES_tradnl"/>
        </w:rPr>
        <w:t xml:space="preserve"> debidamente fundado y motivado, en el cual se</w:t>
      </w:r>
      <w:r w:rsidRPr="00C21CC7">
        <w:rPr>
          <w:rFonts w:ascii="Palatino Linotype" w:hAnsi="Palatino Linotype" w:cs="Arial"/>
        </w:rPr>
        <w:t xml:space="preserve"> sustente la versión pública, misma que deberá cumplir cabalmente con las formalidades previstas en el precepto antes </w:t>
      </w:r>
      <w:r w:rsidRPr="00C21CC7">
        <w:rPr>
          <w:rFonts w:ascii="Palatino Linotype" w:hAnsi="Palatino Linotype" w:cs="Arial"/>
        </w:rPr>
        <w:lastRenderedPageBreak/>
        <w:t>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797498E1" w14:textId="77777777" w:rsidR="00241089" w:rsidRPr="00C21CC7" w:rsidRDefault="00241089" w:rsidP="00241089">
      <w:pPr>
        <w:spacing w:line="360" w:lineRule="auto"/>
        <w:jc w:val="both"/>
        <w:rPr>
          <w:rFonts w:ascii="Palatino Linotype" w:hAnsi="Palatino Linotype" w:cs="Arial"/>
        </w:rPr>
      </w:pPr>
    </w:p>
    <w:p w14:paraId="0919F6C3" w14:textId="77777777" w:rsidR="00241089" w:rsidRPr="00C21CC7" w:rsidRDefault="00241089" w:rsidP="00241089">
      <w:pPr>
        <w:spacing w:line="360" w:lineRule="auto"/>
        <w:jc w:val="both"/>
        <w:rPr>
          <w:rFonts w:ascii="Palatino Linotype" w:hAnsi="Palatino Linotype" w:cs="Arial"/>
          <w:lang w:val="es-ES_tradnl"/>
        </w:rPr>
      </w:pPr>
      <w:r w:rsidRPr="00C21CC7">
        <w:rPr>
          <w:rFonts w:ascii="Palatino Linotype" w:hAnsi="Palatino Linotype" w:cs="Arial"/>
          <w:lang w:val="es-ES_tradnl"/>
        </w:rPr>
        <w:t xml:space="preserve">Por </w:t>
      </w:r>
      <w:r w:rsidRPr="00C21CC7">
        <w:rPr>
          <w:rFonts w:ascii="Palatino Linotype" w:hAnsi="Palatino Linotype" w:cs="Arial"/>
          <w:lang w:eastAsia="es-MX"/>
        </w:rPr>
        <w:t>ende</w:t>
      </w:r>
      <w:r w:rsidRPr="00C21CC7">
        <w:rPr>
          <w:rFonts w:ascii="Palatino Linotype" w:hAnsi="Palatino Linotype" w:cs="Arial"/>
          <w:lang w:val="es-ES_tradnl"/>
        </w:rPr>
        <w:t xml:space="preserve">, </w:t>
      </w:r>
      <w:r w:rsidRPr="00C21CC7">
        <w:rPr>
          <w:rFonts w:ascii="Palatino Linotype" w:hAnsi="Palatino Linotype" w:cs="Arial"/>
          <w:b/>
          <w:lang w:val="es-ES_tradnl"/>
        </w:rPr>
        <w:t>EL SUJETO OBLIGADO</w:t>
      </w:r>
      <w:r w:rsidRPr="00C21CC7">
        <w:rPr>
          <w:rFonts w:ascii="Palatino Linotype" w:hAnsi="Palatino Linotype" w:cs="Arial"/>
          <w:lang w:val="es-ES_tradnl"/>
        </w:rPr>
        <w:t xml:space="preserve"> debe testar los datos confidenciales, sin pasar por alto que la clasificación respectiva tiene </w:t>
      </w:r>
      <w:r w:rsidRPr="00C21CC7">
        <w:rPr>
          <w:rFonts w:ascii="Palatino Linotype" w:hAnsi="Palatino Linotype" w:cs="Arial"/>
        </w:rPr>
        <w:t>que</w:t>
      </w:r>
      <w:r w:rsidRPr="00C21CC7">
        <w:rPr>
          <w:rFonts w:ascii="Palatino Linotype" w:hAnsi="Palatino Linotype" w:cs="Arial"/>
          <w:lang w:val="es-ES_tradnl"/>
        </w:rPr>
        <w:t xml:space="preserve"> cumplirse a través de la forma y formalidades que la Ley impone; </w:t>
      </w:r>
      <w:r w:rsidRPr="00C21CC7">
        <w:rPr>
          <w:rFonts w:ascii="Palatino Linotype" w:hAnsi="Palatino Linotype" w:cs="Arial"/>
        </w:rPr>
        <w:t>es</w:t>
      </w:r>
      <w:r w:rsidRPr="00C21CC7">
        <w:rPr>
          <w:rFonts w:ascii="Palatino Linotype" w:hAnsi="Palatino Linotype" w:cs="Arial"/>
          <w:lang w:val="es-ES_tradnl"/>
        </w:rPr>
        <w:t xml:space="preserve"> decir, mediante Acuerdo debidamente fundado y motivado, en </w:t>
      </w:r>
      <w:r w:rsidRPr="00C21CC7">
        <w:rPr>
          <w:rFonts w:ascii="Palatino Linotype" w:hAnsi="Palatino Linotype" w:cs="Arial"/>
          <w:noProof/>
          <w:lang w:eastAsia="es-MX"/>
        </w:rPr>
        <w:t>términos</w:t>
      </w:r>
      <w:r w:rsidRPr="00C21CC7">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4A96C13" w14:textId="77777777" w:rsidR="00A35D56" w:rsidRPr="00C21CC7" w:rsidRDefault="00A35D56" w:rsidP="00241089">
      <w:pPr>
        <w:spacing w:line="360" w:lineRule="auto"/>
        <w:jc w:val="both"/>
        <w:rPr>
          <w:rFonts w:ascii="Palatino Linotype" w:hAnsi="Palatino Linotype" w:cs="Arial"/>
          <w:lang w:val="es-ES_tradnl"/>
        </w:rPr>
      </w:pPr>
    </w:p>
    <w:p w14:paraId="441C569B" w14:textId="77777777" w:rsidR="00241089" w:rsidRPr="00C21CC7" w:rsidRDefault="00241089" w:rsidP="00241089">
      <w:pPr>
        <w:ind w:left="851" w:right="902"/>
        <w:jc w:val="center"/>
        <w:rPr>
          <w:rFonts w:ascii="Palatino Linotype" w:hAnsi="Palatino Linotype" w:cs="Arial"/>
          <w:b/>
          <w:i/>
          <w:sz w:val="22"/>
          <w:szCs w:val="22"/>
        </w:rPr>
      </w:pPr>
      <w:r w:rsidRPr="00C21CC7">
        <w:rPr>
          <w:rFonts w:ascii="Palatino Linotype" w:hAnsi="Palatino Linotype" w:cs="Arial"/>
          <w:b/>
          <w:i/>
          <w:sz w:val="22"/>
          <w:szCs w:val="22"/>
        </w:rPr>
        <w:t>Ley de Transparencia y Acceso a la Información Pública del Estado de México y Municipios.</w:t>
      </w:r>
    </w:p>
    <w:p w14:paraId="0E3341E4" w14:textId="77777777" w:rsidR="00241089" w:rsidRPr="00C21CC7"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C21CC7">
        <w:rPr>
          <w:rFonts w:ascii="Palatino Linotype" w:hAnsi="Palatino Linotype" w:cs="Arial"/>
          <w:i/>
          <w:sz w:val="22"/>
          <w:szCs w:val="22"/>
          <w:lang w:eastAsia="es-MX"/>
        </w:rPr>
        <w:t>“</w:t>
      </w:r>
      <w:r w:rsidRPr="00C21CC7">
        <w:rPr>
          <w:rFonts w:ascii="Palatino Linotype" w:hAnsi="Palatino Linotype" w:cs="Arial"/>
          <w:b/>
          <w:i/>
          <w:sz w:val="22"/>
          <w:szCs w:val="22"/>
          <w:lang w:eastAsia="es-MX"/>
        </w:rPr>
        <w:t xml:space="preserve">Artículo 49. </w:t>
      </w:r>
      <w:r w:rsidRPr="00C21CC7">
        <w:rPr>
          <w:rFonts w:ascii="Palatino Linotype" w:hAnsi="Palatino Linotype" w:cs="Arial"/>
          <w:i/>
          <w:sz w:val="22"/>
          <w:szCs w:val="22"/>
          <w:lang w:eastAsia="es-MX"/>
        </w:rPr>
        <w:t xml:space="preserve">Los </w:t>
      </w:r>
      <w:r w:rsidRPr="00C21CC7">
        <w:rPr>
          <w:rFonts w:ascii="Palatino Linotype" w:hAnsi="Palatino Linotype" w:cs="Arial"/>
          <w:i/>
          <w:sz w:val="22"/>
          <w:szCs w:val="22"/>
        </w:rPr>
        <w:t>Comités</w:t>
      </w:r>
      <w:r w:rsidRPr="00C21CC7">
        <w:rPr>
          <w:rFonts w:ascii="Palatino Linotype" w:hAnsi="Palatino Linotype" w:cs="Arial"/>
          <w:i/>
          <w:sz w:val="22"/>
          <w:szCs w:val="22"/>
          <w:lang w:eastAsia="es-MX"/>
        </w:rPr>
        <w:t xml:space="preserve"> de Transparencia </w:t>
      </w:r>
      <w:r w:rsidRPr="00C21CC7">
        <w:rPr>
          <w:rFonts w:ascii="Palatino Linotype" w:hAnsi="Palatino Linotype"/>
          <w:i/>
          <w:sz w:val="22"/>
          <w:szCs w:val="22"/>
        </w:rPr>
        <w:t>tendrán</w:t>
      </w:r>
      <w:r w:rsidRPr="00C21CC7">
        <w:rPr>
          <w:rFonts w:ascii="Palatino Linotype" w:hAnsi="Palatino Linotype" w:cs="Arial"/>
          <w:i/>
          <w:sz w:val="22"/>
          <w:szCs w:val="22"/>
          <w:lang w:eastAsia="es-MX"/>
        </w:rPr>
        <w:t xml:space="preserve"> las siguientes atribuciones:</w:t>
      </w:r>
    </w:p>
    <w:p w14:paraId="5F73898A" w14:textId="77777777" w:rsidR="00241089" w:rsidRPr="00C21CC7"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C21CC7">
        <w:rPr>
          <w:rFonts w:ascii="Palatino Linotype" w:hAnsi="Palatino Linotype" w:cs="Arial"/>
          <w:b/>
          <w:i/>
          <w:sz w:val="22"/>
          <w:szCs w:val="22"/>
          <w:lang w:eastAsia="es-MX"/>
        </w:rPr>
        <w:t>VIII.</w:t>
      </w:r>
      <w:r w:rsidRPr="00C21CC7">
        <w:rPr>
          <w:rFonts w:ascii="Palatino Linotype" w:hAnsi="Palatino Linotype" w:cs="Arial"/>
          <w:i/>
          <w:sz w:val="22"/>
          <w:szCs w:val="22"/>
          <w:lang w:eastAsia="es-MX"/>
        </w:rPr>
        <w:t xml:space="preserve"> </w:t>
      </w:r>
      <w:r w:rsidRPr="00C21CC7">
        <w:rPr>
          <w:rFonts w:ascii="Palatino Linotype" w:hAnsi="Palatino Linotype" w:cs="Arial"/>
          <w:b/>
          <w:i/>
          <w:sz w:val="22"/>
          <w:szCs w:val="22"/>
          <w:lang w:eastAsia="es-MX"/>
        </w:rPr>
        <w:t>Aprobar</w:t>
      </w:r>
      <w:r w:rsidRPr="00C21CC7">
        <w:rPr>
          <w:rFonts w:ascii="Palatino Linotype" w:hAnsi="Palatino Linotype" w:cs="Arial"/>
          <w:i/>
          <w:sz w:val="22"/>
          <w:szCs w:val="22"/>
          <w:lang w:eastAsia="es-MX"/>
        </w:rPr>
        <w:t xml:space="preserve">, </w:t>
      </w:r>
      <w:r w:rsidRPr="00C21CC7">
        <w:rPr>
          <w:rFonts w:ascii="Palatino Linotype" w:hAnsi="Palatino Linotype" w:cs="Arial"/>
          <w:i/>
          <w:sz w:val="22"/>
          <w:szCs w:val="22"/>
        </w:rPr>
        <w:t>modificar</w:t>
      </w:r>
      <w:r w:rsidRPr="00C21CC7">
        <w:rPr>
          <w:rFonts w:ascii="Palatino Linotype" w:hAnsi="Palatino Linotype" w:cs="Arial"/>
          <w:i/>
          <w:sz w:val="22"/>
          <w:szCs w:val="22"/>
          <w:lang w:eastAsia="es-MX"/>
        </w:rPr>
        <w:t xml:space="preserve"> o revocar la clasificación de la información;</w:t>
      </w:r>
    </w:p>
    <w:p w14:paraId="6E70586F" w14:textId="77777777" w:rsidR="00241089" w:rsidRPr="00C21CC7" w:rsidRDefault="00241089" w:rsidP="00241089">
      <w:pPr>
        <w:autoSpaceDE w:val="0"/>
        <w:autoSpaceDN w:val="0"/>
        <w:adjustRightInd w:val="0"/>
        <w:ind w:left="851" w:right="902"/>
        <w:jc w:val="both"/>
        <w:rPr>
          <w:rFonts w:ascii="Palatino Linotype" w:hAnsi="Palatino Linotype" w:cs="Arial"/>
          <w:b/>
          <w:i/>
          <w:sz w:val="22"/>
          <w:szCs w:val="22"/>
          <w:lang w:eastAsia="es-MX"/>
        </w:rPr>
      </w:pPr>
      <w:r w:rsidRPr="00C21CC7">
        <w:rPr>
          <w:rFonts w:ascii="Palatino Linotype" w:hAnsi="Palatino Linotype" w:cs="Arial"/>
          <w:b/>
          <w:i/>
          <w:sz w:val="22"/>
          <w:szCs w:val="22"/>
          <w:lang w:eastAsia="es-MX"/>
        </w:rPr>
        <w:t>Artículo 132.</w:t>
      </w:r>
      <w:r w:rsidRPr="00C21CC7">
        <w:rPr>
          <w:rFonts w:ascii="Palatino Linotype" w:hAnsi="Palatino Linotype" w:cs="Arial"/>
          <w:i/>
          <w:sz w:val="22"/>
          <w:szCs w:val="22"/>
          <w:lang w:eastAsia="es-MX"/>
        </w:rPr>
        <w:t xml:space="preserve"> </w:t>
      </w:r>
      <w:r w:rsidRPr="00C21CC7">
        <w:rPr>
          <w:rFonts w:ascii="Palatino Linotype" w:hAnsi="Palatino Linotype" w:cs="Arial"/>
          <w:b/>
          <w:i/>
          <w:sz w:val="22"/>
          <w:szCs w:val="22"/>
          <w:lang w:eastAsia="es-MX"/>
        </w:rPr>
        <w:t>La clasificación de la información se llevará a cabo en el momento en que:</w:t>
      </w:r>
    </w:p>
    <w:p w14:paraId="66FD8A57" w14:textId="77777777" w:rsidR="00241089" w:rsidRPr="00C21CC7"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C21CC7">
        <w:rPr>
          <w:rFonts w:ascii="Palatino Linotype" w:hAnsi="Palatino Linotype" w:cs="Arial"/>
          <w:i/>
          <w:sz w:val="22"/>
          <w:szCs w:val="22"/>
          <w:lang w:eastAsia="es-MX"/>
        </w:rPr>
        <w:t>…</w:t>
      </w:r>
    </w:p>
    <w:p w14:paraId="27B11ABA" w14:textId="77777777" w:rsidR="00241089" w:rsidRPr="00C21CC7"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C21CC7">
        <w:rPr>
          <w:rFonts w:ascii="Palatino Linotype" w:hAnsi="Palatino Linotype" w:cs="Arial"/>
          <w:b/>
          <w:i/>
          <w:sz w:val="22"/>
          <w:szCs w:val="22"/>
          <w:lang w:eastAsia="es-MX"/>
        </w:rPr>
        <w:t>II.</w:t>
      </w:r>
      <w:r w:rsidRPr="00C21CC7">
        <w:rPr>
          <w:rFonts w:ascii="Palatino Linotype" w:hAnsi="Palatino Linotype" w:cs="Arial"/>
          <w:i/>
          <w:sz w:val="22"/>
          <w:szCs w:val="22"/>
          <w:lang w:eastAsia="es-MX"/>
        </w:rPr>
        <w:t xml:space="preserve"> Se determine mediante resolución de autoridad competente; o</w:t>
      </w:r>
    </w:p>
    <w:p w14:paraId="505B135B" w14:textId="77777777" w:rsidR="00241089" w:rsidRPr="00C21CC7"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C21CC7">
        <w:rPr>
          <w:rFonts w:ascii="Palatino Linotype" w:hAnsi="Palatino Linotype" w:cs="Arial"/>
          <w:b/>
          <w:i/>
          <w:sz w:val="22"/>
          <w:szCs w:val="22"/>
          <w:lang w:eastAsia="es-MX"/>
        </w:rPr>
        <w:t>III</w:t>
      </w:r>
      <w:r w:rsidRPr="00C21CC7">
        <w:rPr>
          <w:rFonts w:ascii="Palatino Linotype" w:hAnsi="Palatino Linotype" w:cs="Arial"/>
          <w:i/>
          <w:sz w:val="22"/>
          <w:szCs w:val="22"/>
          <w:lang w:eastAsia="es-MX"/>
        </w:rPr>
        <w:t xml:space="preserve">. </w:t>
      </w:r>
      <w:r w:rsidRPr="00C21CC7">
        <w:rPr>
          <w:rFonts w:ascii="Palatino Linotype" w:hAnsi="Palatino Linotype" w:cs="Arial"/>
          <w:b/>
          <w:i/>
          <w:sz w:val="22"/>
          <w:szCs w:val="22"/>
          <w:lang w:eastAsia="es-MX"/>
        </w:rPr>
        <w:t>Se generen versiones públicas para dar cumplimiento a las obligaciones de transparencia previstas en esta Ley</w:t>
      </w:r>
      <w:r w:rsidRPr="00C21CC7">
        <w:rPr>
          <w:rFonts w:ascii="Palatino Linotype" w:hAnsi="Palatino Linotype" w:cs="Arial"/>
          <w:i/>
          <w:sz w:val="22"/>
          <w:szCs w:val="22"/>
          <w:lang w:eastAsia="es-MX"/>
        </w:rPr>
        <w:t>.”</w:t>
      </w:r>
    </w:p>
    <w:p w14:paraId="51027654" w14:textId="77777777" w:rsidR="00241089" w:rsidRPr="00C21CC7" w:rsidRDefault="00241089" w:rsidP="00241089">
      <w:pPr>
        <w:ind w:left="851" w:right="902"/>
        <w:jc w:val="center"/>
        <w:rPr>
          <w:rFonts w:ascii="Palatino Linotype" w:hAnsi="Palatino Linotype" w:cs="Arial"/>
          <w:b/>
          <w:i/>
          <w:sz w:val="22"/>
          <w:szCs w:val="22"/>
        </w:rPr>
      </w:pPr>
      <w:r w:rsidRPr="00C21CC7">
        <w:rPr>
          <w:rFonts w:ascii="Palatino Linotype" w:hAnsi="Palatino Linotype" w:cs="Arial"/>
          <w:b/>
          <w:i/>
          <w:sz w:val="22"/>
          <w:szCs w:val="22"/>
          <w:lang w:eastAsia="es-MX"/>
        </w:rPr>
        <w:t xml:space="preserve">Lineamientos Generales en materia de Clasificación y Desclasificación de la </w:t>
      </w:r>
      <w:r w:rsidRPr="00C21CC7">
        <w:rPr>
          <w:rFonts w:ascii="Palatino Linotype" w:hAnsi="Palatino Linotype" w:cs="Arial"/>
          <w:b/>
          <w:i/>
          <w:sz w:val="22"/>
          <w:szCs w:val="22"/>
        </w:rPr>
        <w:t>Información</w:t>
      </w:r>
    </w:p>
    <w:p w14:paraId="66826069" w14:textId="77777777" w:rsidR="00241089" w:rsidRPr="00C21CC7"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C21CC7">
        <w:rPr>
          <w:rFonts w:ascii="Palatino Linotype" w:hAnsi="Palatino Linotype" w:cs="Arial"/>
          <w:i/>
          <w:sz w:val="22"/>
          <w:szCs w:val="22"/>
          <w:lang w:eastAsia="es-MX"/>
        </w:rPr>
        <w:lastRenderedPageBreak/>
        <w:t>“</w:t>
      </w:r>
      <w:proofErr w:type="gramStart"/>
      <w:r w:rsidRPr="00C21CC7">
        <w:rPr>
          <w:rFonts w:ascii="Palatino Linotype" w:hAnsi="Palatino Linotype" w:cs="Arial"/>
          <w:b/>
          <w:i/>
          <w:sz w:val="22"/>
          <w:szCs w:val="22"/>
          <w:lang w:eastAsia="es-MX"/>
        </w:rPr>
        <w:t>Segundo.-</w:t>
      </w:r>
      <w:proofErr w:type="gramEnd"/>
      <w:r w:rsidRPr="00C21CC7">
        <w:rPr>
          <w:rFonts w:ascii="Palatino Linotype" w:hAnsi="Palatino Linotype" w:cs="Arial"/>
          <w:i/>
          <w:sz w:val="22"/>
          <w:szCs w:val="22"/>
          <w:lang w:eastAsia="es-MX"/>
        </w:rPr>
        <w:t xml:space="preserve"> Para efectos de los </w:t>
      </w:r>
      <w:r w:rsidRPr="00C21CC7">
        <w:rPr>
          <w:rFonts w:ascii="Palatino Linotype" w:hAnsi="Palatino Linotype" w:cs="Arial"/>
          <w:i/>
          <w:sz w:val="22"/>
          <w:szCs w:val="22"/>
        </w:rPr>
        <w:t>presentes</w:t>
      </w:r>
      <w:r w:rsidRPr="00C21CC7">
        <w:rPr>
          <w:rFonts w:ascii="Palatino Linotype" w:hAnsi="Palatino Linotype" w:cs="Arial"/>
          <w:i/>
          <w:sz w:val="22"/>
          <w:szCs w:val="22"/>
          <w:lang w:eastAsia="es-MX"/>
        </w:rPr>
        <w:t xml:space="preserve"> Lineamientos Generales, se entenderá por:</w:t>
      </w:r>
    </w:p>
    <w:p w14:paraId="32B98B90" w14:textId="77777777" w:rsidR="00241089" w:rsidRPr="00C21CC7"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C21CC7">
        <w:rPr>
          <w:rFonts w:ascii="Palatino Linotype" w:hAnsi="Palatino Linotype" w:cs="Arial"/>
          <w:b/>
          <w:i/>
          <w:sz w:val="22"/>
          <w:szCs w:val="22"/>
          <w:lang w:eastAsia="es-MX"/>
        </w:rPr>
        <w:t>XVIII.</w:t>
      </w:r>
      <w:r w:rsidRPr="00C21CC7">
        <w:rPr>
          <w:rFonts w:ascii="Palatino Linotype" w:hAnsi="Palatino Linotype" w:cs="Arial"/>
          <w:i/>
          <w:sz w:val="22"/>
          <w:szCs w:val="22"/>
          <w:lang w:eastAsia="es-MX"/>
        </w:rPr>
        <w:t xml:space="preserve"> </w:t>
      </w:r>
      <w:r w:rsidRPr="00C21CC7">
        <w:rPr>
          <w:rFonts w:ascii="Palatino Linotype" w:hAnsi="Palatino Linotype" w:cs="Arial"/>
          <w:b/>
          <w:i/>
          <w:sz w:val="22"/>
          <w:szCs w:val="22"/>
          <w:lang w:eastAsia="es-MX"/>
        </w:rPr>
        <w:t>Versión pública:</w:t>
      </w:r>
      <w:r w:rsidRPr="00C21CC7">
        <w:rPr>
          <w:rFonts w:ascii="Palatino Linotype" w:hAnsi="Palatino Linotype" w:cs="Arial"/>
          <w:i/>
          <w:sz w:val="22"/>
          <w:szCs w:val="22"/>
          <w:lang w:eastAsia="es-MX"/>
        </w:rPr>
        <w:t xml:space="preserve"> El </w:t>
      </w:r>
      <w:r w:rsidRPr="00C21CC7">
        <w:rPr>
          <w:rFonts w:ascii="Palatino Linotype" w:hAnsi="Palatino Linotype" w:cs="Arial"/>
          <w:bCs/>
          <w:i/>
          <w:noProof/>
          <w:sz w:val="22"/>
          <w:szCs w:val="22"/>
        </w:rPr>
        <w:t>documento</w:t>
      </w:r>
      <w:r w:rsidRPr="00C21CC7">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C21CC7">
        <w:rPr>
          <w:rFonts w:ascii="Palatino Linotype" w:hAnsi="Palatino Linotype" w:cs="Arial"/>
          <w:b/>
          <w:i/>
          <w:sz w:val="22"/>
          <w:szCs w:val="22"/>
          <w:lang w:eastAsia="es-MX"/>
        </w:rPr>
        <w:t>fundando y motivando la</w:t>
      </w:r>
      <w:r w:rsidRPr="00C21CC7">
        <w:rPr>
          <w:rFonts w:ascii="Palatino Linotype" w:hAnsi="Palatino Linotype" w:cs="Arial"/>
          <w:i/>
          <w:sz w:val="22"/>
          <w:szCs w:val="22"/>
          <w:lang w:eastAsia="es-MX"/>
        </w:rPr>
        <w:t xml:space="preserve"> reserva o </w:t>
      </w:r>
      <w:r w:rsidRPr="00C21CC7">
        <w:rPr>
          <w:rFonts w:ascii="Palatino Linotype" w:hAnsi="Palatino Linotype" w:cs="Arial"/>
          <w:b/>
          <w:i/>
          <w:sz w:val="22"/>
          <w:szCs w:val="22"/>
          <w:lang w:eastAsia="es-MX"/>
        </w:rPr>
        <w:t>confidencialidad</w:t>
      </w:r>
      <w:r w:rsidRPr="00C21CC7">
        <w:rPr>
          <w:rFonts w:ascii="Palatino Linotype" w:hAnsi="Palatino Linotype" w:cs="Arial"/>
          <w:i/>
          <w:sz w:val="22"/>
          <w:szCs w:val="22"/>
          <w:lang w:eastAsia="es-MX"/>
        </w:rPr>
        <w:t xml:space="preserve">, a través de la resolución que para tal efecto emita el </w:t>
      </w:r>
      <w:r w:rsidRPr="00C21CC7">
        <w:rPr>
          <w:rFonts w:ascii="Palatino Linotype" w:hAnsi="Palatino Linotype" w:cs="Arial"/>
          <w:bCs/>
          <w:i/>
          <w:noProof/>
          <w:sz w:val="22"/>
          <w:szCs w:val="22"/>
        </w:rPr>
        <w:t>Comité</w:t>
      </w:r>
      <w:r w:rsidRPr="00C21CC7">
        <w:rPr>
          <w:rFonts w:ascii="Palatino Linotype" w:hAnsi="Palatino Linotype" w:cs="Arial"/>
          <w:i/>
          <w:sz w:val="22"/>
          <w:szCs w:val="22"/>
          <w:lang w:eastAsia="es-MX"/>
        </w:rPr>
        <w:t xml:space="preserve"> de Transparencia.</w:t>
      </w:r>
    </w:p>
    <w:p w14:paraId="132BF0FA" w14:textId="77777777" w:rsidR="00241089" w:rsidRPr="00C21CC7"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C21CC7">
        <w:rPr>
          <w:rFonts w:ascii="Palatino Linotype" w:hAnsi="Palatino Linotype" w:cs="Arial"/>
          <w:b/>
          <w:i/>
          <w:sz w:val="22"/>
          <w:szCs w:val="22"/>
          <w:lang w:eastAsia="es-MX"/>
        </w:rPr>
        <w:t>Cuarto.</w:t>
      </w:r>
      <w:r w:rsidRPr="00C21CC7">
        <w:rPr>
          <w:rFonts w:ascii="Palatino Linotype" w:hAnsi="Palatino Linotype" w:cs="Arial"/>
          <w:i/>
          <w:sz w:val="22"/>
          <w:szCs w:val="22"/>
          <w:lang w:eastAsia="es-MX"/>
        </w:rPr>
        <w:t xml:space="preserve"> </w:t>
      </w:r>
      <w:r w:rsidRPr="00C21CC7">
        <w:rPr>
          <w:rFonts w:ascii="Palatino Linotype" w:hAnsi="Palatino Linotype" w:cs="Arial"/>
          <w:b/>
          <w:i/>
          <w:sz w:val="22"/>
          <w:szCs w:val="22"/>
          <w:lang w:eastAsia="es-MX"/>
        </w:rPr>
        <w:t>Para clasificar la información como</w:t>
      </w:r>
      <w:r w:rsidRPr="00C21CC7">
        <w:rPr>
          <w:rFonts w:ascii="Palatino Linotype" w:hAnsi="Palatino Linotype" w:cs="Arial"/>
          <w:i/>
          <w:sz w:val="22"/>
          <w:szCs w:val="22"/>
          <w:lang w:eastAsia="es-MX"/>
        </w:rPr>
        <w:t xml:space="preserve"> reservada o </w:t>
      </w:r>
      <w:r w:rsidRPr="00C21CC7">
        <w:rPr>
          <w:rFonts w:ascii="Palatino Linotype" w:hAnsi="Palatino Linotype" w:cs="Arial"/>
          <w:b/>
          <w:i/>
          <w:sz w:val="22"/>
          <w:szCs w:val="22"/>
          <w:lang w:eastAsia="es-MX"/>
        </w:rPr>
        <w:t xml:space="preserve">confidencial, de manera total o parcial, el titular del </w:t>
      </w:r>
      <w:r w:rsidRPr="00C21CC7">
        <w:rPr>
          <w:rFonts w:ascii="Palatino Linotype" w:hAnsi="Palatino Linotype" w:cs="Arial"/>
          <w:b/>
          <w:bCs/>
          <w:i/>
          <w:noProof/>
          <w:sz w:val="22"/>
          <w:szCs w:val="22"/>
        </w:rPr>
        <w:t>área</w:t>
      </w:r>
      <w:r w:rsidRPr="00C21CC7">
        <w:rPr>
          <w:rFonts w:ascii="Palatino Linotype" w:hAnsi="Palatino Linotype" w:cs="Arial"/>
          <w:b/>
          <w:i/>
          <w:sz w:val="22"/>
          <w:szCs w:val="22"/>
          <w:lang w:eastAsia="es-MX"/>
        </w:rPr>
        <w:t xml:space="preserve"> del sujeto </w:t>
      </w:r>
      <w:r w:rsidRPr="00C21CC7">
        <w:rPr>
          <w:rFonts w:ascii="Palatino Linotype" w:hAnsi="Palatino Linotype" w:cs="Arial"/>
          <w:b/>
          <w:i/>
          <w:sz w:val="22"/>
          <w:szCs w:val="22"/>
        </w:rPr>
        <w:t>obligado</w:t>
      </w:r>
      <w:r w:rsidRPr="00C21CC7">
        <w:rPr>
          <w:rFonts w:ascii="Palatino Linotype" w:hAnsi="Palatino Linotype" w:cs="Arial"/>
          <w:b/>
          <w:i/>
          <w:sz w:val="22"/>
          <w:szCs w:val="22"/>
          <w:lang w:eastAsia="es-MX"/>
        </w:rPr>
        <w:t xml:space="preserve"> deberá atender lo dispuesto por el Título Sexto de la Ley General</w:t>
      </w:r>
      <w:r w:rsidRPr="00C21CC7">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7C85C3F" w14:textId="77777777" w:rsidR="00241089" w:rsidRPr="00C21CC7"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C21CC7">
        <w:rPr>
          <w:rFonts w:ascii="Palatino Linotype" w:hAnsi="Palatino Linotype" w:cs="Arial"/>
          <w:i/>
          <w:sz w:val="22"/>
          <w:szCs w:val="22"/>
          <w:lang w:eastAsia="es-MX"/>
        </w:rPr>
        <w:t xml:space="preserve">Los sujetos obligados deberán aplicar, de manera estricta, las excepciones al derecho de acceso a la </w:t>
      </w:r>
      <w:r w:rsidRPr="00C21CC7">
        <w:rPr>
          <w:rFonts w:ascii="Palatino Linotype" w:hAnsi="Palatino Linotype" w:cs="Arial"/>
          <w:bCs/>
          <w:i/>
          <w:noProof/>
          <w:sz w:val="22"/>
          <w:szCs w:val="22"/>
        </w:rPr>
        <w:t>información</w:t>
      </w:r>
      <w:r w:rsidRPr="00C21CC7">
        <w:rPr>
          <w:rFonts w:ascii="Palatino Linotype" w:hAnsi="Palatino Linotype" w:cs="Arial"/>
          <w:i/>
          <w:sz w:val="22"/>
          <w:szCs w:val="22"/>
          <w:lang w:eastAsia="es-MX"/>
        </w:rPr>
        <w:t xml:space="preserve"> y sólo </w:t>
      </w:r>
      <w:r w:rsidRPr="00C21CC7">
        <w:rPr>
          <w:rFonts w:ascii="Palatino Linotype" w:hAnsi="Palatino Linotype" w:cs="Arial"/>
          <w:i/>
          <w:sz w:val="22"/>
          <w:szCs w:val="22"/>
        </w:rPr>
        <w:t>podrán</w:t>
      </w:r>
      <w:r w:rsidRPr="00C21CC7">
        <w:rPr>
          <w:rFonts w:ascii="Palatino Linotype" w:hAnsi="Palatino Linotype" w:cs="Arial"/>
          <w:i/>
          <w:sz w:val="22"/>
          <w:szCs w:val="22"/>
          <w:lang w:eastAsia="es-MX"/>
        </w:rPr>
        <w:t xml:space="preserve"> invocarlas cuando acrediten su procedencia.</w:t>
      </w:r>
    </w:p>
    <w:p w14:paraId="7C87A3EA" w14:textId="77777777" w:rsidR="00241089" w:rsidRPr="00C21CC7"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C21CC7">
        <w:rPr>
          <w:rFonts w:ascii="Palatino Linotype" w:hAnsi="Palatino Linotype" w:cs="Arial"/>
          <w:b/>
          <w:i/>
          <w:sz w:val="22"/>
          <w:szCs w:val="22"/>
          <w:lang w:eastAsia="es-MX"/>
        </w:rPr>
        <w:t>Quinto.</w:t>
      </w:r>
      <w:r w:rsidRPr="00C21CC7">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C21CC7">
        <w:rPr>
          <w:rFonts w:ascii="Palatino Linotype" w:hAnsi="Palatino Linotype" w:cs="Arial"/>
          <w:i/>
          <w:sz w:val="22"/>
          <w:szCs w:val="22"/>
        </w:rPr>
        <w:t>corresponderá</w:t>
      </w:r>
      <w:r w:rsidRPr="00C21CC7">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AA84FB3" w14:textId="77777777" w:rsidR="00241089" w:rsidRPr="00C21CC7"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C21CC7">
        <w:rPr>
          <w:rFonts w:ascii="Palatino Linotype" w:hAnsi="Palatino Linotype" w:cs="Arial"/>
          <w:b/>
          <w:i/>
          <w:sz w:val="22"/>
          <w:szCs w:val="22"/>
          <w:lang w:eastAsia="es-MX"/>
        </w:rPr>
        <w:t>Sexto.</w:t>
      </w:r>
      <w:r w:rsidRPr="00C21CC7">
        <w:rPr>
          <w:rFonts w:ascii="Palatino Linotype" w:hAnsi="Palatino Linotype" w:cs="Arial"/>
          <w:i/>
          <w:sz w:val="22"/>
          <w:szCs w:val="22"/>
          <w:lang w:eastAsia="es-MX"/>
        </w:rPr>
        <w:t xml:space="preserve"> Los sujetos obligados no podrán emitir acuerdos de carácter general ni particular que clasifiquen </w:t>
      </w:r>
      <w:r w:rsidRPr="00C21CC7">
        <w:rPr>
          <w:rFonts w:ascii="Palatino Linotype" w:hAnsi="Palatino Linotype" w:cs="Arial"/>
          <w:bCs/>
          <w:i/>
          <w:noProof/>
          <w:sz w:val="22"/>
          <w:szCs w:val="22"/>
        </w:rPr>
        <w:t>documentos</w:t>
      </w:r>
      <w:r w:rsidRPr="00C21CC7">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2606846F" w14:textId="77777777" w:rsidR="00241089" w:rsidRPr="00C21CC7" w:rsidRDefault="00241089" w:rsidP="00241089">
      <w:pPr>
        <w:ind w:left="851" w:right="902"/>
        <w:jc w:val="both"/>
        <w:rPr>
          <w:rFonts w:ascii="Palatino Linotype" w:hAnsi="Palatino Linotype" w:cs="Arial"/>
          <w:i/>
          <w:sz w:val="22"/>
          <w:szCs w:val="22"/>
          <w:lang w:eastAsia="es-MX"/>
        </w:rPr>
      </w:pPr>
      <w:r w:rsidRPr="00C21CC7">
        <w:rPr>
          <w:rFonts w:ascii="Palatino Linotype" w:hAnsi="Palatino Linotype" w:cs="Arial"/>
          <w:i/>
          <w:sz w:val="22"/>
          <w:szCs w:val="22"/>
          <w:lang w:eastAsia="es-MX"/>
        </w:rPr>
        <w:t xml:space="preserve">La clasificación de </w:t>
      </w:r>
      <w:r w:rsidRPr="00C21CC7">
        <w:rPr>
          <w:rFonts w:ascii="Palatino Linotype" w:hAnsi="Palatino Linotype" w:cs="Arial"/>
          <w:i/>
          <w:sz w:val="22"/>
          <w:szCs w:val="22"/>
        </w:rPr>
        <w:t>información</w:t>
      </w:r>
      <w:r w:rsidRPr="00C21CC7">
        <w:rPr>
          <w:rFonts w:ascii="Palatino Linotype" w:hAnsi="Palatino Linotype" w:cs="Arial"/>
          <w:i/>
          <w:sz w:val="22"/>
          <w:szCs w:val="22"/>
          <w:lang w:eastAsia="es-MX"/>
        </w:rPr>
        <w:t xml:space="preserve"> se realizará conforme a un análisis caso por caso, mediante la aplicación </w:t>
      </w:r>
      <w:r w:rsidRPr="00C21CC7">
        <w:rPr>
          <w:rFonts w:ascii="Palatino Linotype" w:hAnsi="Palatino Linotype" w:cs="Arial"/>
          <w:bCs/>
          <w:i/>
          <w:noProof/>
          <w:sz w:val="22"/>
          <w:szCs w:val="22"/>
        </w:rPr>
        <w:t>de</w:t>
      </w:r>
      <w:r w:rsidRPr="00C21CC7">
        <w:rPr>
          <w:rFonts w:ascii="Palatino Linotype" w:hAnsi="Palatino Linotype" w:cs="Arial"/>
          <w:i/>
          <w:sz w:val="22"/>
          <w:szCs w:val="22"/>
          <w:lang w:eastAsia="es-MX"/>
        </w:rPr>
        <w:t xml:space="preserve"> la prueba de daño y de interés público.</w:t>
      </w:r>
    </w:p>
    <w:p w14:paraId="63135A48" w14:textId="77777777" w:rsidR="00241089" w:rsidRPr="00C21CC7"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C21CC7">
        <w:rPr>
          <w:rFonts w:ascii="Palatino Linotype" w:hAnsi="Palatino Linotype" w:cs="Arial"/>
          <w:b/>
          <w:i/>
          <w:sz w:val="22"/>
          <w:szCs w:val="22"/>
          <w:lang w:eastAsia="es-MX"/>
        </w:rPr>
        <w:t>Séptimo.</w:t>
      </w:r>
      <w:r w:rsidRPr="00C21CC7">
        <w:rPr>
          <w:rFonts w:ascii="Palatino Linotype" w:hAnsi="Palatino Linotype" w:cs="Arial"/>
          <w:i/>
          <w:sz w:val="22"/>
          <w:szCs w:val="22"/>
          <w:lang w:eastAsia="es-MX"/>
        </w:rPr>
        <w:t xml:space="preserve"> La clasificación </w:t>
      </w:r>
      <w:r w:rsidRPr="00C21CC7">
        <w:rPr>
          <w:rFonts w:ascii="Palatino Linotype" w:hAnsi="Palatino Linotype" w:cs="Arial"/>
          <w:bCs/>
          <w:i/>
          <w:noProof/>
          <w:sz w:val="22"/>
          <w:szCs w:val="22"/>
        </w:rPr>
        <w:t>de</w:t>
      </w:r>
      <w:r w:rsidRPr="00C21CC7">
        <w:rPr>
          <w:rFonts w:ascii="Palatino Linotype" w:hAnsi="Palatino Linotype" w:cs="Arial"/>
          <w:i/>
          <w:sz w:val="22"/>
          <w:szCs w:val="22"/>
          <w:lang w:eastAsia="es-MX"/>
        </w:rPr>
        <w:t xml:space="preserve"> la </w:t>
      </w:r>
      <w:r w:rsidRPr="00C21CC7">
        <w:rPr>
          <w:rFonts w:ascii="Palatino Linotype" w:hAnsi="Palatino Linotype" w:cs="Arial"/>
          <w:i/>
          <w:sz w:val="22"/>
          <w:szCs w:val="22"/>
        </w:rPr>
        <w:t>información</w:t>
      </w:r>
      <w:r w:rsidRPr="00C21CC7">
        <w:rPr>
          <w:rFonts w:ascii="Palatino Linotype" w:hAnsi="Palatino Linotype" w:cs="Arial"/>
          <w:i/>
          <w:sz w:val="22"/>
          <w:szCs w:val="22"/>
          <w:lang w:eastAsia="es-MX"/>
        </w:rPr>
        <w:t xml:space="preserve"> se llevará a cabo en el momento en que:</w:t>
      </w:r>
    </w:p>
    <w:p w14:paraId="787B72B1" w14:textId="77777777" w:rsidR="00241089" w:rsidRPr="00C21CC7"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C21CC7">
        <w:rPr>
          <w:rFonts w:ascii="Palatino Linotype" w:hAnsi="Palatino Linotype" w:cs="Arial"/>
          <w:b/>
          <w:i/>
          <w:sz w:val="22"/>
          <w:szCs w:val="22"/>
          <w:lang w:eastAsia="es-MX"/>
        </w:rPr>
        <w:t>I.</w:t>
      </w:r>
      <w:r w:rsidRPr="00C21CC7">
        <w:rPr>
          <w:rFonts w:ascii="Palatino Linotype" w:hAnsi="Palatino Linotype" w:cs="Arial"/>
          <w:i/>
          <w:sz w:val="22"/>
          <w:szCs w:val="22"/>
          <w:lang w:eastAsia="es-MX"/>
        </w:rPr>
        <w:t xml:space="preserve"> Se reciba una solicitud de acceso a la información;</w:t>
      </w:r>
    </w:p>
    <w:p w14:paraId="32EBD7C7" w14:textId="77777777" w:rsidR="00241089" w:rsidRPr="00C21CC7"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C21CC7">
        <w:rPr>
          <w:rFonts w:ascii="Palatino Linotype" w:hAnsi="Palatino Linotype" w:cs="Arial"/>
          <w:b/>
          <w:i/>
          <w:sz w:val="22"/>
          <w:szCs w:val="22"/>
          <w:lang w:eastAsia="es-MX"/>
        </w:rPr>
        <w:t>II.</w:t>
      </w:r>
      <w:r w:rsidRPr="00C21CC7">
        <w:rPr>
          <w:rFonts w:ascii="Palatino Linotype" w:hAnsi="Palatino Linotype" w:cs="Arial"/>
          <w:i/>
          <w:sz w:val="22"/>
          <w:szCs w:val="22"/>
          <w:lang w:eastAsia="es-MX"/>
        </w:rPr>
        <w:t xml:space="preserve"> Se determine </w:t>
      </w:r>
      <w:r w:rsidRPr="00C21CC7">
        <w:rPr>
          <w:rFonts w:ascii="Palatino Linotype" w:hAnsi="Palatino Linotype" w:cs="Arial"/>
          <w:bCs/>
          <w:i/>
          <w:noProof/>
          <w:sz w:val="22"/>
          <w:szCs w:val="22"/>
        </w:rPr>
        <w:t>mediante</w:t>
      </w:r>
      <w:r w:rsidRPr="00C21CC7">
        <w:rPr>
          <w:rFonts w:ascii="Palatino Linotype" w:hAnsi="Palatino Linotype" w:cs="Arial"/>
          <w:i/>
          <w:sz w:val="22"/>
          <w:szCs w:val="22"/>
          <w:lang w:eastAsia="es-MX"/>
        </w:rPr>
        <w:t xml:space="preserve"> resolución de autoridad competente, o</w:t>
      </w:r>
    </w:p>
    <w:p w14:paraId="1CC1C14A" w14:textId="77777777" w:rsidR="00241089" w:rsidRPr="00C21CC7"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C21CC7">
        <w:rPr>
          <w:rFonts w:ascii="Palatino Linotype" w:hAnsi="Palatino Linotype" w:cs="Arial"/>
          <w:b/>
          <w:i/>
          <w:sz w:val="22"/>
          <w:szCs w:val="22"/>
          <w:lang w:eastAsia="es-MX"/>
        </w:rPr>
        <w:t>III.</w:t>
      </w:r>
      <w:r w:rsidRPr="00C21CC7">
        <w:rPr>
          <w:rFonts w:ascii="Palatino Linotype" w:hAnsi="Palatino Linotype" w:cs="Arial"/>
          <w:i/>
          <w:sz w:val="22"/>
          <w:szCs w:val="22"/>
          <w:lang w:eastAsia="es-MX"/>
        </w:rPr>
        <w:t xml:space="preserve"> Se generen </w:t>
      </w:r>
      <w:r w:rsidRPr="00C21CC7">
        <w:rPr>
          <w:rFonts w:ascii="Palatino Linotype" w:hAnsi="Palatino Linotype" w:cs="Arial"/>
          <w:bCs/>
          <w:i/>
          <w:noProof/>
          <w:sz w:val="22"/>
          <w:szCs w:val="22"/>
        </w:rPr>
        <w:t>versiones</w:t>
      </w:r>
      <w:r w:rsidRPr="00C21CC7">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5020FF1C" w14:textId="77777777" w:rsidR="00241089" w:rsidRPr="00C21CC7"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C21CC7">
        <w:rPr>
          <w:rFonts w:ascii="Palatino Linotype" w:hAnsi="Palatino Linotype" w:cs="Arial"/>
          <w:i/>
          <w:sz w:val="22"/>
          <w:szCs w:val="22"/>
          <w:lang w:eastAsia="es-MX"/>
        </w:rPr>
        <w:lastRenderedPageBreak/>
        <w:t xml:space="preserve">Los titulares de las áreas deberán revisar la clasificación al momento de la recepción de una solicitud de </w:t>
      </w:r>
      <w:r w:rsidRPr="00C21CC7">
        <w:rPr>
          <w:rFonts w:ascii="Palatino Linotype" w:hAnsi="Palatino Linotype" w:cs="Arial"/>
          <w:bCs/>
          <w:i/>
          <w:noProof/>
          <w:sz w:val="22"/>
          <w:szCs w:val="22"/>
        </w:rPr>
        <w:t>acceso</w:t>
      </w:r>
      <w:r w:rsidRPr="00C21CC7">
        <w:rPr>
          <w:rFonts w:ascii="Palatino Linotype" w:hAnsi="Palatino Linotype" w:cs="Arial"/>
          <w:i/>
          <w:sz w:val="22"/>
          <w:szCs w:val="22"/>
          <w:lang w:eastAsia="es-MX"/>
        </w:rPr>
        <w:t xml:space="preserve"> a la información, para verificar si encuadra en una causal de reserva o de confidencialidad.</w:t>
      </w:r>
    </w:p>
    <w:p w14:paraId="1CE7BD1A" w14:textId="77777777" w:rsidR="00241089" w:rsidRPr="00C21CC7"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C21CC7">
        <w:rPr>
          <w:rFonts w:ascii="Palatino Linotype" w:hAnsi="Palatino Linotype" w:cs="Arial"/>
          <w:b/>
          <w:i/>
          <w:sz w:val="22"/>
          <w:szCs w:val="22"/>
          <w:lang w:eastAsia="es-MX"/>
        </w:rPr>
        <w:t>Octavo.</w:t>
      </w:r>
      <w:r w:rsidRPr="00C21CC7">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C21CC7">
        <w:rPr>
          <w:rFonts w:ascii="Palatino Linotype" w:hAnsi="Palatino Linotype" w:cs="Arial"/>
          <w:bCs/>
          <w:i/>
          <w:noProof/>
          <w:sz w:val="22"/>
          <w:szCs w:val="22"/>
        </w:rPr>
        <w:t>expresamente</w:t>
      </w:r>
      <w:r w:rsidRPr="00C21CC7">
        <w:rPr>
          <w:rFonts w:ascii="Palatino Linotype" w:hAnsi="Palatino Linotype" w:cs="Arial"/>
          <w:i/>
          <w:sz w:val="22"/>
          <w:szCs w:val="22"/>
          <w:lang w:eastAsia="es-MX"/>
        </w:rPr>
        <w:t xml:space="preserve"> le otorga el carácter de reservada o confidencial.</w:t>
      </w:r>
    </w:p>
    <w:p w14:paraId="014E3F74" w14:textId="77777777" w:rsidR="00241089" w:rsidRPr="00C21CC7" w:rsidRDefault="00241089" w:rsidP="00241089">
      <w:pPr>
        <w:autoSpaceDE w:val="0"/>
        <w:autoSpaceDN w:val="0"/>
        <w:adjustRightInd w:val="0"/>
        <w:ind w:left="851" w:right="902"/>
        <w:jc w:val="both"/>
        <w:rPr>
          <w:rFonts w:ascii="Palatino Linotype" w:hAnsi="Palatino Linotype" w:cs="Arial"/>
          <w:bCs/>
          <w:i/>
          <w:noProof/>
          <w:sz w:val="22"/>
          <w:szCs w:val="22"/>
        </w:rPr>
      </w:pPr>
      <w:r w:rsidRPr="00C21CC7">
        <w:rPr>
          <w:rFonts w:ascii="Palatino Linotype" w:hAnsi="Palatino Linotype" w:cs="Arial"/>
          <w:i/>
          <w:sz w:val="22"/>
          <w:szCs w:val="22"/>
          <w:lang w:eastAsia="es-MX"/>
        </w:rPr>
        <w:t xml:space="preserve">Para </w:t>
      </w:r>
      <w:r w:rsidRPr="00C21CC7">
        <w:rPr>
          <w:rFonts w:ascii="Palatino Linotype" w:hAnsi="Palatino Linotype" w:cs="Arial"/>
          <w:bCs/>
          <w:i/>
          <w:noProof/>
          <w:sz w:val="22"/>
          <w:szCs w:val="22"/>
        </w:rPr>
        <w:t xml:space="preserve">motivar la clasificación se deberán señalar las razones o circunstancias especiales que lo </w:t>
      </w:r>
      <w:r w:rsidRPr="00C21CC7">
        <w:rPr>
          <w:rFonts w:ascii="Palatino Linotype" w:hAnsi="Palatino Linotype" w:cs="Arial"/>
          <w:i/>
          <w:sz w:val="22"/>
          <w:szCs w:val="22"/>
          <w:lang w:eastAsia="es-MX"/>
        </w:rPr>
        <w:t>llevaron</w:t>
      </w:r>
      <w:r w:rsidRPr="00C21CC7">
        <w:rPr>
          <w:rFonts w:ascii="Palatino Linotype" w:hAnsi="Palatino Linotype" w:cs="Arial"/>
          <w:bCs/>
          <w:i/>
          <w:noProof/>
          <w:sz w:val="22"/>
          <w:szCs w:val="22"/>
        </w:rPr>
        <w:t xml:space="preserve"> a concluir que el caso particular se ajusta al supuesto previsto por la norma legal invocada como fundamento.</w:t>
      </w:r>
    </w:p>
    <w:p w14:paraId="31E4F0AD" w14:textId="77777777" w:rsidR="00241089" w:rsidRPr="00C21CC7" w:rsidRDefault="00241089" w:rsidP="00241089">
      <w:pPr>
        <w:autoSpaceDE w:val="0"/>
        <w:autoSpaceDN w:val="0"/>
        <w:adjustRightInd w:val="0"/>
        <w:ind w:left="851" w:right="902"/>
        <w:jc w:val="both"/>
        <w:rPr>
          <w:rFonts w:ascii="Palatino Linotype" w:hAnsi="Palatino Linotype" w:cs="Arial"/>
          <w:bCs/>
          <w:i/>
          <w:noProof/>
          <w:sz w:val="22"/>
          <w:szCs w:val="22"/>
        </w:rPr>
      </w:pPr>
      <w:r w:rsidRPr="00C21CC7">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C21CC7">
        <w:rPr>
          <w:rFonts w:ascii="Palatino Linotype" w:hAnsi="Palatino Linotype" w:cs="Arial"/>
          <w:i/>
          <w:sz w:val="22"/>
          <w:szCs w:val="22"/>
          <w:lang w:eastAsia="es-MX"/>
        </w:rPr>
        <w:t>de</w:t>
      </w:r>
      <w:r w:rsidRPr="00C21CC7">
        <w:rPr>
          <w:rFonts w:ascii="Palatino Linotype" w:hAnsi="Palatino Linotype" w:cs="Arial"/>
          <w:bCs/>
          <w:i/>
          <w:noProof/>
          <w:sz w:val="22"/>
          <w:szCs w:val="22"/>
        </w:rPr>
        <w:t xml:space="preserve"> </w:t>
      </w:r>
      <w:r w:rsidRPr="00C21CC7">
        <w:rPr>
          <w:rFonts w:ascii="Palatino Linotype" w:hAnsi="Palatino Linotype" w:cs="Arial"/>
          <w:i/>
          <w:sz w:val="22"/>
          <w:szCs w:val="22"/>
          <w:lang w:eastAsia="es-MX"/>
        </w:rPr>
        <w:t>reserva</w:t>
      </w:r>
      <w:r w:rsidRPr="00C21CC7">
        <w:rPr>
          <w:rFonts w:ascii="Palatino Linotype" w:hAnsi="Palatino Linotype" w:cs="Arial"/>
          <w:bCs/>
          <w:i/>
          <w:noProof/>
          <w:sz w:val="22"/>
          <w:szCs w:val="22"/>
        </w:rPr>
        <w:t>.</w:t>
      </w:r>
    </w:p>
    <w:p w14:paraId="36F1E4C8" w14:textId="77777777" w:rsidR="00241089" w:rsidRPr="00C21CC7" w:rsidRDefault="00241089" w:rsidP="00241089">
      <w:pPr>
        <w:autoSpaceDE w:val="0"/>
        <w:autoSpaceDN w:val="0"/>
        <w:adjustRightInd w:val="0"/>
        <w:ind w:left="851" w:right="902"/>
        <w:jc w:val="both"/>
        <w:rPr>
          <w:rFonts w:ascii="Palatino Linotype" w:hAnsi="Palatino Linotype" w:cs="Arial"/>
          <w:bCs/>
          <w:i/>
          <w:noProof/>
          <w:sz w:val="22"/>
          <w:szCs w:val="22"/>
        </w:rPr>
      </w:pPr>
      <w:r w:rsidRPr="00C21CC7">
        <w:rPr>
          <w:rFonts w:ascii="Palatino Linotype" w:hAnsi="Palatino Linotype" w:cs="Arial"/>
          <w:i/>
          <w:sz w:val="22"/>
          <w:szCs w:val="22"/>
          <w:lang w:eastAsia="es-MX"/>
        </w:rPr>
        <w:t>Tratándose</w:t>
      </w:r>
      <w:r w:rsidRPr="00C21CC7">
        <w:rPr>
          <w:rFonts w:ascii="Palatino Linotype" w:hAnsi="Palatino Linotype" w:cs="Arial"/>
          <w:bCs/>
          <w:i/>
          <w:noProof/>
          <w:sz w:val="22"/>
          <w:szCs w:val="22"/>
        </w:rPr>
        <w:t xml:space="preserve"> de información clasificada como confidencial respecto de la cual se haya </w:t>
      </w:r>
      <w:r w:rsidRPr="00C21CC7">
        <w:rPr>
          <w:rFonts w:ascii="Palatino Linotype" w:hAnsi="Palatino Linotype" w:cs="Arial"/>
          <w:i/>
          <w:sz w:val="22"/>
          <w:szCs w:val="22"/>
          <w:lang w:eastAsia="es-MX"/>
        </w:rPr>
        <w:t>determinado</w:t>
      </w:r>
      <w:r w:rsidRPr="00C21CC7">
        <w:rPr>
          <w:rFonts w:ascii="Palatino Linotype" w:hAnsi="Palatino Linotype" w:cs="Arial"/>
          <w:bCs/>
          <w:i/>
          <w:noProof/>
          <w:sz w:val="22"/>
          <w:szCs w:val="22"/>
        </w:rPr>
        <w:t xml:space="preserve"> </w:t>
      </w:r>
      <w:r w:rsidRPr="00C21CC7">
        <w:rPr>
          <w:rFonts w:ascii="Palatino Linotype" w:hAnsi="Palatino Linotype" w:cs="Arial"/>
          <w:i/>
          <w:sz w:val="22"/>
          <w:szCs w:val="22"/>
          <w:lang w:eastAsia="es-MX"/>
        </w:rPr>
        <w:t>su</w:t>
      </w:r>
      <w:r w:rsidRPr="00C21CC7">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78E29A04" w14:textId="77777777" w:rsidR="00241089" w:rsidRPr="00C21CC7"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C21CC7">
        <w:rPr>
          <w:rFonts w:ascii="Palatino Linotype" w:hAnsi="Palatino Linotype" w:cs="Arial"/>
          <w:bCs/>
          <w:i/>
          <w:noProof/>
          <w:sz w:val="22"/>
          <w:szCs w:val="22"/>
        </w:rPr>
        <w:t>Los documentos contenidos</w:t>
      </w:r>
      <w:r w:rsidRPr="00C21CC7">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283B8D61" w14:textId="77777777" w:rsidR="00241089" w:rsidRPr="00C21CC7"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C21CC7">
        <w:rPr>
          <w:rFonts w:ascii="Palatino Linotype" w:hAnsi="Palatino Linotype" w:cs="Arial"/>
          <w:b/>
          <w:i/>
          <w:sz w:val="22"/>
          <w:szCs w:val="22"/>
          <w:lang w:eastAsia="es-MX"/>
        </w:rPr>
        <w:t>Noveno.</w:t>
      </w:r>
      <w:r w:rsidRPr="00C21CC7">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FAB9AE2" w14:textId="77777777" w:rsidR="00241089" w:rsidRPr="00C21CC7"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C21CC7">
        <w:rPr>
          <w:rFonts w:ascii="Palatino Linotype" w:hAnsi="Palatino Linotype" w:cs="Arial"/>
          <w:b/>
          <w:i/>
          <w:sz w:val="22"/>
          <w:szCs w:val="22"/>
          <w:lang w:eastAsia="es-MX"/>
        </w:rPr>
        <w:t>Décimo.</w:t>
      </w:r>
      <w:r w:rsidRPr="00C21CC7">
        <w:rPr>
          <w:rFonts w:ascii="Palatino Linotype" w:hAnsi="Palatino Linotype" w:cs="Arial"/>
          <w:i/>
          <w:sz w:val="22"/>
          <w:szCs w:val="22"/>
          <w:lang w:eastAsia="es-MX"/>
        </w:rPr>
        <w:t xml:space="preserve"> Los titulares de las </w:t>
      </w:r>
      <w:proofErr w:type="gramStart"/>
      <w:r w:rsidRPr="00C21CC7">
        <w:rPr>
          <w:rFonts w:ascii="Palatino Linotype" w:hAnsi="Palatino Linotype" w:cs="Arial"/>
          <w:i/>
          <w:sz w:val="22"/>
          <w:szCs w:val="22"/>
          <w:lang w:eastAsia="es-MX"/>
        </w:rPr>
        <w:t>áreas,</w:t>
      </w:r>
      <w:proofErr w:type="gramEnd"/>
      <w:r w:rsidRPr="00C21CC7">
        <w:rPr>
          <w:rFonts w:ascii="Palatino Linotype" w:hAnsi="Palatino Linotype" w:cs="Arial"/>
          <w:i/>
          <w:sz w:val="22"/>
          <w:szCs w:val="22"/>
          <w:lang w:eastAsia="es-MX"/>
        </w:rPr>
        <w:t xml:space="preserve"> deberán tener conocimiento y llevar un registro del personal que, por la naturaleza de sus atribuciones, tenga acceso a los </w:t>
      </w:r>
      <w:r w:rsidRPr="00C21CC7">
        <w:rPr>
          <w:rFonts w:ascii="Palatino Linotype" w:hAnsi="Palatino Linotype" w:cs="Arial"/>
          <w:i/>
          <w:sz w:val="22"/>
          <w:szCs w:val="22"/>
        </w:rPr>
        <w:t>documentos</w:t>
      </w:r>
      <w:r w:rsidRPr="00C21CC7">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5617F02" w14:textId="77777777" w:rsidR="00241089" w:rsidRPr="00C21CC7"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C21CC7">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C21CC7">
        <w:rPr>
          <w:rFonts w:ascii="Palatino Linotype" w:hAnsi="Palatino Linotype" w:cs="Arial"/>
          <w:i/>
          <w:sz w:val="22"/>
          <w:szCs w:val="22"/>
        </w:rPr>
        <w:t>que</w:t>
      </w:r>
      <w:r w:rsidRPr="00C21CC7">
        <w:rPr>
          <w:rFonts w:ascii="Palatino Linotype" w:hAnsi="Palatino Linotype" w:cs="Arial"/>
          <w:i/>
          <w:sz w:val="22"/>
          <w:szCs w:val="22"/>
          <w:lang w:eastAsia="es-MX"/>
        </w:rPr>
        <w:t xml:space="preserve"> rija la actuación del sujeto obligado.</w:t>
      </w:r>
    </w:p>
    <w:p w14:paraId="48523E53" w14:textId="77777777" w:rsidR="00241089" w:rsidRPr="00C21CC7"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C21CC7">
        <w:rPr>
          <w:rFonts w:ascii="Palatino Linotype" w:hAnsi="Palatino Linotype" w:cs="Arial"/>
          <w:b/>
          <w:i/>
          <w:sz w:val="22"/>
          <w:szCs w:val="22"/>
          <w:lang w:eastAsia="es-MX"/>
        </w:rPr>
        <w:t>Décimo primero.</w:t>
      </w:r>
      <w:r w:rsidRPr="00C21CC7">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62DE4C0" w14:textId="77777777" w:rsidR="00241089" w:rsidRPr="00C21CC7" w:rsidRDefault="00241089" w:rsidP="00241089">
      <w:pPr>
        <w:ind w:left="709" w:right="709"/>
        <w:contextualSpacing/>
        <w:jc w:val="center"/>
        <w:rPr>
          <w:rFonts w:ascii="Palatino Linotype" w:hAnsi="Palatino Linotype" w:cs="Arial"/>
          <w:b/>
          <w:i/>
          <w:sz w:val="22"/>
          <w:szCs w:val="22"/>
          <w:lang w:eastAsia="es-MX"/>
        </w:rPr>
      </w:pPr>
      <w:r w:rsidRPr="00C21CC7">
        <w:rPr>
          <w:rFonts w:ascii="Palatino Linotype" w:hAnsi="Palatino Linotype" w:cs="Arial"/>
          <w:b/>
          <w:i/>
          <w:sz w:val="22"/>
          <w:szCs w:val="22"/>
          <w:lang w:eastAsia="es-MX"/>
        </w:rPr>
        <w:t>CAPÍTULO VIII</w:t>
      </w:r>
    </w:p>
    <w:p w14:paraId="79AD511E" w14:textId="77777777" w:rsidR="00241089" w:rsidRPr="00C21CC7" w:rsidRDefault="00241089" w:rsidP="00241089">
      <w:pPr>
        <w:ind w:left="709" w:right="709"/>
        <w:contextualSpacing/>
        <w:jc w:val="center"/>
        <w:rPr>
          <w:rFonts w:ascii="Palatino Linotype" w:hAnsi="Palatino Linotype" w:cs="Arial"/>
          <w:b/>
          <w:i/>
          <w:sz w:val="22"/>
          <w:szCs w:val="22"/>
          <w:lang w:eastAsia="es-MX"/>
        </w:rPr>
      </w:pPr>
      <w:r w:rsidRPr="00C21CC7">
        <w:rPr>
          <w:rFonts w:ascii="Palatino Linotype" w:hAnsi="Palatino Linotype" w:cs="Arial"/>
          <w:b/>
          <w:i/>
          <w:sz w:val="22"/>
          <w:szCs w:val="22"/>
          <w:lang w:eastAsia="es-MX"/>
        </w:rPr>
        <w:t>DE LA LEYENDA DE CLASIFICACIÓN</w:t>
      </w:r>
    </w:p>
    <w:p w14:paraId="090DF505" w14:textId="77777777" w:rsidR="00241089" w:rsidRPr="00C21CC7" w:rsidRDefault="00241089" w:rsidP="00241089">
      <w:pPr>
        <w:ind w:left="850" w:right="901"/>
        <w:contextualSpacing/>
        <w:jc w:val="both"/>
        <w:rPr>
          <w:rFonts w:ascii="Palatino Linotype" w:hAnsi="Palatino Linotype" w:cs="Arial"/>
          <w:i/>
          <w:sz w:val="22"/>
          <w:szCs w:val="22"/>
          <w:lang w:eastAsia="es-MX"/>
        </w:rPr>
      </w:pPr>
      <w:r w:rsidRPr="00C21CC7">
        <w:rPr>
          <w:rFonts w:ascii="Palatino Linotype" w:hAnsi="Palatino Linotype" w:cs="Arial"/>
          <w:b/>
          <w:i/>
          <w:sz w:val="22"/>
          <w:szCs w:val="22"/>
          <w:lang w:eastAsia="es-MX"/>
        </w:rPr>
        <w:lastRenderedPageBreak/>
        <w:t xml:space="preserve">Quincuagésimo. </w:t>
      </w:r>
      <w:r w:rsidRPr="00C21CC7">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C21CC7">
        <w:rPr>
          <w:rFonts w:ascii="Palatino Linotype" w:hAnsi="Palatino Linotype" w:cs="Arial"/>
          <w:i/>
          <w:sz w:val="22"/>
          <w:szCs w:val="22"/>
          <w:lang w:eastAsia="es-MX"/>
        </w:rPr>
        <w:t xml:space="preserve"> para señalar la clasificación de documentos o expedientes, sin perjuicio de que establezcan los propios.</w:t>
      </w:r>
    </w:p>
    <w:p w14:paraId="777D83E0" w14:textId="77777777" w:rsidR="00241089" w:rsidRPr="00C21CC7" w:rsidRDefault="00241089" w:rsidP="00241089">
      <w:pPr>
        <w:ind w:left="850" w:right="901"/>
        <w:contextualSpacing/>
        <w:jc w:val="both"/>
        <w:rPr>
          <w:rFonts w:ascii="Palatino Linotype" w:hAnsi="Palatino Linotype" w:cs="Arial"/>
          <w:i/>
          <w:sz w:val="22"/>
          <w:szCs w:val="22"/>
          <w:lang w:eastAsia="es-MX"/>
        </w:rPr>
      </w:pPr>
      <w:r w:rsidRPr="00C21CC7">
        <w:rPr>
          <w:rFonts w:ascii="Palatino Linotype" w:hAnsi="Palatino Linotype" w:cs="Arial"/>
          <w:i/>
          <w:sz w:val="22"/>
          <w:szCs w:val="22"/>
          <w:lang w:eastAsia="es-MX"/>
        </w:rPr>
        <w:t>[…]</w:t>
      </w:r>
    </w:p>
    <w:p w14:paraId="25391805" w14:textId="77777777" w:rsidR="00241089" w:rsidRPr="00C21CC7" w:rsidRDefault="00241089" w:rsidP="00241089">
      <w:pPr>
        <w:ind w:left="850" w:right="901"/>
        <w:contextualSpacing/>
        <w:jc w:val="both"/>
        <w:rPr>
          <w:rFonts w:ascii="Palatino Linotype" w:hAnsi="Palatino Linotype" w:cs="Arial"/>
          <w:i/>
          <w:sz w:val="22"/>
          <w:szCs w:val="22"/>
          <w:lang w:eastAsia="es-MX"/>
        </w:rPr>
      </w:pPr>
      <w:r w:rsidRPr="00C21CC7">
        <w:rPr>
          <w:rFonts w:ascii="Palatino Linotype" w:hAnsi="Palatino Linotype" w:cs="Arial"/>
          <w:b/>
          <w:i/>
          <w:sz w:val="22"/>
          <w:szCs w:val="22"/>
          <w:lang w:eastAsia="es-MX"/>
        </w:rPr>
        <w:t xml:space="preserve">Quincuagésimo tercero. </w:t>
      </w:r>
      <w:r w:rsidRPr="00C21CC7">
        <w:rPr>
          <w:rFonts w:ascii="Palatino Linotype" w:hAnsi="Palatino Linotype" w:cs="Arial"/>
          <w:b/>
          <w:i/>
          <w:sz w:val="22"/>
          <w:szCs w:val="22"/>
          <w:u w:val="single"/>
          <w:lang w:eastAsia="es-MX"/>
        </w:rPr>
        <w:t xml:space="preserve">El formato para señalar la clasificación parcial de un </w:t>
      </w:r>
      <w:proofErr w:type="gramStart"/>
      <w:r w:rsidRPr="00C21CC7">
        <w:rPr>
          <w:rFonts w:ascii="Palatino Linotype" w:hAnsi="Palatino Linotype" w:cs="Arial"/>
          <w:b/>
          <w:i/>
          <w:sz w:val="22"/>
          <w:szCs w:val="22"/>
          <w:u w:val="single"/>
          <w:lang w:eastAsia="es-MX"/>
        </w:rPr>
        <w:t>documento</w:t>
      </w:r>
      <w:r w:rsidRPr="00C21CC7">
        <w:rPr>
          <w:rFonts w:ascii="Palatino Linotype" w:hAnsi="Palatino Linotype" w:cs="Arial"/>
          <w:i/>
          <w:sz w:val="22"/>
          <w:szCs w:val="22"/>
          <w:lang w:eastAsia="es-MX"/>
        </w:rPr>
        <w:t>,</w:t>
      </w:r>
      <w:proofErr w:type="gramEnd"/>
      <w:r w:rsidRPr="00C21CC7">
        <w:rPr>
          <w:rFonts w:ascii="Palatino Linotype" w:hAnsi="Palatino Linotype" w:cs="Arial"/>
          <w:i/>
          <w:sz w:val="22"/>
          <w:szCs w:val="22"/>
          <w:lang w:eastAsia="es-MX"/>
        </w:rPr>
        <w:t xml:space="preserve"> es el siguiente:</w:t>
      </w:r>
    </w:p>
    <w:p w14:paraId="72A3C694" w14:textId="77777777" w:rsidR="00A35D56" w:rsidRPr="00C21CC7" w:rsidRDefault="00A35D56" w:rsidP="00241089">
      <w:pPr>
        <w:ind w:left="850" w:right="901"/>
        <w:contextualSpacing/>
        <w:jc w:val="both"/>
        <w:rPr>
          <w:rFonts w:ascii="Palatino Linotype" w:hAnsi="Palatino Linotype" w:cs="Arial"/>
          <w:i/>
          <w:sz w:val="22"/>
          <w:szCs w:val="22"/>
          <w:lang w:eastAsia="es-MX"/>
        </w:rPr>
      </w:pPr>
    </w:p>
    <w:tbl>
      <w:tblPr>
        <w:tblStyle w:val="Tablaconcuadrcula11112131"/>
        <w:tblW w:w="0" w:type="auto"/>
        <w:jc w:val="center"/>
        <w:tblInd w:w="0" w:type="dxa"/>
        <w:tblLook w:val="04A0" w:firstRow="1" w:lastRow="0" w:firstColumn="1" w:lastColumn="0" w:noHBand="0" w:noVBand="1"/>
      </w:tblPr>
      <w:tblGrid>
        <w:gridCol w:w="1129"/>
        <w:gridCol w:w="1990"/>
        <w:gridCol w:w="4531"/>
      </w:tblGrid>
      <w:tr w:rsidR="00241089" w:rsidRPr="00C21CC7" w14:paraId="0D90AF63" w14:textId="77777777" w:rsidTr="00241089">
        <w:trPr>
          <w:jc w:val="center"/>
        </w:trPr>
        <w:tc>
          <w:tcPr>
            <w:tcW w:w="1129" w:type="dxa"/>
            <w:tcBorders>
              <w:top w:val="single" w:sz="4" w:space="0" w:color="auto"/>
              <w:left w:val="single" w:sz="4" w:space="0" w:color="auto"/>
              <w:bottom w:val="single" w:sz="4" w:space="0" w:color="auto"/>
              <w:right w:val="single" w:sz="4" w:space="0" w:color="auto"/>
            </w:tcBorders>
          </w:tcPr>
          <w:p w14:paraId="1A5B442C" w14:textId="77777777" w:rsidR="00241089" w:rsidRPr="00C21CC7" w:rsidRDefault="00241089">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A5302FB" w14:textId="77777777" w:rsidR="00241089" w:rsidRPr="00C21CC7" w:rsidRDefault="00241089">
            <w:pPr>
              <w:jc w:val="center"/>
              <w:rPr>
                <w:rFonts w:ascii="Palatino Linotype" w:hAnsi="Palatino Linotype" w:cs="Times New Roman"/>
                <w:b/>
                <w:i/>
                <w:lang w:val="es-ES_tradnl"/>
              </w:rPr>
            </w:pPr>
            <w:r w:rsidRPr="00C21CC7">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1DA63D77" w14:textId="77777777" w:rsidR="00241089" w:rsidRPr="00C21CC7" w:rsidRDefault="00241089">
            <w:pPr>
              <w:jc w:val="center"/>
              <w:rPr>
                <w:rFonts w:ascii="Palatino Linotype" w:hAnsi="Palatino Linotype"/>
                <w:b/>
                <w:i/>
                <w:lang w:val="es-ES_tradnl"/>
              </w:rPr>
            </w:pPr>
            <w:r w:rsidRPr="00C21CC7">
              <w:rPr>
                <w:rFonts w:ascii="Palatino Linotype" w:hAnsi="Palatino Linotype"/>
                <w:b/>
                <w:i/>
                <w:lang w:val="es-ES_tradnl"/>
              </w:rPr>
              <w:t>Dónde:</w:t>
            </w:r>
          </w:p>
        </w:tc>
      </w:tr>
      <w:tr w:rsidR="00241089" w:rsidRPr="00C21CC7" w14:paraId="269B3909" w14:textId="77777777" w:rsidTr="00241089">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02A52270" w14:textId="77777777" w:rsidR="00241089" w:rsidRPr="00C21CC7" w:rsidRDefault="00241089">
            <w:pPr>
              <w:jc w:val="center"/>
              <w:rPr>
                <w:rFonts w:ascii="Palatino Linotype" w:hAnsi="Palatino Linotype" w:cs="Arial"/>
                <w:b/>
                <w:i/>
                <w:lang w:val="es-ES_tradnl" w:eastAsia="es-MX"/>
              </w:rPr>
            </w:pPr>
            <w:r w:rsidRPr="00C21CC7">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1426E261" w14:textId="77777777" w:rsidR="00241089" w:rsidRPr="00C21CC7" w:rsidRDefault="00241089">
            <w:pPr>
              <w:jc w:val="center"/>
              <w:rPr>
                <w:rFonts w:ascii="Palatino Linotype" w:hAnsi="Palatino Linotype" w:cs="Arial"/>
                <w:i/>
                <w:lang w:val="es-ES_tradnl" w:eastAsia="es-MX"/>
              </w:rPr>
            </w:pPr>
            <w:r w:rsidRPr="00C21CC7">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32C765DA" w14:textId="77777777" w:rsidR="00241089" w:rsidRPr="00C21CC7" w:rsidRDefault="00241089">
            <w:pPr>
              <w:jc w:val="both"/>
              <w:rPr>
                <w:rFonts w:ascii="Palatino Linotype" w:hAnsi="Palatino Linotype" w:cs="Arial"/>
                <w:i/>
                <w:lang w:val="es-ES_tradnl" w:eastAsia="es-MX"/>
              </w:rPr>
            </w:pPr>
            <w:r w:rsidRPr="00C21CC7">
              <w:rPr>
                <w:rFonts w:ascii="Palatino Linotype" w:hAnsi="Palatino Linotype" w:cs="Arial"/>
                <w:i/>
                <w:lang w:val="es-ES_tradnl" w:eastAsia="es-MX"/>
              </w:rPr>
              <w:t>Se anotará la fecha en la que el Comité de Transparencia confirmó la clasificación del documento, en su caso.</w:t>
            </w:r>
          </w:p>
        </w:tc>
      </w:tr>
      <w:tr w:rsidR="00241089" w:rsidRPr="00C21CC7" w14:paraId="3E8AB1CE" w14:textId="77777777" w:rsidTr="002410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E7C3C5" w14:textId="77777777" w:rsidR="00241089" w:rsidRPr="00C21CC7" w:rsidRDefault="00241089">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54E2A90" w14:textId="77777777" w:rsidR="00241089" w:rsidRPr="00C21CC7" w:rsidRDefault="00241089">
            <w:pPr>
              <w:jc w:val="center"/>
              <w:rPr>
                <w:rFonts w:ascii="Palatino Linotype" w:hAnsi="Palatino Linotype" w:cs="Arial"/>
                <w:i/>
                <w:lang w:val="es-ES_tradnl" w:eastAsia="es-MX"/>
              </w:rPr>
            </w:pPr>
            <w:r w:rsidRPr="00C21CC7">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52C3D9E3" w14:textId="77777777" w:rsidR="00241089" w:rsidRPr="00C21CC7" w:rsidRDefault="00241089">
            <w:pPr>
              <w:jc w:val="both"/>
              <w:rPr>
                <w:rFonts w:ascii="Palatino Linotype" w:hAnsi="Palatino Linotype" w:cs="Arial"/>
                <w:i/>
                <w:lang w:val="es-ES_tradnl" w:eastAsia="es-MX"/>
              </w:rPr>
            </w:pPr>
            <w:r w:rsidRPr="00C21CC7">
              <w:rPr>
                <w:rFonts w:ascii="Palatino Linotype" w:hAnsi="Palatino Linotype" w:cs="Arial"/>
                <w:i/>
                <w:lang w:val="es-ES_tradnl" w:eastAsia="es-MX"/>
              </w:rPr>
              <w:t>Se señalará el nombre del área del cual es titular quien clasifica.</w:t>
            </w:r>
          </w:p>
        </w:tc>
      </w:tr>
      <w:tr w:rsidR="00241089" w:rsidRPr="00C21CC7" w14:paraId="59E43FFF" w14:textId="77777777" w:rsidTr="002410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D40B98" w14:textId="77777777" w:rsidR="00241089" w:rsidRPr="00C21CC7" w:rsidRDefault="00241089">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6CDA54E" w14:textId="77777777" w:rsidR="00241089" w:rsidRPr="00C21CC7" w:rsidRDefault="00241089">
            <w:pPr>
              <w:jc w:val="center"/>
              <w:rPr>
                <w:rFonts w:ascii="Palatino Linotype" w:hAnsi="Palatino Linotype" w:cs="Arial"/>
                <w:i/>
                <w:lang w:val="es-ES_tradnl" w:eastAsia="es-MX"/>
              </w:rPr>
            </w:pPr>
            <w:r w:rsidRPr="00C21CC7">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1A4B6812" w14:textId="77777777" w:rsidR="00241089" w:rsidRPr="00C21CC7" w:rsidRDefault="00241089">
            <w:pPr>
              <w:jc w:val="both"/>
              <w:rPr>
                <w:rFonts w:ascii="Palatino Linotype" w:hAnsi="Palatino Linotype" w:cs="Arial"/>
                <w:i/>
                <w:lang w:val="es-ES_tradnl" w:eastAsia="es-MX"/>
              </w:rPr>
            </w:pPr>
            <w:r w:rsidRPr="00C21CC7">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241089" w:rsidRPr="00C21CC7" w14:paraId="2B6B6486" w14:textId="77777777" w:rsidTr="002410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780217" w14:textId="77777777" w:rsidR="00241089" w:rsidRPr="00C21CC7" w:rsidRDefault="00241089">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AF4E7C6" w14:textId="77777777" w:rsidR="00241089" w:rsidRPr="00C21CC7" w:rsidRDefault="00241089">
            <w:pPr>
              <w:jc w:val="center"/>
              <w:rPr>
                <w:rFonts w:ascii="Palatino Linotype" w:hAnsi="Palatino Linotype" w:cs="Arial"/>
                <w:i/>
                <w:lang w:val="es-ES_tradnl" w:eastAsia="es-MX"/>
              </w:rPr>
            </w:pPr>
            <w:r w:rsidRPr="00C21CC7">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106C7258" w14:textId="77777777" w:rsidR="00241089" w:rsidRPr="00C21CC7" w:rsidRDefault="00241089">
            <w:pPr>
              <w:jc w:val="both"/>
              <w:rPr>
                <w:rFonts w:ascii="Palatino Linotype" w:hAnsi="Palatino Linotype" w:cs="Arial"/>
                <w:i/>
                <w:lang w:val="es-ES_tradnl" w:eastAsia="es-MX"/>
              </w:rPr>
            </w:pPr>
            <w:r w:rsidRPr="00C21CC7">
              <w:rPr>
                <w:rFonts w:ascii="Palatino Linotype" w:hAnsi="Palatino Linotype" w:cs="Arial"/>
                <w:i/>
                <w:lang w:val="es-ES_tradnl" w:eastAsia="es-MX"/>
              </w:rPr>
              <w:t xml:space="preserve">Se anotará el número de años o meses por los que se mantendrá el documento o las partes </w:t>
            </w:r>
            <w:proofErr w:type="gramStart"/>
            <w:r w:rsidRPr="00C21CC7">
              <w:rPr>
                <w:rFonts w:ascii="Palatino Linotype" w:hAnsi="Palatino Linotype" w:cs="Arial"/>
                <w:i/>
                <w:lang w:val="es-ES_tradnl" w:eastAsia="es-MX"/>
              </w:rPr>
              <w:t>del mismo</w:t>
            </w:r>
            <w:proofErr w:type="gramEnd"/>
            <w:r w:rsidRPr="00C21CC7">
              <w:rPr>
                <w:rFonts w:ascii="Palatino Linotype" w:hAnsi="Palatino Linotype" w:cs="Arial"/>
                <w:i/>
                <w:lang w:val="es-ES_tradnl" w:eastAsia="es-MX"/>
              </w:rPr>
              <w:t xml:space="preserve"> como reservado.</w:t>
            </w:r>
          </w:p>
        </w:tc>
      </w:tr>
      <w:tr w:rsidR="00241089" w:rsidRPr="00C21CC7" w14:paraId="4FDA846B" w14:textId="77777777" w:rsidTr="002410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C3841" w14:textId="77777777" w:rsidR="00241089" w:rsidRPr="00C21CC7" w:rsidRDefault="00241089">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406EBB4" w14:textId="77777777" w:rsidR="00241089" w:rsidRPr="00C21CC7" w:rsidRDefault="00241089">
            <w:pPr>
              <w:jc w:val="center"/>
              <w:rPr>
                <w:rFonts w:ascii="Palatino Linotype" w:hAnsi="Palatino Linotype" w:cs="Arial"/>
                <w:i/>
                <w:lang w:val="es-ES_tradnl" w:eastAsia="es-MX"/>
              </w:rPr>
            </w:pPr>
            <w:r w:rsidRPr="00C21CC7">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288D4D48" w14:textId="77777777" w:rsidR="00241089" w:rsidRPr="00C21CC7" w:rsidRDefault="00241089">
            <w:pPr>
              <w:jc w:val="both"/>
              <w:rPr>
                <w:rFonts w:ascii="Palatino Linotype" w:hAnsi="Palatino Linotype" w:cs="Arial"/>
                <w:i/>
                <w:lang w:val="es-ES_tradnl" w:eastAsia="es-MX"/>
              </w:rPr>
            </w:pPr>
            <w:r w:rsidRPr="00C21CC7">
              <w:rPr>
                <w:rFonts w:ascii="Palatino Linotype" w:hAnsi="Palatino Linotype" w:cs="Arial"/>
                <w:i/>
                <w:lang w:val="es-ES_tradnl" w:eastAsia="es-MX"/>
              </w:rPr>
              <w:t>Se señalará el nombre del ordenamiento, el o los artículos, fracción(es), párrafo(s) con base en los cuales se sustente la reserva.</w:t>
            </w:r>
          </w:p>
        </w:tc>
      </w:tr>
      <w:tr w:rsidR="00241089" w:rsidRPr="00C21CC7" w14:paraId="504522DA" w14:textId="77777777" w:rsidTr="002410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6DEBB" w14:textId="77777777" w:rsidR="00241089" w:rsidRPr="00C21CC7" w:rsidRDefault="00241089">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16B67F4" w14:textId="77777777" w:rsidR="00241089" w:rsidRPr="00C21CC7" w:rsidRDefault="00241089">
            <w:pPr>
              <w:jc w:val="center"/>
              <w:rPr>
                <w:rFonts w:ascii="Palatino Linotype" w:hAnsi="Palatino Linotype" w:cs="Arial"/>
                <w:i/>
                <w:lang w:val="es-ES_tradnl" w:eastAsia="es-MX"/>
              </w:rPr>
            </w:pPr>
            <w:r w:rsidRPr="00C21CC7">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507FC213" w14:textId="77777777" w:rsidR="00241089" w:rsidRPr="00C21CC7" w:rsidRDefault="00241089">
            <w:pPr>
              <w:jc w:val="both"/>
              <w:rPr>
                <w:rFonts w:ascii="Palatino Linotype" w:hAnsi="Palatino Linotype" w:cs="Arial"/>
                <w:i/>
                <w:lang w:val="es-ES_tradnl" w:eastAsia="es-MX"/>
              </w:rPr>
            </w:pPr>
            <w:r w:rsidRPr="00C21CC7">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241089" w:rsidRPr="00C21CC7" w14:paraId="599F3B1B" w14:textId="77777777" w:rsidTr="002410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56D7C5" w14:textId="77777777" w:rsidR="00241089" w:rsidRPr="00C21CC7" w:rsidRDefault="00241089">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9A05A7D" w14:textId="77777777" w:rsidR="00241089" w:rsidRPr="00C21CC7" w:rsidRDefault="00241089">
            <w:pPr>
              <w:jc w:val="center"/>
              <w:rPr>
                <w:rFonts w:ascii="Palatino Linotype" w:hAnsi="Palatino Linotype" w:cs="Arial"/>
                <w:b/>
                <w:i/>
                <w:u w:val="single"/>
                <w:lang w:val="es-ES_tradnl" w:eastAsia="es-MX"/>
              </w:rPr>
            </w:pPr>
            <w:r w:rsidRPr="00C21CC7">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07BC308D" w14:textId="77777777" w:rsidR="00241089" w:rsidRPr="00C21CC7" w:rsidRDefault="00241089">
            <w:pPr>
              <w:jc w:val="both"/>
              <w:rPr>
                <w:rFonts w:ascii="Palatino Linotype" w:hAnsi="Palatino Linotype" w:cs="Arial"/>
                <w:i/>
                <w:lang w:val="es-ES_tradnl" w:eastAsia="es-MX"/>
              </w:rPr>
            </w:pPr>
            <w:r w:rsidRPr="00C21CC7">
              <w:rPr>
                <w:rFonts w:ascii="Palatino Linotype" w:hAnsi="Palatino Linotype" w:cs="Arial"/>
                <w:i/>
                <w:lang w:val="es-ES_tradnl" w:eastAsia="es-MX"/>
              </w:rPr>
              <w:t xml:space="preserve">Se indicarán, en su caso, </w:t>
            </w:r>
            <w:r w:rsidRPr="00C21CC7">
              <w:rPr>
                <w:rFonts w:ascii="Palatino Linotype" w:hAnsi="Palatino Linotype" w:cs="Arial"/>
                <w:b/>
                <w:i/>
                <w:u w:val="single"/>
                <w:lang w:val="es-ES_tradnl" w:eastAsia="es-MX"/>
              </w:rPr>
              <w:t>las partes o páginas del documento que se clasifica como confidencial</w:t>
            </w:r>
            <w:r w:rsidRPr="00C21CC7">
              <w:rPr>
                <w:rFonts w:ascii="Palatino Linotype" w:hAnsi="Palatino Linotype" w:cs="Arial"/>
                <w:i/>
                <w:lang w:val="es-ES_tradnl" w:eastAsia="es-MX"/>
              </w:rPr>
              <w:t xml:space="preserve">. </w:t>
            </w:r>
            <w:r w:rsidRPr="00C21CC7">
              <w:rPr>
                <w:rFonts w:ascii="Palatino Linotype" w:hAnsi="Palatino Linotype" w:cs="Arial"/>
                <w:b/>
                <w:i/>
                <w:u w:val="single"/>
                <w:lang w:val="es-ES_tradnl" w:eastAsia="es-MX"/>
              </w:rPr>
              <w:t>Si el documento fuera confidencial en su totalidad, se anotarán todas las páginas que lo conforman</w:t>
            </w:r>
            <w:r w:rsidRPr="00C21CC7">
              <w:rPr>
                <w:rFonts w:ascii="Palatino Linotype" w:hAnsi="Palatino Linotype" w:cs="Arial"/>
                <w:i/>
                <w:lang w:val="es-ES_tradnl" w:eastAsia="es-MX"/>
              </w:rPr>
              <w:t>. Si el documento no contiene información confidencial, se tachará este apartado.</w:t>
            </w:r>
          </w:p>
        </w:tc>
      </w:tr>
      <w:tr w:rsidR="00241089" w:rsidRPr="00C21CC7" w14:paraId="4773BA9A" w14:textId="77777777" w:rsidTr="002410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B6941" w14:textId="77777777" w:rsidR="00241089" w:rsidRPr="00C21CC7" w:rsidRDefault="00241089">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6F1B269" w14:textId="77777777" w:rsidR="00241089" w:rsidRPr="00C21CC7" w:rsidRDefault="00241089">
            <w:pPr>
              <w:jc w:val="center"/>
              <w:rPr>
                <w:rFonts w:ascii="Palatino Linotype" w:hAnsi="Palatino Linotype" w:cs="Arial"/>
                <w:i/>
                <w:lang w:val="es-ES_tradnl" w:eastAsia="es-MX"/>
              </w:rPr>
            </w:pPr>
            <w:r w:rsidRPr="00C21CC7">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61565124" w14:textId="77777777" w:rsidR="00241089" w:rsidRPr="00C21CC7" w:rsidRDefault="00241089">
            <w:pPr>
              <w:jc w:val="both"/>
              <w:rPr>
                <w:rFonts w:ascii="Palatino Linotype" w:hAnsi="Palatino Linotype" w:cs="Arial"/>
                <w:i/>
                <w:lang w:val="es-ES_tradnl" w:eastAsia="es-MX"/>
              </w:rPr>
            </w:pPr>
            <w:r w:rsidRPr="00C21CC7">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241089" w:rsidRPr="00C21CC7" w14:paraId="0DF41AE1" w14:textId="77777777" w:rsidTr="002410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CA8EB2" w14:textId="77777777" w:rsidR="00241089" w:rsidRPr="00C21CC7" w:rsidRDefault="00241089">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ED119F5" w14:textId="77777777" w:rsidR="00241089" w:rsidRPr="00C21CC7" w:rsidRDefault="00241089">
            <w:pPr>
              <w:jc w:val="center"/>
              <w:rPr>
                <w:rFonts w:ascii="Palatino Linotype" w:hAnsi="Palatino Linotype" w:cs="Arial"/>
                <w:i/>
                <w:lang w:val="es-ES_tradnl" w:eastAsia="es-MX"/>
              </w:rPr>
            </w:pPr>
            <w:r w:rsidRPr="00C21CC7">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56DD96EE" w14:textId="77777777" w:rsidR="00241089" w:rsidRPr="00C21CC7" w:rsidRDefault="00241089">
            <w:pPr>
              <w:jc w:val="both"/>
              <w:rPr>
                <w:rFonts w:ascii="Palatino Linotype" w:hAnsi="Palatino Linotype" w:cs="Arial"/>
                <w:i/>
                <w:lang w:val="es-ES_tradnl" w:eastAsia="es-MX"/>
              </w:rPr>
            </w:pPr>
            <w:r w:rsidRPr="00C21CC7">
              <w:rPr>
                <w:rFonts w:ascii="Palatino Linotype" w:hAnsi="Palatino Linotype" w:cs="Arial"/>
                <w:i/>
                <w:lang w:val="es-ES_tradnl" w:eastAsia="es-MX"/>
              </w:rPr>
              <w:t>Rúbrica autógrafa de quien clasifica.</w:t>
            </w:r>
          </w:p>
        </w:tc>
      </w:tr>
      <w:tr w:rsidR="00241089" w:rsidRPr="00C21CC7" w14:paraId="57AB1B97" w14:textId="77777777" w:rsidTr="002410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B7EB39" w14:textId="77777777" w:rsidR="00241089" w:rsidRPr="00C21CC7" w:rsidRDefault="00241089">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2C7E077" w14:textId="77777777" w:rsidR="00241089" w:rsidRPr="00C21CC7" w:rsidRDefault="00241089">
            <w:pPr>
              <w:jc w:val="center"/>
              <w:rPr>
                <w:rFonts w:ascii="Palatino Linotype" w:hAnsi="Palatino Linotype" w:cs="Arial"/>
                <w:i/>
                <w:lang w:val="es-ES_tradnl" w:eastAsia="es-MX"/>
              </w:rPr>
            </w:pPr>
            <w:r w:rsidRPr="00C21CC7">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78FB319C" w14:textId="77777777" w:rsidR="00241089" w:rsidRPr="00C21CC7" w:rsidRDefault="00241089">
            <w:pPr>
              <w:jc w:val="both"/>
              <w:rPr>
                <w:rFonts w:ascii="Palatino Linotype" w:hAnsi="Palatino Linotype" w:cs="Arial"/>
                <w:i/>
                <w:lang w:val="es-ES_tradnl" w:eastAsia="es-MX"/>
              </w:rPr>
            </w:pPr>
            <w:r w:rsidRPr="00C21CC7">
              <w:rPr>
                <w:rFonts w:ascii="Palatino Linotype" w:hAnsi="Palatino Linotype" w:cs="Arial"/>
                <w:i/>
                <w:lang w:val="es-ES_tradnl" w:eastAsia="es-MX"/>
              </w:rPr>
              <w:t>Se anotará la fecha en que se desclasifica el documento.</w:t>
            </w:r>
          </w:p>
        </w:tc>
      </w:tr>
      <w:tr w:rsidR="00241089" w:rsidRPr="00C21CC7" w14:paraId="7088ECBD" w14:textId="77777777" w:rsidTr="002410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4E5BAD" w14:textId="77777777" w:rsidR="00241089" w:rsidRPr="00C21CC7" w:rsidRDefault="00241089">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B1FE44D" w14:textId="77777777" w:rsidR="00241089" w:rsidRPr="00C21CC7" w:rsidRDefault="00241089">
            <w:pPr>
              <w:jc w:val="center"/>
              <w:rPr>
                <w:rFonts w:ascii="Palatino Linotype" w:hAnsi="Palatino Linotype" w:cs="Arial"/>
                <w:i/>
                <w:lang w:val="es-ES_tradnl" w:eastAsia="es-MX"/>
              </w:rPr>
            </w:pPr>
            <w:r w:rsidRPr="00C21CC7">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61861964" w14:textId="77777777" w:rsidR="00241089" w:rsidRPr="00C21CC7" w:rsidRDefault="00241089">
            <w:pPr>
              <w:rPr>
                <w:rFonts w:ascii="Palatino Linotype" w:hAnsi="Palatino Linotype" w:cs="Arial"/>
                <w:i/>
                <w:lang w:val="es-ES_tradnl" w:eastAsia="es-MX"/>
              </w:rPr>
            </w:pPr>
            <w:r w:rsidRPr="00C21CC7">
              <w:rPr>
                <w:rFonts w:ascii="Palatino Linotype" w:hAnsi="Palatino Linotype" w:cs="Arial"/>
                <w:i/>
                <w:lang w:val="es-ES_tradnl" w:eastAsia="es-MX"/>
              </w:rPr>
              <w:t>Rúbrica autógrafa de quien desclasifica.</w:t>
            </w:r>
          </w:p>
        </w:tc>
      </w:tr>
    </w:tbl>
    <w:p w14:paraId="4FEEFF94" w14:textId="77777777" w:rsidR="00241089" w:rsidRPr="00C21CC7" w:rsidRDefault="00241089" w:rsidP="00241089">
      <w:pPr>
        <w:ind w:left="709" w:right="709"/>
        <w:contextualSpacing/>
        <w:jc w:val="both"/>
        <w:rPr>
          <w:rFonts w:ascii="Palatino Linotype" w:eastAsia="Times New Roman" w:hAnsi="Palatino Linotype" w:cs="Arial"/>
          <w:b/>
          <w:sz w:val="22"/>
          <w:szCs w:val="22"/>
          <w:lang w:eastAsia="es-MX"/>
        </w:rPr>
      </w:pPr>
      <w:r w:rsidRPr="00C21CC7">
        <w:rPr>
          <w:rFonts w:ascii="Palatino Linotype" w:hAnsi="Palatino Linotype" w:cs="Arial"/>
          <w:b/>
          <w:sz w:val="22"/>
          <w:szCs w:val="22"/>
          <w:lang w:eastAsia="es-MX"/>
        </w:rPr>
        <w:t>(Énfasis Añadido)</w:t>
      </w:r>
    </w:p>
    <w:p w14:paraId="1ECFA06B" w14:textId="77777777" w:rsidR="00241089" w:rsidRPr="00C21CC7" w:rsidRDefault="00241089" w:rsidP="00241089">
      <w:pPr>
        <w:spacing w:line="360" w:lineRule="auto"/>
        <w:jc w:val="both"/>
        <w:rPr>
          <w:rFonts w:ascii="Palatino Linotype" w:hAnsi="Palatino Linotype" w:cs="Times New Roman"/>
        </w:rPr>
      </w:pPr>
    </w:p>
    <w:p w14:paraId="1E49DF92" w14:textId="77777777" w:rsidR="00241089" w:rsidRPr="00C21CC7" w:rsidRDefault="00241089" w:rsidP="00241089">
      <w:pPr>
        <w:spacing w:line="360" w:lineRule="auto"/>
        <w:jc w:val="both"/>
        <w:rPr>
          <w:rFonts w:ascii="Palatino Linotype" w:hAnsi="Palatino Linotype" w:cs="Arial"/>
        </w:rPr>
      </w:pPr>
      <w:r w:rsidRPr="00C21CC7">
        <w:rPr>
          <w:rFonts w:ascii="Palatino Linotype" w:hAnsi="Palatino Linotype"/>
        </w:rPr>
        <w:t xml:space="preserve">Es importante referir que, </w:t>
      </w:r>
      <w:r w:rsidRPr="00C21CC7">
        <w:rPr>
          <w:rFonts w:ascii="Palatino Linotype" w:hAnsi="Palatino Linotype"/>
          <w:b/>
        </w:rPr>
        <w:t>EL SUJETO OBLIGADO</w:t>
      </w:r>
      <w:r w:rsidRPr="00C21CC7">
        <w:rPr>
          <w:rFonts w:ascii="Palatino Linotype" w:hAnsi="Palatino Linotype"/>
        </w:rPr>
        <w:t xml:space="preserve"> deberá seguir el procedimiento legal establecido para su </w:t>
      </w:r>
      <w:r w:rsidRPr="00C21CC7">
        <w:rPr>
          <w:rFonts w:ascii="Palatino Linotype" w:hAnsi="Palatino Linotype"/>
          <w:lang w:eastAsia="es-MX"/>
        </w:rPr>
        <w:t>clasificación</w:t>
      </w:r>
      <w:r w:rsidRPr="00C21CC7">
        <w:rPr>
          <w:rFonts w:ascii="Palatino Linotype" w:hAnsi="Palatino Linotype"/>
        </w:rPr>
        <w:t>, esto es, que su Comité de</w:t>
      </w:r>
      <w:r w:rsidRPr="00C21CC7">
        <w:rPr>
          <w:rFonts w:ascii="Palatino Linotype" w:hAnsi="Palatino Linotype" w:cs="Arial"/>
        </w:rPr>
        <w:t xml:space="preserve"> Transparencia emita un Acuerdo de Clasificación que cumpla con las formalidades previstas, antes citadas</w:t>
      </w:r>
      <w:r w:rsidRPr="00C21CC7">
        <w:rPr>
          <w:rFonts w:ascii="Palatino Linotype" w:hAnsi="Palatino Linotype" w:cs="Arial"/>
          <w:b/>
        </w:rPr>
        <w:t xml:space="preserve"> </w:t>
      </w:r>
      <w:r w:rsidRPr="00C21CC7">
        <w:rPr>
          <w:rFonts w:ascii="Palatino Linotype" w:hAnsi="Palatino Linotype" w:cs="Arial"/>
        </w:rPr>
        <w:t xml:space="preserve">que lo sustente, en el </w:t>
      </w:r>
      <w:r w:rsidRPr="00C21CC7">
        <w:rPr>
          <w:rFonts w:ascii="Palatino Linotype" w:hAnsi="Palatino Linotype" w:cs="Arial"/>
          <w:lang w:eastAsia="es-MX"/>
        </w:rPr>
        <w:t>que</w:t>
      </w:r>
      <w:r w:rsidRPr="00C21CC7">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6D0E352" w14:textId="77777777" w:rsidR="00241089" w:rsidRPr="00C21CC7" w:rsidRDefault="00241089" w:rsidP="00241089">
      <w:pPr>
        <w:pStyle w:val="NormalWeb"/>
        <w:spacing w:before="0" w:beforeAutospacing="0" w:after="0" w:afterAutospacing="0" w:line="360" w:lineRule="auto"/>
        <w:jc w:val="both"/>
      </w:pPr>
    </w:p>
    <w:p w14:paraId="06AD972F" w14:textId="77777777" w:rsidR="00241089" w:rsidRPr="00C21CC7" w:rsidRDefault="00241089" w:rsidP="00241089">
      <w:pPr>
        <w:pStyle w:val="NormalWeb"/>
        <w:shd w:val="clear" w:color="auto" w:fill="FFFFFF"/>
        <w:spacing w:before="0" w:beforeAutospacing="0" w:after="0" w:afterAutospacing="0" w:line="360" w:lineRule="auto"/>
        <w:jc w:val="both"/>
        <w:rPr>
          <w:rFonts w:ascii="Palatino Linotype" w:hAnsi="Palatino Linotype"/>
          <w:color w:val="000000"/>
        </w:rPr>
      </w:pPr>
      <w:r w:rsidRPr="00C21CC7">
        <w:rPr>
          <w:rFonts w:ascii="Palatino Linotype" w:hAnsi="Palatino Linotype"/>
          <w:color w:val="000000"/>
        </w:rPr>
        <w:t xml:space="preserve">Así, de conformidad con el artículo 7 Constitucional, ninguna ley ni autoridad puede establecer la previa censura, ni coartar la libertad de difusión, que no tiene más límites que ataque a la moral, la vida privada o los derechos de terceros, provoque </w:t>
      </w:r>
      <w:r w:rsidRPr="00C21CC7">
        <w:rPr>
          <w:rFonts w:ascii="Palatino Linotype" w:hAnsi="Palatino Linotype"/>
          <w:color w:val="000000"/>
        </w:rPr>
        <w:lastRenderedPageBreak/>
        <w:t>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14:paraId="4C8DAA1C" w14:textId="77777777" w:rsidR="00241089" w:rsidRPr="00C21CC7" w:rsidRDefault="00241089" w:rsidP="00241089">
      <w:pPr>
        <w:pStyle w:val="NormalWeb"/>
        <w:shd w:val="clear" w:color="auto" w:fill="FFFFFF"/>
        <w:spacing w:before="0" w:beforeAutospacing="0" w:after="0" w:afterAutospacing="0" w:line="360" w:lineRule="auto"/>
        <w:jc w:val="both"/>
      </w:pPr>
    </w:p>
    <w:p w14:paraId="71C3CB50" w14:textId="77777777" w:rsidR="00241089" w:rsidRPr="00C21CC7" w:rsidRDefault="00241089" w:rsidP="00241089">
      <w:pPr>
        <w:pStyle w:val="NormalWeb"/>
        <w:shd w:val="clear" w:color="auto" w:fill="FFFFFF"/>
        <w:spacing w:before="0" w:beforeAutospacing="0" w:after="0" w:afterAutospacing="0" w:line="360" w:lineRule="auto"/>
        <w:jc w:val="both"/>
      </w:pPr>
      <w:r w:rsidRPr="00C21CC7">
        <w:rPr>
          <w:rFonts w:ascii="Palatino Linotype" w:hAnsi="Palatino Linotype"/>
          <w:color w:val="000000"/>
        </w:rPr>
        <w:t>Al respecto conviene mencionar la siguiente tesis de La Suprema Corte de Justicia de la Nación: </w:t>
      </w:r>
    </w:p>
    <w:p w14:paraId="7F5B9F6A" w14:textId="77777777" w:rsidR="00241089" w:rsidRPr="00C21CC7" w:rsidRDefault="00241089" w:rsidP="00241089">
      <w:pPr>
        <w:pStyle w:val="NormalWeb"/>
        <w:shd w:val="clear" w:color="auto" w:fill="FFFFFF"/>
        <w:spacing w:before="0" w:beforeAutospacing="0" w:after="0" w:afterAutospacing="0"/>
        <w:ind w:left="850" w:right="901"/>
        <w:jc w:val="both"/>
        <w:rPr>
          <w:rFonts w:ascii="Palatino Linotype" w:hAnsi="Palatino Linotype"/>
          <w:b/>
          <w:bCs/>
          <w:i/>
          <w:iCs/>
          <w:color w:val="222222"/>
          <w:sz w:val="22"/>
          <w:szCs w:val="22"/>
        </w:rPr>
      </w:pPr>
    </w:p>
    <w:p w14:paraId="78FFA050" w14:textId="77777777" w:rsidR="00241089" w:rsidRPr="00C21CC7" w:rsidRDefault="00241089" w:rsidP="00241089">
      <w:pPr>
        <w:pStyle w:val="NormalWeb"/>
        <w:shd w:val="clear" w:color="auto" w:fill="FFFFFF"/>
        <w:spacing w:before="0" w:beforeAutospacing="0" w:after="0" w:afterAutospacing="0"/>
        <w:ind w:left="850" w:right="901"/>
        <w:jc w:val="both"/>
      </w:pPr>
      <w:r w:rsidRPr="00C21CC7">
        <w:rPr>
          <w:rFonts w:ascii="Palatino Linotype" w:hAnsi="Palatino Linotype"/>
          <w:b/>
          <w:bCs/>
          <w:i/>
          <w:iCs/>
          <w:color w:val="222222"/>
          <w:sz w:val="22"/>
          <w:szCs w:val="22"/>
        </w:rPr>
        <w:t>“RESPONSABILIDAD POR EXPRESIONES QUE ATENTAN CONTRA EL HONOR DE SERVIDORES PÚBLICOS Y SIMILARES. DEMOSTRACIÓN DE SU CERTEZA EN EJERCICIO DE LOS DERECHOS A LA INFORMACIÓN Y A LA LIBERTAD DE EXPRESIÓN.</w:t>
      </w:r>
      <w:r w:rsidRPr="00C21CC7">
        <w:rPr>
          <w:rFonts w:ascii="Palatino Linotype" w:hAnsi="Palatino Linotype"/>
          <w:i/>
          <w:iCs/>
          <w:color w:val="222222"/>
          <w:sz w:val="22"/>
          <w:szCs w:val="22"/>
        </w:rPr>
        <w:t xml:space="preserve"> En la tesis aislada de rubro: "LIBERTAD DE EXPRESIÓN Y DERECHO A LA INFORMACIÓN. LA RESPONSABILIDAD POR INVASIONES AL HONOR DE FUNCIONARIOS U OTRAS PERSONAS CON RESPONSABILIDADES PÚBLICAS SÓLO PUEDE DARSE BAJO CIERTAS CONDICIONES, MÁS ESTRICTAS QUE LAS QUE SE APLICAN EN EL CASO DE EXPRESIONES O INFORMACIONES REFERIDAS A CIUDADANOS PARTICULARES." (IUS 165763); la Primera Sala de la Suprema Corte de Justicia de la Nación expuso que quien se expresa debe siempre poder bloquear una imputación de responsabilidad ulterior probando que los hechos a los que se refiere son ciertos, pero que de manera complementaria no podía ser obligado a demostrar su certeza para evitar la responsabilidad cuando se le demanda, lo cual se denominó doble juego de la </w:t>
      </w:r>
      <w:proofErr w:type="spellStart"/>
      <w:r w:rsidRPr="00C21CC7">
        <w:rPr>
          <w:rFonts w:ascii="Palatino Linotype" w:hAnsi="Palatino Linotype"/>
          <w:i/>
          <w:iCs/>
          <w:color w:val="222222"/>
          <w:sz w:val="22"/>
          <w:szCs w:val="22"/>
        </w:rPr>
        <w:t>exceptio</w:t>
      </w:r>
      <w:proofErr w:type="spellEnd"/>
      <w:r w:rsidRPr="00C21CC7">
        <w:rPr>
          <w:rFonts w:ascii="Palatino Linotype" w:hAnsi="Palatino Linotype"/>
          <w:i/>
          <w:iCs/>
          <w:color w:val="222222"/>
          <w:sz w:val="22"/>
          <w:szCs w:val="22"/>
        </w:rPr>
        <w:t xml:space="preserve"> veritatis. De lo anterior deriva incertidumbre en saber cuándo se debe obligar al emisor de información acreditar la veracidad de ésta y cuando no, precisamente por tratarse de un doble juego. Por ende, en ejercicio del control de convencionalidad previsto en los artículos 1o. y 133 del Pacto Federal, se debe atender a lo dispuesto en el precepto 13 de la Convención Americana sobre Derechos Humanos, y a su interpretación consignada en la Declaración de Principios sobre Libertad de Expresión elaborada por la Relatoría Especial </w:t>
      </w:r>
      <w:r w:rsidRPr="00C21CC7">
        <w:rPr>
          <w:rFonts w:ascii="Palatino Linotype" w:hAnsi="Palatino Linotype"/>
          <w:i/>
          <w:iCs/>
          <w:color w:val="222222"/>
          <w:sz w:val="22"/>
          <w:szCs w:val="22"/>
        </w:rPr>
        <w:lastRenderedPageBreak/>
        <w:t xml:space="preserve">constituida dentro de la Organización de Estados Americanos (aprobada por la Comisión Interamericana de Derechos Humanos en octubre de 2000). Esto, pues </w:t>
      </w:r>
      <w:proofErr w:type="gramStart"/>
      <w:r w:rsidRPr="00C21CC7">
        <w:rPr>
          <w:rFonts w:ascii="Palatino Linotype" w:hAnsi="Palatino Linotype"/>
          <w:i/>
          <w:iCs/>
          <w:color w:val="222222"/>
          <w:sz w:val="22"/>
          <w:szCs w:val="22"/>
        </w:rPr>
        <w:t>de acuerdo al</w:t>
      </w:r>
      <w:proofErr w:type="gramEnd"/>
      <w:r w:rsidRPr="00C21CC7">
        <w:rPr>
          <w:rFonts w:ascii="Palatino Linotype" w:hAnsi="Palatino Linotype"/>
          <w:i/>
          <w:iCs/>
          <w:color w:val="222222"/>
          <w:sz w:val="22"/>
          <w:szCs w:val="22"/>
        </w:rPr>
        <w:t xml:space="preserve"> principio séptimo de dicha declaración se tiene que la información abarca incluso aquella que se denomina "errónea", "no oportuna" o "incompleta". Por ende, al igual que los juicios de valor, se estima innecesario exigir la comprobación de hechos concretos vertidos por el informador, porque sobre ellos pueden existir interpretaciones distintas e implicar su censura casi automática, lo que anularía prácticamente todo el debate político y el intercambio de ideas como método indudable para la búsqueda de la verdad y el fortalecimiento de sistemas democráticos. Máxime que no sería lícito invocar el derecho de la sociedad a estar informada verazmente para fundamentar un régimen de censura previa supuestamente destinado a eliminar las informaciones que serían falsas a criterio del censor. Consecuentemente, es indispensable tomar en consideración este criterio al aplicar el segundo párrafo del artículo 25 de la Ley de Responsabilidad Civil para la Protección del Derecho a la Vida Privada, el Honor y la Propia Imagen en el Distrito Federal.”</w:t>
      </w:r>
    </w:p>
    <w:p w14:paraId="01B6122E" w14:textId="77777777" w:rsidR="00241089" w:rsidRPr="00C21CC7" w:rsidRDefault="00241089" w:rsidP="00241089">
      <w:pPr>
        <w:pStyle w:val="NormalWeb"/>
        <w:shd w:val="clear" w:color="auto" w:fill="FFFFFF"/>
        <w:spacing w:before="0" w:beforeAutospacing="0" w:after="0" w:afterAutospacing="0"/>
        <w:ind w:left="709" w:right="1147"/>
        <w:jc w:val="both"/>
        <w:rPr>
          <w:rFonts w:ascii="Palatino Linotype" w:hAnsi="Palatino Linotype"/>
          <w:i/>
          <w:iCs/>
          <w:color w:val="222222"/>
          <w:sz w:val="22"/>
          <w:szCs w:val="22"/>
        </w:rPr>
      </w:pPr>
      <w:r w:rsidRPr="00C21CC7">
        <w:rPr>
          <w:rFonts w:ascii="Palatino Linotype" w:hAnsi="Palatino Linotype"/>
          <w:i/>
          <w:iCs/>
          <w:color w:val="222222"/>
          <w:sz w:val="22"/>
          <w:szCs w:val="22"/>
        </w:rPr>
        <w:t>(Énfasis añadido)</w:t>
      </w:r>
    </w:p>
    <w:p w14:paraId="40E41E97" w14:textId="77777777" w:rsidR="00241089" w:rsidRPr="00C21CC7" w:rsidRDefault="00241089" w:rsidP="00241089">
      <w:pPr>
        <w:pStyle w:val="NormalWeb"/>
        <w:shd w:val="clear" w:color="auto" w:fill="FFFFFF"/>
        <w:spacing w:before="0" w:beforeAutospacing="0" w:after="0" w:afterAutospacing="0"/>
        <w:ind w:left="709" w:right="1147"/>
        <w:jc w:val="both"/>
      </w:pPr>
    </w:p>
    <w:p w14:paraId="0A766353" w14:textId="77777777" w:rsidR="00241089" w:rsidRPr="00C21CC7" w:rsidRDefault="00241089" w:rsidP="00241089">
      <w:pPr>
        <w:pStyle w:val="NormalWeb"/>
        <w:shd w:val="clear" w:color="auto" w:fill="FFFFFF"/>
        <w:spacing w:before="0" w:beforeAutospacing="0" w:after="0" w:afterAutospacing="0" w:line="360" w:lineRule="auto"/>
        <w:jc w:val="both"/>
        <w:rPr>
          <w:rFonts w:ascii="Palatino Linotype" w:hAnsi="Palatino Linotype"/>
          <w:color w:val="222222"/>
        </w:rPr>
      </w:pPr>
      <w:r w:rsidRPr="00C21CC7">
        <w:rPr>
          <w:rFonts w:ascii="Palatino Linotype" w:hAnsi="Palatino Linotype"/>
          <w:color w:val="222222"/>
        </w:rPr>
        <w:t>Por otro lado, las razones o motivos de inconformidad desprenden manifestaciones subjetivas en ejercicio al derecho de libertad de expresión, lo cual no es materia del derecho al acceso a la información pública por lo cual impide que nos pronunciemos al respecto; sirve de apoyo a lo anterior, el criterio jurisprudencial, emitido por la Segunda Sala de la Suprema Corte de Justicia de la Nación, encontrado en el Libro 63, Tomo I, página 1089, de febrero de 2019, del Semanario Judicial de la Federación y su Gaceta, que en su texto literal nos refiere lo siguiente:</w:t>
      </w:r>
    </w:p>
    <w:p w14:paraId="7ACD10CF" w14:textId="77777777" w:rsidR="00241089" w:rsidRPr="00C21CC7" w:rsidRDefault="00241089" w:rsidP="00241089">
      <w:pPr>
        <w:pStyle w:val="NormalWeb"/>
        <w:shd w:val="clear" w:color="auto" w:fill="FFFFFF"/>
        <w:spacing w:before="0" w:beforeAutospacing="0" w:after="0" w:afterAutospacing="0"/>
        <w:jc w:val="both"/>
      </w:pPr>
    </w:p>
    <w:p w14:paraId="280AD51B" w14:textId="77777777" w:rsidR="00241089" w:rsidRPr="00C21CC7" w:rsidRDefault="00241089" w:rsidP="00241089">
      <w:pPr>
        <w:pStyle w:val="NormalWeb"/>
        <w:shd w:val="clear" w:color="auto" w:fill="FFFFFF"/>
        <w:spacing w:before="0" w:beforeAutospacing="0" w:after="0" w:afterAutospacing="0" w:line="276" w:lineRule="auto"/>
        <w:ind w:left="850" w:right="901"/>
        <w:jc w:val="both"/>
      </w:pPr>
      <w:r w:rsidRPr="00C21CC7">
        <w:rPr>
          <w:rFonts w:ascii="Palatino Linotype" w:hAnsi="Palatino Linotype"/>
          <w:i/>
          <w:iCs/>
          <w:color w:val="222222"/>
          <w:sz w:val="22"/>
          <w:szCs w:val="22"/>
        </w:rPr>
        <w:t>“</w:t>
      </w:r>
      <w:r w:rsidRPr="00C21CC7">
        <w:rPr>
          <w:rFonts w:ascii="Palatino Linotype" w:hAnsi="Palatino Linotype"/>
          <w:b/>
          <w:bCs/>
          <w:i/>
          <w:iCs/>
          <w:color w:val="222222"/>
          <w:sz w:val="22"/>
          <w:szCs w:val="22"/>
        </w:rPr>
        <w:t xml:space="preserve">ACCESO A LA INFORMACIÓN PÚBLICA. LA CONSULTA RELATIVA QUE AL EFECTO PRESENTEN LOS SOLICITANTES, DEBE CUMPLIR CON LOS REQUISITOS CONSTITUCIONALES PARA EJERCER EL DERECHO DE PETICIÓN. </w:t>
      </w:r>
      <w:r w:rsidRPr="00C21CC7">
        <w:rPr>
          <w:rFonts w:ascii="Palatino Linotype" w:hAnsi="Palatino Linotype"/>
          <w:i/>
          <w:iCs/>
          <w:color w:val="222222"/>
          <w:sz w:val="22"/>
          <w:szCs w:val="22"/>
        </w:rPr>
        <w:t xml:space="preserve">El artículo 6o., 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de esta manera, la solicitud de acceso a la información </w:t>
      </w:r>
      <w:r w:rsidRPr="00C21CC7">
        <w:rPr>
          <w:rFonts w:ascii="Palatino Linotype" w:hAnsi="Palatino Linotype"/>
          <w:i/>
          <w:iCs/>
          <w:color w:val="222222"/>
          <w:sz w:val="22"/>
          <w:szCs w:val="22"/>
        </w:rPr>
        <w:lastRenderedPageBreak/>
        <w:t>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w:t>
      </w:r>
    </w:p>
    <w:p w14:paraId="429E22AF" w14:textId="77777777" w:rsidR="00241089" w:rsidRPr="00C21CC7" w:rsidRDefault="00241089" w:rsidP="00241089">
      <w:pPr>
        <w:pStyle w:val="NormalWeb"/>
        <w:shd w:val="clear" w:color="auto" w:fill="FFFFFF"/>
        <w:spacing w:before="0" w:beforeAutospacing="0" w:after="0" w:afterAutospacing="0"/>
        <w:ind w:left="709" w:right="1134"/>
        <w:jc w:val="both"/>
      </w:pPr>
      <w:r w:rsidRPr="00C21CC7">
        <w:rPr>
          <w:rFonts w:ascii="Palatino Linotype" w:hAnsi="Palatino Linotype"/>
          <w:i/>
          <w:iCs/>
          <w:color w:val="222222"/>
          <w:sz w:val="22"/>
          <w:szCs w:val="22"/>
        </w:rPr>
        <w:t>(Énfasis añadido)</w:t>
      </w:r>
    </w:p>
    <w:p w14:paraId="47A55E0E" w14:textId="77777777" w:rsidR="00241089" w:rsidRPr="00C21CC7" w:rsidRDefault="00241089" w:rsidP="00241089">
      <w:pPr>
        <w:jc w:val="both"/>
        <w:rPr>
          <w:rFonts w:ascii="Palatino Linotype" w:hAnsi="Palatino Linotype"/>
        </w:rPr>
      </w:pPr>
    </w:p>
    <w:p w14:paraId="545AB7AD" w14:textId="7B5045E9" w:rsidR="00241089" w:rsidRPr="00C21CC7" w:rsidRDefault="00241089" w:rsidP="00241089">
      <w:pPr>
        <w:autoSpaceDE w:val="0"/>
        <w:autoSpaceDN w:val="0"/>
        <w:adjustRightInd w:val="0"/>
        <w:spacing w:line="360" w:lineRule="auto"/>
        <w:jc w:val="both"/>
        <w:rPr>
          <w:rFonts w:ascii="Palatino Linotype" w:hAnsi="Palatino Linotype" w:cs="Arial"/>
          <w:bCs/>
          <w:szCs w:val="22"/>
        </w:rPr>
      </w:pPr>
      <w:r w:rsidRPr="00C21CC7">
        <w:rPr>
          <w:rFonts w:ascii="Palatino Linotype" w:hAnsi="Palatino Linotype" w:cs="Arial"/>
          <w:lang w:eastAsia="es-MX"/>
        </w:rPr>
        <w:t>Expuesto todo lo anterior</w:t>
      </w:r>
      <w:r w:rsidRPr="00C21CC7">
        <w:rPr>
          <w:rFonts w:ascii="Palatino Linotype" w:hAnsi="Palatino Linotype" w:cs="Arial"/>
          <w:b/>
          <w:lang w:eastAsia="es-MX"/>
        </w:rPr>
        <w:t xml:space="preserve">, </w:t>
      </w:r>
      <w:r w:rsidRPr="00C21CC7">
        <w:rPr>
          <w:rFonts w:ascii="Palatino Linotype" w:hAnsi="Palatino Linotype"/>
        </w:rPr>
        <w:t xml:space="preserve">en términos de lo dispuesto en el artículo 186, fracción III de la Ley de Transparencia y Acceso a la </w:t>
      </w:r>
      <w:r w:rsidRPr="00C21CC7">
        <w:rPr>
          <w:rFonts w:ascii="Palatino Linotype" w:hAnsi="Palatino Linotype" w:cs="Arial"/>
        </w:rPr>
        <w:t>Información</w:t>
      </w:r>
      <w:r w:rsidRPr="00C21CC7">
        <w:rPr>
          <w:rFonts w:ascii="Palatino Linotype" w:hAnsi="Palatino Linotype"/>
        </w:rPr>
        <w:t xml:space="preserve"> Pública del Estado de México y Municipios, </w:t>
      </w:r>
      <w:r w:rsidRPr="00C21CC7">
        <w:rPr>
          <w:rFonts w:ascii="Palatino Linotype" w:hAnsi="Palatino Linotype" w:cs="Arial"/>
          <w:lang w:eastAsia="es-MX"/>
        </w:rPr>
        <w:t xml:space="preserve">el Pleno de </w:t>
      </w:r>
      <w:r w:rsidRPr="00C21CC7">
        <w:rPr>
          <w:rFonts w:ascii="Palatino Linotype" w:hAnsi="Palatino Linotype" w:cs="Arial"/>
        </w:rPr>
        <w:t xml:space="preserve">este Instituto, </w:t>
      </w:r>
      <w:bookmarkStart w:id="10" w:name="_Hlk61274984"/>
      <w:r w:rsidRPr="00C21CC7">
        <w:rPr>
          <w:rFonts w:ascii="Palatino Linotype" w:hAnsi="Palatino Linotype" w:cs="Arial"/>
        </w:rPr>
        <w:t>estima que</w:t>
      </w:r>
      <w:bookmarkEnd w:id="10"/>
      <w:r w:rsidRPr="00C21CC7">
        <w:rPr>
          <w:rFonts w:ascii="Palatino Linotype" w:hAnsi="Palatino Linotype" w:cs="Arial"/>
        </w:rPr>
        <w:t xml:space="preserve"> </w:t>
      </w:r>
      <w:r w:rsidRPr="00C21CC7">
        <w:rPr>
          <w:rFonts w:ascii="Palatino Linotype" w:hAnsi="Palatino Linotype" w:cs="Arial"/>
          <w:bCs/>
          <w:szCs w:val="22"/>
          <w:lang w:val="es-ES"/>
        </w:rPr>
        <w:t xml:space="preserve">las razones o motivos de inconformidad planteadas por </w:t>
      </w:r>
      <w:r w:rsidRPr="00C21CC7">
        <w:rPr>
          <w:rFonts w:ascii="Palatino Linotype" w:hAnsi="Palatino Linotype" w:cs="Arial"/>
          <w:b/>
          <w:bCs/>
          <w:szCs w:val="22"/>
        </w:rPr>
        <w:t>EL RECURRENTE</w:t>
      </w:r>
      <w:r w:rsidRPr="00C21CC7">
        <w:rPr>
          <w:rFonts w:ascii="Palatino Linotype" w:hAnsi="Palatino Linotype" w:cs="Arial"/>
          <w:bCs/>
          <w:szCs w:val="22"/>
          <w:lang w:val="es-ES"/>
        </w:rPr>
        <w:t xml:space="preserve">, resultan parcialmente fundadas; en consecuencia, este Órgano Garante determina </w:t>
      </w:r>
      <w:r w:rsidRPr="00C21CC7">
        <w:rPr>
          <w:rFonts w:ascii="Palatino Linotype" w:eastAsia="Calibri" w:hAnsi="Palatino Linotype" w:cs="Arial"/>
          <w:b/>
        </w:rPr>
        <w:t xml:space="preserve">MODIFICA </w:t>
      </w:r>
      <w:r w:rsidRPr="00C21CC7">
        <w:rPr>
          <w:rFonts w:ascii="Palatino Linotype" w:hAnsi="Palatino Linotype" w:cs="Arial"/>
          <w:bCs/>
          <w:szCs w:val="22"/>
          <w:lang w:val="es-ES"/>
        </w:rPr>
        <w:t xml:space="preserve">la respuesta otorgada por </w:t>
      </w:r>
      <w:r w:rsidRPr="00C21CC7">
        <w:rPr>
          <w:rFonts w:ascii="Palatino Linotype" w:hAnsi="Palatino Linotype" w:cs="Arial"/>
          <w:b/>
          <w:bCs/>
          <w:szCs w:val="22"/>
          <w:lang w:val="es-419"/>
        </w:rPr>
        <w:t>EL</w:t>
      </w:r>
      <w:r w:rsidRPr="00C21CC7">
        <w:rPr>
          <w:rFonts w:ascii="Palatino Linotype" w:hAnsi="Palatino Linotype" w:cs="Arial"/>
          <w:b/>
          <w:bCs/>
          <w:szCs w:val="22"/>
          <w:lang w:val="es-ES"/>
        </w:rPr>
        <w:t xml:space="preserve"> SUJETO OBLIGADO</w:t>
      </w:r>
      <w:r w:rsidRPr="00C21CC7">
        <w:rPr>
          <w:rFonts w:ascii="Palatino Linotype" w:hAnsi="Palatino Linotype" w:cs="Arial"/>
          <w:bCs/>
          <w:szCs w:val="22"/>
          <w:lang w:val="es-ES"/>
        </w:rPr>
        <w:t xml:space="preserve"> </w:t>
      </w:r>
      <w:r w:rsidRPr="00C21CC7">
        <w:rPr>
          <w:rFonts w:ascii="Palatino Linotype" w:hAnsi="Palatino Linotype" w:cs="Arial"/>
          <w:bCs/>
          <w:szCs w:val="22"/>
          <w:lang w:val="es-419"/>
        </w:rPr>
        <w:t>a</w:t>
      </w:r>
      <w:r w:rsidRPr="00C21CC7">
        <w:rPr>
          <w:rFonts w:ascii="Palatino Linotype" w:hAnsi="Palatino Linotype" w:cs="Arial"/>
          <w:bCs/>
          <w:szCs w:val="22"/>
          <w:lang w:val="es-ES"/>
        </w:rPr>
        <w:t xml:space="preserve"> la solicitud</w:t>
      </w:r>
      <w:r w:rsidRPr="00C21CC7">
        <w:rPr>
          <w:rFonts w:ascii="Palatino Linotype" w:hAnsi="Palatino Linotype" w:cs="Arial"/>
          <w:bCs/>
          <w:szCs w:val="22"/>
          <w:lang w:val="es-419"/>
        </w:rPr>
        <w:t xml:space="preserve"> de información </w:t>
      </w:r>
      <w:r w:rsidRPr="00C21CC7">
        <w:rPr>
          <w:rFonts w:ascii="Palatino Linotype" w:hAnsi="Palatino Linotype" w:cs="Arial"/>
          <w:bCs/>
          <w:szCs w:val="22"/>
        </w:rPr>
        <w:t xml:space="preserve">que dio trámite al Recurso de Revisión número: </w:t>
      </w:r>
      <w:r w:rsidRPr="00C21CC7">
        <w:rPr>
          <w:rFonts w:ascii="Palatino Linotype" w:hAnsi="Palatino Linotype" w:cs="Arial"/>
          <w:b/>
          <w:bCs/>
          <w:szCs w:val="22"/>
        </w:rPr>
        <w:t>0</w:t>
      </w:r>
      <w:r w:rsidR="00A35D56" w:rsidRPr="00C21CC7">
        <w:rPr>
          <w:rFonts w:ascii="Palatino Linotype" w:hAnsi="Palatino Linotype" w:cs="Arial"/>
          <w:b/>
          <w:bCs/>
          <w:szCs w:val="22"/>
        </w:rPr>
        <w:t>13227</w:t>
      </w:r>
      <w:r w:rsidRPr="00C21CC7">
        <w:rPr>
          <w:rFonts w:ascii="Palatino Linotype" w:hAnsi="Palatino Linotype" w:cs="Arial"/>
          <w:b/>
          <w:bCs/>
          <w:szCs w:val="22"/>
          <w:lang w:val="es-419"/>
        </w:rPr>
        <w:t xml:space="preserve">/INFOEM/IP/RR/2022 </w:t>
      </w:r>
      <w:r w:rsidRPr="00C21CC7">
        <w:rPr>
          <w:rFonts w:ascii="Palatino Linotype" w:hAnsi="Palatino Linotype" w:cs="Arial"/>
          <w:bCs/>
          <w:szCs w:val="22"/>
        </w:rPr>
        <w:t xml:space="preserve">y ordenar la entrega de lo previsto en el presente Considerando. </w:t>
      </w:r>
      <w:bookmarkStart w:id="11" w:name="_Hlk110423545"/>
      <w:bookmarkEnd w:id="11"/>
    </w:p>
    <w:p w14:paraId="522190CF" w14:textId="77777777" w:rsidR="00A35D56" w:rsidRPr="00C21CC7" w:rsidRDefault="00A35D56" w:rsidP="00241089">
      <w:pPr>
        <w:autoSpaceDE w:val="0"/>
        <w:autoSpaceDN w:val="0"/>
        <w:adjustRightInd w:val="0"/>
        <w:spacing w:line="360" w:lineRule="auto"/>
        <w:jc w:val="both"/>
        <w:rPr>
          <w:rFonts w:ascii="Palatino Linotype" w:hAnsi="Palatino Linotype" w:cs="Arial"/>
          <w:bCs/>
          <w:szCs w:val="22"/>
        </w:rPr>
      </w:pPr>
    </w:p>
    <w:p w14:paraId="0055F49C" w14:textId="198FCC5A" w:rsidR="00555354" w:rsidRPr="00C21CC7" w:rsidRDefault="00241089" w:rsidP="009270E6">
      <w:pPr>
        <w:widowControl w:val="0"/>
        <w:autoSpaceDE w:val="0"/>
        <w:autoSpaceDN w:val="0"/>
        <w:adjustRightInd w:val="0"/>
        <w:spacing w:line="360" w:lineRule="auto"/>
        <w:jc w:val="both"/>
        <w:rPr>
          <w:rFonts w:ascii="Palatino Linotype" w:eastAsia="Calibri" w:hAnsi="Palatino Linotype" w:cs="Arial"/>
        </w:rPr>
      </w:pPr>
      <w:r w:rsidRPr="00C21CC7">
        <w:rPr>
          <w:rFonts w:ascii="Palatino Linotype" w:eastAsia="Calibri" w:hAnsi="Palatino Linotype" w:cs="Arial"/>
        </w:rPr>
        <w:t xml:space="preserve">Por lo que, con </w:t>
      </w:r>
      <w:r w:rsidRPr="00C21CC7">
        <w:rPr>
          <w:rFonts w:ascii="Palatino Linotype" w:hAnsi="Palatino Linotype" w:cs="Arial"/>
        </w:rPr>
        <w:t>fundamento</w:t>
      </w:r>
      <w:r w:rsidRPr="00C21CC7">
        <w:rPr>
          <w:rFonts w:ascii="Palatino Linotype" w:eastAsia="Calibri" w:hAnsi="Palatino Linotype" w:cs="Arial"/>
        </w:rPr>
        <w:t xml:space="preserve"> en lo prescrito en los artículos 5, párrafos trigésimos, trigésimos primero, trigésimos segundos,</w:t>
      </w:r>
      <w:r w:rsidRPr="00C21CC7">
        <w:rPr>
          <w:rFonts w:ascii="Palatino Linotype" w:hAnsi="Palatino Linotype"/>
        </w:rPr>
        <w:t xml:space="preserve"> fracciones IV y V,</w:t>
      </w:r>
      <w:r w:rsidRPr="00C21CC7">
        <w:rPr>
          <w:rFonts w:ascii="Palatino Linotype" w:eastAsia="Calibri" w:hAnsi="Palatino Linotype" w:cs="Arial"/>
        </w:rPr>
        <w:t xml:space="preserve"> de la Constitución Política del Estado Libre y Soberano de </w:t>
      </w:r>
      <w:r w:rsidRPr="00C21CC7">
        <w:rPr>
          <w:rFonts w:ascii="Palatino Linotype" w:hAnsi="Palatino Linotype" w:cs="Arial"/>
          <w:lang w:val="es-ES_tradnl"/>
        </w:rPr>
        <w:t>México</w:t>
      </w:r>
      <w:r w:rsidRPr="00C21CC7">
        <w:rPr>
          <w:rFonts w:ascii="Palatino Linotype" w:eastAsia="Calibri" w:hAnsi="Palatino Linotype" w:cs="Arial"/>
        </w:rPr>
        <w:t xml:space="preserve">, y los artículos </w:t>
      </w:r>
      <w:r w:rsidRPr="00C21CC7">
        <w:rPr>
          <w:rFonts w:ascii="Palatino Linotype" w:hAnsi="Palatino Linotype"/>
        </w:rPr>
        <w:t xml:space="preserve">2, </w:t>
      </w:r>
      <w:r w:rsidRPr="00C21CC7">
        <w:rPr>
          <w:rFonts w:ascii="Palatino Linotype" w:hAnsi="Palatino Linotype" w:cs="Arial"/>
        </w:rPr>
        <w:t>fracción</w:t>
      </w:r>
      <w:r w:rsidRPr="00C21CC7">
        <w:rPr>
          <w:rFonts w:ascii="Palatino Linotype" w:hAnsi="Palatino Linotype"/>
        </w:rPr>
        <w:t xml:space="preserve"> II, 9, </w:t>
      </w:r>
      <w:r w:rsidRPr="00C21CC7">
        <w:rPr>
          <w:rFonts w:ascii="Palatino Linotype" w:hAnsi="Palatino Linotype" w:cs="Arial"/>
          <w:lang w:val="es-ES_tradnl"/>
        </w:rPr>
        <w:t>29</w:t>
      </w:r>
      <w:r w:rsidRPr="00C21CC7">
        <w:rPr>
          <w:rFonts w:ascii="Palatino Linotype" w:hAnsi="Palatino Linotype"/>
        </w:rPr>
        <w:t>, 36, fracciones I y II, 176, 178, 179, 181, 185, fracción I, 186 y 188,</w:t>
      </w:r>
      <w:r w:rsidRPr="00C21CC7">
        <w:rPr>
          <w:rFonts w:ascii="Palatino Linotype" w:eastAsia="Calibri" w:hAnsi="Palatino Linotype" w:cs="Arial"/>
        </w:rPr>
        <w:t xml:space="preserve"> de la Ley de Transparencia y Acceso a la Información Pública del Estado de México y </w:t>
      </w:r>
      <w:r w:rsidRPr="00C21CC7">
        <w:rPr>
          <w:rFonts w:ascii="Palatino Linotype" w:hAnsi="Palatino Linotype" w:cs="Arial"/>
        </w:rPr>
        <w:t>Municipios</w:t>
      </w:r>
      <w:r w:rsidRPr="00C21CC7">
        <w:rPr>
          <w:rFonts w:ascii="Palatino Linotype" w:eastAsia="Calibri" w:hAnsi="Palatino Linotype" w:cs="Arial"/>
        </w:rPr>
        <w:t xml:space="preserve">, </w:t>
      </w:r>
      <w:r w:rsidRPr="00C21CC7">
        <w:rPr>
          <w:rFonts w:ascii="Palatino Linotype" w:hAnsi="Palatino Linotype"/>
        </w:rPr>
        <w:t>este</w:t>
      </w:r>
      <w:r w:rsidRPr="00C21CC7">
        <w:rPr>
          <w:rFonts w:ascii="Palatino Linotype" w:eastAsia="Calibri" w:hAnsi="Palatino Linotype" w:cs="Arial"/>
        </w:rPr>
        <w:t xml:space="preserve"> Pleno:</w:t>
      </w:r>
    </w:p>
    <w:p w14:paraId="3DBC0FC5" w14:textId="77777777" w:rsidR="00241089" w:rsidRPr="00C21CC7" w:rsidRDefault="00241089" w:rsidP="00241089">
      <w:pPr>
        <w:spacing w:line="360" w:lineRule="auto"/>
        <w:jc w:val="center"/>
        <w:rPr>
          <w:rFonts w:ascii="Palatino Linotype" w:hAnsi="Palatino Linotype" w:cs="Arial"/>
          <w:b/>
          <w:spacing w:val="44"/>
          <w:sz w:val="28"/>
        </w:rPr>
      </w:pPr>
      <w:r w:rsidRPr="00C21CC7">
        <w:rPr>
          <w:rFonts w:ascii="Palatino Linotype" w:hAnsi="Palatino Linotype" w:cs="Arial"/>
          <w:b/>
          <w:spacing w:val="44"/>
          <w:sz w:val="28"/>
        </w:rPr>
        <w:t>RESUELVE</w:t>
      </w:r>
    </w:p>
    <w:p w14:paraId="72B5C404" w14:textId="77777777" w:rsidR="00241089" w:rsidRPr="00C21CC7" w:rsidRDefault="00241089" w:rsidP="00241089">
      <w:pPr>
        <w:spacing w:line="360" w:lineRule="auto"/>
        <w:jc w:val="center"/>
        <w:rPr>
          <w:rFonts w:ascii="Palatino Linotype" w:hAnsi="Palatino Linotype" w:cs="Arial"/>
          <w:b/>
          <w:spacing w:val="44"/>
          <w:szCs w:val="22"/>
        </w:rPr>
      </w:pPr>
    </w:p>
    <w:p w14:paraId="422DCA49" w14:textId="70D04A8A" w:rsidR="00241089" w:rsidRPr="00C21CC7" w:rsidRDefault="00241089" w:rsidP="00241089">
      <w:pPr>
        <w:spacing w:line="360" w:lineRule="auto"/>
        <w:jc w:val="both"/>
        <w:rPr>
          <w:rFonts w:ascii="Palatino Linotype" w:hAnsi="Palatino Linotype" w:cs="Arial"/>
          <w:lang w:val="es-ES"/>
        </w:rPr>
      </w:pPr>
      <w:r w:rsidRPr="00C21CC7">
        <w:rPr>
          <w:rFonts w:ascii="Palatino Linotype" w:hAnsi="Palatino Linotype" w:cs="Arial"/>
          <w:b/>
          <w:sz w:val="28"/>
          <w:szCs w:val="28"/>
          <w:lang w:val="es-ES"/>
        </w:rPr>
        <w:t>PRIMERO</w:t>
      </w:r>
      <w:r w:rsidRPr="00C21CC7">
        <w:rPr>
          <w:rFonts w:ascii="Palatino Linotype" w:hAnsi="Palatino Linotype" w:cs="Arial"/>
          <w:sz w:val="28"/>
          <w:szCs w:val="28"/>
          <w:lang w:val="es-ES"/>
        </w:rPr>
        <w:t>.</w:t>
      </w:r>
      <w:r w:rsidRPr="00C21CC7">
        <w:rPr>
          <w:rFonts w:ascii="Palatino Linotype" w:hAnsi="Palatino Linotype" w:cs="Arial"/>
          <w:lang w:val="es-ES"/>
        </w:rPr>
        <w:t xml:space="preserve"> Resultan </w:t>
      </w:r>
      <w:r w:rsidRPr="00C21CC7">
        <w:rPr>
          <w:rFonts w:ascii="Palatino Linotype" w:hAnsi="Palatino Linotype" w:cs="Arial"/>
          <w:b/>
          <w:bCs/>
          <w:lang w:val="es-ES"/>
        </w:rPr>
        <w:t>parcialmente</w:t>
      </w:r>
      <w:r w:rsidRPr="00C21CC7">
        <w:rPr>
          <w:rFonts w:ascii="Palatino Linotype" w:hAnsi="Palatino Linotype" w:cs="Arial"/>
          <w:lang w:val="es-ES"/>
        </w:rPr>
        <w:t xml:space="preserve"> </w:t>
      </w:r>
      <w:r w:rsidRPr="00C21CC7">
        <w:rPr>
          <w:rFonts w:ascii="Palatino Linotype" w:hAnsi="Palatino Linotype" w:cs="Arial"/>
          <w:b/>
          <w:lang w:val="es-ES"/>
        </w:rPr>
        <w:t>fundadas</w:t>
      </w:r>
      <w:r w:rsidRPr="00C21CC7">
        <w:rPr>
          <w:rFonts w:ascii="Palatino Linotype" w:hAnsi="Palatino Linotype" w:cs="Arial"/>
          <w:lang w:val="es-ES"/>
        </w:rPr>
        <w:t xml:space="preserve"> las razones o motivos de inconformidad planteadas por </w:t>
      </w:r>
      <w:r w:rsidRPr="00C21CC7">
        <w:rPr>
          <w:rFonts w:ascii="Palatino Linotype" w:hAnsi="Palatino Linotype" w:cs="Arial"/>
          <w:b/>
          <w:lang w:val="es-ES"/>
        </w:rPr>
        <w:t xml:space="preserve">EL RECURRENTE </w:t>
      </w:r>
      <w:r w:rsidRPr="00C21CC7">
        <w:rPr>
          <w:rFonts w:ascii="Palatino Linotype" w:eastAsia="Calibri" w:hAnsi="Palatino Linotype" w:cs="Arial"/>
          <w:szCs w:val="20"/>
          <w:lang w:val="es-ES"/>
        </w:rPr>
        <w:t xml:space="preserve">en el Recurso de Revisión </w:t>
      </w:r>
      <w:r w:rsidR="009270E6" w:rsidRPr="00C21CC7">
        <w:rPr>
          <w:rFonts w:ascii="Palatino Linotype" w:eastAsia="Calibri" w:hAnsi="Palatino Linotype" w:cs="Arial"/>
          <w:b/>
          <w:szCs w:val="20"/>
          <w:lang w:val="es-ES"/>
        </w:rPr>
        <w:lastRenderedPageBreak/>
        <w:t>13227</w:t>
      </w:r>
      <w:r w:rsidRPr="00C21CC7">
        <w:rPr>
          <w:rFonts w:ascii="Palatino Linotype" w:hAnsi="Palatino Linotype" w:cs="Arial"/>
          <w:b/>
          <w:bCs/>
          <w:szCs w:val="20"/>
        </w:rPr>
        <w:t>/INFOEM/IP/RR/2022</w:t>
      </w:r>
      <w:r w:rsidRPr="00C21CC7">
        <w:rPr>
          <w:rFonts w:ascii="Palatino Linotype" w:hAnsi="Palatino Linotype" w:cs="Arial"/>
          <w:lang w:val="es-ES"/>
        </w:rPr>
        <w:t xml:space="preserve">, en términos del </w:t>
      </w:r>
      <w:r w:rsidRPr="00C21CC7">
        <w:rPr>
          <w:rFonts w:ascii="Palatino Linotype" w:hAnsi="Palatino Linotype" w:cs="Arial"/>
          <w:b/>
          <w:bCs/>
          <w:lang w:val="es-ES"/>
        </w:rPr>
        <w:t>Considerando Quinto</w:t>
      </w:r>
      <w:r w:rsidRPr="00C21CC7">
        <w:rPr>
          <w:rFonts w:ascii="Palatino Linotype" w:hAnsi="Palatino Linotype" w:cs="Arial"/>
          <w:lang w:val="es-ES"/>
        </w:rPr>
        <w:t xml:space="preserve"> de la presente Resolución.</w:t>
      </w:r>
    </w:p>
    <w:p w14:paraId="71B61DAB" w14:textId="77777777" w:rsidR="00241089" w:rsidRPr="00C21CC7" w:rsidRDefault="00241089" w:rsidP="00241089">
      <w:pPr>
        <w:spacing w:line="360" w:lineRule="auto"/>
        <w:jc w:val="both"/>
        <w:rPr>
          <w:rFonts w:ascii="Palatino Linotype" w:hAnsi="Palatino Linotype" w:cs="Arial"/>
          <w:b/>
          <w:szCs w:val="20"/>
        </w:rPr>
      </w:pPr>
    </w:p>
    <w:p w14:paraId="729D3070" w14:textId="683F9D93" w:rsidR="00241089" w:rsidRPr="00C21CC7" w:rsidRDefault="00241089" w:rsidP="00241089">
      <w:pPr>
        <w:spacing w:line="360" w:lineRule="auto"/>
        <w:ind w:right="48"/>
        <w:jc w:val="both"/>
        <w:rPr>
          <w:rFonts w:ascii="Palatino Linotype" w:hAnsi="Palatino Linotype" w:cs="Arial"/>
          <w:bCs/>
          <w:lang w:val="es-ES"/>
        </w:rPr>
      </w:pPr>
      <w:r w:rsidRPr="00C21CC7">
        <w:rPr>
          <w:rFonts w:ascii="Palatino Linotype" w:hAnsi="Palatino Linotype" w:cs="Arial"/>
          <w:b/>
          <w:sz w:val="28"/>
          <w:szCs w:val="28"/>
          <w:lang w:val="es-ES"/>
        </w:rPr>
        <w:t>SEGUNDO</w:t>
      </w:r>
      <w:r w:rsidRPr="00C21CC7">
        <w:rPr>
          <w:rFonts w:ascii="Palatino Linotype" w:hAnsi="Palatino Linotype" w:cs="Arial"/>
          <w:sz w:val="28"/>
          <w:szCs w:val="28"/>
          <w:lang w:val="es-ES"/>
        </w:rPr>
        <w:t>.</w:t>
      </w:r>
      <w:r w:rsidRPr="00C21CC7">
        <w:rPr>
          <w:rFonts w:ascii="Palatino Linotype" w:hAnsi="Palatino Linotype" w:cs="Arial"/>
          <w:lang w:val="es-ES"/>
        </w:rPr>
        <w:t xml:space="preserve"> </w:t>
      </w:r>
      <w:r w:rsidRPr="00C21CC7">
        <w:rPr>
          <w:rFonts w:ascii="Palatino Linotype" w:eastAsia="Calibri" w:hAnsi="Palatino Linotype" w:cs="Arial"/>
        </w:rPr>
        <w:t xml:space="preserve">Se </w:t>
      </w:r>
      <w:r w:rsidRPr="00C21CC7">
        <w:rPr>
          <w:rFonts w:ascii="Palatino Linotype" w:eastAsia="Calibri" w:hAnsi="Palatino Linotype" w:cs="Arial"/>
          <w:b/>
        </w:rPr>
        <w:t xml:space="preserve">MODIFICA </w:t>
      </w:r>
      <w:r w:rsidRPr="00C21CC7">
        <w:rPr>
          <w:rFonts w:ascii="Palatino Linotype" w:eastAsia="Calibri" w:hAnsi="Palatino Linotype" w:cs="Arial"/>
        </w:rPr>
        <w:t xml:space="preserve">la respuesta proporcionada por el </w:t>
      </w:r>
      <w:r w:rsidR="009270E6" w:rsidRPr="00C21CC7">
        <w:rPr>
          <w:rFonts w:ascii="Palatino Linotype" w:eastAsia="Calibri" w:hAnsi="Palatino Linotype" w:cs="Arial"/>
          <w:b/>
          <w:bCs/>
        </w:rPr>
        <w:t>Ayuntamiento de Coacalco de Berriozábal</w:t>
      </w:r>
      <w:r w:rsidRPr="00C21CC7">
        <w:rPr>
          <w:rFonts w:ascii="Palatino Linotype" w:eastAsia="Calibri" w:hAnsi="Palatino Linotype" w:cs="Arial"/>
          <w:b/>
          <w:bCs/>
        </w:rPr>
        <w:t xml:space="preserve"> </w:t>
      </w:r>
      <w:r w:rsidRPr="00C21CC7">
        <w:rPr>
          <w:rFonts w:ascii="Palatino Linotype" w:hAnsi="Palatino Linotype" w:cs="Arial"/>
          <w:lang w:val="es-ES"/>
        </w:rPr>
        <w:t xml:space="preserve">y se </w:t>
      </w:r>
      <w:r w:rsidRPr="00C21CC7">
        <w:rPr>
          <w:rFonts w:ascii="Palatino Linotype" w:hAnsi="Palatino Linotype" w:cs="Arial"/>
          <w:b/>
          <w:bCs/>
          <w:lang w:val="es-ES"/>
        </w:rPr>
        <w:t>Ordena</w:t>
      </w:r>
      <w:r w:rsidRPr="00C21CC7">
        <w:rPr>
          <w:rFonts w:ascii="Palatino Linotype" w:hAnsi="Palatino Linotype" w:cs="Arial"/>
          <w:lang w:val="es-ES"/>
        </w:rPr>
        <w:t xml:space="preserve"> haga entrega al </w:t>
      </w:r>
      <w:r w:rsidRPr="00C21CC7">
        <w:rPr>
          <w:rFonts w:ascii="Palatino Linotype" w:hAnsi="Palatino Linotype" w:cs="Arial"/>
          <w:b/>
          <w:lang w:val="es-ES"/>
        </w:rPr>
        <w:t>RECURRENTE</w:t>
      </w:r>
      <w:r w:rsidRPr="00C21CC7">
        <w:rPr>
          <w:rFonts w:ascii="Palatino Linotype" w:hAnsi="Palatino Linotype" w:cs="Arial"/>
          <w:bCs/>
          <w:lang w:val="es-ES"/>
        </w:rPr>
        <w:t>,</w:t>
      </w:r>
      <w:r w:rsidRPr="00C21CC7">
        <w:rPr>
          <w:rFonts w:ascii="Palatino Linotype" w:hAnsi="Palatino Linotype" w:cs="Arial"/>
          <w:lang w:val="es-ES"/>
        </w:rPr>
        <w:t xml:space="preserve"> vía el Sistema de Acceso a la Información Mexiquense (</w:t>
      </w:r>
      <w:r w:rsidRPr="00C21CC7">
        <w:rPr>
          <w:rFonts w:ascii="Palatino Linotype" w:hAnsi="Palatino Linotype" w:cs="Arial"/>
          <w:b/>
          <w:lang w:val="es-ES"/>
        </w:rPr>
        <w:t>SAIMEX</w:t>
      </w:r>
      <w:r w:rsidRPr="00C21CC7">
        <w:rPr>
          <w:rFonts w:ascii="Palatino Linotype" w:hAnsi="Palatino Linotype" w:cs="Arial"/>
          <w:lang w:val="es-ES"/>
        </w:rPr>
        <w:t>),</w:t>
      </w:r>
      <w:r w:rsidRPr="00C21CC7">
        <w:rPr>
          <w:rFonts w:ascii="Palatino Linotype" w:hAnsi="Palatino Linotype" w:cs="Arial"/>
          <w:bCs/>
          <w:lang w:val="es-ES"/>
        </w:rPr>
        <w:t xml:space="preserve"> en versión pública</w:t>
      </w:r>
      <w:r w:rsidRPr="00C21CC7">
        <w:rPr>
          <w:rFonts w:ascii="Palatino Linotype" w:hAnsi="Palatino Linotype" w:cs="Arial"/>
          <w:b/>
          <w:bCs/>
          <w:lang w:val="es-ES"/>
        </w:rPr>
        <w:t xml:space="preserve"> </w:t>
      </w:r>
      <w:r w:rsidRPr="00C21CC7">
        <w:rPr>
          <w:rFonts w:ascii="Palatino Linotype" w:hAnsi="Palatino Linotype" w:cs="Arial"/>
          <w:lang w:val="es-ES"/>
        </w:rPr>
        <w:t>de ser procedente</w:t>
      </w:r>
      <w:r w:rsidRPr="00C21CC7">
        <w:rPr>
          <w:rFonts w:ascii="Palatino Linotype" w:hAnsi="Palatino Linotype" w:cs="Arial"/>
          <w:bCs/>
          <w:lang w:val="es-ES"/>
        </w:rPr>
        <w:t>, d</w:t>
      </w:r>
      <w:proofErr w:type="spellStart"/>
      <w:r w:rsidRPr="00C21CC7">
        <w:rPr>
          <w:rFonts w:ascii="Palatino Linotype" w:hAnsi="Palatino Linotype" w:cs="Arial"/>
          <w:bCs/>
        </w:rPr>
        <w:t>e</w:t>
      </w:r>
      <w:proofErr w:type="spellEnd"/>
      <w:r w:rsidRPr="00C21CC7">
        <w:rPr>
          <w:rFonts w:ascii="Palatino Linotype" w:hAnsi="Palatino Linotype" w:cs="Arial"/>
          <w:bCs/>
        </w:rPr>
        <w:t xml:space="preserve"> los </w:t>
      </w:r>
      <w:r w:rsidRPr="00C21CC7">
        <w:rPr>
          <w:rFonts w:ascii="Palatino Linotype" w:hAnsi="Palatino Linotype" w:cs="Arial"/>
          <w:bCs/>
          <w:lang w:val="es-ES"/>
        </w:rPr>
        <w:t>siguientes soportes documentales:</w:t>
      </w:r>
    </w:p>
    <w:p w14:paraId="01C87118" w14:textId="77777777" w:rsidR="009270E6" w:rsidRPr="00C21CC7" w:rsidRDefault="009270E6" w:rsidP="00241089">
      <w:pPr>
        <w:spacing w:line="360" w:lineRule="auto"/>
        <w:ind w:right="48"/>
        <w:jc w:val="both"/>
        <w:rPr>
          <w:rFonts w:ascii="Palatino Linotype" w:hAnsi="Palatino Linotype" w:cs="Arial"/>
          <w:bCs/>
          <w:lang w:val="es-ES"/>
        </w:rPr>
      </w:pPr>
    </w:p>
    <w:p w14:paraId="13583AB1" w14:textId="7283ADFE" w:rsidR="00241089" w:rsidRPr="00C21CC7" w:rsidRDefault="009270E6" w:rsidP="009270E6">
      <w:pPr>
        <w:pStyle w:val="Prrafodelista"/>
        <w:spacing w:after="240" w:line="360" w:lineRule="auto"/>
        <w:ind w:left="1287" w:right="567"/>
        <w:jc w:val="both"/>
        <w:rPr>
          <w:rFonts w:ascii="Palatino Linotype" w:hAnsi="Palatino Linotype"/>
          <w:b/>
          <w:bCs/>
          <w:color w:val="000000"/>
        </w:rPr>
      </w:pPr>
      <w:r w:rsidRPr="00C21CC7">
        <w:rPr>
          <w:rFonts w:ascii="Palatino Linotype" w:hAnsi="Palatino Linotype"/>
          <w:b/>
          <w:bCs/>
          <w:color w:val="000000"/>
        </w:rPr>
        <w:t xml:space="preserve">“El contrato suscrito entre el Ayuntamiento de Coacalco De Berriozábal y la empresa IUBEO REINGENIERÍA ESTRATÉGICA DIGITAL Y ENLACE SOCIAL S.A.P.I. DE C.V., con motivo del diseño y </w:t>
      </w:r>
      <w:r w:rsidR="00840AEA" w:rsidRPr="00C21CC7">
        <w:rPr>
          <w:rFonts w:ascii="Palatino Linotype" w:hAnsi="Palatino Linotype"/>
          <w:b/>
          <w:bCs/>
          <w:color w:val="000000"/>
        </w:rPr>
        <w:t>operación</w:t>
      </w:r>
      <w:r w:rsidRPr="00C21CC7">
        <w:rPr>
          <w:rFonts w:ascii="Palatino Linotype" w:hAnsi="Palatino Linotype"/>
          <w:b/>
          <w:bCs/>
          <w:color w:val="000000"/>
        </w:rPr>
        <w:t xml:space="preserve"> de la aplicación Coacalco Seguro.</w:t>
      </w:r>
    </w:p>
    <w:p w14:paraId="64D25922" w14:textId="77777777" w:rsidR="00241089" w:rsidRPr="00C21CC7" w:rsidRDefault="00241089" w:rsidP="00241089">
      <w:pPr>
        <w:spacing w:line="276" w:lineRule="auto"/>
        <w:ind w:right="901"/>
        <w:jc w:val="both"/>
        <w:rPr>
          <w:rFonts w:ascii="Palatino Linotype" w:hAnsi="Palatino Linotype" w:cs="Arial"/>
          <w:bCs/>
          <w:i/>
          <w:sz w:val="22"/>
          <w:szCs w:val="22"/>
        </w:rPr>
      </w:pPr>
    </w:p>
    <w:p w14:paraId="74B266CF" w14:textId="77777777" w:rsidR="00241089" w:rsidRPr="00C21CC7" w:rsidRDefault="00241089" w:rsidP="00241089">
      <w:pPr>
        <w:spacing w:line="276" w:lineRule="auto"/>
        <w:ind w:left="850" w:right="901"/>
        <w:jc w:val="both"/>
        <w:rPr>
          <w:rFonts w:ascii="Palatino Linotype" w:hAnsi="Palatino Linotype" w:cs="Arial"/>
          <w:bCs/>
          <w:i/>
          <w:iCs/>
          <w:sz w:val="22"/>
          <w:szCs w:val="22"/>
        </w:rPr>
      </w:pPr>
      <w:r w:rsidRPr="00C21CC7">
        <w:rPr>
          <w:rFonts w:ascii="Palatino Linotype" w:hAnsi="Palatino Linotype" w:cs="Arial"/>
          <w:bCs/>
          <w:i/>
          <w:iCs/>
          <w:sz w:val="22"/>
          <w:szCs w:val="22"/>
        </w:rPr>
        <w:t xml:space="preserve">Debiendo notificar al </w:t>
      </w:r>
      <w:r w:rsidRPr="00C21CC7">
        <w:rPr>
          <w:rFonts w:ascii="Palatino Linotype" w:hAnsi="Palatino Linotype" w:cs="Arial"/>
          <w:b/>
          <w:bCs/>
          <w:i/>
          <w:iCs/>
          <w:sz w:val="22"/>
          <w:szCs w:val="22"/>
        </w:rPr>
        <w:t>RECURRENTE</w:t>
      </w:r>
      <w:r w:rsidRPr="00C21CC7">
        <w:rPr>
          <w:rFonts w:ascii="Palatino Linotype" w:hAnsi="Palatino Linotype" w:cs="Arial"/>
          <w:bCs/>
          <w:i/>
          <w:iCs/>
          <w:sz w:val="22"/>
          <w:szCs w:val="22"/>
        </w:rPr>
        <w:t xml:space="preserve"> el Acuerdo de Clasificación que emita el Comité de Transparencia, con motivo de la versión pública.”</w:t>
      </w:r>
    </w:p>
    <w:p w14:paraId="6EFF2D34" w14:textId="77777777" w:rsidR="00241089" w:rsidRPr="00C21CC7" w:rsidRDefault="00241089" w:rsidP="00241089">
      <w:pPr>
        <w:spacing w:line="276" w:lineRule="auto"/>
        <w:ind w:right="901"/>
        <w:jc w:val="both"/>
        <w:rPr>
          <w:rFonts w:ascii="Palatino Linotype" w:hAnsi="Palatino Linotype" w:cs="Arial"/>
          <w:bCs/>
          <w:i/>
          <w:iCs/>
          <w:sz w:val="22"/>
          <w:szCs w:val="22"/>
        </w:rPr>
      </w:pPr>
    </w:p>
    <w:p w14:paraId="4E761D33" w14:textId="77777777" w:rsidR="00241089" w:rsidRPr="00C21CC7" w:rsidRDefault="00241089" w:rsidP="00241089">
      <w:pPr>
        <w:spacing w:line="360" w:lineRule="auto"/>
        <w:jc w:val="both"/>
        <w:rPr>
          <w:rFonts w:ascii="Palatino Linotype" w:hAnsi="Palatino Linotype" w:cs="Times New Roman"/>
          <w:szCs w:val="17"/>
          <w:lang w:eastAsia="es-ES_tradnl"/>
        </w:rPr>
      </w:pPr>
      <w:r w:rsidRPr="00C21CC7">
        <w:rPr>
          <w:rFonts w:ascii="Palatino Linotype" w:hAnsi="Palatino Linotype"/>
          <w:b/>
          <w:sz w:val="28"/>
          <w:szCs w:val="28"/>
          <w:shd w:val="clear" w:color="auto" w:fill="FFFFFF"/>
        </w:rPr>
        <w:t>TERCERO.</w:t>
      </w:r>
      <w:r w:rsidRPr="00C21CC7">
        <w:rPr>
          <w:rFonts w:ascii="Palatino Linotype" w:hAnsi="Palatino Linotype"/>
          <w:b/>
          <w:shd w:val="clear" w:color="auto" w:fill="FFFFFF"/>
        </w:rPr>
        <w:t> </w:t>
      </w:r>
      <w:r w:rsidRPr="00C21CC7">
        <w:rPr>
          <w:rFonts w:ascii="Palatino Linotype" w:hAnsi="Palatino Linotype"/>
          <w:b/>
          <w:lang w:eastAsia="es-ES_tradnl"/>
        </w:rPr>
        <w:t>Notifíquese</w:t>
      </w:r>
      <w:r w:rsidRPr="00C21CC7">
        <w:rPr>
          <w:rFonts w:ascii="Palatino Linotype" w:hAnsi="Palatino Linotype"/>
          <w:lang w:eastAsia="es-ES_tradnl"/>
        </w:rPr>
        <w:t xml:space="preserve"> </w:t>
      </w:r>
      <w:r w:rsidRPr="00C21CC7">
        <w:rPr>
          <w:rFonts w:ascii="Palatino Linotype" w:hAnsi="Palatino Linotype"/>
          <w:shd w:val="clear" w:color="auto" w:fill="FFFFFF"/>
        </w:rPr>
        <w:t xml:space="preserve">al </w:t>
      </w:r>
      <w:r w:rsidRPr="00C21CC7">
        <w:rPr>
          <w:rFonts w:ascii="Palatino Linotype" w:hAnsi="Palatino Linotype"/>
          <w:szCs w:val="17"/>
          <w:lang w:eastAsia="es-ES_tradnl"/>
        </w:rPr>
        <w:t>Titular de la Unidad de Transparencia del </w:t>
      </w:r>
      <w:r w:rsidRPr="00C21CC7">
        <w:rPr>
          <w:rFonts w:ascii="Palatino Linotype" w:hAnsi="Palatino Linotype"/>
          <w:b/>
          <w:szCs w:val="17"/>
          <w:lang w:eastAsia="es-ES_tradnl"/>
        </w:rPr>
        <w:t>SUJETO OBLIGADO</w:t>
      </w:r>
      <w:r w:rsidRPr="00C21CC7">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44B0A5E" w14:textId="77777777" w:rsidR="00241089" w:rsidRPr="00C21CC7" w:rsidRDefault="00241089" w:rsidP="00241089">
      <w:pPr>
        <w:spacing w:line="360" w:lineRule="auto"/>
        <w:jc w:val="both"/>
        <w:rPr>
          <w:rFonts w:ascii="Palatino Linotype" w:hAnsi="Palatino Linotype"/>
          <w:szCs w:val="17"/>
          <w:lang w:eastAsia="es-ES_tradnl"/>
        </w:rPr>
      </w:pPr>
    </w:p>
    <w:p w14:paraId="6DD96DA5" w14:textId="77777777" w:rsidR="00241089" w:rsidRPr="00C21CC7" w:rsidRDefault="00241089" w:rsidP="00241089">
      <w:pPr>
        <w:spacing w:line="360" w:lineRule="auto"/>
        <w:ind w:right="49"/>
        <w:jc w:val="both"/>
        <w:rPr>
          <w:rFonts w:ascii="Palatino Linotype" w:hAnsi="Palatino Linotype" w:cs="Arial"/>
          <w:b/>
          <w:bCs/>
        </w:rPr>
      </w:pPr>
      <w:r w:rsidRPr="00C21CC7">
        <w:rPr>
          <w:rFonts w:ascii="Palatino Linotype" w:hAnsi="Palatino Linotype" w:cs="Arial"/>
          <w:b/>
          <w:bCs/>
          <w:sz w:val="28"/>
          <w:lang w:eastAsia="es-MX"/>
        </w:rPr>
        <w:lastRenderedPageBreak/>
        <w:t xml:space="preserve">CUARTO. </w:t>
      </w:r>
      <w:r w:rsidRPr="00C21CC7">
        <w:rPr>
          <w:rFonts w:ascii="Palatino Linotype" w:hAnsi="Palatino Linotype"/>
          <w:b/>
          <w:szCs w:val="17"/>
          <w:lang w:eastAsia="es-ES_tradnl"/>
        </w:rPr>
        <w:t>Notifíquese</w:t>
      </w:r>
      <w:r w:rsidRPr="00C21CC7">
        <w:rPr>
          <w:rFonts w:ascii="Palatino Linotype" w:hAnsi="Palatino Linotype"/>
          <w:szCs w:val="17"/>
          <w:lang w:eastAsia="es-ES_tradnl"/>
        </w:rPr>
        <w:t xml:space="preserve"> al </w:t>
      </w:r>
      <w:r w:rsidRPr="00C21CC7">
        <w:rPr>
          <w:rFonts w:ascii="Palatino Linotype" w:hAnsi="Palatino Linotype"/>
          <w:b/>
          <w:szCs w:val="17"/>
          <w:lang w:eastAsia="es-ES_tradnl"/>
        </w:rPr>
        <w:t>RECURRENTE</w:t>
      </w:r>
      <w:r w:rsidRPr="00C21CC7">
        <w:rPr>
          <w:rFonts w:ascii="Palatino Linotype" w:hAnsi="Palatino Linotype"/>
          <w:szCs w:val="17"/>
          <w:lang w:eastAsia="es-ES_tradnl"/>
        </w:rPr>
        <w:t xml:space="preserve"> la presente resolución</w:t>
      </w:r>
      <w:r w:rsidRPr="00C21CC7">
        <w:rPr>
          <w:rFonts w:ascii="Palatino Linotype" w:hAnsi="Palatino Linotype" w:cs="Arial"/>
        </w:rPr>
        <w:t xml:space="preserve"> vía </w:t>
      </w:r>
      <w:bookmarkStart w:id="12" w:name="_Hlk94784009"/>
      <w:r w:rsidRPr="00C21CC7">
        <w:rPr>
          <w:rFonts w:ascii="Palatino Linotype" w:hAnsi="Palatino Linotype" w:cs="Arial"/>
        </w:rPr>
        <w:t>Sistema de Acceso a la Información Mexiquense (</w:t>
      </w:r>
      <w:r w:rsidRPr="00C21CC7">
        <w:rPr>
          <w:rFonts w:ascii="Palatino Linotype" w:hAnsi="Palatino Linotype" w:cs="Arial"/>
          <w:b/>
          <w:bCs/>
        </w:rPr>
        <w:t>SAIMEX</w:t>
      </w:r>
      <w:r w:rsidRPr="00C21CC7">
        <w:rPr>
          <w:rFonts w:ascii="Palatino Linotype" w:hAnsi="Palatino Linotype" w:cs="Arial"/>
        </w:rPr>
        <w:t>)</w:t>
      </w:r>
      <w:bookmarkEnd w:id="12"/>
      <w:r w:rsidRPr="00C21CC7">
        <w:rPr>
          <w:rFonts w:ascii="Palatino Linotype" w:hAnsi="Palatino Linotype" w:cs="Arial"/>
          <w:b/>
          <w:bCs/>
        </w:rPr>
        <w:t>.</w:t>
      </w:r>
    </w:p>
    <w:p w14:paraId="4950474E" w14:textId="77777777" w:rsidR="00241089" w:rsidRPr="00C21CC7" w:rsidRDefault="00241089" w:rsidP="00241089">
      <w:pPr>
        <w:spacing w:line="360" w:lineRule="auto"/>
        <w:ind w:right="49"/>
        <w:jc w:val="both"/>
        <w:rPr>
          <w:rFonts w:ascii="Palatino Linotype" w:hAnsi="Palatino Linotype" w:cs="Arial"/>
          <w:b/>
          <w:bCs/>
        </w:rPr>
      </w:pPr>
    </w:p>
    <w:p w14:paraId="27CC58A0" w14:textId="77777777" w:rsidR="00241089" w:rsidRPr="00C21CC7" w:rsidRDefault="00241089" w:rsidP="00241089">
      <w:pPr>
        <w:spacing w:line="360" w:lineRule="auto"/>
        <w:ind w:right="49"/>
        <w:jc w:val="both"/>
        <w:rPr>
          <w:rFonts w:ascii="Palatino Linotype" w:eastAsia="Palatino Linotype" w:hAnsi="Palatino Linotype" w:cs="Palatino Linotype"/>
        </w:rPr>
      </w:pPr>
      <w:r w:rsidRPr="00C21CC7">
        <w:rPr>
          <w:rFonts w:ascii="Palatino Linotype" w:hAnsi="Palatino Linotype" w:cs="Arial"/>
          <w:b/>
          <w:bCs/>
          <w:sz w:val="28"/>
          <w:lang w:eastAsia="es-MX"/>
        </w:rPr>
        <w:t>QUINTO.</w:t>
      </w:r>
      <w:r w:rsidRPr="00C21CC7">
        <w:rPr>
          <w:rFonts w:ascii="Palatino Linotype" w:hAnsi="Palatino Linotype"/>
          <w:szCs w:val="17"/>
          <w:lang w:eastAsia="es-ES_tradnl"/>
        </w:rPr>
        <w:t xml:space="preserve"> </w:t>
      </w:r>
      <w:r w:rsidRPr="00C21CC7">
        <w:rPr>
          <w:rFonts w:ascii="Palatino Linotype" w:hAnsi="Palatino Linotype"/>
          <w:b/>
          <w:szCs w:val="17"/>
          <w:lang w:eastAsia="es-ES_tradnl"/>
        </w:rPr>
        <w:t>Hágase del conocimiento</w:t>
      </w:r>
      <w:r w:rsidRPr="00C21CC7">
        <w:rPr>
          <w:rFonts w:ascii="Palatino Linotype" w:hAnsi="Palatino Linotype"/>
          <w:szCs w:val="17"/>
          <w:lang w:eastAsia="es-ES_tradnl"/>
        </w:rPr>
        <w:t xml:space="preserve"> al </w:t>
      </w:r>
      <w:r w:rsidRPr="00C21CC7">
        <w:rPr>
          <w:rFonts w:ascii="Palatino Linotype" w:hAnsi="Palatino Linotype"/>
          <w:b/>
          <w:szCs w:val="17"/>
          <w:lang w:eastAsia="es-ES_tradnl"/>
        </w:rPr>
        <w:t>RECURRENTE</w:t>
      </w:r>
      <w:r w:rsidRPr="00C21CC7">
        <w:rPr>
          <w:rFonts w:ascii="Palatino Linotype" w:hAnsi="Palatino Linotype"/>
          <w:szCs w:val="17"/>
          <w:lang w:eastAsia="es-ES_tradnl"/>
        </w:rPr>
        <w:t xml:space="preserve"> </w:t>
      </w:r>
      <w:r w:rsidRPr="00C21CC7">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impugnarla vía Juicio de Amparo en los términos de las leyes aplicables.</w:t>
      </w:r>
    </w:p>
    <w:p w14:paraId="6570AB12" w14:textId="77777777" w:rsidR="00241089" w:rsidRPr="00C21CC7" w:rsidRDefault="00241089" w:rsidP="00241089">
      <w:pPr>
        <w:spacing w:line="360" w:lineRule="auto"/>
        <w:ind w:right="49"/>
        <w:jc w:val="both"/>
        <w:rPr>
          <w:rFonts w:ascii="Palatino Linotype" w:eastAsia="Palatino Linotype" w:hAnsi="Palatino Linotype" w:cs="Palatino Linotype"/>
        </w:rPr>
      </w:pPr>
    </w:p>
    <w:p w14:paraId="2E5FAD2E" w14:textId="77777777" w:rsidR="00241089" w:rsidRPr="00C21CC7" w:rsidRDefault="00241089" w:rsidP="00241089">
      <w:pPr>
        <w:spacing w:line="360" w:lineRule="auto"/>
        <w:ind w:right="49"/>
        <w:jc w:val="both"/>
        <w:rPr>
          <w:rFonts w:ascii="Palatino Linotype" w:eastAsia="Times New Roman" w:hAnsi="Palatino Linotype" w:cs="Times New Roman"/>
          <w:szCs w:val="17"/>
          <w:lang w:eastAsia="es-ES_tradnl"/>
        </w:rPr>
      </w:pPr>
      <w:r w:rsidRPr="00C21CC7">
        <w:rPr>
          <w:rFonts w:ascii="Palatino Linotype" w:hAnsi="Palatino Linotype"/>
          <w:b/>
          <w:sz w:val="28"/>
          <w:szCs w:val="28"/>
          <w:lang w:eastAsia="es-ES_tradnl"/>
        </w:rPr>
        <w:t>SEXTO</w:t>
      </w:r>
      <w:r w:rsidRPr="00C21CC7">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78376CF" w14:textId="77777777" w:rsidR="00241089" w:rsidRPr="00C21CC7" w:rsidRDefault="00241089" w:rsidP="00241089">
      <w:pPr>
        <w:suppressAutoHyphens/>
        <w:spacing w:line="360" w:lineRule="auto"/>
        <w:jc w:val="both"/>
        <w:rPr>
          <w:rStyle w:val="normaltextrun"/>
          <w:color w:val="000000"/>
          <w:shd w:val="clear" w:color="auto" w:fill="FFFFFF"/>
          <w:lang w:val="es-ES"/>
        </w:rPr>
      </w:pPr>
    </w:p>
    <w:p w14:paraId="7971A668" w14:textId="108CC199" w:rsidR="00241089" w:rsidRPr="00C21CC7" w:rsidRDefault="00241089" w:rsidP="00241089">
      <w:pPr>
        <w:spacing w:line="360" w:lineRule="auto"/>
        <w:jc w:val="both"/>
        <w:rPr>
          <w:rFonts w:ascii="Palatino Linotype" w:hAnsi="Palatino Linotype"/>
        </w:rPr>
      </w:pPr>
      <w:r w:rsidRPr="00C21CC7">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w:t>
      </w:r>
      <w:r w:rsidR="004E15C4" w:rsidRPr="00C21CC7">
        <w:rPr>
          <w:rFonts w:ascii="Palatino Linotype" w:hAnsi="Palatino Linotype"/>
        </w:rPr>
        <w:t xml:space="preserve"> RAMÍREZ PEÑA; EN LA TRIGÉSIMA SÉPTIMA</w:t>
      </w:r>
      <w:r w:rsidRPr="00C21CC7">
        <w:rPr>
          <w:rFonts w:ascii="Palatino Linotype" w:hAnsi="Palatino Linotype"/>
        </w:rPr>
        <w:t xml:space="preserve"> SESIÓN ORDINARIA CELEBRADA EL </w:t>
      </w:r>
      <w:r w:rsidR="004E15C4" w:rsidRPr="00C21CC7">
        <w:rPr>
          <w:rFonts w:ascii="Palatino Linotype" w:hAnsi="Palatino Linotype"/>
        </w:rPr>
        <w:t>DOCE DE OCTUBRE</w:t>
      </w:r>
      <w:r w:rsidRPr="00C21CC7">
        <w:rPr>
          <w:rFonts w:ascii="Palatino Linotype" w:hAnsi="Palatino Linotype"/>
        </w:rPr>
        <w:t xml:space="preserve"> DE DOS MIL VEINTIDÓS, ANTE EL SECRETARIO TÉCNICO DEL PLENO, ALEXIS TAPIA RAMÍREZ.</w:t>
      </w:r>
    </w:p>
    <w:p w14:paraId="70A46197" w14:textId="77777777" w:rsidR="00241089" w:rsidRPr="00C21CC7" w:rsidRDefault="00241089" w:rsidP="00241089">
      <w:pPr>
        <w:spacing w:line="360" w:lineRule="auto"/>
        <w:jc w:val="both"/>
        <w:rPr>
          <w:rFonts w:ascii="Palatino Linotype" w:hAnsi="Palatino Linotype"/>
          <w:sz w:val="20"/>
          <w:szCs w:val="20"/>
        </w:rPr>
      </w:pPr>
    </w:p>
    <w:p w14:paraId="1809E15D" w14:textId="4DC0986D" w:rsidR="00241089" w:rsidRDefault="00241089" w:rsidP="00241089">
      <w:pPr>
        <w:spacing w:line="360" w:lineRule="auto"/>
        <w:jc w:val="both"/>
        <w:rPr>
          <w:rFonts w:ascii="Palatino Linotype" w:hAnsi="Palatino Linotype"/>
          <w:sz w:val="20"/>
          <w:szCs w:val="20"/>
        </w:rPr>
      </w:pPr>
      <w:r w:rsidRPr="00C21CC7">
        <w:rPr>
          <w:rFonts w:ascii="Palatino Linotype" w:hAnsi="Palatino Linotype"/>
          <w:sz w:val="20"/>
          <w:szCs w:val="20"/>
        </w:rPr>
        <w:t>SCMM/BLA/DEMF/MRC</w:t>
      </w:r>
    </w:p>
    <w:p w14:paraId="7EFA4F21" w14:textId="5DB58B29" w:rsidR="00895335" w:rsidRPr="00A65FA8" w:rsidRDefault="00895335">
      <w:pPr>
        <w:rPr>
          <w:rFonts w:ascii="Palatino Linotype" w:hAnsi="Palatino Linotype" w:cs="Arial"/>
          <w:color w:val="000000" w:themeColor="text1"/>
        </w:rPr>
      </w:pPr>
    </w:p>
    <w:sectPr w:rsidR="00895335" w:rsidRPr="00A65FA8" w:rsidSect="00472C41">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0B62E" w14:textId="77777777" w:rsidR="00B57735" w:rsidRDefault="00B57735" w:rsidP="00587366">
      <w:r>
        <w:separator/>
      </w:r>
    </w:p>
  </w:endnote>
  <w:endnote w:type="continuationSeparator" w:id="0">
    <w:p w14:paraId="03E58CFF" w14:textId="77777777" w:rsidR="00B57735" w:rsidRDefault="00B5773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74DE5F44" w:rsidR="007D33CA" w:rsidRPr="00883450" w:rsidRDefault="007D33C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21CC7">
              <w:rPr>
                <w:rFonts w:ascii="Palatino Linotype" w:hAnsi="Palatino Linotype"/>
                <w:b/>
                <w:bCs/>
                <w:noProof/>
                <w:sz w:val="22"/>
                <w:szCs w:val="20"/>
              </w:rPr>
              <w:t>40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21CC7">
              <w:rPr>
                <w:rFonts w:ascii="Palatino Linotype" w:hAnsi="Palatino Linotype"/>
                <w:b/>
                <w:bCs/>
                <w:noProof/>
                <w:sz w:val="22"/>
                <w:szCs w:val="20"/>
              </w:rPr>
              <w:t>41</w:t>
            </w:r>
            <w:r w:rsidRPr="00883450">
              <w:rPr>
                <w:rFonts w:ascii="Palatino Linotype" w:hAnsi="Palatino Linotype"/>
                <w:b/>
                <w:bCs/>
                <w:sz w:val="22"/>
                <w:szCs w:val="20"/>
              </w:rPr>
              <w:fldChar w:fldCharType="end"/>
            </w:r>
          </w:p>
        </w:sdtContent>
      </w:sdt>
    </w:sdtContent>
  </w:sdt>
  <w:p w14:paraId="6243EC1B" w14:textId="47B193F0" w:rsidR="007D33CA" w:rsidRDefault="007D33C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40502C3F" w:rsidR="007D33CA" w:rsidRPr="00883450" w:rsidRDefault="007D33C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21CC7" w:rsidRPr="00C21CC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21CC7" w:rsidRPr="00C21CC7">
      <w:rPr>
        <w:rFonts w:ascii="Palatino Linotype" w:hAnsi="Palatino Linotype"/>
        <w:noProof/>
        <w:sz w:val="22"/>
        <w:szCs w:val="22"/>
        <w:lang w:val="es-ES"/>
      </w:rPr>
      <w:t>41</w:t>
    </w:r>
    <w:r w:rsidRPr="00883450">
      <w:rPr>
        <w:rFonts w:ascii="Palatino Linotype" w:hAnsi="Palatino Linotype"/>
        <w:sz w:val="22"/>
        <w:szCs w:val="22"/>
      </w:rPr>
      <w:fldChar w:fldCharType="end"/>
    </w:r>
  </w:p>
  <w:p w14:paraId="5F5C4865" w14:textId="0A9A2B26" w:rsidR="007D33CA" w:rsidRPr="00883450" w:rsidRDefault="007D33CA">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5ABEF" w14:textId="77777777" w:rsidR="00B57735" w:rsidRDefault="00B57735" w:rsidP="00587366">
      <w:r>
        <w:separator/>
      </w:r>
    </w:p>
  </w:footnote>
  <w:footnote w:type="continuationSeparator" w:id="0">
    <w:p w14:paraId="4072D91D" w14:textId="77777777" w:rsidR="00B57735" w:rsidRDefault="00B57735" w:rsidP="00587366">
      <w:r>
        <w:continuationSeparator/>
      </w:r>
    </w:p>
  </w:footnote>
  <w:footnote w:id="1">
    <w:p w14:paraId="5CF46E24" w14:textId="77777777" w:rsidR="00555354" w:rsidRDefault="00555354" w:rsidP="00555354">
      <w:pPr>
        <w:pStyle w:val="Textonotapie"/>
      </w:pPr>
      <w:r>
        <w:rPr>
          <w:rStyle w:val="Refdenotaalpie"/>
        </w:rPr>
        <w:footnoteRef/>
      </w:r>
      <w:r>
        <w:t xml:space="preserve"> Consultable en: </w:t>
      </w:r>
      <w:r w:rsidRPr="00F96F2C">
        <w:t>https://coacalco.gob.mx/</w:t>
      </w:r>
    </w:p>
  </w:footnote>
  <w:footnote w:id="2">
    <w:p w14:paraId="2832531D" w14:textId="77777777" w:rsidR="00555354" w:rsidRDefault="00555354" w:rsidP="00555354">
      <w:pPr>
        <w:pStyle w:val="Textonotapie"/>
      </w:pPr>
      <w:r>
        <w:rPr>
          <w:rStyle w:val="Refdenotaalpie"/>
        </w:rPr>
        <w:footnoteRef/>
      </w:r>
      <w:r>
        <w:t xml:space="preserve"> Consultable en: </w:t>
      </w:r>
      <w:r w:rsidRPr="00F96F2C">
        <w:t>https://coacalco.gob.mx/coacalco-seguro/</w:t>
      </w:r>
    </w:p>
  </w:footnote>
  <w:footnote w:id="3">
    <w:p w14:paraId="2DAB58ED" w14:textId="77777777" w:rsidR="00555354" w:rsidRDefault="00555354" w:rsidP="00555354">
      <w:pPr>
        <w:pStyle w:val="Textonotapie"/>
      </w:pPr>
      <w:r>
        <w:rPr>
          <w:rStyle w:val="Refdenotaalpie"/>
        </w:rPr>
        <w:footnoteRef/>
      </w:r>
      <w:r>
        <w:t xml:space="preserve"> ¿QUÉ ES COACALCO SEGURO?, Ídem</w:t>
      </w:r>
    </w:p>
  </w:footnote>
  <w:footnote w:id="4">
    <w:p w14:paraId="217F4A53" w14:textId="77777777" w:rsidR="00555354" w:rsidRDefault="00555354" w:rsidP="00555354">
      <w:pPr>
        <w:pStyle w:val="Textonotapie"/>
      </w:pPr>
      <w:r>
        <w:rPr>
          <w:rStyle w:val="Refdenotaalpie"/>
        </w:rPr>
        <w:footnoteRef/>
      </w:r>
      <w:r>
        <w:t xml:space="preserve"> Ibídem.</w:t>
      </w:r>
    </w:p>
  </w:footnote>
  <w:footnote w:id="5">
    <w:p w14:paraId="2B531DE8" w14:textId="77777777" w:rsidR="00555354" w:rsidRDefault="00555354" w:rsidP="00555354">
      <w:pPr>
        <w:pStyle w:val="Textonotapie"/>
      </w:pPr>
      <w:r>
        <w:rPr>
          <w:rStyle w:val="Refdenotaalpie"/>
        </w:rPr>
        <w:footnoteRef/>
      </w:r>
      <w:r>
        <w:t xml:space="preserve"> Consultable en: </w:t>
      </w:r>
      <w:r w:rsidRPr="008A098D">
        <w:t>https://tinyurl.com/3z7hdkau</w:t>
      </w:r>
    </w:p>
  </w:footnote>
  <w:footnote w:id="6">
    <w:p w14:paraId="2EAF1943" w14:textId="77777777" w:rsidR="00555354" w:rsidRDefault="00555354" w:rsidP="00555354">
      <w:pPr>
        <w:pStyle w:val="Textonotapie"/>
      </w:pPr>
      <w:r>
        <w:rPr>
          <w:rStyle w:val="Refdenotaalpie"/>
        </w:rPr>
        <w:footnoteRef/>
      </w:r>
      <w:r>
        <w:t xml:space="preserve"> Consultable en: </w:t>
      </w:r>
      <w:r w:rsidRPr="008A098D">
        <w:t>https://tinyurl.com/534n46x7</w:t>
      </w:r>
    </w:p>
  </w:footnote>
  <w:footnote w:id="7">
    <w:p w14:paraId="0E68D9DD" w14:textId="77777777" w:rsidR="00555354" w:rsidRDefault="00555354" w:rsidP="00555354">
      <w:pPr>
        <w:pStyle w:val="Textonotapie"/>
      </w:pPr>
      <w:r>
        <w:rPr>
          <w:rStyle w:val="Refdenotaalpie"/>
        </w:rPr>
        <w:footnoteRef/>
      </w:r>
      <w:r>
        <w:t xml:space="preserve"> Artículo 1, Ley de Contratación Pública del Estado de México y Municipios.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7D33CA" w:rsidRPr="00025127" w14:paraId="73F1FE1C" w14:textId="77777777" w:rsidTr="00FA0F09">
      <w:trPr>
        <w:trHeight w:val="138"/>
        <w:jc w:val="right"/>
      </w:trPr>
      <w:tc>
        <w:tcPr>
          <w:tcW w:w="3260" w:type="dxa"/>
          <w:vAlign w:val="center"/>
        </w:tcPr>
        <w:p w14:paraId="4771C587" w14:textId="77777777" w:rsidR="007D33CA" w:rsidRPr="00025127" w:rsidRDefault="007D33CA" w:rsidP="005F1362">
          <w:pPr>
            <w:ind w:right="34"/>
            <w:jc w:val="right"/>
            <w:rPr>
              <w:rFonts w:ascii="Palatino Linotype" w:hAnsi="Palatino Linotype"/>
              <w:b/>
              <w:sz w:val="22"/>
              <w:szCs w:val="22"/>
            </w:rPr>
          </w:pPr>
        </w:p>
      </w:tc>
      <w:tc>
        <w:tcPr>
          <w:tcW w:w="3690" w:type="dxa"/>
          <w:vAlign w:val="center"/>
        </w:tcPr>
        <w:p w14:paraId="72B3B9F6" w14:textId="77777777" w:rsidR="007D33CA" w:rsidRDefault="007D33CA" w:rsidP="005F1362">
          <w:pPr>
            <w:pStyle w:val="Encabezado"/>
            <w:jc w:val="both"/>
            <w:rPr>
              <w:rFonts w:ascii="Palatino Linotype" w:hAnsi="Palatino Linotype"/>
              <w:b/>
              <w:sz w:val="22"/>
              <w:szCs w:val="22"/>
            </w:rPr>
          </w:pPr>
        </w:p>
      </w:tc>
    </w:tr>
    <w:tr w:rsidR="007D33CA" w:rsidRPr="00025127" w14:paraId="07F2896E" w14:textId="77777777" w:rsidTr="00FA0F09">
      <w:trPr>
        <w:trHeight w:val="138"/>
        <w:jc w:val="right"/>
      </w:trPr>
      <w:tc>
        <w:tcPr>
          <w:tcW w:w="3260" w:type="dxa"/>
          <w:vAlign w:val="center"/>
        </w:tcPr>
        <w:p w14:paraId="4A5B1974" w14:textId="0EA41F46" w:rsidR="007D33CA" w:rsidRPr="00025127" w:rsidRDefault="007D33CA" w:rsidP="00A65FA8">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41439D45" w:rsidR="007D33CA" w:rsidRPr="00025127" w:rsidRDefault="007D33CA" w:rsidP="005F1362">
          <w:pPr>
            <w:pStyle w:val="Encabezado"/>
            <w:jc w:val="both"/>
            <w:rPr>
              <w:rFonts w:ascii="Palatino Linotype" w:hAnsi="Palatino Linotype"/>
              <w:b/>
              <w:sz w:val="22"/>
              <w:szCs w:val="22"/>
            </w:rPr>
          </w:pPr>
          <w:r w:rsidRPr="002C6C20">
            <w:rPr>
              <w:rFonts w:ascii="Palatino Linotype" w:hAnsi="Palatino Linotype"/>
              <w:b/>
              <w:sz w:val="22"/>
              <w:szCs w:val="22"/>
            </w:rPr>
            <w:t>13227</w:t>
          </w:r>
          <w:r w:rsidRPr="00025127">
            <w:rPr>
              <w:rFonts w:ascii="Palatino Linotype" w:hAnsi="Palatino Linotype"/>
              <w:b/>
              <w:sz w:val="22"/>
              <w:szCs w:val="22"/>
            </w:rPr>
            <w:t>/INFOEM/IP/RR/</w:t>
          </w:r>
          <w:r>
            <w:rPr>
              <w:rFonts w:ascii="Palatino Linotype" w:hAnsi="Palatino Linotype"/>
              <w:b/>
              <w:sz w:val="22"/>
              <w:szCs w:val="22"/>
            </w:rPr>
            <w:t>2022</w:t>
          </w:r>
        </w:p>
      </w:tc>
    </w:tr>
    <w:tr w:rsidR="007D33CA" w:rsidRPr="00025127" w14:paraId="1B5D8690" w14:textId="77777777" w:rsidTr="00FA0F09">
      <w:trPr>
        <w:trHeight w:val="233"/>
        <w:jc w:val="right"/>
      </w:trPr>
      <w:tc>
        <w:tcPr>
          <w:tcW w:w="3260" w:type="dxa"/>
          <w:vAlign w:val="center"/>
        </w:tcPr>
        <w:p w14:paraId="3903F2C6" w14:textId="3104FFBA" w:rsidR="007D33CA" w:rsidRPr="00025127" w:rsidRDefault="007D33CA" w:rsidP="000F0E0D">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2A03AD60" w:rsidR="007D33CA" w:rsidRPr="00025127" w:rsidRDefault="007D33CA" w:rsidP="00E31E0B">
          <w:pPr>
            <w:pStyle w:val="Encabezado"/>
            <w:rPr>
              <w:rFonts w:ascii="Palatino Linotype" w:hAnsi="Palatino Linotype"/>
              <w:b/>
              <w:sz w:val="22"/>
              <w:szCs w:val="22"/>
            </w:rPr>
          </w:pPr>
          <w:r>
            <w:rPr>
              <w:rFonts w:ascii="Palatino Linotype" w:hAnsi="Palatino Linotype"/>
              <w:b/>
              <w:bCs/>
              <w:color w:val="000000"/>
              <w:sz w:val="22"/>
              <w:szCs w:val="22"/>
            </w:rPr>
            <w:t>Ayuntamiento de Coacalco de Berriozábal</w:t>
          </w:r>
        </w:p>
      </w:tc>
    </w:tr>
    <w:tr w:rsidR="007D33CA" w:rsidRPr="00025127" w14:paraId="095EB01B" w14:textId="77777777" w:rsidTr="00FA0F09">
      <w:trPr>
        <w:trHeight w:val="321"/>
        <w:jc w:val="right"/>
      </w:trPr>
      <w:tc>
        <w:tcPr>
          <w:tcW w:w="3260" w:type="dxa"/>
          <w:vAlign w:val="center"/>
        </w:tcPr>
        <w:p w14:paraId="6E000A51" w14:textId="7F6B59F2" w:rsidR="007D33CA" w:rsidRPr="00025127" w:rsidRDefault="007D33CA"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244AC3DB" w:rsidR="007D33CA" w:rsidRPr="00025127" w:rsidRDefault="007D33CA" w:rsidP="00472C41">
          <w:pPr>
            <w:pStyle w:val="Encabezado"/>
            <w:rPr>
              <w:rFonts w:ascii="Palatino Linotype" w:hAnsi="Palatino Linotype"/>
              <w:b/>
              <w:sz w:val="22"/>
              <w:szCs w:val="22"/>
            </w:rPr>
          </w:pPr>
          <w:r>
            <w:rPr>
              <w:rFonts w:ascii="Palatino Linotype" w:hAnsi="Palatino Linotype"/>
              <w:b/>
              <w:sz w:val="22"/>
              <w:szCs w:val="22"/>
            </w:rPr>
            <w:t>Sharon Cristina Morales Martínez</w:t>
          </w:r>
        </w:p>
      </w:tc>
    </w:tr>
  </w:tbl>
  <w:p w14:paraId="1096C1B8" w14:textId="2BA8EB40" w:rsidR="007D33CA" w:rsidRDefault="007D33CA" w:rsidP="00472C41">
    <w:pPr>
      <w:pStyle w:val="Encabezado"/>
    </w:pPr>
    <w:r>
      <w:rPr>
        <w:noProof/>
        <w:lang w:eastAsia="es-MX"/>
      </w:rPr>
      <w:drawing>
        <wp:anchor distT="0" distB="0" distL="114300" distR="114300" simplePos="0" relativeHeight="251657216" behindDoc="1" locked="0" layoutInCell="0" allowOverlap="1" wp14:anchorId="1A29E15A" wp14:editId="008297B4">
          <wp:simplePos x="0" y="0"/>
          <wp:positionH relativeFrom="page">
            <wp:posOffset>30480</wp:posOffset>
          </wp:positionH>
          <wp:positionV relativeFrom="page">
            <wp:posOffset>6019</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7D33CA" w:rsidRDefault="00F706D7"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7pt;margin-top:-130.15pt;width:663.5pt;height:12in;z-index:-251658240;mso-position-horizontal-relative:margin;mso-position-vertical-relative:margin" o:allowincell="f">
          <v:imagedata r:id="rId1" o:title="PHOTO-2020-08-13-10-14-39"/>
          <w10:wrap anchorx="margin" anchory="margin"/>
        </v:shape>
      </w:pict>
    </w:r>
    <w:r w:rsidR="007D33CA">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403"/>
    </w:tblGrid>
    <w:tr w:rsidR="007D33CA" w:rsidRPr="00025127" w14:paraId="0A3256F2" w14:textId="77777777" w:rsidTr="000F0E0D">
      <w:trPr>
        <w:trHeight w:val="138"/>
        <w:jc w:val="right"/>
      </w:trPr>
      <w:tc>
        <w:tcPr>
          <w:tcW w:w="3969" w:type="dxa"/>
          <w:vAlign w:val="center"/>
        </w:tcPr>
        <w:p w14:paraId="3D80769D" w14:textId="627CD6B4" w:rsidR="007D33CA" w:rsidRPr="00025127" w:rsidRDefault="007D33CA" w:rsidP="005F1362">
          <w:pPr>
            <w:jc w:val="right"/>
            <w:rPr>
              <w:rFonts w:ascii="Palatino Linotype" w:hAnsi="Palatino Linotype"/>
              <w:b/>
              <w:sz w:val="22"/>
              <w:szCs w:val="22"/>
            </w:rPr>
          </w:pPr>
          <w:r w:rsidRPr="00025127">
            <w:rPr>
              <w:rFonts w:ascii="Palatino Linotype" w:hAnsi="Palatino Linotype"/>
              <w:b/>
              <w:sz w:val="22"/>
              <w:szCs w:val="22"/>
            </w:rPr>
            <w:t>Recurs</w:t>
          </w:r>
          <w:r>
            <w:rPr>
              <w:rFonts w:ascii="Palatino Linotype" w:hAnsi="Palatino Linotype"/>
              <w:b/>
              <w:sz w:val="22"/>
              <w:szCs w:val="22"/>
            </w:rPr>
            <w:t>o d</w:t>
          </w:r>
          <w:r w:rsidRPr="00025127">
            <w:rPr>
              <w:rFonts w:ascii="Palatino Linotype" w:hAnsi="Palatino Linotype"/>
              <w:b/>
              <w:sz w:val="22"/>
              <w:szCs w:val="22"/>
            </w:rPr>
            <w:t>e Revisión:</w:t>
          </w:r>
        </w:p>
      </w:tc>
      <w:tc>
        <w:tcPr>
          <w:tcW w:w="3403" w:type="dxa"/>
          <w:vAlign w:val="center"/>
        </w:tcPr>
        <w:p w14:paraId="0453495E" w14:textId="23C77124" w:rsidR="007D33CA" w:rsidRPr="00025127" w:rsidRDefault="007D33CA" w:rsidP="005F1362">
          <w:pPr>
            <w:pStyle w:val="Encabezado"/>
            <w:rPr>
              <w:rFonts w:ascii="Palatino Linotype" w:hAnsi="Palatino Linotype"/>
              <w:b/>
              <w:sz w:val="22"/>
              <w:szCs w:val="22"/>
            </w:rPr>
          </w:pPr>
          <w:r>
            <w:rPr>
              <w:rFonts w:ascii="Palatino Linotype" w:hAnsi="Palatino Linotype"/>
              <w:b/>
              <w:sz w:val="22"/>
              <w:szCs w:val="22"/>
            </w:rPr>
            <w:t>13227</w:t>
          </w:r>
          <w:r w:rsidRPr="00025127">
            <w:rPr>
              <w:rFonts w:ascii="Palatino Linotype" w:hAnsi="Palatino Linotype"/>
              <w:b/>
              <w:sz w:val="22"/>
              <w:szCs w:val="22"/>
            </w:rPr>
            <w:t>/INFOEM/IP/RR/</w:t>
          </w:r>
          <w:r>
            <w:rPr>
              <w:rFonts w:ascii="Palatino Linotype" w:hAnsi="Palatino Linotype"/>
              <w:b/>
              <w:sz w:val="22"/>
              <w:szCs w:val="22"/>
            </w:rPr>
            <w:t>2022</w:t>
          </w:r>
        </w:p>
      </w:tc>
    </w:tr>
    <w:tr w:rsidR="007D33CA" w:rsidRPr="00025127" w14:paraId="128C8B3C" w14:textId="77777777" w:rsidTr="000F0E0D">
      <w:trPr>
        <w:trHeight w:val="233"/>
        <w:jc w:val="right"/>
      </w:trPr>
      <w:tc>
        <w:tcPr>
          <w:tcW w:w="3969" w:type="dxa"/>
          <w:vAlign w:val="center"/>
        </w:tcPr>
        <w:p w14:paraId="483E3371" w14:textId="5B17D366" w:rsidR="007D33CA" w:rsidRPr="00025127" w:rsidRDefault="007D33CA"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3" w:type="dxa"/>
        </w:tcPr>
        <w:p w14:paraId="1548525E" w14:textId="354C3B22" w:rsidR="007D33CA" w:rsidRPr="00025127" w:rsidRDefault="007D33CA" w:rsidP="0058757A">
          <w:pPr>
            <w:pStyle w:val="Encabezado"/>
            <w:rPr>
              <w:rFonts w:ascii="Palatino Linotype" w:hAnsi="Palatino Linotype"/>
              <w:b/>
              <w:sz w:val="22"/>
              <w:szCs w:val="22"/>
            </w:rPr>
          </w:pPr>
        </w:p>
      </w:tc>
    </w:tr>
    <w:tr w:rsidR="007D33CA" w:rsidRPr="00025127" w14:paraId="41BE0704" w14:textId="77777777" w:rsidTr="000F0E0D">
      <w:trPr>
        <w:trHeight w:val="321"/>
        <w:jc w:val="right"/>
      </w:trPr>
      <w:tc>
        <w:tcPr>
          <w:tcW w:w="3969" w:type="dxa"/>
          <w:vAlign w:val="center"/>
        </w:tcPr>
        <w:p w14:paraId="34C64148" w14:textId="2F504C6E" w:rsidR="007D33CA" w:rsidRPr="00025127" w:rsidRDefault="007D33CA"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3" w:type="dxa"/>
          <w:vAlign w:val="center"/>
        </w:tcPr>
        <w:p w14:paraId="34C341BF" w14:textId="6324C121" w:rsidR="007D33CA" w:rsidRPr="00025127" w:rsidRDefault="007D33CA" w:rsidP="00E31E0B">
          <w:pPr>
            <w:pStyle w:val="Encabezado"/>
            <w:rPr>
              <w:rFonts w:ascii="Palatino Linotype" w:hAnsi="Palatino Linotype"/>
              <w:b/>
              <w:sz w:val="22"/>
              <w:szCs w:val="22"/>
            </w:rPr>
          </w:pPr>
          <w:r>
            <w:rPr>
              <w:rFonts w:ascii="Palatino Linotype" w:hAnsi="Palatino Linotype"/>
              <w:b/>
              <w:bCs/>
              <w:color w:val="000000"/>
              <w:sz w:val="22"/>
              <w:szCs w:val="22"/>
            </w:rPr>
            <w:t>Ayuntamiento de Coacalco de Berriozábal</w:t>
          </w:r>
        </w:p>
      </w:tc>
    </w:tr>
    <w:tr w:rsidR="007D33CA" w:rsidRPr="00025127" w14:paraId="0C8B6193" w14:textId="77777777" w:rsidTr="000F0E0D">
      <w:trPr>
        <w:trHeight w:val="321"/>
        <w:jc w:val="right"/>
      </w:trPr>
      <w:tc>
        <w:tcPr>
          <w:tcW w:w="3969" w:type="dxa"/>
          <w:vAlign w:val="center"/>
        </w:tcPr>
        <w:p w14:paraId="321FFAFF" w14:textId="144B479F" w:rsidR="007D33CA" w:rsidRPr="00025127" w:rsidRDefault="007D33CA"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3" w:type="dxa"/>
          <w:vAlign w:val="center"/>
        </w:tcPr>
        <w:p w14:paraId="0FECDA9D" w14:textId="251B659E" w:rsidR="007D33CA" w:rsidRPr="00025127" w:rsidRDefault="007D33CA" w:rsidP="00B44F9F">
          <w:pPr>
            <w:pStyle w:val="Encabezado"/>
            <w:ind w:left="33"/>
            <w:rPr>
              <w:rFonts w:ascii="Palatino Linotype" w:hAnsi="Palatino Linotype"/>
              <w:b/>
              <w:sz w:val="22"/>
              <w:szCs w:val="22"/>
            </w:rPr>
          </w:pPr>
          <w:r>
            <w:rPr>
              <w:rFonts w:ascii="Palatino Linotype" w:hAnsi="Palatino Linotype"/>
              <w:b/>
              <w:sz w:val="22"/>
              <w:szCs w:val="22"/>
            </w:rPr>
            <w:t>Sharon Cristina Morales Martínez</w:t>
          </w:r>
        </w:p>
      </w:tc>
    </w:tr>
  </w:tbl>
  <w:p w14:paraId="156B5574" w14:textId="3EA5B995" w:rsidR="007D33CA" w:rsidRDefault="007D33C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287B79"/>
    <w:multiLevelType w:val="hybridMultilevel"/>
    <w:tmpl w:val="4FA4A12A"/>
    <w:lvl w:ilvl="0" w:tplc="080A0013">
      <w:start w:val="1"/>
      <w:numFmt w:val="upperRoman"/>
      <w:lvlText w:val="%1."/>
      <w:lvlJc w:val="right"/>
      <w:pPr>
        <w:ind w:left="1184" w:hanging="180"/>
      </w:pPr>
    </w:lvl>
    <w:lvl w:ilvl="1" w:tplc="080A0019" w:tentative="1">
      <w:start w:val="1"/>
      <w:numFmt w:val="lowerLetter"/>
      <w:lvlText w:val="%2."/>
      <w:lvlJc w:val="left"/>
      <w:pPr>
        <w:ind w:left="1904" w:hanging="360"/>
      </w:pPr>
    </w:lvl>
    <w:lvl w:ilvl="2" w:tplc="080A001B" w:tentative="1">
      <w:start w:val="1"/>
      <w:numFmt w:val="lowerRoman"/>
      <w:lvlText w:val="%3."/>
      <w:lvlJc w:val="right"/>
      <w:pPr>
        <w:ind w:left="2624" w:hanging="180"/>
      </w:pPr>
    </w:lvl>
    <w:lvl w:ilvl="3" w:tplc="080A000F" w:tentative="1">
      <w:start w:val="1"/>
      <w:numFmt w:val="decimal"/>
      <w:lvlText w:val="%4."/>
      <w:lvlJc w:val="left"/>
      <w:pPr>
        <w:ind w:left="3344" w:hanging="360"/>
      </w:pPr>
    </w:lvl>
    <w:lvl w:ilvl="4" w:tplc="080A0019" w:tentative="1">
      <w:start w:val="1"/>
      <w:numFmt w:val="lowerLetter"/>
      <w:lvlText w:val="%5."/>
      <w:lvlJc w:val="left"/>
      <w:pPr>
        <w:ind w:left="4064" w:hanging="360"/>
      </w:pPr>
    </w:lvl>
    <w:lvl w:ilvl="5" w:tplc="080A001B" w:tentative="1">
      <w:start w:val="1"/>
      <w:numFmt w:val="lowerRoman"/>
      <w:lvlText w:val="%6."/>
      <w:lvlJc w:val="right"/>
      <w:pPr>
        <w:ind w:left="4784" w:hanging="180"/>
      </w:pPr>
    </w:lvl>
    <w:lvl w:ilvl="6" w:tplc="080A000F" w:tentative="1">
      <w:start w:val="1"/>
      <w:numFmt w:val="decimal"/>
      <w:lvlText w:val="%7."/>
      <w:lvlJc w:val="left"/>
      <w:pPr>
        <w:ind w:left="5504" w:hanging="360"/>
      </w:pPr>
    </w:lvl>
    <w:lvl w:ilvl="7" w:tplc="080A0019" w:tentative="1">
      <w:start w:val="1"/>
      <w:numFmt w:val="lowerLetter"/>
      <w:lvlText w:val="%8."/>
      <w:lvlJc w:val="left"/>
      <w:pPr>
        <w:ind w:left="6224" w:hanging="360"/>
      </w:pPr>
    </w:lvl>
    <w:lvl w:ilvl="8" w:tplc="080A001B" w:tentative="1">
      <w:start w:val="1"/>
      <w:numFmt w:val="lowerRoman"/>
      <w:lvlText w:val="%9."/>
      <w:lvlJc w:val="right"/>
      <w:pPr>
        <w:ind w:left="6944" w:hanging="180"/>
      </w:pPr>
    </w:lvl>
  </w:abstractNum>
  <w:abstractNum w:abstractNumId="2" w15:restartNumberingAfterBreak="0">
    <w:nsid w:val="191A1E51"/>
    <w:multiLevelType w:val="hybridMultilevel"/>
    <w:tmpl w:val="5DA273F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D7072E"/>
    <w:multiLevelType w:val="hybridMultilevel"/>
    <w:tmpl w:val="7F102C8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359ABD00">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B93C8E"/>
    <w:multiLevelType w:val="hybridMultilevel"/>
    <w:tmpl w:val="82740B4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37F02BED"/>
    <w:multiLevelType w:val="hybridMultilevel"/>
    <w:tmpl w:val="76424F7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98E2E34"/>
    <w:multiLevelType w:val="hybridMultilevel"/>
    <w:tmpl w:val="80A6C858"/>
    <w:lvl w:ilvl="0" w:tplc="359ABD00">
      <w:start w:val="1"/>
      <w:numFmt w:val="lowerLetter"/>
      <w:lvlText w:val="%1)"/>
      <w:lvlJc w:val="left"/>
      <w:pPr>
        <w:ind w:left="2340" w:hanging="360"/>
      </w:pPr>
      <w:rPr>
        <w:rFonts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2C0F3F"/>
    <w:multiLevelType w:val="hybridMultilevel"/>
    <w:tmpl w:val="3E2C749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15:restartNumberingAfterBreak="0">
    <w:nsid w:val="5B050F1D"/>
    <w:multiLevelType w:val="hybridMultilevel"/>
    <w:tmpl w:val="170447CA"/>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4EA248A"/>
    <w:multiLevelType w:val="hybridMultilevel"/>
    <w:tmpl w:val="15FCE5F2"/>
    <w:lvl w:ilvl="0" w:tplc="080A0013">
      <w:start w:val="1"/>
      <w:numFmt w:val="upperRoman"/>
      <w:lvlText w:val="%1."/>
      <w:lvlJc w:val="right"/>
      <w:pPr>
        <w:ind w:left="644" w:hanging="360"/>
      </w:pPr>
      <w:rPr>
        <w:rFonts w:hint="default"/>
        <w:b/>
        <w:bCs/>
      </w:rPr>
    </w:lvl>
    <w:lvl w:ilvl="1" w:tplc="1458D568">
      <w:start w:val="1"/>
      <w:numFmt w:val="lowerLetter"/>
      <w:lvlText w:val="%2)"/>
      <w:lvlJc w:val="left"/>
      <w:pPr>
        <w:ind w:left="1364" w:hanging="360"/>
      </w:pPr>
      <w:rPr>
        <w:rFonts w:hint="default"/>
        <w:b/>
        <w:bCs/>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0" w15:restartNumberingAfterBreak="0">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795EEB"/>
    <w:multiLevelType w:val="hybridMultilevel"/>
    <w:tmpl w:val="7804B722"/>
    <w:lvl w:ilvl="0" w:tplc="FAA8B6DC">
      <w:start w:val="1"/>
      <w:numFmt w:val="ordinalText"/>
      <w:lvlText w:val="%1."/>
      <w:lvlJc w:val="left"/>
      <w:pPr>
        <w:ind w:left="2062" w:hanging="360"/>
      </w:pPr>
      <w:rPr>
        <w:b/>
        <w:caps/>
        <w:sz w:val="28"/>
      </w:rPr>
    </w:lvl>
    <w:lvl w:ilvl="1" w:tplc="16B6B4A4">
      <w:start w:val="1"/>
      <w:numFmt w:val="decimal"/>
      <w:lvlText w:val="%2)"/>
      <w:lvlJc w:val="left"/>
      <w:pPr>
        <w:ind w:left="1582" w:hanging="360"/>
      </w:pPr>
    </w:lvl>
    <w:lvl w:ilvl="2" w:tplc="080A001B">
      <w:start w:val="1"/>
      <w:numFmt w:val="lowerRoman"/>
      <w:lvlText w:val="%3."/>
      <w:lvlJc w:val="right"/>
      <w:pPr>
        <w:ind w:left="2302" w:hanging="180"/>
      </w:pPr>
    </w:lvl>
    <w:lvl w:ilvl="3" w:tplc="080A000F">
      <w:start w:val="1"/>
      <w:numFmt w:val="decimal"/>
      <w:lvlText w:val="%4."/>
      <w:lvlJc w:val="left"/>
      <w:pPr>
        <w:ind w:left="3022" w:hanging="360"/>
      </w:pPr>
    </w:lvl>
    <w:lvl w:ilvl="4" w:tplc="080A0019">
      <w:start w:val="1"/>
      <w:numFmt w:val="lowerLetter"/>
      <w:lvlText w:val="%5."/>
      <w:lvlJc w:val="left"/>
      <w:pPr>
        <w:ind w:left="3742" w:hanging="360"/>
      </w:pPr>
    </w:lvl>
    <w:lvl w:ilvl="5" w:tplc="080A001B">
      <w:start w:val="1"/>
      <w:numFmt w:val="lowerRoman"/>
      <w:lvlText w:val="%6."/>
      <w:lvlJc w:val="right"/>
      <w:pPr>
        <w:ind w:left="4462" w:hanging="180"/>
      </w:pPr>
    </w:lvl>
    <w:lvl w:ilvl="6" w:tplc="080A000F">
      <w:start w:val="1"/>
      <w:numFmt w:val="decimal"/>
      <w:lvlText w:val="%7."/>
      <w:lvlJc w:val="left"/>
      <w:pPr>
        <w:ind w:left="5182" w:hanging="360"/>
      </w:pPr>
    </w:lvl>
    <w:lvl w:ilvl="7" w:tplc="080A0019">
      <w:start w:val="1"/>
      <w:numFmt w:val="lowerLetter"/>
      <w:lvlText w:val="%8."/>
      <w:lvlJc w:val="left"/>
      <w:pPr>
        <w:ind w:left="5902" w:hanging="360"/>
      </w:pPr>
    </w:lvl>
    <w:lvl w:ilvl="8" w:tplc="080A001B">
      <w:start w:val="1"/>
      <w:numFmt w:val="lowerRoman"/>
      <w:lvlText w:val="%9."/>
      <w:lvlJc w:val="right"/>
      <w:pPr>
        <w:ind w:left="6622" w:hanging="180"/>
      </w:pPr>
    </w:lvl>
  </w:abstractNum>
  <w:num w:numId="1" w16cid:durableId="330985675">
    <w:abstractNumId w:val="6"/>
  </w:num>
  <w:num w:numId="2" w16cid:durableId="1467963886">
    <w:abstractNumId w:val="15"/>
  </w:num>
  <w:num w:numId="3" w16cid:durableId="1747722913">
    <w:abstractNumId w:val="0"/>
  </w:num>
  <w:num w:numId="4" w16cid:durableId="906766751">
    <w:abstractNumId w:val="10"/>
  </w:num>
  <w:num w:numId="5" w16cid:durableId="1699160426">
    <w:abstractNumId w:val="17"/>
  </w:num>
  <w:num w:numId="6" w16cid:durableId="995260566">
    <w:abstractNumId w:val="18"/>
  </w:num>
  <w:num w:numId="7" w16cid:durableId="1908955423">
    <w:abstractNumId w:val="13"/>
  </w:num>
  <w:num w:numId="8" w16cid:durableId="1383481471">
    <w:abstractNumId w:val="20"/>
  </w:num>
  <w:num w:numId="9" w16cid:durableId="449781933">
    <w:abstractNumId w:val="11"/>
  </w:num>
  <w:num w:numId="10" w16cid:durableId="366300610">
    <w:abstractNumId w:val="12"/>
  </w:num>
  <w:num w:numId="11" w16cid:durableId="554052785">
    <w:abstractNumId w:val="4"/>
  </w:num>
  <w:num w:numId="12" w16cid:durableId="1988510355">
    <w:abstractNumId w:val="19"/>
  </w:num>
  <w:num w:numId="13" w16cid:durableId="1396203841">
    <w:abstractNumId w:val="14"/>
  </w:num>
  <w:num w:numId="14" w16cid:durableId="1385174709">
    <w:abstractNumId w:val="3"/>
  </w:num>
  <w:num w:numId="15" w16cid:durableId="1747338463">
    <w:abstractNumId w:val="16"/>
  </w:num>
  <w:num w:numId="16" w16cid:durableId="2047287548">
    <w:abstractNumId w:val="2"/>
  </w:num>
  <w:num w:numId="17" w16cid:durableId="200367245">
    <w:abstractNumId w:val="5"/>
  </w:num>
  <w:num w:numId="18" w16cid:durableId="1936396802">
    <w:abstractNumId w:val="7"/>
  </w:num>
  <w:num w:numId="19" w16cid:durableId="15085908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6200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6800181">
    <w:abstractNumId w:val="1"/>
  </w:num>
  <w:num w:numId="22" w16cid:durableId="1349596505">
    <w:abstractNumId w:val="9"/>
  </w:num>
  <w:num w:numId="23" w16cid:durableId="18105882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1265"/>
    <w:rsid w:val="0000310F"/>
    <w:rsid w:val="0000381E"/>
    <w:rsid w:val="00003A05"/>
    <w:rsid w:val="0000407F"/>
    <w:rsid w:val="000058E3"/>
    <w:rsid w:val="00005C2B"/>
    <w:rsid w:val="0000797D"/>
    <w:rsid w:val="00007E8A"/>
    <w:rsid w:val="000100D7"/>
    <w:rsid w:val="0001106B"/>
    <w:rsid w:val="00011B17"/>
    <w:rsid w:val="00012472"/>
    <w:rsid w:val="0001398B"/>
    <w:rsid w:val="000160F8"/>
    <w:rsid w:val="000203D3"/>
    <w:rsid w:val="000204A6"/>
    <w:rsid w:val="000211F8"/>
    <w:rsid w:val="0002146F"/>
    <w:rsid w:val="00022D89"/>
    <w:rsid w:val="000236A3"/>
    <w:rsid w:val="00024F35"/>
    <w:rsid w:val="00025127"/>
    <w:rsid w:val="00025266"/>
    <w:rsid w:val="00026ACC"/>
    <w:rsid w:val="0003063D"/>
    <w:rsid w:val="00031D37"/>
    <w:rsid w:val="00031F10"/>
    <w:rsid w:val="00031F98"/>
    <w:rsid w:val="00032493"/>
    <w:rsid w:val="0004072A"/>
    <w:rsid w:val="0004193F"/>
    <w:rsid w:val="00042380"/>
    <w:rsid w:val="0004277C"/>
    <w:rsid w:val="00044DB9"/>
    <w:rsid w:val="0004686A"/>
    <w:rsid w:val="000468E2"/>
    <w:rsid w:val="00046CEE"/>
    <w:rsid w:val="000478BA"/>
    <w:rsid w:val="0005105B"/>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1543"/>
    <w:rsid w:val="0007221E"/>
    <w:rsid w:val="00074573"/>
    <w:rsid w:val="000800AC"/>
    <w:rsid w:val="00080B7D"/>
    <w:rsid w:val="0008230A"/>
    <w:rsid w:val="00082D11"/>
    <w:rsid w:val="00082E28"/>
    <w:rsid w:val="000834FE"/>
    <w:rsid w:val="0008465D"/>
    <w:rsid w:val="00084E31"/>
    <w:rsid w:val="0008542A"/>
    <w:rsid w:val="00087CFE"/>
    <w:rsid w:val="00090D6F"/>
    <w:rsid w:val="00091C2C"/>
    <w:rsid w:val="00093FB4"/>
    <w:rsid w:val="00093FC7"/>
    <w:rsid w:val="000953E2"/>
    <w:rsid w:val="00095BB9"/>
    <w:rsid w:val="0009663D"/>
    <w:rsid w:val="000A26B8"/>
    <w:rsid w:val="000A3F90"/>
    <w:rsid w:val="000A4554"/>
    <w:rsid w:val="000A45FD"/>
    <w:rsid w:val="000A4E44"/>
    <w:rsid w:val="000A556A"/>
    <w:rsid w:val="000A77ED"/>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0E0D"/>
    <w:rsid w:val="000F14EB"/>
    <w:rsid w:val="000F1731"/>
    <w:rsid w:val="000F1B9F"/>
    <w:rsid w:val="000F2739"/>
    <w:rsid w:val="000F2EDD"/>
    <w:rsid w:val="000F3457"/>
    <w:rsid w:val="000F37A8"/>
    <w:rsid w:val="000F55C1"/>
    <w:rsid w:val="000F6BFE"/>
    <w:rsid w:val="000F6D7E"/>
    <w:rsid w:val="00100187"/>
    <w:rsid w:val="00100C6D"/>
    <w:rsid w:val="00100DDD"/>
    <w:rsid w:val="00102D65"/>
    <w:rsid w:val="00103662"/>
    <w:rsid w:val="0010388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16B2"/>
    <w:rsid w:val="0015233C"/>
    <w:rsid w:val="00152F19"/>
    <w:rsid w:val="001534BC"/>
    <w:rsid w:val="00153833"/>
    <w:rsid w:val="00153FA4"/>
    <w:rsid w:val="00154175"/>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67813"/>
    <w:rsid w:val="0017273C"/>
    <w:rsid w:val="001732E3"/>
    <w:rsid w:val="00174E02"/>
    <w:rsid w:val="0017653A"/>
    <w:rsid w:val="001775DF"/>
    <w:rsid w:val="00185460"/>
    <w:rsid w:val="001862A3"/>
    <w:rsid w:val="00186F78"/>
    <w:rsid w:val="00192E4B"/>
    <w:rsid w:val="00194D62"/>
    <w:rsid w:val="001957B4"/>
    <w:rsid w:val="00196407"/>
    <w:rsid w:val="00197091"/>
    <w:rsid w:val="001972CC"/>
    <w:rsid w:val="001A032D"/>
    <w:rsid w:val="001A125E"/>
    <w:rsid w:val="001A138D"/>
    <w:rsid w:val="001A2857"/>
    <w:rsid w:val="001A2A89"/>
    <w:rsid w:val="001A2C62"/>
    <w:rsid w:val="001A3634"/>
    <w:rsid w:val="001A4D5D"/>
    <w:rsid w:val="001A5150"/>
    <w:rsid w:val="001A58B9"/>
    <w:rsid w:val="001A61E1"/>
    <w:rsid w:val="001A6C1E"/>
    <w:rsid w:val="001A7A87"/>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3F9"/>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5A14"/>
    <w:rsid w:val="001F783F"/>
    <w:rsid w:val="001F7AFD"/>
    <w:rsid w:val="001F7DE2"/>
    <w:rsid w:val="002001BE"/>
    <w:rsid w:val="002031F3"/>
    <w:rsid w:val="00204FF8"/>
    <w:rsid w:val="002058A7"/>
    <w:rsid w:val="00205A1A"/>
    <w:rsid w:val="00207665"/>
    <w:rsid w:val="00211229"/>
    <w:rsid w:val="00211E8C"/>
    <w:rsid w:val="00212C9C"/>
    <w:rsid w:val="00212FCA"/>
    <w:rsid w:val="00213108"/>
    <w:rsid w:val="0021453E"/>
    <w:rsid w:val="0021475E"/>
    <w:rsid w:val="00216B8B"/>
    <w:rsid w:val="002179AC"/>
    <w:rsid w:val="00220ADB"/>
    <w:rsid w:val="002217BA"/>
    <w:rsid w:val="00221E74"/>
    <w:rsid w:val="00223507"/>
    <w:rsid w:val="00223ACC"/>
    <w:rsid w:val="0022448D"/>
    <w:rsid w:val="002275DE"/>
    <w:rsid w:val="00230170"/>
    <w:rsid w:val="002305CF"/>
    <w:rsid w:val="00233E08"/>
    <w:rsid w:val="002345FF"/>
    <w:rsid w:val="00237611"/>
    <w:rsid w:val="002408D7"/>
    <w:rsid w:val="00241089"/>
    <w:rsid w:val="00241A2F"/>
    <w:rsid w:val="002426EA"/>
    <w:rsid w:val="00244476"/>
    <w:rsid w:val="002457CF"/>
    <w:rsid w:val="002507D8"/>
    <w:rsid w:val="00252A20"/>
    <w:rsid w:val="00252B41"/>
    <w:rsid w:val="0025524F"/>
    <w:rsid w:val="002568FB"/>
    <w:rsid w:val="00257E5F"/>
    <w:rsid w:val="00260C1D"/>
    <w:rsid w:val="00261001"/>
    <w:rsid w:val="00261A42"/>
    <w:rsid w:val="00261D84"/>
    <w:rsid w:val="002629A6"/>
    <w:rsid w:val="002630E4"/>
    <w:rsid w:val="00263F23"/>
    <w:rsid w:val="00264D02"/>
    <w:rsid w:val="0026500D"/>
    <w:rsid w:val="00265CD7"/>
    <w:rsid w:val="00266588"/>
    <w:rsid w:val="002665BD"/>
    <w:rsid w:val="00271B06"/>
    <w:rsid w:val="00272FEC"/>
    <w:rsid w:val="00273013"/>
    <w:rsid w:val="00273C37"/>
    <w:rsid w:val="00273D1A"/>
    <w:rsid w:val="0027430D"/>
    <w:rsid w:val="002746D9"/>
    <w:rsid w:val="00274ED2"/>
    <w:rsid w:val="002765F2"/>
    <w:rsid w:val="00277A35"/>
    <w:rsid w:val="00280994"/>
    <w:rsid w:val="00280E3F"/>
    <w:rsid w:val="00280F05"/>
    <w:rsid w:val="0028248C"/>
    <w:rsid w:val="00283BE0"/>
    <w:rsid w:val="00286DDB"/>
    <w:rsid w:val="002871EB"/>
    <w:rsid w:val="002948C4"/>
    <w:rsid w:val="00295A91"/>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37CE"/>
    <w:rsid w:val="002B4D21"/>
    <w:rsid w:val="002C0074"/>
    <w:rsid w:val="002C0159"/>
    <w:rsid w:val="002C0804"/>
    <w:rsid w:val="002C0DC5"/>
    <w:rsid w:val="002C1007"/>
    <w:rsid w:val="002C2D44"/>
    <w:rsid w:val="002C4715"/>
    <w:rsid w:val="002C4780"/>
    <w:rsid w:val="002C47ED"/>
    <w:rsid w:val="002C484A"/>
    <w:rsid w:val="002C570D"/>
    <w:rsid w:val="002C6561"/>
    <w:rsid w:val="002C6C20"/>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6B1"/>
    <w:rsid w:val="0030794F"/>
    <w:rsid w:val="00307DBB"/>
    <w:rsid w:val="003105D0"/>
    <w:rsid w:val="003105D6"/>
    <w:rsid w:val="003106F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42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5DF5"/>
    <w:rsid w:val="0035606B"/>
    <w:rsid w:val="0036073F"/>
    <w:rsid w:val="003615A3"/>
    <w:rsid w:val="003629EE"/>
    <w:rsid w:val="003637E8"/>
    <w:rsid w:val="003643B3"/>
    <w:rsid w:val="003708DD"/>
    <w:rsid w:val="00370B8E"/>
    <w:rsid w:val="00370BB1"/>
    <w:rsid w:val="003721B2"/>
    <w:rsid w:val="00372328"/>
    <w:rsid w:val="00374CE8"/>
    <w:rsid w:val="003762FD"/>
    <w:rsid w:val="00376FD2"/>
    <w:rsid w:val="00377278"/>
    <w:rsid w:val="0038132B"/>
    <w:rsid w:val="00383E66"/>
    <w:rsid w:val="003849BE"/>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3E9"/>
    <w:rsid w:val="00400E76"/>
    <w:rsid w:val="0040137F"/>
    <w:rsid w:val="00402179"/>
    <w:rsid w:val="0040278D"/>
    <w:rsid w:val="00403249"/>
    <w:rsid w:val="004078C8"/>
    <w:rsid w:val="004102DE"/>
    <w:rsid w:val="00412696"/>
    <w:rsid w:val="00412E24"/>
    <w:rsid w:val="004147B1"/>
    <w:rsid w:val="00416727"/>
    <w:rsid w:val="00416B8C"/>
    <w:rsid w:val="0042068A"/>
    <w:rsid w:val="0042267F"/>
    <w:rsid w:val="0042437A"/>
    <w:rsid w:val="00424992"/>
    <w:rsid w:val="00424E72"/>
    <w:rsid w:val="00425ED5"/>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66586"/>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0BE7"/>
    <w:rsid w:val="00491051"/>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15C4"/>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3D21"/>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109E"/>
    <w:rsid w:val="00542797"/>
    <w:rsid w:val="00542B3A"/>
    <w:rsid w:val="00544ADC"/>
    <w:rsid w:val="00544B9C"/>
    <w:rsid w:val="00544E13"/>
    <w:rsid w:val="00544EC9"/>
    <w:rsid w:val="00545B93"/>
    <w:rsid w:val="00546FBD"/>
    <w:rsid w:val="005472CD"/>
    <w:rsid w:val="0055159A"/>
    <w:rsid w:val="005516E0"/>
    <w:rsid w:val="00551A9B"/>
    <w:rsid w:val="005520BF"/>
    <w:rsid w:val="00552213"/>
    <w:rsid w:val="005526F4"/>
    <w:rsid w:val="00555354"/>
    <w:rsid w:val="0055544F"/>
    <w:rsid w:val="00556B04"/>
    <w:rsid w:val="00556F72"/>
    <w:rsid w:val="00556F82"/>
    <w:rsid w:val="00560C00"/>
    <w:rsid w:val="00561ED1"/>
    <w:rsid w:val="00562B0A"/>
    <w:rsid w:val="00562CCE"/>
    <w:rsid w:val="00563FC3"/>
    <w:rsid w:val="0056555A"/>
    <w:rsid w:val="005669D6"/>
    <w:rsid w:val="0056788F"/>
    <w:rsid w:val="00567998"/>
    <w:rsid w:val="00573BC6"/>
    <w:rsid w:val="00573C89"/>
    <w:rsid w:val="005759CD"/>
    <w:rsid w:val="00575D39"/>
    <w:rsid w:val="00575F2C"/>
    <w:rsid w:val="00577884"/>
    <w:rsid w:val="00581C0F"/>
    <w:rsid w:val="00582919"/>
    <w:rsid w:val="00583351"/>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55F2"/>
    <w:rsid w:val="005E6817"/>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07B9A"/>
    <w:rsid w:val="00611DC1"/>
    <w:rsid w:val="00612E64"/>
    <w:rsid w:val="00613655"/>
    <w:rsid w:val="006144EE"/>
    <w:rsid w:val="00617125"/>
    <w:rsid w:val="00617813"/>
    <w:rsid w:val="006206CC"/>
    <w:rsid w:val="00622B06"/>
    <w:rsid w:val="00624425"/>
    <w:rsid w:val="006257C2"/>
    <w:rsid w:val="00625B2B"/>
    <w:rsid w:val="00627163"/>
    <w:rsid w:val="0063034E"/>
    <w:rsid w:val="00632C7F"/>
    <w:rsid w:val="00632E24"/>
    <w:rsid w:val="00634476"/>
    <w:rsid w:val="00637475"/>
    <w:rsid w:val="0064393B"/>
    <w:rsid w:val="006439A1"/>
    <w:rsid w:val="00644375"/>
    <w:rsid w:val="00644A5C"/>
    <w:rsid w:val="00645F79"/>
    <w:rsid w:val="00646A08"/>
    <w:rsid w:val="00650392"/>
    <w:rsid w:val="0065061D"/>
    <w:rsid w:val="00651701"/>
    <w:rsid w:val="00655146"/>
    <w:rsid w:val="0065715E"/>
    <w:rsid w:val="00657670"/>
    <w:rsid w:val="00657DBF"/>
    <w:rsid w:val="00657DE0"/>
    <w:rsid w:val="00662C69"/>
    <w:rsid w:val="006633C0"/>
    <w:rsid w:val="00663470"/>
    <w:rsid w:val="00663CC7"/>
    <w:rsid w:val="0066458B"/>
    <w:rsid w:val="006646C6"/>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1791"/>
    <w:rsid w:val="006E21C6"/>
    <w:rsid w:val="006E2564"/>
    <w:rsid w:val="006E3A2A"/>
    <w:rsid w:val="006E3C4C"/>
    <w:rsid w:val="006E4BD4"/>
    <w:rsid w:val="006E4E2A"/>
    <w:rsid w:val="006E5950"/>
    <w:rsid w:val="006E65C0"/>
    <w:rsid w:val="006E6B65"/>
    <w:rsid w:val="006E6C14"/>
    <w:rsid w:val="006E7CC5"/>
    <w:rsid w:val="006F1E31"/>
    <w:rsid w:val="006F2C12"/>
    <w:rsid w:val="006F2F92"/>
    <w:rsid w:val="006F3266"/>
    <w:rsid w:val="006F40FD"/>
    <w:rsid w:val="006F51AA"/>
    <w:rsid w:val="006F69E5"/>
    <w:rsid w:val="007050B1"/>
    <w:rsid w:val="00705527"/>
    <w:rsid w:val="00705CFC"/>
    <w:rsid w:val="00706D43"/>
    <w:rsid w:val="00707096"/>
    <w:rsid w:val="007076C5"/>
    <w:rsid w:val="00707912"/>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4E29"/>
    <w:rsid w:val="0074573F"/>
    <w:rsid w:val="0074628D"/>
    <w:rsid w:val="007473D2"/>
    <w:rsid w:val="007479C2"/>
    <w:rsid w:val="00750A80"/>
    <w:rsid w:val="00751061"/>
    <w:rsid w:val="0075151E"/>
    <w:rsid w:val="00752573"/>
    <w:rsid w:val="0075265E"/>
    <w:rsid w:val="0075440D"/>
    <w:rsid w:val="00754EF8"/>
    <w:rsid w:val="00755369"/>
    <w:rsid w:val="0075604A"/>
    <w:rsid w:val="0075650E"/>
    <w:rsid w:val="0075728A"/>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598"/>
    <w:rsid w:val="007758D3"/>
    <w:rsid w:val="00775D67"/>
    <w:rsid w:val="00776C78"/>
    <w:rsid w:val="0078079A"/>
    <w:rsid w:val="007820F2"/>
    <w:rsid w:val="0078249C"/>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26D2"/>
    <w:rsid w:val="007D2922"/>
    <w:rsid w:val="007D33CA"/>
    <w:rsid w:val="007D3FBD"/>
    <w:rsid w:val="007D49A0"/>
    <w:rsid w:val="007D586E"/>
    <w:rsid w:val="007D7EF3"/>
    <w:rsid w:val="007E0553"/>
    <w:rsid w:val="007E5125"/>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187E"/>
    <w:rsid w:val="00802BFE"/>
    <w:rsid w:val="00803827"/>
    <w:rsid w:val="0080391F"/>
    <w:rsid w:val="008039C2"/>
    <w:rsid w:val="008046E4"/>
    <w:rsid w:val="00804992"/>
    <w:rsid w:val="008055FF"/>
    <w:rsid w:val="00806782"/>
    <w:rsid w:val="00810302"/>
    <w:rsid w:val="0081094B"/>
    <w:rsid w:val="00810F94"/>
    <w:rsid w:val="008118AF"/>
    <w:rsid w:val="00814A17"/>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0AEA"/>
    <w:rsid w:val="00842534"/>
    <w:rsid w:val="00843153"/>
    <w:rsid w:val="008433C1"/>
    <w:rsid w:val="00843908"/>
    <w:rsid w:val="008443E1"/>
    <w:rsid w:val="00845D12"/>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57AE5"/>
    <w:rsid w:val="00860A1E"/>
    <w:rsid w:val="00861622"/>
    <w:rsid w:val="00863125"/>
    <w:rsid w:val="008662C0"/>
    <w:rsid w:val="0087030B"/>
    <w:rsid w:val="008705E1"/>
    <w:rsid w:val="0087153F"/>
    <w:rsid w:val="00872938"/>
    <w:rsid w:val="00873ABF"/>
    <w:rsid w:val="00874321"/>
    <w:rsid w:val="0087459A"/>
    <w:rsid w:val="00875167"/>
    <w:rsid w:val="00875A88"/>
    <w:rsid w:val="00875DF8"/>
    <w:rsid w:val="008765E3"/>
    <w:rsid w:val="00876DCE"/>
    <w:rsid w:val="00876FBF"/>
    <w:rsid w:val="00880132"/>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AD4"/>
    <w:rsid w:val="00897752"/>
    <w:rsid w:val="008A098D"/>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0A7"/>
    <w:rsid w:val="008E3E12"/>
    <w:rsid w:val="008E4DCD"/>
    <w:rsid w:val="008E5767"/>
    <w:rsid w:val="008E580D"/>
    <w:rsid w:val="008F12E6"/>
    <w:rsid w:val="008F1558"/>
    <w:rsid w:val="008F2B44"/>
    <w:rsid w:val="008F4E0F"/>
    <w:rsid w:val="008F5927"/>
    <w:rsid w:val="008F5F96"/>
    <w:rsid w:val="008F7752"/>
    <w:rsid w:val="0090174A"/>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16C14"/>
    <w:rsid w:val="009210C9"/>
    <w:rsid w:val="00921375"/>
    <w:rsid w:val="00925C68"/>
    <w:rsid w:val="009270E6"/>
    <w:rsid w:val="00927DE1"/>
    <w:rsid w:val="009315B0"/>
    <w:rsid w:val="009316E9"/>
    <w:rsid w:val="00931C93"/>
    <w:rsid w:val="00931EE2"/>
    <w:rsid w:val="00931FD8"/>
    <w:rsid w:val="0093282F"/>
    <w:rsid w:val="0093416D"/>
    <w:rsid w:val="0093652D"/>
    <w:rsid w:val="00937309"/>
    <w:rsid w:val="00937D66"/>
    <w:rsid w:val="0094065A"/>
    <w:rsid w:val="00940FE2"/>
    <w:rsid w:val="009421FB"/>
    <w:rsid w:val="00943E62"/>
    <w:rsid w:val="00945A61"/>
    <w:rsid w:val="00950154"/>
    <w:rsid w:val="00950C6E"/>
    <w:rsid w:val="00951ECA"/>
    <w:rsid w:val="009523B7"/>
    <w:rsid w:val="00953054"/>
    <w:rsid w:val="009531D6"/>
    <w:rsid w:val="00953610"/>
    <w:rsid w:val="0095382C"/>
    <w:rsid w:val="00953B03"/>
    <w:rsid w:val="009548C1"/>
    <w:rsid w:val="00956219"/>
    <w:rsid w:val="009563A5"/>
    <w:rsid w:val="00956868"/>
    <w:rsid w:val="0095723E"/>
    <w:rsid w:val="009572EE"/>
    <w:rsid w:val="00957400"/>
    <w:rsid w:val="0095765F"/>
    <w:rsid w:val="009606E6"/>
    <w:rsid w:val="009609D2"/>
    <w:rsid w:val="00960CFA"/>
    <w:rsid w:val="00961230"/>
    <w:rsid w:val="0096161F"/>
    <w:rsid w:val="0096234B"/>
    <w:rsid w:val="00962F40"/>
    <w:rsid w:val="00963968"/>
    <w:rsid w:val="009670E9"/>
    <w:rsid w:val="00970F70"/>
    <w:rsid w:val="00971056"/>
    <w:rsid w:val="0097210F"/>
    <w:rsid w:val="0097252B"/>
    <w:rsid w:val="00972668"/>
    <w:rsid w:val="009727B4"/>
    <w:rsid w:val="00972C36"/>
    <w:rsid w:val="00972DF8"/>
    <w:rsid w:val="009750AA"/>
    <w:rsid w:val="00976CCD"/>
    <w:rsid w:val="00977D37"/>
    <w:rsid w:val="009813EA"/>
    <w:rsid w:val="009830D3"/>
    <w:rsid w:val="00983B8F"/>
    <w:rsid w:val="009849BB"/>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940"/>
    <w:rsid w:val="009C0950"/>
    <w:rsid w:val="009C1D99"/>
    <w:rsid w:val="009C1F8B"/>
    <w:rsid w:val="009C20A8"/>
    <w:rsid w:val="009C4817"/>
    <w:rsid w:val="009C5057"/>
    <w:rsid w:val="009D1378"/>
    <w:rsid w:val="009D1780"/>
    <w:rsid w:val="009D2384"/>
    <w:rsid w:val="009D3240"/>
    <w:rsid w:val="009D3A6E"/>
    <w:rsid w:val="009D61D9"/>
    <w:rsid w:val="009D624D"/>
    <w:rsid w:val="009D6AD5"/>
    <w:rsid w:val="009E0AB4"/>
    <w:rsid w:val="009E10C7"/>
    <w:rsid w:val="009E353D"/>
    <w:rsid w:val="009E360A"/>
    <w:rsid w:val="009E38A4"/>
    <w:rsid w:val="009E3D82"/>
    <w:rsid w:val="009E4942"/>
    <w:rsid w:val="009E6E48"/>
    <w:rsid w:val="009F0B67"/>
    <w:rsid w:val="009F1566"/>
    <w:rsid w:val="009F1E4B"/>
    <w:rsid w:val="009F307E"/>
    <w:rsid w:val="009F37D5"/>
    <w:rsid w:val="009F50DE"/>
    <w:rsid w:val="009F5F3E"/>
    <w:rsid w:val="009F6D34"/>
    <w:rsid w:val="009F74A2"/>
    <w:rsid w:val="009F7BB0"/>
    <w:rsid w:val="00A0179F"/>
    <w:rsid w:val="00A01B7D"/>
    <w:rsid w:val="00A036C5"/>
    <w:rsid w:val="00A03AD2"/>
    <w:rsid w:val="00A05DA0"/>
    <w:rsid w:val="00A073A0"/>
    <w:rsid w:val="00A07B69"/>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1BF8"/>
    <w:rsid w:val="00A3276A"/>
    <w:rsid w:val="00A349D2"/>
    <w:rsid w:val="00A34C05"/>
    <w:rsid w:val="00A35492"/>
    <w:rsid w:val="00A35D56"/>
    <w:rsid w:val="00A36C8B"/>
    <w:rsid w:val="00A4044E"/>
    <w:rsid w:val="00A4095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6C22"/>
    <w:rsid w:val="00A57128"/>
    <w:rsid w:val="00A572BC"/>
    <w:rsid w:val="00A5734E"/>
    <w:rsid w:val="00A57A82"/>
    <w:rsid w:val="00A62B7B"/>
    <w:rsid w:val="00A65FA8"/>
    <w:rsid w:val="00A66AE9"/>
    <w:rsid w:val="00A67428"/>
    <w:rsid w:val="00A70CF3"/>
    <w:rsid w:val="00A7155E"/>
    <w:rsid w:val="00A74EDE"/>
    <w:rsid w:val="00A763AE"/>
    <w:rsid w:val="00A76619"/>
    <w:rsid w:val="00A766D5"/>
    <w:rsid w:val="00A76B0D"/>
    <w:rsid w:val="00A80223"/>
    <w:rsid w:val="00A816EE"/>
    <w:rsid w:val="00A81AB5"/>
    <w:rsid w:val="00A8247A"/>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5E0B"/>
    <w:rsid w:val="00A975D5"/>
    <w:rsid w:val="00A9772B"/>
    <w:rsid w:val="00AA0660"/>
    <w:rsid w:val="00AA1409"/>
    <w:rsid w:val="00AA36BA"/>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65"/>
    <w:rsid w:val="00AC535B"/>
    <w:rsid w:val="00AC5F6A"/>
    <w:rsid w:val="00AD0B3C"/>
    <w:rsid w:val="00AD0FC3"/>
    <w:rsid w:val="00AD1CC0"/>
    <w:rsid w:val="00AD22B5"/>
    <w:rsid w:val="00AD2718"/>
    <w:rsid w:val="00AD33D3"/>
    <w:rsid w:val="00AD3DB4"/>
    <w:rsid w:val="00AD5133"/>
    <w:rsid w:val="00AD5712"/>
    <w:rsid w:val="00AD57E1"/>
    <w:rsid w:val="00AD6AC5"/>
    <w:rsid w:val="00AD76A1"/>
    <w:rsid w:val="00AE48E8"/>
    <w:rsid w:val="00AE7F20"/>
    <w:rsid w:val="00AF0E7C"/>
    <w:rsid w:val="00AF1F04"/>
    <w:rsid w:val="00AF2612"/>
    <w:rsid w:val="00AF3B55"/>
    <w:rsid w:val="00AF3D59"/>
    <w:rsid w:val="00AF50BF"/>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57735"/>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225B"/>
    <w:rsid w:val="00B83E2E"/>
    <w:rsid w:val="00B84FD7"/>
    <w:rsid w:val="00B855AA"/>
    <w:rsid w:val="00B8642B"/>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12BA"/>
    <w:rsid w:val="00BC22CD"/>
    <w:rsid w:val="00BC260A"/>
    <w:rsid w:val="00BC30BF"/>
    <w:rsid w:val="00BC3150"/>
    <w:rsid w:val="00BC4013"/>
    <w:rsid w:val="00BC4307"/>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C95"/>
    <w:rsid w:val="00BE1433"/>
    <w:rsid w:val="00BE31BD"/>
    <w:rsid w:val="00BE462E"/>
    <w:rsid w:val="00BE545A"/>
    <w:rsid w:val="00BE57A2"/>
    <w:rsid w:val="00BE5E11"/>
    <w:rsid w:val="00BE6C95"/>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1CC7"/>
    <w:rsid w:val="00C24101"/>
    <w:rsid w:val="00C24FF3"/>
    <w:rsid w:val="00C255C3"/>
    <w:rsid w:val="00C2575E"/>
    <w:rsid w:val="00C26121"/>
    <w:rsid w:val="00C27ABF"/>
    <w:rsid w:val="00C27D57"/>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EDE"/>
    <w:rsid w:val="00C663BE"/>
    <w:rsid w:val="00C70AB7"/>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3084"/>
    <w:rsid w:val="00C93464"/>
    <w:rsid w:val="00C95593"/>
    <w:rsid w:val="00C967DD"/>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23A2"/>
    <w:rsid w:val="00CF5D77"/>
    <w:rsid w:val="00CF6EB2"/>
    <w:rsid w:val="00D00269"/>
    <w:rsid w:val="00D007D1"/>
    <w:rsid w:val="00D0116F"/>
    <w:rsid w:val="00D02F72"/>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1B06"/>
    <w:rsid w:val="00DB1C4C"/>
    <w:rsid w:val="00DB2446"/>
    <w:rsid w:val="00DB31E7"/>
    <w:rsid w:val="00DB3A66"/>
    <w:rsid w:val="00DB44EB"/>
    <w:rsid w:val="00DB4BEF"/>
    <w:rsid w:val="00DB546B"/>
    <w:rsid w:val="00DB74A4"/>
    <w:rsid w:val="00DB78B2"/>
    <w:rsid w:val="00DC073A"/>
    <w:rsid w:val="00DC0A7B"/>
    <w:rsid w:val="00DC1539"/>
    <w:rsid w:val="00DC2022"/>
    <w:rsid w:val="00DC230C"/>
    <w:rsid w:val="00DC27E7"/>
    <w:rsid w:val="00DC2CE7"/>
    <w:rsid w:val="00DC301A"/>
    <w:rsid w:val="00DC5188"/>
    <w:rsid w:val="00DC59EF"/>
    <w:rsid w:val="00DC6294"/>
    <w:rsid w:val="00DC6AEA"/>
    <w:rsid w:val="00DC7377"/>
    <w:rsid w:val="00DD2912"/>
    <w:rsid w:val="00DD353B"/>
    <w:rsid w:val="00DD3902"/>
    <w:rsid w:val="00DD417A"/>
    <w:rsid w:val="00DD45C1"/>
    <w:rsid w:val="00DD4849"/>
    <w:rsid w:val="00DE0FC0"/>
    <w:rsid w:val="00DE190A"/>
    <w:rsid w:val="00DE1A76"/>
    <w:rsid w:val="00DE31D8"/>
    <w:rsid w:val="00DE355C"/>
    <w:rsid w:val="00DE3A31"/>
    <w:rsid w:val="00DE4F75"/>
    <w:rsid w:val="00DE5C78"/>
    <w:rsid w:val="00DE5F76"/>
    <w:rsid w:val="00DF09A4"/>
    <w:rsid w:val="00DF0DF7"/>
    <w:rsid w:val="00DF13A5"/>
    <w:rsid w:val="00DF1C93"/>
    <w:rsid w:val="00DF1E5D"/>
    <w:rsid w:val="00DF2ABA"/>
    <w:rsid w:val="00DF391A"/>
    <w:rsid w:val="00DF419C"/>
    <w:rsid w:val="00DF51C5"/>
    <w:rsid w:val="00DF72C7"/>
    <w:rsid w:val="00DF7D32"/>
    <w:rsid w:val="00E00D6F"/>
    <w:rsid w:val="00E03246"/>
    <w:rsid w:val="00E03508"/>
    <w:rsid w:val="00E03C0E"/>
    <w:rsid w:val="00E047DA"/>
    <w:rsid w:val="00E066DF"/>
    <w:rsid w:val="00E07128"/>
    <w:rsid w:val="00E073C2"/>
    <w:rsid w:val="00E075F3"/>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1E0B"/>
    <w:rsid w:val="00E32652"/>
    <w:rsid w:val="00E32DDF"/>
    <w:rsid w:val="00E33108"/>
    <w:rsid w:val="00E33ECC"/>
    <w:rsid w:val="00E34622"/>
    <w:rsid w:val="00E34657"/>
    <w:rsid w:val="00E34706"/>
    <w:rsid w:val="00E35537"/>
    <w:rsid w:val="00E36F7D"/>
    <w:rsid w:val="00E43ABE"/>
    <w:rsid w:val="00E44057"/>
    <w:rsid w:val="00E445BD"/>
    <w:rsid w:val="00E46673"/>
    <w:rsid w:val="00E47A5F"/>
    <w:rsid w:val="00E506E7"/>
    <w:rsid w:val="00E507A5"/>
    <w:rsid w:val="00E50851"/>
    <w:rsid w:val="00E51A57"/>
    <w:rsid w:val="00E528D2"/>
    <w:rsid w:val="00E54E89"/>
    <w:rsid w:val="00E56DBA"/>
    <w:rsid w:val="00E57E0F"/>
    <w:rsid w:val="00E601CE"/>
    <w:rsid w:val="00E602CF"/>
    <w:rsid w:val="00E60B1D"/>
    <w:rsid w:val="00E61056"/>
    <w:rsid w:val="00E61EE8"/>
    <w:rsid w:val="00E62061"/>
    <w:rsid w:val="00E62441"/>
    <w:rsid w:val="00E63879"/>
    <w:rsid w:val="00E647FF"/>
    <w:rsid w:val="00E650C6"/>
    <w:rsid w:val="00E66A80"/>
    <w:rsid w:val="00E66EE6"/>
    <w:rsid w:val="00E7041F"/>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C7B"/>
    <w:rsid w:val="00EF2E2B"/>
    <w:rsid w:val="00EF34D2"/>
    <w:rsid w:val="00EF4C26"/>
    <w:rsid w:val="00EF5CC0"/>
    <w:rsid w:val="00EF7540"/>
    <w:rsid w:val="00EF75DE"/>
    <w:rsid w:val="00EF7B70"/>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AB7"/>
    <w:rsid w:val="00F2567E"/>
    <w:rsid w:val="00F25707"/>
    <w:rsid w:val="00F25E84"/>
    <w:rsid w:val="00F26068"/>
    <w:rsid w:val="00F2706D"/>
    <w:rsid w:val="00F2723F"/>
    <w:rsid w:val="00F27ADB"/>
    <w:rsid w:val="00F31178"/>
    <w:rsid w:val="00F325F9"/>
    <w:rsid w:val="00F32971"/>
    <w:rsid w:val="00F3400B"/>
    <w:rsid w:val="00F35C44"/>
    <w:rsid w:val="00F362F8"/>
    <w:rsid w:val="00F37B6F"/>
    <w:rsid w:val="00F40C05"/>
    <w:rsid w:val="00F40E86"/>
    <w:rsid w:val="00F42168"/>
    <w:rsid w:val="00F425B3"/>
    <w:rsid w:val="00F448C5"/>
    <w:rsid w:val="00F44C78"/>
    <w:rsid w:val="00F44F38"/>
    <w:rsid w:val="00F452C0"/>
    <w:rsid w:val="00F459E6"/>
    <w:rsid w:val="00F53104"/>
    <w:rsid w:val="00F53C70"/>
    <w:rsid w:val="00F55309"/>
    <w:rsid w:val="00F562A9"/>
    <w:rsid w:val="00F56E0D"/>
    <w:rsid w:val="00F60C62"/>
    <w:rsid w:val="00F6300E"/>
    <w:rsid w:val="00F6301A"/>
    <w:rsid w:val="00F645AF"/>
    <w:rsid w:val="00F66BC9"/>
    <w:rsid w:val="00F67946"/>
    <w:rsid w:val="00F706D7"/>
    <w:rsid w:val="00F72B99"/>
    <w:rsid w:val="00F72CCD"/>
    <w:rsid w:val="00F72E9F"/>
    <w:rsid w:val="00F72F0D"/>
    <w:rsid w:val="00F73166"/>
    <w:rsid w:val="00F736F9"/>
    <w:rsid w:val="00F739E9"/>
    <w:rsid w:val="00F81620"/>
    <w:rsid w:val="00F81BD3"/>
    <w:rsid w:val="00F84240"/>
    <w:rsid w:val="00F84865"/>
    <w:rsid w:val="00F85237"/>
    <w:rsid w:val="00F8564F"/>
    <w:rsid w:val="00F87DAE"/>
    <w:rsid w:val="00F9000A"/>
    <w:rsid w:val="00F9002A"/>
    <w:rsid w:val="00F906D0"/>
    <w:rsid w:val="00F90771"/>
    <w:rsid w:val="00F90CC8"/>
    <w:rsid w:val="00F93FEB"/>
    <w:rsid w:val="00F94AEA"/>
    <w:rsid w:val="00F94E43"/>
    <w:rsid w:val="00F96156"/>
    <w:rsid w:val="00F96460"/>
    <w:rsid w:val="00F96F2C"/>
    <w:rsid w:val="00F97AFE"/>
    <w:rsid w:val="00F97E65"/>
    <w:rsid w:val="00FA0128"/>
    <w:rsid w:val="00FA0F09"/>
    <w:rsid w:val="00FA1786"/>
    <w:rsid w:val="00FA17C2"/>
    <w:rsid w:val="00FA215F"/>
    <w:rsid w:val="00FA3191"/>
    <w:rsid w:val="00FA375C"/>
    <w:rsid w:val="00FA4709"/>
    <w:rsid w:val="00FA5AE3"/>
    <w:rsid w:val="00FA73DD"/>
    <w:rsid w:val="00FB13C2"/>
    <w:rsid w:val="00FB2494"/>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7996"/>
    <w:rsid w:val="00FD7B5E"/>
    <w:rsid w:val="00FD7EFE"/>
    <w:rsid w:val="00FE2025"/>
    <w:rsid w:val="00FE2D9D"/>
    <w:rsid w:val="00FE3280"/>
    <w:rsid w:val="00FE33C6"/>
    <w:rsid w:val="00FE3629"/>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58"/>
    <w:rsid w:val="00FF3FF6"/>
    <w:rsid w:val="00FF4B22"/>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 w:type="table" w:customStyle="1" w:styleId="Tablaconcuadrcula11112131">
    <w:name w:val="Tabla con cuadrícula11112131"/>
    <w:basedOn w:val="Tablanormal"/>
    <w:uiPriority w:val="39"/>
    <w:rsid w:val="00241089"/>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610">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7039485">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9072750">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78356189">
      <w:bodyDiv w:val="1"/>
      <w:marLeft w:val="0"/>
      <w:marRight w:val="0"/>
      <w:marTop w:val="0"/>
      <w:marBottom w:val="0"/>
      <w:divBdr>
        <w:top w:val="none" w:sz="0" w:space="0" w:color="auto"/>
        <w:left w:val="none" w:sz="0" w:space="0" w:color="auto"/>
        <w:bottom w:val="none" w:sz="0" w:space="0" w:color="auto"/>
        <w:right w:val="none" w:sz="0" w:space="0" w:color="auto"/>
      </w:divBdr>
    </w:div>
    <w:div w:id="391125819">
      <w:bodyDiv w:val="1"/>
      <w:marLeft w:val="0"/>
      <w:marRight w:val="0"/>
      <w:marTop w:val="0"/>
      <w:marBottom w:val="0"/>
      <w:divBdr>
        <w:top w:val="none" w:sz="0" w:space="0" w:color="auto"/>
        <w:left w:val="none" w:sz="0" w:space="0" w:color="auto"/>
        <w:bottom w:val="none" w:sz="0" w:space="0" w:color="auto"/>
        <w:right w:val="none" w:sz="0" w:space="0" w:color="auto"/>
      </w:divBdr>
    </w:div>
    <w:div w:id="397367947">
      <w:bodyDiv w:val="1"/>
      <w:marLeft w:val="0"/>
      <w:marRight w:val="0"/>
      <w:marTop w:val="0"/>
      <w:marBottom w:val="0"/>
      <w:divBdr>
        <w:top w:val="none" w:sz="0" w:space="0" w:color="auto"/>
        <w:left w:val="none" w:sz="0" w:space="0" w:color="auto"/>
        <w:bottom w:val="none" w:sz="0" w:space="0" w:color="auto"/>
        <w:right w:val="none" w:sz="0" w:space="0" w:color="auto"/>
      </w:divBdr>
    </w:div>
    <w:div w:id="44952044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83203104">
      <w:bodyDiv w:val="1"/>
      <w:marLeft w:val="0"/>
      <w:marRight w:val="0"/>
      <w:marTop w:val="0"/>
      <w:marBottom w:val="0"/>
      <w:divBdr>
        <w:top w:val="none" w:sz="0" w:space="0" w:color="auto"/>
        <w:left w:val="none" w:sz="0" w:space="0" w:color="auto"/>
        <w:bottom w:val="none" w:sz="0" w:space="0" w:color="auto"/>
        <w:right w:val="none" w:sz="0" w:space="0" w:color="auto"/>
      </w:divBdr>
    </w:div>
    <w:div w:id="498737669">
      <w:bodyDiv w:val="1"/>
      <w:marLeft w:val="0"/>
      <w:marRight w:val="0"/>
      <w:marTop w:val="0"/>
      <w:marBottom w:val="0"/>
      <w:divBdr>
        <w:top w:val="none" w:sz="0" w:space="0" w:color="auto"/>
        <w:left w:val="none" w:sz="0" w:space="0" w:color="auto"/>
        <w:bottom w:val="none" w:sz="0" w:space="0" w:color="auto"/>
        <w:right w:val="none" w:sz="0" w:space="0" w:color="auto"/>
      </w:divBdr>
    </w:div>
    <w:div w:id="51511936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013524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88531569">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27738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4414800">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7397984">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989528617">
      <w:bodyDiv w:val="1"/>
      <w:marLeft w:val="0"/>
      <w:marRight w:val="0"/>
      <w:marTop w:val="0"/>
      <w:marBottom w:val="0"/>
      <w:divBdr>
        <w:top w:val="none" w:sz="0" w:space="0" w:color="auto"/>
        <w:left w:val="none" w:sz="0" w:space="0" w:color="auto"/>
        <w:bottom w:val="none" w:sz="0" w:space="0" w:color="auto"/>
        <w:right w:val="none" w:sz="0" w:space="0" w:color="auto"/>
      </w:divBdr>
    </w:div>
    <w:div w:id="1010791352">
      <w:bodyDiv w:val="1"/>
      <w:marLeft w:val="0"/>
      <w:marRight w:val="0"/>
      <w:marTop w:val="0"/>
      <w:marBottom w:val="0"/>
      <w:divBdr>
        <w:top w:val="none" w:sz="0" w:space="0" w:color="auto"/>
        <w:left w:val="none" w:sz="0" w:space="0" w:color="auto"/>
        <w:bottom w:val="none" w:sz="0" w:space="0" w:color="auto"/>
        <w:right w:val="none" w:sz="0" w:space="0" w:color="auto"/>
      </w:divBdr>
    </w:div>
    <w:div w:id="1024553355">
      <w:bodyDiv w:val="1"/>
      <w:marLeft w:val="0"/>
      <w:marRight w:val="0"/>
      <w:marTop w:val="0"/>
      <w:marBottom w:val="0"/>
      <w:divBdr>
        <w:top w:val="none" w:sz="0" w:space="0" w:color="auto"/>
        <w:left w:val="none" w:sz="0" w:space="0" w:color="auto"/>
        <w:bottom w:val="none" w:sz="0" w:space="0" w:color="auto"/>
        <w:right w:val="none" w:sz="0" w:space="0" w:color="auto"/>
      </w:divBdr>
    </w:div>
    <w:div w:id="1064062051">
      <w:bodyDiv w:val="1"/>
      <w:marLeft w:val="0"/>
      <w:marRight w:val="0"/>
      <w:marTop w:val="0"/>
      <w:marBottom w:val="0"/>
      <w:divBdr>
        <w:top w:val="none" w:sz="0" w:space="0" w:color="auto"/>
        <w:left w:val="none" w:sz="0" w:space="0" w:color="auto"/>
        <w:bottom w:val="none" w:sz="0" w:space="0" w:color="auto"/>
        <w:right w:val="none" w:sz="0" w:space="0" w:color="auto"/>
      </w:divBdr>
    </w:div>
    <w:div w:id="1080054758">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885358">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30324189">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1552960">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6234922">
      <w:bodyDiv w:val="1"/>
      <w:marLeft w:val="0"/>
      <w:marRight w:val="0"/>
      <w:marTop w:val="0"/>
      <w:marBottom w:val="0"/>
      <w:divBdr>
        <w:top w:val="none" w:sz="0" w:space="0" w:color="auto"/>
        <w:left w:val="none" w:sz="0" w:space="0" w:color="auto"/>
        <w:bottom w:val="none" w:sz="0" w:space="0" w:color="auto"/>
        <w:right w:val="none" w:sz="0" w:space="0" w:color="auto"/>
      </w:divBdr>
    </w:div>
    <w:div w:id="1274559837">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646808">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012691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83084211">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5241659">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77780197">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7723572">
      <w:bodyDiv w:val="1"/>
      <w:marLeft w:val="0"/>
      <w:marRight w:val="0"/>
      <w:marTop w:val="0"/>
      <w:marBottom w:val="0"/>
      <w:divBdr>
        <w:top w:val="none" w:sz="0" w:space="0" w:color="auto"/>
        <w:left w:val="none" w:sz="0" w:space="0" w:color="auto"/>
        <w:bottom w:val="none" w:sz="0" w:space="0" w:color="auto"/>
        <w:right w:val="none" w:sz="0" w:space="0" w:color="auto"/>
      </w:divBdr>
    </w:div>
    <w:div w:id="180612151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08709647">
      <w:bodyDiv w:val="1"/>
      <w:marLeft w:val="0"/>
      <w:marRight w:val="0"/>
      <w:marTop w:val="0"/>
      <w:marBottom w:val="0"/>
      <w:divBdr>
        <w:top w:val="none" w:sz="0" w:space="0" w:color="auto"/>
        <w:left w:val="none" w:sz="0" w:space="0" w:color="auto"/>
        <w:bottom w:val="none" w:sz="0" w:space="0" w:color="auto"/>
        <w:right w:val="none" w:sz="0" w:space="0" w:color="auto"/>
      </w:divBdr>
    </w:div>
    <w:div w:id="2082681052">
      <w:bodyDiv w:val="1"/>
      <w:marLeft w:val="0"/>
      <w:marRight w:val="0"/>
      <w:marTop w:val="0"/>
      <w:marBottom w:val="0"/>
      <w:divBdr>
        <w:top w:val="none" w:sz="0" w:space="0" w:color="auto"/>
        <w:left w:val="none" w:sz="0" w:space="0" w:color="auto"/>
        <w:bottom w:val="none" w:sz="0" w:space="0" w:color="auto"/>
        <w:right w:val="none" w:sz="0" w:space="0" w:color="auto"/>
      </w:divBdr>
    </w:div>
    <w:div w:id="2133016396">
      <w:bodyDiv w:val="1"/>
      <w:marLeft w:val="0"/>
      <w:marRight w:val="0"/>
      <w:marTop w:val="0"/>
      <w:marBottom w:val="0"/>
      <w:divBdr>
        <w:top w:val="none" w:sz="0" w:space="0" w:color="auto"/>
        <w:left w:val="none" w:sz="0" w:space="0" w:color="auto"/>
        <w:bottom w:val="none" w:sz="0" w:space="0" w:color="auto"/>
        <w:right w:val="none" w:sz="0" w:space="0" w:color="auto"/>
      </w:divBdr>
    </w:div>
    <w:div w:id="213571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14679-DE29-447E-8365-DB8F27C3A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41</Pages>
  <Words>9010</Words>
  <Characters>49561</Characters>
  <Application>Microsoft Office Word</Application>
  <DocSecurity>0</DocSecurity>
  <Lines>413</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8</cp:revision>
  <cp:lastPrinted>2022-10-14T03:59:00Z</cp:lastPrinted>
  <dcterms:created xsi:type="dcterms:W3CDTF">2022-10-06T19:54:00Z</dcterms:created>
  <dcterms:modified xsi:type="dcterms:W3CDTF">2022-10-14T03:59:00Z</dcterms:modified>
</cp:coreProperties>
</file>