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A3221"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veintitrés de febrero de dos mil veintidós. </w:t>
      </w:r>
    </w:p>
    <w:p w14:paraId="4491E81E" w14:textId="77777777" w:rsidR="00CB557F" w:rsidRDefault="00AA36A4" w:rsidP="004907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00044/INFOEM/IP/RR/2022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4907F7">
        <w:rPr>
          <w:rFonts w:ascii="Palatino Linotype" w:eastAsia="Palatino Linotype" w:hAnsi="Palatino Linotype" w:cs="Palatino Linotype"/>
          <w:b/>
          <w:sz w:val="22"/>
          <w:szCs w:val="22"/>
        </w:rPr>
        <w:t>XXXXX XXXXXXX 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Isidro Fabela, </w:t>
      </w:r>
      <w:r>
        <w:rPr>
          <w:rFonts w:ascii="Palatino Linotype" w:eastAsia="Palatino Linotype" w:hAnsi="Palatino Linotype" w:cs="Palatino Linotype"/>
        </w:rPr>
        <w:t>en lo</w:t>
      </w:r>
      <w:r>
        <w:rPr>
          <w:rFonts w:ascii="Palatino Linotype" w:eastAsia="Palatino Linotype" w:hAnsi="Palatino Linotype" w:cs="Palatino Linotype"/>
        </w:rPr>
        <w:t xml:space="preserve">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2C828F5B" w14:textId="77777777" w:rsidR="00CB557F" w:rsidRPr="004907F7" w:rsidRDefault="00AA36A4">
      <w:pPr>
        <w:spacing w:before="240" w:after="240" w:line="360" w:lineRule="auto"/>
        <w:jc w:val="center"/>
        <w:rPr>
          <w:rFonts w:ascii="Palatino Linotype" w:eastAsia="Palatino Linotype" w:hAnsi="Palatino Linotype" w:cs="Palatino Linotype"/>
          <w:b/>
          <w:sz w:val="28"/>
          <w:szCs w:val="28"/>
          <w:lang w:val="pt-BR"/>
        </w:rPr>
      </w:pPr>
      <w:r w:rsidRPr="004907F7">
        <w:rPr>
          <w:rFonts w:ascii="Palatino Linotype" w:eastAsia="Palatino Linotype" w:hAnsi="Palatino Linotype" w:cs="Palatino Linotype"/>
          <w:b/>
          <w:lang w:val="pt-BR"/>
        </w:rPr>
        <w:t>I. A N T E C E D E N T E S</w:t>
      </w:r>
    </w:p>
    <w:p w14:paraId="27C26256"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dieciséis de diciembre de </w:t>
      </w:r>
      <w:proofErr w:type="gramStart"/>
      <w:r>
        <w:rPr>
          <w:rFonts w:ascii="Palatino Linotype" w:eastAsia="Palatino Linotype" w:hAnsi="Palatino Linotype" w:cs="Palatino Linotype"/>
          <w:b/>
        </w:rPr>
        <w:t>dos mil veintiuno</w:t>
      </w:r>
      <w:proofErr w:type="gramEnd"/>
      <w:r>
        <w:rPr>
          <w:rFonts w:ascii="Palatino Linotype" w:eastAsia="Palatino Linotype" w:hAnsi="Palatino Linotype" w:cs="Palatino Linotype"/>
          <w:b/>
        </w:rPr>
        <w:t>,</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w:t>
      </w:r>
      <w:r>
        <w:rPr>
          <w:rFonts w:ascii="Palatino Linotype" w:eastAsia="Palatino Linotype" w:hAnsi="Palatino Linotype" w:cs="Palatino Linotype"/>
        </w:rPr>
        <w:t>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00101/ISIFABE/IP/2021, </w:t>
      </w:r>
      <w:r>
        <w:rPr>
          <w:rFonts w:ascii="Palatino Linotype" w:eastAsia="Palatino Linotype" w:hAnsi="Palatino Linotype" w:cs="Palatino Linotype"/>
        </w:rPr>
        <w:t xml:space="preserve">mediante la cual requirió la información siguiente: </w:t>
      </w:r>
    </w:p>
    <w:p w14:paraId="674353A2" w14:textId="77777777" w:rsidR="00CB557F" w:rsidRDefault="00AA36A4">
      <w:pPr>
        <w:spacing w:line="360" w:lineRule="auto"/>
        <w:ind w:left="851" w:right="616"/>
        <w:jc w:val="both"/>
        <w:rPr>
          <w:rFonts w:ascii="Palatino Linotype" w:eastAsia="Palatino Linotype" w:hAnsi="Palatino Linotype" w:cs="Palatino Linotype"/>
          <w:b/>
          <w:i/>
          <w:sz w:val="22"/>
          <w:szCs w:val="22"/>
        </w:rPr>
      </w:pPr>
      <w:bookmarkStart w:id="1" w:name="_heading=h.gjdgxs" w:colFirst="0" w:colLast="0"/>
      <w:bookmarkEnd w:id="1"/>
      <w:r>
        <w:rPr>
          <w:rFonts w:ascii="Palatino Linotype" w:eastAsia="Palatino Linotype" w:hAnsi="Palatino Linotype" w:cs="Palatino Linotype"/>
          <w:i/>
          <w:sz w:val="22"/>
          <w:szCs w:val="22"/>
        </w:rPr>
        <w:t>“SOLICITO AL SUJETO OBLIGADO ME INFORME QUE UNIDAD AD</w:t>
      </w:r>
      <w:r>
        <w:rPr>
          <w:rFonts w:ascii="Palatino Linotype" w:eastAsia="Palatino Linotype" w:hAnsi="Palatino Linotype" w:cs="Palatino Linotype"/>
          <w:i/>
          <w:sz w:val="22"/>
          <w:szCs w:val="22"/>
        </w:rPr>
        <w:t>MINISTRATIVA SE ENCARGA DE LAS ENAJENACIONES DE BIENES MUEBLES Y DE QUÉ DIRECCIÓN GENERAL DEPENDE DICHA UNIDAD ADMINISTRATIVA.” (sic)</w:t>
      </w:r>
    </w:p>
    <w:p w14:paraId="1CEC5841" w14:textId="77777777" w:rsidR="00CB557F" w:rsidRDefault="00CB557F">
      <w:pPr>
        <w:ind w:right="900"/>
        <w:jc w:val="both"/>
        <w:rPr>
          <w:rFonts w:ascii="Palatino Linotype" w:eastAsia="Palatino Linotype" w:hAnsi="Palatino Linotype" w:cs="Palatino Linotype"/>
        </w:rPr>
      </w:pPr>
    </w:p>
    <w:p w14:paraId="32026665"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14:paraId="211EEDAF" w14:textId="77777777" w:rsidR="00CB557F" w:rsidRDefault="00AA36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dieciséis de</w:t>
      </w:r>
      <w:r>
        <w:rPr>
          <w:rFonts w:ascii="Palatino Linotype" w:eastAsia="Palatino Linotype" w:hAnsi="Palatino Linotype" w:cs="Palatino Linotype"/>
          <w:b/>
        </w:rPr>
        <w:t xml:space="preserve"> diciembre de </w:t>
      </w:r>
      <w:proofErr w:type="gramStart"/>
      <w:r>
        <w:rPr>
          <w:rFonts w:ascii="Palatino Linotype" w:eastAsia="Palatino Linotype" w:hAnsi="Palatino Linotype" w:cs="Palatino Linotype"/>
          <w:b/>
        </w:rPr>
        <w:t>dos mil veintiuno</w:t>
      </w:r>
      <w:proofErr w:type="gramEnd"/>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14:paraId="3A9126DF" w14:textId="77777777" w:rsidR="00CB557F" w:rsidRDefault="00AA36A4">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 Con fundamento en lo dispuesto en los artículos 18, 53 fracción II y V, 89 y 161 de la Ley de Transparencia y Acceso a</w:t>
      </w:r>
      <w:r>
        <w:rPr>
          <w:rFonts w:ascii="Palatino Linotype" w:eastAsia="Palatino Linotype" w:hAnsi="Palatino Linotype" w:cs="Palatino Linotype"/>
          <w:i/>
          <w:sz w:val="22"/>
          <w:szCs w:val="22"/>
        </w:rPr>
        <w:t xml:space="preserve"> la Información Pública del Estado de México y Municipios; se da respuesta a la Solicitud Número: 00101/ISIFABE/IP/2021 mediante oficio IFMAI/0285/2021 el cual se encuentra adjuntado a la presente.” (sic)</w:t>
      </w:r>
    </w:p>
    <w:p w14:paraId="6D8CF9BF" w14:textId="77777777" w:rsidR="00CB557F" w:rsidRDefault="00AA36A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Manifestación a la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w:t>
      </w:r>
      <w:r>
        <w:rPr>
          <w:rFonts w:ascii="Palatino Linotype" w:eastAsia="Palatino Linotype" w:hAnsi="Palatino Linotype" w:cs="Palatino Linotype"/>
        </w:rPr>
        <w:t>l archivo electrónico identificado como “</w:t>
      </w:r>
      <w:r>
        <w:rPr>
          <w:rFonts w:ascii="Palatino Linotype" w:eastAsia="Palatino Linotype" w:hAnsi="Palatino Linotype" w:cs="Palatino Linotype"/>
          <w:b/>
          <w:i/>
        </w:rPr>
        <w:t xml:space="preserve">RESPUESTA SOLICITUD 101 OF 285 2021.pdf” </w:t>
      </w:r>
      <w:r>
        <w:rPr>
          <w:rFonts w:ascii="Palatino Linotype" w:eastAsia="Palatino Linotype" w:hAnsi="Palatino Linotype" w:cs="Palatino Linotype"/>
        </w:rPr>
        <w:t xml:space="preserve">consistente en el oficio IFMAI/0285/2021 del dieciséis de diciembre de </w:t>
      </w:r>
      <w:proofErr w:type="gramStart"/>
      <w:r>
        <w:rPr>
          <w:rFonts w:ascii="Palatino Linotype" w:eastAsia="Palatino Linotype" w:hAnsi="Palatino Linotype" w:cs="Palatino Linotype"/>
        </w:rPr>
        <w:t>dos mil veintiuno</w:t>
      </w:r>
      <w:proofErr w:type="gramEnd"/>
      <w:r>
        <w:rPr>
          <w:rFonts w:ascii="Palatino Linotype" w:eastAsia="Palatino Linotype" w:hAnsi="Palatino Linotype" w:cs="Palatino Linotype"/>
        </w:rPr>
        <w:t>, suscrito y signado por la Jefa del Departamento de la Unidad de Transparencia y Acce</w:t>
      </w:r>
      <w:r>
        <w:rPr>
          <w:rFonts w:ascii="Palatino Linotype" w:eastAsia="Palatino Linotype" w:hAnsi="Palatino Linotype" w:cs="Palatino Linotype"/>
        </w:rPr>
        <w:t xml:space="preserve">so a la Información Pública, dirigido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por medio del cual da respuesta a la información solicitada, mediante lo siguiente:</w:t>
      </w:r>
    </w:p>
    <w:p w14:paraId="54561231" w14:textId="77777777" w:rsidR="00CB557F" w:rsidRDefault="00AA36A4">
      <w:pPr>
        <w:spacing w:before="240" w:after="240" w:line="360" w:lineRule="auto"/>
        <w:ind w:right="49"/>
        <w:jc w:val="both"/>
        <w:rPr>
          <w:rFonts w:ascii="Palatino Linotype" w:eastAsia="Palatino Linotype" w:hAnsi="Palatino Linotype" w:cs="Palatino Linotype"/>
        </w:rPr>
      </w:pPr>
      <w:r>
        <w:rPr>
          <w:noProof/>
          <w:lang w:val="es-ES_tradnl"/>
        </w:rPr>
        <w:drawing>
          <wp:inline distT="0" distB="0" distL="0" distR="0" wp14:anchorId="300D0D9E" wp14:editId="7FD02629">
            <wp:extent cx="5608316" cy="2380265"/>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5027" t="52806" b="28350"/>
                    <a:stretch>
                      <a:fillRect/>
                    </a:stretch>
                  </pic:blipFill>
                  <pic:spPr>
                    <a:xfrm>
                      <a:off x="0" y="0"/>
                      <a:ext cx="5608316" cy="2380265"/>
                    </a:xfrm>
                    <a:prstGeom prst="rect">
                      <a:avLst/>
                    </a:prstGeom>
                    <a:ln/>
                  </pic:spPr>
                </pic:pic>
              </a:graphicData>
            </a:graphic>
          </wp:inline>
        </w:drawing>
      </w:r>
      <w:r>
        <w:rPr>
          <w:rFonts w:ascii="Palatino Linotype" w:eastAsia="Palatino Linotype" w:hAnsi="Palatino Linotype" w:cs="Palatino Linotype"/>
        </w:rPr>
        <w:t xml:space="preserve"> </w:t>
      </w:r>
      <w:r>
        <w:rPr>
          <w:noProof/>
          <w:lang w:val="es-ES_tradnl"/>
        </w:rPr>
        <mc:AlternateContent>
          <mc:Choice Requires="wpg">
            <w:drawing>
              <wp:anchor distT="0" distB="0" distL="114300" distR="114300" simplePos="0" relativeHeight="251658240" behindDoc="0" locked="0" layoutInCell="1" hidden="0" allowOverlap="1" wp14:anchorId="6F54E2D6" wp14:editId="268F13F8">
                <wp:simplePos x="0" y="0"/>
                <wp:positionH relativeFrom="column">
                  <wp:posOffset>88901</wp:posOffset>
                </wp:positionH>
                <wp:positionV relativeFrom="paragraph">
                  <wp:posOffset>1917700</wp:posOffset>
                </wp:positionV>
                <wp:extent cx="5410200" cy="438150"/>
                <wp:effectExtent l="0" t="0" r="0" b="0"/>
                <wp:wrapNone/>
                <wp:docPr id="29" name="Rectángulo 29"/>
                <wp:cNvGraphicFramePr/>
                <a:graphic xmlns:a="http://schemas.openxmlformats.org/drawingml/2006/main">
                  <a:graphicData uri="http://schemas.microsoft.com/office/word/2010/wordprocessingShape">
                    <wps:wsp>
                      <wps:cNvSpPr/>
                      <wps:spPr>
                        <a:xfrm>
                          <a:off x="2650425" y="3570450"/>
                          <a:ext cx="5391150" cy="419100"/>
                        </a:xfrm>
                        <a:prstGeom prst="rect">
                          <a:avLst/>
                        </a:prstGeom>
                        <a:noFill/>
                        <a:ln w="19050" cap="flat" cmpd="sng">
                          <a:solidFill>
                            <a:srgbClr val="FF0000"/>
                          </a:solidFill>
                          <a:prstDash val="solid"/>
                          <a:round/>
                          <a:headEnd type="none" w="sm" len="sm"/>
                          <a:tailEnd type="none" w="sm" len="sm"/>
                        </a:ln>
                      </wps:spPr>
                      <wps:txbx>
                        <w:txbxContent>
                          <w:p w14:paraId="418DE125" w14:textId="77777777" w:rsidR="00CB557F" w:rsidRDefault="00CB557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1917700</wp:posOffset>
                </wp:positionV>
                <wp:extent cx="5410200" cy="438150"/>
                <wp:effectExtent b="0" l="0" r="0" t="0"/>
                <wp:wrapNone/>
                <wp:docPr id="2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410200" cy="438150"/>
                        </a:xfrm>
                        <a:prstGeom prst="rect"/>
                        <a:ln/>
                      </pic:spPr>
                    </pic:pic>
                  </a:graphicData>
                </a:graphic>
              </wp:anchor>
            </w:drawing>
          </mc:Fallback>
        </mc:AlternateContent>
      </w:r>
    </w:p>
    <w:p w14:paraId="0504BABF" w14:textId="77777777" w:rsidR="00CB557F" w:rsidRDefault="00AA36A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diez de enero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14:paraId="217CD5CE" w14:textId="77777777" w:rsidR="00CB557F" w:rsidRDefault="00AA36A4">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4D22FDF3" w14:textId="77777777" w:rsidR="00CB557F" w:rsidRDefault="00CB557F">
      <w:pPr>
        <w:spacing w:line="360" w:lineRule="auto"/>
        <w:ind w:left="851" w:right="900"/>
        <w:jc w:val="both"/>
        <w:rPr>
          <w:rFonts w:ascii="Palatino Linotype" w:eastAsia="Palatino Linotype" w:hAnsi="Palatino Linotype" w:cs="Palatino Linotype"/>
          <w:i/>
          <w:sz w:val="2"/>
          <w:szCs w:val="2"/>
        </w:rPr>
      </w:pPr>
    </w:p>
    <w:p w14:paraId="5275435F" w14:textId="77777777" w:rsidR="00CB557F" w:rsidRDefault="00AA36A4">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al sujeto obligado me informe que unidad administrativa se encarga de las Enajenaciones de Bienes Muebles y de qué Dirección general depende dicha unidad administrativa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77A66328" w14:textId="77777777" w:rsidR="00CB557F" w:rsidRDefault="00CB557F">
      <w:pPr>
        <w:spacing w:line="360" w:lineRule="auto"/>
        <w:jc w:val="both"/>
        <w:rPr>
          <w:rFonts w:ascii="Palatino Linotype" w:eastAsia="Palatino Linotype" w:hAnsi="Palatino Linotype" w:cs="Palatino Linotype"/>
          <w:sz w:val="2"/>
          <w:szCs w:val="2"/>
        </w:rPr>
      </w:pPr>
    </w:p>
    <w:p w14:paraId="4536F8F5" w14:textId="77777777" w:rsidR="00CB557F" w:rsidRDefault="00CB557F">
      <w:pPr>
        <w:spacing w:line="360" w:lineRule="auto"/>
        <w:jc w:val="both"/>
        <w:rPr>
          <w:rFonts w:ascii="Palatino Linotype" w:eastAsia="Palatino Linotype" w:hAnsi="Palatino Linotype" w:cs="Palatino Linotype"/>
          <w:sz w:val="2"/>
          <w:szCs w:val="2"/>
        </w:rPr>
      </w:pPr>
    </w:p>
    <w:p w14:paraId="68F9998E" w14:textId="77777777" w:rsidR="00CB557F" w:rsidRDefault="00CB557F">
      <w:pPr>
        <w:spacing w:line="360" w:lineRule="auto"/>
        <w:jc w:val="both"/>
        <w:rPr>
          <w:rFonts w:ascii="Palatino Linotype" w:eastAsia="Palatino Linotype" w:hAnsi="Palatino Linotype" w:cs="Palatino Linotype"/>
          <w:sz w:val="2"/>
          <w:szCs w:val="2"/>
        </w:rPr>
      </w:pPr>
    </w:p>
    <w:p w14:paraId="4A84D286" w14:textId="77777777" w:rsidR="00CB557F" w:rsidRDefault="00AA36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648D34C5" w14:textId="77777777" w:rsidR="00CB557F" w:rsidRDefault="00CB557F">
      <w:pPr>
        <w:spacing w:line="360" w:lineRule="auto"/>
        <w:jc w:val="both"/>
        <w:rPr>
          <w:rFonts w:ascii="Palatino Linotype" w:eastAsia="Palatino Linotype" w:hAnsi="Palatino Linotype" w:cs="Palatino Linotype"/>
          <w:sz w:val="2"/>
          <w:szCs w:val="2"/>
        </w:rPr>
      </w:pPr>
    </w:p>
    <w:p w14:paraId="182E5E75" w14:textId="77777777" w:rsidR="00CB557F" w:rsidRDefault="00AA36A4">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“Se le solicito al sujeto ob</w:t>
      </w:r>
      <w:r>
        <w:rPr>
          <w:rFonts w:ascii="Palatino Linotype" w:eastAsia="Palatino Linotype" w:hAnsi="Palatino Linotype" w:cs="Palatino Linotype"/>
          <w:i/>
          <w:sz w:val="22"/>
          <w:szCs w:val="22"/>
        </w:rPr>
        <w:t>ligado informara ¿Qué unidad administrativa se encarga de EJECUTAR el procedimiento de enajenación de bienes muebles? (sic)</w:t>
      </w:r>
    </w:p>
    <w:p w14:paraId="45EA6FC4"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185 fracción I de la Ley de Transparencia y Acceso a la Información Pública del Estado de M</w:t>
      </w:r>
      <w:r>
        <w:rPr>
          <w:rFonts w:ascii="Palatino Linotype" w:eastAsia="Palatino Linotype" w:hAnsi="Palatino Linotype" w:cs="Palatino Linotype"/>
        </w:rPr>
        <w:t xml:space="preserve">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w:t>
      </w:r>
      <w:r>
        <w:rPr>
          <w:rFonts w:ascii="Palatino Linotype" w:eastAsia="Palatino Linotype" w:hAnsi="Palatino Linotype" w:cs="Palatino Linotype"/>
          <w:b/>
        </w:rPr>
        <w:t xml:space="preserve">amírez Peña, </w:t>
      </w:r>
      <w:r>
        <w:rPr>
          <w:rFonts w:ascii="Palatino Linotype" w:eastAsia="Palatino Linotype" w:hAnsi="Palatino Linotype" w:cs="Palatino Linotype"/>
        </w:rPr>
        <w:t>a efecto de que analizara sobre su admisión o su desechamiento.</w:t>
      </w:r>
    </w:p>
    <w:p w14:paraId="4DCE940F"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trece de enero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w:t>
      </w:r>
      <w:r>
        <w:rPr>
          <w:rFonts w:ascii="Palatino Linotype" w:eastAsia="Palatino Linotype" w:hAnsi="Palatino Linotype" w:cs="Palatino Linotype"/>
        </w:rPr>
        <w:t>ue a su derecho resultara conveniente, ofrecieran pruebas, formularan alegatos y el Sujeto Obligado presentara su informe justificado.</w:t>
      </w:r>
    </w:p>
    <w:p w14:paraId="0912E5D5" w14:textId="77777777" w:rsidR="00CB557F" w:rsidRDefault="00CB557F">
      <w:pPr>
        <w:spacing w:before="240" w:after="240" w:line="360" w:lineRule="auto"/>
        <w:jc w:val="both"/>
        <w:rPr>
          <w:rFonts w:ascii="Palatino Linotype" w:eastAsia="Palatino Linotype" w:hAnsi="Palatino Linotype" w:cs="Palatino Linotype"/>
        </w:rPr>
      </w:pPr>
    </w:p>
    <w:p w14:paraId="3507E2D0" w14:textId="77777777" w:rsidR="00CB557F" w:rsidRDefault="00AA36A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once</w:t>
      </w:r>
      <w:r>
        <w:rPr>
          <w:rFonts w:ascii="Palatino Linotype" w:eastAsia="Palatino Linotype" w:hAnsi="Palatino Linotype" w:cs="Palatino Linotype"/>
        </w:rPr>
        <w:t xml:space="preserve"> </w:t>
      </w:r>
      <w:r>
        <w:rPr>
          <w:rFonts w:ascii="Palatino Linotype" w:eastAsia="Palatino Linotype" w:hAnsi="Palatino Linotype" w:cs="Palatino Linotype"/>
          <w:b/>
        </w:rPr>
        <w:t>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rindió informe justificado y adjuntó el a</w:t>
      </w:r>
      <w:r>
        <w:rPr>
          <w:rFonts w:ascii="Palatino Linotype" w:eastAsia="Palatino Linotype" w:hAnsi="Palatino Linotype" w:cs="Palatino Linotype"/>
        </w:rPr>
        <w:t xml:space="preserve">rchivo electrónico siguiente: </w:t>
      </w:r>
    </w:p>
    <w:p w14:paraId="0A951584" w14:textId="77777777" w:rsidR="00CB557F" w:rsidRDefault="00AA36A4">
      <w:pPr>
        <w:widowControl w:val="0"/>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“Respuesta Solicitud 00101 ISIFABE IP 2021.pdf”:  </w:t>
      </w:r>
      <w:r>
        <w:rPr>
          <w:rFonts w:ascii="Palatino Linotype" w:eastAsia="Palatino Linotype" w:hAnsi="Palatino Linotype" w:cs="Palatino Linotype"/>
          <w:color w:val="000000"/>
        </w:rPr>
        <w:t>Oficio sin número del once de febrero de dos mil veintidós, suscrito por el Coordinador General Municipal de Mejora Regulatoria y Unidad de Transparencia y Acceso a la Informa</w:t>
      </w:r>
      <w:r>
        <w:rPr>
          <w:rFonts w:ascii="Palatino Linotype" w:eastAsia="Palatino Linotype" w:hAnsi="Palatino Linotype" w:cs="Palatino Linotype"/>
          <w:color w:val="000000"/>
        </w:rPr>
        <w:t>ción Pública, por medio del cual rinde una nueva respuesta al solicitante en los términos siguientes:</w:t>
      </w:r>
    </w:p>
    <w:p w14:paraId="1467152A" w14:textId="77777777" w:rsidR="00CB557F" w:rsidRDefault="00AA36A4">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Pr>
          <w:noProof/>
          <w:color w:val="000000"/>
          <w:lang w:val="es-ES_tradnl"/>
        </w:rPr>
        <w:drawing>
          <wp:inline distT="0" distB="0" distL="0" distR="0" wp14:anchorId="59FDDE0B" wp14:editId="7B3C3ABD">
            <wp:extent cx="5066050" cy="2161042"/>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73659" t="37116" r="2069" b="44478"/>
                    <a:stretch>
                      <a:fillRect/>
                    </a:stretch>
                  </pic:blipFill>
                  <pic:spPr>
                    <a:xfrm>
                      <a:off x="0" y="0"/>
                      <a:ext cx="5066050" cy="2161042"/>
                    </a:xfrm>
                    <a:prstGeom prst="rect">
                      <a:avLst/>
                    </a:prstGeom>
                    <a:ln/>
                  </pic:spPr>
                </pic:pic>
              </a:graphicData>
            </a:graphic>
          </wp:inline>
        </w:drawing>
      </w:r>
      <w:r>
        <w:rPr>
          <w:noProof/>
          <w:lang w:val="es-ES_tradnl"/>
        </w:rPr>
        <mc:AlternateContent>
          <mc:Choice Requires="wpg">
            <w:drawing>
              <wp:anchor distT="0" distB="0" distL="114300" distR="114300" simplePos="0" relativeHeight="251659264" behindDoc="0" locked="0" layoutInCell="1" hidden="0" allowOverlap="1" wp14:anchorId="50A65055" wp14:editId="1764A778">
                <wp:simplePos x="0" y="0"/>
                <wp:positionH relativeFrom="column">
                  <wp:posOffset>571500</wp:posOffset>
                </wp:positionH>
                <wp:positionV relativeFrom="paragraph">
                  <wp:posOffset>914400</wp:posOffset>
                </wp:positionV>
                <wp:extent cx="4772025" cy="447675"/>
                <wp:effectExtent l="0" t="0" r="0" b="0"/>
                <wp:wrapNone/>
                <wp:docPr id="23" name="Rectángulo 23"/>
                <wp:cNvGraphicFramePr/>
                <a:graphic xmlns:a="http://schemas.openxmlformats.org/drawingml/2006/main">
                  <a:graphicData uri="http://schemas.microsoft.com/office/word/2010/wordprocessingShape">
                    <wps:wsp>
                      <wps:cNvSpPr/>
                      <wps:spPr>
                        <a:xfrm>
                          <a:off x="2969513" y="3565688"/>
                          <a:ext cx="4752975" cy="428625"/>
                        </a:xfrm>
                        <a:prstGeom prst="rect">
                          <a:avLst/>
                        </a:prstGeom>
                        <a:noFill/>
                        <a:ln w="19050" cap="flat" cmpd="sng">
                          <a:solidFill>
                            <a:srgbClr val="FF0000"/>
                          </a:solidFill>
                          <a:prstDash val="solid"/>
                          <a:round/>
                          <a:headEnd type="none" w="sm" len="sm"/>
                          <a:tailEnd type="none" w="sm" len="sm"/>
                        </a:ln>
                      </wps:spPr>
                      <wps:txbx>
                        <w:txbxContent>
                          <w:p w14:paraId="4360A927" w14:textId="77777777" w:rsidR="00CB557F" w:rsidRDefault="00CB557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914400</wp:posOffset>
                </wp:positionV>
                <wp:extent cx="4772025" cy="447675"/>
                <wp:effectExtent b="0" l="0" r="0" t="0"/>
                <wp:wrapNone/>
                <wp:docPr id="23"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4772025" cy="447675"/>
                        </a:xfrm>
                        <a:prstGeom prst="rect"/>
                        <a:ln/>
                      </pic:spPr>
                    </pic:pic>
                  </a:graphicData>
                </a:graphic>
              </wp:anchor>
            </w:drawing>
          </mc:Fallback>
        </mc:AlternateContent>
      </w:r>
    </w:p>
    <w:p w14:paraId="51A3A62D" w14:textId="77777777" w:rsidR="00CB557F" w:rsidRDefault="00AA36A4">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Documento que mediante acuerdo de fecha catorce de febrero de dos mil veintidós se puso a la vista del </w:t>
      </w:r>
      <w:r>
        <w:rPr>
          <w:rFonts w:ascii="Palatino Linotype" w:eastAsia="Palatino Linotype" w:hAnsi="Palatino Linotype" w:cs="Palatino Linotype"/>
          <w:b/>
          <w:color w:val="000000"/>
        </w:rPr>
        <w:t>RECURRENTE.</w:t>
      </w:r>
    </w:p>
    <w:p w14:paraId="0E2AF5DA" w14:textId="77777777" w:rsidR="00CB557F" w:rsidRDefault="00CB557F">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14:paraId="21265615" w14:textId="77777777" w:rsidR="00CB557F" w:rsidRDefault="00AA36A4">
      <w:pPr>
        <w:widowControl w:val="0"/>
        <w:pBdr>
          <w:top w:val="nil"/>
          <w:left w:val="nil"/>
          <w:bottom w:val="nil"/>
          <w:right w:val="nil"/>
          <w:between w:val="nil"/>
        </w:pBdr>
        <w:spacing w:after="240" w:line="360" w:lineRule="auto"/>
        <w:ind w:left="72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no realizó manifestaciones, ni formuló alegatos y tampoco ofreció medios de prueba. </w:t>
      </w:r>
    </w:p>
    <w:p w14:paraId="56C12BB5" w14:textId="77777777" w:rsidR="00CB557F" w:rsidRDefault="00AA36A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v</w:t>
      </w:r>
      <w:r>
        <w:rPr>
          <w:rFonts w:ascii="Palatino Linotype" w:eastAsia="Palatino Linotype" w:hAnsi="Palatino Linotype" w:cs="Palatino Linotype"/>
          <w:b/>
        </w:rPr>
        <w:t>eintiuno de febrero de dos mil veintidós</w:t>
      </w:r>
      <w:r>
        <w:rPr>
          <w:rFonts w:ascii="Palatino Linotype" w:eastAsia="Palatino Linotype" w:hAnsi="Palatino Linotype" w:cs="Palatino Linotype"/>
        </w:rPr>
        <w:t xml:space="preserve">, la Comisionada Ponente determinó el </w:t>
      </w:r>
      <w:r>
        <w:rPr>
          <w:rFonts w:ascii="Palatino Linotype" w:eastAsia="Palatino Linotype" w:hAnsi="Palatino Linotype" w:cs="Palatino Linotype"/>
        </w:rPr>
        <w:lastRenderedPageBreak/>
        <w:t>cierre de instrucción en términos de la fracción VI del artículo 185 de la Ley de Transparencia y Acceso a la Información Pública del Estado de México y Municipios.</w:t>
      </w:r>
    </w:p>
    <w:p w14:paraId="4BB6B4EA"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w:t>
      </w:r>
      <w:r>
        <w:rPr>
          <w:rFonts w:ascii="Palatino Linotype" w:eastAsia="Palatino Linotype" w:hAnsi="Palatino Linotype" w:cs="Palatino Linotype"/>
          <w:b/>
        </w:rPr>
        <w:t xml:space="preserve">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w:t>
      </w:r>
      <w:r>
        <w:rPr>
          <w:rFonts w:ascii="Palatino Linotype" w:eastAsia="Palatino Linotype" w:hAnsi="Palatino Linotype" w:cs="Palatino Linotype"/>
        </w:rPr>
        <w:t xml:space="preserve">diante el acuerdo respectivo, ampliar por quince días hábiles adicionales el plazo para emitir la presente resolución. </w:t>
      </w:r>
    </w:p>
    <w:p w14:paraId="3B476002" w14:textId="77777777" w:rsidR="00CB557F" w:rsidRPr="004907F7" w:rsidRDefault="00AA36A4">
      <w:pPr>
        <w:widowControl w:val="0"/>
        <w:spacing w:before="240" w:after="240" w:line="360" w:lineRule="auto"/>
        <w:jc w:val="center"/>
        <w:rPr>
          <w:rFonts w:ascii="Palatino Linotype" w:eastAsia="Palatino Linotype" w:hAnsi="Palatino Linotype" w:cs="Palatino Linotype"/>
          <w:b/>
          <w:lang w:val="pt-BR"/>
        </w:rPr>
      </w:pPr>
      <w:r w:rsidRPr="004907F7">
        <w:rPr>
          <w:rFonts w:ascii="Palatino Linotype" w:eastAsia="Palatino Linotype" w:hAnsi="Palatino Linotype" w:cs="Palatino Linotype"/>
          <w:b/>
          <w:lang w:val="pt-BR"/>
        </w:rPr>
        <w:t>II. C O N S I D E R A N D O</w:t>
      </w:r>
    </w:p>
    <w:p w14:paraId="3C3AEEE4"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w:t>
      </w:r>
      <w:r>
        <w:rPr>
          <w:rFonts w:ascii="Palatino Linotype" w:eastAsia="Palatino Linotype" w:hAnsi="Palatino Linotype" w:cs="Palatino Linotype"/>
        </w:rPr>
        <w:t>ersonales del Estado de México y Municipios, es competente para conocer y resolver el presente recurso de revisión interpuesto por la parte recurrente, conforme a lo dispuesto en los artículos 6, apartado A de la Constitución Política de los Estados Unidos</w:t>
      </w:r>
      <w:r>
        <w:rPr>
          <w:rFonts w:ascii="Palatino Linotype" w:eastAsia="Palatino Linotype" w:hAnsi="Palatino Linotype" w:cs="Palatino Linotype"/>
        </w:rPr>
        <w:t xml:space="preserve"> Mexicanos; 5 párrafos trigésimo, trigésimo primero y trigésimo segundo fracciones IV y V de la Constitución Política del Estado Libre y Soberano de México; 2, fracción II; 29, 36 fracciones I y II; 176, 178, 181, 185, fracción I, 186 y 188 de la Ley Trans</w:t>
      </w:r>
      <w:r>
        <w:rPr>
          <w:rFonts w:ascii="Palatino Linotype" w:eastAsia="Palatino Linotype" w:hAnsi="Palatino Linotype" w:cs="Palatino Linotype"/>
        </w:rPr>
        <w:t>parencia y Acceso a la Información Pública del Estado de México y Municipios; 9, fracciones I y XXIV y 11 del Reglamento Interior del Instituto de Transparencia, Acceso a la Información Pública y Protección de Datos Personales del Estado de México y Munici</w:t>
      </w:r>
      <w:r>
        <w:rPr>
          <w:rFonts w:ascii="Palatino Linotype" w:eastAsia="Palatino Linotype" w:hAnsi="Palatino Linotype" w:cs="Palatino Linotype"/>
        </w:rPr>
        <w:t>pios.</w:t>
      </w:r>
    </w:p>
    <w:p w14:paraId="3BEB6337" w14:textId="77777777" w:rsidR="00CB557F" w:rsidRDefault="00AA36A4">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Pr>
          <w:rFonts w:ascii="Palatino Linotype" w:eastAsia="Palatino Linotype" w:hAnsi="Palatino Linotype" w:cs="Palatino Linotype"/>
        </w:rPr>
        <w:lastRenderedPageBreak/>
        <w:t>artículos 178 y 180 de la Ley de Transparencia y Acceso a la Información Púb</w:t>
      </w:r>
      <w:r>
        <w:rPr>
          <w:rFonts w:ascii="Palatino Linotype" w:eastAsia="Palatino Linotype" w:hAnsi="Palatino Linotype" w:cs="Palatino Linotype"/>
        </w:rPr>
        <w:t>lica del Estado de México y Municipios.</w:t>
      </w:r>
    </w:p>
    <w:p w14:paraId="504A0C45"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toda vez que</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dieciséis de diciembre de dos mil veintiuno,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diez de enero de dos mil veintidós</w:t>
      </w:r>
      <w:r>
        <w:rPr>
          <w:rFonts w:ascii="Palatino Linotype" w:eastAsia="Palatino Linotype" w:hAnsi="Palatino Linotype" w:cs="Palatino Linotype"/>
        </w:rPr>
        <w:t>, esto es, el cuarto día hábil posterior en que tuvo conocimie</w:t>
      </w:r>
      <w:r>
        <w:rPr>
          <w:rFonts w:ascii="Palatino Linotype" w:eastAsia="Palatino Linotype" w:hAnsi="Palatino Linotype" w:cs="Palatino Linotype"/>
        </w:rPr>
        <w:t>nto de la respuesta impugnada.</w:t>
      </w:r>
    </w:p>
    <w:p w14:paraId="43C5A45C"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w:t>
      </w:r>
      <w:r>
        <w:rPr>
          <w:rFonts w:ascii="Palatino Linotype" w:eastAsia="Palatino Linotype" w:hAnsi="Palatino Linotype" w:cs="Palatino Linotype"/>
        </w:rPr>
        <w:t>80 de la Ley de Transparencia y Acceso a la Información Pública del Estado de México y Municipios, en atención a que fue presentado mediante el formato visible en el SAIMEX.</w:t>
      </w:r>
    </w:p>
    <w:p w14:paraId="103F297A"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w:t>
      </w:r>
      <w:r>
        <w:rPr>
          <w:rFonts w:ascii="Palatino Linotype" w:eastAsia="Palatino Linotype" w:hAnsi="Palatino Linotype" w:cs="Palatino Linotype"/>
        </w:rPr>
        <w:t xml:space="preserve"> lo manifestado por el recurrente en sus motivos de inconformidad, de acuerdo al artículo 179, fracción VI del ordenamiento legal citado, que a la letra dice: </w:t>
      </w:r>
    </w:p>
    <w:p w14:paraId="6226EECE" w14:textId="77777777" w:rsidR="00CB557F" w:rsidRDefault="00AA36A4">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AA44B9A" w14:textId="77777777" w:rsidR="00CB557F" w:rsidRDefault="00AA36A4">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BF50299" w14:textId="77777777" w:rsidR="00CB557F" w:rsidRDefault="00AA36A4">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 La entrega de información que no corresponda con</w:t>
      </w:r>
      <w:r>
        <w:rPr>
          <w:rFonts w:ascii="Palatino Linotype" w:eastAsia="Palatino Linotype" w:hAnsi="Palatino Linotype" w:cs="Palatino Linotype"/>
          <w:b/>
          <w:i/>
          <w:sz w:val="22"/>
          <w:szCs w:val="22"/>
        </w:rPr>
        <w:t xml:space="preserve"> lo solicitado;</w:t>
      </w:r>
      <w:r>
        <w:rPr>
          <w:rFonts w:ascii="Palatino Linotype" w:eastAsia="Palatino Linotype" w:hAnsi="Palatino Linotype" w:cs="Palatino Linotype"/>
          <w:b/>
          <w:i/>
          <w:sz w:val="22"/>
          <w:szCs w:val="22"/>
        </w:rPr>
        <w:br/>
        <w:t>…</w:t>
      </w:r>
      <w:r>
        <w:rPr>
          <w:rFonts w:ascii="Palatino Linotype" w:eastAsia="Palatino Linotype" w:hAnsi="Palatino Linotype" w:cs="Palatino Linotype"/>
          <w:i/>
          <w:sz w:val="22"/>
          <w:szCs w:val="22"/>
        </w:rPr>
        <w:t>”</w:t>
      </w:r>
    </w:p>
    <w:p w14:paraId="61719580"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Tercero. Análisis de las causales de sobreseimiento. </w:t>
      </w:r>
      <w:r>
        <w:rPr>
          <w:rFonts w:ascii="Palatino Linotype" w:eastAsia="Palatino Linotype" w:hAnsi="Palatino Linotype" w:cs="Palatino Linotype"/>
          <w:color w:val="000000"/>
        </w:rPr>
        <w:t xml:space="preserve">En primer término, es importante referir que la fracción III del artículo 192, de la </w:t>
      </w:r>
      <w:r>
        <w:rPr>
          <w:rFonts w:ascii="Palatino Linotype" w:eastAsia="Palatino Linotype" w:hAnsi="Palatino Linotype" w:cs="Palatino Linotype"/>
          <w:b/>
          <w:color w:val="000000"/>
        </w:rPr>
        <w:t xml:space="preserve">Ley de Transparencia y Acceso a la Información Pública del Estado de México y Municipios </w:t>
      </w:r>
      <w:r>
        <w:rPr>
          <w:rFonts w:ascii="Palatino Linotype" w:eastAsia="Palatino Linotype" w:hAnsi="Palatino Linotype" w:cs="Palatino Linotype"/>
          <w:color w:val="000000"/>
        </w:rPr>
        <w:t>establece:</w:t>
      </w:r>
    </w:p>
    <w:p w14:paraId="5D813B3F" w14:textId="77777777" w:rsidR="00CB557F" w:rsidRDefault="00CB557F">
      <w:p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p>
    <w:p w14:paraId="41CAC15E" w14:textId="77777777" w:rsidR="00CB557F" w:rsidRDefault="00AA36A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192. </w:t>
      </w:r>
      <w:r>
        <w:rPr>
          <w:rFonts w:ascii="Palatino Linotype" w:eastAsia="Palatino Linotype" w:hAnsi="Palatino Linotype" w:cs="Palatino Linotype"/>
          <w:i/>
          <w:color w:val="000000"/>
        </w:rPr>
        <w:t>El recurso será sobreseído, en todo o en parte, cuando una vez admitido, se actualicen alguno de los siguientes supuestos:</w:t>
      </w:r>
    </w:p>
    <w:p w14:paraId="1A69190E" w14:textId="77777777" w:rsidR="00CB557F" w:rsidRDefault="00AA36A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4CF2E2C3" w14:textId="77777777" w:rsidR="00CB557F" w:rsidRDefault="00AA36A4">
      <w:pPr>
        <w:pBdr>
          <w:top w:val="nil"/>
          <w:left w:val="nil"/>
          <w:bottom w:val="nil"/>
          <w:right w:val="nil"/>
          <w:between w:val="nil"/>
        </w:pBdr>
        <w:spacing w:line="360" w:lineRule="auto"/>
        <w:ind w:left="720"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III. El sujeto obligado responsable del acto lo modifique o revoque de tal manera que el recurso de revisión quede sin materia;”</w:t>
      </w:r>
    </w:p>
    <w:p w14:paraId="1CF220EB" w14:textId="77777777" w:rsidR="00CB557F" w:rsidRDefault="00CB557F">
      <w:pPr>
        <w:pBdr>
          <w:top w:val="nil"/>
          <w:left w:val="nil"/>
          <w:bottom w:val="nil"/>
          <w:right w:val="nil"/>
          <w:between w:val="nil"/>
        </w:pBdr>
        <w:spacing w:line="360" w:lineRule="auto"/>
        <w:ind w:left="720" w:right="616"/>
        <w:jc w:val="both"/>
        <w:rPr>
          <w:rFonts w:ascii="Palatino Linotype" w:eastAsia="Palatino Linotype" w:hAnsi="Palatino Linotype" w:cs="Palatino Linotype"/>
          <w:b/>
          <w:i/>
          <w:color w:val="000000"/>
        </w:rPr>
      </w:pPr>
    </w:p>
    <w:p w14:paraId="0FE59531"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relación a las causas de sobreseimiento establecidas, es oportuno señalar que estos requisitos privilegian la existencia de</w:t>
      </w:r>
      <w:r>
        <w:rPr>
          <w:rFonts w:ascii="Palatino Linotype" w:eastAsia="Palatino Linotype" w:hAnsi="Palatino Linotype" w:cs="Palatino Linotype"/>
          <w:color w:val="000000"/>
        </w:rPr>
        <w:t xml:space="preserve"> elementos de fondo; como el desistimiento o fallecimiento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modifique o revoque el acto</w:t>
      </w:r>
      <w:r>
        <w:rPr>
          <w:rFonts w:ascii="Palatino Linotype" w:eastAsia="Palatino Linotype" w:hAnsi="Palatino Linotype" w:cs="Palatino Linotype"/>
          <w:color w:val="000000"/>
        </w:rPr>
        <w:t>; de ahí que la actualización de alguno de éstos trae como consecuencia que el medio de impugnación se concluya sin que se analice el objeto de estudio planteado, es decir se sobresea.</w:t>
      </w:r>
    </w:p>
    <w:p w14:paraId="759926A7" w14:textId="77777777" w:rsidR="00CB557F" w:rsidRDefault="00CB557F">
      <w:p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p>
    <w:p w14:paraId="0F6CDB2B"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la doctrina refiere que el sobreseimiento provoca que </w:t>
      </w:r>
      <w:r>
        <w:rPr>
          <w:rFonts w:ascii="Palatino Linotype" w:eastAsia="Palatino Linotype" w:hAnsi="Palatino Linotype" w:cs="Palatino Linotype"/>
          <w:color w:val="000000"/>
        </w:rPr>
        <w:t>un procedimiento se suspenda o se resuelva, en definitiva, sin que se entre al estudio de los agravios o motivos de inconformidad. Este mismo criterio es compartido por el más alto tribunal del país en múltiples jurisprudencias, por lo que a continuación s</w:t>
      </w:r>
      <w:r>
        <w:rPr>
          <w:rFonts w:ascii="Palatino Linotype" w:eastAsia="Palatino Linotype" w:hAnsi="Palatino Linotype" w:cs="Palatino Linotype"/>
          <w:color w:val="000000"/>
        </w:rPr>
        <w:t>e agrega una de ellas que sirve como orientador en esta resolución:</w:t>
      </w:r>
    </w:p>
    <w:p w14:paraId="5E20B5E5" w14:textId="77777777" w:rsidR="00CB557F" w:rsidRDefault="00CB557F">
      <w:pPr>
        <w:pBdr>
          <w:top w:val="nil"/>
          <w:left w:val="nil"/>
          <w:bottom w:val="nil"/>
          <w:right w:val="nil"/>
          <w:between w:val="nil"/>
        </w:pBdr>
        <w:ind w:left="720"/>
        <w:rPr>
          <w:rFonts w:ascii="Palatino Linotype" w:eastAsia="Palatino Linotype" w:hAnsi="Palatino Linotype" w:cs="Palatino Linotype"/>
          <w:color w:val="000000"/>
        </w:rPr>
      </w:pPr>
    </w:p>
    <w:p w14:paraId="27EEF1A7" w14:textId="77777777" w:rsidR="00CB557F" w:rsidRDefault="00AA36A4">
      <w:pPr>
        <w:pBdr>
          <w:top w:val="nil"/>
          <w:left w:val="nil"/>
          <w:bottom w:val="nil"/>
          <w:right w:val="nil"/>
          <w:between w:val="nil"/>
        </w:pBdr>
        <w:spacing w:line="360" w:lineRule="auto"/>
        <w:ind w:left="720"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SOBRESEIMIENTO EN EL JUICIO DE AMPARO DIRECTO. IMPIDE EL ESTUDIO DE LAS VIOLACIONES PROCESALES PLANTEADAS EN LOS CONCEPTOS DE VIOLACIÓN.</w:t>
      </w:r>
    </w:p>
    <w:p w14:paraId="14B956E2" w14:textId="77777777" w:rsidR="00CB557F" w:rsidRDefault="00AA36A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El sobreseimiento</w:t>
      </w:r>
      <w:r>
        <w:rPr>
          <w:rFonts w:ascii="Palatino Linotype" w:eastAsia="Palatino Linotype" w:hAnsi="Palatino Linotype" w:cs="Palatino Linotype"/>
          <w:i/>
          <w:color w:val="000000"/>
        </w:rPr>
        <w:t xml:space="preserve"> en el juicio de amparo directo </w:t>
      </w:r>
      <w:r>
        <w:rPr>
          <w:rFonts w:ascii="Palatino Linotype" w:eastAsia="Palatino Linotype" w:hAnsi="Palatino Linotype" w:cs="Palatino Linotype"/>
          <w:b/>
          <w:i/>
          <w:color w:val="000000"/>
        </w:rPr>
        <w:t>provoca la terminación de la controversia planteada</w:t>
      </w:r>
      <w:r>
        <w:rPr>
          <w:rFonts w:ascii="Palatino Linotype" w:eastAsia="Palatino Linotype" w:hAnsi="Palatino Linotype" w:cs="Palatino Linotype"/>
          <w:i/>
          <w:color w:val="000000"/>
        </w:rPr>
        <w:t xml:space="preserve"> por el quejoso en la demanda de amparo</w:t>
      </w:r>
      <w:r>
        <w:rPr>
          <w:rFonts w:ascii="Palatino Linotype" w:eastAsia="Palatino Linotype" w:hAnsi="Palatino Linotype" w:cs="Palatino Linotype"/>
          <w:b/>
          <w:i/>
          <w:color w:val="000000"/>
        </w:rPr>
        <w:t>, sin hacer un pronunciamiento de fondo sobre la legalidad o ilegalidad de la sentencia reclamada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Por consiguiente, si al sobreseerse en el juicio de amparo </w:t>
      </w:r>
      <w:r>
        <w:rPr>
          <w:rFonts w:ascii="Palatino Linotype" w:eastAsia="Palatino Linotype" w:hAnsi="Palatino Linotype" w:cs="Palatino Linotype"/>
          <w:b/>
          <w:i/>
          <w:color w:val="000000"/>
          <w:u w:val="single"/>
        </w:rPr>
        <w:t>no se pu</w:t>
      </w:r>
      <w:r>
        <w:rPr>
          <w:rFonts w:ascii="Palatino Linotype" w:eastAsia="Palatino Linotype" w:hAnsi="Palatino Linotype" w:cs="Palatino Linotype"/>
          <w:b/>
          <w:i/>
          <w:color w:val="000000"/>
          <w:u w:val="single"/>
        </w:rPr>
        <w:t xml:space="preserve">eden estudiar los planteamientos que se hacen valer en contra del fallo reclamado, tampoco se deben analizar las violaciones procesales propuestas en los conceptos de violación, dado que, la principal consecuencia del sobreseimiento es poner fin al juicio </w:t>
      </w:r>
      <w:r>
        <w:rPr>
          <w:rFonts w:ascii="Palatino Linotype" w:eastAsia="Palatino Linotype" w:hAnsi="Palatino Linotype" w:cs="Palatino Linotype"/>
          <w:b/>
          <w:i/>
          <w:color w:val="000000"/>
          <w:u w:val="single"/>
        </w:rPr>
        <w:t>de amparo sin resolver la controversia en sus méritos</w:t>
      </w:r>
      <w:r>
        <w:rPr>
          <w:rFonts w:ascii="Palatino Linotype" w:eastAsia="Palatino Linotype" w:hAnsi="Palatino Linotype" w:cs="Palatino Linotype"/>
          <w:i/>
          <w:color w:val="000000"/>
        </w:rPr>
        <w:t>.</w:t>
      </w:r>
    </w:p>
    <w:p w14:paraId="2546CCF5" w14:textId="77777777" w:rsidR="00CB557F" w:rsidRDefault="00AA36A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SÉPTIMO TRIBUNAL COLEGIADO EN MATERIA CIVIL DEL PRIMER CIRCUITO.</w:t>
      </w:r>
    </w:p>
    <w:p w14:paraId="283196F7" w14:textId="77777777" w:rsidR="00CB557F" w:rsidRDefault="00AA36A4">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Amparo directo 699/2008. Mariana Leticia González Steele. 13 de noviembre de 2008. Unanimidad de votos. Ponente: Sara Judith Montalvo Trejo. Secretario: Arnulfo Mateos García.</w:t>
      </w:r>
    </w:p>
    <w:p w14:paraId="117951E8" w14:textId="77777777" w:rsidR="00CB557F" w:rsidRDefault="00CB557F">
      <w:pPr>
        <w:pBdr>
          <w:top w:val="nil"/>
          <w:left w:val="nil"/>
          <w:bottom w:val="nil"/>
          <w:right w:val="nil"/>
          <w:between w:val="nil"/>
        </w:pBdr>
        <w:spacing w:line="360" w:lineRule="auto"/>
        <w:ind w:left="720" w:right="616"/>
        <w:jc w:val="both"/>
        <w:rPr>
          <w:rFonts w:ascii="Palatino Linotype" w:eastAsia="Palatino Linotype" w:hAnsi="Palatino Linotype" w:cs="Palatino Linotype"/>
          <w:i/>
          <w:color w:val="000000"/>
        </w:rPr>
      </w:pPr>
    </w:p>
    <w:p w14:paraId="7647F264"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este modo, se puede deducir que, en las resoluciones dictadas por el Pleno d</w:t>
      </w:r>
      <w:r>
        <w:rPr>
          <w:rFonts w:ascii="Palatino Linotype" w:eastAsia="Palatino Linotype" w:hAnsi="Palatino Linotype" w:cs="Palatino Linotype"/>
          <w:color w:val="000000"/>
        </w:rPr>
        <w:t xml:space="preserve">e este Instituto, en las que se decreta el sobreseimiento de un recurso de revisión por la actualización de alguno de los supuestos jurídicos contemplados en el artículo </w:t>
      </w:r>
      <w:r>
        <w:rPr>
          <w:rFonts w:ascii="Palatino Linotype" w:eastAsia="Palatino Linotype" w:hAnsi="Palatino Linotype" w:cs="Palatino Linotype"/>
          <w:b/>
          <w:color w:val="000000"/>
        </w:rPr>
        <w:t xml:space="preserve">192 </w:t>
      </w:r>
      <w:r>
        <w:rPr>
          <w:rFonts w:ascii="Palatino Linotype" w:eastAsia="Palatino Linotype" w:hAnsi="Palatino Linotype" w:cs="Palatino Linotype"/>
          <w:color w:val="000000"/>
        </w:rPr>
        <w:t xml:space="preserve">de la </w:t>
      </w:r>
      <w:r>
        <w:rPr>
          <w:rFonts w:ascii="Palatino Linotype" w:eastAsia="Palatino Linotype" w:hAnsi="Palatino Linotype" w:cs="Palatino Linotype"/>
          <w:b/>
          <w:color w:val="000000"/>
        </w:rPr>
        <w:t xml:space="preserve">Ley de Transparencia y Acceso a la Información Pública del Estado de México </w:t>
      </w:r>
      <w:r>
        <w:rPr>
          <w:rFonts w:ascii="Palatino Linotype" w:eastAsia="Palatino Linotype" w:hAnsi="Palatino Linotype" w:cs="Palatino Linotype"/>
          <w:b/>
          <w:color w:val="000000"/>
        </w:rPr>
        <w:t>y Municipios</w:t>
      </w:r>
      <w:r>
        <w:rPr>
          <w:rFonts w:ascii="Palatino Linotype" w:eastAsia="Palatino Linotype" w:hAnsi="Palatino Linotype" w:cs="Palatino Linotype"/>
          <w:color w:val="000000"/>
        </w:rPr>
        <w:t>, nos encontramos ante un sobreseimiento definitivo toda vez que pone fin al procedimiento sin entrar al estudio de fondo del mismo.</w:t>
      </w:r>
    </w:p>
    <w:p w14:paraId="412AE09D" w14:textId="77777777" w:rsidR="00CB557F" w:rsidRDefault="00CB557F">
      <w:p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p>
    <w:p w14:paraId="24F7AB4C"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los efectos de esta resolución, es oportuno precisar los alcances jurídicos de la </w:t>
      </w:r>
      <w:r>
        <w:rPr>
          <w:rFonts w:ascii="Palatino Linotype" w:eastAsia="Palatino Linotype" w:hAnsi="Palatino Linotype" w:cs="Palatino Linotype"/>
          <w:b/>
          <w:color w:val="000000"/>
        </w:rPr>
        <w:t>fracción III</w:t>
      </w:r>
      <w:r>
        <w:rPr>
          <w:rFonts w:ascii="Palatino Linotype" w:eastAsia="Palatino Linotype" w:hAnsi="Palatino Linotype" w:cs="Palatino Linotype"/>
          <w:color w:val="000000"/>
        </w:rPr>
        <w:t xml:space="preserve"> de la disposición legal transcrita. Así, procede el sobreseimiento del recurso de revisión cuando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4C73484B" w14:textId="77777777" w:rsidR="00CB557F" w:rsidRDefault="00CB557F">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7DA93C3C" w14:textId="77777777" w:rsidR="00CB557F" w:rsidRDefault="00AA36A4">
      <w:pPr>
        <w:numPr>
          <w:ilvl w:val="0"/>
          <w:numId w:val="1"/>
        </w:num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Modifique el acto impugnado:</w:t>
      </w:r>
      <w:r>
        <w:rPr>
          <w:rFonts w:ascii="Palatino Linotype" w:eastAsia="Palatino Linotype" w:hAnsi="Palatino Linotype" w:cs="Palatino Linotype"/>
          <w:color w:val="000000"/>
        </w:rPr>
        <w:t xml:space="preserve"> Se actualiza cuando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después de haber otorgado una respuesta y hasta antes de dictada la resolución del recurso de revisión, emite una diversa en la que subsane las deficiencias que hubiera tenido.</w:t>
      </w:r>
    </w:p>
    <w:p w14:paraId="6078C594" w14:textId="77777777" w:rsidR="00CB557F" w:rsidRDefault="00AA36A4">
      <w:pPr>
        <w:numPr>
          <w:ilvl w:val="0"/>
          <w:numId w:val="1"/>
        </w:num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Revoque el acto impugnado:</w:t>
      </w:r>
      <w:r>
        <w:rPr>
          <w:rFonts w:ascii="Palatino Linotype" w:eastAsia="Palatino Linotype" w:hAnsi="Palatino Linotype" w:cs="Palatino Linotype"/>
          <w:color w:val="000000"/>
        </w:rPr>
        <w:t xml:space="preserve"> En este supuesto,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deja sin efect</w:t>
      </w:r>
      <w:r>
        <w:rPr>
          <w:rFonts w:ascii="Palatino Linotype" w:eastAsia="Palatino Linotype" w:hAnsi="Palatino Linotype" w:cs="Palatino Linotype"/>
          <w:color w:val="000000"/>
        </w:rPr>
        <w:t>os la primera respuesta y en su lugar emite otra que satisfaga lo solicitado por el particular.</w:t>
      </w:r>
    </w:p>
    <w:p w14:paraId="14409B4E" w14:textId="77777777" w:rsidR="00CB557F" w:rsidRDefault="00CB557F">
      <w:p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p>
    <w:p w14:paraId="0D92BF54"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consecuencias jurídicas de esta modificación o revocación es que el recurso de revisión interpuesto quede sin efectos o sin materia y se procure la debida </w:t>
      </w:r>
      <w:r>
        <w:rPr>
          <w:rFonts w:ascii="Palatino Linotype" w:eastAsia="Palatino Linotype" w:hAnsi="Palatino Linotype" w:cs="Palatino Linotype"/>
          <w:color w:val="000000"/>
        </w:rPr>
        <w:t xml:space="preserve">tutela del Derecho de Acceso a la Información Pública. Un acto impugnado queda sin efectos, cuando aun existiendo jurídicamente, no genera consecuencia legal alguna; queda sin materia, </w:t>
      </w:r>
      <w:r>
        <w:rPr>
          <w:rFonts w:ascii="Palatino Linotype" w:eastAsia="Palatino Linotype" w:hAnsi="Palatino Linotype" w:cs="Palatino Linotype"/>
          <w:color w:val="000000"/>
          <w:u w:val="single"/>
        </w:rPr>
        <w:t>cuando ha sido satisfecha la pretensión del particular</w:t>
      </w:r>
      <w:r>
        <w:rPr>
          <w:rFonts w:ascii="Palatino Linotype" w:eastAsia="Palatino Linotype" w:hAnsi="Palatino Linotype" w:cs="Palatino Linotype"/>
          <w:color w:val="000000"/>
        </w:rPr>
        <w:t>, ya sea porque se hizo la entrega de la información solicitada o porque se completó la misma.</w:t>
      </w:r>
    </w:p>
    <w:p w14:paraId="51C2B1A3" w14:textId="77777777" w:rsidR="00CB557F" w:rsidRDefault="00CB557F">
      <w:p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p>
    <w:p w14:paraId="352595EE"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importante precisar que, en el asunto que se resuelve,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 xml:space="preserve">solicitó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i/>
          <w:color w:val="000000"/>
        </w:rPr>
        <w:t>“… ME INFORME QUE UNIDAD ADMINISTRATIVA SE ENCARGA DE LAS ENAJENACIONES DE BIENES MUEBLES Y DE QUÉ DIRECCIÓN GENERAL DEPENDE DICHA UNIDAD ADMINISTRATIVA.” (sic)</w:t>
      </w:r>
    </w:p>
    <w:p w14:paraId="7DF58B85" w14:textId="77777777" w:rsidR="00CB557F" w:rsidRDefault="00AA36A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entregó el oficio número IFMAI/0285/2021 del dieciséis de d</w:t>
      </w:r>
      <w:r>
        <w:rPr>
          <w:rFonts w:ascii="Palatino Linotype" w:eastAsia="Palatino Linotype" w:hAnsi="Palatino Linotype" w:cs="Palatino Linotype"/>
        </w:rPr>
        <w:t xml:space="preserve">iciembre de </w:t>
      </w:r>
      <w:proofErr w:type="gramStart"/>
      <w:r>
        <w:rPr>
          <w:rFonts w:ascii="Palatino Linotype" w:eastAsia="Palatino Linotype" w:hAnsi="Palatino Linotype" w:cs="Palatino Linotype"/>
        </w:rPr>
        <w:t>dos mil veintiuno</w:t>
      </w:r>
      <w:proofErr w:type="gramEnd"/>
      <w:r>
        <w:rPr>
          <w:rFonts w:ascii="Palatino Linotype" w:eastAsia="Palatino Linotype" w:hAnsi="Palatino Linotype" w:cs="Palatino Linotype"/>
        </w:rPr>
        <w:t xml:space="preserve">, suscrito y signado por la Jefa del Departamento de la Unidad de Transparencia y Acceso a la Información Pública, dirigido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por medio del cual da respuesta a la información solicitada, mediante lo siguiente:</w:t>
      </w:r>
    </w:p>
    <w:p w14:paraId="4FF67922" w14:textId="77777777" w:rsidR="00CB557F" w:rsidRDefault="00AA36A4">
      <w:pPr>
        <w:spacing w:before="240" w:after="240" w:line="360" w:lineRule="auto"/>
        <w:ind w:right="49"/>
        <w:jc w:val="both"/>
        <w:rPr>
          <w:rFonts w:ascii="Palatino Linotype" w:eastAsia="Palatino Linotype" w:hAnsi="Palatino Linotype" w:cs="Palatino Linotype"/>
        </w:rPr>
      </w:pPr>
      <w:r>
        <w:rPr>
          <w:noProof/>
          <w:lang w:val="es-ES_tradnl"/>
        </w:rPr>
        <w:drawing>
          <wp:inline distT="0" distB="0" distL="0" distR="0" wp14:anchorId="0B79713A" wp14:editId="4CF96E40">
            <wp:extent cx="5608316" cy="2380265"/>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5027" t="52806" b="28350"/>
                    <a:stretch>
                      <a:fillRect/>
                    </a:stretch>
                  </pic:blipFill>
                  <pic:spPr>
                    <a:xfrm>
                      <a:off x="0" y="0"/>
                      <a:ext cx="5608316" cy="2380265"/>
                    </a:xfrm>
                    <a:prstGeom prst="rect">
                      <a:avLst/>
                    </a:prstGeom>
                    <a:ln/>
                  </pic:spPr>
                </pic:pic>
              </a:graphicData>
            </a:graphic>
          </wp:inline>
        </w:drawing>
      </w:r>
      <w:r>
        <w:rPr>
          <w:rFonts w:ascii="Palatino Linotype" w:eastAsia="Palatino Linotype" w:hAnsi="Palatino Linotype" w:cs="Palatino Linotype"/>
        </w:rPr>
        <w:t xml:space="preserve"> </w:t>
      </w:r>
      <w:r>
        <w:rPr>
          <w:noProof/>
          <w:lang w:val="es-ES_tradnl"/>
        </w:rPr>
        <mc:AlternateContent>
          <mc:Choice Requires="wpg">
            <w:drawing>
              <wp:anchor distT="0" distB="0" distL="114300" distR="114300" simplePos="0" relativeHeight="251660288" behindDoc="0" locked="0" layoutInCell="1" hidden="0" allowOverlap="1" wp14:anchorId="18075F39" wp14:editId="6DDCDC9B">
                <wp:simplePos x="0" y="0"/>
                <wp:positionH relativeFrom="column">
                  <wp:posOffset>88901</wp:posOffset>
                </wp:positionH>
                <wp:positionV relativeFrom="paragraph">
                  <wp:posOffset>1917700</wp:posOffset>
                </wp:positionV>
                <wp:extent cx="5410200" cy="438150"/>
                <wp:effectExtent l="0" t="0" r="0" b="0"/>
                <wp:wrapNone/>
                <wp:docPr id="28" name="Rectángulo 28"/>
                <wp:cNvGraphicFramePr/>
                <a:graphic xmlns:a="http://schemas.openxmlformats.org/drawingml/2006/main">
                  <a:graphicData uri="http://schemas.microsoft.com/office/word/2010/wordprocessingShape">
                    <wps:wsp>
                      <wps:cNvSpPr/>
                      <wps:spPr>
                        <a:xfrm>
                          <a:off x="2650425" y="3570450"/>
                          <a:ext cx="5391150" cy="419100"/>
                        </a:xfrm>
                        <a:prstGeom prst="rect">
                          <a:avLst/>
                        </a:prstGeom>
                        <a:noFill/>
                        <a:ln w="19050" cap="flat" cmpd="sng">
                          <a:solidFill>
                            <a:srgbClr val="FF0000"/>
                          </a:solidFill>
                          <a:prstDash val="solid"/>
                          <a:round/>
                          <a:headEnd type="none" w="sm" len="sm"/>
                          <a:tailEnd type="none" w="sm" len="sm"/>
                        </a:ln>
                      </wps:spPr>
                      <wps:txbx>
                        <w:txbxContent>
                          <w:p w14:paraId="1493DAE1" w14:textId="77777777" w:rsidR="00CB557F" w:rsidRDefault="00CB557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1917700</wp:posOffset>
                </wp:positionV>
                <wp:extent cx="5410200" cy="438150"/>
                <wp:effectExtent b="0" l="0" r="0" t="0"/>
                <wp:wrapNone/>
                <wp:docPr id="28"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410200" cy="438150"/>
                        </a:xfrm>
                        <a:prstGeom prst="rect"/>
                        <a:ln/>
                      </pic:spPr>
                    </pic:pic>
                  </a:graphicData>
                </a:graphic>
              </wp:anchor>
            </w:drawing>
          </mc:Fallback>
        </mc:AlternateContent>
      </w:r>
    </w:p>
    <w:p w14:paraId="3D91E518" w14:textId="77777777" w:rsidR="00CB557F" w:rsidRDefault="00AA36A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Derivado de la respuesta</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el recurso de revisión en el que manifestó como razones o motivos de inconformidad que, </w:t>
      </w:r>
      <w:r>
        <w:rPr>
          <w:rFonts w:ascii="Palatino Linotype" w:eastAsia="Palatino Linotype" w:hAnsi="Palatino Linotype" w:cs="Palatino Linotype"/>
          <w:i/>
          <w:sz w:val="22"/>
          <w:szCs w:val="22"/>
        </w:rPr>
        <w:t>“Se le solicito al sujeto obligado informara ¿Qué unidad administrativa se encarga de EJECUTAR el procedimiento de enajenación de bienes muebles?” (sic)</w:t>
      </w:r>
    </w:p>
    <w:p w14:paraId="210E9819" w14:textId="77777777" w:rsidR="00CB557F" w:rsidRDefault="00AA36A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es conveniente referir, que si bien es cierto, se atendió el requerimiento formulado d</w:t>
      </w:r>
      <w:r>
        <w:rPr>
          <w:rFonts w:ascii="Palatino Linotype" w:eastAsia="Palatino Linotype" w:hAnsi="Palatino Linotype" w:cs="Palatino Linotype"/>
        </w:rPr>
        <w:t xml:space="preserve">entro el plazo que para tal efecto dispone la Ley en la materia, también lo es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no hizo entrega de la información solicitada, ya que no dio a conocer la unidad administrativa encargada de ejecutar el procedimiento de enajenación de b</w:t>
      </w:r>
      <w:r>
        <w:rPr>
          <w:rFonts w:ascii="Palatino Linotype" w:eastAsia="Palatino Linotype" w:hAnsi="Palatino Linotype" w:cs="Palatino Linotype"/>
        </w:rPr>
        <w:t xml:space="preserve">ienes muebles, por lo que una vez interpuesto el medio de inconformidad,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uso de su </w:t>
      </w:r>
      <w:r>
        <w:rPr>
          <w:rFonts w:ascii="Palatino Linotype" w:eastAsia="Palatino Linotype" w:hAnsi="Palatino Linotype" w:cs="Palatino Linotype"/>
        </w:rPr>
        <w:lastRenderedPageBreak/>
        <w:t xml:space="preserve">derecho, a través del informe justificado, remitió el documento: </w:t>
      </w:r>
      <w:r>
        <w:rPr>
          <w:rFonts w:ascii="Palatino Linotype" w:eastAsia="Palatino Linotype" w:hAnsi="Palatino Linotype" w:cs="Palatino Linotype"/>
          <w:b/>
          <w:i/>
        </w:rPr>
        <w:t xml:space="preserve">“Respuesta Solicitud 00101 ISIFABE IP 2021.pdf”, </w:t>
      </w:r>
      <w:r>
        <w:rPr>
          <w:rFonts w:ascii="Palatino Linotype" w:eastAsia="Palatino Linotype" w:hAnsi="Palatino Linotype" w:cs="Palatino Linotype"/>
        </w:rPr>
        <w:t>oficio sin número del once de febrero</w:t>
      </w:r>
      <w:r>
        <w:rPr>
          <w:rFonts w:ascii="Palatino Linotype" w:eastAsia="Palatino Linotype" w:hAnsi="Palatino Linotype" w:cs="Palatino Linotype"/>
        </w:rPr>
        <w:t xml:space="preserve"> de dos mil veintidós, suscrito por el Coordinador General Municipal de Mejora Regulatoria y Unidad de Transparencia y Acceso a la Información Pública, por medio del cual, rinde una nueva respuesta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los términos siguientes:</w:t>
      </w:r>
    </w:p>
    <w:p w14:paraId="47EDAA68" w14:textId="77777777" w:rsidR="00CB557F" w:rsidRDefault="00AA36A4">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r>
        <w:rPr>
          <w:noProof/>
          <w:color w:val="000000"/>
          <w:lang w:val="es-ES_tradnl"/>
        </w:rPr>
        <w:drawing>
          <wp:inline distT="0" distB="0" distL="0" distR="0" wp14:anchorId="4D080A6A" wp14:editId="488451C2">
            <wp:extent cx="5066050" cy="2161042"/>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73659" t="37116" r="2069" b="44478"/>
                    <a:stretch>
                      <a:fillRect/>
                    </a:stretch>
                  </pic:blipFill>
                  <pic:spPr>
                    <a:xfrm>
                      <a:off x="0" y="0"/>
                      <a:ext cx="5066050" cy="2161042"/>
                    </a:xfrm>
                    <a:prstGeom prst="rect">
                      <a:avLst/>
                    </a:prstGeom>
                    <a:ln/>
                  </pic:spPr>
                </pic:pic>
              </a:graphicData>
            </a:graphic>
          </wp:inline>
        </w:drawing>
      </w:r>
      <w:r>
        <w:rPr>
          <w:noProof/>
          <w:lang w:val="es-ES_tradnl"/>
        </w:rPr>
        <mc:AlternateContent>
          <mc:Choice Requires="wpg">
            <w:drawing>
              <wp:anchor distT="0" distB="0" distL="114300" distR="114300" simplePos="0" relativeHeight="251661312" behindDoc="0" locked="0" layoutInCell="1" hidden="0" allowOverlap="1" wp14:anchorId="174163BC" wp14:editId="429BD81F">
                <wp:simplePos x="0" y="0"/>
                <wp:positionH relativeFrom="column">
                  <wp:posOffset>571500</wp:posOffset>
                </wp:positionH>
                <wp:positionV relativeFrom="paragraph">
                  <wp:posOffset>914400</wp:posOffset>
                </wp:positionV>
                <wp:extent cx="4772025" cy="447675"/>
                <wp:effectExtent l="0" t="0" r="0" b="0"/>
                <wp:wrapNone/>
                <wp:docPr id="24" name="Rectángulo 24"/>
                <wp:cNvGraphicFramePr/>
                <a:graphic xmlns:a="http://schemas.openxmlformats.org/drawingml/2006/main">
                  <a:graphicData uri="http://schemas.microsoft.com/office/word/2010/wordprocessingShape">
                    <wps:wsp>
                      <wps:cNvSpPr/>
                      <wps:spPr>
                        <a:xfrm>
                          <a:off x="2969513" y="3565688"/>
                          <a:ext cx="4752975" cy="428625"/>
                        </a:xfrm>
                        <a:prstGeom prst="rect">
                          <a:avLst/>
                        </a:prstGeom>
                        <a:noFill/>
                        <a:ln w="19050" cap="flat" cmpd="sng">
                          <a:solidFill>
                            <a:srgbClr val="FF0000"/>
                          </a:solidFill>
                          <a:prstDash val="solid"/>
                          <a:round/>
                          <a:headEnd type="none" w="sm" len="sm"/>
                          <a:tailEnd type="none" w="sm" len="sm"/>
                        </a:ln>
                      </wps:spPr>
                      <wps:txbx>
                        <w:txbxContent>
                          <w:p w14:paraId="588AEE3B" w14:textId="77777777" w:rsidR="00CB557F" w:rsidRDefault="00CB557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914400</wp:posOffset>
                </wp:positionV>
                <wp:extent cx="4772025" cy="447675"/>
                <wp:effectExtent b="0" l="0" r="0" t="0"/>
                <wp:wrapNone/>
                <wp:docPr id="24"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772025" cy="447675"/>
                        </a:xfrm>
                        <a:prstGeom prst="rect"/>
                        <a:ln/>
                      </pic:spPr>
                    </pic:pic>
                  </a:graphicData>
                </a:graphic>
              </wp:anchor>
            </w:drawing>
          </mc:Fallback>
        </mc:AlternateContent>
      </w:r>
    </w:p>
    <w:p w14:paraId="03AF41E2" w14:textId="77777777" w:rsidR="00CB557F" w:rsidRDefault="00AA36A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importante referir que derivado de la reciente administración del Ayuntamiento de Isidro Fabela, se encuentra actualizada la estructura, por lo cual en su sitio de internet </w:t>
      </w:r>
      <w:hyperlink r:id="rId14">
        <w:r>
          <w:rPr>
            <w:rFonts w:ascii="Palatino Linotype" w:eastAsia="Palatino Linotype" w:hAnsi="Palatino Linotype" w:cs="Palatino Linotype"/>
            <w:color w:val="0000FF"/>
            <w:u w:val="single"/>
          </w:rPr>
          <w:t>https://www.isidrofabela.gob.mx/contenidos/isidrofabela/docs/ORGANIGRAMA_2022_2024_pdf_2022_2_9_194441.pdf</w:t>
        </w:r>
      </w:hyperlink>
      <w:r>
        <w:rPr>
          <w:rFonts w:ascii="Palatino Linotype" w:eastAsia="Palatino Linotype" w:hAnsi="Palatino Linotype" w:cs="Palatino Linotype"/>
          <w:color w:val="000000"/>
        </w:rPr>
        <w:t>, se localizó lo siguiente:</w:t>
      </w:r>
    </w:p>
    <w:p w14:paraId="757F365E" w14:textId="77777777" w:rsidR="00CB557F" w:rsidRDefault="00AA36A4">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noProof/>
          <w:color w:val="000000"/>
          <w:lang w:val="es-ES_tradnl"/>
        </w:rPr>
        <w:lastRenderedPageBreak/>
        <w:drawing>
          <wp:inline distT="0" distB="0" distL="0" distR="0" wp14:anchorId="6FBEF945" wp14:editId="0C6DCE5F">
            <wp:extent cx="5539983" cy="2721126"/>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63820" t="16079" r="998" b="54551"/>
                    <a:stretch>
                      <a:fillRect/>
                    </a:stretch>
                  </pic:blipFill>
                  <pic:spPr>
                    <a:xfrm>
                      <a:off x="0" y="0"/>
                      <a:ext cx="5539983" cy="2721126"/>
                    </a:xfrm>
                    <a:prstGeom prst="rect">
                      <a:avLst/>
                    </a:prstGeom>
                    <a:ln/>
                  </pic:spPr>
                </pic:pic>
              </a:graphicData>
            </a:graphic>
          </wp:inline>
        </w:drawing>
      </w:r>
      <w:r>
        <w:rPr>
          <w:noProof/>
          <w:lang w:val="es-ES_tradnl"/>
        </w:rPr>
        <mc:AlternateContent>
          <mc:Choice Requires="wpg">
            <w:drawing>
              <wp:anchor distT="0" distB="0" distL="114300" distR="114300" simplePos="0" relativeHeight="251662336" behindDoc="0" locked="0" layoutInCell="1" hidden="0" allowOverlap="1" wp14:anchorId="6B92C131" wp14:editId="780A54DB">
                <wp:simplePos x="0" y="0"/>
                <wp:positionH relativeFrom="column">
                  <wp:posOffset>419100</wp:posOffset>
                </wp:positionH>
                <wp:positionV relativeFrom="paragraph">
                  <wp:posOffset>1346200</wp:posOffset>
                </wp:positionV>
                <wp:extent cx="781050" cy="1171575"/>
                <wp:effectExtent l="0" t="0" r="0" b="0"/>
                <wp:wrapNone/>
                <wp:docPr id="26" name="Rectángulo 26"/>
                <wp:cNvGraphicFramePr/>
                <a:graphic xmlns:a="http://schemas.openxmlformats.org/drawingml/2006/main">
                  <a:graphicData uri="http://schemas.microsoft.com/office/word/2010/wordprocessingShape">
                    <wps:wsp>
                      <wps:cNvSpPr/>
                      <wps:spPr>
                        <a:xfrm rot="10800000" flipH="1">
                          <a:off x="4965000" y="3203738"/>
                          <a:ext cx="762000" cy="1152525"/>
                        </a:xfrm>
                        <a:prstGeom prst="rect">
                          <a:avLst/>
                        </a:prstGeom>
                        <a:noFill/>
                        <a:ln w="19050" cap="flat" cmpd="sng">
                          <a:solidFill>
                            <a:srgbClr val="FF0000"/>
                          </a:solidFill>
                          <a:prstDash val="solid"/>
                          <a:round/>
                          <a:headEnd type="none" w="sm" len="sm"/>
                          <a:tailEnd type="none" w="sm" len="sm"/>
                        </a:ln>
                      </wps:spPr>
                      <wps:txbx>
                        <w:txbxContent>
                          <w:p w14:paraId="575F082E" w14:textId="77777777" w:rsidR="00CB557F" w:rsidRDefault="00CB557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1346200</wp:posOffset>
                </wp:positionV>
                <wp:extent cx="781050" cy="1171575"/>
                <wp:effectExtent b="0" l="0" r="0" t="0"/>
                <wp:wrapNone/>
                <wp:docPr id="26"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781050" cy="1171575"/>
                        </a:xfrm>
                        <a:prstGeom prst="rect"/>
                        <a:ln/>
                      </pic:spPr>
                    </pic:pic>
                  </a:graphicData>
                </a:graphic>
              </wp:anchor>
            </w:drawing>
          </mc:Fallback>
        </mc:AlternateContent>
      </w:r>
    </w:p>
    <w:p w14:paraId="2C55A7FD" w14:textId="77777777" w:rsidR="00CB557F" w:rsidRDefault="00CB557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D1A67DA" w14:textId="77777777" w:rsidR="00CB557F" w:rsidRDefault="00AA36A4">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noProof/>
          <w:color w:val="000000"/>
          <w:lang w:val="es-ES_tradnl"/>
        </w:rPr>
        <w:lastRenderedPageBreak/>
        <w:drawing>
          <wp:inline distT="0" distB="0" distL="0" distR="0" wp14:anchorId="3F6650AB" wp14:editId="53317461">
            <wp:extent cx="3978348" cy="5078054"/>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69925" t="38021" r="9199" b="14605"/>
                    <a:stretch>
                      <a:fillRect/>
                    </a:stretch>
                  </pic:blipFill>
                  <pic:spPr>
                    <a:xfrm>
                      <a:off x="0" y="0"/>
                      <a:ext cx="3978348" cy="5078054"/>
                    </a:xfrm>
                    <a:prstGeom prst="rect">
                      <a:avLst/>
                    </a:prstGeom>
                    <a:ln/>
                  </pic:spPr>
                </pic:pic>
              </a:graphicData>
            </a:graphic>
          </wp:inline>
        </w:drawing>
      </w:r>
      <w:r>
        <w:rPr>
          <w:noProof/>
          <w:lang w:val="es-ES_tradnl"/>
        </w:rPr>
        <mc:AlternateContent>
          <mc:Choice Requires="wpg">
            <w:drawing>
              <wp:anchor distT="0" distB="0" distL="114300" distR="114300" simplePos="0" relativeHeight="251663360" behindDoc="0" locked="0" layoutInCell="1" hidden="0" allowOverlap="1" wp14:anchorId="2B4A9949" wp14:editId="67E75C82">
                <wp:simplePos x="0" y="0"/>
                <wp:positionH relativeFrom="column">
                  <wp:posOffset>3086100</wp:posOffset>
                </wp:positionH>
                <wp:positionV relativeFrom="paragraph">
                  <wp:posOffset>3187700</wp:posOffset>
                </wp:positionV>
                <wp:extent cx="762000" cy="685800"/>
                <wp:effectExtent l="0" t="0" r="0" b="0"/>
                <wp:wrapNone/>
                <wp:docPr id="25" name="Rectángulo 25"/>
                <wp:cNvGraphicFramePr/>
                <a:graphic xmlns:a="http://schemas.openxmlformats.org/drawingml/2006/main">
                  <a:graphicData uri="http://schemas.microsoft.com/office/word/2010/wordprocessingShape">
                    <wps:wsp>
                      <wps:cNvSpPr/>
                      <wps:spPr>
                        <a:xfrm>
                          <a:off x="4974525" y="3446625"/>
                          <a:ext cx="742950" cy="666750"/>
                        </a:xfrm>
                        <a:prstGeom prst="rect">
                          <a:avLst/>
                        </a:prstGeom>
                        <a:noFill/>
                        <a:ln w="19050" cap="flat" cmpd="sng">
                          <a:solidFill>
                            <a:srgbClr val="FF0000"/>
                          </a:solidFill>
                          <a:prstDash val="solid"/>
                          <a:round/>
                          <a:headEnd type="none" w="sm" len="sm"/>
                          <a:tailEnd type="none" w="sm" len="sm"/>
                        </a:ln>
                      </wps:spPr>
                      <wps:txbx>
                        <w:txbxContent>
                          <w:p w14:paraId="1D099E3D" w14:textId="77777777" w:rsidR="00CB557F" w:rsidRDefault="00CB557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3086100</wp:posOffset>
                </wp:positionH>
                <wp:positionV relativeFrom="paragraph">
                  <wp:posOffset>3187700</wp:posOffset>
                </wp:positionV>
                <wp:extent cx="762000" cy="685800"/>
                <wp:effectExtent b="0" l="0" r="0" t="0"/>
                <wp:wrapNone/>
                <wp:docPr id="25"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762000" cy="685800"/>
                        </a:xfrm>
                        <a:prstGeom prst="rect"/>
                        <a:ln/>
                      </pic:spPr>
                    </pic:pic>
                  </a:graphicData>
                </a:graphic>
              </wp:anchor>
            </w:drawing>
          </mc:Fallback>
        </mc:AlternateContent>
      </w:r>
      <w:r>
        <w:rPr>
          <w:noProof/>
          <w:lang w:val="es-ES_tradnl"/>
        </w:rPr>
        <mc:AlternateContent>
          <mc:Choice Requires="wpg">
            <w:drawing>
              <wp:anchor distT="0" distB="0" distL="114300" distR="114300" simplePos="0" relativeHeight="251664384" behindDoc="0" locked="0" layoutInCell="1" hidden="0" allowOverlap="1" wp14:anchorId="31D4E302" wp14:editId="4F15A043">
                <wp:simplePos x="0" y="0"/>
                <wp:positionH relativeFrom="column">
                  <wp:posOffset>2717800</wp:posOffset>
                </wp:positionH>
                <wp:positionV relativeFrom="paragraph">
                  <wp:posOffset>736600</wp:posOffset>
                </wp:positionV>
                <wp:extent cx="847725" cy="714375"/>
                <wp:effectExtent l="0" t="0" r="0" b="0"/>
                <wp:wrapNone/>
                <wp:docPr id="27" name="Rectángulo 27"/>
                <wp:cNvGraphicFramePr/>
                <a:graphic xmlns:a="http://schemas.openxmlformats.org/drawingml/2006/main">
                  <a:graphicData uri="http://schemas.microsoft.com/office/word/2010/wordprocessingShape">
                    <wps:wsp>
                      <wps:cNvSpPr/>
                      <wps:spPr>
                        <a:xfrm>
                          <a:off x="4931663" y="3432338"/>
                          <a:ext cx="828675" cy="695325"/>
                        </a:xfrm>
                        <a:prstGeom prst="rect">
                          <a:avLst/>
                        </a:prstGeom>
                        <a:noFill/>
                        <a:ln w="19050" cap="flat" cmpd="sng">
                          <a:solidFill>
                            <a:srgbClr val="FF0000"/>
                          </a:solidFill>
                          <a:prstDash val="solid"/>
                          <a:round/>
                          <a:headEnd type="none" w="sm" len="sm"/>
                          <a:tailEnd type="none" w="sm" len="sm"/>
                        </a:ln>
                      </wps:spPr>
                      <wps:txbx>
                        <w:txbxContent>
                          <w:p w14:paraId="795C5A6F" w14:textId="77777777" w:rsidR="00CB557F" w:rsidRDefault="00CB557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736600</wp:posOffset>
                </wp:positionV>
                <wp:extent cx="847725" cy="714375"/>
                <wp:effectExtent b="0" l="0" r="0" t="0"/>
                <wp:wrapNone/>
                <wp:docPr id="27"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847725" cy="714375"/>
                        </a:xfrm>
                        <a:prstGeom prst="rect"/>
                        <a:ln/>
                      </pic:spPr>
                    </pic:pic>
                  </a:graphicData>
                </a:graphic>
              </wp:anchor>
            </w:drawing>
          </mc:Fallback>
        </mc:AlternateContent>
      </w:r>
    </w:p>
    <w:p w14:paraId="290F1952" w14:textId="77777777" w:rsidR="00CB557F" w:rsidRDefault="00AA36A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el Bando Municipal del Ayuntamiento de Isidro Fabela 2022, señala lo siguiente: </w:t>
      </w:r>
    </w:p>
    <w:p w14:paraId="434B33D5" w14:textId="77777777" w:rsidR="00CB557F" w:rsidRDefault="00AA36A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36.</w:t>
      </w:r>
      <w:r>
        <w:rPr>
          <w:rFonts w:ascii="Palatino Linotype" w:eastAsia="Palatino Linotype" w:hAnsi="Palatino Linotype" w:cs="Palatino Linotype"/>
          <w:i/>
          <w:color w:val="000000"/>
          <w:sz w:val="22"/>
          <w:szCs w:val="22"/>
        </w:rPr>
        <w:t xml:space="preserve"> Las Dependencias Administrativas Centralizadas, Descentralizadas y Desconcentradas del Gobierno Municipal que están subordinadas a la Presidencia </w:t>
      </w:r>
      <w:r>
        <w:rPr>
          <w:rFonts w:ascii="Palatino Linotype" w:eastAsia="Palatino Linotype" w:hAnsi="Palatino Linotype" w:cs="Palatino Linotype"/>
          <w:i/>
          <w:color w:val="000000"/>
          <w:sz w:val="22"/>
          <w:szCs w:val="22"/>
        </w:rPr>
        <w:t xml:space="preserve">Municipal serán: </w:t>
      </w:r>
    </w:p>
    <w:p w14:paraId="37105270" w14:textId="77777777" w:rsidR="00CB557F" w:rsidRDefault="00AA36A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8376749" w14:textId="77777777" w:rsidR="00CB557F" w:rsidRDefault="00AA36A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2. </w:t>
      </w:r>
      <w:r>
        <w:rPr>
          <w:rFonts w:ascii="Palatino Linotype" w:eastAsia="Palatino Linotype" w:hAnsi="Palatino Linotype" w:cs="Palatino Linotype"/>
          <w:b/>
          <w:i/>
          <w:color w:val="000000"/>
          <w:sz w:val="22"/>
          <w:szCs w:val="22"/>
        </w:rPr>
        <w:t>Secretaría del H. Ayuntamiento</w:t>
      </w:r>
      <w:r>
        <w:rPr>
          <w:rFonts w:ascii="Palatino Linotype" w:eastAsia="Palatino Linotype" w:hAnsi="Palatino Linotype" w:cs="Palatino Linotype"/>
          <w:i/>
          <w:color w:val="000000"/>
          <w:sz w:val="22"/>
          <w:szCs w:val="22"/>
        </w:rPr>
        <w:t xml:space="preserve"> </w:t>
      </w:r>
    </w:p>
    <w:p w14:paraId="508211C4" w14:textId="77777777" w:rsidR="00CB557F" w:rsidRDefault="00AA36A4">
      <w:pPr>
        <w:pBdr>
          <w:top w:val="nil"/>
          <w:left w:val="nil"/>
          <w:bottom w:val="nil"/>
          <w:right w:val="nil"/>
          <w:between w:val="nil"/>
        </w:pBdr>
        <w:ind w:left="156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2.1 Archivo municipal. </w:t>
      </w:r>
    </w:p>
    <w:p w14:paraId="28F07986" w14:textId="77777777" w:rsidR="00CB557F" w:rsidRDefault="00AA36A4">
      <w:pPr>
        <w:pBdr>
          <w:top w:val="nil"/>
          <w:left w:val="nil"/>
          <w:bottom w:val="nil"/>
          <w:right w:val="nil"/>
          <w:between w:val="nil"/>
        </w:pBdr>
        <w:ind w:left="156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2.2 Oficialía Conciliadora, Mediadora y Calificadora. </w:t>
      </w:r>
    </w:p>
    <w:p w14:paraId="2C72E40B" w14:textId="77777777" w:rsidR="00CB557F" w:rsidRDefault="00AA36A4">
      <w:pPr>
        <w:pBdr>
          <w:top w:val="nil"/>
          <w:left w:val="nil"/>
          <w:bottom w:val="nil"/>
          <w:right w:val="nil"/>
          <w:between w:val="nil"/>
        </w:pBdr>
        <w:ind w:left="156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2.3 Cronista Municipal. </w:t>
      </w:r>
    </w:p>
    <w:p w14:paraId="4EA35615" w14:textId="77777777" w:rsidR="00CB557F" w:rsidRDefault="00AA36A4">
      <w:pPr>
        <w:pBdr>
          <w:top w:val="nil"/>
          <w:left w:val="nil"/>
          <w:bottom w:val="nil"/>
          <w:right w:val="nil"/>
          <w:between w:val="nil"/>
        </w:pBdr>
        <w:ind w:left="156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2.4 </w:t>
      </w:r>
      <w:r>
        <w:rPr>
          <w:rFonts w:ascii="Palatino Linotype" w:eastAsia="Palatino Linotype" w:hAnsi="Palatino Linotype" w:cs="Palatino Linotype"/>
          <w:b/>
          <w:i/>
          <w:color w:val="000000"/>
          <w:sz w:val="22"/>
          <w:szCs w:val="22"/>
        </w:rPr>
        <w:t>Departamento de Patrimonio.</w:t>
      </w:r>
      <w:r>
        <w:rPr>
          <w:rFonts w:ascii="Palatino Linotype" w:eastAsia="Palatino Linotype" w:hAnsi="Palatino Linotype" w:cs="Palatino Linotype"/>
          <w:i/>
          <w:color w:val="000000"/>
          <w:sz w:val="22"/>
          <w:szCs w:val="22"/>
        </w:rPr>
        <w:t xml:space="preserve"> </w:t>
      </w:r>
    </w:p>
    <w:p w14:paraId="6B2A4688" w14:textId="77777777" w:rsidR="00CB557F" w:rsidRDefault="00AA36A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2.5 Oficialía de Registro Civil.</w:t>
      </w:r>
    </w:p>
    <w:p w14:paraId="4FE0C69E" w14:textId="77777777" w:rsidR="00CB557F" w:rsidRDefault="00AA36A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2.6 Oficialía de Partes.</w:t>
      </w:r>
    </w:p>
    <w:p w14:paraId="7D3074EF" w14:textId="77777777" w:rsidR="00CB557F" w:rsidRDefault="00CB557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4702F759" w14:textId="77777777" w:rsidR="00CB557F" w:rsidRDefault="00AA36A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40</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Departamento de Patrimonio y/o control patrimonial es el área encargada de conducir, resguardar y actualizar el registro de los bienes muebles e inmuebles propiedad del H. Ayuntamiento de Isidro Fabela</w:t>
      </w:r>
      <w:r>
        <w:rPr>
          <w:rFonts w:ascii="Palatino Linotype" w:eastAsia="Palatino Linotype" w:hAnsi="Palatino Linotype" w:cs="Palatino Linotype"/>
          <w:i/>
          <w:color w:val="000000"/>
          <w:sz w:val="22"/>
          <w:szCs w:val="22"/>
        </w:rPr>
        <w:t>, Estado de México, también es el encar</w:t>
      </w:r>
      <w:r>
        <w:rPr>
          <w:rFonts w:ascii="Palatino Linotype" w:eastAsia="Palatino Linotype" w:hAnsi="Palatino Linotype" w:cs="Palatino Linotype"/>
          <w:i/>
          <w:color w:val="000000"/>
          <w:sz w:val="22"/>
          <w:szCs w:val="22"/>
        </w:rPr>
        <w:t xml:space="preserve">gado de generar y proporcionar las tarjetas de resguardo de los bienes muebles a las Dependencias que conforman la Administración Municipal a través de los diversos formatos que se generan del Sistema de Control Patrimonial Municipal, y </w:t>
      </w:r>
      <w:r>
        <w:rPr>
          <w:rFonts w:ascii="Palatino Linotype" w:eastAsia="Palatino Linotype" w:hAnsi="Palatino Linotype" w:cs="Palatino Linotype"/>
          <w:b/>
          <w:i/>
          <w:color w:val="000000"/>
          <w:sz w:val="22"/>
          <w:szCs w:val="22"/>
        </w:rPr>
        <w:t>debe planear y ejec</w:t>
      </w:r>
      <w:r>
        <w:rPr>
          <w:rFonts w:ascii="Palatino Linotype" w:eastAsia="Palatino Linotype" w:hAnsi="Palatino Linotype" w:cs="Palatino Linotype"/>
          <w:b/>
          <w:i/>
          <w:color w:val="000000"/>
          <w:sz w:val="22"/>
          <w:szCs w:val="22"/>
        </w:rPr>
        <w:t>utar las políticas municipales en materia de control patrimonial y</w:t>
      </w:r>
      <w:r>
        <w:rPr>
          <w:rFonts w:ascii="Palatino Linotype" w:eastAsia="Palatino Linotype" w:hAnsi="Palatino Linotype" w:cs="Palatino Linotype"/>
          <w:i/>
          <w:color w:val="000000"/>
          <w:sz w:val="22"/>
          <w:szCs w:val="22"/>
        </w:rPr>
        <w:t xml:space="preserve"> de coadyuvar con la Dependencia encargada del Registro de los Bienes Inmuebles ante el Instituto de la Función Registral. </w:t>
      </w:r>
      <w:r>
        <w:rPr>
          <w:rFonts w:ascii="Palatino Linotype" w:eastAsia="Palatino Linotype" w:hAnsi="Palatino Linotype" w:cs="Palatino Linotype"/>
          <w:b/>
          <w:i/>
          <w:color w:val="000000"/>
          <w:sz w:val="22"/>
          <w:szCs w:val="22"/>
        </w:rPr>
        <w:t>En lo correspondiente al Patrimonio Municipal, se estará a lo dispu</w:t>
      </w:r>
      <w:r>
        <w:rPr>
          <w:rFonts w:ascii="Palatino Linotype" w:eastAsia="Palatino Linotype" w:hAnsi="Palatino Linotype" w:cs="Palatino Linotype"/>
          <w:b/>
          <w:i/>
          <w:color w:val="000000"/>
          <w:sz w:val="22"/>
          <w:szCs w:val="22"/>
        </w:rPr>
        <w:t>esto en la Ley de Bienes del Estado de México y sus Municipios, Ley Orgánica Municipal del Estado de México y demás disposiciones aplicables</w:t>
      </w:r>
      <w:r>
        <w:rPr>
          <w:rFonts w:ascii="Palatino Linotype" w:eastAsia="Palatino Linotype" w:hAnsi="Palatino Linotype" w:cs="Palatino Linotype"/>
          <w:i/>
          <w:color w:val="000000"/>
          <w:sz w:val="22"/>
          <w:szCs w:val="22"/>
        </w:rPr>
        <w:t>.</w:t>
      </w:r>
    </w:p>
    <w:p w14:paraId="57D7FB5B" w14:textId="77777777" w:rsidR="00CB557F" w:rsidRDefault="00CB557F">
      <w:pPr>
        <w:pBdr>
          <w:top w:val="nil"/>
          <w:left w:val="nil"/>
          <w:bottom w:val="nil"/>
          <w:right w:val="nil"/>
          <w:between w:val="nil"/>
        </w:pBdr>
        <w:spacing w:line="360" w:lineRule="auto"/>
        <w:jc w:val="both"/>
        <w:rPr>
          <w:rFonts w:ascii="Palatino Linotype" w:eastAsia="Palatino Linotype" w:hAnsi="Palatino Linotype" w:cs="Palatino Linotype"/>
        </w:rPr>
      </w:pPr>
    </w:p>
    <w:p w14:paraId="13D2ACBA" w14:textId="77777777" w:rsidR="00CB557F" w:rsidRDefault="00AA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mayor abundamiento el artículo 56 del Reglamento de la Ley de Contratación, que es del tenor literal siguiente:</w:t>
      </w:r>
    </w:p>
    <w:p w14:paraId="143906CF" w14:textId="77777777" w:rsidR="00CB557F" w:rsidRDefault="00AA36A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56.</w:t>
      </w:r>
      <w:r>
        <w:rPr>
          <w:rFonts w:ascii="Palatino Linotype" w:eastAsia="Palatino Linotype" w:hAnsi="Palatino Linotype" w:cs="Palatino Linotype"/>
          <w:i/>
          <w:sz w:val="22"/>
          <w:szCs w:val="22"/>
        </w:rPr>
        <w:t>- E</w:t>
      </w:r>
      <w:r>
        <w:rPr>
          <w:rFonts w:ascii="Palatino Linotype" w:eastAsia="Palatino Linotype" w:hAnsi="Palatino Linotype" w:cs="Palatino Linotype"/>
          <w:b/>
          <w:i/>
          <w:sz w:val="22"/>
          <w:szCs w:val="22"/>
        </w:rPr>
        <w:t xml:space="preserve">s responsabilidad del titular de la unidad administrativa </w:t>
      </w:r>
      <w:r>
        <w:rPr>
          <w:rFonts w:ascii="Palatino Linotype" w:eastAsia="Palatino Linotype" w:hAnsi="Palatino Linotype" w:cs="Palatino Linotype"/>
          <w:i/>
          <w:sz w:val="22"/>
          <w:szCs w:val="22"/>
        </w:rPr>
        <w:t>de la Secretaría e</w:t>
      </w:r>
      <w:r>
        <w:rPr>
          <w:rFonts w:ascii="Palatino Linotype" w:eastAsia="Palatino Linotype" w:hAnsi="Palatino Linotype" w:cs="Palatino Linotype"/>
          <w:b/>
          <w:i/>
          <w:sz w:val="22"/>
          <w:szCs w:val="22"/>
        </w:rPr>
        <w:t>ncargada del control patrimonial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autorizar con su firma la convocatoria, las bases, emitir el fallo de adjudicación, así como suscribir los contratos que se deriven de los procedimientos de</w:t>
      </w:r>
      <w:r>
        <w:rPr>
          <w:rFonts w:ascii="Palatino Linotype" w:eastAsia="Palatino Linotype" w:hAnsi="Palatino Linotype" w:cs="Palatino Linotype"/>
          <w:i/>
          <w:sz w:val="22"/>
          <w:szCs w:val="22"/>
        </w:rPr>
        <w:t xml:space="preserve"> arrendamientos, adquisiciones de inmuebles y </w:t>
      </w:r>
      <w:r>
        <w:rPr>
          <w:rFonts w:ascii="Palatino Linotype" w:eastAsia="Palatino Linotype" w:hAnsi="Palatino Linotype" w:cs="Palatino Linotype"/>
          <w:b/>
          <w:i/>
          <w:sz w:val="22"/>
          <w:szCs w:val="22"/>
        </w:rPr>
        <w:t>enajenaciones</w:t>
      </w:r>
      <w:r>
        <w:rPr>
          <w:rFonts w:ascii="Palatino Linotype" w:eastAsia="Palatino Linotype" w:hAnsi="Palatino Linotype" w:cs="Palatino Linotype"/>
          <w:i/>
          <w:sz w:val="22"/>
          <w:szCs w:val="22"/>
        </w:rPr>
        <w:t xml:space="preserve">. </w:t>
      </w:r>
    </w:p>
    <w:p w14:paraId="6AC6DF41" w14:textId="77777777" w:rsidR="00CB557F" w:rsidRDefault="00AA36A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En el caso de</w:t>
      </w:r>
      <w:r>
        <w:rPr>
          <w:rFonts w:ascii="Palatino Linotype" w:eastAsia="Palatino Linotype" w:hAnsi="Palatino Linotype" w:cs="Palatino Linotype"/>
          <w:i/>
          <w:sz w:val="22"/>
          <w:szCs w:val="22"/>
        </w:rPr>
        <w:t xml:space="preserve"> los organismos auxiliare</w:t>
      </w:r>
      <w:r>
        <w:rPr>
          <w:rFonts w:ascii="Palatino Linotype" w:eastAsia="Palatino Linotype" w:hAnsi="Palatino Linotype" w:cs="Palatino Linotype"/>
          <w:i/>
          <w:sz w:val="22"/>
          <w:szCs w:val="22"/>
        </w:rPr>
        <w:t xml:space="preserve">s y tribunales administrativos, esta </w:t>
      </w:r>
      <w:r>
        <w:rPr>
          <w:rFonts w:ascii="Palatino Linotype" w:eastAsia="Palatino Linotype" w:hAnsi="Palatino Linotype" w:cs="Palatino Linotype"/>
          <w:b/>
          <w:i/>
          <w:sz w:val="22"/>
          <w:szCs w:val="22"/>
        </w:rPr>
        <w:t>responsabilidad quedará a cargo del encargado del control patrimonial</w:t>
      </w:r>
      <w:r>
        <w:rPr>
          <w:rFonts w:ascii="Palatino Linotype" w:eastAsia="Palatino Linotype" w:hAnsi="Palatino Linotype" w:cs="Palatino Linotype"/>
          <w:i/>
          <w:sz w:val="22"/>
          <w:szCs w:val="22"/>
        </w:rPr>
        <w:t>.”</w:t>
      </w:r>
    </w:p>
    <w:p w14:paraId="6A6FB952" w14:textId="77777777" w:rsidR="00CB557F" w:rsidRDefault="00CB557F">
      <w:pPr>
        <w:pBdr>
          <w:top w:val="nil"/>
          <w:left w:val="nil"/>
          <w:bottom w:val="nil"/>
          <w:right w:val="nil"/>
          <w:between w:val="nil"/>
        </w:pBdr>
        <w:spacing w:line="360" w:lineRule="auto"/>
        <w:jc w:val="both"/>
        <w:rPr>
          <w:rFonts w:ascii="Palatino Linotype" w:eastAsia="Palatino Linotype" w:hAnsi="Palatino Linotype" w:cs="Palatino Linotype"/>
        </w:rPr>
      </w:pPr>
    </w:p>
    <w:p w14:paraId="5B25709B" w14:textId="77777777" w:rsidR="00CB557F" w:rsidRDefault="00AA36A4">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4" w:name="_heading=h.3znysh7" w:colFirst="0" w:colLast="0"/>
      <w:bookmarkEnd w:id="4"/>
      <w:r>
        <w:rPr>
          <w:rFonts w:ascii="Palatino Linotype" w:eastAsia="Palatino Linotype" w:hAnsi="Palatino Linotype" w:cs="Palatino Linotype"/>
          <w:color w:val="000000"/>
        </w:rPr>
        <w:t>Por consiguiente, del ordenamiento jurídico citado, el Pleno de este Instituto concluye que el Departamento de Patrimonio dependiente de la Secret</w:t>
      </w:r>
      <w:r>
        <w:rPr>
          <w:rFonts w:ascii="Palatino Linotype" w:eastAsia="Palatino Linotype" w:hAnsi="Palatino Linotype" w:cs="Palatino Linotype"/>
          <w:color w:val="000000"/>
        </w:rPr>
        <w:t xml:space="preserve">aría del Ayuntamiento, es la unidad administrativa encargado de ejecutar el procedimiento </w:t>
      </w:r>
      <w:r>
        <w:rPr>
          <w:rFonts w:ascii="Palatino Linotype" w:eastAsia="Palatino Linotype" w:hAnsi="Palatino Linotype" w:cs="Palatino Linotype"/>
          <w:color w:val="000000"/>
        </w:rPr>
        <w:lastRenderedPageBreak/>
        <w:t>de enajenación de bienes muebles, en el ejercicio de sus facultades, competencias y funciones.</w:t>
      </w:r>
    </w:p>
    <w:p w14:paraId="465DC0C7" w14:textId="77777777" w:rsidR="00CB557F" w:rsidRDefault="00CB557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5B95D4D"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este modo, cuando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antes de que se dicte resoluc</w:t>
      </w:r>
      <w:r>
        <w:rPr>
          <w:rFonts w:ascii="Palatino Linotype" w:eastAsia="Palatino Linotype" w:hAnsi="Palatino Linotype" w:cs="Palatino Linotype"/>
          <w:color w:val="000000"/>
        </w:rPr>
        <w:t>ión definitiva, entrega la información solicitada o completa la respuesta que en un primer momento fue incompleta o no correspondió con lo solicitado; el recurso de revisión que al efecto se haya interpuesto queda sin materia lo que imposibilita el estudio</w:t>
      </w:r>
      <w:r>
        <w:rPr>
          <w:rFonts w:ascii="Palatino Linotype" w:eastAsia="Palatino Linotype" w:hAnsi="Palatino Linotype" w:cs="Palatino Linotype"/>
          <w:color w:val="000000"/>
        </w:rPr>
        <w:t xml:space="preserve"> de fondo de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14:paraId="033CFFA2" w14:textId="77777777" w:rsidR="00CB557F" w:rsidRDefault="00CB557F">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5627A738" w14:textId="77777777" w:rsidR="00CB557F" w:rsidRDefault="00AA36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es necesario señalar que </w:t>
      </w:r>
      <w:proofErr w:type="gramStart"/>
      <w:r>
        <w:rPr>
          <w:rFonts w:ascii="Palatino Linotype" w:eastAsia="Palatino Linotype" w:hAnsi="Palatino Linotype" w:cs="Palatino Linotype"/>
        </w:rPr>
        <w:t>éste</w:t>
      </w:r>
      <w:proofErr w:type="gramEnd"/>
      <w:r>
        <w:rPr>
          <w:rFonts w:ascii="Palatino Linotype" w:eastAsia="Palatino Linotype" w:hAnsi="Palatino Linotype" w:cs="Palatino Linotype"/>
        </w:rPr>
        <w:t xml:space="preserve"> Órgano Garante no está facultado para pronunciar</w:t>
      </w:r>
      <w:r>
        <w:rPr>
          <w:rFonts w:ascii="Palatino Linotype" w:eastAsia="Palatino Linotype" w:hAnsi="Palatino Linotype" w:cs="Palatino Linotype"/>
        </w:rPr>
        <w:t>se sobre la veracidad de la información que los Sujetos Obligados ponen a disposición de los solicitantes; situación que se aleja de las atribuciones de este Instituto máxime que al momento que ponen a disposición ésta, la misma tiene el carácter oficial y</w:t>
      </w:r>
      <w:r>
        <w:rPr>
          <w:rFonts w:ascii="Palatino Linotype" w:eastAsia="Palatino Linotype" w:hAnsi="Palatino Linotype" w:cs="Palatino Linotype"/>
        </w:rPr>
        <w:t xml:space="preserve"> se presume veraz, tan es así que la misma queda registrada en el Sistema de Acceso a la Información Mexiquense (SAIMEX).</w:t>
      </w:r>
    </w:p>
    <w:p w14:paraId="4A46E01E" w14:textId="77777777" w:rsidR="00CB557F" w:rsidRDefault="00CB557F">
      <w:pPr>
        <w:spacing w:line="360" w:lineRule="auto"/>
        <w:jc w:val="both"/>
        <w:rPr>
          <w:rFonts w:ascii="Palatino Linotype" w:eastAsia="Palatino Linotype" w:hAnsi="Palatino Linotype" w:cs="Palatino Linotype"/>
        </w:rPr>
      </w:pPr>
    </w:p>
    <w:p w14:paraId="1C10C866" w14:textId="77777777" w:rsidR="00CB557F" w:rsidRDefault="00AA36A4">
      <w:pPr>
        <w:spacing w:after="3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Sirviendo de apoyo a lo anterior por analogía, el criterio 31-10 emitido por el ahora Instituto Nacional de Transparencia, Acceso a l</w:t>
      </w:r>
      <w:r>
        <w:rPr>
          <w:rFonts w:ascii="Palatino Linotype" w:eastAsia="Palatino Linotype" w:hAnsi="Palatino Linotype" w:cs="Palatino Linotype"/>
        </w:rPr>
        <w:t>a Información y Protección de Datos Personales, que a la letra dice:</w:t>
      </w:r>
    </w:p>
    <w:p w14:paraId="4AE4C14D" w14:textId="77777777" w:rsidR="00CB557F" w:rsidRDefault="00AA36A4">
      <w:pPr>
        <w:spacing w:before="240" w:after="360" w:line="360" w:lineRule="auto"/>
        <w:ind w:left="567" w:right="616"/>
        <w:jc w:val="both"/>
        <w:rPr>
          <w:rFonts w:ascii="Palatino Linotype" w:eastAsia="Palatino Linotype" w:hAnsi="Palatino Linotype" w:cs="Palatino Linotype"/>
          <w:color w:val="000000"/>
        </w:rPr>
      </w:pPr>
      <w:r>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w:t>
      </w:r>
      <w:r>
        <w:rPr>
          <w:rFonts w:ascii="Palatino Linotype" w:eastAsia="Palatino Linotype" w:hAnsi="Palatino Linotype" w:cs="Palatino Linotype"/>
          <w:i/>
          <w:sz w:val="22"/>
          <w:szCs w:val="22"/>
        </w:rPr>
        <w:t xml:space="preserve">ón </w:t>
      </w:r>
      <w:r>
        <w:rPr>
          <w:rFonts w:ascii="Palatino Linotype" w:eastAsia="Palatino Linotype" w:hAnsi="Palatino Linotype" w:cs="Palatino Linotype"/>
          <w:i/>
          <w:sz w:val="22"/>
          <w:szCs w:val="22"/>
        </w:rPr>
        <w:lastRenderedPageBreak/>
        <w:t>de Datos es un órgano de la Administración Pública Federal con autonomía operativa, presupuestaria y de decisión, encargado de promover y difundir el ejercicio del derecho de acceso a la información; resolver sobre la negativa de las solicitudes de acce</w:t>
      </w:r>
      <w:r>
        <w:rPr>
          <w:rFonts w:ascii="Palatino Linotype" w:eastAsia="Palatino Linotype" w:hAnsi="Palatino Linotype" w:cs="Palatino Linotype"/>
          <w:i/>
          <w:sz w:val="22"/>
          <w:szCs w:val="22"/>
        </w:rPr>
        <w:t>so a la información; y proteger los datos personales en poder de las dependencias y entidades. Sin embargo, no está facultado para pronunciarse sobre la veracidad de la información proporcionada por las autoridades en respuesta a las solicitudes de informa</w:t>
      </w:r>
      <w:r>
        <w:rPr>
          <w:rFonts w:ascii="Palatino Linotype" w:eastAsia="Palatino Linotype" w:hAnsi="Palatino Linotype" w:cs="Palatino Linotype"/>
          <w:i/>
          <w:sz w:val="22"/>
          <w:szCs w:val="22"/>
        </w:rPr>
        <w:t>ción que les presentan los particulares, en virtud de que en los artículos 49 y 50 de la Ley Federal de Transparencia y Acceso a la Información Pública Gubernamental no se prevé una causal que permita al Instituto Federal de Acceso a la Información y Prote</w:t>
      </w:r>
      <w:r>
        <w:rPr>
          <w:rFonts w:ascii="Palatino Linotype" w:eastAsia="Palatino Linotype" w:hAnsi="Palatino Linotype" w:cs="Palatino Linotype"/>
          <w:i/>
          <w:sz w:val="22"/>
          <w:szCs w:val="22"/>
        </w:rPr>
        <w:t>cción de Datos conocer, vía recurso revisión, al respecto.</w:t>
      </w:r>
    </w:p>
    <w:p w14:paraId="44D8956B"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para que se actualice el sobreseimiento de un recurso de revisión,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puede entregar o completar la información al momento de rendir su </w:t>
      </w:r>
      <w:r>
        <w:rPr>
          <w:rFonts w:ascii="Palatino Linotype" w:eastAsia="Palatino Linotype" w:hAnsi="Palatino Linotype" w:cs="Palatino Linotype"/>
          <w:b/>
          <w:color w:val="000000"/>
        </w:rPr>
        <w:t>informe de justificación</w:t>
      </w:r>
      <w:r>
        <w:rPr>
          <w:rFonts w:ascii="Palatino Linotype" w:eastAsia="Palatino Linotype" w:hAnsi="Palatino Linotype" w:cs="Palatino Linotype"/>
          <w:color w:val="000000"/>
        </w:rPr>
        <w:t xml:space="preserve"> para m</w:t>
      </w:r>
      <w:r>
        <w:rPr>
          <w:rFonts w:ascii="Palatino Linotype" w:eastAsia="Palatino Linotype" w:hAnsi="Palatino Linotype" w:cs="Palatino Linotype"/>
          <w:color w:val="000000"/>
        </w:rPr>
        <w:t xml:space="preserve">anifestar lo que a su derecho convenga, lo anterior también puede ocurrir si entrega la información después de ese lapso, pero antes del cierre de instrucción. </w:t>
      </w:r>
    </w:p>
    <w:p w14:paraId="43E8F9AB" w14:textId="77777777" w:rsidR="00CB557F" w:rsidRDefault="00CB557F">
      <w:pPr>
        <w:pBdr>
          <w:top w:val="nil"/>
          <w:left w:val="nil"/>
          <w:bottom w:val="nil"/>
          <w:right w:val="nil"/>
          <w:between w:val="nil"/>
        </w:pBdr>
        <w:ind w:left="720"/>
        <w:rPr>
          <w:rFonts w:ascii="Palatino Linotype" w:eastAsia="Palatino Linotype" w:hAnsi="Palatino Linotype" w:cs="Palatino Linotype"/>
          <w:color w:val="000000"/>
        </w:rPr>
      </w:pPr>
    </w:p>
    <w:p w14:paraId="5BBF001E"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Pleno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 la información enviada, </w:t>
      </w:r>
      <w:r>
        <w:rPr>
          <w:rFonts w:ascii="Palatino Linotype" w:eastAsia="Palatino Linotype" w:hAnsi="Palatino Linotype" w:cs="Palatino Linotype"/>
          <w:b/>
          <w:color w:val="000000"/>
        </w:rPr>
        <w:t>modifica</w:t>
      </w:r>
      <w:r>
        <w:rPr>
          <w:rFonts w:ascii="Palatino Linotype" w:eastAsia="Palatino Linotype" w:hAnsi="Palatino Linotype" w:cs="Palatino Linotype"/>
          <w:color w:val="000000"/>
        </w:rPr>
        <w:t xml:space="preserve"> el acto que le</w:t>
      </w:r>
      <w:r>
        <w:rPr>
          <w:rFonts w:ascii="Palatino Linotype" w:eastAsia="Palatino Linotype" w:hAnsi="Palatino Linotype" w:cs="Palatino Linotype"/>
          <w:color w:val="000000"/>
        </w:rPr>
        <w:t xml:space="preserve"> dio origen al recurso de revisión, por lo que trae como consecuencia que el mismo quede sin materia, actualizándose de este modo, la hipótesis jurídica contenida en la </w:t>
      </w:r>
      <w:r>
        <w:rPr>
          <w:rFonts w:ascii="Palatino Linotype" w:eastAsia="Palatino Linotype" w:hAnsi="Palatino Linotype" w:cs="Palatino Linotype"/>
          <w:b/>
          <w:color w:val="000000"/>
        </w:rPr>
        <w:t>fracción III</w:t>
      </w:r>
      <w:r>
        <w:rPr>
          <w:rFonts w:ascii="Palatino Linotype" w:eastAsia="Palatino Linotype" w:hAnsi="Palatino Linotype" w:cs="Palatino Linotype"/>
          <w:color w:val="000000"/>
        </w:rPr>
        <w:t xml:space="preserve"> del citado artículo </w:t>
      </w:r>
      <w:r>
        <w:rPr>
          <w:rFonts w:ascii="Palatino Linotype" w:eastAsia="Palatino Linotype" w:hAnsi="Palatino Linotype" w:cs="Palatino Linotype"/>
          <w:b/>
          <w:color w:val="000000"/>
        </w:rPr>
        <w:t>192</w:t>
      </w:r>
      <w:r>
        <w:rPr>
          <w:rFonts w:ascii="Palatino Linotype" w:eastAsia="Palatino Linotype" w:hAnsi="Palatino Linotype" w:cs="Palatino Linotype"/>
          <w:color w:val="000000"/>
        </w:rPr>
        <w:t>.</w:t>
      </w:r>
    </w:p>
    <w:p w14:paraId="4974676C" w14:textId="77777777" w:rsidR="00CB557F" w:rsidRDefault="00CB557F">
      <w:pPr>
        <w:pBdr>
          <w:top w:val="nil"/>
          <w:left w:val="nil"/>
          <w:bottom w:val="nil"/>
          <w:right w:val="nil"/>
          <w:between w:val="nil"/>
        </w:pBdr>
        <w:ind w:left="720"/>
        <w:rPr>
          <w:rFonts w:ascii="Palatino Linotype" w:eastAsia="Palatino Linotype" w:hAnsi="Palatino Linotype" w:cs="Palatino Linotype"/>
          <w:color w:val="000000"/>
        </w:rPr>
      </w:pPr>
    </w:p>
    <w:p w14:paraId="11B082FD" w14:textId="77777777" w:rsidR="00CB557F" w:rsidRDefault="00AA36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tanto, en términos del artículo 186 fracc</w:t>
      </w:r>
      <w:r>
        <w:rPr>
          <w:rFonts w:ascii="Palatino Linotype" w:eastAsia="Palatino Linotype" w:hAnsi="Palatino Linotype" w:cs="Palatino Linotype"/>
          <w:color w:val="000000"/>
        </w:rPr>
        <w:t xml:space="preserve">ión I este Pleno determina el </w:t>
      </w:r>
      <w:r>
        <w:rPr>
          <w:rFonts w:ascii="Palatino Linotype" w:eastAsia="Palatino Linotype" w:hAnsi="Palatino Linotype" w:cs="Palatino Linotype"/>
          <w:b/>
          <w:color w:val="000000"/>
        </w:rPr>
        <w:t xml:space="preserve">SOBRESEIMIENTO </w:t>
      </w:r>
      <w:r>
        <w:rPr>
          <w:rFonts w:ascii="Palatino Linotype" w:eastAsia="Palatino Linotype" w:hAnsi="Palatino Linotype" w:cs="Palatino Linotype"/>
          <w:color w:val="000000"/>
        </w:rPr>
        <w:t xml:space="preserve">del presente recurso de revisión, toda vez que la afectación al derecho de acceso a la información pública establecido constitucionalmente a favor </w:t>
      </w:r>
      <w:r>
        <w:rPr>
          <w:rFonts w:ascii="Palatino Linotype" w:eastAsia="Palatino Linotype" w:hAnsi="Palatino Linotype" w:cs="Palatino Linotype"/>
          <w:color w:val="000000"/>
        </w:rPr>
        <w:lastRenderedPageBreak/>
        <w:t xml:space="preserve">del particular ha sido resarcida al proporcionar la información </w:t>
      </w:r>
      <w:r>
        <w:rPr>
          <w:rFonts w:ascii="Palatino Linotype" w:eastAsia="Palatino Linotype" w:hAnsi="Palatino Linotype" w:cs="Palatino Linotype"/>
          <w:color w:val="000000"/>
        </w:rPr>
        <w:t>que ha sido observada por este Órgano Garante.</w:t>
      </w:r>
    </w:p>
    <w:p w14:paraId="3B9DD4D7" w14:textId="77777777" w:rsidR="00CB557F" w:rsidRDefault="00AA36A4">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w:t>
      </w:r>
      <w:r>
        <w:rPr>
          <w:rFonts w:ascii="Palatino Linotype" w:eastAsia="Palatino Linotype" w:hAnsi="Palatino Linotype" w:cs="Palatino Linotype"/>
        </w:rPr>
        <w:t xml:space="preserve"> II; 29, 36 fracciones I y II; 176, 178, 181, 185, fracción I, 186 y 188 de la Ley de Transparencia y Acceso a la Información Pública del Estado de México y Municipios, este Pleno:</w:t>
      </w:r>
    </w:p>
    <w:p w14:paraId="30FB0709" w14:textId="77777777" w:rsidR="00CB557F" w:rsidRDefault="00CB557F">
      <w:pPr>
        <w:tabs>
          <w:tab w:val="left" w:pos="709"/>
        </w:tabs>
        <w:spacing w:before="240" w:after="240" w:line="360" w:lineRule="auto"/>
        <w:jc w:val="both"/>
        <w:rPr>
          <w:rFonts w:ascii="Palatino Linotype" w:eastAsia="Palatino Linotype" w:hAnsi="Palatino Linotype" w:cs="Palatino Linotype"/>
        </w:rPr>
      </w:pPr>
    </w:p>
    <w:p w14:paraId="2949B053" w14:textId="77777777" w:rsidR="00CB557F" w:rsidRDefault="00AA36A4">
      <w:pPr>
        <w:numPr>
          <w:ilvl w:val="0"/>
          <w:numId w:val="3"/>
        </w:numPr>
        <w:pBdr>
          <w:top w:val="nil"/>
          <w:left w:val="nil"/>
          <w:bottom w:val="nil"/>
          <w:right w:val="nil"/>
          <w:between w:val="nil"/>
        </w:pBdr>
        <w:spacing w:before="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0AFE21A5" w14:textId="77777777" w:rsidR="00CB557F" w:rsidRDefault="00CB557F">
      <w:pPr>
        <w:pBdr>
          <w:top w:val="nil"/>
          <w:left w:val="nil"/>
          <w:bottom w:val="nil"/>
          <w:right w:val="nil"/>
          <w:between w:val="nil"/>
        </w:pBdr>
        <w:spacing w:after="240" w:line="360" w:lineRule="auto"/>
        <w:ind w:left="1080"/>
        <w:rPr>
          <w:rFonts w:ascii="Palatino Linotype" w:eastAsia="Palatino Linotype" w:hAnsi="Palatino Linotype" w:cs="Palatino Linotype"/>
          <w:b/>
          <w:color w:val="000000"/>
        </w:rPr>
      </w:pPr>
    </w:p>
    <w:p w14:paraId="525D60FA" w14:textId="77777777" w:rsidR="00CB557F" w:rsidRDefault="00AA36A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highlight w:val="white"/>
        </w:rPr>
        <w:t xml:space="preserve">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Pr>
          <w:rFonts w:ascii="Palatino Linotype" w:eastAsia="Palatino Linotype" w:hAnsi="Palatino Linotype" w:cs="Palatino Linotype"/>
          <w:b/>
          <w:highlight w:val="white"/>
        </w:rPr>
        <w:t>00044/INFOEM/IP/RR/2022</w:t>
      </w:r>
      <w:r>
        <w:rPr>
          <w:rFonts w:ascii="Palatino Linotype" w:eastAsia="Palatino Linotype" w:hAnsi="Palatino Linotype" w:cs="Palatino Linotype"/>
          <w:b/>
        </w:rPr>
        <w:t>,</w:t>
      </w:r>
      <w:r>
        <w:rPr>
          <w:rFonts w:ascii="Palatino Linotype" w:eastAsia="Palatino Linotype" w:hAnsi="Palatino Linotype" w:cs="Palatino Linotype"/>
        </w:rPr>
        <w:t xml:space="preserve"> porque al modificar la respuesta a la solicitud de acceso a la información </w:t>
      </w:r>
      <w:r>
        <w:rPr>
          <w:rFonts w:ascii="Palatino Linotype" w:eastAsia="Palatino Linotype" w:hAnsi="Palatino Linotype" w:cs="Palatino Linotype"/>
          <w:b/>
        </w:rPr>
        <w:t>00101/ISIFABE/IP/2021</w:t>
      </w:r>
      <w:r>
        <w:rPr>
          <w:rFonts w:ascii="Palatino Linotype" w:eastAsia="Palatino Linotype" w:hAnsi="Palatino Linotype" w:cs="Palatino Linotype"/>
        </w:rPr>
        <w:t xml:space="preserve"> el recurso de revisión quedó sin materia en términos del Considerando Tercero de la presente resolución</w:t>
      </w:r>
      <w:r>
        <w:rPr>
          <w:rFonts w:ascii="Palatino Linotype" w:eastAsia="Palatino Linotype" w:hAnsi="Palatino Linotype" w:cs="Palatino Linotype"/>
          <w:b/>
        </w:rPr>
        <w:t>.</w:t>
      </w:r>
    </w:p>
    <w:p w14:paraId="635E2CD6" w14:textId="77777777" w:rsidR="00CB557F" w:rsidRDefault="00AA36A4">
      <w:pPr>
        <w:spacing w:before="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b/>
          <w:highlight w:val="white"/>
        </w:rPr>
        <w:t>SEGUNDO. Notifíquese vía SAIM</w:t>
      </w:r>
      <w:r>
        <w:rPr>
          <w:rFonts w:ascii="Palatino Linotype" w:eastAsia="Palatino Linotype" w:hAnsi="Palatino Linotype" w:cs="Palatino Linotype"/>
          <w:b/>
          <w:highlight w:val="white"/>
        </w:rPr>
        <w:t>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Titular de la Unidad de Transparencia del Sujeto Obligado la presente resolución, para su conocimiento, lo anterior en términos del artículo 189 de la </w:t>
      </w:r>
      <w:r>
        <w:rPr>
          <w:rFonts w:ascii="Palatino Linotype" w:eastAsia="Palatino Linotype" w:hAnsi="Palatino Linotype" w:cs="Palatino Linotype"/>
        </w:rPr>
        <w:t>Ley de Transparencia y Acceso a la Información Pública del Estado de México y Municipios.</w:t>
      </w:r>
    </w:p>
    <w:p w14:paraId="2EEAFBAA" w14:textId="77777777" w:rsidR="00CB557F" w:rsidRDefault="00CB557F">
      <w:pPr>
        <w:spacing w:line="360" w:lineRule="auto"/>
        <w:jc w:val="both"/>
        <w:rPr>
          <w:rFonts w:ascii="Palatino Linotype" w:eastAsia="Palatino Linotype" w:hAnsi="Palatino Linotype" w:cs="Palatino Linotype"/>
        </w:rPr>
      </w:pPr>
    </w:p>
    <w:p w14:paraId="07C56E25" w14:textId="77777777" w:rsidR="00CB557F" w:rsidRDefault="00AA36A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w:t>
      </w:r>
      <w:r>
        <w:rPr>
          <w:rFonts w:ascii="Palatino Linotype" w:eastAsia="Palatino Linotype" w:hAnsi="Palatino Linotype" w:cs="Palatino Linotype"/>
        </w:rPr>
        <w:lastRenderedPageBreak/>
        <w:t>en caso de que considere que</w:t>
      </w:r>
      <w:r>
        <w:rPr>
          <w:rFonts w:ascii="Palatino Linotype" w:eastAsia="Palatino Linotype" w:hAnsi="Palatino Linotype" w:cs="Palatino Linotype"/>
        </w:rPr>
        <w:t xml:space="preserve"> le causa algún perjuicio podrá impugnarla vía Juicio de Amparo en los términos de las leyes aplicables.</w:t>
      </w:r>
    </w:p>
    <w:p w14:paraId="3C1F3C8F" w14:textId="77777777" w:rsidR="00CB557F" w:rsidRDefault="00AA36A4">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w:t>
      </w:r>
      <w:r>
        <w:rPr>
          <w:rFonts w:ascii="Palatino Linotype" w:eastAsia="Palatino Linotype" w:hAnsi="Palatino Linotype" w:cs="Palatino Linotype"/>
        </w:rPr>
        <w:t xml:space="preserve"> ESTADO DE MÉXICO Y MUNICIPIOS, CONFORMADO POR LOS COMISIONADOS JOSÉ MARTÍNEZ VILCHIS; MARÍA DEL ROSARIO MEJÍA AYALA, SHARON CRISTINA MORALES MARTÍNEZ (AUSENCIA JUSTIFICADA); LUIS GUSTAVO PARRA NORIEGA Y GUADALUPE RAMÍREZ PEÑA; EN LA SÉPTIMA SESIÓN ORDINAR</w:t>
      </w:r>
      <w:r>
        <w:rPr>
          <w:rFonts w:ascii="Palatino Linotype" w:eastAsia="Palatino Linotype" w:hAnsi="Palatino Linotype" w:cs="Palatino Linotype"/>
        </w:rPr>
        <w:t>IA CELEBRADA EL VEINTITRÉS DE FEBRERO DE DOS MIL VEINTIDÓS, ANTE EL SECRETARIO TÉCNICO DEL PLENO, ALEXIS TAPIA RAMÍREZ.</w:t>
      </w:r>
    </w:p>
    <w:p w14:paraId="15631FDB" w14:textId="77777777" w:rsidR="00CB557F" w:rsidRDefault="00CB557F">
      <w:pPr>
        <w:spacing w:before="240" w:after="240"/>
        <w:jc w:val="both"/>
        <w:rPr>
          <w:rFonts w:ascii="Palatino Linotype" w:eastAsia="Palatino Linotype" w:hAnsi="Palatino Linotype" w:cs="Palatino Linotype"/>
          <w:sz w:val="20"/>
          <w:szCs w:val="20"/>
        </w:rPr>
      </w:pPr>
    </w:p>
    <w:p w14:paraId="16C9C93C" w14:textId="77777777" w:rsidR="00CB557F" w:rsidRDefault="00CB557F">
      <w:pPr>
        <w:spacing w:before="240" w:after="240"/>
        <w:jc w:val="both"/>
        <w:rPr>
          <w:rFonts w:ascii="Palatino Linotype" w:eastAsia="Palatino Linotype" w:hAnsi="Palatino Linotype" w:cs="Palatino Linotype"/>
          <w:sz w:val="20"/>
          <w:szCs w:val="20"/>
        </w:rPr>
      </w:pPr>
    </w:p>
    <w:p w14:paraId="5639D0DF" w14:textId="77777777" w:rsidR="00CB557F" w:rsidRDefault="00CB557F">
      <w:pPr>
        <w:spacing w:before="240" w:after="240"/>
        <w:jc w:val="both"/>
        <w:rPr>
          <w:rFonts w:ascii="Palatino Linotype" w:eastAsia="Palatino Linotype" w:hAnsi="Palatino Linotype" w:cs="Palatino Linotype"/>
          <w:sz w:val="20"/>
          <w:szCs w:val="20"/>
        </w:rPr>
      </w:pPr>
    </w:p>
    <w:p w14:paraId="030EDF32" w14:textId="77777777" w:rsidR="00CB557F" w:rsidRDefault="00CB557F">
      <w:pPr>
        <w:spacing w:before="240" w:after="240"/>
        <w:jc w:val="both"/>
        <w:rPr>
          <w:rFonts w:ascii="Palatino Linotype" w:eastAsia="Palatino Linotype" w:hAnsi="Palatino Linotype" w:cs="Palatino Linotype"/>
          <w:sz w:val="20"/>
          <w:szCs w:val="20"/>
        </w:rPr>
      </w:pPr>
    </w:p>
    <w:p w14:paraId="6C952F05" w14:textId="77777777" w:rsidR="00CB557F" w:rsidRDefault="00CB557F">
      <w:pPr>
        <w:spacing w:before="240" w:after="240"/>
        <w:jc w:val="both"/>
        <w:rPr>
          <w:rFonts w:ascii="Palatino Linotype" w:eastAsia="Palatino Linotype" w:hAnsi="Palatino Linotype" w:cs="Palatino Linotype"/>
          <w:sz w:val="20"/>
          <w:szCs w:val="20"/>
        </w:rPr>
      </w:pPr>
    </w:p>
    <w:p w14:paraId="3239B2F4" w14:textId="77777777" w:rsidR="00CB557F" w:rsidRDefault="00CB557F">
      <w:pPr>
        <w:spacing w:before="240" w:after="240"/>
        <w:jc w:val="both"/>
        <w:rPr>
          <w:rFonts w:ascii="Palatino Linotype" w:eastAsia="Palatino Linotype" w:hAnsi="Palatino Linotype" w:cs="Palatino Linotype"/>
          <w:sz w:val="20"/>
          <w:szCs w:val="20"/>
        </w:rPr>
      </w:pPr>
    </w:p>
    <w:p w14:paraId="6A9306D7" w14:textId="77777777" w:rsidR="00CB557F" w:rsidRDefault="00CB557F">
      <w:pPr>
        <w:spacing w:before="240" w:after="240"/>
        <w:jc w:val="both"/>
        <w:rPr>
          <w:rFonts w:ascii="Palatino Linotype" w:eastAsia="Palatino Linotype" w:hAnsi="Palatino Linotype" w:cs="Palatino Linotype"/>
          <w:sz w:val="20"/>
          <w:szCs w:val="20"/>
        </w:rPr>
      </w:pPr>
    </w:p>
    <w:p w14:paraId="257A5BE5" w14:textId="77777777" w:rsidR="00CB557F" w:rsidRDefault="00CB557F">
      <w:pPr>
        <w:spacing w:before="240" w:after="240"/>
        <w:jc w:val="both"/>
        <w:rPr>
          <w:rFonts w:ascii="Palatino Linotype" w:eastAsia="Palatino Linotype" w:hAnsi="Palatino Linotype" w:cs="Palatino Linotype"/>
          <w:sz w:val="20"/>
          <w:szCs w:val="20"/>
        </w:rPr>
      </w:pPr>
    </w:p>
    <w:p w14:paraId="62242858" w14:textId="77777777" w:rsidR="00CB557F" w:rsidRDefault="00CB557F">
      <w:pPr>
        <w:spacing w:before="240" w:after="240"/>
        <w:jc w:val="both"/>
        <w:rPr>
          <w:rFonts w:ascii="Palatino Linotype" w:eastAsia="Palatino Linotype" w:hAnsi="Palatino Linotype" w:cs="Palatino Linotype"/>
          <w:sz w:val="20"/>
          <w:szCs w:val="20"/>
        </w:rPr>
      </w:pPr>
    </w:p>
    <w:p w14:paraId="202CB51A" w14:textId="77777777" w:rsidR="00CB557F" w:rsidRDefault="00CB557F">
      <w:pPr>
        <w:spacing w:before="240" w:after="240"/>
        <w:jc w:val="both"/>
        <w:rPr>
          <w:rFonts w:ascii="Palatino Linotype" w:eastAsia="Palatino Linotype" w:hAnsi="Palatino Linotype" w:cs="Palatino Linotype"/>
          <w:sz w:val="20"/>
          <w:szCs w:val="20"/>
        </w:rPr>
      </w:pPr>
    </w:p>
    <w:p w14:paraId="6E2C66F5" w14:textId="77777777" w:rsidR="00CB557F" w:rsidRDefault="00CB557F">
      <w:pPr>
        <w:spacing w:before="240" w:after="240"/>
        <w:jc w:val="both"/>
        <w:rPr>
          <w:rFonts w:ascii="Palatino Linotype" w:eastAsia="Palatino Linotype" w:hAnsi="Palatino Linotype" w:cs="Palatino Linotype"/>
          <w:sz w:val="20"/>
          <w:szCs w:val="20"/>
        </w:rPr>
      </w:pPr>
    </w:p>
    <w:p w14:paraId="3876ADE8" w14:textId="77777777" w:rsidR="00CB557F" w:rsidRDefault="00CB557F">
      <w:pPr>
        <w:spacing w:before="240" w:after="240"/>
        <w:jc w:val="both"/>
        <w:rPr>
          <w:rFonts w:ascii="Palatino Linotype" w:eastAsia="Palatino Linotype" w:hAnsi="Palatino Linotype" w:cs="Palatino Linotype"/>
          <w:sz w:val="20"/>
          <w:szCs w:val="20"/>
        </w:rPr>
      </w:pPr>
    </w:p>
    <w:p w14:paraId="3BFA5C26" w14:textId="77777777" w:rsidR="00CB557F" w:rsidRDefault="00CB557F">
      <w:pPr>
        <w:spacing w:before="240" w:after="240"/>
        <w:jc w:val="both"/>
        <w:rPr>
          <w:rFonts w:ascii="Palatino Linotype" w:eastAsia="Palatino Linotype" w:hAnsi="Palatino Linotype" w:cs="Palatino Linotype"/>
          <w:sz w:val="20"/>
          <w:szCs w:val="20"/>
        </w:rPr>
      </w:pPr>
    </w:p>
    <w:p w14:paraId="0EADE07F" w14:textId="77777777" w:rsidR="00CB557F" w:rsidRDefault="00CB557F">
      <w:pPr>
        <w:spacing w:before="240" w:after="240"/>
        <w:jc w:val="both"/>
        <w:rPr>
          <w:rFonts w:ascii="Palatino Linotype" w:eastAsia="Palatino Linotype" w:hAnsi="Palatino Linotype" w:cs="Palatino Linotype"/>
          <w:sz w:val="20"/>
          <w:szCs w:val="20"/>
        </w:rPr>
      </w:pPr>
    </w:p>
    <w:p w14:paraId="3F8A0E93" w14:textId="77777777" w:rsidR="00CB557F" w:rsidRDefault="00CB557F">
      <w:pPr>
        <w:spacing w:before="240" w:after="240"/>
        <w:jc w:val="both"/>
        <w:rPr>
          <w:rFonts w:ascii="Palatino Linotype" w:eastAsia="Palatino Linotype" w:hAnsi="Palatino Linotype" w:cs="Palatino Linotype"/>
          <w:sz w:val="20"/>
          <w:szCs w:val="20"/>
        </w:rPr>
      </w:pPr>
    </w:p>
    <w:p w14:paraId="2E5DFE36" w14:textId="77777777" w:rsidR="00CB557F" w:rsidRDefault="00CB557F">
      <w:pPr>
        <w:spacing w:before="240" w:after="240"/>
        <w:jc w:val="both"/>
        <w:rPr>
          <w:rFonts w:ascii="Palatino Linotype" w:eastAsia="Palatino Linotype" w:hAnsi="Palatino Linotype" w:cs="Palatino Linotype"/>
          <w:sz w:val="20"/>
          <w:szCs w:val="20"/>
        </w:rPr>
      </w:pPr>
    </w:p>
    <w:p w14:paraId="66EE2B2A" w14:textId="77777777" w:rsidR="00CB557F" w:rsidRDefault="00CB557F">
      <w:pPr>
        <w:spacing w:before="240" w:after="240"/>
        <w:jc w:val="both"/>
        <w:rPr>
          <w:rFonts w:ascii="Palatino Linotype" w:eastAsia="Palatino Linotype" w:hAnsi="Palatino Linotype" w:cs="Palatino Linotype"/>
          <w:sz w:val="20"/>
          <w:szCs w:val="20"/>
        </w:rPr>
      </w:pPr>
    </w:p>
    <w:p w14:paraId="59FAEA62" w14:textId="77777777" w:rsidR="00CB557F" w:rsidRDefault="00CB557F">
      <w:pPr>
        <w:spacing w:before="240" w:after="240"/>
        <w:jc w:val="both"/>
        <w:rPr>
          <w:rFonts w:ascii="Palatino Linotype" w:eastAsia="Palatino Linotype" w:hAnsi="Palatino Linotype" w:cs="Palatino Linotype"/>
          <w:sz w:val="20"/>
          <w:szCs w:val="20"/>
        </w:rPr>
      </w:pPr>
    </w:p>
    <w:p w14:paraId="09FEA2AC" w14:textId="77777777" w:rsidR="00CB557F" w:rsidRDefault="00CB557F">
      <w:pPr>
        <w:spacing w:before="240" w:after="240"/>
        <w:jc w:val="both"/>
        <w:rPr>
          <w:rFonts w:ascii="Palatino Linotype" w:eastAsia="Palatino Linotype" w:hAnsi="Palatino Linotype" w:cs="Palatino Linotype"/>
          <w:sz w:val="20"/>
          <w:szCs w:val="20"/>
        </w:rPr>
      </w:pPr>
    </w:p>
    <w:p w14:paraId="08B357A3" w14:textId="77777777" w:rsidR="00CB557F" w:rsidRDefault="00CB557F">
      <w:pPr>
        <w:spacing w:before="240" w:after="240"/>
        <w:jc w:val="both"/>
        <w:rPr>
          <w:rFonts w:ascii="Palatino Linotype" w:eastAsia="Palatino Linotype" w:hAnsi="Palatino Linotype" w:cs="Palatino Linotype"/>
          <w:sz w:val="20"/>
          <w:szCs w:val="20"/>
        </w:rPr>
      </w:pPr>
    </w:p>
    <w:p w14:paraId="6335AFB3" w14:textId="77777777" w:rsidR="00CB557F" w:rsidRDefault="00CB557F">
      <w:pPr>
        <w:spacing w:before="240" w:after="240"/>
        <w:jc w:val="both"/>
        <w:rPr>
          <w:rFonts w:ascii="Palatino Linotype" w:eastAsia="Palatino Linotype" w:hAnsi="Palatino Linotype" w:cs="Palatino Linotype"/>
          <w:sz w:val="20"/>
          <w:szCs w:val="20"/>
        </w:rPr>
      </w:pPr>
    </w:p>
    <w:p w14:paraId="1DA25BAB" w14:textId="77777777" w:rsidR="00CB557F" w:rsidRDefault="00CB557F">
      <w:pPr>
        <w:spacing w:before="240" w:after="240"/>
        <w:jc w:val="both"/>
        <w:rPr>
          <w:rFonts w:ascii="Palatino Linotype" w:eastAsia="Palatino Linotype" w:hAnsi="Palatino Linotype" w:cs="Palatino Linotype"/>
          <w:sz w:val="20"/>
          <w:szCs w:val="20"/>
        </w:rPr>
      </w:pPr>
    </w:p>
    <w:p w14:paraId="78A36956" w14:textId="77777777" w:rsidR="00CB557F" w:rsidRDefault="00CB557F">
      <w:pPr>
        <w:spacing w:before="240" w:after="240"/>
        <w:jc w:val="both"/>
        <w:rPr>
          <w:rFonts w:ascii="Palatino Linotype" w:eastAsia="Palatino Linotype" w:hAnsi="Palatino Linotype" w:cs="Palatino Linotype"/>
          <w:sz w:val="20"/>
          <w:szCs w:val="20"/>
        </w:rPr>
      </w:pPr>
    </w:p>
    <w:sectPr w:rsidR="00CB557F">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9EB72" w14:textId="77777777" w:rsidR="00AA36A4" w:rsidRDefault="00AA36A4">
      <w:r>
        <w:separator/>
      </w:r>
    </w:p>
  </w:endnote>
  <w:endnote w:type="continuationSeparator" w:id="0">
    <w:p w14:paraId="0FEB3E61" w14:textId="77777777" w:rsidR="00AA36A4" w:rsidRDefault="00AA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roma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145" w14:textId="77777777" w:rsidR="00CB557F" w:rsidRDefault="00AA36A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4907F7">
      <w:rPr>
        <w:rFonts w:ascii="Palatino Linotype" w:eastAsia="Palatino Linotype" w:hAnsi="Palatino Linotype" w:cs="Palatino Linotype"/>
        <w:b/>
        <w:color w:val="000000"/>
        <w:sz w:val="20"/>
        <w:szCs w:val="20"/>
      </w:rPr>
      <w:fldChar w:fldCharType="separate"/>
    </w:r>
    <w:r w:rsidR="004907F7">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4907F7">
      <w:rPr>
        <w:rFonts w:ascii="Palatino Linotype" w:eastAsia="Palatino Linotype" w:hAnsi="Palatino Linotype" w:cs="Palatino Linotype"/>
        <w:b/>
        <w:color w:val="000000"/>
        <w:sz w:val="20"/>
        <w:szCs w:val="20"/>
      </w:rPr>
      <w:fldChar w:fldCharType="separate"/>
    </w:r>
    <w:r w:rsidR="004907F7">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p>
  <w:p w14:paraId="4ACA9B70" w14:textId="77777777" w:rsidR="00CB557F" w:rsidRDefault="00CB557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7D782" w14:textId="77777777" w:rsidR="00CB557F" w:rsidRDefault="00AA36A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4907F7">
      <w:rPr>
        <w:rFonts w:ascii="Palatino Linotype" w:eastAsia="Palatino Linotype" w:hAnsi="Palatino Linotype" w:cs="Palatino Linotype"/>
        <w:b/>
        <w:color w:val="000000"/>
        <w:sz w:val="20"/>
        <w:szCs w:val="20"/>
      </w:rPr>
      <w:fldChar w:fldCharType="separate"/>
    </w:r>
    <w:r w:rsidR="004907F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4907F7">
      <w:rPr>
        <w:rFonts w:ascii="Palatino Linotype" w:eastAsia="Palatino Linotype" w:hAnsi="Palatino Linotype" w:cs="Palatino Linotype"/>
        <w:b/>
        <w:color w:val="000000"/>
        <w:sz w:val="20"/>
        <w:szCs w:val="20"/>
      </w:rPr>
      <w:fldChar w:fldCharType="separate"/>
    </w:r>
    <w:r w:rsidR="004907F7">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p>
  <w:p w14:paraId="094397B5" w14:textId="77777777" w:rsidR="00CB557F" w:rsidRDefault="00CB557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0532B" w14:textId="77777777" w:rsidR="00AA36A4" w:rsidRDefault="00AA36A4">
      <w:r>
        <w:separator/>
      </w:r>
    </w:p>
  </w:footnote>
  <w:footnote w:type="continuationSeparator" w:id="0">
    <w:p w14:paraId="3671BDFF" w14:textId="77777777" w:rsidR="00AA36A4" w:rsidRDefault="00AA36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CD3DF" w14:textId="77777777" w:rsidR="00CB557F" w:rsidRDefault="00AA36A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ES_tradnl"/>
      </w:rPr>
      <w:drawing>
        <wp:anchor distT="0" distB="0" distL="0" distR="0" simplePos="0" relativeHeight="251658240" behindDoc="1" locked="0" layoutInCell="1" hidden="0" allowOverlap="1" wp14:anchorId="2EC06F33" wp14:editId="2776B93E">
          <wp:simplePos x="0" y="0"/>
          <wp:positionH relativeFrom="column">
            <wp:posOffset>-1080134</wp:posOffset>
          </wp:positionH>
          <wp:positionV relativeFrom="paragraph">
            <wp:posOffset>-396401</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CB557F" w14:paraId="28876991" w14:textId="77777777">
      <w:tc>
        <w:tcPr>
          <w:tcW w:w="2489" w:type="dxa"/>
          <w:shd w:val="clear" w:color="auto" w:fill="auto"/>
        </w:tcPr>
        <w:p w14:paraId="1A68E602" w14:textId="77777777" w:rsidR="00CB557F" w:rsidRDefault="00AA36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54CA5F4" w14:textId="77777777" w:rsidR="00CB557F" w:rsidRDefault="00AA36A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00044/INFOEM/IP/RR/2022</w:t>
          </w:r>
        </w:p>
      </w:tc>
    </w:tr>
    <w:tr w:rsidR="00CB557F" w14:paraId="76B60332" w14:textId="77777777">
      <w:trPr>
        <w:trHeight w:val="228"/>
      </w:trPr>
      <w:tc>
        <w:tcPr>
          <w:tcW w:w="2489" w:type="dxa"/>
          <w:shd w:val="clear" w:color="auto" w:fill="auto"/>
          <w:vAlign w:val="center"/>
        </w:tcPr>
        <w:p w14:paraId="6DE9B70A" w14:textId="77777777" w:rsidR="00CB557F" w:rsidRDefault="00AA36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A1FF2E5" w14:textId="77777777" w:rsidR="00CB557F" w:rsidRDefault="00AA36A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Isidro Fabela</w:t>
          </w:r>
        </w:p>
      </w:tc>
    </w:tr>
    <w:tr w:rsidR="00CB557F" w14:paraId="0CCF5480" w14:textId="77777777">
      <w:tc>
        <w:tcPr>
          <w:tcW w:w="2489" w:type="dxa"/>
          <w:shd w:val="clear" w:color="auto" w:fill="auto"/>
          <w:vAlign w:val="center"/>
        </w:tcPr>
        <w:p w14:paraId="3FA5845C" w14:textId="77777777" w:rsidR="00CB557F" w:rsidRDefault="00AA36A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BD3862D" w14:textId="77777777" w:rsidR="00CB557F" w:rsidRDefault="00AA36A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E97869" w14:textId="77777777" w:rsidR="00CB557F" w:rsidRDefault="00AA36A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9AA53" w14:textId="77777777" w:rsidR="00CB557F" w:rsidRDefault="00CB557F">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
      <w:tblW w:w="5953" w:type="dxa"/>
      <w:tblInd w:w="3261" w:type="dxa"/>
      <w:tblLayout w:type="fixed"/>
      <w:tblLook w:val="0400" w:firstRow="0" w:lastRow="0" w:firstColumn="0" w:lastColumn="0" w:noHBand="0" w:noVBand="1"/>
    </w:tblPr>
    <w:tblGrid>
      <w:gridCol w:w="2551"/>
      <w:gridCol w:w="3402"/>
    </w:tblGrid>
    <w:tr w:rsidR="00CB557F" w14:paraId="6273EBD2" w14:textId="77777777">
      <w:tc>
        <w:tcPr>
          <w:tcW w:w="2551" w:type="dxa"/>
          <w:shd w:val="clear" w:color="auto" w:fill="auto"/>
          <w:vAlign w:val="center"/>
        </w:tcPr>
        <w:p w14:paraId="299813DC" w14:textId="77777777" w:rsidR="00CB557F" w:rsidRDefault="00AA36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4A3EB35E" w14:textId="77777777" w:rsidR="00CB557F" w:rsidRDefault="00AA36A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00044/INFOEM/IP/RR/2022</w:t>
          </w:r>
        </w:p>
      </w:tc>
    </w:tr>
    <w:tr w:rsidR="00CB557F" w14:paraId="5E830854" w14:textId="77777777">
      <w:trPr>
        <w:trHeight w:val="130"/>
      </w:trPr>
      <w:tc>
        <w:tcPr>
          <w:tcW w:w="2551" w:type="dxa"/>
          <w:shd w:val="clear" w:color="auto" w:fill="auto"/>
          <w:vAlign w:val="center"/>
        </w:tcPr>
        <w:p w14:paraId="142ACCDB" w14:textId="77777777" w:rsidR="00CB557F" w:rsidRDefault="00AA36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4901A0CF" w14:textId="77777777" w:rsidR="00CB557F" w:rsidRDefault="004907F7">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XXXX</w:t>
          </w:r>
        </w:p>
      </w:tc>
    </w:tr>
    <w:tr w:rsidR="00CB557F" w14:paraId="4C30DFF0" w14:textId="77777777">
      <w:trPr>
        <w:trHeight w:val="228"/>
      </w:trPr>
      <w:tc>
        <w:tcPr>
          <w:tcW w:w="2551" w:type="dxa"/>
          <w:shd w:val="clear" w:color="auto" w:fill="auto"/>
          <w:vAlign w:val="center"/>
        </w:tcPr>
        <w:p w14:paraId="63E36444" w14:textId="77777777" w:rsidR="00CB557F" w:rsidRDefault="00AA36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258A782B" w14:textId="77777777" w:rsidR="00CB557F" w:rsidRDefault="00AA36A4">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Isidro Fabela</w:t>
          </w:r>
        </w:p>
      </w:tc>
    </w:tr>
    <w:tr w:rsidR="00CB557F" w14:paraId="6C15235F" w14:textId="77777777">
      <w:tc>
        <w:tcPr>
          <w:tcW w:w="2551" w:type="dxa"/>
          <w:shd w:val="clear" w:color="auto" w:fill="auto"/>
          <w:vAlign w:val="center"/>
        </w:tcPr>
        <w:p w14:paraId="0A0BDD9F" w14:textId="77777777" w:rsidR="00CB557F" w:rsidRDefault="00AA36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14:paraId="0441D1AA" w14:textId="77777777" w:rsidR="00CB557F" w:rsidRDefault="00AA36A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1FAF1B2" w14:textId="77777777" w:rsidR="00CB557F" w:rsidRDefault="00AA36A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ES_tradnl"/>
      </w:rPr>
      <w:drawing>
        <wp:anchor distT="0" distB="0" distL="0" distR="0" simplePos="0" relativeHeight="251659264" behindDoc="1" locked="0" layoutInCell="1" hidden="0" allowOverlap="1" wp14:anchorId="10AD3E77" wp14:editId="614224E2">
          <wp:simplePos x="0" y="0"/>
          <wp:positionH relativeFrom="column">
            <wp:posOffset>0</wp:posOffset>
          </wp:positionH>
          <wp:positionV relativeFrom="paragraph">
            <wp:posOffset>-1963419</wp:posOffset>
          </wp:positionV>
          <wp:extent cx="7809865" cy="10165715"/>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840EC"/>
    <w:multiLevelType w:val="multilevel"/>
    <w:tmpl w:val="C3CAB45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214173C"/>
    <w:multiLevelType w:val="multilevel"/>
    <w:tmpl w:val="00FC02F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A174817"/>
    <w:multiLevelType w:val="multilevel"/>
    <w:tmpl w:val="C6567F3A"/>
    <w:lvl w:ilvl="0">
      <w:start w:val="1"/>
      <w:numFmt w:val="lowerLetter"/>
      <w:lvlText w:val="%1)"/>
      <w:lvlJc w:val="left"/>
      <w:pPr>
        <w:ind w:left="4472" w:hanging="360"/>
      </w:pPr>
      <w:rPr>
        <w:rFonts w:ascii="Palatino Linotype" w:eastAsia="Palatino Linotype" w:hAnsi="Palatino Linotype" w:cs="Palatino Linotype"/>
        <w:b w:val="0"/>
      </w:rPr>
    </w:lvl>
    <w:lvl w:ilvl="1">
      <w:start w:val="1"/>
      <w:numFmt w:val="decimal"/>
      <w:lvlText w:val="%2."/>
      <w:lvlJc w:val="left"/>
      <w:pPr>
        <w:ind w:left="5552" w:hanging="360"/>
      </w:pPr>
    </w:lvl>
    <w:lvl w:ilvl="2">
      <w:start w:val="1"/>
      <w:numFmt w:val="decimal"/>
      <w:lvlText w:val="%3."/>
      <w:lvlJc w:val="left"/>
      <w:pPr>
        <w:ind w:left="6272" w:hanging="360"/>
      </w:pPr>
    </w:lvl>
    <w:lvl w:ilvl="3">
      <w:start w:val="1"/>
      <w:numFmt w:val="decimal"/>
      <w:lvlText w:val="%4."/>
      <w:lvlJc w:val="left"/>
      <w:pPr>
        <w:ind w:left="6992" w:hanging="360"/>
      </w:pPr>
    </w:lvl>
    <w:lvl w:ilvl="4">
      <w:start w:val="1"/>
      <w:numFmt w:val="decimal"/>
      <w:lvlText w:val="%5."/>
      <w:lvlJc w:val="left"/>
      <w:pPr>
        <w:ind w:left="7712" w:hanging="360"/>
      </w:pPr>
    </w:lvl>
    <w:lvl w:ilvl="5">
      <w:start w:val="1"/>
      <w:numFmt w:val="decimal"/>
      <w:lvlText w:val="%6."/>
      <w:lvlJc w:val="left"/>
      <w:pPr>
        <w:ind w:left="8432" w:hanging="360"/>
      </w:pPr>
    </w:lvl>
    <w:lvl w:ilvl="6">
      <w:start w:val="1"/>
      <w:numFmt w:val="decimal"/>
      <w:lvlText w:val="%7."/>
      <w:lvlJc w:val="left"/>
      <w:pPr>
        <w:ind w:left="9152" w:hanging="360"/>
      </w:pPr>
    </w:lvl>
    <w:lvl w:ilvl="7">
      <w:start w:val="1"/>
      <w:numFmt w:val="decimal"/>
      <w:lvlText w:val="%8."/>
      <w:lvlJc w:val="left"/>
      <w:pPr>
        <w:ind w:left="9872" w:hanging="360"/>
      </w:pPr>
    </w:lvl>
    <w:lvl w:ilvl="8">
      <w:start w:val="1"/>
      <w:numFmt w:val="decimal"/>
      <w:lvlText w:val="%9."/>
      <w:lvlJc w:val="left"/>
      <w:pPr>
        <w:ind w:left="10592"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57F"/>
    <w:rsid w:val="004907F7"/>
    <w:rsid w:val="00AA36A4"/>
    <w:rsid w:val="00CB557F"/>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2DC51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6.png"/><Relationship Id="rId12" Type="http://schemas.openxmlformats.org/officeDocument/2006/relationships/image" Target="media/image11.png"/><Relationship Id="rId13" Type="http://schemas.openxmlformats.org/officeDocument/2006/relationships/image" Target="media/image7.png"/><Relationship Id="rId14" Type="http://schemas.openxmlformats.org/officeDocument/2006/relationships/hyperlink" Target="https://www.isidrofabela.gob.mx/contenidos/isidrofabela/docs/ORGANIGRAMA_2022_2024_pdf_2022_2_9_194441.pdf" TargetMode="External"/><Relationship Id="rId15" Type="http://schemas.openxmlformats.org/officeDocument/2006/relationships/image" Target="media/image3.png"/><Relationship Id="rId16" Type="http://schemas.openxmlformats.org/officeDocument/2006/relationships/image" Target="media/image9.png"/><Relationship Id="rId17" Type="http://schemas.openxmlformats.org/officeDocument/2006/relationships/image" Target="media/image4.png"/><Relationship Id="rId18" Type="http://schemas.openxmlformats.org/officeDocument/2006/relationships/image" Target="media/image8.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Pus5pVrYZqv8pBc6OS0XL0ijmA==">AMUW2mXPvYLyKOvMn4LBrCGUby1wjMGXb04c7rpH1CQS+Clafq2IEms03+jS2wsmt+Bzw8I7ie2YU8snvCb06+ZlRJ1m+n0B7ZmQRtvYRB1zt8KWdvPxv+tErP1Sgk03WqCMKpLDPgQKl5BdYXmClojpCHXx3QKyd5j7Rzmf7rInqnNEJTo67zFebdi4FypLmMi6axPog/l+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3318</Words>
  <Characters>18252</Characters>
  <Application>Microsoft Macintosh Word</Application>
  <DocSecurity>0</DocSecurity>
  <Lines>152</Lines>
  <Paragraphs>43</Paragraphs>
  <ScaleCrop>false</ScaleCrop>
  <LinksUpToDate>false</LinksUpToDate>
  <CharactersWithSpaces>21527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juan Jesus Portilla Villavicencio</cp:lastModifiedBy>
  <cp:revision>2</cp:revision>
  <dcterms:created xsi:type="dcterms:W3CDTF">2022-02-17T05:45:00Z</dcterms:created>
  <dcterms:modified xsi:type="dcterms:W3CDTF">2022-03-03T01:45:00Z</dcterms:modified>
</cp:coreProperties>
</file>