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5B439B" w14:textId="77777777" w:rsidR="00C8730C" w:rsidRDefault="00D23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w:t>
      </w:r>
      <w:r w:rsidR="00081AE0">
        <w:rPr>
          <w:rFonts w:ascii="Palatino Linotype" w:eastAsia="Palatino Linotype" w:hAnsi="Palatino Linotype" w:cs="Palatino Linotype"/>
        </w:rPr>
        <w:t>pec, Estado</w:t>
      </w:r>
      <w:r w:rsidR="006A2C19">
        <w:rPr>
          <w:rFonts w:ascii="Palatino Linotype" w:eastAsia="Palatino Linotype" w:hAnsi="Palatino Linotype" w:cs="Palatino Linotype"/>
        </w:rPr>
        <w:t xml:space="preserve"> de México, a </w:t>
      </w:r>
      <w:r w:rsidR="006A2C19" w:rsidRPr="006A2C19">
        <w:rPr>
          <w:rFonts w:ascii="Palatino Linotype" w:eastAsia="Palatino Linotype" w:hAnsi="Palatino Linotype" w:cs="Palatino Linotype"/>
          <w:b/>
        </w:rPr>
        <w:t>diecisiete</w:t>
      </w:r>
      <w:r w:rsidR="00081AE0" w:rsidRPr="006A2C19">
        <w:rPr>
          <w:rFonts w:ascii="Palatino Linotype" w:eastAsia="Palatino Linotype" w:hAnsi="Palatino Linotype" w:cs="Palatino Linotype"/>
          <w:b/>
        </w:rPr>
        <w:t xml:space="preserve"> de agosto</w:t>
      </w:r>
      <w:r w:rsidRPr="006A2C19">
        <w:rPr>
          <w:rFonts w:ascii="Palatino Linotype" w:eastAsia="Palatino Linotype" w:hAnsi="Palatino Linotype" w:cs="Palatino Linotype"/>
          <w:b/>
        </w:rPr>
        <w:t xml:space="preserve"> de dos mil veintidós</w:t>
      </w:r>
      <w:r>
        <w:rPr>
          <w:rFonts w:ascii="Palatino Linotype" w:eastAsia="Palatino Linotype" w:hAnsi="Palatino Linotype" w:cs="Palatino Linotype"/>
        </w:rPr>
        <w:t xml:space="preserve">. </w:t>
      </w:r>
    </w:p>
    <w:p w14:paraId="673D5292" w14:textId="50906D10" w:rsidR="00C8730C" w:rsidRDefault="006A2C1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sidR="00D23B6E">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0562</w:t>
      </w:r>
      <w:r w:rsidR="00081AE0">
        <w:rPr>
          <w:rFonts w:ascii="Palatino Linotype" w:eastAsia="Palatino Linotype" w:hAnsi="Palatino Linotype" w:cs="Palatino Linotype"/>
          <w:b/>
        </w:rPr>
        <w:t>4</w:t>
      </w:r>
      <w:r w:rsidR="00D23B6E">
        <w:rPr>
          <w:rFonts w:ascii="Palatino Linotype" w:eastAsia="Palatino Linotype" w:hAnsi="Palatino Linotype" w:cs="Palatino Linotype"/>
          <w:b/>
        </w:rPr>
        <w:t>/INFOEM/IP/RR/2022</w:t>
      </w:r>
      <w:r w:rsidR="00D23B6E">
        <w:rPr>
          <w:rFonts w:ascii="Palatino Linotype" w:eastAsia="Palatino Linotype" w:hAnsi="Palatino Linotype" w:cs="Palatino Linotype"/>
        </w:rPr>
        <w:t xml:space="preserve">, por </w:t>
      </w:r>
      <w:r w:rsidR="00081AE0">
        <w:rPr>
          <w:rFonts w:ascii="Palatino Linotype" w:eastAsia="Palatino Linotype" w:hAnsi="Palatino Linotype" w:cs="Palatino Linotype"/>
        </w:rPr>
        <w:t xml:space="preserve">interpuesto por </w:t>
      </w:r>
      <w:r w:rsidR="005965BA" w:rsidRPr="005965BA">
        <w:rPr>
          <w:rFonts w:ascii="Palatino Linotype" w:eastAsia="Palatino Linotype" w:hAnsi="Palatino Linotype" w:cs="Palatino Linotype"/>
          <w:b/>
        </w:rPr>
        <w:t>XXXXXXX XXXXXXXXX XXXXXXXXXXX X</w:t>
      </w:r>
      <w:bookmarkStart w:id="0" w:name="_GoBack"/>
      <w:bookmarkEnd w:id="0"/>
      <w:r>
        <w:rPr>
          <w:rFonts w:ascii="Palatino Linotype" w:eastAsia="Palatino Linotype" w:hAnsi="Palatino Linotype" w:cs="Palatino Linotype"/>
        </w:rPr>
        <w:t xml:space="preserve">, en lo sucesivo </w:t>
      </w:r>
      <w:r w:rsidRPr="006A2C19">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sidR="00D23B6E">
        <w:rPr>
          <w:rFonts w:ascii="Palatino Linotype" w:eastAsia="Palatino Linotype" w:hAnsi="Palatino Linotype" w:cs="Palatino Linotype"/>
          <w:b/>
        </w:rPr>
        <w:t>,</w:t>
      </w:r>
      <w:r w:rsidR="00D23B6E">
        <w:rPr>
          <w:rFonts w:ascii="Palatino Linotype" w:eastAsia="Palatino Linotype" w:hAnsi="Palatino Linotype" w:cs="Palatino Linotype"/>
        </w:rPr>
        <w:t xml:space="preserve"> en contra de la respuesta a su solicitud por parte del </w:t>
      </w:r>
      <w:r w:rsidRPr="006A2C19">
        <w:rPr>
          <w:rFonts w:ascii="Palatino Linotype" w:eastAsia="Palatino Linotype" w:hAnsi="Palatino Linotype" w:cs="Palatino Linotype"/>
          <w:b/>
        </w:rPr>
        <w:t>Poder Judicial</w:t>
      </w:r>
      <w:r w:rsidR="00D23B6E">
        <w:rPr>
          <w:rFonts w:ascii="Palatino Linotype" w:eastAsia="Palatino Linotype" w:hAnsi="Palatino Linotype" w:cs="Palatino Linotype"/>
          <w:b/>
        </w:rPr>
        <w:t xml:space="preserve">, </w:t>
      </w:r>
      <w:r w:rsidR="00D23B6E">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Sujeto Obligado</w:t>
      </w:r>
      <w:r w:rsidR="00D23B6E">
        <w:rPr>
          <w:rFonts w:ascii="Palatino Linotype" w:eastAsia="Palatino Linotype" w:hAnsi="Palatino Linotype" w:cs="Palatino Linotype"/>
          <w:b/>
        </w:rPr>
        <w:t xml:space="preserve">, </w:t>
      </w:r>
      <w:r w:rsidR="00D23B6E">
        <w:rPr>
          <w:rFonts w:ascii="Palatino Linotype" w:eastAsia="Palatino Linotype" w:hAnsi="Palatino Linotype" w:cs="Palatino Linotype"/>
        </w:rPr>
        <w:t xml:space="preserve">se procede a dictar la presente resolución con base en los siguientes: </w:t>
      </w:r>
    </w:p>
    <w:p w14:paraId="36958CE5" w14:textId="77777777" w:rsidR="00C8730C" w:rsidRDefault="00D23B6E">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 A N T E C E D E N T E S</w:t>
      </w:r>
    </w:p>
    <w:p w14:paraId="224B0F93" w14:textId="77777777" w:rsidR="00C8730C" w:rsidRDefault="00D23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Con fecha </w:t>
      </w:r>
      <w:r w:rsidR="006A2C19">
        <w:rPr>
          <w:rFonts w:ascii="Palatino Linotype" w:eastAsia="Palatino Linotype" w:hAnsi="Palatino Linotype" w:cs="Palatino Linotype"/>
          <w:b/>
        </w:rPr>
        <w:t>och</w:t>
      </w:r>
      <w:r w:rsidR="00690783" w:rsidRPr="00690783">
        <w:rPr>
          <w:rFonts w:ascii="Palatino Linotype" w:eastAsia="Palatino Linotype" w:hAnsi="Palatino Linotype" w:cs="Palatino Linotype"/>
          <w:b/>
        </w:rPr>
        <w:t>o de marzo d</w:t>
      </w:r>
      <w:r w:rsidRPr="00690783">
        <w:rPr>
          <w:rFonts w:ascii="Palatino Linotype" w:eastAsia="Palatino Linotype" w:hAnsi="Palatino Linotype" w:cs="Palatino Linotype"/>
          <w:b/>
        </w:rPr>
        <w:t>e</w:t>
      </w:r>
      <w:r w:rsidR="00690783" w:rsidRPr="00690783">
        <w:rPr>
          <w:rFonts w:ascii="Palatino Linotype" w:eastAsia="Palatino Linotype" w:hAnsi="Palatino Linotype" w:cs="Palatino Linotype"/>
          <w:b/>
        </w:rPr>
        <w:t>l</w:t>
      </w:r>
      <w:r w:rsidRPr="00690783">
        <w:rPr>
          <w:rFonts w:ascii="Palatino Linotype" w:eastAsia="Palatino Linotype" w:hAnsi="Palatino Linotype" w:cs="Palatino Linotype"/>
          <w:b/>
        </w:rPr>
        <w:t xml:space="preserve"> dos </w:t>
      </w:r>
      <w:r>
        <w:rPr>
          <w:rFonts w:ascii="Palatino Linotype" w:eastAsia="Palatino Linotype" w:hAnsi="Palatino Linotype" w:cs="Palatino Linotype"/>
          <w:b/>
        </w:rPr>
        <w:t>mil veintidós,</w:t>
      </w:r>
      <w:r>
        <w:rPr>
          <w:rFonts w:ascii="Palatino Linotype" w:eastAsia="Palatino Linotype" w:hAnsi="Palatino Linotype" w:cs="Palatino Linotype"/>
        </w:rPr>
        <w:t xml:space="preserve"> </w:t>
      </w:r>
      <w:r w:rsidRPr="006A2C19">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sidR="006A2C19">
        <w:rPr>
          <w:rFonts w:ascii="Palatino Linotype" w:eastAsia="Palatino Linotype" w:hAnsi="Palatino Linotype" w:cs="Palatino Linotype"/>
          <w:b/>
        </w:rPr>
        <w:t>Recurrente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presentó, </w:t>
      </w:r>
      <w:r w:rsidR="006A2C19">
        <w:rPr>
          <w:rFonts w:ascii="Palatino Linotype" w:eastAsia="Palatino Linotype" w:hAnsi="Palatino Linotype" w:cs="Palatino Linotype"/>
        </w:rPr>
        <w:t xml:space="preserve">a </w:t>
      </w:r>
      <w:r>
        <w:rPr>
          <w:rFonts w:ascii="Palatino Linotype" w:eastAsia="Palatino Linotype" w:hAnsi="Palatino Linotype" w:cs="Palatino Linotype"/>
        </w:rPr>
        <w:t xml:space="preserve">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sidR="006A2C19">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w:t>
      </w:r>
      <w:r w:rsidR="006A2C19" w:rsidRPr="006A2C19">
        <w:rPr>
          <w:rFonts w:ascii="Palatino Linotype" w:eastAsia="Palatino Linotype" w:hAnsi="Palatino Linotype" w:cs="Palatino Linotype"/>
          <w:b/>
        </w:rPr>
        <w:t>00166/PJUDICI/IP/2022</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mediante la cual requirió la información siguiente: </w:t>
      </w:r>
    </w:p>
    <w:p w14:paraId="34A140D6" w14:textId="77777777" w:rsidR="00C8730C" w:rsidRDefault="00D23B6E">
      <w:pPr>
        <w:spacing w:before="240"/>
        <w:ind w:left="851" w:right="902"/>
        <w:jc w:val="both"/>
        <w:rPr>
          <w:rFonts w:ascii="Palatino Linotype" w:eastAsia="Palatino Linotype" w:hAnsi="Palatino Linotype" w:cs="Palatino Linotype"/>
          <w:i/>
          <w:sz w:val="22"/>
          <w:szCs w:val="22"/>
        </w:rPr>
      </w:pPr>
      <w:bookmarkStart w:id="1" w:name="_heading=h.gjdgxs" w:colFirst="0" w:colLast="0"/>
      <w:bookmarkEnd w:id="1"/>
      <w:r>
        <w:rPr>
          <w:rFonts w:ascii="Palatino Linotype" w:eastAsia="Palatino Linotype" w:hAnsi="Palatino Linotype" w:cs="Palatino Linotype"/>
          <w:i/>
          <w:sz w:val="22"/>
          <w:szCs w:val="22"/>
        </w:rPr>
        <w:t>“</w:t>
      </w:r>
      <w:r w:rsidR="006A2C19" w:rsidRPr="006A2C19">
        <w:rPr>
          <w:rFonts w:ascii="Palatino Linotype" w:eastAsia="Palatino Linotype" w:hAnsi="Palatino Linotype" w:cs="Palatino Linotype"/>
          <w:i/>
          <w:sz w:val="22"/>
          <w:szCs w:val="22"/>
        </w:rPr>
        <w:t>CON CUÁNTOS SERVIDORES PÚBLICOS SE INTEGRAN LOS NUEVOS TRIBUNALES LABORALES DEL PODER JUDICIAL DEL ESTADO DE MÉXICO, CUÁL HA SIDO EL PROCESO DE SELECCIÓN DE LOS SERVIDORES PÚBLICOS QUE ACTUALMENTE LABORAN EN LOS TRIBUNALES LABORALES DEL PODER JUDICIAL DEL ESTADO DE MÉXICO, CUÁNTOS HAN INGRESADO POR CONCURSO DE OPOSICIÓN Y CUÁNTOS HAN INGRESADO POR DISTINTAS VÍAS.</w:t>
      </w:r>
      <w:r w:rsidR="00081AE0" w:rsidRPr="00081AE0">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 xml:space="preserve"> (Sic)</w:t>
      </w:r>
    </w:p>
    <w:p w14:paraId="294121B1" w14:textId="77777777" w:rsidR="00C8730C" w:rsidRDefault="00C8730C">
      <w:pPr>
        <w:spacing w:line="360" w:lineRule="auto"/>
        <w:jc w:val="both"/>
        <w:rPr>
          <w:rFonts w:ascii="Palatino Linotype" w:eastAsia="Palatino Linotype" w:hAnsi="Palatino Linotype" w:cs="Palatino Linotype"/>
        </w:rPr>
      </w:pPr>
    </w:p>
    <w:p w14:paraId="42B655DF" w14:textId="77777777" w:rsidR="00C8730C" w:rsidRDefault="00D23B6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de </w:t>
      </w:r>
      <w:r w:rsidRPr="006A2C19">
        <w:rPr>
          <w:rFonts w:ascii="Palatino Linotype" w:eastAsia="Palatino Linotype" w:hAnsi="Palatino Linotype" w:cs="Palatino Linotype"/>
          <w:b/>
        </w:rPr>
        <w:t>SAIMEX</w:t>
      </w:r>
      <w:r>
        <w:rPr>
          <w:rFonts w:ascii="Palatino Linotype" w:eastAsia="Palatino Linotype" w:hAnsi="Palatino Linotype" w:cs="Palatino Linotype"/>
        </w:rPr>
        <w:t>.</w:t>
      </w:r>
    </w:p>
    <w:p w14:paraId="68092C4B" w14:textId="77777777" w:rsidR="00C8730C" w:rsidRDefault="00C8730C">
      <w:pPr>
        <w:spacing w:line="360" w:lineRule="auto"/>
        <w:jc w:val="both"/>
        <w:rPr>
          <w:rFonts w:ascii="Palatino Linotype" w:eastAsia="Palatino Linotype" w:hAnsi="Palatino Linotype" w:cs="Palatino Linotype"/>
        </w:rPr>
      </w:pPr>
    </w:p>
    <w:p w14:paraId="42F522BF" w14:textId="77777777" w:rsidR="00C8730C" w:rsidRDefault="00D23B6E">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Con fecha </w:t>
      </w:r>
      <w:r w:rsidR="006A2C19">
        <w:rPr>
          <w:rFonts w:ascii="Palatino Linotype" w:eastAsia="Palatino Linotype" w:hAnsi="Palatino Linotype" w:cs="Palatino Linotype"/>
          <w:b/>
        </w:rPr>
        <w:t>treinta</w:t>
      </w:r>
      <w:r>
        <w:rPr>
          <w:rFonts w:ascii="Palatino Linotype" w:eastAsia="Palatino Linotype" w:hAnsi="Palatino Linotype" w:cs="Palatino Linotype"/>
          <w:b/>
        </w:rPr>
        <w:t xml:space="preserve"> de marzo de dos mil veintidós</w:t>
      </w:r>
      <w:r>
        <w:rPr>
          <w:rFonts w:ascii="Palatino Linotype" w:eastAsia="Palatino Linotype" w:hAnsi="Palatino Linotype" w:cs="Palatino Linotype"/>
        </w:rPr>
        <w:t xml:space="preserve">, el </w:t>
      </w:r>
      <w:r w:rsidR="006A2C19">
        <w:rPr>
          <w:rFonts w:ascii="Palatino Linotype" w:eastAsia="Palatino Linotype" w:hAnsi="Palatino Linotype" w:cs="Palatino Linotype"/>
          <w:b/>
        </w:rPr>
        <w:t xml:space="preserve">Sujeto Obligado </w:t>
      </w:r>
      <w:r w:rsidR="006A2C19">
        <w:rPr>
          <w:rFonts w:ascii="Palatino Linotype" w:eastAsia="Palatino Linotype" w:hAnsi="Palatino Linotype" w:cs="Palatino Linotype"/>
        </w:rPr>
        <w:t>remiti</w:t>
      </w:r>
      <w:r>
        <w:rPr>
          <w:rFonts w:ascii="Palatino Linotype" w:eastAsia="Palatino Linotype" w:hAnsi="Palatino Linotype" w:cs="Palatino Linotype"/>
        </w:rPr>
        <w:t xml:space="preserve">ó su respuesta a la solicitud de acceso a la información a través de SAIMEX, sustancialmente en los términos siguientes:   </w:t>
      </w:r>
    </w:p>
    <w:p w14:paraId="5142C9A2" w14:textId="77777777" w:rsidR="006A2C19" w:rsidRPr="006A2C19" w:rsidRDefault="006A2C19" w:rsidP="006A2C19">
      <w:pPr>
        <w:spacing w:before="240" w:after="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Pr="006A2C19">
        <w:rPr>
          <w:rFonts w:ascii="Palatino Linotype" w:eastAsia="Palatino Linotype" w:hAnsi="Palatino Linotype" w:cs="Palatino Linotype"/>
          <w:i/>
          <w:sz w:val="22"/>
          <w:szCs w:val="22"/>
        </w:rPr>
        <w:t>Se hace de su conocimiento que de conformidad con el artículo 178 de la Ley de Transparencia y Acceso a la Información Pública del Estado de México y Municipios cuenta con un plazo de 15 días hábiles posteriores a la notificación de la respuesta para interponer recurso de revisión.</w:t>
      </w:r>
    </w:p>
    <w:p w14:paraId="0A3E3A4D" w14:textId="77777777" w:rsidR="006A2C19" w:rsidRPr="006A2C19" w:rsidRDefault="006A2C19" w:rsidP="006A2C19">
      <w:pPr>
        <w:spacing w:before="240" w:after="240"/>
        <w:ind w:left="567" w:right="902"/>
        <w:jc w:val="both"/>
        <w:rPr>
          <w:rFonts w:ascii="Palatino Linotype" w:eastAsia="Palatino Linotype" w:hAnsi="Palatino Linotype" w:cs="Palatino Linotype"/>
          <w:i/>
          <w:sz w:val="22"/>
          <w:szCs w:val="22"/>
        </w:rPr>
      </w:pPr>
      <w:r w:rsidRPr="006A2C19">
        <w:rPr>
          <w:rFonts w:ascii="Palatino Linotype" w:eastAsia="Palatino Linotype" w:hAnsi="Palatino Linotype" w:cs="Palatino Linotype"/>
          <w:i/>
          <w:sz w:val="22"/>
          <w:szCs w:val="22"/>
        </w:rPr>
        <w:t>ATENTAMENTE</w:t>
      </w:r>
    </w:p>
    <w:p w14:paraId="104F4569" w14:textId="77777777" w:rsidR="00C8730C" w:rsidRDefault="006A2C19" w:rsidP="006A2C19">
      <w:pPr>
        <w:spacing w:before="240" w:after="240"/>
        <w:ind w:left="567" w:right="902"/>
        <w:jc w:val="both"/>
        <w:rPr>
          <w:rFonts w:ascii="Palatino Linotype" w:eastAsia="Palatino Linotype" w:hAnsi="Palatino Linotype" w:cs="Palatino Linotype"/>
          <w:i/>
          <w:sz w:val="22"/>
          <w:szCs w:val="22"/>
        </w:rPr>
      </w:pPr>
      <w:r w:rsidRPr="006A2C19">
        <w:rPr>
          <w:rFonts w:ascii="Palatino Linotype" w:eastAsia="Palatino Linotype" w:hAnsi="Palatino Linotype" w:cs="Palatino Linotype"/>
          <w:i/>
          <w:sz w:val="22"/>
          <w:szCs w:val="22"/>
        </w:rPr>
        <w:t>Lic. NORMA ANGÉLICA ZETINA MARTÍNEZ</w:t>
      </w:r>
      <w:r w:rsidR="00D23B6E">
        <w:rPr>
          <w:rFonts w:ascii="Palatino Linotype" w:eastAsia="Palatino Linotype" w:hAnsi="Palatino Linotype" w:cs="Palatino Linotype"/>
          <w:i/>
          <w:sz w:val="22"/>
          <w:szCs w:val="22"/>
        </w:rPr>
        <w:t>” (Sic)</w:t>
      </w:r>
    </w:p>
    <w:p w14:paraId="4C2691C7" w14:textId="77777777" w:rsidR="006A2C19" w:rsidRDefault="006A2C19" w:rsidP="006A2C19">
      <w:pPr>
        <w:spacing w:before="240" w:after="240" w:line="360" w:lineRule="auto"/>
        <w:ind w:left="567" w:right="49"/>
        <w:jc w:val="both"/>
        <w:rPr>
          <w:rFonts w:ascii="Palatino Linotype" w:eastAsia="Palatino Linotype" w:hAnsi="Palatino Linotype" w:cs="Palatino Linotype"/>
          <w:b/>
        </w:rPr>
      </w:pPr>
      <w:r w:rsidRPr="006A2C19">
        <w:rPr>
          <w:rFonts w:ascii="Palatino Linotype" w:eastAsia="Palatino Linotype" w:hAnsi="Palatino Linotype" w:cs="Palatino Linotype"/>
          <w:b/>
        </w:rPr>
        <w:t xml:space="preserve">Archivos adjuntos: </w:t>
      </w:r>
    </w:p>
    <w:p w14:paraId="7EB367D0" w14:textId="77777777" w:rsidR="006A2C19" w:rsidRDefault="006A2C19" w:rsidP="006A2C19">
      <w:pPr>
        <w:spacing w:before="240" w:after="240"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b/>
          <w:i/>
          <w:sz w:val="22"/>
        </w:rPr>
        <w:t>“</w:t>
      </w:r>
      <w:r w:rsidRPr="006A2C19">
        <w:rPr>
          <w:rFonts w:ascii="Palatino Linotype" w:eastAsia="Palatino Linotype" w:hAnsi="Palatino Linotype" w:cs="Palatino Linotype"/>
          <w:b/>
          <w:i/>
          <w:sz w:val="22"/>
        </w:rPr>
        <w:t>RESPUESTA 00166-2022.pdf</w:t>
      </w:r>
      <w:r>
        <w:rPr>
          <w:rFonts w:ascii="Palatino Linotype" w:eastAsia="Palatino Linotype" w:hAnsi="Palatino Linotype" w:cs="Palatino Linotype"/>
          <w:b/>
          <w:i/>
          <w:sz w:val="22"/>
        </w:rPr>
        <w:t xml:space="preserve">”: </w:t>
      </w:r>
      <w:r w:rsidRPr="0089229D">
        <w:rPr>
          <w:rFonts w:ascii="Palatino Linotype" w:eastAsia="Palatino Linotype" w:hAnsi="Palatino Linotype" w:cs="Palatino Linotype"/>
        </w:rPr>
        <w:t xml:space="preserve">Oficio de tres fojas, signado por la Titular de la Unidad de Transparencia, mediante el cual se otorga respuesta a la presente solicitud de información. </w:t>
      </w:r>
    </w:p>
    <w:p w14:paraId="43A2A5AD" w14:textId="77777777" w:rsidR="0089229D" w:rsidRDefault="0089229D" w:rsidP="006A2C19">
      <w:pPr>
        <w:spacing w:before="240" w:after="240" w:line="360" w:lineRule="auto"/>
        <w:ind w:left="567" w:right="900"/>
        <w:jc w:val="both"/>
        <w:rPr>
          <w:rFonts w:ascii="Palatino Linotype" w:eastAsia="Palatino Linotype" w:hAnsi="Palatino Linotype" w:cs="Palatino Linotype"/>
          <w:sz w:val="28"/>
        </w:rPr>
      </w:pPr>
      <w:r>
        <w:rPr>
          <w:rFonts w:ascii="Palatino Linotype" w:eastAsia="Palatino Linotype" w:hAnsi="Palatino Linotype" w:cs="Palatino Linotype"/>
          <w:noProof/>
          <w:sz w:val="28"/>
          <w:lang w:val="es-MX"/>
        </w:rPr>
        <w:lastRenderedPageBreak/>
        <w:drawing>
          <wp:inline distT="0" distB="0" distL="0" distR="0" wp14:anchorId="4A2A3D52" wp14:editId="517F3CD1">
            <wp:extent cx="4781550" cy="5744444"/>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4597" cy="5748105"/>
                    </a:xfrm>
                    <a:prstGeom prst="rect">
                      <a:avLst/>
                    </a:prstGeom>
                    <a:noFill/>
                    <a:ln>
                      <a:noFill/>
                    </a:ln>
                  </pic:spPr>
                </pic:pic>
              </a:graphicData>
            </a:graphic>
          </wp:inline>
        </w:drawing>
      </w:r>
    </w:p>
    <w:p w14:paraId="51BAB54A" w14:textId="77777777" w:rsidR="0089229D" w:rsidRPr="0089229D" w:rsidRDefault="0089229D" w:rsidP="006A2C19">
      <w:pPr>
        <w:spacing w:before="240" w:after="240" w:line="360" w:lineRule="auto"/>
        <w:ind w:left="567" w:right="900"/>
        <w:jc w:val="both"/>
        <w:rPr>
          <w:rFonts w:ascii="Palatino Linotype" w:eastAsia="Palatino Linotype" w:hAnsi="Palatino Linotype" w:cs="Palatino Linotype"/>
          <w:sz w:val="28"/>
        </w:rPr>
      </w:pPr>
      <w:r>
        <w:rPr>
          <w:rFonts w:ascii="Palatino Linotype" w:eastAsia="Palatino Linotype" w:hAnsi="Palatino Linotype" w:cs="Palatino Linotype"/>
          <w:noProof/>
          <w:sz w:val="28"/>
          <w:lang w:val="es-MX"/>
        </w:rPr>
        <w:lastRenderedPageBreak/>
        <w:drawing>
          <wp:inline distT="0" distB="0" distL="0" distR="0" wp14:anchorId="194D0973" wp14:editId="3B704D5B">
            <wp:extent cx="4791075" cy="3237433"/>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3516" cy="3252597"/>
                    </a:xfrm>
                    <a:prstGeom prst="rect">
                      <a:avLst/>
                    </a:prstGeom>
                    <a:noFill/>
                    <a:ln>
                      <a:noFill/>
                    </a:ln>
                  </pic:spPr>
                </pic:pic>
              </a:graphicData>
            </a:graphic>
          </wp:inline>
        </w:drawing>
      </w:r>
    </w:p>
    <w:p w14:paraId="02C9B0C0" w14:textId="77777777" w:rsidR="00C8730C" w:rsidRDefault="00D23B6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con los términos de la respuesta emitida por parte del </w:t>
      </w:r>
      <w:r w:rsidR="0089229D">
        <w:rPr>
          <w:rFonts w:ascii="Palatino Linotype" w:eastAsia="Palatino Linotype" w:hAnsi="Palatino Linotype" w:cs="Palatino Linotype"/>
          <w:b/>
        </w:rPr>
        <w:t>Sujeto Obligado</w:t>
      </w:r>
      <w:r>
        <w:rPr>
          <w:rFonts w:ascii="Palatino Linotype" w:eastAsia="Palatino Linotype" w:hAnsi="Palatino Linotype" w:cs="Palatino Linotype"/>
        </w:rPr>
        <w:t xml:space="preserve">, el </w:t>
      </w:r>
      <w:r w:rsidR="0089229D">
        <w:rPr>
          <w:rFonts w:ascii="Palatino Linotype" w:eastAsia="Palatino Linotype" w:hAnsi="Palatino Linotype" w:cs="Palatino Linotype"/>
          <w:b/>
        </w:rPr>
        <w:t>seis</w:t>
      </w:r>
      <w:r w:rsidR="00917DAD">
        <w:rPr>
          <w:rFonts w:ascii="Palatino Linotype" w:eastAsia="Palatino Linotype" w:hAnsi="Palatino Linotype" w:cs="Palatino Linotype"/>
          <w:b/>
        </w:rPr>
        <w:t xml:space="preserve"> de abril</w:t>
      </w:r>
      <w:r>
        <w:rPr>
          <w:rFonts w:ascii="Palatino Linotype" w:eastAsia="Palatino Linotype" w:hAnsi="Palatino Linotype" w:cs="Palatino Linotype"/>
          <w:b/>
        </w:rPr>
        <w:t xml:space="preserve"> de dos mil veintidós,</w:t>
      </w:r>
      <w:r>
        <w:rPr>
          <w:rFonts w:ascii="Palatino Linotype" w:eastAsia="Palatino Linotype" w:hAnsi="Palatino Linotype" w:cs="Palatino Linotype"/>
        </w:rPr>
        <w:t xml:space="preserve"> </w:t>
      </w:r>
      <w:r w:rsidR="0089229D" w:rsidRPr="0089229D">
        <w:rPr>
          <w:rFonts w:ascii="Palatino Linotype" w:eastAsia="Palatino Linotype" w:hAnsi="Palatino Linotype" w:cs="Palatino Linotype"/>
          <w:b/>
        </w:rPr>
        <w:t>la parte</w:t>
      </w:r>
      <w:r w:rsidR="0089229D">
        <w:rPr>
          <w:rFonts w:ascii="Palatino Linotype" w:eastAsia="Palatino Linotype" w:hAnsi="Palatino Linotype" w:cs="Palatino Linotype"/>
        </w:rPr>
        <w:t xml:space="preserve"> </w:t>
      </w:r>
      <w:r w:rsidR="0089229D" w:rsidRPr="00917DAD">
        <w:rPr>
          <w:rFonts w:ascii="Palatino Linotype" w:eastAsia="Palatino Linotype" w:hAnsi="Palatino Linotype" w:cs="Palatino Linotype"/>
          <w:b/>
        </w:rPr>
        <w:t>Recurrente</w:t>
      </w:r>
      <w:r w:rsidR="0089229D">
        <w:rPr>
          <w:rFonts w:ascii="Palatino Linotype" w:eastAsia="Palatino Linotype" w:hAnsi="Palatino Linotype" w:cs="Palatino Linotype"/>
        </w:rPr>
        <w:t xml:space="preserve"> </w:t>
      </w:r>
      <w:r>
        <w:rPr>
          <w:rFonts w:ascii="Palatino Linotype" w:eastAsia="Palatino Linotype" w:hAnsi="Palatino Linotype" w:cs="Palatino Linotype"/>
        </w:rPr>
        <w:t xml:space="preserve">interpuso el recurso de revisión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en donde se manifestó de la siguiente manera:</w:t>
      </w:r>
    </w:p>
    <w:p w14:paraId="0E8E7990" w14:textId="77777777" w:rsidR="00C8730C" w:rsidRDefault="0089229D">
      <w:pPr>
        <w:tabs>
          <w:tab w:val="left" w:pos="2745"/>
        </w:tabs>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a) </w:t>
      </w:r>
      <w:r w:rsidR="00D23B6E">
        <w:rPr>
          <w:rFonts w:ascii="Palatino Linotype" w:eastAsia="Palatino Linotype" w:hAnsi="Palatino Linotype" w:cs="Palatino Linotype"/>
          <w:b/>
        </w:rPr>
        <w:t xml:space="preserve">Acto impugnado: </w:t>
      </w:r>
      <w:r w:rsidR="00D23B6E">
        <w:rPr>
          <w:rFonts w:ascii="Palatino Linotype" w:eastAsia="Palatino Linotype" w:hAnsi="Palatino Linotype" w:cs="Palatino Linotype"/>
          <w:b/>
        </w:rPr>
        <w:tab/>
      </w:r>
    </w:p>
    <w:p w14:paraId="0ADA4B8E" w14:textId="77777777" w:rsidR="00C8730C" w:rsidRDefault="00D23B6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89229D" w:rsidRPr="0089229D">
        <w:rPr>
          <w:rFonts w:ascii="Palatino Linotype" w:eastAsia="Palatino Linotype" w:hAnsi="Palatino Linotype" w:cs="Palatino Linotype"/>
          <w:i/>
          <w:sz w:val="22"/>
          <w:szCs w:val="22"/>
        </w:rPr>
        <w:t>RESPUESTA A SOLICITUD DE INFORMACIÓN</w:t>
      </w:r>
      <w:r>
        <w:rPr>
          <w:rFonts w:ascii="Palatino Linotype" w:eastAsia="Palatino Linotype" w:hAnsi="Palatino Linotype" w:cs="Palatino Linotype"/>
          <w:i/>
          <w:sz w:val="22"/>
          <w:szCs w:val="22"/>
        </w:rPr>
        <w:t>” (Sic)</w:t>
      </w:r>
    </w:p>
    <w:p w14:paraId="73914094" w14:textId="77777777" w:rsidR="00C8730C" w:rsidRDefault="00C8730C">
      <w:pPr>
        <w:ind w:left="851" w:right="902"/>
        <w:jc w:val="both"/>
        <w:rPr>
          <w:rFonts w:ascii="Palatino Linotype" w:eastAsia="Palatino Linotype" w:hAnsi="Palatino Linotype" w:cs="Palatino Linotype"/>
          <w:i/>
          <w:sz w:val="22"/>
          <w:szCs w:val="22"/>
        </w:rPr>
      </w:pPr>
    </w:p>
    <w:p w14:paraId="26675E3C" w14:textId="77777777" w:rsidR="00C8730C" w:rsidRDefault="0089229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b) </w:t>
      </w:r>
      <w:r w:rsidR="00D23B6E">
        <w:rPr>
          <w:rFonts w:ascii="Palatino Linotype" w:eastAsia="Palatino Linotype" w:hAnsi="Palatino Linotype" w:cs="Palatino Linotype"/>
          <w:b/>
        </w:rPr>
        <w:t>Razones o motivos de inconformidad</w:t>
      </w:r>
      <w:r w:rsidR="00D23B6E">
        <w:rPr>
          <w:rFonts w:ascii="Palatino Linotype" w:eastAsia="Palatino Linotype" w:hAnsi="Palatino Linotype" w:cs="Palatino Linotype"/>
        </w:rPr>
        <w:t>:</w:t>
      </w:r>
    </w:p>
    <w:p w14:paraId="6696EFFF" w14:textId="77777777" w:rsidR="00C8730C" w:rsidRDefault="00D23B6E">
      <w:pPr>
        <w:ind w:left="851" w:right="902"/>
        <w:jc w:val="both"/>
        <w:rPr>
          <w:rFonts w:ascii="Palatino Linotype" w:eastAsia="Palatino Linotype" w:hAnsi="Palatino Linotype" w:cs="Palatino Linotype"/>
          <w:i/>
          <w:sz w:val="22"/>
          <w:szCs w:val="22"/>
        </w:rPr>
      </w:pPr>
      <w:bookmarkStart w:id="2" w:name="_heading=h.30j0zll" w:colFirst="0" w:colLast="0"/>
      <w:bookmarkEnd w:id="2"/>
      <w:r>
        <w:rPr>
          <w:rFonts w:ascii="Palatino Linotype" w:eastAsia="Palatino Linotype" w:hAnsi="Palatino Linotype" w:cs="Palatino Linotype"/>
          <w:i/>
          <w:sz w:val="22"/>
          <w:szCs w:val="22"/>
        </w:rPr>
        <w:t xml:space="preserve"> “</w:t>
      </w:r>
      <w:r w:rsidR="0089229D" w:rsidRPr="0089229D">
        <w:rPr>
          <w:rFonts w:ascii="Palatino Linotype" w:eastAsia="Palatino Linotype" w:hAnsi="Palatino Linotype" w:cs="Palatino Linotype"/>
          <w:i/>
          <w:sz w:val="22"/>
          <w:szCs w:val="22"/>
        </w:rPr>
        <w:t xml:space="preserve">NO EXPUSIERON EL PROCESO DE SELECCIÓN DE LOS INTEGRANTES DE LOS TRIBUNALES LABORALES DEL PODER JUDICIAL DEL ESTADO DE MÉXICO. </w:t>
      </w:r>
      <w:r w:rsidR="0089229D" w:rsidRPr="00A97581">
        <w:rPr>
          <w:rFonts w:ascii="Palatino Linotype" w:eastAsia="Palatino Linotype" w:hAnsi="Palatino Linotype" w:cs="Palatino Linotype"/>
          <w:i/>
          <w:sz w:val="22"/>
          <w:szCs w:val="22"/>
        </w:rPr>
        <w:t>CON RELACIÓN A LA INVITACIÓN PÚBLICA QUE PRECISAN, NO MENCIONAN EL FUNDAMENTO LEGAL EN EL QUE SE BASA ESE TIPO DE ACTO.</w:t>
      </w:r>
      <w:r w:rsidRPr="00A97581">
        <w:rPr>
          <w:rFonts w:ascii="Palatino Linotype" w:eastAsia="Palatino Linotype" w:hAnsi="Palatino Linotype" w:cs="Palatino Linotype"/>
          <w:i/>
          <w:sz w:val="22"/>
          <w:szCs w:val="22"/>
        </w:rPr>
        <w:t>” (Sic</w:t>
      </w:r>
      <w:r>
        <w:rPr>
          <w:rFonts w:ascii="Palatino Linotype" w:eastAsia="Palatino Linotype" w:hAnsi="Palatino Linotype" w:cs="Palatino Linotype"/>
          <w:i/>
          <w:sz w:val="22"/>
          <w:szCs w:val="22"/>
        </w:rPr>
        <w:t>)</w:t>
      </w:r>
    </w:p>
    <w:p w14:paraId="4781FF6D" w14:textId="77777777" w:rsidR="00C8730C" w:rsidRDefault="00C8730C">
      <w:pPr>
        <w:ind w:left="851" w:right="902"/>
        <w:jc w:val="both"/>
        <w:rPr>
          <w:rFonts w:ascii="Palatino Linotype" w:eastAsia="Palatino Linotype" w:hAnsi="Palatino Linotype" w:cs="Palatino Linotype"/>
          <w:i/>
          <w:sz w:val="22"/>
          <w:szCs w:val="22"/>
        </w:rPr>
      </w:pPr>
    </w:p>
    <w:p w14:paraId="6130C0C0" w14:textId="77777777" w:rsidR="00C8730C" w:rsidRDefault="00D23B6E">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89229D">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a efecto de que analizara sobre su admisión o su desechamiento.</w:t>
      </w:r>
    </w:p>
    <w:p w14:paraId="265F82E2" w14:textId="77777777" w:rsidR="00C8730C" w:rsidRDefault="00C8730C">
      <w:pPr>
        <w:spacing w:line="360" w:lineRule="auto"/>
        <w:ind w:right="51"/>
        <w:jc w:val="both"/>
        <w:rPr>
          <w:rFonts w:ascii="Palatino Linotype" w:eastAsia="Palatino Linotype" w:hAnsi="Palatino Linotype" w:cs="Palatino Linotype"/>
        </w:rPr>
      </w:pPr>
    </w:p>
    <w:p w14:paraId="392CD89E" w14:textId="77777777" w:rsidR="00C8730C" w:rsidRDefault="00E60A0C">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5. Admisión del Recurso de R</w:t>
      </w:r>
      <w:r w:rsidR="00D23B6E">
        <w:rPr>
          <w:rFonts w:ascii="Palatino Linotype" w:eastAsia="Palatino Linotype" w:hAnsi="Palatino Linotype" w:cs="Palatino Linotype"/>
          <w:b/>
        </w:rPr>
        <w:t>evisión.</w:t>
      </w:r>
      <w:r w:rsidR="00D23B6E">
        <w:rPr>
          <w:rFonts w:ascii="Palatino Linotype" w:eastAsia="Palatino Linotype" w:hAnsi="Palatino Linotype" w:cs="Palatino Linotype"/>
        </w:rPr>
        <w:t xml:space="preserve"> Con fecha</w:t>
      </w:r>
      <w:r>
        <w:rPr>
          <w:rFonts w:ascii="Palatino Linotype" w:eastAsia="Palatino Linotype" w:hAnsi="Palatino Linotype" w:cs="Palatino Linotype"/>
          <w:b/>
        </w:rPr>
        <w:t xml:space="preserve"> dieciocho</w:t>
      </w:r>
      <w:r w:rsidR="00917DAD">
        <w:rPr>
          <w:rFonts w:ascii="Palatino Linotype" w:eastAsia="Palatino Linotype" w:hAnsi="Palatino Linotype" w:cs="Palatino Linotype"/>
          <w:b/>
        </w:rPr>
        <w:t xml:space="preserve"> de abril</w:t>
      </w:r>
      <w:r w:rsidR="00D23B6E">
        <w:rPr>
          <w:rFonts w:ascii="Palatino Linotype" w:eastAsia="Palatino Linotype" w:hAnsi="Palatino Linotype" w:cs="Palatino Linotype"/>
          <w:b/>
        </w:rPr>
        <w:t xml:space="preserve"> de dos mil veintidós, </w:t>
      </w:r>
      <w:r w:rsidR="00D23B6E">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 xml:space="preserve">Sujeto Obligado </w:t>
      </w:r>
      <w:r w:rsidR="00D23B6E">
        <w:rPr>
          <w:rFonts w:ascii="Palatino Linotype" w:eastAsia="Palatino Linotype" w:hAnsi="Palatino Linotype" w:cs="Palatino Linotype"/>
        </w:rPr>
        <w:t>presentara su informe justificado.</w:t>
      </w:r>
    </w:p>
    <w:p w14:paraId="087EE7F0" w14:textId="77777777" w:rsidR="00C8730C" w:rsidRDefault="00D23B6E">
      <w:pPr>
        <w:spacing w:after="240" w:line="360" w:lineRule="auto"/>
        <w:jc w:val="both"/>
        <w:rPr>
          <w:rFonts w:ascii="Palatino Linotype" w:eastAsia="Palatino Linotype" w:hAnsi="Palatino Linotype" w:cs="Palatino Linotype"/>
        </w:rPr>
      </w:pPr>
      <w:bookmarkStart w:id="3" w:name="_heading=h.2s8eyo1" w:colFirst="0" w:colLast="0"/>
      <w:bookmarkEnd w:id="3"/>
      <w:r>
        <w:rPr>
          <w:rFonts w:ascii="Palatino Linotype" w:eastAsia="Palatino Linotype" w:hAnsi="Palatino Linotype" w:cs="Palatino Linotype"/>
          <w:b/>
        </w:rPr>
        <w:t>6. Manifestaciones</w:t>
      </w:r>
      <w:r>
        <w:rPr>
          <w:rFonts w:ascii="Palatino Linotype" w:eastAsia="Palatino Linotype" w:hAnsi="Palatino Linotype" w:cs="Palatino Linotype"/>
        </w:rPr>
        <w:t xml:space="preserve">. En fecha </w:t>
      </w:r>
      <w:r w:rsidR="00E60A0C">
        <w:rPr>
          <w:rFonts w:ascii="Palatino Linotype" w:eastAsia="Palatino Linotype" w:hAnsi="Palatino Linotype" w:cs="Palatino Linotype"/>
          <w:b/>
        </w:rPr>
        <w:t>cuatro de may</w:t>
      </w:r>
      <w:r w:rsidR="00917DAD">
        <w:rPr>
          <w:rFonts w:ascii="Palatino Linotype" w:eastAsia="Palatino Linotype" w:hAnsi="Palatino Linotype" w:cs="Palatino Linotype"/>
          <w:b/>
        </w:rPr>
        <w:t>o</w:t>
      </w:r>
      <w:r>
        <w:rPr>
          <w:rFonts w:ascii="Palatino Linotype" w:eastAsia="Palatino Linotype" w:hAnsi="Palatino Linotype" w:cs="Palatino Linotype"/>
          <w:b/>
        </w:rPr>
        <w:t xml:space="preserve"> de dos mil veintidós, </w:t>
      </w:r>
      <w:r>
        <w:rPr>
          <w:rFonts w:ascii="Palatino Linotype" w:eastAsia="Palatino Linotype" w:hAnsi="Palatino Linotype" w:cs="Palatino Linotype"/>
        </w:rPr>
        <w:t xml:space="preserve">el </w:t>
      </w:r>
      <w:r w:rsidR="00E60A0C">
        <w:rPr>
          <w:rFonts w:ascii="Palatino Linotype" w:eastAsia="Palatino Linotype" w:hAnsi="Palatino Linotype" w:cs="Palatino Linotype"/>
          <w:b/>
        </w:rPr>
        <w:t>Sujeto Obligado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remitió, a través del </w:t>
      </w:r>
      <w:r w:rsidRPr="00E60A0C">
        <w:rPr>
          <w:rFonts w:ascii="Palatino Linotype" w:eastAsia="Palatino Linotype" w:hAnsi="Palatino Linotype" w:cs="Palatino Linotype"/>
          <w:b/>
        </w:rPr>
        <w:t>SAIMEX</w:t>
      </w:r>
      <w:r>
        <w:rPr>
          <w:rFonts w:ascii="Palatino Linotype" w:eastAsia="Palatino Linotype" w:hAnsi="Palatino Linotype" w:cs="Palatino Linotype"/>
        </w:rPr>
        <w:t>, su i</w:t>
      </w:r>
      <w:r w:rsidR="00917DAD">
        <w:rPr>
          <w:rFonts w:ascii="Palatino Linotype" w:eastAsia="Palatino Linotype" w:hAnsi="Palatino Linotype" w:cs="Palatino Linotype"/>
        </w:rPr>
        <w:t>nforme justificado, mediante el siguiente archivo electrónico</w:t>
      </w:r>
      <w:r>
        <w:rPr>
          <w:rFonts w:ascii="Palatino Linotype" w:eastAsia="Palatino Linotype" w:hAnsi="Palatino Linotype" w:cs="Palatino Linotype"/>
        </w:rPr>
        <w:t>:</w:t>
      </w:r>
    </w:p>
    <w:p w14:paraId="0794A10E" w14:textId="77777777" w:rsidR="00E60A0C" w:rsidRDefault="00D23B6E" w:rsidP="00E60A0C">
      <w:pPr>
        <w:spacing w:after="240" w:line="360" w:lineRule="auto"/>
        <w:ind w:left="567"/>
        <w:jc w:val="both"/>
        <w:rPr>
          <w:rFonts w:ascii="Palatino Linotype" w:eastAsia="Palatino Linotype" w:hAnsi="Palatino Linotype" w:cs="Palatino Linotype"/>
        </w:rPr>
      </w:pPr>
      <w:r w:rsidRPr="00E60A0C">
        <w:rPr>
          <w:rFonts w:ascii="Palatino Linotype" w:eastAsia="Palatino Linotype" w:hAnsi="Palatino Linotype" w:cs="Palatino Linotype"/>
          <w:b/>
          <w:i/>
          <w:sz w:val="22"/>
        </w:rPr>
        <w:t>“</w:t>
      </w:r>
      <w:r w:rsidR="00E60A0C" w:rsidRPr="00E60A0C">
        <w:rPr>
          <w:rFonts w:ascii="Palatino Linotype" w:eastAsia="Palatino Linotype" w:hAnsi="Palatino Linotype" w:cs="Palatino Linotype"/>
          <w:b/>
          <w:i/>
          <w:sz w:val="22"/>
        </w:rPr>
        <w:t>INFORME JUSTIFICADO 5624-2022.pdf</w:t>
      </w:r>
      <w:r w:rsidR="00FF241D" w:rsidRPr="00E60A0C">
        <w:rPr>
          <w:rFonts w:ascii="Palatino Linotype" w:eastAsia="Palatino Linotype" w:hAnsi="Palatino Linotype" w:cs="Palatino Linotype"/>
          <w:b/>
          <w:i/>
          <w:sz w:val="22"/>
        </w:rPr>
        <w:t>”</w:t>
      </w:r>
      <w:r w:rsidR="00E60A0C">
        <w:rPr>
          <w:rFonts w:ascii="Palatino Linotype" w:eastAsia="Palatino Linotype" w:hAnsi="Palatino Linotype" w:cs="Palatino Linotype"/>
        </w:rPr>
        <w:t xml:space="preserve">: </w:t>
      </w:r>
      <w:r w:rsidR="00B1187C">
        <w:rPr>
          <w:rFonts w:ascii="Palatino Linotype" w:eastAsia="Palatino Linotype" w:hAnsi="Palatino Linotype" w:cs="Palatino Linotype"/>
        </w:rPr>
        <w:t xml:space="preserve">Documento consistente de nueve fojas, en el que se aprecia el informe justificado del </w:t>
      </w:r>
      <w:r w:rsidR="00B1187C" w:rsidRPr="00B1187C">
        <w:rPr>
          <w:rFonts w:ascii="Palatino Linotype" w:eastAsia="Palatino Linotype" w:hAnsi="Palatino Linotype" w:cs="Palatino Linotype"/>
          <w:b/>
        </w:rPr>
        <w:t>Sujeto Obligado</w:t>
      </w:r>
      <w:r w:rsidR="00B1187C">
        <w:rPr>
          <w:rFonts w:ascii="Palatino Linotype" w:eastAsia="Palatino Linotype" w:hAnsi="Palatino Linotype" w:cs="Palatino Linotype"/>
        </w:rPr>
        <w:t xml:space="preserve">, mediante el cual amplía los argumentos de su respuesta. </w:t>
      </w:r>
    </w:p>
    <w:p w14:paraId="6BF358C5" w14:textId="77777777" w:rsidR="00B1187C" w:rsidRDefault="00B1187C" w:rsidP="00E60A0C">
      <w:pPr>
        <w:spacing w:after="240"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5E5467F6" wp14:editId="67252247">
            <wp:extent cx="5295900" cy="48577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5900" cy="4857750"/>
                    </a:xfrm>
                    <a:prstGeom prst="rect">
                      <a:avLst/>
                    </a:prstGeom>
                    <a:noFill/>
                    <a:ln>
                      <a:noFill/>
                    </a:ln>
                  </pic:spPr>
                </pic:pic>
              </a:graphicData>
            </a:graphic>
          </wp:inline>
        </w:drawing>
      </w:r>
    </w:p>
    <w:p w14:paraId="71A170BA" w14:textId="77777777" w:rsidR="00B1187C" w:rsidRDefault="00B1187C" w:rsidP="00E60A0C">
      <w:pPr>
        <w:spacing w:after="240"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16A0FCCD" wp14:editId="390EF361">
            <wp:extent cx="5486400" cy="58007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5800725"/>
                    </a:xfrm>
                    <a:prstGeom prst="rect">
                      <a:avLst/>
                    </a:prstGeom>
                    <a:noFill/>
                    <a:ln>
                      <a:noFill/>
                    </a:ln>
                  </pic:spPr>
                </pic:pic>
              </a:graphicData>
            </a:graphic>
          </wp:inline>
        </w:drawing>
      </w:r>
    </w:p>
    <w:p w14:paraId="596E96D1" w14:textId="77777777" w:rsidR="00B1187C" w:rsidRDefault="00B1187C" w:rsidP="00E60A0C">
      <w:pPr>
        <w:spacing w:after="240"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0D9B9ED7" wp14:editId="26296657">
            <wp:extent cx="5591175" cy="57531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1175" cy="5753100"/>
                    </a:xfrm>
                    <a:prstGeom prst="rect">
                      <a:avLst/>
                    </a:prstGeom>
                    <a:noFill/>
                    <a:ln>
                      <a:noFill/>
                    </a:ln>
                  </pic:spPr>
                </pic:pic>
              </a:graphicData>
            </a:graphic>
          </wp:inline>
        </w:drawing>
      </w:r>
    </w:p>
    <w:p w14:paraId="029CA486" w14:textId="77777777" w:rsidR="00B1187C" w:rsidRDefault="00B1187C" w:rsidP="00B1187C">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1D47CEFB" wp14:editId="66DC2F93">
            <wp:extent cx="5267325" cy="603885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325" cy="6038850"/>
                    </a:xfrm>
                    <a:prstGeom prst="rect">
                      <a:avLst/>
                    </a:prstGeom>
                    <a:noFill/>
                    <a:ln>
                      <a:noFill/>
                    </a:ln>
                  </pic:spPr>
                </pic:pic>
              </a:graphicData>
            </a:graphic>
          </wp:inline>
        </w:drawing>
      </w:r>
    </w:p>
    <w:p w14:paraId="4E605EED" w14:textId="77777777" w:rsidR="00C8730C" w:rsidRDefault="00B1187C" w:rsidP="00B1187C">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de precisar que </w:t>
      </w:r>
      <w:r w:rsidR="00917DAD">
        <w:rPr>
          <w:rFonts w:ascii="Palatino Linotype" w:eastAsia="Palatino Linotype" w:hAnsi="Palatino Linotype" w:cs="Palatino Linotype"/>
        </w:rPr>
        <w:t>una vez analizado</w:t>
      </w:r>
      <w:r>
        <w:rPr>
          <w:rFonts w:ascii="Palatino Linotype" w:eastAsia="Palatino Linotype" w:hAnsi="Palatino Linotype" w:cs="Palatino Linotype"/>
        </w:rPr>
        <w:t xml:space="preserve"> este documento, se hizo</w:t>
      </w:r>
      <w:r w:rsidR="00D23B6E">
        <w:rPr>
          <w:rFonts w:ascii="Palatino Linotype" w:eastAsia="Palatino Linotype" w:hAnsi="Palatino Linotype" w:cs="Palatino Linotype"/>
        </w:rPr>
        <w:t xml:space="preserve"> del conocimiento de </w:t>
      </w:r>
      <w:r w:rsidR="00D23B6E" w:rsidRPr="00B1187C">
        <w:rPr>
          <w:rFonts w:ascii="Palatino Linotype" w:eastAsia="Palatino Linotype" w:hAnsi="Palatino Linotype" w:cs="Palatino Linotype"/>
          <w:b/>
        </w:rPr>
        <w:t xml:space="preserve">la parte </w:t>
      </w:r>
      <w:r w:rsidRPr="00B1187C">
        <w:rPr>
          <w:rFonts w:ascii="Palatino Linotype" w:eastAsia="Palatino Linotype" w:hAnsi="Palatino Linotype" w:cs="Palatino Linotype"/>
          <w:b/>
        </w:rPr>
        <w:t>Recurrente</w:t>
      </w:r>
      <w:r>
        <w:rPr>
          <w:rFonts w:ascii="Palatino Linotype" w:eastAsia="Palatino Linotype" w:hAnsi="Palatino Linotype" w:cs="Palatino Linotype"/>
        </w:rPr>
        <w:t xml:space="preserve">, mediante acuerdo emitido por la Comisionada Ponente en fecha </w:t>
      </w:r>
      <w:r w:rsidRPr="00B1187C">
        <w:rPr>
          <w:rFonts w:ascii="Palatino Linotype" w:eastAsia="Palatino Linotype" w:hAnsi="Palatino Linotype" w:cs="Palatino Linotype"/>
          <w:b/>
        </w:rPr>
        <w:t>nueve de agosto de dos mil veintidós</w:t>
      </w:r>
      <w:r>
        <w:rPr>
          <w:rFonts w:ascii="Palatino Linotype" w:eastAsia="Palatino Linotype" w:hAnsi="Palatino Linotype" w:cs="Palatino Linotype"/>
        </w:rPr>
        <w:t xml:space="preserve">, </w:t>
      </w:r>
      <w:r w:rsidR="00D23B6E">
        <w:rPr>
          <w:rFonts w:ascii="Palatino Linotype" w:eastAsia="Palatino Linotype" w:hAnsi="Palatino Linotype" w:cs="Palatino Linotype"/>
        </w:rPr>
        <w:t xml:space="preserve">a efecto de que manifestara lo que a su </w:t>
      </w:r>
      <w:r w:rsidR="00D23B6E">
        <w:rPr>
          <w:rFonts w:ascii="Palatino Linotype" w:eastAsia="Palatino Linotype" w:hAnsi="Palatino Linotype" w:cs="Palatino Linotype"/>
        </w:rPr>
        <w:lastRenderedPageBreak/>
        <w:t>derecho estimara conveniente, sin embargo, fue omiso en ejercer dicha prerrogativa en el plazo establecido para tal efecto.</w:t>
      </w:r>
    </w:p>
    <w:p w14:paraId="6226976B" w14:textId="77777777" w:rsidR="007C5945" w:rsidRDefault="007C5945" w:rsidP="00B1187C">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281A03AE" wp14:editId="090BE58F">
            <wp:extent cx="5610225" cy="131445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225" cy="1314450"/>
                    </a:xfrm>
                    <a:prstGeom prst="rect">
                      <a:avLst/>
                    </a:prstGeom>
                    <a:noFill/>
                    <a:ln>
                      <a:noFill/>
                    </a:ln>
                  </pic:spPr>
                </pic:pic>
              </a:graphicData>
            </a:graphic>
          </wp:inline>
        </w:drawing>
      </w:r>
    </w:p>
    <w:p w14:paraId="7D8BD53C" w14:textId="77777777" w:rsidR="00917DAD" w:rsidRDefault="00D23B6E" w:rsidP="00917DAD">
      <w:pPr>
        <w:widowControl w:val="0"/>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7.- Ampliación del plazo para emitir resolución.</w:t>
      </w:r>
      <w:r>
        <w:rPr>
          <w:rFonts w:ascii="Palatino Linotype" w:eastAsia="Palatino Linotype" w:hAnsi="Palatino Linotype" w:cs="Palatino Linotype"/>
        </w:rPr>
        <w:t xml:space="preserve"> </w:t>
      </w:r>
      <w:r w:rsidR="00B1187C">
        <w:rPr>
          <w:rFonts w:ascii="Palatino Linotype" w:eastAsia="Palatino Linotype" w:hAnsi="Palatino Linotype" w:cs="Palatino Linotype"/>
        </w:rPr>
        <w:t xml:space="preserve">En fecha </w:t>
      </w:r>
      <w:r w:rsidR="00B1187C" w:rsidRPr="003F43AF">
        <w:rPr>
          <w:rFonts w:ascii="Palatino Linotype" w:eastAsia="Palatino Linotype" w:hAnsi="Palatino Linotype" w:cs="Palatino Linotype"/>
          <w:b/>
        </w:rPr>
        <w:t>nueve de agost</w:t>
      </w:r>
      <w:r w:rsidR="00917DAD" w:rsidRPr="003F43AF">
        <w:rPr>
          <w:rFonts w:ascii="Palatino Linotype" w:eastAsia="Palatino Linotype" w:hAnsi="Palatino Linotype" w:cs="Palatino Linotype"/>
          <w:b/>
        </w:rPr>
        <w:t>o del año dos mil veintidós</w:t>
      </w:r>
      <w:r w:rsidR="00917DAD">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7880582D" w14:textId="77777777" w:rsidR="00917DAD" w:rsidRDefault="00917DAD" w:rsidP="00917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EC3C070" w14:textId="77777777" w:rsidR="00917DAD" w:rsidRDefault="00917DAD" w:rsidP="00917DAD">
      <w:pPr>
        <w:spacing w:line="360" w:lineRule="auto"/>
        <w:jc w:val="both"/>
        <w:rPr>
          <w:rFonts w:ascii="Palatino Linotype" w:eastAsia="Palatino Linotype" w:hAnsi="Palatino Linotype" w:cs="Palatino Linotype"/>
        </w:rPr>
      </w:pPr>
    </w:p>
    <w:p w14:paraId="66BA7FE5" w14:textId="77777777" w:rsidR="00917DAD" w:rsidRDefault="00917DAD" w:rsidP="00917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w:t>
      </w:r>
      <w:r>
        <w:rPr>
          <w:rFonts w:ascii="Palatino Linotype" w:eastAsia="Palatino Linotype" w:hAnsi="Palatino Linotype" w:cs="Palatino Linotype"/>
        </w:rPr>
        <w:lastRenderedPageBreak/>
        <w:t>órganos jurisdiccionales federales, aplicables también en procedimientos análogos, como el que nos ocupa.</w:t>
      </w:r>
    </w:p>
    <w:p w14:paraId="1BC97419" w14:textId="77777777" w:rsidR="00917DAD" w:rsidRDefault="00917DAD" w:rsidP="00917DAD">
      <w:pPr>
        <w:spacing w:line="360" w:lineRule="auto"/>
        <w:jc w:val="both"/>
        <w:rPr>
          <w:rFonts w:ascii="Palatino Linotype" w:eastAsia="Palatino Linotype" w:hAnsi="Palatino Linotype" w:cs="Palatino Linotype"/>
        </w:rPr>
      </w:pPr>
    </w:p>
    <w:p w14:paraId="1A7798E2" w14:textId="77777777" w:rsidR="00917DAD" w:rsidRDefault="00917DAD" w:rsidP="00917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930D99C" w14:textId="77777777" w:rsidR="00917DAD" w:rsidRDefault="00917DAD" w:rsidP="00917DAD">
      <w:pPr>
        <w:spacing w:line="360" w:lineRule="auto"/>
        <w:jc w:val="both"/>
        <w:rPr>
          <w:rFonts w:ascii="Palatino Linotype" w:eastAsia="Palatino Linotype" w:hAnsi="Palatino Linotype" w:cs="Palatino Linotype"/>
        </w:rPr>
      </w:pPr>
    </w:p>
    <w:p w14:paraId="621928C3" w14:textId="77777777" w:rsidR="00917DAD" w:rsidRDefault="00917DAD" w:rsidP="00917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A3D9AAD" w14:textId="77777777" w:rsidR="00917DAD" w:rsidRDefault="00917DAD" w:rsidP="00917DAD">
      <w:pPr>
        <w:spacing w:line="360" w:lineRule="auto"/>
        <w:jc w:val="both"/>
        <w:rPr>
          <w:rFonts w:ascii="Palatino Linotype" w:eastAsia="Palatino Linotype" w:hAnsi="Palatino Linotype" w:cs="Palatino Linotype"/>
        </w:rPr>
      </w:pPr>
    </w:p>
    <w:p w14:paraId="2863D6E2" w14:textId="77777777" w:rsidR="00917DAD" w:rsidRDefault="00917DAD" w:rsidP="00917DAD">
      <w:pPr>
        <w:spacing w:line="360" w:lineRule="auto"/>
        <w:jc w:val="both"/>
        <w:rPr>
          <w:rFonts w:ascii="Palatino Linotype" w:eastAsia="Palatino Linotype" w:hAnsi="Palatino Linotype" w:cs="Palatino Linotype"/>
          <w:strike/>
          <w:color w:val="FF0000"/>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193775A5" w14:textId="77777777" w:rsidR="00917DAD" w:rsidRDefault="00917DAD" w:rsidP="00917DAD">
      <w:pPr>
        <w:spacing w:line="360" w:lineRule="auto"/>
        <w:jc w:val="both"/>
        <w:rPr>
          <w:rFonts w:ascii="Palatino Linotype" w:eastAsia="Palatino Linotype" w:hAnsi="Palatino Linotype" w:cs="Palatino Linotype"/>
        </w:rPr>
      </w:pPr>
    </w:p>
    <w:p w14:paraId="7FA8F0BD" w14:textId="77777777" w:rsidR="00917DAD" w:rsidRDefault="00917DAD" w:rsidP="00917DAD">
      <w:pPr>
        <w:numPr>
          <w:ilvl w:val="0"/>
          <w:numId w:val="5"/>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0F286C8A" w14:textId="77777777" w:rsidR="00917DAD" w:rsidRDefault="00917DAD" w:rsidP="00917DAD">
      <w:pPr>
        <w:spacing w:line="360" w:lineRule="auto"/>
        <w:ind w:left="927"/>
        <w:jc w:val="both"/>
        <w:rPr>
          <w:rFonts w:ascii="Palatino Linotype" w:eastAsia="Palatino Linotype" w:hAnsi="Palatino Linotype" w:cs="Palatino Linotype"/>
        </w:rPr>
      </w:pPr>
    </w:p>
    <w:p w14:paraId="1CD89093" w14:textId="77777777" w:rsidR="00917DAD" w:rsidRDefault="00917DAD" w:rsidP="00917DAD">
      <w:pPr>
        <w:numPr>
          <w:ilvl w:val="0"/>
          <w:numId w:val="5"/>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Actividad Procesal del interesado. Acciones u omisiones del interesado.</w:t>
      </w:r>
    </w:p>
    <w:p w14:paraId="3B2F11D9" w14:textId="77777777" w:rsidR="00917DAD" w:rsidRDefault="00917DAD" w:rsidP="00917DAD">
      <w:pPr>
        <w:spacing w:line="360" w:lineRule="auto"/>
        <w:jc w:val="both"/>
        <w:rPr>
          <w:rFonts w:ascii="Palatino Linotype" w:eastAsia="Palatino Linotype" w:hAnsi="Palatino Linotype" w:cs="Palatino Linotype"/>
        </w:rPr>
      </w:pPr>
    </w:p>
    <w:p w14:paraId="17CC7F63" w14:textId="77777777" w:rsidR="00917DAD" w:rsidRDefault="00917DAD" w:rsidP="00917DAD">
      <w:pPr>
        <w:numPr>
          <w:ilvl w:val="0"/>
          <w:numId w:val="5"/>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Conducta de la Autoridad: Las Acciones u omisiones realizadas en el procedimiento. Así como si la autoridad actuó con la debida diligencia.</w:t>
      </w:r>
    </w:p>
    <w:p w14:paraId="1B3FAC5E" w14:textId="77777777" w:rsidR="00917DAD" w:rsidRDefault="00917DAD" w:rsidP="00917DAD">
      <w:pPr>
        <w:spacing w:line="360" w:lineRule="auto"/>
        <w:ind w:left="708"/>
        <w:rPr>
          <w:rFonts w:ascii="Palatino Linotype" w:eastAsia="Palatino Linotype" w:hAnsi="Palatino Linotype" w:cs="Palatino Linotype"/>
        </w:rPr>
      </w:pPr>
    </w:p>
    <w:p w14:paraId="74C45CD9" w14:textId="77777777" w:rsidR="00917DAD" w:rsidRDefault="00917DAD" w:rsidP="00917DAD">
      <w:pPr>
        <w:spacing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d) La afectación generada en la situación jurídica de la persona involucrada en el proceso: Violación a sus derechos humanos.</w:t>
      </w:r>
    </w:p>
    <w:p w14:paraId="2C2AF4B5" w14:textId="77777777" w:rsidR="00917DAD" w:rsidRDefault="00917DAD" w:rsidP="00917DAD">
      <w:pPr>
        <w:spacing w:line="360" w:lineRule="auto"/>
        <w:jc w:val="both"/>
        <w:rPr>
          <w:rFonts w:ascii="Palatino Linotype" w:eastAsia="Palatino Linotype" w:hAnsi="Palatino Linotype" w:cs="Palatino Linotype"/>
        </w:rPr>
      </w:pPr>
    </w:p>
    <w:p w14:paraId="06FA919C" w14:textId="77777777" w:rsidR="00917DAD" w:rsidRDefault="00917DAD" w:rsidP="00917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5B0B695" w14:textId="77777777" w:rsidR="00917DAD" w:rsidRDefault="00917DAD" w:rsidP="00917DAD">
      <w:pPr>
        <w:spacing w:line="360" w:lineRule="auto"/>
        <w:jc w:val="both"/>
        <w:rPr>
          <w:rFonts w:ascii="Palatino Linotype" w:eastAsia="Palatino Linotype" w:hAnsi="Palatino Linotype" w:cs="Palatino Linotype"/>
        </w:rPr>
      </w:pPr>
    </w:p>
    <w:p w14:paraId="775952B5" w14:textId="77777777" w:rsidR="00917DAD" w:rsidRDefault="00917DAD" w:rsidP="00917DAD">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14:paraId="38C6EF21" w14:textId="77777777" w:rsidR="00917DAD" w:rsidRDefault="00917DAD" w:rsidP="00917DAD">
      <w:pPr>
        <w:spacing w:line="360" w:lineRule="auto"/>
        <w:jc w:val="both"/>
        <w:rPr>
          <w:rFonts w:ascii="Palatino Linotype" w:eastAsia="Palatino Linotype" w:hAnsi="Palatino Linotype" w:cs="Palatino Linotype"/>
        </w:rPr>
      </w:pPr>
    </w:p>
    <w:p w14:paraId="42D084C1" w14:textId="77777777" w:rsidR="00917DAD" w:rsidRDefault="00917DAD" w:rsidP="00917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w:t>
      </w:r>
      <w:r>
        <w:rPr>
          <w:rFonts w:ascii="Palatino Linotype" w:eastAsia="Palatino Linotype" w:hAnsi="Palatino Linotype" w:cs="Palatino Linotype"/>
        </w:rPr>
        <w:lastRenderedPageBreak/>
        <w:t>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481A9B1" w14:textId="77777777" w:rsidR="00917DAD" w:rsidRDefault="00917DAD" w:rsidP="00917DAD">
      <w:pPr>
        <w:spacing w:line="360" w:lineRule="auto"/>
        <w:jc w:val="both"/>
        <w:rPr>
          <w:rFonts w:ascii="Palatino Linotype" w:eastAsia="Palatino Linotype" w:hAnsi="Palatino Linotype" w:cs="Palatino Linotype"/>
        </w:rPr>
      </w:pPr>
    </w:p>
    <w:p w14:paraId="0D57D361" w14:textId="77777777" w:rsidR="00917DAD" w:rsidRDefault="00917DAD" w:rsidP="00917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D54EF2D" w14:textId="77777777" w:rsidR="00917DAD" w:rsidRDefault="00917DAD" w:rsidP="00917DAD">
      <w:pPr>
        <w:spacing w:line="360" w:lineRule="auto"/>
        <w:jc w:val="both"/>
        <w:rPr>
          <w:rFonts w:ascii="Palatino Linotype" w:eastAsia="Palatino Linotype" w:hAnsi="Palatino Linotype" w:cs="Palatino Linotype"/>
        </w:rPr>
      </w:pPr>
    </w:p>
    <w:p w14:paraId="3E68815E" w14:textId="77777777" w:rsidR="00917DAD" w:rsidRDefault="00917DAD" w:rsidP="00917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14:paraId="4A37BBE7" w14:textId="77777777" w:rsidR="00917DAD" w:rsidRDefault="00917DAD" w:rsidP="00917DAD">
      <w:pPr>
        <w:spacing w:line="360" w:lineRule="auto"/>
        <w:jc w:val="both"/>
        <w:rPr>
          <w:rFonts w:ascii="Palatino Linotype" w:eastAsia="Palatino Linotype" w:hAnsi="Palatino Linotype" w:cs="Palatino Linotype"/>
          <w:b/>
        </w:rPr>
      </w:pPr>
    </w:p>
    <w:p w14:paraId="57307511" w14:textId="77777777" w:rsidR="00917DAD" w:rsidRDefault="00917DAD" w:rsidP="00917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i/>
        </w:rPr>
        <w:t>“PLAZO RAZONABLE PARA RESOLVER. CONCEPTO Y ELEMENTOS QUE LO INTEGRAN A LA LUZ DEL DERECHO INTERNACIONAL DE LOS DERECHOS HUMANOS.”</w:t>
      </w:r>
      <w:r>
        <w:rPr>
          <w:rFonts w:ascii="Palatino Linotype" w:eastAsia="Palatino Linotype" w:hAnsi="Palatino Linotype" w:cs="Palatino Linotype"/>
        </w:rPr>
        <w:t>, visible en el Seminario Judicial de la Federación y su gaceta, con el registro digital 2002350.</w:t>
      </w:r>
    </w:p>
    <w:p w14:paraId="7907F972" w14:textId="77777777" w:rsidR="00917DAD" w:rsidRDefault="00917DAD" w:rsidP="00917DAD">
      <w:pPr>
        <w:spacing w:line="360" w:lineRule="auto"/>
        <w:jc w:val="both"/>
        <w:rPr>
          <w:rFonts w:ascii="Palatino Linotype" w:eastAsia="Palatino Linotype" w:hAnsi="Palatino Linotype" w:cs="Palatino Linotype"/>
        </w:rPr>
      </w:pPr>
    </w:p>
    <w:p w14:paraId="41F97650" w14:textId="77777777" w:rsidR="00917DAD" w:rsidRDefault="00917DAD" w:rsidP="00917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1A3CA41F" w14:textId="77777777" w:rsidR="00917DAD" w:rsidRDefault="00917DAD" w:rsidP="00917DAD">
      <w:pPr>
        <w:spacing w:line="360" w:lineRule="auto"/>
        <w:jc w:val="both"/>
        <w:rPr>
          <w:rFonts w:ascii="Palatino Linotype" w:eastAsia="Palatino Linotype" w:hAnsi="Palatino Linotype" w:cs="Palatino Linotype"/>
        </w:rPr>
      </w:pPr>
    </w:p>
    <w:p w14:paraId="2370F090" w14:textId="77777777" w:rsidR="00C8730C" w:rsidRDefault="00D23B6E" w:rsidP="00917DAD">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A034FF">
        <w:rPr>
          <w:rFonts w:ascii="Palatino Linotype" w:eastAsia="Palatino Linotype" w:hAnsi="Palatino Linotype" w:cs="Palatino Linotype"/>
          <w:b/>
        </w:rPr>
        <w:t>dieciséis</w:t>
      </w:r>
      <w:r w:rsidR="00917DAD">
        <w:rPr>
          <w:rFonts w:ascii="Palatino Linotype" w:eastAsia="Palatino Linotype" w:hAnsi="Palatino Linotype" w:cs="Palatino Linotype"/>
          <w:b/>
        </w:rPr>
        <w:t xml:space="preserve"> de agosto</w:t>
      </w:r>
      <w:r>
        <w:rPr>
          <w:rFonts w:ascii="Palatino Linotype" w:eastAsia="Palatino Linotype" w:hAnsi="Palatino Linotype" w:cs="Palatino Linotype"/>
          <w:b/>
        </w:rPr>
        <w:t xml:space="preserve"> de dos mil veintidós</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3EC979BD" w14:textId="77777777" w:rsidR="00C8730C" w:rsidRDefault="00D23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52500EB1" w14:textId="77777777" w:rsidR="00C8730C" w:rsidRDefault="00D23B6E">
      <w:pPr>
        <w:widowControl w:val="0"/>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 S</w:t>
      </w:r>
    </w:p>
    <w:p w14:paraId="64507DA1" w14:textId="77777777" w:rsidR="00C8730C" w:rsidRDefault="00D23B6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7EF087D0" w14:textId="77777777" w:rsidR="00C8730C" w:rsidRDefault="00D23B6E">
      <w:pPr>
        <w:spacing w:before="240" w:after="240" w:line="360" w:lineRule="auto"/>
        <w:jc w:val="both"/>
        <w:rPr>
          <w:rFonts w:ascii="Palatino Linotype" w:eastAsia="Palatino Linotype" w:hAnsi="Palatino Linotype" w:cs="Palatino Linotype"/>
        </w:rPr>
      </w:pPr>
      <w:bookmarkStart w:id="4" w:name="_heading=h.tyjcwt" w:colFirst="0" w:colLast="0"/>
      <w:bookmarkEnd w:id="4"/>
      <w:r>
        <w:rPr>
          <w:rFonts w:ascii="Palatino Linotype" w:eastAsia="Palatino Linotype" w:hAnsi="Palatino Linotype" w:cs="Palatino Linotype"/>
          <w:b/>
        </w:rPr>
        <w:lastRenderedPageBreak/>
        <w:t xml:space="preserve">Segundo. Oportunidad y Procedibilidad del Recurso de Revisión. </w:t>
      </w:r>
      <w:r>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C974034" w14:textId="77777777" w:rsidR="00C8730C" w:rsidRDefault="00D23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la Ley de Transparencia y Acceso a la Información Pública del Estado de México y Municipios, establece lo siguiente:</w:t>
      </w:r>
    </w:p>
    <w:p w14:paraId="0186FEA9" w14:textId="77777777" w:rsidR="00C8730C" w:rsidRDefault="00D23B6E">
      <w:pPr>
        <w:ind w:left="851" w:right="900"/>
        <w:jc w:val="both"/>
        <w:rPr>
          <w:rFonts w:ascii="Palatino Linotype" w:eastAsia="Palatino Linotype" w:hAnsi="Palatino Linotype" w:cs="Palatino Linotype"/>
          <w:i/>
          <w:sz w:val="28"/>
          <w:szCs w:val="28"/>
        </w:rPr>
      </w:pPr>
      <w:r>
        <w:rPr>
          <w:rFonts w:ascii="Palatino Linotype" w:eastAsia="Palatino Linotype" w:hAnsi="Palatino Linotype" w:cs="Palatino Linotype"/>
          <w:b/>
          <w:i/>
          <w:sz w:val="22"/>
          <w:szCs w:val="22"/>
        </w:rPr>
        <w:t xml:space="preserve">“Artículo 178. </w:t>
      </w:r>
      <w:r>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2E43EEF" w14:textId="77777777" w:rsidR="00C8730C" w:rsidRDefault="00D23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003F43AF">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remitió la respuesta a la solicitud de información el día </w:t>
      </w:r>
      <w:r w:rsidR="003F43AF">
        <w:rPr>
          <w:rFonts w:ascii="Palatino Linotype" w:eastAsia="Palatino Linotype" w:hAnsi="Palatino Linotype" w:cs="Palatino Linotype"/>
          <w:b/>
        </w:rPr>
        <w:t>treinta</w:t>
      </w:r>
      <w:r>
        <w:rPr>
          <w:rFonts w:ascii="Palatino Linotype" w:eastAsia="Palatino Linotype" w:hAnsi="Palatino Linotype" w:cs="Palatino Linotype"/>
          <w:b/>
        </w:rPr>
        <w:t xml:space="preserve"> de marzo de dos mil veintidós, </w:t>
      </w:r>
      <w:r>
        <w:rPr>
          <w:rFonts w:ascii="Palatino Linotype" w:eastAsia="Palatino Linotype" w:hAnsi="Palatino Linotype" w:cs="Palatino Linotype"/>
        </w:rPr>
        <w:t xml:space="preserve">mientras que el recurso de revisión interpuesto por </w:t>
      </w:r>
      <w:r w:rsidRPr="003F43AF">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sidR="003F43AF">
        <w:rPr>
          <w:rFonts w:ascii="Palatino Linotype" w:eastAsia="Palatino Linotype" w:hAnsi="Palatino Linotype" w:cs="Palatino Linotype"/>
          <w:b/>
        </w:rPr>
        <w:t>Recurrente</w:t>
      </w:r>
      <w:r>
        <w:rPr>
          <w:rFonts w:ascii="Palatino Linotype" w:eastAsia="Palatino Linotype" w:hAnsi="Palatino Linotype" w:cs="Palatino Linotype"/>
        </w:rPr>
        <w:t xml:space="preserve">, se tuvo por presentado el día </w:t>
      </w:r>
      <w:r w:rsidR="003F43AF">
        <w:rPr>
          <w:rFonts w:ascii="Palatino Linotype" w:eastAsia="Palatino Linotype" w:hAnsi="Palatino Linotype" w:cs="Palatino Linotype"/>
          <w:b/>
        </w:rPr>
        <w:t>seis</w:t>
      </w:r>
      <w:r w:rsidR="00917DAD">
        <w:rPr>
          <w:rFonts w:ascii="Palatino Linotype" w:eastAsia="Palatino Linotype" w:hAnsi="Palatino Linotype" w:cs="Palatino Linotype"/>
          <w:b/>
        </w:rPr>
        <w:t xml:space="preserve"> de abril</w:t>
      </w:r>
      <w:r>
        <w:rPr>
          <w:rFonts w:ascii="Palatino Linotype" w:eastAsia="Palatino Linotype" w:hAnsi="Palatino Linotype" w:cs="Palatino Linotype"/>
          <w:b/>
        </w:rPr>
        <w:t xml:space="preserve"> de dos mil veintidós</w:t>
      </w:r>
      <w:r w:rsidR="003F43AF">
        <w:rPr>
          <w:rFonts w:ascii="Palatino Linotype" w:eastAsia="Palatino Linotype" w:hAnsi="Palatino Linotype" w:cs="Palatino Linotype"/>
        </w:rPr>
        <w:t xml:space="preserve">; esto es, al </w:t>
      </w:r>
      <w:r w:rsidR="003F43AF" w:rsidRPr="003F43AF">
        <w:rPr>
          <w:rFonts w:ascii="Palatino Linotype" w:eastAsia="Palatino Linotype" w:hAnsi="Palatino Linotype" w:cs="Palatino Linotype"/>
          <w:b/>
        </w:rPr>
        <w:t>quin</w:t>
      </w:r>
      <w:r w:rsidR="00917DAD" w:rsidRPr="003F43AF">
        <w:rPr>
          <w:rFonts w:ascii="Palatino Linotype" w:eastAsia="Palatino Linotype" w:hAnsi="Palatino Linotype" w:cs="Palatino Linotype"/>
          <w:b/>
        </w:rPr>
        <w:t>to</w:t>
      </w:r>
      <w:r w:rsidRPr="003F43AF">
        <w:rPr>
          <w:rFonts w:ascii="Palatino Linotype" w:eastAsia="Palatino Linotype" w:hAnsi="Palatino Linotype" w:cs="Palatino Linotype"/>
          <w:b/>
        </w:rPr>
        <w:t xml:space="preserve"> día hábil</w:t>
      </w:r>
      <w:r>
        <w:rPr>
          <w:rFonts w:ascii="Palatino Linotype" w:eastAsia="Palatino Linotype" w:hAnsi="Palatino Linotype" w:cs="Palatino Linotype"/>
        </w:rPr>
        <w:t xml:space="preserve"> en que tuvo conocimiento de la respuesta impugnada.</w:t>
      </w:r>
    </w:p>
    <w:p w14:paraId="794F30BC" w14:textId="77777777" w:rsidR="00C8730C" w:rsidRDefault="00D23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 la procedibilidad del recurso de revisión, es de suma importancia señalar que </w:t>
      </w:r>
      <w:r w:rsidRPr="003F43AF">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sidR="003F43AF">
        <w:rPr>
          <w:rFonts w:ascii="Palatino Linotype" w:eastAsia="Palatino Linotype" w:hAnsi="Palatino Linotype" w:cs="Palatino Linotype"/>
          <w:b/>
        </w:rPr>
        <w:t>Recurrente</w:t>
      </w:r>
      <w:r>
        <w:rPr>
          <w:rFonts w:ascii="Palatino Linotype" w:eastAsia="Palatino Linotype" w:hAnsi="Palatino Linotype" w:cs="Palatino Linotype"/>
        </w:rPr>
        <w:t xml:space="preserve">, </w:t>
      </w:r>
      <w:r w:rsidR="00917DAD">
        <w:rPr>
          <w:rFonts w:ascii="Palatino Linotype" w:eastAsia="Palatino Linotype" w:hAnsi="Palatino Linotype" w:cs="Palatino Linotype"/>
        </w:rPr>
        <w:t>no proporcionó su nombre</w:t>
      </w:r>
      <w:r>
        <w:rPr>
          <w:rFonts w:ascii="Palatino Linotype" w:eastAsia="Palatino Linotype" w:hAnsi="Palatino Linotype" w:cs="Palatino Linotype"/>
          <w:b/>
        </w:rPr>
        <w:t>,</w:t>
      </w:r>
      <w:r>
        <w:rPr>
          <w:rFonts w:ascii="Palatino Linotype" w:eastAsia="Palatino Linotype" w:hAnsi="Palatino Linotype" w:cs="Palatino Linotype"/>
        </w:rPr>
        <w:t xml:space="preserve"> como se advierte en el </w:t>
      </w:r>
      <w:r>
        <w:rPr>
          <w:rFonts w:ascii="Palatino Linotype" w:eastAsia="Palatino Linotype" w:hAnsi="Palatino Linotype" w:cs="Palatino Linotype"/>
        </w:rPr>
        <w:lastRenderedPageBreak/>
        <w:t>detalle de seguimiento del SAIMEX,</w:t>
      </w:r>
      <w:r w:rsidR="003F43AF">
        <w:rPr>
          <w:rFonts w:ascii="Palatino Linotype" w:eastAsia="Palatino Linotype" w:hAnsi="Palatino Linotype" w:cs="Palatino Linotype"/>
        </w:rPr>
        <w:t xml:space="preserve"> pues se identificó bajo el seudónimo “</w:t>
      </w:r>
      <w:r w:rsidR="003F43AF" w:rsidRPr="003F43AF">
        <w:rPr>
          <w:rFonts w:ascii="Palatino Linotype" w:eastAsia="Palatino Linotype" w:hAnsi="Palatino Linotype" w:cs="Palatino Linotype"/>
          <w:b/>
        </w:rPr>
        <w:t>MONITOR CIUDADANO TRANSPARENTE 2</w:t>
      </w:r>
      <w:r w:rsidR="003F43AF">
        <w:rPr>
          <w:rFonts w:ascii="Palatino Linotype" w:eastAsia="Palatino Linotype" w:hAnsi="Palatino Linotype" w:cs="Palatino Linotype"/>
          <w:b/>
        </w:rPr>
        <w:t>”,</w:t>
      </w:r>
      <w:r>
        <w:rPr>
          <w:rFonts w:ascii="Palatino Linotype" w:eastAsia="Palatino Linotype" w:hAnsi="Palatino Linotype" w:cs="Palatino Linotype"/>
        </w:rPr>
        <w:t xml:space="preserve">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E0DA6CD" w14:textId="77777777" w:rsidR="00C8730C" w:rsidRPr="009B1CE9" w:rsidRDefault="00D23B6E">
      <w:pPr>
        <w:spacing w:before="240" w:after="240" w:line="276" w:lineRule="auto"/>
        <w:ind w:left="851" w:right="902"/>
        <w:jc w:val="both"/>
        <w:rPr>
          <w:rFonts w:ascii="Palatino Linotype" w:eastAsia="Palatino Linotype" w:hAnsi="Palatino Linotype" w:cs="Palatino Linotype"/>
          <w:i/>
          <w:sz w:val="22"/>
          <w:szCs w:val="22"/>
        </w:rPr>
      </w:pPr>
      <w:r w:rsidRPr="009B1CE9">
        <w:rPr>
          <w:rFonts w:ascii="Palatino Linotype" w:eastAsia="Palatino Linotype" w:hAnsi="Palatino Linotype" w:cs="Palatino Linotype"/>
          <w:i/>
          <w:sz w:val="22"/>
          <w:szCs w:val="22"/>
        </w:rPr>
        <w:t>"</w:t>
      </w:r>
      <w:r w:rsidRPr="009B1CE9">
        <w:rPr>
          <w:rFonts w:ascii="Palatino Linotype" w:eastAsia="Palatino Linotype" w:hAnsi="Palatino Linotype" w:cs="Palatino Linotype"/>
          <w:b/>
          <w:i/>
          <w:sz w:val="22"/>
          <w:szCs w:val="22"/>
        </w:rPr>
        <w:t xml:space="preserve">Las solicitudes </w:t>
      </w:r>
      <w:r w:rsidRPr="009B1CE9">
        <w:rPr>
          <w:rFonts w:ascii="Palatino Linotype" w:eastAsia="Palatino Linotype" w:hAnsi="Palatino Linotype" w:cs="Palatino Linotype"/>
          <w:i/>
          <w:sz w:val="22"/>
          <w:szCs w:val="22"/>
        </w:rPr>
        <w:t xml:space="preserve">anónimas, con </w:t>
      </w:r>
      <w:r w:rsidRPr="009B1CE9">
        <w:rPr>
          <w:rFonts w:ascii="Palatino Linotype" w:eastAsia="Palatino Linotype" w:hAnsi="Palatino Linotype" w:cs="Palatino Linotype"/>
          <w:b/>
          <w:i/>
          <w:sz w:val="22"/>
          <w:szCs w:val="22"/>
        </w:rPr>
        <w:t>nombre incompleto o seudónimo</w:t>
      </w:r>
      <w:r w:rsidRPr="009B1CE9">
        <w:rPr>
          <w:rFonts w:ascii="Palatino Linotype" w:eastAsia="Palatino Linotype" w:hAnsi="Palatino Linotype" w:cs="Palatino Linotype"/>
          <w:i/>
          <w:sz w:val="22"/>
          <w:szCs w:val="22"/>
        </w:rPr>
        <w:t xml:space="preserve"> </w:t>
      </w:r>
      <w:r w:rsidRPr="009B1CE9">
        <w:rPr>
          <w:rFonts w:ascii="Palatino Linotype" w:eastAsia="Palatino Linotype" w:hAnsi="Palatino Linotype" w:cs="Palatino Linotype"/>
          <w:b/>
          <w:i/>
          <w:sz w:val="22"/>
          <w:szCs w:val="22"/>
        </w:rPr>
        <w:t>serán procedentes para su trámite por parte del sujeto obligado ante quien se presente</w:t>
      </w:r>
      <w:r w:rsidRPr="009B1CE9">
        <w:rPr>
          <w:rFonts w:ascii="Palatino Linotype" w:eastAsia="Palatino Linotype" w:hAnsi="Palatino Linotype" w:cs="Palatino Linotype"/>
          <w:i/>
          <w:sz w:val="22"/>
          <w:szCs w:val="22"/>
        </w:rPr>
        <w:t>. No podrá requerirse información adicional con motivo del nombre proporcionado por el solicitante."</w:t>
      </w:r>
    </w:p>
    <w:p w14:paraId="1CC4EA81" w14:textId="77777777" w:rsidR="00C8730C" w:rsidRDefault="00D23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49651D38" w14:textId="77777777" w:rsidR="00C8730C" w:rsidRDefault="00D23B6E">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resulta procedente la interposición del recurso, según lo aducido por la recurrente en sus razones o motivos de inconformidad, de acuerdo al artículo 179, </w:t>
      </w:r>
      <w:r w:rsidR="003F43AF">
        <w:rPr>
          <w:rFonts w:ascii="Palatino Linotype" w:eastAsia="Palatino Linotype" w:hAnsi="Palatino Linotype" w:cs="Palatino Linotype"/>
        </w:rPr>
        <w:t>fracción V</w:t>
      </w:r>
      <w:r w:rsidRPr="00690783">
        <w:rPr>
          <w:rFonts w:ascii="Palatino Linotype" w:eastAsia="Palatino Linotype" w:hAnsi="Palatino Linotype" w:cs="Palatino Linotype"/>
        </w:rPr>
        <w:t xml:space="preserve"> de </w:t>
      </w:r>
      <w:r>
        <w:rPr>
          <w:rFonts w:ascii="Palatino Linotype" w:eastAsia="Palatino Linotype" w:hAnsi="Palatino Linotype" w:cs="Palatino Linotype"/>
          <w:color w:val="000000"/>
        </w:rPr>
        <w:t>la Ley de Transparencia y Acceso a la Información Pública del Estado de México y Municipios; que a la letra dice:</w:t>
      </w:r>
    </w:p>
    <w:p w14:paraId="471EDCB0" w14:textId="77777777" w:rsidR="00C8730C" w:rsidRDefault="00D23B6E">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179</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El recurso de revisión</w:t>
      </w:r>
      <w:r>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Pr>
          <w:rFonts w:ascii="Palatino Linotype" w:eastAsia="Palatino Linotype" w:hAnsi="Palatino Linotype" w:cs="Palatino Linotype"/>
          <w:b/>
          <w:i/>
          <w:color w:val="000000"/>
          <w:sz w:val="22"/>
          <w:szCs w:val="22"/>
        </w:rPr>
        <w:t>, y procederá en contra de las siguientes causas</w:t>
      </w:r>
      <w:r>
        <w:rPr>
          <w:rFonts w:ascii="Palatino Linotype" w:eastAsia="Palatino Linotype" w:hAnsi="Palatino Linotype" w:cs="Palatino Linotype"/>
          <w:i/>
          <w:color w:val="000000"/>
          <w:sz w:val="22"/>
          <w:szCs w:val="22"/>
        </w:rPr>
        <w:t>:</w:t>
      </w:r>
    </w:p>
    <w:p w14:paraId="060522A2" w14:textId="77777777" w:rsidR="003F43AF" w:rsidRDefault="003F43AF">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0E0E5A66" w14:textId="77777777" w:rsidR="00C8730C" w:rsidRPr="00690783" w:rsidRDefault="003F43AF" w:rsidP="003F43AF">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sidRPr="003F43AF">
        <w:rPr>
          <w:rFonts w:ascii="Palatino Linotype" w:eastAsia="Palatino Linotype" w:hAnsi="Palatino Linotype" w:cs="Palatino Linotype"/>
          <w:b/>
          <w:i/>
          <w:color w:val="000000"/>
          <w:sz w:val="22"/>
          <w:szCs w:val="22"/>
        </w:rPr>
        <w:lastRenderedPageBreak/>
        <w:t>V. La entrega de información incompleta</w:t>
      </w:r>
      <w:r w:rsidRPr="003F43AF">
        <w:rPr>
          <w:rFonts w:ascii="Palatino Linotype" w:eastAsia="Palatino Linotype" w:hAnsi="Palatino Linotype" w:cs="Palatino Linotype"/>
          <w:i/>
          <w:color w:val="000000"/>
          <w:sz w:val="22"/>
          <w:szCs w:val="22"/>
        </w:rPr>
        <w:t>;</w:t>
      </w:r>
      <w:r w:rsidR="00D23B6E" w:rsidRPr="00690783">
        <w:rPr>
          <w:rFonts w:ascii="Palatino Linotype" w:eastAsia="Palatino Linotype" w:hAnsi="Palatino Linotype" w:cs="Palatino Linotype"/>
          <w:i/>
          <w:color w:val="000000"/>
          <w:sz w:val="22"/>
          <w:szCs w:val="22"/>
        </w:rPr>
        <w:t>” (Sic)</w:t>
      </w:r>
    </w:p>
    <w:p w14:paraId="57AEC1B6" w14:textId="77777777" w:rsidR="003F43AF" w:rsidRPr="003F43AF" w:rsidRDefault="003F43AF" w:rsidP="003F43AF">
      <w:pPr>
        <w:spacing w:before="240" w:after="240" w:line="360" w:lineRule="auto"/>
        <w:jc w:val="both"/>
        <w:rPr>
          <w:rFonts w:ascii="Palatino Linotype" w:hAnsi="Palatino Linotype"/>
          <w:szCs w:val="28"/>
          <w:lang w:eastAsia="es-ES"/>
        </w:rPr>
      </w:pPr>
      <w:r w:rsidRPr="003F43AF">
        <w:rPr>
          <w:rFonts w:ascii="Palatino Linotype" w:hAnsi="Palatino Linotype" w:cs="Arial"/>
          <w:b/>
          <w:lang w:eastAsia="es-ES"/>
        </w:rPr>
        <w:t xml:space="preserve">Tercero. </w:t>
      </w:r>
      <w:r w:rsidRPr="003F43AF">
        <w:rPr>
          <w:rFonts w:ascii="Palatino Linotype" w:hAnsi="Palatino Linotype"/>
          <w:b/>
          <w:szCs w:val="28"/>
          <w:lang w:eastAsia="es-ES"/>
        </w:rPr>
        <w:t xml:space="preserve">Análisis de las causas de sobreseimiento del recurso de revisión. </w:t>
      </w:r>
      <w:r w:rsidRPr="003F43AF">
        <w:rPr>
          <w:rFonts w:ascii="Palatino Linotype" w:hAnsi="Palatino Linotype"/>
          <w:szCs w:val="28"/>
          <w:lang w:eastAsia="es-ES"/>
        </w:rPr>
        <w:t>En primera instancia, debe apuntarse que del análisis al recurso de revisión que ahora se resuelve, se tiene que se actualiza la causal de sobreseimiento del recurso de revisión establecido en la fracción III del artículo 192</w:t>
      </w:r>
      <w:r w:rsidRPr="003F43AF">
        <w:rPr>
          <w:rFonts w:ascii="Palatino Linotype" w:hAnsi="Palatino Linotype"/>
          <w:szCs w:val="28"/>
          <w:vertAlign w:val="superscript"/>
          <w:lang w:eastAsia="es-ES"/>
        </w:rPr>
        <w:footnoteReference w:id="1"/>
      </w:r>
      <w:r w:rsidRPr="003F43AF">
        <w:rPr>
          <w:rFonts w:ascii="Palatino Linotype" w:hAnsi="Palatino Linotype"/>
          <w:szCs w:val="28"/>
          <w:lang w:eastAsia="es-ES"/>
        </w:rPr>
        <w:t xml:space="preserve"> en relación con el diverso 186 fracción I</w:t>
      </w:r>
      <w:r w:rsidRPr="003F43AF">
        <w:rPr>
          <w:rFonts w:ascii="Palatino Linotype" w:hAnsi="Palatino Linotype"/>
          <w:szCs w:val="28"/>
          <w:vertAlign w:val="superscript"/>
          <w:lang w:eastAsia="es-ES"/>
        </w:rPr>
        <w:footnoteReference w:id="2"/>
      </w:r>
      <w:r w:rsidRPr="003F43AF">
        <w:rPr>
          <w:rFonts w:ascii="Palatino Linotype" w:hAnsi="Palatino Linotype"/>
          <w:szCs w:val="28"/>
          <w:lang w:eastAsia="es-ES"/>
        </w:rPr>
        <w:t xml:space="preserve">, ambos de la Ley de Transparencia y Acceso a la Información Pública del Estado de México y Municipios, derivado del contenido del informe justificado rendido por el </w:t>
      </w:r>
      <w:r w:rsidRPr="003F43AF">
        <w:rPr>
          <w:rFonts w:ascii="Palatino Linotype" w:hAnsi="Palatino Linotype"/>
          <w:b/>
          <w:szCs w:val="28"/>
          <w:lang w:eastAsia="es-ES"/>
        </w:rPr>
        <w:t>Sujeto Obligado.</w:t>
      </w:r>
      <w:r w:rsidRPr="003F43AF">
        <w:rPr>
          <w:rFonts w:ascii="Palatino Linotype" w:hAnsi="Palatino Linotype"/>
          <w:noProof/>
        </w:rPr>
        <w:t xml:space="preserve"> </w:t>
      </w:r>
    </w:p>
    <w:p w14:paraId="664A47F8" w14:textId="77777777" w:rsidR="003F43AF" w:rsidRPr="003F43AF" w:rsidRDefault="003F43AF" w:rsidP="003F43AF">
      <w:pPr>
        <w:tabs>
          <w:tab w:val="left" w:pos="7513"/>
        </w:tabs>
        <w:adjustRightInd w:val="0"/>
        <w:spacing w:after="240" w:line="360" w:lineRule="auto"/>
        <w:ind w:right="49"/>
        <w:jc w:val="both"/>
        <w:rPr>
          <w:rFonts w:ascii="Palatino Linotype" w:hAnsi="Palatino Linotype"/>
          <w:lang w:eastAsia="es-ES"/>
        </w:rPr>
      </w:pPr>
      <w:r w:rsidRPr="003F43AF">
        <w:rPr>
          <w:rFonts w:ascii="Palatino Linotype" w:hAnsi="Palatino Linotype"/>
          <w:lang w:eastAsia="es-ES"/>
        </w:rPr>
        <w:t>Para una mejor comprensión del asunto, de las constancias que obran en el expediente electrónico, valoradas anteriormente, destacan por su importancia los antecedentes siguientes:</w:t>
      </w:r>
    </w:p>
    <w:p w14:paraId="4AB7E1AA" w14:textId="77777777" w:rsidR="003F43AF" w:rsidRPr="003F43AF" w:rsidRDefault="003F43AF" w:rsidP="003F43AF">
      <w:pPr>
        <w:tabs>
          <w:tab w:val="left" w:pos="7513"/>
        </w:tabs>
        <w:adjustRightInd w:val="0"/>
        <w:spacing w:after="240" w:line="360" w:lineRule="auto"/>
        <w:ind w:right="49"/>
        <w:contextualSpacing/>
        <w:jc w:val="both"/>
        <w:rPr>
          <w:rFonts w:ascii="Palatino Linotype" w:hAnsi="Palatino Linotype" w:cs="Arial"/>
          <w:lang w:val="es-MX" w:eastAsia="en-US"/>
        </w:rPr>
      </w:pPr>
      <w:r w:rsidRPr="003F43AF">
        <w:rPr>
          <w:rFonts w:ascii="Palatino Linotype" w:hAnsi="Palatino Linotype"/>
          <w:lang w:val="es-MX" w:eastAsia="en-US"/>
        </w:rPr>
        <w:t xml:space="preserve">En la solicitud de información materia del presente recurso, la parte solicitante requirió al </w:t>
      </w:r>
      <w:r w:rsidRPr="003F43AF">
        <w:rPr>
          <w:rFonts w:ascii="Palatino Linotype" w:hAnsi="Palatino Linotype"/>
          <w:b/>
          <w:lang w:val="es-MX" w:eastAsia="en-US"/>
        </w:rPr>
        <w:t>Sujeto Obligado</w:t>
      </w:r>
      <w:r w:rsidRPr="003F43AF">
        <w:rPr>
          <w:rFonts w:ascii="Palatino Linotype" w:hAnsi="Palatino Linotype"/>
          <w:lang w:val="es-MX" w:eastAsia="en-US"/>
        </w:rPr>
        <w:t xml:space="preserve"> lo siguiente</w:t>
      </w:r>
      <w:r w:rsidRPr="003F43AF">
        <w:rPr>
          <w:rFonts w:ascii="Palatino Linotype" w:hAnsi="Palatino Linotype" w:cs="Arial"/>
          <w:lang w:val="es-MX" w:eastAsia="en-US"/>
        </w:rPr>
        <w:t>:</w:t>
      </w:r>
    </w:p>
    <w:p w14:paraId="0B59182B" w14:textId="77777777" w:rsidR="003F43AF" w:rsidRPr="003F43AF" w:rsidRDefault="003F43AF" w:rsidP="003F43AF">
      <w:pPr>
        <w:pStyle w:val="Prrafodelista"/>
        <w:numPr>
          <w:ilvl w:val="0"/>
          <w:numId w:val="12"/>
        </w:numPr>
        <w:tabs>
          <w:tab w:val="left" w:pos="7513"/>
        </w:tabs>
        <w:adjustRightInd w:val="0"/>
        <w:spacing w:after="240" w:line="360" w:lineRule="auto"/>
        <w:ind w:left="567" w:right="900" w:hanging="141"/>
        <w:jc w:val="both"/>
        <w:rPr>
          <w:rFonts w:ascii="Palatino Linotype" w:hAnsi="Palatino Linotype" w:cs="Arial"/>
          <w:lang w:val="es-MX" w:eastAsia="en-US"/>
        </w:rPr>
      </w:pPr>
      <w:r w:rsidRPr="003F43AF">
        <w:rPr>
          <w:rFonts w:ascii="Palatino Linotype" w:hAnsi="Palatino Linotype" w:cs="Arial"/>
          <w:lang w:val="es-MX" w:eastAsia="en-US"/>
        </w:rPr>
        <w:t>Con cuántos servidores públicos se integran los nuevos tribunales laborales del poder judicial del estado de México</w:t>
      </w:r>
    </w:p>
    <w:p w14:paraId="7400E230" w14:textId="77777777" w:rsidR="003F43AF" w:rsidRPr="003F43AF" w:rsidRDefault="003F43AF" w:rsidP="003F43AF">
      <w:pPr>
        <w:pStyle w:val="Prrafodelista"/>
        <w:numPr>
          <w:ilvl w:val="0"/>
          <w:numId w:val="12"/>
        </w:numPr>
        <w:tabs>
          <w:tab w:val="left" w:pos="7513"/>
        </w:tabs>
        <w:adjustRightInd w:val="0"/>
        <w:spacing w:after="240" w:line="360" w:lineRule="auto"/>
        <w:ind w:left="567" w:right="900" w:hanging="141"/>
        <w:jc w:val="both"/>
        <w:rPr>
          <w:rFonts w:ascii="Palatino Linotype" w:hAnsi="Palatino Linotype" w:cs="Arial"/>
          <w:lang w:val="es-MX" w:eastAsia="en-US"/>
        </w:rPr>
      </w:pPr>
      <w:r w:rsidRPr="003F43AF">
        <w:rPr>
          <w:rFonts w:ascii="Palatino Linotype" w:hAnsi="Palatino Linotype" w:cs="Arial"/>
          <w:lang w:val="es-MX" w:eastAsia="en-US"/>
        </w:rPr>
        <w:t>Cuál ha sido el proceso de selección de los servidores públicos que actualmente laboran en los tribunales laborales del poder judicial del estado de México</w:t>
      </w:r>
      <w:r w:rsidR="009B1CE9">
        <w:rPr>
          <w:rFonts w:ascii="Palatino Linotype" w:hAnsi="Palatino Linotype" w:cs="Arial"/>
          <w:lang w:val="es-MX" w:eastAsia="en-US"/>
        </w:rPr>
        <w:t>.</w:t>
      </w:r>
    </w:p>
    <w:p w14:paraId="60F250F5" w14:textId="77777777" w:rsidR="003F43AF" w:rsidRPr="003F43AF" w:rsidRDefault="003F43AF" w:rsidP="003F43AF">
      <w:pPr>
        <w:pStyle w:val="Prrafodelista"/>
        <w:numPr>
          <w:ilvl w:val="0"/>
          <w:numId w:val="12"/>
        </w:numPr>
        <w:tabs>
          <w:tab w:val="left" w:pos="7513"/>
        </w:tabs>
        <w:adjustRightInd w:val="0"/>
        <w:spacing w:after="240" w:line="360" w:lineRule="auto"/>
        <w:ind w:left="567" w:right="900" w:hanging="141"/>
        <w:jc w:val="both"/>
        <w:rPr>
          <w:rFonts w:ascii="Palatino Linotype" w:hAnsi="Palatino Linotype" w:cs="Arial"/>
          <w:lang w:val="es-MX" w:eastAsia="en-US"/>
        </w:rPr>
      </w:pPr>
      <w:r w:rsidRPr="003F43AF">
        <w:rPr>
          <w:rFonts w:ascii="Palatino Linotype" w:hAnsi="Palatino Linotype" w:cs="Arial"/>
          <w:lang w:val="es-MX" w:eastAsia="en-US"/>
        </w:rPr>
        <w:lastRenderedPageBreak/>
        <w:t>Cuántos han ingresado por concurso de oposición y cuántos han ingresado por distintas vías.</w:t>
      </w:r>
    </w:p>
    <w:p w14:paraId="4B18BB38" w14:textId="77777777" w:rsidR="007C5945" w:rsidRDefault="003F43AF" w:rsidP="007C5945">
      <w:pPr>
        <w:spacing w:before="240" w:after="240" w:line="360" w:lineRule="auto"/>
        <w:ind w:right="-93"/>
        <w:jc w:val="both"/>
        <w:rPr>
          <w:rFonts w:ascii="Palatino Linotype" w:eastAsia="Palatino Linotype" w:hAnsi="Palatino Linotype" w:cs="Palatino Linotype"/>
        </w:rPr>
      </w:pPr>
      <w:r w:rsidRPr="003F43AF">
        <w:rPr>
          <w:rFonts w:ascii="Palatino Linotype" w:hAnsi="Palatino Linotype" w:cs="Arial"/>
          <w:lang w:val="es-MX" w:eastAsia="es-ES"/>
        </w:rPr>
        <w:t xml:space="preserve">El </w:t>
      </w:r>
      <w:r w:rsidRPr="003F43AF">
        <w:rPr>
          <w:rFonts w:ascii="Palatino Linotype" w:hAnsi="Palatino Linotype" w:cs="Arial"/>
          <w:b/>
          <w:lang w:val="es-MX" w:eastAsia="es-ES"/>
        </w:rPr>
        <w:t>Sujeto Obligado</w:t>
      </w:r>
      <w:r w:rsidR="007C5945">
        <w:rPr>
          <w:rFonts w:ascii="Palatino Linotype" w:hAnsi="Palatino Linotype" w:cs="Arial"/>
          <w:lang w:val="es-MX" w:eastAsia="es-ES"/>
        </w:rPr>
        <w:t xml:space="preserve"> en respuesta remitió el archivo electrónico denominado </w:t>
      </w:r>
      <w:r w:rsidR="007C5945">
        <w:rPr>
          <w:rFonts w:ascii="Palatino Linotype" w:eastAsia="Palatino Linotype" w:hAnsi="Palatino Linotype" w:cs="Palatino Linotype"/>
          <w:b/>
          <w:i/>
          <w:sz w:val="22"/>
        </w:rPr>
        <w:t>“</w:t>
      </w:r>
      <w:r w:rsidR="007C5945" w:rsidRPr="006A2C19">
        <w:rPr>
          <w:rFonts w:ascii="Palatino Linotype" w:eastAsia="Palatino Linotype" w:hAnsi="Palatino Linotype" w:cs="Palatino Linotype"/>
          <w:b/>
          <w:i/>
          <w:sz w:val="22"/>
        </w:rPr>
        <w:t>RESPUESTA 00166-2022.pdf</w:t>
      </w:r>
      <w:r w:rsidR="007C5945">
        <w:rPr>
          <w:rFonts w:ascii="Palatino Linotype" w:eastAsia="Palatino Linotype" w:hAnsi="Palatino Linotype" w:cs="Palatino Linotype"/>
          <w:b/>
          <w:i/>
          <w:sz w:val="22"/>
        </w:rPr>
        <w:t xml:space="preserve">”, </w:t>
      </w:r>
      <w:r w:rsidR="007C5945" w:rsidRPr="007C5945">
        <w:rPr>
          <w:rFonts w:ascii="Palatino Linotype" w:eastAsia="Palatino Linotype" w:hAnsi="Palatino Linotype" w:cs="Palatino Linotype"/>
          <w:sz w:val="22"/>
        </w:rPr>
        <w:t>el cual consiste en el</w:t>
      </w:r>
      <w:r w:rsidR="007C5945">
        <w:rPr>
          <w:rFonts w:ascii="Palatino Linotype" w:eastAsia="Palatino Linotype" w:hAnsi="Palatino Linotype" w:cs="Palatino Linotype"/>
          <w:b/>
          <w:i/>
          <w:sz w:val="22"/>
        </w:rPr>
        <w:t xml:space="preserve"> </w:t>
      </w:r>
      <w:r w:rsidR="007C5945">
        <w:rPr>
          <w:rFonts w:ascii="Palatino Linotype" w:eastAsia="Palatino Linotype" w:hAnsi="Palatino Linotype" w:cs="Palatino Linotype"/>
        </w:rPr>
        <w:t>o</w:t>
      </w:r>
      <w:r w:rsidR="007C5945" w:rsidRPr="0089229D">
        <w:rPr>
          <w:rFonts w:ascii="Palatino Linotype" w:eastAsia="Palatino Linotype" w:hAnsi="Palatino Linotype" w:cs="Palatino Linotype"/>
        </w:rPr>
        <w:t>ficio de tres fojas, signado por la Titular de la Unidad de Transparencia, mediante el cual se otorga respuesta a la presente solicitud de informaci</w:t>
      </w:r>
      <w:r w:rsidR="007C5945">
        <w:rPr>
          <w:rFonts w:ascii="Palatino Linotype" w:eastAsia="Palatino Linotype" w:hAnsi="Palatino Linotype" w:cs="Palatino Linotype"/>
        </w:rPr>
        <w:t xml:space="preserve">ón, de la cual se destacan los siguientes puntos: </w:t>
      </w:r>
    </w:p>
    <w:p w14:paraId="0ED3229F" w14:textId="77777777" w:rsidR="007C5945" w:rsidRPr="007C5945" w:rsidRDefault="007C5945" w:rsidP="007C5945">
      <w:pPr>
        <w:pStyle w:val="Prrafodelista"/>
        <w:numPr>
          <w:ilvl w:val="0"/>
          <w:numId w:val="13"/>
        </w:numPr>
        <w:spacing w:before="240" w:after="240" w:line="360" w:lineRule="auto"/>
        <w:ind w:right="900"/>
        <w:jc w:val="both"/>
        <w:rPr>
          <w:rFonts w:ascii="Palatino Linotype" w:eastAsia="Palatino Linotype" w:hAnsi="Palatino Linotype" w:cs="Palatino Linotype"/>
        </w:rPr>
      </w:pPr>
      <w:r w:rsidRPr="007C5945">
        <w:rPr>
          <w:rFonts w:ascii="Palatino Linotype" w:eastAsia="Palatino Linotype" w:hAnsi="Palatino Linotype" w:cs="Palatino Linotype"/>
        </w:rPr>
        <w:t xml:space="preserve">En primer término, con base en los registros de personal que obran bajo resguardo, el total de servidores (as) públicos (as) que actualmente integran los Tribunales Laborales del Poder Judicial del Estado de México, es de </w:t>
      </w:r>
      <w:r w:rsidRPr="007C5945">
        <w:rPr>
          <w:rFonts w:ascii="Palatino Linotype" w:eastAsia="Palatino Linotype" w:hAnsi="Palatino Linotype" w:cs="Palatino Linotype"/>
          <w:b/>
        </w:rPr>
        <w:t>ciento treinta y siete (137)</w:t>
      </w:r>
      <w:r w:rsidRPr="007C5945">
        <w:rPr>
          <w:rFonts w:ascii="Palatino Linotype" w:eastAsia="Palatino Linotype" w:hAnsi="Palatino Linotype" w:cs="Palatino Linotype"/>
        </w:rPr>
        <w:t>.</w:t>
      </w:r>
    </w:p>
    <w:p w14:paraId="54E3E7FB" w14:textId="77777777" w:rsidR="007C5945" w:rsidRPr="007C5945" w:rsidRDefault="007C5945" w:rsidP="007C5945">
      <w:pPr>
        <w:pStyle w:val="Prrafodelista"/>
        <w:numPr>
          <w:ilvl w:val="0"/>
          <w:numId w:val="13"/>
        </w:numPr>
        <w:spacing w:before="240" w:after="240" w:line="360" w:lineRule="auto"/>
        <w:ind w:right="900"/>
        <w:jc w:val="both"/>
        <w:rPr>
          <w:rFonts w:ascii="Palatino Linotype" w:eastAsia="Palatino Linotype" w:hAnsi="Palatino Linotype" w:cs="Palatino Linotype"/>
        </w:rPr>
      </w:pPr>
      <w:r w:rsidRPr="007C5945">
        <w:rPr>
          <w:rFonts w:ascii="Palatino Linotype" w:eastAsia="Palatino Linotype" w:hAnsi="Palatino Linotype" w:cs="Palatino Linotype"/>
        </w:rPr>
        <w:t xml:space="preserve">De éstos, </w:t>
      </w:r>
      <w:r w:rsidRPr="007C5945">
        <w:rPr>
          <w:rFonts w:ascii="Palatino Linotype" w:eastAsia="Palatino Linotype" w:hAnsi="Palatino Linotype" w:cs="Palatino Linotype"/>
          <w:b/>
        </w:rPr>
        <w:t>89 ingresaron a laborar en esta H. Institución previa aprobación de curso y concurso de aposición dado a conocer previa convocatoria para las categorías de carrera judicial</w:t>
      </w:r>
      <w:r w:rsidRPr="007C5945">
        <w:rPr>
          <w:rFonts w:ascii="Palatino Linotype" w:eastAsia="Palatino Linotype" w:hAnsi="Palatino Linotype" w:cs="Palatino Linotype"/>
        </w:rPr>
        <w:t>, conforme a lo establecido en el artículo 157, 159 y 161 de la Ley Orgánica del Poder Judicial vigente en la entidad.</w:t>
      </w:r>
    </w:p>
    <w:p w14:paraId="46476731" w14:textId="77777777" w:rsidR="007C5945" w:rsidRPr="007C5945" w:rsidRDefault="007C5945" w:rsidP="007C5945">
      <w:pPr>
        <w:pStyle w:val="Prrafodelista"/>
        <w:numPr>
          <w:ilvl w:val="0"/>
          <w:numId w:val="13"/>
        </w:numPr>
        <w:spacing w:before="240" w:after="240" w:line="360" w:lineRule="auto"/>
        <w:ind w:right="900"/>
        <w:jc w:val="both"/>
        <w:rPr>
          <w:rFonts w:ascii="Palatino Linotype" w:eastAsia="Palatino Linotype" w:hAnsi="Palatino Linotype" w:cs="Palatino Linotype"/>
          <w:b/>
        </w:rPr>
      </w:pPr>
      <w:r w:rsidRPr="007C5945">
        <w:rPr>
          <w:rFonts w:ascii="Palatino Linotype" w:eastAsia="Palatino Linotype" w:hAnsi="Palatino Linotype" w:cs="Palatino Linotype"/>
        </w:rPr>
        <w:t xml:space="preserve">Así mismo, </w:t>
      </w:r>
      <w:r w:rsidRPr="007C5945">
        <w:rPr>
          <w:rFonts w:ascii="Palatino Linotype" w:eastAsia="Palatino Linotype" w:hAnsi="Palatino Linotype" w:cs="Palatino Linotype"/>
          <w:b/>
        </w:rPr>
        <w:t>41 ingresaron previa invitación pública a los interesados a participar en el proceso de incorporación a los Tribunales Laborales del Poder Judicial del Estado de México, en las plazas administrativas que no forma parte de la carrera judicial, mediante un examen de selección (Técnico Judicial y Oficial de Partes).</w:t>
      </w:r>
    </w:p>
    <w:p w14:paraId="3C4EA8EE" w14:textId="77777777" w:rsidR="007C5945" w:rsidRPr="007C5945" w:rsidRDefault="007C5945" w:rsidP="007C5945">
      <w:pPr>
        <w:pStyle w:val="Prrafodelista"/>
        <w:numPr>
          <w:ilvl w:val="0"/>
          <w:numId w:val="13"/>
        </w:numPr>
        <w:spacing w:before="240" w:after="240" w:line="360" w:lineRule="auto"/>
        <w:ind w:right="900"/>
        <w:jc w:val="both"/>
        <w:rPr>
          <w:rFonts w:ascii="Palatino Linotype" w:eastAsia="Palatino Linotype" w:hAnsi="Palatino Linotype" w:cs="Palatino Linotype"/>
        </w:rPr>
      </w:pPr>
      <w:r w:rsidRPr="007C5945">
        <w:rPr>
          <w:rFonts w:ascii="Palatino Linotype" w:eastAsia="Palatino Linotype" w:hAnsi="Palatino Linotype" w:cs="Palatino Linotype"/>
        </w:rPr>
        <w:t xml:space="preserve">Por último, </w:t>
      </w:r>
      <w:r w:rsidRPr="007C5945">
        <w:rPr>
          <w:rFonts w:ascii="Palatino Linotype" w:eastAsia="Palatino Linotype" w:hAnsi="Palatino Linotype" w:cs="Palatino Linotype"/>
          <w:b/>
        </w:rPr>
        <w:t>7 personas ingresaron con las categorías de Técnico en Audio y Video, de conformidad a lo establecido por el artículo 63 fracción III</w:t>
      </w:r>
      <w:r w:rsidRPr="007C5945">
        <w:rPr>
          <w:rFonts w:ascii="Palatino Linotype" w:eastAsia="Palatino Linotype" w:hAnsi="Palatino Linotype" w:cs="Palatino Linotype"/>
        </w:rPr>
        <w:t xml:space="preserve">, de la Ley Orgánica del Poder Judicial del Estado de </w:t>
      </w:r>
      <w:r w:rsidRPr="007C5945">
        <w:rPr>
          <w:rFonts w:ascii="Palatino Linotype" w:eastAsia="Palatino Linotype" w:hAnsi="Palatino Linotype" w:cs="Palatino Linotype"/>
        </w:rPr>
        <w:lastRenderedPageBreak/>
        <w:t>México, que determina que es facultad del Consejo de la Judicatura, crear plazas de servidores públicos conforme a las necesidades del servicio, con la finalidad de poder hacer uso de las Tecnologías de la información en los procesos jurisdiccionales que se ventilan en los juzgados.</w:t>
      </w:r>
    </w:p>
    <w:p w14:paraId="30B37C0B" w14:textId="77777777" w:rsidR="003F43AF" w:rsidRPr="003F43AF" w:rsidRDefault="003F43AF" w:rsidP="003F43AF">
      <w:pPr>
        <w:spacing w:before="240" w:after="240" w:line="360" w:lineRule="auto"/>
        <w:jc w:val="both"/>
        <w:rPr>
          <w:rFonts w:ascii="Palatino Linotype" w:eastAsia="Palatino Linotype" w:hAnsi="Palatino Linotype" w:cs="Palatino Linotype"/>
          <w:i/>
          <w:lang w:eastAsia="es-ES"/>
        </w:rPr>
      </w:pPr>
      <w:r w:rsidRPr="003F43AF">
        <w:rPr>
          <w:rFonts w:ascii="Palatino Linotype" w:eastAsia="Palatino Linotype" w:hAnsi="Palatino Linotype" w:cs="Palatino Linotype"/>
          <w:lang w:eastAsia="es-ES"/>
        </w:rPr>
        <w:t xml:space="preserve">En esta tesitura, una vez conocida la respuesta emitida por el Sujeto Obligado,  el particular, al no estar conforme con los términos de la misma, interpuso el recurso de revisión que nos ocupa, donde señaló en sus razones o motivos de inconformidad lo siguiente: </w:t>
      </w:r>
      <w:r w:rsidR="007C5945" w:rsidRPr="007C5945">
        <w:rPr>
          <w:rFonts w:ascii="Palatino Linotype" w:eastAsia="Palatino Linotype" w:hAnsi="Palatino Linotype" w:cs="Palatino Linotype"/>
          <w:i/>
          <w:lang w:eastAsia="es-ES"/>
        </w:rPr>
        <w:t xml:space="preserve">“NO EXPUSIERON EL PROCESO DE SELECCIÓN DE LOS INTEGRANTES DE LOS TRIBUNALES LABORALES DEL PODER JUDICIAL DEL ESTADO DE MÉXICO. </w:t>
      </w:r>
      <w:r w:rsidR="007C5945" w:rsidRPr="00A97581">
        <w:rPr>
          <w:rFonts w:ascii="Palatino Linotype" w:eastAsia="Palatino Linotype" w:hAnsi="Palatino Linotype" w:cs="Palatino Linotype"/>
          <w:i/>
          <w:lang w:eastAsia="es-ES"/>
        </w:rPr>
        <w:t>CON RELACIÓN A LA INVITACIÓN PÚBLICA QUE PRECISAN, NO MENCIONAN EL FUNDAMENTO LEGAL EN EL QUE SE BASA ESE TIPO DE ACTO.</w:t>
      </w:r>
      <w:r w:rsidR="007C5945">
        <w:rPr>
          <w:rFonts w:ascii="Palatino Linotype" w:eastAsia="Palatino Linotype" w:hAnsi="Palatino Linotype" w:cs="Palatino Linotype"/>
          <w:i/>
          <w:lang w:eastAsia="es-ES"/>
        </w:rPr>
        <w:t xml:space="preserve">” </w:t>
      </w:r>
      <w:r w:rsidRPr="003F43AF">
        <w:rPr>
          <w:rFonts w:ascii="Palatino Linotype" w:eastAsia="Palatino Linotype" w:hAnsi="Palatino Linotype" w:cs="Palatino Linotype"/>
          <w:i/>
          <w:lang w:eastAsia="es-ES"/>
        </w:rPr>
        <w:t>(Sic)</w:t>
      </w:r>
      <w:r w:rsidRPr="003F43AF">
        <w:rPr>
          <w:rFonts w:ascii="Palatino Linotype" w:eastAsia="Palatino Linotype" w:hAnsi="Palatino Linotype" w:cs="Palatino Linotype"/>
          <w:lang w:eastAsia="es-ES"/>
        </w:rPr>
        <w:t xml:space="preserve"> es decir, su inconformidad medularmente versa sobre la entrega de la información incompleta al estimar que la respuesta no colma su requerimiento</w:t>
      </w:r>
      <w:r w:rsidR="00A97581">
        <w:rPr>
          <w:rFonts w:ascii="Palatino Linotype" w:eastAsia="Palatino Linotype" w:hAnsi="Palatino Linotype" w:cs="Palatino Linotype"/>
          <w:lang w:eastAsia="es-ES"/>
        </w:rPr>
        <w:t xml:space="preserve"> concerniente al proceso de selección</w:t>
      </w:r>
      <w:r w:rsidRPr="003F43AF">
        <w:rPr>
          <w:rFonts w:ascii="Palatino Linotype" w:eastAsia="Palatino Linotype" w:hAnsi="Palatino Linotype" w:cs="Palatino Linotype"/>
          <w:lang w:eastAsia="es-ES"/>
        </w:rPr>
        <w:t>.</w:t>
      </w:r>
    </w:p>
    <w:p w14:paraId="70AA73B5" w14:textId="77777777" w:rsidR="007C5945" w:rsidRPr="007C5945" w:rsidRDefault="003F43AF" w:rsidP="007C5945">
      <w:pPr>
        <w:spacing w:before="240" w:after="240" w:line="360" w:lineRule="auto"/>
        <w:jc w:val="both"/>
        <w:rPr>
          <w:rFonts w:ascii="Palatino Linotype" w:hAnsi="Palatino Linotype"/>
        </w:rPr>
      </w:pPr>
      <w:r w:rsidRPr="003F43AF">
        <w:rPr>
          <w:rFonts w:ascii="Palatino Linotype" w:eastAsia="Palatino Linotype" w:hAnsi="Palatino Linotype" w:cs="Palatino Linotype"/>
          <w:lang w:eastAsia="es-ES"/>
        </w:rPr>
        <w:t xml:space="preserve">Así las cosas, durante la etapa de manifestaciones, el </w:t>
      </w:r>
      <w:r w:rsidRPr="00A97581">
        <w:rPr>
          <w:rFonts w:ascii="Palatino Linotype" w:eastAsia="Palatino Linotype" w:hAnsi="Palatino Linotype" w:cs="Palatino Linotype"/>
          <w:b/>
          <w:lang w:eastAsia="es-ES"/>
        </w:rPr>
        <w:t>Sujeto Obligado</w:t>
      </w:r>
      <w:r w:rsidRPr="003F43AF">
        <w:rPr>
          <w:rFonts w:ascii="Palatino Linotype" w:eastAsia="Palatino Linotype" w:hAnsi="Palatino Linotype" w:cs="Palatino Linotype"/>
          <w:lang w:eastAsia="es-ES"/>
        </w:rPr>
        <w:t xml:space="preserve"> rindió su informe justificado, </w:t>
      </w:r>
      <w:r w:rsidR="007C5945">
        <w:rPr>
          <w:rFonts w:ascii="Palatino Linotype" w:eastAsia="Palatino Linotype" w:hAnsi="Palatino Linotype" w:cs="Palatino Linotype"/>
          <w:lang w:eastAsia="es-ES"/>
        </w:rPr>
        <w:t xml:space="preserve">mediante el archivo electrónico </w:t>
      </w:r>
      <w:r w:rsidR="007C5945" w:rsidRPr="007C5945">
        <w:rPr>
          <w:rFonts w:ascii="Palatino Linotype" w:eastAsia="Palatino Linotype" w:hAnsi="Palatino Linotype" w:cs="Palatino Linotype"/>
          <w:b/>
          <w:i/>
          <w:lang w:eastAsia="es-ES"/>
        </w:rPr>
        <w:t>“INFORME JUSTIFICADO 5624-2022.pdf”</w:t>
      </w:r>
      <w:r w:rsidR="007C5945">
        <w:rPr>
          <w:rFonts w:ascii="Palatino Linotype" w:eastAsia="Palatino Linotype" w:hAnsi="Palatino Linotype" w:cs="Palatino Linotype"/>
          <w:lang w:eastAsia="es-ES"/>
        </w:rPr>
        <w:t>, el cual consta de un d</w:t>
      </w:r>
      <w:r w:rsidR="007C5945" w:rsidRPr="007C5945">
        <w:rPr>
          <w:rFonts w:ascii="Palatino Linotype" w:eastAsia="Palatino Linotype" w:hAnsi="Palatino Linotype" w:cs="Palatino Linotype"/>
          <w:lang w:eastAsia="es-ES"/>
        </w:rPr>
        <w:t xml:space="preserve">ocumento de nueve fojas, en el que se aprecia el </w:t>
      </w:r>
      <w:r w:rsidR="007C5945" w:rsidRPr="007C5945">
        <w:rPr>
          <w:rFonts w:ascii="Palatino Linotype" w:eastAsia="Palatino Linotype" w:hAnsi="Palatino Linotype" w:cs="Palatino Linotype"/>
          <w:b/>
          <w:lang w:eastAsia="es-ES"/>
        </w:rPr>
        <w:t>Sujeto Obligado</w:t>
      </w:r>
      <w:r w:rsidR="007C5945" w:rsidRPr="007C5945">
        <w:rPr>
          <w:rFonts w:ascii="Palatino Linotype" w:eastAsia="Palatino Linotype" w:hAnsi="Palatino Linotype" w:cs="Palatino Linotype"/>
          <w:lang w:eastAsia="es-ES"/>
        </w:rPr>
        <w:t xml:space="preserve"> amplía </w:t>
      </w:r>
      <w:r w:rsidR="007C5945">
        <w:rPr>
          <w:rFonts w:ascii="Palatino Linotype" w:eastAsia="Palatino Linotype" w:hAnsi="Palatino Linotype" w:cs="Palatino Linotype"/>
          <w:lang w:eastAsia="es-ES"/>
        </w:rPr>
        <w:t xml:space="preserve">los argumentos de su respuesta, al remitirle a una liga electrónica e indicándole el proceso para consultar las convocatorias del proceso de selección, así como </w:t>
      </w:r>
      <w:r w:rsidR="007C5945" w:rsidRPr="007C5945">
        <w:rPr>
          <w:rFonts w:ascii="Palatino Linotype" w:hAnsi="Palatino Linotype"/>
        </w:rPr>
        <w:t>la invitación pública en la pá</w:t>
      </w:r>
      <w:r w:rsidR="007C5945">
        <w:rPr>
          <w:rFonts w:ascii="Palatino Linotype" w:hAnsi="Palatino Linotype"/>
        </w:rPr>
        <w:t xml:space="preserve">gina oficial del Poder Judicial. </w:t>
      </w:r>
    </w:p>
    <w:p w14:paraId="5625CC0E" w14:textId="77777777" w:rsidR="003F43AF" w:rsidRPr="003F43AF" w:rsidRDefault="003F43AF" w:rsidP="003F43AF">
      <w:pPr>
        <w:spacing w:before="240" w:after="240" w:line="360" w:lineRule="auto"/>
        <w:jc w:val="both"/>
        <w:rPr>
          <w:rFonts w:ascii="Palatino Linotype" w:eastAsia="Arial Unicode MS" w:hAnsi="Palatino Linotype" w:cs="Arial"/>
          <w:b/>
          <w:i/>
          <w:color w:val="000000"/>
          <w:lang w:eastAsia="es-ES"/>
        </w:rPr>
      </w:pPr>
      <w:r w:rsidRPr="003F43AF">
        <w:rPr>
          <w:rFonts w:ascii="Palatino Linotype" w:eastAsia="Arial Unicode MS" w:hAnsi="Palatino Linotype" w:cs="Arial"/>
          <w:color w:val="000000"/>
          <w:lang w:eastAsia="es-ES"/>
        </w:rPr>
        <w:t xml:space="preserve">Bajo este tenor, la parte de la respuesta concerniente a </w:t>
      </w:r>
      <w:r w:rsidR="009B1CE9">
        <w:rPr>
          <w:rFonts w:ascii="Palatino Linotype" w:eastAsia="Arial Unicode MS" w:hAnsi="Palatino Linotype" w:cs="Arial"/>
          <w:b/>
          <w:i/>
          <w:color w:val="000000"/>
          <w:lang w:eastAsia="es-ES"/>
        </w:rPr>
        <w:t xml:space="preserve"> “</w:t>
      </w:r>
      <w:r w:rsidR="002D1F08" w:rsidRPr="002D1F08">
        <w:rPr>
          <w:rFonts w:ascii="Palatino Linotype" w:eastAsia="Arial Unicode MS" w:hAnsi="Palatino Linotype" w:cs="Arial"/>
          <w:b/>
          <w:i/>
          <w:color w:val="000000"/>
          <w:lang w:eastAsia="es-ES"/>
        </w:rPr>
        <w:t xml:space="preserve">CON CUÁNTOS SERVIDORES PÚBLICOS SE INTEGRAN LOS NUEVOS TRIBUNALES </w:t>
      </w:r>
      <w:r w:rsidR="002D1F08" w:rsidRPr="002D1F08">
        <w:rPr>
          <w:rFonts w:ascii="Palatino Linotype" w:eastAsia="Arial Unicode MS" w:hAnsi="Palatino Linotype" w:cs="Arial"/>
          <w:b/>
          <w:i/>
          <w:color w:val="000000"/>
          <w:lang w:eastAsia="es-ES"/>
        </w:rPr>
        <w:lastRenderedPageBreak/>
        <w:t>LABORALES DEL PODER</w:t>
      </w:r>
      <w:r w:rsidR="002D1F08">
        <w:rPr>
          <w:rFonts w:ascii="Palatino Linotype" w:eastAsia="Arial Unicode MS" w:hAnsi="Palatino Linotype" w:cs="Arial"/>
          <w:b/>
          <w:i/>
          <w:color w:val="000000"/>
          <w:lang w:eastAsia="es-ES"/>
        </w:rPr>
        <w:t xml:space="preserve"> JUDICIAL DEL ESTADO DE MÉXICO … </w:t>
      </w:r>
      <w:r w:rsidR="002D1F08" w:rsidRPr="002D1F08">
        <w:rPr>
          <w:rFonts w:ascii="Palatino Linotype" w:eastAsia="Arial Unicode MS" w:hAnsi="Palatino Linotype" w:cs="Arial"/>
          <w:b/>
          <w:i/>
          <w:color w:val="000000"/>
          <w:lang w:eastAsia="es-ES"/>
        </w:rPr>
        <w:t>CUÁNTOS HAN INGRESADO POR CONCURSO DE OPOSICIÓN Y CUÁNTOS HAN INGR</w:t>
      </w:r>
      <w:r w:rsidR="002D1F08">
        <w:rPr>
          <w:rFonts w:ascii="Palatino Linotype" w:eastAsia="Arial Unicode MS" w:hAnsi="Palatino Linotype" w:cs="Arial"/>
          <w:b/>
          <w:i/>
          <w:color w:val="000000"/>
          <w:lang w:eastAsia="es-ES"/>
        </w:rPr>
        <w:t>ESADO POR DISTINTAS VÍAS.” (Sic)</w:t>
      </w:r>
      <w:r w:rsidRPr="003F43AF">
        <w:rPr>
          <w:rFonts w:ascii="Palatino Linotype" w:eastAsia="Arial Unicode MS" w:hAnsi="Palatino Linotype" w:cs="Arial"/>
          <w:b/>
          <w:i/>
          <w:color w:val="000000"/>
          <w:lang w:eastAsia="es-ES"/>
        </w:rPr>
        <w:t xml:space="preserve">, </w:t>
      </w:r>
      <w:r w:rsidRPr="003F43AF">
        <w:rPr>
          <w:rFonts w:ascii="Palatino Linotype" w:eastAsia="Arial Unicode MS" w:hAnsi="Palatino Linotype" w:cs="Arial"/>
          <w:color w:val="000000"/>
          <w:lang w:eastAsia="es-ES"/>
        </w:rPr>
        <w:t xml:space="preserve">se tiene que no fue impugnada, por lo que consecuentemente debe declararse consentida, toda vez que, al no haber realizado manifestaciones de inconformidad al respecto, se infiere que la información proporcionada por el </w:t>
      </w:r>
      <w:r w:rsidRPr="003F43AF">
        <w:rPr>
          <w:rFonts w:ascii="Palatino Linotype" w:eastAsia="Arial Unicode MS" w:hAnsi="Palatino Linotype" w:cs="Arial"/>
          <w:b/>
          <w:color w:val="000000"/>
          <w:lang w:eastAsia="es-ES"/>
        </w:rPr>
        <w:t>Sujeto Obligado</w:t>
      </w:r>
      <w:r w:rsidRPr="003F43AF">
        <w:rPr>
          <w:rFonts w:ascii="Palatino Linotype" w:eastAsia="Arial Unicode MS" w:hAnsi="Palatino Linotype" w:cs="Arial"/>
          <w:color w:val="000000"/>
          <w:lang w:eastAsia="es-ES"/>
        </w:rPr>
        <w:t>, satisface estos puntos de la solicitud presentada.</w:t>
      </w:r>
    </w:p>
    <w:p w14:paraId="0312251C" w14:textId="77777777" w:rsidR="003F43AF" w:rsidRPr="003F43AF" w:rsidRDefault="003F43AF" w:rsidP="003F43AF">
      <w:pPr>
        <w:spacing w:before="240" w:after="360" w:line="360" w:lineRule="auto"/>
        <w:jc w:val="both"/>
        <w:rPr>
          <w:rFonts w:ascii="Palatino Linotype" w:eastAsia="Calibri" w:hAnsi="Palatino Linotype" w:cs="Arial"/>
          <w:color w:val="000000"/>
          <w:lang w:eastAsia="es-ES"/>
        </w:rPr>
      </w:pPr>
      <w:r w:rsidRPr="003F43AF">
        <w:rPr>
          <w:rFonts w:ascii="Palatino Linotype" w:eastAsia="Calibri" w:hAnsi="Palatino Linotype" w:cs="Arial"/>
          <w:color w:val="000000"/>
          <w:lang w:eastAsia="es-ES"/>
        </w:rPr>
        <w:t>Lo anterior es así, debido a que cuando un Recurrente impugna la re</w:t>
      </w:r>
      <w:r w:rsidR="009B1CE9">
        <w:rPr>
          <w:rFonts w:ascii="Palatino Linotype" w:eastAsia="Calibri" w:hAnsi="Palatino Linotype" w:cs="Arial"/>
          <w:color w:val="000000"/>
          <w:lang w:eastAsia="es-ES"/>
        </w:rPr>
        <w:t>spuesta del Sujeto Obligado, y e</w:t>
      </w:r>
      <w:r w:rsidRPr="003F43AF">
        <w:rPr>
          <w:rFonts w:ascii="Palatino Linotype" w:eastAsia="Calibri" w:hAnsi="Palatino Linotype" w:cs="Arial"/>
          <w:color w:val="000000"/>
          <w:lang w:eastAsia="es-ES"/>
        </w:rPr>
        <w:t>ste no expresa Razón o Motivo de Inconformidad en contra de todos los rubros solicitados, dichos rubros deben declararse atendidos, pues se entiende que el Recurrente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6A26457D" w14:textId="77777777" w:rsidR="003F43AF" w:rsidRPr="003F43AF" w:rsidRDefault="003F43AF" w:rsidP="003F43AF">
      <w:pPr>
        <w:autoSpaceDE w:val="0"/>
        <w:autoSpaceDN w:val="0"/>
        <w:adjustRightInd w:val="0"/>
        <w:spacing w:before="240" w:after="360"/>
        <w:ind w:left="851" w:right="900"/>
        <w:jc w:val="both"/>
        <w:rPr>
          <w:rFonts w:ascii="Palatino Linotype" w:eastAsia="Calibri" w:hAnsi="Palatino Linotype" w:cs="Arial"/>
          <w:i/>
          <w:color w:val="000000"/>
          <w:sz w:val="22"/>
          <w:lang w:eastAsia="es-ES"/>
        </w:rPr>
      </w:pPr>
      <w:r w:rsidRPr="003F43AF">
        <w:rPr>
          <w:rFonts w:ascii="Palatino Linotype" w:eastAsia="Calibri" w:hAnsi="Palatino Linotype" w:cs="Arial"/>
          <w:b/>
          <w:i/>
          <w:color w:val="000000"/>
          <w:sz w:val="22"/>
          <w:lang w:eastAsia="es-ES"/>
        </w:rPr>
        <w:t xml:space="preserve">“REVISIÓN EN AMPARO. LOS RESOLUTIVOS NO COMBATIDOS DEBEN DECLARARSE FIRMES. </w:t>
      </w:r>
      <w:r w:rsidRPr="003F43AF">
        <w:rPr>
          <w:rFonts w:ascii="Palatino Linotype" w:eastAsia="Calibri" w:hAnsi="Palatino Linotype" w:cs="Arial"/>
          <w:bCs/>
          <w:i/>
          <w:iCs/>
          <w:color w:val="000000"/>
          <w:sz w:val="22"/>
          <w:lang w:eastAsia="es-ES"/>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944AD98" w14:textId="77777777" w:rsidR="003F43AF" w:rsidRPr="003F43AF" w:rsidRDefault="003F43AF" w:rsidP="003F43AF">
      <w:pPr>
        <w:spacing w:before="240" w:after="240" w:line="360" w:lineRule="auto"/>
        <w:jc w:val="both"/>
        <w:rPr>
          <w:rFonts w:ascii="Palatino Linotype" w:eastAsia="Arial Unicode MS" w:hAnsi="Palatino Linotype" w:cs="Arial"/>
          <w:color w:val="000000"/>
          <w:lang w:eastAsia="es-ES"/>
        </w:rPr>
      </w:pPr>
      <w:r w:rsidRPr="003F43AF">
        <w:rPr>
          <w:rFonts w:ascii="Palatino Linotype" w:eastAsia="Arial Unicode MS" w:hAnsi="Palatino Linotype" w:cs="Arial"/>
          <w:color w:val="000000"/>
          <w:lang w:eastAsia="es-ES"/>
        </w:rPr>
        <w:t xml:space="preserve">Consecuentemente, se reitera que la parte de la solicitud que no fue impugnada debe declararse consentida por la hoy Recurrente, en razón de que no se realizaron manifestaciones de inconformidad, por lo que no pueden producirse efectos </w:t>
      </w:r>
      <w:r w:rsidRPr="003F43AF">
        <w:rPr>
          <w:rFonts w:ascii="Palatino Linotype" w:eastAsia="Arial Unicode MS" w:hAnsi="Palatino Linotype" w:cs="Arial"/>
          <w:color w:val="000000"/>
          <w:lang w:eastAsia="es-ES"/>
        </w:rPr>
        <w:lastRenderedPageBreak/>
        <w:t xml:space="preserve">jurídicos tendentes a revocar, confirmar o modificar el acto reclamado ya que se infiere un consentimiento de la Recurrente ante la falta de impugnación eficaz. </w:t>
      </w:r>
    </w:p>
    <w:p w14:paraId="3AC48140" w14:textId="77777777" w:rsidR="003F43AF" w:rsidRPr="003F43AF" w:rsidRDefault="003F43AF" w:rsidP="003F43AF">
      <w:pPr>
        <w:spacing w:before="240" w:after="240" w:line="360" w:lineRule="auto"/>
        <w:jc w:val="both"/>
        <w:rPr>
          <w:rFonts w:ascii="Palatino Linotype" w:eastAsia="Arial Unicode MS" w:hAnsi="Palatino Linotype" w:cs="Arial"/>
          <w:color w:val="000000"/>
          <w:lang w:eastAsia="es-ES"/>
        </w:rPr>
      </w:pPr>
      <w:r w:rsidRPr="003F43AF">
        <w:rPr>
          <w:rFonts w:ascii="Palatino Linotype" w:eastAsia="Arial Unicode MS" w:hAnsi="Palatino Linotype" w:cs="Arial"/>
          <w:color w:val="000000"/>
          <w:lang w:eastAsia="es-ES"/>
        </w:rPr>
        <w:t xml:space="preserve">Sirve de sustento a lo anterior por analogía la tesis jurisprudencial número </w:t>
      </w:r>
      <w:r w:rsidRPr="003F43AF">
        <w:rPr>
          <w:rFonts w:ascii="Palatino Linotype" w:eastAsia="Calibri" w:hAnsi="Palatino Linotype" w:cs="Arial"/>
          <w:color w:val="000000"/>
          <w:lang w:eastAsia="es-ES"/>
        </w:rPr>
        <w:t>VI.3o.C. J/60, publicada en el Semanario Judicial de la Federación y su Gaceta bajo el número de registro 176,608 que a la letra dice:</w:t>
      </w:r>
    </w:p>
    <w:p w14:paraId="1F9F56B5" w14:textId="77777777" w:rsidR="003F43AF" w:rsidRPr="003F43AF" w:rsidRDefault="003F43AF" w:rsidP="003F43AF">
      <w:pPr>
        <w:spacing w:before="240" w:after="240"/>
        <w:ind w:left="567" w:right="900"/>
        <w:jc w:val="both"/>
        <w:rPr>
          <w:rFonts w:ascii="Palatino Linotype" w:eastAsia="MS Mincho" w:hAnsi="Palatino Linotype" w:cs="Bookman Old Style"/>
          <w:lang w:val="es-MX" w:eastAsia="es-ES"/>
        </w:rPr>
      </w:pPr>
      <w:r w:rsidRPr="003F43AF">
        <w:rPr>
          <w:rFonts w:ascii="Palatino Linotype" w:hAnsi="Palatino Linotype" w:cs="Arial"/>
          <w:b/>
          <w:bCs/>
          <w:i/>
          <w:caps/>
          <w:color w:val="000000"/>
          <w:sz w:val="22"/>
          <w:lang w:eastAsia="es-ES"/>
        </w:rPr>
        <w:t xml:space="preserve">“ACTOS CONSENTIDOS. SON LOS QUE NO SE IMPUGNAN MEDIANTE EL RECURSO IDÓNEO. </w:t>
      </w:r>
      <w:r w:rsidRPr="003F43AF">
        <w:rPr>
          <w:rFonts w:ascii="Palatino Linotype" w:hAnsi="Palatino Linotype" w:cs="Arial"/>
          <w:i/>
          <w:color w:val="000000"/>
          <w:sz w:val="22"/>
          <w:lang w:eastAsia="es-ES"/>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ECE2B28" w14:textId="77777777" w:rsidR="002D1F08" w:rsidRDefault="003F43AF" w:rsidP="003F43AF">
      <w:pPr>
        <w:spacing w:line="360" w:lineRule="auto"/>
        <w:jc w:val="both"/>
        <w:rPr>
          <w:rFonts w:ascii="Palatino Linotype" w:eastAsia="Palatino Linotype" w:hAnsi="Palatino Linotype" w:cs="Palatino Linotype"/>
          <w:color w:val="222222"/>
          <w:lang w:eastAsia="es-ES"/>
        </w:rPr>
      </w:pPr>
      <w:r w:rsidRPr="003F43AF">
        <w:rPr>
          <w:rFonts w:ascii="Palatino Linotype" w:eastAsia="Palatino Linotype" w:hAnsi="Palatino Linotype" w:cs="Palatino Linotype"/>
          <w:color w:val="222222"/>
          <w:lang w:eastAsia="es-ES"/>
        </w:rPr>
        <w:t>Ahora bien, respecto al punto impugnado, correspondiente al punto número dos de la solicitu</w:t>
      </w:r>
      <w:r w:rsidR="002D1F08">
        <w:rPr>
          <w:rFonts w:ascii="Palatino Linotype" w:eastAsia="Palatino Linotype" w:hAnsi="Palatino Linotype" w:cs="Palatino Linotype"/>
          <w:color w:val="222222"/>
          <w:lang w:eastAsia="es-ES"/>
        </w:rPr>
        <w:t xml:space="preserve">d, el cual constaba en conocer el proceso de selección de los integrantes de los tribunales laborales del Poder Judicial del Estado de México, </w:t>
      </w:r>
      <w:r w:rsidRPr="003F43AF">
        <w:rPr>
          <w:rFonts w:ascii="Palatino Linotype" w:eastAsia="Palatino Linotype" w:hAnsi="Palatino Linotype" w:cs="Palatino Linotype"/>
          <w:color w:val="222222"/>
          <w:lang w:eastAsia="es-ES"/>
        </w:rPr>
        <w:t xml:space="preserve">conviene reiterar que mediante su respuesta el </w:t>
      </w:r>
      <w:r w:rsidRPr="003F43AF">
        <w:rPr>
          <w:rFonts w:ascii="Palatino Linotype" w:eastAsia="Palatino Linotype" w:hAnsi="Palatino Linotype" w:cs="Palatino Linotype"/>
          <w:b/>
          <w:color w:val="222222"/>
          <w:lang w:eastAsia="es-ES"/>
        </w:rPr>
        <w:t>Sujeto Obligado</w:t>
      </w:r>
      <w:r w:rsidRPr="003F43AF">
        <w:rPr>
          <w:rFonts w:ascii="Palatino Linotype" w:eastAsia="Palatino Linotype" w:hAnsi="Palatino Linotype" w:cs="Palatino Linotype"/>
          <w:color w:val="222222"/>
          <w:lang w:eastAsia="es-ES"/>
        </w:rPr>
        <w:t xml:space="preserve"> señaló lo siguiente: </w:t>
      </w:r>
    </w:p>
    <w:p w14:paraId="065A695D" w14:textId="77777777" w:rsidR="002D1F08" w:rsidRDefault="002D1F08" w:rsidP="003F43AF">
      <w:pPr>
        <w:spacing w:line="360" w:lineRule="auto"/>
        <w:jc w:val="both"/>
        <w:rPr>
          <w:rFonts w:ascii="Palatino Linotype" w:eastAsia="Palatino Linotype" w:hAnsi="Palatino Linotype" w:cs="Palatino Linotype"/>
          <w:color w:val="222222"/>
          <w:lang w:eastAsia="es-ES"/>
        </w:rPr>
      </w:pPr>
    </w:p>
    <w:p w14:paraId="5588C15E" w14:textId="77777777" w:rsidR="002D1F08" w:rsidRPr="007C5945" w:rsidRDefault="002D1F08" w:rsidP="002D1F08">
      <w:pPr>
        <w:pStyle w:val="Prrafodelista"/>
        <w:numPr>
          <w:ilvl w:val="0"/>
          <w:numId w:val="13"/>
        </w:numPr>
        <w:spacing w:before="240" w:after="240" w:line="360" w:lineRule="auto"/>
        <w:ind w:right="900"/>
        <w:jc w:val="both"/>
        <w:rPr>
          <w:rFonts w:ascii="Palatino Linotype" w:eastAsia="Palatino Linotype" w:hAnsi="Palatino Linotype" w:cs="Palatino Linotype"/>
        </w:rPr>
      </w:pPr>
      <w:r>
        <w:rPr>
          <w:rFonts w:ascii="Palatino Linotype" w:eastAsia="Palatino Linotype" w:hAnsi="Palatino Linotype" w:cs="Palatino Linotype"/>
        </w:rPr>
        <w:t>De los 137 servidores públicos que conforman los tribunales laborales</w:t>
      </w:r>
      <w:r w:rsidRPr="007C5945">
        <w:rPr>
          <w:rFonts w:ascii="Palatino Linotype" w:eastAsia="Palatino Linotype" w:hAnsi="Palatino Linotype" w:cs="Palatino Linotype"/>
        </w:rPr>
        <w:t xml:space="preserve">, </w:t>
      </w:r>
      <w:r w:rsidRPr="007C5945">
        <w:rPr>
          <w:rFonts w:ascii="Palatino Linotype" w:eastAsia="Palatino Linotype" w:hAnsi="Palatino Linotype" w:cs="Palatino Linotype"/>
          <w:b/>
        </w:rPr>
        <w:t xml:space="preserve">89 </w:t>
      </w:r>
      <w:r w:rsidRPr="002D1F08">
        <w:rPr>
          <w:rFonts w:ascii="Palatino Linotype" w:eastAsia="Palatino Linotype" w:hAnsi="Palatino Linotype" w:cs="Palatino Linotype"/>
          <w:b/>
          <w:u w:val="single"/>
        </w:rPr>
        <w:t>ingresaron a laborar en esta H. Institución previa aprobación de curso y concurso de aposición dado a conocer previa convocatoria para las categorías de carrera judicial</w:t>
      </w:r>
      <w:r w:rsidRPr="007C5945">
        <w:rPr>
          <w:rFonts w:ascii="Palatino Linotype" w:eastAsia="Palatino Linotype" w:hAnsi="Palatino Linotype" w:cs="Palatino Linotype"/>
        </w:rPr>
        <w:t>, conforme a lo establecido en el artículo 157, 159 y 161 de la Ley Orgánica del Poder Judicial vigente en la entidad.</w:t>
      </w:r>
    </w:p>
    <w:p w14:paraId="7A6F0FE8" w14:textId="77777777" w:rsidR="002D1F08" w:rsidRPr="002D1F08" w:rsidRDefault="002D1F08" w:rsidP="002D1F08">
      <w:pPr>
        <w:pStyle w:val="Prrafodelista"/>
        <w:numPr>
          <w:ilvl w:val="0"/>
          <w:numId w:val="13"/>
        </w:numPr>
        <w:spacing w:before="240" w:after="240" w:line="360" w:lineRule="auto"/>
        <w:ind w:right="900"/>
        <w:jc w:val="both"/>
        <w:rPr>
          <w:rFonts w:ascii="Palatino Linotype" w:eastAsia="Palatino Linotype" w:hAnsi="Palatino Linotype" w:cs="Palatino Linotype"/>
          <w:b/>
          <w:u w:val="single"/>
        </w:rPr>
      </w:pPr>
      <w:r w:rsidRPr="007C5945">
        <w:rPr>
          <w:rFonts w:ascii="Palatino Linotype" w:eastAsia="Palatino Linotype" w:hAnsi="Palatino Linotype" w:cs="Palatino Linotype"/>
        </w:rPr>
        <w:t xml:space="preserve">Así mismo, </w:t>
      </w:r>
      <w:r w:rsidRPr="007C5945">
        <w:rPr>
          <w:rFonts w:ascii="Palatino Linotype" w:eastAsia="Palatino Linotype" w:hAnsi="Palatino Linotype" w:cs="Palatino Linotype"/>
          <w:b/>
        </w:rPr>
        <w:t xml:space="preserve">41 </w:t>
      </w:r>
      <w:r w:rsidRPr="002D1F08">
        <w:rPr>
          <w:rFonts w:ascii="Palatino Linotype" w:eastAsia="Palatino Linotype" w:hAnsi="Palatino Linotype" w:cs="Palatino Linotype"/>
          <w:b/>
          <w:u w:val="single"/>
        </w:rPr>
        <w:t xml:space="preserve">ingresaron previa invitación pública a los interesados a participar en el proceso de incorporación a los </w:t>
      </w:r>
      <w:r w:rsidRPr="002D1F08">
        <w:rPr>
          <w:rFonts w:ascii="Palatino Linotype" w:eastAsia="Palatino Linotype" w:hAnsi="Palatino Linotype" w:cs="Palatino Linotype"/>
          <w:b/>
          <w:u w:val="single"/>
        </w:rPr>
        <w:lastRenderedPageBreak/>
        <w:t>Tribunales Laborales del Poder Judicial del Estado de México, en las plazas administrativas que no forma parte de la carrera judicial, mediante un examen de selección (Técnico Judicial y Oficial de Partes).</w:t>
      </w:r>
    </w:p>
    <w:p w14:paraId="11C2328B" w14:textId="77777777" w:rsidR="002D1F08" w:rsidRPr="002D1F08" w:rsidRDefault="002D1F08" w:rsidP="002D1F08">
      <w:pPr>
        <w:numPr>
          <w:ilvl w:val="0"/>
          <w:numId w:val="13"/>
        </w:numPr>
        <w:spacing w:before="240" w:after="240" w:line="360" w:lineRule="auto"/>
        <w:ind w:right="900"/>
        <w:contextualSpacing/>
        <w:jc w:val="both"/>
        <w:rPr>
          <w:rFonts w:ascii="Palatino Linotype" w:eastAsia="Palatino Linotype" w:hAnsi="Palatino Linotype" w:cs="Palatino Linotype"/>
          <w:b/>
          <w:u w:val="single"/>
        </w:rPr>
      </w:pPr>
      <w:r w:rsidRPr="002D1F08">
        <w:rPr>
          <w:rFonts w:ascii="Palatino Linotype" w:eastAsia="Palatino Linotype" w:hAnsi="Palatino Linotype" w:cs="Palatino Linotype"/>
        </w:rPr>
        <w:t xml:space="preserve">Por último, </w:t>
      </w:r>
      <w:r w:rsidRPr="002D1F08">
        <w:rPr>
          <w:rFonts w:ascii="Palatino Linotype" w:eastAsia="Palatino Linotype" w:hAnsi="Palatino Linotype" w:cs="Palatino Linotype"/>
          <w:b/>
        </w:rPr>
        <w:t xml:space="preserve">7 personas ingresaron con las categorías de Técnico en Audio y Video, </w:t>
      </w:r>
      <w:r w:rsidRPr="002D1F08">
        <w:rPr>
          <w:rFonts w:ascii="Palatino Linotype" w:eastAsia="Palatino Linotype" w:hAnsi="Palatino Linotype" w:cs="Palatino Linotype"/>
          <w:b/>
          <w:u w:val="single"/>
        </w:rPr>
        <w:t>de conformidad a lo establecido por el artículo 63 fracción III, de la Ley Orgánica del Poder Judicial del Estado de México, que determina que es facultad del Consejo de la Judicatura, crear plazas de servidores públicos conforme a las necesidades del servicio, con la finalidad de poder hacer uso de las Tecnologías de la información en los procesos jurisdiccionales que se ventilan en los juzgados.</w:t>
      </w:r>
    </w:p>
    <w:p w14:paraId="6219AA54" w14:textId="77777777" w:rsidR="002D1F08" w:rsidRDefault="002D1F08" w:rsidP="003F43AF">
      <w:pPr>
        <w:spacing w:line="360" w:lineRule="auto"/>
        <w:ind w:right="49"/>
        <w:contextualSpacing/>
        <w:jc w:val="both"/>
        <w:rPr>
          <w:rFonts w:ascii="Palatino Linotype" w:eastAsia="Palatino Linotype" w:hAnsi="Palatino Linotype" w:cs="Palatino Linotype"/>
          <w:b/>
        </w:rPr>
      </w:pPr>
    </w:p>
    <w:p w14:paraId="0DA83C53" w14:textId="77777777" w:rsidR="003F43AF" w:rsidRDefault="003F43AF" w:rsidP="00623F10">
      <w:pPr>
        <w:spacing w:line="360" w:lineRule="auto"/>
        <w:ind w:right="49"/>
        <w:contextualSpacing/>
        <w:jc w:val="both"/>
        <w:rPr>
          <w:rFonts w:ascii="Palatino Linotype" w:eastAsia="Calibri" w:hAnsi="Palatino Linotype" w:cs="Arial"/>
          <w:lang w:val="es-MX" w:eastAsia="en-US"/>
        </w:rPr>
      </w:pPr>
      <w:r w:rsidRPr="003F43AF">
        <w:rPr>
          <w:rFonts w:ascii="Palatino Linotype" w:hAnsi="Palatino Linotype" w:cs="Arial"/>
          <w:szCs w:val="22"/>
          <w:lang w:val="es-MX" w:eastAsia="en-US"/>
        </w:rPr>
        <w:t xml:space="preserve">No obstante, al momento de rendir el informe justificado, el </w:t>
      </w:r>
      <w:r w:rsidRPr="003F43AF">
        <w:rPr>
          <w:rFonts w:ascii="Palatino Linotype" w:hAnsi="Palatino Linotype" w:cs="Arial"/>
          <w:b/>
          <w:szCs w:val="22"/>
          <w:lang w:val="es-MX" w:eastAsia="en-US"/>
        </w:rPr>
        <w:t>Sujeto Obligado</w:t>
      </w:r>
      <w:r w:rsidRPr="003F43AF">
        <w:rPr>
          <w:rFonts w:ascii="Palatino Linotype" w:hAnsi="Palatino Linotype" w:cs="Arial"/>
          <w:szCs w:val="22"/>
          <w:lang w:val="es-MX" w:eastAsia="en-US"/>
        </w:rPr>
        <w:t xml:space="preserve"> remitió </w:t>
      </w:r>
      <w:r w:rsidR="00623F10">
        <w:rPr>
          <w:rFonts w:ascii="Palatino Linotype" w:eastAsia="Calibri" w:hAnsi="Palatino Linotype" w:cs="Arial"/>
          <w:lang w:val="es-MX" w:eastAsia="en-US"/>
        </w:rPr>
        <w:t>el archivo electrónico</w:t>
      </w:r>
      <w:r w:rsidRPr="003F43AF">
        <w:rPr>
          <w:rFonts w:ascii="Palatino Linotype" w:eastAsia="Calibri" w:hAnsi="Palatino Linotype" w:cs="Arial"/>
          <w:lang w:val="es-MX" w:eastAsia="en-US"/>
        </w:rPr>
        <w:t xml:space="preserve">: </w:t>
      </w:r>
      <w:r w:rsidR="00623F10" w:rsidRPr="00623F10">
        <w:rPr>
          <w:rFonts w:ascii="Palatino Linotype" w:eastAsia="Calibri" w:hAnsi="Palatino Linotype" w:cs="Arial"/>
          <w:b/>
          <w:i/>
          <w:lang w:val="es-MX" w:eastAsia="en-US"/>
        </w:rPr>
        <w:t>“INFO</w:t>
      </w:r>
      <w:r w:rsidR="00623F10">
        <w:rPr>
          <w:rFonts w:ascii="Palatino Linotype" w:eastAsia="Calibri" w:hAnsi="Palatino Linotype" w:cs="Arial"/>
          <w:b/>
          <w:i/>
          <w:lang w:val="es-MX" w:eastAsia="en-US"/>
        </w:rPr>
        <w:t xml:space="preserve">RME JUSTIFICADO 5624-2022.pdf”, </w:t>
      </w:r>
      <w:r w:rsidR="00623F10" w:rsidRPr="00623F10">
        <w:rPr>
          <w:rFonts w:ascii="Palatino Linotype" w:eastAsia="Calibri" w:hAnsi="Palatino Linotype" w:cs="Arial"/>
          <w:b/>
          <w:i/>
          <w:lang w:val="es-MX" w:eastAsia="en-US"/>
        </w:rPr>
        <w:t xml:space="preserve"> </w:t>
      </w:r>
      <w:r w:rsidR="00623F10">
        <w:rPr>
          <w:rFonts w:ascii="Palatino Linotype" w:eastAsia="Calibri" w:hAnsi="Palatino Linotype" w:cs="Arial"/>
          <w:lang w:val="es-MX" w:eastAsia="en-US"/>
        </w:rPr>
        <w:t>mediante el</w:t>
      </w:r>
      <w:r w:rsidRPr="003F43AF">
        <w:rPr>
          <w:rFonts w:ascii="Palatino Linotype" w:eastAsia="Calibri" w:hAnsi="Palatino Linotype" w:cs="Arial"/>
          <w:lang w:val="es-MX" w:eastAsia="en-US"/>
        </w:rPr>
        <w:t xml:space="preserve"> </w:t>
      </w:r>
      <w:r w:rsidR="00623F10">
        <w:rPr>
          <w:rFonts w:ascii="Palatino Linotype" w:eastAsia="Calibri" w:hAnsi="Palatino Linotype" w:cs="Arial"/>
          <w:lang w:val="es-MX" w:eastAsia="en-US"/>
        </w:rPr>
        <w:t>cual</w:t>
      </w:r>
      <w:r w:rsidRPr="003F43AF">
        <w:rPr>
          <w:rFonts w:ascii="Palatino Linotype" w:eastAsia="Calibri" w:hAnsi="Palatino Linotype" w:cs="Arial"/>
          <w:lang w:val="es-MX" w:eastAsia="en-US"/>
        </w:rPr>
        <w:t xml:space="preserve"> amplió la respuesta vertida inicialmente que dio origen a la interposición del recurso de revisión que nos ocupa, </w:t>
      </w:r>
      <w:r w:rsidR="00623F10">
        <w:rPr>
          <w:rFonts w:ascii="Palatino Linotype" w:eastAsia="Calibri" w:hAnsi="Palatino Linotype" w:cs="Arial"/>
          <w:lang w:val="es-MX" w:eastAsia="en-US"/>
        </w:rPr>
        <w:t xml:space="preserve">al remitir una liga electrónica e indicar al particular, el procedimiento para acceder a las convocatorias del proceso de selección, así como a la invitación pública, por lo que en aras de comprobar si dicha información colma la pretensión del particular, este Organismo Garante procedió a la revisión de la información que obra en la liga electrónica remitida, obteniendo así lo siguiente: </w:t>
      </w:r>
    </w:p>
    <w:p w14:paraId="0A1EED89" w14:textId="77777777" w:rsidR="00623F10" w:rsidRDefault="00EF46E2" w:rsidP="00623F10">
      <w:pPr>
        <w:spacing w:line="360" w:lineRule="auto"/>
        <w:ind w:right="49"/>
        <w:contextualSpacing/>
        <w:jc w:val="both"/>
        <w:rPr>
          <w:rFonts w:ascii="Palatino Linotype" w:eastAsia="Calibri" w:hAnsi="Palatino Linotype" w:cs="Arial"/>
          <w:lang w:val="es-MX" w:eastAsia="en-US"/>
        </w:rPr>
      </w:pPr>
      <w:r>
        <w:rPr>
          <w:rFonts w:ascii="Palatino Linotype" w:eastAsia="Calibri" w:hAnsi="Palatino Linotype" w:cs="Arial"/>
          <w:noProof/>
          <w:lang w:val="es-MX"/>
        </w:rPr>
        <w:lastRenderedPageBreak/>
        <mc:AlternateContent>
          <mc:Choice Requires="wps">
            <w:drawing>
              <wp:anchor distT="0" distB="0" distL="114300" distR="114300" simplePos="0" relativeHeight="251659264" behindDoc="0" locked="0" layoutInCell="1" allowOverlap="1" wp14:anchorId="28724D08" wp14:editId="4401FA95">
                <wp:simplePos x="0" y="0"/>
                <wp:positionH relativeFrom="column">
                  <wp:posOffset>2767965</wp:posOffset>
                </wp:positionH>
                <wp:positionV relativeFrom="paragraph">
                  <wp:posOffset>1934210</wp:posOffset>
                </wp:positionV>
                <wp:extent cx="962025" cy="257175"/>
                <wp:effectExtent l="57150" t="38100" r="85725" b="104775"/>
                <wp:wrapNone/>
                <wp:docPr id="33" name="Rectángulo 33"/>
                <wp:cNvGraphicFramePr/>
                <a:graphic xmlns:a="http://schemas.openxmlformats.org/drawingml/2006/main">
                  <a:graphicData uri="http://schemas.microsoft.com/office/word/2010/wordprocessingShape">
                    <wps:wsp>
                      <wps:cNvSpPr/>
                      <wps:spPr>
                        <a:xfrm>
                          <a:off x="0" y="0"/>
                          <a:ext cx="962025" cy="257175"/>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628BD1" id="Rectángulo 33" o:spid="_x0000_s1026" style="position:absolute;margin-left:217.95pt;margin-top:152.3pt;width:75.75pt;height:20.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" filled="f" strokecolor="#002060" strokeweight="2.25pt">
                <v:shadow on="t" color="black" opacity="22937f" origin=",.5" offset="0,.63889mm"/>
              </v:rect>
            </w:pict>
          </mc:Fallback>
        </mc:AlternateContent>
      </w:r>
      <w:r w:rsidR="00623F10">
        <w:rPr>
          <w:rFonts w:ascii="Palatino Linotype" w:eastAsia="Calibri" w:hAnsi="Palatino Linotype" w:cs="Arial"/>
          <w:noProof/>
          <w:lang w:val="es-MX"/>
        </w:rPr>
        <w:drawing>
          <wp:inline distT="0" distB="0" distL="0" distR="0" wp14:anchorId="1AF6F555" wp14:editId="0F2E7122">
            <wp:extent cx="5600700" cy="21907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00700" cy="2190750"/>
                    </a:xfrm>
                    <a:prstGeom prst="rect">
                      <a:avLst/>
                    </a:prstGeom>
                    <a:noFill/>
                    <a:ln>
                      <a:noFill/>
                    </a:ln>
                  </pic:spPr>
                </pic:pic>
              </a:graphicData>
            </a:graphic>
          </wp:inline>
        </w:drawing>
      </w:r>
    </w:p>
    <w:p w14:paraId="5F8B48C8" w14:textId="77777777" w:rsidR="00623F10" w:rsidRDefault="00623F10" w:rsidP="00623F10">
      <w:pPr>
        <w:spacing w:line="360" w:lineRule="auto"/>
        <w:ind w:right="49"/>
        <w:contextualSpacing/>
        <w:jc w:val="both"/>
        <w:rPr>
          <w:rFonts w:ascii="Palatino Linotype" w:eastAsia="Calibri" w:hAnsi="Palatino Linotype" w:cs="Arial"/>
          <w:lang w:val="es-MX" w:eastAsia="en-US"/>
        </w:rPr>
      </w:pPr>
    </w:p>
    <w:p w14:paraId="7D73FA58" w14:textId="77777777" w:rsidR="00EF46E2" w:rsidRDefault="00EF46E2" w:rsidP="00EF46E2">
      <w:pPr>
        <w:spacing w:line="360" w:lineRule="auto"/>
        <w:ind w:right="49"/>
        <w:contextualSpacing/>
        <w:jc w:val="both"/>
        <w:rPr>
          <w:rFonts w:ascii="Palatino Linotype" w:eastAsia="Calibri" w:hAnsi="Palatino Linotype" w:cs="Arial"/>
          <w:lang w:val="es-MX" w:eastAsia="en-US"/>
        </w:rPr>
      </w:pPr>
      <w:r>
        <w:rPr>
          <w:rFonts w:ascii="Palatino Linotype" w:eastAsia="Calibri" w:hAnsi="Palatino Linotype" w:cs="Arial"/>
          <w:lang w:val="es-MX" w:eastAsia="en-US"/>
        </w:rPr>
        <w:t xml:space="preserve">Tal como señala el Sujeto Obligado, deberá posicionar el cursor sobre </w:t>
      </w:r>
      <w:r w:rsidRPr="00EF46E2">
        <w:rPr>
          <w:rFonts w:ascii="Palatino Linotype" w:eastAsia="Calibri" w:hAnsi="Palatino Linotype" w:cs="Arial"/>
          <w:lang w:val="es-MX" w:eastAsia="en-US"/>
        </w:rPr>
        <w:t>el apartado que</w:t>
      </w:r>
      <w:r>
        <w:rPr>
          <w:rFonts w:ascii="Palatino Linotype" w:eastAsia="Calibri" w:hAnsi="Palatino Linotype" w:cs="Arial"/>
          <w:lang w:val="es-MX" w:eastAsia="en-US"/>
        </w:rPr>
        <w:t xml:space="preserve"> señala “Información relevante” </w:t>
      </w:r>
      <w:r w:rsidRPr="00EF46E2">
        <w:rPr>
          <w:rFonts w:ascii="Palatino Linotype" w:eastAsia="Calibri" w:hAnsi="Palatino Linotype" w:cs="Arial"/>
          <w:lang w:val="es-MX" w:eastAsia="en-US"/>
        </w:rPr>
        <w:t>y dar clic en el rubro “Consultar todos”,</w:t>
      </w:r>
      <w:r>
        <w:rPr>
          <w:rFonts w:ascii="Palatino Linotype" w:eastAsia="Calibri" w:hAnsi="Palatino Linotype" w:cs="Arial"/>
          <w:lang w:val="es-MX" w:eastAsia="en-US"/>
        </w:rPr>
        <w:t xml:space="preserve"> donde posteriormente nos desplegará una pantalla, en la que colocaremos los siguientes datos: </w:t>
      </w:r>
    </w:p>
    <w:p w14:paraId="6557EC11" w14:textId="77777777" w:rsidR="00EF46E2" w:rsidRDefault="00EF46E2" w:rsidP="00EF46E2">
      <w:pPr>
        <w:spacing w:line="360" w:lineRule="auto"/>
        <w:ind w:right="49"/>
        <w:contextualSpacing/>
        <w:jc w:val="both"/>
        <w:rPr>
          <w:rFonts w:ascii="Palatino Linotype" w:eastAsia="Calibri" w:hAnsi="Palatino Linotype" w:cs="Arial"/>
          <w:lang w:val="es-MX" w:eastAsia="en-US"/>
        </w:rPr>
      </w:pPr>
      <w:r>
        <w:rPr>
          <w:rFonts w:ascii="Palatino Linotype" w:eastAsia="Calibri" w:hAnsi="Palatino Linotype" w:cs="Arial"/>
          <w:noProof/>
          <w:lang w:val="es-MX"/>
        </w:rPr>
        <w:drawing>
          <wp:inline distT="0" distB="0" distL="0" distR="0" wp14:anchorId="03B6E21F" wp14:editId="1A0D7EA7">
            <wp:extent cx="5610225" cy="1143000"/>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225" cy="1143000"/>
                    </a:xfrm>
                    <a:prstGeom prst="rect">
                      <a:avLst/>
                    </a:prstGeom>
                    <a:noFill/>
                    <a:ln>
                      <a:noFill/>
                    </a:ln>
                  </pic:spPr>
                </pic:pic>
              </a:graphicData>
            </a:graphic>
          </wp:inline>
        </w:drawing>
      </w:r>
    </w:p>
    <w:p w14:paraId="790829CE" w14:textId="77777777" w:rsidR="00EF46E2" w:rsidRDefault="00A847D7" w:rsidP="00EF46E2">
      <w:pPr>
        <w:spacing w:line="360" w:lineRule="auto"/>
        <w:ind w:right="49"/>
        <w:contextualSpacing/>
        <w:jc w:val="both"/>
        <w:rPr>
          <w:rFonts w:ascii="Palatino Linotype" w:eastAsia="Calibri" w:hAnsi="Palatino Linotype" w:cs="Arial"/>
          <w:lang w:val="es-MX" w:eastAsia="en-US"/>
        </w:rPr>
      </w:pPr>
      <w:r>
        <w:rPr>
          <w:rFonts w:ascii="Palatino Linotype" w:eastAsia="Calibri" w:hAnsi="Palatino Linotype" w:cs="Arial"/>
          <w:lang w:val="es-MX" w:eastAsia="en-US"/>
        </w:rPr>
        <w:t xml:space="preserve">Posteriormente, el portal arroja tres páginas que coinciden con la búsqueda realizada, en las cuales se aprecian las convocatorias e invitación pública, tal como se visualiza en la siguiente captura de pantalla: </w:t>
      </w:r>
    </w:p>
    <w:p w14:paraId="4938B7AD" w14:textId="77777777" w:rsidR="00A847D7" w:rsidRPr="003F43AF" w:rsidRDefault="00A847D7" w:rsidP="00EF46E2">
      <w:pPr>
        <w:spacing w:line="360" w:lineRule="auto"/>
        <w:ind w:right="49"/>
        <w:contextualSpacing/>
        <w:jc w:val="both"/>
        <w:rPr>
          <w:rFonts w:ascii="Palatino Linotype" w:eastAsia="Calibri" w:hAnsi="Palatino Linotype" w:cs="Arial"/>
          <w:lang w:val="es-MX" w:eastAsia="en-US"/>
        </w:rPr>
      </w:pPr>
    </w:p>
    <w:p w14:paraId="1FEB3ACC" w14:textId="77777777" w:rsidR="00A847D7" w:rsidRDefault="00A847D7" w:rsidP="00A847D7">
      <w:pPr>
        <w:spacing w:line="360" w:lineRule="auto"/>
        <w:ind w:right="-93"/>
        <w:contextualSpacing/>
        <w:jc w:val="center"/>
        <w:rPr>
          <w:rFonts w:ascii="Palatino Linotype" w:hAnsi="Palatino Linotype"/>
          <w:lang w:eastAsia="es-ES"/>
        </w:rPr>
      </w:pPr>
    </w:p>
    <w:p w14:paraId="1E3B5A82" w14:textId="77777777" w:rsidR="00A847D7" w:rsidRDefault="00A847D7" w:rsidP="00A847D7">
      <w:pPr>
        <w:spacing w:line="360" w:lineRule="auto"/>
        <w:ind w:right="-93"/>
        <w:contextualSpacing/>
        <w:jc w:val="center"/>
        <w:rPr>
          <w:rFonts w:ascii="Palatino Linotype" w:hAnsi="Palatino Linotype"/>
          <w:lang w:eastAsia="es-ES"/>
        </w:rPr>
      </w:pPr>
    </w:p>
    <w:p w14:paraId="660C021E" w14:textId="77777777" w:rsidR="00A847D7" w:rsidRDefault="00A847D7" w:rsidP="00A847D7">
      <w:pPr>
        <w:spacing w:line="360" w:lineRule="auto"/>
        <w:ind w:right="-93"/>
        <w:contextualSpacing/>
        <w:jc w:val="both"/>
        <w:rPr>
          <w:rFonts w:ascii="Palatino Linotype" w:hAnsi="Palatino Linotype"/>
          <w:lang w:eastAsia="es-ES"/>
        </w:rPr>
      </w:pPr>
      <w:r>
        <w:rPr>
          <w:rFonts w:ascii="Palatino Linotype" w:hAnsi="Palatino Linotype"/>
          <w:noProof/>
          <w:lang w:val="es-MX"/>
        </w:rPr>
        <w:lastRenderedPageBreak/>
        <mc:AlternateContent>
          <mc:Choice Requires="wps">
            <w:drawing>
              <wp:anchor distT="0" distB="0" distL="114300" distR="114300" simplePos="0" relativeHeight="251662336" behindDoc="0" locked="0" layoutInCell="1" allowOverlap="1" wp14:anchorId="12C099C6" wp14:editId="01D7F0E3">
                <wp:simplePos x="0" y="0"/>
                <wp:positionH relativeFrom="column">
                  <wp:posOffset>-270510</wp:posOffset>
                </wp:positionH>
                <wp:positionV relativeFrom="paragraph">
                  <wp:posOffset>3056255</wp:posOffset>
                </wp:positionV>
                <wp:extent cx="4343400" cy="276225"/>
                <wp:effectExtent l="57150" t="38100" r="76200" b="104775"/>
                <wp:wrapNone/>
                <wp:docPr id="44" name="Rectángulo 44"/>
                <wp:cNvGraphicFramePr/>
                <a:graphic xmlns:a="http://schemas.openxmlformats.org/drawingml/2006/main">
                  <a:graphicData uri="http://schemas.microsoft.com/office/word/2010/wordprocessingShape">
                    <wps:wsp>
                      <wps:cNvSpPr/>
                      <wps:spPr>
                        <a:xfrm>
                          <a:off x="0" y="0"/>
                          <a:ext cx="4343400" cy="276225"/>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7EBE1E" id="Rectángulo 44" o:spid="_x0000_s1026" style="position:absolute;margin-left:-21.3pt;margin-top:240.65pt;width:342pt;height:21.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" filled="f" strokecolor="#002060" strokeweight="2.25pt">
                <v:shadow on="t" color="black" opacity="22937f" origin=",.5" offset="0,.63889mm"/>
              </v:rect>
            </w:pict>
          </mc:Fallback>
        </mc:AlternateContent>
      </w:r>
      <w:r>
        <w:rPr>
          <w:rFonts w:ascii="Palatino Linotype" w:hAnsi="Palatino Linotype"/>
          <w:noProof/>
          <w:lang w:val="es-MX"/>
        </w:rPr>
        <mc:AlternateContent>
          <mc:Choice Requires="wps">
            <w:drawing>
              <wp:anchor distT="0" distB="0" distL="114300" distR="114300" simplePos="0" relativeHeight="251661312" behindDoc="0" locked="0" layoutInCell="1" allowOverlap="1" wp14:anchorId="5440F188" wp14:editId="5A7EC9AC">
                <wp:simplePos x="0" y="0"/>
                <wp:positionH relativeFrom="column">
                  <wp:posOffset>-270510</wp:posOffset>
                </wp:positionH>
                <wp:positionV relativeFrom="paragraph">
                  <wp:posOffset>370205</wp:posOffset>
                </wp:positionV>
                <wp:extent cx="2038350" cy="219075"/>
                <wp:effectExtent l="57150" t="38100" r="76200" b="104775"/>
                <wp:wrapNone/>
                <wp:docPr id="43" name="Rectángulo 43"/>
                <wp:cNvGraphicFramePr/>
                <a:graphic xmlns:a="http://schemas.openxmlformats.org/drawingml/2006/main">
                  <a:graphicData uri="http://schemas.microsoft.com/office/word/2010/wordprocessingShape">
                    <wps:wsp>
                      <wps:cNvSpPr/>
                      <wps:spPr>
                        <a:xfrm>
                          <a:off x="0" y="0"/>
                          <a:ext cx="2038350" cy="219075"/>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C6F44D" id="Rectángulo 43" o:spid="_x0000_s1026" style="position:absolute;margin-left:-21.3pt;margin-top:29.15pt;width:160.5pt;height:17.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" filled="f" strokecolor="#002060" strokeweight="2.25pt">
                <v:shadow on="t" color="black" opacity="22937f" origin=",.5" offset="0,.63889mm"/>
              </v:rect>
            </w:pict>
          </mc:Fallback>
        </mc:AlternateContent>
      </w:r>
      <w:r>
        <w:rPr>
          <w:rFonts w:ascii="Palatino Linotype" w:hAnsi="Palatino Linotype"/>
          <w:noProof/>
          <w:lang w:val="es-MX"/>
        </w:rPr>
        <w:drawing>
          <wp:anchor distT="0" distB="0" distL="114300" distR="114300" simplePos="0" relativeHeight="251660288" behindDoc="0" locked="0" layoutInCell="1" allowOverlap="1" wp14:anchorId="4D0B9F1B" wp14:editId="51E39D8F">
            <wp:simplePos x="0" y="0"/>
            <wp:positionH relativeFrom="column">
              <wp:posOffset>-318135</wp:posOffset>
            </wp:positionH>
            <wp:positionV relativeFrom="paragraph">
              <wp:posOffset>198120</wp:posOffset>
            </wp:positionV>
            <wp:extent cx="5804289" cy="3133725"/>
            <wp:effectExtent l="0" t="0" r="6350" b="0"/>
            <wp:wrapTopAndBottom/>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04289" cy="3133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BA3161" w14:textId="77777777" w:rsidR="00A847D7" w:rsidRDefault="00A847D7" w:rsidP="00A847D7">
      <w:pPr>
        <w:spacing w:line="360" w:lineRule="auto"/>
        <w:ind w:right="-93"/>
        <w:contextualSpacing/>
        <w:jc w:val="both"/>
        <w:rPr>
          <w:rFonts w:ascii="Palatino Linotype" w:hAnsi="Palatino Linotype"/>
          <w:lang w:eastAsia="es-ES"/>
        </w:rPr>
      </w:pPr>
      <w:r>
        <w:rPr>
          <w:rFonts w:ascii="Palatino Linotype" w:hAnsi="Palatino Linotype"/>
          <w:lang w:eastAsia="es-ES"/>
        </w:rPr>
        <w:t xml:space="preserve">De manera ilustrativa, se insertará una invitación y la convocatoria para el concurso de oposición para juez en materia laboral: </w:t>
      </w:r>
    </w:p>
    <w:p w14:paraId="03055971" w14:textId="77777777" w:rsidR="003F43AF" w:rsidRPr="003F43AF" w:rsidRDefault="003F43AF" w:rsidP="00A847D7">
      <w:pPr>
        <w:spacing w:line="360" w:lineRule="auto"/>
        <w:ind w:right="-93"/>
        <w:contextualSpacing/>
        <w:jc w:val="both"/>
        <w:rPr>
          <w:rFonts w:ascii="Palatino Linotype" w:hAnsi="Palatino Linotype"/>
          <w:lang w:eastAsia="es-ES"/>
        </w:rPr>
      </w:pPr>
    </w:p>
    <w:p w14:paraId="7F44F99F" w14:textId="77777777" w:rsidR="003F43AF" w:rsidRDefault="00A847D7" w:rsidP="003F43AF">
      <w:pPr>
        <w:spacing w:line="360" w:lineRule="auto"/>
        <w:contextualSpacing/>
        <w:jc w:val="both"/>
        <w:rPr>
          <w:rFonts w:ascii="Palatino Linotype" w:eastAsia="Calibri" w:hAnsi="Palatino Linotype"/>
          <w:lang w:val="es-MX" w:eastAsia="es-ES"/>
        </w:rPr>
      </w:pPr>
      <w:r>
        <w:rPr>
          <w:rFonts w:ascii="Palatino Linotype" w:eastAsia="Calibri" w:hAnsi="Palatino Linotype"/>
          <w:noProof/>
          <w:lang w:val="es-MX"/>
        </w:rPr>
        <w:lastRenderedPageBreak/>
        <w:drawing>
          <wp:inline distT="0" distB="0" distL="0" distR="0" wp14:anchorId="24204D1E" wp14:editId="063B4D65">
            <wp:extent cx="5276850" cy="6391275"/>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6850" cy="6391275"/>
                    </a:xfrm>
                    <a:prstGeom prst="rect">
                      <a:avLst/>
                    </a:prstGeom>
                    <a:noFill/>
                    <a:ln>
                      <a:noFill/>
                    </a:ln>
                  </pic:spPr>
                </pic:pic>
              </a:graphicData>
            </a:graphic>
          </wp:inline>
        </w:drawing>
      </w:r>
    </w:p>
    <w:p w14:paraId="14294419" w14:textId="77777777" w:rsidR="00A847D7" w:rsidRDefault="00A847D7" w:rsidP="003F43AF">
      <w:pPr>
        <w:spacing w:line="360" w:lineRule="auto"/>
        <w:contextualSpacing/>
        <w:jc w:val="both"/>
        <w:rPr>
          <w:rFonts w:ascii="Palatino Linotype" w:eastAsia="Calibri" w:hAnsi="Palatino Linotype"/>
          <w:lang w:val="es-MX" w:eastAsia="es-ES"/>
        </w:rPr>
      </w:pPr>
    </w:p>
    <w:p w14:paraId="0E263CE4" w14:textId="77777777" w:rsidR="00A847D7" w:rsidRDefault="00A847D7" w:rsidP="00A847D7">
      <w:pPr>
        <w:spacing w:line="360" w:lineRule="auto"/>
        <w:contextualSpacing/>
        <w:jc w:val="center"/>
        <w:rPr>
          <w:rFonts w:ascii="Palatino Linotype" w:eastAsia="Calibri" w:hAnsi="Palatino Linotype"/>
          <w:lang w:val="es-MX" w:eastAsia="es-ES"/>
        </w:rPr>
      </w:pPr>
      <w:r>
        <w:rPr>
          <w:rFonts w:ascii="Palatino Linotype" w:eastAsia="Calibri" w:hAnsi="Palatino Linotype"/>
          <w:noProof/>
          <w:lang w:val="es-MX"/>
        </w:rPr>
        <w:lastRenderedPageBreak/>
        <w:drawing>
          <wp:inline distT="0" distB="0" distL="0" distR="0" wp14:anchorId="2C14D8D6" wp14:editId="36CF459C">
            <wp:extent cx="4086225" cy="6848475"/>
            <wp:effectExtent l="0" t="0" r="9525"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86225" cy="6848475"/>
                    </a:xfrm>
                    <a:prstGeom prst="rect">
                      <a:avLst/>
                    </a:prstGeom>
                    <a:noFill/>
                    <a:ln>
                      <a:noFill/>
                    </a:ln>
                  </pic:spPr>
                </pic:pic>
              </a:graphicData>
            </a:graphic>
          </wp:inline>
        </w:drawing>
      </w:r>
    </w:p>
    <w:p w14:paraId="6BFAA714" w14:textId="77777777" w:rsidR="00A847D7" w:rsidRDefault="00A847D7" w:rsidP="00A847D7">
      <w:pPr>
        <w:spacing w:line="360" w:lineRule="auto"/>
        <w:contextualSpacing/>
        <w:jc w:val="center"/>
        <w:rPr>
          <w:rFonts w:ascii="Palatino Linotype" w:eastAsia="Calibri" w:hAnsi="Palatino Linotype"/>
          <w:lang w:val="es-MX" w:eastAsia="es-ES"/>
        </w:rPr>
      </w:pPr>
      <w:r>
        <w:rPr>
          <w:rFonts w:ascii="Palatino Linotype" w:eastAsia="Calibri" w:hAnsi="Palatino Linotype"/>
          <w:noProof/>
          <w:lang w:val="es-MX"/>
        </w:rPr>
        <w:lastRenderedPageBreak/>
        <w:drawing>
          <wp:inline distT="0" distB="0" distL="0" distR="0" wp14:anchorId="48AE5088" wp14:editId="62544998">
            <wp:extent cx="4352925" cy="3629025"/>
            <wp:effectExtent l="0" t="0" r="9525"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52925" cy="3629025"/>
                    </a:xfrm>
                    <a:prstGeom prst="rect">
                      <a:avLst/>
                    </a:prstGeom>
                    <a:noFill/>
                    <a:ln>
                      <a:noFill/>
                    </a:ln>
                  </pic:spPr>
                </pic:pic>
              </a:graphicData>
            </a:graphic>
          </wp:inline>
        </w:drawing>
      </w:r>
    </w:p>
    <w:p w14:paraId="09E8A993" w14:textId="77777777" w:rsidR="00A847D7" w:rsidRDefault="00A847D7" w:rsidP="00A847D7">
      <w:pPr>
        <w:spacing w:line="360" w:lineRule="auto"/>
        <w:contextualSpacing/>
        <w:jc w:val="center"/>
        <w:rPr>
          <w:rFonts w:ascii="Palatino Linotype" w:eastAsia="Calibri" w:hAnsi="Palatino Linotype"/>
          <w:lang w:val="es-MX" w:eastAsia="es-ES"/>
        </w:rPr>
      </w:pPr>
    </w:p>
    <w:p w14:paraId="3DBE10E5" w14:textId="77777777" w:rsidR="00A847D7" w:rsidRDefault="00A847D7" w:rsidP="00A847D7">
      <w:pPr>
        <w:spacing w:line="360" w:lineRule="auto"/>
        <w:contextualSpacing/>
        <w:jc w:val="center"/>
        <w:rPr>
          <w:rFonts w:ascii="Palatino Linotype" w:eastAsia="Calibri" w:hAnsi="Palatino Linotype"/>
          <w:lang w:val="es-MX" w:eastAsia="es-ES"/>
        </w:rPr>
      </w:pPr>
      <w:r>
        <w:rPr>
          <w:rFonts w:ascii="Palatino Linotype" w:eastAsia="Calibri" w:hAnsi="Palatino Linotype"/>
          <w:noProof/>
          <w:lang w:val="es-MX"/>
        </w:rPr>
        <w:lastRenderedPageBreak/>
        <w:drawing>
          <wp:inline distT="0" distB="0" distL="0" distR="0" wp14:anchorId="56984467" wp14:editId="2A850ABF">
            <wp:extent cx="4267200" cy="7077075"/>
            <wp:effectExtent l="0" t="0" r="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7200" cy="7077075"/>
                    </a:xfrm>
                    <a:prstGeom prst="rect">
                      <a:avLst/>
                    </a:prstGeom>
                    <a:noFill/>
                    <a:ln>
                      <a:noFill/>
                    </a:ln>
                  </pic:spPr>
                </pic:pic>
              </a:graphicData>
            </a:graphic>
          </wp:inline>
        </w:drawing>
      </w:r>
    </w:p>
    <w:p w14:paraId="3F9AE647" w14:textId="77777777" w:rsidR="00A847D7" w:rsidRDefault="00505FBA" w:rsidP="00A847D7">
      <w:pPr>
        <w:spacing w:line="360" w:lineRule="auto"/>
        <w:contextualSpacing/>
        <w:jc w:val="center"/>
        <w:rPr>
          <w:rFonts w:ascii="Palatino Linotype" w:eastAsia="Calibri" w:hAnsi="Palatino Linotype"/>
          <w:lang w:val="es-MX" w:eastAsia="es-ES"/>
        </w:rPr>
      </w:pPr>
      <w:r>
        <w:rPr>
          <w:rFonts w:ascii="Palatino Linotype" w:eastAsia="Calibri" w:hAnsi="Palatino Linotype"/>
          <w:noProof/>
          <w:lang w:val="es-MX"/>
        </w:rPr>
        <w:lastRenderedPageBreak/>
        <w:drawing>
          <wp:inline distT="0" distB="0" distL="0" distR="0" wp14:anchorId="4CFA075F" wp14:editId="2EF99404">
            <wp:extent cx="4048125" cy="6477000"/>
            <wp:effectExtent l="0" t="0" r="952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48125" cy="6477000"/>
                    </a:xfrm>
                    <a:prstGeom prst="rect">
                      <a:avLst/>
                    </a:prstGeom>
                    <a:noFill/>
                    <a:ln>
                      <a:noFill/>
                    </a:ln>
                  </pic:spPr>
                </pic:pic>
              </a:graphicData>
            </a:graphic>
          </wp:inline>
        </w:drawing>
      </w:r>
    </w:p>
    <w:p w14:paraId="3480F767" w14:textId="77777777" w:rsidR="00505FBA" w:rsidRDefault="00505FBA" w:rsidP="00A847D7">
      <w:pPr>
        <w:spacing w:line="360" w:lineRule="auto"/>
        <w:contextualSpacing/>
        <w:jc w:val="center"/>
        <w:rPr>
          <w:rFonts w:ascii="Palatino Linotype" w:eastAsia="Calibri" w:hAnsi="Palatino Linotype"/>
          <w:lang w:val="es-MX" w:eastAsia="es-ES"/>
        </w:rPr>
      </w:pPr>
    </w:p>
    <w:p w14:paraId="529FFA71" w14:textId="77777777" w:rsidR="00505FBA" w:rsidRDefault="00505FBA" w:rsidP="00A847D7">
      <w:pPr>
        <w:spacing w:line="360" w:lineRule="auto"/>
        <w:contextualSpacing/>
        <w:jc w:val="center"/>
        <w:rPr>
          <w:rFonts w:ascii="Palatino Linotype" w:eastAsia="Calibri" w:hAnsi="Palatino Linotype"/>
          <w:lang w:val="es-MX" w:eastAsia="es-ES"/>
        </w:rPr>
      </w:pPr>
      <w:r>
        <w:rPr>
          <w:rFonts w:ascii="Palatino Linotype" w:eastAsia="Calibri" w:hAnsi="Palatino Linotype"/>
          <w:noProof/>
          <w:lang w:val="es-MX"/>
        </w:rPr>
        <w:lastRenderedPageBreak/>
        <w:drawing>
          <wp:inline distT="0" distB="0" distL="0" distR="0" wp14:anchorId="37B02263" wp14:editId="7B240DFF">
            <wp:extent cx="3971925" cy="6334125"/>
            <wp:effectExtent l="0" t="0" r="9525"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1925" cy="6334125"/>
                    </a:xfrm>
                    <a:prstGeom prst="rect">
                      <a:avLst/>
                    </a:prstGeom>
                    <a:noFill/>
                    <a:ln>
                      <a:noFill/>
                    </a:ln>
                  </pic:spPr>
                </pic:pic>
              </a:graphicData>
            </a:graphic>
          </wp:inline>
        </w:drawing>
      </w:r>
    </w:p>
    <w:p w14:paraId="5E579A97" w14:textId="77777777" w:rsidR="00505FBA" w:rsidRDefault="00505FBA" w:rsidP="00A847D7">
      <w:pPr>
        <w:spacing w:line="360" w:lineRule="auto"/>
        <w:contextualSpacing/>
        <w:jc w:val="center"/>
        <w:rPr>
          <w:rFonts w:ascii="Palatino Linotype" w:eastAsia="Calibri" w:hAnsi="Palatino Linotype"/>
          <w:lang w:val="es-MX" w:eastAsia="es-ES"/>
        </w:rPr>
      </w:pPr>
      <w:r>
        <w:rPr>
          <w:rFonts w:ascii="Palatino Linotype" w:eastAsia="Calibri" w:hAnsi="Palatino Linotype"/>
          <w:noProof/>
          <w:lang w:val="es-MX"/>
        </w:rPr>
        <w:lastRenderedPageBreak/>
        <w:drawing>
          <wp:inline distT="0" distB="0" distL="0" distR="0" wp14:anchorId="3139EE44" wp14:editId="16767FA5">
            <wp:extent cx="4248150" cy="65532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48150" cy="6553200"/>
                    </a:xfrm>
                    <a:prstGeom prst="rect">
                      <a:avLst/>
                    </a:prstGeom>
                    <a:noFill/>
                    <a:ln>
                      <a:noFill/>
                    </a:ln>
                  </pic:spPr>
                </pic:pic>
              </a:graphicData>
            </a:graphic>
          </wp:inline>
        </w:drawing>
      </w:r>
    </w:p>
    <w:p w14:paraId="61D26F04" w14:textId="77777777" w:rsidR="00A847D7" w:rsidRPr="003F43AF" w:rsidRDefault="00A847D7" w:rsidP="00A847D7">
      <w:pPr>
        <w:spacing w:line="360" w:lineRule="auto"/>
        <w:contextualSpacing/>
        <w:jc w:val="center"/>
        <w:rPr>
          <w:rFonts w:ascii="Palatino Linotype" w:eastAsia="Calibri" w:hAnsi="Palatino Linotype"/>
          <w:lang w:val="es-MX" w:eastAsia="es-ES"/>
        </w:rPr>
      </w:pPr>
    </w:p>
    <w:p w14:paraId="60F9D653" w14:textId="77777777" w:rsidR="003F43AF" w:rsidRDefault="003F43AF" w:rsidP="005F21DB">
      <w:pPr>
        <w:spacing w:line="360" w:lineRule="auto"/>
        <w:jc w:val="both"/>
        <w:rPr>
          <w:rFonts w:ascii="Palatino Linotype" w:hAnsi="Palatino Linotype"/>
          <w:color w:val="222222"/>
        </w:rPr>
      </w:pPr>
      <w:r w:rsidRPr="003F43AF">
        <w:rPr>
          <w:rFonts w:ascii="Palatino Linotype" w:hAnsi="Palatino Linotype"/>
          <w:color w:val="222222"/>
        </w:rPr>
        <w:t>Consecuentemente, se precisa que dichos pronunc</w:t>
      </w:r>
      <w:r w:rsidR="005F21DB">
        <w:rPr>
          <w:rFonts w:ascii="Palatino Linotype" w:hAnsi="Palatino Linotype"/>
          <w:color w:val="222222"/>
        </w:rPr>
        <w:t>iamientos fueron vertidos por los</w:t>
      </w:r>
      <w:r w:rsidRPr="003F43AF">
        <w:rPr>
          <w:rFonts w:ascii="Palatino Linotype" w:hAnsi="Palatino Linotype"/>
          <w:color w:val="222222"/>
        </w:rPr>
        <w:t xml:space="preserve"> Servidor</w:t>
      </w:r>
      <w:r w:rsidR="005F21DB">
        <w:rPr>
          <w:rFonts w:ascii="Palatino Linotype" w:hAnsi="Palatino Linotype"/>
          <w:color w:val="222222"/>
        </w:rPr>
        <w:t>es</w:t>
      </w:r>
      <w:r w:rsidRPr="003F43AF">
        <w:rPr>
          <w:rFonts w:ascii="Palatino Linotype" w:hAnsi="Palatino Linotype"/>
          <w:color w:val="222222"/>
        </w:rPr>
        <w:t xml:space="preserve"> Público</w:t>
      </w:r>
      <w:r w:rsidR="005F21DB">
        <w:rPr>
          <w:rFonts w:ascii="Palatino Linotype" w:hAnsi="Palatino Linotype"/>
          <w:color w:val="222222"/>
        </w:rPr>
        <w:t>s</w:t>
      </w:r>
      <w:r w:rsidRPr="003F43AF">
        <w:rPr>
          <w:rFonts w:ascii="Palatino Linotype" w:hAnsi="Palatino Linotype"/>
          <w:color w:val="222222"/>
        </w:rPr>
        <w:t xml:space="preserve"> Habilitado</w:t>
      </w:r>
      <w:r w:rsidR="005F21DB">
        <w:rPr>
          <w:rFonts w:ascii="Palatino Linotype" w:hAnsi="Palatino Linotype"/>
          <w:color w:val="222222"/>
        </w:rPr>
        <w:t>s</w:t>
      </w:r>
      <w:r w:rsidRPr="003F43AF">
        <w:rPr>
          <w:rFonts w:ascii="Palatino Linotype" w:hAnsi="Palatino Linotype"/>
          <w:color w:val="222222"/>
        </w:rPr>
        <w:t xml:space="preserve"> Competente</w:t>
      </w:r>
      <w:r w:rsidR="005F21DB">
        <w:rPr>
          <w:rFonts w:ascii="Palatino Linotype" w:hAnsi="Palatino Linotype"/>
          <w:color w:val="222222"/>
        </w:rPr>
        <w:t>s</w:t>
      </w:r>
      <w:r w:rsidRPr="003F43AF">
        <w:rPr>
          <w:rFonts w:ascii="Palatino Linotype" w:hAnsi="Palatino Linotype"/>
          <w:color w:val="222222"/>
        </w:rPr>
        <w:t xml:space="preserve">, </w:t>
      </w:r>
      <w:r w:rsidR="005F21DB">
        <w:rPr>
          <w:rFonts w:ascii="Palatino Linotype" w:hAnsi="Palatino Linotype"/>
          <w:color w:val="222222"/>
        </w:rPr>
        <w:t xml:space="preserve">es decir, por el </w:t>
      </w:r>
      <w:r w:rsidR="005F21DB" w:rsidRPr="005F21DB">
        <w:rPr>
          <w:rFonts w:ascii="Palatino Linotype" w:hAnsi="Palatino Linotype"/>
          <w:color w:val="222222"/>
        </w:rPr>
        <w:t>Director de</w:t>
      </w:r>
      <w:r w:rsidR="005F21DB">
        <w:rPr>
          <w:rFonts w:ascii="Palatino Linotype" w:hAnsi="Palatino Linotype"/>
          <w:color w:val="222222"/>
        </w:rPr>
        <w:t xml:space="preserve"> </w:t>
      </w:r>
      <w:r w:rsidR="005F21DB" w:rsidRPr="005F21DB">
        <w:rPr>
          <w:rFonts w:ascii="Palatino Linotype" w:hAnsi="Palatino Linotype"/>
          <w:color w:val="222222"/>
        </w:rPr>
        <w:lastRenderedPageBreak/>
        <w:t xml:space="preserve">Remuneraciones al Personal y Secretaria General de Acuerdos </w:t>
      </w:r>
      <w:r w:rsidR="005F21DB">
        <w:rPr>
          <w:rFonts w:ascii="Palatino Linotype" w:hAnsi="Palatino Linotype"/>
          <w:color w:val="222222"/>
        </w:rPr>
        <w:t xml:space="preserve">del Tribunal Superior de </w:t>
      </w:r>
      <w:r w:rsidR="005F21DB" w:rsidRPr="005F21DB">
        <w:rPr>
          <w:rFonts w:ascii="Palatino Linotype" w:hAnsi="Palatino Linotype"/>
          <w:color w:val="222222"/>
        </w:rPr>
        <w:t>Justicia y del Consejo de la Judicatura del Estado de México</w:t>
      </w:r>
      <w:r w:rsidR="005F21DB">
        <w:rPr>
          <w:rFonts w:ascii="Palatino Linotype" w:hAnsi="Palatino Linotype"/>
          <w:color w:val="222222"/>
        </w:rPr>
        <w:t xml:space="preserve">, en razón de que desempeñan las siguientes funciones: </w:t>
      </w:r>
    </w:p>
    <w:p w14:paraId="6BA0213D" w14:textId="77777777" w:rsidR="005F21DB" w:rsidRDefault="005F21DB" w:rsidP="005F21DB">
      <w:pPr>
        <w:spacing w:line="360" w:lineRule="auto"/>
        <w:jc w:val="both"/>
        <w:rPr>
          <w:rFonts w:ascii="Palatino Linotype" w:hAnsi="Palatino Linotype"/>
          <w:color w:val="222222"/>
        </w:rPr>
      </w:pPr>
    </w:p>
    <w:p w14:paraId="7928215C" w14:textId="77777777" w:rsidR="005F21DB" w:rsidRPr="005F21DB" w:rsidRDefault="005F21DB" w:rsidP="005F21DB">
      <w:pPr>
        <w:spacing w:line="360" w:lineRule="auto"/>
        <w:jc w:val="both"/>
        <w:rPr>
          <w:rFonts w:ascii="Palatino Linotype" w:hAnsi="Palatino Linotype"/>
          <w:b/>
          <w:color w:val="222222"/>
          <w:lang w:val="es-MX"/>
        </w:rPr>
      </w:pPr>
      <w:r w:rsidRPr="005F21DB">
        <w:rPr>
          <w:rFonts w:ascii="Palatino Linotype" w:hAnsi="Palatino Linotype"/>
          <w:b/>
          <w:color w:val="222222"/>
          <w:lang w:val="es-MX"/>
        </w:rPr>
        <w:t>Dirección de Remuneraciones</w:t>
      </w:r>
    </w:p>
    <w:p w14:paraId="1394BE89" w14:textId="77777777" w:rsidR="005F21DB" w:rsidRPr="005F21DB" w:rsidRDefault="005F21DB" w:rsidP="005F21DB">
      <w:pPr>
        <w:spacing w:line="276" w:lineRule="auto"/>
        <w:ind w:left="567" w:right="900"/>
        <w:jc w:val="both"/>
        <w:rPr>
          <w:rFonts w:ascii="Palatino Linotype" w:hAnsi="Palatino Linotype"/>
          <w:i/>
          <w:color w:val="222222"/>
          <w:sz w:val="22"/>
          <w:lang w:val="es-MX"/>
        </w:rPr>
      </w:pPr>
      <w:r>
        <w:rPr>
          <w:rFonts w:ascii="Palatino Linotype" w:hAnsi="Palatino Linotype"/>
          <w:i/>
          <w:color w:val="222222"/>
          <w:sz w:val="22"/>
          <w:lang w:val="es-MX"/>
        </w:rPr>
        <w:t>“</w:t>
      </w:r>
      <w:r w:rsidRPr="005F21DB">
        <w:rPr>
          <w:rFonts w:ascii="Palatino Linotype" w:hAnsi="Palatino Linotype"/>
          <w:i/>
          <w:color w:val="222222"/>
          <w:sz w:val="22"/>
          <w:lang w:val="es-MX"/>
        </w:rPr>
        <w:t>OBJETIVO</w:t>
      </w:r>
    </w:p>
    <w:p w14:paraId="4C5E47D7" w14:textId="77777777" w:rsidR="005F21DB" w:rsidRPr="005F21DB" w:rsidRDefault="005F21DB" w:rsidP="005F21DB">
      <w:pPr>
        <w:spacing w:line="276" w:lineRule="auto"/>
        <w:ind w:left="567" w:right="900"/>
        <w:jc w:val="both"/>
        <w:rPr>
          <w:rFonts w:ascii="Palatino Linotype" w:hAnsi="Palatino Linotype"/>
          <w:b/>
          <w:i/>
          <w:color w:val="222222"/>
          <w:sz w:val="22"/>
          <w:lang w:val="es-MX"/>
        </w:rPr>
      </w:pPr>
      <w:r w:rsidRPr="005F21DB">
        <w:rPr>
          <w:rFonts w:ascii="Palatino Linotype" w:hAnsi="Palatino Linotype"/>
          <w:b/>
          <w:i/>
          <w:color w:val="222222"/>
          <w:sz w:val="22"/>
          <w:lang w:val="es-MX"/>
        </w:rPr>
        <w:t>Llevar el control del proceso de remuneración del personal de base y confianza del Poder Judicial del Estado de México y verificar que la nómina esté acorde a los tabuladores de sueldo autorizados, a la política salarial institucional, a las categorías laborables y a las condiciones generales de trabajo.</w:t>
      </w:r>
    </w:p>
    <w:p w14:paraId="57F6D42D" w14:textId="77777777" w:rsidR="005F21DB" w:rsidRPr="005F21DB" w:rsidRDefault="005F21DB" w:rsidP="005F21DB">
      <w:pPr>
        <w:spacing w:line="276" w:lineRule="auto"/>
        <w:ind w:left="567" w:right="900"/>
        <w:jc w:val="both"/>
        <w:rPr>
          <w:rFonts w:ascii="Palatino Linotype" w:hAnsi="Palatino Linotype"/>
          <w:i/>
          <w:color w:val="222222"/>
          <w:sz w:val="22"/>
          <w:lang w:val="es-MX"/>
        </w:rPr>
      </w:pPr>
      <w:r w:rsidRPr="005F21DB">
        <w:rPr>
          <w:rFonts w:ascii="Palatino Linotype" w:hAnsi="Palatino Linotype"/>
          <w:i/>
          <w:color w:val="222222"/>
          <w:sz w:val="22"/>
          <w:lang w:val="es-MX"/>
        </w:rPr>
        <w:t>FUNCIONES</w:t>
      </w:r>
    </w:p>
    <w:p w14:paraId="3336B0B8" w14:textId="77777777" w:rsidR="005F21DB" w:rsidRPr="005F21DB" w:rsidRDefault="005F21DB" w:rsidP="005F21DB">
      <w:pPr>
        <w:spacing w:line="276" w:lineRule="auto"/>
        <w:ind w:left="567" w:right="900"/>
        <w:jc w:val="both"/>
        <w:rPr>
          <w:rFonts w:ascii="Palatino Linotype" w:hAnsi="Palatino Linotype"/>
          <w:i/>
          <w:color w:val="222222"/>
          <w:sz w:val="22"/>
          <w:lang w:val="es-MX"/>
        </w:rPr>
      </w:pPr>
      <w:r w:rsidRPr="005F21DB">
        <w:rPr>
          <w:rFonts w:ascii="Palatino Linotype" w:hAnsi="Palatino Linotype"/>
          <w:i/>
          <w:color w:val="222222"/>
          <w:sz w:val="22"/>
          <w:lang w:val="es-MX"/>
        </w:rPr>
        <w:t>- Presentar a la Dirección de Personal para su aprobación, el Plan Anual de Trabajo de la Subdirección y unidades administrativas a su cargo, vigilar su ejecución e informar de los avances y resultados alcanzados.</w:t>
      </w:r>
    </w:p>
    <w:p w14:paraId="54264BAC" w14:textId="77777777" w:rsidR="005F21DB" w:rsidRPr="005F21DB" w:rsidRDefault="005F21DB" w:rsidP="005F21DB">
      <w:pPr>
        <w:spacing w:line="276" w:lineRule="auto"/>
        <w:ind w:left="567" w:right="900"/>
        <w:jc w:val="both"/>
        <w:rPr>
          <w:rFonts w:ascii="Palatino Linotype" w:hAnsi="Palatino Linotype"/>
          <w:b/>
          <w:i/>
          <w:color w:val="222222"/>
          <w:sz w:val="22"/>
          <w:lang w:val="es-MX"/>
        </w:rPr>
      </w:pPr>
      <w:r w:rsidRPr="005F21DB">
        <w:rPr>
          <w:rFonts w:ascii="Palatino Linotype" w:hAnsi="Palatino Linotype"/>
          <w:b/>
          <w:i/>
          <w:color w:val="222222"/>
          <w:sz w:val="22"/>
          <w:lang w:val="es-MX"/>
        </w:rPr>
        <w:t>- Participar con la Dirección de Personal en la integración del anteproyecto de presupuesto del Capítulo1000 Servicios personales, para el ejercicio correspondiente.</w:t>
      </w:r>
    </w:p>
    <w:p w14:paraId="5C31F49A" w14:textId="77777777" w:rsidR="005F21DB" w:rsidRPr="005F21DB" w:rsidRDefault="005F21DB" w:rsidP="005F21DB">
      <w:pPr>
        <w:spacing w:line="276" w:lineRule="auto"/>
        <w:ind w:left="567" w:right="900"/>
        <w:jc w:val="both"/>
        <w:rPr>
          <w:rFonts w:ascii="Palatino Linotype" w:hAnsi="Palatino Linotype"/>
          <w:b/>
          <w:i/>
          <w:color w:val="222222"/>
          <w:sz w:val="22"/>
          <w:lang w:val="es-MX"/>
        </w:rPr>
      </w:pPr>
      <w:r w:rsidRPr="005F21DB">
        <w:rPr>
          <w:rFonts w:ascii="Palatino Linotype" w:hAnsi="Palatino Linotype"/>
          <w:b/>
          <w:i/>
          <w:color w:val="222222"/>
          <w:sz w:val="22"/>
          <w:lang w:val="es-MX"/>
        </w:rPr>
        <w:t>- Participar con la Dirección de Personal en la formulación de estudios; así como en la elaboración de los tabuladores de sueldos que sirvan como base para la definición de la política salarial.</w:t>
      </w:r>
    </w:p>
    <w:p w14:paraId="0381A01A" w14:textId="77777777" w:rsidR="005F21DB" w:rsidRPr="005F21DB" w:rsidRDefault="005F21DB" w:rsidP="005F21DB">
      <w:pPr>
        <w:spacing w:line="276" w:lineRule="auto"/>
        <w:ind w:left="567" w:right="900"/>
        <w:jc w:val="both"/>
        <w:rPr>
          <w:rFonts w:ascii="Palatino Linotype" w:hAnsi="Palatino Linotype"/>
          <w:b/>
          <w:i/>
          <w:color w:val="222222"/>
          <w:sz w:val="22"/>
          <w:lang w:val="es-MX"/>
        </w:rPr>
      </w:pPr>
      <w:r w:rsidRPr="005F21DB">
        <w:rPr>
          <w:rFonts w:ascii="Palatino Linotype" w:hAnsi="Palatino Linotype"/>
          <w:b/>
          <w:i/>
          <w:color w:val="222222"/>
          <w:sz w:val="22"/>
          <w:lang w:val="es-MX"/>
        </w:rPr>
        <w:t>- Supervisar los procedimientos administrativos orientados a la afectación e integración de las nóminas ordinarias, retroactivas y extraordinarias, conforme al tabulador de sueldos y al presupuesto autorizado.</w:t>
      </w:r>
    </w:p>
    <w:p w14:paraId="1EE7A4FE" w14:textId="77777777" w:rsidR="005F21DB" w:rsidRPr="005F21DB" w:rsidRDefault="005F21DB" w:rsidP="005F21DB">
      <w:pPr>
        <w:spacing w:line="276" w:lineRule="auto"/>
        <w:ind w:left="567" w:right="900"/>
        <w:jc w:val="both"/>
        <w:rPr>
          <w:rFonts w:ascii="Palatino Linotype" w:hAnsi="Palatino Linotype"/>
          <w:b/>
          <w:i/>
          <w:color w:val="222222"/>
          <w:sz w:val="22"/>
          <w:lang w:val="es-MX"/>
        </w:rPr>
      </w:pPr>
      <w:r w:rsidRPr="005F21DB">
        <w:rPr>
          <w:rFonts w:ascii="Palatino Linotype" w:hAnsi="Palatino Linotype"/>
          <w:b/>
          <w:i/>
          <w:color w:val="222222"/>
          <w:sz w:val="22"/>
          <w:lang w:val="es-MX"/>
        </w:rPr>
        <w:t>- Proporcionar información para integrar el Padrón de Servidores Públicos que estén obligados a presentar Manifestación de Bienes por Actualización Patrimonial y para gestionar los movimientos por alta y baja del servicio.</w:t>
      </w:r>
    </w:p>
    <w:p w14:paraId="37B169CF" w14:textId="77777777" w:rsidR="005F21DB" w:rsidRPr="005F21DB" w:rsidRDefault="005F21DB" w:rsidP="005F21DB">
      <w:pPr>
        <w:spacing w:line="276" w:lineRule="auto"/>
        <w:ind w:left="567" w:right="900"/>
        <w:jc w:val="both"/>
        <w:rPr>
          <w:rFonts w:ascii="Palatino Linotype" w:hAnsi="Palatino Linotype"/>
          <w:b/>
          <w:i/>
          <w:color w:val="222222"/>
          <w:sz w:val="22"/>
          <w:lang w:val="es-MX"/>
        </w:rPr>
      </w:pPr>
      <w:r w:rsidRPr="005F21DB">
        <w:rPr>
          <w:rFonts w:ascii="Palatino Linotype" w:hAnsi="Palatino Linotype"/>
          <w:b/>
          <w:i/>
          <w:color w:val="222222"/>
          <w:sz w:val="22"/>
          <w:lang w:val="es-MX"/>
        </w:rPr>
        <w:t>- Aplicar las normas, políticas y procedimientos en materia de remuneraciones y política salarial para orientar acciones de control respectivas.</w:t>
      </w:r>
    </w:p>
    <w:p w14:paraId="2C34F341" w14:textId="77777777" w:rsidR="005F21DB" w:rsidRPr="005F21DB" w:rsidRDefault="005F21DB" w:rsidP="005F21DB">
      <w:pPr>
        <w:spacing w:line="276" w:lineRule="auto"/>
        <w:ind w:left="567" w:right="900"/>
        <w:jc w:val="both"/>
        <w:rPr>
          <w:rFonts w:ascii="Palatino Linotype" w:hAnsi="Palatino Linotype"/>
          <w:b/>
          <w:i/>
          <w:color w:val="222222"/>
          <w:sz w:val="22"/>
          <w:lang w:val="es-MX"/>
        </w:rPr>
      </w:pPr>
      <w:r w:rsidRPr="005F21DB">
        <w:rPr>
          <w:rFonts w:ascii="Palatino Linotype" w:hAnsi="Palatino Linotype"/>
          <w:b/>
          <w:i/>
          <w:color w:val="222222"/>
          <w:sz w:val="22"/>
          <w:lang w:val="es-MX"/>
        </w:rPr>
        <w:t xml:space="preserve">- Verificar que en el Sistema Integral de Recursos Humanos se apliquen los pagos al personal por concepto de nómina tanto en electrónico como por </w:t>
      </w:r>
      <w:r w:rsidRPr="005F21DB">
        <w:rPr>
          <w:rFonts w:ascii="Palatino Linotype" w:hAnsi="Palatino Linotype"/>
          <w:b/>
          <w:i/>
          <w:color w:val="222222"/>
          <w:sz w:val="22"/>
          <w:lang w:val="es-MX"/>
        </w:rPr>
        <w:lastRenderedPageBreak/>
        <w:t>cheque y se consideren todos los movimientos e incidencias del personal a fin de que estén debidamente documentadas.</w:t>
      </w:r>
    </w:p>
    <w:p w14:paraId="0664E247" w14:textId="77777777" w:rsidR="005F21DB" w:rsidRPr="005F21DB" w:rsidRDefault="005F21DB" w:rsidP="005F21DB">
      <w:pPr>
        <w:spacing w:line="276" w:lineRule="auto"/>
        <w:ind w:left="567" w:right="900"/>
        <w:jc w:val="both"/>
        <w:rPr>
          <w:rFonts w:ascii="Palatino Linotype" w:hAnsi="Palatino Linotype"/>
          <w:i/>
          <w:color w:val="222222"/>
          <w:sz w:val="22"/>
          <w:lang w:val="es-MX"/>
        </w:rPr>
      </w:pPr>
      <w:r w:rsidRPr="005F21DB">
        <w:rPr>
          <w:rFonts w:ascii="Palatino Linotype" w:hAnsi="Palatino Linotype"/>
          <w:i/>
          <w:color w:val="222222"/>
          <w:sz w:val="22"/>
          <w:lang w:val="es-MX"/>
        </w:rPr>
        <w:t>- Gestionar por situaciones excepcionales el pago de nómina al personal a través de cheque.</w:t>
      </w:r>
    </w:p>
    <w:p w14:paraId="67497337" w14:textId="77777777" w:rsidR="005F21DB" w:rsidRPr="005F21DB" w:rsidRDefault="005F21DB" w:rsidP="005F21DB">
      <w:pPr>
        <w:spacing w:line="276" w:lineRule="auto"/>
        <w:ind w:left="567" w:right="900"/>
        <w:jc w:val="both"/>
        <w:rPr>
          <w:rFonts w:ascii="Palatino Linotype" w:hAnsi="Palatino Linotype"/>
          <w:i/>
          <w:color w:val="222222"/>
          <w:sz w:val="22"/>
          <w:lang w:val="es-MX"/>
        </w:rPr>
      </w:pPr>
      <w:r w:rsidRPr="005F21DB">
        <w:rPr>
          <w:rFonts w:ascii="Palatino Linotype" w:hAnsi="Palatino Linotype"/>
          <w:i/>
          <w:color w:val="222222"/>
          <w:sz w:val="22"/>
          <w:lang w:val="es-MX"/>
        </w:rPr>
        <w:t>- Controlar la elaboración y emisión de la nómina de los servidores públicos, por remuneraciones de su trabajo.</w:t>
      </w:r>
    </w:p>
    <w:p w14:paraId="07D5F261" w14:textId="77777777" w:rsidR="005F21DB" w:rsidRPr="005F21DB" w:rsidRDefault="005F21DB" w:rsidP="005F21DB">
      <w:pPr>
        <w:spacing w:line="276" w:lineRule="auto"/>
        <w:ind w:left="567" w:right="900"/>
        <w:jc w:val="both"/>
        <w:rPr>
          <w:rFonts w:ascii="Palatino Linotype" w:hAnsi="Palatino Linotype"/>
          <w:i/>
          <w:color w:val="222222"/>
          <w:sz w:val="22"/>
          <w:lang w:val="es-MX"/>
        </w:rPr>
      </w:pPr>
      <w:r w:rsidRPr="005F21DB">
        <w:rPr>
          <w:rFonts w:ascii="Palatino Linotype" w:hAnsi="Palatino Linotype"/>
          <w:i/>
          <w:color w:val="222222"/>
          <w:sz w:val="22"/>
          <w:lang w:val="es-MX"/>
        </w:rPr>
        <w:t>- Llevar el control de las actividades relativas al programa de viáticos a notificadores.</w:t>
      </w:r>
    </w:p>
    <w:p w14:paraId="35C02E35" w14:textId="77777777" w:rsidR="005F21DB" w:rsidRPr="005F21DB" w:rsidRDefault="005F21DB" w:rsidP="005F21DB">
      <w:pPr>
        <w:spacing w:line="276" w:lineRule="auto"/>
        <w:ind w:left="567" w:right="900"/>
        <w:jc w:val="both"/>
        <w:rPr>
          <w:rFonts w:ascii="Palatino Linotype" w:hAnsi="Palatino Linotype"/>
          <w:b/>
          <w:i/>
          <w:color w:val="222222"/>
          <w:sz w:val="22"/>
          <w:lang w:val="es-MX"/>
        </w:rPr>
      </w:pPr>
      <w:r w:rsidRPr="005F21DB">
        <w:rPr>
          <w:rFonts w:ascii="Palatino Linotype" w:hAnsi="Palatino Linotype"/>
          <w:b/>
          <w:i/>
          <w:color w:val="222222"/>
          <w:sz w:val="22"/>
          <w:lang w:val="es-MX"/>
        </w:rPr>
        <w:t>- Supervisar que los movimientos de personal, se realicen con base en las disposiciones emitidas para tal efecto y cuenten con los soportes documentales correspondientes.</w:t>
      </w:r>
    </w:p>
    <w:p w14:paraId="28B97F39" w14:textId="77777777" w:rsidR="005F21DB" w:rsidRPr="005F21DB" w:rsidRDefault="005F21DB" w:rsidP="005F21DB">
      <w:pPr>
        <w:spacing w:line="276" w:lineRule="auto"/>
        <w:ind w:left="567" w:right="900"/>
        <w:jc w:val="both"/>
        <w:rPr>
          <w:rFonts w:ascii="Palatino Linotype" w:hAnsi="Palatino Linotype"/>
          <w:i/>
          <w:color w:val="222222"/>
          <w:sz w:val="22"/>
          <w:lang w:val="es-MX"/>
        </w:rPr>
      </w:pPr>
      <w:r w:rsidRPr="005F21DB">
        <w:rPr>
          <w:rFonts w:ascii="Palatino Linotype" w:hAnsi="Palatino Linotype"/>
          <w:i/>
          <w:color w:val="222222"/>
          <w:sz w:val="22"/>
          <w:lang w:val="es-MX"/>
        </w:rPr>
        <w:t>- Gestionar las constancias de ingresos y retenciones con base a las normas que emita la Secretaría de Hacienda y Crédito Público.</w:t>
      </w:r>
    </w:p>
    <w:p w14:paraId="6F526A9F" w14:textId="77777777" w:rsidR="005F21DB" w:rsidRPr="005F21DB" w:rsidRDefault="005F21DB" w:rsidP="005F21DB">
      <w:pPr>
        <w:spacing w:line="276" w:lineRule="auto"/>
        <w:ind w:left="567" w:right="900"/>
        <w:jc w:val="both"/>
        <w:rPr>
          <w:rFonts w:ascii="Palatino Linotype" w:hAnsi="Palatino Linotype"/>
          <w:i/>
          <w:color w:val="222222"/>
          <w:sz w:val="22"/>
          <w:lang w:val="es-MX"/>
        </w:rPr>
      </w:pPr>
      <w:r w:rsidRPr="005F21DB">
        <w:rPr>
          <w:rFonts w:ascii="Palatino Linotype" w:hAnsi="Palatino Linotype"/>
          <w:i/>
          <w:color w:val="222222"/>
          <w:sz w:val="22"/>
          <w:lang w:val="es-MX"/>
        </w:rPr>
        <w:t>- Elaborar el ejercicio presupuestal de nómina para su entrega a la Dirección de Finanzas.</w:t>
      </w:r>
    </w:p>
    <w:p w14:paraId="47D14973" w14:textId="77777777" w:rsidR="005F21DB" w:rsidRPr="005F21DB" w:rsidRDefault="005F21DB" w:rsidP="005F21DB">
      <w:pPr>
        <w:spacing w:line="276" w:lineRule="auto"/>
        <w:ind w:left="567" w:right="900"/>
        <w:jc w:val="both"/>
        <w:rPr>
          <w:rFonts w:ascii="Palatino Linotype" w:hAnsi="Palatino Linotype"/>
          <w:i/>
          <w:color w:val="222222"/>
          <w:sz w:val="22"/>
          <w:lang w:val="es-MX"/>
        </w:rPr>
      </w:pPr>
      <w:r w:rsidRPr="005F21DB">
        <w:rPr>
          <w:rFonts w:ascii="Palatino Linotype" w:hAnsi="Palatino Linotype"/>
          <w:i/>
          <w:color w:val="222222"/>
          <w:sz w:val="22"/>
          <w:lang w:val="es-MX"/>
        </w:rPr>
        <w:t>- Verificar que las percepciones, deducciones, cuotas e impuestos se apliquen correcta y oportunamente en el sistema de pago de remuneraciones al personal.</w:t>
      </w:r>
    </w:p>
    <w:p w14:paraId="42FBAC00" w14:textId="77777777" w:rsidR="005F21DB" w:rsidRDefault="005F21DB" w:rsidP="005F21DB">
      <w:pPr>
        <w:spacing w:line="276" w:lineRule="auto"/>
        <w:ind w:left="567" w:right="900"/>
        <w:jc w:val="both"/>
        <w:rPr>
          <w:rFonts w:ascii="Palatino Linotype" w:hAnsi="Palatino Linotype"/>
          <w:i/>
          <w:color w:val="222222"/>
          <w:sz w:val="22"/>
          <w:lang w:val="es-MX"/>
        </w:rPr>
      </w:pPr>
      <w:r w:rsidRPr="005F21DB">
        <w:rPr>
          <w:rFonts w:ascii="Palatino Linotype" w:hAnsi="Palatino Linotype"/>
          <w:i/>
          <w:color w:val="222222"/>
          <w:sz w:val="22"/>
          <w:lang w:val="es-MX"/>
        </w:rPr>
        <w:t>- Desarrollar las demás funciones inherentes al área de su competencia.</w:t>
      </w:r>
    </w:p>
    <w:p w14:paraId="4C025311" w14:textId="77777777" w:rsidR="007D1773" w:rsidRDefault="007D1773" w:rsidP="005F21DB">
      <w:pPr>
        <w:spacing w:line="276" w:lineRule="auto"/>
        <w:ind w:left="567" w:right="900"/>
        <w:jc w:val="both"/>
        <w:rPr>
          <w:rFonts w:ascii="Palatino Linotype" w:hAnsi="Palatino Linotype"/>
          <w:i/>
          <w:color w:val="222222"/>
          <w:sz w:val="22"/>
          <w:lang w:val="es-MX"/>
        </w:rPr>
      </w:pPr>
    </w:p>
    <w:p w14:paraId="10398F91" w14:textId="77777777" w:rsidR="007D1773" w:rsidRPr="007D1773" w:rsidRDefault="007D1773" w:rsidP="005F21DB">
      <w:pPr>
        <w:spacing w:line="276" w:lineRule="auto"/>
        <w:ind w:left="567" w:right="900"/>
        <w:jc w:val="both"/>
        <w:rPr>
          <w:rFonts w:ascii="Palatino Linotype" w:hAnsi="Palatino Linotype"/>
          <w:b/>
          <w:color w:val="222222"/>
          <w:sz w:val="22"/>
          <w:lang w:val="es-MX"/>
        </w:rPr>
      </w:pPr>
      <w:r>
        <w:rPr>
          <w:rFonts w:ascii="Palatino Linotype" w:hAnsi="Palatino Linotype"/>
          <w:b/>
          <w:color w:val="222222"/>
          <w:sz w:val="22"/>
        </w:rPr>
        <w:t>Secretarí</w:t>
      </w:r>
      <w:r w:rsidRPr="007D1773">
        <w:rPr>
          <w:rFonts w:ascii="Palatino Linotype" w:hAnsi="Palatino Linotype"/>
          <w:b/>
          <w:color w:val="222222"/>
          <w:sz w:val="22"/>
        </w:rPr>
        <w:t>a General de Acuerdos del Tribunal Superior de Justicia y del Consejo de la Judicatura del Estado de México</w:t>
      </w:r>
    </w:p>
    <w:p w14:paraId="0B455FBB" w14:textId="77777777" w:rsidR="005F21DB" w:rsidRDefault="005F21DB" w:rsidP="005F21DB">
      <w:pPr>
        <w:spacing w:line="276" w:lineRule="auto"/>
        <w:ind w:left="567" w:right="900"/>
        <w:jc w:val="both"/>
        <w:rPr>
          <w:rFonts w:ascii="Palatino Linotype" w:hAnsi="Palatino Linotype"/>
          <w:i/>
          <w:color w:val="222222"/>
          <w:sz w:val="22"/>
          <w:lang w:val="es-MX"/>
        </w:rPr>
      </w:pPr>
    </w:p>
    <w:p w14:paraId="7F76494B" w14:textId="77777777" w:rsidR="005F21DB" w:rsidRPr="005F21DB" w:rsidRDefault="005F21DB" w:rsidP="005F21DB">
      <w:pPr>
        <w:spacing w:line="276" w:lineRule="auto"/>
        <w:ind w:left="567" w:right="900"/>
        <w:jc w:val="both"/>
        <w:rPr>
          <w:rFonts w:ascii="Palatino Linotype" w:hAnsi="Palatino Linotype"/>
          <w:i/>
          <w:color w:val="222222"/>
          <w:sz w:val="22"/>
          <w:lang w:val="es-MX"/>
        </w:rPr>
      </w:pPr>
      <w:r w:rsidRPr="005F21DB">
        <w:rPr>
          <w:rFonts w:ascii="Palatino Linotype" w:hAnsi="Palatino Linotype"/>
          <w:i/>
          <w:color w:val="222222"/>
          <w:sz w:val="22"/>
          <w:lang w:val="es-MX"/>
        </w:rPr>
        <w:t>Objetivo</w:t>
      </w:r>
    </w:p>
    <w:p w14:paraId="77E6C392" w14:textId="77777777" w:rsidR="005F21DB" w:rsidRPr="005F21DB" w:rsidRDefault="005F21DB" w:rsidP="005F21DB">
      <w:pPr>
        <w:spacing w:line="276" w:lineRule="auto"/>
        <w:ind w:left="567" w:right="900"/>
        <w:jc w:val="both"/>
        <w:rPr>
          <w:rFonts w:ascii="Palatino Linotype" w:hAnsi="Palatino Linotype"/>
          <w:i/>
          <w:color w:val="222222"/>
          <w:sz w:val="22"/>
          <w:lang w:val="es-MX"/>
        </w:rPr>
      </w:pPr>
      <w:r w:rsidRPr="005F21DB">
        <w:rPr>
          <w:rFonts w:ascii="Palatino Linotype" w:hAnsi="Palatino Linotype"/>
          <w:i/>
          <w:color w:val="222222"/>
          <w:sz w:val="22"/>
          <w:lang w:val="es-MX"/>
        </w:rPr>
        <w:t>Coordinar hasta su resolución, el seguimiento de la documentación y los asuntos dirigidos al titular del Poder Judicial del Estado de México, así como, dar seguimiento a la ejecución de los acuerdos aprobados en los Plenos del Tribunal Superior de Justicia y del Consejo de la Judicatura del Estado de México.</w:t>
      </w:r>
    </w:p>
    <w:p w14:paraId="6AE9A5A8" w14:textId="77777777" w:rsidR="005F21DB" w:rsidRPr="005F21DB" w:rsidRDefault="005F21DB" w:rsidP="005F21DB">
      <w:pPr>
        <w:spacing w:line="276" w:lineRule="auto"/>
        <w:ind w:left="567" w:right="900"/>
        <w:jc w:val="both"/>
        <w:rPr>
          <w:rFonts w:ascii="Palatino Linotype" w:hAnsi="Palatino Linotype"/>
          <w:i/>
          <w:color w:val="222222"/>
          <w:sz w:val="22"/>
          <w:lang w:val="es-MX"/>
        </w:rPr>
      </w:pPr>
    </w:p>
    <w:p w14:paraId="20851458" w14:textId="77777777" w:rsidR="005F21DB" w:rsidRPr="005F21DB" w:rsidRDefault="005F21DB" w:rsidP="005F21DB">
      <w:pPr>
        <w:spacing w:line="276" w:lineRule="auto"/>
        <w:ind w:left="567" w:right="900"/>
        <w:jc w:val="both"/>
        <w:rPr>
          <w:rFonts w:ascii="Palatino Linotype" w:hAnsi="Palatino Linotype"/>
          <w:i/>
          <w:color w:val="222222"/>
          <w:sz w:val="22"/>
          <w:lang w:val="es-MX"/>
        </w:rPr>
      </w:pPr>
      <w:r w:rsidRPr="005F21DB">
        <w:rPr>
          <w:rFonts w:ascii="Palatino Linotype" w:hAnsi="Palatino Linotype"/>
          <w:i/>
          <w:color w:val="222222"/>
          <w:sz w:val="22"/>
          <w:lang w:val="es-MX"/>
        </w:rPr>
        <w:t>Funciones</w:t>
      </w:r>
    </w:p>
    <w:p w14:paraId="2C6A469E" w14:textId="77777777" w:rsidR="005F21DB" w:rsidRPr="007D1773" w:rsidRDefault="005F21DB" w:rsidP="007D1773">
      <w:pPr>
        <w:pStyle w:val="Prrafodelista"/>
        <w:numPr>
          <w:ilvl w:val="0"/>
          <w:numId w:val="15"/>
        </w:numPr>
        <w:tabs>
          <w:tab w:val="clear" w:pos="720"/>
          <w:tab w:val="num" w:pos="567"/>
        </w:tabs>
        <w:spacing w:line="276" w:lineRule="auto"/>
        <w:ind w:left="567" w:right="900" w:hanging="141"/>
        <w:jc w:val="both"/>
        <w:rPr>
          <w:rFonts w:ascii="Palatino Linotype" w:hAnsi="Palatino Linotype"/>
          <w:i/>
          <w:color w:val="222222"/>
          <w:sz w:val="22"/>
          <w:lang w:val="es-MX"/>
        </w:rPr>
      </w:pPr>
      <w:r w:rsidRPr="007D1773">
        <w:rPr>
          <w:rFonts w:ascii="Palatino Linotype" w:hAnsi="Palatino Linotype"/>
          <w:i/>
          <w:color w:val="222222"/>
          <w:sz w:val="22"/>
          <w:lang w:val="es-MX"/>
        </w:rPr>
        <w:t>Aprobar las actividades que integra el Plan Anual de Trabajo de la Secretaría General y de las unidades administrativas a su cargo, así como vigilar su ejecución e informar los avances y logros correspondientes.</w:t>
      </w:r>
    </w:p>
    <w:p w14:paraId="0423DC4A" w14:textId="77777777" w:rsidR="007D1773" w:rsidRPr="005F21DB" w:rsidRDefault="007D1773" w:rsidP="007D1773">
      <w:pPr>
        <w:tabs>
          <w:tab w:val="num" w:pos="567"/>
        </w:tabs>
        <w:spacing w:line="276" w:lineRule="auto"/>
        <w:ind w:left="567" w:right="900" w:hanging="141"/>
        <w:jc w:val="both"/>
        <w:rPr>
          <w:rFonts w:ascii="Palatino Linotype" w:hAnsi="Palatino Linotype"/>
          <w:i/>
          <w:color w:val="222222"/>
          <w:sz w:val="22"/>
          <w:lang w:val="es-MX"/>
        </w:rPr>
      </w:pPr>
    </w:p>
    <w:p w14:paraId="6EC6C1E5" w14:textId="77777777" w:rsidR="005F21DB" w:rsidRPr="007D1773" w:rsidRDefault="005F21DB" w:rsidP="007D1773">
      <w:pPr>
        <w:pStyle w:val="Prrafodelista"/>
        <w:numPr>
          <w:ilvl w:val="0"/>
          <w:numId w:val="15"/>
        </w:numPr>
        <w:tabs>
          <w:tab w:val="clear" w:pos="720"/>
          <w:tab w:val="num" w:pos="567"/>
        </w:tabs>
        <w:spacing w:line="276" w:lineRule="auto"/>
        <w:ind w:left="567" w:right="900" w:hanging="141"/>
        <w:jc w:val="both"/>
        <w:rPr>
          <w:rFonts w:ascii="Palatino Linotype" w:hAnsi="Palatino Linotype"/>
          <w:i/>
          <w:color w:val="222222"/>
          <w:sz w:val="22"/>
          <w:lang w:val="es-MX"/>
        </w:rPr>
      </w:pPr>
      <w:r w:rsidRPr="007D1773">
        <w:rPr>
          <w:rFonts w:ascii="Palatino Linotype" w:hAnsi="Palatino Linotype"/>
          <w:i/>
          <w:color w:val="222222"/>
          <w:sz w:val="22"/>
          <w:lang w:val="es-MX"/>
        </w:rPr>
        <w:t>Dar cuenta al Presidente del Tribunal Superior de Justicia del Estado de México, de la correspondencia y los asuntos para pleno, así como realizar las actividades asignadas.</w:t>
      </w:r>
    </w:p>
    <w:p w14:paraId="5A09652D" w14:textId="77777777" w:rsidR="005F21DB" w:rsidRPr="005F21DB" w:rsidRDefault="005F21DB" w:rsidP="007D1773">
      <w:pPr>
        <w:numPr>
          <w:ilvl w:val="0"/>
          <w:numId w:val="14"/>
        </w:numPr>
        <w:tabs>
          <w:tab w:val="clear" w:pos="720"/>
          <w:tab w:val="num" w:pos="426"/>
        </w:tabs>
        <w:spacing w:line="276" w:lineRule="auto"/>
        <w:ind w:left="567" w:right="900" w:hanging="141"/>
        <w:jc w:val="both"/>
        <w:rPr>
          <w:rFonts w:ascii="Palatino Linotype" w:hAnsi="Palatino Linotype"/>
          <w:i/>
          <w:color w:val="222222"/>
          <w:sz w:val="22"/>
          <w:lang w:val="es-MX"/>
        </w:rPr>
      </w:pPr>
      <w:r w:rsidRPr="005F21DB">
        <w:rPr>
          <w:rFonts w:ascii="Palatino Linotype" w:hAnsi="Palatino Linotype"/>
          <w:i/>
          <w:color w:val="222222"/>
          <w:sz w:val="22"/>
          <w:lang w:val="es-MX"/>
        </w:rPr>
        <w:lastRenderedPageBreak/>
        <w:t>Recibir el comunicado de excusa y radicarla, a fin de que sea aprobada por el Presidente del Tribunal Superior de Justicia y del Consejo de la Judicatura del Estado de México, y devuelta a la Sala correspondiente.</w:t>
      </w:r>
    </w:p>
    <w:p w14:paraId="357B5A45" w14:textId="77777777" w:rsidR="005F21DB" w:rsidRPr="007D1773" w:rsidRDefault="005F21DB" w:rsidP="007D1773">
      <w:pPr>
        <w:numPr>
          <w:ilvl w:val="0"/>
          <w:numId w:val="14"/>
        </w:numPr>
        <w:tabs>
          <w:tab w:val="clear" w:pos="720"/>
          <w:tab w:val="num" w:pos="426"/>
        </w:tabs>
        <w:spacing w:line="276" w:lineRule="auto"/>
        <w:ind w:left="567" w:right="900" w:hanging="141"/>
        <w:jc w:val="both"/>
        <w:rPr>
          <w:rFonts w:ascii="Palatino Linotype" w:hAnsi="Palatino Linotype"/>
          <w:b/>
          <w:i/>
          <w:color w:val="222222"/>
          <w:sz w:val="22"/>
          <w:lang w:val="es-MX"/>
        </w:rPr>
      </w:pPr>
      <w:r w:rsidRPr="007D1773">
        <w:rPr>
          <w:rFonts w:ascii="Palatino Linotype" w:hAnsi="Palatino Linotype"/>
          <w:b/>
          <w:i/>
          <w:color w:val="222222"/>
          <w:sz w:val="22"/>
          <w:lang w:val="es-MX"/>
        </w:rPr>
        <w:t>Colaborar con la Presidencia del Tribunal Superior de Justicia y del Consejo de la Judicatura del Estado de México en la autorización de las actas y resoluciones acordadas en sesiones del Pleno del Tribunal Superior de Justicia y del Consejo de la Judicatura del Estado de México, con el fin de garantizar su cumplimiento.</w:t>
      </w:r>
    </w:p>
    <w:p w14:paraId="5842EA9F" w14:textId="77777777" w:rsidR="005F21DB" w:rsidRPr="007D1773" w:rsidRDefault="005F21DB" w:rsidP="007D1773">
      <w:pPr>
        <w:numPr>
          <w:ilvl w:val="0"/>
          <w:numId w:val="14"/>
        </w:numPr>
        <w:tabs>
          <w:tab w:val="clear" w:pos="720"/>
          <w:tab w:val="num" w:pos="426"/>
        </w:tabs>
        <w:spacing w:line="276" w:lineRule="auto"/>
        <w:ind w:left="567" w:right="900" w:hanging="141"/>
        <w:jc w:val="both"/>
        <w:rPr>
          <w:rFonts w:ascii="Palatino Linotype" w:hAnsi="Palatino Linotype"/>
          <w:b/>
          <w:i/>
          <w:color w:val="222222"/>
          <w:sz w:val="22"/>
          <w:lang w:val="es-MX"/>
        </w:rPr>
      </w:pPr>
      <w:r w:rsidRPr="007D1773">
        <w:rPr>
          <w:rFonts w:ascii="Palatino Linotype" w:hAnsi="Palatino Linotype"/>
          <w:b/>
          <w:i/>
          <w:color w:val="222222"/>
          <w:sz w:val="22"/>
          <w:lang w:val="es-MX"/>
        </w:rPr>
        <w:t>Vigilar el seguimiento a los acuerdos emitidos por el Pleno del Tribunal Superior de Justicia y del Consejo de la Judicatura del Estado de México para la ejecución de las acciones de control correspondientes.</w:t>
      </w:r>
    </w:p>
    <w:p w14:paraId="1A2FC2A3" w14:textId="77777777" w:rsidR="005F21DB" w:rsidRPr="007D1773" w:rsidRDefault="005F21DB" w:rsidP="007D1773">
      <w:pPr>
        <w:numPr>
          <w:ilvl w:val="0"/>
          <w:numId w:val="14"/>
        </w:numPr>
        <w:tabs>
          <w:tab w:val="clear" w:pos="720"/>
          <w:tab w:val="num" w:pos="426"/>
        </w:tabs>
        <w:spacing w:line="276" w:lineRule="auto"/>
        <w:ind w:left="567" w:right="900" w:hanging="141"/>
        <w:jc w:val="both"/>
        <w:rPr>
          <w:rFonts w:ascii="Palatino Linotype" w:hAnsi="Palatino Linotype"/>
          <w:b/>
          <w:i/>
          <w:color w:val="222222"/>
          <w:sz w:val="22"/>
          <w:lang w:val="es-MX"/>
        </w:rPr>
      </w:pPr>
      <w:r w:rsidRPr="007D1773">
        <w:rPr>
          <w:rFonts w:ascii="Palatino Linotype" w:hAnsi="Palatino Linotype"/>
          <w:b/>
          <w:i/>
          <w:color w:val="222222"/>
          <w:sz w:val="22"/>
          <w:lang w:val="es-MX"/>
        </w:rPr>
        <w:t>Supervisar que la publicación de documentos y circulares en el Periódico Oficial Gaceta del Gobierno, Boletín Judicial y página Web de la Institución, se realice conforme a los lineamientos establecidos para tal efecto.</w:t>
      </w:r>
    </w:p>
    <w:p w14:paraId="354A97C5" w14:textId="77777777" w:rsidR="005F21DB" w:rsidRPr="005F21DB" w:rsidRDefault="005F21DB" w:rsidP="007D1773">
      <w:pPr>
        <w:numPr>
          <w:ilvl w:val="0"/>
          <w:numId w:val="14"/>
        </w:numPr>
        <w:tabs>
          <w:tab w:val="clear" w:pos="720"/>
          <w:tab w:val="num" w:pos="426"/>
        </w:tabs>
        <w:spacing w:line="276" w:lineRule="auto"/>
        <w:ind w:left="567" w:right="900" w:hanging="141"/>
        <w:jc w:val="both"/>
        <w:rPr>
          <w:rFonts w:ascii="Palatino Linotype" w:hAnsi="Palatino Linotype"/>
          <w:i/>
          <w:color w:val="222222"/>
          <w:sz w:val="22"/>
          <w:lang w:val="es-MX"/>
        </w:rPr>
      </w:pPr>
      <w:r w:rsidRPr="005F21DB">
        <w:rPr>
          <w:rFonts w:ascii="Palatino Linotype" w:hAnsi="Palatino Linotype"/>
          <w:i/>
          <w:color w:val="222222"/>
          <w:sz w:val="22"/>
          <w:lang w:val="es-MX"/>
        </w:rPr>
        <w:t>Autorizar los Libros de Gobierno a fin de legalizar su uso en los órganos jurisdiccionales.</w:t>
      </w:r>
    </w:p>
    <w:p w14:paraId="09AD2F05" w14:textId="77777777" w:rsidR="005F21DB" w:rsidRPr="005F21DB" w:rsidRDefault="005F21DB" w:rsidP="007D1773">
      <w:pPr>
        <w:numPr>
          <w:ilvl w:val="0"/>
          <w:numId w:val="14"/>
        </w:numPr>
        <w:tabs>
          <w:tab w:val="clear" w:pos="720"/>
          <w:tab w:val="num" w:pos="426"/>
        </w:tabs>
        <w:spacing w:line="276" w:lineRule="auto"/>
        <w:ind w:left="567" w:right="900" w:hanging="141"/>
        <w:jc w:val="both"/>
        <w:rPr>
          <w:rFonts w:ascii="Palatino Linotype" w:hAnsi="Palatino Linotype"/>
          <w:i/>
          <w:color w:val="222222"/>
          <w:sz w:val="22"/>
          <w:lang w:val="es-MX"/>
        </w:rPr>
      </w:pPr>
      <w:r w:rsidRPr="005F21DB">
        <w:rPr>
          <w:rFonts w:ascii="Palatino Linotype" w:hAnsi="Palatino Linotype"/>
          <w:i/>
          <w:color w:val="222222"/>
          <w:sz w:val="22"/>
          <w:lang w:val="es-MX"/>
        </w:rPr>
        <w:t>Convocar a los Magistrados integrantes del Pleno del Tribunal Superior de Justicia del Estado de México a las sesiones ordinarias o extraordinarias, a efecto de atender oportunamente los asuntos de su competencia.</w:t>
      </w:r>
    </w:p>
    <w:p w14:paraId="53F18D1C" w14:textId="77777777" w:rsidR="005F21DB" w:rsidRPr="005F21DB" w:rsidRDefault="005F21DB" w:rsidP="007D1773">
      <w:pPr>
        <w:numPr>
          <w:ilvl w:val="0"/>
          <w:numId w:val="14"/>
        </w:numPr>
        <w:tabs>
          <w:tab w:val="clear" w:pos="720"/>
          <w:tab w:val="num" w:pos="426"/>
        </w:tabs>
        <w:spacing w:line="276" w:lineRule="auto"/>
        <w:ind w:left="567" w:right="900" w:hanging="141"/>
        <w:jc w:val="both"/>
        <w:rPr>
          <w:rFonts w:ascii="Palatino Linotype" w:hAnsi="Palatino Linotype"/>
          <w:i/>
          <w:color w:val="222222"/>
          <w:sz w:val="22"/>
          <w:lang w:val="es-MX"/>
        </w:rPr>
      </w:pPr>
      <w:r w:rsidRPr="005F21DB">
        <w:rPr>
          <w:rFonts w:ascii="Palatino Linotype" w:hAnsi="Palatino Linotype"/>
          <w:i/>
          <w:color w:val="222222"/>
          <w:sz w:val="22"/>
          <w:lang w:val="es-MX"/>
        </w:rPr>
        <w:t>Supervisar el registro de títulos profesionales, previa aprobación del Pleno del Tribunal Superior de Justicia del Estado de México y de conformidad con la normatividad aplicable.</w:t>
      </w:r>
    </w:p>
    <w:p w14:paraId="74BF5125" w14:textId="77777777" w:rsidR="005F21DB" w:rsidRPr="005F21DB" w:rsidRDefault="005F21DB" w:rsidP="007D1773">
      <w:pPr>
        <w:numPr>
          <w:ilvl w:val="0"/>
          <w:numId w:val="14"/>
        </w:numPr>
        <w:tabs>
          <w:tab w:val="clear" w:pos="720"/>
          <w:tab w:val="num" w:pos="426"/>
        </w:tabs>
        <w:spacing w:line="276" w:lineRule="auto"/>
        <w:ind w:left="567" w:right="900" w:hanging="141"/>
        <w:jc w:val="both"/>
        <w:rPr>
          <w:rFonts w:ascii="Palatino Linotype" w:hAnsi="Palatino Linotype"/>
          <w:i/>
          <w:color w:val="222222"/>
          <w:sz w:val="22"/>
          <w:lang w:val="es-MX"/>
        </w:rPr>
      </w:pPr>
      <w:r w:rsidRPr="005F21DB">
        <w:rPr>
          <w:rFonts w:ascii="Palatino Linotype" w:hAnsi="Palatino Linotype"/>
          <w:i/>
          <w:color w:val="222222"/>
          <w:sz w:val="22"/>
          <w:lang w:val="es-MX"/>
        </w:rPr>
        <w:t>Vigilar la autenticidad de las cédulas profesionales de los abogados litigantes que se inscriben en el registro de Cédulas Profesionales del Tribunal Superior de Justicia del Estado de México y llevar a cabo su digitalización; así como legitimar su actuación ante los órganos jurisdiccionales.</w:t>
      </w:r>
    </w:p>
    <w:p w14:paraId="6A9900CF" w14:textId="77777777" w:rsidR="005F21DB" w:rsidRPr="005F21DB" w:rsidRDefault="005F21DB" w:rsidP="007D1773">
      <w:pPr>
        <w:numPr>
          <w:ilvl w:val="0"/>
          <w:numId w:val="14"/>
        </w:numPr>
        <w:tabs>
          <w:tab w:val="clear" w:pos="720"/>
          <w:tab w:val="num" w:pos="426"/>
        </w:tabs>
        <w:spacing w:line="276" w:lineRule="auto"/>
        <w:ind w:left="567" w:right="900" w:hanging="141"/>
        <w:jc w:val="both"/>
        <w:rPr>
          <w:rFonts w:ascii="Palatino Linotype" w:hAnsi="Palatino Linotype"/>
          <w:i/>
          <w:color w:val="222222"/>
          <w:sz w:val="22"/>
          <w:lang w:val="es-MX"/>
        </w:rPr>
      </w:pPr>
      <w:r w:rsidRPr="005F21DB">
        <w:rPr>
          <w:rFonts w:ascii="Palatino Linotype" w:hAnsi="Palatino Linotype"/>
          <w:i/>
          <w:color w:val="222222"/>
          <w:sz w:val="22"/>
          <w:lang w:val="es-MX"/>
        </w:rPr>
        <w:t>Conducir la Sesión Pública y Solemne, en el marco del Informe anual de actividades del Presidente del Tribunal Superior de Justicia y del Consejo de la Judicatura del Estado de México.</w:t>
      </w:r>
    </w:p>
    <w:p w14:paraId="0AC0F585" w14:textId="77777777" w:rsidR="005F21DB" w:rsidRPr="005F21DB" w:rsidRDefault="005F21DB" w:rsidP="007D1773">
      <w:pPr>
        <w:numPr>
          <w:ilvl w:val="0"/>
          <w:numId w:val="14"/>
        </w:numPr>
        <w:tabs>
          <w:tab w:val="clear" w:pos="720"/>
          <w:tab w:val="num" w:pos="426"/>
        </w:tabs>
        <w:spacing w:line="276" w:lineRule="auto"/>
        <w:ind w:left="567" w:right="900" w:hanging="141"/>
        <w:jc w:val="both"/>
        <w:rPr>
          <w:rFonts w:ascii="Palatino Linotype" w:hAnsi="Palatino Linotype"/>
          <w:i/>
          <w:color w:val="222222"/>
          <w:sz w:val="22"/>
          <w:lang w:val="es-MX"/>
        </w:rPr>
      </w:pPr>
      <w:r w:rsidRPr="005F21DB">
        <w:rPr>
          <w:rFonts w:ascii="Palatino Linotype" w:hAnsi="Palatino Linotype"/>
          <w:i/>
          <w:color w:val="222222"/>
          <w:sz w:val="22"/>
          <w:lang w:val="es-MX"/>
        </w:rPr>
        <w:t>Coordinar en el ámbito de su competencia, la certificación de documentos, con la finalidad de cumplir con la normatividad vigente.</w:t>
      </w:r>
    </w:p>
    <w:p w14:paraId="2797AD82" w14:textId="77777777" w:rsidR="005F21DB" w:rsidRPr="005F21DB" w:rsidRDefault="005F21DB" w:rsidP="007D1773">
      <w:pPr>
        <w:numPr>
          <w:ilvl w:val="0"/>
          <w:numId w:val="14"/>
        </w:numPr>
        <w:tabs>
          <w:tab w:val="clear" w:pos="720"/>
          <w:tab w:val="num" w:pos="426"/>
        </w:tabs>
        <w:spacing w:line="276" w:lineRule="auto"/>
        <w:ind w:left="567" w:right="900" w:hanging="141"/>
        <w:jc w:val="both"/>
        <w:rPr>
          <w:rFonts w:ascii="Palatino Linotype" w:hAnsi="Palatino Linotype"/>
          <w:i/>
          <w:color w:val="222222"/>
          <w:sz w:val="22"/>
          <w:lang w:val="es-MX"/>
        </w:rPr>
      </w:pPr>
      <w:r w:rsidRPr="005F21DB">
        <w:rPr>
          <w:rFonts w:ascii="Palatino Linotype" w:hAnsi="Palatino Linotype"/>
          <w:i/>
          <w:color w:val="222222"/>
          <w:sz w:val="22"/>
          <w:lang w:val="es-MX"/>
        </w:rPr>
        <w:t>Coordinar las propuestas de candidatos a recibir premios y estímulos.</w:t>
      </w:r>
    </w:p>
    <w:p w14:paraId="00E824EE" w14:textId="77777777" w:rsidR="005F21DB" w:rsidRPr="005F21DB" w:rsidRDefault="005F21DB" w:rsidP="007D1773">
      <w:pPr>
        <w:numPr>
          <w:ilvl w:val="0"/>
          <w:numId w:val="14"/>
        </w:numPr>
        <w:tabs>
          <w:tab w:val="clear" w:pos="720"/>
          <w:tab w:val="num" w:pos="426"/>
        </w:tabs>
        <w:spacing w:line="276" w:lineRule="auto"/>
        <w:ind w:left="567" w:right="900" w:hanging="141"/>
        <w:jc w:val="both"/>
        <w:rPr>
          <w:rFonts w:ascii="Palatino Linotype" w:hAnsi="Palatino Linotype"/>
          <w:i/>
          <w:color w:val="222222"/>
          <w:sz w:val="22"/>
          <w:lang w:val="es-MX"/>
        </w:rPr>
      </w:pPr>
      <w:r w:rsidRPr="005F21DB">
        <w:rPr>
          <w:rFonts w:ascii="Palatino Linotype" w:hAnsi="Palatino Linotype"/>
          <w:i/>
          <w:color w:val="222222"/>
          <w:sz w:val="22"/>
          <w:lang w:val="es-MX"/>
        </w:rPr>
        <w:t>Desarrollar las demás funciones inherentes al área de su competencia.</w:t>
      </w:r>
      <w:r w:rsidR="007D1773">
        <w:rPr>
          <w:rFonts w:ascii="Palatino Linotype" w:hAnsi="Palatino Linotype"/>
          <w:i/>
          <w:color w:val="222222"/>
          <w:sz w:val="22"/>
          <w:lang w:val="es-MX"/>
        </w:rPr>
        <w:t>” (Sic) (Énfasis añadido)</w:t>
      </w:r>
    </w:p>
    <w:p w14:paraId="64DD63A0" w14:textId="77777777" w:rsidR="005F21DB" w:rsidRPr="005F21DB" w:rsidRDefault="005F21DB" w:rsidP="005F21DB">
      <w:pPr>
        <w:spacing w:line="276" w:lineRule="auto"/>
        <w:ind w:left="567" w:right="900"/>
        <w:jc w:val="both"/>
        <w:rPr>
          <w:rFonts w:ascii="Palatino Linotype" w:hAnsi="Palatino Linotype"/>
          <w:i/>
          <w:color w:val="222222"/>
          <w:sz w:val="22"/>
          <w:lang w:val="es-MX"/>
        </w:rPr>
      </w:pPr>
    </w:p>
    <w:p w14:paraId="1C43CE90" w14:textId="77777777" w:rsidR="003F43AF" w:rsidRPr="003F43AF" w:rsidRDefault="003F43AF" w:rsidP="003F43AF">
      <w:pPr>
        <w:spacing w:line="360" w:lineRule="auto"/>
        <w:ind w:right="49"/>
        <w:jc w:val="both"/>
        <w:rPr>
          <w:rFonts w:ascii="Palatino Linotype" w:eastAsia="Palatino Linotype" w:hAnsi="Palatino Linotype" w:cs="Palatino Linotype"/>
          <w:lang w:eastAsia="es-ES"/>
        </w:rPr>
      </w:pPr>
      <w:r w:rsidRPr="003F43AF">
        <w:rPr>
          <w:rFonts w:ascii="Palatino Linotype" w:hAnsi="Palatino Linotype"/>
          <w:color w:val="222222"/>
        </w:rPr>
        <w:t xml:space="preserve">Por lo que al haber realizado la búsqueda exhaustiva y razonable en los archivos y al haberse pronunciado </w:t>
      </w:r>
      <w:r w:rsidR="007D1773">
        <w:rPr>
          <w:rFonts w:ascii="Palatino Linotype" w:hAnsi="Palatino Linotype"/>
          <w:color w:val="222222"/>
        </w:rPr>
        <w:t xml:space="preserve">los </w:t>
      </w:r>
      <w:r w:rsidR="007D1773" w:rsidRPr="007D1773">
        <w:rPr>
          <w:rFonts w:ascii="Palatino Linotype" w:hAnsi="Palatino Linotype"/>
          <w:color w:val="222222"/>
        </w:rPr>
        <w:t>Servidores Públicos Habilitados Competentes, es decir, por el Director de Remuneraciones al Personal y Secretaria General de Acuerdos del Tribunal Superior de Justicia y del Consejo de la Judicatura del Estado de México</w:t>
      </w:r>
      <w:r w:rsidRPr="003F43AF">
        <w:rPr>
          <w:rFonts w:ascii="Palatino Linotype" w:hAnsi="Palatino Linotype"/>
          <w:color w:val="222222"/>
        </w:rPr>
        <w:t xml:space="preserve">, </w:t>
      </w:r>
      <w:r w:rsidRPr="003F43AF">
        <w:rPr>
          <w:rFonts w:ascii="Palatino Linotype" w:eastAsia="Palatino Linotype" w:hAnsi="Palatino Linotype" w:cs="Palatino Linotype"/>
          <w:lang w:eastAsia="es-ES"/>
        </w:rPr>
        <w:t>este Instituto no está facultado para manifesta</w:t>
      </w:r>
      <w:r w:rsidR="007D1773">
        <w:rPr>
          <w:rFonts w:ascii="Palatino Linotype" w:eastAsia="Palatino Linotype" w:hAnsi="Palatino Linotype" w:cs="Palatino Linotype"/>
          <w:lang w:eastAsia="es-ES"/>
        </w:rPr>
        <w:t>rse sobre la veracidad de dichos pronunciamientos</w:t>
      </w:r>
      <w:r w:rsidRPr="003F43AF">
        <w:rPr>
          <w:rFonts w:ascii="Palatino Linotype" w:eastAsia="Palatino Linotype" w:hAnsi="Palatino Linotype" w:cs="Palatino Linotype"/>
          <w:lang w:eastAsia="es-ES"/>
        </w:rPr>
        <w:t>, pues no existe precepto legal alguno en la Ley de la materia que lo faculte para que vía recurso de revisión, pueda pronunciarse al respecto, sirve de apoyo a lo anterior, por analogía el criterio 31-10 emitido por el entonces Instituto Federal de Acceso a la Información ahora Instituto Nacional de Transparencia, Acceso a la Información y Protección de Datos Personales (INAI) que a la letra dice:</w:t>
      </w:r>
    </w:p>
    <w:p w14:paraId="70583CA8" w14:textId="77777777" w:rsidR="007D1773" w:rsidRDefault="007D1773" w:rsidP="003F43AF">
      <w:pPr>
        <w:tabs>
          <w:tab w:val="left" w:pos="709"/>
        </w:tabs>
        <w:ind w:left="567" w:right="1324"/>
        <w:jc w:val="both"/>
        <w:rPr>
          <w:rFonts w:ascii="Palatino Linotype" w:eastAsia="Palatino Linotype" w:hAnsi="Palatino Linotype" w:cs="Palatino Linotype"/>
          <w:b/>
          <w:i/>
          <w:sz w:val="22"/>
          <w:szCs w:val="22"/>
          <w:lang w:eastAsia="es-ES"/>
        </w:rPr>
      </w:pPr>
    </w:p>
    <w:p w14:paraId="041BEAC7" w14:textId="77777777" w:rsidR="003F43AF" w:rsidRPr="003F43AF" w:rsidRDefault="003F43AF" w:rsidP="003F43AF">
      <w:pPr>
        <w:tabs>
          <w:tab w:val="left" w:pos="709"/>
        </w:tabs>
        <w:ind w:left="567" w:right="1324"/>
        <w:jc w:val="both"/>
        <w:rPr>
          <w:rFonts w:ascii="Palatino Linotype" w:eastAsia="Palatino Linotype" w:hAnsi="Palatino Linotype" w:cs="Palatino Linotype"/>
          <w:b/>
          <w:i/>
          <w:sz w:val="22"/>
          <w:szCs w:val="22"/>
          <w:lang w:eastAsia="es-ES"/>
        </w:rPr>
      </w:pPr>
      <w:r w:rsidRPr="003F43AF">
        <w:rPr>
          <w:rFonts w:ascii="Palatino Linotype" w:eastAsia="Palatino Linotype" w:hAnsi="Palatino Linotype" w:cs="Palatino Linotype"/>
          <w:b/>
          <w:i/>
          <w:sz w:val="22"/>
          <w:szCs w:val="22"/>
          <w:lang w:eastAsia="es-ES"/>
        </w:rPr>
        <w:t>“El Instituto Federal de Acceso a la Información y Protección de Datos no cuenta con facultades para pronunciarse respecto de la veracidad de los documentos proporcionados por los sujetos obligados</w:t>
      </w:r>
      <w:r w:rsidRPr="003F43AF">
        <w:rPr>
          <w:rFonts w:ascii="Palatino Linotype" w:eastAsia="Palatino Linotype" w:hAnsi="Palatino Linotype" w:cs="Palatino Linotype"/>
          <w:i/>
          <w:sz w:val="22"/>
          <w:szCs w:val="22"/>
          <w:lang w:eastAsia="es-ES"/>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3F43AF">
        <w:rPr>
          <w:rFonts w:ascii="Palatino Linotype" w:eastAsia="Palatino Linotype" w:hAnsi="Palatino Linotype" w:cs="Palatino Linotype"/>
          <w:b/>
          <w:i/>
          <w:sz w:val="22"/>
          <w:szCs w:val="22"/>
          <w:lang w:eastAsia="es-ES"/>
        </w:rPr>
        <w:t>”</w:t>
      </w:r>
    </w:p>
    <w:p w14:paraId="3E0A7D94" w14:textId="77777777" w:rsidR="003F43AF" w:rsidRPr="003F43AF" w:rsidRDefault="003F43AF" w:rsidP="003F43AF">
      <w:pPr>
        <w:spacing w:line="360" w:lineRule="auto"/>
        <w:jc w:val="both"/>
        <w:rPr>
          <w:rFonts w:ascii="Palatino Linotype" w:eastAsia="Palatino Linotype" w:hAnsi="Palatino Linotype" w:cs="Palatino Linotype"/>
          <w:lang w:eastAsia="es-ES"/>
        </w:rPr>
      </w:pPr>
    </w:p>
    <w:p w14:paraId="338073D4" w14:textId="77777777" w:rsidR="003F43AF" w:rsidRDefault="003F43AF" w:rsidP="003F43AF">
      <w:pPr>
        <w:spacing w:line="360" w:lineRule="auto"/>
        <w:jc w:val="both"/>
        <w:rPr>
          <w:rFonts w:ascii="Palatino Linotype" w:eastAsia="Palatino Linotype" w:hAnsi="Palatino Linotype" w:cs="Palatino Linotype"/>
          <w:lang w:eastAsia="es-ES"/>
        </w:rPr>
      </w:pPr>
      <w:r w:rsidRPr="003F43AF">
        <w:rPr>
          <w:rFonts w:ascii="Palatino Linotype" w:eastAsia="Palatino Linotype" w:hAnsi="Palatino Linotype" w:cs="Palatino Linotype"/>
          <w:lang w:eastAsia="es-ES"/>
        </w:rPr>
        <w:t xml:space="preserve">Aunado a lo expuesto con antelación, también se advierte que el Sujeto Obligado siguió el procedimiento establecido por los artículos 160 y 162 de la Ley de </w:t>
      </w:r>
      <w:r w:rsidRPr="003F43AF">
        <w:rPr>
          <w:rFonts w:ascii="Palatino Linotype" w:eastAsia="Palatino Linotype" w:hAnsi="Palatino Linotype" w:cs="Palatino Linotype"/>
          <w:lang w:eastAsia="es-ES"/>
        </w:rPr>
        <w:lastRenderedPageBreak/>
        <w:t xml:space="preserve">Transparencia y Acceso a la Información Pública del Estado de México y Municipios, mismos que se insertan a continuación para mayor referencia: </w:t>
      </w:r>
    </w:p>
    <w:p w14:paraId="61E8566B" w14:textId="77777777" w:rsidR="00505FBA" w:rsidRPr="003F43AF" w:rsidRDefault="00505FBA" w:rsidP="003F43AF">
      <w:pPr>
        <w:spacing w:line="360" w:lineRule="auto"/>
        <w:jc w:val="both"/>
        <w:rPr>
          <w:rFonts w:ascii="Palatino Linotype" w:eastAsia="Palatino Linotype" w:hAnsi="Palatino Linotype" w:cs="Palatino Linotype"/>
          <w:lang w:eastAsia="es-ES"/>
        </w:rPr>
      </w:pPr>
    </w:p>
    <w:p w14:paraId="29482EE0" w14:textId="77777777" w:rsidR="003F43AF" w:rsidRPr="003F43AF" w:rsidRDefault="003F43AF" w:rsidP="003F43AF">
      <w:pPr>
        <w:ind w:left="567" w:right="851"/>
        <w:jc w:val="both"/>
        <w:rPr>
          <w:rFonts w:ascii="Palatino Linotype" w:eastAsia="Palatino Linotype" w:hAnsi="Palatino Linotype" w:cs="Palatino Linotype"/>
          <w:i/>
          <w:sz w:val="22"/>
          <w:lang w:eastAsia="es-ES"/>
        </w:rPr>
      </w:pPr>
      <w:r w:rsidRPr="003F43AF">
        <w:rPr>
          <w:rFonts w:ascii="Palatino Linotype" w:eastAsia="Palatino Linotype" w:hAnsi="Palatino Linotype" w:cs="Palatino Linotype"/>
          <w:i/>
          <w:sz w:val="22"/>
          <w:lang w:eastAsia="es-ES"/>
        </w:rPr>
        <w:t>“</w:t>
      </w:r>
      <w:r w:rsidRPr="003F43AF">
        <w:rPr>
          <w:rFonts w:ascii="Palatino Linotype" w:eastAsia="Palatino Linotype" w:hAnsi="Palatino Linotype" w:cs="Palatino Linotype"/>
          <w:b/>
          <w:i/>
          <w:sz w:val="22"/>
          <w:lang w:eastAsia="es-ES"/>
        </w:rPr>
        <w:t>Artículo 160.</w:t>
      </w:r>
      <w:r w:rsidRPr="003F43AF">
        <w:rPr>
          <w:rFonts w:ascii="Palatino Linotype" w:eastAsia="Palatino Linotype" w:hAnsi="Palatino Linotype" w:cs="Palatino Linotype"/>
          <w:i/>
          <w:sz w:val="22"/>
          <w:lang w:eastAsia="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w:t>
      </w:r>
    </w:p>
    <w:p w14:paraId="513AFF59" w14:textId="77777777" w:rsidR="003F43AF" w:rsidRPr="003F43AF" w:rsidRDefault="003F43AF" w:rsidP="003F43AF">
      <w:pPr>
        <w:ind w:left="567" w:right="851"/>
        <w:jc w:val="both"/>
        <w:rPr>
          <w:rFonts w:ascii="Palatino Linotype" w:eastAsia="Palatino Linotype" w:hAnsi="Palatino Linotype" w:cs="Palatino Linotype"/>
          <w:i/>
          <w:sz w:val="22"/>
          <w:lang w:eastAsia="es-ES"/>
        </w:rPr>
      </w:pPr>
    </w:p>
    <w:p w14:paraId="5F62C71B" w14:textId="77777777" w:rsidR="003F43AF" w:rsidRPr="003F43AF" w:rsidRDefault="003F43AF" w:rsidP="003F43AF">
      <w:pPr>
        <w:ind w:left="567" w:right="851"/>
        <w:jc w:val="both"/>
        <w:rPr>
          <w:rFonts w:ascii="Palatino Linotype" w:eastAsia="Palatino Linotype" w:hAnsi="Palatino Linotype" w:cs="Palatino Linotype"/>
          <w:i/>
          <w:sz w:val="22"/>
          <w:lang w:eastAsia="es-ES"/>
        </w:rPr>
      </w:pPr>
      <w:r w:rsidRPr="003F43AF">
        <w:rPr>
          <w:rFonts w:ascii="Palatino Linotype" w:eastAsia="Palatino Linotype" w:hAnsi="Palatino Linotype" w:cs="Palatino Linotype"/>
          <w:i/>
          <w:sz w:val="22"/>
          <w:lang w:eastAsia="es-ES"/>
        </w:rPr>
        <w:t>En caso que la información solicitada consista en bases de datos se deberá privilegiar la entrega de la misma en formatos abiertos.</w:t>
      </w:r>
    </w:p>
    <w:p w14:paraId="6B7D457A" w14:textId="77777777" w:rsidR="003F43AF" w:rsidRPr="003F43AF" w:rsidRDefault="003F43AF" w:rsidP="003F43AF">
      <w:pPr>
        <w:ind w:left="567" w:right="851"/>
        <w:jc w:val="both"/>
        <w:rPr>
          <w:rFonts w:ascii="Palatino Linotype" w:eastAsia="Palatino Linotype" w:hAnsi="Palatino Linotype" w:cs="Palatino Linotype"/>
          <w:i/>
          <w:sz w:val="22"/>
          <w:lang w:eastAsia="es-ES"/>
        </w:rPr>
      </w:pPr>
    </w:p>
    <w:p w14:paraId="3FDF3E06" w14:textId="77777777" w:rsidR="003F43AF" w:rsidRPr="003F43AF" w:rsidRDefault="003F43AF" w:rsidP="003F43AF">
      <w:pPr>
        <w:ind w:left="567" w:right="851"/>
        <w:jc w:val="both"/>
        <w:rPr>
          <w:rFonts w:ascii="Palatino Linotype" w:eastAsia="Palatino Linotype" w:hAnsi="Palatino Linotype" w:cs="Palatino Linotype"/>
          <w:i/>
          <w:sz w:val="22"/>
          <w:lang w:eastAsia="es-ES"/>
        </w:rPr>
      </w:pPr>
      <w:r w:rsidRPr="003F43AF">
        <w:rPr>
          <w:rFonts w:ascii="Palatino Linotype" w:eastAsia="Palatino Linotype" w:hAnsi="Palatino Linotype" w:cs="Palatino Linotype"/>
          <w:i/>
          <w:sz w:val="22"/>
          <w:lang w:eastAsia="es-ES"/>
        </w:rPr>
        <w:t>…</w:t>
      </w:r>
    </w:p>
    <w:p w14:paraId="725B4AD0" w14:textId="77777777" w:rsidR="003F43AF" w:rsidRPr="003F43AF" w:rsidRDefault="003F43AF" w:rsidP="003F43AF">
      <w:pPr>
        <w:ind w:left="567" w:right="851"/>
        <w:jc w:val="both"/>
        <w:rPr>
          <w:rFonts w:ascii="Palatino Linotype" w:eastAsia="Palatino Linotype" w:hAnsi="Palatino Linotype" w:cs="Palatino Linotype"/>
          <w:i/>
          <w:sz w:val="22"/>
          <w:lang w:eastAsia="es-ES"/>
        </w:rPr>
      </w:pPr>
      <w:r w:rsidRPr="003F43AF">
        <w:rPr>
          <w:rFonts w:ascii="Palatino Linotype" w:eastAsia="Palatino Linotype" w:hAnsi="Palatino Linotype" w:cs="Palatino Linotype"/>
          <w:b/>
          <w:i/>
          <w:sz w:val="22"/>
          <w:lang w:eastAsia="es-ES"/>
        </w:rPr>
        <w:t>Artículo 162.</w:t>
      </w:r>
      <w:r w:rsidRPr="003F43AF">
        <w:rPr>
          <w:rFonts w:ascii="Palatino Linotype" w:eastAsia="Palatino Linotype" w:hAnsi="Palatino Linotype" w:cs="Palatino Linotype"/>
          <w:i/>
          <w:sz w:val="22"/>
          <w:lang w:eastAsia="es-ES"/>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3351F736" w14:textId="77777777" w:rsidR="003F43AF" w:rsidRPr="003F43AF" w:rsidRDefault="003F43AF" w:rsidP="003F43AF">
      <w:pPr>
        <w:spacing w:line="360" w:lineRule="auto"/>
        <w:contextualSpacing/>
        <w:jc w:val="both"/>
        <w:rPr>
          <w:rFonts w:ascii="Palatino Linotype" w:hAnsi="Palatino Linotype"/>
          <w:color w:val="222222"/>
        </w:rPr>
      </w:pPr>
    </w:p>
    <w:p w14:paraId="6A85B0F3" w14:textId="77777777" w:rsidR="00E928A4" w:rsidRDefault="00E928A4" w:rsidP="00E928A4">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consecuencia, de todo lo anterior, se actualiza la causal de sobreseimiento prevista en la fracción III del artículo 192 de la Ley de Transparencia y Acceso a la Información Pública del Estado de México y Municipios, que dispone lo siguiente:</w:t>
      </w:r>
    </w:p>
    <w:p w14:paraId="25E24E6B" w14:textId="77777777" w:rsidR="00E928A4" w:rsidRDefault="00E928A4" w:rsidP="00E928A4">
      <w:pPr>
        <w:spacing w:line="360" w:lineRule="auto"/>
        <w:jc w:val="both"/>
        <w:rPr>
          <w:rFonts w:ascii="Palatino Linotype" w:eastAsia="Palatino Linotype" w:hAnsi="Palatino Linotype" w:cs="Palatino Linotype"/>
          <w:color w:val="FF0000"/>
        </w:rPr>
      </w:pPr>
    </w:p>
    <w:p w14:paraId="75E7272D" w14:textId="77777777" w:rsidR="00E928A4" w:rsidRDefault="00E928A4" w:rsidP="00E928A4">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192. </w:t>
      </w:r>
      <w:r>
        <w:rPr>
          <w:rFonts w:ascii="Palatino Linotype" w:eastAsia="Palatino Linotype" w:hAnsi="Palatino Linotype" w:cs="Palatino Linotype"/>
          <w:i/>
          <w:sz w:val="22"/>
          <w:szCs w:val="22"/>
        </w:rPr>
        <w:t>El recurso será sobreseído en todo o en parte cuando una vez admitido, se actualicen alguno de los siguientes supuestos:</w:t>
      </w:r>
    </w:p>
    <w:p w14:paraId="3FD6CE0D" w14:textId="77777777" w:rsidR="00E928A4" w:rsidRDefault="00E928A4" w:rsidP="00E928A4">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p>
    <w:p w14:paraId="2EABA75C" w14:textId="77777777" w:rsidR="00E928A4" w:rsidRDefault="00E928A4" w:rsidP="00E928A4">
      <w:pPr>
        <w:ind w:left="992" w:right="1043"/>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III. El sujeto obligado responsable del acto lo modifique o revoque de tal manera que el recurso de revisión quede sin materia…”. (Sic)</w:t>
      </w:r>
    </w:p>
    <w:p w14:paraId="0A4037B6" w14:textId="77777777" w:rsidR="00E928A4" w:rsidRDefault="00E928A4" w:rsidP="00E928A4">
      <w:pPr>
        <w:spacing w:line="360" w:lineRule="auto"/>
        <w:jc w:val="both"/>
        <w:rPr>
          <w:rFonts w:ascii="Palatino Linotype" w:eastAsia="Palatino Linotype" w:hAnsi="Palatino Linotype" w:cs="Palatino Linotype"/>
          <w:b/>
          <w:i/>
        </w:rPr>
      </w:pPr>
    </w:p>
    <w:p w14:paraId="5CA5F8F0" w14:textId="77777777" w:rsidR="00E928A4" w:rsidRDefault="00E928A4" w:rsidP="00E928A4">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establecido en el precepto legal citado se advierte que el sobreseimiento del recurso de revisión procede en los siguientes casos:</w:t>
      </w:r>
    </w:p>
    <w:p w14:paraId="664BF563" w14:textId="77777777" w:rsidR="00E928A4" w:rsidRDefault="00E928A4" w:rsidP="00E928A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 Cuando el sujeto obligado modifique el acto impugnado.</w:t>
      </w:r>
    </w:p>
    <w:p w14:paraId="0B11CDE1" w14:textId="77777777" w:rsidR="00E928A4" w:rsidRDefault="00E928A4" w:rsidP="00E928A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b) Cuando el sujeto obligado revoque el acto impugnado.</w:t>
      </w:r>
    </w:p>
    <w:p w14:paraId="4513EE54" w14:textId="77777777" w:rsidR="00E928A4" w:rsidRDefault="00E928A4" w:rsidP="00E928A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Quedando en ambos casos el acto combatido sin materia o sin efectos.</w:t>
      </w:r>
    </w:p>
    <w:p w14:paraId="28AAF232" w14:textId="77777777" w:rsidR="00E928A4" w:rsidRDefault="00E928A4" w:rsidP="00E928A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Como se observa de lo anterior, un acto impugnado es modificado en aquellos casos en los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después de haber otorgado una respuesta, emite una diversa de manera posterior y en esta subsana las deficiencias que hubiera tenido, quedando satisfecho el derecho subjetivo accionado por la parte </w:t>
      </w:r>
      <w:r>
        <w:rPr>
          <w:rFonts w:ascii="Palatino Linotype" w:eastAsia="Palatino Linotype" w:hAnsi="Palatino Linotype" w:cs="Palatino Linotype"/>
          <w:b/>
        </w:rPr>
        <w:t>RECURRENTE</w:t>
      </w:r>
      <w:r>
        <w:rPr>
          <w:rFonts w:ascii="Palatino Linotype" w:eastAsia="Palatino Linotype" w:hAnsi="Palatino Linotype" w:cs="Palatino Linotype"/>
        </w:rPr>
        <w:t>.</w:t>
      </w:r>
    </w:p>
    <w:p w14:paraId="411A2E4C" w14:textId="77777777" w:rsidR="00E928A4" w:rsidRDefault="00E928A4" w:rsidP="00E928A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hace a la revocación, esta se actualiza cuando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deja sin efectos la primera respuesta y en su lugar emite otra con las características y cualidades suficientes para dejar satisfecho el ejercicio del derecho al acceso a la información pública.</w:t>
      </w:r>
    </w:p>
    <w:p w14:paraId="246EF40D" w14:textId="77777777" w:rsidR="00E928A4" w:rsidRDefault="00E928A4" w:rsidP="00E928A4">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tenor, un acto impugnado queda sin efectos, cuando aun existiendo jurídicamente (esto es, que no se ha modificado, ni revocado) ya no genera ninguna consecuencia legal.</w:t>
      </w:r>
    </w:p>
    <w:p w14:paraId="4F95536A" w14:textId="77777777" w:rsidR="00A97581" w:rsidRPr="00A97581" w:rsidRDefault="00E928A4" w:rsidP="00E928A4">
      <w:pPr>
        <w:spacing w:before="240" w:after="240" w:line="360" w:lineRule="auto"/>
        <w:jc w:val="both"/>
        <w:rPr>
          <w:rFonts w:ascii="Palatino Linotype" w:eastAsia="Palatino Linotype" w:hAnsi="Palatino Linotype" w:cs="Palatino Linotype"/>
          <w:color w:val="000000" w:themeColor="text1"/>
        </w:rPr>
      </w:pPr>
      <w:r>
        <w:rPr>
          <w:rFonts w:ascii="Palatino Linotype" w:eastAsia="Palatino Linotype" w:hAnsi="Palatino Linotype" w:cs="Palatino Linotype"/>
        </w:rPr>
        <w:t xml:space="preserve">En tanto, en el presente caso queda sin materia, toda vez que con el alcance al Informe Justificado, el </w:t>
      </w:r>
      <w:r w:rsidR="00A97581">
        <w:rPr>
          <w:rFonts w:ascii="Palatino Linotype" w:eastAsia="Palatino Linotype" w:hAnsi="Palatino Linotype" w:cs="Palatino Linotype"/>
          <w:b/>
        </w:rPr>
        <w:t>Sujeto Obligado</w:t>
      </w:r>
      <w:r w:rsidR="00A97581">
        <w:rPr>
          <w:rFonts w:ascii="Palatino Linotype" w:eastAsia="Palatino Linotype" w:hAnsi="Palatino Linotype" w:cs="Palatino Linotype"/>
        </w:rPr>
        <w:t xml:space="preserve"> </w:t>
      </w:r>
      <w:r>
        <w:rPr>
          <w:rFonts w:ascii="Palatino Linotype" w:eastAsia="Palatino Linotype" w:hAnsi="Palatino Linotype" w:cs="Palatino Linotype"/>
        </w:rPr>
        <w:t xml:space="preserve">modificó la respuesta </w:t>
      </w:r>
      <w:r w:rsidRPr="00A97581">
        <w:rPr>
          <w:rFonts w:ascii="Palatino Linotype" w:eastAsia="Palatino Linotype" w:hAnsi="Palatino Linotype" w:cs="Palatino Linotype"/>
          <w:color w:val="000000" w:themeColor="text1"/>
        </w:rPr>
        <w:t xml:space="preserve">al remitir </w:t>
      </w:r>
      <w:r w:rsidR="00A97581" w:rsidRPr="00A97581">
        <w:rPr>
          <w:rFonts w:ascii="Palatino Linotype" w:eastAsia="Palatino Linotype" w:hAnsi="Palatino Linotype" w:cs="Palatino Linotype"/>
          <w:color w:val="000000" w:themeColor="text1"/>
        </w:rPr>
        <w:t xml:space="preserve"> la liga electrónica e indicando el procedimiento para consultar la información concerniente a los procesos de selección e invitación pública. </w:t>
      </w:r>
    </w:p>
    <w:p w14:paraId="2EADE84B" w14:textId="77777777" w:rsidR="00E928A4" w:rsidRDefault="00E928A4" w:rsidP="00E928A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omando en consideración dicha circunstancia, así como el hecho de que la información proporcionada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fue puesta a la vista de la parte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con la finalidad de que manifestara lo que a su derecho conviniera, sin que obre constancia en el expediente electrónico de que dicho derecho se hiciera </w:t>
      </w:r>
      <w:r>
        <w:rPr>
          <w:rFonts w:ascii="Palatino Linotype" w:eastAsia="Palatino Linotype" w:hAnsi="Palatino Linotype" w:cs="Palatino Linotype"/>
        </w:rPr>
        <w:lastRenderedPageBreak/>
        <w:t>valer, debe entenderse que ha quedado satisfecha la solicitud planteada, quedando sin materia el presente recurso de revisión, consecuentemente se actualiza la causal prevista en la fracción III del artículo 192 de la Ley de la Materia vigente en la Entidad, antes transcrita.</w:t>
      </w:r>
    </w:p>
    <w:p w14:paraId="60B55677" w14:textId="77777777" w:rsidR="00E928A4" w:rsidRDefault="00E928A4" w:rsidP="00E928A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resumen,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dio respuesta completa a la solicitud de acceso a la información pública del ahora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14:paraId="27C30F8A" w14:textId="77777777" w:rsidR="00E928A4" w:rsidRDefault="00E928A4" w:rsidP="00E928A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Siendo el </w:t>
      </w:r>
      <w:r>
        <w:rPr>
          <w:rFonts w:ascii="Palatino Linotype" w:eastAsia="Palatino Linotype" w:hAnsi="Palatino Linotype" w:cs="Palatino Linotype"/>
          <w:i/>
        </w:rPr>
        <w:t>sobreseimiento</w:t>
      </w:r>
      <w:r>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la </w:t>
      </w:r>
      <w:r>
        <w:rPr>
          <w:rFonts w:ascii="Palatino Linotype" w:eastAsia="Palatino Linotype" w:hAnsi="Palatino Linotype" w:cs="Palatino Linotype"/>
          <w:b/>
        </w:rPr>
        <w:t>RECURRENTE</w:t>
      </w:r>
      <w:r>
        <w:rPr>
          <w:rFonts w:ascii="Palatino Linotype" w:eastAsia="Palatino Linotype" w:hAnsi="Palatino Linotype" w:cs="Palatino Linotype"/>
        </w:rPr>
        <w:t>, los efectos del sobreseimiento son los dar por concluido el recurso administrativo sin entrar al estudio de fondo del asunto de que se trate; lo anterior con apoyo en el criterio del Poder Judicial de la Federación con rubro:</w:t>
      </w:r>
    </w:p>
    <w:p w14:paraId="0137E1BA" w14:textId="77777777" w:rsidR="00E928A4" w:rsidRDefault="00E928A4" w:rsidP="00E928A4">
      <w:pPr>
        <w:spacing w:before="240"/>
        <w:ind w:left="567" w:right="567"/>
        <w:jc w:val="both"/>
        <w:rPr>
          <w:rFonts w:ascii="Palatino Linotype" w:eastAsia="Palatino Linotype" w:hAnsi="Palatino Linotype" w:cs="Palatino Linotype"/>
          <w:b/>
          <w:i/>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SOBRESEIMIENTO, NO PERMITE ENTRAR AL ESTUDIO DE LAS CUESTIONES DE FONDO</w:t>
      </w:r>
    </w:p>
    <w:p w14:paraId="57DB3FB6" w14:textId="77777777" w:rsidR="00E928A4" w:rsidRDefault="00E928A4" w:rsidP="00E928A4">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Localización: 213609. II.2o.183 K. Tribunales Colegiados de Circuito. Octava Época. Semanario Judicial de la Federación. Tomo XIII, Febrero de 1994, Pág. 420</w:t>
      </w:r>
    </w:p>
    <w:p w14:paraId="11280A3B" w14:textId="77777777" w:rsidR="00E928A4" w:rsidRDefault="00E928A4" w:rsidP="00E928A4">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481D2198" w14:textId="77777777" w:rsidR="00E928A4" w:rsidRDefault="00E928A4" w:rsidP="00E928A4">
      <w:pPr>
        <w:ind w:left="567" w:right="567"/>
        <w:jc w:val="both"/>
        <w:rPr>
          <w:rFonts w:ascii="Palatino Linotype" w:eastAsia="Palatino Linotype" w:hAnsi="Palatino Linotype" w:cs="Palatino Linotype"/>
          <w:i/>
          <w:sz w:val="22"/>
          <w:szCs w:val="22"/>
        </w:rPr>
      </w:pPr>
    </w:p>
    <w:p w14:paraId="209EABD9" w14:textId="77777777" w:rsidR="00E928A4" w:rsidRDefault="00E928A4" w:rsidP="00E928A4">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Cabe destacar que la decisión de este órgano colegiado de sobreseer el recurso de revisión no implica una limitación o negación a la justicia, según lo ha establecido el Poder Judicial Federal, en el criterio que es aplicable por analogía, con rubro:</w:t>
      </w:r>
    </w:p>
    <w:p w14:paraId="02335F54" w14:textId="77777777" w:rsidR="00E928A4" w:rsidRDefault="00E928A4" w:rsidP="00E928A4">
      <w:pPr>
        <w:spacing w:before="240"/>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rPr>
        <w:t xml:space="preserve"> </w:t>
      </w:r>
      <w:r>
        <w:rPr>
          <w:rFonts w:ascii="Palatino Linotype" w:eastAsia="Palatino Linotype" w:hAnsi="Palatino Linotype" w:cs="Palatino Linotype"/>
          <w:i/>
          <w:sz w:val="22"/>
          <w:szCs w:val="22"/>
        </w:rPr>
        <w:t>“DESECHAMIENTO O SOBRESEIMIENTO EN EL JUICIO DE AMPARO. NO IMPLICA DENEGACIÓN DE JUSTICIA NI GENERA INSEGURIDAD JURÍDICA”</w:t>
      </w:r>
    </w:p>
    <w:p w14:paraId="07DCD589" w14:textId="77777777" w:rsidR="00E928A4" w:rsidRDefault="00E928A4" w:rsidP="00E928A4">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14:paraId="3DF8AF34" w14:textId="77777777" w:rsidR="003F43AF" w:rsidRPr="003F43AF" w:rsidRDefault="003F43AF" w:rsidP="003F43AF">
      <w:pPr>
        <w:spacing w:before="240" w:after="240" w:line="360" w:lineRule="auto"/>
        <w:contextualSpacing/>
        <w:jc w:val="both"/>
        <w:rPr>
          <w:rFonts w:ascii="Palatino Linotype" w:eastAsia="Calibri" w:hAnsi="Palatino Linotype"/>
          <w:lang w:val="es-CO" w:eastAsia="es-ES"/>
        </w:rPr>
      </w:pPr>
    </w:p>
    <w:p w14:paraId="086644D6" w14:textId="77777777" w:rsidR="003F43AF" w:rsidRPr="003F43AF" w:rsidRDefault="003F43AF" w:rsidP="003F43AF">
      <w:pPr>
        <w:spacing w:before="240" w:after="240" w:line="360" w:lineRule="auto"/>
        <w:jc w:val="both"/>
        <w:rPr>
          <w:rFonts w:ascii="Palatino Linotype" w:hAnsi="Palatino Linotype" w:cs="Arial"/>
          <w:lang w:val="es-MX" w:eastAsia="es-ES"/>
        </w:rPr>
      </w:pPr>
      <w:r w:rsidRPr="003F43AF">
        <w:rPr>
          <w:rFonts w:ascii="Palatino Linotype" w:hAnsi="Palatino Linotype" w:cs="Arial"/>
          <w:lang w:val="es-MX" w:eastAsia="es-ES"/>
        </w:rPr>
        <w:t xml:space="preserve">Así, con fundamento en lo prescrito en los artículos 5 </w:t>
      </w:r>
      <w:r w:rsidRPr="003F43AF">
        <w:rPr>
          <w:rFonts w:ascii="Palatino Linotype" w:hAnsi="Palatino Linotype"/>
          <w:shd w:val="clear" w:color="auto" w:fill="FFFFFF"/>
          <w:lang w:val="es-MX" w:eastAsia="es-ES"/>
        </w:rPr>
        <w:t>párrafos</w:t>
      </w:r>
      <w:r w:rsidRPr="003F43AF">
        <w:rPr>
          <w:rFonts w:ascii="Palatino Linotype" w:hAnsi="Palatino Linotype"/>
          <w:shd w:val="clear" w:color="auto" w:fill="FFFFFF"/>
          <w:lang w:eastAsia="es-ES"/>
        </w:rPr>
        <w:t xml:space="preserve"> trigésimo, trigésimo primero y trigésimo segundo, fracciones IV y V </w:t>
      </w:r>
      <w:r w:rsidRPr="003F43AF">
        <w:rPr>
          <w:rFonts w:ascii="Palatino Linotype" w:hAnsi="Palatino Linotype" w:cs="Arial"/>
          <w:lang w:val="es-MX" w:eastAsia="es-ES"/>
        </w:rPr>
        <w:t>de la Constitución Política del Estado Libre y Soberano de México; 2, fracción II; 29, 36 fracciones I y II; 176, 178, 181, 185 de la Ley de Transparencia y Acceso a la Información Pública del Estado de México y Municipios, este Pleno:</w:t>
      </w:r>
    </w:p>
    <w:p w14:paraId="566B7FF6" w14:textId="77777777" w:rsidR="003F43AF" w:rsidRPr="003F43AF" w:rsidRDefault="003F43AF" w:rsidP="003F43AF">
      <w:pPr>
        <w:numPr>
          <w:ilvl w:val="0"/>
          <w:numId w:val="8"/>
        </w:numPr>
        <w:spacing w:before="100" w:beforeAutospacing="1" w:after="100" w:afterAutospacing="1" w:line="360" w:lineRule="auto"/>
        <w:ind w:left="284" w:hanging="426"/>
        <w:jc w:val="center"/>
        <w:rPr>
          <w:rFonts w:ascii="Palatino Linotype" w:hAnsi="Palatino Linotype" w:cs="Arial"/>
          <w:b/>
          <w:lang w:val="es-MX"/>
        </w:rPr>
      </w:pPr>
      <w:r w:rsidRPr="003F43AF">
        <w:rPr>
          <w:rFonts w:ascii="Palatino Linotype" w:hAnsi="Palatino Linotype" w:cs="Arial"/>
          <w:b/>
          <w:lang w:val="es-MX"/>
        </w:rPr>
        <w:t>R E S U E L V E:</w:t>
      </w:r>
    </w:p>
    <w:p w14:paraId="7518DF60" w14:textId="77777777" w:rsidR="00E928A4" w:rsidRPr="00A97581" w:rsidRDefault="003F43AF" w:rsidP="00E928A4">
      <w:pPr>
        <w:spacing w:line="360" w:lineRule="auto"/>
        <w:jc w:val="both"/>
        <w:rPr>
          <w:rFonts w:ascii="Palatino Linotype" w:eastAsia="Palatino Linotype" w:hAnsi="Palatino Linotype" w:cs="Palatino Linotype"/>
          <w:color w:val="000000" w:themeColor="text1"/>
        </w:rPr>
      </w:pPr>
      <w:r w:rsidRPr="003F43AF">
        <w:rPr>
          <w:rFonts w:ascii="Palatino Linotype" w:hAnsi="Palatino Linotype" w:cs="Arial"/>
          <w:b/>
          <w:lang w:eastAsia="es-ES"/>
        </w:rPr>
        <w:t>Primero.</w:t>
      </w:r>
      <w:r w:rsidRPr="003F43AF">
        <w:rPr>
          <w:rFonts w:ascii="Palatino Linotype" w:eastAsia="Calibri" w:hAnsi="Palatino Linotype"/>
          <w:lang w:eastAsia="es-ES"/>
        </w:rPr>
        <w:t xml:space="preserve"> </w:t>
      </w:r>
      <w:r w:rsidRPr="003F43AF">
        <w:rPr>
          <w:rFonts w:ascii="Palatino Linotype" w:hAnsi="Palatino Linotype" w:cs="Arial"/>
          <w:lang w:eastAsia="es-ES"/>
        </w:rPr>
        <w:t xml:space="preserve">Se </w:t>
      </w:r>
      <w:r w:rsidRPr="003F43AF">
        <w:rPr>
          <w:rFonts w:ascii="Palatino Linotype" w:hAnsi="Palatino Linotype" w:cs="Arial"/>
          <w:b/>
          <w:lang w:eastAsia="es-ES"/>
        </w:rPr>
        <w:t>SOBRESEE</w:t>
      </w:r>
      <w:r w:rsidRPr="003F43AF">
        <w:rPr>
          <w:rFonts w:ascii="Palatino Linotype" w:hAnsi="Palatino Linotype" w:cs="Arial"/>
          <w:lang w:eastAsia="es-ES"/>
        </w:rPr>
        <w:t xml:space="preserve"> el recurso de revisión </w:t>
      </w:r>
      <w:r w:rsidR="002D1F08">
        <w:rPr>
          <w:rFonts w:ascii="Palatino Linotype" w:hAnsi="Palatino Linotype" w:cs="Arial"/>
          <w:b/>
          <w:lang w:eastAsia="es-ES"/>
        </w:rPr>
        <w:t>05624/INFOEM/IP/RR/2022</w:t>
      </w:r>
      <w:r w:rsidRPr="003F43AF">
        <w:rPr>
          <w:rFonts w:ascii="Palatino Linotype" w:hAnsi="Palatino Linotype" w:cs="Arial"/>
          <w:b/>
          <w:lang w:eastAsia="es-ES"/>
        </w:rPr>
        <w:t xml:space="preserve">, </w:t>
      </w:r>
      <w:r w:rsidR="00E928A4" w:rsidRPr="00A97581">
        <w:rPr>
          <w:rFonts w:ascii="Palatino Linotype" w:eastAsia="Palatino Linotype" w:hAnsi="Palatino Linotype" w:cs="Palatino Linotype"/>
          <w:color w:val="000000" w:themeColor="text1"/>
        </w:rPr>
        <w:t xml:space="preserve">porque al </w:t>
      </w:r>
      <w:r w:rsidR="00E928A4" w:rsidRPr="00A97581">
        <w:rPr>
          <w:rFonts w:ascii="Palatino Linotype" w:eastAsia="Palatino Linotype" w:hAnsi="Palatino Linotype" w:cs="Palatino Linotype"/>
          <w:b/>
          <w:color w:val="000000" w:themeColor="text1"/>
        </w:rPr>
        <w:t>modificar la respuesta</w:t>
      </w:r>
      <w:r w:rsidR="00E928A4" w:rsidRPr="00A97581">
        <w:rPr>
          <w:rFonts w:ascii="Palatino Linotype" w:eastAsia="Palatino Linotype" w:hAnsi="Palatino Linotype" w:cs="Palatino Linotype"/>
          <w:color w:val="000000" w:themeColor="text1"/>
        </w:rPr>
        <w:t xml:space="preserve"> se actualizó la causal prevista en el artículo 192, fracción </w:t>
      </w:r>
      <w:r w:rsidR="00E928A4" w:rsidRPr="00A97581">
        <w:rPr>
          <w:rFonts w:ascii="Palatino Linotype" w:eastAsia="Palatino Linotype" w:hAnsi="Palatino Linotype" w:cs="Palatino Linotype"/>
          <w:color w:val="000000" w:themeColor="text1"/>
        </w:rPr>
        <w:lastRenderedPageBreak/>
        <w:t xml:space="preserve">III, de la Ley de Transparencia y Acceso a la Información Pública del Estado de México y Municipios, quedando sin materia en términos del considerando </w:t>
      </w:r>
      <w:r w:rsidR="00E928A4" w:rsidRPr="00A97581">
        <w:rPr>
          <w:rFonts w:ascii="Palatino Linotype" w:eastAsia="Palatino Linotype" w:hAnsi="Palatino Linotype" w:cs="Palatino Linotype"/>
          <w:b/>
          <w:color w:val="000000" w:themeColor="text1"/>
        </w:rPr>
        <w:t xml:space="preserve">Tercero </w:t>
      </w:r>
      <w:r w:rsidR="00E928A4" w:rsidRPr="00A97581">
        <w:rPr>
          <w:rFonts w:ascii="Palatino Linotype" w:eastAsia="Palatino Linotype" w:hAnsi="Palatino Linotype" w:cs="Palatino Linotype"/>
          <w:color w:val="000000" w:themeColor="text1"/>
        </w:rPr>
        <w:t>de la presente Resolución.</w:t>
      </w:r>
    </w:p>
    <w:p w14:paraId="563E4C00" w14:textId="77777777" w:rsidR="003F43AF" w:rsidRPr="00A97581" w:rsidRDefault="003F43AF" w:rsidP="00E928A4">
      <w:pPr>
        <w:spacing w:before="240" w:after="240" w:line="360" w:lineRule="auto"/>
        <w:ind w:right="49"/>
        <w:jc w:val="both"/>
        <w:rPr>
          <w:rFonts w:ascii="Palatino Linotype" w:hAnsi="Palatino Linotype" w:cs="Arial"/>
          <w:color w:val="000000" w:themeColor="text1"/>
          <w:lang w:val="es-MX" w:eastAsia="es-ES"/>
        </w:rPr>
      </w:pPr>
      <w:r w:rsidRPr="00A97581">
        <w:rPr>
          <w:rFonts w:ascii="Palatino Linotype" w:hAnsi="Palatino Linotype" w:cs="Arial"/>
          <w:b/>
          <w:bCs/>
          <w:color w:val="000000" w:themeColor="text1"/>
          <w:szCs w:val="28"/>
          <w:shd w:val="clear" w:color="auto" w:fill="FFFFFF"/>
          <w:lang w:eastAsia="es-ES"/>
        </w:rPr>
        <w:t>Segundo</w:t>
      </w:r>
      <w:r w:rsidRPr="00A97581">
        <w:rPr>
          <w:rFonts w:ascii="Palatino Linotype" w:hAnsi="Palatino Linotype" w:cs="Arial"/>
          <w:b/>
          <w:bCs/>
          <w:color w:val="000000" w:themeColor="text1"/>
          <w:sz w:val="28"/>
          <w:szCs w:val="28"/>
          <w:shd w:val="clear" w:color="auto" w:fill="FFFFFF"/>
          <w:lang w:eastAsia="es-ES"/>
        </w:rPr>
        <w:t>.</w:t>
      </w:r>
      <w:r w:rsidRPr="00A97581">
        <w:rPr>
          <w:rFonts w:ascii="Palatino Linotype" w:hAnsi="Palatino Linotype" w:cs="Arial"/>
          <w:b/>
          <w:bCs/>
          <w:color w:val="000000" w:themeColor="text1"/>
          <w:sz w:val="19"/>
          <w:szCs w:val="19"/>
          <w:shd w:val="clear" w:color="auto" w:fill="FFFFFF"/>
          <w:lang w:eastAsia="es-ES"/>
        </w:rPr>
        <w:t xml:space="preserve"> </w:t>
      </w:r>
      <w:r w:rsidR="00E928A4" w:rsidRPr="00A97581">
        <w:rPr>
          <w:rFonts w:ascii="Palatino Linotype" w:eastAsia="Palatino Linotype" w:hAnsi="Palatino Linotype" w:cs="Palatino Linotype"/>
          <w:b/>
          <w:color w:val="000000" w:themeColor="text1"/>
          <w:highlight w:val="white"/>
        </w:rPr>
        <w:t xml:space="preserve">Notifíquese vía </w:t>
      </w:r>
      <w:r w:rsidR="00E928A4" w:rsidRPr="00A97581">
        <w:rPr>
          <w:rFonts w:ascii="Palatino Linotype" w:eastAsia="Palatino Linotype" w:hAnsi="Palatino Linotype" w:cs="Palatino Linotype"/>
          <w:color w:val="000000" w:themeColor="text1"/>
        </w:rPr>
        <w:t>Sistema de Acceso a la Información Mexiquense (</w:t>
      </w:r>
      <w:r w:rsidR="00E928A4" w:rsidRPr="00A97581">
        <w:rPr>
          <w:rFonts w:ascii="Palatino Linotype" w:eastAsia="Palatino Linotype" w:hAnsi="Palatino Linotype" w:cs="Palatino Linotype"/>
          <w:b/>
          <w:color w:val="000000" w:themeColor="text1"/>
          <w:highlight w:val="white"/>
        </w:rPr>
        <w:t>SAIMEX)</w:t>
      </w:r>
      <w:r w:rsidR="00E928A4" w:rsidRPr="00A97581">
        <w:rPr>
          <w:rFonts w:ascii="Palatino Linotype" w:eastAsia="Palatino Linotype" w:hAnsi="Palatino Linotype" w:cs="Palatino Linotype"/>
          <w:b/>
          <w:i/>
          <w:color w:val="000000" w:themeColor="text1"/>
          <w:highlight w:val="white"/>
        </w:rPr>
        <w:t xml:space="preserve">, </w:t>
      </w:r>
      <w:r w:rsidR="00E928A4" w:rsidRPr="00A97581">
        <w:rPr>
          <w:rFonts w:ascii="Palatino Linotype" w:eastAsia="Palatino Linotype" w:hAnsi="Palatino Linotype" w:cs="Palatino Linotype"/>
          <w:color w:val="000000" w:themeColor="text1"/>
          <w:highlight w:val="white"/>
        </w:rPr>
        <w:t xml:space="preserve">al Titular de la Unidad de Transparencia del </w:t>
      </w:r>
      <w:r w:rsidR="00E928A4" w:rsidRPr="00A97581">
        <w:rPr>
          <w:rFonts w:ascii="Palatino Linotype" w:eastAsia="Palatino Linotype" w:hAnsi="Palatino Linotype" w:cs="Palatino Linotype"/>
          <w:b/>
          <w:color w:val="000000" w:themeColor="text1"/>
          <w:highlight w:val="white"/>
        </w:rPr>
        <w:t>SUJETO OBLIGADO</w:t>
      </w:r>
      <w:r w:rsidR="00E928A4" w:rsidRPr="00A97581">
        <w:rPr>
          <w:rFonts w:ascii="Palatino Linotype" w:eastAsia="Palatino Linotype" w:hAnsi="Palatino Linotype" w:cs="Palatino Linotype"/>
          <w:color w:val="000000" w:themeColor="text1"/>
          <w:highlight w:val="white"/>
        </w:rPr>
        <w:t xml:space="preserve"> la presente resolución, para su conocimiento.</w:t>
      </w:r>
    </w:p>
    <w:p w14:paraId="2EF68C05" w14:textId="77777777" w:rsidR="003F43AF" w:rsidRPr="003F43AF" w:rsidRDefault="003F43AF" w:rsidP="003F43AF">
      <w:pPr>
        <w:spacing w:before="240" w:after="240" w:line="360" w:lineRule="auto"/>
        <w:jc w:val="both"/>
        <w:rPr>
          <w:rFonts w:ascii="Palatino Linotype" w:hAnsi="Palatino Linotype" w:cs="Arial"/>
          <w:lang w:eastAsia="es-ES"/>
        </w:rPr>
      </w:pPr>
      <w:r w:rsidRPr="003F43AF">
        <w:rPr>
          <w:rFonts w:ascii="Palatino Linotype" w:hAnsi="Palatino Linotype" w:cs="Arial"/>
          <w:b/>
          <w:bCs/>
          <w:szCs w:val="28"/>
          <w:shd w:val="clear" w:color="auto" w:fill="FFFFFF"/>
          <w:lang w:eastAsia="es-ES"/>
        </w:rPr>
        <w:t>Tercero.</w:t>
      </w:r>
      <w:r w:rsidRPr="003F43AF">
        <w:rPr>
          <w:rFonts w:ascii="Palatino Linotype" w:hAnsi="Palatino Linotype" w:cs="Arial"/>
          <w:b/>
          <w:bCs/>
          <w:sz w:val="28"/>
          <w:szCs w:val="28"/>
          <w:shd w:val="clear" w:color="auto" w:fill="FFFFFF"/>
          <w:lang w:eastAsia="es-ES"/>
        </w:rPr>
        <w:t xml:space="preserve"> </w:t>
      </w:r>
      <w:r w:rsidRPr="003F43AF">
        <w:rPr>
          <w:rFonts w:ascii="Palatino Linotype" w:hAnsi="Palatino Linotype" w:cs="Arial"/>
          <w:b/>
          <w:lang w:val="es-MX"/>
        </w:rPr>
        <w:t xml:space="preserve">Notifíquese vía Sistema de Acceso a la Información Mexiquense (SAIMEX), </w:t>
      </w:r>
      <w:r w:rsidRPr="003F43AF">
        <w:rPr>
          <w:rFonts w:ascii="Palatino Linotype" w:hAnsi="Palatino Linotype" w:cs="Arial"/>
          <w:lang w:val="es-MX"/>
        </w:rPr>
        <w:t>la presente resolución a la parte recurrente</w:t>
      </w:r>
      <w:r w:rsidRPr="003F43AF">
        <w:rPr>
          <w:rFonts w:ascii="Palatino Linotype" w:hAnsi="Palatino Linotype" w:cs="Arial"/>
          <w:lang w:eastAsia="es-ES"/>
        </w:rPr>
        <w:t xml:space="preserve">, así como, que de conformidad con lo establecido en el artículo 196 de la Ley de Transparencia y Acceso a la Información Pública del Estado de México y Municipios, podrá impugnarla vía </w:t>
      </w:r>
      <w:r w:rsidRPr="003F43AF">
        <w:rPr>
          <w:rFonts w:ascii="Palatino Linotype" w:hAnsi="Palatino Linotype" w:cs="Arial"/>
          <w:b/>
          <w:lang w:eastAsia="es-ES"/>
        </w:rPr>
        <w:t>Juicio de Amparo</w:t>
      </w:r>
      <w:r w:rsidRPr="003F43AF">
        <w:rPr>
          <w:rFonts w:ascii="Palatino Linotype" w:hAnsi="Palatino Linotype" w:cs="Arial"/>
          <w:lang w:eastAsia="es-ES"/>
        </w:rPr>
        <w:t xml:space="preserve"> en los términos de las leyes aplicables.</w:t>
      </w:r>
    </w:p>
    <w:p w14:paraId="4366647F" w14:textId="5C5172AB" w:rsidR="00C8730C" w:rsidRDefault="00D23B6E">
      <w:pPr>
        <w:spacing w:before="240" w:after="240" w:line="360" w:lineRule="auto"/>
        <w:jc w:val="both"/>
        <w:rPr>
          <w:rFonts w:ascii="Palatino Linotype" w:eastAsia="Palatino Linotype" w:hAnsi="Palatino Linotype" w:cs="Palatino Linotype"/>
        </w:rPr>
      </w:pPr>
      <w:bookmarkStart w:id="5" w:name="_heading=h.3rdcrjn" w:colFirst="0" w:colLast="0"/>
      <w:bookmarkEnd w:id="5"/>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w:t>
      </w:r>
      <w:r w:rsidR="007D1773">
        <w:rPr>
          <w:rFonts w:ascii="Palatino Linotype" w:eastAsia="Palatino Linotype" w:hAnsi="Palatino Linotype" w:cs="Palatino Linotype"/>
        </w:rPr>
        <w:t>NOVEN</w:t>
      </w:r>
      <w:r w:rsidR="009A6885">
        <w:rPr>
          <w:rFonts w:ascii="Palatino Linotype" w:eastAsia="Palatino Linotype" w:hAnsi="Palatino Linotype" w:cs="Palatino Linotype"/>
        </w:rPr>
        <w:t xml:space="preserve">A </w:t>
      </w:r>
      <w:r>
        <w:rPr>
          <w:rFonts w:ascii="Palatino Linotype" w:eastAsia="Palatino Linotype" w:hAnsi="Palatino Linotype" w:cs="Palatino Linotype"/>
        </w:rPr>
        <w:t>SESIÓ</w:t>
      </w:r>
      <w:r w:rsidR="007D1773">
        <w:rPr>
          <w:rFonts w:ascii="Palatino Linotype" w:eastAsia="Palatino Linotype" w:hAnsi="Palatino Linotype" w:cs="Palatino Linotype"/>
        </w:rPr>
        <w:t>N ORDINARIA CELEBRADA EL DIECISIETE</w:t>
      </w:r>
      <w:r w:rsidR="009A6885">
        <w:rPr>
          <w:rFonts w:ascii="Palatino Linotype" w:eastAsia="Palatino Linotype" w:hAnsi="Palatino Linotype" w:cs="Palatino Linotype"/>
        </w:rPr>
        <w:t xml:space="preserve"> DE AGOSTO</w:t>
      </w:r>
      <w:r>
        <w:rPr>
          <w:rFonts w:ascii="Palatino Linotype" w:eastAsia="Palatino Linotype" w:hAnsi="Palatino Linotype" w:cs="Palatino Linotype"/>
        </w:rPr>
        <w:t xml:space="preserve"> DE DOS MIL VEINTIDÓS, ANTE EL SECRETARIO TÉCNICO DEL PLENO ALEXIS TAPIA RAMÍREZ.</w:t>
      </w:r>
    </w:p>
    <w:p w14:paraId="3BA8FCB0" w14:textId="5CF2BB5C" w:rsidR="00107267" w:rsidRDefault="00107267">
      <w:pPr>
        <w:spacing w:before="240" w:after="240" w:line="360" w:lineRule="auto"/>
        <w:jc w:val="both"/>
        <w:rPr>
          <w:rFonts w:ascii="Palatino Linotype" w:eastAsia="Palatino Linotype" w:hAnsi="Palatino Linotype" w:cs="Palatino Linotype"/>
        </w:rPr>
      </w:pPr>
    </w:p>
    <w:p w14:paraId="670AA6F0" w14:textId="1EB34252" w:rsidR="00107267" w:rsidRDefault="00107267">
      <w:pPr>
        <w:spacing w:before="240" w:after="240" w:line="360" w:lineRule="auto"/>
        <w:jc w:val="both"/>
        <w:rPr>
          <w:rFonts w:ascii="Palatino Linotype" w:eastAsia="Palatino Linotype" w:hAnsi="Palatino Linotype" w:cs="Palatino Linotype"/>
        </w:rPr>
      </w:pPr>
    </w:p>
    <w:p w14:paraId="5E04044D" w14:textId="5B25E6DF" w:rsidR="00107267" w:rsidRDefault="00107267">
      <w:pPr>
        <w:spacing w:before="240" w:after="240" w:line="360" w:lineRule="auto"/>
        <w:jc w:val="both"/>
        <w:rPr>
          <w:rFonts w:ascii="Palatino Linotype" w:eastAsia="Palatino Linotype" w:hAnsi="Palatino Linotype" w:cs="Palatino Linotype"/>
        </w:rPr>
      </w:pPr>
    </w:p>
    <w:p w14:paraId="5816DE3D" w14:textId="0058B337" w:rsidR="00107267" w:rsidRDefault="00107267">
      <w:pPr>
        <w:spacing w:before="240" w:after="240" w:line="360" w:lineRule="auto"/>
        <w:jc w:val="both"/>
        <w:rPr>
          <w:rFonts w:ascii="Palatino Linotype" w:eastAsia="Palatino Linotype" w:hAnsi="Palatino Linotype" w:cs="Palatino Linotype"/>
        </w:rPr>
      </w:pPr>
    </w:p>
    <w:p w14:paraId="65DFEB6B" w14:textId="5A5748AE" w:rsidR="00107267" w:rsidRDefault="00107267">
      <w:pPr>
        <w:spacing w:before="240" w:after="240" w:line="360" w:lineRule="auto"/>
        <w:jc w:val="both"/>
        <w:rPr>
          <w:rFonts w:ascii="Palatino Linotype" w:eastAsia="Palatino Linotype" w:hAnsi="Palatino Linotype" w:cs="Palatino Linotype"/>
        </w:rPr>
      </w:pPr>
    </w:p>
    <w:p w14:paraId="618C1725" w14:textId="5660E1C6" w:rsidR="00107267" w:rsidRDefault="00107267">
      <w:pPr>
        <w:spacing w:before="240" w:after="240" w:line="360" w:lineRule="auto"/>
        <w:jc w:val="both"/>
        <w:rPr>
          <w:rFonts w:ascii="Palatino Linotype" w:eastAsia="Palatino Linotype" w:hAnsi="Palatino Linotype" w:cs="Palatino Linotype"/>
        </w:rPr>
      </w:pPr>
    </w:p>
    <w:p w14:paraId="5DC24205" w14:textId="006B9289" w:rsidR="00107267" w:rsidRDefault="00107267">
      <w:pPr>
        <w:spacing w:before="240" w:after="240" w:line="360" w:lineRule="auto"/>
        <w:jc w:val="both"/>
        <w:rPr>
          <w:rFonts w:ascii="Palatino Linotype" w:eastAsia="Palatino Linotype" w:hAnsi="Palatino Linotype" w:cs="Palatino Linotype"/>
        </w:rPr>
      </w:pPr>
    </w:p>
    <w:p w14:paraId="39E147A5" w14:textId="12864F6D" w:rsidR="00107267" w:rsidRDefault="00107267">
      <w:pPr>
        <w:spacing w:before="240" w:after="240" w:line="360" w:lineRule="auto"/>
        <w:jc w:val="both"/>
        <w:rPr>
          <w:rFonts w:ascii="Palatino Linotype" w:eastAsia="Palatino Linotype" w:hAnsi="Palatino Linotype" w:cs="Palatino Linotype"/>
        </w:rPr>
      </w:pPr>
    </w:p>
    <w:p w14:paraId="45A1B64E" w14:textId="67DBA088" w:rsidR="00107267" w:rsidRDefault="00107267">
      <w:pPr>
        <w:spacing w:before="240" w:after="240" w:line="360" w:lineRule="auto"/>
        <w:jc w:val="both"/>
        <w:rPr>
          <w:rFonts w:ascii="Palatino Linotype" w:eastAsia="Palatino Linotype" w:hAnsi="Palatino Linotype" w:cs="Palatino Linotype"/>
        </w:rPr>
      </w:pPr>
    </w:p>
    <w:p w14:paraId="6FAA6535" w14:textId="76F9A05B" w:rsidR="00107267" w:rsidRDefault="00107267">
      <w:pPr>
        <w:spacing w:before="240" w:after="240" w:line="360" w:lineRule="auto"/>
        <w:jc w:val="both"/>
        <w:rPr>
          <w:rFonts w:ascii="Palatino Linotype" w:eastAsia="Palatino Linotype" w:hAnsi="Palatino Linotype" w:cs="Palatino Linotype"/>
        </w:rPr>
      </w:pPr>
    </w:p>
    <w:p w14:paraId="6189B7DF" w14:textId="77777777" w:rsidR="00107267" w:rsidRDefault="00107267">
      <w:pPr>
        <w:spacing w:before="240" w:after="240" w:line="360" w:lineRule="auto"/>
        <w:jc w:val="both"/>
        <w:rPr>
          <w:rFonts w:ascii="Palatino Linotype" w:eastAsia="Palatino Linotype" w:hAnsi="Palatino Linotype" w:cs="Palatino Linotype"/>
        </w:rPr>
      </w:pPr>
    </w:p>
    <w:sectPr w:rsidR="00107267">
      <w:headerReference w:type="default" r:id="rId25"/>
      <w:footerReference w:type="default" r:id="rId26"/>
      <w:headerReference w:type="first" r:id="rId27"/>
      <w:footerReference w:type="first" r:id="rId28"/>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7D5FEA" w14:textId="77777777" w:rsidR="00913FA8" w:rsidRDefault="00913FA8">
      <w:r>
        <w:separator/>
      </w:r>
    </w:p>
  </w:endnote>
  <w:endnote w:type="continuationSeparator" w:id="0">
    <w:p w14:paraId="14985978" w14:textId="77777777" w:rsidR="00913FA8" w:rsidRDefault="00913F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C8B31" w14:textId="77777777" w:rsidR="005F21DB" w:rsidRDefault="005F21D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965BA">
      <w:rPr>
        <w:rFonts w:ascii="Palatino Linotype" w:eastAsia="Palatino Linotype" w:hAnsi="Palatino Linotype" w:cs="Palatino Linotype"/>
        <w:b/>
        <w:noProof/>
        <w:color w:val="000000"/>
        <w:sz w:val="20"/>
        <w:szCs w:val="20"/>
      </w:rPr>
      <w:t>31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965BA">
      <w:rPr>
        <w:rFonts w:ascii="Palatino Linotype" w:eastAsia="Palatino Linotype" w:hAnsi="Palatino Linotype" w:cs="Palatino Linotype"/>
        <w:b/>
        <w:noProof/>
        <w:color w:val="000000"/>
        <w:sz w:val="20"/>
        <w:szCs w:val="20"/>
      </w:rPr>
      <w:t>41</w:t>
    </w:r>
    <w:r>
      <w:rPr>
        <w:rFonts w:ascii="Palatino Linotype" w:eastAsia="Palatino Linotype" w:hAnsi="Palatino Linotype" w:cs="Palatino Linotype"/>
        <w:b/>
        <w:color w:val="000000"/>
        <w:sz w:val="20"/>
        <w:szCs w:val="20"/>
      </w:rPr>
      <w:fldChar w:fldCharType="end"/>
    </w:r>
  </w:p>
  <w:p w14:paraId="0244A9C0" w14:textId="77777777" w:rsidR="005F21DB" w:rsidRDefault="005F21DB">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E24301" w14:textId="77777777" w:rsidR="005F21DB" w:rsidRDefault="005F21D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965BA">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965BA">
      <w:rPr>
        <w:rFonts w:ascii="Palatino Linotype" w:eastAsia="Palatino Linotype" w:hAnsi="Palatino Linotype" w:cs="Palatino Linotype"/>
        <w:b/>
        <w:noProof/>
        <w:color w:val="000000"/>
        <w:sz w:val="20"/>
        <w:szCs w:val="20"/>
      </w:rPr>
      <w:t>41</w:t>
    </w:r>
    <w:r>
      <w:rPr>
        <w:rFonts w:ascii="Palatino Linotype" w:eastAsia="Palatino Linotype" w:hAnsi="Palatino Linotype" w:cs="Palatino Linotype"/>
        <w:b/>
        <w:color w:val="000000"/>
        <w:sz w:val="20"/>
        <w:szCs w:val="20"/>
      </w:rPr>
      <w:fldChar w:fldCharType="end"/>
    </w:r>
  </w:p>
  <w:p w14:paraId="503158ED" w14:textId="77777777" w:rsidR="005F21DB" w:rsidRDefault="005F21D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495A8A" w14:textId="77777777" w:rsidR="00913FA8" w:rsidRDefault="00913FA8">
      <w:r>
        <w:separator/>
      </w:r>
    </w:p>
  </w:footnote>
  <w:footnote w:type="continuationSeparator" w:id="0">
    <w:p w14:paraId="7F4044F7" w14:textId="77777777" w:rsidR="00913FA8" w:rsidRDefault="00913FA8">
      <w:r>
        <w:continuationSeparator/>
      </w:r>
    </w:p>
  </w:footnote>
  <w:footnote w:id="1">
    <w:p w14:paraId="5450C9C6" w14:textId="77777777" w:rsidR="005F21DB" w:rsidRPr="006E31CF" w:rsidRDefault="005F21DB" w:rsidP="003F43AF">
      <w:pPr>
        <w:pStyle w:val="Textonotapie"/>
        <w:rPr>
          <w:rFonts w:ascii="Palatino Linotype" w:hAnsi="Palatino Linotype"/>
          <w:sz w:val="18"/>
        </w:rPr>
      </w:pPr>
      <w:r>
        <w:rPr>
          <w:rStyle w:val="Refdenotaalpie"/>
        </w:rPr>
        <w:footnoteRef/>
      </w:r>
      <w:r>
        <w:t xml:space="preserve"> </w:t>
      </w:r>
      <w:r w:rsidRPr="006E31CF">
        <w:rPr>
          <w:rFonts w:ascii="Palatino Linotype" w:hAnsi="Palatino Linotype"/>
          <w:b/>
          <w:sz w:val="18"/>
        </w:rPr>
        <w:t>Artículo 192.</w:t>
      </w:r>
      <w:r w:rsidRPr="006E31CF">
        <w:rPr>
          <w:rFonts w:ascii="Palatino Linotype" w:hAnsi="Palatino Linotype"/>
          <w:sz w:val="18"/>
        </w:rPr>
        <w:t xml:space="preserve"> El recurso será sobreseído, en todo o en parte, cuando una vez admitido, se actualicen alguno de los siguientes supuestos:</w:t>
      </w:r>
    </w:p>
    <w:p w14:paraId="3A598B5E" w14:textId="77777777" w:rsidR="005F21DB" w:rsidRPr="006E31CF" w:rsidRDefault="005F21DB" w:rsidP="003F43AF">
      <w:pPr>
        <w:pStyle w:val="Textonotapie"/>
        <w:rPr>
          <w:rFonts w:ascii="Palatino Linotype" w:hAnsi="Palatino Linotype"/>
          <w:sz w:val="18"/>
        </w:rPr>
      </w:pPr>
      <w:r w:rsidRPr="006E31CF">
        <w:rPr>
          <w:rFonts w:ascii="Palatino Linotype" w:hAnsi="Palatino Linotype"/>
          <w:sz w:val="18"/>
        </w:rPr>
        <w:t>…</w:t>
      </w:r>
    </w:p>
    <w:p w14:paraId="18447835" w14:textId="77777777" w:rsidR="005F21DB" w:rsidRPr="006E31CF" w:rsidRDefault="005F21DB" w:rsidP="003F43AF">
      <w:pPr>
        <w:pStyle w:val="Textonotapie"/>
        <w:rPr>
          <w:rFonts w:ascii="Palatino Linotype" w:hAnsi="Palatino Linotype"/>
          <w:sz w:val="18"/>
        </w:rPr>
      </w:pPr>
      <w:r w:rsidRPr="006E31CF">
        <w:rPr>
          <w:rFonts w:ascii="Palatino Linotype" w:hAnsi="Palatino Linotype"/>
          <w:sz w:val="18"/>
        </w:rPr>
        <w:t>III. El sujeto obligado responsable del acto lo modifique o revoque de tal manera que el recurso de revisión quede sin materia;</w:t>
      </w:r>
    </w:p>
  </w:footnote>
  <w:footnote w:id="2">
    <w:p w14:paraId="15C441AE" w14:textId="77777777" w:rsidR="005F21DB" w:rsidRPr="006E31CF" w:rsidRDefault="005F21DB" w:rsidP="003F43AF">
      <w:pPr>
        <w:pStyle w:val="Textonotapie"/>
        <w:rPr>
          <w:rFonts w:ascii="Palatino Linotype" w:hAnsi="Palatino Linotype"/>
          <w:sz w:val="18"/>
        </w:rPr>
      </w:pPr>
      <w:r w:rsidRPr="006E31CF">
        <w:rPr>
          <w:rStyle w:val="Refdenotaalpie"/>
          <w:rFonts w:ascii="Palatino Linotype" w:hAnsi="Palatino Linotype"/>
          <w:sz w:val="18"/>
        </w:rPr>
        <w:footnoteRef/>
      </w:r>
      <w:r w:rsidRPr="006E31CF">
        <w:rPr>
          <w:rFonts w:ascii="Palatino Linotype" w:hAnsi="Palatino Linotype"/>
          <w:sz w:val="18"/>
        </w:rPr>
        <w:t xml:space="preserve"> </w:t>
      </w:r>
      <w:r w:rsidRPr="006E31CF">
        <w:rPr>
          <w:rFonts w:ascii="Palatino Linotype" w:hAnsi="Palatino Linotype"/>
          <w:b/>
          <w:sz w:val="18"/>
        </w:rPr>
        <w:t>Artículo 186</w:t>
      </w:r>
      <w:r w:rsidRPr="006E31CF">
        <w:rPr>
          <w:rFonts w:ascii="Palatino Linotype" w:hAnsi="Palatino Linotype"/>
          <w:sz w:val="18"/>
        </w:rPr>
        <w:t>. Las resoluciones del Instituto podrán:</w:t>
      </w:r>
    </w:p>
    <w:p w14:paraId="25185B12" w14:textId="77777777" w:rsidR="005F21DB" w:rsidRDefault="005F21DB" w:rsidP="003F43AF">
      <w:pPr>
        <w:pStyle w:val="Textonotapie"/>
      </w:pPr>
      <w:r w:rsidRPr="006E31CF">
        <w:rPr>
          <w:rFonts w:ascii="Palatino Linotype" w:hAnsi="Palatino Linotype"/>
          <w:sz w:val="18"/>
        </w:rPr>
        <w:t>I. Desechar o sobreseer el recurso;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82549B" w14:textId="77777777" w:rsidR="005F21DB" w:rsidRDefault="005F21DB">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0EFBC448" wp14:editId="6BA5C5A3">
          <wp:simplePos x="0" y="0"/>
          <wp:positionH relativeFrom="column">
            <wp:posOffset>-1080133</wp:posOffset>
          </wp:positionH>
          <wp:positionV relativeFrom="paragraph">
            <wp:posOffset>-488313</wp:posOffset>
          </wp:positionV>
          <wp:extent cx="7809865" cy="10165715"/>
          <wp:effectExtent l="0" t="0" r="0" b="0"/>
          <wp:wrapNone/>
          <wp:docPr id="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1"/>
      <w:tblW w:w="5953" w:type="dxa"/>
      <w:tblInd w:w="3261" w:type="dxa"/>
      <w:tblLayout w:type="fixed"/>
      <w:tblLook w:val="0400" w:firstRow="0" w:lastRow="0" w:firstColumn="0" w:lastColumn="0" w:noHBand="0" w:noVBand="1"/>
    </w:tblPr>
    <w:tblGrid>
      <w:gridCol w:w="2489"/>
      <w:gridCol w:w="3464"/>
    </w:tblGrid>
    <w:tr w:rsidR="005F21DB" w14:paraId="777097C2" w14:textId="77777777">
      <w:tc>
        <w:tcPr>
          <w:tcW w:w="2489" w:type="dxa"/>
          <w:shd w:val="clear" w:color="auto" w:fill="auto"/>
        </w:tcPr>
        <w:p w14:paraId="59F482DE" w14:textId="77777777" w:rsidR="005F21DB" w:rsidRDefault="005F2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144D6035" w14:textId="77777777" w:rsidR="005F21DB" w:rsidRDefault="005F21DB" w:rsidP="0089229D">
          <w:pPr>
            <w:ind w:left="-53" w:right="175"/>
            <w:jc w:val="both"/>
            <w:rPr>
              <w:rFonts w:ascii="Palatino Linotype" w:eastAsia="Palatino Linotype" w:hAnsi="Palatino Linotype" w:cs="Palatino Linotype"/>
              <w:b/>
              <w:sz w:val="22"/>
              <w:szCs w:val="22"/>
            </w:rPr>
          </w:pPr>
          <w:r w:rsidRPr="006A2C19">
            <w:rPr>
              <w:rFonts w:ascii="Palatino Linotype" w:eastAsia="Palatino Linotype" w:hAnsi="Palatino Linotype" w:cs="Palatino Linotype"/>
              <w:b/>
              <w:sz w:val="22"/>
              <w:szCs w:val="22"/>
            </w:rPr>
            <w:t>05624/INFOEM/IP/RR/2022</w:t>
          </w:r>
        </w:p>
      </w:tc>
    </w:tr>
    <w:tr w:rsidR="005F21DB" w14:paraId="02EA7EC2" w14:textId="77777777">
      <w:trPr>
        <w:trHeight w:val="228"/>
      </w:trPr>
      <w:tc>
        <w:tcPr>
          <w:tcW w:w="2489" w:type="dxa"/>
          <w:shd w:val="clear" w:color="auto" w:fill="auto"/>
          <w:vAlign w:val="center"/>
        </w:tcPr>
        <w:p w14:paraId="357AEAC2" w14:textId="77777777" w:rsidR="005F21DB" w:rsidRDefault="005F2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478CE2ED" w14:textId="77777777" w:rsidR="005F21DB" w:rsidRDefault="005F21DB">
          <w:pPr>
            <w:ind w:left="-45" w:right="176"/>
            <w:jc w:val="both"/>
            <w:rPr>
              <w:rFonts w:ascii="Palatino Linotype" w:eastAsia="Palatino Linotype" w:hAnsi="Palatino Linotype" w:cs="Palatino Linotype"/>
              <w:b/>
              <w:sz w:val="22"/>
              <w:szCs w:val="22"/>
            </w:rPr>
          </w:pPr>
          <w:r w:rsidRPr="006A2C19">
            <w:rPr>
              <w:rFonts w:ascii="Palatino Linotype" w:eastAsia="Palatino Linotype" w:hAnsi="Palatino Linotype" w:cs="Palatino Linotype"/>
              <w:b/>
              <w:sz w:val="22"/>
              <w:szCs w:val="22"/>
            </w:rPr>
            <w:t>Poder Judicial</w:t>
          </w:r>
        </w:p>
      </w:tc>
    </w:tr>
    <w:tr w:rsidR="005F21DB" w14:paraId="5965ACD1" w14:textId="77777777">
      <w:tc>
        <w:tcPr>
          <w:tcW w:w="2489" w:type="dxa"/>
          <w:shd w:val="clear" w:color="auto" w:fill="auto"/>
          <w:vAlign w:val="center"/>
        </w:tcPr>
        <w:p w14:paraId="790D9816" w14:textId="77777777" w:rsidR="005F21DB" w:rsidRDefault="005F21DB">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19908C5E" w14:textId="77777777" w:rsidR="005F21DB" w:rsidRDefault="005F21DB" w:rsidP="0089229D">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CA3B062" w14:textId="77777777" w:rsidR="005F21DB" w:rsidRDefault="005F21DB">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3A43B4" w14:textId="77777777" w:rsidR="005F21DB" w:rsidRDefault="005F21DB">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519BE2FE" wp14:editId="64600FF3">
          <wp:simplePos x="0" y="0"/>
          <wp:positionH relativeFrom="column">
            <wp:posOffset>-955675</wp:posOffset>
          </wp:positionH>
          <wp:positionV relativeFrom="paragraph">
            <wp:posOffset>-288925</wp:posOffset>
          </wp:positionV>
          <wp:extent cx="7809865" cy="10165715"/>
          <wp:effectExtent l="0" t="0" r="0" b="0"/>
          <wp:wrapNone/>
          <wp:docPr id="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2"/>
      <w:tblW w:w="5670" w:type="dxa"/>
      <w:tblInd w:w="3261" w:type="dxa"/>
      <w:tblLayout w:type="fixed"/>
      <w:tblLook w:val="0400" w:firstRow="0" w:lastRow="0" w:firstColumn="0" w:lastColumn="0" w:noHBand="0" w:noVBand="1"/>
    </w:tblPr>
    <w:tblGrid>
      <w:gridCol w:w="2551"/>
      <w:gridCol w:w="3119"/>
    </w:tblGrid>
    <w:tr w:rsidR="005F21DB" w14:paraId="55D4DDDF" w14:textId="77777777">
      <w:tc>
        <w:tcPr>
          <w:tcW w:w="2551" w:type="dxa"/>
          <w:shd w:val="clear" w:color="auto" w:fill="auto"/>
          <w:vAlign w:val="center"/>
        </w:tcPr>
        <w:p w14:paraId="23441327" w14:textId="77777777" w:rsidR="005F21DB" w:rsidRDefault="005F2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059F92F1" w14:textId="77777777" w:rsidR="005F21DB" w:rsidRDefault="005F21DB">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05624/INFOEM/IP/RR/2022</w:t>
          </w:r>
        </w:p>
      </w:tc>
    </w:tr>
    <w:tr w:rsidR="005F21DB" w14:paraId="268BE272" w14:textId="77777777">
      <w:trPr>
        <w:trHeight w:val="130"/>
      </w:trPr>
      <w:tc>
        <w:tcPr>
          <w:tcW w:w="2551" w:type="dxa"/>
          <w:shd w:val="clear" w:color="auto" w:fill="auto"/>
          <w:vAlign w:val="center"/>
        </w:tcPr>
        <w:p w14:paraId="6250A84C" w14:textId="77777777" w:rsidR="005F21DB" w:rsidRDefault="005F2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4B556837" w14:textId="3AF5153C" w:rsidR="005F21DB" w:rsidRDefault="005965BA">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 XXXXXXXXX XXXXXXXXXXX X</w:t>
          </w:r>
        </w:p>
      </w:tc>
    </w:tr>
    <w:tr w:rsidR="005F21DB" w14:paraId="2349A1CD" w14:textId="77777777">
      <w:trPr>
        <w:trHeight w:val="228"/>
      </w:trPr>
      <w:tc>
        <w:tcPr>
          <w:tcW w:w="2551" w:type="dxa"/>
          <w:shd w:val="clear" w:color="auto" w:fill="auto"/>
          <w:vAlign w:val="center"/>
        </w:tcPr>
        <w:p w14:paraId="5F7AE86F" w14:textId="77777777" w:rsidR="005F21DB" w:rsidRDefault="005F2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0933CCEF" w14:textId="77777777" w:rsidR="005F21DB" w:rsidRDefault="005F21DB" w:rsidP="00567E32">
          <w:pPr>
            <w:ind w:left="-45" w:right="27"/>
            <w:jc w:val="both"/>
            <w:rPr>
              <w:rFonts w:ascii="Palatino Linotype" w:eastAsia="Palatino Linotype" w:hAnsi="Palatino Linotype" w:cs="Palatino Linotype"/>
              <w:b/>
              <w:sz w:val="22"/>
              <w:szCs w:val="22"/>
            </w:rPr>
          </w:pPr>
          <w:r w:rsidRPr="006A2C19">
            <w:rPr>
              <w:rFonts w:ascii="Palatino Linotype" w:eastAsia="Palatino Linotype" w:hAnsi="Palatino Linotype" w:cs="Palatino Linotype"/>
              <w:b/>
              <w:sz w:val="22"/>
              <w:szCs w:val="22"/>
            </w:rPr>
            <w:t>Poder Judicial</w:t>
          </w:r>
        </w:p>
      </w:tc>
    </w:tr>
    <w:tr w:rsidR="005F21DB" w14:paraId="0946C92A" w14:textId="77777777">
      <w:tc>
        <w:tcPr>
          <w:tcW w:w="2551" w:type="dxa"/>
          <w:shd w:val="clear" w:color="auto" w:fill="auto"/>
          <w:vAlign w:val="center"/>
        </w:tcPr>
        <w:p w14:paraId="5AD0F90F" w14:textId="77777777" w:rsidR="005F21DB" w:rsidRDefault="005F21D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1DEF8826" w14:textId="77777777" w:rsidR="005F21DB" w:rsidRDefault="005F21DB" w:rsidP="00567E32">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B9FFBF0" w14:textId="77777777" w:rsidR="005F21DB" w:rsidRDefault="005F21DB">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A3879"/>
    <w:multiLevelType w:val="multilevel"/>
    <w:tmpl w:val="66B0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C14DDE"/>
    <w:multiLevelType w:val="hybridMultilevel"/>
    <w:tmpl w:val="1B7E2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F310217"/>
    <w:multiLevelType w:val="hybridMultilevel"/>
    <w:tmpl w:val="A38CC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42B7442"/>
    <w:multiLevelType w:val="multilevel"/>
    <w:tmpl w:val="C9DC72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AA60151"/>
    <w:multiLevelType w:val="hybridMultilevel"/>
    <w:tmpl w:val="646C0A86"/>
    <w:lvl w:ilvl="0" w:tplc="2B909BD4">
      <w:start w:val="1"/>
      <w:numFmt w:val="upperRoman"/>
      <w:lvlText w:val="%1."/>
      <w:lvlJc w:val="left"/>
      <w:pPr>
        <w:ind w:left="1080" w:hanging="720"/>
      </w:pPr>
      <w:rPr>
        <w:rFonts w:hint="default"/>
        <w:i/>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B1B1637"/>
    <w:multiLevelType w:val="multilevel"/>
    <w:tmpl w:val="ED00A78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nsid w:val="21EC0683"/>
    <w:multiLevelType w:val="multilevel"/>
    <w:tmpl w:val="66B0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623AC0"/>
    <w:multiLevelType w:val="hybridMultilevel"/>
    <w:tmpl w:val="C0D2AB44"/>
    <w:lvl w:ilvl="0" w:tplc="43D00652">
      <w:start w:val="1"/>
      <w:numFmt w:val="decimal"/>
      <w:lvlText w:val="%1."/>
      <w:lvlJc w:val="left"/>
      <w:pPr>
        <w:ind w:left="1287"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
    <w:nsid w:val="44D26845"/>
    <w:multiLevelType w:val="hybridMultilevel"/>
    <w:tmpl w:val="501234BE"/>
    <w:lvl w:ilvl="0" w:tplc="E92610E8">
      <w:start w:val="1"/>
      <w:numFmt w:val="upperRoman"/>
      <w:lvlText w:val="%1."/>
      <w:lvlJc w:val="left"/>
      <w:pPr>
        <w:ind w:left="1712" w:hanging="720"/>
      </w:pPr>
      <w:rPr>
        <w:rFonts w:hint="default"/>
        <w:color w:val="FF0000"/>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9">
    <w:nsid w:val="45C26851"/>
    <w:multiLevelType w:val="hybridMultilevel"/>
    <w:tmpl w:val="E0C80E52"/>
    <w:lvl w:ilvl="0" w:tplc="D17890E4">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nsid w:val="51CC3A13"/>
    <w:multiLevelType w:val="hybridMultilevel"/>
    <w:tmpl w:val="3D8CA5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687F14CE"/>
    <w:multiLevelType w:val="hybridMultilevel"/>
    <w:tmpl w:val="8F3420D8"/>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74262C2"/>
    <w:multiLevelType w:val="multilevel"/>
    <w:tmpl w:val="FCF26A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785409B5"/>
    <w:multiLevelType w:val="multilevel"/>
    <w:tmpl w:val="374CC6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7AD76611"/>
    <w:multiLevelType w:val="multilevel"/>
    <w:tmpl w:val="E9A85F64"/>
    <w:lvl w:ilvl="0">
      <w:start w:val="1"/>
      <w:numFmt w:val="lowerLetter"/>
      <w:pStyle w:val="Listaconvietas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4"/>
  </w:num>
  <w:num w:numId="3">
    <w:abstractNumId w:val="12"/>
  </w:num>
  <w:num w:numId="4">
    <w:abstractNumId w:val="13"/>
  </w:num>
  <w:num w:numId="5">
    <w:abstractNumId w:val="5"/>
  </w:num>
  <w:num w:numId="6">
    <w:abstractNumId w:val="10"/>
  </w:num>
  <w:num w:numId="7">
    <w:abstractNumId w:val="8"/>
  </w:num>
  <w:num w:numId="8">
    <w:abstractNumId w:val="11"/>
  </w:num>
  <w:num w:numId="9">
    <w:abstractNumId w:val="9"/>
  </w:num>
  <w:num w:numId="10">
    <w:abstractNumId w:val="7"/>
  </w:num>
  <w:num w:numId="11">
    <w:abstractNumId w:val="4"/>
  </w:num>
  <w:num w:numId="12">
    <w:abstractNumId w:val="1"/>
  </w:num>
  <w:num w:numId="13">
    <w:abstractNumId w:val="2"/>
  </w:num>
  <w:num w:numId="14">
    <w:abstractNumId w:val="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30C"/>
    <w:rsid w:val="00081AE0"/>
    <w:rsid w:val="000C374E"/>
    <w:rsid w:val="00107267"/>
    <w:rsid w:val="002D1F08"/>
    <w:rsid w:val="002F1D69"/>
    <w:rsid w:val="00344F56"/>
    <w:rsid w:val="003A5F54"/>
    <w:rsid w:val="003F43AF"/>
    <w:rsid w:val="00505FBA"/>
    <w:rsid w:val="00546237"/>
    <w:rsid w:val="00567E32"/>
    <w:rsid w:val="005965BA"/>
    <w:rsid w:val="005F21DB"/>
    <w:rsid w:val="005F5C11"/>
    <w:rsid w:val="00623F10"/>
    <w:rsid w:val="006626D8"/>
    <w:rsid w:val="00690783"/>
    <w:rsid w:val="006A2C19"/>
    <w:rsid w:val="006B57A0"/>
    <w:rsid w:val="00730CCA"/>
    <w:rsid w:val="00763B55"/>
    <w:rsid w:val="007C5945"/>
    <w:rsid w:val="007D1773"/>
    <w:rsid w:val="00860425"/>
    <w:rsid w:val="008823FF"/>
    <w:rsid w:val="0089229D"/>
    <w:rsid w:val="00913FA8"/>
    <w:rsid w:val="00917DAD"/>
    <w:rsid w:val="009A6885"/>
    <w:rsid w:val="009B1CE9"/>
    <w:rsid w:val="00A034FF"/>
    <w:rsid w:val="00A25B28"/>
    <w:rsid w:val="00A35218"/>
    <w:rsid w:val="00A77307"/>
    <w:rsid w:val="00A847D7"/>
    <w:rsid w:val="00A9178B"/>
    <w:rsid w:val="00A97581"/>
    <w:rsid w:val="00AD43D6"/>
    <w:rsid w:val="00AF416B"/>
    <w:rsid w:val="00B1187C"/>
    <w:rsid w:val="00B309DE"/>
    <w:rsid w:val="00C8730C"/>
    <w:rsid w:val="00CE7E05"/>
    <w:rsid w:val="00D23B6E"/>
    <w:rsid w:val="00D51873"/>
    <w:rsid w:val="00D94A7A"/>
    <w:rsid w:val="00E00219"/>
    <w:rsid w:val="00E12EBB"/>
    <w:rsid w:val="00E14CE5"/>
    <w:rsid w:val="00E415DF"/>
    <w:rsid w:val="00E60A0C"/>
    <w:rsid w:val="00E928A4"/>
    <w:rsid w:val="00EF46E2"/>
    <w:rsid w:val="00F6574D"/>
    <w:rsid w:val="00F7048A"/>
    <w:rsid w:val="00FA09B8"/>
    <w:rsid w:val="00FD7AD1"/>
    <w:rsid w:val="00FF24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50A6B9"/>
  <w15:docId w15:val="{F2CCFC37-9B4E-40F2-BB5C-2273CB26A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1F08"/>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
    <w:tblPr>
      <w:tblStyleRowBandSize w:val="1"/>
      <w:tblStyleColBandSize w:val="1"/>
      <w:tblCellMar>
        <w:top w:w="0" w:type="dxa"/>
        <w:left w:w="115" w:type="dxa"/>
        <w:bottom w:w="0" w:type="dxa"/>
        <w:right w:w="115" w:type="dxa"/>
      </w:tblCellMar>
    </w:tblPr>
  </w:style>
  <w:style w:type="table" w:customStyle="1" w:styleId="6">
    <w:name w:val="6"/>
    <w:basedOn w:val="TableNormal1"/>
    <w:tblPr>
      <w:tblStyleRowBandSize w:val="1"/>
      <w:tblStyleColBandSize w:val="1"/>
      <w:tblCellMar>
        <w:top w:w="0" w:type="dxa"/>
        <w:left w:w="115" w:type="dxa"/>
        <w:bottom w:w="0" w:type="dxa"/>
        <w:right w:w="115" w:type="dxa"/>
      </w:tblCellMar>
    </w:tblPr>
  </w:style>
  <w:style w:type="table" w:customStyle="1" w:styleId="5">
    <w:name w:val="5"/>
    <w:basedOn w:val="TableNormal1"/>
    <w:tblPr>
      <w:tblStyleRowBandSize w:val="1"/>
      <w:tblStyleColBandSize w:val="1"/>
      <w:tblCellMar>
        <w:top w:w="0" w:type="dxa"/>
        <w:left w:w="108" w:type="dxa"/>
        <w:bottom w:w="0" w:type="dxa"/>
        <w:right w:w="108" w:type="dxa"/>
      </w:tblCellMar>
    </w:tblPr>
  </w:style>
  <w:style w:type="table" w:customStyle="1" w:styleId="4">
    <w:name w:val="4"/>
    <w:basedOn w:val="TableNormal1"/>
    <w:tblPr>
      <w:tblStyleRowBandSize w:val="1"/>
      <w:tblStyleColBandSize w:val="1"/>
      <w:tblCellMar>
        <w:top w:w="0" w:type="dxa"/>
        <w:left w:w="115" w:type="dxa"/>
        <w:bottom w:w="0" w:type="dxa"/>
        <w:right w:w="115" w:type="dxa"/>
      </w:tblCellMar>
    </w:tblPr>
  </w:style>
  <w:style w:type="table" w:customStyle="1" w:styleId="3">
    <w:name w:val="3"/>
    <w:basedOn w:val="TableNormal1"/>
    <w:tblPr>
      <w:tblStyleRowBandSize w:val="1"/>
      <w:tblStyleColBandSize w:val="1"/>
      <w:tblCellMar>
        <w:top w:w="0" w:type="dxa"/>
        <w:left w:w="115" w:type="dxa"/>
        <w:bottom w:w="0" w:type="dxa"/>
        <w:right w:w="115" w:type="dxa"/>
      </w:tblCellMar>
    </w:tblPr>
  </w:style>
  <w:style w:type="table" w:customStyle="1" w:styleId="2">
    <w:name w:val="2"/>
    <w:basedOn w:val="TableNormal1"/>
    <w:tblPr>
      <w:tblStyleRowBandSize w:val="1"/>
      <w:tblStyleColBandSize w:val="1"/>
      <w:tblCellMar>
        <w:top w:w="0" w:type="dxa"/>
        <w:left w:w="115" w:type="dxa"/>
        <w:bottom w:w="0" w:type="dxa"/>
        <w:right w:w="115" w:type="dxa"/>
      </w:tblCellMar>
    </w:tblPr>
  </w:style>
  <w:style w:type="table" w:customStyle="1" w:styleId="1">
    <w:name w:val="1"/>
    <w:basedOn w:val="TableNormal1"/>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962298">
      <w:bodyDiv w:val="1"/>
      <w:marLeft w:val="0"/>
      <w:marRight w:val="0"/>
      <w:marTop w:val="0"/>
      <w:marBottom w:val="0"/>
      <w:divBdr>
        <w:top w:val="none" w:sz="0" w:space="0" w:color="auto"/>
        <w:left w:val="none" w:sz="0" w:space="0" w:color="auto"/>
        <w:bottom w:val="none" w:sz="0" w:space="0" w:color="auto"/>
        <w:right w:val="none" w:sz="0" w:space="0" w:color="auto"/>
      </w:divBdr>
    </w:div>
    <w:div w:id="521169356">
      <w:bodyDiv w:val="1"/>
      <w:marLeft w:val="0"/>
      <w:marRight w:val="0"/>
      <w:marTop w:val="0"/>
      <w:marBottom w:val="0"/>
      <w:divBdr>
        <w:top w:val="none" w:sz="0" w:space="0" w:color="auto"/>
        <w:left w:val="none" w:sz="0" w:space="0" w:color="auto"/>
        <w:bottom w:val="none" w:sz="0" w:space="0" w:color="auto"/>
        <w:right w:val="none" w:sz="0" w:space="0" w:color="auto"/>
      </w:divBdr>
    </w:div>
    <w:div w:id="7110298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AzU02ubcHkpTM3k907AHc3RI/zw==">AMUW2mVLq7hXLrxeKMvxh1Egjru4LslpmGYZVrMTNn7agjHNyXZ6saC/hDr5tihIq63PN+wZnpOUCnjOKlEYSgchhj8l4RdT3MW1tHLvaIKilgTSvDuEFsZCgWtxTJWz8CupiqQuypAM4Jb4QqKUKrDor+b91W5VfPwE8TLZeLs2AYopiTA4N1oyXPZsSTtkUzy8qXsraDvp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41</Pages>
  <Words>6260</Words>
  <Characters>34435</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Cuenta Microsoft</cp:lastModifiedBy>
  <cp:revision>5</cp:revision>
  <cp:lastPrinted>2022-08-19T15:27:00Z</cp:lastPrinted>
  <dcterms:created xsi:type="dcterms:W3CDTF">2022-08-18T01:08:00Z</dcterms:created>
  <dcterms:modified xsi:type="dcterms:W3CDTF">2022-09-06T16:06:00Z</dcterms:modified>
</cp:coreProperties>
</file>