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7B6E5CD1"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B92323">
        <w:rPr>
          <w:rFonts w:ascii="Palatino Linotype" w:eastAsia="Times New Roman" w:hAnsi="Palatino Linotype" w:cs="Arial"/>
          <w:color w:val="000000"/>
          <w:sz w:val="24"/>
          <w:szCs w:val="24"/>
          <w:lang w:eastAsia="es-MX"/>
        </w:rPr>
        <w:t xml:space="preserve">, a </w:t>
      </w:r>
      <w:r w:rsidR="00FD6B57" w:rsidRPr="00B92323">
        <w:rPr>
          <w:rFonts w:ascii="Palatino Linotype" w:eastAsia="Times New Roman" w:hAnsi="Palatino Linotype" w:cs="Arial"/>
          <w:color w:val="000000"/>
          <w:sz w:val="24"/>
          <w:szCs w:val="24"/>
          <w:lang w:eastAsia="es-MX"/>
        </w:rPr>
        <w:t xml:space="preserve">dieciséis de </w:t>
      </w:r>
      <w:r w:rsidR="00BB63AB" w:rsidRPr="00B92323">
        <w:rPr>
          <w:rFonts w:ascii="Palatino Linotype" w:eastAsia="Times New Roman" w:hAnsi="Palatino Linotype" w:cs="Arial"/>
          <w:color w:val="000000"/>
          <w:sz w:val="24"/>
          <w:szCs w:val="24"/>
          <w:lang w:eastAsia="es-MX"/>
        </w:rPr>
        <w:t>marzo de</w:t>
      </w:r>
      <w:r w:rsidR="00BB63AB">
        <w:rPr>
          <w:rFonts w:ascii="Palatino Linotype" w:eastAsia="Times New Roman" w:hAnsi="Palatino Linotype" w:cs="Arial"/>
          <w:color w:val="000000"/>
          <w:sz w:val="24"/>
          <w:szCs w:val="24"/>
          <w:lang w:eastAsia="es-MX"/>
        </w:rPr>
        <w:t xml:space="preserve"> dos mil veintidós. </w:t>
      </w:r>
      <w:r w:rsidR="00FD6B57">
        <w:rPr>
          <w:rFonts w:ascii="Palatino Linotype" w:eastAsia="Times New Roman" w:hAnsi="Palatino Linotype" w:cs="Arial"/>
          <w:color w:val="000000"/>
          <w:sz w:val="24"/>
          <w:szCs w:val="24"/>
          <w:lang w:eastAsia="es-MX"/>
        </w:rPr>
        <w:t xml:space="preserve"> </w:t>
      </w:r>
      <w:r w:rsidR="00073E92">
        <w:rPr>
          <w:rFonts w:ascii="Palatino Linotype" w:eastAsia="Times New Roman" w:hAnsi="Palatino Linotype" w:cs="Arial"/>
          <w:color w:val="000000"/>
          <w:sz w:val="24"/>
          <w:szCs w:val="24"/>
          <w:lang w:eastAsia="es-MX"/>
        </w:rPr>
        <w:t xml:space="preserve"> </w:t>
      </w:r>
      <w:r w:rsidR="00D414E0">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AA1BDD9" w14:textId="7275735D" w:rsidR="00BB63AB" w:rsidRPr="00BB63AB"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BB63AB">
        <w:rPr>
          <w:rFonts w:ascii="Palatino Linotype" w:hAnsi="Palatino Linotype" w:cs="Arial"/>
          <w:b/>
          <w:sz w:val="24"/>
        </w:rPr>
        <w:t>00390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811DCF">
        <w:rPr>
          <w:rFonts w:ascii="Palatino Linotype" w:hAnsi="Palatino Linotype" w:cs="Arial"/>
          <w:sz w:val="24"/>
        </w:rPr>
        <w:t xml:space="preserve">el </w:t>
      </w:r>
      <w:r w:rsidR="00CB07ED">
        <w:rPr>
          <w:rFonts w:ascii="Palatino Linotype" w:hAnsi="Palatino Linotype" w:cs="Arial"/>
          <w:b/>
          <w:sz w:val="24"/>
        </w:rPr>
        <w:t>XXXXXXXXXXXXXXXX</w:t>
      </w:r>
      <w:r w:rsidR="00BB63AB">
        <w:rPr>
          <w:rFonts w:ascii="Palatino Linotype" w:hAnsi="Palatino Linotype" w:cs="Arial"/>
          <w:b/>
          <w:sz w:val="24"/>
        </w:rPr>
        <w:t xml:space="preserve">, </w:t>
      </w:r>
      <w:r w:rsidR="00BB63AB">
        <w:rPr>
          <w:rFonts w:ascii="Palatino Linotype" w:hAnsi="Palatino Linotype" w:cs="Arial"/>
          <w:sz w:val="24"/>
        </w:rPr>
        <w:t xml:space="preserve">en lo sucesivo </w:t>
      </w:r>
      <w:r w:rsidR="00BB63AB">
        <w:rPr>
          <w:rFonts w:ascii="Palatino Linotype" w:hAnsi="Palatino Linotype" w:cs="Arial"/>
          <w:b/>
          <w:sz w:val="24"/>
        </w:rPr>
        <w:t xml:space="preserve">El Recurrente, </w:t>
      </w:r>
      <w:r w:rsidR="00BB63AB">
        <w:rPr>
          <w:rFonts w:ascii="Palatino Linotype" w:hAnsi="Palatino Linotype" w:cs="Arial"/>
          <w:sz w:val="24"/>
        </w:rPr>
        <w:t xml:space="preserve">en contra de la respuesta del </w:t>
      </w:r>
      <w:r w:rsidR="00BB63AB">
        <w:rPr>
          <w:rFonts w:ascii="Palatino Linotype" w:hAnsi="Palatino Linotype" w:cs="Arial"/>
          <w:b/>
          <w:sz w:val="24"/>
        </w:rPr>
        <w:t xml:space="preserve">Ayuntamiento de Acambay de Ruiz Castañeda, </w:t>
      </w:r>
      <w:r w:rsidR="00BB63AB">
        <w:rPr>
          <w:rFonts w:ascii="Palatino Linotype" w:hAnsi="Palatino Linotype" w:cs="Arial"/>
          <w:sz w:val="24"/>
        </w:rPr>
        <w:t xml:space="preserve">en lo sucesivo </w:t>
      </w:r>
      <w:r w:rsidR="00BB63AB">
        <w:rPr>
          <w:rFonts w:ascii="Palatino Linotype" w:hAnsi="Palatino Linotype" w:cs="Arial"/>
          <w:b/>
          <w:sz w:val="24"/>
        </w:rPr>
        <w:t xml:space="preserve">El Sujeto Obligado, </w:t>
      </w:r>
      <w:r w:rsidR="00BB63AB">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A88DA05" w14:textId="1C71EB92" w:rsidR="00BB63AB" w:rsidRPr="00BB63AB"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w:t>
      </w:r>
      <w:r w:rsidR="00BB63AB">
        <w:rPr>
          <w:rFonts w:ascii="Palatino Linotype" w:hAnsi="Palatino Linotype" w:cs="Arial"/>
          <w:sz w:val="24"/>
        </w:rPr>
        <w:t xml:space="preserve">once de enero de dos mil veintidós, </w:t>
      </w:r>
      <w:r w:rsidR="00BB63AB">
        <w:rPr>
          <w:rFonts w:ascii="Palatino Linotype" w:hAnsi="Palatino Linotype" w:cs="Arial"/>
          <w:b/>
          <w:sz w:val="24"/>
        </w:rPr>
        <w:t xml:space="preserve">El Recurrente </w:t>
      </w:r>
      <w:r w:rsidR="00BB63AB">
        <w:rPr>
          <w:rFonts w:ascii="Palatino Linotype" w:hAnsi="Palatino Linotype" w:cs="Arial"/>
          <w:sz w:val="24"/>
        </w:rPr>
        <w:t>presentó a través del Sistema de Acceso a la Información Mexiquense (</w:t>
      </w:r>
      <w:r w:rsidR="00BB63AB">
        <w:rPr>
          <w:rFonts w:ascii="Palatino Linotype" w:hAnsi="Palatino Linotype" w:cs="Arial"/>
          <w:b/>
          <w:sz w:val="24"/>
        </w:rPr>
        <w:t>SAIMEX)</w:t>
      </w:r>
      <w:r w:rsidR="00BB63AB">
        <w:rPr>
          <w:rFonts w:ascii="Palatino Linotype" w:hAnsi="Palatino Linotype" w:cs="Arial"/>
          <w:sz w:val="24"/>
        </w:rPr>
        <w:t xml:space="preserve"> ante </w:t>
      </w:r>
      <w:r w:rsidR="00BB63AB">
        <w:rPr>
          <w:rFonts w:ascii="Palatino Linotype" w:hAnsi="Palatino Linotype" w:cs="Arial"/>
          <w:b/>
          <w:sz w:val="24"/>
        </w:rPr>
        <w:t>El Sujeto Obligado</w:t>
      </w:r>
      <w:r w:rsidR="00BB63AB">
        <w:rPr>
          <w:rFonts w:ascii="Palatino Linotype" w:hAnsi="Palatino Linotype" w:cs="Arial"/>
          <w:sz w:val="24"/>
        </w:rPr>
        <w:t xml:space="preserve">, solicitud de acceso a la información pública, registrada bajo el número de expediente </w:t>
      </w:r>
      <w:r w:rsidR="00BB63AB" w:rsidRPr="00BB63AB">
        <w:rPr>
          <w:rFonts w:ascii="Palatino Linotype" w:hAnsi="Palatino Linotype" w:cs="Arial"/>
          <w:b/>
          <w:sz w:val="24"/>
        </w:rPr>
        <w:t>00005/ACAMBAY/IP/2022</w:t>
      </w:r>
      <w:r w:rsidR="00BB63AB">
        <w:rPr>
          <w:rFonts w:ascii="Palatino Linotype" w:hAnsi="Palatino Linotype" w:cs="Arial"/>
          <w:sz w:val="24"/>
        </w:rPr>
        <w:t xml:space="preserve">, mediante la cual solicitó información en el tenor siguiente: </w:t>
      </w:r>
    </w:p>
    <w:p w14:paraId="39F22987" w14:textId="5CBFA2EC" w:rsidR="00BB63AB" w:rsidRPr="00FF3A25" w:rsidRDefault="00FF3A25" w:rsidP="00FF3A25">
      <w:pPr>
        <w:pStyle w:val="Citas"/>
        <w:rPr>
          <w:b/>
          <w:sz w:val="24"/>
        </w:rPr>
      </w:pPr>
      <w:r>
        <w:t xml:space="preserve">“Solicito información del recurso denominado FEFOM del ejercicio 2021, </w:t>
      </w:r>
      <w:proofErr w:type="spellStart"/>
      <w:r>
        <w:t>cuanto</w:t>
      </w:r>
      <w:proofErr w:type="spellEnd"/>
      <w:r>
        <w:t xml:space="preserve"> dinero fue autorizado y liberado al Ayuntamiento, además del recurso liberado de FEFOM, que obras se realizaron, </w:t>
      </w:r>
      <w:proofErr w:type="spellStart"/>
      <w:r>
        <w:t>cual</w:t>
      </w:r>
      <w:proofErr w:type="spellEnd"/>
      <w:r>
        <w:t xml:space="preserve"> fue su costo </w:t>
      </w:r>
      <w:proofErr w:type="gramStart"/>
      <w:r>
        <w:t>de acuerdo al</w:t>
      </w:r>
      <w:proofErr w:type="gramEnd"/>
      <w:r>
        <w:t xml:space="preserve"> expediente técnico de cada una, por obra el nombre de la o empresas que ejecutaron las obras, por obra cuanto se ha pagado a cada empresa hasta la fecha del 11 de enero de 2021 y copia de </w:t>
      </w:r>
      <w:r>
        <w:lastRenderedPageBreak/>
        <w:t xml:space="preserve">ser necesario en versión pública de la factura o facturas que comprueben dichos pagos.” </w:t>
      </w:r>
      <w:r>
        <w:rPr>
          <w:b/>
        </w:rPr>
        <w:t xml:space="preserve">[Sic] </w:t>
      </w:r>
    </w:p>
    <w:p w14:paraId="1A3002BA" w14:textId="2819C64A" w:rsidR="00BB63AB" w:rsidRDefault="00FF3A25" w:rsidP="006D5803">
      <w:pPr>
        <w:spacing w:before="240" w:line="360" w:lineRule="auto"/>
        <w:jc w:val="both"/>
        <w:rPr>
          <w:rFonts w:ascii="Palatino Linotype" w:hAnsi="Palatino Linotype" w:cs="Arial"/>
          <w:sz w:val="24"/>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3EE55583" w14:textId="77777777" w:rsidR="00BB63AB" w:rsidRDefault="00BB63AB" w:rsidP="006D5803">
      <w:pPr>
        <w:spacing w:before="240" w:line="360" w:lineRule="auto"/>
        <w:jc w:val="both"/>
        <w:rPr>
          <w:rFonts w:ascii="Palatino Linotype" w:hAnsi="Palatino Linotype" w:cs="Arial"/>
          <w:sz w:val="24"/>
        </w:rPr>
      </w:pPr>
    </w:p>
    <w:p w14:paraId="3D1C9994"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FD8C3E5" w14:textId="5620A08F" w:rsidR="00FF3A25"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FF3A25">
        <w:rPr>
          <w:rFonts w:ascii="Palatino Linotype" w:hAnsi="Palatino Linotype" w:cs="Arial"/>
          <w:sz w:val="24"/>
          <w:szCs w:val="24"/>
        </w:rPr>
        <w:t xml:space="preserve">veintiocho de enero de dos mil veintidós, </w:t>
      </w:r>
      <w:r w:rsidR="00FF3A25">
        <w:rPr>
          <w:rFonts w:ascii="Palatino Linotype" w:hAnsi="Palatino Linotype" w:cs="Arial"/>
          <w:b/>
          <w:sz w:val="24"/>
          <w:szCs w:val="24"/>
        </w:rPr>
        <w:t xml:space="preserve">El Sujeto Obligado </w:t>
      </w:r>
      <w:r w:rsidR="00FF3A25">
        <w:rPr>
          <w:rFonts w:ascii="Palatino Linotype" w:hAnsi="Palatino Linotype" w:cs="Arial"/>
          <w:sz w:val="24"/>
          <w:szCs w:val="24"/>
        </w:rPr>
        <w:t>dio respuesta a la solicitud de información en los siguientes términos:</w:t>
      </w:r>
    </w:p>
    <w:p w14:paraId="3CBC6E28" w14:textId="3FB56FA0" w:rsidR="00FF3A25" w:rsidRPr="00FF3A25" w:rsidRDefault="00FF3A25" w:rsidP="00FF3A25">
      <w:pPr>
        <w:pStyle w:val="Citas"/>
        <w:rPr>
          <w:b/>
          <w:sz w:val="24"/>
          <w:szCs w:val="24"/>
        </w:rPr>
      </w:pPr>
      <w:r>
        <w:t xml:space="preserve">“En atención a su solicitud de información No. 00005/ACAMBAY/IP/2022, recibida por esta dependencia vía Sistema Electrónico Denominado Sistema de Acceso a la Información Mexiquense (SAIMEX) de fecha 11 de enero de 2022, dirigida al Ayuntamiento de Acambay de Ruiz Castañeda, Estado de México, como sujeto Obligado de la Ley de Transparencia y Acceso a la Información Pública del Estado de México y Municipios. Se entrega lo siguiente referente a su petición: archivo PDF con la respuesta emitida por el Sujeto Habilitado de la Dirección Obras Publicas , y el acuerdo del comité de transparencia de Acambay de Ruiz Castañeda,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 </w:t>
      </w:r>
      <w:r>
        <w:rPr>
          <w:b/>
        </w:rPr>
        <w:t xml:space="preserve">[Sic] </w:t>
      </w:r>
    </w:p>
    <w:p w14:paraId="23DAD710" w14:textId="77777777" w:rsidR="00FF3A25" w:rsidRDefault="00FF3A25" w:rsidP="00073E92">
      <w:pPr>
        <w:spacing w:before="240" w:line="360" w:lineRule="auto"/>
        <w:jc w:val="both"/>
        <w:rPr>
          <w:rFonts w:ascii="Palatino Linotype" w:hAnsi="Palatino Linotype" w:cs="Arial"/>
          <w:sz w:val="24"/>
          <w:szCs w:val="24"/>
        </w:rPr>
      </w:pPr>
    </w:p>
    <w:p w14:paraId="1D79552F" w14:textId="57F2CB84" w:rsidR="00FF3A25" w:rsidRPr="00FF3A25" w:rsidRDefault="00FF3A25"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sz w:val="24"/>
          <w:szCs w:val="24"/>
        </w:rPr>
        <w:t xml:space="preserve">“contestación 005.pdf” </w:t>
      </w:r>
      <w:r>
        <w:rPr>
          <w:rFonts w:ascii="Palatino Linotype" w:hAnsi="Palatino Linotype" w:cs="Arial"/>
          <w:sz w:val="24"/>
          <w:szCs w:val="24"/>
        </w:rPr>
        <w:t xml:space="preserve">y </w:t>
      </w:r>
      <w:r>
        <w:rPr>
          <w:rFonts w:ascii="Palatino Linotype" w:hAnsi="Palatino Linotype" w:cs="Arial"/>
          <w:b/>
          <w:sz w:val="24"/>
          <w:szCs w:val="24"/>
        </w:rPr>
        <w:t xml:space="preserve">“acta del </w:t>
      </w:r>
      <w:proofErr w:type="spellStart"/>
      <w:r>
        <w:rPr>
          <w:rFonts w:ascii="Palatino Linotype" w:hAnsi="Palatino Linotype" w:cs="Arial"/>
          <w:b/>
          <w:sz w:val="24"/>
          <w:szCs w:val="24"/>
        </w:rPr>
        <w:t>comite</w:t>
      </w:r>
      <w:proofErr w:type="spellEnd"/>
      <w:r>
        <w:rPr>
          <w:rFonts w:ascii="Palatino Linotype" w:hAnsi="Palatino Linotype" w:cs="Arial"/>
          <w:b/>
          <w:sz w:val="24"/>
          <w:szCs w:val="24"/>
        </w:rPr>
        <w:t xml:space="preserve"> 05.pdf”, </w:t>
      </w:r>
      <w:r>
        <w:rPr>
          <w:rFonts w:ascii="Palatino Linotype" w:hAnsi="Palatino Linotype" w:cs="Arial"/>
          <w:sz w:val="24"/>
          <w:szCs w:val="24"/>
        </w:rPr>
        <w:t xml:space="preserve">cuyo contenido será materia de análisis en el considerando respectivo. </w:t>
      </w:r>
    </w:p>
    <w:p w14:paraId="32DBFF68" w14:textId="77777777" w:rsidR="00DF75B7" w:rsidRPr="007E24F0" w:rsidRDefault="00DF75B7" w:rsidP="00073E92">
      <w:pPr>
        <w:spacing w:before="240" w:line="360" w:lineRule="auto"/>
        <w:jc w:val="both"/>
        <w:rPr>
          <w:rFonts w:ascii="Palatino Linotype" w:hAnsi="Palatino Linotype" w:cs="Arial"/>
          <w:sz w:val="24"/>
          <w:szCs w:val="24"/>
        </w:rPr>
      </w:pPr>
    </w:p>
    <w:p w14:paraId="067753A9"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187661B2" w14:textId="60BA909E" w:rsidR="00FF3A25" w:rsidRPr="00FF3A25"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veintiocho de enero de dos mil veintidós, el cual fue registrado en el sistema electrónico con el expediente número </w:t>
      </w:r>
      <w:r w:rsidR="00FF3A25">
        <w:rPr>
          <w:rFonts w:ascii="Palatino Linotype" w:hAnsi="Palatino Linotype" w:cs="Arial"/>
          <w:b/>
          <w:sz w:val="24"/>
          <w:szCs w:val="24"/>
        </w:rPr>
        <w:t xml:space="preserve">00390/INFOEM/IP/RR/2022, </w:t>
      </w:r>
      <w:r w:rsidR="00FF3A25">
        <w:rPr>
          <w:rFonts w:ascii="Palatino Linotype" w:hAnsi="Palatino Linotype" w:cs="Arial"/>
          <w:sz w:val="24"/>
          <w:szCs w:val="24"/>
        </w:rPr>
        <w:t xml:space="preserve">en el cual arguye las siguientes manifestaciones: </w:t>
      </w:r>
    </w:p>
    <w:p w14:paraId="340DAA60" w14:textId="77777777"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28567ABF" w:rsidR="00073E92" w:rsidRPr="00C2092D" w:rsidRDefault="00073E92" w:rsidP="00073E92">
      <w:pPr>
        <w:pStyle w:val="Citas"/>
        <w:rPr>
          <w:b/>
          <w:sz w:val="24"/>
        </w:rPr>
      </w:pPr>
      <w:r w:rsidRPr="00737D40">
        <w:t>“</w:t>
      </w:r>
      <w:r w:rsidR="00737D40" w:rsidRPr="00737D40">
        <w:t>El ayuntamiento de Acambay no entrega la información</w:t>
      </w:r>
      <w:r w:rsidRPr="00737D40">
        <w:t>”</w:t>
      </w:r>
      <w:r w:rsidRPr="007E24F0">
        <w:t xml:space="preserve"> </w:t>
      </w:r>
      <w:r>
        <w:rPr>
          <w:b/>
        </w:rPr>
        <w:t xml:space="preserve">[Sic] </w:t>
      </w: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D821A9E" w14:textId="1DE62593" w:rsidR="00FF3A25" w:rsidRPr="00C2092D" w:rsidRDefault="00FF3A25" w:rsidP="00FF3A25">
      <w:pPr>
        <w:pStyle w:val="Citas"/>
        <w:rPr>
          <w:b/>
          <w:sz w:val="24"/>
        </w:rPr>
      </w:pPr>
      <w:r w:rsidRPr="00737D40">
        <w:t>“</w:t>
      </w:r>
      <w:r w:rsidR="00737D40" w:rsidRPr="00737D40">
        <w:t>Clasificación de la información solicitada supuestamente por cuestiones de entrega recepción de la actual administración, transgrediendo así mi derecho de acceso a la información, además de no mencionar nada en su acta del comité de transparencia sobre la prueba de daño que se tendría que realizar para poder clasificar información.</w:t>
      </w:r>
      <w:r w:rsidRPr="00737D40">
        <w:t>”</w:t>
      </w:r>
      <w:r w:rsidRPr="007E24F0">
        <w:t xml:space="preserve"> </w:t>
      </w:r>
      <w:r>
        <w:rPr>
          <w:b/>
        </w:rPr>
        <w:t xml:space="preserve">[Sic] </w:t>
      </w:r>
    </w:p>
    <w:p w14:paraId="2B5B5F6D" w14:textId="77777777" w:rsidR="00073E92" w:rsidRDefault="00073E92" w:rsidP="00073E92">
      <w:pPr>
        <w:pStyle w:val="Citas"/>
        <w:ind w:left="0"/>
        <w:rPr>
          <w:b/>
        </w:rPr>
      </w:pPr>
    </w:p>
    <w:p w14:paraId="709DF4DA" w14:textId="77777777" w:rsidR="00AB65D4" w:rsidRPr="00AB65D4" w:rsidRDefault="00AB65D4" w:rsidP="00073E92">
      <w:pPr>
        <w:pStyle w:val="Citas"/>
        <w:ind w:left="0"/>
        <w:rPr>
          <w:i w:val="0"/>
        </w:rPr>
      </w:pPr>
    </w:p>
    <w:p w14:paraId="6B689A4F" w14:textId="77777777" w:rsidR="00073E92" w:rsidRDefault="00073E92" w:rsidP="00073E92">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E5FC894" w14:textId="77777777" w:rsidR="00737D40" w:rsidRDefault="00073E92" w:rsidP="00737D4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37D40">
        <w:rPr>
          <w:rFonts w:ascii="Palatino Linotype" w:hAnsi="Palatino Linotype" w:cs="Arial"/>
          <w:sz w:val="24"/>
          <w:szCs w:val="24"/>
        </w:rPr>
        <w:t>tres de febrero de dos mil veintidós, determinándose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77777777" w:rsidR="00073E92" w:rsidRDefault="00073E92"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3F94273C" w14:textId="4BA731B3" w:rsidR="00737D40" w:rsidRPr="00737D40" w:rsidRDefault="00737D40" w:rsidP="00737D40">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w:t>
      </w:r>
      <w:r w:rsidRPr="00EC07C3">
        <w:rPr>
          <w:rFonts w:ascii="Palatino Linotype" w:hAnsi="Palatino Linotype" w:cs="Arial"/>
          <w:sz w:val="24"/>
          <w:szCs w:val="24"/>
        </w:rPr>
        <w:t xml:space="preserve">etapa de instrucción, de las constancias que obran en el expediente electrónico se advierte que </w:t>
      </w:r>
      <w:r w:rsidRPr="00EC07C3">
        <w:rPr>
          <w:rFonts w:ascii="Palatino Linotype" w:hAnsi="Palatino Linotype" w:cs="Arial"/>
          <w:b/>
          <w:bCs/>
          <w:sz w:val="24"/>
          <w:szCs w:val="24"/>
        </w:rPr>
        <w:t xml:space="preserve">El Sujeto Obligado </w:t>
      </w:r>
      <w:r w:rsidRPr="00EC07C3">
        <w:rPr>
          <w:rFonts w:ascii="Palatino Linotype" w:hAnsi="Palatino Linotype" w:cs="Arial"/>
          <w:sz w:val="24"/>
          <w:szCs w:val="24"/>
        </w:rPr>
        <w:t xml:space="preserve">rindió </w:t>
      </w:r>
      <w:r>
        <w:rPr>
          <w:rFonts w:ascii="Palatino Linotype" w:hAnsi="Palatino Linotype" w:cs="Arial"/>
          <w:sz w:val="24"/>
          <w:szCs w:val="24"/>
        </w:rPr>
        <w:t xml:space="preserve">su informe justificado en fecha once de febrero de dos mil veintidós, mismo que se puso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catorce de febrero del presente. </w:t>
      </w:r>
    </w:p>
    <w:p w14:paraId="3529D774" w14:textId="77777777" w:rsidR="00737D40" w:rsidRDefault="00737D40" w:rsidP="00737D40">
      <w:pPr>
        <w:spacing w:before="240" w:line="360" w:lineRule="auto"/>
        <w:jc w:val="both"/>
        <w:rPr>
          <w:rFonts w:ascii="Palatino Linotype" w:hAnsi="Palatino Linotype" w:cs="Arial"/>
          <w:sz w:val="24"/>
          <w:szCs w:val="24"/>
        </w:rPr>
      </w:pPr>
      <w:r w:rsidRPr="00EC07C3">
        <w:rPr>
          <w:rFonts w:ascii="Palatino Linotype" w:hAnsi="Palatino Linotype" w:cs="Arial"/>
          <w:sz w:val="24"/>
          <w:szCs w:val="24"/>
        </w:rPr>
        <w:t xml:space="preserve">Por lo que una vez transcurrido el plazo establecido para que las partes manifestaran lo que a su derecho conviniera, en </w:t>
      </w:r>
      <w:r w:rsidRPr="007779B9">
        <w:rPr>
          <w:rFonts w:ascii="Palatino Linotype" w:hAnsi="Palatino Linotype" w:cs="Arial"/>
          <w:sz w:val="24"/>
          <w:szCs w:val="24"/>
        </w:rPr>
        <w:t>fecha</w:t>
      </w:r>
      <w:r>
        <w:rPr>
          <w:rFonts w:ascii="Palatino Linotype" w:hAnsi="Palatino Linotype" w:cs="Arial"/>
          <w:sz w:val="24"/>
          <w:szCs w:val="24"/>
        </w:rPr>
        <w:t xml:space="preserve"> veintidós de febrero de los corrientes, </w:t>
      </w:r>
      <w:r w:rsidRPr="007779B9">
        <w:rPr>
          <w:rFonts w:ascii="Palatino Linotype" w:hAnsi="Palatino Linotype" w:cs="Arial"/>
          <w:sz w:val="24"/>
          <w:szCs w:val="24"/>
        </w:rPr>
        <w:t>se decretó</w:t>
      </w:r>
      <w:r>
        <w:rPr>
          <w:rFonts w:ascii="Palatino Linotype" w:hAnsi="Palatino Linotype" w:cs="Arial"/>
          <w:sz w:val="24"/>
          <w:szCs w:val="24"/>
        </w:rPr>
        <w:t xml:space="preserve"> el cierre de instrucción en términos del artículo 185 fracción VI de la Ley de Transparencia y Acceso a la Información Pública del Estado de México y Municipios, iniciando el término legal para dictar resolución definitiva del asunto.</w:t>
      </w:r>
    </w:p>
    <w:p w14:paraId="13FC85D3" w14:textId="778F616B" w:rsidR="00737D40" w:rsidRDefault="00737D40" w:rsidP="00737D40">
      <w:pPr>
        <w:spacing w:before="240" w:line="360" w:lineRule="auto"/>
        <w:jc w:val="both"/>
        <w:rPr>
          <w:rFonts w:ascii="Palatino Linotype" w:hAnsi="Palatino Linotype" w:cs="Arial"/>
          <w:sz w:val="24"/>
          <w:szCs w:val="24"/>
        </w:rPr>
      </w:pPr>
    </w:p>
    <w:p w14:paraId="59A698C9" w14:textId="77777777" w:rsidR="00737D40" w:rsidRDefault="00737D40"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A2CE89C" w14:textId="77777777" w:rsidR="007E24F0" w:rsidRPr="008F797B" w:rsidRDefault="007E24F0"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6B301BE4" w14:textId="77777777" w:rsidR="00965139" w:rsidRDefault="00965139" w:rsidP="0096513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FAAD804" w14:textId="77777777" w:rsidR="00965139" w:rsidRPr="00514E66" w:rsidRDefault="00965139" w:rsidP="00965139">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2DD15E" w14:textId="77777777" w:rsidR="00965139" w:rsidRDefault="00965139" w:rsidP="00965139">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213B4F90" w14:textId="77777777" w:rsidR="00737D40" w:rsidRDefault="00737D40"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7B6819A8" w14:textId="3E550D47" w:rsidR="00737D40" w:rsidRPr="00A279CF" w:rsidRDefault="0072378A" w:rsidP="0072378A">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1C2AC5" w:rsidRPr="00A279CF">
        <w:rPr>
          <w:rFonts w:ascii="Palatino Linotype" w:hAnsi="Palatino Linotype"/>
          <w:b/>
          <w:sz w:val="24"/>
          <w:szCs w:val="24"/>
        </w:rPr>
        <w:t xml:space="preserve">00005/ACAMBAY/IP/2022 </w:t>
      </w:r>
      <w:r w:rsidR="001C2AC5" w:rsidRPr="00A279CF">
        <w:rPr>
          <w:rFonts w:ascii="Palatino Linotype" w:hAnsi="Palatino Linotype"/>
          <w:sz w:val="24"/>
          <w:szCs w:val="24"/>
        </w:rPr>
        <w:t xml:space="preserve">fueron formulados </w:t>
      </w:r>
      <w:r w:rsidR="001C2AC5" w:rsidRPr="00A279CF">
        <w:rPr>
          <w:rFonts w:ascii="Palatino Linotype" w:hAnsi="Palatino Linotype"/>
          <w:b/>
          <w:sz w:val="24"/>
          <w:szCs w:val="24"/>
        </w:rPr>
        <w:t xml:space="preserve">5 –cinco- </w:t>
      </w:r>
      <w:r w:rsidR="001C2AC5" w:rsidRPr="00A279CF">
        <w:rPr>
          <w:rFonts w:ascii="Palatino Linotype" w:hAnsi="Palatino Linotype"/>
          <w:sz w:val="24"/>
          <w:szCs w:val="24"/>
        </w:rPr>
        <w:t>requerimientos, respecto de los cuales se desprenden las siguientes consideraciones:</w:t>
      </w:r>
    </w:p>
    <w:p w14:paraId="5FEB2F96" w14:textId="1B6060DE" w:rsidR="001C2AC5" w:rsidRPr="00A279CF" w:rsidRDefault="001C2AC5" w:rsidP="001C2AC5">
      <w:pPr>
        <w:pStyle w:val="Prrafodelista"/>
        <w:numPr>
          <w:ilvl w:val="0"/>
          <w:numId w:val="20"/>
        </w:numPr>
        <w:spacing w:before="240" w:line="360" w:lineRule="auto"/>
        <w:jc w:val="both"/>
        <w:rPr>
          <w:rFonts w:ascii="Palatino Linotype" w:hAnsi="Palatino Linotype"/>
        </w:rPr>
      </w:pPr>
      <w:r w:rsidRPr="00A279CF">
        <w:rPr>
          <w:rFonts w:ascii="Palatino Linotype" w:hAnsi="Palatino Linotype"/>
        </w:rPr>
        <w:t xml:space="preserve">Que de una interpretación literal y gramatical a los </w:t>
      </w:r>
      <w:r w:rsidR="00101343">
        <w:rPr>
          <w:rFonts w:ascii="Palatino Linotype" w:hAnsi="Palatino Linotype"/>
        </w:rPr>
        <w:t>requerimientos 1, 2, 3 y 5</w:t>
      </w:r>
      <w:r w:rsidRPr="00A279CF">
        <w:rPr>
          <w:rFonts w:ascii="Palatino Linotype" w:hAnsi="Palatino Linotype"/>
        </w:rPr>
        <w:t xml:space="preserve"> se advierte que el particular señaló como elemento temporal </w:t>
      </w:r>
      <w:r w:rsidRPr="00A279CF">
        <w:rPr>
          <w:rFonts w:ascii="Palatino Linotype" w:hAnsi="Palatino Linotype"/>
          <w:i/>
        </w:rPr>
        <w:t>“del ejercicio 2021”.</w:t>
      </w:r>
    </w:p>
    <w:p w14:paraId="2FBCFA99" w14:textId="3060059B" w:rsidR="001C2AC5" w:rsidRPr="00A279CF" w:rsidRDefault="001C2AC5" w:rsidP="001C2AC5">
      <w:pPr>
        <w:pStyle w:val="Prrafodelista"/>
        <w:numPr>
          <w:ilvl w:val="0"/>
          <w:numId w:val="20"/>
        </w:numPr>
        <w:spacing w:before="240" w:line="360" w:lineRule="auto"/>
        <w:jc w:val="both"/>
        <w:rPr>
          <w:rFonts w:ascii="Palatino Linotype" w:hAnsi="Palatino Linotype"/>
        </w:rPr>
      </w:pPr>
      <w:r w:rsidRPr="00A279CF">
        <w:rPr>
          <w:rFonts w:ascii="Palatino Linotype" w:hAnsi="Palatino Linotype"/>
        </w:rPr>
        <w:t xml:space="preserve">En contraste, con relación al </w:t>
      </w:r>
      <w:r w:rsidR="00A279CF">
        <w:rPr>
          <w:rFonts w:ascii="Palatino Linotype" w:hAnsi="Palatino Linotype"/>
        </w:rPr>
        <w:t>cuarto</w:t>
      </w:r>
      <w:r w:rsidRPr="00A279CF">
        <w:rPr>
          <w:rFonts w:ascii="Palatino Linotype" w:hAnsi="Palatino Linotype"/>
        </w:rPr>
        <w:t xml:space="preserve"> requerimiento, el particular señaló </w:t>
      </w:r>
      <w:r w:rsidRPr="00A279CF">
        <w:rPr>
          <w:rFonts w:ascii="Palatino Linotype" w:hAnsi="Palatino Linotype"/>
          <w:i/>
        </w:rPr>
        <w:t xml:space="preserve">“hasta la fecha del 11 de enero de </w:t>
      </w:r>
      <w:r w:rsidRPr="00A279CF">
        <w:rPr>
          <w:rFonts w:ascii="Palatino Linotype" w:hAnsi="Palatino Linotype"/>
          <w:b/>
          <w:i/>
          <w:u w:val="single"/>
        </w:rPr>
        <w:t>2021”</w:t>
      </w:r>
      <w:r w:rsidRPr="00A279CF">
        <w:rPr>
          <w:rFonts w:ascii="Palatino Linotype" w:hAnsi="Palatino Linotype"/>
        </w:rPr>
        <w:t>. Luego entonces, tomando en consideración la fecha en que se ejerció el derecho de acceso a la información pública, once de enero de dos mil veintidós, a toda luz se desprende que el particular señaló el año incorrecto mediante la s</w:t>
      </w:r>
      <w:r w:rsidR="00A279CF" w:rsidRPr="00A279CF">
        <w:rPr>
          <w:rFonts w:ascii="Palatino Linotype" w:hAnsi="Palatino Linotype"/>
        </w:rPr>
        <w:t>olicitud de información, no obstante</w:t>
      </w:r>
      <w:r w:rsidR="009C6AB1">
        <w:rPr>
          <w:rFonts w:ascii="Palatino Linotype" w:hAnsi="Palatino Linotype"/>
        </w:rPr>
        <w:t>,</w:t>
      </w:r>
      <w:r w:rsidR="00A279CF" w:rsidRPr="00A279CF">
        <w:rPr>
          <w:rFonts w:ascii="Palatino Linotype" w:hAnsi="Palatino Linotype"/>
        </w:rPr>
        <w:t xml:space="preserve"> lo anterior, opera el principio de suplencia de la queja de</w:t>
      </w:r>
      <w:r w:rsidR="00A279CF">
        <w:rPr>
          <w:rFonts w:ascii="Palatino Linotype" w:hAnsi="Palatino Linotype"/>
        </w:rPr>
        <w:t>f</w:t>
      </w:r>
      <w:r w:rsidR="00BA202D">
        <w:rPr>
          <w:rFonts w:ascii="Palatino Linotype" w:hAnsi="Palatino Linotype"/>
        </w:rPr>
        <w:t>iciente a favor del particular. E</w:t>
      </w:r>
      <w:r w:rsidR="00A279CF">
        <w:rPr>
          <w:rFonts w:ascii="Palatino Linotype" w:hAnsi="Palatino Linotype"/>
        </w:rPr>
        <w:t xml:space="preserve">n suma, el elemento temporal debe de </w:t>
      </w:r>
      <w:r w:rsidR="00A76B72">
        <w:rPr>
          <w:rFonts w:ascii="Palatino Linotype" w:hAnsi="Palatino Linotype"/>
        </w:rPr>
        <w:t xml:space="preserve">ser </w:t>
      </w:r>
      <w:r w:rsidR="00F453CB">
        <w:rPr>
          <w:rFonts w:ascii="Palatino Linotype" w:hAnsi="Palatino Linotype"/>
        </w:rPr>
        <w:t xml:space="preserve">delimitado al once de enero de dos mil veintidós. </w:t>
      </w:r>
    </w:p>
    <w:p w14:paraId="1A962B05" w14:textId="38B3491F" w:rsidR="00A279CF" w:rsidRPr="0051062B" w:rsidRDefault="00A279CF" w:rsidP="00A279CF">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Dichas precisiones, </w:t>
      </w:r>
      <w:r w:rsidRPr="0051062B">
        <w:rPr>
          <w:rFonts w:ascii="Palatino Linotype" w:hAnsi="Palatino Linotype"/>
          <w:sz w:val="24"/>
          <w:szCs w:val="24"/>
        </w:rPr>
        <w:t xml:space="preserve">con fundamento en los artículos 13 y 181 cuarto párrafo de la Ley en materia, los cuales a la letra rezan: </w:t>
      </w:r>
    </w:p>
    <w:p w14:paraId="0DFD282D" w14:textId="77777777" w:rsidR="00A279CF" w:rsidRPr="0051062B" w:rsidRDefault="00A279CF" w:rsidP="00A279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3FAF328" w14:textId="77777777" w:rsidR="00A279CF" w:rsidRPr="0051062B" w:rsidRDefault="00A279CF" w:rsidP="00A279CF">
      <w:pPr>
        <w:pStyle w:val="Citas"/>
        <w:rPr>
          <w:b/>
        </w:rPr>
      </w:pPr>
      <w:r w:rsidRPr="0051062B">
        <w:rPr>
          <w:b/>
        </w:rPr>
        <w:t xml:space="preserve">Artículo 181. … </w:t>
      </w:r>
    </w:p>
    <w:p w14:paraId="0D4F10D6" w14:textId="77777777" w:rsidR="00A279CF" w:rsidRPr="0051062B" w:rsidRDefault="00A279CF" w:rsidP="00A279C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1DBDEF68" w14:textId="77777777" w:rsidR="00A279CF" w:rsidRDefault="00A279CF" w:rsidP="00A279CF">
      <w:pPr>
        <w:spacing w:before="240" w:line="360" w:lineRule="auto"/>
        <w:jc w:val="both"/>
        <w:rPr>
          <w:rFonts w:ascii="Palatino Linotype" w:hAnsi="Palatino Linotype"/>
          <w:highlight w:val="yellow"/>
        </w:rPr>
      </w:pPr>
    </w:p>
    <w:p w14:paraId="3477A581" w14:textId="77777777" w:rsidR="00A279CF" w:rsidRDefault="00A279CF" w:rsidP="00A279C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60BB061D" w14:textId="3367A968" w:rsidR="00A279CF" w:rsidRPr="00A279CF" w:rsidRDefault="00A279CF" w:rsidP="00A279CF">
      <w:pPr>
        <w:tabs>
          <w:tab w:val="left" w:pos="709"/>
        </w:tabs>
        <w:spacing w:before="240" w:line="360" w:lineRule="auto"/>
        <w:ind w:right="51"/>
        <w:jc w:val="both"/>
        <w:rPr>
          <w:rFonts w:ascii="Palatino Linotype" w:hAnsi="Palatino Linotype"/>
          <w:b/>
          <w:sz w:val="24"/>
          <w:szCs w:val="24"/>
        </w:rPr>
      </w:pPr>
      <w:r w:rsidRPr="00A279CF">
        <w:rPr>
          <w:rFonts w:ascii="Palatino Linotype" w:hAnsi="Palatino Linotype"/>
          <w:b/>
          <w:sz w:val="24"/>
          <w:szCs w:val="24"/>
        </w:rPr>
        <w:t>Con relación al Fondo Estatal de Fortalecimiento Municipal (FEFOM)</w:t>
      </w:r>
      <w:r w:rsidR="00BA202D">
        <w:rPr>
          <w:rFonts w:ascii="Palatino Linotype" w:hAnsi="Palatino Linotype"/>
          <w:b/>
          <w:sz w:val="24"/>
          <w:szCs w:val="24"/>
        </w:rPr>
        <w:t xml:space="preserve"> 2021</w:t>
      </w:r>
      <w:r w:rsidRPr="00A279CF">
        <w:rPr>
          <w:rFonts w:ascii="Palatino Linotype" w:hAnsi="Palatino Linotype"/>
          <w:b/>
          <w:sz w:val="24"/>
          <w:szCs w:val="24"/>
        </w:rPr>
        <w:t xml:space="preserve">:  </w:t>
      </w:r>
    </w:p>
    <w:p w14:paraId="7677C4D3" w14:textId="5CAD59AA" w:rsidR="00737D40" w:rsidRDefault="00737D40" w:rsidP="00737D40">
      <w:pPr>
        <w:pStyle w:val="Prrafodelista"/>
        <w:numPr>
          <w:ilvl w:val="0"/>
          <w:numId w:val="19"/>
        </w:numPr>
        <w:spacing w:before="240" w:line="360" w:lineRule="auto"/>
        <w:jc w:val="both"/>
        <w:rPr>
          <w:rFonts w:ascii="Palatino Linotype" w:hAnsi="Palatino Linotype"/>
        </w:rPr>
      </w:pPr>
      <w:r>
        <w:rPr>
          <w:rFonts w:ascii="Palatino Linotype" w:hAnsi="Palatino Linotype"/>
        </w:rPr>
        <w:t>El o los documentos donde conste el monto autorizado y liberado al A</w:t>
      </w:r>
      <w:r w:rsidR="00B24D10">
        <w:rPr>
          <w:rFonts w:ascii="Palatino Linotype" w:hAnsi="Palatino Linotype"/>
        </w:rPr>
        <w:t xml:space="preserve">yuntamiento de Acambay </w:t>
      </w:r>
      <w:proofErr w:type="gramStart"/>
      <w:r w:rsidR="00B24D10">
        <w:rPr>
          <w:rFonts w:ascii="Palatino Linotype" w:hAnsi="Palatino Linotype"/>
        </w:rPr>
        <w:t>de  Ruíz</w:t>
      </w:r>
      <w:proofErr w:type="gramEnd"/>
      <w:r w:rsidR="00B24D10">
        <w:rPr>
          <w:rFonts w:ascii="Palatino Linotype" w:hAnsi="Palatino Linotype"/>
        </w:rPr>
        <w:t xml:space="preserve"> C</w:t>
      </w:r>
      <w:r w:rsidR="00101343">
        <w:rPr>
          <w:rFonts w:ascii="Palatino Linotype" w:hAnsi="Palatino Linotype"/>
        </w:rPr>
        <w:t xml:space="preserve">astañeda. </w:t>
      </w:r>
    </w:p>
    <w:p w14:paraId="1B55D252" w14:textId="32D47235" w:rsidR="00B24D10" w:rsidRDefault="00B24D10" w:rsidP="00737D40">
      <w:pPr>
        <w:pStyle w:val="Prrafodelista"/>
        <w:numPr>
          <w:ilvl w:val="0"/>
          <w:numId w:val="19"/>
        </w:numPr>
        <w:spacing w:before="240" w:line="360" w:lineRule="auto"/>
        <w:jc w:val="both"/>
        <w:rPr>
          <w:rFonts w:ascii="Palatino Linotype" w:hAnsi="Palatino Linotype"/>
        </w:rPr>
      </w:pPr>
      <w:r>
        <w:rPr>
          <w:rFonts w:ascii="Palatino Linotype" w:hAnsi="Palatino Linotype"/>
        </w:rPr>
        <w:t>El o los documentos donde consten las obras realizadas y su costo conforme al expediente t</w:t>
      </w:r>
      <w:r w:rsidR="001C2AC5">
        <w:rPr>
          <w:rFonts w:ascii="Palatino Linotype" w:hAnsi="Palatino Linotype"/>
        </w:rPr>
        <w:t>écnico de cada una de ellas</w:t>
      </w:r>
      <w:r w:rsidR="00101343">
        <w:rPr>
          <w:rFonts w:ascii="Palatino Linotype" w:hAnsi="Palatino Linotype"/>
        </w:rPr>
        <w:t xml:space="preserve">. </w:t>
      </w:r>
    </w:p>
    <w:p w14:paraId="7227377D" w14:textId="4BF3D1DD" w:rsidR="00B24D10" w:rsidRDefault="00B24D10" w:rsidP="00737D40">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El o los documentos donde conste la razón social de las empresas que ejecutaron </w:t>
      </w:r>
      <w:r w:rsidR="00A279CF">
        <w:rPr>
          <w:rFonts w:ascii="Palatino Linotype" w:hAnsi="Palatino Linotype"/>
        </w:rPr>
        <w:t xml:space="preserve">cada una de </w:t>
      </w:r>
      <w:r>
        <w:rPr>
          <w:rFonts w:ascii="Palatino Linotype" w:hAnsi="Palatino Linotype"/>
        </w:rPr>
        <w:t>las obras</w:t>
      </w:r>
      <w:r w:rsidR="00101343">
        <w:rPr>
          <w:rFonts w:ascii="Palatino Linotype" w:hAnsi="Palatino Linotype"/>
        </w:rPr>
        <w:t xml:space="preserve">. </w:t>
      </w:r>
    </w:p>
    <w:p w14:paraId="0A059900" w14:textId="77777777" w:rsidR="00101343" w:rsidRDefault="00B24D10" w:rsidP="00737D40">
      <w:pPr>
        <w:pStyle w:val="Prrafodelista"/>
        <w:numPr>
          <w:ilvl w:val="0"/>
          <w:numId w:val="19"/>
        </w:numPr>
        <w:spacing w:before="240" w:line="360" w:lineRule="auto"/>
        <w:jc w:val="both"/>
        <w:rPr>
          <w:rFonts w:ascii="Palatino Linotype" w:hAnsi="Palatino Linotype"/>
        </w:rPr>
      </w:pPr>
      <w:r>
        <w:rPr>
          <w:rFonts w:ascii="Palatino Linotype" w:hAnsi="Palatino Linotype"/>
        </w:rPr>
        <w:lastRenderedPageBreak/>
        <w:t>El o los documentos donde conste el monto erogado</w:t>
      </w:r>
      <w:r w:rsidR="007111B4">
        <w:rPr>
          <w:rFonts w:ascii="Palatino Linotype" w:hAnsi="Palatino Linotype"/>
        </w:rPr>
        <w:t xml:space="preserve"> para cada una de las obras, </w:t>
      </w:r>
      <w:r w:rsidR="00101343">
        <w:rPr>
          <w:rFonts w:ascii="Palatino Linotype" w:hAnsi="Palatino Linotype"/>
        </w:rPr>
        <w:t xml:space="preserve">hasta la fecha once de enero de dos mil veintidós. </w:t>
      </w:r>
    </w:p>
    <w:p w14:paraId="6E34D30C" w14:textId="5108B1CA" w:rsidR="00B24D10" w:rsidRDefault="00101343" w:rsidP="00737D40">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Facturas y/o documentos análogos. </w:t>
      </w:r>
      <w:r w:rsidR="00A279CF">
        <w:rPr>
          <w:rFonts w:ascii="Palatino Linotype" w:hAnsi="Palatino Linotype"/>
        </w:rPr>
        <w:t xml:space="preserve"> </w:t>
      </w:r>
    </w:p>
    <w:p w14:paraId="3260B6BA" w14:textId="77777777" w:rsidR="001C336E" w:rsidRDefault="001C336E" w:rsidP="001C336E">
      <w:pPr>
        <w:spacing w:before="240" w:line="360" w:lineRule="auto"/>
        <w:jc w:val="both"/>
        <w:rPr>
          <w:rFonts w:ascii="Palatino Linotype" w:hAnsi="Palatino Linotype"/>
          <w:bCs/>
        </w:rPr>
      </w:pPr>
    </w:p>
    <w:p w14:paraId="10D29F13" w14:textId="47AF8F02" w:rsidR="00B24D10" w:rsidRPr="009C6AB1" w:rsidRDefault="001C336E" w:rsidP="001C336E">
      <w:pPr>
        <w:spacing w:before="240" w:line="360" w:lineRule="auto"/>
        <w:jc w:val="both"/>
        <w:rPr>
          <w:rFonts w:ascii="Palatino Linotype" w:hAnsi="Palatino Linotype"/>
          <w:sz w:val="24"/>
          <w:szCs w:val="24"/>
        </w:rPr>
      </w:pPr>
      <w:r w:rsidRPr="009C6AB1">
        <w:rPr>
          <w:rFonts w:ascii="Palatino Linotype" w:hAnsi="Palatino Linotype"/>
          <w:bCs/>
          <w:sz w:val="24"/>
          <w:szCs w:val="24"/>
        </w:rPr>
        <w:t xml:space="preserve">En este tenor, en alusión a los requerimientos formulados por el particular, resulta oportuno traer a colación los artículos 54, 55 y 60 del Presupuesto de Egresos del Gobierno del Estado de México para el ejercicio fiscal del año 2021; </w:t>
      </w:r>
      <w:r w:rsidR="0015142D" w:rsidRPr="009C6AB1">
        <w:rPr>
          <w:rFonts w:ascii="Palatino Linotype" w:hAnsi="Palatino Linotype"/>
          <w:bCs/>
          <w:sz w:val="24"/>
          <w:szCs w:val="24"/>
        </w:rPr>
        <w:t xml:space="preserve">apartado I, numeral 1, fracción VI de los Lineamientos para la utilización del Fondo Estatal de Fortalecimiento Municipal y sus Criterios de Aplicación, porciones normativas que disponen a la literalidad lo siguiente: </w:t>
      </w:r>
    </w:p>
    <w:p w14:paraId="57E2AC7C" w14:textId="2DFFEA10" w:rsidR="001C336E" w:rsidRPr="001C336E" w:rsidRDefault="001C336E" w:rsidP="001C336E">
      <w:pPr>
        <w:pStyle w:val="Citas"/>
        <w:jc w:val="center"/>
        <w:rPr>
          <w:b/>
        </w:rPr>
      </w:pPr>
      <w:r w:rsidRPr="001C336E">
        <w:rPr>
          <w:b/>
        </w:rPr>
        <w:t>Presupuesto de Egresos del Gobierno del Estado de México para el ejercicio fiscal del año 2021</w:t>
      </w:r>
    </w:p>
    <w:p w14:paraId="4037640F" w14:textId="1E9AB61B" w:rsidR="001C336E" w:rsidRDefault="0015142D" w:rsidP="001C336E">
      <w:pPr>
        <w:pStyle w:val="Citas"/>
      </w:pPr>
      <w:r>
        <w:t>“</w:t>
      </w:r>
      <w:r w:rsidR="001C336E">
        <w:t xml:space="preserve">Artículo 54. El Fondo Estatal de Fortalecimiento Municipal (FEFOM) tiene como fin fortalecer la inversión pública en los municipios para contribuir sustancialmente al desarrollo regional; su asignación y distribución se realizará con base en criterios y porcentajes objetivos, atendiendo a las siguientes variables: </w:t>
      </w:r>
    </w:p>
    <w:p w14:paraId="196D83A0" w14:textId="77777777" w:rsidR="001C336E" w:rsidRDefault="001C336E" w:rsidP="001C336E">
      <w:pPr>
        <w:pStyle w:val="Citas"/>
      </w:pPr>
      <w:r>
        <w:t xml:space="preserve">a) Población por municipio </w:t>
      </w:r>
    </w:p>
    <w:p w14:paraId="7AE82ACC" w14:textId="77777777" w:rsidR="001C336E" w:rsidRDefault="001C336E" w:rsidP="001C336E">
      <w:pPr>
        <w:pStyle w:val="Citas"/>
      </w:pPr>
      <w:r>
        <w:t xml:space="preserve">b) Marginalidad por municipio </w:t>
      </w:r>
    </w:p>
    <w:p w14:paraId="5FF705E7" w14:textId="37BED835" w:rsidR="00F453CB" w:rsidRDefault="001C336E" w:rsidP="001C336E">
      <w:pPr>
        <w:pStyle w:val="Citas"/>
      </w:pPr>
      <w:r>
        <w:t>c) El inverso de la densidad poblacional por municipio</w:t>
      </w:r>
    </w:p>
    <w:p w14:paraId="6A285CD1" w14:textId="6E29448A" w:rsidR="001C336E" w:rsidRDefault="001C336E" w:rsidP="001C336E">
      <w:pPr>
        <w:pStyle w:val="Citas"/>
        <w:rPr>
          <w:sz w:val="24"/>
          <w:szCs w:val="24"/>
        </w:rPr>
      </w:pPr>
      <w:r>
        <w:t>(…)</w:t>
      </w:r>
    </w:p>
    <w:p w14:paraId="22AA544C" w14:textId="67D52F59" w:rsidR="00F453CB" w:rsidRDefault="001C336E" w:rsidP="001C336E">
      <w:pPr>
        <w:pStyle w:val="Citas"/>
        <w:rPr>
          <w:sz w:val="24"/>
          <w:szCs w:val="24"/>
        </w:rPr>
      </w:pPr>
      <w:r>
        <w:lastRenderedPageBreak/>
        <w:t>Artículo 55. La Secretaría deberá publicar a más tardar el 31 de enero de 2021, las fórmulas y variables que se utilizarán para determinar el monto correspondiente a cada municipio de los recursos del FEFOM y los lineamientos para su utilización y criterios de aplicación correspondientes.</w:t>
      </w:r>
    </w:p>
    <w:p w14:paraId="7B70B83B" w14:textId="6BB92714" w:rsidR="00F453CB" w:rsidRPr="0015142D" w:rsidRDefault="001C336E" w:rsidP="001C336E">
      <w:pPr>
        <w:pStyle w:val="Citas"/>
        <w:rPr>
          <w:b/>
        </w:rPr>
      </w:pPr>
      <w:r>
        <w:t>Artículo 60. Los recursos del FEFOM, deben constar en los registros de los ingresos y los egresos de los municipios, de acuerdo con los postulados básicos de contabilidad gubernamental y para efectos de la rendición de los informes y de la Cuenta Pública ante la Legislatura del Estado, de acuerdo con las disposiciones aplicables.</w:t>
      </w:r>
      <w:r w:rsidR="0015142D">
        <w:t xml:space="preserve">” </w:t>
      </w:r>
      <w:r w:rsidR="0015142D">
        <w:rPr>
          <w:b/>
        </w:rPr>
        <w:t xml:space="preserve">[Sic] </w:t>
      </w:r>
    </w:p>
    <w:p w14:paraId="798FBEE7" w14:textId="77777777" w:rsidR="0015142D" w:rsidRDefault="0015142D" w:rsidP="001C336E">
      <w:pPr>
        <w:pStyle w:val="Citas"/>
        <w:rPr>
          <w:sz w:val="24"/>
          <w:szCs w:val="24"/>
        </w:rPr>
      </w:pPr>
    </w:p>
    <w:p w14:paraId="2E589A5C" w14:textId="65FB6CF4" w:rsidR="00F453CB" w:rsidRPr="0015142D" w:rsidRDefault="0015142D" w:rsidP="0015142D">
      <w:pPr>
        <w:pStyle w:val="Citas"/>
        <w:jc w:val="center"/>
        <w:rPr>
          <w:b/>
        </w:rPr>
      </w:pPr>
      <w:r w:rsidRPr="0015142D">
        <w:rPr>
          <w:b/>
        </w:rPr>
        <w:t>Lineamientos para la utilización del Fondo Estatal de Fortalecimiento Municipal y sus Criterios de Aplicación</w:t>
      </w:r>
    </w:p>
    <w:p w14:paraId="3EB7B42E" w14:textId="0EC46210" w:rsidR="0015142D" w:rsidRDefault="0015142D" w:rsidP="0015142D">
      <w:pPr>
        <w:pStyle w:val="Citas"/>
      </w:pPr>
      <w:r>
        <w:t xml:space="preserve">“I. GLOSARIO DE TÉRMINOS </w:t>
      </w:r>
    </w:p>
    <w:p w14:paraId="40402F0B" w14:textId="2888167D" w:rsidR="0015142D" w:rsidRDefault="0015142D" w:rsidP="0015142D">
      <w:pPr>
        <w:pStyle w:val="Citas"/>
      </w:pPr>
      <w:r>
        <w:t>1. Para efectos de estos Lineamientos, se entenderá por:</w:t>
      </w:r>
    </w:p>
    <w:p w14:paraId="07D381B8" w14:textId="246ADEE4" w:rsidR="0015142D" w:rsidRDefault="0015142D" w:rsidP="0015142D">
      <w:pPr>
        <w:pStyle w:val="Citas"/>
      </w:pPr>
      <w:r>
        <w:t>(…)</w:t>
      </w:r>
    </w:p>
    <w:p w14:paraId="2587B09B" w14:textId="77777777" w:rsidR="0015142D" w:rsidRPr="0015142D" w:rsidRDefault="0015142D" w:rsidP="0015142D">
      <w:pPr>
        <w:pStyle w:val="Citas"/>
        <w:rPr>
          <w:b/>
          <w:u w:val="single"/>
        </w:rPr>
      </w:pPr>
      <w:r w:rsidRPr="0015142D">
        <w:rPr>
          <w:b/>
          <w:u w:val="single"/>
        </w:rPr>
        <w:t xml:space="preserve">VI. Proyectos de inversión: A los proyectos que impactan en el desarrollo regional a través de la infraestructura pública y sus instalaciones, compuestos por una o más obras, como: </w:t>
      </w:r>
    </w:p>
    <w:p w14:paraId="45E6FFC1" w14:textId="77777777" w:rsidR="0015142D" w:rsidRDefault="0015142D" w:rsidP="0015142D">
      <w:pPr>
        <w:pStyle w:val="Citas"/>
      </w:pPr>
      <w:r>
        <w:t xml:space="preserve">a) Proyectos de infraestructura económica, cuando se trate de la construcción o ampliación de activos fijos para la producción de bienes y servicios en los sectores de agua, comunicaciones y transportes, electricidad y turismo; así como su rehabilitación, cuyo objeto sea incrementar la vida útil o capacidad original de los </w:t>
      </w:r>
      <w:r>
        <w:lastRenderedPageBreak/>
        <w:t xml:space="preserve">activos fijos destinados a la producción de bienes y servicios de los sectores mencionados; </w:t>
      </w:r>
    </w:p>
    <w:p w14:paraId="5973F35D" w14:textId="77777777" w:rsidR="0015142D" w:rsidRDefault="0015142D" w:rsidP="0015142D">
      <w:pPr>
        <w:pStyle w:val="Citas"/>
      </w:pPr>
      <w:r>
        <w:t xml:space="preserve">b) Proyectos de infraestructura social, cuando se trate de la construcción o ampliación de activos fijos para llevar a cabo funciones en materia de educación, ciencia y tecnología, cultura, deporte, salud y asistencia social; así como su rehabilitación, cuyo objeto sea incrementar la vida útil o capacidad original de los activos fijos destinados a la producción de bienes y servicios de los sectores mencionados; </w:t>
      </w:r>
    </w:p>
    <w:p w14:paraId="1411FA2D" w14:textId="77777777" w:rsidR="0015142D" w:rsidRDefault="0015142D" w:rsidP="0015142D">
      <w:pPr>
        <w:pStyle w:val="Citas"/>
      </w:pPr>
      <w:r>
        <w:t xml:space="preserve">c) Proyectos de infraestructura gubernamental, cuando se trate de la construcción o ampliación de activos fijos para llevar a cabo funciones de gobierno, tales como seguridad pública, protección civil y procuración de justicia, entre otras; así como su rehabilitación, cuyo objeto sea incrementar la vida útil o capacidad original de los activos fijos destinados a la producción de bienes y servicios de los sectores mencionados; </w:t>
      </w:r>
    </w:p>
    <w:p w14:paraId="62080371" w14:textId="77777777" w:rsidR="0015142D" w:rsidRDefault="0015142D" w:rsidP="0015142D">
      <w:pPr>
        <w:pStyle w:val="Citas"/>
      </w:pPr>
      <w:r>
        <w:t xml:space="preserve">d) Proyectos de inmuebles, cuando se trate de la construcción o ampliación de inmuebles destinados a oficinas administrativas; </w:t>
      </w:r>
    </w:p>
    <w:p w14:paraId="32F59923" w14:textId="2E43A5F5" w:rsidR="0015142D" w:rsidRPr="0015142D" w:rsidRDefault="0015142D" w:rsidP="0015142D">
      <w:pPr>
        <w:pStyle w:val="Citas"/>
        <w:rPr>
          <w:b/>
        </w:rPr>
      </w:pPr>
      <w:r>
        <w:t xml:space="preserve">e) Otros proyectos de inversión, cuando se trate de aquellos que no estén identificados en los incisos anteriores” </w:t>
      </w:r>
      <w:r>
        <w:rPr>
          <w:b/>
        </w:rPr>
        <w:t xml:space="preserve">[Sic] </w:t>
      </w:r>
    </w:p>
    <w:p w14:paraId="7EBA397E" w14:textId="77777777" w:rsidR="0015142D" w:rsidRDefault="0015142D" w:rsidP="0015142D">
      <w:pPr>
        <w:pStyle w:val="Citas"/>
        <w:ind w:left="0"/>
      </w:pPr>
    </w:p>
    <w:p w14:paraId="79388502" w14:textId="77777777" w:rsidR="0015142D" w:rsidRDefault="0015142D" w:rsidP="009C6AB1">
      <w:pPr>
        <w:pStyle w:val="Citas"/>
        <w:ind w:left="0" w:right="0"/>
        <w:rPr>
          <w:i w:val="0"/>
          <w:sz w:val="24"/>
          <w:szCs w:val="24"/>
        </w:rPr>
      </w:pPr>
      <w:r>
        <w:rPr>
          <w:i w:val="0"/>
          <w:sz w:val="24"/>
          <w:szCs w:val="24"/>
        </w:rPr>
        <w:t>De ahí que deba arribarse a la premisa de que la hacienda pública municipal se integra por:</w:t>
      </w:r>
    </w:p>
    <w:p w14:paraId="74426AB0" w14:textId="773F62EC" w:rsidR="0015142D" w:rsidRDefault="0015142D" w:rsidP="0015142D">
      <w:pPr>
        <w:pStyle w:val="Citas"/>
        <w:numPr>
          <w:ilvl w:val="0"/>
          <w:numId w:val="21"/>
        </w:numPr>
        <w:rPr>
          <w:i w:val="0"/>
          <w:sz w:val="24"/>
          <w:szCs w:val="24"/>
        </w:rPr>
      </w:pPr>
      <w:r>
        <w:rPr>
          <w:i w:val="0"/>
          <w:sz w:val="24"/>
          <w:szCs w:val="24"/>
        </w:rPr>
        <w:t xml:space="preserve">Los bienes muebles e inmuebles propiedad del municipio </w:t>
      </w:r>
    </w:p>
    <w:p w14:paraId="1B967CD3" w14:textId="11CBBE61" w:rsidR="0015142D" w:rsidRPr="00303210" w:rsidRDefault="0015142D" w:rsidP="0015142D">
      <w:pPr>
        <w:pStyle w:val="Citas"/>
        <w:numPr>
          <w:ilvl w:val="0"/>
          <w:numId w:val="21"/>
        </w:numPr>
        <w:rPr>
          <w:i w:val="0"/>
          <w:sz w:val="24"/>
          <w:szCs w:val="24"/>
        </w:rPr>
      </w:pPr>
      <w:r>
        <w:rPr>
          <w:i w:val="0"/>
          <w:sz w:val="24"/>
          <w:szCs w:val="24"/>
        </w:rPr>
        <w:lastRenderedPageBreak/>
        <w:t xml:space="preserve">Los capitales y créditos a favor del municipio, así como los interés y </w:t>
      </w:r>
      <w:r w:rsidRPr="00303210">
        <w:rPr>
          <w:i w:val="0"/>
          <w:sz w:val="24"/>
          <w:szCs w:val="24"/>
        </w:rPr>
        <w:t>productos que generen los mismos;</w:t>
      </w:r>
    </w:p>
    <w:p w14:paraId="50534E8D" w14:textId="5DEE67A4" w:rsidR="0015142D" w:rsidRPr="00303210" w:rsidRDefault="0015142D" w:rsidP="0015142D">
      <w:pPr>
        <w:pStyle w:val="Citas"/>
        <w:numPr>
          <w:ilvl w:val="0"/>
          <w:numId w:val="21"/>
        </w:numPr>
        <w:rPr>
          <w:i w:val="0"/>
          <w:sz w:val="24"/>
          <w:szCs w:val="24"/>
        </w:rPr>
      </w:pPr>
      <w:r w:rsidRPr="00303210">
        <w:rPr>
          <w:i w:val="0"/>
          <w:sz w:val="24"/>
          <w:szCs w:val="24"/>
        </w:rPr>
        <w:t>Las rentas y productos de todos los bienes municipales</w:t>
      </w:r>
    </w:p>
    <w:p w14:paraId="25CA5367" w14:textId="77B5A09A" w:rsidR="0015142D" w:rsidRPr="00303210" w:rsidRDefault="0015142D" w:rsidP="0015142D">
      <w:pPr>
        <w:pStyle w:val="Citas"/>
        <w:numPr>
          <w:ilvl w:val="0"/>
          <w:numId w:val="21"/>
        </w:numPr>
        <w:rPr>
          <w:i w:val="0"/>
          <w:sz w:val="24"/>
          <w:szCs w:val="24"/>
        </w:rPr>
      </w:pPr>
      <w:r w:rsidRPr="00303210">
        <w:rPr>
          <w:i w:val="0"/>
          <w:sz w:val="24"/>
          <w:szCs w:val="24"/>
        </w:rPr>
        <w:t>Las participaciones que reciban de acuerdo con las leyes federales y del Estado</w:t>
      </w:r>
    </w:p>
    <w:p w14:paraId="15584E04" w14:textId="20B0F6C9" w:rsidR="0015142D" w:rsidRPr="00303210" w:rsidRDefault="0015142D" w:rsidP="0015142D">
      <w:pPr>
        <w:pStyle w:val="Citas"/>
        <w:numPr>
          <w:ilvl w:val="0"/>
          <w:numId w:val="21"/>
        </w:numPr>
        <w:rPr>
          <w:b/>
          <w:i w:val="0"/>
          <w:sz w:val="24"/>
          <w:szCs w:val="24"/>
          <w:u w:val="single"/>
        </w:rPr>
      </w:pPr>
      <w:r w:rsidRPr="00303210">
        <w:rPr>
          <w:b/>
          <w:i w:val="0"/>
          <w:sz w:val="24"/>
          <w:szCs w:val="24"/>
          <w:u w:val="single"/>
        </w:rPr>
        <w:t>Las contribuciones y demás ingresos determinados en la Ley de Ingresos de los Municipios, los que decrete la Legislatura y otros que por cualquier título legal reciba</w:t>
      </w:r>
    </w:p>
    <w:p w14:paraId="2CBB18BE" w14:textId="26622394" w:rsidR="0015142D" w:rsidRPr="00303210" w:rsidRDefault="0015142D" w:rsidP="0015142D">
      <w:pPr>
        <w:pStyle w:val="Citas"/>
        <w:numPr>
          <w:ilvl w:val="0"/>
          <w:numId w:val="21"/>
        </w:numPr>
        <w:rPr>
          <w:i w:val="0"/>
          <w:sz w:val="24"/>
          <w:szCs w:val="24"/>
        </w:rPr>
      </w:pPr>
      <w:r w:rsidRPr="00303210">
        <w:rPr>
          <w:i w:val="0"/>
          <w:sz w:val="24"/>
          <w:szCs w:val="24"/>
        </w:rPr>
        <w:t xml:space="preserve">Las donaciones, herencias y legados que reciban. </w:t>
      </w:r>
    </w:p>
    <w:p w14:paraId="493C83DE" w14:textId="77777777" w:rsidR="0015142D" w:rsidRDefault="0015142D" w:rsidP="0015142D">
      <w:pPr>
        <w:pStyle w:val="Citas"/>
      </w:pPr>
    </w:p>
    <w:p w14:paraId="319BC779" w14:textId="69616F83" w:rsidR="0015142D" w:rsidRDefault="00303210" w:rsidP="00303210">
      <w:pPr>
        <w:pStyle w:val="Citas"/>
        <w:ind w:left="0" w:right="0"/>
        <w:rPr>
          <w:i w:val="0"/>
          <w:sz w:val="24"/>
          <w:szCs w:val="24"/>
        </w:rPr>
      </w:pPr>
      <w:r>
        <w:rPr>
          <w:i w:val="0"/>
          <w:sz w:val="24"/>
          <w:szCs w:val="24"/>
        </w:rPr>
        <w:t xml:space="preserve">De forma complementaria, con relación a los requerimientos formulados por el particular, resulta oportuno traer a colación las siguientes imágenes ilustrativas, correspondientes al organigrama del </w:t>
      </w:r>
      <w:r>
        <w:rPr>
          <w:b/>
          <w:i w:val="0"/>
          <w:sz w:val="24"/>
          <w:szCs w:val="24"/>
        </w:rPr>
        <w:t xml:space="preserve">Sujeto Obligado, </w:t>
      </w:r>
      <w:r>
        <w:rPr>
          <w:i w:val="0"/>
          <w:sz w:val="24"/>
          <w:szCs w:val="24"/>
        </w:rPr>
        <w:t>susceptible de ser consultado en la siguiente dirección electrónica:</w:t>
      </w:r>
    </w:p>
    <w:p w14:paraId="59FFD459" w14:textId="7BFB9557" w:rsidR="00303210" w:rsidRDefault="00527DC2" w:rsidP="00303210">
      <w:pPr>
        <w:pStyle w:val="Citas"/>
        <w:ind w:left="0" w:right="0"/>
        <w:rPr>
          <w:i w:val="0"/>
          <w:sz w:val="24"/>
          <w:szCs w:val="24"/>
        </w:rPr>
      </w:pPr>
      <w:hyperlink r:id="rId8" w:history="1">
        <w:r w:rsidR="00303210" w:rsidRPr="00142B76">
          <w:rPr>
            <w:rStyle w:val="Hipervnculo"/>
            <w:i w:val="0"/>
            <w:sz w:val="24"/>
            <w:szCs w:val="24"/>
          </w:rPr>
          <w:t>https://www.ipomex.org.mx/recursos/ipo/files_ipo3/2019/42929/2/2118b8bead2c85d51ccc85ce689ac60a.pdf</w:t>
        </w:r>
      </w:hyperlink>
      <w:r w:rsidR="00303210">
        <w:rPr>
          <w:i w:val="0"/>
          <w:sz w:val="24"/>
          <w:szCs w:val="24"/>
        </w:rPr>
        <w:t xml:space="preserve"> </w:t>
      </w:r>
    </w:p>
    <w:p w14:paraId="7D9D2BDA" w14:textId="77777777" w:rsidR="00303210" w:rsidRDefault="00303210" w:rsidP="00303210">
      <w:pPr>
        <w:pStyle w:val="Citas"/>
        <w:ind w:left="0" w:right="0"/>
        <w:rPr>
          <w:i w:val="0"/>
          <w:sz w:val="24"/>
          <w:szCs w:val="24"/>
        </w:rPr>
      </w:pPr>
    </w:p>
    <w:p w14:paraId="11A85723" w14:textId="77777777" w:rsidR="00303210" w:rsidRDefault="00303210" w:rsidP="00303210">
      <w:pPr>
        <w:pStyle w:val="Citas"/>
        <w:ind w:left="0" w:right="0"/>
        <w:rPr>
          <w:i w:val="0"/>
          <w:sz w:val="24"/>
          <w:szCs w:val="24"/>
        </w:rPr>
      </w:pPr>
    </w:p>
    <w:p w14:paraId="0223A6D2" w14:textId="3C4714A8" w:rsidR="00303210" w:rsidRDefault="00303210" w:rsidP="00303210">
      <w:pPr>
        <w:pStyle w:val="Citas"/>
        <w:ind w:left="0" w:right="0"/>
        <w:rPr>
          <w:i w:val="0"/>
          <w:sz w:val="24"/>
          <w:szCs w:val="24"/>
        </w:rPr>
      </w:pPr>
      <w:r>
        <w:rPr>
          <w:i w:val="0"/>
          <w:noProof/>
          <w:sz w:val="24"/>
          <w:szCs w:val="24"/>
          <w:lang w:eastAsia="es-MX"/>
        </w:rPr>
        <w:lastRenderedPageBreak/>
        <w:drawing>
          <wp:anchor distT="0" distB="0" distL="114300" distR="114300" simplePos="0" relativeHeight="251656189" behindDoc="0" locked="0" layoutInCell="1" allowOverlap="1" wp14:anchorId="31EBD188" wp14:editId="56416103">
            <wp:simplePos x="0" y="0"/>
            <wp:positionH relativeFrom="column">
              <wp:posOffset>32385</wp:posOffset>
            </wp:positionH>
            <wp:positionV relativeFrom="paragraph">
              <wp:posOffset>19050</wp:posOffset>
            </wp:positionV>
            <wp:extent cx="5753100" cy="3493770"/>
            <wp:effectExtent l="19050" t="19050" r="19050" b="11430"/>
            <wp:wrapThrough wrapText="bothSides">
              <wp:wrapPolygon edited="0">
                <wp:start x="-72" y="-118"/>
                <wp:lineTo x="-72" y="21553"/>
                <wp:lineTo x="21600" y="21553"/>
                <wp:lineTo x="21600" y="-118"/>
                <wp:lineTo x="-72" y="-118"/>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4937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CC3763F" w14:textId="0DF04986" w:rsidR="00303210" w:rsidRPr="00303210" w:rsidRDefault="00303210" w:rsidP="00303210">
      <w:pPr>
        <w:pStyle w:val="Citas"/>
        <w:ind w:left="0" w:right="0"/>
        <w:rPr>
          <w:i w:val="0"/>
          <w:sz w:val="24"/>
          <w:szCs w:val="24"/>
        </w:rPr>
      </w:pPr>
      <w:r>
        <w:rPr>
          <w:noProof/>
          <w:sz w:val="24"/>
          <w:szCs w:val="24"/>
          <w:lang w:eastAsia="es-MX"/>
        </w:rPr>
        <w:drawing>
          <wp:anchor distT="0" distB="0" distL="114300" distR="114300" simplePos="0" relativeHeight="251667456" behindDoc="0" locked="0" layoutInCell="1" allowOverlap="1" wp14:anchorId="0DD80B30" wp14:editId="4723B438">
            <wp:simplePos x="0" y="0"/>
            <wp:positionH relativeFrom="column">
              <wp:posOffset>2165160</wp:posOffset>
            </wp:positionH>
            <wp:positionV relativeFrom="paragraph">
              <wp:posOffset>28575</wp:posOffset>
            </wp:positionV>
            <wp:extent cx="1569720" cy="1501140"/>
            <wp:effectExtent l="19050" t="19050" r="11430" b="22860"/>
            <wp:wrapThrough wrapText="bothSides">
              <wp:wrapPolygon edited="0">
                <wp:start x="-262" y="-274"/>
                <wp:lineTo x="-262" y="21655"/>
                <wp:lineTo x="21495" y="21655"/>
                <wp:lineTo x="21495" y="-274"/>
                <wp:lineTo x="-262" y="-274"/>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9720" cy="15011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sz w:val="24"/>
          <w:szCs w:val="24"/>
          <w:lang w:eastAsia="es-MX"/>
        </w:rPr>
        <w:drawing>
          <wp:anchor distT="0" distB="0" distL="114300" distR="114300" simplePos="0" relativeHeight="251668480" behindDoc="0" locked="0" layoutInCell="1" allowOverlap="1" wp14:anchorId="15F1485A" wp14:editId="2BE69484">
            <wp:simplePos x="0" y="0"/>
            <wp:positionH relativeFrom="column">
              <wp:posOffset>4215418</wp:posOffset>
            </wp:positionH>
            <wp:positionV relativeFrom="paragraph">
              <wp:posOffset>29198</wp:posOffset>
            </wp:positionV>
            <wp:extent cx="1569720" cy="1501140"/>
            <wp:effectExtent l="19050" t="19050" r="11430" b="22860"/>
            <wp:wrapThrough wrapText="bothSides">
              <wp:wrapPolygon edited="0">
                <wp:start x="-262" y="-274"/>
                <wp:lineTo x="-262" y="21655"/>
                <wp:lineTo x="21495" y="21655"/>
                <wp:lineTo x="21495" y="-274"/>
                <wp:lineTo x="-262" y="-274"/>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9720" cy="15011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sz w:val="24"/>
          <w:szCs w:val="24"/>
          <w:lang w:eastAsia="es-MX"/>
        </w:rPr>
        <w:drawing>
          <wp:anchor distT="0" distB="0" distL="114300" distR="114300" simplePos="0" relativeHeight="251666432" behindDoc="0" locked="0" layoutInCell="1" allowOverlap="1" wp14:anchorId="67D1C95D" wp14:editId="64991C29">
            <wp:simplePos x="0" y="0"/>
            <wp:positionH relativeFrom="column">
              <wp:posOffset>92877</wp:posOffset>
            </wp:positionH>
            <wp:positionV relativeFrom="paragraph">
              <wp:posOffset>29198</wp:posOffset>
            </wp:positionV>
            <wp:extent cx="1569720" cy="1501140"/>
            <wp:effectExtent l="19050" t="19050" r="11430" b="22860"/>
            <wp:wrapThrough wrapText="bothSides">
              <wp:wrapPolygon edited="0">
                <wp:start x="-262" y="-274"/>
                <wp:lineTo x="-262" y="21655"/>
                <wp:lineTo x="21495" y="21655"/>
                <wp:lineTo x="21495" y="-274"/>
                <wp:lineTo x="-262" y="-274"/>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5011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C0C82B7" w14:textId="05763085" w:rsidR="00303210" w:rsidRDefault="00303210" w:rsidP="00303210">
      <w:pPr>
        <w:pStyle w:val="Citas"/>
        <w:ind w:left="0"/>
        <w:rPr>
          <w:sz w:val="24"/>
          <w:szCs w:val="24"/>
        </w:rPr>
      </w:pPr>
    </w:p>
    <w:p w14:paraId="66FF95E6" w14:textId="6039ED66" w:rsidR="00303210" w:rsidRDefault="00303210" w:rsidP="00303210">
      <w:pPr>
        <w:pStyle w:val="Citas"/>
        <w:ind w:left="0"/>
        <w:rPr>
          <w:sz w:val="24"/>
          <w:szCs w:val="24"/>
        </w:rPr>
      </w:pPr>
    </w:p>
    <w:p w14:paraId="76267636" w14:textId="56B414FA" w:rsidR="00303210" w:rsidRDefault="00303210" w:rsidP="00303210">
      <w:pPr>
        <w:pStyle w:val="Citas"/>
        <w:ind w:left="0"/>
        <w:rPr>
          <w:sz w:val="24"/>
          <w:szCs w:val="24"/>
        </w:rPr>
      </w:pPr>
    </w:p>
    <w:p w14:paraId="1B6B26EA" w14:textId="77777777" w:rsidR="007B2F5C" w:rsidRDefault="00303210" w:rsidP="00303210">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w:t>
      </w:r>
      <w:r>
        <w:rPr>
          <w:rFonts w:ascii="Palatino Linotype" w:hAnsi="Palatino Linotype" w:cs="Arial"/>
          <w:sz w:val="24"/>
          <w:szCs w:val="24"/>
        </w:rPr>
        <w:lastRenderedPageBreak/>
        <w:t xml:space="preserve">Tesorería Municipal, la Dirección de Administración, así como la Dirección de Obras Públicas y Desarrollo Urbano. </w:t>
      </w:r>
    </w:p>
    <w:p w14:paraId="4C002C4C" w14:textId="1167C6BD" w:rsidR="007B2F5C" w:rsidRDefault="007B2F5C" w:rsidP="007B2F5C">
      <w:pPr>
        <w:autoSpaceDE w:val="0"/>
        <w:autoSpaceDN w:val="0"/>
        <w:adjustRightInd w:val="0"/>
        <w:spacing w:line="360" w:lineRule="auto"/>
        <w:jc w:val="both"/>
        <w:rPr>
          <w:rFonts w:ascii="Palatino Linotype" w:hAnsi="Palatino Linotype" w:cs="Arial"/>
          <w:sz w:val="24"/>
          <w:szCs w:val="24"/>
        </w:rPr>
      </w:pPr>
      <w:r w:rsidRPr="00BB4C07">
        <w:rPr>
          <w:rFonts w:ascii="Palatino Linotype" w:hAnsi="Palatino Linotype" w:cs="Arial"/>
          <w:sz w:val="24"/>
          <w:szCs w:val="24"/>
        </w:rPr>
        <w:t xml:space="preserve">A mayor abundamiento, en alusión </w:t>
      </w:r>
      <w:r>
        <w:rPr>
          <w:rFonts w:ascii="Palatino Linotype" w:hAnsi="Palatino Linotype" w:cs="Arial"/>
          <w:sz w:val="24"/>
          <w:szCs w:val="24"/>
        </w:rPr>
        <w:t xml:space="preserve">a los requerimientos formulados por el particular, resulta oportuno traer a colación los artículos 95, fracciones I, IV y V, 96 bis, fracciones I, II, XI y XX de la Ley Orgánica Municipal del Estado de México; </w:t>
      </w:r>
      <w:r w:rsidR="003B6686">
        <w:rPr>
          <w:rFonts w:ascii="Palatino Linotype" w:hAnsi="Palatino Linotype" w:cs="Arial"/>
          <w:sz w:val="24"/>
          <w:szCs w:val="24"/>
        </w:rPr>
        <w:t xml:space="preserve">así como el numeral 65, fracciones I y VII del Bando Municipal del </w:t>
      </w:r>
      <w:r w:rsidR="003B6686">
        <w:rPr>
          <w:rFonts w:ascii="Palatino Linotype" w:hAnsi="Palatino Linotype" w:cs="Arial"/>
          <w:b/>
          <w:sz w:val="24"/>
          <w:szCs w:val="24"/>
        </w:rPr>
        <w:t xml:space="preserve">Sujeto Obligado, </w:t>
      </w:r>
      <w:r w:rsidR="003B6686">
        <w:rPr>
          <w:rFonts w:ascii="Palatino Linotype" w:hAnsi="Palatino Linotype" w:cs="Arial"/>
          <w:sz w:val="24"/>
          <w:szCs w:val="24"/>
        </w:rPr>
        <w:t xml:space="preserve">porciones normativas que señalan a la literalidad lo siguiente: </w:t>
      </w:r>
    </w:p>
    <w:p w14:paraId="665804C3" w14:textId="0870D052" w:rsidR="007B2F5C" w:rsidRPr="007B2F5C" w:rsidRDefault="007B2F5C" w:rsidP="007B2F5C">
      <w:pPr>
        <w:pStyle w:val="Citas"/>
        <w:jc w:val="center"/>
        <w:rPr>
          <w:b/>
          <w:sz w:val="24"/>
          <w:szCs w:val="24"/>
        </w:rPr>
      </w:pPr>
      <w:r w:rsidRPr="007B2F5C">
        <w:rPr>
          <w:b/>
          <w:sz w:val="24"/>
          <w:szCs w:val="24"/>
        </w:rPr>
        <w:t>Ley Orgánica Municipal del Estado de México</w:t>
      </w:r>
    </w:p>
    <w:p w14:paraId="7703BA16" w14:textId="223BEDE5" w:rsidR="007B2F5C" w:rsidRDefault="007B2F5C" w:rsidP="007B2F5C">
      <w:pPr>
        <w:pStyle w:val="Citas"/>
      </w:pPr>
      <w:r>
        <w:rPr>
          <w:sz w:val="24"/>
          <w:szCs w:val="24"/>
        </w:rPr>
        <w:t>“</w:t>
      </w:r>
      <w:r>
        <w:t xml:space="preserve">Artículo 95.- Son atribuciones del tesorero municipal: </w:t>
      </w:r>
    </w:p>
    <w:p w14:paraId="6506C28B" w14:textId="77777777" w:rsidR="007B2F5C" w:rsidRDefault="007B2F5C" w:rsidP="007B2F5C">
      <w:pPr>
        <w:pStyle w:val="Citas"/>
      </w:pPr>
      <w:r>
        <w:t>I. Administrar la hacienda pública municipal, de conformidad con las disposiciones legales aplicables;</w:t>
      </w:r>
    </w:p>
    <w:p w14:paraId="4F6245B5" w14:textId="77777777" w:rsidR="007B2F5C" w:rsidRDefault="007B2F5C" w:rsidP="007B2F5C">
      <w:pPr>
        <w:pStyle w:val="Citas"/>
        <w:rPr>
          <w:rStyle w:val="Hipervnculo"/>
          <w:rFonts w:eastAsia="Times New Roman" w:cs="Times New Roman"/>
          <w:bCs/>
          <w:color w:val="auto"/>
          <w:sz w:val="24"/>
          <w:szCs w:val="24"/>
          <w:u w:val="none"/>
          <w:lang w:val="es-ES" w:eastAsia="es-ES"/>
        </w:rPr>
      </w:pPr>
      <w:r w:rsidRPr="00FD72A0">
        <w:rPr>
          <w:rStyle w:val="Hipervnculo"/>
          <w:rFonts w:eastAsia="Times New Roman" w:cs="Times New Roman"/>
          <w:bCs/>
          <w:color w:val="auto"/>
          <w:sz w:val="24"/>
          <w:szCs w:val="24"/>
          <w:u w:val="none"/>
          <w:lang w:val="es-ES" w:eastAsia="es-ES"/>
        </w:rPr>
        <w:t>(…)</w:t>
      </w:r>
    </w:p>
    <w:p w14:paraId="08190A39" w14:textId="77777777" w:rsidR="007B2F5C" w:rsidRDefault="007B2F5C" w:rsidP="007B2F5C">
      <w:pPr>
        <w:pStyle w:val="Citas"/>
      </w:pPr>
      <w:r>
        <w:t xml:space="preserve">IV. Llevar los registros contables, financieros y administrativos de los ingresos, egresos, e inventarios; </w:t>
      </w:r>
    </w:p>
    <w:p w14:paraId="43A9DB8A" w14:textId="77777777" w:rsidR="007B2F5C" w:rsidRDefault="007B2F5C" w:rsidP="007B2F5C">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70222083" w14:textId="2C2DED1D" w:rsidR="007B2F5C" w:rsidRDefault="007B2F5C" w:rsidP="007B2F5C">
      <w:pPr>
        <w:pStyle w:val="Citas"/>
      </w:pPr>
      <w:r>
        <w:t>(…)</w:t>
      </w:r>
    </w:p>
    <w:p w14:paraId="765FB510" w14:textId="77777777" w:rsidR="007B2F5C" w:rsidRDefault="007B2F5C" w:rsidP="007B2F5C">
      <w:pPr>
        <w:pStyle w:val="Citas"/>
      </w:pPr>
      <w:r>
        <w:t xml:space="preserve">Artículo 96 </w:t>
      </w:r>
      <w:proofErr w:type="gramStart"/>
      <w:r>
        <w:t>Bis.-</w:t>
      </w:r>
      <w:proofErr w:type="gramEnd"/>
      <w:r>
        <w:t xml:space="preserve"> El Director de Obras Públicas o el Titular de la Unidad Administrativa equivalente, tiene las siguientes atribuciones: </w:t>
      </w:r>
    </w:p>
    <w:p w14:paraId="5968060D" w14:textId="77777777" w:rsidR="007B2F5C" w:rsidRDefault="007B2F5C" w:rsidP="007B2F5C">
      <w:pPr>
        <w:pStyle w:val="Citas"/>
      </w:pPr>
      <w:r>
        <w:lastRenderedPageBreak/>
        <w:t>I. Realizar la programación y ejecución de las obras públicas y servicios relacionados, que por orden expresa del Ayuntamiento requieran prioridad;</w:t>
      </w:r>
    </w:p>
    <w:p w14:paraId="78EE2A67" w14:textId="06BCF758" w:rsidR="007B2F5C" w:rsidRDefault="007B2F5C" w:rsidP="007B2F5C">
      <w:pPr>
        <w:pStyle w:val="Citas"/>
      </w:pPr>
      <w:r>
        <w:t xml:space="preserve"> II. Planear y coordinar los proyectos de obras públicas y servicios relacionados con las mismas que autorice el </w:t>
      </w:r>
      <w:proofErr w:type="gramStart"/>
      <w:r>
        <w:t>Ayuntamiento ,</w:t>
      </w:r>
      <w:proofErr w:type="gramEnd"/>
      <w:r>
        <w:t xml:space="preserve"> una vez que se cumplan los requisitos de licitación y otros que determine la ley de la materia;</w:t>
      </w:r>
    </w:p>
    <w:p w14:paraId="08958247" w14:textId="36122DE4" w:rsidR="007B2F5C" w:rsidRDefault="007B2F5C" w:rsidP="007B2F5C">
      <w:pPr>
        <w:pStyle w:val="Citas"/>
      </w:pPr>
      <w:r>
        <w:t>(…)</w:t>
      </w:r>
    </w:p>
    <w:p w14:paraId="72774324" w14:textId="6EBC039F" w:rsidR="007B2F5C" w:rsidRDefault="007B2F5C" w:rsidP="007B2F5C">
      <w:pPr>
        <w:pStyle w:val="Citas"/>
        <w:rPr>
          <w:b/>
          <w:u w:val="single"/>
        </w:rPr>
      </w:pPr>
      <w:r w:rsidRPr="007B2F5C">
        <w:rPr>
          <w:b/>
          <w:u w:val="single"/>
        </w:rPr>
        <w:t>XI. Integrar y verificar que se elaboren de manera correcta y completa las bitácoras y/o expedientes abiertos con motivo de la obra pública y servicios relacionados con la misma, conforme a lo establecido en las disposiciones legales aplicables;</w:t>
      </w:r>
    </w:p>
    <w:p w14:paraId="5CB02495" w14:textId="792FF7E1" w:rsidR="007B2F5C" w:rsidRPr="007B2F5C" w:rsidRDefault="007B2F5C" w:rsidP="007B2F5C">
      <w:pPr>
        <w:pStyle w:val="Citas"/>
      </w:pPr>
      <w:r>
        <w:t>(…)</w:t>
      </w:r>
    </w:p>
    <w:p w14:paraId="3DE3D8E8" w14:textId="587D5EF1" w:rsidR="007B2F5C" w:rsidRPr="007B2F5C" w:rsidRDefault="007B2F5C" w:rsidP="007B2F5C">
      <w:pPr>
        <w:pStyle w:val="Citas"/>
        <w:rPr>
          <w:b/>
          <w:u w:val="single"/>
        </w:rPr>
      </w:pPr>
      <w:r w:rsidRPr="007B2F5C">
        <w:rPr>
          <w:b/>
          <w:u w:val="single"/>
        </w:rPr>
        <w:t>XX. Autorizar para su pago, previa validación del avance y calidad de las obras, los presupuestos y estimaciones que presenten los contratistas de obas públicas municipales;</w:t>
      </w:r>
    </w:p>
    <w:p w14:paraId="17D8C22C" w14:textId="78C09DDF" w:rsidR="00303210" w:rsidRDefault="00303210" w:rsidP="00303210">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303907DF" w14:textId="1C899F96" w:rsidR="003B6686" w:rsidRPr="003B6686" w:rsidRDefault="003B6686" w:rsidP="003B6686">
      <w:pPr>
        <w:pStyle w:val="Citas"/>
        <w:jc w:val="center"/>
        <w:rPr>
          <w:rStyle w:val="Hipervnculo"/>
          <w:rFonts w:eastAsia="Times New Roman" w:cs="Times New Roman"/>
          <w:b/>
          <w:bCs/>
          <w:color w:val="auto"/>
          <w:u w:val="none"/>
          <w:lang w:val="es-ES" w:eastAsia="es-ES"/>
        </w:rPr>
      </w:pPr>
      <w:r w:rsidRPr="003B6686">
        <w:rPr>
          <w:rStyle w:val="Hipervnculo"/>
          <w:rFonts w:eastAsia="Times New Roman" w:cs="Times New Roman"/>
          <w:b/>
          <w:bCs/>
          <w:color w:val="auto"/>
          <w:u w:val="none"/>
          <w:lang w:val="es-ES" w:eastAsia="es-ES"/>
        </w:rPr>
        <w:t>Bando Municipal de Acambay de Ruiz Castañeda</w:t>
      </w:r>
    </w:p>
    <w:p w14:paraId="5FBBF2D6" w14:textId="0894CBF1" w:rsidR="003B6686" w:rsidRDefault="003B6686" w:rsidP="003B6686">
      <w:pPr>
        <w:pStyle w:val="Citas"/>
      </w:pPr>
      <w:r>
        <w:t xml:space="preserve">“Artículo 65. Para el funcionamiento adecuado de las dependencias y unidades administrativas del gobierno municipal, el ayuntamiento se auxiliará de la Coordinación de Administración, con el objeto de </w:t>
      </w:r>
      <w:proofErr w:type="spellStart"/>
      <w:r>
        <w:t>eficientar</w:t>
      </w:r>
      <w:proofErr w:type="spellEnd"/>
      <w:r>
        <w:t xml:space="preserve"> el uso adecuado de los recursos humanos y materiales; teniendo las siguientes atribuciones: </w:t>
      </w:r>
    </w:p>
    <w:p w14:paraId="16EFBC5F" w14:textId="485FE744" w:rsidR="003B6686" w:rsidRDefault="003B6686" w:rsidP="003B6686">
      <w:pPr>
        <w:pStyle w:val="Citas"/>
      </w:pPr>
      <w:r>
        <w:lastRenderedPageBreak/>
        <w:t>I. Dirigir, administrar, planear, ejecutar, dar seguimiento, supervisar, evaluar y fortalecer los trabajos inherentes a las Unidades de Adquisiciones, Recursos Humanos, Parque Vehicular, Servicios Generales e Informática; que se realizan en la administración pública municipal;</w:t>
      </w:r>
    </w:p>
    <w:p w14:paraId="13D51AA3" w14:textId="35F9C616" w:rsidR="003B6686" w:rsidRDefault="003B6686" w:rsidP="003B6686">
      <w:pPr>
        <w:pStyle w:val="Citas"/>
      </w:pPr>
      <w:r>
        <w:t>(…)</w:t>
      </w:r>
    </w:p>
    <w:p w14:paraId="4A30FEEE" w14:textId="686282C0" w:rsidR="003B6686" w:rsidRDefault="003B6686" w:rsidP="003B6686">
      <w:pPr>
        <w:pStyle w:val="Citas"/>
      </w:pPr>
      <w:r>
        <w:t>VII. Planear, proponer, ejecutar, dar seguimiento, supervisar, evaluar y fortalecer el programa anual de adquisiciones de bienes consumibles, con el objeto de presupuestar de manera transparente y adecuada el gasto corriente en este rubro;</w:t>
      </w:r>
    </w:p>
    <w:p w14:paraId="263EE32F" w14:textId="087500C3" w:rsidR="003B6686" w:rsidRPr="003B6686" w:rsidRDefault="003B6686" w:rsidP="003B6686">
      <w:pPr>
        <w:pStyle w:val="Citas"/>
        <w:rPr>
          <w:b/>
        </w:rPr>
      </w:pPr>
      <w:r>
        <w:t xml:space="preserve">(…)” </w:t>
      </w:r>
      <w:r>
        <w:rPr>
          <w:b/>
        </w:rPr>
        <w:t xml:space="preserve">[Sic] </w:t>
      </w:r>
    </w:p>
    <w:p w14:paraId="4F609EA3" w14:textId="77777777" w:rsidR="003B6686" w:rsidRDefault="003B6686" w:rsidP="003B6686">
      <w:pPr>
        <w:pStyle w:val="Citas"/>
        <w:rPr>
          <w:rStyle w:val="Hipervnculo"/>
          <w:rFonts w:eastAsia="Times New Roman" w:cs="Times New Roman"/>
          <w:bCs/>
          <w:sz w:val="24"/>
          <w:szCs w:val="24"/>
          <w:lang w:val="es-ES" w:eastAsia="es-ES"/>
        </w:rPr>
      </w:pPr>
    </w:p>
    <w:p w14:paraId="061A517F" w14:textId="64B3C992" w:rsidR="003B6686" w:rsidRDefault="003B6686" w:rsidP="00303210">
      <w:pPr>
        <w:autoSpaceDE w:val="0"/>
        <w:autoSpaceDN w:val="0"/>
        <w:adjustRightInd w:val="0"/>
        <w:spacing w:line="360" w:lineRule="auto"/>
        <w:jc w:val="both"/>
        <w:rPr>
          <w:rFonts w:ascii="Palatino Linotype" w:hAnsi="Palatino Linotype"/>
          <w:bCs/>
          <w:sz w:val="24"/>
          <w:szCs w:val="24"/>
        </w:rPr>
      </w:pPr>
      <w:r w:rsidRPr="003B6686">
        <w:rPr>
          <w:rFonts w:ascii="Palatino Linotype" w:hAnsi="Palatino Linotype"/>
          <w:bCs/>
          <w:sz w:val="24"/>
          <w:szCs w:val="24"/>
        </w:rPr>
        <w:t xml:space="preserve">En efecto, de la normatividad plasmada con anterioridad se desprende que la Tesorería Municipal, la Dirección de Administración y la Dirección de Obras Públicas fungen como las unidades administrativas competentes para dar atención a la solicitud de información. </w:t>
      </w:r>
    </w:p>
    <w:p w14:paraId="222161E4" w14:textId="77777777" w:rsidR="00180F0F" w:rsidRPr="009169B0" w:rsidRDefault="00697492" w:rsidP="00180F0F">
      <w:pPr>
        <w:autoSpaceDE w:val="0"/>
        <w:autoSpaceDN w:val="0"/>
        <w:adjustRightInd w:val="0"/>
        <w:spacing w:before="240" w:line="360" w:lineRule="auto"/>
        <w:jc w:val="both"/>
        <w:rPr>
          <w:rFonts w:ascii="Palatino Linotype" w:hAnsi="Palatino Linotype" w:cs="Arial"/>
          <w:sz w:val="24"/>
          <w:szCs w:val="24"/>
        </w:rPr>
      </w:pPr>
      <w:r w:rsidRPr="00842697">
        <w:rPr>
          <w:rFonts w:ascii="Palatino Linotype" w:hAnsi="Palatino Linotype"/>
          <w:bCs/>
          <w:sz w:val="24"/>
          <w:szCs w:val="24"/>
        </w:rPr>
        <w:t xml:space="preserve">Por otra parte, </w:t>
      </w:r>
      <w:r w:rsidR="00842697" w:rsidRPr="00842697">
        <w:rPr>
          <w:rFonts w:ascii="Palatino Linotype" w:hAnsi="Palatino Linotype"/>
          <w:bCs/>
          <w:sz w:val="24"/>
          <w:szCs w:val="24"/>
        </w:rPr>
        <w:t>la información requerida estriba</w:t>
      </w:r>
      <w:r w:rsidR="00EC1B22" w:rsidRPr="00842697">
        <w:rPr>
          <w:rFonts w:ascii="Palatino Linotype" w:hAnsi="Palatino Linotype"/>
          <w:bCs/>
          <w:sz w:val="24"/>
          <w:szCs w:val="24"/>
        </w:rPr>
        <w:t xml:space="preserve"> en el interés general y el alcance público, lo anterior con fundamento en el artículo 24, fracción XII, 92, </w:t>
      </w:r>
      <w:r w:rsidR="003B6686">
        <w:rPr>
          <w:rFonts w:ascii="Palatino Linotype" w:hAnsi="Palatino Linotype"/>
          <w:bCs/>
          <w:sz w:val="24"/>
          <w:szCs w:val="24"/>
        </w:rPr>
        <w:t xml:space="preserve">fracciones </w:t>
      </w:r>
      <w:r w:rsidR="00180F0F">
        <w:rPr>
          <w:rFonts w:ascii="Palatino Linotype" w:hAnsi="Palatino Linotype"/>
          <w:bCs/>
          <w:sz w:val="24"/>
          <w:szCs w:val="24"/>
        </w:rPr>
        <w:t xml:space="preserve">XXIX y </w:t>
      </w:r>
      <w:r w:rsidR="00180F0F" w:rsidRPr="00180F0F">
        <w:rPr>
          <w:rFonts w:ascii="Palatino Linotype" w:hAnsi="Palatino Linotype"/>
          <w:sz w:val="24"/>
          <w:szCs w:val="24"/>
        </w:rPr>
        <w:t>XLVII</w:t>
      </w:r>
      <w:r w:rsidR="00180F0F">
        <w:rPr>
          <w:rFonts w:ascii="Palatino Linotype" w:hAnsi="Palatino Linotype"/>
          <w:sz w:val="24"/>
          <w:szCs w:val="24"/>
        </w:rPr>
        <w:t xml:space="preserve"> </w:t>
      </w:r>
      <w:r w:rsidR="00180F0F">
        <w:rPr>
          <w:rFonts w:ascii="Palatino Linotype" w:hAnsi="Palatino Linotype" w:cs="Arial"/>
          <w:sz w:val="24"/>
          <w:szCs w:val="24"/>
        </w:rPr>
        <w:t xml:space="preserve">de la </w:t>
      </w:r>
      <w:r w:rsidR="00180F0F" w:rsidRPr="009169B0">
        <w:rPr>
          <w:rFonts w:ascii="Palatino Linotype" w:hAnsi="Palatino Linotype" w:cs="Arial"/>
          <w:sz w:val="24"/>
          <w:szCs w:val="24"/>
        </w:rPr>
        <w:t xml:space="preserve">Ley de Transparencia y Acceso a la Información Pública del Estado de México y Municipios, normatividad invocada cuyo contenido literal es el siguiente: </w:t>
      </w:r>
    </w:p>
    <w:p w14:paraId="25EBB335" w14:textId="77777777" w:rsidR="00180F0F" w:rsidRDefault="00180F0F" w:rsidP="00180F0F">
      <w:pPr>
        <w:pStyle w:val="Citas"/>
      </w:pPr>
      <w:r>
        <w:t xml:space="preserve">“Artículo 24. Para el cumplimiento de los objetivos de esta Ley, los sujetos obligados deberán cumplir con las siguientes obligaciones, según corresponda, </w:t>
      </w:r>
      <w:proofErr w:type="gramStart"/>
      <w:r>
        <w:t>de acuerdo a</w:t>
      </w:r>
      <w:proofErr w:type="gramEnd"/>
      <w:r>
        <w:t xml:space="preserve"> su naturaleza:</w:t>
      </w:r>
    </w:p>
    <w:p w14:paraId="5E46D251" w14:textId="77777777" w:rsidR="00180F0F" w:rsidRDefault="00180F0F" w:rsidP="00180F0F">
      <w:pPr>
        <w:pStyle w:val="Citas"/>
      </w:pPr>
      <w:r>
        <w:lastRenderedPageBreak/>
        <w:t>(…)</w:t>
      </w:r>
    </w:p>
    <w:p w14:paraId="5DFF5400" w14:textId="77777777" w:rsidR="00180F0F" w:rsidRDefault="00180F0F" w:rsidP="00180F0F">
      <w:pPr>
        <w:pStyle w:val="Citas"/>
      </w:pPr>
      <w:r>
        <w:t>XII. Publicar y mantener actualizada la información relativa a las obligaciones generales de transparencia previstas en la presente Ley o determinadas así por el Instituto, y en general aquella que sea de interés público;</w:t>
      </w:r>
    </w:p>
    <w:p w14:paraId="27467764" w14:textId="77777777" w:rsidR="00180F0F" w:rsidRDefault="00180F0F" w:rsidP="00180F0F">
      <w:pPr>
        <w:pStyle w:val="Citas"/>
      </w:pPr>
      <w:r>
        <w:t>(…)</w:t>
      </w:r>
    </w:p>
    <w:p w14:paraId="555F06AD" w14:textId="77777777" w:rsidR="00180F0F" w:rsidRDefault="00180F0F" w:rsidP="00180F0F">
      <w:pPr>
        <w:pStyle w:val="Citas"/>
      </w:pPr>
      <w: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900266" w14:textId="77777777" w:rsidR="00180F0F" w:rsidRDefault="00180F0F" w:rsidP="00180F0F">
      <w:pPr>
        <w:pStyle w:val="Citas"/>
      </w:pPr>
      <w:r>
        <w:t>(…)</w:t>
      </w:r>
    </w:p>
    <w:p w14:paraId="127D7318" w14:textId="77777777" w:rsidR="00180F0F" w:rsidRDefault="00180F0F" w:rsidP="00180F0F">
      <w:pPr>
        <w:pStyle w:val="Citas"/>
      </w:pPr>
      <w: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6E0CABB7" w14:textId="71B509D3" w:rsidR="003B6686" w:rsidRDefault="00180F0F" w:rsidP="00180F0F">
      <w:pPr>
        <w:pStyle w:val="Citas"/>
      </w:pPr>
      <w:r>
        <w:t>a) De licitaciones públicas o procedimientos de invitación restringida:</w:t>
      </w:r>
    </w:p>
    <w:p w14:paraId="4946E700" w14:textId="67979253" w:rsidR="00180F0F" w:rsidRDefault="00180F0F" w:rsidP="00180F0F">
      <w:pPr>
        <w:pStyle w:val="Citas"/>
      </w:pPr>
      <w:r>
        <w:t>(…)</w:t>
      </w:r>
    </w:p>
    <w:p w14:paraId="3CD5557E" w14:textId="369AB572" w:rsidR="00180F0F" w:rsidRDefault="00180F0F" w:rsidP="00180F0F">
      <w:pPr>
        <w:pStyle w:val="Citas"/>
      </w:pPr>
      <w:r>
        <w:t>b) De las adjudicaciones directas:</w:t>
      </w:r>
    </w:p>
    <w:p w14:paraId="44DBD7D9" w14:textId="77777777" w:rsidR="00180F0F" w:rsidRDefault="00180F0F" w:rsidP="00180F0F">
      <w:pPr>
        <w:pStyle w:val="Citas"/>
      </w:pPr>
      <w:r>
        <w:t>(…)</w:t>
      </w:r>
    </w:p>
    <w:p w14:paraId="1FD04CF2" w14:textId="40F466CA" w:rsidR="00180F0F" w:rsidRDefault="00180F0F" w:rsidP="00180F0F">
      <w:pPr>
        <w:pStyle w:val="Citas"/>
      </w:pPr>
      <w:r>
        <w:lastRenderedPageBreak/>
        <w:t>XLVII. Los ingresos recibidos por cualquier concepto señalando el nombre de los responsables de recibirlos, administrarlos y ejercerlos, indicando el destino de cada uno de ellos;</w:t>
      </w:r>
    </w:p>
    <w:p w14:paraId="7B182DBE" w14:textId="77DB5433" w:rsidR="00180F0F" w:rsidRPr="00180F0F" w:rsidRDefault="00180F0F" w:rsidP="00180F0F">
      <w:pPr>
        <w:pStyle w:val="Citas"/>
        <w:rPr>
          <w:b/>
        </w:rPr>
      </w:pPr>
      <w:r>
        <w:t xml:space="preserve">(…)” </w:t>
      </w:r>
      <w:r>
        <w:rPr>
          <w:b/>
        </w:rPr>
        <w:t xml:space="preserve">[Sic] </w:t>
      </w:r>
    </w:p>
    <w:p w14:paraId="375774EC" w14:textId="77777777" w:rsidR="00180F0F" w:rsidRDefault="00180F0F" w:rsidP="00EC1B22">
      <w:pPr>
        <w:spacing w:before="240" w:line="360" w:lineRule="auto"/>
        <w:jc w:val="both"/>
      </w:pPr>
    </w:p>
    <w:p w14:paraId="1F55C31F" w14:textId="2E34A1B3" w:rsidR="007818E1" w:rsidRDefault="007818E1" w:rsidP="00780A54">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resulta inconcuso que la información que resulta de interés al particular es susceptible de ser generada, poseída y administrada por </w:t>
      </w:r>
      <w:r>
        <w:rPr>
          <w:rFonts w:ascii="Palatino Linotype" w:hAnsi="Palatino Linotype" w:cs="Arial"/>
          <w:b/>
        </w:rPr>
        <w:t xml:space="preserve">El Sujeto Obligado, </w:t>
      </w:r>
      <w:r>
        <w:rPr>
          <w:rFonts w:ascii="Palatino Linotype" w:hAnsi="Palatino Linotype" w:cs="Arial"/>
        </w:rPr>
        <w:t xml:space="preserve">asimismo, ésta estriba como obligaciones de transparencia común. </w:t>
      </w:r>
    </w:p>
    <w:p w14:paraId="343A1BB1" w14:textId="62EAA621" w:rsidR="00180F0F" w:rsidRDefault="007818E1" w:rsidP="007818E1">
      <w:pPr>
        <w:spacing w:before="240" w:line="360" w:lineRule="auto"/>
        <w:jc w:val="both"/>
        <w:rPr>
          <w:rFonts w:ascii="Palatino Linotype" w:hAnsi="Palatino Linotype"/>
          <w:bCs/>
          <w:sz w:val="24"/>
          <w:szCs w:val="24"/>
        </w:rPr>
      </w:pPr>
      <w:r>
        <w:rPr>
          <w:rFonts w:ascii="Palatino Linotype" w:hAnsi="Palatino Linotype"/>
          <w:bCs/>
          <w:sz w:val="24"/>
          <w:szCs w:val="24"/>
        </w:rPr>
        <w:t xml:space="preserve">Una vez sentado lo anterior, como se mencionó en el antecedente segundo </w:t>
      </w:r>
      <w:r>
        <w:rPr>
          <w:rFonts w:ascii="Palatino Linotype" w:hAnsi="Palatino Linotype"/>
          <w:b/>
          <w:sz w:val="24"/>
          <w:szCs w:val="24"/>
        </w:rPr>
        <w:t xml:space="preserve">El Sujeto Obligado </w:t>
      </w:r>
      <w:r>
        <w:rPr>
          <w:rFonts w:ascii="Palatino Linotype" w:hAnsi="Palatino Linotype"/>
          <w:bCs/>
          <w:sz w:val="24"/>
          <w:szCs w:val="24"/>
        </w:rPr>
        <w:t xml:space="preserve">rindió su respuesta en fecha </w:t>
      </w:r>
      <w:r w:rsidR="00180F0F">
        <w:rPr>
          <w:rFonts w:ascii="Palatino Linotype" w:hAnsi="Palatino Linotype"/>
          <w:bCs/>
          <w:sz w:val="24"/>
          <w:szCs w:val="24"/>
        </w:rPr>
        <w:t>veintiocho de enero de dos mil veintidós, adjuntando para tal efecto lo siguiente:</w:t>
      </w:r>
    </w:p>
    <w:p w14:paraId="733E3B9E" w14:textId="03D0E7E4" w:rsidR="00180F0F" w:rsidRDefault="00180F0F" w:rsidP="00180F0F">
      <w:pPr>
        <w:pStyle w:val="Prrafodelista"/>
        <w:numPr>
          <w:ilvl w:val="0"/>
          <w:numId w:val="22"/>
        </w:numPr>
        <w:spacing w:before="240" w:line="360" w:lineRule="auto"/>
        <w:jc w:val="both"/>
        <w:rPr>
          <w:rFonts w:ascii="Palatino Linotype" w:hAnsi="Palatino Linotype"/>
          <w:b/>
          <w:bCs/>
        </w:rPr>
      </w:pPr>
      <w:r>
        <w:rPr>
          <w:rFonts w:ascii="Palatino Linotype" w:hAnsi="Palatino Linotype"/>
          <w:b/>
          <w:bCs/>
        </w:rPr>
        <w:t>“</w:t>
      </w:r>
      <w:proofErr w:type="spellStart"/>
      <w:r>
        <w:rPr>
          <w:rFonts w:ascii="Palatino Linotype" w:hAnsi="Palatino Linotype"/>
          <w:b/>
          <w:bCs/>
        </w:rPr>
        <w:t>contestacion</w:t>
      </w:r>
      <w:proofErr w:type="spellEnd"/>
      <w:r>
        <w:rPr>
          <w:rFonts w:ascii="Palatino Linotype" w:hAnsi="Palatino Linotype"/>
          <w:b/>
          <w:bCs/>
        </w:rPr>
        <w:t xml:space="preserve"> 005.pdf”: </w:t>
      </w:r>
      <w:r>
        <w:rPr>
          <w:rFonts w:ascii="Palatino Linotype" w:hAnsi="Palatino Linotype"/>
          <w:bCs/>
        </w:rPr>
        <w:t xml:space="preserve">Compila lo siguiente: </w:t>
      </w:r>
    </w:p>
    <w:p w14:paraId="5EF42B0F" w14:textId="185DE80B" w:rsidR="00180F0F" w:rsidRPr="00180F0F" w:rsidRDefault="00180F0F" w:rsidP="00180F0F">
      <w:pPr>
        <w:pStyle w:val="Prrafodelista"/>
        <w:numPr>
          <w:ilvl w:val="0"/>
          <w:numId w:val="23"/>
        </w:numPr>
        <w:spacing w:before="240" w:line="360" w:lineRule="auto"/>
        <w:jc w:val="both"/>
        <w:rPr>
          <w:rFonts w:ascii="Palatino Linotype" w:hAnsi="Palatino Linotype"/>
          <w:b/>
          <w:bCs/>
        </w:rPr>
      </w:pPr>
      <w:r>
        <w:rPr>
          <w:rFonts w:ascii="Palatino Linotype" w:hAnsi="Palatino Linotype"/>
          <w:bCs/>
        </w:rPr>
        <w:t xml:space="preserve">Oficio </w:t>
      </w:r>
      <w:r w:rsidR="009C6AB1">
        <w:rPr>
          <w:rFonts w:ascii="Palatino Linotype" w:hAnsi="Palatino Linotype"/>
          <w:bCs/>
        </w:rPr>
        <w:t xml:space="preserve">número </w:t>
      </w:r>
      <w:r>
        <w:rPr>
          <w:rFonts w:ascii="Palatino Linotype" w:hAnsi="Palatino Linotype"/>
          <w:b/>
          <w:bCs/>
        </w:rPr>
        <w:t xml:space="preserve">UTAIPM/036/2022 </w:t>
      </w:r>
      <w:r>
        <w:rPr>
          <w:rFonts w:ascii="Palatino Linotype" w:hAnsi="Palatino Linotype"/>
          <w:bCs/>
        </w:rPr>
        <w:t xml:space="preserve">signado por el Titular de la Unidad de Transparencia y dirigido al particular, </w:t>
      </w:r>
      <w:r w:rsidR="009C6AB1">
        <w:rPr>
          <w:rFonts w:ascii="Palatino Linotype" w:hAnsi="Palatino Linotype"/>
          <w:bCs/>
        </w:rPr>
        <w:t xml:space="preserve">en cual, </w:t>
      </w:r>
      <w:r>
        <w:rPr>
          <w:rFonts w:ascii="Palatino Linotype" w:hAnsi="Palatino Linotype"/>
          <w:bCs/>
        </w:rPr>
        <w:t xml:space="preserve">en </w:t>
      </w:r>
      <w:proofErr w:type="gramStart"/>
      <w:r>
        <w:rPr>
          <w:rFonts w:ascii="Palatino Linotype" w:hAnsi="Palatino Linotype"/>
          <w:bCs/>
        </w:rPr>
        <w:t>síntesis</w:t>
      </w:r>
      <w:proofErr w:type="gramEnd"/>
      <w:r>
        <w:rPr>
          <w:rFonts w:ascii="Palatino Linotype" w:hAnsi="Palatino Linotype"/>
          <w:bCs/>
        </w:rPr>
        <w:t xml:space="preserve"> refiere que la información se encuentra en proceso de revisión y verificación por lo que solicita sea reservada, asimismo, refiere adjuntar diversas comunicaciones internas; de fecha veintiocho de enero de dos mil veintidós. </w:t>
      </w:r>
    </w:p>
    <w:p w14:paraId="300023F7" w14:textId="6EC3D1D0" w:rsidR="00180F0F" w:rsidRDefault="00180F0F" w:rsidP="00180F0F">
      <w:pPr>
        <w:pStyle w:val="Prrafodelista"/>
        <w:numPr>
          <w:ilvl w:val="0"/>
          <w:numId w:val="23"/>
        </w:numPr>
        <w:spacing w:before="240" w:line="360" w:lineRule="auto"/>
        <w:jc w:val="both"/>
        <w:rPr>
          <w:rFonts w:ascii="Palatino Linotype" w:hAnsi="Palatino Linotype"/>
          <w:b/>
          <w:bCs/>
        </w:rPr>
      </w:pPr>
      <w:r>
        <w:rPr>
          <w:rFonts w:ascii="Palatino Linotype" w:hAnsi="Palatino Linotype"/>
          <w:bCs/>
        </w:rPr>
        <w:t xml:space="preserve">Oficio </w:t>
      </w:r>
      <w:r w:rsidR="009C6AB1">
        <w:rPr>
          <w:rFonts w:ascii="Palatino Linotype" w:hAnsi="Palatino Linotype"/>
          <w:bCs/>
        </w:rPr>
        <w:t xml:space="preserve">número </w:t>
      </w:r>
      <w:r>
        <w:rPr>
          <w:rFonts w:ascii="Palatino Linotype" w:hAnsi="Palatino Linotype"/>
          <w:b/>
          <w:bCs/>
        </w:rPr>
        <w:t xml:space="preserve">ACA/OP/006/2022 </w:t>
      </w:r>
      <w:r>
        <w:rPr>
          <w:rFonts w:ascii="Palatino Linotype" w:hAnsi="Palatino Linotype"/>
          <w:bCs/>
        </w:rPr>
        <w:t xml:space="preserve">signado por el </w:t>
      </w:r>
      <w:proofErr w:type="gramStart"/>
      <w:r>
        <w:rPr>
          <w:rFonts w:ascii="Palatino Linotype" w:hAnsi="Palatino Linotype"/>
          <w:bCs/>
        </w:rPr>
        <w:t>Director</w:t>
      </w:r>
      <w:proofErr w:type="gramEnd"/>
      <w:r>
        <w:rPr>
          <w:rFonts w:ascii="Palatino Linotype" w:hAnsi="Palatino Linotype"/>
          <w:bCs/>
        </w:rPr>
        <w:t xml:space="preserve"> de Obras Públicas y dirigido al Titular de la Unidad de Transparencia, </w:t>
      </w:r>
      <w:r w:rsidR="009C6AB1">
        <w:rPr>
          <w:rFonts w:ascii="Palatino Linotype" w:hAnsi="Palatino Linotype"/>
          <w:bCs/>
        </w:rPr>
        <w:t>en cual</w:t>
      </w:r>
      <w:r w:rsidR="0028413B">
        <w:rPr>
          <w:rFonts w:ascii="Palatino Linotype" w:hAnsi="Palatino Linotype"/>
          <w:bCs/>
        </w:rPr>
        <w:t>,</w:t>
      </w:r>
      <w:r w:rsidR="009C6AB1">
        <w:rPr>
          <w:rFonts w:ascii="Palatino Linotype" w:hAnsi="Palatino Linotype"/>
          <w:bCs/>
        </w:rPr>
        <w:t xml:space="preserve"> </w:t>
      </w:r>
      <w:r>
        <w:rPr>
          <w:rFonts w:ascii="Palatino Linotype" w:hAnsi="Palatino Linotype"/>
          <w:bCs/>
        </w:rPr>
        <w:t xml:space="preserve">en lo medular </w:t>
      </w:r>
      <w:r>
        <w:rPr>
          <w:rFonts w:ascii="Palatino Linotype" w:hAnsi="Palatino Linotype"/>
          <w:bCs/>
        </w:rPr>
        <w:lastRenderedPageBreak/>
        <w:t xml:space="preserve">señala que la información requerida fue clasificada como reservada; </w:t>
      </w:r>
      <w:r w:rsidR="009C6AB1">
        <w:rPr>
          <w:rFonts w:ascii="Palatino Linotype" w:hAnsi="Palatino Linotype"/>
          <w:bCs/>
        </w:rPr>
        <w:t xml:space="preserve">oficio </w:t>
      </w:r>
      <w:r>
        <w:rPr>
          <w:rFonts w:ascii="Palatino Linotype" w:hAnsi="Palatino Linotype"/>
          <w:bCs/>
        </w:rPr>
        <w:t xml:space="preserve">de fecha dieciocho de enero de dos mil veintidós. </w:t>
      </w:r>
    </w:p>
    <w:p w14:paraId="7E585EBE" w14:textId="3D275DA0" w:rsidR="00180F0F" w:rsidRPr="00DE35D7" w:rsidRDefault="00180F0F" w:rsidP="00180F0F">
      <w:pPr>
        <w:pStyle w:val="Prrafodelista"/>
        <w:numPr>
          <w:ilvl w:val="0"/>
          <w:numId w:val="22"/>
        </w:numPr>
        <w:spacing w:before="240" w:line="360" w:lineRule="auto"/>
        <w:jc w:val="both"/>
        <w:rPr>
          <w:rFonts w:ascii="Palatino Linotype" w:hAnsi="Palatino Linotype"/>
          <w:b/>
          <w:bCs/>
        </w:rPr>
      </w:pPr>
      <w:r>
        <w:rPr>
          <w:rFonts w:ascii="Palatino Linotype" w:hAnsi="Palatino Linotype"/>
          <w:b/>
          <w:bCs/>
        </w:rPr>
        <w:t xml:space="preserve">“acta del </w:t>
      </w:r>
      <w:proofErr w:type="spellStart"/>
      <w:r>
        <w:rPr>
          <w:rFonts w:ascii="Palatino Linotype" w:hAnsi="Palatino Linotype"/>
          <w:b/>
          <w:bCs/>
        </w:rPr>
        <w:t>comite</w:t>
      </w:r>
      <w:proofErr w:type="spellEnd"/>
      <w:r>
        <w:rPr>
          <w:rFonts w:ascii="Palatino Linotype" w:hAnsi="Palatino Linotype"/>
          <w:b/>
          <w:bCs/>
        </w:rPr>
        <w:t xml:space="preserve"> 05.pdf”: </w:t>
      </w:r>
      <w:r w:rsidR="00877DCA">
        <w:rPr>
          <w:rFonts w:ascii="Palatino Linotype" w:hAnsi="Palatino Linotype"/>
          <w:bCs/>
        </w:rPr>
        <w:t xml:space="preserve">Acta de Sesión Extraordinaria del Comité de Transparencia </w:t>
      </w:r>
      <w:r w:rsidR="00DE35D7">
        <w:rPr>
          <w:rFonts w:ascii="Palatino Linotype" w:hAnsi="Palatino Linotype"/>
          <w:bCs/>
        </w:rPr>
        <w:t>de fecha veintiséis de enero de dos mil veintidós, de su lectura integral resulta de nuestro interés el siguiente extracto:</w:t>
      </w:r>
    </w:p>
    <w:p w14:paraId="2A3F9938" w14:textId="54088096" w:rsidR="00DE35D7" w:rsidRDefault="00DE35D7" w:rsidP="00DE35D7">
      <w:pPr>
        <w:pStyle w:val="Prrafodelista"/>
        <w:spacing w:before="240" w:line="360" w:lineRule="auto"/>
        <w:ind w:left="720"/>
        <w:jc w:val="both"/>
        <w:rPr>
          <w:rFonts w:ascii="Palatino Linotype" w:hAnsi="Palatino Linotype"/>
          <w:b/>
          <w:bCs/>
          <w:i/>
        </w:rPr>
      </w:pPr>
      <w:r>
        <w:rPr>
          <w:rFonts w:ascii="Palatino Linotype" w:hAnsi="Palatino Linotype"/>
          <w:b/>
          <w:bCs/>
          <w:i/>
        </w:rPr>
        <w:t>“ACUERDOS</w:t>
      </w:r>
    </w:p>
    <w:p w14:paraId="6539E1BE" w14:textId="16A6C35D" w:rsidR="00DE35D7" w:rsidRDefault="00DE35D7" w:rsidP="00DE35D7">
      <w:pPr>
        <w:pStyle w:val="Prrafodelista"/>
        <w:spacing w:before="240" w:line="360" w:lineRule="auto"/>
        <w:ind w:left="720"/>
        <w:jc w:val="both"/>
        <w:rPr>
          <w:rFonts w:ascii="Palatino Linotype" w:hAnsi="Palatino Linotype"/>
          <w:bCs/>
          <w:i/>
        </w:rPr>
      </w:pPr>
      <w:r>
        <w:rPr>
          <w:rFonts w:ascii="Palatino Linotype" w:hAnsi="Palatino Linotype"/>
          <w:b/>
          <w:bCs/>
          <w:i/>
        </w:rPr>
        <w:t xml:space="preserve">PRIMERO: </w:t>
      </w:r>
      <w:r>
        <w:rPr>
          <w:rFonts w:ascii="Palatino Linotype" w:hAnsi="Palatino Linotype"/>
          <w:bCs/>
          <w:i/>
        </w:rPr>
        <w:t xml:space="preserve">El Comité de Transparencia de Acambay de Ruiz Castañeda, aprueba por </w:t>
      </w:r>
      <w:r>
        <w:rPr>
          <w:rFonts w:ascii="Palatino Linotype" w:hAnsi="Palatino Linotype"/>
          <w:b/>
          <w:bCs/>
          <w:i/>
        </w:rPr>
        <w:t xml:space="preserve">Unanimidad </w:t>
      </w:r>
      <w:r>
        <w:rPr>
          <w:rFonts w:ascii="Palatino Linotype" w:hAnsi="Palatino Linotype"/>
          <w:bCs/>
          <w:i/>
        </w:rPr>
        <w:t xml:space="preserve">de votos; la reserva de la información por un periodo de 3 meses de la solicitud </w:t>
      </w:r>
      <w:r>
        <w:rPr>
          <w:rFonts w:ascii="Palatino Linotype" w:hAnsi="Palatino Linotype"/>
          <w:b/>
          <w:bCs/>
          <w:i/>
        </w:rPr>
        <w:t xml:space="preserve">00005/ACAMBAY/IP/2022 </w:t>
      </w:r>
      <w:r>
        <w:rPr>
          <w:rFonts w:ascii="Palatino Linotype" w:hAnsi="Palatino Linotype"/>
          <w:bCs/>
          <w:i/>
        </w:rPr>
        <w:t>para poner en riesgo el debido proceso</w:t>
      </w:r>
    </w:p>
    <w:p w14:paraId="2E192B81" w14:textId="102F62E2" w:rsidR="00DE35D7" w:rsidRPr="00DE35D7" w:rsidRDefault="00DE35D7" w:rsidP="00DE35D7">
      <w:pPr>
        <w:pStyle w:val="Prrafodelista"/>
        <w:spacing w:before="240" w:line="360" w:lineRule="auto"/>
        <w:ind w:left="720"/>
        <w:jc w:val="both"/>
        <w:rPr>
          <w:rFonts w:ascii="Palatino Linotype" w:hAnsi="Palatino Linotype"/>
          <w:b/>
          <w:bCs/>
          <w:i/>
        </w:rPr>
      </w:pPr>
      <w:r>
        <w:rPr>
          <w:rFonts w:ascii="Palatino Linotype" w:hAnsi="Palatino Linotype"/>
          <w:bCs/>
          <w:i/>
        </w:rPr>
        <w:t xml:space="preserve">(…)” </w:t>
      </w:r>
      <w:r>
        <w:rPr>
          <w:rFonts w:ascii="Palatino Linotype" w:hAnsi="Palatino Linotype"/>
          <w:b/>
          <w:bCs/>
          <w:i/>
        </w:rPr>
        <w:t xml:space="preserve">[Sic] </w:t>
      </w:r>
    </w:p>
    <w:p w14:paraId="5E3C7D98" w14:textId="77777777" w:rsidR="00180F0F" w:rsidRDefault="00180F0F" w:rsidP="007818E1">
      <w:pPr>
        <w:spacing w:before="240" w:line="360" w:lineRule="auto"/>
        <w:jc w:val="both"/>
        <w:rPr>
          <w:rFonts w:ascii="Palatino Linotype" w:hAnsi="Palatino Linotype"/>
          <w:bCs/>
          <w:sz w:val="24"/>
          <w:szCs w:val="24"/>
        </w:rPr>
      </w:pPr>
    </w:p>
    <w:p w14:paraId="04F1364C" w14:textId="3DBD5B43" w:rsidR="00DE35D7" w:rsidRDefault="007818E1" w:rsidP="007818E1">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Inconforme con la respuesta rendida por </w:t>
      </w:r>
      <w:r>
        <w:rPr>
          <w:rFonts w:ascii="Palatino Linotype" w:hAnsi="Palatino Linotype"/>
          <w:b/>
          <w:noProof/>
          <w:lang w:eastAsia="es-MX"/>
        </w:rPr>
        <w:t xml:space="preserve">El Sujeto Obligado, El Recurrente </w:t>
      </w:r>
      <w:r>
        <w:rPr>
          <w:rFonts w:ascii="Palatino Linotype" w:hAnsi="Palatino Linotype"/>
          <w:noProof/>
          <w:lang w:eastAsia="es-MX"/>
        </w:rPr>
        <w:t>interpuso recurso de revisión en fecha</w:t>
      </w:r>
      <w:r w:rsidR="00296316">
        <w:rPr>
          <w:rFonts w:ascii="Palatino Linotype" w:hAnsi="Palatino Linotype"/>
          <w:noProof/>
          <w:lang w:eastAsia="es-MX"/>
        </w:rPr>
        <w:t xml:space="preserve"> veintiocho de enero, admitiendose el tres de febrero, ambos de dos mil veintidos. Señalando como acto impugnado:</w:t>
      </w:r>
    </w:p>
    <w:p w14:paraId="2462FA86" w14:textId="022BF7E5" w:rsidR="00296316" w:rsidRPr="00296316" w:rsidRDefault="00296316" w:rsidP="00296316">
      <w:pPr>
        <w:pStyle w:val="Citas"/>
        <w:rPr>
          <w:b/>
          <w:noProof/>
          <w:lang w:eastAsia="es-MX"/>
        </w:rPr>
      </w:pPr>
      <w:r>
        <w:t xml:space="preserve">“Clasificación de la información solicitada supuestamente por cuestiones de entrega recepción de la actual administración, transgrediendo así mi derecho de acceso a la información, además de no mencionar nada en su acta del comité de transparencia sobre la prueba de daño que se tendría que realizar para poder clasificar información.” </w:t>
      </w:r>
      <w:r>
        <w:rPr>
          <w:b/>
        </w:rPr>
        <w:t xml:space="preserve">[Sic] </w:t>
      </w:r>
    </w:p>
    <w:p w14:paraId="451D2E71" w14:textId="77777777" w:rsidR="00DE35D7" w:rsidRDefault="00DE35D7" w:rsidP="007818E1">
      <w:pPr>
        <w:pStyle w:val="Default"/>
        <w:spacing w:before="240" w:after="160" w:line="360" w:lineRule="auto"/>
        <w:jc w:val="both"/>
        <w:rPr>
          <w:rFonts w:ascii="Palatino Linotype" w:hAnsi="Palatino Linotype"/>
          <w:noProof/>
          <w:lang w:eastAsia="es-MX"/>
        </w:rPr>
      </w:pPr>
    </w:p>
    <w:p w14:paraId="01341094" w14:textId="5E6F9107" w:rsidR="007818E1" w:rsidRDefault="007818E1" w:rsidP="007818E1">
      <w:pPr>
        <w:pStyle w:val="Citas"/>
        <w:ind w:left="0" w:right="0"/>
        <w:rPr>
          <w:i w:val="0"/>
          <w:sz w:val="24"/>
          <w:szCs w:val="24"/>
        </w:rPr>
      </w:pPr>
      <w:r>
        <w:rPr>
          <w:i w:val="0"/>
          <w:sz w:val="24"/>
          <w:szCs w:val="24"/>
        </w:rPr>
        <w:lastRenderedPageBreak/>
        <w:t>En virtud de lo anterior, a toda luz se desprende que las razones o motivos de inconformidad esgrimidos por el particular se encuentran encauzados a denotar la actualización de la</w:t>
      </w:r>
      <w:r w:rsidR="0028413B">
        <w:rPr>
          <w:i w:val="0"/>
          <w:sz w:val="24"/>
          <w:szCs w:val="24"/>
        </w:rPr>
        <w:t>s</w:t>
      </w:r>
      <w:r>
        <w:rPr>
          <w:i w:val="0"/>
          <w:sz w:val="24"/>
          <w:szCs w:val="24"/>
        </w:rPr>
        <w:t xml:space="preserve"> causal</w:t>
      </w:r>
      <w:r w:rsidR="0028413B">
        <w:rPr>
          <w:i w:val="0"/>
          <w:sz w:val="24"/>
          <w:szCs w:val="24"/>
        </w:rPr>
        <w:t>es</w:t>
      </w:r>
      <w:r>
        <w:rPr>
          <w:i w:val="0"/>
          <w:sz w:val="24"/>
          <w:szCs w:val="24"/>
        </w:rPr>
        <w:t xml:space="preserve"> de procedencia previst</w:t>
      </w:r>
      <w:r w:rsidR="00296316">
        <w:rPr>
          <w:i w:val="0"/>
          <w:sz w:val="24"/>
          <w:szCs w:val="24"/>
        </w:rPr>
        <w:t>a</w:t>
      </w:r>
      <w:r w:rsidR="0028413B">
        <w:rPr>
          <w:i w:val="0"/>
          <w:sz w:val="24"/>
          <w:szCs w:val="24"/>
        </w:rPr>
        <w:t>s</w:t>
      </w:r>
      <w:r w:rsidR="00296316">
        <w:rPr>
          <w:i w:val="0"/>
          <w:sz w:val="24"/>
          <w:szCs w:val="24"/>
        </w:rPr>
        <w:t xml:space="preserve"> en el artículo 179, fracción I y II</w:t>
      </w:r>
      <w:r>
        <w:rPr>
          <w:i w:val="0"/>
          <w:sz w:val="24"/>
          <w:szCs w:val="24"/>
        </w:rPr>
        <w:t xml:space="preserve"> de la Ley de Transparencia y Acceso a la Información Pública del Estado de México y Municipios, normatividad que dispone a la literalidad lo siguiente:</w:t>
      </w:r>
    </w:p>
    <w:p w14:paraId="456CC014" w14:textId="77777777" w:rsidR="007818E1" w:rsidRDefault="007818E1" w:rsidP="007818E1">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744A897F" w14:textId="77777777" w:rsidR="00296316" w:rsidRDefault="00296316" w:rsidP="007818E1">
      <w:pPr>
        <w:pStyle w:val="Citas"/>
      </w:pPr>
      <w:r>
        <w:t xml:space="preserve">I. La negativa a la información solicitada; </w:t>
      </w:r>
    </w:p>
    <w:p w14:paraId="367AEDDA" w14:textId="6A89C9BD" w:rsidR="00296316" w:rsidRPr="00615A99" w:rsidRDefault="00296316" w:rsidP="007818E1">
      <w:pPr>
        <w:pStyle w:val="Citas"/>
      </w:pPr>
      <w:r>
        <w:t>II. La clasificación de la información;</w:t>
      </w:r>
    </w:p>
    <w:p w14:paraId="46C99427" w14:textId="2E66BD5A" w:rsidR="007818E1" w:rsidRPr="007818E1" w:rsidRDefault="00296316" w:rsidP="007818E1">
      <w:pPr>
        <w:pStyle w:val="Citas"/>
        <w:rPr>
          <w:b/>
        </w:rPr>
      </w:pPr>
      <w:r>
        <w:t xml:space="preserve"> </w:t>
      </w:r>
      <w:r w:rsidR="007818E1">
        <w:t xml:space="preserve">(…)” </w:t>
      </w:r>
      <w:r w:rsidR="007818E1">
        <w:rPr>
          <w:b/>
        </w:rPr>
        <w:t>[Sic]</w:t>
      </w:r>
    </w:p>
    <w:p w14:paraId="289CF62C" w14:textId="754748A1" w:rsidR="007818E1" w:rsidRDefault="007818E1" w:rsidP="007818E1">
      <w:pPr>
        <w:pStyle w:val="Citas"/>
        <w:rPr>
          <w:b/>
        </w:rPr>
      </w:pPr>
      <w:r>
        <w:rPr>
          <w:b/>
        </w:rPr>
        <w:t xml:space="preserve"> </w:t>
      </w:r>
    </w:p>
    <w:p w14:paraId="0CF3F811" w14:textId="0E376CB8" w:rsidR="00ED3C5C" w:rsidRDefault="00ED3C5C" w:rsidP="00630E5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sidR="00296316">
        <w:rPr>
          <w:rFonts w:ascii="Palatino Linotype" w:hAnsi="Palatino Linotype" w:cs="Arial"/>
          <w:color w:val="000000"/>
          <w:sz w:val="24"/>
          <w:lang w:val="es-ES_tradnl"/>
        </w:rPr>
        <w:t>rindió su informe justificado en los siguientes términos:</w:t>
      </w:r>
    </w:p>
    <w:p w14:paraId="7F52786D" w14:textId="3BAF2D1F" w:rsidR="00296316" w:rsidRPr="00296316" w:rsidRDefault="00296316" w:rsidP="00296316">
      <w:pPr>
        <w:pStyle w:val="Prrafodelista"/>
        <w:numPr>
          <w:ilvl w:val="0"/>
          <w:numId w:val="24"/>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“manifestaciones recurso 00390.pdf”: </w:t>
      </w:r>
      <w:r>
        <w:rPr>
          <w:rFonts w:ascii="Palatino Linotype" w:hAnsi="Palatino Linotype" w:cs="Arial"/>
          <w:color w:val="000000"/>
          <w:lang w:val="es-ES_tradnl"/>
        </w:rPr>
        <w:t xml:space="preserve">Informe justificado signado por la Titular de la Unidad de Transparencia y dirigida al Comisionado Ponente, </w:t>
      </w:r>
      <w:r w:rsidR="009C6AB1">
        <w:rPr>
          <w:rFonts w:ascii="Palatino Linotype" w:hAnsi="Palatino Linotype" w:cs="Arial"/>
          <w:color w:val="000000"/>
          <w:lang w:val="es-ES_tradnl"/>
        </w:rPr>
        <w:t xml:space="preserve">de fecha once de febrero de dos mil veintidós, en el cual </w:t>
      </w:r>
      <w:r>
        <w:rPr>
          <w:rFonts w:ascii="Palatino Linotype" w:hAnsi="Palatino Linotype" w:cs="Arial"/>
          <w:color w:val="000000"/>
          <w:lang w:val="es-ES_tradnl"/>
        </w:rPr>
        <w:t>co</w:t>
      </w:r>
      <w:r w:rsidR="009C6AB1">
        <w:rPr>
          <w:rFonts w:ascii="Palatino Linotype" w:hAnsi="Palatino Linotype" w:cs="Arial"/>
          <w:color w:val="000000"/>
          <w:lang w:val="es-ES_tradnl"/>
        </w:rPr>
        <w:t xml:space="preserve">nfirma la respuesta primigenia. </w:t>
      </w:r>
    </w:p>
    <w:p w14:paraId="6747E5FD" w14:textId="77777777" w:rsidR="00ED3C5C" w:rsidRDefault="00ED3C5C" w:rsidP="00ED3C5C">
      <w:pPr>
        <w:spacing w:after="0" w:line="360" w:lineRule="auto"/>
        <w:jc w:val="both"/>
        <w:rPr>
          <w:rFonts w:ascii="Palatino Linotype" w:hAnsi="Palatino Linotype" w:cs="Arial"/>
          <w:color w:val="000000"/>
          <w:sz w:val="24"/>
          <w:lang w:val="es-ES_tradnl"/>
        </w:rPr>
      </w:pPr>
    </w:p>
    <w:p w14:paraId="73167FF7" w14:textId="77777777" w:rsidR="00296316" w:rsidRDefault="00296316" w:rsidP="00027921">
      <w:pPr>
        <w:spacing w:after="0" w:line="360" w:lineRule="auto"/>
        <w:jc w:val="both"/>
        <w:rPr>
          <w:rFonts w:ascii="Palatino Linotype" w:hAnsi="Palatino Linotype" w:cs="Arial"/>
          <w:color w:val="000000"/>
          <w:sz w:val="24"/>
          <w:szCs w:val="24"/>
          <w:lang w:val="es-ES_tradnl"/>
        </w:rPr>
      </w:pPr>
    </w:p>
    <w:p w14:paraId="7B463E47" w14:textId="50D016D0" w:rsidR="00296316" w:rsidRDefault="00296316" w:rsidP="00296316">
      <w:pPr>
        <w:spacing w:after="240" w:line="360" w:lineRule="auto"/>
        <w:jc w:val="both"/>
        <w:rPr>
          <w:rFonts w:ascii="Palatino Linotype" w:hAnsi="Palatino Linotype"/>
          <w:noProof/>
          <w:sz w:val="24"/>
          <w:szCs w:val="24"/>
          <w:lang w:eastAsia="es-MX"/>
        </w:rPr>
      </w:pPr>
      <w:r w:rsidRPr="00EF22EE">
        <w:rPr>
          <w:rFonts w:ascii="Palatino Linotype" w:hAnsi="Palatino Linotype"/>
          <w:noProof/>
          <w:sz w:val="24"/>
          <w:szCs w:val="24"/>
          <w:lang w:eastAsia="es-MX"/>
        </w:rPr>
        <w:lastRenderedPageBreak/>
        <w:t xml:space="preserve">Bajo estas líneas argumentativas, </w:t>
      </w:r>
      <w:r>
        <w:rPr>
          <w:rFonts w:ascii="Palatino Linotype" w:hAnsi="Palatino Linotype"/>
          <w:noProof/>
          <w:sz w:val="24"/>
          <w:szCs w:val="24"/>
          <w:lang w:eastAsia="es-MX"/>
        </w:rPr>
        <w:t xml:space="preserve">con relación a los </w:t>
      </w:r>
      <w:r w:rsidRPr="00EF22EE">
        <w:rPr>
          <w:rFonts w:ascii="Palatino Linotype" w:hAnsi="Palatino Linotype"/>
          <w:noProof/>
          <w:sz w:val="24"/>
          <w:szCs w:val="24"/>
          <w:lang w:eastAsia="es-MX"/>
        </w:rPr>
        <w:t>documento</w:t>
      </w:r>
      <w:r>
        <w:rPr>
          <w:rFonts w:ascii="Palatino Linotype" w:hAnsi="Palatino Linotype"/>
          <w:noProof/>
          <w:sz w:val="24"/>
          <w:szCs w:val="24"/>
          <w:lang w:eastAsia="es-MX"/>
        </w:rPr>
        <w:t>s</w:t>
      </w:r>
      <w:r w:rsidRPr="00EF22EE">
        <w:rPr>
          <w:rFonts w:ascii="Palatino Linotype" w:hAnsi="Palatino Linotype"/>
          <w:noProof/>
          <w:sz w:val="24"/>
          <w:szCs w:val="24"/>
          <w:lang w:eastAsia="es-MX"/>
        </w:rPr>
        <w:t xml:space="preserve"> </w:t>
      </w:r>
      <w:r>
        <w:rPr>
          <w:rFonts w:ascii="Palatino Linotype" w:hAnsi="Palatino Linotype"/>
          <w:noProof/>
          <w:sz w:val="24"/>
          <w:szCs w:val="24"/>
          <w:lang w:eastAsia="es-MX"/>
        </w:rPr>
        <w:t>remitidos en respuesta primigenia e informe justificado</w:t>
      </w:r>
      <w:r w:rsidRPr="00EF22EE">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se desprenden las siguientes ideas medulares: </w:t>
      </w:r>
    </w:p>
    <w:p w14:paraId="385220AC" w14:textId="77777777" w:rsidR="00296316" w:rsidRPr="004668C1" w:rsidRDefault="00296316" w:rsidP="00296316">
      <w:pPr>
        <w:pStyle w:val="Prrafodelista"/>
        <w:numPr>
          <w:ilvl w:val="0"/>
          <w:numId w:val="25"/>
        </w:numPr>
        <w:spacing w:before="240" w:after="240" w:line="360" w:lineRule="auto"/>
        <w:jc w:val="both"/>
        <w:rPr>
          <w:rFonts w:ascii="Palatino Linotype" w:hAnsi="Palatino Linotype"/>
          <w:b/>
        </w:rPr>
      </w:pPr>
      <w:r>
        <w:rPr>
          <w:rFonts w:ascii="Palatino Linotype" w:hAnsi="Palatino Linotype"/>
          <w:noProof/>
          <w:lang w:val="es-MX" w:eastAsia="es-MX"/>
        </w:rPr>
        <w:t>La</w:t>
      </w:r>
      <w:r w:rsidRPr="004668C1">
        <w:rPr>
          <w:rFonts w:ascii="Palatino Linotype" w:hAnsi="Palatino Linotype"/>
          <w:noProof/>
          <w:lang w:eastAsia="es-MX"/>
        </w:rPr>
        <w:t xml:space="preserve"> clasificación de la información </w:t>
      </w:r>
      <w:r w:rsidRPr="004668C1">
        <w:rPr>
          <w:rFonts w:ascii="Palatino Linotype" w:hAnsi="Palatino Linotype"/>
        </w:rPr>
        <w:t xml:space="preserve">es el proceso mediante el cual los </w:t>
      </w:r>
      <w:r w:rsidRPr="004668C1">
        <w:rPr>
          <w:rFonts w:ascii="Palatino Linotype" w:hAnsi="Palatino Linotype"/>
          <w:b/>
        </w:rPr>
        <w:t xml:space="preserve">Sujetos Obligados </w:t>
      </w:r>
      <w:r w:rsidRPr="004668C1">
        <w:rPr>
          <w:rFonts w:ascii="Palatino Linotype" w:hAnsi="Palatino Linotype"/>
        </w:rPr>
        <w:t xml:space="preserve">determinan que la información requerida actualiza alguno de los supuestos de confidencialidad </w:t>
      </w:r>
      <w:r w:rsidRPr="004668C1">
        <w:rPr>
          <w:rFonts w:ascii="Palatino Linotype" w:hAnsi="Palatino Linotype"/>
          <w:b/>
        </w:rPr>
        <w:t xml:space="preserve">o </w:t>
      </w:r>
      <w:r w:rsidRPr="004668C1">
        <w:rPr>
          <w:rFonts w:ascii="Palatino Linotype" w:hAnsi="Palatino Linotype"/>
          <w:b/>
          <w:u w:val="single"/>
        </w:rPr>
        <w:t>reserva,</w:t>
      </w:r>
      <w:r w:rsidRPr="004668C1">
        <w:rPr>
          <w:rFonts w:ascii="Palatino Linotype" w:hAnsi="Palatino Linotype"/>
          <w:b/>
        </w:rPr>
        <w:t xml:space="preserve"> </w:t>
      </w:r>
      <w:r w:rsidRPr="004668C1">
        <w:rPr>
          <w:rFonts w:ascii="Palatino Linotype" w:hAnsi="Palatino Linotype"/>
        </w:rPr>
        <w:t xml:space="preserve">de acuerdo con las bases y los principios inmersos en la normatividad aplicable. </w:t>
      </w:r>
    </w:p>
    <w:p w14:paraId="41BC44AB" w14:textId="77777777" w:rsidR="00296316" w:rsidRPr="004668C1" w:rsidRDefault="00296316" w:rsidP="00296316">
      <w:pPr>
        <w:pStyle w:val="Prrafodelista"/>
        <w:numPr>
          <w:ilvl w:val="0"/>
          <w:numId w:val="25"/>
        </w:numPr>
        <w:spacing w:before="240" w:after="240" w:line="360" w:lineRule="auto"/>
        <w:jc w:val="both"/>
        <w:rPr>
          <w:rFonts w:ascii="Palatino Linotype" w:hAnsi="Palatino Linotype"/>
          <w:b/>
        </w:rPr>
      </w:pPr>
      <w:r>
        <w:rPr>
          <w:rFonts w:ascii="Palatino Linotype" w:hAnsi="Palatino Linotype"/>
          <w:bCs/>
        </w:rPr>
        <w:t xml:space="preserve">Que el numeral 140 de la Ley de Transparencia y Acceso a la Información del Estado de México y Municipios enlista de manera estricta y limitativa las causales de procedencia para clasificar soportes documentales como información reservada. </w:t>
      </w:r>
    </w:p>
    <w:p w14:paraId="6EA33A52" w14:textId="324ACB92" w:rsidR="00296316" w:rsidRPr="00296316" w:rsidRDefault="00296316" w:rsidP="00296316">
      <w:pPr>
        <w:pStyle w:val="Prrafodelista"/>
        <w:numPr>
          <w:ilvl w:val="0"/>
          <w:numId w:val="25"/>
        </w:numPr>
        <w:spacing w:after="240" w:line="360" w:lineRule="auto"/>
        <w:jc w:val="both"/>
        <w:rPr>
          <w:rFonts w:ascii="Palatino Linotype" w:hAnsi="Palatino Linotype"/>
          <w:noProof/>
          <w:lang w:eastAsia="es-MX"/>
        </w:rPr>
      </w:pPr>
      <w:r>
        <w:rPr>
          <w:rFonts w:ascii="Palatino Linotype" w:hAnsi="Palatino Linotype"/>
          <w:noProof/>
          <w:lang w:eastAsia="es-MX"/>
        </w:rPr>
        <w:t>Para</w:t>
      </w:r>
      <w:r w:rsidRPr="004668C1">
        <w:rPr>
          <w:rFonts w:ascii="Palatino Linotype" w:hAnsi="Palatino Linotype"/>
          <w:noProof/>
          <w:lang w:eastAsia="es-MX"/>
        </w:rPr>
        <w:t xml:space="preserve"> realizar la reserva de la información, no basta con invocar las causales previstas en la Ley de Transparencia local, sino que la valoración debe de realizarse a través de lo que se conoce como </w:t>
      </w:r>
      <w:r w:rsidRPr="004668C1">
        <w:rPr>
          <w:rFonts w:ascii="Palatino Linotype" w:hAnsi="Palatino Linotype"/>
          <w:b/>
          <w:bCs/>
          <w:noProof/>
          <w:lang w:eastAsia="es-MX"/>
        </w:rPr>
        <w:t xml:space="preserve">“prueba de daño”, </w:t>
      </w:r>
      <w:r w:rsidRPr="004668C1">
        <w:rPr>
          <w:rFonts w:ascii="Palatino Linotype" w:hAnsi="Palatino Linotype"/>
          <w:noProof/>
          <w:lang w:eastAsia="es-MX"/>
        </w:rPr>
        <w:t xml:space="preserve">que consiste en exponer </w:t>
      </w:r>
      <w:r w:rsidRPr="004668C1">
        <w:rPr>
          <w:rFonts w:ascii="Palatino Linotype" w:hAnsi="Palatino Linotype"/>
        </w:rPr>
        <w:t>los argumentos y razones, basados en elementos objetivos o verificables, a partir de los cuales se derive que la divulgación de información, en particular, puede afectar, poner en riesgo o dañar el interés</w:t>
      </w:r>
      <w:r>
        <w:rPr>
          <w:rFonts w:ascii="Palatino Linotype" w:hAnsi="Palatino Linotype"/>
        </w:rPr>
        <w:t xml:space="preserve"> protegido, resultando competencia de los </w:t>
      </w:r>
      <w:r w:rsidR="003D4BD2">
        <w:rPr>
          <w:rFonts w:ascii="Palatino Linotype" w:hAnsi="Palatino Linotype"/>
          <w:b/>
        </w:rPr>
        <w:t xml:space="preserve">Sujetos Obligados, </w:t>
      </w:r>
      <w:r w:rsidR="003D4BD2">
        <w:rPr>
          <w:rFonts w:ascii="Palatino Linotype" w:hAnsi="Palatino Linotype"/>
        </w:rPr>
        <w:t xml:space="preserve">lo anterior de una interpretación sistémica de los numerales 3, fracción XXXIII y 129 de la Ley de Transparencia y Acceso a la Información Pública del Estado de México y Municipios. </w:t>
      </w:r>
    </w:p>
    <w:p w14:paraId="2EE7357D" w14:textId="2308F301" w:rsidR="00296316" w:rsidRDefault="00296316" w:rsidP="00296316">
      <w:pPr>
        <w:pStyle w:val="Prrafodelista"/>
        <w:numPr>
          <w:ilvl w:val="0"/>
          <w:numId w:val="25"/>
        </w:numPr>
        <w:spacing w:after="240" w:line="360" w:lineRule="auto"/>
        <w:jc w:val="both"/>
        <w:rPr>
          <w:rFonts w:ascii="Palatino Linotype" w:hAnsi="Palatino Linotype"/>
          <w:noProof/>
          <w:lang w:eastAsia="es-MX"/>
        </w:rPr>
      </w:pPr>
      <w:r>
        <w:rPr>
          <w:rFonts w:ascii="Palatino Linotype" w:hAnsi="Palatino Linotype"/>
          <w:noProof/>
          <w:lang w:eastAsia="es-MX"/>
        </w:rPr>
        <w:t xml:space="preserve">En el caso en particular </w:t>
      </w:r>
      <w:r>
        <w:rPr>
          <w:rFonts w:ascii="Palatino Linotype" w:hAnsi="Palatino Linotype"/>
          <w:b/>
          <w:bCs/>
          <w:noProof/>
          <w:lang w:eastAsia="es-MX"/>
        </w:rPr>
        <w:t xml:space="preserve">El Sujeto Obligado </w:t>
      </w:r>
      <w:r>
        <w:rPr>
          <w:rFonts w:ascii="Palatino Linotype" w:hAnsi="Palatino Linotype"/>
          <w:noProof/>
          <w:lang w:eastAsia="es-MX"/>
        </w:rPr>
        <w:t>se limitió a remitir una propuesta de clasificación emitida</w:t>
      </w:r>
      <w:r w:rsidR="009C6AB1">
        <w:rPr>
          <w:rFonts w:ascii="Palatino Linotype" w:hAnsi="Palatino Linotype"/>
          <w:noProof/>
          <w:lang w:eastAsia="es-MX"/>
        </w:rPr>
        <w:t xml:space="preserve"> por el Comité de Transparencia; s</w:t>
      </w:r>
      <w:r>
        <w:rPr>
          <w:rFonts w:ascii="Palatino Linotype" w:hAnsi="Palatino Linotype"/>
          <w:noProof/>
          <w:lang w:eastAsia="es-MX"/>
        </w:rPr>
        <w:t xml:space="preserve">in embargo, </w:t>
      </w:r>
      <w:r w:rsidR="003D4BD2">
        <w:rPr>
          <w:rFonts w:ascii="Palatino Linotype" w:hAnsi="Palatino Linotype"/>
          <w:noProof/>
          <w:lang w:eastAsia="es-MX"/>
        </w:rPr>
        <w:t xml:space="preserve">se </w:t>
      </w:r>
      <w:r w:rsidR="003D4BD2">
        <w:rPr>
          <w:rFonts w:ascii="Palatino Linotype" w:hAnsi="Palatino Linotype"/>
          <w:noProof/>
          <w:lang w:eastAsia="es-MX"/>
        </w:rPr>
        <w:lastRenderedPageBreak/>
        <w:t xml:space="preserve">inobservó el numeral 129 de la Ley de Transparencia local. Al </w:t>
      </w:r>
      <w:r>
        <w:rPr>
          <w:rFonts w:ascii="Palatino Linotype" w:hAnsi="Palatino Linotype"/>
          <w:noProof/>
          <w:lang w:eastAsia="es-MX"/>
        </w:rPr>
        <w:t xml:space="preserve">no </w:t>
      </w:r>
      <w:r w:rsidR="003D4BD2">
        <w:rPr>
          <w:rFonts w:ascii="Palatino Linotype" w:hAnsi="Palatino Linotype"/>
          <w:noProof/>
          <w:lang w:eastAsia="es-MX"/>
        </w:rPr>
        <w:t>precisar</w:t>
      </w:r>
      <w:r>
        <w:rPr>
          <w:rFonts w:ascii="Palatino Linotype" w:hAnsi="Palatino Linotype"/>
          <w:noProof/>
          <w:lang w:eastAsia="es-MX"/>
        </w:rPr>
        <w:t xml:space="preserve"> las razones objetivas por las que la apertura de la información genera una afectación, </w:t>
      </w:r>
      <w:r w:rsidR="003D4BD2">
        <w:rPr>
          <w:rFonts w:ascii="Palatino Linotype" w:hAnsi="Palatino Linotype"/>
          <w:noProof/>
          <w:lang w:eastAsia="es-MX"/>
        </w:rPr>
        <w:t xml:space="preserve">justificando que: </w:t>
      </w:r>
      <w:r>
        <w:rPr>
          <w:rFonts w:ascii="Palatino Linotype" w:hAnsi="Palatino Linotype"/>
          <w:noProof/>
          <w:lang w:eastAsia="es-MX"/>
        </w:rPr>
        <w:t xml:space="preserve"> </w:t>
      </w:r>
    </w:p>
    <w:p w14:paraId="295F3525" w14:textId="0B9A3453" w:rsidR="003D4BD2" w:rsidRPr="003D4BD2" w:rsidRDefault="003D4BD2" w:rsidP="003D4BD2">
      <w:pPr>
        <w:pStyle w:val="Prrafodelista"/>
        <w:numPr>
          <w:ilvl w:val="0"/>
          <w:numId w:val="29"/>
        </w:numPr>
        <w:spacing w:after="240" w:line="360" w:lineRule="auto"/>
        <w:jc w:val="both"/>
        <w:rPr>
          <w:rFonts w:ascii="Palatino Linotype" w:hAnsi="Palatino Linotype"/>
          <w:noProof/>
          <w:lang w:eastAsia="es-MX"/>
        </w:rPr>
      </w:pPr>
      <w:r w:rsidRPr="003D4BD2">
        <w:rPr>
          <w:rFonts w:ascii="Palatino Linotype" w:hAnsi="Palatino Linotype"/>
          <w:noProof/>
          <w:lang w:eastAsia="es-MX"/>
        </w:rPr>
        <w:t xml:space="preserve">La divulgación de la información representa un riesgo real, demostrable e identificable </w:t>
      </w:r>
      <w:r w:rsidRPr="003D4BD2">
        <w:rPr>
          <w:rFonts w:ascii="Palatino Linotype" w:hAnsi="Palatino Linotype"/>
        </w:rPr>
        <w:t>del perjuicio significativo al interés público o a la seguridad pública;</w:t>
      </w:r>
    </w:p>
    <w:p w14:paraId="35D606BB" w14:textId="1B26A4AC" w:rsidR="003D4BD2" w:rsidRPr="003D4BD2" w:rsidRDefault="003D4BD2" w:rsidP="003D4BD2">
      <w:pPr>
        <w:pStyle w:val="Prrafodelista"/>
        <w:numPr>
          <w:ilvl w:val="0"/>
          <w:numId w:val="29"/>
        </w:numPr>
        <w:spacing w:after="240" w:line="360" w:lineRule="auto"/>
        <w:jc w:val="both"/>
        <w:rPr>
          <w:rFonts w:ascii="Palatino Linotype" w:hAnsi="Palatino Linotype"/>
          <w:noProof/>
          <w:lang w:eastAsia="es-MX"/>
        </w:rPr>
      </w:pPr>
      <w:r w:rsidRPr="003D4BD2">
        <w:rPr>
          <w:rFonts w:ascii="Palatino Linotype" w:hAnsi="Palatino Linotype"/>
        </w:rPr>
        <w:t>El riesgo de perjuicio que supondría la divulgación supera el interés público general de que se difunda; y</w:t>
      </w:r>
    </w:p>
    <w:p w14:paraId="2A1FA5C1" w14:textId="00A8C0FE" w:rsidR="003D4BD2" w:rsidRPr="003D4BD2" w:rsidRDefault="003D4BD2" w:rsidP="003D4BD2">
      <w:pPr>
        <w:pStyle w:val="Prrafodelista"/>
        <w:numPr>
          <w:ilvl w:val="0"/>
          <w:numId w:val="29"/>
        </w:numPr>
        <w:spacing w:after="240" w:line="360" w:lineRule="auto"/>
        <w:jc w:val="both"/>
        <w:rPr>
          <w:rFonts w:ascii="Palatino Linotype" w:hAnsi="Palatino Linotype"/>
          <w:noProof/>
          <w:lang w:eastAsia="es-MX"/>
        </w:rPr>
      </w:pPr>
      <w:r w:rsidRPr="003D4BD2">
        <w:rPr>
          <w:rFonts w:ascii="Palatino Linotype" w:hAnsi="Palatino Linotype"/>
        </w:rPr>
        <w:t>La limitación se adecua al principio de proporcionalidad y representa el medio menos restrictivo disponible representa el medio menos restrictivo disponible para evitar el perjuicio.</w:t>
      </w:r>
    </w:p>
    <w:p w14:paraId="7A707E72" w14:textId="4EA09BCC" w:rsidR="003D4BD2" w:rsidRPr="003D4BD2" w:rsidRDefault="00FA3650" w:rsidP="00163DC2">
      <w:pPr>
        <w:pStyle w:val="Prrafodelista"/>
        <w:numPr>
          <w:ilvl w:val="0"/>
          <w:numId w:val="25"/>
        </w:numPr>
        <w:spacing w:line="360" w:lineRule="auto"/>
        <w:jc w:val="both"/>
        <w:rPr>
          <w:rFonts w:ascii="Palatino Linotype" w:hAnsi="Palatino Linotype" w:cs="Arial"/>
          <w:color w:val="000000"/>
          <w:lang w:val="es-ES_tradnl"/>
        </w:rPr>
      </w:pPr>
      <w:r w:rsidRPr="00FA3650">
        <w:rPr>
          <w:rFonts w:ascii="Palatino Linotype" w:hAnsi="Palatino Linotype"/>
          <w:noProof/>
          <w:lang w:eastAsia="es-MX"/>
        </w:rPr>
        <w:t>Que de una interpretación sistemica al numeral 140 de la Ley de Transparencia local se desprende que ninguna de las causales de reserva es actual</w:t>
      </w:r>
      <w:r w:rsidR="003D4BD2">
        <w:rPr>
          <w:rFonts w:ascii="Palatino Linotype" w:hAnsi="Palatino Linotype"/>
          <w:noProof/>
          <w:lang w:eastAsia="es-MX"/>
        </w:rPr>
        <w:t xml:space="preserve">izada en el caso en particular (seguridad pública, menoscabo a negociaciones o relaciones internacionales; aquella entregada a la entidad con ese carácter; ponga en riesgo la vida, seguridad o salud; obstruya actividades de fiscalización o recaudación de contribuciones; obstruya persecusión de delitos, carpetas de investigación o procedimientos judiciales o administrativos; formen parte de procesos deliberativos de servidores públicos; vulnere conducción de expedientes o procedimientos administrativos seguidos en forma de juicio; se encuentre contenida dentro de investigaciones; daño sea mayor que el interés público de conocerla; por disposición expresa de leyes). </w:t>
      </w:r>
    </w:p>
    <w:p w14:paraId="41380AC3" w14:textId="32DC211B" w:rsidR="00296316" w:rsidRPr="00FA3650" w:rsidRDefault="003D4BD2" w:rsidP="00163DC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noProof/>
          <w:lang w:eastAsia="es-MX"/>
        </w:rPr>
        <w:lastRenderedPageBreak/>
        <w:t>Que la naturaleza de la</w:t>
      </w:r>
      <w:r w:rsidR="00FA3650" w:rsidRPr="00FA3650">
        <w:rPr>
          <w:rFonts w:ascii="Palatino Linotype" w:hAnsi="Palatino Linotype"/>
          <w:noProof/>
          <w:lang w:eastAsia="es-MX"/>
        </w:rPr>
        <w:t xml:space="preserve"> información requerida abona </w:t>
      </w:r>
      <w:r>
        <w:rPr>
          <w:rFonts w:ascii="Palatino Linotype" w:hAnsi="Palatino Linotype"/>
          <w:noProof/>
          <w:lang w:eastAsia="es-MX"/>
        </w:rPr>
        <w:t xml:space="preserve">de manera fehaciente </w:t>
      </w:r>
      <w:r w:rsidR="00FA3650" w:rsidRPr="00FA3650">
        <w:rPr>
          <w:rFonts w:ascii="Palatino Linotype" w:hAnsi="Palatino Linotype"/>
          <w:noProof/>
          <w:lang w:eastAsia="es-MX"/>
        </w:rPr>
        <w:t>a la transparencia y a la rendición de cuentas.</w:t>
      </w:r>
    </w:p>
    <w:p w14:paraId="7CD6B7F0" w14:textId="77777777" w:rsidR="00FA3650" w:rsidRDefault="00FA3650" w:rsidP="00FA3650">
      <w:pPr>
        <w:pStyle w:val="Prrafodelista"/>
        <w:numPr>
          <w:ilvl w:val="0"/>
          <w:numId w:val="25"/>
        </w:numPr>
        <w:spacing w:after="240" w:line="360" w:lineRule="auto"/>
        <w:jc w:val="both"/>
        <w:rPr>
          <w:rFonts w:ascii="Palatino Linotype" w:hAnsi="Palatino Linotype"/>
          <w:noProof/>
          <w:lang w:eastAsia="es-MX"/>
        </w:rPr>
      </w:pPr>
      <w:r>
        <w:rPr>
          <w:rFonts w:ascii="Palatino Linotype" w:hAnsi="Palatino Linotype"/>
          <w:noProof/>
          <w:lang w:eastAsia="es-MX"/>
        </w:rPr>
        <w:t xml:space="preserve">Que de una interpretación literal y gramatical al numeral 92, fracciones </w:t>
      </w:r>
      <w:r>
        <w:rPr>
          <w:rFonts w:ascii="Palatino Linotype" w:hAnsi="Palatino Linotype"/>
          <w:bCs/>
        </w:rPr>
        <w:t xml:space="preserve">XXIX y </w:t>
      </w:r>
      <w:r w:rsidRPr="00180F0F">
        <w:rPr>
          <w:rFonts w:ascii="Palatino Linotype" w:hAnsi="Palatino Linotype"/>
        </w:rPr>
        <w:t>XLVII</w:t>
      </w:r>
      <w:r>
        <w:rPr>
          <w:rFonts w:ascii="Palatino Linotype" w:hAnsi="Palatino Linotype"/>
        </w:rPr>
        <w:t xml:space="preserve"> de la Ley de Transparencia local, </w:t>
      </w:r>
      <w:r>
        <w:rPr>
          <w:rFonts w:ascii="Palatino Linotype" w:hAnsi="Palatino Linotype"/>
          <w:noProof/>
          <w:lang w:eastAsia="es-MX"/>
        </w:rPr>
        <w:t xml:space="preserve">se desprende que parte de la información requerida estriba en obligaciones de transparencia común, es decir, información que debe de ser publicada de manera oficiosa, la cual no es susceptible de clasificarse. </w:t>
      </w:r>
    </w:p>
    <w:p w14:paraId="217AECBC" w14:textId="41651889" w:rsidR="00FA3650" w:rsidRDefault="00FA3650" w:rsidP="00FA3650">
      <w:pPr>
        <w:spacing w:line="360" w:lineRule="auto"/>
        <w:jc w:val="both"/>
        <w:rPr>
          <w:rFonts w:ascii="Palatino Linotype" w:hAnsi="Palatino Linotype" w:cs="Arial"/>
          <w:color w:val="000000"/>
          <w:lang w:val="es-ES_tradnl"/>
        </w:rPr>
      </w:pPr>
    </w:p>
    <w:p w14:paraId="0B15C671" w14:textId="77777777" w:rsidR="00FA3650" w:rsidRPr="006329AB" w:rsidRDefault="00FA3650" w:rsidP="00FA3650">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t xml:space="preserve">Con base en lo anteriormente expuesto, resulta procedente ordenar una búsqueda exhaustiva y razonable, a efecto de ordenar la entrega a través del Sistema de Acceso a la Información Mexiquense (SAIMEX), en versión pública de ser procedente, de la siguiente información: </w:t>
      </w:r>
    </w:p>
    <w:p w14:paraId="35BD9635" w14:textId="1CA1381F" w:rsidR="00FA3650" w:rsidRPr="00A279CF" w:rsidRDefault="00FA3650" w:rsidP="00FA3650">
      <w:pPr>
        <w:tabs>
          <w:tab w:val="left" w:pos="709"/>
        </w:tabs>
        <w:spacing w:before="240" w:line="360" w:lineRule="auto"/>
        <w:ind w:right="51"/>
        <w:jc w:val="both"/>
        <w:rPr>
          <w:rFonts w:ascii="Palatino Linotype" w:hAnsi="Palatino Linotype"/>
          <w:b/>
          <w:sz w:val="24"/>
          <w:szCs w:val="24"/>
        </w:rPr>
      </w:pPr>
      <w:r w:rsidRPr="00A279CF">
        <w:rPr>
          <w:rFonts w:ascii="Palatino Linotype" w:hAnsi="Palatino Linotype"/>
          <w:b/>
          <w:sz w:val="24"/>
          <w:szCs w:val="24"/>
        </w:rPr>
        <w:t>Con relación al Fondo Estatal de Fort</w:t>
      </w:r>
      <w:r w:rsidR="002D2F95">
        <w:rPr>
          <w:rFonts w:ascii="Palatino Linotype" w:hAnsi="Palatino Linotype"/>
          <w:b/>
          <w:sz w:val="24"/>
          <w:szCs w:val="24"/>
        </w:rPr>
        <w:t xml:space="preserve">alecimiento Municipal (FEFOM) 2021: </w:t>
      </w:r>
    </w:p>
    <w:p w14:paraId="45382D12" w14:textId="4EA971DB" w:rsidR="00FA3650" w:rsidRDefault="00FA3650" w:rsidP="00FA3650">
      <w:pPr>
        <w:pStyle w:val="Prrafodelista"/>
        <w:numPr>
          <w:ilvl w:val="0"/>
          <w:numId w:val="27"/>
        </w:numPr>
        <w:spacing w:before="240" w:line="360" w:lineRule="auto"/>
        <w:jc w:val="both"/>
        <w:rPr>
          <w:rFonts w:ascii="Palatino Linotype" w:hAnsi="Palatino Linotype"/>
        </w:rPr>
      </w:pPr>
      <w:r>
        <w:rPr>
          <w:rFonts w:ascii="Palatino Linotype" w:hAnsi="Palatino Linotype"/>
        </w:rPr>
        <w:t xml:space="preserve">El o los documentos donde conste el monto autorizado y liberado al Ayuntamiento de Acambay </w:t>
      </w:r>
      <w:proofErr w:type="gramStart"/>
      <w:r>
        <w:rPr>
          <w:rFonts w:ascii="Palatino Linotype" w:hAnsi="Palatino Linotype"/>
        </w:rPr>
        <w:t>de  Ruíz</w:t>
      </w:r>
      <w:proofErr w:type="gramEnd"/>
      <w:r>
        <w:rPr>
          <w:rFonts w:ascii="Palatino Linotype" w:hAnsi="Palatino Linotype"/>
        </w:rPr>
        <w:t xml:space="preserve"> Castañeda</w:t>
      </w:r>
      <w:r w:rsidR="002D2F95">
        <w:rPr>
          <w:rFonts w:ascii="Palatino Linotype" w:hAnsi="Palatino Linotype"/>
        </w:rPr>
        <w:t>.</w:t>
      </w:r>
      <w:r>
        <w:rPr>
          <w:rFonts w:ascii="Palatino Linotype" w:hAnsi="Palatino Linotype"/>
        </w:rPr>
        <w:t xml:space="preserve">  </w:t>
      </w:r>
    </w:p>
    <w:p w14:paraId="1725DFC3" w14:textId="6FF5CB69" w:rsidR="00FA3650" w:rsidRDefault="00FA3650" w:rsidP="00FA3650">
      <w:pPr>
        <w:pStyle w:val="Prrafodelista"/>
        <w:numPr>
          <w:ilvl w:val="0"/>
          <w:numId w:val="27"/>
        </w:numPr>
        <w:spacing w:before="240" w:line="360" w:lineRule="auto"/>
        <w:jc w:val="both"/>
        <w:rPr>
          <w:rFonts w:ascii="Palatino Linotype" w:hAnsi="Palatino Linotype"/>
        </w:rPr>
      </w:pPr>
      <w:r>
        <w:rPr>
          <w:rFonts w:ascii="Palatino Linotype" w:hAnsi="Palatino Linotype"/>
        </w:rPr>
        <w:t>El o los documentos donde consten las obras realizadas y su costo conforme al expediente técnico de cada una de ellas</w:t>
      </w:r>
      <w:r w:rsidR="002D2F95">
        <w:rPr>
          <w:rFonts w:ascii="Palatino Linotype" w:hAnsi="Palatino Linotype"/>
        </w:rPr>
        <w:t>.</w:t>
      </w:r>
      <w:r>
        <w:rPr>
          <w:rFonts w:ascii="Palatino Linotype" w:hAnsi="Palatino Linotype"/>
        </w:rPr>
        <w:t xml:space="preserve">  </w:t>
      </w:r>
    </w:p>
    <w:p w14:paraId="2305F59D" w14:textId="4F2F8404" w:rsidR="00FA3650" w:rsidRDefault="00FA3650" w:rsidP="00FA3650">
      <w:pPr>
        <w:pStyle w:val="Prrafodelista"/>
        <w:numPr>
          <w:ilvl w:val="0"/>
          <w:numId w:val="27"/>
        </w:numPr>
        <w:spacing w:before="240" w:line="360" w:lineRule="auto"/>
        <w:jc w:val="both"/>
        <w:rPr>
          <w:rFonts w:ascii="Palatino Linotype" w:hAnsi="Palatino Linotype"/>
        </w:rPr>
      </w:pPr>
      <w:r>
        <w:rPr>
          <w:rFonts w:ascii="Palatino Linotype" w:hAnsi="Palatino Linotype"/>
        </w:rPr>
        <w:t>El o los documentos donde conste la razón social de las empresas que e</w:t>
      </w:r>
      <w:r w:rsidR="002D2F95">
        <w:rPr>
          <w:rFonts w:ascii="Palatino Linotype" w:hAnsi="Palatino Linotype"/>
        </w:rPr>
        <w:t>jecutaron cada una de las obras.</w:t>
      </w:r>
    </w:p>
    <w:p w14:paraId="36AC3D3C" w14:textId="4203C787" w:rsidR="00FA3650" w:rsidRDefault="00FA3650" w:rsidP="00FA3650">
      <w:pPr>
        <w:pStyle w:val="Prrafodelista"/>
        <w:numPr>
          <w:ilvl w:val="0"/>
          <w:numId w:val="27"/>
        </w:numPr>
        <w:spacing w:before="240" w:line="360" w:lineRule="auto"/>
        <w:jc w:val="both"/>
        <w:rPr>
          <w:rFonts w:ascii="Palatino Linotype" w:hAnsi="Palatino Linotype"/>
        </w:rPr>
      </w:pPr>
      <w:r>
        <w:rPr>
          <w:rFonts w:ascii="Palatino Linotype" w:hAnsi="Palatino Linotype"/>
        </w:rPr>
        <w:t xml:space="preserve">El o los documentos donde conste el monto erogado para cada una de las obras, </w:t>
      </w:r>
      <w:r w:rsidR="002D2F95">
        <w:rPr>
          <w:rFonts w:ascii="Palatino Linotype" w:hAnsi="Palatino Linotype"/>
        </w:rPr>
        <w:t xml:space="preserve">hasta la fecha once de enero de dos mil veintidós. </w:t>
      </w:r>
      <w:r>
        <w:rPr>
          <w:rFonts w:ascii="Palatino Linotype" w:hAnsi="Palatino Linotype"/>
        </w:rPr>
        <w:t xml:space="preserve"> </w:t>
      </w:r>
    </w:p>
    <w:p w14:paraId="260A6906" w14:textId="1B7A08EF" w:rsidR="002D2F95" w:rsidRDefault="002D2F95" w:rsidP="00FA3650">
      <w:pPr>
        <w:pStyle w:val="Prrafodelista"/>
        <w:numPr>
          <w:ilvl w:val="0"/>
          <w:numId w:val="27"/>
        </w:numPr>
        <w:spacing w:before="240" w:line="360" w:lineRule="auto"/>
        <w:jc w:val="both"/>
        <w:rPr>
          <w:rFonts w:ascii="Palatino Linotype" w:hAnsi="Palatino Linotype"/>
        </w:rPr>
      </w:pPr>
      <w:r>
        <w:rPr>
          <w:rFonts w:ascii="Palatino Linotype" w:hAnsi="Palatino Linotype"/>
        </w:rPr>
        <w:lastRenderedPageBreak/>
        <w:t xml:space="preserve">Facturas y/o documentos análogos. </w:t>
      </w:r>
    </w:p>
    <w:p w14:paraId="3264A87D" w14:textId="77777777" w:rsidR="00FA3650" w:rsidRPr="00FA3650" w:rsidRDefault="00FA3650" w:rsidP="00FA3650">
      <w:pPr>
        <w:spacing w:line="360" w:lineRule="auto"/>
        <w:jc w:val="both"/>
        <w:rPr>
          <w:rFonts w:ascii="Palatino Linotype" w:hAnsi="Palatino Linotype" w:cs="Arial"/>
          <w:color w:val="000000"/>
          <w:lang w:val="es-ES_tradnl"/>
        </w:rPr>
      </w:pPr>
    </w:p>
    <w:p w14:paraId="2DA9BB4D" w14:textId="77777777" w:rsidR="00EC7410" w:rsidRDefault="00EC7410" w:rsidP="00544016">
      <w:pPr>
        <w:spacing w:line="360" w:lineRule="auto"/>
        <w:jc w:val="both"/>
        <w:rPr>
          <w:rFonts w:ascii="Palatino Linotype" w:hAnsi="Palatino Linotype"/>
          <w:lang w:val="es-ES"/>
        </w:rPr>
      </w:pPr>
    </w:p>
    <w:p w14:paraId="083F6E08" w14:textId="77777777" w:rsidR="004E1AC5" w:rsidRPr="00C22506" w:rsidRDefault="004E1AC5" w:rsidP="004E1A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046CD006" w14:textId="77777777" w:rsidR="004E1AC5" w:rsidRPr="001571EB" w:rsidRDefault="004E1AC5" w:rsidP="004E1A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D75229C" w14:textId="77777777" w:rsidR="004E1AC5" w:rsidRPr="00E60DEF" w:rsidRDefault="004E1AC5" w:rsidP="004E1A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1BDAFDB" w14:textId="77777777" w:rsidR="004E1AC5" w:rsidRPr="00E60DEF" w:rsidRDefault="004E1AC5" w:rsidP="004E1A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5106810"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174D8E6"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AB1B409"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E54BE39" w14:textId="77777777" w:rsidR="004E1AC5" w:rsidRPr="001571EB" w:rsidRDefault="004E1AC5" w:rsidP="004E1A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4125B56"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46C8C8"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99198FE"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1A7172D" w14:textId="77777777" w:rsidR="004E1AC5" w:rsidRPr="00E60DEF" w:rsidRDefault="004E1AC5" w:rsidP="004E1A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230D717"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6B85A9B" w14:textId="77777777" w:rsidR="004E1AC5"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978D090" w14:textId="77777777" w:rsidR="004E1AC5" w:rsidRPr="00E60DEF" w:rsidRDefault="004E1AC5" w:rsidP="004E1AC5">
      <w:pPr>
        <w:spacing w:before="240" w:line="360" w:lineRule="auto"/>
        <w:ind w:left="851" w:right="851"/>
        <w:jc w:val="both"/>
        <w:rPr>
          <w:rFonts w:ascii="Palatino Linotype" w:hAnsi="Palatino Linotype" w:cs="Arial"/>
          <w:b/>
          <w:i/>
        </w:rPr>
      </w:pPr>
    </w:p>
    <w:p w14:paraId="1AE5FF81" w14:textId="77777777" w:rsidR="004E1AC5" w:rsidRPr="001571EB" w:rsidRDefault="004E1AC5" w:rsidP="004E1A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487AD84" w14:textId="77777777" w:rsidR="004E1AC5" w:rsidRPr="001571EB" w:rsidRDefault="004E1AC5" w:rsidP="004E1A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185686" w14:textId="77777777" w:rsidR="004E1AC5" w:rsidRPr="001571EB"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BC4E04" w14:textId="77777777" w:rsidR="004E1AC5"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709A22F"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79F976D"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0810CD5"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1D63839"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237AB7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CB9B605" w14:textId="77777777" w:rsidR="004E1AC5" w:rsidRPr="00EE0180"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B88A3BA" w14:textId="77777777" w:rsidR="004E1AC5" w:rsidRPr="001571EB" w:rsidRDefault="004E1AC5" w:rsidP="004E1AC5">
      <w:pPr>
        <w:autoSpaceDE w:val="0"/>
        <w:autoSpaceDN w:val="0"/>
        <w:adjustRightInd w:val="0"/>
        <w:spacing w:before="120" w:after="120"/>
        <w:ind w:left="567" w:right="850"/>
        <w:jc w:val="both"/>
        <w:rPr>
          <w:rFonts w:ascii="Palatino Linotype" w:eastAsia="Times New Roman" w:hAnsi="Palatino Linotype" w:cs="Arial"/>
          <w:i/>
        </w:rPr>
      </w:pPr>
    </w:p>
    <w:p w14:paraId="63FDDC1A" w14:textId="77777777" w:rsidR="004E1AC5" w:rsidRPr="001571EB" w:rsidRDefault="004E1AC5" w:rsidP="004E1A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CF1C0DE" w14:textId="77777777" w:rsidR="004E1AC5" w:rsidRPr="001571EB" w:rsidRDefault="004E1AC5" w:rsidP="004E1A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80BBF3" w14:textId="77777777" w:rsidR="004E1AC5" w:rsidRDefault="004E1AC5" w:rsidP="004E1A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4DB38E7" w14:textId="77777777" w:rsidR="0085439C" w:rsidRDefault="0085439C" w:rsidP="004E1AC5">
      <w:pPr>
        <w:spacing w:before="240" w:after="240" w:line="360" w:lineRule="auto"/>
        <w:ind w:right="-91"/>
        <w:jc w:val="both"/>
        <w:rPr>
          <w:rFonts w:ascii="Palatino Linotype" w:eastAsia="Times New Roman" w:hAnsi="Palatino Linotype" w:cs="Arial"/>
          <w:sz w:val="24"/>
          <w:szCs w:val="24"/>
        </w:rPr>
      </w:pPr>
    </w:p>
    <w:p w14:paraId="42B70EB4"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03BBD66E"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81DDA0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C4234DC"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2F28821"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D5D3A46" w14:textId="77777777" w:rsidR="004E1AC5" w:rsidRPr="00151D16"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033B42AD" w14:textId="77777777" w:rsidR="00151D16" w:rsidRPr="00151D16" w:rsidRDefault="00151D16" w:rsidP="004E1AC5">
      <w:pPr>
        <w:spacing w:after="0" w:line="360" w:lineRule="auto"/>
        <w:ind w:right="51"/>
        <w:jc w:val="both"/>
        <w:rPr>
          <w:rFonts w:ascii="Palatino Linotype" w:hAnsi="Palatino Linotype" w:cs="Arial"/>
          <w:sz w:val="24"/>
          <w:szCs w:val="24"/>
        </w:rPr>
      </w:pPr>
    </w:p>
    <w:p w14:paraId="419983AE" w14:textId="77777777" w:rsidR="00151D16" w:rsidRDefault="00151D16" w:rsidP="004E1AC5">
      <w:pPr>
        <w:spacing w:after="0" w:line="360" w:lineRule="auto"/>
        <w:ind w:right="51"/>
        <w:jc w:val="both"/>
        <w:rPr>
          <w:rFonts w:ascii="Palatino Linotype" w:hAnsi="Palatino Linotype" w:cs="Arial"/>
          <w:sz w:val="24"/>
          <w:szCs w:val="24"/>
        </w:rPr>
      </w:pPr>
    </w:p>
    <w:p w14:paraId="4C915291" w14:textId="77777777" w:rsidR="004E1AC5" w:rsidRDefault="004E1AC5" w:rsidP="004E1A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w:t>
      </w:r>
      <w:r w:rsidRPr="001571EB">
        <w:rPr>
          <w:rFonts w:ascii="Palatino Linotype" w:hAnsi="Palatino Linotype" w:cs="Arial"/>
          <w:sz w:val="24"/>
          <w:szCs w:val="24"/>
        </w:rPr>
        <w:lastRenderedPageBreak/>
        <w:t xml:space="preserve">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DE503D3" w14:textId="77777777" w:rsidR="00A42326" w:rsidRDefault="00A42326" w:rsidP="004E1AC5">
      <w:pPr>
        <w:spacing w:after="0" w:line="360" w:lineRule="auto"/>
        <w:ind w:right="51"/>
        <w:jc w:val="both"/>
        <w:rPr>
          <w:rFonts w:ascii="Palatino Linotype" w:hAnsi="Palatino Linotype" w:cs="Arial"/>
          <w:sz w:val="24"/>
          <w:szCs w:val="24"/>
        </w:rPr>
      </w:pPr>
    </w:p>
    <w:p w14:paraId="1225E2D9" w14:textId="17A90350" w:rsidR="00BB2E89" w:rsidRPr="000F5B7E" w:rsidRDefault="00BB2E89" w:rsidP="00BB2E89">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FA3650">
        <w:rPr>
          <w:rFonts w:ascii="Palatino Linotype" w:hAnsi="Palatino Linotype" w:cs="Arial"/>
          <w:b/>
          <w:sz w:val="24"/>
          <w:szCs w:val="24"/>
        </w:rPr>
        <w:t>00005/ACAMBAY/IP/</w:t>
      </w:r>
      <w:proofErr w:type="gramStart"/>
      <w:r w:rsidR="00FA3650">
        <w:rPr>
          <w:rFonts w:ascii="Palatino Linotype" w:hAnsi="Palatino Linotype" w:cs="Arial"/>
          <w:b/>
          <w:sz w:val="24"/>
          <w:szCs w:val="24"/>
        </w:rPr>
        <w:t xml:space="preserve">2022 </w:t>
      </w:r>
      <w:r w:rsidR="00177BC8">
        <w:rPr>
          <w:rFonts w:ascii="Palatino Linotype" w:hAnsi="Palatino Linotype" w:cs="Arial"/>
          <w:b/>
          <w:sz w:val="24"/>
          <w:szCs w:val="24"/>
        </w:rPr>
        <w:t xml:space="preserve"> </w:t>
      </w:r>
      <w:r w:rsidRPr="000F5B7E">
        <w:rPr>
          <w:rFonts w:ascii="Palatino Linotype" w:eastAsia="Times New Roman" w:hAnsi="Palatino Linotype" w:cs="Times New Roman"/>
          <w:sz w:val="24"/>
          <w:szCs w:val="24"/>
          <w:lang w:eastAsia="es-ES"/>
        </w:rPr>
        <w:t>que</w:t>
      </w:r>
      <w:proofErr w:type="gramEnd"/>
      <w:r w:rsidRPr="000F5B7E">
        <w:rPr>
          <w:rFonts w:ascii="Palatino Linotype" w:eastAsia="Times New Roman" w:hAnsi="Palatino Linotype" w:cs="Times New Roman"/>
          <w:sz w:val="24"/>
          <w:szCs w:val="24"/>
          <w:lang w:eastAsia="es-ES"/>
        </w:rPr>
        <w:t xml:space="preserve"> ha sido materia del presente fallo.</w:t>
      </w:r>
    </w:p>
    <w:p w14:paraId="527C49FD" w14:textId="77777777" w:rsidR="00BB2E89" w:rsidRDefault="00BB2E89" w:rsidP="00BB2E89">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52F60BB" w14:textId="77777777" w:rsidR="00BB2E89" w:rsidRDefault="00BB2E89" w:rsidP="00BB2E89">
      <w:pPr>
        <w:spacing w:line="360" w:lineRule="auto"/>
        <w:contextualSpacing/>
        <w:jc w:val="both"/>
        <w:rPr>
          <w:rFonts w:ascii="Palatino Linotype" w:eastAsia="MS Mincho" w:hAnsi="Palatino Linotype"/>
        </w:rPr>
      </w:pPr>
    </w:p>
    <w:p w14:paraId="2FEEC8A3" w14:textId="77777777" w:rsidR="00BB2E89" w:rsidRPr="00413327" w:rsidRDefault="00BB2E89" w:rsidP="00BB2E89">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693E83B" w14:textId="5A29E0C1" w:rsidR="00BB2E89" w:rsidRDefault="00BB2E89" w:rsidP="00BB2E89">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FA3650">
        <w:rPr>
          <w:rFonts w:ascii="Palatino Linotype" w:hAnsi="Palatino Linotype" w:cs="Arial"/>
          <w:b/>
          <w:sz w:val="24"/>
          <w:szCs w:val="24"/>
        </w:rPr>
        <w:t>00005/ACAMBAY/IP/</w:t>
      </w:r>
      <w:proofErr w:type="gramStart"/>
      <w:r w:rsidR="00FA3650">
        <w:rPr>
          <w:rFonts w:ascii="Palatino Linotype" w:hAnsi="Palatino Linotype" w:cs="Arial"/>
          <w:b/>
          <w:sz w:val="24"/>
          <w:szCs w:val="24"/>
        </w:rPr>
        <w:t xml:space="preserve">2022  </w:t>
      </w:r>
      <w:r>
        <w:rPr>
          <w:rFonts w:ascii="Palatino Linotype" w:hAnsi="Palatino Linotype" w:cs="Arial"/>
          <w:sz w:val="24"/>
          <w:szCs w:val="24"/>
        </w:rPr>
        <w:t>por</w:t>
      </w:r>
      <w:proofErr w:type="gramEnd"/>
      <w:r>
        <w:rPr>
          <w:rFonts w:ascii="Palatino Linotype" w:hAnsi="Palatino Linotype" w:cs="Arial"/>
          <w:sz w:val="24"/>
          <w:szCs w:val="24"/>
        </w:rPr>
        <w:t xml:space="preserve">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3B587CD" w14:textId="77777777" w:rsidR="002D2F95" w:rsidRDefault="002D2F95" w:rsidP="00BB2E89">
      <w:pPr>
        <w:spacing w:before="240" w:line="360" w:lineRule="auto"/>
        <w:jc w:val="both"/>
        <w:rPr>
          <w:rFonts w:ascii="Palatino Linotype" w:hAnsi="Palatino Linotype" w:cs="Arial"/>
          <w:sz w:val="24"/>
          <w:szCs w:val="24"/>
        </w:rPr>
      </w:pPr>
    </w:p>
    <w:p w14:paraId="7B38FE4B" w14:textId="77777777" w:rsidR="00FA3650" w:rsidRPr="00FA3650" w:rsidRDefault="00FA3650" w:rsidP="00FA3650">
      <w:pPr>
        <w:autoSpaceDE w:val="0"/>
        <w:autoSpaceDN w:val="0"/>
        <w:adjustRightInd w:val="0"/>
        <w:spacing w:before="24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al</w:t>
      </w:r>
      <w:r w:rsidRPr="00FA3650">
        <w:rPr>
          <w:rFonts w:ascii="Palatino Linotype" w:hAnsi="Palatino Linotype" w:cs="Arial"/>
          <w:b/>
          <w:sz w:val="24"/>
          <w:szCs w:val="24"/>
        </w:rPr>
        <w:t xml:space="preserve"> RECURRENTE, </w:t>
      </w:r>
      <w:r w:rsidRPr="00FA3650">
        <w:rPr>
          <w:rFonts w:ascii="Palatino Linotype" w:hAnsi="Palatino Linotype" w:cs="Arial"/>
          <w:sz w:val="24"/>
          <w:szCs w:val="24"/>
        </w:rPr>
        <w:t xml:space="preserve">a través del Sistema de Acceso a la </w:t>
      </w:r>
      <w:r w:rsidRPr="00FA3650">
        <w:rPr>
          <w:rFonts w:ascii="Palatino Linotype" w:hAnsi="Palatino Linotype" w:cs="Arial"/>
          <w:sz w:val="24"/>
          <w:szCs w:val="24"/>
        </w:rPr>
        <w:lastRenderedPageBreak/>
        <w:t xml:space="preserve">Información Mexiquense </w:t>
      </w:r>
      <w:r w:rsidRPr="00FA3650">
        <w:rPr>
          <w:rFonts w:ascii="Palatino Linotype" w:hAnsi="Palatino Linotype" w:cs="Arial"/>
          <w:b/>
          <w:sz w:val="24"/>
          <w:szCs w:val="24"/>
        </w:rPr>
        <w:t>(SAIMEX),</w:t>
      </w:r>
      <w:r w:rsidRPr="00FA3650">
        <w:rPr>
          <w:rFonts w:ascii="Palatino Linotype" w:hAnsi="Palatino Linotype" w:cs="Arial"/>
          <w:sz w:val="24"/>
          <w:szCs w:val="24"/>
        </w:rPr>
        <w:t xml:space="preserve"> en versión pública de ser procedente, de lo siguiente: </w:t>
      </w:r>
    </w:p>
    <w:p w14:paraId="257A7A63" w14:textId="3E9AE14F" w:rsidR="00FA3650" w:rsidRPr="00A279CF" w:rsidRDefault="00FA3650" w:rsidP="00FA3650">
      <w:pPr>
        <w:tabs>
          <w:tab w:val="left" w:pos="709"/>
        </w:tabs>
        <w:spacing w:before="240" w:line="360" w:lineRule="auto"/>
        <w:ind w:right="51"/>
        <w:jc w:val="both"/>
        <w:rPr>
          <w:rFonts w:ascii="Palatino Linotype" w:hAnsi="Palatino Linotype"/>
          <w:b/>
          <w:sz w:val="24"/>
          <w:szCs w:val="24"/>
        </w:rPr>
      </w:pPr>
      <w:r w:rsidRPr="00A279CF">
        <w:rPr>
          <w:rFonts w:ascii="Palatino Linotype" w:hAnsi="Palatino Linotype"/>
          <w:b/>
          <w:sz w:val="24"/>
          <w:szCs w:val="24"/>
        </w:rPr>
        <w:t>Con relación al Fondo Estatal de Fort</w:t>
      </w:r>
      <w:r w:rsidR="00101343">
        <w:rPr>
          <w:rFonts w:ascii="Palatino Linotype" w:hAnsi="Palatino Linotype"/>
          <w:b/>
          <w:sz w:val="24"/>
          <w:szCs w:val="24"/>
        </w:rPr>
        <w:t>alecimiento Municipal (FEFOM) 2021:</w:t>
      </w:r>
    </w:p>
    <w:p w14:paraId="66B5E5B4" w14:textId="540E2432" w:rsidR="00FA3650" w:rsidRPr="00FA3650" w:rsidRDefault="00FA3650" w:rsidP="00FA3650">
      <w:pPr>
        <w:pStyle w:val="Prrafodelista"/>
        <w:numPr>
          <w:ilvl w:val="0"/>
          <w:numId w:val="28"/>
        </w:numPr>
        <w:spacing w:before="240" w:line="360" w:lineRule="auto"/>
        <w:jc w:val="both"/>
        <w:rPr>
          <w:rFonts w:ascii="Palatino Linotype" w:hAnsi="Palatino Linotype"/>
          <w:i/>
        </w:rPr>
      </w:pPr>
      <w:r w:rsidRPr="00FA3650">
        <w:rPr>
          <w:rFonts w:ascii="Palatino Linotype" w:hAnsi="Palatino Linotype"/>
          <w:i/>
        </w:rPr>
        <w:t>El o los documentos donde conste el monto autorizado y liberado al Ayuntamiento</w:t>
      </w:r>
      <w:r w:rsidR="00101343">
        <w:rPr>
          <w:rFonts w:ascii="Palatino Linotype" w:hAnsi="Palatino Linotype"/>
          <w:i/>
        </w:rPr>
        <w:t xml:space="preserve"> de Acambay </w:t>
      </w:r>
      <w:proofErr w:type="gramStart"/>
      <w:r w:rsidR="00101343">
        <w:rPr>
          <w:rFonts w:ascii="Palatino Linotype" w:hAnsi="Palatino Linotype"/>
          <w:i/>
        </w:rPr>
        <w:t>de  Ruíz</w:t>
      </w:r>
      <w:proofErr w:type="gramEnd"/>
      <w:r w:rsidR="00101343">
        <w:rPr>
          <w:rFonts w:ascii="Palatino Linotype" w:hAnsi="Palatino Linotype"/>
          <w:i/>
        </w:rPr>
        <w:t xml:space="preserve"> Castañeda. </w:t>
      </w:r>
    </w:p>
    <w:p w14:paraId="6B3A1E01" w14:textId="5377478F" w:rsidR="00FA3650" w:rsidRPr="00FA3650" w:rsidRDefault="00FA3650" w:rsidP="00FA3650">
      <w:pPr>
        <w:pStyle w:val="Prrafodelista"/>
        <w:numPr>
          <w:ilvl w:val="0"/>
          <w:numId w:val="28"/>
        </w:numPr>
        <w:spacing w:before="240" w:line="360" w:lineRule="auto"/>
        <w:jc w:val="both"/>
        <w:rPr>
          <w:rFonts w:ascii="Palatino Linotype" w:hAnsi="Palatino Linotype"/>
          <w:i/>
        </w:rPr>
      </w:pPr>
      <w:r w:rsidRPr="00FA3650">
        <w:rPr>
          <w:rFonts w:ascii="Palatino Linotype" w:hAnsi="Palatino Linotype"/>
          <w:i/>
        </w:rPr>
        <w:t>El o los documentos donde consten las obras realizadas y su costo conforme al expedient</w:t>
      </w:r>
      <w:r w:rsidR="00101343">
        <w:rPr>
          <w:rFonts w:ascii="Palatino Linotype" w:hAnsi="Palatino Linotype"/>
          <w:i/>
        </w:rPr>
        <w:t xml:space="preserve">e técnico de cada una de ellas. </w:t>
      </w:r>
    </w:p>
    <w:p w14:paraId="2F9DF09E" w14:textId="28EC8CDB" w:rsidR="00FA3650" w:rsidRPr="00FA3650" w:rsidRDefault="00FA3650" w:rsidP="00FA3650">
      <w:pPr>
        <w:pStyle w:val="Prrafodelista"/>
        <w:numPr>
          <w:ilvl w:val="0"/>
          <w:numId w:val="28"/>
        </w:numPr>
        <w:spacing w:before="240" w:line="360" w:lineRule="auto"/>
        <w:jc w:val="both"/>
        <w:rPr>
          <w:rFonts w:ascii="Palatino Linotype" w:hAnsi="Palatino Linotype"/>
          <w:i/>
        </w:rPr>
      </w:pPr>
      <w:r w:rsidRPr="00FA3650">
        <w:rPr>
          <w:rFonts w:ascii="Palatino Linotype" w:hAnsi="Palatino Linotype"/>
          <w:i/>
        </w:rPr>
        <w:t xml:space="preserve">El o los documentos donde conste la razón social de las empresas que ejecutaron cada una de </w:t>
      </w:r>
      <w:r w:rsidR="00101343">
        <w:rPr>
          <w:rFonts w:ascii="Palatino Linotype" w:hAnsi="Palatino Linotype"/>
          <w:i/>
        </w:rPr>
        <w:t xml:space="preserve">las obras. </w:t>
      </w:r>
    </w:p>
    <w:p w14:paraId="5924B8BC" w14:textId="295098BE" w:rsidR="00FA3650" w:rsidRDefault="00FA3650" w:rsidP="00FA3650">
      <w:pPr>
        <w:pStyle w:val="Prrafodelista"/>
        <w:numPr>
          <w:ilvl w:val="0"/>
          <w:numId w:val="28"/>
        </w:numPr>
        <w:spacing w:before="240" w:line="360" w:lineRule="auto"/>
        <w:jc w:val="both"/>
        <w:rPr>
          <w:rFonts w:ascii="Palatino Linotype" w:hAnsi="Palatino Linotype"/>
          <w:i/>
        </w:rPr>
      </w:pPr>
      <w:r w:rsidRPr="00FA3650">
        <w:rPr>
          <w:rFonts w:ascii="Palatino Linotype" w:hAnsi="Palatino Linotype"/>
          <w:i/>
        </w:rPr>
        <w:t xml:space="preserve">El o los documentos donde conste el monto erogado para cada una de las obras, </w:t>
      </w:r>
      <w:r w:rsidR="00101343">
        <w:rPr>
          <w:rFonts w:ascii="Palatino Linotype" w:hAnsi="Palatino Linotype"/>
          <w:i/>
        </w:rPr>
        <w:t>hasta la fecha</w:t>
      </w:r>
      <w:r w:rsidRPr="00FA3650">
        <w:rPr>
          <w:rFonts w:ascii="Palatino Linotype" w:hAnsi="Palatino Linotype"/>
          <w:i/>
        </w:rPr>
        <w:t xml:space="preserve"> once de enero de dos mil veintidós. </w:t>
      </w:r>
    </w:p>
    <w:p w14:paraId="726EE31F" w14:textId="07357A51" w:rsidR="00101343" w:rsidRPr="00FA3650" w:rsidRDefault="00101343" w:rsidP="00FA3650">
      <w:pPr>
        <w:pStyle w:val="Prrafodelista"/>
        <w:numPr>
          <w:ilvl w:val="0"/>
          <w:numId w:val="28"/>
        </w:numPr>
        <w:spacing w:before="240" w:line="360" w:lineRule="auto"/>
        <w:jc w:val="both"/>
        <w:rPr>
          <w:rFonts w:ascii="Palatino Linotype" w:hAnsi="Palatino Linotype"/>
          <w:i/>
        </w:rPr>
      </w:pPr>
      <w:r>
        <w:rPr>
          <w:rFonts w:ascii="Palatino Linotype" w:hAnsi="Palatino Linotype"/>
          <w:i/>
        </w:rPr>
        <w:t xml:space="preserve">Facturas y/o documentos análogos. </w:t>
      </w:r>
    </w:p>
    <w:p w14:paraId="185514AF" w14:textId="249D7E2B" w:rsidR="00BB2E89" w:rsidRDefault="00BB2E89" w:rsidP="00BB2E89">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4336AE">
        <w:rPr>
          <w:rFonts w:ascii="Palatino Linotype" w:hAnsi="Palatino Linotype" w:cs="Arial"/>
          <w:i/>
        </w:rPr>
        <w:t>del</w:t>
      </w:r>
      <w:r>
        <w:rPr>
          <w:rFonts w:ascii="Palatino Linotype" w:hAnsi="Palatino Linotype" w:cs="Arial"/>
          <w:i/>
        </w:rPr>
        <w:t xml:space="preserve"> recurrente.</w:t>
      </w:r>
    </w:p>
    <w:p w14:paraId="38EF20B2" w14:textId="77777777" w:rsidR="00031A66" w:rsidRDefault="00031A66" w:rsidP="00BB2E89">
      <w:pPr>
        <w:pStyle w:val="Prrafodelista"/>
        <w:spacing w:before="240" w:line="360" w:lineRule="auto"/>
        <w:ind w:left="720"/>
        <w:jc w:val="both"/>
        <w:rPr>
          <w:rFonts w:ascii="Palatino Linotype" w:hAnsi="Palatino Linotype" w:cs="Arial"/>
          <w:i/>
        </w:rPr>
      </w:pPr>
    </w:p>
    <w:p w14:paraId="19ABE676" w14:textId="77777777" w:rsidR="00BB2E89" w:rsidRDefault="00BB2E89" w:rsidP="00BB2E8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2B4FCC7" w14:textId="77777777" w:rsidR="00BB2E89" w:rsidRDefault="00BB2E89" w:rsidP="00BB2E89">
      <w:pPr>
        <w:autoSpaceDE w:val="0"/>
        <w:autoSpaceDN w:val="0"/>
        <w:adjustRightInd w:val="0"/>
        <w:spacing w:before="240" w:line="360" w:lineRule="auto"/>
        <w:jc w:val="both"/>
        <w:rPr>
          <w:rFonts w:ascii="Palatino Linotype" w:hAnsi="Palatino Linotype" w:cs="Arial"/>
          <w:sz w:val="24"/>
          <w:szCs w:val="24"/>
        </w:rPr>
      </w:pPr>
    </w:p>
    <w:p w14:paraId="24525C2D" w14:textId="77777777" w:rsidR="00BB2E89" w:rsidRDefault="00BB2E89" w:rsidP="00BB2E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A6E3D2" w14:textId="77777777" w:rsidR="00BB2E89" w:rsidRPr="005751B7" w:rsidRDefault="00BB2E89" w:rsidP="00BB2E8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B7EAEFA" w14:textId="77777777" w:rsidR="00BB2E89" w:rsidRPr="00F77047" w:rsidRDefault="00BB2E89" w:rsidP="00BB2E89">
      <w:pPr>
        <w:spacing w:after="0" w:line="360" w:lineRule="auto"/>
        <w:jc w:val="both"/>
        <w:rPr>
          <w:rFonts w:ascii="Palatino Linotype" w:eastAsia="Times New Roman" w:hAnsi="Palatino Linotype" w:cs="Arial"/>
          <w:b/>
          <w:sz w:val="18"/>
          <w:szCs w:val="24"/>
          <w:lang w:eastAsia="es-ES"/>
        </w:rPr>
      </w:pPr>
    </w:p>
    <w:p w14:paraId="560B95CB" w14:textId="6849BBEB" w:rsidR="00BB2E89" w:rsidRDefault="00BB2E89" w:rsidP="00BB2E8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1A66" w:rsidRPr="00151D16">
        <w:rPr>
          <w:rFonts w:ascii="Palatino Linotype" w:hAnsi="Palatino Linotype" w:cs="Arial"/>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7E1954EC" w14:textId="48C91319" w:rsidR="004E1AC5" w:rsidRDefault="004E1AC5" w:rsidP="00ED3C5C">
      <w:pPr>
        <w:spacing w:after="0" w:line="360" w:lineRule="auto"/>
        <w:jc w:val="both"/>
        <w:rPr>
          <w:rFonts w:ascii="Palatino Linotype" w:hAnsi="Palatino Linotype" w:cs="Arial"/>
          <w:color w:val="000000"/>
          <w:sz w:val="24"/>
          <w:lang w:val="es-ES_tradnl"/>
        </w:rPr>
      </w:pPr>
    </w:p>
    <w:p w14:paraId="6FA0E6FD" w14:textId="49D3554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w:t>
      </w:r>
      <w:r w:rsidRPr="00272CE0">
        <w:rPr>
          <w:rFonts w:ascii="Palatino Linotype" w:hAnsi="Palatino Linotype" w:cs="Arial"/>
        </w:rPr>
        <w:lastRenderedPageBreak/>
        <w:t>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sidR="00FA3650">
        <w:rPr>
          <w:rFonts w:ascii="Palatino Linotype" w:hAnsi="Palatino Linotype" w:cs="Arial"/>
        </w:rPr>
        <w:t xml:space="preserve">HARON CRISTINA MORALES MARTÍNEZ, </w:t>
      </w:r>
      <w:r w:rsidRPr="00266B85">
        <w:rPr>
          <w:rFonts w:ascii="Palatino Linotype" w:hAnsi="Palatino Linotype" w:cs="Arial"/>
        </w:rPr>
        <w:t xml:space="preserve">LUIS GUSTAVO PARRA NORIEGA Y GUADALUPE RAMÍREZ PEÑA; EN LA </w:t>
      </w:r>
      <w:r w:rsidR="00FA3650">
        <w:rPr>
          <w:rFonts w:ascii="Palatino Linotype" w:hAnsi="Palatino Linotype" w:cs="Arial"/>
        </w:rPr>
        <w:t>DÉCIMA</w:t>
      </w:r>
      <w:r w:rsidRPr="00266B85">
        <w:rPr>
          <w:rFonts w:ascii="Palatino Linotype" w:hAnsi="Palatino Linotype" w:cs="Arial"/>
        </w:rPr>
        <w:t xml:space="preserve">  SESIÓN ORDINARIA CELEBRADA EL </w:t>
      </w:r>
      <w:r w:rsidR="00031A66">
        <w:rPr>
          <w:rFonts w:ascii="Palatino Linotype" w:hAnsi="Palatino Linotype" w:cs="Arial"/>
        </w:rPr>
        <w:t xml:space="preserve">DIECISÉIS </w:t>
      </w:r>
      <w:r>
        <w:rPr>
          <w:rFonts w:ascii="Palatino Linotype" w:hAnsi="Palatino Linotype" w:cs="Arial"/>
        </w:rPr>
        <w:t xml:space="preserve">DE </w:t>
      </w:r>
      <w:r w:rsidR="00FA3650">
        <w:rPr>
          <w:rFonts w:ascii="Palatino Linotype" w:hAnsi="Palatino Linotype" w:cs="Arial"/>
        </w:rPr>
        <w:t>MARZO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0ACA7651" w14:textId="33B5D5E2" w:rsidR="00C1625D" w:rsidRDefault="00031A66"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2C54146D" wp14:editId="23D4A3C2">
                <wp:simplePos x="0" y="0"/>
                <wp:positionH relativeFrom="column">
                  <wp:posOffset>-49729</wp:posOffset>
                </wp:positionH>
                <wp:positionV relativeFrom="paragraph">
                  <wp:posOffset>296014</wp:posOffset>
                </wp:positionV>
                <wp:extent cx="6373504" cy="4537881"/>
                <wp:effectExtent l="0" t="0" r="27305" b="34290"/>
                <wp:wrapNone/>
                <wp:docPr id="4" name="Conector recto 4"/>
                <wp:cNvGraphicFramePr/>
                <a:graphic xmlns:a="http://schemas.openxmlformats.org/drawingml/2006/main">
                  <a:graphicData uri="http://schemas.microsoft.com/office/word/2010/wordprocessingShape">
                    <wps:wsp>
                      <wps:cNvCnPr/>
                      <wps:spPr>
                        <a:xfrm>
                          <a:off x="0" y="0"/>
                          <a:ext cx="6373504" cy="45378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B20AE"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3.3pt" to="497.95pt,3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" strokecolor="#5b9bd5 [3204]" strokeweight=".5pt">
                <v:stroke joinstyle="miter"/>
              </v:line>
            </w:pict>
          </mc:Fallback>
        </mc:AlternateContent>
      </w:r>
      <w:r w:rsidR="00C1625D">
        <w:rPr>
          <w:rFonts w:ascii="Palatino Linotype" w:hAnsi="Palatino Linotype"/>
          <w:bCs/>
          <w:sz w:val="18"/>
          <w:szCs w:val="18"/>
        </w:rPr>
        <w:t>CCR/J</w:t>
      </w:r>
      <w:r w:rsidR="00C1625D" w:rsidRPr="00280B8B">
        <w:rPr>
          <w:rFonts w:ascii="Palatino Linotype" w:hAnsi="Palatino Linotype"/>
          <w:bCs/>
          <w:sz w:val="18"/>
          <w:szCs w:val="18"/>
        </w:rPr>
        <w:t>CMA</w:t>
      </w:r>
    </w:p>
    <w:p w14:paraId="5CB984C9" w14:textId="0B0B0C4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27E883"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0FCD19"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3BF3F3"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0A9022" w14:textId="77777777" w:rsidR="00C1625D" w:rsidRPr="00280B8B"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6E2106F" w14:textId="77777777" w:rsidR="00C1625D" w:rsidRDefault="00C1625D" w:rsidP="00ED3C5C">
      <w:pPr>
        <w:spacing w:after="0" w:line="360" w:lineRule="auto"/>
        <w:jc w:val="both"/>
        <w:rPr>
          <w:rFonts w:ascii="Palatino Linotype" w:hAnsi="Palatino Linotype" w:cs="Arial"/>
          <w:color w:val="000000"/>
          <w:sz w:val="24"/>
          <w:lang w:val="es-ES_tradnl"/>
        </w:rPr>
      </w:pPr>
    </w:p>
    <w:p w14:paraId="1053903D" w14:textId="77777777" w:rsidR="00867FEE" w:rsidRDefault="00867FEE" w:rsidP="00ED3C5C">
      <w:pPr>
        <w:spacing w:after="0" w:line="360" w:lineRule="auto"/>
        <w:jc w:val="both"/>
        <w:rPr>
          <w:rFonts w:ascii="Palatino Linotype" w:hAnsi="Palatino Linotype" w:cs="Arial"/>
          <w:color w:val="000000"/>
          <w:sz w:val="24"/>
          <w:lang w:val="es-ES_tradnl"/>
        </w:rPr>
      </w:pPr>
    </w:p>
    <w:p w14:paraId="70D12BD4" w14:textId="77777777" w:rsidR="00867FEE" w:rsidRDefault="00867FEE" w:rsidP="00ED3C5C">
      <w:pPr>
        <w:spacing w:after="0" w:line="360" w:lineRule="auto"/>
        <w:jc w:val="both"/>
        <w:rPr>
          <w:rFonts w:ascii="Palatino Linotype" w:hAnsi="Palatino Linotype" w:cs="Arial"/>
          <w:color w:val="000000"/>
          <w:sz w:val="24"/>
          <w:lang w:val="es-ES_tradnl"/>
        </w:rPr>
      </w:pPr>
    </w:p>
    <w:p w14:paraId="238B62A6" w14:textId="77777777" w:rsidR="00867FEE" w:rsidRDefault="00867FEE" w:rsidP="00ED3C5C">
      <w:pPr>
        <w:spacing w:after="0" w:line="360" w:lineRule="auto"/>
        <w:jc w:val="both"/>
        <w:rPr>
          <w:rFonts w:ascii="Palatino Linotype" w:hAnsi="Palatino Linotype" w:cs="Arial"/>
          <w:color w:val="000000"/>
          <w:sz w:val="24"/>
          <w:lang w:val="es-ES_tradnl"/>
        </w:rPr>
      </w:pPr>
    </w:p>
    <w:p w14:paraId="35542CE2" w14:textId="77777777" w:rsidR="00867FEE" w:rsidRDefault="00867FEE" w:rsidP="00ED3C5C">
      <w:pPr>
        <w:spacing w:after="0" w:line="360" w:lineRule="auto"/>
        <w:jc w:val="both"/>
        <w:rPr>
          <w:rFonts w:ascii="Palatino Linotype" w:hAnsi="Palatino Linotype" w:cs="Arial"/>
          <w:color w:val="000000"/>
          <w:sz w:val="24"/>
          <w:lang w:val="es-ES_tradnl"/>
        </w:rPr>
      </w:pPr>
    </w:p>
    <w:p w14:paraId="794AA4E0" w14:textId="77777777" w:rsidR="00867FEE" w:rsidRDefault="00867FEE" w:rsidP="00ED3C5C">
      <w:pPr>
        <w:spacing w:after="0" w:line="360" w:lineRule="auto"/>
        <w:jc w:val="both"/>
        <w:rPr>
          <w:rFonts w:ascii="Palatino Linotype" w:hAnsi="Palatino Linotype" w:cs="Arial"/>
          <w:color w:val="000000"/>
          <w:sz w:val="24"/>
          <w:lang w:val="es-ES_tradnl"/>
        </w:rPr>
      </w:pPr>
    </w:p>
    <w:p w14:paraId="3FA43038" w14:textId="77777777" w:rsidR="00867FEE" w:rsidRDefault="00867FEE" w:rsidP="00ED3C5C">
      <w:pPr>
        <w:spacing w:after="0" w:line="360" w:lineRule="auto"/>
        <w:jc w:val="both"/>
        <w:rPr>
          <w:rFonts w:ascii="Palatino Linotype" w:hAnsi="Palatino Linotype" w:cs="Arial"/>
          <w:color w:val="000000"/>
          <w:sz w:val="24"/>
          <w:lang w:val="es-ES_tradnl"/>
        </w:rPr>
      </w:pPr>
    </w:p>
    <w:p w14:paraId="18DA9E27" w14:textId="77777777" w:rsidR="00867FEE" w:rsidRDefault="00867FEE" w:rsidP="00ED3C5C">
      <w:pPr>
        <w:spacing w:after="0" w:line="360" w:lineRule="auto"/>
        <w:jc w:val="both"/>
        <w:rPr>
          <w:rFonts w:ascii="Palatino Linotype" w:hAnsi="Palatino Linotype" w:cs="Arial"/>
          <w:color w:val="000000"/>
          <w:sz w:val="24"/>
          <w:lang w:val="es-ES_tradnl"/>
        </w:rPr>
      </w:pPr>
    </w:p>
    <w:p w14:paraId="15F1EE6D" w14:textId="77777777" w:rsidR="00867FEE" w:rsidRDefault="00867FEE" w:rsidP="00ED3C5C">
      <w:pPr>
        <w:spacing w:after="0" w:line="360" w:lineRule="auto"/>
        <w:jc w:val="both"/>
        <w:rPr>
          <w:rFonts w:ascii="Palatino Linotype" w:hAnsi="Palatino Linotype" w:cs="Arial"/>
          <w:color w:val="000000"/>
          <w:sz w:val="24"/>
          <w:lang w:val="es-ES_tradnl"/>
        </w:rPr>
      </w:pPr>
    </w:p>
    <w:p w14:paraId="7D547E2C" w14:textId="77777777" w:rsidR="00867FEE" w:rsidRDefault="00867FEE" w:rsidP="00ED3C5C">
      <w:pPr>
        <w:spacing w:after="0" w:line="360" w:lineRule="auto"/>
        <w:jc w:val="both"/>
        <w:rPr>
          <w:rFonts w:ascii="Palatino Linotype" w:hAnsi="Palatino Linotype" w:cs="Arial"/>
          <w:color w:val="000000"/>
          <w:sz w:val="24"/>
          <w:lang w:val="es-ES_tradnl"/>
        </w:rPr>
      </w:pPr>
    </w:p>
    <w:p w14:paraId="2D794F21" w14:textId="77777777" w:rsidR="00867FEE" w:rsidRDefault="00867FEE" w:rsidP="00ED3C5C">
      <w:pPr>
        <w:spacing w:after="0" w:line="360" w:lineRule="auto"/>
        <w:jc w:val="both"/>
        <w:rPr>
          <w:rFonts w:ascii="Palatino Linotype" w:hAnsi="Palatino Linotype" w:cs="Arial"/>
          <w:color w:val="000000"/>
          <w:sz w:val="24"/>
          <w:lang w:val="es-ES_tradnl"/>
        </w:rPr>
      </w:pPr>
    </w:p>
    <w:p w14:paraId="21DD6342" w14:textId="77777777" w:rsidR="00867FEE" w:rsidRDefault="00867FEE" w:rsidP="00ED3C5C">
      <w:pPr>
        <w:spacing w:after="0" w:line="360" w:lineRule="auto"/>
        <w:jc w:val="both"/>
        <w:rPr>
          <w:rFonts w:ascii="Palatino Linotype" w:hAnsi="Palatino Linotype" w:cs="Arial"/>
          <w:color w:val="000000"/>
          <w:sz w:val="24"/>
          <w:lang w:val="es-ES_tradnl"/>
        </w:rPr>
      </w:pPr>
    </w:p>
    <w:p w14:paraId="45358C48" w14:textId="77777777" w:rsidR="00867FEE" w:rsidRDefault="00867FEE" w:rsidP="00ED3C5C">
      <w:pPr>
        <w:spacing w:after="0" w:line="360" w:lineRule="auto"/>
        <w:jc w:val="both"/>
        <w:rPr>
          <w:rFonts w:ascii="Palatino Linotype" w:hAnsi="Palatino Linotype" w:cs="Arial"/>
          <w:color w:val="000000"/>
          <w:sz w:val="24"/>
          <w:lang w:val="es-ES_tradnl"/>
        </w:rPr>
      </w:pPr>
    </w:p>
    <w:p w14:paraId="32536D90" w14:textId="77777777" w:rsidR="00867FEE" w:rsidRDefault="00867FEE" w:rsidP="00ED3C5C">
      <w:pPr>
        <w:spacing w:after="0" w:line="360" w:lineRule="auto"/>
        <w:jc w:val="both"/>
        <w:rPr>
          <w:rFonts w:ascii="Palatino Linotype" w:hAnsi="Palatino Linotype" w:cs="Arial"/>
          <w:color w:val="000000"/>
          <w:sz w:val="24"/>
          <w:lang w:val="es-ES_tradnl"/>
        </w:rPr>
      </w:pPr>
    </w:p>
    <w:sectPr w:rsidR="00867FEE"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1446" w14:textId="77777777" w:rsidR="00527DC2" w:rsidRDefault="00527DC2" w:rsidP="006168E4">
      <w:pPr>
        <w:spacing w:after="0" w:line="240" w:lineRule="auto"/>
      </w:pPr>
      <w:r>
        <w:separator/>
      </w:r>
    </w:p>
  </w:endnote>
  <w:endnote w:type="continuationSeparator" w:id="0">
    <w:p w14:paraId="6234557B" w14:textId="77777777" w:rsidR="00527DC2" w:rsidRDefault="00527DC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296316" w:rsidRPr="000B69FA" w:rsidRDefault="0029631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232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2323">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296316" w:rsidRPr="000B69FA" w:rsidRDefault="0029631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23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2323">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8980" w14:textId="77777777" w:rsidR="00527DC2" w:rsidRDefault="00527DC2" w:rsidP="006168E4">
      <w:pPr>
        <w:spacing w:after="0" w:line="240" w:lineRule="auto"/>
      </w:pPr>
      <w:r>
        <w:separator/>
      </w:r>
    </w:p>
  </w:footnote>
  <w:footnote w:type="continuationSeparator" w:id="0">
    <w:p w14:paraId="25F09593" w14:textId="77777777" w:rsidR="00527DC2" w:rsidRDefault="00527DC2" w:rsidP="006168E4">
      <w:pPr>
        <w:spacing w:after="0" w:line="240" w:lineRule="auto"/>
      </w:pPr>
      <w:r>
        <w:continuationSeparator/>
      </w:r>
    </w:p>
  </w:footnote>
  <w:footnote w:id="1">
    <w:p w14:paraId="20C5DAAB" w14:textId="77777777" w:rsidR="00296316" w:rsidRPr="005552A8" w:rsidRDefault="00296316" w:rsidP="0096513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1628B97" w14:textId="77777777" w:rsidR="00296316" w:rsidRPr="005552A8" w:rsidRDefault="00296316" w:rsidP="0096513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296316" w:rsidRDefault="0029631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296316" w14:paraId="17981A04" w14:textId="77777777" w:rsidTr="00073E92">
      <w:trPr>
        <w:trHeight w:val="227"/>
      </w:trPr>
      <w:tc>
        <w:tcPr>
          <w:tcW w:w="5529" w:type="dxa"/>
          <w:hideMark/>
        </w:tcPr>
        <w:p w14:paraId="0E414BC5" w14:textId="19670DF2" w:rsidR="00296316" w:rsidRDefault="0029631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7F105EB9" w:rsidR="00296316" w:rsidRPr="00B4142F" w:rsidRDefault="0029631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00390/INFOEM/IP/RR/2022</w:t>
          </w:r>
        </w:p>
      </w:tc>
    </w:tr>
    <w:tr w:rsidR="00296316" w14:paraId="637042F0" w14:textId="77777777" w:rsidTr="00073E92">
      <w:trPr>
        <w:trHeight w:val="242"/>
      </w:trPr>
      <w:tc>
        <w:tcPr>
          <w:tcW w:w="5529" w:type="dxa"/>
          <w:hideMark/>
        </w:tcPr>
        <w:p w14:paraId="412AD568" w14:textId="582E7AD7" w:rsidR="00296316" w:rsidRDefault="0029631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955DBFA" w:rsidR="00296316" w:rsidRPr="00F06FED" w:rsidRDefault="00296316" w:rsidP="00BB63AB">
          <w:pPr>
            <w:spacing w:after="120" w:line="256" w:lineRule="auto"/>
            <w:ind w:left="639" w:right="214"/>
            <w:jc w:val="both"/>
            <w:rPr>
              <w:rFonts w:ascii="Palatino Linotype" w:hAnsi="Palatino Linotype" w:cs="Arial"/>
            </w:rPr>
          </w:pPr>
          <w:r>
            <w:rPr>
              <w:rFonts w:ascii="Palatino Linotype" w:hAnsi="Palatino Linotype" w:cs="Arial"/>
              <w:szCs w:val="20"/>
            </w:rPr>
            <w:t>Ayuntamiento de Acambay de Ruíz Castañeda</w:t>
          </w:r>
        </w:p>
      </w:tc>
    </w:tr>
    <w:tr w:rsidR="00296316" w14:paraId="21BFE746" w14:textId="77777777" w:rsidTr="00073E92">
      <w:trPr>
        <w:trHeight w:val="342"/>
      </w:trPr>
      <w:tc>
        <w:tcPr>
          <w:tcW w:w="5529" w:type="dxa"/>
          <w:hideMark/>
        </w:tcPr>
        <w:p w14:paraId="64C4E314" w14:textId="2A83840C" w:rsidR="00296316" w:rsidRDefault="0029631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296316" w:rsidRDefault="0029631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296316" w:rsidRDefault="00296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96316" w14:paraId="385FD437" w14:textId="77777777" w:rsidTr="00073E92">
      <w:trPr>
        <w:trHeight w:val="227"/>
      </w:trPr>
      <w:tc>
        <w:tcPr>
          <w:tcW w:w="5529" w:type="dxa"/>
          <w:hideMark/>
        </w:tcPr>
        <w:p w14:paraId="272860E8" w14:textId="6340DBC0" w:rsidR="00296316" w:rsidRDefault="002963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7951D83A" w:rsidR="00296316" w:rsidRPr="00B4142F" w:rsidRDefault="0029631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00390/INFOEM/IP/RR/2022</w:t>
          </w:r>
        </w:p>
      </w:tc>
    </w:tr>
    <w:tr w:rsidR="00296316" w14:paraId="33FC5097" w14:textId="77777777" w:rsidTr="00073E92">
      <w:trPr>
        <w:trHeight w:val="196"/>
      </w:trPr>
      <w:tc>
        <w:tcPr>
          <w:tcW w:w="5529" w:type="dxa"/>
          <w:hideMark/>
        </w:tcPr>
        <w:p w14:paraId="4F5D01E5" w14:textId="77777777" w:rsidR="00296316" w:rsidRDefault="002963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9C86FDE" w:rsidR="00296316" w:rsidRPr="00F06FED" w:rsidRDefault="00CB07ED" w:rsidP="007A3BB5">
          <w:pPr>
            <w:spacing w:after="120" w:line="256" w:lineRule="auto"/>
            <w:ind w:left="639" w:right="214"/>
            <w:jc w:val="both"/>
            <w:rPr>
              <w:rFonts w:ascii="Palatino Linotype" w:hAnsi="Palatino Linotype" w:cs="Arial"/>
            </w:rPr>
          </w:pPr>
          <w:r>
            <w:rPr>
              <w:rFonts w:ascii="Palatino Linotype" w:hAnsi="Palatino Linotype" w:cs="Arial"/>
            </w:rPr>
            <w:t>XXXXXXXXXXXX</w:t>
          </w:r>
          <w:r w:rsidR="00296316">
            <w:rPr>
              <w:rFonts w:ascii="Palatino Linotype" w:hAnsi="Palatino Linotype" w:cs="Arial"/>
            </w:rPr>
            <w:t xml:space="preserve"> </w:t>
          </w:r>
        </w:p>
      </w:tc>
    </w:tr>
    <w:tr w:rsidR="00296316" w14:paraId="178280DE" w14:textId="77777777" w:rsidTr="00073E92">
      <w:trPr>
        <w:trHeight w:val="242"/>
      </w:trPr>
      <w:tc>
        <w:tcPr>
          <w:tcW w:w="5529" w:type="dxa"/>
          <w:hideMark/>
        </w:tcPr>
        <w:p w14:paraId="71AC708B" w14:textId="77777777" w:rsidR="00296316" w:rsidRDefault="002963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F74FD8F" w:rsidR="00296316" w:rsidRDefault="00296316"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Acambay de Ruíz Castañeda</w:t>
          </w:r>
        </w:p>
      </w:tc>
    </w:tr>
    <w:tr w:rsidR="00296316" w14:paraId="0518978B" w14:textId="77777777" w:rsidTr="00073E92">
      <w:trPr>
        <w:trHeight w:val="342"/>
      </w:trPr>
      <w:tc>
        <w:tcPr>
          <w:tcW w:w="5529" w:type="dxa"/>
          <w:hideMark/>
        </w:tcPr>
        <w:p w14:paraId="04968A43" w14:textId="7BE2A222" w:rsidR="00296316" w:rsidRDefault="0029631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296316" w:rsidRDefault="0029631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296316" w:rsidRDefault="0029631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853"/>
    <w:multiLevelType w:val="hybridMultilevel"/>
    <w:tmpl w:val="0A444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F7E5F"/>
    <w:multiLevelType w:val="hybridMultilevel"/>
    <w:tmpl w:val="F75E5A1E"/>
    <w:lvl w:ilvl="0" w:tplc="AAC60D5C">
      <w:start w:val="5"/>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1C0AD2"/>
    <w:multiLevelType w:val="hybridMultilevel"/>
    <w:tmpl w:val="9F58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413129"/>
    <w:multiLevelType w:val="hybridMultilevel"/>
    <w:tmpl w:val="69348A6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519703A"/>
    <w:multiLevelType w:val="hybridMultilevel"/>
    <w:tmpl w:val="753AA1AE"/>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7" w15:restartNumberingAfterBreak="0">
    <w:nsid w:val="27DA028C"/>
    <w:multiLevelType w:val="hybridMultilevel"/>
    <w:tmpl w:val="0E3C7B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0A167F"/>
    <w:multiLevelType w:val="hybridMultilevel"/>
    <w:tmpl w:val="67081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D7FC3"/>
    <w:multiLevelType w:val="hybridMultilevel"/>
    <w:tmpl w:val="E6EEBDE8"/>
    <w:lvl w:ilvl="0" w:tplc="6F60219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87775E2"/>
    <w:multiLevelType w:val="hybridMultilevel"/>
    <w:tmpl w:val="640CA94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007F14"/>
    <w:multiLevelType w:val="hybridMultilevel"/>
    <w:tmpl w:val="0FA6955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41F75CCC"/>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7752A29"/>
    <w:multiLevelType w:val="hybridMultilevel"/>
    <w:tmpl w:val="75082954"/>
    <w:lvl w:ilvl="0" w:tplc="5CD4B0F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A085077"/>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3855AB"/>
    <w:multiLevelType w:val="hybridMultilevel"/>
    <w:tmpl w:val="8214B6C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2A48DA"/>
    <w:multiLevelType w:val="hybridMultilevel"/>
    <w:tmpl w:val="273229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416012"/>
    <w:multiLevelType w:val="hybridMultilevel"/>
    <w:tmpl w:val="9A1A5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975DA0"/>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0C47EC"/>
    <w:multiLevelType w:val="hybridMultilevel"/>
    <w:tmpl w:val="2616A6E4"/>
    <w:lvl w:ilvl="0" w:tplc="EDBCC6D4">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DC2135"/>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5A16DD"/>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7646366E"/>
    <w:multiLevelType w:val="hybridMultilevel"/>
    <w:tmpl w:val="9F0041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CA4805"/>
    <w:multiLevelType w:val="hybridMultilevel"/>
    <w:tmpl w:val="F3A6BCBE"/>
    <w:lvl w:ilvl="0" w:tplc="C9EC21E0">
      <w:start w:val="5"/>
      <w:numFmt w:val="bullet"/>
      <w:lvlText w:val="-"/>
      <w:lvlJc w:val="left"/>
      <w:pPr>
        <w:ind w:left="1080" w:hanging="360"/>
      </w:pPr>
      <w:rPr>
        <w:rFonts w:ascii="Palatino Linotype" w:eastAsia="Times New Roman" w:hAnsi="Palatino Linotype" w:cs="Arial" w:hint="default"/>
        <w:b w:val="0"/>
        <w:color w:val="00000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2"/>
  </w:num>
  <w:num w:numId="2">
    <w:abstractNumId w:val="21"/>
  </w:num>
  <w:num w:numId="3">
    <w:abstractNumId w:val="22"/>
  </w:num>
  <w:num w:numId="4">
    <w:abstractNumId w:val="14"/>
  </w:num>
  <w:num w:numId="5">
    <w:abstractNumId w:val="0"/>
  </w:num>
  <w:num w:numId="6">
    <w:abstractNumId w:val="5"/>
  </w:num>
  <w:num w:numId="7">
    <w:abstractNumId w:val="7"/>
  </w:num>
  <w:num w:numId="8">
    <w:abstractNumId w:val="15"/>
  </w:num>
  <w:num w:numId="9">
    <w:abstractNumId w:val="1"/>
  </w:num>
  <w:num w:numId="10">
    <w:abstractNumId w:val="26"/>
  </w:num>
  <w:num w:numId="11">
    <w:abstractNumId w:val="13"/>
  </w:num>
  <w:num w:numId="12">
    <w:abstractNumId w:val="19"/>
  </w:num>
  <w:num w:numId="13">
    <w:abstractNumId w:val="28"/>
  </w:num>
  <w:num w:numId="14">
    <w:abstractNumId w:val="2"/>
  </w:num>
  <w:num w:numId="15">
    <w:abstractNumId w:val="16"/>
  </w:num>
  <w:num w:numId="16">
    <w:abstractNumId w:val="10"/>
  </w:num>
  <w:num w:numId="17">
    <w:abstractNumId w:val="3"/>
  </w:num>
  <w:num w:numId="18">
    <w:abstractNumId w:val="18"/>
  </w:num>
  <w:num w:numId="19">
    <w:abstractNumId w:val="11"/>
  </w:num>
  <w:num w:numId="20">
    <w:abstractNumId w:val="8"/>
  </w:num>
  <w:num w:numId="21">
    <w:abstractNumId w:val="6"/>
  </w:num>
  <w:num w:numId="22">
    <w:abstractNumId w:val="27"/>
  </w:num>
  <w:num w:numId="23">
    <w:abstractNumId w:val="9"/>
  </w:num>
  <w:num w:numId="24">
    <w:abstractNumId w:val="23"/>
  </w:num>
  <w:num w:numId="25">
    <w:abstractNumId w:val="20"/>
  </w:num>
  <w:num w:numId="26">
    <w:abstractNumId w:val="25"/>
  </w:num>
  <w:num w:numId="27">
    <w:abstractNumId w:val="17"/>
  </w:num>
  <w:num w:numId="28">
    <w:abstractNumId w:val="24"/>
  </w:num>
  <w:num w:numId="2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675E"/>
    <w:rsid w:val="000171B7"/>
    <w:rsid w:val="00020E74"/>
    <w:rsid w:val="00022B41"/>
    <w:rsid w:val="000240C8"/>
    <w:rsid w:val="0002560B"/>
    <w:rsid w:val="00027921"/>
    <w:rsid w:val="000306A7"/>
    <w:rsid w:val="000315CA"/>
    <w:rsid w:val="00031A66"/>
    <w:rsid w:val="00031B3B"/>
    <w:rsid w:val="0003281E"/>
    <w:rsid w:val="00032896"/>
    <w:rsid w:val="000329BE"/>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5EB"/>
    <w:rsid w:val="000B4B51"/>
    <w:rsid w:val="000B4D0F"/>
    <w:rsid w:val="000B5864"/>
    <w:rsid w:val="000B7158"/>
    <w:rsid w:val="000C0B33"/>
    <w:rsid w:val="000C2602"/>
    <w:rsid w:val="000C5B8B"/>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F8D"/>
    <w:rsid w:val="00100C19"/>
    <w:rsid w:val="00101343"/>
    <w:rsid w:val="00104391"/>
    <w:rsid w:val="00106372"/>
    <w:rsid w:val="00111DCD"/>
    <w:rsid w:val="00112C29"/>
    <w:rsid w:val="00114CF9"/>
    <w:rsid w:val="00114FD0"/>
    <w:rsid w:val="00116C87"/>
    <w:rsid w:val="00121E3A"/>
    <w:rsid w:val="001228AB"/>
    <w:rsid w:val="00124209"/>
    <w:rsid w:val="00124855"/>
    <w:rsid w:val="001254F5"/>
    <w:rsid w:val="00127033"/>
    <w:rsid w:val="00136C13"/>
    <w:rsid w:val="00136FAD"/>
    <w:rsid w:val="00140557"/>
    <w:rsid w:val="001408A0"/>
    <w:rsid w:val="001414E7"/>
    <w:rsid w:val="001439C9"/>
    <w:rsid w:val="00146F0A"/>
    <w:rsid w:val="0015142D"/>
    <w:rsid w:val="00151D16"/>
    <w:rsid w:val="00152AB2"/>
    <w:rsid w:val="00152C2B"/>
    <w:rsid w:val="00161FBE"/>
    <w:rsid w:val="0016613D"/>
    <w:rsid w:val="0016745C"/>
    <w:rsid w:val="001705AC"/>
    <w:rsid w:val="001710C0"/>
    <w:rsid w:val="001733A0"/>
    <w:rsid w:val="00175897"/>
    <w:rsid w:val="00177BC8"/>
    <w:rsid w:val="00180B9F"/>
    <w:rsid w:val="00180F0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78AA"/>
    <w:rsid w:val="001F2101"/>
    <w:rsid w:val="001F2360"/>
    <w:rsid w:val="001F3969"/>
    <w:rsid w:val="001F61DA"/>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25C7"/>
    <w:rsid w:val="002526E7"/>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413B"/>
    <w:rsid w:val="0028588E"/>
    <w:rsid w:val="00286784"/>
    <w:rsid w:val="00287700"/>
    <w:rsid w:val="00292BF6"/>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2F95"/>
    <w:rsid w:val="002D30CB"/>
    <w:rsid w:val="002D310D"/>
    <w:rsid w:val="002E23FD"/>
    <w:rsid w:val="002E2D7B"/>
    <w:rsid w:val="002E5E6A"/>
    <w:rsid w:val="002F14AA"/>
    <w:rsid w:val="002F2198"/>
    <w:rsid w:val="002F37BE"/>
    <w:rsid w:val="002F4577"/>
    <w:rsid w:val="002F6424"/>
    <w:rsid w:val="002F7704"/>
    <w:rsid w:val="00300D0B"/>
    <w:rsid w:val="00303210"/>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35EE5"/>
    <w:rsid w:val="0034179E"/>
    <w:rsid w:val="00341AC3"/>
    <w:rsid w:val="0034299B"/>
    <w:rsid w:val="003430A8"/>
    <w:rsid w:val="003443B2"/>
    <w:rsid w:val="00345B43"/>
    <w:rsid w:val="00346B14"/>
    <w:rsid w:val="00361B9C"/>
    <w:rsid w:val="00365C45"/>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D4BD2"/>
    <w:rsid w:val="003E0BC5"/>
    <w:rsid w:val="003E16E1"/>
    <w:rsid w:val="003E2624"/>
    <w:rsid w:val="003E34C9"/>
    <w:rsid w:val="003E4B54"/>
    <w:rsid w:val="003E4C0D"/>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3E8F"/>
    <w:rsid w:val="004F4792"/>
    <w:rsid w:val="004F4DF1"/>
    <w:rsid w:val="004F74F7"/>
    <w:rsid w:val="00502F50"/>
    <w:rsid w:val="00503655"/>
    <w:rsid w:val="00505759"/>
    <w:rsid w:val="00505784"/>
    <w:rsid w:val="0050578D"/>
    <w:rsid w:val="0051107C"/>
    <w:rsid w:val="00514187"/>
    <w:rsid w:val="00515090"/>
    <w:rsid w:val="00517F23"/>
    <w:rsid w:val="00521A89"/>
    <w:rsid w:val="00521E57"/>
    <w:rsid w:val="00525E83"/>
    <w:rsid w:val="005268A3"/>
    <w:rsid w:val="00527DC2"/>
    <w:rsid w:val="00527EBC"/>
    <w:rsid w:val="005305EA"/>
    <w:rsid w:val="00530E3E"/>
    <w:rsid w:val="005311BB"/>
    <w:rsid w:val="00535C9F"/>
    <w:rsid w:val="00536723"/>
    <w:rsid w:val="005371E7"/>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4C18"/>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3B4D"/>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2954"/>
    <w:rsid w:val="006168E4"/>
    <w:rsid w:val="00616943"/>
    <w:rsid w:val="00620EEE"/>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512"/>
    <w:rsid w:val="0063765F"/>
    <w:rsid w:val="00640EE4"/>
    <w:rsid w:val="0064168D"/>
    <w:rsid w:val="00643161"/>
    <w:rsid w:val="006466F5"/>
    <w:rsid w:val="006468D6"/>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31428"/>
    <w:rsid w:val="0073157A"/>
    <w:rsid w:val="00735209"/>
    <w:rsid w:val="00737D40"/>
    <w:rsid w:val="0074023C"/>
    <w:rsid w:val="00743818"/>
    <w:rsid w:val="00744E29"/>
    <w:rsid w:val="00744EEF"/>
    <w:rsid w:val="0074726D"/>
    <w:rsid w:val="00751095"/>
    <w:rsid w:val="007517D1"/>
    <w:rsid w:val="007524CA"/>
    <w:rsid w:val="00753F8F"/>
    <w:rsid w:val="00754CAE"/>
    <w:rsid w:val="00757559"/>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439C"/>
    <w:rsid w:val="00854887"/>
    <w:rsid w:val="00854BB0"/>
    <w:rsid w:val="00855544"/>
    <w:rsid w:val="00856D15"/>
    <w:rsid w:val="0086020D"/>
    <w:rsid w:val="00863327"/>
    <w:rsid w:val="008671BD"/>
    <w:rsid w:val="00867B2F"/>
    <w:rsid w:val="00867FEE"/>
    <w:rsid w:val="00870F44"/>
    <w:rsid w:val="00874015"/>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1708"/>
    <w:rsid w:val="009130C0"/>
    <w:rsid w:val="00913133"/>
    <w:rsid w:val="00913283"/>
    <w:rsid w:val="00915791"/>
    <w:rsid w:val="00916B04"/>
    <w:rsid w:val="00917869"/>
    <w:rsid w:val="0092113F"/>
    <w:rsid w:val="00921DB9"/>
    <w:rsid w:val="00922358"/>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1915"/>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6AB1"/>
    <w:rsid w:val="009C726D"/>
    <w:rsid w:val="009D1B1E"/>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35E3"/>
    <w:rsid w:val="00A5450F"/>
    <w:rsid w:val="00A570A7"/>
    <w:rsid w:val="00A57E92"/>
    <w:rsid w:val="00A61900"/>
    <w:rsid w:val="00A625E2"/>
    <w:rsid w:val="00A62AA3"/>
    <w:rsid w:val="00A62B55"/>
    <w:rsid w:val="00A64C80"/>
    <w:rsid w:val="00A67EF9"/>
    <w:rsid w:val="00A72465"/>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49C6"/>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4CF0"/>
    <w:rsid w:val="00B070A2"/>
    <w:rsid w:val="00B0761F"/>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481A"/>
    <w:rsid w:val="00B75A2C"/>
    <w:rsid w:val="00B813AC"/>
    <w:rsid w:val="00B8287F"/>
    <w:rsid w:val="00B8376C"/>
    <w:rsid w:val="00B84260"/>
    <w:rsid w:val="00B86811"/>
    <w:rsid w:val="00B86CC9"/>
    <w:rsid w:val="00B8738D"/>
    <w:rsid w:val="00B91F0B"/>
    <w:rsid w:val="00B9223B"/>
    <w:rsid w:val="00B92323"/>
    <w:rsid w:val="00B92D47"/>
    <w:rsid w:val="00B961A5"/>
    <w:rsid w:val="00BA18D5"/>
    <w:rsid w:val="00BA1FC4"/>
    <w:rsid w:val="00BA202D"/>
    <w:rsid w:val="00BA49CC"/>
    <w:rsid w:val="00BA4D1F"/>
    <w:rsid w:val="00BA7AD1"/>
    <w:rsid w:val="00BB0B9D"/>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41EE"/>
    <w:rsid w:val="00BF543F"/>
    <w:rsid w:val="00BF6902"/>
    <w:rsid w:val="00BF7421"/>
    <w:rsid w:val="00C01E2A"/>
    <w:rsid w:val="00C06E2B"/>
    <w:rsid w:val="00C07650"/>
    <w:rsid w:val="00C104DD"/>
    <w:rsid w:val="00C1331F"/>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6B4"/>
    <w:rsid w:val="00C66829"/>
    <w:rsid w:val="00C71A4B"/>
    <w:rsid w:val="00C71CD1"/>
    <w:rsid w:val="00C72345"/>
    <w:rsid w:val="00C72E54"/>
    <w:rsid w:val="00C73143"/>
    <w:rsid w:val="00C76C40"/>
    <w:rsid w:val="00C77685"/>
    <w:rsid w:val="00C77815"/>
    <w:rsid w:val="00C80ED6"/>
    <w:rsid w:val="00C82D1D"/>
    <w:rsid w:val="00C83349"/>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07ED"/>
    <w:rsid w:val="00CB3B6F"/>
    <w:rsid w:val="00CB3D57"/>
    <w:rsid w:val="00CB6F8B"/>
    <w:rsid w:val="00CC0C5F"/>
    <w:rsid w:val="00CC24B0"/>
    <w:rsid w:val="00CC2788"/>
    <w:rsid w:val="00CC2F3D"/>
    <w:rsid w:val="00CC5FF3"/>
    <w:rsid w:val="00CD7178"/>
    <w:rsid w:val="00CE2ADF"/>
    <w:rsid w:val="00CE33FC"/>
    <w:rsid w:val="00CE4B84"/>
    <w:rsid w:val="00CE6A56"/>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D0123"/>
    <w:rsid w:val="00DD13E2"/>
    <w:rsid w:val="00DD4938"/>
    <w:rsid w:val="00DD7977"/>
    <w:rsid w:val="00DE1FC5"/>
    <w:rsid w:val="00DE34FF"/>
    <w:rsid w:val="00DE35D7"/>
    <w:rsid w:val="00DE4454"/>
    <w:rsid w:val="00DE44AB"/>
    <w:rsid w:val="00DF003C"/>
    <w:rsid w:val="00DF00D4"/>
    <w:rsid w:val="00DF45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30AEF"/>
    <w:rsid w:val="00F3229A"/>
    <w:rsid w:val="00F32406"/>
    <w:rsid w:val="00F378B2"/>
    <w:rsid w:val="00F403EA"/>
    <w:rsid w:val="00F40B51"/>
    <w:rsid w:val="00F40E4D"/>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3650"/>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929/2/2118b8bead2c85d51ccc85ce689ac60a.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0737D-F8AF-4B83-A6E2-76428D06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6486</Words>
  <Characters>35678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2022-04-04T21:42:00Z</dcterms:created>
  <dcterms:modified xsi:type="dcterms:W3CDTF">2022-04-04T21:46:00Z</dcterms:modified>
</cp:coreProperties>
</file>