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4FF789D7"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9B6F00">
        <w:rPr>
          <w:rFonts w:ascii="Palatino Linotype" w:hAnsi="Palatino Linotype" w:cs="Arial"/>
          <w:b/>
        </w:rPr>
        <w:t>diecinueve</w:t>
      </w:r>
      <w:r w:rsidR="00157258">
        <w:rPr>
          <w:rFonts w:ascii="Palatino Linotype" w:hAnsi="Palatino Linotype" w:cs="Arial"/>
          <w:b/>
        </w:rPr>
        <w:t xml:space="preserve"> de enero de dos mil veintidós</w:t>
      </w:r>
      <w:r w:rsidRPr="002D5368">
        <w:rPr>
          <w:rFonts w:ascii="Palatino Linotype" w:hAnsi="Palatino Linotype" w:cs="Arial"/>
        </w:rPr>
        <w:t>.</w:t>
      </w:r>
    </w:p>
    <w:p w14:paraId="1C45D646" w14:textId="2CD736EE"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BE6B8B">
        <w:rPr>
          <w:rFonts w:ascii="Palatino Linotype" w:hAnsi="Palatino Linotype" w:cs="Arial"/>
          <w:b/>
        </w:rPr>
        <w:t>05274</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5014C6" w:rsidRPr="005014C6">
        <w:rPr>
          <w:rFonts w:ascii="Palatino Linotype" w:hAnsi="Palatino Linotype" w:cs="Arial"/>
          <w:b/>
          <w:bCs/>
          <w:lang w:val="es-ES_tradnl"/>
        </w:rPr>
        <w:t>XXXXX XXXXXXX XXXX XXXXX</w:t>
      </w:r>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157258">
        <w:rPr>
          <w:rFonts w:ascii="Palatino Linotype" w:hAnsi="Palatino Linotype" w:cs="Arial"/>
          <w:b/>
        </w:rPr>
        <w:t xml:space="preserve">el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9B6F00" w:rsidRPr="009B6F00">
        <w:rPr>
          <w:rFonts w:ascii="Palatino Linotype" w:hAnsi="Palatino Linotype" w:cs="Arial"/>
          <w:b/>
          <w:bCs/>
        </w:rPr>
        <w:t> </w:t>
      </w:r>
      <w:r w:rsidR="00BE6B8B" w:rsidRPr="00BE6B8B">
        <w:rPr>
          <w:rFonts w:ascii="Palatino Linotype" w:hAnsi="Palatino Linotype" w:cs="Arial"/>
          <w:b/>
          <w:bCs/>
        </w:rPr>
        <w:t>00413/CUAUTIT/IP/2021</w:t>
      </w:r>
      <w:r w:rsidRPr="00255CC3">
        <w:rPr>
          <w:rFonts w:ascii="Palatino Linotype" w:hAnsi="Palatino Linotype"/>
          <w:b/>
          <w:bCs/>
        </w:rPr>
        <w:t xml:space="preserve">, </w:t>
      </w:r>
      <w:r w:rsidRPr="00255CC3">
        <w:rPr>
          <w:rFonts w:ascii="Palatino Linotype" w:hAnsi="Palatino Linotype" w:cs="Arial"/>
        </w:rPr>
        <w:t>por parte del</w:t>
      </w:r>
      <w:r w:rsidR="00157258">
        <w:rPr>
          <w:rFonts w:ascii="Palatino Linotype" w:hAnsi="Palatino Linotype" w:cs="Arial"/>
          <w:b/>
        </w:rPr>
        <w:t xml:space="preserve"> Ayuntamiento de Cuautitlá</w:t>
      </w:r>
      <w:r w:rsidR="00B5054E">
        <w:rPr>
          <w:rFonts w:ascii="Palatino Linotype" w:hAnsi="Palatino Linotype" w:cs="Arial"/>
          <w:b/>
        </w:rPr>
        <w:t>n</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14FF0E41"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9B6F00">
        <w:rPr>
          <w:rFonts w:ascii="Palatino Linotype" w:hAnsi="Palatino Linotype" w:cs="Arial"/>
          <w:b/>
          <w:bCs/>
        </w:rPr>
        <w:t>veintiocho</w:t>
      </w:r>
      <w:r w:rsidRPr="00255CC3">
        <w:rPr>
          <w:rFonts w:ascii="Palatino Linotype" w:hAnsi="Palatino Linotype" w:cs="Arial"/>
          <w:b/>
          <w:bCs/>
        </w:rPr>
        <w:t xml:space="preserve"> de</w:t>
      </w:r>
      <w:r w:rsidRPr="00255CC3">
        <w:rPr>
          <w:rFonts w:ascii="Palatino Linotype" w:hAnsi="Palatino Linotype" w:cs="Arial"/>
        </w:rPr>
        <w:t xml:space="preserve"> </w:t>
      </w:r>
      <w:r w:rsidR="00157258">
        <w:rPr>
          <w:rFonts w:ascii="Palatino Linotype" w:hAnsi="Palatino Linotype" w:cs="Arial"/>
          <w:b/>
          <w:bCs/>
        </w:rPr>
        <w:t>septiembre</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9B6F00">
        <w:rPr>
          <w:rFonts w:ascii="Palatino Linotype" w:hAnsi="Palatino Linotype" w:cs="Arial"/>
          <w:b/>
        </w:rPr>
        <w:t>el</w:t>
      </w:r>
      <w:r w:rsidR="00687F55">
        <w:rPr>
          <w:rFonts w:ascii="Palatino Linotype" w:hAnsi="Palatino Linotype" w:cs="Arial"/>
          <w:b/>
        </w:rPr>
        <w:t xml:space="preserve"> R</w:t>
      </w:r>
      <w:r w:rsidRPr="00255CC3">
        <w:rPr>
          <w:rFonts w:ascii="Palatino Linotype" w:hAnsi="Palatino Linotype" w:cs="Arial"/>
          <w:b/>
        </w:rPr>
        <w:t>ecurrente</w:t>
      </w:r>
      <w:r w:rsidR="009B6F00">
        <w:rPr>
          <w:rFonts w:ascii="Palatino Linotype" w:hAnsi="Palatino Linotype" w:cs="Arial"/>
        </w:rPr>
        <w:t xml:space="preserve"> formuló </w:t>
      </w:r>
      <w:r w:rsidRPr="00255CC3">
        <w:rPr>
          <w:rFonts w:ascii="Palatino Linotype" w:hAnsi="Palatino Linotype" w:cs="Arial"/>
        </w:rPr>
        <w:t xml:space="preserve">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5A5F11DA" w:rsidR="00255CC3" w:rsidRDefault="00255CC3" w:rsidP="009B6F00">
      <w:pPr>
        <w:spacing w:before="240" w:after="240"/>
        <w:ind w:left="426"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BE6B8B" w:rsidRPr="00BE6B8B">
        <w:rPr>
          <w:rFonts w:ascii="Palatino Linotype" w:hAnsi="Palatino Linotype" w:cs="Arial"/>
          <w:i/>
          <w:iCs/>
          <w:sz w:val="22"/>
          <w:szCs w:val="22"/>
        </w:rPr>
        <w:t>La Sindicatura Munici</w:t>
      </w:r>
      <w:r w:rsidR="005014C6">
        <w:rPr>
          <w:rFonts w:ascii="Palatino Linotype" w:hAnsi="Palatino Linotype" w:cs="Arial"/>
          <w:i/>
          <w:iCs/>
          <w:sz w:val="22"/>
          <w:szCs w:val="22"/>
        </w:rPr>
        <w:t>pal le permite al sr. Xxxx xxxxx</w:t>
      </w:r>
      <w:r w:rsidR="00BE6B8B" w:rsidRPr="00BE6B8B">
        <w:rPr>
          <w:rFonts w:ascii="Palatino Linotype" w:hAnsi="Palatino Linotype" w:cs="Arial"/>
          <w:i/>
          <w:iCs/>
          <w:sz w:val="22"/>
          <w:szCs w:val="22"/>
        </w:rPr>
        <w:t xml:space="preserve"> seguir recaudando cuotas cuando ya tiene una demanda de arbitraje desde hace tres meses. Le permite dar rendicion de cuentas (adjunto archivo), en donde falta de manera grave a la ley de proteccion de datos al exhibir quien paga y quien no la cuota de mantenimiento (extorsion pura y vil) Necesito que me sea entregada el acta de asamblea donde se le da la autoridad a este señor para seguir delinquiendo con la recoleccion de cuotas y con el robo de nuestros datos personales desde sus perfiles en las plataformas digitales.</w:t>
      </w:r>
      <w:r w:rsidRPr="00255CC3">
        <w:rPr>
          <w:rFonts w:ascii="Palatino Linotype" w:hAnsi="Palatino Linotype" w:cs="Arial"/>
          <w:i/>
          <w:iCs/>
          <w:sz w:val="22"/>
          <w:szCs w:val="22"/>
        </w:rPr>
        <w:t>” (Sic)</w:t>
      </w:r>
    </w:p>
    <w:p w14:paraId="755A5215" w14:textId="77777777" w:rsidR="00AA1AC6" w:rsidRDefault="00AA1AC6" w:rsidP="00561A8B">
      <w:pPr>
        <w:spacing w:before="240" w:after="240"/>
        <w:ind w:right="900"/>
        <w:jc w:val="both"/>
        <w:rPr>
          <w:rFonts w:ascii="Palatino Linotype" w:hAnsi="Palatino Linotype" w:cs="Arial"/>
          <w:b/>
          <w:iCs/>
          <w:sz w:val="22"/>
          <w:szCs w:val="22"/>
        </w:rPr>
      </w:pPr>
    </w:p>
    <w:p w14:paraId="250BD934" w14:textId="77777777" w:rsidR="00AA1AC6" w:rsidRDefault="00AA1AC6" w:rsidP="00561A8B">
      <w:pPr>
        <w:spacing w:before="240" w:after="240"/>
        <w:ind w:right="900"/>
        <w:jc w:val="both"/>
        <w:rPr>
          <w:rFonts w:ascii="Palatino Linotype" w:hAnsi="Palatino Linotype" w:cs="Arial"/>
          <w:b/>
          <w:iCs/>
          <w:sz w:val="22"/>
          <w:szCs w:val="22"/>
        </w:rPr>
      </w:pPr>
    </w:p>
    <w:p w14:paraId="233007C6" w14:textId="77777777" w:rsidR="00561A8B" w:rsidRDefault="009B6F00" w:rsidP="00561A8B">
      <w:pPr>
        <w:spacing w:before="240" w:after="240"/>
        <w:ind w:right="900"/>
        <w:jc w:val="both"/>
        <w:rPr>
          <w:rFonts w:ascii="Palatino Linotype" w:hAnsi="Palatino Linotype" w:cs="Arial"/>
          <w:b/>
          <w:iCs/>
          <w:sz w:val="22"/>
          <w:szCs w:val="22"/>
        </w:rPr>
      </w:pPr>
      <w:r>
        <w:rPr>
          <w:rFonts w:ascii="Palatino Linotype" w:hAnsi="Palatino Linotype" w:cs="Arial"/>
          <w:b/>
          <w:iCs/>
          <w:sz w:val="22"/>
          <w:szCs w:val="22"/>
        </w:rPr>
        <w:lastRenderedPageBreak/>
        <w:t xml:space="preserve">Archivos adjuntos: </w:t>
      </w:r>
    </w:p>
    <w:p w14:paraId="0AAC2BF4" w14:textId="62C60D10" w:rsidR="00561A8B" w:rsidRPr="00AA1AC6" w:rsidRDefault="00561A8B" w:rsidP="00AA1AC6">
      <w:pPr>
        <w:pStyle w:val="Prrafodelista"/>
        <w:numPr>
          <w:ilvl w:val="0"/>
          <w:numId w:val="42"/>
        </w:numPr>
        <w:spacing w:before="240" w:after="240" w:line="360" w:lineRule="auto"/>
        <w:ind w:left="567" w:right="902" w:firstLine="0"/>
        <w:jc w:val="both"/>
        <w:rPr>
          <w:rFonts w:ascii="Palatino Linotype" w:hAnsi="Palatino Linotype" w:cs="Arial"/>
          <w:iCs/>
        </w:rPr>
      </w:pPr>
      <w:r w:rsidRPr="00AA1AC6">
        <w:rPr>
          <w:rFonts w:ascii="Palatino Linotype" w:hAnsi="Palatino Linotype" w:cs="Arial"/>
          <w:b/>
          <w:i/>
          <w:iCs/>
        </w:rPr>
        <w:t xml:space="preserve">“REPORTE DEL MES DE SEPTIEMBRE DE 2021.pdf”: </w:t>
      </w:r>
      <w:r w:rsidRPr="00AA1AC6">
        <w:rPr>
          <w:rFonts w:ascii="Palatino Linotype" w:hAnsi="Palatino Linotype" w:cs="Arial"/>
          <w:iCs/>
        </w:rPr>
        <w:t>Presentación en PowerPoint, mediante la que se reportan las Recaudaciones de Donaciones del Fraccionamiento  Real De San Fernando.</w:t>
      </w:r>
    </w:p>
    <w:p w14:paraId="0A1EDEC6" w14:textId="66FAA8AC" w:rsidR="00561A8B" w:rsidRPr="00561A8B" w:rsidRDefault="00561A8B" w:rsidP="00561A8B">
      <w:pPr>
        <w:spacing w:before="240" w:after="240" w:line="360" w:lineRule="auto"/>
        <w:ind w:left="567" w:right="902"/>
        <w:jc w:val="both"/>
        <w:rPr>
          <w:rFonts w:ascii="Palatino Linotype" w:hAnsi="Palatino Linotype" w:cs="Arial"/>
          <w:iCs/>
          <w:sz w:val="22"/>
          <w:szCs w:val="22"/>
        </w:rPr>
      </w:pPr>
      <w:r w:rsidRPr="00561A8B">
        <w:rPr>
          <w:rFonts w:ascii="Palatino Linotype" w:hAnsi="Palatino Linotype" w:cs="Arial"/>
          <w:b/>
          <w:i/>
          <w:iCs/>
          <w:sz w:val="22"/>
          <w:szCs w:val="22"/>
        </w:rPr>
        <w:t xml:space="preserve">“evidencia_uno.jpg”: </w:t>
      </w:r>
      <w:r>
        <w:rPr>
          <w:rFonts w:ascii="Palatino Linotype" w:hAnsi="Palatino Linotype" w:cs="Arial"/>
          <w:iCs/>
          <w:sz w:val="22"/>
          <w:szCs w:val="22"/>
        </w:rPr>
        <w:t>Captura de pantalla de una conversación en la aplicación Whatsapp.</w:t>
      </w:r>
    </w:p>
    <w:p w14:paraId="16A5CB70" w14:textId="66B2D320" w:rsidR="009B6F00" w:rsidRPr="00AA1AC6" w:rsidRDefault="00561A8B" w:rsidP="00AA1AC6">
      <w:pPr>
        <w:numPr>
          <w:ilvl w:val="0"/>
          <w:numId w:val="41"/>
        </w:numPr>
        <w:spacing w:before="240" w:after="240" w:line="360" w:lineRule="auto"/>
        <w:ind w:left="714" w:right="902" w:hanging="357"/>
        <w:jc w:val="both"/>
        <w:rPr>
          <w:rFonts w:ascii="Palatino Linotype" w:hAnsi="Palatino Linotype" w:cs="Arial"/>
          <w:iCs/>
          <w:sz w:val="22"/>
          <w:lang w:val="es-MX"/>
        </w:rPr>
      </w:pPr>
      <w:r w:rsidRPr="00561A8B">
        <w:rPr>
          <w:rFonts w:ascii="Palatino Linotype" w:hAnsi="Palatino Linotype" w:cs="Arial"/>
          <w:b/>
          <w:i/>
          <w:iCs/>
          <w:sz w:val="22"/>
          <w:szCs w:val="22"/>
        </w:rPr>
        <w:t>“demnd072021.pdf”:</w:t>
      </w:r>
      <w:r>
        <w:rPr>
          <w:rFonts w:ascii="Palatino Linotype" w:hAnsi="Palatino Linotype" w:cs="Arial"/>
          <w:b/>
          <w:i/>
          <w:iCs/>
          <w:sz w:val="22"/>
          <w:szCs w:val="22"/>
        </w:rPr>
        <w:t xml:space="preserve"> </w:t>
      </w:r>
      <w:r w:rsidR="00AA1AC6" w:rsidRPr="00AA1AC6">
        <w:rPr>
          <w:rFonts w:ascii="Palatino Linotype" w:hAnsi="Palatino Linotype" w:cs="Arial"/>
          <w:iCs/>
          <w:sz w:val="22"/>
          <w:lang w:val="es-MX"/>
        </w:rPr>
        <w:t>Soporte documental de ocho fojas, consistente en un escrito de demanda para un procedimiento arbitral entre los condóminos.</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3A012104" w14:textId="64E7B998" w:rsidR="00255CC3" w:rsidRPr="00255CC3" w:rsidRDefault="009B6F00" w:rsidP="00255CC3">
      <w:pPr>
        <w:spacing w:before="240" w:after="240" w:line="360" w:lineRule="auto"/>
        <w:ind w:right="333"/>
        <w:jc w:val="both"/>
        <w:rPr>
          <w:rFonts w:ascii="Palatino Linotype" w:hAnsi="Palatino Linotype" w:cs="Arial"/>
        </w:rPr>
      </w:pPr>
      <w:r>
        <w:rPr>
          <w:rFonts w:ascii="Palatino Linotype" w:hAnsi="Palatino Linotype" w:cs="Arial"/>
          <w:b/>
          <w:szCs w:val="28"/>
        </w:rPr>
        <w:t>2</w:t>
      </w:r>
      <w:r w:rsidR="00157258">
        <w:rPr>
          <w:rFonts w:ascii="Palatino Linotype" w:hAnsi="Palatino Linotype" w:cs="Arial"/>
          <w:b/>
          <w:szCs w:val="28"/>
        </w:rPr>
        <w:t xml:space="preserve">. </w:t>
      </w:r>
      <w:r w:rsidR="00255CC3" w:rsidRPr="008E6AC5">
        <w:rPr>
          <w:rFonts w:ascii="Palatino Linotype" w:hAnsi="Palatino Linotype" w:cs="Arial"/>
          <w:b/>
          <w:szCs w:val="28"/>
        </w:rPr>
        <w:t>Respuesta.</w:t>
      </w:r>
      <w:r w:rsidR="00255CC3" w:rsidRPr="008E6AC5">
        <w:rPr>
          <w:rFonts w:ascii="Palatino Linotype" w:hAnsi="Palatino Linotype" w:cs="Arial"/>
          <w:sz w:val="22"/>
        </w:rPr>
        <w:t xml:space="preserve"> </w:t>
      </w:r>
      <w:r w:rsidR="00255CC3" w:rsidRPr="00255CC3">
        <w:rPr>
          <w:rFonts w:ascii="Palatino Linotype" w:hAnsi="Palatino Linotype" w:cs="Arial"/>
        </w:rPr>
        <w:t xml:space="preserve">En fecha </w:t>
      </w:r>
      <w:r>
        <w:rPr>
          <w:rFonts w:ascii="Palatino Linotype" w:hAnsi="Palatino Linotype" w:cs="Arial"/>
          <w:b/>
        </w:rPr>
        <w:t>diecinueve de octubre</w:t>
      </w:r>
      <w:r w:rsidR="00687F55">
        <w:rPr>
          <w:rFonts w:ascii="Palatino Linotype" w:hAnsi="Palatino Linotype" w:cs="Arial"/>
          <w:b/>
        </w:rPr>
        <w:t xml:space="preserve"> de dos mil veintiuno</w:t>
      </w:r>
      <w:r w:rsidR="00255CC3"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00255CC3" w:rsidRPr="00255CC3">
        <w:rPr>
          <w:rFonts w:ascii="Palatino Linotype" w:hAnsi="Palatino Linotype" w:cs="Arial"/>
        </w:rPr>
        <w:t xml:space="preserve"> sustancialmente en los siguientes términos: </w:t>
      </w:r>
    </w:p>
    <w:tbl>
      <w:tblPr>
        <w:tblW w:w="12102" w:type="dxa"/>
        <w:tblCellSpacing w:w="0" w:type="dxa"/>
        <w:tblInd w:w="-142" w:type="dxa"/>
        <w:tblCellMar>
          <w:left w:w="0" w:type="dxa"/>
          <w:right w:w="0" w:type="dxa"/>
        </w:tblCellMar>
        <w:tblLook w:val="04A0" w:firstRow="1" w:lastRow="0" w:firstColumn="1" w:lastColumn="0" w:noHBand="0" w:noVBand="1"/>
      </w:tblPr>
      <w:tblGrid>
        <w:gridCol w:w="12828"/>
      </w:tblGrid>
      <w:tr w:rsidR="00255CC3" w:rsidRPr="00255CC3" w14:paraId="0313F5D7" w14:textId="77777777" w:rsidTr="00DC38CB">
        <w:trPr>
          <w:trHeight w:val="150"/>
          <w:tblCellSpacing w:w="0" w:type="dxa"/>
        </w:trPr>
        <w:tc>
          <w:tcPr>
            <w:tcW w:w="12102" w:type="dxa"/>
            <w:vAlign w:val="center"/>
            <w:hideMark/>
          </w:tcPr>
          <w:p w14:paraId="4702A8E8" w14:textId="77777777" w:rsidR="00236C40" w:rsidRPr="00236C40" w:rsidRDefault="008E6AC5" w:rsidP="00236C40">
            <w:pPr>
              <w:spacing w:before="240" w:after="240"/>
              <w:ind w:left="568" w:right="4163"/>
              <w:jc w:val="both"/>
              <w:rPr>
                <w:rFonts w:ascii="Palatino Linotype" w:hAnsi="Palatino Linotype" w:cs="Arial"/>
                <w:bCs/>
                <w:i/>
                <w:sz w:val="22"/>
                <w:lang w:val="es-MX"/>
              </w:rPr>
            </w:pPr>
            <w:r w:rsidRPr="008E6AC5">
              <w:rPr>
                <w:rFonts w:ascii="Palatino Linotype" w:hAnsi="Palatino Linotype" w:cs="Arial"/>
                <w:bCs/>
                <w:i/>
                <w:sz w:val="22"/>
                <w:lang w:val="es-MX"/>
              </w:rPr>
              <w:t>“</w:t>
            </w:r>
            <w:r w:rsidR="00236C40" w:rsidRPr="00236C40">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74F890" w14:textId="4C16B93A" w:rsidR="008E6AC5" w:rsidRPr="00DC7992" w:rsidRDefault="00236C40" w:rsidP="00236C40">
            <w:pPr>
              <w:spacing w:before="240" w:after="240"/>
              <w:ind w:left="568" w:right="4163"/>
              <w:jc w:val="both"/>
              <w:rPr>
                <w:rFonts w:ascii="Palatino Linotype" w:hAnsi="Palatino Linotype" w:cs="Arial"/>
                <w:bCs/>
                <w:i/>
                <w:sz w:val="22"/>
                <w:lang w:val="es-MX"/>
              </w:rPr>
            </w:pPr>
            <w:r w:rsidRPr="00236C40">
              <w:rPr>
                <w:rFonts w:ascii="Palatino Linotype" w:hAnsi="Palatino Linotype" w:cs="Arial"/>
                <w:bCs/>
                <w:i/>
                <w:sz w:val="22"/>
                <w:lang w:val="es-MX"/>
              </w:rPr>
              <w:t>Se remite contestación a solicitud de información</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5D27B832" w14:textId="598B3179" w:rsidR="009B6F00" w:rsidRPr="009B6F00" w:rsidRDefault="00157258" w:rsidP="00561A8B">
            <w:pPr>
              <w:numPr>
                <w:ilvl w:val="0"/>
                <w:numId w:val="12"/>
              </w:numPr>
              <w:spacing w:before="240" w:after="240" w:line="360" w:lineRule="auto"/>
              <w:ind w:right="4584"/>
              <w:jc w:val="both"/>
              <w:rPr>
                <w:rFonts w:ascii="Palatino Linotype" w:hAnsi="Palatino Linotype" w:cs="Arial"/>
                <w:b/>
                <w:bCs/>
                <w:i/>
                <w:iCs/>
                <w:lang w:val="es-MX"/>
              </w:rPr>
            </w:pPr>
            <w:r>
              <w:rPr>
                <w:rFonts w:ascii="Palatino Linotype" w:hAnsi="Palatino Linotype" w:cs="Arial"/>
                <w:b/>
                <w:bCs/>
                <w:i/>
                <w:iCs/>
                <w:lang w:val="es-MX"/>
              </w:rPr>
              <w:t>“</w:t>
            </w:r>
            <w:r w:rsidR="00236C40">
              <w:rPr>
                <w:rFonts w:ascii="Palatino Linotype" w:hAnsi="Palatino Linotype" w:cs="Arial"/>
                <w:b/>
                <w:bCs/>
                <w:i/>
                <w:iCs/>
                <w:lang w:val="es-MX"/>
              </w:rPr>
              <w:t>SAIMEX 00413</w:t>
            </w:r>
            <w:r w:rsidR="009B6F00" w:rsidRPr="009B6F00">
              <w:rPr>
                <w:rFonts w:ascii="Palatino Linotype" w:hAnsi="Palatino Linotype" w:cs="Arial"/>
                <w:b/>
                <w:bCs/>
                <w:i/>
                <w:iCs/>
                <w:lang w:val="es-MX"/>
              </w:rPr>
              <w:t>.pdf</w:t>
            </w:r>
            <w:r>
              <w:rPr>
                <w:rFonts w:ascii="Palatino Linotype" w:hAnsi="Palatino Linotype" w:cs="Arial"/>
                <w:b/>
                <w:bCs/>
                <w:i/>
                <w:iCs/>
                <w:lang w:val="es-MX"/>
              </w:rPr>
              <w:t xml:space="preserve">” </w:t>
            </w:r>
            <w:r>
              <w:rPr>
                <w:rFonts w:ascii="Palatino Linotype" w:hAnsi="Palatino Linotype" w:cs="Arial"/>
                <w:bCs/>
                <w:iCs/>
                <w:lang w:val="es-MX"/>
              </w:rPr>
              <w:t xml:space="preserve">: </w:t>
            </w:r>
            <w:r w:rsidRPr="009B6F00">
              <w:rPr>
                <w:rFonts w:ascii="Palatino Linotype" w:hAnsi="Palatino Linotype" w:cs="Arial"/>
                <w:bCs/>
                <w:iCs/>
                <w:lang w:val="es-MX"/>
              </w:rPr>
              <w:t xml:space="preserve">Consistente en </w:t>
            </w:r>
            <w:r w:rsidR="009B6F00" w:rsidRPr="009B6F00">
              <w:rPr>
                <w:rFonts w:ascii="Palatino Linotype" w:hAnsi="Palatino Linotype"/>
              </w:rPr>
              <w:t>un soporte documental de dos fojas</w:t>
            </w:r>
            <w:r w:rsidR="009B6F00">
              <w:rPr>
                <w:rFonts w:ascii="Palatino Linotype" w:hAnsi="Palatino Linotype" w:cs="Arial"/>
                <w:bCs/>
                <w:iCs/>
                <w:lang w:val="es-MX"/>
              </w:rPr>
              <w:t xml:space="preserve">, suscrito por el Síndico Municipal de Cuautitlán, el cual se inserta a continuación: </w:t>
            </w:r>
          </w:p>
          <w:p w14:paraId="76A60D2B" w14:textId="1267C124" w:rsidR="009B6F00" w:rsidRPr="009B6F00" w:rsidRDefault="005014C6" w:rsidP="00E319F6">
            <w:pPr>
              <w:spacing w:before="240" w:after="240" w:line="360" w:lineRule="auto"/>
              <w:ind w:left="720" w:right="3273"/>
              <w:jc w:val="center"/>
              <w:rPr>
                <w:rFonts w:ascii="Palatino Linotype" w:hAnsi="Palatino Linotype" w:cs="Arial"/>
                <w:b/>
                <w:bCs/>
                <w:i/>
                <w:iCs/>
                <w:lang w:val="es-MX"/>
              </w:rPr>
            </w:pPr>
            <w:r>
              <w:object w:dxaOrig="10155" w:dyaOrig="12255" w14:anchorId="7C518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1.75pt;height:533.25pt" o:ole="">
                  <v:imagedata r:id="rId8" o:title=""/>
                </v:shape>
                <o:OLEObject Type="Embed" ProgID="PBrush" ShapeID="_x0000_i1029" DrawAspect="Content" ObjectID="_1705068180" r:id="rId9"/>
              </w:object>
            </w:r>
          </w:p>
          <w:p w14:paraId="3A8B0A39" w14:textId="42A8B4AA" w:rsidR="00DC38CB" w:rsidRPr="00A565EC" w:rsidRDefault="009B6F00" w:rsidP="009B6F00">
            <w:pPr>
              <w:spacing w:before="240" w:after="240" w:line="360" w:lineRule="auto"/>
              <w:ind w:left="720" w:right="3273"/>
              <w:jc w:val="both"/>
              <w:rPr>
                <w:rFonts w:ascii="Palatino Linotype" w:hAnsi="Palatino Linotype" w:cs="Arial"/>
                <w:b/>
                <w:bCs/>
                <w:i/>
                <w:iCs/>
                <w:lang w:val="es-MX"/>
              </w:rPr>
            </w:pPr>
            <w:r w:rsidRPr="009B6F00">
              <w:rPr>
                <w:rFonts w:ascii="Palatino Linotype" w:hAnsi="Palatino Linotype" w:cs="Arial"/>
                <w:b/>
                <w:bCs/>
                <w:i/>
                <w:iCs/>
                <w:lang w:val="es-MX"/>
              </w:rPr>
              <w:t xml:space="preserve"> </w:t>
            </w:r>
          </w:p>
        </w:tc>
      </w:tr>
    </w:tbl>
    <w:p w14:paraId="06A71164" w14:textId="495E2EC1" w:rsidR="00DC38CB" w:rsidRDefault="005014C6" w:rsidP="00255CC3">
      <w:pPr>
        <w:spacing w:before="240" w:after="240" w:line="360" w:lineRule="auto"/>
        <w:jc w:val="both"/>
        <w:rPr>
          <w:rFonts w:ascii="Palatino Linotype" w:hAnsi="Palatino Linotype" w:cs="Arial"/>
          <w:b/>
          <w:szCs w:val="28"/>
        </w:rPr>
      </w:pPr>
      <w:r>
        <w:rPr>
          <w:rFonts w:ascii="Palatino Linotype" w:hAnsi="Palatino Linotype" w:cs="Arial"/>
          <w:b/>
          <w:noProof/>
          <w:szCs w:val="28"/>
          <w:lang w:val="es-MX" w:eastAsia="es-MX"/>
        </w:rPr>
        <w:lastRenderedPageBreak/>
        <w:drawing>
          <wp:inline distT="0" distB="0" distL="0" distR="0" wp14:anchorId="7ADE9741" wp14:editId="1F002E49">
            <wp:extent cx="5381625" cy="6505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158"/>
                    <a:stretch/>
                  </pic:blipFill>
                  <pic:spPr bwMode="auto">
                    <a:xfrm>
                      <a:off x="0" y="0"/>
                      <a:ext cx="5381625" cy="6505575"/>
                    </a:xfrm>
                    <a:prstGeom prst="rect">
                      <a:avLst/>
                    </a:prstGeom>
                    <a:noFill/>
                    <a:ln>
                      <a:noFill/>
                    </a:ln>
                    <a:extLst>
                      <a:ext uri="{53640926-AAD7-44D8-BBD7-CCE9431645EC}">
                        <a14:shadowObscured xmlns:a14="http://schemas.microsoft.com/office/drawing/2010/main"/>
                      </a:ext>
                    </a:extLst>
                  </pic:spPr>
                </pic:pic>
              </a:graphicData>
            </a:graphic>
          </wp:inline>
        </w:drawing>
      </w:r>
    </w:p>
    <w:p w14:paraId="64FC5BF1" w14:textId="77777777" w:rsidR="005014C6" w:rsidRDefault="005014C6" w:rsidP="00255CC3">
      <w:pPr>
        <w:spacing w:before="240" w:after="240" w:line="360" w:lineRule="auto"/>
        <w:jc w:val="both"/>
        <w:rPr>
          <w:rFonts w:ascii="Palatino Linotype" w:hAnsi="Palatino Linotype" w:cs="Arial"/>
          <w:b/>
          <w:szCs w:val="28"/>
        </w:rPr>
      </w:pPr>
    </w:p>
    <w:p w14:paraId="2098F61F" w14:textId="567FF692" w:rsidR="00255CC3" w:rsidRPr="00255CC3" w:rsidRDefault="00AA1AC6" w:rsidP="00255CC3">
      <w:pPr>
        <w:spacing w:before="240" w:after="240" w:line="360" w:lineRule="auto"/>
        <w:jc w:val="both"/>
        <w:rPr>
          <w:rFonts w:ascii="Palatino Linotype" w:hAnsi="Palatino Linotype" w:cs="Arial"/>
        </w:rPr>
      </w:pPr>
      <w:r>
        <w:rPr>
          <w:rFonts w:ascii="Palatino Linotype" w:hAnsi="Palatino Linotype" w:cs="Arial"/>
          <w:b/>
          <w:szCs w:val="28"/>
        </w:rPr>
        <w:t>3</w:t>
      </w:r>
      <w:r w:rsidR="00255CC3" w:rsidRPr="005F5DFB">
        <w:rPr>
          <w:rFonts w:ascii="Palatino Linotype" w:hAnsi="Palatino Linotype" w:cs="Arial"/>
          <w:b/>
          <w:szCs w:val="28"/>
        </w:rPr>
        <w:t xml:space="preserve">. Interposición del recurso de revisión. </w:t>
      </w:r>
      <w:r w:rsidR="00255CC3" w:rsidRPr="00255CC3">
        <w:rPr>
          <w:rFonts w:ascii="Palatino Linotype" w:hAnsi="Palatino Linotype" w:cs="Arial"/>
        </w:rPr>
        <w:t xml:space="preserve">Inconforme el solicitante con la respuesta del </w:t>
      </w:r>
      <w:r w:rsidR="00255CC3" w:rsidRPr="00255CC3">
        <w:rPr>
          <w:rFonts w:ascii="Palatino Linotype" w:hAnsi="Palatino Linotype" w:cs="Arial"/>
          <w:b/>
        </w:rPr>
        <w:t>Sujeto Obligado</w:t>
      </w:r>
      <w:r w:rsidR="00255CC3" w:rsidRPr="00255CC3">
        <w:rPr>
          <w:rFonts w:ascii="Palatino Linotype" w:hAnsi="Palatino Linotype" w:cs="Arial"/>
        </w:rPr>
        <w:t xml:space="preserve"> interpuso el recurso de revisión citado con antelación, a través </w:t>
      </w:r>
      <w:r w:rsidR="00255CC3" w:rsidRPr="00255CC3">
        <w:rPr>
          <w:rFonts w:ascii="Palatino Linotype" w:hAnsi="Palatino Linotype" w:cs="Arial"/>
        </w:rPr>
        <w:lastRenderedPageBreak/>
        <w:t xml:space="preserve">del SAIMEX en fecha </w:t>
      </w:r>
      <w:r w:rsidR="00C434FC">
        <w:rPr>
          <w:rFonts w:ascii="Palatino Linotype" w:hAnsi="Palatino Linotype" w:cs="Arial"/>
          <w:b/>
        </w:rPr>
        <w:t>veintiséis</w:t>
      </w:r>
      <w:r w:rsidR="00DC38CB">
        <w:rPr>
          <w:rFonts w:ascii="Palatino Linotype" w:hAnsi="Palatino Linotype" w:cs="Arial"/>
          <w:b/>
        </w:rPr>
        <w:t xml:space="preserve"> de octu</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00255CC3"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a) Acto impugnado.</w:t>
      </w:r>
    </w:p>
    <w:p w14:paraId="6852CEC7" w14:textId="6CCC9D08" w:rsidR="00A565EC" w:rsidRDefault="00255CC3" w:rsidP="00DC38CB">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C434FC" w:rsidRPr="00C434FC">
        <w:rPr>
          <w:rFonts w:ascii="Palatino Linotype" w:hAnsi="Palatino Linotype" w:cs="Arial"/>
          <w:i/>
          <w:sz w:val="22"/>
          <w:szCs w:val="22"/>
        </w:rPr>
        <w:t>en el documento de respuesta, no se entrego la respuesta a la pregunta original</w:t>
      </w:r>
      <w:r w:rsidRPr="00255CC3">
        <w:rPr>
          <w:rFonts w:ascii="Palatino Linotype" w:hAnsi="Palatino Linotype" w:cs="Arial"/>
          <w:i/>
          <w:sz w:val="22"/>
          <w:szCs w:val="22"/>
        </w:rPr>
        <w:t>” (Sic)</w:t>
      </w: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5BF06737"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C434FC" w:rsidRPr="00C434FC">
        <w:rPr>
          <w:rFonts w:ascii="Palatino Linotype" w:hAnsi="Palatino Linotype" w:cs="Arial"/>
          <w:i/>
          <w:sz w:val="22"/>
        </w:rPr>
        <w:t>en el documento de respuesta, no se entrego la respuesta a la pregunta original</w:t>
      </w:r>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0419A71A"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C434FC">
        <w:rPr>
          <w:rFonts w:ascii="Palatino Linotype" w:hAnsi="Palatino Linotype" w:cs="Arial"/>
          <w:b/>
        </w:rPr>
        <w:t>veintinueve de octubre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ECB707D" w14:textId="672C4053" w:rsidR="00652166"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Pr="00255CC3">
        <w:rPr>
          <w:rFonts w:ascii="Palatino Linotype" w:hAnsi="Palatino Linotype"/>
        </w:rPr>
        <w:t>Sujeto Obligado</w:t>
      </w:r>
      <w:r w:rsidR="005F5DFB">
        <w:rPr>
          <w:rFonts w:ascii="Palatino Linotype" w:hAnsi="Palatino Linotype"/>
        </w:rPr>
        <w:t xml:space="preserve"> </w:t>
      </w:r>
      <w:r w:rsidR="00611073">
        <w:rPr>
          <w:rFonts w:ascii="Palatino Linotype" w:hAnsi="Palatino Linotype"/>
        </w:rPr>
        <w:t>fue omiso en rendir</w:t>
      </w:r>
      <w:r w:rsidR="005F5DFB">
        <w:rPr>
          <w:rFonts w:ascii="Palatino Linotype" w:hAnsi="Palatino Linotype"/>
        </w:rPr>
        <w:t xml:space="preserve"> su informe justificado</w:t>
      </w:r>
      <w:r w:rsidR="00611073">
        <w:rPr>
          <w:rFonts w:ascii="Palatino Linotype" w:hAnsi="Palatino Linotype"/>
        </w:rPr>
        <w:t xml:space="preserve">, </w:t>
      </w:r>
      <w:r w:rsidR="00687F55">
        <w:rPr>
          <w:rFonts w:ascii="Palatino Linotype" w:hAnsi="Palatino Linotype"/>
        </w:rPr>
        <w:t>a</w:t>
      </w:r>
      <w:r w:rsidR="00CC0FF1">
        <w:rPr>
          <w:rFonts w:ascii="Palatino Linotype" w:hAnsi="Palatino Linotype"/>
        </w:rPr>
        <w:t xml:space="preserve">simismo por cuanto </w:t>
      </w:r>
      <w:r w:rsidR="00E7660E">
        <w:rPr>
          <w:rFonts w:ascii="Palatino Linotype" w:hAnsi="Palatino Linotype"/>
        </w:rPr>
        <w:t xml:space="preserve">hace </w:t>
      </w:r>
      <w:r w:rsidR="00CC0FF1">
        <w:rPr>
          <w:rFonts w:ascii="Palatino Linotype" w:hAnsi="Palatino Linotype"/>
        </w:rPr>
        <w:t>al particular</w:t>
      </w:r>
      <w:r w:rsidR="00687F55">
        <w:rPr>
          <w:rFonts w:ascii="Palatino Linotype" w:hAnsi="Palatino Linotype"/>
        </w:rPr>
        <w:t xml:space="preserve">, se tiene que </w:t>
      </w:r>
      <w:r w:rsidR="00C434FC">
        <w:rPr>
          <w:rFonts w:ascii="Palatino Linotype" w:hAnsi="Palatino Linotype"/>
        </w:rPr>
        <w:t xml:space="preserve">en fecha </w:t>
      </w:r>
      <w:r w:rsidR="00C434FC" w:rsidRPr="00C434FC">
        <w:rPr>
          <w:rFonts w:ascii="Palatino Linotype" w:hAnsi="Palatino Linotype"/>
          <w:b/>
        </w:rPr>
        <w:t>siete de noviembre de dos mil veintiuno</w:t>
      </w:r>
      <w:r w:rsidR="00C434FC">
        <w:rPr>
          <w:rFonts w:ascii="Palatino Linotype" w:hAnsi="Palatino Linotype"/>
        </w:rPr>
        <w:t xml:space="preserve">, </w:t>
      </w:r>
      <w:r w:rsidRPr="00255CC3">
        <w:rPr>
          <w:rFonts w:ascii="Palatino Linotype" w:hAnsi="Palatino Linotype"/>
        </w:rPr>
        <w:t>emitió pronunciamien</w:t>
      </w:r>
      <w:r w:rsidR="00E7660E">
        <w:rPr>
          <w:rFonts w:ascii="Palatino Linotype" w:hAnsi="Palatino Linotype"/>
        </w:rPr>
        <w:t xml:space="preserve">to mediante los siguientes soportes documentales: </w:t>
      </w:r>
    </w:p>
    <w:p w14:paraId="61527313" w14:textId="5AE094B4" w:rsidR="00C434FC" w:rsidRDefault="00C434FC" w:rsidP="00C434FC">
      <w:pPr>
        <w:spacing w:before="240" w:after="240" w:line="360" w:lineRule="auto"/>
        <w:jc w:val="both"/>
        <w:rPr>
          <w:rFonts w:ascii="Palatino Linotype" w:hAnsi="Palatino Linotype"/>
        </w:rPr>
      </w:pPr>
      <w:r>
        <w:rPr>
          <w:rFonts w:ascii="Palatino Linotype" w:hAnsi="Palatino Linotype"/>
          <w:b/>
          <w:i/>
        </w:rPr>
        <w:t>“</w:t>
      </w:r>
      <w:r w:rsidRPr="00C434FC">
        <w:rPr>
          <w:rFonts w:ascii="Palatino Linotype" w:hAnsi="Palatino Linotype"/>
          <w:b/>
          <w:i/>
        </w:rPr>
        <w:t>05274_INFOEM_IP_RR_2021.pdf</w:t>
      </w:r>
      <w:r>
        <w:rPr>
          <w:rFonts w:ascii="Palatino Linotype" w:hAnsi="Palatino Linotype"/>
          <w:b/>
          <w:i/>
        </w:rPr>
        <w:t xml:space="preserve">”: </w:t>
      </w:r>
      <w:r>
        <w:rPr>
          <w:rFonts w:ascii="Palatino Linotype" w:hAnsi="Palatino Linotype"/>
        </w:rPr>
        <w:t xml:space="preserve">Archivo electrónico de cuatro fojas, consistente en los alegatos de la parte Recurrente, se inserta la captura de pantalla de la primera página </w:t>
      </w:r>
      <w:r w:rsidRPr="00E9087C">
        <w:rPr>
          <w:rFonts w:ascii="Palatino Linotype" w:hAnsi="Palatino Linotype"/>
        </w:rPr>
        <w:t>para referencia.</w:t>
      </w:r>
    </w:p>
    <w:p w14:paraId="67FD5EDB" w14:textId="731C9352" w:rsidR="00C434FC" w:rsidRPr="00C434FC" w:rsidRDefault="005014C6" w:rsidP="00C434FC">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094BF824" wp14:editId="3456703D">
            <wp:extent cx="3505200" cy="5038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5038725"/>
                    </a:xfrm>
                    <a:prstGeom prst="rect">
                      <a:avLst/>
                    </a:prstGeom>
                    <a:noFill/>
                    <a:ln>
                      <a:noFill/>
                    </a:ln>
                  </pic:spPr>
                </pic:pic>
              </a:graphicData>
            </a:graphic>
          </wp:inline>
        </w:drawing>
      </w:r>
    </w:p>
    <w:p w14:paraId="5036AB7E" w14:textId="77777777" w:rsidR="00382313" w:rsidRDefault="00C434FC" w:rsidP="00C434FC">
      <w:pPr>
        <w:spacing w:before="240" w:after="240" w:line="480" w:lineRule="auto"/>
        <w:jc w:val="both"/>
        <w:rPr>
          <w:rFonts w:ascii="Palatino Linotype" w:hAnsi="Palatino Linotype"/>
          <w:b/>
        </w:rPr>
      </w:pPr>
      <w:r>
        <w:rPr>
          <w:rFonts w:ascii="Palatino Linotype" w:hAnsi="Palatino Linotype"/>
          <w:b/>
          <w:i/>
        </w:rPr>
        <w:t>“</w:t>
      </w:r>
      <w:r w:rsidRPr="00C434FC">
        <w:rPr>
          <w:rFonts w:ascii="Palatino Linotype" w:hAnsi="Palatino Linotype"/>
          <w:b/>
          <w:i/>
        </w:rPr>
        <w:t>SAIMEX 00413.pdf</w:t>
      </w:r>
      <w:r>
        <w:rPr>
          <w:rFonts w:ascii="Palatino Linotype" w:hAnsi="Palatino Linotype"/>
          <w:b/>
          <w:i/>
        </w:rPr>
        <w:t xml:space="preserve">”: </w:t>
      </w:r>
      <w:r>
        <w:rPr>
          <w:rFonts w:ascii="Palatino Linotype" w:hAnsi="Palatino Linotype"/>
        </w:rPr>
        <w:t>Archivo digital de dos fojas, consistente en la respuesta</w:t>
      </w:r>
      <w:r w:rsidR="00382313">
        <w:rPr>
          <w:rFonts w:ascii="Palatino Linotype" w:hAnsi="Palatino Linotype"/>
        </w:rPr>
        <w:t xml:space="preserve"> inicial a la presente solicitud, vertida por el </w:t>
      </w:r>
      <w:r w:rsidR="00382313" w:rsidRPr="00382313">
        <w:rPr>
          <w:rFonts w:ascii="Palatino Linotype" w:hAnsi="Palatino Linotype"/>
          <w:b/>
        </w:rPr>
        <w:t>Sujeto Obligado</w:t>
      </w:r>
      <w:r w:rsidR="00382313">
        <w:rPr>
          <w:rFonts w:ascii="Palatino Linotype" w:hAnsi="Palatino Linotype"/>
          <w:b/>
        </w:rPr>
        <w:t>.</w:t>
      </w:r>
    </w:p>
    <w:p w14:paraId="582E77C4" w14:textId="675C97AF" w:rsidR="00C434FC" w:rsidRPr="00C434FC" w:rsidRDefault="00C434FC" w:rsidP="00C434FC">
      <w:pPr>
        <w:spacing w:before="240" w:after="240" w:line="480" w:lineRule="auto"/>
        <w:jc w:val="both"/>
        <w:rPr>
          <w:rFonts w:ascii="Palatino Linotype" w:hAnsi="Palatino Linotype"/>
          <w:b/>
          <w:i/>
        </w:rPr>
      </w:pPr>
      <w:r>
        <w:rPr>
          <w:rFonts w:ascii="Palatino Linotype" w:hAnsi="Palatino Linotype"/>
        </w:rPr>
        <w:t xml:space="preserve"> </w:t>
      </w:r>
      <w:r w:rsidRPr="00C434FC">
        <w:rPr>
          <w:rFonts w:ascii="Palatino Linotype" w:hAnsi="Palatino Linotype"/>
          <w:b/>
          <w:i/>
        </w:rPr>
        <w:tab/>
      </w:r>
      <w:r w:rsidR="005014C6">
        <w:rPr>
          <w:rFonts w:ascii="Palatino Linotype" w:hAnsi="Palatino Linotype"/>
          <w:b/>
          <w:i/>
          <w:noProof/>
          <w:lang w:val="es-MX" w:eastAsia="es-MX"/>
        </w:rPr>
        <w:drawing>
          <wp:inline distT="0" distB="0" distL="0" distR="0" wp14:anchorId="7602BAA6" wp14:editId="260FB7DD">
            <wp:extent cx="4434524" cy="53530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862" cy="5355872"/>
                    </a:xfrm>
                    <a:prstGeom prst="rect">
                      <a:avLst/>
                    </a:prstGeom>
                    <a:noFill/>
                    <a:ln>
                      <a:noFill/>
                    </a:ln>
                  </pic:spPr>
                </pic:pic>
              </a:graphicData>
            </a:graphic>
          </wp:inline>
        </w:drawing>
      </w:r>
    </w:p>
    <w:p w14:paraId="6DC49BA9" w14:textId="77777777" w:rsidR="00E319F6" w:rsidRDefault="00382313" w:rsidP="00E319F6">
      <w:pPr>
        <w:spacing w:before="240" w:after="240" w:line="360" w:lineRule="auto"/>
        <w:jc w:val="both"/>
        <w:rPr>
          <w:rFonts w:ascii="Palatino Linotype" w:hAnsi="Palatino Linotype"/>
        </w:rPr>
      </w:pPr>
      <w:r w:rsidRPr="00382313">
        <w:rPr>
          <w:rFonts w:ascii="Palatino Linotype" w:hAnsi="Palatino Linotype"/>
          <w:b/>
          <w:i/>
        </w:rPr>
        <w:t>“</w:t>
      </w:r>
      <w:r w:rsidR="00C434FC" w:rsidRPr="00382313">
        <w:rPr>
          <w:rFonts w:ascii="Palatino Linotype" w:hAnsi="Palatino Linotype"/>
          <w:b/>
          <w:i/>
        </w:rPr>
        <w:t>exp056_21.pdf</w:t>
      </w:r>
      <w:r w:rsidRPr="00382313">
        <w:rPr>
          <w:rFonts w:ascii="Palatino Linotype" w:hAnsi="Palatino Linotype"/>
          <w:b/>
          <w:i/>
        </w:rPr>
        <w:t>”:</w:t>
      </w:r>
      <w:r>
        <w:rPr>
          <w:rFonts w:ascii="Palatino Linotype" w:hAnsi="Palatino Linotype"/>
          <w:b/>
          <w:i/>
        </w:rPr>
        <w:t xml:space="preserve"> </w:t>
      </w:r>
      <w:r w:rsidR="00E319F6">
        <w:rPr>
          <w:rFonts w:ascii="Palatino Linotype" w:hAnsi="Palatino Linotype"/>
        </w:rPr>
        <w:t xml:space="preserve">Demanda de arbitraje promovida por una particular, como parte del expediente 56/21, se inserta captura de la primera foja de manera ilustrativa: </w:t>
      </w:r>
    </w:p>
    <w:p w14:paraId="09B5802F" w14:textId="503A29BF" w:rsidR="00C434FC" w:rsidRPr="00F75366" w:rsidRDefault="005014C6" w:rsidP="00E319F6">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00060965" wp14:editId="6B204669">
            <wp:extent cx="4486275" cy="6134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6134100"/>
                    </a:xfrm>
                    <a:prstGeom prst="rect">
                      <a:avLst/>
                    </a:prstGeom>
                    <a:noFill/>
                    <a:ln>
                      <a:noFill/>
                    </a:ln>
                  </pic:spPr>
                </pic:pic>
              </a:graphicData>
            </a:graphic>
          </wp:inline>
        </w:drawing>
      </w:r>
    </w:p>
    <w:p w14:paraId="610C06F0" w14:textId="64E854A4" w:rsidR="00E7660E" w:rsidRDefault="00E7660E" w:rsidP="00E9087C">
      <w:pPr>
        <w:spacing w:before="240" w:after="240" w:line="360" w:lineRule="auto"/>
        <w:ind w:right="49"/>
        <w:jc w:val="both"/>
        <w:rPr>
          <w:rFonts w:ascii="Palatino Linotype" w:hAnsi="Palatino Linotype" w:cs="Arial"/>
          <w:iCs/>
          <w:lang w:val="es-MX"/>
        </w:rPr>
      </w:pPr>
      <w:r w:rsidRPr="0036330D">
        <w:rPr>
          <w:rFonts w:ascii="Palatino Linotype" w:hAnsi="Palatino Linotype"/>
          <w:b/>
          <w:i/>
        </w:rPr>
        <w:t>“demnd072021.pdf”:</w:t>
      </w:r>
      <w:r w:rsidR="0036330D" w:rsidRPr="0036330D">
        <w:rPr>
          <w:rFonts w:ascii="Palatino Linotype" w:hAnsi="Palatino Linotype"/>
          <w:b/>
          <w:i/>
        </w:rPr>
        <w:t xml:space="preserve"> </w:t>
      </w:r>
      <w:r w:rsidR="0036330D" w:rsidRPr="0036330D">
        <w:rPr>
          <w:rFonts w:ascii="Palatino Linotype" w:hAnsi="Palatino Linotype" w:cs="Arial"/>
          <w:iCs/>
          <w:lang w:val="es-MX"/>
        </w:rPr>
        <w:t>Soporte documental de ocho fojas, consistente en un escrito de demanda para un procedimiento arbitral entre los condóminos</w:t>
      </w:r>
      <w:r w:rsidR="0036330D">
        <w:rPr>
          <w:rFonts w:ascii="Palatino Linotype" w:hAnsi="Palatino Linotype" w:cs="Arial"/>
          <w:iCs/>
          <w:lang w:val="es-MX"/>
        </w:rPr>
        <w:t>, se inserta la siguiente captura de pantalla correspondiente a la primera página, de manera ilustrativa:</w:t>
      </w:r>
    </w:p>
    <w:p w14:paraId="4BC5A20B" w14:textId="0472A4F9" w:rsidR="0036330D" w:rsidRPr="0036330D" w:rsidRDefault="005014C6" w:rsidP="0036330D">
      <w:pPr>
        <w:spacing w:before="240" w:after="240" w:line="360" w:lineRule="auto"/>
        <w:ind w:left="714" w:right="902"/>
        <w:jc w:val="both"/>
        <w:rPr>
          <w:rFonts w:ascii="Palatino Linotype" w:hAnsi="Palatino Linotype" w:cs="Arial"/>
          <w:iCs/>
          <w:lang w:val="es-MX"/>
        </w:rPr>
      </w:pPr>
      <w:r>
        <w:rPr>
          <w:rFonts w:ascii="Palatino Linotype" w:hAnsi="Palatino Linotype" w:cs="Arial"/>
          <w:iCs/>
          <w:noProof/>
          <w:lang w:val="es-MX" w:eastAsia="es-MX"/>
        </w:rPr>
        <w:drawing>
          <wp:inline distT="0" distB="0" distL="0" distR="0" wp14:anchorId="1BB39B5C" wp14:editId="145B0F9D">
            <wp:extent cx="3952875" cy="5276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5276850"/>
                    </a:xfrm>
                    <a:prstGeom prst="rect">
                      <a:avLst/>
                    </a:prstGeom>
                    <a:noFill/>
                    <a:ln>
                      <a:noFill/>
                    </a:ln>
                  </pic:spPr>
                </pic:pic>
              </a:graphicData>
            </a:graphic>
          </wp:inline>
        </w:drawing>
      </w:r>
    </w:p>
    <w:p w14:paraId="7A17A05E" w14:textId="6ADE3163"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t>7.- Ampliación del plazo para emitir resolución.</w:t>
      </w:r>
      <w:r w:rsidRPr="00652166">
        <w:rPr>
          <w:rFonts w:ascii="Palatino Linotype" w:hAnsi="Palatino Linotype"/>
          <w:bCs/>
        </w:rPr>
        <w:t xml:space="preserve"> El </w:t>
      </w:r>
      <w:r w:rsidR="00731E1B">
        <w:rPr>
          <w:rFonts w:ascii="Palatino Linotype" w:hAnsi="Palatino Linotype"/>
          <w:b/>
          <w:bCs/>
        </w:rPr>
        <w:t>once de enero</w:t>
      </w:r>
      <w:r w:rsidRPr="00652166">
        <w:rPr>
          <w:rFonts w:ascii="Palatino Linotype" w:hAnsi="Palatino Linotype"/>
          <w:b/>
          <w:bCs/>
        </w:rPr>
        <w:t xml:space="preserve"> de dos mil </w:t>
      </w:r>
      <w:r w:rsidR="00731E1B">
        <w:rPr>
          <w:rFonts w:ascii="Palatino Linotype" w:hAnsi="Palatino Linotype"/>
          <w:b/>
          <w:bCs/>
        </w:rPr>
        <w:t>veintidós</w:t>
      </w:r>
      <w:r w:rsidRPr="00652166">
        <w:rPr>
          <w:rFonts w:ascii="Palatino Linotype" w:hAnsi="Palatino Linotype"/>
          <w:bCs/>
        </w:rPr>
        <w:t xml:space="preserve">, </w:t>
      </w:r>
      <w:r w:rsidRPr="00652166">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0D6F8E12"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611073">
        <w:rPr>
          <w:rFonts w:ascii="Palatino Linotype" w:hAnsi="Palatino Linotype"/>
        </w:rPr>
        <w:t xml:space="preserve">En fecha </w:t>
      </w:r>
      <w:r w:rsidR="006D73F4">
        <w:rPr>
          <w:rFonts w:ascii="Palatino Linotype" w:hAnsi="Palatino Linotype"/>
          <w:b/>
        </w:rPr>
        <w:t>once</w:t>
      </w:r>
      <w:r w:rsidR="006D73F4">
        <w:rPr>
          <w:rFonts w:ascii="Palatino Linotype" w:hAnsi="Palatino Linotype"/>
          <w:b/>
          <w:bCs/>
        </w:rPr>
        <w:t xml:space="preserve"> de enero del dos mil veintidós</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769B6A0A" w14:textId="47E4970A"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CC0FF1">
        <w:rPr>
          <w:rFonts w:ascii="Palatino Linotype" w:hAnsi="Palatino Linotype"/>
          <w:shd w:val="clear" w:color="auto" w:fill="FFFFFF"/>
        </w:rPr>
        <w:t>r el presentes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9E97C9D" w14:textId="7C27AD97"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nidad y procedibilidad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r w:rsidR="00BF2819">
        <w:rPr>
          <w:rFonts w:ascii="Palatino Linotype" w:hAnsi="Palatino Linotype" w:cs="Arial"/>
        </w:rPr>
        <w:t xml:space="preserve"> </w:t>
      </w:r>
    </w:p>
    <w:p w14:paraId="5D5E447D" w14:textId="60E21C28"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6D73F4" w:rsidRPr="00DF46F6">
        <w:rPr>
          <w:rFonts w:ascii="Palatino Linotype" w:hAnsi="Palatino Linotype" w:cs="Arial"/>
          <w:b/>
        </w:rPr>
        <w:t>diecinueve</w:t>
      </w:r>
      <w:r w:rsidR="006D73F4" w:rsidRPr="00DF46F6">
        <w:rPr>
          <w:rFonts w:ascii="Palatino Linotype" w:hAnsi="Palatino Linotype" w:cs="Arial"/>
          <w:b/>
          <w:bCs/>
          <w:color w:val="000000" w:themeColor="text1"/>
        </w:rPr>
        <w:t xml:space="preserve"> de octubre</w:t>
      </w:r>
      <w:r w:rsidR="00687F55" w:rsidRPr="00DF46F6">
        <w:rPr>
          <w:rFonts w:ascii="Palatino Linotype" w:hAnsi="Palatino Linotype" w:cs="Arial"/>
          <w:b/>
          <w:bCs/>
          <w:color w:val="000000" w:themeColor="text1"/>
        </w:rPr>
        <w:t xml:space="preserve"> de dos mil veintiuno</w:t>
      </w:r>
      <w:r w:rsidR="0000368A" w:rsidRPr="00DF46F6">
        <w:rPr>
          <w:rFonts w:ascii="Palatino Linotype" w:hAnsi="Palatino Linotype" w:cs="Arial"/>
        </w:rPr>
        <w:t xml:space="preserve">, mientras que el </w:t>
      </w:r>
      <w:r w:rsidRPr="00DF46F6">
        <w:rPr>
          <w:rFonts w:ascii="Palatino Linotype" w:hAnsi="Palatino Linotype" w:cs="Arial"/>
          <w:b/>
        </w:rPr>
        <w:t>Recurrente</w:t>
      </w:r>
      <w:r w:rsidRPr="00DF46F6">
        <w:rPr>
          <w:rFonts w:ascii="Palatino Linotype" w:hAnsi="Palatino Linotype" w:cs="Arial"/>
        </w:rPr>
        <w:t xml:space="preserve"> interpuso el recurso de revisión el</w:t>
      </w:r>
      <w:r w:rsidR="00C31C70" w:rsidRPr="00DF46F6">
        <w:rPr>
          <w:rFonts w:ascii="Palatino Linotype" w:hAnsi="Palatino Linotype" w:cs="Arial"/>
          <w:b/>
          <w:bCs/>
          <w:color w:val="C00000"/>
        </w:rPr>
        <w:t xml:space="preserve"> </w:t>
      </w:r>
      <w:r w:rsidR="00DF46F6" w:rsidRPr="00DF46F6">
        <w:rPr>
          <w:rFonts w:ascii="Palatino Linotype" w:hAnsi="Palatino Linotype" w:cs="Arial"/>
          <w:b/>
          <w:bCs/>
          <w:color w:val="000000" w:themeColor="text1"/>
        </w:rPr>
        <w:t>veintiséis</w:t>
      </w:r>
      <w:r w:rsidR="0000368A" w:rsidRPr="00DF46F6">
        <w:rPr>
          <w:rFonts w:ascii="Palatino Linotype" w:hAnsi="Palatino Linotype" w:cs="Arial"/>
          <w:b/>
          <w:bCs/>
          <w:color w:val="000000" w:themeColor="text1"/>
        </w:rPr>
        <w:t xml:space="preserve"> de octu</w:t>
      </w:r>
      <w:r w:rsidR="00546724" w:rsidRPr="00DF46F6">
        <w:rPr>
          <w:rFonts w:ascii="Palatino Linotype" w:hAnsi="Palatino Linotype" w:cs="Arial"/>
          <w:b/>
          <w:bCs/>
          <w:color w:val="000000" w:themeColor="text1"/>
        </w:rPr>
        <w:t>bre del dos mil veintiuno</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00368A">
        <w:rPr>
          <w:rFonts w:ascii="Palatino Linotype" w:hAnsi="Palatino Linotype" w:cs="Arial"/>
          <w:bCs/>
          <w:color w:val="000000" w:themeColor="text1"/>
        </w:rPr>
        <w:t xml:space="preserve">esto es, al </w:t>
      </w:r>
      <w:r w:rsidR="00DF46F6">
        <w:rPr>
          <w:rFonts w:ascii="Palatino Linotype" w:hAnsi="Palatino Linotype" w:cs="Arial"/>
          <w:b/>
          <w:bCs/>
          <w:color w:val="000000" w:themeColor="text1"/>
        </w:rPr>
        <w:t>quin</w:t>
      </w:r>
      <w:r w:rsidR="006D73F4">
        <w:rPr>
          <w:rFonts w:ascii="Palatino Linotype" w:hAnsi="Palatino Linotype" w:cs="Arial"/>
          <w:b/>
          <w:bCs/>
          <w:color w:val="000000" w:themeColor="text1"/>
        </w:rPr>
        <w:t>t</w:t>
      </w:r>
      <w:r w:rsidR="00C828DC" w:rsidRPr="00C828DC">
        <w:rPr>
          <w:rFonts w:ascii="Palatino Linotype" w:hAnsi="Palatino Linotype" w:cs="Arial"/>
          <w:b/>
          <w:bCs/>
          <w:color w:val="000000" w:themeColor="text1"/>
        </w:rPr>
        <w:t>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2690DE4E"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365916">
        <w:rPr>
          <w:rFonts w:ascii="Palatino Linotype" w:eastAsia="Cambria" w:hAnsi="Palatino Linotype" w:cs="Segoe UI"/>
        </w:rPr>
        <w:t xml:space="preserve"> 176 y 179 fracción I </w:t>
      </w:r>
      <w:r w:rsidR="00D5027E">
        <w:rPr>
          <w:rFonts w:ascii="Palatino Linotype" w:eastAsia="Cambria" w:hAnsi="Palatino Linotype" w:cs="Segoe UI"/>
        </w:rPr>
        <w:t xml:space="preserve"> </w:t>
      </w:r>
      <w:r w:rsidRPr="00255CC3">
        <w:rPr>
          <w:rFonts w:ascii="Palatino Linotype" w:hAnsi="Palatino Linotype" w:cs="Segoe UI"/>
        </w:rPr>
        <w:t>del ordenamiento legal citado, que establecen los supuestos en que puede interponerse el recurso de revisión:</w:t>
      </w:r>
    </w:p>
    <w:p w14:paraId="07DDE1A5" w14:textId="66262DF0" w:rsidR="006D73F4" w:rsidRPr="00D63A43" w:rsidRDefault="00255CC3" w:rsidP="006D73F4">
      <w:pPr>
        <w:spacing w:before="240" w:after="240"/>
        <w:ind w:left="567"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6AC61D0" w14:textId="6254E015" w:rsidR="00255CC3" w:rsidRDefault="00255CC3"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61BD3676" w14:textId="0D16EA38" w:rsidR="006D73F4" w:rsidRDefault="006D73F4" w:rsidP="006D73F4">
      <w:pPr>
        <w:autoSpaceDE w:val="0"/>
        <w:autoSpaceDN w:val="0"/>
        <w:adjustRightInd w:val="0"/>
        <w:spacing w:after="120"/>
        <w:ind w:left="567" w:right="902"/>
        <w:jc w:val="both"/>
        <w:rPr>
          <w:rFonts w:ascii="Palatino Linotype" w:eastAsia="MS Mincho" w:hAnsi="Palatino Linotype" w:cs="Bookman Old Style"/>
          <w:b/>
          <w:i/>
          <w:sz w:val="22"/>
          <w:szCs w:val="22"/>
        </w:rPr>
      </w:pPr>
      <w:r w:rsidRPr="006D73F4">
        <w:rPr>
          <w:rFonts w:ascii="Palatino Linotype" w:eastAsia="MS Mincho" w:hAnsi="Palatino Linotype" w:cs="Bookman Old Style"/>
          <w:b/>
          <w:i/>
          <w:sz w:val="22"/>
          <w:szCs w:val="22"/>
        </w:rPr>
        <w:t>I. La negativa a la información solicitada;</w:t>
      </w:r>
    </w:p>
    <w:p w14:paraId="5E574AD2" w14:textId="7232A1A4" w:rsidR="006D73F4" w:rsidRPr="00365916" w:rsidRDefault="006D73F4" w:rsidP="00365916">
      <w:pPr>
        <w:autoSpaceDE w:val="0"/>
        <w:autoSpaceDN w:val="0"/>
        <w:adjustRightInd w:val="0"/>
        <w:spacing w:after="120"/>
        <w:ind w:left="567" w:right="902"/>
        <w:jc w:val="both"/>
        <w:rPr>
          <w:rFonts w:ascii="Palatino Linotype" w:eastAsia="MS Mincho" w:hAnsi="Palatino Linotype" w:cs="Bookman Old Style"/>
          <w:b/>
          <w:i/>
          <w:sz w:val="22"/>
          <w:szCs w:val="22"/>
          <w:lang w:val="es-MX"/>
        </w:rPr>
      </w:pPr>
      <w:r>
        <w:rPr>
          <w:rFonts w:ascii="Palatino Linotype" w:eastAsia="MS Mincho" w:hAnsi="Palatino Linotype" w:cs="Bookman Old Style"/>
          <w:b/>
          <w:i/>
          <w:sz w:val="22"/>
          <w:szCs w:val="22"/>
        </w:rPr>
        <w:t>…</w:t>
      </w:r>
      <w:r>
        <w:rPr>
          <w:rFonts w:ascii="Palatino Linotype" w:eastAsia="MS Mincho" w:hAnsi="Palatino Linotype" w:cs="Bookman Old Style,Bold"/>
          <w:b/>
          <w:i/>
          <w:sz w:val="22"/>
          <w:szCs w:val="22"/>
        </w:rPr>
        <w:t>”</w:t>
      </w:r>
    </w:p>
    <w:p w14:paraId="36E594EF" w14:textId="3E31B5B7" w:rsidR="006D73F4" w:rsidRPr="006D73F4" w:rsidRDefault="006D73F4"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6D73F4">
        <w:rPr>
          <w:rFonts w:ascii="Palatino Linotype" w:eastAsia="MS Mincho" w:hAnsi="Palatino Linotype" w:cs="Bookman Old Style,Bold"/>
          <w:i/>
          <w:sz w:val="22"/>
          <w:szCs w:val="22"/>
        </w:rPr>
        <w:t>(</w:t>
      </w:r>
      <w:r>
        <w:rPr>
          <w:rFonts w:ascii="Palatino Linotype" w:eastAsia="MS Mincho" w:hAnsi="Palatino Linotype" w:cs="Bookman Old Style,Bold"/>
          <w:i/>
          <w:sz w:val="22"/>
          <w:szCs w:val="22"/>
        </w:rPr>
        <w:t>Énfasis añadido)</w:t>
      </w:r>
    </w:p>
    <w:p w14:paraId="6C4A0619" w14:textId="55DE468F"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los motivos de 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4AFCAB43"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Sujeto Obligado</w:t>
      </w:r>
      <w:r w:rsidR="006D73F4">
        <w:rPr>
          <w:rFonts w:ascii="Palatino Linotype" w:eastAsia="MS Mincho" w:hAnsi="Palatino Linotype" w:cs="Bookman Old Style"/>
          <w:b/>
          <w:lang w:val="es-MX"/>
        </w:rPr>
        <w:t xml:space="preserve">, </w:t>
      </w:r>
      <w:r w:rsidR="006D73F4" w:rsidRPr="006D73F4">
        <w:rPr>
          <w:rFonts w:ascii="Palatino Linotype" w:eastAsia="MS Mincho" w:hAnsi="Palatino Linotype" w:cs="Bookman Old Style"/>
          <w:lang w:val="es-MX"/>
        </w:rPr>
        <w:t>medularmente</w:t>
      </w:r>
      <w:r w:rsidRPr="006D73F4">
        <w:rPr>
          <w:rFonts w:ascii="Palatino Linotype" w:eastAsia="MS Mincho" w:hAnsi="Palatino Linotype" w:cs="Bookman Old Style"/>
          <w:lang w:val="es-MX"/>
        </w:rPr>
        <w:t xml:space="preserve"> </w:t>
      </w:r>
      <w:r w:rsidRPr="00255CC3">
        <w:rPr>
          <w:rFonts w:ascii="Palatino Linotype" w:eastAsia="MS Mincho" w:hAnsi="Palatino Linotype" w:cs="Bookman Old Style"/>
          <w:lang w:val="es-MX"/>
        </w:rPr>
        <w:t xml:space="preserve">lo siguiente: </w:t>
      </w:r>
    </w:p>
    <w:p w14:paraId="0300A669" w14:textId="18C2FFC4" w:rsidR="006D73F4" w:rsidRPr="000E110C" w:rsidRDefault="000E110C" w:rsidP="00255CC3">
      <w:pPr>
        <w:pStyle w:val="Prrafodelista"/>
        <w:numPr>
          <w:ilvl w:val="0"/>
          <w:numId w:val="12"/>
        </w:numPr>
        <w:spacing w:before="240" w:after="240" w:line="360" w:lineRule="auto"/>
        <w:ind w:right="758"/>
        <w:jc w:val="both"/>
        <w:rPr>
          <w:rFonts w:ascii="Palatino Linotype" w:eastAsia="MS Mincho" w:hAnsi="Palatino Linotype" w:cs="Bookman Old Style"/>
          <w:iCs/>
          <w:sz w:val="24"/>
        </w:rPr>
      </w:pPr>
      <w:r w:rsidRPr="000E110C">
        <w:rPr>
          <w:rFonts w:ascii="Palatino Linotype" w:eastAsia="MS Mincho" w:hAnsi="Palatino Linotype" w:cs="Bookman Old Style"/>
          <w:iCs/>
          <w:sz w:val="24"/>
        </w:rPr>
        <w:t>A</w:t>
      </w:r>
      <w:r w:rsidR="006D73F4" w:rsidRPr="000E110C">
        <w:rPr>
          <w:rFonts w:ascii="Palatino Linotype" w:eastAsia="MS Mincho" w:hAnsi="Palatino Linotype" w:cs="Bookman Old Style"/>
          <w:iCs/>
          <w:sz w:val="24"/>
        </w:rPr>
        <w:t xml:space="preserve">cta de asamblea </w:t>
      </w:r>
      <w:r w:rsidRPr="000E110C">
        <w:rPr>
          <w:rFonts w:ascii="Palatino Linotype" w:eastAsia="MS Mincho" w:hAnsi="Palatino Linotype" w:cs="Bookman Old Style"/>
          <w:iCs/>
          <w:sz w:val="24"/>
        </w:rPr>
        <w:t>mediante la</w:t>
      </w:r>
      <w:r w:rsidR="005014C6">
        <w:rPr>
          <w:rFonts w:ascii="Palatino Linotype" w:eastAsia="MS Mincho" w:hAnsi="Palatino Linotype" w:cs="Bookman Old Style"/>
          <w:iCs/>
          <w:sz w:val="24"/>
        </w:rPr>
        <w:t xml:space="preserve"> cual se delega al C. XXXX XXXXX</w:t>
      </w:r>
      <w:r w:rsidRPr="000E110C">
        <w:rPr>
          <w:rFonts w:ascii="Palatino Linotype" w:eastAsia="MS Mincho" w:hAnsi="Palatino Linotype" w:cs="Bookman Old Style"/>
          <w:iCs/>
          <w:sz w:val="24"/>
        </w:rPr>
        <w:t xml:space="preserve">, la autoridad para </w:t>
      </w:r>
      <w:r w:rsidR="006D73F4" w:rsidRPr="000E110C">
        <w:rPr>
          <w:rFonts w:ascii="Palatino Linotype" w:eastAsia="MS Mincho" w:hAnsi="Palatino Linotype" w:cs="Bookman Old Style"/>
          <w:iCs/>
          <w:sz w:val="24"/>
        </w:rPr>
        <w:t xml:space="preserve">la </w:t>
      </w:r>
      <w:r w:rsidRPr="000E110C">
        <w:rPr>
          <w:rFonts w:ascii="Palatino Linotype" w:eastAsia="MS Mincho" w:hAnsi="Palatino Linotype" w:cs="Bookman Old Style"/>
          <w:iCs/>
          <w:sz w:val="24"/>
        </w:rPr>
        <w:t>recolección</w:t>
      </w:r>
      <w:r w:rsidR="006D73F4" w:rsidRPr="000E110C">
        <w:rPr>
          <w:rFonts w:ascii="Palatino Linotype" w:eastAsia="MS Mincho" w:hAnsi="Palatino Linotype" w:cs="Bookman Old Style"/>
          <w:iCs/>
          <w:sz w:val="24"/>
        </w:rPr>
        <w:t xml:space="preserve"> de cuotas y </w:t>
      </w:r>
      <w:r w:rsidRPr="000E110C">
        <w:rPr>
          <w:rFonts w:ascii="Palatino Linotype" w:eastAsia="MS Mincho" w:hAnsi="Palatino Linotype" w:cs="Bookman Old Style"/>
          <w:iCs/>
          <w:sz w:val="24"/>
        </w:rPr>
        <w:t xml:space="preserve">tratamiento de </w:t>
      </w:r>
      <w:r w:rsidR="006D73F4" w:rsidRPr="000E110C">
        <w:rPr>
          <w:rFonts w:ascii="Palatino Linotype" w:eastAsia="MS Mincho" w:hAnsi="Palatino Linotype" w:cs="Bookman Old Style"/>
          <w:iCs/>
          <w:sz w:val="24"/>
        </w:rPr>
        <w:t>datos personales desde sus perfiles en las plataformas digitales.</w:t>
      </w:r>
    </w:p>
    <w:p w14:paraId="2A070A6B" w14:textId="36CACDBA" w:rsidR="000E110C" w:rsidRPr="000E110C" w:rsidRDefault="000E110C" w:rsidP="000E110C">
      <w:pPr>
        <w:spacing w:before="240" w:after="240" w:line="360" w:lineRule="auto"/>
        <w:ind w:right="49"/>
        <w:jc w:val="both"/>
        <w:rPr>
          <w:rFonts w:ascii="Palatino Linotype" w:eastAsia="MS Mincho" w:hAnsi="Palatino Linotype" w:cs="Bookman Old Style"/>
          <w:i/>
          <w:iCs/>
        </w:rPr>
      </w:pPr>
      <w:r>
        <w:rPr>
          <w:rFonts w:ascii="Palatino Linotype" w:eastAsia="MS Mincho" w:hAnsi="Palatino Linotype" w:cs="Bookman Old Style"/>
          <w:lang w:val="es-MX"/>
        </w:rPr>
        <w:t>Debe precisarse que</w:t>
      </w:r>
      <w:r w:rsidRPr="000E110C">
        <w:rPr>
          <w:rFonts w:ascii="Palatino Linotype" w:eastAsia="MS Mincho" w:hAnsi="Palatino Linotype" w:cs="Bookman Old Style"/>
          <w:lang w:val="es-MX"/>
        </w:rPr>
        <w:t xml:space="preserve"> en su solicitud de información</w:t>
      </w:r>
      <w:r>
        <w:rPr>
          <w:rFonts w:ascii="Palatino Linotype" w:eastAsia="MS Mincho" w:hAnsi="Palatino Linotype" w:cs="Bookman Old Style"/>
          <w:lang w:val="es-MX"/>
        </w:rPr>
        <w:t xml:space="preserve">, el </w:t>
      </w:r>
      <w:r w:rsidRPr="000E110C">
        <w:rPr>
          <w:rFonts w:ascii="Palatino Linotype" w:eastAsia="MS Mincho" w:hAnsi="Palatino Linotype" w:cs="Bookman Old Style"/>
          <w:b/>
          <w:lang w:val="es-MX"/>
        </w:rPr>
        <w:t>Recurrente</w:t>
      </w:r>
      <w:r w:rsidRPr="000E110C">
        <w:rPr>
          <w:rFonts w:ascii="Palatino Linotype" w:eastAsia="MS Mincho" w:hAnsi="Palatino Linotype" w:cs="Bookman Old Style"/>
          <w:lang w:val="es-MX"/>
        </w:rPr>
        <w:t xml:space="preserve"> señaló</w:t>
      </w:r>
      <w:r>
        <w:rPr>
          <w:rFonts w:ascii="Palatino Linotype" w:eastAsia="MS Mincho" w:hAnsi="Palatino Linotype" w:cs="Bookman Old Style"/>
          <w:lang w:val="es-MX"/>
        </w:rPr>
        <w:t xml:space="preserve"> </w:t>
      </w:r>
      <w:r w:rsidRPr="000E110C">
        <w:rPr>
          <w:rFonts w:ascii="Palatino Linotype" w:eastAsia="MS Mincho" w:hAnsi="Palatino Linotype" w:cs="Bookman Old Style"/>
          <w:i/>
          <w:iCs/>
        </w:rPr>
        <w:t>“</w:t>
      </w:r>
      <w:r>
        <w:rPr>
          <w:rFonts w:ascii="Palatino Linotype" w:eastAsia="MS Mincho" w:hAnsi="Palatino Linotype" w:cs="Bookman Old Style"/>
          <w:i/>
          <w:iCs/>
        </w:rPr>
        <w:t xml:space="preserve">... </w:t>
      </w:r>
      <w:r w:rsidRPr="000E110C">
        <w:rPr>
          <w:rFonts w:ascii="Palatino Linotype" w:eastAsia="MS Mincho" w:hAnsi="Palatino Linotype" w:cs="Bookman Old Style"/>
          <w:i/>
          <w:iCs/>
        </w:rPr>
        <w:t>Le permite dar rendicion de cuentas (adjunto archivo), en donde falta de manera grave a la ley de proteccion de datos al exhibir quien paga y quien no la cuota de mantenimiento (extorsion pura y vil) Necesito que me sea entregada el acta de asamblea donde se le da la autoridad a este señor para seguir delinquiendo con la recoleccion de cuotas y con el robo de nuestros datos personales desde sus perfiles en las plataformas digitales.” (Sic)</w:t>
      </w:r>
      <w:r w:rsidRPr="000E110C">
        <w:rPr>
          <w:rFonts w:ascii="Palatino Linotype" w:eastAsia="MS Mincho" w:hAnsi="Palatino Linotype" w:cs="Bookman Old Style"/>
          <w:lang w:val="es-MX"/>
        </w:rPr>
        <w:t>, respecto de estas manifestaciones es necesario precisar que se trata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de aseveraciones personales del ahora </w:t>
      </w:r>
      <w:r w:rsidRPr="000E110C">
        <w:rPr>
          <w:rFonts w:ascii="Palatino Linotype" w:eastAsia="MS Mincho" w:hAnsi="Palatino Linotype" w:cs="Bookman Old Style"/>
          <w:b/>
          <w:lang w:val="es-MX"/>
        </w:rPr>
        <w:t>Recurrente</w:t>
      </w:r>
      <w:r>
        <w:rPr>
          <w:rFonts w:ascii="Palatino Linotype" w:eastAsia="MS Mincho" w:hAnsi="Palatino Linotype" w:cs="Bookman Old Style"/>
          <w:lang w:val="es-MX"/>
        </w:rPr>
        <w:t>, peticiones</w:t>
      </w:r>
      <w:r w:rsidRPr="000E110C">
        <w:rPr>
          <w:rFonts w:ascii="Palatino Linotype" w:eastAsia="MS Mincho" w:hAnsi="Palatino Linotype" w:cs="Bookman Old Style"/>
          <w:lang w:val="es-MX"/>
        </w:rPr>
        <w:t xml:space="preserve"> que no encuadra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14:paraId="228FADD7" w14:textId="6B27798B" w:rsidR="000E110C" w:rsidRDefault="000E110C" w:rsidP="000E110C">
      <w:pPr>
        <w:spacing w:before="240" w:after="240" w:line="360" w:lineRule="auto"/>
        <w:ind w:right="49"/>
        <w:jc w:val="both"/>
        <w:rPr>
          <w:rFonts w:ascii="Palatino Linotype" w:eastAsia="MS Mincho" w:hAnsi="Palatino Linotype" w:cs="Bookman Old Style"/>
          <w:lang w:val="es-MX"/>
        </w:rPr>
      </w:pPr>
      <w:r w:rsidRPr="000E110C">
        <w:rPr>
          <w:rFonts w:ascii="Palatino Linotype" w:eastAsia="MS Mincho" w:hAnsi="Palatino Linotype" w:cs="Bookman Old Style"/>
          <w:lang w:val="es-MX"/>
        </w:rPr>
        <w:t>Por lo que, dichas manifestaciones son de índole subjetivas y se constituyen como opiniones meramente personales, que en nada aportan a la materia de transparencia o acceso a la información pública, pues no son formuladas a forma de interrogante o requerimiento, sino que se tratan de afirmaciones personales del Particular.</w:t>
      </w:r>
    </w:p>
    <w:p w14:paraId="41919CD4" w14:textId="1B700DA3" w:rsidR="00AA2542" w:rsidRDefault="00AA2542" w:rsidP="00AA2542">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lang w:val="es-MX" w:eastAsia="es-MX"/>
        </w:rPr>
      </w:pPr>
      <w:r w:rsidRPr="00AA2542">
        <w:rPr>
          <w:rFonts w:ascii="Palatino Linotype" w:eastAsia="Palatino Linotype" w:hAnsi="Palatino Linotype" w:cs="Palatino Linotype"/>
          <w:color w:val="000000"/>
          <w:lang w:val="es-MX" w:eastAsia="es-MX"/>
        </w:rPr>
        <w:t xml:space="preserve">Ahora bien, en respuesta al requerimiento formulado por el particular, el </w:t>
      </w:r>
      <w:r w:rsidRPr="00AA2542">
        <w:rPr>
          <w:rFonts w:ascii="Palatino Linotype" w:eastAsia="Palatino Linotype" w:hAnsi="Palatino Linotype" w:cs="Palatino Linotype"/>
          <w:b/>
          <w:color w:val="000000"/>
          <w:lang w:val="es-MX" w:eastAsia="es-MX"/>
        </w:rPr>
        <w:t xml:space="preserve">Sujeto Obligado </w:t>
      </w:r>
      <w:r w:rsidRPr="00AA2542">
        <w:rPr>
          <w:rFonts w:ascii="Palatino Linotype" w:eastAsia="Palatino Linotype" w:hAnsi="Palatino Linotype" w:cs="Palatino Linotype"/>
          <w:color w:val="000000"/>
          <w:lang w:val="es-MX" w:eastAsia="es-MX"/>
        </w:rPr>
        <w:t>turnó la solicitud a la unidad administrativa que consideró competente, siendo esta la Sindicatura del A</w:t>
      </w:r>
      <w:r>
        <w:rPr>
          <w:rFonts w:ascii="Palatino Linotype" w:eastAsia="Palatino Linotype" w:hAnsi="Palatino Linotype" w:cs="Palatino Linotype"/>
          <w:color w:val="000000"/>
          <w:lang w:val="es-MX" w:eastAsia="es-MX"/>
        </w:rPr>
        <w:t>yuntamiento de Cuautitlán, la cual emitió su respuesta en los siguientes términos</w:t>
      </w:r>
      <w:r w:rsidRPr="00AA2542">
        <w:rPr>
          <w:rFonts w:ascii="Palatino Linotype" w:eastAsia="Palatino Linotype" w:hAnsi="Palatino Linotype" w:cs="Palatino Linotype"/>
          <w:color w:val="000000"/>
          <w:lang w:val="es-MX" w:eastAsia="es-MX"/>
        </w:rPr>
        <w:t>:</w:t>
      </w:r>
    </w:p>
    <w:p w14:paraId="1DA8E2FE" w14:textId="310FC9E7" w:rsidR="00365916" w:rsidRPr="00AA2542" w:rsidRDefault="00365916" w:rsidP="00365916">
      <w:pPr>
        <w:pBdr>
          <w:top w:val="nil"/>
          <w:left w:val="nil"/>
          <w:bottom w:val="nil"/>
          <w:right w:val="nil"/>
          <w:between w:val="nil"/>
        </w:pBdr>
        <w:spacing w:before="240" w:after="160" w:line="360" w:lineRule="auto"/>
        <w:jc w:val="center"/>
        <w:rPr>
          <w:rFonts w:ascii="Palatino Linotype" w:eastAsia="Palatino Linotype" w:hAnsi="Palatino Linotype" w:cs="Palatino Linotype"/>
          <w:color w:val="000000"/>
          <w:lang w:val="es-MX" w:eastAsia="es-MX"/>
        </w:rPr>
      </w:pPr>
      <w:r>
        <w:rPr>
          <w:noProof/>
          <w:lang w:val="es-MX" w:eastAsia="es-MX"/>
        </w:rPr>
        <mc:AlternateContent>
          <mc:Choice Requires="wps">
            <w:drawing>
              <wp:anchor distT="0" distB="0" distL="114300" distR="114300" simplePos="0" relativeHeight="251705344" behindDoc="0" locked="0" layoutInCell="1" allowOverlap="1" wp14:anchorId="77BC9656" wp14:editId="4FD35C6C">
                <wp:simplePos x="0" y="0"/>
                <wp:positionH relativeFrom="column">
                  <wp:posOffset>472440</wp:posOffset>
                </wp:positionH>
                <wp:positionV relativeFrom="paragraph">
                  <wp:posOffset>2339340</wp:posOffset>
                </wp:positionV>
                <wp:extent cx="4505325" cy="19145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4505325" cy="19145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1186E" id="Rectángulo 14" o:spid="_x0000_s1026" style="position:absolute;margin-left:37.2pt;margin-top:184.2pt;width:354.75pt;height:15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" filled="f" strokecolor="black [3213]" strokeweight="3pt"/>
            </w:pict>
          </mc:Fallback>
        </mc:AlternateContent>
      </w:r>
      <w:r w:rsidR="005014C6">
        <w:rPr>
          <w:rFonts w:ascii="Palatino Linotype" w:eastAsia="Palatino Linotype" w:hAnsi="Palatino Linotype" w:cs="Palatino Linotype"/>
          <w:noProof/>
          <w:color w:val="000000"/>
          <w:lang w:val="es-MX" w:eastAsia="es-MX"/>
        </w:rPr>
        <w:drawing>
          <wp:inline distT="0" distB="0" distL="0" distR="0" wp14:anchorId="6A68D4EA" wp14:editId="71DA2BA4">
            <wp:extent cx="5315605" cy="6419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0066" cy="6425237"/>
                    </a:xfrm>
                    <a:prstGeom prst="rect">
                      <a:avLst/>
                    </a:prstGeom>
                    <a:noFill/>
                  </pic:spPr>
                </pic:pic>
              </a:graphicData>
            </a:graphic>
          </wp:inline>
        </w:drawing>
      </w:r>
    </w:p>
    <w:p w14:paraId="3D81C87A" w14:textId="49E9F2E3" w:rsidR="00AA2542" w:rsidRDefault="00AA2542" w:rsidP="00AA2542">
      <w:pPr>
        <w:spacing w:before="240" w:after="240" w:line="360" w:lineRule="auto"/>
        <w:jc w:val="both"/>
        <w:rPr>
          <w:rFonts w:ascii="Palatino Linotype" w:hAnsi="Palatino Linotype" w:cs="Arial"/>
          <w:b/>
          <w:szCs w:val="28"/>
        </w:rPr>
      </w:pPr>
      <w:bookmarkStart w:id="0" w:name="_GoBack"/>
      <w:r>
        <w:rPr>
          <w:rFonts w:ascii="Palatino Linotype" w:hAnsi="Palatino Linotype" w:cs="Arial"/>
          <w:b/>
          <w:noProof/>
          <w:szCs w:val="28"/>
          <w:lang w:val="es-MX" w:eastAsia="es-MX"/>
        </w:rPr>
        <mc:AlternateContent>
          <mc:Choice Requires="wps">
            <w:drawing>
              <wp:anchor distT="0" distB="0" distL="114300" distR="114300" simplePos="0" relativeHeight="251702272" behindDoc="0" locked="0" layoutInCell="1" allowOverlap="1" wp14:anchorId="1134F5B4" wp14:editId="00A3FE79">
                <wp:simplePos x="0" y="0"/>
                <wp:positionH relativeFrom="column">
                  <wp:posOffset>510540</wp:posOffset>
                </wp:positionH>
                <wp:positionV relativeFrom="paragraph">
                  <wp:posOffset>4311650</wp:posOffset>
                </wp:positionV>
                <wp:extent cx="4238625" cy="9620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38625" cy="9620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0683E" id="Rectángulo 11" o:spid="_x0000_s1026" style="position:absolute;margin-left:40.2pt;margin-top:339.5pt;width:333.75pt;height:7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" filled="f" strokecolor="black [3213]" strokeweight="3pt"/>
            </w:pict>
          </mc:Fallback>
        </mc:AlternateContent>
      </w:r>
      <w:bookmarkEnd w:id="0"/>
      <w:r w:rsidR="005014C6">
        <w:rPr>
          <w:rFonts w:ascii="Palatino Linotype" w:hAnsi="Palatino Linotype" w:cs="Arial"/>
          <w:b/>
          <w:noProof/>
          <w:szCs w:val="28"/>
          <w:lang w:val="es-MX" w:eastAsia="es-MX"/>
        </w:rPr>
        <w:drawing>
          <wp:inline distT="0" distB="0" distL="0" distR="0" wp14:anchorId="7C3C62FC" wp14:editId="172D8F95">
            <wp:extent cx="5383530" cy="65049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530" cy="6504940"/>
                    </a:xfrm>
                    <a:prstGeom prst="rect">
                      <a:avLst/>
                    </a:prstGeom>
                    <a:noFill/>
                  </pic:spPr>
                </pic:pic>
              </a:graphicData>
            </a:graphic>
          </wp:inline>
        </w:drawing>
      </w:r>
    </w:p>
    <w:p w14:paraId="36F4B28F" w14:textId="77777777" w:rsidR="00AA2542" w:rsidRDefault="00AA2542" w:rsidP="00AA2542">
      <w:pPr>
        <w:spacing w:before="240" w:after="240" w:line="360" w:lineRule="auto"/>
        <w:jc w:val="both"/>
        <w:rPr>
          <w:rFonts w:ascii="Palatino Linotype" w:hAnsi="Palatino Linotype" w:cs="Arial"/>
          <w:b/>
          <w:szCs w:val="28"/>
        </w:rPr>
      </w:pPr>
    </w:p>
    <w:p w14:paraId="1235F9E0" w14:textId="6003919A" w:rsidR="001A5A15" w:rsidRPr="00DF46F6" w:rsidRDefault="001A5A15" w:rsidP="0005040C">
      <w:pPr>
        <w:spacing w:before="240" w:after="240" w:line="360" w:lineRule="auto"/>
        <w:ind w:right="49"/>
        <w:jc w:val="both"/>
        <w:rPr>
          <w:rFonts w:ascii="Palatino Linotype" w:eastAsia="MS Mincho" w:hAnsi="Palatino Linotype" w:cs="Bookman Old Style"/>
          <w:lang w:val="es-MX"/>
        </w:rPr>
      </w:pPr>
      <w:r w:rsidRPr="00DF46F6">
        <w:rPr>
          <w:rFonts w:ascii="Palatino Linotype" w:eastAsia="MS Mincho" w:hAnsi="Palatino Linotype" w:cs="Bookman Old Style"/>
          <w:lang w:val="es-MX"/>
        </w:rPr>
        <w:t>Una vez</w:t>
      </w:r>
      <w:r w:rsidR="00546724" w:rsidRPr="00DF46F6">
        <w:rPr>
          <w:rFonts w:ascii="Palatino Linotype" w:eastAsia="MS Mincho" w:hAnsi="Palatino Linotype" w:cs="Bookman Old Style"/>
          <w:lang w:val="es-MX"/>
        </w:rPr>
        <w:t xml:space="preserve"> conocida la respuesta, el</w:t>
      </w:r>
      <w:r w:rsidRPr="00DF46F6">
        <w:rPr>
          <w:rFonts w:ascii="Palatino Linotype" w:eastAsia="MS Mincho" w:hAnsi="Palatino Linotype" w:cs="Bookman Old Style"/>
          <w:lang w:val="es-MX"/>
        </w:rPr>
        <w:t xml:space="preserve"> </w:t>
      </w:r>
      <w:r w:rsidRPr="00DF46F6">
        <w:rPr>
          <w:rFonts w:ascii="Palatino Linotype" w:eastAsia="MS Mincho" w:hAnsi="Palatino Linotype" w:cs="Bookman Old Style"/>
          <w:b/>
          <w:lang w:val="es-MX"/>
        </w:rPr>
        <w:t>Recurrente</w:t>
      </w:r>
      <w:r w:rsidRPr="00DF46F6">
        <w:rPr>
          <w:rFonts w:ascii="Palatino Linotype" w:eastAsia="MS Mincho" w:hAnsi="Palatino Linotype" w:cs="Bookman Old Style"/>
          <w:lang w:val="es-MX"/>
        </w:rPr>
        <w:t xml:space="preserve"> interpuso el medio de impugnación que nos ocupa, expresand</w:t>
      </w:r>
      <w:r w:rsidR="000A00EA" w:rsidRPr="00DF46F6">
        <w:rPr>
          <w:rFonts w:ascii="Palatino Linotype" w:eastAsia="MS Mincho" w:hAnsi="Palatino Linotype" w:cs="Bookman Old Style"/>
          <w:lang w:val="es-MX"/>
        </w:rPr>
        <w:t xml:space="preserve">o </w:t>
      </w:r>
      <w:r w:rsidR="00365916" w:rsidRPr="00DF46F6">
        <w:rPr>
          <w:rFonts w:ascii="Palatino Linotype" w:eastAsia="MS Mincho" w:hAnsi="Palatino Linotype" w:cs="Bookman Old Style"/>
          <w:lang w:val="es-MX"/>
        </w:rPr>
        <w:t>como razones o motivos de inconformidad “</w:t>
      </w:r>
      <w:r w:rsidR="00365916" w:rsidRPr="00DF46F6">
        <w:rPr>
          <w:rFonts w:ascii="Palatino Linotype" w:eastAsia="MS Mincho" w:hAnsi="Palatino Linotype" w:cs="Bookman Old Style"/>
          <w:i/>
        </w:rPr>
        <w:t>en el documento de respuesta, no se entrego la respuesta a la pregunta original”</w:t>
      </w:r>
      <w:r w:rsidR="00365916" w:rsidRPr="00DF46F6">
        <w:rPr>
          <w:rFonts w:ascii="Palatino Linotype" w:eastAsia="MS Mincho" w:hAnsi="Palatino Linotype" w:cs="Bookman Old Style"/>
          <w:lang w:val="es-MX"/>
        </w:rPr>
        <w:t>.</w:t>
      </w:r>
    </w:p>
    <w:p w14:paraId="344EC3CB" w14:textId="77777777" w:rsidR="001100BB" w:rsidRDefault="00D1609E" w:rsidP="0005040C">
      <w:pPr>
        <w:spacing w:before="240" w:after="240" w:line="360" w:lineRule="auto"/>
        <w:ind w:right="49"/>
        <w:jc w:val="both"/>
        <w:rPr>
          <w:rFonts w:ascii="Palatino Linotype" w:eastAsia="MS Mincho" w:hAnsi="Palatino Linotype" w:cs="Bookman Old Style"/>
          <w:lang w:val="es-MX"/>
        </w:rPr>
      </w:pPr>
      <w:r w:rsidRPr="00DF46F6">
        <w:rPr>
          <w:rFonts w:ascii="Palatino Linotype" w:eastAsia="MS Mincho" w:hAnsi="Palatino Linotype" w:cs="Bookman Old Style"/>
          <w:lang w:val="es-MX"/>
        </w:rPr>
        <w:t xml:space="preserve">Durante la etapa de manifestaciones, </w:t>
      </w:r>
      <w:r w:rsidR="000A00EA" w:rsidRPr="00DF46F6">
        <w:rPr>
          <w:rFonts w:ascii="Palatino Linotype" w:eastAsia="MS Mincho" w:hAnsi="Palatino Linotype" w:cs="Bookman Old Style"/>
          <w:lang w:val="es-MX"/>
        </w:rPr>
        <w:t xml:space="preserve"> </w:t>
      </w:r>
      <w:r w:rsidRPr="00DF46F6">
        <w:rPr>
          <w:rFonts w:ascii="Palatino Linotype" w:eastAsia="MS Mincho" w:hAnsi="Palatino Linotype" w:cs="Bookman Old Style"/>
          <w:lang w:val="es-MX"/>
        </w:rPr>
        <w:t xml:space="preserve">el </w:t>
      </w:r>
      <w:r w:rsidRPr="00DF46F6">
        <w:rPr>
          <w:rFonts w:ascii="Palatino Linotype" w:eastAsia="MS Mincho" w:hAnsi="Palatino Linotype" w:cs="Bookman Old Style"/>
          <w:b/>
          <w:lang w:val="es-MX"/>
        </w:rPr>
        <w:t>Sujeto O</w:t>
      </w:r>
      <w:r w:rsidR="00444E77" w:rsidRPr="00DF46F6">
        <w:rPr>
          <w:rFonts w:ascii="Palatino Linotype" w:eastAsia="MS Mincho" w:hAnsi="Palatino Linotype" w:cs="Bookman Old Style"/>
          <w:b/>
          <w:lang w:val="es-MX"/>
        </w:rPr>
        <w:t>bligado</w:t>
      </w:r>
      <w:r w:rsidR="00444E77" w:rsidRPr="00DF46F6">
        <w:rPr>
          <w:rFonts w:ascii="Palatino Linotype" w:eastAsia="MS Mincho" w:hAnsi="Palatino Linotype" w:cs="Bookman Old Style"/>
          <w:lang w:val="es-MX"/>
        </w:rPr>
        <w:t xml:space="preserve"> </w:t>
      </w:r>
      <w:r w:rsidR="00907043" w:rsidRPr="00DF46F6">
        <w:rPr>
          <w:rFonts w:ascii="Palatino Linotype" w:eastAsia="MS Mincho" w:hAnsi="Palatino Linotype" w:cs="Bookman Old Style"/>
          <w:lang w:val="es-MX"/>
        </w:rPr>
        <w:t xml:space="preserve">fue omiso en rendir su informe justificado, por su parte </w:t>
      </w:r>
      <w:r w:rsidR="000A00EA" w:rsidRPr="00DF46F6">
        <w:rPr>
          <w:rFonts w:ascii="Palatino Linotype" w:eastAsia="MS Mincho" w:hAnsi="Palatino Linotype" w:cs="Bookman Old Style"/>
          <w:lang w:val="es-MX"/>
        </w:rPr>
        <w:t xml:space="preserve">el </w:t>
      </w:r>
      <w:r w:rsidR="000A00EA" w:rsidRPr="00DF46F6">
        <w:rPr>
          <w:rFonts w:ascii="Palatino Linotype" w:eastAsia="MS Mincho" w:hAnsi="Palatino Linotype" w:cs="Bookman Old Style"/>
          <w:b/>
          <w:lang w:val="es-MX"/>
        </w:rPr>
        <w:t>Recurrente</w:t>
      </w:r>
      <w:r w:rsidR="000A00EA" w:rsidRPr="00DF46F6">
        <w:rPr>
          <w:rFonts w:ascii="Palatino Linotype" w:eastAsia="MS Mincho" w:hAnsi="Palatino Linotype" w:cs="Bookman Old Style"/>
          <w:lang w:val="es-MX"/>
        </w:rPr>
        <w:t xml:space="preserve"> </w:t>
      </w:r>
      <w:r w:rsidR="00907043" w:rsidRPr="00DF46F6">
        <w:rPr>
          <w:rFonts w:ascii="Palatino Linotype" w:eastAsia="MS Mincho" w:hAnsi="Palatino Linotype" w:cs="Bookman Old Style"/>
          <w:lang w:val="es-MX"/>
        </w:rPr>
        <w:t xml:space="preserve">emitió su escrito de </w:t>
      </w:r>
      <w:r w:rsidR="000A00EA" w:rsidRPr="00DF46F6">
        <w:rPr>
          <w:rFonts w:ascii="Palatino Linotype" w:eastAsia="MS Mincho" w:hAnsi="Palatino Linotype" w:cs="Bookman Old Style"/>
          <w:lang w:val="es-MX"/>
        </w:rPr>
        <w:t>alegatos</w:t>
      </w:r>
      <w:r w:rsidR="00907043" w:rsidRPr="00DF46F6">
        <w:rPr>
          <w:rFonts w:ascii="Palatino Linotype" w:eastAsia="MS Mincho" w:hAnsi="Palatino Linotype" w:cs="Bookman Old Style"/>
          <w:lang w:val="es-MX"/>
        </w:rPr>
        <w:t>, así como de cuatro archivos digitales, los cuales fueron descritos en páginas anteriores.</w:t>
      </w:r>
    </w:p>
    <w:p w14:paraId="384EF463" w14:textId="61F9A433" w:rsidR="000A00EA" w:rsidRDefault="00390BA7" w:rsidP="0005040C">
      <w:pPr>
        <w:spacing w:before="240" w:after="240" w:line="360" w:lineRule="auto"/>
        <w:ind w:right="49"/>
        <w:jc w:val="both"/>
        <w:rPr>
          <w:rFonts w:ascii="Palatino Linotype" w:hAnsi="Palatino Linotype"/>
        </w:rPr>
      </w:pPr>
      <w:r>
        <w:rPr>
          <w:rFonts w:ascii="Palatino Linotype" w:eastAsia="MS Mincho" w:hAnsi="Palatino Linotype" w:cs="Bookman Old Style"/>
          <w:lang w:val="es-MX"/>
        </w:rPr>
        <w:t xml:space="preserve">Reviste interés para el presente estudio, el contenido del archivo digital </w:t>
      </w:r>
      <w:r>
        <w:rPr>
          <w:rFonts w:ascii="Palatino Linotype" w:hAnsi="Palatino Linotype"/>
          <w:b/>
          <w:i/>
        </w:rPr>
        <w:t>“</w:t>
      </w:r>
      <w:r w:rsidRPr="00C434FC">
        <w:rPr>
          <w:rFonts w:ascii="Palatino Linotype" w:hAnsi="Palatino Linotype"/>
          <w:b/>
          <w:i/>
        </w:rPr>
        <w:t>05274_INFOEM_IP_RR_2021.pdf</w:t>
      </w:r>
      <w:r>
        <w:rPr>
          <w:rFonts w:ascii="Palatino Linotype" w:hAnsi="Palatino Linotype"/>
          <w:b/>
          <w:i/>
        </w:rPr>
        <w:t xml:space="preserve">”, </w:t>
      </w:r>
      <w:r>
        <w:rPr>
          <w:rFonts w:ascii="Palatino Linotype" w:hAnsi="Palatino Linotype"/>
        </w:rPr>
        <w:t xml:space="preserve">por ser el soporte documental de cuatro fojas, que contiene los alegatos de la parte </w:t>
      </w:r>
      <w:r w:rsidRPr="00390BA7">
        <w:rPr>
          <w:rFonts w:ascii="Palatino Linotype" w:hAnsi="Palatino Linotype"/>
          <w:b/>
        </w:rPr>
        <w:t>Recurrente</w:t>
      </w:r>
      <w:r>
        <w:rPr>
          <w:rFonts w:ascii="Palatino Linotype" w:hAnsi="Palatino Linotype"/>
        </w:rPr>
        <w:t xml:space="preserve">, sin embargo, del análisis a lo vertido en este documento se advierte que se amplían los requerimientos iniciales de la solicitud de información, sirve de sustento la siguiente cita: </w:t>
      </w:r>
    </w:p>
    <w:p w14:paraId="70269820" w14:textId="5186605B" w:rsidR="00390BA7" w:rsidRPr="00390BA7" w:rsidRDefault="00390BA7" w:rsidP="00390BA7">
      <w:pPr>
        <w:spacing w:before="240" w:after="240"/>
        <w:ind w:left="567" w:right="900"/>
        <w:jc w:val="both"/>
        <w:rPr>
          <w:rFonts w:ascii="Palatino Linotype" w:eastAsia="MS Mincho" w:hAnsi="Palatino Linotype" w:cs="Bookman Old Style"/>
          <w:i/>
          <w:sz w:val="22"/>
        </w:rPr>
      </w:pPr>
      <w:r>
        <w:rPr>
          <w:rFonts w:ascii="Palatino Linotype" w:eastAsia="MS Mincho" w:hAnsi="Palatino Linotype" w:cs="Bookman Old Style"/>
          <w:i/>
          <w:sz w:val="22"/>
        </w:rPr>
        <w:t>“</w:t>
      </w:r>
      <w:r w:rsidRPr="00390BA7">
        <w:rPr>
          <w:rFonts w:ascii="Palatino Linotype" w:eastAsia="MS Mincho" w:hAnsi="Palatino Linotype" w:cs="Bookman Old Style"/>
          <w:i/>
          <w:sz w:val="22"/>
        </w:rPr>
        <w:t xml:space="preserve">Mediante escrito de fecha 28 de Septiembre del año en curso, presenté una solicitud de información mediante la plataforma SAIMEX, reclamando a Sindicatura del H. Ayuntamiento de Cuautitlán, que exhibiera el acta de asamblea que avalaba la instalación de una administración que presidia un vecino quien tiene una demanda de arbitraje ante esa dependencia, presentada el pasado mes de Julio del 2021; habiéndose fundado para su demanda, en los hechos que se contienen en el escrito de folio 00413/CUAUTIT/IP/2021. Misma que acompañe de documentación que confirmaba el asunto de la demanda, reclamando como prestaciones: </w:t>
      </w:r>
    </w:p>
    <w:p w14:paraId="09282F51" w14:textId="77777777" w:rsidR="00390BA7" w:rsidRPr="00390BA7" w:rsidRDefault="00390BA7" w:rsidP="00390BA7">
      <w:pPr>
        <w:spacing w:before="240" w:after="240"/>
        <w:ind w:left="567" w:right="900"/>
        <w:jc w:val="both"/>
        <w:rPr>
          <w:rFonts w:ascii="Palatino Linotype" w:eastAsia="MS Mincho" w:hAnsi="Palatino Linotype" w:cs="Bookman Old Style"/>
          <w:i/>
          <w:sz w:val="22"/>
        </w:rPr>
      </w:pPr>
      <w:r w:rsidRPr="00390BA7">
        <w:rPr>
          <w:rFonts w:ascii="Palatino Linotype" w:eastAsia="MS Mincho" w:hAnsi="Palatino Linotype" w:cs="Bookman Old Style"/>
          <w:i/>
          <w:sz w:val="22"/>
        </w:rPr>
        <w:t xml:space="preserve">a. El acta de asamblea donde se acredite al C. Juan López Gallardo como integrante de la mesa directiva del fraccionamiento, a fin de que pueda realizar el cobro de cuotas de mantenimiento, desde el mes de Julio hasta el día de hoy, con base a lo mencionado en el artículo 33 de la Ley que Regula el Régimen de Propiedad en Condominio en el Estado de México </w:t>
      </w:r>
    </w:p>
    <w:p w14:paraId="28731502" w14:textId="5D74A979" w:rsidR="00390BA7" w:rsidRPr="00390BA7" w:rsidRDefault="00390BA7" w:rsidP="00390BA7">
      <w:pPr>
        <w:spacing w:before="240" w:after="240"/>
        <w:ind w:left="567" w:right="900"/>
        <w:jc w:val="both"/>
        <w:rPr>
          <w:rFonts w:ascii="Palatino Linotype" w:eastAsia="MS Mincho" w:hAnsi="Palatino Linotype" w:cs="Bookman Old Style"/>
          <w:b/>
          <w:i/>
          <w:sz w:val="22"/>
          <w:lang w:val="es-MX"/>
        </w:rPr>
      </w:pPr>
      <w:r w:rsidRPr="00390BA7">
        <w:rPr>
          <w:rFonts w:ascii="Palatino Linotype" w:eastAsia="MS Mincho" w:hAnsi="Palatino Linotype" w:cs="Bookman Old Style"/>
          <w:b/>
          <w:i/>
          <w:sz w:val="22"/>
        </w:rPr>
        <w:t xml:space="preserve">b. El motivo por el cual, aun teniendo una demanda activa interpuesta ante la Sindicatura Municipal, desde el pasado 27 de Julio del 2021 y que derivo en la audiencia del día 19 de Agosto del 2021, se le permitió continuar transgrediendo lo dispuesto en el artículo 9 fracción VIII de la Ley que Regula el Régimen de Propiedad en Condominio en el Estado de México.” </w:t>
      </w:r>
      <w:r w:rsidRPr="00390BA7">
        <w:rPr>
          <w:rFonts w:ascii="Palatino Linotype" w:eastAsia="MS Mincho" w:hAnsi="Palatino Linotype" w:cs="Bookman Old Style"/>
          <w:i/>
          <w:sz w:val="22"/>
        </w:rPr>
        <w:t>(Sic) (Énfasis añadido)</w:t>
      </w:r>
    </w:p>
    <w:p w14:paraId="5385B254" w14:textId="0BECFEE1" w:rsidR="00390BA7" w:rsidRDefault="00390BA7" w:rsidP="00907043">
      <w:pPr>
        <w:spacing w:before="120" w:after="120" w:line="360" w:lineRule="auto"/>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Requerimiento que es diverso al apuntado en la solicitud de información, el cual se cita a continuación para mayor referencia: </w:t>
      </w:r>
    </w:p>
    <w:p w14:paraId="1DFAB51D" w14:textId="77777777" w:rsidR="00390BA7" w:rsidRDefault="00390BA7" w:rsidP="00390BA7">
      <w:pPr>
        <w:spacing w:before="240" w:after="240"/>
        <w:ind w:left="426"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Pr="00BE6B8B">
        <w:rPr>
          <w:rFonts w:ascii="Palatino Linotype" w:hAnsi="Palatino Linotype" w:cs="Arial"/>
          <w:i/>
          <w:iCs/>
          <w:sz w:val="22"/>
          <w:szCs w:val="22"/>
        </w:rPr>
        <w:t xml:space="preserve">La Sindicatura Municipal le permite al sr. Juan Lopez seguir recaudando cuotas cuando ya tiene una demanda de arbitraje desde hace tres meses. Le permite dar rendicion de cuentas (adjunto archivo), en donde falta de manera grave a la ley de proteccion de datos al exhibir quien paga y quien no la cuota de mantenimiento (extorsion pura y vil) </w:t>
      </w:r>
      <w:r w:rsidRPr="00390BA7">
        <w:rPr>
          <w:rFonts w:ascii="Palatino Linotype" w:hAnsi="Palatino Linotype" w:cs="Arial"/>
          <w:b/>
          <w:i/>
          <w:iCs/>
          <w:sz w:val="22"/>
          <w:szCs w:val="22"/>
          <w:u w:val="single"/>
        </w:rPr>
        <w:t xml:space="preserve">Necesito que me sea entregada el acta de asamblea donde se le da la autoridad a este señor </w:t>
      </w:r>
      <w:r w:rsidRPr="00BE6B8B">
        <w:rPr>
          <w:rFonts w:ascii="Palatino Linotype" w:hAnsi="Palatino Linotype" w:cs="Arial"/>
          <w:i/>
          <w:iCs/>
          <w:sz w:val="22"/>
          <w:szCs w:val="22"/>
        </w:rPr>
        <w:t>para seguir delinquiendo con la recoleccion de cuotas y con el robo de nuestros datos personales desde sus perfiles en las plataformas digitales.</w:t>
      </w:r>
      <w:r w:rsidRPr="00255CC3">
        <w:rPr>
          <w:rFonts w:ascii="Palatino Linotype" w:hAnsi="Palatino Linotype" w:cs="Arial"/>
          <w:i/>
          <w:iCs/>
          <w:sz w:val="22"/>
          <w:szCs w:val="22"/>
        </w:rPr>
        <w:t>” (Sic)</w:t>
      </w:r>
    </w:p>
    <w:p w14:paraId="280BC3BC" w14:textId="31D12AC4" w:rsidR="00390BA7" w:rsidRDefault="00390BA7" w:rsidP="00390BA7">
      <w:pPr>
        <w:shd w:val="clear" w:color="auto" w:fill="FFFFFF"/>
        <w:spacing w:before="240" w:after="240" w:line="360" w:lineRule="auto"/>
        <w:jc w:val="both"/>
        <w:rPr>
          <w:rFonts w:ascii="Palatino Linotype" w:hAnsi="Palatino Linotype"/>
          <w:color w:val="000000" w:themeColor="text1"/>
        </w:rPr>
      </w:pPr>
      <w:r>
        <w:rPr>
          <w:rFonts w:ascii="Palatino Linotype" w:hAnsi="Palatino Linotype"/>
          <w:color w:val="000000" w:themeColor="text1"/>
        </w:rPr>
        <w:t>Por lo anterior, no</w:t>
      </w:r>
      <w:r w:rsidRPr="00390BA7">
        <w:rPr>
          <w:rFonts w:ascii="Palatino Linotype" w:hAnsi="Palatino Linotype"/>
          <w:color w:val="000000" w:themeColor="text1"/>
        </w:rPr>
        <w:t xml:space="preserve"> escapa de la óptica de este Órgano Garante que a través del recurso de revisión pretende ampliar su solicitud de información, toda vez </w:t>
      </w:r>
      <w:r w:rsidR="00BE1307">
        <w:rPr>
          <w:rFonts w:ascii="Palatino Linotype" w:hAnsi="Palatino Linotype"/>
          <w:color w:val="000000" w:themeColor="text1"/>
        </w:rPr>
        <w:t xml:space="preserve">que mediante </w:t>
      </w:r>
      <w:r w:rsidRPr="00390BA7">
        <w:rPr>
          <w:rFonts w:ascii="Palatino Linotype" w:hAnsi="Palatino Linotype"/>
          <w:color w:val="000000" w:themeColor="text1"/>
        </w:rPr>
        <w:t xml:space="preserve">el mismo requiere </w:t>
      </w:r>
      <w:r w:rsidR="00BE1307">
        <w:rPr>
          <w:rFonts w:ascii="Palatino Linotype" w:hAnsi="Palatino Linotype"/>
          <w:color w:val="000000" w:themeColor="text1"/>
        </w:rPr>
        <w:t>e</w:t>
      </w:r>
      <w:r w:rsidR="00BE1307" w:rsidRPr="00BE1307">
        <w:rPr>
          <w:rFonts w:ascii="Palatino Linotype" w:hAnsi="Palatino Linotype"/>
          <w:color w:val="000000" w:themeColor="text1"/>
        </w:rPr>
        <w:t>l motivo por el cual, aun teniendo una demanda activa interpuesta ante la Sindicatura Municipal, desde el pasado 27 de Julio del 2021 y que derivo en la audiencia del día 19 de Agosto del 2021, se le permitió continuar transgrediendo lo dispuesto en el artículo 9 fracción VIII de la Ley que Regula el Régimen de Propiedad en Condominio en el Estado de México</w:t>
      </w:r>
      <w:r w:rsidRPr="00390BA7">
        <w:rPr>
          <w:rFonts w:ascii="Palatino Linotype" w:hAnsi="Palatino Linotype"/>
          <w:color w:val="000000" w:themeColor="text1"/>
        </w:rPr>
        <w:t>, sin embargo, es de señalarse que dicha información no fue requerida en un primer momento en dichos términos a través de la solicitud presentada, en este sentido, dichos pronunciamientos se traducen como una plus petitio, y por tanto inatendibles a través del recurso de revisión.</w:t>
      </w:r>
    </w:p>
    <w:p w14:paraId="1EC343B8" w14:textId="77777777" w:rsidR="00390BA7" w:rsidRPr="00390BA7" w:rsidRDefault="00390BA7" w:rsidP="00390BA7">
      <w:pPr>
        <w:shd w:val="clear" w:color="auto" w:fill="FFFFFF"/>
        <w:spacing w:before="240" w:after="240" w:line="360" w:lineRule="auto"/>
        <w:jc w:val="both"/>
        <w:rPr>
          <w:color w:val="000000" w:themeColor="text1"/>
        </w:rPr>
      </w:pPr>
      <w:r w:rsidRPr="00390BA7">
        <w:rPr>
          <w:rFonts w:ascii="Palatino Linotype" w:hAnsi="Palatino Linotype"/>
          <w:color w:val="000000" w:themeColor="text1"/>
        </w:rPr>
        <w:t>En este orden de ideas, una vez formulada su solicitud inicial,</w:t>
      </w:r>
      <w:r w:rsidRPr="00390BA7">
        <w:rPr>
          <w:rFonts w:ascii="Palatino Linotype" w:hAnsi="Palatino Linotype"/>
          <w:i/>
          <w:iCs/>
          <w:color w:val="000000" w:themeColor="text1"/>
        </w:rPr>
        <w:t> </w:t>
      </w:r>
      <w:r w:rsidRPr="00390BA7">
        <w:rPr>
          <w:rFonts w:ascii="Palatino Linotype" w:hAnsi="Palatino Linotype"/>
          <w:color w:val="000000" w:themeColor="text1"/>
        </w:rPr>
        <w:t>los particulares no pueden modificarla o ampliarla y menos aún si les fue otorgada la oportunidad para su ampliación,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40999CC" w14:textId="77777777" w:rsidR="00390BA7" w:rsidRDefault="00390BA7" w:rsidP="00390BA7">
      <w:pPr>
        <w:pStyle w:val="NormalWeb"/>
        <w:shd w:val="clear" w:color="auto" w:fill="FFFFFF"/>
        <w:spacing w:line="360" w:lineRule="auto"/>
        <w:jc w:val="both"/>
        <w:rPr>
          <w:color w:val="222222"/>
        </w:rPr>
      </w:pPr>
      <w:r>
        <w:rPr>
          <w:rFonts w:ascii="Palatino Linotype" w:hAnsi="Palatino Linotype"/>
          <w:color w:val="222222"/>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1BC5BCE9" w14:textId="2966DDF4" w:rsidR="00390BA7" w:rsidRPr="00390BA7" w:rsidRDefault="00390BA7" w:rsidP="00390BA7">
      <w:pPr>
        <w:shd w:val="clear" w:color="auto" w:fill="FFFFFF"/>
        <w:spacing w:before="240" w:after="240"/>
        <w:ind w:left="851" w:right="900"/>
        <w:jc w:val="both"/>
        <w:rPr>
          <w:color w:val="222222"/>
        </w:rPr>
      </w:pPr>
      <w:r>
        <w:rPr>
          <w:rFonts w:ascii="Palatino Linotype" w:hAnsi="Palatino Linotype"/>
          <w:i/>
          <w:iCs/>
          <w:color w:val="222222"/>
          <w:sz w:val="22"/>
          <w:szCs w:val="22"/>
        </w:rPr>
        <w:t>“</w:t>
      </w:r>
      <w:r>
        <w:rPr>
          <w:rFonts w:ascii="Palatino Linotype" w:hAnsi="Palatino Linotype"/>
          <w:b/>
          <w:bCs/>
          <w:i/>
          <w:iCs/>
          <w:color w:val="222222"/>
          <w:sz w:val="22"/>
          <w:szCs w:val="22"/>
        </w:rPr>
        <w:t>Es improcedente ampliar las solicitudes de acceso a información pública o datos personales</w:t>
      </w:r>
      <w:r>
        <w:rPr>
          <w:rFonts w:ascii="Palatino Linotype" w:hAnsi="Palatino Linotype"/>
          <w:i/>
          <w:iCs/>
          <w:color w:val="222222"/>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45D4E54" w14:textId="77777777" w:rsidR="00907043" w:rsidRDefault="00907043" w:rsidP="00907043">
      <w:pPr>
        <w:spacing w:before="120" w:after="120" w:line="360" w:lineRule="auto"/>
        <w:jc w:val="both"/>
        <w:rPr>
          <w:rFonts w:ascii="Palatino Linotype" w:eastAsia="Palatino Linotype" w:hAnsi="Palatino Linotype" w:cs="Palatino Linotype"/>
          <w:lang w:val="es-MX" w:eastAsia="es-MX"/>
        </w:rPr>
      </w:pPr>
      <w:r w:rsidRPr="00907043">
        <w:rPr>
          <w:rFonts w:ascii="Palatino Linotype" w:eastAsia="Palatino Linotype" w:hAnsi="Palatino Linotype" w:cs="Palatino Linotype"/>
          <w:lang w:val="es-MX" w:eastAsia="es-MX"/>
        </w:rPr>
        <w:t>Al respecto, 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E4AFAC5" w14:textId="008D7F34" w:rsidR="007B3D06" w:rsidRPr="007B3D06" w:rsidRDefault="007B3D06" w:rsidP="007B3D06">
      <w:pPr>
        <w:pBdr>
          <w:top w:val="nil"/>
          <w:left w:val="nil"/>
          <w:bottom w:val="nil"/>
          <w:right w:val="nil"/>
          <w:between w:val="nil"/>
        </w:pBdr>
        <w:spacing w:before="120" w:after="120" w:line="360" w:lineRule="auto"/>
        <w:ind w:right="-234"/>
        <w:jc w:val="both"/>
        <w:rPr>
          <w:rFonts w:ascii="Palatino Linotype" w:eastAsia="Palatino Linotype" w:hAnsi="Palatino Linotype" w:cs="Palatino Linotype"/>
          <w:color w:val="000000"/>
          <w:lang w:val="es-MX" w:eastAsia="es-MX"/>
        </w:rPr>
      </w:pPr>
      <w:r w:rsidRPr="007B3D06">
        <w:rPr>
          <w:rFonts w:ascii="Palatino Linotype" w:eastAsia="Palatino Linotype" w:hAnsi="Palatino Linotype" w:cs="Palatino Linotype"/>
          <w:color w:val="000000"/>
          <w:lang w:val="es-MX" w:eastAsia="es-MX"/>
        </w:rPr>
        <w:t>En primer término es de advertirse l</w:t>
      </w:r>
      <w:r w:rsidR="00365916">
        <w:rPr>
          <w:rFonts w:ascii="Palatino Linotype" w:eastAsia="Palatino Linotype" w:hAnsi="Palatino Linotype" w:cs="Palatino Linotype"/>
          <w:color w:val="000000"/>
          <w:lang w:val="es-MX" w:eastAsia="es-MX"/>
        </w:rPr>
        <w:t>o siguiente: nuestro texto constitucional</w:t>
      </w:r>
      <w:r w:rsidRPr="007B3D06">
        <w:rPr>
          <w:rFonts w:ascii="Palatino Linotype" w:eastAsia="Palatino Linotype" w:hAnsi="Palatino Linotype" w:cs="Palatino Linotype"/>
          <w:color w:val="000000"/>
          <w:lang w:val="es-MX" w:eastAsia="es-MX"/>
        </w:rPr>
        <w:t xml:space="preserve">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D82FDC7" w14:textId="2D72DC48"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b/>
          <w:i/>
          <w:color w:val="000000"/>
          <w:sz w:val="22"/>
          <w:lang w:val="es-MX" w:eastAsia="es-MX"/>
        </w:rPr>
      </w:pPr>
      <w:r w:rsidRPr="007B3D06">
        <w:rPr>
          <w:rFonts w:ascii="Palatino Linotype" w:eastAsia="Palatino Linotype" w:hAnsi="Palatino Linotype" w:cs="Palatino Linotype"/>
          <w:b/>
          <w:i/>
          <w:color w:val="000000"/>
          <w:sz w:val="22"/>
          <w:lang w:val="es-MX" w:eastAsia="es-MX"/>
        </w:rPr>
        <w:t>“Artículo 6</w:t>
      </w:r>
    </w:p>
    <w:p w14:paraId="554EAD8F" w14:textId="7777777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w:t>
      </w:r>
    </w:p>
    <w:p w14:paraId="30AD76CC" w14:textId="69E07DE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Para el ejercicio del derecho de acceso a la información, la Federación, los Estados y el Distrito Federal, en el ámbito de sus respectivas competencias, se regirán por los siguientes principios y bases:</w:t>
      </w:r>
    </w:p>
    <w:p w14:paraId="09B34143" w14:textId="49234A26" w:rsidR="007B3D06" w:rsidRPr="007B3D06" w:rsidRDefault="007B3D06" w:rsidP="007B3D06">
      <w:pPr>
        <w:numPr>
          <w:ilvl w:val="0"/>
          <w:numId w:val="44"/>
        </w:numPr>
        <w:pBdr>
          <w:top w:val="nil"/>
          <w:left w:val="nil"/>
          <w:bottom w:val="nil"/>
          <w:right w:val="nil"/>
          <w:between w:val="nil"/>
        </w:pBdr>
        <w:spacing w:before="120" w:after="120"/>
        <w:ind w:left="567" w:right="851" w:hanging="14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B4B073" w14:textId="45720C6C" w:rsidR="006957AF" w:rsidRPr="006957AF" w:rsidRDefault="000A00EA" w:rsidP="006957AF">
      <w:pPr>
        <w:spacing w:line="360" w:lineRule="auto"/>
        <w:jc w:val="both"/>
        <w:rPr>
          <w:rFonts w:ascii="Palatino Linotype" w:hAnsi="Palatino Linotype" w:cs="Arial"/>
        </w:rPr>
      </w:pPr>
      <w:r>
        <w:rPr>
          <w:rFonts w:ascii="Palatino Linotype" w:hAnsi="Palatino Linotype" w:cs="Arial"/>
        </w:rPr>
        <w:t>Así las cosas,</w:t>
      </w:r>
      <w:r w:rsidR="006957AF" w:rsidRPr="006957AF">
        <w:rPr>
          <w:rFonts w:ascii="Palatino Linotype" w:hAnsi="Palatino Linotype" w:cs="Arial"/>
        </w:rPr>
        <w:t xml:space="preserve">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3CF892A" w14:textId="0F5FE733" w:rsidR="00C1211E" w:rsidRDefault="00C1211E" w:rsidP="006957AF">
      <w:pPr>
        <w:spacing w:before="100" w:beforeAutospacing="1" w:after="100" w:afterAutospacing="1" w:line="360" w:lineRule="auto"/>
        <w:jc w:val="both"/>
        <w:rPr>
          <w:rFonts w:ascii="Palatino Linotype" w:hAnsi="Palatino Linotype"/>
        </w:rPr>
      </w:pPr>
      <w:r>
        <w:rPr>
          <w:rFonts w:ascii="Palatino Linotype" w:hAnsi="Palatino Linotype"/>
        </w:rPr>
        <w:t xml:space="preserve">Así mismo, los artículos 4, 12 y 24 de la Ley de Transparencia y Acceso a la Información Pública del Estado de México y Municipios regulan lo siguiente respecto </w:t>
      </w:r>
      <w:r w:rsidR="00E45D7A">
        <w:rPr>
          <w:rFonts w:ascii="Palatino Linotype" w:hAnsi="Palatino Linotype"/>
        </w:rPr>
        <w:t xml:space="preserve">del deber de los Sujetos Obligados para entregar la información que se genere en el marco de sus atribuciones: </w:t>
      </w:r>
    </w:p>
    <w:p w14:paraId="1F3C15FC" w14:textId="4E884BDB"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4.</w:t>
      </w:r>
      <w:r w:rsidRPr="00E45D7A">
        <w:rPr>
          <w:rFonts w:ascii="Palatino Linotype" w:hAnsi="Palatino Linotype"/>
          <w:i/>
          <w:sz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607A50" w14:textId="64F1449C"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u w:val="single"/>
          <w:lang w:val="es-MX"/>
        </w:rPr>
        <w:t>Toda la información generada, obtenida, adquirida, transformada, administrada o en posesión de los sujetos obligados es pública y accesible de manera permanente a cualquier persona,</w:t>
      </w:r>
      <w:r w:rsidRPr="00E45D7A">
        <w:rPr>
          <w:rFonts w:ascii="Palatino Linotype" w:hAnsi="Palatino Linotype"/>
          <w:i/>
          <w:sz w:val="22"/>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41165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Los sujetos obligados deben poner en práctica, políticas y programas de acceso a la información que se apeguen a criterios de publicidad, veracidad, oportunidad, precisión y suficiencia en beneficio de los solicitantes.</w:t>
      </w:r>
    </w:p>
    <w:p w14:paraId="4F0217A9"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12.</w:t>
      </w:r>
      <w:r w:rsidRPr="00E45D7A">
        <w:rPr>
          <w:rFonts w:ascii="Palatino Linotype" w:hAnsi="Palatino Linotype"/>
          <w:i/>
          <w:sz w:val="22"/>
          <w:lang w:val="es-MX"/>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52A05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24.</w:t>
      </w:r>
      <w:r w:rsidRPr="00E45D7A">
        <w:rPr>
          <w:rFonts w:ascii="Palatino Linotype" w:hAnsi="Palatino Linotype"/>
          <w:i/>
          <w:sz w:val="22"/>
          <w:lang w:val="es-MX"/>
        </w:rPr>
        <w:t xml:space="preserve"> Para el cumplimiento de los objetivos de esta Ley, los sujetos obligados deberán cumplir con las siguientes obligaciones, según corresponda, de acuerdo a su naturaleza: </w:t>
      </w:r>
    </w:p>
    <w:p w14:paraId="67E241F6" w14:textId="7B1AB6F1" w:rsidR="00E45D7A" w:rsidRPr="00E45D7A" w:rsidRDefault="00E45D7A" w:rsidP="00E45D7A">
      <w:pPr>
        <w:pStyle w:val="Prrafodelista"/>
        <w:numPr>
          <w:ilvl w:val="0"/>
          <w:numId w:val="45"/>
        </w:numPr>
        <w:spacing w:before="100" w:beforeAutospacing="1" w:after="100" w:afterAutospacing="1"/>
        <w:ind w:left="567" w:right="900" w:hanging="141"/>
        <w:jc w:val="both"/>
        <w:rPr>
          <w:rFonts w:ascii="Palatino Linotype" w:hAnsi="Palatino Linotype"/>
          <w:i/>
          <w:lang w:val="es-MX"/>
        </w:rPr>
      </w:pPr>
      <w:r w:rsidRPr="00E45D7A">
        <w:rPr>
          <w:rFonts w:ascii="Palatino Linotype" w:hAnsi="Palatino Linotype"/>
          <w:i/>
          <w:lang w:val="es-MX"/>
        </w:rPr>
        <w:t xml:space="preserve">Constituir el Comité de Transparencia, las unidades de transparencia y vigilar su correcto funcionamiento de acuerdo a su normatividad interna; </w:t>
      </w:r>
    </w:p>
    <w:p w14:paraId="62DECDD3" w14:textId="1AAD1A6D" w:rsidR="00E45D7A" w:rsidRPr="00E45D7A" w:rsidRDefault="00E45D7A" w:rsidP="00E45D7A">
      <w:pPr>
        <w:pStyle w:val="Prrafodelista"/>
        <w:numPr>
          <w:ilvl w:val="0"/>
          <w:numId w:val="45"/>
        </w:numPr>
        <w:spacing w:before="100" w:beforeAutospacing="1" w:after="100" w:afterAutospacing="1"/>
        <w:ind w:left="567" w:right="900" w:hanging="283"/>
        <w:jc w:val="both"/>
        <w:rPr>
          <w:rFonts w:ascii="Palatino Linotype" w:hAnsi="Palatino Linotype"/>
          <w:i/>
          <w:lang w:val="es-MX"/>
        </w:rPr>
      </w:pPr>
      <w:r w:rsidRPr="00E45D7A">
        <w:rPr>
          <w:rFonts w:ascii="Palatino Linotype" w:hAnsi="Palatino Linotype"/>
          <w:i/>
          <w:lang w:val="es-MX"/>
        </w:rPr>
        <w:t xml:space="preserve">Designar en las unidades de transparencia a los titulares que dependan directamente del titular del sujeto obligado y que preferentemente cuenten con experiencia en la materia; </w:t>
      </w:r>
    </w:p>
    <w:p w14:paraId="188B00C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27A9A61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IV. Constituir y mantener actualizados sus sistemas de archivos y gestión documental, conforme a la normatividad aplicable; </w:t>
      </w:r>
    </w:p>
    <w:p w14:paraId="32549080"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 Promover la generación, documentación y publicación de la información en formatos abiertos y accesibles; </w:t>
      </w:r>
    </w:p>
    <w:p w14:paraId="71384C6C"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 Proteger y resguardar la información clasificada como reservada o confidencial; </w:t>
      </w:r>
    </w:p>
    <w:p w14:paraId="17D8C7D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 Reportar al Instituto sobre las acciones de implementación de la normatividad en la materia, en los términos que estos determinen; </w:t>
      </w:r>
    </w:p>
    <w:p w14:paraId="72775FA4"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VIII. Atender de manera oportuna, los requerimientos, observaciones, recomendaciones y criterios que en materia de transparencia y acceso a la información realice el Instituto; </w:t>
      </w:r>
    </w:p>
    <w:p w14:paraId="689CFCE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IX. Fomentar el uso de tecnologías de la información para garantizar la transparencia, el derecho de acceso a la información y la accesibilidad a éstos; </w:t>
      </w:r>
    </w:p>
    <w:p w14:paraId="69A0151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 Cumplir cabalmente con las resoluciones emitidas por el Instituto; </w:t>
      </w:r>
    </w:p>
    <w:p w14:paraId="3D56235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 Dar acceso a la información pública que le sea requerida, en los términos de la Ley General, esta Ley y demás disposiciones jurídicas aplicables; </w:t>
      </w:r>
    </w:p>
    <w:p w14:paraId="2C97AB5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XII. Publicar y mantener actualizada la información relativa a las obligaciones generales de transparencia previstas en la presente Ley o determinadas así por el Instituto, y en general aquella que sea de interés público; </w:t>
      </w:r>
    </w:p>
    <w:p w14:paraId="5194C215"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XIII.Difundir proactivamente información de interés público; </w:t>
      </w:r>
    </w:p>
    <w:p w14:paraId="52E6702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XIV. Asegurar la protección de los datos personales en su posesión, en términos de la Ley de Protección de Datos Personales del Estado de México; </w:t>
      </w:r>
    </w:p>
    <w:p w14:paraId="6D6A524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 Informar anualmente por escrito al Instituto sobre las actividades realizadas, en cumplimiento de las obligaciones que se deriven de la presente Ley; </w:t>
      </w:r>
    </w:p>
    <w:p w14:paraId="22E439A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 Procurar condiciones de accesibilidad para que personas con discapacidad ejerzan los derechos regulados en esta Ley; </w:t>
      </w:r>
    </w:p>
    <w:p w14:paraId="288481E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 Crear y hacer uso de sistemas de tecnología sistematizados y avanzados, y adoptar las nuevas herramientas para que los ciudadanos consulten información de manera directa, sencilla y rápida; </w:t>
      </w:r>
    </w:p>
    <w:p w14:paraId="7E774FC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423C8A9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XIX. Transparentar sus acciones, así como garantizar y respetar el derecho a la información pública; </w:t>
      </w:r>
    </w:p>
    <w:p w14:paraId="279DA21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 Tomar las medidas apropiadas para proporcionar información a personas con discapacidad en formatos y tecnologías accesibles de forma oportuna y sin un costo adicional; </w:t>
      </w:r>
    </w:p>
    <w:p w14:paraId="6560210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 Procurar la generación de estadística de su información en formato de datos abiertos en la medida de lo posible; </w:t>
      </w:r>
    </w:p>
    <w:p w14:paraId="33DFC6C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w:t>
      </w:r>
    </w:p>
    <w:p w14:paraId="2AD8E9A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XXIV. Orientar y asesorar al solicitante para corregir cualquier deficiencia sustancial de las solicitudes; y </w:t>
      </w:r>
    </w:p>
    <w:p w14:paraId="5E896C96" w14:textId="00C089D0"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w:t>
      </w:r>
      <w:r>
        <w:rPr>
          <w:rFonts w:ascii="Palatino Linotype" w:hAnsi="Palatino Linotype"/>
          <w:i/>
          <w:sz w:val="22"/>
          <w:lang w:val="es-MX"/>
        </w:rPr>
        <w:t>”</w:t>
      </w:r>
    </w:p>
    <w:p w14:paraId="52A806CC" w14:textId="77777777" w:rsidR="00E45D7A" w:rsidRPr="00E45D7A" w:rsidRDefault="00E45D7A" w:rsidP="00E45D7A">
      <w:pPr>
        <w:spacing w:before="120" w:after="12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3199F92"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sz w:val="28"/>
          <w:szCs w:val="28"/>
          <w:lang w:val="es-MX" w:eastAsia="es-MX"/>
        </w:rPr>
      </w:pPr>
      <w:r w:rsidRPr="00E45D7A">
        <w:rPr>
          <w:rFonts w:ascii="Palatino Linotype" w:eastAsia="Palatino Linotype" w:hAnsi="Palatino Linotype" w:cs="Palatino Linotype"/>
          <w:lang w:val="es-MX" w:eastAsia="es-MX"/>
        </w:rPr>
        <w:t xml:space="preserve">Ahora bien, respecto la solicitud del Particular sobre el acta de asamblea donde el C. Juan López se acredita como administrador, resulta necesario precisar que la Ley que Regula el Régimen de Propiedad en Condominio en el Estado de México, en su artículo primero señalar que esta es de interés público y tiene por objeto establecer las bases para regular la constitución, organización, funcionamiento, modificación, administración y extinción del régimen de propiedad en condominio, </w:t>
      </w:r>
      <w:r w:rsidRPr="00E45D7A">
        <w:rPr>
          <w:rFonts w:ascii="Palatino Linotype" w:eastAsia="Palatino Linotype" w:hAnsi="Palatino Linotype" w:cs="Palatino Linotype"/>
          <w:b/>
          <w:u w:val="single"/>
          <w:lang w:val="es-MX" w:eastAsia="es-MX"/>
        </w:rPr>
        <w:t>así como su convivencia social y solución de controversias entre condóminos y residentes</w:t>
      </w:r>
      <w:r w:rsidRPr="00E45D7A">
        <w:rPr>
          <w:rFonts w:ascii="Palatino Linotype" w:eastAsia="Palatino Linotype" w:hAnsi="Palatino Linotype" w:cs="Palatino Linotype"/>
          <w:lang w:val="es-MX" w:eastAsia="es-MX"/>
        </w:rPr>
        <w:t>, y entre éstos y su administrador o Comité de Administración.</w:t>
      </w:r>
    </w:p>
    <w:p w14:paraId="2584D978" w14:textId="1167D82E" w:rsidR="00E45D7A" w:rsidRPr="0020311E"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Respecto a la asamblea, mencionada </w:t>
      </w:r>
      <w:r w:rsidR="008068A5">
        <w:rPr>
          <w:rFonts w:ascii="Palatino Linotype" w:eastAsia="Palatino Linotype" w:hAnsi="Palatino Linotype" w:cs="Palatino Linotype"/>
          <w:lang w:val="es-MX" w:eastAsia="es-MX"/>
        </w:rPr>
        <w:t>por el Particular, la legislación en referencia</w:t>
      </w:r>
      <w:r w:rsidRPr="00E45D7A">
        <w:rPr>
          <w:rFonts w:ascii="Palatino Linotype" w:eastAsia="Palatino Linotype" w:hAnsi="Palatino Linotype" w:cs="Palatino Linotype"/>
          <w:lang w:val="es-MX" w:eastAsia="es-MX"/>
        </w:rPr>
        <w:t>, en su artículo 2°, fracción VIII, la define como el órgano máximo de decisión de un condominio, integrado por la mayoría de los condóminos, en el que se resolverán los asuntos de interés común, respecto al condominio y respecto de la administración de los condominios señala lo siguiente:</w:t>
      </w:r>
    </w:p>
    <w:p w14:paraId="7497948D" w14:textId="5737A101" w:rsidR="00E45D7A"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b/>
          <w:i/>
          <w:sz w:val="22"/>
          <w:szCs w:val="22"/>
          <w:lang w:val="es-MX" w:eastAsia="es-MX"/>
        </w:rPr>
        <w:t>“</w:t>
      </w:r>
      <w:r w:rsidR="00E45D7A" w:rsidRPr="00E45D7A">
        <w:rPr>
          <w:rFonts w:ascii="Palatino Linotype" w:eastAsia="Palatino Linotype" w:hAnsi="Palatino Linotype" w:cs="Palatino Linotype"/>
          <w:b/>
          <w:i/>
          <w:sz w:val="22"/>
          <w:szCs w:val="22"/>
          <w:lang w:val="es-MX" w:eastAsia="es-MX"/>
        </w:rPr>
        <w:t>Artículo 28.-</w:t>
      </w:r>
      <w:r w:rsidR="00E45D7A" w:rsidRPr="00E45D7A">
        <w:rPr>
          <w:rFonts w:ascii="Palatino Linotype" w:eastAsia="Palatino Linotype" w:hAnsi="Palatino Linotype" w:cs="Palatino Linotype"/>
          <w:i/>
          <w:sz w:val="22"/>
          <w:szCs w:val="22"/>
          <w:lang w:val="es-MX" w:eastAsia="es-MX"/>
        </w:rPr>
        <w:t xml:space="preserve"> Las asambleas serán de dos tipos: generales y extraordinarias; para su celebración se observarán las siguientes disposiciones:</w:t>
      </w:r>
    </w:p>
    <w:p w14:paraId="762ADBC2" w14:textId="0C288DD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653D891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14:paraId="04C18C61" w14:textId="0AD628DB"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1033283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14:paraId="75AAAEEC" w14:textId="4956F3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Las determinaciones y acuerdos tomados por la Asamblea obligan a todos los condóminos, incluyendo a los ausentes y disidentes.</w:t>
      </w:r>
    </w:p>
    <w:p w14:paraId="30058926"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Artículo 29.-</w:t>
      </w:r>
      <w:r w:rsidRPr="00E45D7A">
        <w:rPr>
          <w:rFonts w:ascii="Palatino Linotype" w:eastAsia="Palatino Linotype" w:hAnsi="Palatino Linotype" w:cs="Palatino Linotype"/>
          <w:i/>
          <w:sz w:val="22"/>
          <w:szCs w:val="22"/>
          <w:lang w:val="es-MX" w:eastAsia="es-MX"/>
        </w:rPr>
        <w:t xml:space="preserve"> Serán facultades de la asamblea, sin menoscabo de las demás que le otorgue el reglamento interior del condominio las siguientes: </w:t>
      </w:r>
    </w:p>
    <w:p w14:paraId="5F6B428E"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I. </w:t>
      </w:r>
      <w:r w:rsidRPr="00E45D7A">
        <w:rPr>
          <w:rFonts w:ascii="Palatino Linotype" w:eastAsia="Palatino Linotype" w:hAnsi="Palatino Linotype" w:cs="Palatino Linotype"/>
          <w:b/>
          <w:i/>
          <w:sz w:val="22"/>
          <w:szCs w:val="22"/>
          <w:u w:val="single"/>
          <w:lang w:val="es-MX" w:eastAsia="es-MX"/>
        </w:rPr>
        <w:t>Nombrar y remover al administrador o al comité de administración en los términos del reglamento interior del condominio</w:t>
      </w:r>
      <w:r w:rsidRPr="00E45D7A">
        <w:rPr>
          <w:rFonts w:ascii="Palatino Linotype" w:eastAsia="Palatino Linotype" w:hAnsi="Palatino Linotype" w:cs="Palatino Linotype"/>
          <w:i/>
          <w:sz w:val="22"/>
          <w:szCs w:val="22"/>
          <w:lang w:val="es-MX" w:eastAsia="es-MX"/>
        </w:rPr>
        <w:t>, excepto al que funja el primer año, que será designado por quienes otorguen la escritura constitutiva del condominio;</w:t>
      </w:r>
    </w:p>
    <w:p w14:paraId="6405EBFA" w14:textId="54EA12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II. Precisar las responsabilidades frente a terceros a cargo directo del administrador o del comité de administración y las que corran a cargo de los condóminos, por actos de aquél, ejecutados con motivo del desempeño de su cargo;</w:t>
      </w:r>
    </w:p>
    <w:p w14:paraId="523AD0B4" w14:textId="77777777" w:rsidR="00E45D7A" w:rsidRPr="00BE1307"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BE1307">
        <w:rPr>
          <w:rFonts w:ascii="Palatino Linotype" w:eastAsia="Palatino Linotype" w:hAnsi="Palatino Linotype" w:cs="Palatino Linotype"/>
          <w:b/>
          <w:i/>
          <w:sz w:val="22"/>
          <w:szCs w:val="22"/>
          <w:lang w:val="es-MX" w:eastAsia="es-MX"/>
        </w:rPr>
        <w:t>Artículo 30.-</w:t>
      </w:r>
      <w:r w:rsidRPr="00BE1307">
        <w:rPr>
          <w:rFonts w:ascii="Palatino Linotype" w:eastAsia="Palatino Linotype" w:hAnsi="Palatino Linotype" w:cs="Palatino Linotype"/>
          <w:i/>
          <w:sz w:val="22"/>
          <w:szCs w:val="22"/>
          <w:lang w:val="es-MX" w:eastAsia="es-MX"/>
        </w:rPr>
        <w:t xml:space="preserve"> </w:t>
      </w:r>
      <w:r w:rsidRPr="00BE1307">
        <w:rPr>
          <w:rFonts w:ascii="Palatino Linotype" w:eastAsia="Palatino Linotype" w:hAnsi="Palatino Linotype" w:cs="Palatino Linotype"/>
          <w:b/>
          <w:i/>
          <w:sz w:val="22"/>
          <w:szCs w:val="22"/>
          <w:u w:val="single"/>
          <w:lang w:val="es-MX" w:eastAsia="es-MX"/>
        </w:rPr>
        <w:t>Los condominios serán administrados por un Comité de Administración o por un administrador que designará la Asamblea General</w:t>
      </w:r>
      <w:r w:rsidRPr="00BE1307">
        <w:rPr>
          <w:rFonts w:ascii="Palatino Linotype" w:eastAsia="Palatino Linotype" w:hAnsi="Palatino Linotype" w:cs="Palatino Linotype"/>
          <w:i/>
          <w:sz w:val="22"/>
          <w:szCs w:val="22"/>
          <w:lang w:val="es-MX" w:eastAsia="es-MX"/>
        </w:rPr>
        <w:t>, por el tiempo que ésta determine, salvo cuando la designación recaiga en un condómino, en cuyo caso durará en el cargo de uno a tres años, según lo disponga la asamblea.</w:t>
      </w:r>
    </w:p>
    <w:p w14:paraId="08225767" w14:textId="70AE881D" w:rsidR="00BE1307" w:rsidRPr="00BE1307" w:rsidRDefault="00BE1307"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BE1307">
        <w:rPr>
          <w:rFonts w:ascii="Palatino Linotype" w:eastAsia="Palatino Linotype" w:hAnsi="Palatino Linotype" w:cs="Palatino Linotype"/>
          <w:b/>
          <w:i/>
          <w:sz w:val="22"/>
          <w:szCs w:val="22"/>
          <w:lang w:val="es-MX" w:eastAsia="es-MX"/>
        </w:rPr>
        <w:t>…</w:t>
      </w:r>
    </w:p>
    <w:p w14:paraId="59B09C78" w14:textId="4C74C0A7"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Artículo 33.- </w:t>
      </w:r>
      <w:r w:rsidRPr="00BE1307">
        <w:rPr>
          <w:rFonts w:ascii="Palatino Linotype" w:eastAsia="Palatino Linotype" w:hAnsi="Palatino Linotype" w:cs="Palatino Linotype"/>
          <w:i/>
          <w:sz w:val="22"/>
          <w:szCs w:val="22"/>
          <w:lang w:eastAsia="es-MX"/>
        </w:rPr>
        <w:t>Con el objeto de que el administrador o el comité de administración cumplan con las obligaciones establecidas, cada condominio contará con una mesa directiva, la cual se nombrará anualmente por la asamblea y estará integrada de tres a cinco condóminos, los cuales fungirán como presidente contralor, secretario y, en su caso, vocales, y tendrá las siguientes atribuciones y obligaciones:</w:t>
      </w:r>
    </w:p>
    <w:p w14:paraId="3D775D78" w14:textId="360FA1DB"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 </w:t>
      </w:r>
      <w:r w:rsidRPr="00BE1307">
        <w:rPr>
          <w:rFonts w:ascii="Palatino Linotype" w:eastAsia="Palatino Linotype" w:hAnsi="Palatino Linotype" w:cs="Palatino Linotype"/>
          <w:i/>
          <w:sz w:val="22"/>
          <w:szCs w:val="22"/>
          <w:lang w:eastAsia="es-MX"/>
        </w:rPr>
        <w:t>Verificar que el administrador o comité de administración cumpla los acuerdos de la asamblea general;</w:t>
      </w:r>
    </w:p>
    <w:p w14:paraId="4CF9C963" w14:textId="10C12A93"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II. </w:t>
      </w:r>
      <w:r w:rsidRPr="00BE1307">
        <w:rPr>
          <w:rFonts w:ascii="Palatino Linotype" w:eastAsia="Palatino Linotype" w:hAnsi="Palatino Linotype" w:cs="Palatino Linotype"/>
          <w:i/>
          <w:sz w:val="22"/>
          <w:szCs w:val="22"/>
          <w:lang w:eastAsia="es-MX"/>
        </w:rPr>
        <w:t>Determinar lo procedente en caso de incumplimiento por parte del administrador o comité de administración;</w:t>
      </w:r>
    </w:p>
    <w:p w14:paraId="5F67C3A3" w14:textId="5D8AFEF9"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III. </w:t>
      </w:r>
      <w:r w:rsidRPr="00BE1307">
        <w:rPr>
          <w:rFonts w:ascii="Palatino Linotype" w:eastAsia="Palatino Linotype" w:hAnsi="Palatino Linotype" w:cs="Palatino Linotype"/>
          <w:i/>
          <w:sz w:val="22"/>
          <w:szCs w:val="22"/>
          <w:lang w:eastAsia="es-MX"/>
        </w:rPr>
        <w:t>Verificar los estados de cuenta que debe rendir el administrador o comité de administración ante la asamblea y, en su caso, dar cuenta a ésta de las observaciones encontradas;</w:t>
      </w:r>
    </w:p>
    <w:p w14:paraId="03C60BE7" w14:textId="386491CA"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IV. </w:t>
      </w:r>
      <w:r w:rsidRPr="00BE1307">
        <w:rPr>
          <w:rFonts w:ascii="Palatino Linotype" w:eastAsia="Palatino Linotype" w:hAnsi="Palatino Linotype" w:cs="Palatino Linotype"/>
          <w:i/>
          <w:sz w:val="22"/>
          <w:szCs w:val="22"/>
          <w:lang w:eastAsia="es-MX"/>
        </w:rPr>
        <w:t>Coadyuvar con el administrador o comité de administración del condominio a fomentar entre los condóminos el respeto y conservación de las áreas comunes, así como el cumplimiento de las obligaciones económicas y aportaciones que fije la asamblea;</w:t>
      </w:r>
    </w:p>
    <w:p w14:paraId="72A8A53C" w14:textId="2FF085F6" w:rsidR="00BE1307" w:rsidRPr="00BE1307" w:rsidRDefault="00BE1307" w:rsidP="00BE1307">
      <w:pPr>
        <w:tabs>
          <w:tab w:val="left" w:pos="4962"/>
        </w:tabs>
        <w:spacing w:after="160"/>
        <w:ind w:left="567" w:right="539"/>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V. </w:t>
      </w:r>
      <w:r w:rsidRPr="00BE1307">
        <w:rPr>
          <w:rFonts w:ascii="Palatino Linotype" w:eastAsia="Palatino Linotype" w:hAnsi="Palatino Linotype" w:cs="Palatino Linotype"/>
          <w:i/>
          <w:sz w:val="22"/>
          <w:szCs w:val="22"/>
          <w:lang w:eastAsia="es-MX"/>
        </w:rPr>
        <w:t>A través de su secretario, llevar un libro de actas en el que constarán los acuerdos tomados en las asambleas, que tendrá a la vista de los condóminos y de los acreedores registrados en el mismo, debiendo informarles por escrito a cada uno de los condóminos, las resoluciones que adopte la asamblea.</w:t>
      </w:r>
    </w:p>
    <w:p w14:paraId="774537B4" w14:textId="394FFB9E" w:rsidR="001100BB" w:rsidRDefault="00E45D7A" w:rsidP="00BE1307">
      <w:pPr>
        <w:tabs>
          <w:tab w:val="left" w:pos="4962"/>
        </w:tabs>
        <w:spacing w:after="160"/>
        <w:ind w:left="567" w:right="539"/>
        <w:jc w:val="both"/>
        <w:rPr>
          <w:rFonts w:ascii="Palatino Linotype" w:eastAsia="Palatino Linotype" w:hAnsi="Palatino Linotype" w:cs="Palatino Linotype"/>
          <w:b/>
          <w:i/>
          <w:sz w:val="22"/>
          <w:szCs w:val="22"/>
          <w:lang w:val="es-MX" w:eastAsia="es-MX"/>
        </w:rPr>
      </w:pPr>
      <w:r w:rsidRPr="00BE1307">
        <w:rPr>
          <w:rFonts w:ascii="Palatino Linotype" w:eastAsia="Palatino Linotype" w:hAnsi="Palatino Linotype" w:cs="Palatino Linotype"/>
          <w:b/>
          <w:i/>
          <w:sz w:val="22"/>
          <w:szCs w:val="22"/>
          <w:lang w:val="es-MX" w:eastAsia="es-MX"/>
        </w:rPr>
        <w:t>…</w:t>
      </w:r>
      <w:r w:rsidR="008068A5" w:rsidRPr="00BE1307">
        <w:rPr>
          <w:rFonts w:ascii="Palatino Linotype" w:eastAsia="Palatino Linotype" w:hAnsi="Palatino Linotype" w:cs="Palatino Linotype"/>
          <w:b/>
          <w:i/>
          <w:sz w:val="22"/>
          <w:szCs w:val="22"/>
          <w:lang w:val="es-MX" w:eastAsia="es-MX"/>
        </w:rPr>
        <w:t>”</w:t>
      </w:r>
    </w:p>
    <w:p w14:paraId="7984249C" w14:textId="3B10EA9F" w:rsidR="008068A5"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8068A5">
        <w:rPr>
          <w:rFonts w:ascii="Palatino Linotype" w:eastAsia="Palatino Linotype" w:hAnsi="Palatino Linotype" w:cs="Palatino Linotype"/>
          <w:i/>
          <w:sz w:val="22"/>
          <w:szCs w:val="22"/>
          <w:lang w:val="es-MX" w:eastAsia="es-MX"/>
        </w:rPr>
        <w:t>(Énfasis añadido)</w:t>
      </w:r>
    </w:p>
    <w:p w14:paraId="2D4FDB53" w14:textId="75DA9EAF" w:rsidR="00E45D7A" w:rsidRPr="00E45D7A"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Así, de la normatividad anteriormente citada se concluye que el Sujeto Obligado no tiene participación en la asamblea del condominio y por lo tanto no posee o administra, las actas que se generen, así como tampoco cuenta con atribuciones para nombrar y/o remover al administrador ya que esta atribución le corresponde a la asamblea de cada condominio, situación que se enc</w:t>
      </w:r>
      <w:r w:rsidR="00BE1307">
        <w:rPr>
          <w:rFonts w:ascii="Palatino Linotype" w:eastAsia="Palatino Linotype" w:hAnsi="Palatino Linotype" w:cs="Palatino Linotype"/>
          <w:lang w:val="es-MX" w:eastAsia="es-MX"/>
        </w:rPr>
        <w:t>uentra claramente señalada en los</w:t>
      </w:r>
      <w:r w:rsidRPr="00E45D7A">
        <w:rPr>
          <w:rFonts w:ascii="Palatino Linotype" w:eastAsia="Palatino Linotype" w:hAnsi="Palatino Linotype" w:cs="Palatino Linotype"/>
          <w:lang w:val="es-MX" w:eastAsia="es-MX"/>
        </w:rPr>
        <w:t xml:space="preserve"> artículo </w:t>
      </w:r>
      <w:r w:rsidR="00BE1307" w:rsidRPr="00BE1307">
        <w:rPr>
          <w:rFonts w:ascii="Palatino Linotype" w:eastAsia="Palatino Linotype" w:hAnsi="Palatino Linotype" w:cs="Palatino Linotype"/>
          <w:lang w:val="es-MX" w:eastAsia="es-MX"/>
        </w:rPr>
        <w:t xml:space="preserve">29, 30 </w:t>
      </w:r>
      <w:r w:rsidR="001100BB" w:rsidRPr="00BE1307">
        <w:rPr>
          <w:rFonts w:ascii="Palatino Linotype" w:eastAsia="Palatino Linotype" w:hAnsi="Palatino Linotype" w:cs="Palatino Linotype"/>
          <w:lang w:val="es-MX" w:eastAsia="es-MX"/>
        </w:rPr>
        <w:t>y 33</w:t>
      </w:r>
      <w:r w:rsidR="001100BB">
        <w:rPr>
          <w:rFonts w:ascii="Palatino Linotype" w:eastAsia="Palatino Linotype" w:hAnsi="Palatino Linotype" w:cs="Palatino Linotype"/>
          <w:lang w:val="es-MX" w:eastAsia="es-MX"/>
        </w:rPr>
        <w:t xml:space="preserve"> </w:t>
      </w:r>
      <w:r w:rsidRPr="00E45D7A">
        <w:rPr>
          <w:rFonts w:ascii="Palatino Linotype" w:eastAsia="Palatino Linotype" w:hAnsi="Palatino Linotype" w:cs="Palatino Linotype"/>
          <w:lang w:val="es-MX" w:eastAsia="es-MX"/>
        </w:rPr>
        <w:t>arriba citado.</w:t>
      </w:r>
    </w:p>
    <w:p w14:paraId="0B80EB9A"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otra parte, de conformidad a Ley que Regula el Régimen de Propiedad en Condominio en el Estado de México dispone lo siguiente:</w:t>
      </w:r>
    </w:p>
    <w:p w14:paraId="6BDB248C" w14:textId="2EB646E0" w:rsidR="00E45D7A" w:rsidRPr="00E45D7A" w:rsidRDefault="008068A5" w:rsidP="008068A5">
      <w:pPr>
        <w:spacing w:before="280" w:after="280"/>
        <w:ind w:left="851" w:right="1327"/>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i/>
          <w:sz w:val="22"/>
          <w:szCs w:val="22"/>
          <w:lang w:val="es-MX" w:eastAsia="es-MX"/>
        </w:rPr>
        <w:t>“</w:t>
      </w:r>
      <w:r w:rsidR="00E45D7A" w:rsidRPr="00E45D7A">
        <w:rPr>
          <w:rFonts w:ascii="Palatino Linotype" w:eastAsia="Palatino Linotype" w:hAnsi="Palatino Linotype" w:cs="Palatino Linotype"/>
          <w:i/>
          <w:sz w:val="22"/>
          <w:szCs w:val="22"/>
          <w:lang w:val="es-MX" w:eastAsia="es-MX"/>
        </w:rPr>
        <w:t>Artículo 46.- El Síndico Municipal, será competente para desahogar los procedimientos arbitrales para resolver controversias en materia de propiedad en condominio.</w:t>
      </w:r>
    </w:p>
    <w:p w14:paraId="5115F223"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Artículo 50.-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14:paraId="51F71C7A"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Artículo 51.- El procedimiento de arbitraje se substanciará ante el Síndico Municipal, el cual contará con plena libertad y autonomía para emitir sus laudos e imponer las sanciones previstas en la presente ley. </w:t>
      </w:r>
    </w:p>
    <w:p w14:paraId="207CB6F2" w14:textId="77777777" w:rsidR="00BE1307"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Artículo 52.- El arbitraje tendrá como característica ser un procedimiento para la resolución de controversias que buscará proporcionar a las partes la mayor equidad posible y se regirá por los principios de legalidad, sencillez, celeridad, oficiosidad, eficacia, publicidad, gratuidad y buena fe, e inicia</w:t>
      </w:r>
      <w:r w:rsidR="008068A5">
        <w:rPr>
          <w:rFonts w:ascii="Palatino Linotype" w:eastAsia="Palatino Linotype" w:hAnsi="Palatino Linotype" w:cs="Palatino Linotype"/>
          <w:i/>
          <w:sz w:val="22"/>
          <w:szCs w:val="22"/>
          <w:lang w:val="es-MX" w:eastAsia="es-MX"/>
        </w:rPr>
        <w:t>rá siempre a petición de parte.</w:t>
      </w:r>
    </w:p>
    <w:p w14:paraId="3D94174A" w14:textId="7FC87E4F" w:rsidR="00BE1307" w:rsidRDefault="00BE1307" w:rsidP="008068A5">
      <w:pPr>
        <w:spacing w:before="280" w:after="280"/>
        <w:ind w:left="851" w:right="1327"/>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i/>
          <w:sz w:val="22"/>
          <w:szCs w:val="22"/>
          <w:lang w:val="es-MX" w:eastAsia="es-MX"/>
        </w:rPr>
        <w:t>[…]</w:t>
      </w:r>
    </w:p>
    <w:p w14:paraId="02883207" w14:textId="6761EC81" w:rsidR="00BE1307"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Artículo 57.- </w:t>
      </w:r>
      <w:r w:rsidRPr="00BE1307">
        <w:rPr>
          <w:rFonts w:ascii="Palatino Linotype" w:eastAsia="Palatino Linotype" w:hAnsi="Palatino Linotype" w:cs="Palatino Linotype"/>
          <w:i/>
          <w:sz w:val="22"/>
          <w:szCs w:val="22"/>
          <w:lang w:eastAsia="es-MX"/>
        </w:rPr>
        <w:t>El procedimiento arbitral terminará por:</w:t>
      </w:r>
    </w:p>
    <w:p w14:paraId="4FEA2490" w14:textId="32BAEDDA" w:rsidR="00BE1307"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 </w:t>
      </w:r>
      <w:r w:rsidRPr="00BE1307">
        <w:rPr>
          <w:rFonts w:ascii="Palatino Linotype" w:eastAsia="Palatino Linotype" w:hAnsi="Palatino Linotype" w:cs="Palatino Linotype"/>
          <w:i/>
          <w:sz w:val="22"/>
          <w:szCs w:val="22"/>
          <w:lang w:eastAsia="es-MX"/>
        </w:rPr>
        <w:t>Desistimiento;</w:t>
      </w:r>
    </w:p>
    <w:p w14:paraId="08FCD33C" w14:textId="484387A1" w:rsidR="00BE1307"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II. </w:t>
      </w:r>
      <w:r w:rsidRPr="00BE1307">
        <w:rPr>
          <w:rFonts w:ascii="Palatino Linotype" w:eastAsia="Palatino Linotype" w:hAnsi="Palatino Linotype" w:cs="Palatino Linotype"/>
          <w:i/>
          <w:sz w:val="22"/>
          <w:szCs w:val="22"/>
          <w:lang w:eastAsia="es-MX"/>
        </w:rPr>
        <w:t>Laudo que resuelva la controversia;</w:t>
      </w:r>
    </w:p>
    <w:p w14:paraId="4C36F63B" w14:textId="61B7179C" w:rsidR="00BE1307"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 xml:space="preserve">III. </w:t>
      </w:r>
      <w:r w:rsidRPr="00BE1307">
        <w:rPr>
          <w:rFonts w:ascii="Palatino Linotype" w:eastAsia="Palatino Linotype" w:hAnsi="Palatino Linotype" w:cs="Palatino Linotype"/>
          <w:i/>
          <w:sz w:val="22"/>
          <w:szCs w:val="22"/>
          <w:lang w:eastAsia="es-MX"/>
        </w:rPr>
        <w:t>Acuerdo de las partes mediante convenio ajustado a la legislación civil vigente, el cual tendrá aparejada ejecución.</w:t>
      </w:r>
    </w:p>
    <w:p w14:paraId="2236FD3F" w14:textId="481199A2" w:rsidR="00BE1307"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IV.</w:t>
      </w:r>
      <w:r w:rsidRPr="00BE1307">
        <w:rPr>
          <w:rFonts w:ascii="Palatino Linotype" w:eastAsia="Palatino Linotype" w:hAnsi="Palatino Linotype" w:cs="Palatino Linotype"/>
          <w:i/>
          <w:sz w:val="22"/>
          <w:szCs w:val="22"/>
          <w:lang w:eastAsia="es-MX"/>
        </w:rPr>
        <w:t xml:space="preserve"> Convenio celebrado vía mediación Judicial, o ante las Mesas Calificadoras y Conciliadoras Municipales.</w:t>
      </w:r>
    </w:p>
    <w:p w14:paraId="100C6684" w14:textId="663FAD26" w:rsidR="00E45D7A" w:rsidRPr="00BE1307" w:rsidRDefault="00BE1307" w:rsidP="00BE1307">
      <w:pPr>
        <w:spacing w:before="280" w:after="280"/>
        <w:ind w:left="851" w:right="1327"/>
        <w:jc w:val="both"/>
        <w:rPr>
          <w:rFonts w:ascii="Palatino Linotype" w:eastAsia="Palatino Linotype" w:hAnsi="Palatino Linotype" w:cs="Palatino Linotype"/>
          <w:i/>
          <w:sz w:val="22"/>
          <w:szCs w:val="22"/>
          <w:lang w:eastAsia="es-MX"/>
        </w:rPr>
      </w:pPr>
      <w:r w:rsidRPr="00BE1307">
        <w:rPr>
          <w:rFonts w:ascii="Palatino Linotype" w:eastAsia="Palatino Linotype" w:hAnsi="Palatino Linotype" w:cs="Palatino Linotype"/>
          <w:b/>
          <w:i/>
          <w:sz w:val="22"/>
          <w:szCs w:val="22"/>
          <w:lang w:eastAsia="es-MX"/>
        </w:rPr>
        <w:t>Artículo 58.-</w:t>
      </w:r>
      <w:r w:rsidRPr="00BE1307">
        <w:rPr>
          <w:rFonts w:ascii="Palatino Linotype" w:eastAsia="Palatino Linotype" w:hAnsi="Palatino Linotype" w:cs="Palatino Linotype"/>
          <w:i/>
          <w:sz w:val="22"/>
          <w:szCs w:val="22"/>
          <w:lang w:eastAsia="es-MX"/>
        </w:rPr>
        <w:t xml:space="preserve"> Terminada la instrucción del procedimiento, la mesa de arbitraje dictará el laudo que resuelva la controversia. En caso de que alguna de las partes o ambas consideren que el laudo no es claro en alguno de sus contenidos, solicitarán a la mesa, dentro de los tres días siguientes de la notificación, se aclare o corrija. La interpretación que emita la mesa de arbitraje formará parte del laudo.</w:t>
      </w:r>
      <w:r w:rsidR="008068A5">
        <w:rPr>
          <w:rFonts w:ascii="Palatino Linotype" w:eastAsia="Palatino Linotype" w:hAnsi="Palatino Linotype" w:cs="Palatino Linotype"/>
          <w:i/>
          <w:sz w:val="22"/>
          <w:szCs w:val="22"/>
          <w:lang w:val="es-MX" w:eastAsia="es-MX"/>
        </w:rPr>
        <w:t>”</w:t>
      </w:r>
    </w:p>
    <w:p w14:paraId="49A2952F" w14:textId="77777777" w:rsidR="00BE1307" w:rsidRDefault="008068A5" w:rsidP="008068A5">
      <w:pPr>
        <w:spacing w:before="280" w:after="280"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Por </w:t>
      </w:r>
      <w:r w:rsidR="00E45D7A" w:rsidRPr="00E45D7A">
        <w:rPr>
          <w:rFonts w:ascii="Palatino Linotype" w:eastAsia="Palatino Linotype" w:hAnsi="Palatino Linotype" w:cs="Palatino Linotype"/>
          <w:lang w:val="es-MX" w:eastAsia="es-MX"/>
        </w:rPr>
        <w:t>lo anterior se advierte, que el Síndico Municipal,  únicamente será competente para desahogar los procedimientos arbitrales para resolver controversias en materia de propiedad en condominio por lo que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que se substanciará ante el Síndico Municipal, el cual contará con plena libertad y autonomía para emitir sus laudos e imponer las sanciones, procedimiento que podrán iniciar el procedimiento de arbitraje los condóminos o residentes de los condominios o los administradores</w:t>
      </w:r>
    </w:p>
    <w:p w14:paraId="39F66D8F" w14:textId="77777777" w:rsidR="007C3D31" w:rsidRDefault="00BE1307" w:rsidP="008068A5">
      <w:pPr>
        <w:spacing w:before="280" w:after="280"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Posteriormente la legislación en análisis prevé las formas de terminación de los procedimientos arbitrales, las cuales consisten en el desistimiento, emisión del laudo que dirima la </w:t>
      </w:r>
      <w:r w:rsidR="007C3D31">
        <w:rPr>
          <w:rFonts w:ascii="Palatino Linotype" w:eastAsia="Palatino Linotype" w:hAnsi="Palatino Linotype" w:cs="Palatino Linotype"/>
          <w:lang w:val="es-MX" w:eastAsia="es-MX"/>
        </w:rPr>
        <w:t>controversia, acuerdo celebrado por las partes o convenio celebrado vía mediación judicial; una vez que se determinó el cierre del procedimiento, se emitirá el laudo, el cual las partes podrán solicitar su aclaración en caso de que no sea claro en algunos contenidos, debe apuntarse que la interpretación emitida por la mesa de arbitraje formará parte del laudo emitido.</w:t>
      </w:r>
    </w:p>
    <w:p w14:paraId="222D9E88" w14:textId="76374129" w:rsidR="00E45D7A" w:rsidRDefault="007C3D31" w:rsidP="007C3D31">
      <w:pPr>
        <w:spacing w:before="280" w:after="280" w:line="360" w:lineRule="auto"/>
        <w:ind w:right="49"/>
        <w:jc w:val="both"/>
        <w:rPr>
          <w:rFonts w:ascii="Palatino Linotype" w:eastAsia="Palatino Linotype" w:hAnsi="Palatino Linotype" w:cs="Palatino Linotype"/>
          <w:color w:val="000000"/>
          <w:lang w:val="es-MX" w:eastAsia="es-MX"/>
        </w:rPr>
      </w:pPr>
      <w:r w:rsidRPr="007C3D31">
        <w:rPr>
          <w:rFonts w:ascii="Palatino Linotype" w:eastAsia="Palatino Linotype" w:hAnsi="Palatino Linotype" w:cs="Palatino Linotype"/>
          <w:color w:val="000000"/>
          <w:lang w:val="es-MX" w:eastAsia="es-MX"/>
        </w:rPr>
        <w:t>En ese sentido, se advierte que los síndicos mun</w:t>
      </w:r>
      <w:r>
        <w:rPr>
          <w:rFonts w:ascii="Palatino Linotype" w:eastAsia="Palatino Linotype" w:hAnsi="Palatino Linotype" w:cs="Palatino Linotype"/>
          <w:color w:val="000000"/>
          <w:lang w:val="es-MX" w:eastAsia="es-MX"/>
        </w:rPr>
        <w:t xml:space="preserve">icipales no intervienen en la </w:t>
      </w:r>
      <w:r w:rsidRPr="007C3D31">
        <w:rPr>
          <w:rFonts w:ascii="Palatino Linotype" w:eastAsia="Palatino Linotype" w:hAnsi="Palatino Linotype" w:cs="Palatino Linotype"/>
          <w:color w:val="000000"/>
          <w:lang w:val="es-MX" w:eastAsia="es-MX"/>
        </w:rPr>
        <w:t>designación de los administradores o comités de adm</w:t>
      </w:r>
      <w:r>
        <w:rPr>
          <w:rFonts w:ascii="Palatino Linotype" w:eastAsia="Palatino Linotype" w:hAnsi="Palatino Linotype" w:cs="Palatino Linotype"/>
          <w:color w:val="000000"/>
          <w:lang w:val="es-MX" w:eastAsia="es-MX"/>
        </w:rPr>
        <w:t xml:space="preserve">inistración, puesto que esta es </w:t>
      </w:r>
      <w:r w:rsidRPr="007C3D31">
        <w:rPr>
          <w:rFonts w:ascii="Palatino Linotype" w:eastAsia="Palatino Linotype" w:hAnsi="Palatino Linotype" w:cs="Palatino Linotype"/>
          <w:color w:val="000000"/>
          <w:lang w:val="es-MX" w:eastAsia="es-MX"/>
        </w:rPr>
        <w:t>una facultad exclusiva de la asamblea general como órgano máximo de decisión en</w:t>
      </w:r>
      <w:r>
        <w:rPr>
          <w:rFonts w:ascii="Palatino Linotype" w:eastAsia="Palatino Linotype" w:hAnsi="Palatino Linotype" w:cs="Palatino Linotype"/>
          <w:color w:val="000000"/>
          <w:lang w:val="es-MX" w:eastAsia="es-MX"/>
        </w:rPr>
        <w:t xml:space="preserve"> </w:t>
      </w:r>
      <w:r w:rsidRPr="007C3D31">
        <w:rPr>
          <w:rFonts w:ascii="Palatino Linotype" w:eastAsia="Palatino Linotype" w:hAnsi="Palatino Linotype" w:cs="Palatino Linotype"/>
          <w:color w:val="000000"/>
          <w:lang w:val="es-MX" w:eastAsia="es-MX"/>
        </w:rPr>
        <w:t xml:space="preserve">un condominio, y que la participación de dichas autoridades se </w:t>
      </w:r>
      <w:r>
        <w:rPr>
          <w:rFonts w:ascii="Palatino Linotype" w:eastAsia="Palatino Linotype" w:hAnsi="Palatino Linotype" w:cs="Palatino Linotype"/>
          <w:color w:val="000000"/>
          <w:lang w:val="es-MX" w:eastAsia="es-MX"/>
        </w:rPr>
        <w:t xml:space="preserve">limita al desahogo de </w:t>
      </w:r>
      <w:r w:rsidRPr="007C3D31">
        <w:rPr>
          <w:rFonts w:ascii="Palatino Linotype" w:eastAsia="Palatino Linotype" w:hAnsi="Palatino Linotype" w:cs="Palatino Linotype"/>
          <w:color w:val="000000"/>
          <w:lang w:val="es-MX" w:eastAsia="es-MX"/>
        </w:rPr>
        <w:t xml:space="preserve">procedimientos arbitrales en los que dictará laudos </w:t>
      </w:r>
      <w:r>
        <w:rPr>
          <w:rFonts w:ascii="Palatino Linotype" w:eastAsia="Palatino Linotype" w:hAnsi="Palatino Linotype" w:cs="Palatino Linotype"/>
          <w:color w:val="000000"/>
          <w:lang w:val="es-MX" w:eastAsia="es-MX"/>
        </w:rPr>
        <w:t xml:space="preserve">con plena libertad y autonomía, </w:t>
      </w:r>
      <w:r w:rsidRPr="007C3D31">
        <w:rPr>
          <w:rFonts w:ascii="Palatino Linotype" w:eastAsia="Palatino Linotype" w:hAnsi="Palatino Linotype" w:cs="Palatino Linotype"/>
          <w:color w:val="000000"/>
          <w:lang w:val="es-MX" w:eastAsia="es-MX"/>
        </w:rPr>
        <w:t>dando por terminado así el procedimiento arbitral; o b</w:t>
      </w:r>
      <w:r>
        <w:rPr>
          <w:rFonts w:ascii="Palatino Linotype" w:eastAsia="Palatino Linotype" w:hAnsi="Palatino Linotype" w:cs="Palatino Linotype"/>
          <w:color w:val="000000"/>
          <w:lang w:val="es-MX" w:eastAsia="es-MX"/>
        </w:rPr>
        <w:t xml:space="preserve">ien si existe un desistimiento, </w:t>
      </w:r>
      <w:r w:rsidRPr="007C3D31">
        <w:rPr>
          <w:rFonts w:ascii="Palatino Linotype" w:eastAsia="Palatino Linotype" w:hAnsi="Palatino Linotype" w:cs="Palatino Linotype"/>
          <w:color w:val="000000"/>
          <w:lang w:val="es-MX" w:eastAsia="es-MX"/>
        </w:rPr>
        <w:t>acuerdo o convenio celebrado.</w:t>
      </w:r>
    </w:p>
    <w:p w14:paraId="50AECBF5" w14:textId="01C80554" w:rsidR="007C3D31" w:rsidRPr="007C3D31" w:rsidRDefault="00E45D7A" w:rsidP="007C3D31">
      <w:pPr>
        <w:spacing w:before="100" w:beforeAutospacing="1" w:after="100" w:afterAutospacing="1" w:line="360" w:lineRule="auto"/>
        <w:jc w:val="both"/>
        <w:rPr>
          <w:rFonts w:ascii="Palatino Linotype" w:hAnsi="Palatino Linotype" w:cs="Arial"/>
          <w:lang w:val="es-MX"/>
        </w:rPr>
      </w:pPr>
      <w:r w:rsidRPr="00E45D7A">
        <w:rPr>
          <w:rFonts w:ascii="Palatino Linotype" w:eastAsia="Palatino Linotype" w:hAnsi="Palatino Linotype" w:cs="Palatino Linotype"/>
          <w:lang w:val="es-MX" w:eastAsia="es-MX"/>
        </w:rPr>
        <w:t xml:space="preserve">Por tales circunstancias, se concluye que los </w:t>
      </w:r>
      <w:r w:rsidR="007C3D31" w:rsidRPr="007C3D31">
        <w:rPr>
          <w:rFonts w:ascii="Palatino Linotype" w:eastAsia="Palatino Linotype" w:hAnsi="Palatino Linotype" w:cs="Palatino Linotype"/>
          <w:b/>
          <w:lang w:val="es-MX" w:eastAsia="es-MX"/>
        </w:rPr>
        <w:t>Sujetos Obligados</w:t>
      </w:r>
      <w:r w:rsidR="007C3D31" w:rsidRPr="00E45D7A">
        <w:rPr>
          <w:rFonts w:ascii="Palatino Linotype" w:eastAsia="Palatino Linotype" w:hAnsi="Palatino Linotype" w:cs="Palatino Linotype"/>
          <w:lang w:val="es-MX" w:eastAsia="es-MX"/>
        </w:rPr>
        <w:t xml:space="preserve"> </w:t>
      </w:r>
      <w:r w:rsidRPr="00E45D7A">
        <w:rPr>
          <w:rFonts w:ascii="Palatino Linotype" w:eastAsia="Palatino Linotype" w:hAnsi="Palatino Linotype" w:cs="Palatino Linotype"/>
          <w:lang w:val="es-MX" w:eastAsia="es-MX"/>
        </w:rPr>
        <w:t xml:space="preserve">únicamente se encuentran constreñidos a proporcionar los documentos que den cuenta de la información solicitada, como obren en sus archivos, sin tener que elaborarlos a las necesidades del Recurrente, </w:t>
      </w:r>
      <w:r w:rsidR="007C3D31">
        <w:rPr>
          <w:rFonts w:ascii="Palatino Linotype" w:eastAsia="Palatino Linotype" w:hAnsi="Palatino Linotype" w:cs="Palatino Linotype"/>
          <w:lang w:val="es-MX" w:eastAsia="es-MX"/>
        </w:rPr>
        <w:t xml:space="preserve">es decir, </w:t>
      </w:r>
      <w:r w:rsidR="007C3D31" w:rsidRPr="007C3D31">
        <w:rPr>
          <w:rFonts w:ascii="Palatino Linotype" w:hAnsi="Palatino Linotype"/>
          <w:color w:val="212121"/>
          <w:bdr w:val="none" w:sz="0" w:space="0" w:color="auto" w:frame="1"/>
          <w:lang w:val="es-MX"/>
        </w:rPr>
        <w:t>sin necesidad de elaborar documentos </w:t>
      </w:r>
      <w:r w:rsidR="007C3D31" w:rsidRPr="007C3D31">
        <w:rPr>
          <w:rFonts w:ascii="Palatino Linotype" w:hAnsi="Palatino Linotype"/>
          <w:i/>
          <w:iCs/>
          <w:color w:val="212121"/>
          <w:bdr w:val="none" w:sz="0" w:space="0" w:color="auto" w:frame="1"/>
          <w:lang w:val="es-MX"/>
        </w:rPr>
        <w:t>ad hoc </w:t>
      </w:r>
      <w:r w:rsidR="007C3D31" w:rsidRPr="007C3D31">
        <w:rPr>
          <w:rFonts w:ascii="Palatino Linotype" w:hAnsi="Palatino Linotype"/>
          <w:color w:val="212121"/>
          <w:bdr w:val="none" w:sz="0" w:space="0" w:color="auto" w:frame="1"/>
          <w:lang w:val="es-MX"/>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5CD344E7" w14:textId="77777777" w:rsidR="007C3D31" w:rsidRPr="007C3D31" w:rsidRDefault="007C3D31" w:rsidP="007C3D31">
      <w:pPr>
        <w:ind w:left="851" w:right="902"/>
        <w:jc w:val="both"/>
        <w:rPr>
          <w:rFonts w:ascii="Palatino Linotype" w:hAnsi="Palatino Linotype"/>
          <w:i/>
          <w:iCs/>
          <w:color w:val="212121"/>
          <w:sz w:val="22"/>
          <w:szCs w:val="22"/>
          <w:bdr w:val="none" w:sz="0" w:space="0" w:color="auto" w:frame="1"/>
          <w:lang w:eastAsia="es-MX"/>
        </w:rPr>
      </w:pPr>
      <w:r w:rsidRPr="007C3D31">
        <w:rPr>
          <w:rFonts w:ascii="Palatino Linotype" w:hAnsi="Palatino Linotype"/>
          <w:b/>
          <w:bCs/>
          <w:i/>
          <w:iCs/>
          <w:color w:val="212121"/>
          <w:sz w:val="22"/>
          <w:szCs w:val="22"/>
          <w:bdr w:val="none" w:sz="0" w:space="0" w:color="auto" w:frame="1"/>
          <w:lang w:eastAsia="es-MX"/>
        </w:rPr>
        <w:t>“No existe obligación de elaborar </w:t>
      </w:r>
      <w:r w:rsidRPr="007C3D31">
        <w:rPr>
          <w:rFonts w:ascii="Palatino Linotype" w:hAnsi="Palatino Linotype"/>
          <w:b/>
          <w:bCs/>
          <w:i/>
          <w:iCs/>
          <w:color w:val="212121"/>
          <w:spacing w:val="-3"/>
          <w:sz w:val="22"/>
          <w:szCs w:val="22"/>
          <w:bdr w:val="none" w:sz="0" w:space="0" w:color="auto" w:frame="1"/>
          <w:lang w:eastAsia="es-MX"/>
        </w:rPr>
        <w:t>d</w:t>
      </w:r>
      <w:r w:rsidRPr="007C3D31">
        <w:rPr>
          <w:rFonts w:ascii="Palatino Linotype" w:hAnsi="Palatino Linotype"/>
          <w:b/>
          <w:bCs/>
          <w:i/>
          <w:iCs/>
          <w:color w:val="212121"/>
          <w:sz w:val="22"/>
          <w:szCs w:val="22"/>
          <w:bdr w:val="none" w:sz="0" w:space="0" w:color="auto" w:frame="1"/>
          <w:lang w:eastAsia="es-MX"/>
        </w:rPr>
        <w:t>ocum</w:t>
      </w:r>
      <w:r w:rsidRPr="007C3D31">
        <w:rPr>
          <w:rFonts w:ascii="Palatino Linotype" w:hAnsi="Palatino Linotype"/>
          <w:b/>
          <w:bCs/>
          <w:i/>
          <w:iCs/>
          <w:color w:val="212121"/>
          <w:spacing w:val="1"/>
          <w:sz w:val="22"/>
          <w:szCs w:val="22"/>
          <w:bdr w:val="none" w:sz="0" w:space="0" w:color="auto" w:frame="1"/>
          <w:lang w:eastAsia="es-MX"/>
        </w:rPr>
        <w:t>e</w:t>
      </w:r>
      <w:r w:rsidRPr="007C3D31">
        <w:rPr>
          <w:rFonts w:ascii="Palatino Linotype" w:hAnsi="Palatino Linotype"/>
          <w:b/>
          <w:bCs/>
          <w:i/>
          <w:iCs/>
          <w:color w:val="212121"/>
          <w:sz w:val="22"/>
          <w:szCs w:val="22"/>
          <w:bdr w:val="none" w:sz="0" w:space="0" w:color="auto" w:frame="1"/>
          <w:lang w:eastAsia="es-MX"/>
        </w:rPr>
        <w:t>n</w:t>
      </w:r>
      <w:r w:rsidRPr="007C3D31">
        <w:rPr>
          <w:rFonts w:ascii="Palatino Linotype" w:hAnsi="Palatino Linotype"/>
          <w:b/>
          <w:bCs/>
          <w:i/>
          <w:iCs/>
          <w:color w:val="212121"/>
          <w:spacing w:val="-1"/>
          <w:sz w:val="22"/>
          <w:szCs w:val="22"/>
          <w:bdr w:val="none" w:sz="0" w:space="0" w:color="auto" w:frame="1"/>
          <w:lang w:eastAsia="es-MX"/>
        </w:rPr>
        <w:t>t</w:t>
      </w:r>
      <w:r w:rsidRPr="007C3D31">
        <w:rPr>
          <w:rFonts w:ascii="Palatino Linotype" w:hAnsi="Palatino Linotype"/>
          <w:b/>
          <w:bCs/>
          <w:i/>
          <w:iCs/>
          <w:color w:val="212121"/>
          <w:sz w:val="22"/>
          <w:szCs w:val="22"/>
          <w:bdr w:val="none" w:sz="0" w:space="0" w:color="auto" w:frame="1"/>
          <w:lang w:eastAsia="es-MX"/>
        </w:rPr>
        <w:t>os</w:t>
      </w:r>
      <w:r w:rsidRPr="007C3D31">
        <w:rPr>
          <w:rFonts w:ascii="Palatino Linotype" w:hAnsi="Palatino Linotype"/>
          <w:b/>
          <w:bCs/>
          <w:i/>
          <w:iCs/>
          <w:color w:val="212121"/>
          <w:spacing w:val="14"/>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ad </w:t>
      </w:r>
      <w:r w:rsidRPr="007C3D31">
        <w:rPr>
          <w:rFonts w:ascii="Palatino Linotype" w:hAnsi="Palatino Linotype"/>
          <w:b/>
          <w:bCs/>
          <w:i/>
          <w:iCs/>
          <w:color w:val="212121"/>
          <w:sz w:val="22"/>
          <w:szCs w:val="22"/>
          <w:bdr w:val="none" w:sz="0" w:space="0" w:color="auto" w:frame="1"/>
          <w:lang w:eastAsia="es-MX"/>
        </w:rPr>
        <w:t>hoc</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para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atender las sol</w:t>
      </w:r>
      <w:r w:rsidRPr="007C3D31">
        <w:rPr>
          <w:rFonts w:ascii="Palatino Linotype" w:hAnsi="Palatino Linotype"/>
          <w:b/>
          <w:bCs/>
          <w:i/>
          <w:iCs/>
          <w:color w:val="212121"/>
          <w:spacing w:val="-2"/>
          <w:sz w:val="22"/>
          <w:szCs w:val="22"/>
          <w:bdr w:val="none" w:sz="0" w:space="0" w:color="auto" w:frame="1"/>
          <w:lang w:eastAsia="es-MX"/>
        </w:rPr>
        <w:t>i</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itudes</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de</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ac</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pacing w:val="1"/>
          <w:sz w:val="22"/>
          <w:szCs w:val="22"/>
          <w:bdr w:val="none" w:sz="0" w:space="0" w:color="auto" w:frame="1"/>
          <w:lang w:eastAsia="es-MX"/>
        </w:rPr>
        <w:t>es</w:t>
      </w:r>
      <w:r w:rsidRPr="007C3D31">
        <w:rPr>
          <w:rFonts w:ascii="Palatino Linotype" w:hAnsi="Palatino Linotype"/>
          <w:b/>
          <w:bCs/>
          <w:i/>
          <w:iCs/>
          <w:color w:val="212121"/>
          <w:sz w:val="22"/>
          <w:szCs w:val="22"/>
          <w:bdr w:val="none" w:sz="0" w:space="0" w:color="auto" w:frame="1"/>
          <w:lang w:eastAsia="es-MX"/>
        </w:rPr>
        <w:t>o</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la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informa</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ió</w:t>
      </w:r>
      <w:r w:rsidRPr="007C3D31">
        <w:rPr>
          <w:rFonts w:ascii="Palatino Linotype" w:hAnsi="Palatino Linotype"/>
          <w:b/>
          <w:bCs/>
          <w:i/>
          <w:iCs/>
          <w:color w:val="212121"/>
          <w:spacing w:val="-2"/>
          <w:sz w:val="22"/>
          <w:szCs w:val="22"/>
          <w:bdr w:val="none" w:sz="0" w:space="0" w:color="auto" w:frame="1"/>
          <w:lang w:eastAsia="es-MX"/>
        </w:rPr>
        <w:t>n</w:t>
      </w:r>
      <w:r w:rsidRPr="007C3D31">
        <w:rPr>
          <w:rFonts w:ascii="Palatino Linotype" w:hAnsi="Palatino Linotype"/>
          <w:b/>
          <w:bCs/>
          <w:i/>
          <w:iCs/>
          <w:color w:val="212121"/>
          <w:sz w:val="22"/>
          <w:szCs w:val="22"/>
          <w:bdr w:val="none" w:sz="0" w:space="0" w:color="auto" w:frame="1"/>
          <w:lang w:eastAsia="es-MX"/>
        </w:rPr>
        <w:t>.</w:t>
      </w:r>
      <w:r w:rsidRPr="007C3D31">
        <w:rPr>
          <w:rFonts w:ascii="Palatino Linotype" w:hAnsi="Palatino Linotype"/>
          <w:b/>
          <w:bCs/>
          <w:i/>
          <w:iCs/>
          <w:color w:val="212121"/>
          <w:spacing w:val="18"/>
          <w:sz w:val="22"/>
          <w:szCs w:val="22"/>
          <w:bdr w:val="none" w:sz="0" w:space="0" w:color="auto" w:frame="1"/>
          <w:lang w:eastAsia="es-MX"/>
        </w:rPr>
        <w:t> </w:t>
      </w:r>
      <w:r w:rsidRPr="007C3D31">
        <w:rPr>
          <w:rFonts w:ascii="Palatino Linotype" w:hAnsi="Palatino Linotype"/>
          <w:i/>
          <w:iCs/>
          <w:color w:val="212121"/>
          <w:spacing w:val="18"/>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os </w:t>
      </w:r>
      <w:r w:rsidRPr="007C3D31">
        <w:rPr>
          <w:rFonts w:ascii="Palatino Linotype" w:hAnsi="Palatino Linotype"/>
          <w:i/>
          <w:iCs/>
          <w:color w:val="212121"/>
          <w:spacing w:val="1"/>
          <w:sz w:val="22"/>
          <w:szCs w:val="22"/>
          <w:bdr w:val="none" w:sz="0" w:space="0" w:color="auto" w:frame="1"/>
          <w:lang w:eastAsia="es-MX"/>
        </w:rPr>
        <w:t>a</w:t>
      </w:r>
      <w:r w:rsidRPr="007C3D31">
        <w:rPr>
          <w:rFonts w:ascii="Palatino Linotype" w:hAnsi="Palatino Linotype"/>
          <w:i/>
          <w:iCs/>
          <w:color w:val="212121"/>
          <w:sz w:val="22"/>
          <w:szCs w:val="22"/>
          <w:bdr w:val="none" w:sz="0" w:space="0" w:color="auto" w:frame="1"/>
          <w:lang w:eastAsia="es-MX"/>
        </w:rPr>
        <w:t>rt</w:t>
      </w:r>
      <w:r w:rsidRPr="007C3D31">
        <w:rPr>
          <w:rFonts w:ascii="Palatino Linotype" w:hAnsi="Palatino Linotype"/>
          <w:i/>
          <w:iCs/>
          <w:color w:val="212121"/>
          <w:spacing w:val="-2"/>
          <w:sz w:val="22"/>
          <w:szCs w:val="22"/>
          <w:bdr w:val="none" w:sz="0" w:space="0" w:color="auto" w:frame="1"/>
          <w:lang w:eastAsia="es-MX"/>
        </w:rPr>
        <w:t>í</w:t>
      </w:r>
      <w:r w:rsidRPr="007C3D31">
        <w:rPr>
          <w:rFonts w:ascii="Palatino Linotype" w:hAnsi="Palatino Linotype"/>
          <w:i/>
          <w:iCs/>
          <w:color w:val="212121"/>
          <w:sz w:val="22"/>
          <w:szCs w:val="22"/>
          <w:bdr w:val="none" w:sz="0" w:space="0" w:color="auto" w:frame="1"/>
          <w:lang w:eastAsia="es-MX"/>
        </w:rPr>
        <w:t>c</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los</w:t>
      </w:r>
      <w:r w:rsidRPr="007C3D31">
        <w:rPr>
          <w:rFonts w:ascii="Palatino Linotype" w:hAnsi="Palatino Linotype"/>
          <w:i/>
          <w:iCs/>
          <w:color w:val="212121"/>
          <w:spacing w:val="8"/>
          <w:sz w:val="22"/>
          <w:szCs w:val="22"/>
          <w:bdr w:val="none" w:sz="0" w:space="0" w:color="auto" w:frame="1"/>
          <w:lang w:eastAsia="es-MX"/>
        </w:rPr>
        <w:t> 129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General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y </w:t>
      </w:r>
      <w:r w:rsidRPr="007C3D31">
        <w:rPr>
          <w:rFonts w:ascii="Palatino Linotype" w:hAnsi="Palatino Linotype"/>
          <w:i/>
          <w:iCs/>
          <w:color w:val="212121"/>
          <w:spacing w:val="8"/>
          <w:sz w:val="22"/>
          <w:szCs w:val="22"/>
          <w:bdr w:val="none" w:sz="0" w:space="0" w:color="auto" w:frame="1"/>
          <w:lang w:eastAsia="es-MX"/>
        </w:rPr>
        <w:t>130, párrafo cuarto,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Fe</w:t>
      </w:r>
      <w:r w:rsidRPr="007C3D31">
        <w:rPr>
          <w:rFonts w:ascii="Palatino Linotype" w:hAnsi="Palatino Linotype"/>
          <w:i/>
          <w:iCs/>
          <w:color w:val="212121"/>
          <w:spacing w:val="1"/>
          <w:sz w:val="22"/>
          <w:szCs w:val="22"/>
          <w:bdr w:val="none" w:sz="0" w:space="0" w:color="auto" w:frame="1"/>
          <w:lang w:eastAsia="es-MX"/>
        </w:rPr>
        <w:t>de</w:t>
      </w:r>
      <w:r w:rsidRPr="007C3D31">
        <w:rPr>
          <w:rFonts w:ascii="Palatino Linotype" w:hAnsi="Palatino Linotype"/>
          <w:i/>
          <w:iCs/>
          <w:color w:val="212121"/>
          <w:sz w:val="22"/>
          <w:szCs w:val="22"/>
          <w:bdr w:val="none" w:sz="0" w:space="0" w:color="auto" w:frame="1"/>
          <w:lang w:eastAsia="es-MX"/>
        </w:rPr>
        <w:t>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w:t>
      </w:r>
      <w:r w:rsidRPr="007C3D31">
        <w:rPr>
          <w:rFonts w:ascii="Palatino Linotype" w:hAnsi="Palatino Linotype"/>
          <w:i/>
          <w:iCs/>
          <w:color w:val="212121"/>
          <w:spacing w:val="-1"/>
          <w:sz w:val="22"/>
          <w:szCs w:val="22"/>
          <w:bdr w:val="none" w:sz="0" w:space="0" w:color="auto" w:frame="1"/>
          <w:lang w:eastAsia="es-MX"/>
        </w:rPr>
        <w:t>señalan</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q</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0073606" w14:textId="77777777" w:rsidR="007C3D31" w:rsidRPr="007C3D31" w:rsidRDefault="007C3D31" w:rsidP="007C3D31">
      <w:pPr>
        <w:ind w:left="851" w:right="902"/>
        <w:jc w:val="both"/>
        <w:rPr>
          <w:rFonts w:ascii="Palatino Linotype" w:hAnsi="Palatino Linotype" w:cs="Arial"/>
          <w:i/>
          <w:color w:val="000000"/>
          <w:sz w:val="22"/>
          <w:szCs w:val="22"/>
          <w:lang w:val="es-MX"/>
        </w:rPr>
      </w:pPr>
    </w:p>
    <w:p w14:paraId="1FB0516F" w14:textId="77777777" w:rsidR="007C3D31" w:rsidRPr="007C3D31" w:rsidRDefault="007C3D31" w:rsidP="007C3D31">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 xml:space="preserve">Resoluciones: </w:t>
      </w:r>
    </w:p>
    <w:p w14:paraId="4A30CD37" w14:textId="77777777" w:rsidR="007C3D31" w:rsidRPr="007C3D31" w:rsidRDefault="007C3D31" w:rsidP="007C3D31">
      <w:pPr>
        <w:ind w:left="851" w:right="902"/>
        <w:jc w:val="both"/>
        <w:rPr>
          <w:rFonts w:ascii="Palatino Linotype" w:hAnsi="Palatino Linotype" w:cs="Arial"/>
          <w:i/>
          <w:color w:val="000000"/>
          <w:sz w:val="22"/>
          <w:szCs w:val="22"/>
          <w:lang w:val="es-MX"/>
        </w:rPr>
      </w:pPr>
    </w:p>
    <w:p w14:paraId="4D3D922B" w14:textId="77777777" w:rsidR="007C3D31" w:rsidRPr="007C3D31" w:rsidRDefault="007C3D31" w:rsidP="007C3D31">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14:paraId="4E1D57A2" w14:textId="77777777" w:rsidR="007C3D31" w:rsidRPr="007C3D31" w:rsidRDefault="007C3D31" w:rsidP="007C3D31">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14:paraId="56B7BDCA" w14:textId="77777777" w:rsidR="007C3D31" w:rsidRPr="007C3D31" w:rsidRDefault="007C3D31" w:rsidP="007C3D31">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14:paraId="61F8C35A" w14:textId="77777777" w:rsidR="007C3D31" w:rsidRPr="007C3D31" w:rsidRDefault="007C3D31" w:rsidP="007C3D31">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(Sic)</w:t>
      </w:r>
    </w:p>
    <w:p w14:paraId="698823D1" w14:textId="3BDB99BE" w:rsidR="007C3D31" w:rsidRPr="007C3D31" w:rsidRDefault="007C3D31" w:rsidP="007C3D31">
      <w:pPr>
        <w:spacing w:before="100" w:beforeAutospacing="1" w:after="100" w:afterAutospacing="1" w:line="360" w:lineRule="auto"/>
        <w:jc w:val="both"/>
        <w:rPr>
          <w:rFonts w:ascii="Palatino Linotype" w:hAnsi="Palatino Linotype"/>
          <w:lang w:val="es-MX"/>
        </w:rPr>
      </w:pPr>
      <w:r>
        <w:rPr>
          <w:rFonts w:ascii="Palatino Linotype" w:hAnsi="Palatino Linotype"/>
          <w:lang w:val="es-MX"/>
        </w:rPr>
        <w:t xml:space="preserve">De ahí que se insista que </w:t>
      </w:r>
      <w:r w:rsidRPr="007C3D31">
        <w:rPr>
          <w:rFonts w:ascii="Palatino Linotype" w:hAnsi="Palatino Linotype"/>
          <w:b/>
          <w:lang w:val="es-MX"/>
        </w:rPr>
        <w:t>El Sujeto Obligado</w:t>
      </w:r>
      <w:r w:rsidRPr="007C3D31">
        <w:rPr>
          <w:rFonts w:ascii="Palatino Linotype" w:hAnsi="Palatino Linotype"/>
          <w:lang w:val="es-MX"/>
        </w:rPr>
        <w:t xml:space="preserve"> está constreñido a entregar la información; tal y como, la</w:t>
      </w:r>
      <w:r>
        <w:rPr>
          <w:rFonts w:ascii="Palatino Linotype" w:hAnsi="Palatino Linotype"/>
          <w:lang w:val="es-MX"/>
        </w:rPr>
        <w:t xml:space="preserve"> genera y obra en sus archivos </w:t>
      </w:r>
      <w:r w:rsidRPr="007C3D31">
        <w:rPr>
          <w:rFonts w:ascii="Palatino Linotype" w:hAnsi="Palatino Linotype"/>
          <w:lang w:val="es-MX"/>
        </w:rPr>
        <w:t xml:space="preserve">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49A40818" w14:textId="634506F8" w:rsidR="00E45D7A" w:rsidRPr="00E45D7A" w:rsidRDefault="007C3D31" w:rsidP="00E45D7A">
      <w:pPr>
        <w:spacing w:after="160" w:line="360" w:lineRule="auto"/>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Ahora bien,</w:t>
      </w:r>
      <w:r w:rsidR="00E45D7A" w:rsidRPr="00E45D7A">
        <w:rPr>
          <w:rFonts w:ascii="Palatino Linotype" w:eastAsia="Palatino Linotype" w:hAnsi="Palatino Linotype" w:cs="Palatino Linotype"/>
          <w:lang w:val="es-MX" w:eastAsia="es-MX"/>
        </w:rPr>
        <w:t xml:space="preserve"> sobre la manifestación realizada por el Sujeto Obligado en respuesta, 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4D75D8E" w14:textId="77777777" w:rsidR="00E45D7A" w:rsidRPr="00E45D7A" w:rsidRDefault="00E45D7A" w:rsidP="008068A5">
      <w:pPr>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“El Instituto Federal de Acceso a la Información y Protección de Datos no cuenta con facultades para pronunciarse respecto de la veracidad de los documentos proporcionados por los sujetos obligados.</w:t>
      </w:r>
      <w:r w:rsidRPr="00E45D7A">
        <w:rPr>
          <w:rFonts w:ascii="Palatino Linotype" w:eastAsia="Palatino Linotype" w:hAnsi="Palatino Linotype" w:cs="Palatino Linotype"/>
          <w:i/>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2CEC73"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6777C5C7"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78EB4080" w14:textId="657B5D4B" w:rsidR="00E45D7A" w:rsidRPr="00E45D7A" w:rsidRDefault="00E45D7A" w:rsidP="00E45D7A">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Así, con fundamento en lo prescrito en los artículos 5 </w:t>
      </w:r>
      <w:r w:rsidR="008068A5">
        <w:rPr>
          <w:rFonts w:ascii="Palatino Linotype" w:eastAsia="Palatino Linotype" w:hAnsi="Palatino Linotype" w:cs="Palatino Linotype"/>
          <w:highlight w:val="white"/>
          <w:lang w:val="es-MX" w:eastAsia="es-MX"/>
        </w:rPr>
        <w:t>párrafos trigésimo, trigésimo primero y trigésimo segund</w:t>
      </w:r>
      <w:r w:rsidRPr="00E45D7A">
        <w:rPr>
          <w:rFonts w:ascii="Palatino Linotype" w:eastAsia="Palatino Linotype" w:hAnsi="Palatino Linotype" w:cs="Palatino Linotype"/>
          <w:highlight w:val="white"/>
          <w:lang w:val="es-MX" w:eastAsia="es-MX"/>
        </w:rPr>
        <w:t xml:space="preserve">o fracciones IV y V </w:t>
      </w:r>
      <w:r w:rsidRPr="00E45D7A">
        <w:rPr>
          <w:rFonts w:ascii="Palatino Linotype" w:eastAsia="Palatino Linotype" w:hAnsi="Palatino Linotype" w:cs="Palatino Linotype"/>
          <w:lang w:val="es-MX" w:eastAsia="es-MX"/>
        </w:rPr>
        <w:t xml:space="preserve">de la Constitución Política del Estado Libre y Soberano de México; 2, fracción II; 29, 36 fracciones I y II; 176, 178, 181, 185 de la Ley de Transparencia y Acceso a la Información Pública del Estado de México y Municipios. </w:t>
      </w:r>
    </w:p>
    <w:p w14:paraId="2BCE04D9" w14:textId="5CD2513F" w:rsidR="00C1211E" w:rsidRPr="008068A5" w:rsidRDefault="00E45D7A" w:rsidP="008068A5">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lo expuesto y fundado, este Pleno:</w:t>
      </w:r>
    </w:p>
    <w:p w14:paraId="033F5457" w14:textId="77777777" w:rsidR="008068A5" w:rsidRPr="008068A5" w:rsidRDefault="008068A5" w:rsidP="008068A5">
      <w:pPr>
        <w:spacing w:before="240" w:after="240" w:line="360" w:lineRule="auto"/>
        <w:jc w:val="center"/>
        <w:rPr>
          <w:rFonts w:ascii="Palatino Linotype" w:eastAsia="Palatino Linotype" w:hAnsi="Palatino Linotype" w:cs="Palatino Linotype"/>
          <w:b/>
          <w:sz w:val="28"/>
          <w:szCs w:val="28"/>
          <w:lang w:val="es-MX" w:eastAsia="es-MX"/>
        </w:rPr>
      </w:pPr>
      <w:r w:rsidRPr="008068A5">
        <w:rPr>
          <w:rFonts w:ascii="Palatino Linotype" w:eastAsia="Palatino Linotype" w:hAnsi="Palatino Linotype" w:cs="Palatino Linotype"/>
          <w:b/>
          <w:sz w:val="28"/>
          <w:szCs w:val="28"/>
          <w:lang w:val="es-MX" w:eastAsia="es-MX"/>
        </w:rPr>
        <w:t>R E S U E L V E</w:t>
      </w:r>
    </w:p>
    <w:p w14:paraId="640C52E6" w14:textId="0D364D5A" w:rsidR="00BC0C58" w:rsidRPr="00AD0298" w:rsidRDefault="008068A5" w:rsidP="00BC0C58">
      <w:pPr>
        <w:kinsoku w:val="0"/>
        <w:overflowPunct w:val="0"/>
        <w:autoSpaceDE w:val="0"/>
        <w:autoSpaceDN w:val="0"/>
        <w:adjustRightInd w:val="0"/>
        <w:spacing w:line="405" w:lineRule="auto"/>
        <w:jc w:val="both"/>
        <w:rPr>
          <w:rFonts w:ascii="Palatino Linotype" w:hAnsi="Palatino Linotype" w:cs="Arial"/>
        </w:rPr>
      </w:pPr>
      <w:r w:rsidRPr="008068A5">
        <w:rPr>
          <w:rFonts w:ascii="Palatino Linotype" w:eastAsia="Palatino Linotype" w:hAnsi="Palatino Linotype" w:cs="Palatino Linotype"/>
          <w:b/>
          <w:color w:val="000000"/>
          <w:lang w:val="es-MX" w:eastAsia="es-MX"/>
        </w:rPr>
        <w:t xml:space="preserve">Primero. </w:t>
      </w:r>
      <w:r w:rsidR="00BC0C58" w:rsidRPr="00AD0298">
        <w:rPr>
          <w:rFonts w:ascii="Palatino Linotype" w:hAnsi="Palatino Linotype" w:cs="Arial"/>
        </w:rPr>
        <w:t xml:space="preserve">Resultan </w:t>
      </w:r>
      <w:r w:rsidR="00BC0C58" w:rsidRPr="00AD0298">
        <w:rPr>
          <w:rFonts w:ascii="Palatino Linotype" w:hAnsi="Palatino Linotype" w:cs="Arial"/>
          <w:b/>
        </w:rPr>
        <w:t>infundados</w:t>
      </w:r>
      <w:r w:rsidR="00BC0C58" w:rsidRPr="00AD0298">
        <w:rPr>
          <w:rFonts w:ascii="Palatino Linotype" w:hAnsi="Palatino Linotype" w:cs="Arial"/>
        </w:rPr>
        <w:t xml:space="preserve"> los motivos de inconformidad aducido</w:t>
      </w:r>
      <w:r w:rsidR="00C2575B">
        <w:rPr>
          <w:rFonts w:ascii="Palatino Linotype" w:hAnsi="Palatino Linotype" w:cs="Arial"/>
        </w:rPr>
        <w:t>s</w:t>
      </w:r>
      <w:r w:rsidR="00BC0C58" w:rsidRPr="00AD0298">
        <w:rPr>
          <w:rFonts w:ascii="Palatino Linotype" w:hAnsi="Palatino Linotype" w:cs="Arial"/>
        </w:rPr>
        <w:t xml:space="preserve"> por el recurrente </w:t>
      </w:r>
      <w:r w:rsidR="00BC0C58" w:rsidRPr="00AD0298">
        <w:rPr>
          <w:rFonts w:ascii="Palatino Linotype" w:eastAsia="Palatino Linotype" w:hAnsi="Palatino Linotype" w:cs="Palatino Linotype"/>
          <w:lang w:val="es-MX" w:eastAsia="en-US"/>
        </w:rPr>
        <w:t xml:space="preserve">en el recurso de revisión </w:t>
      </w:r>
      <w:r w:rsidR="00BC0C58">
        <w:rPr>
          <w:rFonts w:ascii="Palatino Linotype" w:hAnsi="Palatino Linotype"/>
          <w:b/>
          <w:szCs w:val="22"/>
          <w:lang w:val="es-ES_tradnl"/>
        </w:rPr>
        <w:t>05274</w:t>
      </w:r>
      <w:r w:rsidR="00BC0C58" w:rsidRPr="00AD0298">
        <w:rPr>
          <w:rFonts w:ascii="Palatino Linotype" w:hAnsi="Palatino Linotype"/>
          <w:b/>
          <w:szCs w:val="22"/>
          <w:lang w:val="es-ES_tradnl"/>
        </w:rPr>
        <w:t xml:space="preserve">/INFOEM/IP/RR/2021, </w:t>
      </w:r>
      <w:r w:rsidR="00BC0C58" w:rsidRPr="00AD0298">
        <w:rPr>
          <w:rFonts w:ascii="Palatino Linotype" w:eastAsia="Palatino Linotype" w:hAnsi="Palatino Linotype" w:cs="Palatino Linotype"/>
          <w:lang w:val="es-MX" w:eastAsia="en-US"/>
        </w:rPr>
        <w:t>por lo que,</w:t>
      </w:r>
      <w:r w:rsidR="00BC0C58" w:rsidRPr="00AD0298">
        <w:rPr>
          <w:rFonts w:ascii="Palatino Linotype" w:hAnsi="Palatino Linotype" w:cs="Arial"/>
        </w:rPr>
        <w:t xml:space="preserve"> en términos de los argumentos señalados en el </w:t>
      </w:r>
      <w:r w:rsidR="00BC0C58" w:rsidRPr="00AD0298">
        <w:rPr>
          <w:rFonts w:ascii="Palatino Linotype" w:hAnsi="Palatino Linotype" w:cs="Arial"/>
          <w:b/>
        </w:rPr>
        <w:t>Considerando Cuarto</w:t>
      </w:r>
      <w:r w:rsidR="00BC0C58">
        <w:rPr>
          <w:rFonts w:ascii="Palatino Linotype" w:eastAsia="Palatino Linotype" w:hAnsi="Palatino Linotype" w:cs="Palatino Linotype"/>
          <w:color w:val="000000"/>
          <w:lang w:val="es-MX" w:eastAsia="es-MX"/>
        </w:rPr>
        <w:t xml:space="preserve">, </w:t>
      </w:r>
      <w:r w:rsidR="00BC0C58" w:rsidRPr="00AD0298">
        <w:rPr>
          <w:rFonts w:ascii="Palatino Linotype" w:hAnsi="Palatino Linotype" w:cs="Arial"/>
        </w:rPr>
        <w:t xml:space="preserve">se </w:t>
      </w:r>
      <w:r w:rsidR="00BC0C58" w:rsidRPr="00AD0298">
        <w:rPr>
          <w:rFonts w:ascii="Palatino Linotype" w:hAnsi="Palatino Linotype" w:cs="Arial"/>
          <w:b/>
        </w:rPr>
        <w:t>CONFIRMA</w:t>
      </w:r>
      <w:r w:rsidR="00BC0C58" w:rsidRPr="00AD0298">
        <w:rPr>
          <w:rFonts w:ascii="Palatino Linotype" w:hAnsi="Palatino Linotype" w:cs="Arial"/>
        </w:rPr>
        <w:t xml:space="preserve"> la respuesta emitida por el Sujeto Obligado.</w:t>
      </w:r>
    </w:p>
    <w:p w14:paraId="75B54E38" w14:textId="379180F0" w:rsidR="00365916" w:rsidRPr="008068A5" w:rsidRDefault="00365916" w:rsidP="008068A5">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lang w:val="es-MX" w:eastAsia="es-MX"/>
        </w:rPr>
      </w:pPr>
    </w:p>
    <w:p w14:paraId="41879988" w14:textId="498C8EBE" w:rsidR="008068A5" w:rsidRPr="008068A5" w:rsidRDefault="008068A5" w:rsidP="008068A5">
      <w:pPr>
        <w:spacing w:after="160" w:line="360" w:lineRule="auto"/>
        <w:jc w:val="both"/>
        <w:rPr>
          <w:rFonts w:ascii="Palatino Linotype" w:eastAsia="Palatino Linotype" w:hAnsi="Palatino Linotype" w:cs="Palatino Linotype"/>
          <w:b/>
          <w:lang w:val="es-MX" w:eastAsia="es-MX"/>
        </w:rPr>
      </w:pPr>
      <w:r w:rsidRPr="008068A5">
        <w:rPr>
          <w:rFonts w:ascii="Palatino Linotype" w:eastAsia="Palatino Linotype" w:hAnsi="Palatino Linotype" w:cs="Palatino Linotype"/>
          <w:b/>
          <w:color w:val="000000"/>
          <w:lang w:val="es-MX" w:eastAsia="es-MX"/>
        </w:rPr>
        <w:t>Segundo</w:t>
      </w:r>
      <w:r w:rsidRPr="008068A5">
        <w:rPr>
          <w:rFonts w:ascii="Palatino Linotype" w:eastAsia="Palatino Linotype" w:hAnsi="Palatino Linotype" w:cs="Palatino Linotype"/>
          <w:color w:val="000000"/>
          <w:lang w:val="es-MX" w:eastAsia="es-MX"/>
        </w:rPr>
        <w:t>.</w:t>
      </w:r>
      <w:r w:rsidRPr="008068A5">
        <w:rPr>
          <w:rFonts w:ascii="Palatino Linotype" w:eastAsia="Palatino Linotype" w:hAnsi="Palatino Linotype" w:cs="Palatino Linotype"/>
          <w:lang w:val="es-MX" w:eastAsia="es-MX"/>
        </w:rPr>
        <w:t xml:space="preserve"> </w:t>
      </w:r>
      <w:r w:rsidRPr="005964DE">
        <w:rPr>
          <w:rFonts w:ascii="Palatino Linotype" w:hAnsi="Palatino Linotype" w:cs="Arial"/>
          <w:b/>
          <w:lang w:val="es-MX" w:eastAsia="es-MX"/>
        </w:rPr>
        <w:t>Notifíquese al Titular de la Unidad de Transparencia, vía Sistema de Acceso a la Información Mexiquense (SAIMEX),</w:t>
      </w:r>
      <w:r w:rsidRPr="005964DE">
        <w:rPr>
          <w:rFonts w:ascii="Palatino Linotype" w:hAnsi="Palatino Linotype" w:cs="Arial"/>
          <w:lang w:val="es-MX"/>
        </w:rPr>
        <w:t xml:space="preserve"> para su conocimiento.</w:t>
      </w:r>
    </w:p>
    <w:p w14:paraId="0A19DDBC" w14:textId="236A59DE" w:rsidR="008068A5" w:rsidRPr="008068A5" w:rsidRDefault="008068A5" w:rsidP="008068A5">
      <w:pPr>
        <w:spacing w:before="240" w:after="240" w:line="360" w:lineRule="auto"/>
        <w:jc w:val="both"/>
        <w:rPr>
          <w:rFonts w:ascii="Palatino Linotype" w:hAnsi="Palatino Linotype" w:cs="Arial"/>
        </w:rPr>
      </w:pPr>
      <w:r w:rsidRPr="008068A5">
        <w:rPr>
          <w:rFonts w:ascii="Palatino Linotype" w:eastAsia="Palatino Linotype" w:hAnsi="Palatino Linotype" w:cs="Palatino Linotype"/>
          <w:b/>
          <w:color w:val="000000"/>
          <w:lang w:val="es-MX" w:eastAsia="es-MX"/>
        </w:rPr>
        <w:t xml:space="preserve">Tercero. </w:t>
      </w:r>
      <w:r w:rsidRPr="005964DE">
        <w:rPr>
          <w:rFonts w:ascii="Palatino Linotype" w:hAnsi="Palatino Linotype" w:cs="Arial"/>
          <w:b/>
          <w:lang w:val="es-MX" w:eastAsia="es-MX"/>
        </w:rPr>
        <w:t xml:space="preserve">Notifíquese vía Sistema de Acceso a la Información Mexiquense (SAIMEX), </w:t>
      </w:r>
      <w:r w:rsidRPr="005964DE">
        <w:rPr>
          <w:rFonts w:ascii="Palatino Linotype" w:hAnsi="Palatino Linotype" w:cs="Arial"/>
          <w:lang w:val="es-MX" w:eastAsia="es-MX"/>
        </w:rPr>
        <w:t>la presente resolución a la parte recurrente</w:t>
      </w:r>
      <w:r w:rsidRPr="005964DE">
        <w:rPr>
          <w:rFonts w:ascii="Palatino Linotype" w:hAnsi="Palatino Linotype" w:cs="Arial"/>
        </w:rPr>
        <w:t>, así como, que de conformidad con lo establecido en el artículo 196 de la Ley de Transparencia y Acceso a la Información Pública del Estado de México y Municipios, podrá impugnarla vía Juicio de Amparo en los términos de las leyes aplicables.</w:t>
      </w:r>
    </w:p>
    <w:p w14:paraId="13927014" w14:textId="580282EA" w:rsidR="00574BBD" w:rsidRDefault="00D5027E"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w:t>
      </w:r>
      <w:r w:rsidR="008068A5">
        <w:rPr>
          <w:rFonts w:ascii="Palatino Linotype" w:hAnsi="Palatino Linotype" w:cs="Arial"/>
        </w:rPr>
        <w:t xml:space="preserve"> (AUSENCIA JUSTIFICADA);</w:t>
      </w:r>
      <w:r w:rsidR="00397A96" w:rsidRPr="00397A96">
        <w:rPr>
          <w:rFonts w:ascii="Palatino Linotype" w:hAnsi="Palatino Linotype" w:cs="Arial"/>
        </w:rPr>
        <w:t xml:space="preserve">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8068A5">
        <w:rPr>
          <w:rFonts w:ascii="Palatino Linotype" w:hAnsi="Palatino Linotype" w:cs="Arial"/>
        </w:rPr>
        <w:t>SEGUND</w:t>
      </w:r>
      <w:r w:rsidR="00E55F6D">
        <w:rPr>
          <w:rFonts w:ascii="Palatino Linotype" w:hAnsi="Palatino Linotype" w:cs="Arial"/>
        </w:rPr>
        <w:t xml:space="preserve">A </w:t>
      </w:r>
      <w:r w:rsidR="00397A96" w:rsidRPr="00397A96">
        <w:rPr>
          <w:rFonts w:ascii="Palatino Linotype" w:hAnsi="Palatino Linotype" w:cs="Arial"/>
        </w:rPr>
        <w:t>SESIÓN ORDINARIA CELEBRAD</w:t>
      </w:r>
      <w:r w:rsidR="008068A5">
        <w:rPr>
          <w:rFonts w:ascii="Palatino Linotype" w:hAnsi="Palatino Linotype" w:cs="Arial"/>
        </w:rPr>
        <w:t>A EL DIECINUEV</w:t>
      </w:r>
      <w:r w:rsidR="00E55F6D">
        <w:rPr>
          <w:rFonts w:ascii="Palatino Linotype" w:hAnsi="Palatino Linotype" w:cs="Arial"/>
        </w:rPr>
        <w:t>E</w:t>
      </w:r>
      <w:r w:rsidR="00763B8F">
        <w:rPr>
          <w:rFonts w:ascii="Palatino Linotype" w:hAnsi="Palatino Linotype" w:cs="Arial"/>
        </w:rPr>
        <w:t xml:space="preserve"> </w:t>
      </w:r>
      <w:r w:rsidR="00E55F6D">
        <w:rPr>
          <w:rFonts w:ascii="Palatino Linotype" w:hAnsi="Palatino Linotype" w:cs="Arial"/>
        </w:rPr>
        <w:t>DE ENERO DEL DOS MIL VEINTIDÓS</w:t>
      </w:r>
      <w:r w:rsidR="00397A96" w:rsidRPr="00397A96">
        <w:rPr>
          <w:rFonts w:ascii="Palatino Linotype" w:hAnsi="Palatino Linotype" w:cs="Arial"/>
        </w:rPr>
        <w:t xml:space="preserve">, </w:t>
      </w:r>
      <w:r w:rsidR="00574BBD" w:rsidRPr="00574BBD">
        <w:rPr>
          <w:rFonts w:ascii="Palatino Linotype" w:hAnsi="Palatino Linotype" w:cs="Arial"/>
        </w:rPr>
        <w:t>ANTE EL SECRETARIO TÉCNICO DEL PLENO, ALEXIS TAPIA RAMÍREZ.</w:t>
      </w: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BA2F0" w14:textId="77777777" w:rsidR="0036330D" w:rsidRDefault="0036330D" w:rsidP="005B2292">
      <w:r>
        <w:separator/>
      </w:r>
    </w:p>
  </w:endnote>
  <w:endnote w:type="continuationSeparator" w:id="0">
    <w:p w14:paraId="5716AF73" w14:textId="77777777" w:rsidR="0036330D" w:rsidRDefault="0036330D"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14C6">
      <w:rPr>
        <w:rFonts w:ascii="Arial" w:hAnsi="Arial" w:cs="Arial"/>
        <w:b/>
        <w:bCs/>
        <w:noProof/>
        <w:sz w:val="20"/>
        <w:szCs w:val="20"/>
      </w:rPr>
      <w:t>18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14C6">
      <w:rPr>
        <w:rFonts w:ascii="Arial" w:hAnsi="Arial" w:cs="Arial"/>
        <w:b/>
        <w:bCs/>
        <w:noProof/>
        <w:sz w:val="20"/>
        <w:szCs w:val="20"/>
      </w:rPr>
      <w:t>33</w:t>
    </w:r>
    <w:r>
      <w:rPr>
        <w:rFonts w:ascii="Arial" w:hAnsi="Arial" w:cs="Arial"/>
        <w:b/>
        <w:bCs/>
        <w:sz w:val="20"/>
        <w:szCs w:val="20"/>
      </w:rPr>
      <w:fldChar w:fldCharType="end"/>
    </w:r>
  </w:p>
  <w:p w14:paraId="404F0288" w14:textId="77777777" w:rsidR="0036330D" w:rsidRDefault="0036330D" w:rsidP="00DB79AD">
    <w:pPr>
      <w:pStyle w:val="Piedepgina"/>
      <w:rPr>
        <w:rFonts w:ascii="Times New Roman" w:hAnsi="Times New Roman" w:cs="Times New Roman"/>
      </w:rPr>
    </w:pPr>
  </w:p>
  <w:p w14:paraId="3220F1CD" w14:textId="77777777" w:rsidR="0036330D" w:rsidRDefault="0036330D"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014C6">
      <w:rPr>
        <w:rFonts w:ascii="Arial" w:hAnsi="Arial" w:cs="Arial"/>
        <w:b/>
        <w:bCs/>
        <w:noProof/>
        <w:sz w:val="20"/>
        <w:szCs w:val="20"/>
      </w:rPr>
      <w:t>33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014C6">
      <w:rPr>
        <w:rFonts w:ascii="Arial" w:hAnsi="Arial" w:cs="Arial"/>
        <w:b/>
        <w:bCs/>
        <w:noProof/>
        <w:sz w:val="20"/>
        <w:szCs w:val="20"/>
      </w:rPr>
      <w:t>33</w:t>
    </w:r>
    <w:r>
      <w:rPr>
        <w:rFonts w:ascii="Arial" w:hAnsi="Arial" w:cs="Arial"/>
        <w:b/>
        <w:bCs/>
        <w:sz w:val="20"/>
        <w:szCs w:val="20"/>
      </w:rPr>
      <w:fldChar w:fldCharType="end"/>
    </w:r>
  </w:p>
  <w:p w14:paraId="15BDE0F5" w14:textId="77777777" w:rsidR="0036330D" w:rsidRDefault="00363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B5A7" w14:textId="77777777" w:rsidR="0036330D" w:rsidRDefault="0036330D" w:rsidP="005B2292">
      <w:r>
        <w:separator/>
      </w:r>
    </w:p>
  </w:footnote>
  <w:footnote w:type="continuationSeparator" w:id="0">
    <w:p w14:paraId="0591EA08" w14:textId="77777777" w:rsidR="0036330D" w:rsidRDefault="0036330D" w:rsidP="005B2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6330D" w:rsidRPr="00E51193" w14:paraId="34300046" w14:textId="77777777" w:rsidTr="00DB79AD">
      <w:tc>
        <w:tcPr>
          <w:tcW w:w="2552" w:type="dxa"/>
          <w:vAlign w:val="center"/>
          <w:hideMark/>
        </w:tcPr>
        <w:p w14:paraId="77162D6B"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25EDFA8A" w:rsidR="0036330D" w:rsidRPr="00BF2819" w:rsidRDefault="00BE6B8B" w:rsidP="007247F1">
          <w:pPr>
            <w:jc w:val="both"/>
            <w:rPr>
              <w:rFonts w:ascii="Palatino Linotype" w:hAnsi="Palatino Linotype"/>
              <w:b/>
              <w:sz w:val="22"/>
              <w:szCs w:val="21"/>
              <w:lang w:val="es-ES_tradnl"/>
            </w:rPr>
          </w:pPr>
          <w:r>
            <w:rPr>
              <w:rFonts w:ascii="Palatino Linotype" w:hAnsi="Palatino Linotype"/>
              <w:b/>
              <w:sz w:val="22"/>
              <w:szCs w:val="21"/>
              <w:lang w:val="es-ES_tradnl"/>
            </w:rPr>
            <w:t>05274</w:t>
          </w:r>
          <w:r w:rsidR="0036330D" w:rsidRPr="00BF2819">
            <w:rPr>
              <w:rFonts w:ascii="Palatino Linotype" w:hAnsi="Palatino Linotype"/>
              <w:b/>
              <w:sz w:val="22"/>
              <w:szCs w:val="21"/>
              <w:lang w:val="es-ES_tradnl"/>
            </w:rPr>
            <w:t>/INFOEM/IP/RR/2021</w:t>
          </w:r>
        </w:p>
      </w:tc>
    </w:tr>
    <w:tr w:rsidR="0036330D" w:rsidRPr="00E51193" w14:paraId="06E87406" w14:textId="77777777" w:rsidTr="00DB79AD">
      <w:trPr>
        <w:trHeight w:val="228"/>
      </w:trPr>
      <w:tc>
        <w:tcPr>
          <w:tcW w:w="2552" w:type="dxa"/>
          <w:vAlign w:val="center"/>
          <w:hideMark/>
        </w:tcPr>
        <w:p w14:paraId="308739D3"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50AD64FA" w:rsidR="0036330D" w:rsidRPr="00BF2819" w:rsidRDefault="0036330D" w:rsidP="00BF2819">
          <w:pPr>
            <w:ind w:right="884"/>
            <w:jc w:val="both"/>
            <w:rPr>
              <w:rFonts w:ascii="Palatino Linotype" w:hAnsi="Palatino Linotype"/>
              <w:b/>
              <w:sz w:val="22"/>
              <w:szCs w:val="21"/>
              <w:lang w:val="es-ES_tradnl"/>
            </w:rPr>
          </w:pPr>
          <w:r>
            <w:rPr>
              <w:rFonts w:ascii="Palatino Linotype" w:hAnsi="Palatino Linotype"/>
              <w:b/>
              <w:bCs/>
              <w:sz w:val="22"/>
              <w:szCs w:val="21"/>
            </w:rPr>
            <w:t xml:space="preserve">Ayuntamiento </w:t>
          </w:r>
          <w:r w:rsidRPr="00BF2819">
            <w:rPr>
              <w:rFonts w:ascii="Palatino Linotype" w:hAnsi="Palatino Linotype"/>
              <w:b/>
              <w:bCs/>
              <w:sz w:val="22"/>
              <w:szCs w:val="21"/>
            </w:rPr>
            <w:t>de  Cuautitlán</w:t>
          </w:r>
        </w:p>
      </w:tc>
    </w:tr>
    <w:tr w:rsidR="0036330D" w:rsidRPr="00E51193" w14:paraId="5FA7B5A7" w14:textId="77777777" w:rsidTr="00DB79AD">
      <w:tc>
        <w:tcPr>
          <w:tcW w:w="2552" w:type="dxa"/>
          <w:vAlign w:val="center"/>
          <w:hideMark/>
        </w:tcPr>
        <w:p w14:paraId="1EB7B843" w14:textId="55E863FE" w:rsidR="0036330D" w:rsidRPr="00E51193"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36330D" w:rsidRPr="00BF2819" w:rsidRDefault="0036330D" w:rsidP="00DB79AD">
          <w:pPr>
            <w:ind w:right="-533"/>
            <w:jc w:val="both"/>
            <w:rPr>
              <w:rFonts w:ascii="Palatino Linotype" w:hAnsi="Palatino Linotype"/>
              <w:b/>
              <w:sz w:val="22"/>
              <w:szCs w:val="21"/>
              <w:lang w:val="es-ES_tradnl"/>
            </w:rPr>
          </w:pPr>
          <w:r w:rsidRPr="00BF2819">
            <w:rPr>
              <w:rFonts w:ascii="Palatino Linotype" w:hAnsi="Palatino Linotype"/>
              <w:b/>
              <w:sz w:val="22"/>
              <w:szCs w:val="21"/>
              <w:lang w:val="es-ES_tradnl"/>
            </w:rPr>
            <w:t>Guadalupe Ramírez Peña</w:t>
          </w:r>
        </w:p>
      </w:tc>
    </w:tr>
  </w:tbl>
  <w:p w14:paraId="3FF0A148" w14:textId="77777777" w:rsidR="0036330D" w:rsidRDefault="0036330D"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36330D" w:rsidRDefault="0036330D"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6330D" w:rsidRPr="00294C56" w14:paraId="2770FE60" w14:textId="77777777" w:rsidTr="00DB79AD">
      <w:tc>
        <w:tcPr>
          <w:tcW w:w="2551" w:type="dxa"/>
          <w:vAlign w:val="center"/>
          <w:hideMark/>
        </w:tcPr>
        <w:p w14:paraId="0FA1D482"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79C45667" w:rsidR="0036330D" w:rsidRPr="00294C56" w:rsidRDefault="0036330D"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sidR="00BE6B8B">
            <w:rPr>
              <w:rFonts w:ascii="Palatino Linotype" w:hAnsi="Palatino Linotype"/>
              <w:b/>
              <w:sz w:val="21"/>
              <w:szCs w:val="21"/>
              <w:lang w:val="es-ES_tradnl"/>
            </w:rPr>
            <w:t>5274</w:t>
          </w:r>
          <w:r>
            <w:rPr>
              <w:rFonts w:ascii="Palatino Linotype" w:hAnsi="Palatino Linotype"/>
              <w:b/>
              <w:sz w:val="21"/>
              <w:szCs w:val="21"/>
              <w:lang w:val="es-ES_tradnl"/>
            </w:rPr>
            <w:t>/INFOEM/IP/RR/2021</w:t>
          </w:r>
        </w:p>
      </w:tc>
    </w:tr>
    <w:tr w:rsidR="0036330D" w:rsidRPr="00294C56" w14:paraId="54298D15" w14:textId="77777777" w:rsidTr="00DB79AD">
      <w:tc>
        <w:tcPr>
          <w:tcW w:w="2551" w:type="dxa"/>
          <w:vAlign w:val="center"/>
          <w:hideMark/>
        </w:tcPr>
        <w:p w14:paraId="34DB7813" w14:textId="75C1080F" w:rsidR="0036330D" w:rsidRPr="00294C56" w:rsidRDefault="0036330D"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45D752CB" w:rsidR="0036330D" w:rsidRPr="00294C56" w:rsidRDefault="005014C6" w:rsidP="00DB79AD">
          <w:pPr>
            <w:jc w:val="both"/>
            <w:rPr>
              <w:rFonts w:ascii="Palatino Linotype" w:hAnsi="Palatino Linotype"/>
              <w:b/>
              <w:sz w:val="21"/>
              <w:szCs w:val="21"/>
              <w:lang w:val="es-ES_tradnl"/>
            </w:rPr>
          </w:pPr>
          <w:r>
            <w:rPr>
              <w:rFonts w:ascii="Palatino Linotype" w:hAnsi="Palatino Linotype"/>
              <w:b/>
              <w:sz w:val="21"/>
              <w:szCs w:val="21"/>
              <w:lang w:val="es-ES_tradnl"/>
            </w:rPr>
            <w:t>XXXXX XXXXXXX XXXX XXXXX</w:t>
          </w:r>
        </w:p>
      </w:tc>
    </w:tr>
    <w:tr w:rsidR="0036330D" w:rsidRPr="00294C56" w14:paraId="273B3FB6" w14:textId="77777777" w:rsidTr="00DB79AD">
      <w:trPr>
        <w:trHeight w:val="228"/>
      </w:trPr>
      <w:tc>
        <w:tcPr>
          <w:tcW w:w="2551" w:type="dxa"/>
          <w:vAlign w:val="center"/>
          <w:hideMark/>
        </w:tcPr>
        <w:p w14:paraId="59164461"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57BF60C8" w:rsidR="0036330D" w:rsidRPr="00294C56" w:rsidRDefault="0036330D" w:rsidP="00DB79AD">
          <w:pPr>
            <w:jc w:val="both"/>
            <w:rPr>
              <w:rFonts w:ascii="Palatino Linotype" w:hAnsi="Palatino Linotype"/>
              <w:b/>
              <w:sz w:val="21"/>
              <w:szCs w:val="21"/>
              <w:lang w:val="es-ES_tradnl"/>
            </w:rPr>
          </w:pPr>
          <w:r>
            <w:rPr>
              <w:rFonts w:ascii="Palatino Linotype" w:hAnsi="Palatino Linotype"/>
              <w:b/>
              <w:bCs/>
              <w:sz w:val="21"/>
              <w:szCs w:val="21"/>
            </w:rPr>
            <w:t>Ayuntamiento de Cuautitlán</w:t>
          </w:r>
        </w:p>
      </w:tc>
    </w:tr>
    <w:tr w:rsidR="0036330D" w:rsidRPr="00294C56" w14:paraId="7979EA38" w14:textId="77777777" w:rsidTr="00DB79AD">
      <w:tc>
        <w:tcPr>
          <w:tcW w:w="2551" w:type="dxa"/>
          <w:vAlign w:val="center"/>
          <w:hideMark/>
        </w:tcPr>
        <w:p w14:paraId="2707E630" w14:textId="155504E3" w:rsidR="0036330D" w:rsidRPr="00294C56"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36330D" w:rsidRPr="00294C56" w:rsidRDefault="0036330D"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36330D" w:rsidRDefault="0036330D"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36330D" w:rsidRDefault="0036330D"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586A"/>
    <w:multiLevelType w:val="hybridMultilevel"/>
    <w:tmpl w:val="0422CFEE"/>
    <w:lvl w:ilvl="0" w:tplc="4880E50E">
      <w:start w:val="1"/>
      <w:numFmt w:val="upperRoman"/>
      <w:suff w:val="space"/>
      <w:lvlText w:val="%1."/>
      <w:lvlJc w:val="left"/>
      <w:pPr>
        <w:ind w:left="112" w:hanging="152"/>
      </w:pPr>
      <w:rPr>
        <w:rFonts w:ascii="Bookman Old Style" w:hAnsi="Bookman Old Style" w:cs="Arial" w:hint="default"/>
        <w:b/>
        <w:bCs/>
        <w:spacing w:val="0"/>
        <w:w w:val="100"/>
        <w:position w:val="0"/>
        <w:sz w:val="20"/>
        <w:szCs w:val="20"/>
      </w:rPr>
    </w:lvl>
    <w:lvl w:ilvl="1" w:tplc="BD98ED8C">
      <w:numFmt w:val="bullet"/>
      <w:lvlText w:val="•"/>
      <w:lvlJc w:val="left"/>
      <w:pPr>
        <w:ind w:left="1128" w:hanging="152"/>
      </w:pPr>
      <w:rPr>
        <w:rFonts w:hint="default"/>
      </w:rPr>
    </w:lvl>
    <w:lvl w:ilvl="2" w:tplc="B09602C8">
      <w:numFmt w:val="bullet"/>
      <w:lvlText w:val="•"/>
      <w:lvlJc w:val="left"/>
      <w:pPr>
        <w:ind w:left="2136" w:hanging="152"/>
      </w:pPr>
      <w:rPr>
        <w:rFonts w:hint="default"/>
      </w:rPr>
    </w:lvl>
    <w:lvl w:ilvl="3" w:tplc="20C0C596">
      <w:numFmt w:val="bullet"/>
      <w:lvlText w:val="•"/>
      <w:lvlJc w:val="left"/>
      <w:pPr>
        <w:ind w:left="3144" w:hanging="152"/>
      </w:pPr>
      <w:rPr>
        <w:rFonts w:hint="default"/>
      </w:rPr>
    </w:lvl>
    <w:lvl w:ilvl="4" w:tplc="BB9CCA80">
      <w:numFmt w:val="bullet"/>
      <w:lvlText w:val="•"/>
      <w:lvlJc w:val="left"/>
      <w:pPr>
        <w:ind w:left="4152" w:hanging="152"/>
      </w:pPr>
      <w:rPr>
        <w:rFonts w:hint="default"/>
      </w:rPr>
    </w:lvl>
    <w:lvl w:ilvl="5" w:tplc="45E4AECE">
      <w:numFmt w:val="bullet"/>
      <w:lvlText w:val="•"/>
      <w:lvlJc w:val="left"/>
      <w:pPr>
        <w:ind w:left="5161" w:hanging="152"/>
      </w:pPr>
      <w:rPr>
        <w:rFonts w:hint="default"/>
      </w:rPr>
    </w:lvl>
    <w:lvl w:ilvl="6" w:tplc="B2A25CA0">
      <w:numFmt w:val="bullet"/>
      <w:lvlText w:val="•"/>
      <w:lvlJc w:val="left"/>
      <w:pPr>
        <w:ind w:left="6169" w:hanging="152"/>
      </w:pPr>
      <w:rPr>
        <w:rFonts w:hint="default"/>
      </w:rPr>
    </w:lvl>
    <w:lvl w:ilvl="7" w:tplc="D742C0DA">
      <w:numFmt w:val="bullet"/>
      <w:lvlText w:val="•"/>
      <w:lvlJc w:val="left"/>
      <w:pPr>
        <w:ind w:left="7177" w:hanging="152"/>
      </w:pPr>
      <w:rPr>
        <w:rFonts w:hint="default"/>
      </w:rPr>
    </w:lvl>
    <w:lvl w:ilvl="8" w:tplc="F58489FC">
      <w:numFmt w:val="bullet"/>
      <w:lvlText w:val="•"/>
      <w:lvlJc w:val="left"/>
      <w:pPr>
        <w:ind w:left="8185" w:hanging="152"/>
      </w:pPr>
      <w:rPr>
        <w:rFonts w:hint="default"/>
      </w:rPr>
    </w:lvl>
  </w:abstractNum>
  <w:abstractNum w:abstractNumId="1">
    <w:nsid w:val="02871D25"/>
    <w:multiLevelType w:val="hybridMultilevel"/>
    <w:tmpl w:val="C5F495AA"/>
    <w:lvl w:ilvl="0" w:tplc="53901EB0">
      <w:start w:val="20"/>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16E"/>
    <w:multiLevelType w:val="hybridMultilevel"/>
    <w:tmpl w:val="E49610B4"/>
    <w:lvl w:ilvl="0" w:tplc="A3A8F482">
      <w:start w:val="1"/>
      <w:numFmt w:val="upperRoman"/>
      <w:lvlText w:val="%1."/>
      <w:lvlJc w:val="left"/>
      <w:pPr>
        <w:ind w:left="2727" w:hanging="72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8">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506294"/>
    <w:multiLevelType w:val="hybridMultilevel"/>
    <w:tmpl w:val="5FB4FDC4"/>
    <w:lvl w:ilvl="0" w:tplc="38B259B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nsid w:val="17292FE9"/>
    <w:multiLevelType w:val="hybridMultilevel"/>
    <w:tmpl w:val="D3B8EC04"/>
    <w:lvl w:ilvl="0" w:tplc="EB4A102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19EB090D"/>
    <w:multiLevelType w:val="hybridMultilevel"/>
    <w:tmpl w:val="06EAA6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224A01"/>
    <w:multiLevelType w:val="hybridMultilevel"/>
    <w:tmpl w:val="A97683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F0C7A05"/>
    <w:multiLevelType w:val="hybridMultilevel"/>
    <w:tmpl w:val="F74E0356"/>
    <w:lvl w:ilvl="0" w:tplc="10700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745118"/>
    <w:multiLevelType w:val="hybridMultilevel"/>
    <w:tmpl w:val="B6A206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E8716E"/>
    <w:multiLevelType w:val="hybridMultilevel"/>
    <w:tmpl w:val="88FA86C0"/>
    <w:lvl w:ilvl="0" w:tplc="C75ED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3C447E"/>
    <w:multiLevelType w:val="multilevel"/>
    <w:tmpl w:val="CA0CB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11F585B"/>
    <w:multiLevelType w:val="multilevel"/>
    <w:tmpl w:val="B186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C06D5F"/>
    <w:multiLevelType w:val="hybridMultilevel"/>
    <w:tmpl w:val="3DE28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0">
    <w:nsid w:val="5B411A29"/>
    <w:multiLevelType w:val="hybridMultilevel"/>
    <w:tmpl w:val="14E05D0E"/>
    <w:lvl w:ilvl="0" w:tplc="6CD2100C">
      <w:start w:val="18"/>
      <w:numFmt w:val="upperRoman"/>
      <w:lvlText w:val="%1."/>
      <w:lvlJc w:val="left"/>
      <w:pPr>
        <w:ind w:left="1287" w:hanging="720"/>
      </w:pPr>
      <w:rPr>
        <w:rFonts w:hint="default"/>
        <w:b/>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0F25CA6"/>
    <w:multiLevelType w:val="hybridMultilevel"/>
    <w:tmpl w:val="193C6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A1176C"/>
    <w:multiLevelType w:val="hybridMultilevel"/>
    <w:tmpl w:val="7BE69190"/>
    <w:lvl w:ilvl="0" w:tplc="5D14444C">
      <w:start w:val="6"/>
      <w:numFmt w:val="upperRoman"/>
      <w:lvlText w:val="%1."/>
      <w:lvlJc w:val="left"/>
      <w:pPr>
        <w:ind w:left="720"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E8723E"/>
    <w:multiLevelType w:val="hybridMultilevel"/>
    <w:tmpl w:val="592083F6"/>
    <w:lvl w:ilvl="0" w:tplc="DB98E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1A7F3A"/>
    <w:multiLevelType w:val="hybridMultilevel"/>
    <w:tmpl w:val="AABA0F5C"/>
    <w:lvl w:ilvl="0" w:tplc="F5D6AC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7A2A7C63"/>
    <w:multiLevelType w:val="hybridMultilevel"/>
    <w:tmpl w:val="1E423260"/>
    <w:lvl w:ilvl="0" w:tplc="1D5CAD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5"/>
  </w:num>
  <w:num w:numId="3">
    <w:abstractNumId w:val="8"/>
  </w:num>
  <w:num w:numId="4">
    <w:abstractNumId w:val="22"/>
  </w:num>
  <w:num w:numId="5">
    <w:abstractNumId w:val="25"/>
  </w:num>
  <w:num w:numId="6">
    <w:abstractNumId w:val="34"/>
  </w:num>
  <w:num w:numId="7">
    <w:abstractNumId w:val="16"/>
  </w:num>
  <w:num w:numId="8">
    <w:abstractNumId w:val="2"/>
  </w:num>
  <w:num w:numId="9">
    <w:abstractNumId w:val="18"/>
  </w:num>
  <w:num w:numId="10">
    <w:abstractNumId w:val="28"/>
  </w:num>
  <w:num w:numId="11">
    <w:abstractNumId w:val="15"/>
  </w:num>
  <w:num w:numId="12">
    <w:abstractNumId w:val="29"/>
  </w:num>
  <w:num w:numId="13">
    <w:abstractNumId w:val="6"/>
  </w:num>
  <w:num w:numId="14">
    <w:abstractNumId w:val="4"/>
  </w:num>
  <w:num w:numId="15">
    <w:abstractNumId w:val="39"/>
  </w:num>
  <w:num w:numId="16">
    <w:abstractNumId w:val="9"/>
  </w:num>
  <w:num w:numId="17">
    <w:abstractNumId w:val="41"/>
  </w:num>
  <w:num w:numId="18">
    <w:abstractNumId w:val="38"/>
  </w:num>
  <w:num w:numId="19">
    <w:abstractNumId w:val="3"/>
  </w:num>
  <w:num w:numId="20">
    <w:abstractNumId w:val="31"/>
  </w:num>
  <w:num w:numId="21">
    <w:abstractNumId w:val="44"/>
  </w:num>
  <w:num w:numId="22">
    <w:abstractNumId w:val="23"/>
  </w:num>
  <w:num w:numId="23">
    <w:abstractNumId w:val="45"/>
  </w:num>
  <w:num w:numId="24">
    <w:abstractNumId w:val="35"/>
  </w:num>
  <w:num w:numId="25">
    <w:abstractNumId w:val="14"/>
  </w:num>
  <w:num w:numId="26">
    <w:abstractNumId w:val="17"/>
  </w:num>
  <w:num w:numId="27">
    <w:abstractNumId w:val="40"/>
  </w:num>
  <w:num w:numId="28">
    <w:abstractNumId w:val="13"/>
  </w:num>
  <w:num w:numId="29">
    <w:abstractNumId w:val="0"/>
  </w:num>
  <w:num w:numId="30">
    <w:abstractNumId w:val="30"/>
  </w:num>
  <w:num w:numId="31">
    <w:abstractNumId w:val="20"/>
  </w:num>
  <w:num w:numId="32">
    <w:abstractNumId w:val="21"/>
  </w:num>
  <w:num w:numId="33">
    <w:abstractNumId w:val="43"/>
  </w:num>
  <w:num w:numId="34">
    <w:abstractNumId w:val="11"/>
  </w:num>
  <w:num w:numId="35">
    <w:abstractNumId w:val="42"/>
  </w:num>
  <w:num w:numId="36">
    <w:abstractNumId w:val="33"/>
  </w:num>
  <w:num w:numId="37">
    <w:abstractNumId w:val="1"/>
  </w:num>
  <w:num w:numId="38">
    <w:abstractNumId w:val="36"/>
  </w:num>
  <w:num w:numId="39">
    <w:abstractNumId w:val="10"/>
  </w:num>
  <w:num w:numId="40">
    <w:abstractNumId w:val="7"/>
  </w:num>
  <w:num w:numId="41">
    <w:abstractNumId w:val="32"/>
  </w:num>
  <w:num w:numId="42">
    <w:abstractNumId w:val="19"/>
  </w:num>
  <w:num w:numId="43">
    <w:abstractNumId w:val="12"/>
  </w:num>
  <w:num w:numId="44">
    <w:abstractNumId w:val="26"/>
  </w:num>
  <w:num w:numId="45">
    <w:abstractNumId w:val="2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368A"/>
    <w:rsid w:val="00015F18"/>
    <w:rsid w:val="00024E77"/>
    <w:rsid w:val="00031101"/>
    <w:rsid w:val="00037D77"/>
    <w:rsid w:val="00040FE9"/>
    <w:rsid w:val="000412B5"/>
    <w:rsid w:val="0005040C"/>
    <w:rsid w:val="0005620C"/>
    <w:rsid w:val="00056470"/>
    <w:rsid w:val="00071BB3"/>
    <w:rsid w:val="00076B59"/>
    <w:rsid w:val="00076F4D"/>
    <w:rsid w:val="00080F21"/>
    <w:rsid w:val="0009372C"/>
    <w:rsid w:val="000A00EA"/>
    <w:rsid w:val="000D4ACF"/>
    <w:rsid w:val="000D6619"/>
    <w:rsid w:val="000E110C"/>
    <w:rsid w:val="000E144C"/>
    <w:rsid w:val="000E250D"/>
    <w:rsid w:val="000E44C1"/>
    <w:rsid w:val="000F69CA"/>
    <w:rsid w:val="000F7B63"/>
    <w:rsid w:val="00103184"/>
    <w:rsid w:val="001100BB"/>
    <w:rsid w:val="00115605"/>
    <w:rsid w:val="0012271D"/>
    <w:rsid w:val="0013260F"/>
    <w:rsid w:val="00133E7B"/>
    <w:rsid w:val="0013765A"/>
    <w:rsid w:val="001429B1"/>
    <w:rsid w:val="00145157"/>
    <w:rsid w:val="00157258"/>
    <w:rsid w:val="00161075"/>
    <w:rsid w:val="00170E07"/>
    <w:rsid w:val="001765A6"/>
    <w:rsid w:val="00191668"/>
    <w:rsid w:val="00196171"/>
    <w:rsid w:val="001A5A15"/>
    <w:rsid w:val="001B3BE5"/>
    <w:rsid w:val="001B4C7F"/>
    <w:rsid w:val="001C4188"/>
    <w:rsid w:val="001C620E"/>
    <w:rsid w:val="001D453F"/>
    <w:rsid w:val="001D6EA3"/>
    <w:rsid w:val="001E52FB"/>
    <w:rsid w:val="001F0149"/>
    <w:rsid w:val="001F588B"/>
    <w:rsid w:val="00200B73"/>
    <w:rsid w:val="00202689"/>
    <w:rsid w:val="0020311E"/>
    <w:rsid w:val="002074A4"/>
    <w:rsid w:val="00212554"/>
    <w:rsid w:val="00222DAB"/>
    <w:rsid w:val="00236C40"/>
    <w:rsid w:val="002436D9"/>
    <w:rsid w:val="00252A8F"/>
    <w:rsid w:val="00255CC3"/>
    <w:rsid w:val="0026302F"/>
    <w:rsid w:val="00264A51"/>
    <w:rsid w:val="0026740C"/>
    <w:rsid w:val="00275056"/>
    <w:rsid w:val="0028448F"/>
    <w:rsid w:val="00294E34"/>
    <w:rsid w:val="002D5368"/>
    <w:rsid w:val="002E0A7F"/>
    <w:rsid w:val="002E1469"/>
    <w:rsid w:val="002E4FBE"/>
    <w:rsid w:val="002E5929"/>
    <w:rsid w:val="00303B21"/>
    <w:rsid w:val="003063B3"/>
    <w:rsid w:val="003374C7"/>
    <w:rsid w:val="00350D89"/>
    <w:rsid w:val="003526F3"/>
    <w:rsid w:val="0035682B"/>
    <w:rsid w:val="003577DF"/>
    <w:rsid w:val="0036330D"/>
    <w:rsid w:val="00365916"/>
    <w:rsid w:val="00373AFC"/>
    <w:rsid w:val="00382313"/>
    <w:rsid w:val="00386CAE"/>
    <w:rsid w:val="00390BA7"/>
    <w:rsid w:val="00390EFA"/>
    <w:rsid w:val="00397A96"/>
    <w:rsid w:val="003A3517"/>
    <w:rsid w:val="003B7742"/>
    <w:rsid w:val="003C58D7"/>
    <w:rsid w:val="003D1085"/>
    <w:rsid w:val="003D30C2"/>
    <w:rsid w:val="003F1034"/>
    <w:rsid w:val="0041074C"/>
    <w:rsid w:val="00432002"/>
    <w:rsid w:val="00444E77"/>
    <w:rsid w:val="00464097"/>
    <w:rsid w:val="00471E17"/>
    <w:rsid w:val="00475F7B"/>
    <w:rsid w:val="0049392C"/>
    <w:rsid w:val="004B3590"/>
    <w:rsid w:val="004B7F65"/>
    <w:rsid w:val="004C1AB8"/>
    <w:rsid w:val="004D4AA6"/>
    <w:rsid w:val="004D72C9"/>
    <w:rsid w:val="004E0731"/>
    <w:rsid w:val="005014C6"/>
    <w:rsid w:val="0050609B"/>
    <w:rsid w:val="005069B6"/>
    <w:rsid w:val="00506CEF"/>
    <w:rsid w:val="005075E9"/>
    <w:rsid w:val="00507B40"/>
    <w:rsid w:val="005435F2"/>
    <w:rsid w:val="005446AD"/>
    <w:rsid w:val="00546724"/>
    <w:rsid w:val="00561A8B"/>
    <w:rsid w:val="00573278"/>
    <w:rsid w:val="00574BBD"/>
    <w:rsid w:val="00580EB8"/>
    <w:rsid w:val="00586C4A"/>
    <w:rsid w:val="005A0AA1"/>
    <w:rsid w:val="005A3936"/>
    <w:rsid w:val="005A47F8"/>
    <w:rsid w:val="005B2292"/>
    <w:rsid w:val="005C0BBD"/>
    <w:rsid w:val="005C23A5"/>
    <w:rsid w:val="005C7DBC"/>
    <w:rsid w:val="005D2267"/>
    <w:rsid w:val="005F5DFB"/>
    <w:rsid w:val="00603538"/>
    <w:rsid w:val="006105E5"/>
    <w:rsid w:val="00611073"/>
    <w:rsid w:val="006124E8"/>
    <w:rsid w:val="00624A4E"/>
    <w:rsid w:val="0063318C"/>
    <w:rsid w:val="00643362"/>
    <w:rsid w:val="00643BEB"/>
    <w:rsid w:val="00652166"/>
    <w:rsid w:val="006543F3"/>
    <w:rsid w:val="0066749E"/>
    <w:rsid w:val="00670AE8"/>
    <w:rsid w:val="00680243"/>
    <w:rsid w:val="006873C2"/>
    <w:rsid w:val="00687F55"/>
    <w:rsid w:val="006957AF"/>
    <w:rsid w:val="006A4FFD"/>
    <w:rsid w:val="006B55A0"/>
    <w:rsid w:val="006C1CF1"/>
    <w:rsid w:val="006D682C"/>
    <w:rsid w:val="006D73F4"/>
    <w:rsid w:val="006E5EE8"/>
    <w:rsid w:val="006F06C4"/>
    <w:rsid w:val="00722FBB"/>
    <w:rsid w:val="007247F1"/>
    <w:rsid w:val="00731E1B"/>
    <w:rsid w:val="00754D32"/>
    <w:rsid w:val="00763B8F"/>
    <w:rsid w:val="00763E97"/>
    <w:rsid w:val="00773023"/>
    <w:rsid w:val="00776F09"/>
    <w:rsid w:val="00781D64"/>
    <w:rsid w:val="007837C3"/>
    <w:rsid w:val="007B1860"/>
    <w:rsid w:val="007B3D06"/>
    <w:rsid w:val="007B4F88"/>
    <w:rsid w:val="007B5206"/>
    <w:rsid w:val="007C2A5A"/>
    <w:rsid w:val="007C3D31"/>
    <w:rsid w:val="007D3A0D"/>
    <w:rsid w:val="007F43AF"/>
    <w:rsid w:val="008068A5"/>
    <w:rsid w:val="008120A4"/>
    <w:rsid w:val="00816BA4"/>
    <w:rsid w:val="00817D9B"/>
    <w:rsid w:val="00824740"/>
    <w:rsid w:val="00833D25"/>
    <w:rsid w:val="008521B3"/>
    <w:rsid w:val="00861080"/>
    <w:rsid w:val="00863B56"/>
    <w:rsid w:val="00864851"/>
    <w:rsid w:val="00875815"/>
    <w:rsid w:val="008817E6"/>
    <w:rsid w:val="008830ED"/>
    <w:rsid w:val="00883113"/>
    <w:rsid w:val="00886DB6"/>
    <w:rsid w:val="00891E35"/>
    <w:rsid w:val="008A516D"/>
    <w:rsid w:val="008E0506"/>
    <w:rsid w:val="008E65BA"/>
    <w:rsid w:val="008E6AC5"/>
    <w:rsid w:val="008E6C96"/>
    <w:rsid w:val="00900090"/>
    <w:rsid w:val="00906143"/>
    <w:rsid w:val="009067D2"/>
    <w:rsid w:val="00907043"/>
    <w:rsid w:val="009129A7"/>
    <w:rsid w:val="00931CC8"/>
    <w:rsid w:val="00940D1D"/>
    <w:rsid w:val="0094219F"/>
    <w:rsid w:val="009462B9"/>
    <w:rsid w:val="0096181E"/>
    <w:rsid w:val="00967973"/>
    <w:rsid w:val="009733DA"/>
    <w:rsid w:val="00973A06"/>
    <w:rsid w:val="009A3A68"/>
    <w:rsid w:val="009B6F00"/>
    <w:rsid w:val="009C066A"/>
    <w:rsid w:val="009F00F1"/>
    <w:rsid w:val="009F0344"/>
    <w:rsid w:val="00A0342B"/>
    <w:rsid w:val="00A053EB"/>
    <w:rsid w:val="00A121FE"/>
    <w:rsid w:val="00A1362A"/>
    <w:rsid w:val="00A25583"/>
    <w:rsid w:val="00A33C4E"/>
    <w:rsid w:val="00A343D6"/>
    <w:rsid w:val="00A44B94"/>
    <w:rsid w:val="00A54E32"/>
    <w:rsid w:val="00A565EC"/>
    <w:rsid w:val="00A86CE0"/>
    <w:rsid w:val="00AA1AC6"/>
    <w:rsid w:val="00AA2542"/>
    <w:rsid w:val="00AA7B3D"/>
    <w:rsid w:val="00AB1A87"/>
    <w:rsid w:val="00AC2845"/>
    <w:rsid w:val="00AD2A13"/>
    <w:rsid w:val="00AE11C0"/>
    <w:rsid w:val="00AE2AB5"/>
    <w:rsid w:val="00AE2EE9"/>
    <w:rsid w:val="00AE7113"/>
    <w:rsid w:val="00AE7775"/>
    <w:rsid w:val="00AF3DD6"/>
    <w:rsid w:val="00AF5178"/>
    <w:rsid w:val="00B412F6"/>
    <w:rsid w:val="00B5054E"/>
    <w:rsid w:val="00B54E5D"/>
    <w:rsid w:val="00B74D16"/>
    <w:rsid w:val="00B835BD"/>
    <w:rsid w:val="00B9065F"/>
    <w:rsid w:val="00BA5255"/>
    <w:rsid w:val="00BC0C58"/>
    <w:rsid w:val="00BD55E9"/>
    <w:rsid w:val="00BD78EA"/>
    <w:rsid w:val="00BE1307"/>
    <w:rsid w:val="00BE6B8B"/>
    <w:rsid w:val="00BE7B86"/>
    <w:rsid w:val="00BF2819"/>
    <w:rsid w:val="00BF7B9C"/>
    <w:rsid w:val="00C1211E"/>
    <w:rsid w:val="00C2575B"/>
    <w:rsid w:val="00C31C70"/>
    <w:rsid w:val="00C434FC"/>
    <w:rsid w:val="00C50660"/>
    <w:rsid w:val="00C56F16"/>
    <w:rsid w:val="00C815B0"/>
    <w:rsid w:val="00C828DC"/>
    <w:rsid w:val="00C83F8C"/>
    <w:rsid w:val="00CA45A2"/>
    <w:rsid w:val="00CA587D"/>
    <w:rsid w:val="00CB2167"/>
    <w:rsid w:val="00CC0FF1"/>
    <w:rsid w:val="00CE0E5B"/>
    <w:rsid w:val="00CE401A"/>
    <w:rsid w:val="00CF23AC"/>
    <w:rsid w:val="00D030F5"/>
    <w:rsid w:val="00D1609E"/>
    <w:rsid w:val="00D201C1"/>
    <w:rsid w:val="00D2057B"/>
    <w:rsid w:val="00D42A4A"/>
    <w:rsid w:val="00D5027E"/>
    <w:rsid w:val="00D631C6"/>
    <w:rsid w:val="00D63A43"/>
    <w:rsid w:val="00D63FAE"/>
    <w:rsid w:val="00D72E3D"/>
    <w:rsid w:val="00D81AB6"/>
    <w:rsid w:val="00D86A7A"/>
    <w:rsid w:val="00D96DDD"/>
    <w:rsid w:val="00DA0623"/>
    <w:rsid w:val="00DA6A68"/>
    <w:rsid w:val="00DB79AD"/>
    <w:rsid w:val="00DC148C"/>
    <w:rsid w:val="00DC38CB"/>
    <w:rsid w:val="00DC7992"/>
    <w:rsid w:val="00DE3665"/>
    <w:rsid w:val="00DF1F45"/>
    <w:rsid w:val="00DF371D"/>
    <w:rsid w:val="00DF46F6"/>
    <w:rsid w:val="00DF79D3"/>
    <w:rsid w:val="00E319F6"/>
    <w:rsid w:val="00E33635"/>
    <w:rsid w:val="00E4360E"/>
    <w:rsid w:val="00E45A75"/>
    <w:rsid w:val="00E45D7A"/>
    <w:rsid w:val="00E51A6C"/>
    <w:rsid w:val="00E55F6D"/>
    <w:rsid w:val="00E64EDF"/>
    <w:rsid w:val="00E6601C"/>
    <w:rsid w:val="00E7660E"/>
    <w:rsid w:val="00E902F0"/>
    <w:rsid w:val="00E9087C"/>
    <w:rsid w:val="00E97C30"/>
    <w:rsid w:val="00EA0495"/>
    <w:rsid w:val="00EB0AA0"/>
    <w:rsid w:val="00EB41D6"/>
    <w:rsid w:val="00F13B25"/>
    <w:rsid w:val="00F13CBB"/>
    <w:rsid w:val="00F30360"/>
    <w:rsid w:val="00F314DD"/>
    <w:rsid w:val="00F44BB6"/>
    <w:rsid w:val="00F4695A"/>
    <w:rsid w:val="00F6517F"/>
    <w:rsid w:val="00F706FB"/>
    <w:rsid w:val="00F74028"/>
    <w:rsid w:val="00F75366"/>
    <w:rsid w:val="00F766D7"/>
    <w:rsid w:val="00F812F1"/>
    <w:rsid w:val="00F87794"/>
    <w:rsid w:val="00FA546A"/>
    <w:rsid w:val="00FB7328"/>
    <w:rsid w:val="00FC0513"/>
    <w:rsid w:val="00FD4DDE"/>
    <w:rsid w:val="00FE4382"/>
    <w:rsid w:val="00FE6A5D"/>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l">
    <w:name w:val="il"/>
    <w:basedOn w:val="Fuentedeprrafopredeter"/>
    <w:rsid w:val="00390BA7"/>
  </w:style>
  <w:style w:type="paragraph" w:styleId="NormalWeb">
    <w:name w:val="Normal (Web)"/>
    <w:basedOn w:val="Normal"/>
    <w:uiPriority w:val="99"/>
    <w:semiHidden/>
    <w:unhideWhenUsed/>
    <w:rsid w:val="00390BA7"/>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501192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757092155">
      <w:bodyDiv w:val="1"/>
      <w:marLeft w:val="0"/>
      <w:marRight w:val="0"/>
      <w:marTop w:val="0"/>
      <w:marBottom w:val="0"/>
      <w:divBdr>
        <w:top w:val="none" w:sz="0" w:space="0" w:color="auto"/>
        <w:left w:val="none" w:sz="0" w:space="0" w:color="auto"/>
        <w:bottom w:val="none" w:sz="0" w:space="0" w:color="auto"/>
        <w:right w:val="none" w:sz="0" w:space="0" w:color="auto"/>
      </w:divBdr>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217401547">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866400412">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0BF28-647D-4B37-88A9-17344C2B0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6894</Words>
  <Characters>37921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Cuenta Microsoft</cp:lastModifiedBy>
  <cp:revision>2</cp:revision>
  <cp:lastPrinted>2021-12-15T18:10:00Z</cp:lastPrinted>
  <dcterms:created xsi:type="dcterms:W3CDTF">2022-01-30T23:16:00Z</dcterms:created>
  <dcterms:modified xsi:type="dcterms:W3CDTF">2022-01-30T23:16:00Z</dcterms:modified>
</cp:coreProperties>
</file>