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280568" w:rsidRPr="00882FED">
        <w:rPr>
          <w:rFonts w:ascii="Palatino Linotype" w:eastAsia="Palatino Linotype" w:hAnsi="Palatino Linotype" w:cs="Palatino Linotype"/>
        </w:rPr>
        <w:t>doce</w:t>
      </w:r>
      <w:r w:rsidRPr="00882FED">
        <w:rPr>
          <w:rFonts w:ascii="Palatino Linotype" w:eastAsia="Palatino Linotype" w:hAnsi="Palatino Linotype" w:cs="Palatino Linotype"/>
        </w:rPr>
        <w:t xml:space="preserve"> de octubre de dos mil veintidós. </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b/>
        </w:rPr>
        <w:t>VISTO</w:t>
      </w:r>
      <w:r w:rsidRPr="00882FED">
        <w:rPr>
          <w:rFonts w:ascii="Palatino Linotype" w:eastAsia="Palatino Linotype" w:hAnsi="Palatino Linotype" w:cs="Palatino Linotype"/>
        </w:rPr>
        <w:t xml:space="preserve"> el expediente formado con motivo del recurso de revisión </w:t>
      </w:r>
      <w:r w:rsidRPr="00882FED">
        <w:rPr>
          <w:rFonts w:ascii="Palatino Linotype" w:eastAsia="Palatino Linotype" w:hAnsi="Palatino Linotype" w:cs="Palatino Linotype"/>
          <w:b/>
        </w:rPr>
        <w:t>08774/INFOEM/IP/RR/2022</w:t>
      </w:r>
      <w:r w:rsidRPr="00882FED">
        <w:rPr>
          <w:rFonts w:ascii="Palatino Linotype" w:eastAsia="Palatino Linotype" w:hAnsi="Palatino Linotype" w:cs="Palatino Linotype"/>
        </w:rPr>
        <w:t xml:space="preserve">, interpuesto por </w:t>
      </w:r>
      <w:r w:rsidR="008B21D9">
        <w:rPr>
          <w:rFonts w:ascii="Palatino Linotype" w:eastAsia="Palatino Linotype" w:hAnsi="Palatino Linotype" w:cs="Palatino Linotype"/>
          <w:b/>
        </w:rPr>
        <w:t xml:space="preserve">XXXXXX XXXXXXXX XXXXXX XXXXXXXX </w:t>
      </w:r>
      <w:r w:rsidRPr="00882FED">
        <w:rPr>
          <w:rFonts w:ascii="Palatino Linotype" w:eastAsia="Palatino Linotype" w:hAnsi="Palatino Linotype" w:cs="Palatino Linotype"/>
        </w:rPr>
        <w:t xml:space="preserve">la parte </w:t>
      </w:r>
      <w:r w:rsidRPr="00882FED">
        <w:rPr>
          <w:rFonts w:ascii="Palatino Linotype" w:eastAsia="Palatino Linotype" w:hAnsi="Palatino Linotype" w:cs="Palatino Linotype"/>
          <w:b/>
        </w:rPr>
        <w:t>Recurrente,</w:t>
      </w:r>
      <w:r w:rsidRPr="00882FED">
        <w:rPr>
          <w:rFonts w:ascii="Palatino Linotype" w:eastAsia="Palatino Linotype" w:hAnsi="Palatino Linotype" w:cs="Palatino Linotype"/>
        </w:rPr>
        <w:t xml:space="preserve"> en contra de la respuesta a su solicitud por parte de la </w:t>
      </w:r>
      <w:r w:rsidRPr="00882FED">
        <w:rPr>
          <w:rFonts w:ascii="Palatino Linotype" w:eastAsia="Palatino Linotype" w:hAnsi="Palatino Linotype" w:cs="Palatino Linotype"/>
          <w:b/>
        </w:rPr>
        <w:t xml:space="preserve">Secretaría de Desarrollo Social, </w:t>
      </w:r>
      <w:r w:rsidRPr="00882FED">
        <w:rPr>
          <w:rFonts w:ascii="Palatino Linotype" w:eastAsia="Palatino Linotype" w:hAnsi="Palatino Linotype" w:cs="Palatino Linotype"/>
        </w:rPr>
        <w:t xml:space="preserve">en lo sucesivo el </w:t>
      </w:r>
      <w:r w:rsidRPr="00882FED">
        <w:rPr>
          <w:rFonts w:ascii="Palatino Linotype" w:eastAsia="Palatino Linotype" w:hAnsi="Palatino Linotype" w:cs="Palatino Linotype"/>
          <w:b/>
        </w:rPr>
        <w:t xml:space="preserve">Sujeto Obligado, </w:t>
      </w:r>
      <w:r w:rsidRPr="00882FED">
        <w:rPr>
          <w:rFonts w:ascii="Palatino Linotype" w:eastAsia="Palatino Linotype" w:hAnsi="Palatino Linotype" w:cs="Palatino Linotype"/>
        </w:rPr>
        <w:t xml:space="preserve">se procede a dictar la presente resolución con base en los siguientes: </w:t>
      </w:r>
    </w:p>
    <w:p w:rsidR="00E45B85" w:rsidRPr="00882FED" w:rsidRDefault="003D2527">
      <w:pPr>
        <w:spacing w:before="240" w:after="240" w:line="360" w:lineRule="auto"/>
        <w:jc w:val="center"/>
        <w:rPr>
          <w:rFonts w:ascii="Palatino Linotype" w:eastAsia="Palatino Linotype" w:hAnsi="Palatino Linotype" w:cs="Palatino Linotype"/>
          <w:b/>
        </w:rPr>
      </w:pPr>
      <w:r w:rsidRPr="00882FED">
        <w:rPr>
          <w:rFonts w:ascii="Palatino Linotype" w:eastAsia="Palatino Linotype" w:hAnsi="Palatino Linotype" w:cs="Palatino Linotype"/>
          <w:b/>
        </w:rPr>
        <w:t>I. A N T E C E D E N T E S</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b/>
        </w:rPr>
        <w:t>1. Solicitud de acceso a la información.</w:t>
      </w:r>
      <w:r w:rsidRPr="00882FED">
        <w:rPr>
          <w:rFonts w:ascii="Palatino Linotype" w:eastAsia="Palatino Linotype" w:hAnsi="Palatino Linotype" w:cs="Palatino Linotype"/>
        </w:rPr>
        <w:t xml:space="preserve"> Con fecha </w:t>
      </w:r>
      <w:r w:rsidRPr="00882FED">
        <w:rPr>
          <w:rFonts w:ascii="Palatino Linotype" w:eastAsia="Palatino Linotype" w:hAnsi="Palatino Linotype" w:cs="Palatino Linotype"/>
          <w:b/>
        </w:rPr>
        <w:t>veinticinco de abril de dos mil veintidós,</w:t>
      </w:r>
      <w:r w:rsidRPr="00882FED">
        <w:rPr>
          <w:rFonts w:ascii="Palatino Linotype" w:eastAsia="Palatino Linotype" w:hAnsi="Palatino Linotype" w:cs="Palatino Linotype"/>
        </w:rPr>
        <w:t xml:space="preserve"> la parte </w:t>
      </w:r>
      <w:r w:rsidRPr="00882FED">
        <w:rPr>
          <w:rFonts w:ascii="Palatino Linotype" w:eastAsia="Palatino Linotype" w:hAnsi="Palatino Linotype" w:cs="Palatino Linotype"/>
          <w:b/>
        </w:rPr>
        <w:t xml:space="preserve">Recurrente </w:t>
      </w:r>
      <w:r w:rsidRPr="00882FED">
        <w:rPr>
          <w:rFonts w:ascii="Palatino Linotype" w:eastAsia="Palatino Linotype" w:hAnsi="Palatino Linotype" w:cs="Palatino Linotype"/>
        </w:rPr>
        <w:t xml:space="preserve">presentó, a través del Sistema de Acceso a la Información Mexiquense, en lo subsecuente el </w:t>
      </w:r>
      <w:r w:rsidRPr="00882FED">
        <w:rPr>
          <w:rFonts w:ascii="Palatino Linotype" w:eastAsia="Palatino Linotype" w:hAnsi="Palatino Linotype" w:cs="Palatino Linotype"/>
          <w:b/>
        </w:rPr>
        <w:t>SAIMEX,</w:t>
      </w:r>
      <w:r w:rsidRPr="00882FED">
        <w:rPr>
          <w:rFonts w:ascii="Palatino Linotype" w:eastAsia="Palatino Linotype" w:hAnsi="Palatino Linotype" w:cs="Palatino Linotype"/>
        </w:rPr>
        <w:t xml:space="preserve"> ante el </w:t>
      </w:r>
      <w:r w:rsidRPr="00882FED">
        <w:rPr>
          <w:rFonts w:ascii="Palatino Linotype" w:eastAsia="Palatino Linotype" w:hAnsi="Palatino Linotype" w:cs="Palatino Linotype"/>
          <w:b/>
        </w:rPr>
        <w:t>Sujeto Obligado</w:t>
      </w:r>
      <w:r w:rsidRPr="00882FED">
        <w:rPr>
          <w:rFonts w:ascii="Palatino Linotype" w:eastAsia="Palatino Linotype" w:hAnsi="Palatino Linotype" w:cs="Palatino Linotype"/>
        </w:rPr>
        <w:t>, la solicitud de acceso a la información pública, a la que se le asignó el número</w:t>
      </w:r>
      <w:r w:rsidRPr="00882FED">
        <w:rPr>
          <w:rFonts w:ascii="Palatino Linotype" w:eastAsia="Palatino Linotype" w:hAnsi="Palatino Linotype" w:cs="Palatino Linotype"/>
          <w:b/>
        </w:rPr>
        <w:t xml:space="preserve"> 00061/SEDESEM/IP/2022, </w:t>
      </w:r>
      <w:r w:rsidRPr="00882FED">
        <w:rPr>
          <w:rFonts w:ascii="Palatino Linotype" w:eastAsia="Palatino Linotype" w:hAnsi="Palatino Linotype" w:cs="Palatino Linotype"/>
        </w:rPr>
        <w:t xml:space="preserve">mediante la cual requirió la información siguiente: </w:t>
      </w:r>
    </w:p>
    <w:p w:rsidR="00E45B85" w:rsidRPr="00882FED" w:rsidRDefault="003D2527">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882FED">
        <w:rPr>
          <w:rFonts w:ascii="Palatino Linotype" w:eastAsia="Palatino Linotype" w:hAnsi="Palatino Linotype" w:cs="Palatino Linotype"/>
          <w:i/>
          <w:sz w:val="22"/>
          <w:szCs w:val="22"/>
        </w:rPr>
        <w:t>“1.- Total de canastas alimentarias adquiridas para el año 2021. 2.- Costo total. 3.- Copia de los contratos celebrados para la adquisición de esas mismas canastas correspondientes al año 2021.” (</w:t>
      </w:r>
      <w:proofErr w:type="gramStart"/>
      <w:r w:rsidRPr="00882FED">
        <w:rPr>
          <w:rFonts w:ascii="Palatino Linotype" w:eastAsia="Palatino Linotype" w:hAnsi="Palatino Linotype" w:cs="Palatino Linotype"/>
          <w:i/>
          <w:sz w:val="22"/>
          <w:szCs w:val="22"/>
        </w:rPr>
        <w:t>sic</w:t>
      </w:r>
      <w:proofErr w:type="gramEnd"/>
      <w:r w:rsidRPr="00882FED">
        <w:rPr>
          <w:rFonts w:ascii="Palatino Linotype" w:eastAsia="Palatino Linotype" w:hAnsi="Palatino Linotype" w:cs="Palatino Linotype"/>
          <w:i/>
          <w:sz w:val="22"/>
          <w:szCs w:val="22"/>
        </w:rPr>
        <w:t xml:space="preserve">) </w:t>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La parte </w:t>
      </w:r>
      <w:r w:rsidRPr="00882FED">
        <w:rPr>
          <w:rFonts w:ascii="Palatino Linotype" w:eastAsia="Palatino Linotype" w:hAnsi="Palatino Linotype" w:cs="Palatino Linotype"/>
          <w:b/>
        </w:rPr>
        <w:t>Recurrente</w:t>
      </w:r>
      <w:r w:rsidRPr="00882FED">
        <w:rPr>
          <w:rFonts w:ascii="Palatino Linotype" w:eastAsia="Palatino Linotype" w:hAnsi="Palatino Linotype" w:cs="Palatino Linotype"/>
        </w:rPr>
        <w:t xml:space="preserve"> adjuntó no adjuntó archivos.</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b/>
        </w:rPr>
        <w:t>Modalidad de Entrega:</w:t>
      </w:r>
      <w:r w:rsidRPr="00882FED">
        <w:rPr>
          <w:rFonts w:ascii="Palatino Linotype" w:eastAsia="Palatino Linotype" w:hAnsi="Palatino Linotype" w:cs="Palatino Linotype"/>
        </w:rPr>
        <w:t xml:space="preserve"> a través del </w:t>
      </w:r>
      <w:r w:rsidRPr="00882FED">
        <w:rPr>
          <w:rFonts w:ascii="Palatino Linotype" w:eastAsia="Palatino Linotype" w:hAnsi="Palatino Linotype" w:cs="Palatino Linotype"/>
          <w:b/>
        </w:rPr>
        <w:t>SAIMEX</w:t>
      </w:r>
      <w:r w:rsidRPr="00882FED">
        <w:rPr>
          <w:rFonts w:ascii="Palatino Linotype" w:eastAsia="Palatino Linotype" w:hAnsi="Palatino Linotype" w:cs="Palatino Linotype"/>
        </w:rPr>
        <w:t>.</w:t>
      </w:r>
    </w:p>
    <w:p w:rsidR="00E45B85" w:rsidRPr="00882FED" w:rsidRDefault="003D2527">
      <w:pPr>
        <w:spacing w:before="240" w:after="240" w:line="360" w:lineRule="auto"/>
        <w:jc w:val="both"/>
        <w:rPr>
          <w:rFonts w:ascii="Palatino Linotype" w:eastAsia="Palatino Linotype" w:hAnsi="Palatino Linotype" w:cs="Palatino Linotype"/>
          <w:b/>
        </w:rPr>
      </w:pPr>
      <w:bookmarkStart w:id="1" w:name="_heading=h.3dy6vkm" w:colFirst="0" w:colLast="0"/>
      <w:bookmarkEnd w:id="1"/>
      <w:r w:rsidRPr="00882FED">
        <w:rPr>
          <w:rFonts w:ascii="Palatino Linotype" w:eastAsia="Palatino Linotype" w:hAnsi="Palatino Linotype" w:cs="Palatino Linotype"/>
          <w:b/>
        </w:rPr>
        <w:lastRenderedPageBreak/>
        <w:t xml:space="preserve">2. Respuesta. </w:t>
      </w:r>
      <w:r w:rsidRPr="00882FED">
        <w:rPr>
          <w:rFonts w:ascii="Palatino Linotype" w:eastAsia="Palatino Linotype" w:hAnsi="Palatino Linotype" w:cs="Palatino Linotype"/>
        </w:rPr>
        <w:t>Con fecha</w:t>
      </w:r>
      <w:r w:rsidRPr="00882FED">
        <w:rPr>
          <w:rFonts w:ascii="Palatino Linotype" w:eastAsia="Palatino Linotype" w:hAnsi="Palatino Linotype" w:cs="Palatino Linotype"/>
          <w:b/>
        </w:rPr>
        <w:t xml:space="preserve"> diecisiete de mayo de dos mil veintidós</w:t>
      </w:r>
      <w:r w:rsidRPr="00882FED">
        <w:rPr>
          <w:rFonts w:ascii="Palatino Linotype" w:eastAsia="Palatino Linotype" w:hAnsi="Palatino Linotype" w:cs="Palatino Linotype"/>
        </w:rPr>
        <w:t xml:space="preserve">, el </w:t>
      </w:r>
      <w:r w:rsidRPr="00882FED">
        <w:rPr>
          <w:rFonts w:ascii="Palatino Linotype" w:eastAsia="Palatino Linotype" w:hAnsi="Palatino Linotype" w:cs="Palatino Linotype"/>
          <w:b/>
        </w:rPr>
        <w:t xml:space="preserve">Sujeto Obligado </w:t>
      </w:r>
      <w:r w:rsidRPr="00882FED">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E45B85" w:rsidRPr="00882FED" w:rsidRDefault="003D2527">
      <w:pPr>
        <w:spacing w:before="240" w:after="24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“…le contestamos que:</w:t>
      </w:r>
    </w:p>
    <w:p w:rsidR="00E45B85" w:rsidRPr="00882FED" w:rsidRDefault="003D2527">
      <w:pPr>
        <w:spacing w:before="240" w:after="240"/>
        <w:ind w:left="851" w:right="902"/>
        <w:jc w:val="both"/>
        <w:rPr>
          <w:rFonts w:ascii="Palatino Linotype" w:eastAsia="Palatino Linotype" w:hAnsi="Palatino Linotype" w:cs="Palatino Linotype"/>
          <w:b/>
          <w:i/>
          <w:sz w:val="22"/>
          <w:szCs w:val="22"/>
        </w:rPr>
      </w:pPr>
      <w:r w:rsidRPr="00882FED">
        <w:rPr>
          <w:rFonts w:ascii="Palatino Linotype" w:eastAsia="Palatino Linotype" w:hAnsi="Palatino Linotype" w:cs="Palatino Linotype"/>
          <w:i/>
          <w:sz w:val="22"/>
          <w:szCs w:val="22"/>
        </w:rPr>
        <w:t>Se anexa oficio de respuesta número SEDESEM/UT/061/2022, de fecha 17 de mayo de 2022; asimismo, se adjunta el contrato número CB/A/5/2021, de fecha 16 de abril de 2022 y el Acuerdo CTSDS-EXT14-001/2022, de fecha 16 de mayo del año en curso, emitido por el Comité de Transparencia de la Secretaría de Desarrollo Social, en donde se clasifican los datos personales contenidos en el contrato elaborado, relacionado a esta adquisición, consistentes en: domicilio en el Estado de México, teléfono, telefax, correo electrónico personal, firma y rúbrica del representante legal de la empresa, se le proporciona en versión pública....” (</w:t>
      </w:r>
      <w:proofErr w:type="gramStart"/>
      <w:r w:rsidRPr="00882FED">
        <w:rPr>
          <w:rFonts w:ascii="Palatino Linotype" w:eastAsia="Palatino Linotype" w:hAnsi="Palatino Linotype" w:cs="Palatino Linotype"/>
          <w:i/>
          <w:sz w:val="22"/>
          <w:szCs w:val="22"/>
        </w:rPr>
        <w:t>sic</w:t>
      </w:r>
      <w:proofErr w:type="gramEnd"/>
      <w:r w:rsidRPr="00882FED">
        <w:rPr>
          <w:rFonts w:ascii="Palatino Linotype" w:eastAsia="Palatino Linotype" w:hAnsi="Palatino Linotype" w:cs="Palatino Linotype"/>
          <w:i/>
          <w:sz w:val="22"/>
          <w:szCs w:val="22"/>
        </w:rPr>
        <w:t>)</w:t>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El </w:t>
      </w:r>
      <w:r w:rsidRPr="00882FED">
        <w:rPr>
          <w:rFonts w:ascii="Palatino Linotype" w:eastAsia="Palatino Linotype" w:hAnsi="Palatino Linotype" w:cs="Palatino Linotype"/>
          <w:b/>
        </w:rPr>
        <w:t>Sujeto Obligado</w:t>
      </w:r>
      <w:r w:rsidRPr="00882FED">
        <w:rPr>
          <w:rFonts w:ascii="Palatino Linotype" w:eastAsia="Palatino Linotype" w:hAnsi="Palatino Linotype" w:cs="Palatino Linotype"/>
        </w:rPr>
        <w:t xml:space="preserve"> adjuntó lo siguiente:</w:t>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rPr>
        <w:t>- Oficio número SEDESEM/UT/061/2022, de fecha diecisiete de mayo de 2022, signado por el Titular de la Unidad de Transparencia, mediante el cual notifica a la persona solicitante la respuesta a la solicitud de información en los siguientes términos:</w:t>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noProof/>
        </w:rPr>
        <w:drawing>
          <wp:inline distT="0" distB="0" distL="0" distR="0" wp14:anchorId="72A065BC" wp14:editId="0E6BD6FC">
            <wp:extent cx="5610225" cy="1714500"/>
            <wp:effectExtent l="0" t="0" r="0" b="0"/>
            <wp:docPr id="7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5610225" cy="1714500"/>
                    </a:xfrm>
                    <a:prstGeom prst="rect">
                      <a:avLst/>
                    </a:prstGeom>
                    <a:ln/>
                  </pic:spPr>
                </pic:pic>
              </a:graphicData>
            </a:graphic>
          </wp:inline>
        </w:drawing>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noProof/>
        </w:rPr>
        <w:lastRenderedPageBreak/>
        <w:drawing>
          <wp:inline distT="0" distB="0" distL="0" distR="0" wp14:anchorId="5A23346C" wp14:editId="139EF9E4">
            <wp:extent cx="5610225" cy="1990725"/>
            <wp:effectExtent l="0" t="0" r="0" b="0"/>
            <wp:docPr id="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610225" cy="1990725"/>
                    </a:xfrm>
                    <a:prstGeom prst="rect">
                      <a:avLst/>
                    </a:prstGeom>
                    <a:ln/>
                  </pic:spPr>
                </pic:pic>
              </a:graphicData>
            </a:graphic>
          </wp:inline>
        </w:drawing>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rPr>
        <w:t>Asimismo, informa que el Comité de Transparencia de la Secretaría de Desarrollo Social expidió el Acuerdo número ACUERDO CTSDS-EXT14-001/2022, mismo que se anexa, respecto dela versión pública del contrato.</w:t>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rPr>
        <w:t>Finalmente, precisa que dicha dependencia no recopila, administra, maneja, procesa, archiva o conserva la información pública que generan las dependencias, organismos públicos descentralizados y los ayuntamientos de la entidad.</w:t>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rPr>
        <w:t>- Acuerdo del Comité de Transparencia de la Secretaría de Desarrollo Social CTSDS-EXT14-001/2022, de fecha dieciséis de mayo de dos mil veintidós, mediante el cual se clasifican como confidenciales los datos personales contenidos en el contrato elaborado, relacionado con la compra de la productos incluidos en la canasta alimentaria de los Programas de Desarrollo Social “Familias Fuertes Canasta EDOMEX” y “Familias Fuertes Apoyo a Personas Adultas Mayores”, en el ejercicio 2021, consistentes en domicilio en el Estado de México, teléfono, telefax, correo electrónico personal, firma y rúbrica del representante legal de la empresa, proporcionándose en versión pública.</w:t>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 Caratula del contrato CB/A/5/2021. </w:t>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b/>
        </w:rPr>
        <w:lastRenderedPageBreak/>
        <w:t xml:space="preserve">4. Interposición del recurso de revisión. </w:t>
      </w:r>
      <w:r w:rsidRPr="00882FED">
        <w:rPr>
          <w:rFonts w:ascii="Palatino Linotype" w:eastAsia="Palatino Linotype" w:hAnsi="Palatino Linotype" w:cs="Palatino Linotype"/>
        </w:rPr>
        <w:t xml:space="preserve">Inconforme con los términos de la respuesta emitida por parte del </w:t>
      </w:r>
      <w:r w:rsidRPr="00882FED">
        <w:rPr>
          <w:rFonts w:ascii="Palatino Linotype" w:eastAsia="Palatino Linotype" w:hAnsi="Palatino Linotype" w:cs="Palatino Linotype"/>
          <w:b/>
        </w:rPr>
        <w:t>Sujeto Obligado</w:t>
      </w:r>
      <w:r w:rsidRPr="00882FED">
        <w:rPr>
          <w:rFonts w:ascii="Palatino Linotype" w:eastAsia="Palatino Linotype" w:hAnsi="Palatino Linotype" w:cs="Palatino Linotype"/>
        </w:rPr>
        <w:t xml:space="preserve">, el </w:t>
      </w:r>
      <w:r w:rsidRPr="00882FED">
        <w:rPr>
          <w:rFonts w:ascii="Palatino Linotype" w:eastAsia="Palatino Linotype" w:hAnsi="Palatino Linotype" w:cs="Palatino Linotype"/>
          <w:b/>
        </w:rPr>
        <w:t>veintitrés de mayo de dos mil veintidós,</w:t>
      </w:r>
      <w:r w:rsidRPr="00882FED">
        <w:rPr>
          <w:rFonts w:ascii="Palatino Linotype" w:eastAsia="Palatino Linotype" w:hAnsi="Palatino Linotype" w:cs="Palatino Linotype"/>
        </w:rPr>
        <w:t xml:space="preserve"> la parte </w:t>
      </w:r>
      <w:r w:rsidRPr="00882FED">
        <w:rPr>
          <w:rFonts w:ascii="Palatino Linotype" w:eastAsia="Palatino Linotype" w:hAnsi="Palatino Linotype" w:cs="Palatino Linotype"/>
          <w:b/>
        </w:rPr>
        <w:t>Recurrente</w:t>
      </w:r>
      <w:r w:rsidRPr="00882FED">
        <w:rPr>
          <w:rFonts w:ascii="Palatino Linotype" w:eastAsia="Palatino Linotype" w:hAnsi="Palatino Linotype" w:cs="Palatino Linotype"/>
        </w:rPr>
        <w:t xml:space="preserve"> interpuso el recurso de revisión a través de </w:t>
      </w:r>
      <w:r w:rsidRPr="00882FED">
        <w:rPr>
          <w:rFonts w:ascii="Palatino Linotype" w:eastAsia="Palatino Linotype" w:hAnsi="Palatino Linotype" w:cs="Palatino Linotype"/>
          <w:b/>
        </w:rPr>
        <w:t xml:space="preserve">SAIMEX, </w:t>
      </w:r>
      <w:r w:rsidRPr="00882FED">
        <w:rPr>
          <w:rFonts w:ascii="Palatino Linotype" w:eastAsia="Palatino Linotype" w:hAnsi="Palatino Linotype" w:cs="Palatino Linotype"/>
        </w:rPr>
        <w:t>en donde se manifestó de la siguiente manera:</w:t>
      </w:r>
    </w:p>
    <w:p w:rsidR="00E45B85" w:rsidRPr="00882FED" w:rsidRDefault="003D2527">
      <w:pPr>
        <w:tabs>
          <w:tab w:val="left" w:pos="2745"/>
        </w:tabs>
        <w:spacing w:before="240" w:after="240" w:line="360" w:lineRule="auto"/>
        <w:jc w:val="both"/>
        <w:rPr>
          <w:rFonts w:ascii="Palatino Linotype" w:eastAsia="Palatino Linotype" w:hAnsi="Palatino Linotype" w:cs="Palatino Linotype"/>
          <w:b/>
        </w:rPr>
      </w:pPr>
      <w:r w:rsidRPr="00882FED">
        <w:rPr>
          <w:rFonts w:ascii="Palatino Linotype" w:eastAsia="Palatino Linotype" w:hAnsi="Palatino Linotype" w:cs="Palatino Linotype"/>
          <w:b/>
        </w:rPr>
        <w:t xml:space="preserve">Acto impugnado: </w:t>
      </w:r>
    </w:p>
    <w:p w:rsidR="00E45B85" w:rsidRPr="00882FED" w:rsidRDefault="003D2527">
      <w:pPr>
        <w:tabs>
          <w:tab w:val="left" w:pos="2745"/>
        </w:tabs>
        <w:spacing w:before="240" w:after="240"/>
        <w:ind w:left="851" w:right="900"/>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“Clasificación de información.” (</w:t>
      </w:r>
      <w:proofErr w:type="gramStart"/>
      <w:r w:rsidRPr="00882FED">
        <w:rPr>
          <w:rFonts w:ascii="Palatino Linotype" w:eastAsia="Palatino Linotype" w:hAnsi="Palatino Linotype" w:cs="Palatino Linotype"/>
          <w:i/>
          <w:sz w:val="22"/>
          <w:szCs w:val="22"/>
        </w:rPr>
        <w:t>sic</w:t>
      </w:r>
      <w:proofErr w:type="gramEnd"/>
      <w:r w:rsidRPr="00882FED">
        <w:rPr>
          <w:rFonts w:ascii="Palatino Linotype" w:eastAsia="Palatino Linotype" w:hAnsi="Palatino Linotype" w:cs="Palatino Linotype"/>
          <w:i/>
          <w:sz w:val="22"/>
          <w:szCs w:val="22"/>
        </w:rPr>
        <w:t>)</w:t>
      </w:r>
    </w:p>
    <w:p w:rsidR="00E45B85" w:rsidRPr="00882FED" w:rsidRDefault="003D2527">
      <w:pPr>
        <w:spacing w:line="360" w:lineRule="auto"/>
        <w:jc w:val="both"/>
        <w:rPr>
          <w:rFonts w:ascii="Palatino Linotype" w:eastAsia="Palatino Linotype" w:hAnsi="Palatino Linotype" w:cs="Palatino Linotype"/>
        </w:rPr>
      </w:pPr>
      <w:bookmarkStart w:id="2" w:name="_heading=h.30j0zll" w:colFirst="0" w:colLast="0"/>
      <w:bookmarkEnd w:id="2"/>
      <w:r w:rsidRPr="00882FED">
        <w:rPr>
          <w:rFonts w:ascii="Palatino Linotype" w:eastAsia="Palatino Linotype" w:hAnsi="Palatino Linotype" w:cs="Palatino Linotype"/>
          <w:b/>
        </w:rPr>
        <w:t>Y Razones o motivos de inconformidad</w:t>
      </w:r>
      <w:r w:rsidRPr="00882FED">
        <w:rPr>
          <w:rFonts w:ascii="Palatino Linotype" w:eastAsia="Palatino Linotype" w:hAnsi="Palatino Linotype" w:cs="Palatino Linotype"/>
        </w:rPr>
        <w:t xml:space="preserve">: </w:t>
      </w:r>
    </w:p>
    <w:p w:rsidR="00E45B85" w:rsidRPr="00882FED" w:rsidRDefault="003D2527">
      <w:pPr>
        <w:tabs>
          <w:tab w:val="left" w:pos="2745"/>
        </w:tabs>
        <w:spacing w:before="240" w:after="240"/>
        <w:ind w:left="851" w:right="900"/>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“Considero que debe entregarse la información solicitada de manera íntegra, ya que se trata de un contrato en el que intervienen recursos públicos para un programa social. Por lo que solicito se ordene al Sujeto obligado hacer entrega del contrato CB/A/5/2021.” (</w:t>
      </w:r>
      <w:proofErr w:type="gramStart"/>
      <w:r w:rsidRPr="00882FED">
        <w:rPr>
          <w:rFonts w:ascii="Palatino Linotype" w:eastAsia="Palatino Linotype" w:hAnsi="Palatino Linotype" w:cs="Palatino Linotype"/>
          <w:i/>
          <w:sz w:val="22"/>
          <w:szCs w:val="22"/>
        </w:rPr>
        <w:t>sic</w:t>
      </w:r>
      <w:proofErr w:type="gramEnd"/>
      <w:r w:rsidRPr="00882FED">
        <w:rPr>
          <w:rFonts w:ascii="Palatino Linotype" w:eastAsia="Palatino Linotype" w:hAnsi="Palatino Linotype" w:cs="Palatino Linotype"/>
          <w:i/>
          <w:sz w:val="22"/>
          <w:szCs w:val="22"/>
        </w:rPr>
        <w:t>)</w:t>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b/>
        </w:rPr>
        <w:t xml:space="preserve">Anexos: </w:t>
      </w:r>
      <w:r w:rsidRPr="00882FED">
        <w:rPr>
          <w:rFonts w:ascii="Palatino Linotype" w:eastAsia="Palatino Linotype" w:hAnsi="Palatino Linotype" w:cs="Palatino Linotype"/>
        </w:rPr>
        <w:t xml:space="preserve">La parte </w:t>
      </w:r>
      <w:r w:rsidRPr="00882FED">
        <w:rPr>
          <w:rFonts w:ascii="Palatino Linotype" w:eastAsia="Palatino Linotype" w:hAnsi="Palatino Linotype" w:cs="Palatino Linotype"/>
          <w:b/>
        </w:rPr>
        <w:t xml:space="preserve">Recurrente </w:t>
      </w:r>
      <w:r w:rsidRPr="00882FED">
        <w:rPr>
          <w:rFonts w:ascii="Palatino Linotype" w:eastAsia="Palatino Linotype" w:hAnsi="Palatino Linotype" w:cs="Palatino Linotype"/>
        </w:rPr>
        <w:t xml:space="preserve">no adjuntó archivos. </w:t>
      </w:r>
    </w:p>
    <w:p w:rsidR="00E45B85" w:rsidRPr="00882FED" w:rsidRDefault="003D2527">
      <w:pPr>
        <w:spacing w:before="240" w:after="240" w:line="360" w:lineRule="auto"/>
        <w:ind w:right="51"/>
        <w:jc w:val="both"/>
        <w:rPr>
          <w:rFonts w:ascii="Palatino Linotype" w:eastAsia="Palatino Linotype" w:hAnsi="Palatino Linotype" w:cs="Palatino Linotype"/>
        </w:rPr>
      </w:pPr>
      <w:r w:rsidRPr="00882FED">
        <w:rPr>
          <w:rFonts w:ascii="Palatino Linotype" w:eastAsia="Palatino Linotype" w:hAnsi="Palatino Linotype" w:cs="Palatino Linotype"/>
          <w:b/>
        </w:rPr>
        <w:t xml:space="preserve">5. Turno. </w:t>
      </w:r>
      <w:r w:rsidRPr="00882FE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82FED">
        <w:rPr>
          <w:rFonts w:ascii="Palatino Linotype" w:eastAsia="Palatino Linotype" w:hAnsi="Palatino Linotype" w:cs="Palatino Linotype"/>
          <w:b/>
        </w:rPr>
        <w:t xml:space="preserve">Guadalupe Ramírez Peña, </w:t>
      </w:r>
      <w:r w:rsidRPr="00882FED">
        <w:rPr>
          <w:rFonts w:ascii="Palatino Linotype" w:eastAsia="Palatino Linotype" w:hAnsi="Palatino Linotype" w:cs="Palatino Linotype"/>
        </w:rPr>
        <w:t xml:space="preserve">a efecto de que analizara sobre su admisión o su </w:t>
      </w:r>
      <w:proofErr w:type="spellStart"/>
      <w:r w:rsidRPr="00882FED">
        <w:rPr>
          <w:rFonts w:ascii="Palatino Linotype" w:eastAsia="Palatino Linotype" w:hAnsi="Palatino Linotype" w:cs="Palatino Linotype"/>
        </w:rPr>
        <w:t>desechamiento</w:t>
      </w:r>
      <w:proofErr w:type="spellEnd"/>
      <w:r w:rsidRPr="00882FED">
        <w:rPr>
          <w:rFonts w:ascii="Palatino Linotype" w:eastAsia="Palatino Linotype" w:hAnsi="Palatino Linotype" w:cs="Palatino Linotype"/>
        </w:rPr>
        <w:t>.</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b/>
        </w:rPr>
        <w:t>6. Admisión del Recurso de revisión.</w:t>
      </w:r>
      <w:r w:rsidRPr="00882FED">
        <w:rPr>
          <w:rFonts w:ascii="Palatino Linotype" w:eastAsia="Palatino Linotype" w:hAnsi="Palatino Linotype" w:cs="Palatino Linotype"/>
        </w:rPr>
        <w:t xml:space="preserve"> Con fecha</w:t>
      </w:r>
      <w:r w:rsidRPr="00882FED">
        <w:rPr>
          <w:rFonts w:ascii="Palatino Linotype" w:eastAsia="Palatino Linotype" w:hAnsi="Palatino Linotype" w:cs="Palatino Linotype"/>
          <w:b/>
        </w:rPr>
        <w:t xml:space="preserve"> veintiséis de mayo de dos mil veintidós, </w:t>
      </w:r>
      <w:r w:rsidRPr="00882FE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882FED">
        <w:rPr>
          <w:rFonts w:ascii="Palatino Linotype" w:eastAsia="Palatino Linotype" w:hAnsi="Palatino Linotype" w:cs="Palatino Linotype"/>
        </w:rPr>
        <w:lastRenderedPageBreak/>
        <w:t xml:space="preserve">conveniente, ofrecieran pruebas, formularan alegatos y el </w:t>
      </w:r>
      <w:r w:rsidRPr="00882FED">
        <w:rPr>
          <w:rFonts w:ascii="Palatino Linotype" w:eastAsia="Palatino Linotype" w:hAnsi="Palatino Linotype" w:cs="Palatino Linotype"/>
          <w:b/>
        </w:rPr>
        <w:t xml:space="preserve">Sujeto Obligado </w:t>
      </w:r>
      <w:r w:rsidRPr="00882FED">
        <w:rPr>
          <w:rFonts w:ascii="Palatino Linotype" w:eastAsia="Palatino Linotype" w:hAnsi="Palatino Linotype" w:cs="Palatino Linotype"/>
        </w:rPr>
        <w:t>presentara su informe justificado.</w:t>
      </w:r>
    </w:p>
    <w:p w:rsidR="00E45B85" w:rsidRPr="00882FED" w:rsidRDefault="003D2527">
      <w:pPr>
        <w:spacing w:before="240" w:after="240" w:line="360" w:lineRule="auto"/>
        <w:jc w:val="both"/>
        <w:rPr>
          <w:rFonts w:ascii="Palatino Linotype" w:eastAsia="Palatino Linotype" w:hAnsi="Palatino Linotype" w:cs="Palatino Linotype"/>
        </w:rPr>
      </w:pPr>
      <w:bookmarkStart w:id="3" w:name="_heading=h.2s8eyo1" w:colFirst="0" w:colLast="0"/>
      <w:bookmarkEnd w:id="3"/>
      <w:r w:rsidRPr="00882FED">
        <w:rPr>
          <w:rFonts w:ascii="Palatino Linotype" w:eastAsia="Palatino Linotype" w:hAnsi="Palatino Linotype" w:cs="Palatino Linotype"/>
          <w:b/>
        </w:rPr>
        <w:t>7. Manifestaciones</w:t>
      </w:r>
      <w:r w:rsidRPr="00882FED">
        <w:rPr>
          <w:rFonts w:ascii="Palatino Linotype" w:eastAsia="Palatino Linotype" w:hAnsi="Palatino Linotype" w:cs="Palatino Linotype"/>
        </w:rPr>
        <w:t xml:space="preserve">. En fecha </w:t>
      </w:r>
      <w:r w:rsidRPr="00882FED">
        <w:rPr>
          <w:rFonts w:ascii="Palatino Linotype" w:eastAsia="Palatino Linotype" w:hAnsi="Palatino Linotype" w:cs="Palatino Linotype"/>
          <w:b/>
        </w:rPr>
        <w:t xml:space="preserve">veintisiete de mayo de dos mil veintidós, </w:t>
      </w:r>
      <w:r w:rsidRPr="00882FED">
        <w:rPr>
          <w:rFonts w:ascii="Palatino Linotype" w:eastAsia="Palatino Linotype" w:hAnsi="Palatino Linotype" w:cs="Palatino Linotype"/>
        </w:rPr>
        <w:t xml:space="preserve">el </w:t>
      </w:r>
      <w:r w:rsidRPr="00882FED">
        <w:rPr>
          <w:rFonts w:ascii="Palatino Linotype" w:eastAsia="Palatino Linotype" w:hAnsi="Palatino Linotype" w:cs="Palatino Linotype"/>
          <w:b/>
        </w:rPr>
        <w:t xml:space="preserve">Sujeto Obligado </w:t>
      </w:r>
      <w:r w:rsidRPr="00882FED">
        <w:rPr>
          <w:rFonts w:ascii="Palatino Linotype" w:eastAsia="Palatino Linotype" w:hAnsi="Palatino Linotype" w:cs="Palatino Linotype"/>
        </w:rPr>
        <w:t xml:space="preserve">remitió, a través del SAIMEX, su informe justificado, mediante el cual la Unidad de Transparencia niega el acto impugnado señalado por la parte </w:t>
      </w:r>
      <w:r w:rsidRPr="00882FED">
        <w:rPr>
          <w:rFonts w:ascii="Palatino Linotype" w:eastAsia="Palatino Linotype" w:hAnsi="Palatino Linotype" w:cs="Palatino Linotype"/>
          <w:b/>
        </w:rPr>
        <w:t xml:space="preserve">Recurrente, </w:t>
      </w:r>
      <w:r w:rsidRPr="00882FED">
        <w:rPr>
          <w:rFonts w:ascii="Palatino Linotype" w:eastAsia="Palatino Linotype" w:hAnsi="Palatino Linotype" w:cs="Palatino Linotype"/>
        </w:rPr>
        <w:t xml:space="preserve">manifestando que como se desprende de la lectura del oficio SEDESEM/UT/061/2022, se dio respuesta puntual a la solicitud de información; y,  respecto de la razón o motivo de inconformidad mediante el cual la parte </w:t>
      </w:r>
      <w:r w:rsidRPr="00882FED">
        <w:rPr>
          <w:rFonts w:ascii="Palatino Linotype" w:eastAsia="Palatino Linotype" w:hAnsi="Palatino Linotype" w:cs="Palatino Linotype"/>
          <w:b/>
        </w:rPr>
        <w:t xml:space="preserve">Recurrente </w:t>
      </w:r>
      <w:r w:rsidRPr="00882FED">
        <w:rPr>
          <w:rFonts w:ascii="Palatino Linotype" w:eastAsia="Palatino Linotype" w:hAnsi="Palatino Linotype" w:cs="Palatino Linotype"/>
        </w:rPr>
        <w:t xml:space="preserve">alega la clasificación de la información, manifiesta que es infundado, reiterando que se dio respuesta a cada uno de los puntos solicitados por la peticionaria, misma que se entregó en tiempo y forma, en términos de lo previsto en los artículos 3, fracciones IX, XX, XXI, XXIII y XXXIX, 59, fracción V, 139, 143, fracción I y 149 de la Ley de Transparencia y Acceso a la Información pública del Estado de México y Municipios, y 4, fracciones XI y L de la Ley de Protección de Datos Personales en Posesión de Sujetos Obligados del Estado de México y Municipios, así como lo establecido en los numerales Trigésimo Octavo y quincuagésimo Sexto de los Lineamientos Generales en Matera de Clasificación y Desclasificación de la Información, así como para la Elaboración de Versiones Públicas; y Vigésimo Octavo, Trigésimo, fracciones VII, XVII y XVIII, Trigésimo Primero de los Criterios para la Clasificación de la Información Pública de las Dependencias, Organismos Auxiliares y Fideicomisos Públicos de la Administración Pública del Estado de México, en virtud de que la confidencialidad es una excepción al principio de máxima publicidad en el ejercicio de acceso a la información pública, pues la protección de datos personales es la </w:t>
      </w:r>
      <w:r w:rsidRPr="00882FED">
        <w:rPr>
          <w:rFonts w:ascii="Palatino Linotype" w:eastAsia="Palatino Linotype" w:hAnsi="Palatino Linotype" w:cs="Palatino Linotype"/>
        </w:rPr>
        <w:lastRenderedPageBreak/>
        <w:t>prerrogativa conferida a las personas contra la posible divulgación de sus datos, de tal forma que no pueda afectarse su entorno personal, social o profesional.</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Asimismo, refiere que la legislación en la materia garantiza al titular de la información que el tratamiento de los datos por él proporcionados, será el estrictamente necesario para cumplir con el fin para el cual fueron recabados, siendo obligatoria la confidencialidad y el respeto a su privacidad, con relación al uso, la seguridad, la difusión y la distribución de dicha información.</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Finalmente, indica que el </w:t>
      </w:r>
      <w:r w:rsidRPr="00882FED">
        <w:rPr>
          <w:rFonts w:ascii="Palatino Linotype" w:eastAsia="Palatino Linotype" w:hAnsi="Palatino Linotype" w:cs="Palatino Linotype"/>
          <w:b/>
        </w:rPr>
        <w:t xml:space="preserve">Sujeto Obligado </w:t>
      </w:r>
      <w:r w:rsidRPr="00882FED">
        <w:rPr>
          <w:rFonts w:ascii="Palatino Linotype" w:eastAsia="Palatino Linotype" w:hAnsi="Palatino Linotype" w:cs="Palatino Linotype"/>
        </w:rPr>
        <w:t>no omitió ninguno de los elementos para atender el requerimiento de la persona solicitante, señalados en la normatividad en la materia, no obstante, en virtud de que por un error involuntario humano solamente se adjuntó una hoja del contrato en la que se especificaba el año, número de proceso adquisitivo, numero de contrato abierto, numero de requisición, objeto de requisición de bienes, proveedor adjudicado y total de la adquisición, razón por la cual, adjunta en el acto el contrato en versión pública, en la cual se clasificaron como confidenciales los datos personales contenidos en el mismo. En este sentido, solicita a este Organismo Garante se confirme la respuesta proporcionada en primera instancia, al considerar que no se actualiza alguno de los supuestos jurídicos contenidos en el artículo 179 de la Ley de Transparencia y Acceso a la Información pública del Estado de México y Municipios.</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Cabe señalar que al informe justificado se adjuntó, en versión pública, el Contrato Administrativo de Adquisición de Bienes número CB/A/5/2021, así como el Acuerdo del Comité de Transparencia de la Secretaría de Desarrollo Social CTSDS-EXT14-001/2022, descrito en el antecedente 2 de la presente resolución.</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lastRenderedPageBreak/>
        <w:t>Una vez analizados los documentos referidos, los mismos se hicieron</w:t>
      </w:r>
      <w:r w:rsidR="00280568" w:rsidRPr="00882FED">
        <w:rPr>
          <w:rFonts w:ascii="Palatino Linotype" w:eastAsia="Palatino Linotype" w:hAnsi="Palatino Linotype" w:cs="Palatino Linotype"/>
        </w:rPr>
        <w:t xml:space="preserve"> </w:t>
      </w:r>
      <w:r w:rsidRPr="00882FED">
        <w:rPr>
          <w:rFonts w:ascii="Palatino Linotype" w:eastAsia="Palatino Linotype" w:hAnsi="Palatino Linotype" w:cs="Palatino Linotype"/>
        </w:rPr>
        <w:t xml:space="preserve">del conocimiento de la parte </w:t>
      </w:r>
      <w:r w:rsidRPr="00882FED">
        <w:rPr>
          <w:rFonts w:ascii="Palatino Linotype" w:eastAsia="Palatino Linotype" w:hAnsi="Palatino Linotype" w:cs="Palatino Linotype"/>
          <w:b/>
        </w:rPr>
        <w:t>Recurrente</w:t>
      </w:r>
      <w:r w:rsidR="00D974EE" w:rsidRPr="00882FED">
        <w:rPr>
          <w:rFonts w:ascii="Palatino Linotype" w:eastAsia="Palatino Linotype" w:hAnsi="Palatino Linotype" w:cs="Palatino Linotype"/>
          <w:b/>
        </w:rPr>
        <w:t xml:space="preserve"> </w:t>
      </w:r>
      <w:r w:rsidR="00D974EE" w:rsidRPr="00882FED">
        <w:rPr>
          <w:rFonts w:ascii="Palatino Linotype" w:eastAsia="Palatino Linotype" w:hAnsi="Palatino Linotype" w:cs="Palatino Linotype"/>
        </w:rPr>
        <w:t xml:space="preserve">en fecha </w:t>
      </w:r>
      <w:r w:rsidR="00320628" w:rsidRPr="00882FED">
        <w:rPr>
          <w:rFonts w:ascii="Palatino Linotype" w:eastAsia="Palatino Linotype" w:hAnsi="Palatino Linotype" w:cs="Palatino Linotype"/>
          <w:b/>
        </w:rPr>
        <w:t>quince</w:t>
      </w:r>
      <w:r w:rsidR="00D974EE" w:rsidRPr="00882FED">
        <w:rPr>
          <w:rFonts w:ascii="Palatino Linotype" w:eastAsia="Palatino Linotype" w:hAnsi="Palatino Linotype" w:cs="Palatino Linotype"/>
          <w:b/>
        </w:rPr>
        <w:t xml:space="preserve"> de agosto de dos mil veintidós</w:t>
      </w:r>
      <w:r w:rsidRPr="00882FED">
        <w:rPr>
          <w:rFonts w:ascii="Palatino Linotype" w:eastAsia="Palatino Linotype" w:hAnsi="Palatino Linotype" w:cs="Palatino Linotype"/>
          <w:b/>
        </w:rPr>
        <w:t xml:space="preserve">, </w:t>
      </w:r>
      <w:r w:rsidRPr="00882FED">
        <w:rPr>
          <w:rFonts w:ascii="Palatino Linotype" w:eastAsia="Palatino Linotype" w:hAnsi="Palatino Linotype" w:cs="Palatino Linotype"/>
        </w:rPr>
        <w:t>a efecto e que manifestara lo que a su derecho estimara conveniente, siendo omisa en ejercer dicha prerrogativa.</w:t>
      </w:r>
    </w:p>
    <w:p w:rsidR="00E45B85" w:rsidRPr="00882FED" w:rsidRDefault="003D2527">
      <w:pPr>
        <w:spacing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b/>
        </w:rPr>
        <w:t>8. Ampliación del término para resolver</w:t>
      </w:r>
      <w:r w:rsidRPr="00882FED">
        <w:rPr>
          <w:rFonts w:ascii="Palatino Linotype" w:eastAsia="Palatino Linotype" w:hAnsi="Palatino Linotype" w:cs="Palatino Linotype"/>
        </w:rPr>
        <w:t xml:space="preserve">. En fecha </w:t>
      </w:r>
      <w:r w:rsidR="00320628" w:rsidRPr="00882FED">
        <w:rPr>
          <w:rFonts w:ascii="Palatino Linotype" w:eastAsia="Palatino Linotype" w:hAnsi="Palatino Linotype" w:cs="Palatino Linotype"/>
          <w:b/>
        </w:rPr>
        <w:t>cuatro de agosto</w:t>
      </w:r>
      <w:r w:rsidRPr="00882FED">
        <w:rPr>
          <w:rFonts w:ascii="Palatino Linotype" w:eastAsia="Palatino Linotype" w:hAnsi="Palatino Linotype" w:cs="Palatino Linotype"/>
          <w:b/>
        </w:rPr>
        <w:t xml:space="preserve"> de dos mil veintidós</w:t>
      </w:r>
      <w:r w:rsidRPr="00882FED">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882FED">
        <w:rPr>
          <w:rFonts w:ascii="Palatino Linotype" w:eastAsia="Palatino Linotype" w:hAnsi="Palatino Linotype" w:cs="Palatino Linotype"/>
        </w:rPr>
        <w:lastRenderedPageBreak/>
        <w:t>en el menor tiempo posible, tomando en consideración la dilación total del procedimiento; esto es, en un plazo razonable.</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45B85" w:rsidRPr="00882FED" w:rsidRDefault="003D2527">
      <w:pPr>
        <w:spacing w:before="240" w:after="240" w:line="360" w:lineRule="auto"/>
        <w:jc w:val="both"/>
        <w:rPr>
          <w:rFonts w:ascii="Palatino Linotype" w:eastAsia="Palatino Linotype" w:hAnsi="Palatino Linotype" w:cs="Palatino Linotype"/>
          <w:strike/>
        </w:rPr>
      </w:pPr>
      <w:r w:rsidRPr="00882FE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sidRPr="00882FED">
        <w:rPr>
          <w:rFonts w:ascii="Palatino Linotype" w:eastAsia="Palatino Linotype" w:hAnsi="Palatino Linotype" w:cs="Palatino Linotype"/>
        </w:rPr>
        <w:t>su resolución atentos</w:t>
      </w:r>
      <w:proofErr w:type="gramEnd"/>
      <w:r w:rsidRPr="00882FED">
        <w:rPr>
          <w:rFonts w:ascii="Palatino Linotype" w:eastAsia="Palatino Linotype" w:hAnsi="Palatino Linotype" w:cs="Palatino Linotype"/>
        </w:rPr>
        <w:t xml:space="preserve"> a los siguientes criterios: </w:t>
      </w:r>
    </w:p>
    <w:p w:rsidR="00E45B85" w:rsidRPr="00882FED" w:rsidRDefault="003D2527">
      <w:pPr>
        <w:numPr>
          <w:ilvl w:val="0"/>
          <w:numId w:val="1"/>
        </w:num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E45B85" w:rsidRPr="00882FED" w:rsidRDefault="003D2527">
      <w:pPr>
        <w:numPr>
          <w:ilvl w:val="0"/>
          <w:numId w:val="1"/>
        </w:num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Actividad Procesal del interesado. Acciones u omisiones del interesado.</w:t>
      </w:r>
    </w:p>
    <w:p w:rsidR="00E45B85" w:rsidRPr="00882FED" w:rsidRDefault="003D2527">
      <w:pPr>
        <w:numPr>
          <w:ilvl w:val="0"/>
          <w:numId w:val="1"/>
        </w:num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Conducta de la Autoridad: Las Acciones u omisiones realizadas en el procedimiento. Así como si la autoridad actuó con la debida diligencia.</w:t>
      </w:r>
    </w:p>
    <w:p w:rsidR="00E45B85" w:rsidRPr="00882FED" w:rsidRDefault="003D2527">
      <w:pPr>
        <w:spacing w:before="240" w:after="240" w:line="360" w:lineRule="auto"/>
        <w:ind w:left="567"/>
        <w:jc w:val="both"/>
        <w:rPr>
          <w:rFonts w:ascii="Palatino Linotype" w:eastAsia="Palatino Linotype" w:hAnsi="Palatino Linotype" w:cs="Palatino Linotype"/>
        </w:rPr>
      </w:pPr>
      <w:r w:rsidRPr="00882FED">
        <w:rPr>
          <w:rFonts w:ascii="Palatino Linotype" w:eastAsia="Palatino Linotype" w:hAnsi="Palatino Linotype" w:cs="Palatino Linotype"/>
        </w:rPr>
        <w:t>d) La afectación generada en la situación jurídica de la persona involucrada en el proceso: Violación a sus derechos humanos.</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882FED">
        <w:rPr>
          <w:rFonts w:ascii="Palatino Linotype" w:eastAsia="Palatino Linotype" w:hAnsi="Palatino Linotype" w:cs="Palatino Linotype"/>
        </w:rPr>
        <w:lastRenderedPageBreak/>
        <w:t>relación con la actuación del funcionario, como ha acontecido en el caso que nos ocupa.</w:t>
      </w:r>
    </w:p>
    <w:p w:rsidR="00E45B85" w:rsidRPr="00882FED" w:rsidRDefault="003D2527">
      <w:pPr>
        <w:spacing w:before="240" w:after="240" w:line="360" w:lineRule="auto"/>
        <w:jc w:val="both"/>
        <w:rPr>
          <w:rFonts w:ascii="Palatino Linotype" w:eastAsia="Palatino Linotype" w:hAnsi="Palatino Linotype" w:cs="Palatino Linotype"/>
          <w:b/>
        </w:rPr>
      </w:pPr>
      <w:r w:rsidRPr="00882FED">
        <w:rPr>
          <w:rFonts w:ascii="Palatino Linotype" w:eastAsia="Palatino Linotype" w:hAnsi="Palatino Linotype" w:cs="Palatino Linotype"/>
        </w:rPr>
        <w:t>Argumento que encuentra sustento en la jurisprudencia P</w:t>
      </w:r>
      <w:proofErr w:type="gramStart"/>
      <w:r w:rsidRPr="00882FED">
        <w:rPr>
          <w:rFonts w:ascii="Palatino Linotype" w:eastAsia="Palatino Linotype" w:hAnsi="Palatino Linotype" w:cs="Palatino Linotype"/>
        </w:rPr>
        <w:t>./</w:t>
      </w:r>
      <w:proofErr w:type="gramEnd"/>
      <w:r w:rsidRPr="00882FED">
        <w:rPr>
          <w:rFonts w:ascii="Palatino Linotype" w:eastAsia="Palatino Linotype" w:hAnsi="Palatino Linotype" w:cs="Palatino Linotype"/>
        </w:rPr>
        <w:t xml:space="preserve">J. 32/92 emitida por el Pleno de la Suprema Corte de Justicia de la Nación de rubro </w:t>
      </w:r>
      <w:r w:rsidRPr="00882FE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82FED">
        <w:rPr>
          <w:rFonts w:ascii="Palatino Linotype" w:eastAsia="Palatino Linotype" w:hAnsi="Palatino Linotype" w:cs="Palatino Linotype"/>
        </w:rPr>
        <w:t>, visible en la Gaceta del Seminario Judicial de la Federación con el registro digital 205635.</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E45B85" w:rsidRPr="00882FED" w:rsidRDefault="003D2527">
      <w:pPr>
        <w:spacing w:before="240" w:after="240"/>
        <w:ind w:left="851" w:right="902"/>
        <w:jc w:val="both"/>
        <w:rPr>
          <w:rFonts w:ascii="Palatino Linotype" w:eastAsia="Palatino Linotype" w:hAnsi="Palatino Linotype" w:cs="Palatino Linotype"/>
          <w:sz w:val="22"/>
          <w:szCs w:val="22"/>
        </w:rPr>
      </w:pPr>
      <w:r w:rsidRPr="00882FED">
        <w:rPr>
          <w:rFonts w:ascii="Palatino Linotype" w:eastAsia="Palatino Linotype" w:hAnsi="Palatino Linotype" w:cs="Palatino Linotype"/>
        </w:rPr>
        <w:lastRenderedPageBreak/>
        <w:t xml:space="preserve"> </w:t>
      </w:r>
      <w:r w:rsidRPr="00882FED">
        <w:rPr>
          <w:rFonts w:ascii="Palatino Linotype" w:eastAsia="Palatino Linotype" w:hAnsi="Palatino Linotype" w:cs="Palatino Linotype"/>
          <w:i/>
          <w:sz w:val="22"/>
          <w:szCs w:val="22"/>
        </w:rPr>
        <w:t>“</w:t>
      </w:r>
      <w:r w:rsidRPr="00882FED">
        <w:rPr>
          <w:rFonts w:ascii="Palatino Linotype" w:eastAsia="Palatino Linotype" w:hAnsi="Palatino Linotype" w:cs="Palatino Linotype"/>
          <w:b/>
          <w:i/>
          <w:sz w:val="22"/>
          <w:szCs w:val="22"/>
        </w:rPr>
        <w:t>PLAZO RAZONABLE PARA RESOLVER. DIMENSIÓN Y EFECTOS DE ESTE CONCEPTO CUANDO SE ADUCE EXCESIVA CARGA DE TRABAJO</w:t>
      </w:r>
      <w:r w:rsidRPr="00882FED">
        <w:rPr>
          <w:rFonts w:ascii="Palatino Linotype" w:eastAsia="Palatino Linotype" w:hAnsi="Palatino Linotype" w:cs="Palatino Linotype"/>
          <w:i/>
          <w:sz w:val="22"/>
          <w:szCs w:val="22"/>
        </w:rPr>
        <w:t>.”</w:t>
      </w:r>
      <w:r w:rsidRPr="00882FED">
        <w:rPr>
          <w:rFonts w:ascii="Palatino Linotype" w:eastAsia="Palatino Linotype" w:hAnsi="Palatino Linotype" w:cs="Palatino Linotype"/>
          <w:sz w:val="22"/>
          <w:szCs w:val="22"/>
        </w:rPr>
        <w:t xml:space="preserve"> consultable en el Seminario Judicial de la Federación y su gaceta, con el registro digital 2002351.</w:t>
      </w:r>
    </w:p>
    <w:p w:rsidR="00E45B85" w:rsidRPr="00882FED" w:rsidRDefault="003D2527">
      <w:pPr>
        <w:spacing w:before="240" w:after="240"/>
        <w:ind w:left="851" w:right="902"/>
        <w:jc w:val="both"/>
        <w:rPr>
          <w:rFonts w:ascii="Palatino Linotype" w:eastAsia="Palatino Linotype" w:hAnsi="Palatino Linotype" w:cs="Palatino Linotype"/>
          <w:sz w:val="22"/>
          <w:szCs w:val="22"/>
        </w:rPr>
      </w:pPr>
      <w:r w:rsidRPr="00882FED">
        <w:rPr>
          <w:rFonts w:ascii="Palatino Linotype" w:eastAsia="Palatino Linotype" w:hAnsi="Palatino Linotype" w:cs="Palatino Linotype"/>
          <w:i/>
          <w:sz w:val="22"/>
          <w:szCs w:val="22"/>
        </w:rPr>
        <w:t>“</w:t>
      </w:r>
      <w:r w:rsidRPr="00882FED">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882FED">
        <w:rPr>
          <w:rFonts w:ascii="Palatino Linotype" w:eastAsia="Palatino Linotype" w:hAnsi="Palatino Linotype" w:cs="Palatino Linotype"/>
          <w:i/>
          <w:sz w:val="22"/>
          <w:szCs w:val="22"/>
        </w:rPr>
        <w:t>.”</w:t>
      </w:r>
      <w:r w:rsidRPr="00882FED">
        <w:rPr>
          <w:rFonts w:ascii="Palatino Linotype" w:eastAsia="Palatino Linotype" w:hAnsi="Palatino Linotype" w:cs="Palatino Linotype"/>
          <w:sz w:val="22"/>
          <w:szCs w:val="22"/>
        </w:rPr>
        <w:t>, visible en el Seminario Judicial de la Federación y su gaceta, con el registro digital 2002350.</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b/>
        </w:rPr>
        <w:t xml:space="preserve">9. Cierre de instrucción. </w:t>
      </w:r>
      <w:r w:rsidRPr="00882FED">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320628" w:rsidRPr="00882FED">
        <w:rPr>
          <w:rFonts w:ascii="Palatino Linotype" w:eastAsia="Palatino Linotype" w:hAnsi="Palatino Linotype" w:cs="Palatino Linotype"/>
          <w:b/>
        </w:rPr>
        <w:t>seis</w:t>
      </w:r>
      <w:r w:rsidR="00D974EE" w:rsidRPr="00882FED">
        <w:rPr>
          <w:rFonts w:ascii="Palatino Linotype" w:eastAsia="Palatino Linotype" w:hAnsi="Palatino Linotype" w:cs="Palatino Linotype"/>
          <w:b/>
        </w:rPr>
        <w:t xml:space="preserve"> de octubre de dos mil veintidós</w:t>
      </w:r>
      <w:r w:rsidRPr="00882FED">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E45B85" w:rsidRPr="00882FED" w:rsidRDefault="003D2527">
      <w:pPr>
        <w:widowControl w:val="0"/>
        <w:spacing w:before="240" w:after="240" w:line="360" w:lineRule="auto"/>
        <w:jc w:val="center"/>
        <w:rPr>
          <w:rFonts w:ascii="Palatino Linotype" w:eastAsia="Palatino Linotype" w:hAnsi="Palatino Linotype" w:cs="Palatino Linotype"/>
          <w:b/>
        </w:rPr>
      </w:pPr>
      <w:r w:rsidRPr="00882FED">
        <w:rPr>
          <w:rFonts w:ascii="Palatino Linotype" w:eastAsia="Palatino Linotype" w:hAnsi="Palatino Linotype" w:cs="Palatino Linotype"/>
          <w:b/>
        </w:rPr>
        <w:t>II. C O N S I D E R A N D O S</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b/>
        </w:rPr>
        <w:t>Primero. Competencia.</w:t>
      </w:r>
      <w:r w:rsidRPr="00882FE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882FED">
        <w:rPr>
          <w:rFonts w:ascii="Palatino Linotype" w:eastAsia="Palatino Linotype" w:hAnsi="Palatino Linotype" w:cs="Palatino Linotype"/>
        </w:rPr>
        <w:lastRenderedPageBreak/>
        <w:t>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45B85" w:rsidRPr="00882FED" w:rsidRDefault="003D2527">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882FED">
        <w:rPr>
          <w:rFonts w:ascii="Palatino Linotype" w:eastAsia="Palatino Linotype" w:hAnsi="Palatino Linotype" w:cs="Palatino Linotype"/>
          <w:b/>
        </w:rPr>
        <w:t xml:space="preserve">Segundo. Oportunidad y </w:t>
      </w:r>
      <w:proofErr w:type="spellStart"/>
      <w:r w:rsidRPr="00882FED">
        <w:rPr>
          <w:rFonts w:ascii="Palatino Linotype" w:eastAsia="Palatino Linotype" w:hAnsi="Palatino Linotype" w:cs="Palatino Linotype"/>
          <w:b/>
        </w:rPr>
        <w:t>Procedibilidad</w:t>
      </w:r>
      <w:proofErr w:type="spellEnd"/>
      <w:r w:rsidRPr="00882FED">
        <w:rPr>
          <w:rFonts w:ascii="Palatino Linotype" w:eastAsia="Palatino Linotype" w:hAnsi="Palatino Linotype" w:cs="Palatino Linotype"/>
          <w:b/>
        </w:rPr>
        <w:t xml:space="preserve"> del Recurso de Revisión</w:t>
      </w:r>
      <w:r w:rsidRPr="00882FED">
        <w:rPr>
          <w:rFonts w:ascii="Palatino Linotype" w:eastAsia="Palatino Linotype" w:hAnsi="Palatino Linotype" w:cs="Palatino Linotype"/>
        </w:rPr>
        <w:t xml:space="preserve">. Previo al estudio del fondo del asunto, se procede a analizar los requisitos de oportunidad y </w:t>
      </w:r>
      <w:proofErr w:type="spellStart"/>
      <w:r w:rsidRPr="00882FED">
        <w:rPr>
          <w:rFonts w:ascii="Palatino Linotype" w:eastAsia="Palatino Linotype" w:hAnsi="Palatino Linotype" w:cs="Palatino Linotype"/>
        </w:rPr>
        <w:t>procedibilidad</w:t>
      </w:r>
      <w:proofErr w:type="spellEnd"/>
      <w:r w:rsidRPr="00882FED">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882FED">
        <w:rPr>
          <w:rFonts w:ascii="Palatino Linotype" w:eastAsia="Palatino Linotype" w:hAnsi="Palatino Linotype" w:cs="Palatino Linotype"/>
          <w:b/>
        </w:rPr>
        <w:t xml:space="preserve">Sujeto Obligado </w:t>
      </w:r>
      <w:r w:rsidRPr="00882FED">
        <w:rPr>
          <w:rFonts w:ascii="Palatino Linotype" w:eastAsia="Palatino Linotype" w:hAnsi="Palatino Linotype" w:cs="Palatino Linotype"/>
        </w:rPr>
        <w:t xml:space="preserve">remitió la respuesta a la solicitud de información el día </w:t>
      </w:r>
      <w:r w:rsidRPr="00882FED">
        <w:rPr>
          <w:rFonts w:ascii="Palatino Linotype" w:eastAsia="Palatino Linotype" w:hAnsi="Palatino Linotype" w:cs="Palatino Linotype"/>
          <w:b/>
        </w:rPr>
        <w:t xml:space="preserve">diecisiete de mayo de dos mil veintidós, </w:t>
      </w:r>
      <w:r w:rsidRPr="00882FED">
        <w:rPr>
          <w:rFonts w:ascii="Palatino Linotype" w:eastAsia="Palatino Linotype" w:hAnsi="Palatino Linotype" w:cs="Palatino Linotype"/>
        </w:rPr>
        <w:t xml:space="preserve">mientras que el recurso de revisión interpuesto por la parte </w:t>
      </w:r>
      <w:r w:rsidRPr="00882FED">
        <w:rPr>
          <w:rFonts w:ascii="Palatino Linotype" w:eastAsia="Palatino Linotype" w:hAnsi="Palatino Linotype" w:cs="Palatino Linotype"/>
          <w:b/>
        </w:rPr>
        <w:t>Recurrente</w:t>
      </w:r>
      <w:r w:rsidRPr="00882FED">
        <w:rPr>
          <w:rFonts w:ascii="Palatino Linotype" w:eastAsia="Palatino Linotype" w:hAnsi="Palatino Linotype" w:cs="Palatino Linotype"/>
        </w:rPr>
        <w:t xml:space="preserve">, se tuvo por presentado el día </w:t>
      </w:r>
      <w:r w:rsidRPr="00882FED">
        <w:rPr>
          <w:rFonts w:ascii="Palatino Linotype" w:eastAsia="Palatino Linotype" w:hAnsi="Palatino Linotype" w:cs="Palatino Linotype"/>
          <w:b/>
        </w:rPr>
        <w:t>veintitrés de mayo de dos mil veintidós</w:t>
      </w:r>
      <w:r w:rsidRPr="00882FED">
        <w:rPr>
          <w:rFonts w:ascii="Palatino Linotype" w:eastAsia="Palatino Linotype" w:hAnsi="Palatino Linotype" w:cs="Palatino Linotype"/>
        </w:rPr>
        <w:t>, esto es, al cuarto día hábil siguiente en que tuvo conocimiento de la respuesta impugnada.</w:t>
      </w:r>
    </w:p>
    <w:p w:rsidR="00E45B85" w:rsidRPr="00882FED" w:rsidRDefault="003D2527">
      <w:pPr>
        <w:tabs>
          <w:tab w:val="left" w:pos="7938"/>
        </w:tabs>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882FED">
        <w:rPr>
          <w:rFonts w:ascii="Palatino Linotype" w:eastAsia="Palatino Linotype" w:hAnsi="Palatino Linotype" w:cs="Palatino Linotype"/>
        </w:rPr>
        <w:t xml:space="preserve">Al mismo tiempo, por cuanto hace a la </w:t>
      </w:r>
      <w:proofErr w:type="spellStart"/>
      <w:r w:rsidRPr="00882FED">
        <w:rPr>
          <w:rFonts w:ascii="Palatino Linotype" w:eastAsia="Palatino Linotype" w:hAnsi="Palatino Linotype" w:cs="Palatino Linotype"/>
        </w:rPr>
        <w:t>procedibilidad</w:t>
      </w:r>
      <w:proofErr w:type="spellEnd"/>
      <w:r w:rsidRPr="00882FED">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sidRPr="00882FED">
        <w:rPr>
          <w:rFonts w:ascii="Palatino Linotype" w:eastAsia="Palatino Linotype" w:hAnsi="Palatino Linotype" w:cs="Palatino Linotype"/>
        </w:rPr>
        <w:lastRenderedPageBreak/>
        <w:t>Municipios, en atención a que fue presentado mediante el formato visible en el SAIMEX.</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Finalmente, se advierte que resulta procedente la interposición del recurso, según lo manifestado por la parte </w:t>
      </w:r>
      <w:r w:rsidRPr="00882FED">
        <w:rPr>
          <w:rFonts w:ascii="Palatino Linotype" w:eastAsia="Palatino Linotype" w:hAnsi="Palatino Linotype" w:cs="Palatino Linotype"/>
          <w:b/>
        </w:rPr>
        <w:t>Recurrente</w:t>
      </w:r>
      <w:r w:rsidRPr="00882FED">
        <w:rPr>
          <w:rFonts w:ascii="Palatino Linotype" w:eastAsia="Palatino Linotype" w:hAnsi="Palatino Linotype" w:cs="Palatino Linotype"/>
        </w:rPr>
        <w:t xml:space="preserve"> en sus motivos de inconformidad, de acuerdo al artículo 179, fracción II del ordenamiento legal citado, que a la letra dice: </w:t>
      </w:r>
    </w:p>
    <w:p w:rsidR="00E45B85" w:rsidRPr="00882FED" w:rsidRDefault="003D2527">
      <w:pPr>
        <w:spacing w:before="120" w:after="120"/>
        <w:ind w:left="993"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w:t>
      </w:r>
      <w:r w:rsidRPr="00882FED">
        <w:rPr>
          <w:rFonts w:ascii="Palatino Linotype" w:eastAsia="Palatino Linotype" w:hAnsi="Palatino Linotype" w:cs="Palatino Linotype"/>
          <w:b/>
          <w:i/>
          <w:sz w:val="22"/>
          <w:szCs w:val="22"/>
        </w:rPr>
        <w:t>Artículo 179.</w:t>
      </w:r>
      <w:r w:rsidRPr="00882FE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w:t>
      </w:r>
    </w:p>
    <w:p w:rsidR="00E45B85" w:rsidRPr="00882FED" w:rsidRDefault="003D2527">
      <w:pPr>
        <w:spacing w:before="120" w:after="120"/>
        <w:ind w:left="1134"/>
        <w:rPr>
          <w:rFonts w:ascii="Palatino Linotype" w:eastAsia="Palatino Linotype" w:hAnsi="Palatino Linotype" w:cs="Palatino Linotype"/>
          <w:b/>
          <w:i/>
          <w:sz w:val="22"/>
          <w:szCs w:val="22"/>
        </w:rPr>
      </w:pPr>
      <w:r w:rsidRPr="00882FED">
        <w:rPr>
          <w:rFonts w:ascii="Palatino Linotype" w:eastAsia="Palatino Linotype" w:hAnsi="Palatino Linotype" w:cs="Palatino Linotype"/>
          <w:b/>
          <w:i/>
          <w:sz w:val="22"/>
          <w:szCs w:val="22"/>
        </w:rPr>
        <w:t xml:space="preserve">II. </w:t>
      </w:r>
      <w:r w:rsidRPr="00882FED">
        <w:rPr>
          <w:rFonts w:ascii="Palatino Linotype" w:eastAsia="Palatino Linotype" w:hAnsi="Palatino Linotype" w:cs="Palatino Linotype"/>
          <w:i/>
          <w:sz w:val="22"/>
          <w:szCs w:val="22"/>
        </w:rPr>
        <w:t>La clasificación de la información</w:t>
      </w:r>
      <w:r w:rsidRPr="00882FED">
        <w:rPr>
          <w:rFonts w:ascii="Palatino Linotype" w:eastAsia="Palatino Linotype" w:hAnsi="Palatino Linotype" w:cs="Palatino Linotype"/>
          <w:b/>
          <w:i/>
          <w:sz w:val="22"/>
          <w:szCs w:val="22"/>
        </w:rPr>
        <w:t>;</w:t>
      </w:r>
      <w:r w:rsidRPr="00882FED">
        <w:rPr>
          <w:rFonts w:ascii="Palatino Linotype" w:eastAsia="Palatino Linotype" w:hAnsi="Palatino Linotype" w:cs="Palatino Linotype"/>
          <w:i/>
          <w:sz w:val="22"/>
          <w:szCs w:val="22"/>
        </w:rPr>
        <w:t>”</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b/>
        </w:rPr>
        <w:t xml:space="preserve">Tercero. Materia de la revisión. </w:t>
      </w:r>
      <w:r w:rsidRPr="00882FED">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82FED">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882FED">
        <w:rPr>
          <w:rFonts w:ascii="Palatino Linotype" w:eastAsia="Palatino Linotype" w:hAnsi="Palatino Linotype" w:cs="Palatino Linotype"/>
        </w:rPr>
        <w:t xml:space="preserve">de la parte </w:t>
      </w:r>
      <w:r w:rsidRPr="00882FED">
        <w:rPr>
          <w:rFonts w:ascii="Palatino Linotype" w:eastAsia="Palatino Linotype" w:hAnsi="Palatino Linotype" w:cs="Palatino Linotype"/>
          <w:b/>
        </w:rPr>
        <w:t>Recurrente</w:t>
      </w:r>
      <w:r w:rsidRPr="00882FED">
        <w:rPr>
          <w:rFonts w:ascii="Palatino Linotype" w:eastAsia="Palatino Linotype" w:hAnsi="Palatino Linotype" w:cs="Palatino Linotype"/>
        </w:rPr>
        <w:t>, o en su defecto, en caso de ser procedente, ordenar la entrega de información oportuna.</w:t>
      </w:r>
    </w:p>
    <w:p w:rsidR="00E45B85" w:rsidRPr="00882FED" w:rsidRDefault="003D2527">
      <w:pPr>
        <w:spacing w:before="240" w:after="240" w:line="360" w:lineRule="auto"/>
        <w:ind w:right="51"/>
        <w:jc w:val="both"/>
        <w:rPr>
          <w:rFonts w:ascii="Palatino Linotype" w:eastAsia="Palatino Linotype" w:hAnsi="Palatino Linotype" w:cs="Palatino Linotype"/>
        </w:rPr>
      </w:pPr>
      <w:bookmarkStart w:id="6" w:name="_heading=h.2et92p0" w:colFirst="0" w:colLast="0"/>
      <w:bookmarkEnd w:id="6"/>
      <w:r w:rsidRPr="00882FED">
        <w:rPr>
          <w:rFonts w:ascii="Palatino Linotype" w:eastAsia="Palatino Linotype" w:hAnsi="Palatino Linotype" w:cs="Palatino Linotype"/>
          <w:b/>
        </w:rPr>
        <w:t xml:space="preserve">Cuarto. Estudio del asunto. </w:t>
      </w:r>
      <w:r w:rsidRPr="00882FED">
        <w:rPr>
          <w:rFonts w:ascii="Palatino Linotype" w:eastAsia="Palatino Linotype" w:hAnsi="Palatino Linotype" w:cs="Palatino Linotype"/>
        </w:rPr>
        <w:t xml:space="preserve">Del análisis de la solicitud de información, motivo del recurso de revisión que ahora se resuelve se advierte que la parte </w:t>
      </w:r>
      <w:r w:rsidRPr="00882FED">
        <w:rPr>
          <w:rFonts w:ascii="Palatino Linotype" w:eastAsia="Palatino Linotype" w:hAnsi="Palatino Linotype" w:cs="Palatino Linotype"/>
          <w:b/>
        </w:rPr>
        <w:t>Recurrente</w:t>
      </w:r>
      <w:r w:rsidRPr="00882FED">
        <w:rPr>
          <w:rFonts w:ascii="Palatino Linotype" w:eastAsia="Palatino Linotype" w:hAnsi="Palatino Linotype" w:cs="Palatino Linotype"/>
        </w:rPr>
        <w:t xml:space="preserve"> requirió al </w:t>
      </w:r>
      <w:r w:rsidRPr="00882FED">
        <w:rPr>
          <w:rFonts w:ascii="Palatino Linotype" w:eastAsia="Palatino Linotype" w:hAnsi="Palatino Linotype" w:cs="Palatino Linotype"/>
          <w:b/>
        </w:rPr>
        <w:t xml:space="preserve">Sujeto Obligado </w:t>
      </w:r>
      <w:r w:rsidRPr="00882FED">
        <w:rPr>
          <w:rFonts w:ascii="Palatino Linotype" w:eastAsia="Palatino Linotype" w:hAnsi="Palatino Linotype" w:cs="Palatino Linotype"/>
        </w:rPr>
        <w:t>le proporcione, información consistente en lo siguiente:</w:t>
      </w:r>
    </w:p>
    <w:p w:rsidR="00E45B85" w:rsidRPr="00882FED" w:rsidRDefault="003D2527">
      <w:pPr>
        <w:spacing w:before="240" w:after="240" w:line="360" w:lineRule="auto"/>
        <w:ind w:left="567" w:right="49"/>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1. Total de canastas alimentarias adquiridas para el año 2021. </w:t>
      </w:r>
    </w:p>
    <w:p w:rsidR="00E45B85" w:rsidRPr="00882FED" w:rsidRDefault="003D2527">
      <w:pPr>
        <w:spacing w:before="240" w:after="240" w:line="360" w:lineRule="auto"/>
        <w:ind w:left="567" w:right="49"/>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2. Costo total. </w:t>
      </w:r>
    </w:p>
    <w:p w:rsidR="00E45B85" w:rsidRPr="00882FED" w:rsidRDefault="003D2527">
      <w:pPr>
        <w:spacing w:before="240" w:after="240" w:line="360" w:lineRule="auto"/>
        <w:ind w:left="567" w:right="49"/>
        <w:jc w:val="both"/>
        <w:rPr>
          <w:rFonts w:ascii="Palatino Linotype" w:eastAsia="Palatino Linotype" w:hAnsi="Palatino Linotype" w:cs="Palatino Linotype"/>
        </w:rPr>
      </w:pPr>
      <w:r w:rsidRPr="00882FED">
        <w:rPr>
          <w:rFonts w:ascii="Palatino Linotype" w:eastAsia="Palatino Linotype" w:hAnsi="Palatino Linotype" w:cs="Palatino Linotype"/>
        </w:rPr>
        <w:lastRenderedPageBreak/>
        <w:t>3. Copia de los contratos celebrados para la adquisición de esas mismas canastas correspondientes al año 2021.</w:t>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En respuesta, el </w:t>
      </w:r>
      <w:r w:rsidRPr="00882FED">
        <w:rPr>
          <w:rFonts w:ascii="Palatino Linotype" w:eastAsia="Palatino Linotype" w:hAnsi="Palatino Linotype" w:cs="Palatino Linotype"/>
          <w:b/>
        </w:rPr>
        <w:t>Sujeto Obligado</w:t>
      </w:r>
      <w:r w:rsidRPr="00882FED">
        <w:rPr>
          <w:rFonts w:ascii="Palatino Linotype" w:eastAsia="Palatino Linotype" w:hAnsi="Palatino Linotype" w:cs="Palatino Linotype"/>
        </w:rPr>
        <w:t>, a través de la Unidad de Transparencia se pronunció en los siguientes términos:</w:t>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noProof/>
        </w:rPr>
        <w:drawing>
          <wp:inline distT="0" distB="0" distL="0" distR="0" wp14:anchorId="54E54D75" wp14:editId="7BD97318">
            <wp:extent cx="5610225" cy="1714500"/>
            <wp:effectExtent l="0" t="0" r="0" b="0"/>
            <wp:docPr id="7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5610225" cy="1714500"/>
                    </a:xfrm>
                    <a:prstGeom prst="rect">
                      <a:avLst/>
                    </a:prstGeom>
                    <a:ln/>
                  </pic:spPr>
                </pic:pic>
              </a:graphicData>
            </a:graphic>
          </wp:inline>
        </w:drawing>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noProof/>
        </w:rPr>
        <w:drawing>
          <wp:inline distT="0" distB="0" distL="0" distR="0" wp14:anchorId="602147A5" wp14:editId="77C65C61">
            <wp:extent cx="5610225" cy="1990725"/>
            <wp:effectExtent l="0" t="0" r="0" b="0"/>
            <wp:docPr id="8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610225" cy="1990725"/>
                    </a:xfrm>
                    <a:prstGeom prst="rect">
                      <a:avLst/>
                    </a:prstGeom>
                    <a:ln/>
                  </pic:spPr>
                </pic:pic>
              </a:graphicData>
            </a:graphic>
          </wp:inline>
        </w:drawing>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Asimismo anexó el Acuerdo del Comité de Transparencia de la Secretaría de Desarrollo Social CTSDS-EXT14-001/2022, de fecha dieciséis de mayo de dos mil veintidós, mediante el cual se clasifican como confidenciales los datos personales contenidos en el contrato elaborado, relacionado con la compra de la productos incluidos en la canasta alimentaria de los Programas de Desarrollo Social “Familias Fuertes Canasta EDOMEX” y “Familias Fuertes Apoyo a Personas Adultas </w:t>
      </w:r>
      <w:r w:rsidRPr="00882FED">
        <w:rPr>
          <w:rFonts w:ascii="Palatino Linotype" w:eastAsia="Palatino Linotype" w:hAnsi="Palatino Linotype" w:cs="Palatino Linotype"/>
        </w:rPr>
        <w:lastRenderedPageBreak/>
        <w:t>Mayores”, en el ejercicio 2021, consistentes en domicilio en el Estado de México, teléfono, telefax, correo electrónico personal, firma y rúbrica del representante legal de la empresa, proporcionándose en versión pública.</w:t>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Conocida la respuesta por la persona solicitante, al no estar conforme con los términos de la misma, interpuso el recurso de revisión que nos ocupa, mediante el cual manifestó como motivo de inconformidad que a su consideración se debía entregar la información solicitada de manera íntegra, al tratarse de un contrato en el que intervienen recursos públicos para un programa social, razón por la cual  solicito se ordenara al </w:t>
      </w:r>
      <w:r w:rsidRPr="00882FED">
        <w:rPr>
          <w:rFonts w:ascii="Palatino Linotype" w:eastAsia="Palatino Linotype" w:hAnsi="Palatino Linotype" w:cs="Palatino Linotype"/>
          <w:b/>
        </w:rPr>
        <w:t>Sujeto Obligado</w:t>
      </w:r>
      <w:r w:rsidRPr="00882FED">
        <w:rPr>
          <w:rFonts w:ascii="Palatino Linotype" w:eastAsia="Palatino Linotype" w:hAnsi="Palatino Linotype" w:cs="Palatino Linotype"/>
        </w:rPr>
        <w:t xml:space="preserve"> hacer entrega del contrato CB/A/5/2021.</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En este sentido, no pasa inadvertido para este Organismo Garante que los motivos de inconformidad aducidos, no versan sobre la totalidad de la información proporcionada por el </w:t>
      </w:r>
      <w:r w:rsidRPr="00882FED">
        <w:rPr>
          <w:rFonts w:ascii="Palatino Linotype" w:eastAsia="Palatino Linotype" w:hAnsi="Palatino Linotype" w:cs="Palatino Linotype"/>
          <w:b/>
        </w:rPr>
        <w:t xml:space="preserve">Sujeto Obligado, </w:t>
      </w:r>
      <w:r w:rsidRPr="00882FED">
        <w:rPr>
          <w:rFonts w:ascii="Palatino Linotype" w:eastAsia="Palatino Linotype" w:hAnsi="Palatino Linotype" w:cs="Palatino Linotype"/>
        </w:rPr>
        <w:t xml:space="preserve">pues la parte </w:t>
      </w:r>
      <w:r w:rsidRPr="00882FED">
        <w:rPr>
          <w:rFonts w:ascii="Palatino Linotype" w:eastAsia="Palatino Linotype" w:hAnsi="Palatino Linotype" w:cs="Palatino Linotype"/>
          <w:b/>
        </w:rPr>
        <w:t>Recurrente</w:t>
      </w:r>
      <w:r w:rsidRPr="00882FED">
        <w:rPr>
          <w:rFonts w:ascii="Palatino Linotype" w:eastAsia="Palatino Linotype" w:hAnsi="Palatino Linotype" w:cs="Palatino Linotype"/>
        </w:rPr>
        <w:t xml:space="preserve"> se inconformó de manera expresa, respecto de la clasificación del contrato CB/A/5/2021, es decir, respecto del requerimiento marcado con el numeral 3 de la solicitud, solicitando en el acto se le entregara dicho documento de manera íntegra.</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882FED">
        <w:rPr>
          <w:rFonts w:ascii="Palatino Linotype" w:eastAsia="Palatino Linotype" w:hAnsi="Palatino Linotype" w:cs="Palatino Linotype"/>
          <w:b/>
        </w:rPr>
        <w:t>Sujeto Obligado</w:t>
      </w:r>
      <w:r w:rsidRPr="00882FED">
        <w:rPr>
          <w:rFonts w:ascii="Palatino Linotype" w:eastAsia="Palatino Linotype" w:hAnsi="Palatino Linotype" w:cs="Palatino Linotype"/>
        </w:rPr>
        <w:t>, satisface la solicitud presentada.</w:t>
      </w:r>
    </w:p>
    <w:p w:rsidR="00E45B85" w:rsidRPr="00882FED" w:rsidRDefault="003D2527">
      <w:pPr>
        <w:spacing w:before="240" w:after="36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Lo anterior es así, debido a que cuando la parte Recurrente impugna la respuesta del </w:t>
      </w:r>
      <w:r w:rsidRPr="00882FED">
        <w:rPr>
          <w:rFonts w:ascii="Palatino Linotype" w:eastAsia="Palatino Linotype" w:hAnsi="Palatino Linotype" w:cs="Palatino Linotype"/>
          <w:b/>
        </w:rPr>
        <w:t>Sujeto Obligado</w:t>
      </w:r>
      <w:r w:rsidRPr="00882FED">
        <w:rPr>
          <w:rFonts w:ascii="Palatino Linotype" w:eastAsia="Palatino Linotype" w:hAnsi="Palatino Linotype" w:cs="Palatino Linotype"/>
        </w:rPr>
        <w:t xml:space="preserve">, y éste no expresa Razón o Motivo de Inconformidad en contra </w:t>
      </w:r>
      <w:r w:rsidRPr="00882FED">
        <w:rPr>
          <w:rFonts w:ascii="Palatino Linotype" w:eastAsia="Palatino Linotype" w:hAnsi="Palatino Linotype" w:cs="Palatino Linotype"/>
        </w:rPr>
        <w:lastRenderedPageBreak/>
        <w:t>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E45B85" w:rsidRPr="00882FED" w:rsidRDefault="003D2527">
      <w:pPr>
        <w:spacing w:before="240" w:after="360"/>
        <w:ind w:left="851" w:right="900"/>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 xml:space="preserve">“REVISIÓN EN AMPARO. LOS RESOLUTIVOS NO COMBATIDOS DEBEN DECLARARSE FIRMES. </w:t>
      </w:r>
      <w:r w:rsidRPr="00882FED">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E45B85" w:rsidRPr="00882FED" w:rsidRDefault="003D2527">
      <w:pPr>
        <w:spacing w:before="240" w:after="240" w:line="360" w:lineRule="auto"/>
        <w:jc w:val="both"/>
        <w:rPr>
          <w:rFonts w:ascii="Palatino Linotype" w:eastAsia="Palatino Linotype" w:hAnsi="Palatino Linotype" w:cs="Palatino Linotype"/>
        </w:rPr>
      </w:pPr>
      <w:bookmarkStart w:id="7" w:name="_heading=h.1t3h5sf" w:colFirst="0" w:colLast="0"/>
      <w:bookmarkEnd w:id="7"/>
      <w:r w:rsidRPr="00882FED">
        <w:rPr>
          <w:rFonts w:ascii="Palatino Linotype" w:eastAsia="Palatino Linotype" w:hAnsi="Palatino Linotype" w:cs="Palatino Linotype"/>
        </w:rPr>
        <w:t>Consecuentemente, se insiste, ante la falta de impugnación eficaz, la respuesta entregada debe declararse consentida por el particular.</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rsidR="00E45B85" w:rsidRPr="00882FED" w:rsidRDefault="003D252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w:t>
      </w:r>
      <w:r w:rsidRPr="00882FED">
        <w:rPr>
          <w:rFonts w:ascii="Palatino Linotype" w:eastAsia="Palatino Linotype" w:hAnsi="Palatino Linotype" w:cs="Palatino Linotype"/>
          <w:b/>
          <w:i/>
          <w:sz w:val="22"/>
          <w:szCs w:val="22"/>
        </w:rPr>
        <w:t xml:space="preserve">Actos consentidos tácitamente. Improcedencia de su análisis. </w:t>
      </w:r>
      <w:r w:rsidRPr="00882FED">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Así, admitido el presente recurso de revisión, en términos del artículo 185 fracción II</w:t>
      </w:r>
      <w:r w:rsidRPr="00882FED">
        <w:rPr>
          <w:rFonts w:ascii="Palatino Linotype" w:eastAsia="Palatino Linotype" w:hAnsi="Palatino Linotype" w:cs="Palatino Linotype"/>
          <w:vertAlign w:val="superscript"/>
        </w:rPr>
        <w:footnoteReference w:id="1"/>
      </w:r>
      <w:r w:rsidRPr="00882FED">
        <w:rPr>
          <w:rFonts w:ascii="Palatino Linotype" w:eastAsia="Palatino Linotype" w:hAnsi="Palatino Linotype" w:cs="Palatino Linotype"/>
        </w:rPr>
        <w:t xml:space="preserve"> de la Ley de Transparencia y Acceso a la Información Pública del Estado de </w:t>
      </w:r>
      <w:r w:rsidRPr="00882FED">
        <w:rPr>
          <w:rFonts w:ascii="Palatino Linotype" w:eastAsia="Palatino Linotype" w:hAnsi="Palatino Linotype" w:cs="Palatino Linotype"/>
        </w:rPr>
        <w:lastRenderedPageBreak/>
        <w:t>México y Municipios, se integró el expediente y se puso a disposición de las partes para que, en un plazo máximo de siete días hábiles, manifestaran lo que a su derecho resultara conveniente.</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Al respecto, la Unidad de Transparencia, en lo medular ratificó la respuesta emitida en primera instancia, sin embargo, en virtud de que por un error involuntario humano solamente se adjuntó una hoja del contrato en la que se especificaba el año, número de proceso adquisitivo, numero de contrato abierto, numero de requisición, objeto de requisición de bienes, proveedor adjudicado y total de la adquisición, razón por la cual, </w:t>
      </w:r>
      <w:r w:rsidRPr="00882FED">
        <w:rPr>
          <w:rFonts w:ascii="Palatino Linotype" w:eastAsia="Palatino Linotype" w:hAnsi="Palatino Linotype" w:cs="Palatino Linotype"/>
          <w:b/>
        </w:rPr>
        <w:t>adjunta en el acto el contrato CB/A/5/2021 en versión pública</w:t>
      </w:r>
      <w:r w:rsidRPr="00882FED">
        <w:rPr>
          <w:rFonts w:ascii="Palatino Linotype" w:eastAsia="Palatino Linotype" w:hAnsi="Palatino Linotype" w:cs="Palatino Linotype"/>
        </w:rPr>
        <w:t>, en la cual se clasificaron como confidenciales los datos personales contenidos en el mismo, de conformidad con el Acuerdo del Comité de Transparencia de la Secretaría de Desarrollo Social CTSDS-EXT14-001/2022, remitido en respuesta.</w:t>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 En esta tesitura, de las constancias que integran el expediente electrónico  relacionado con el recurso de revisión materia de estudio, se colige que el Sujeto Obligado no niega la competencia para conocer de la información solicitada, sino por el contrario, con la respuesta pronunciada asevera que es competente para conocer de la solicitud de información</w:t>
      </w:r>
      <w:r w:rsidRPr="00882FED">
        <w:rPr>
          <w:rFonts w:ascii="Palatino Linotype" w:eastAsia="Palatino Linotype" w:hAnsi="Palatino Linotype" w:cs="Palatino Linotype"/>
          <w:i/>
          <w:sz w:val="20"/>
          <w:szCs w:val="20"/>
        </w:rPr>
        <w:t xml:space="preserve">, </w:t>
      </w:r>
      <w:r w:rsidRPr="00882FED">
        <w:rPr>
          <w:rFonts w:ascii="Palatino Linotype" w:eastAsia="Palatino Linotype" w:hAnsi="Palatino Linotype" w:cs="Palatino Linotype"/>
        </w:rPr>
        <w:t xml:space="preserve">lo anterior es así, ya que el estudio enunciado tiene por objeto determinar si </w:t>
      </w:r>
      <w:r w:rsidRPr="00882FED">
        <w:t>los</w:t>
      </w:r>
      <w:r w:rsidRPr="00882FED">
        <w:rPr>
          <w:rFonts w:ascii="Palatino Linotype" w:eastAsia="Palatino Linotype" w:hAnsi="Palatino Linotype" w:cs="Palatino Linotype"/>
        </w:rPr>
        <w:t xml:space="preserve"> Sujeto</w:t>
      </w:r>
      <w:r w:rsidRPr="00882FED">
        <w:t>s</w:t>
      </w:r>
      <w:r w:rsidRPr="00882FED">
        <w:rPr>
          <w:rFonts w:ascii="Palatino Linotype" w:eastAsia="Palatino Linotype" w:hAnsi="Palatino Linotype" w:cs="Palatino Linotype"/>
        </w:rPr>
        <w:t xml:space="preserve"> Obligado</w:t>
      </w:r>
      <w:r w:rsidRPr="00882FED">
        <w:t>s</w:t>
      </w:r>
      <w:r w:rsidRPr="00882FED">
        <w:rPr>
          <w:rFonts w:ascii="Palatino Linotype" w:eastAsia="Palatino Linotype" w:hAnsi="Palatino Linotype" w:cs="Palatino Linotype"/>
        </w:rPr>
        <w:t xml:space="preserve"> generan, poseen o administran  la información solicitada, sin embargo, en aquellos casos en que </w:t>
      </w:r>
      <w:r w:rsidRPr="00882FED">
        <w:t>e</w:t>
      </w:r>
      <w:r w:rsidRPr="00882FED">
        <w:rPr>
          <w:rFonts w:ascii="Palatino Linotype" w:eastAsia="Palatino Linotype" w:hAnsi="Palatino Linotype" w:cs="Palatino Linotype"/>
        </w:rPr>
        <w:t>st</w:t>
      </w:r>
      <w:r w:rsidRPr="00882FED">
        <w:t xml:space="preserve">os </w:t>
      </w:r>
      <w:r w:rsidRPr="00882FED">
        <w:rPr>
          <w:rFonts w:ascii="Palatino Linotype" w:eastAsia="Palatino Linotype" w:hAnsi="Palatino Linotype" w:cs="Palatino Linotype"/>
        </w:rPr>
        <w:t>ha</w:t>
      </w:r>
      <w:r w:rsidRPr="00882FED">
        <w:t>n</w:t>
      </w:r>
      <w:r w:rsidRPr="00882FED">
        <w:rPr>
          <w:rFonts w:ascii="Palatino Linotype" w:eastAsia="Palatino Linotype" w:hAnsi="Palatino Linotype" w:cs="Palatino Linotype"/>
        </w:rPr>
        <w:t xml:space="preserve"> asumido la competencia, sería ocioso y a nada práctico nos conduciría su estudio, ya que, se insiste, el ente obligado asumió la competencia referida, motivo por el cual se </w:t>
      </w:r>
      <w:r w:rsidRPr="00882FED">
        <w:rPr>
          <w:rFonts w:ascii="Palatino Linotype" w:eastAsia="Palatino Linotype" w:hAnsi="Palatino Linotype" w:cs="Palatino Linotype"/>
        </w:rPr>
        <w:lastRenderedPageBreak/>
        <w:t xml:space="preserve">actualiza el supuesto previsto en el artículo 12 de la legislación aplicable en la materia. </w:t>
      </w:r>
    </w:p>
    <w:p w:rsidR="00E45B85" w:rsidRPr="00882FED" w:rsidRDefault="003D2527">
      <w:pPr>
        <w:spacing w:before="240" w:after="24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sidRPr="00882FED">
        <w:rPr>
          <w:rFonts w:ascii="Palatino Linotype" w:eastAsia="Palatino Linotype" w:hAnsi="Palatino Linotype" w:cs="Palatino Linotype"/>
          <w:i/>
          <w:sz w:val="22"/>
          <w:szCs w:val="22"/>
        </w:rPr>
        <w:t xml:space="preserve"> en los términos de las disposiciones jurídicas aplicables. </w:t>
      </w:r>
    </w:p>
    <w:p w:rsidR="00E45B85" w:rsidRPr="00882FED" w:rsidRDefault="003D2527">
      <w:pPr>
        <w:spacing w:before="240" w:after="24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82FED">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rsidR="00E45B85" w:rsidRPr="00882FED" w:rsidRDefault="003D2527">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Por consiguiente, se procede al análisis de los requerimientos planteados por la particular y la respuesta proporcionada por el </w:t>
      </w:r>
      <w:r w:rsidRPr="00882FED">
        <w:rPr>
          <w:rFonts w:ascii="Palatino Linotype" w:eastAsia="Palatino Linotype" w:hAnsi="Palatino Linotype" w:cs="Palatino Linotype"/>
          <w:b/>
        </w:rPr>
        <w:t>Sujeto Obligado</w:t>
      </w:r>
      <w:r w:rsidRPr="00882FED">
        <w:rPr>
          <w:rFonts w:ascii="Palatino Linotype" w:eastAsia="Palatino Linotype" w:hAnsi="Palatino Linotype" w:cs="Palatino Linotype"/>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Así las cosas, recordemos que mediante informe justificado, el </w:t>
      </w:r>
      <w:r w:rsidRPr="00882FED">
        <w:rPr>
          <w:rFonts w:ascii="Palatino Linotype" w:eastAsia="Palatino Linotype" w:hAnsi="Palatino Linotype" w:cs="Palatino Linotype"/>
          <w:b/>
        </w:rPr>
        <w:t xml:space="preserve">Sujeto Obligado </w:t>
      </w:r>
      <w:r w:rsidRPr="00882FED">
        <w:rPr>
          <w:rFonts w:ascii="Palatino Linotype" w:eastAsia="Palatino Linotype" w:hAnsi="Palatino Linotype" w:cs="Palatino Linotype"/>
        </w:rPr>
        <w:t>reconoció que por un error involuntario no se adjuntó a la respuesta el contrato número CB/A/5/2021, relacionado con la compra de la productos incluidos en la canasta alimentaria de los Programas de Desarrollo Social “Familias Fuertes Canasta EDOMEX” y “Familias Fuertes Apoyo a Personas Adultas Mayores, adjuntando el mismo en versión pública, como se ejemplifica a continuación para un mejor entendimiento:</w:t>
      </w:r>
    </w:p>
    <w:p w:rsidR="00E45B85" w:rsidRPr="00882FED" w:rsidRDefault="003D2527">
      <w:pPr>
        <w:spacing w:before="240" w:after="240" w:line="360" w:lineRule="auto"/>
        <w:jc w:val="center"/>
        <w:rPr>
          <w:rFonts w:ascii="Palatino Linotype" w:eastAsia="Palatino Linotype" w:hAnsi="Palatino Linotype" w:cs="Palatino Linotype"/>
        </w:rPr>
      </w:pPr>
      <w:r w:rsidRPr="00882FED">
        <w:rPr>
          <w:rFonts w:ascii="Palatino Linotype" w:eastAsia="Palatino Linotype" w:hAnsi="Palatino Linotype" w:cs="Palatino Linotype"/>
          <w:noProof/>
        </w:rPr>
        <w:lastRenderedPageBreak/>
        <w:drawing>
          <wp:inline distT="0" distB="0" distL="0" distR="0" wp14:anchorId="0FD2F478" wp14:editId="2AF9638E">
            <wp:extent cx="5172075" cy="7705725"/>
            <wp:effectExtent l="0" t="0" r="0" b="0"/>
            <wp:docPr id="7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172075" cy="7705725"/>
                    </a:xfrm>
                    <a:prstGeom prst="rect">
                      <a:avLst/>
                    </a:prstGeom>
                    <a:ln/>
                  </pic:spPr>
                </pic:pic>
              </a:graphicData>
            </a:graphic>
          </wp:inline>
        </w:drawing>
      </w:r>
      <w:r w:rsidRPr="00882FED">
        <w:rPr>
          <w:noProof/>
        </w:rPr>
        <mc:AlternateContent>
          <mc:Choice Requires="wpg">
            <w:drawing>
              <wp:anchor distT="0" distB="0" distL="114300" distR="114300" simplePos="0" relativeHeight="251658240" behindDoc="0" locked="0" layoutInCell="1" hidden="0" allowOverlap="1" wp14:anchorId="3C6D0EC2" wp14:editId="3EDC0FF4">
                <wp:simplePos x="0" y="0"/>
                <wp:positionH relativeFrom="column">
                  <wp:posOffset>177800</wp:posOffset>
                </wp:positionH>
                <wp:positionV relativeFrom="paragraph">
                  <wp:posOffset>2070100</wp:posOffset>
                </wp:positionV>
                <wp:extent cx="146685" cy="568325"/>
                <wp:effectExtent l="0" t="0" r="0" b="0"/>
                <wp:wrapNone/>
                <wp:docPr id="73" name="Abrir llave 73"/>
                <wp:cNvGraphicFramePr/>
                <a:graphic xmlns:a="http://schemas.openxmlformats.org/drawingml/2006/main">
                  <a:graphicData uri="http://schemas.microsoft.com/office/word/2010/wordprocessingShape">
                    <wps:wsp>
                      <wps:cNvSpPr/>
                      <wps:spPr>
                        <a:xfrm>
                          <a:off x="5285358" y="3508538"/>
                          <a:ext cx="121285" cy="542925"/>
                        </a:xfrm>
                        <a:prstGeom prst="leftBrace">
                          <a:avLst>
                            <a:gd name="adj1" fmla="val 8333"/>
                            <a:gd name="adj2" fmla="val 50000"/>
                          </a:avLst>
                        </a:prstGeom>
                        <a:noFill/>
                        <a:ln w="25400" cap="flat" cmpd="sng">
                          <a:solidFill>
                            <a:srgbClr val="C00000"/>
                          </a:solidFill>
                          <a:prstDash val="solid"/>
                          <a:round/>
                          <a:headEnd type="none" w="sm" len="sm"/>
                          <a:tailEnd type="none" w="sm" len="sm"/>
                        </a:ln>
                      </wps:spPr>
                      <wps:txbx>
                        <w:txbxContent>
                          <w:p w:rsidR="00E45B85" w:rsidRDefault="00E45B85">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2070100</wp:posOffset>
                </wp:positionV>
                <wp:extent cx="146685" cy="568325"/>
                <wp:effectExtent b="0" l="0" r="0" t="0"/>
                <wp:wrapNone/>
                <wp:docPr id="73" name="image17.png"/>
                <a:graphic>
                  <a:graphicData uri="http://schemas.openxmlformats.org/drawingml/2006/picture">
                    <pic:pic>
                      <pic:nvPicPr>
                        <pic:cNvPr id="0" name="image17.png"/>
                        <pic:cNvPicPr preferRelativeResize="0"/>
                      </pic:nvPicPr>
                      <pic:blipFill>
                        <a:blip r:embed="rId27"/>
                        <a:srcRect/>
                        <a:stretch>
                          <a:fillRect/>
                        </a:stretch>
                      </pic:blipFill>
                      <pic:spPr>
                        <a:xfrm>
                          <a:off x="0" y="0"/>
                          <a:ext cx="146685" cy="568325"/>
                        </a:xfrm>
                        <a:prstGeom prst="rect"/>
                        <a:ln/>
                      </pic:spPr>
                    </pic:pic>
                  </a:graphicData>
                </a:graphic>
              </wp:anchor>
            </w:drawing>
          </mc:Fallback>
        </mc:AlternateContent>
      </w:r>
      <w:r w:rsidRPr="00882FED">
        <w:rPr>
          <w:noProof/>
        </w:rPr>
        <mc:AlternateContent>
          <mc:Choice Requires="wpg">
            <w:drawing>
              <wp:anchor distT="0" distB="0" distL="114300" distR="114300" simplePos="0" relativeHeight="251659264" behindDoc="0" locked="0" layoutInCell="1" hidden="0" allowOverlap="1" wp14:anchorId="1B5CD790" wp14:editId="53C67392">
                <wp:simplePos x="0" y="0"/>
                <wp:positionH relativeFrom="column">
                  <wp:posOffset>165100</wp:posOffset>
                </wp:positionH>
                <wp:positionV relativeFrom="paragraph">
                  <wp:posOffset>4203700</wp:posOffset>
                </wp:positionV>
                <wp:extent cx="146685" cy="568325"/>
                <wp:effectExtent l="0" t="0" r="0" b="0"/>
                <wp:wrapNone/>
                <wp:docPr id="71" name="Abrir llave 71"/>
                <wp:cNvGraphicFramePr/>
                <a:graphic xmlns:a="http://schemas.openxmlformats.org/drawingml/2006/main">
                  <a:graphicData uri="http://schemas.microsoft.com/office/word/2010/wordprocessingShape">
                    <wps:wsp>
                      <wps:cNvSpPr/>
                      <wps:spPr>
                        <a:xfrm>
                          <a:off x="5285358" y="3508538"/>
                          <a:ext cx="121285" cy="542925"/>
                        </a:xfrm>
                        <a:prstGeom prst="leftBrace">
                          <a:avLst>
                            <a:gd name="adj1" fmla="val 8333"/>
                            <a:gd name="adj2" fmla="val 50000"/>
                          </a:avLst>
                        </a:prstGeom>
                        <a:noFill/>
                        <a:ln w="25400" cap="flat" cmpd="sng">
                          <a:solidFill>
                            <a:srgbClr val="C00000"/>
                          </a:solidFill>
                          <a:prstDash val="solid"/>
                          <a:round/>
                          <a:headEnd type="none" w="sm" len="sm"/>
                          <a:tailEnd type="none" w="sm" len="sm"/>
                        </a:ln>
                      </wps:spPr>
                      <wps:txbx>
                        <w:txbxContent>
                          <w:p w:rsidR="00E45B85" w:rsidRDefault="00E45B85">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wp:posOffset>
                </wp:positionH>
                <wp:positionV relativeFrom="paragraph">
                  <wp:posOffset>4203700</wp:posOffset>
                </wp:positionV>
                <wp:extent cx="146685" cy="568325"/>
                <wp:effectExtent b="0" l="0" r="0" t="0"/>
                <wp:wrapNone/>
                <wp:docPr id="71" name="image15.png"/>
                <a:graphic>
                  <a:graphicData uri="http://schemas.openxmlformats.org/drawingml/2006/picture">
                    <pic:pic>
                      <pic:nvPicPr>
                        <pic:cNvPr id="0" name="image15.png"/>
                        <pic:cNvPicPr preferRelativeResize="0"/>
                      </pic:nvPicPr>
                      <pic:blipFill>
                        <a:blip r:embed="rId28"/>
                        <a:srcRect/>
                        <a:stretch>
                          <a:fillRect/>
                        </a:stretch>
                      </pic:blipFill>
                      <pic:spPr>
                        <a:xfrm>
                          <a:off x="0" y="0"/>
                          <a:ext cx="146685" cy="568325"/>
                        </a:xfrm>
                        <a:prstGeom prst="rect"/>
                        <a:ln/>
                      </pic:spPr>
                    </pic:pic>
                  </a:graphicData>
                </a:graphic>
              </wp:anchor>
            </w:drawing>
          </mc:Fallback>
        </mc:AlternateContent>
      </w:r>
      <w:r w:rsidRPr="00882FED">
        <w:rPr>
          <w:noProof/>
        </w:rPr>
        <mc:AlternateContent>
          <mc:Choice Requires="wpg">
            <w:drawing>
              <wp:anchor distT="0" distB="0" distL="114300" distR="114300" simplePos="0" relativeHeight="251660288" behindDoc="0" locked="0" layoutInCell="1" hidden="0" allowOverlap="1" wp14:anchorId="7F4C9415" wp14:editId="37D9E6FC">
                <wp:simplePos x="0" y="0"/>
                <wp:positionH relativeFrom="column">
                  <wp:posOffset>165100</wp:posOffset>
                </wp:positionH>
                <wp:positionV relativeFrom="paragraph">
                  <wp:posOffset>6248400</wp:posOffset>
                </wp:positionV>
                <wp:extent cx="146685" cy="568325"/>
                <wp:effectExtent l="0" t="0" r="0" b="0"/>
                <wp:wrapNone/>
                <wp:docPr id="70" name="Abrir llave 70"/>
                <wp:cNvGraphicFramePr/>
                <a:graphic xmlns:a="http://schemas.openxmlformats.org/drawingml/2006/main">
                  <a:graphicData uri="http://schemas.microsoft.com/office/word/2010/wordprocessingShape">
                    <wps:wsp>
                      <wps:cNvSpPr/>
                      <wps:spPr>
                        <a:xfrm>
                          <a:off x="5285358" y="3508538"/>
                          <a:ext cx="121285" cy="542925"/>
                        </a:xfrm>
                        <a:prstGeom prst="leftBrace">
                          <a:avLst>
                            <a:gd name="adj1" fmla="val 8333"/>
                            <a:gd name="adj2" fmla="val 50000"/>
                          </a:avLst>
                        </a:prstGeom>
                        <a:noFill/>
                        <a:ln w="25400" cap="flat" cmpd="sng">
                          <a:solidFill>
                            <a:srgbClr val="C00000"/>
                          </a:solidFill>
                          <a:prstDash val="solid"/>
                          <a:round/>
                          <a:headEnd type="none" w="sm" len="sm"/>
                          <a:tailEnd type="none" w="sm" len="sm"/>
                        </a:ln>
                      </wps:spPr>
                      <wps:txbx>
                        <w:txbxContent>
                          <w:p w:rsidR="00E45B85" w:rsidRDefault="00E45B85">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wp:posOffset>
                </wp:positionH>
                <wp:positionV relativeFrom="paragraph">
                  <wp:posOffset>6248400</wp:posOffset>
                </wp:positionV>
                <wp:extent cx="146685" cy="568325"/>
                <wp:effectExtent b="0" l="0" r="0" t="0"/>
                <wp:wrapNone/>
                <wp:docPr id="70" name="image14.png"/>
                <a:graphic>
                  <a:graphicData uri="http://schemas.openxmlformats.org/drawingml/2006/picture">
                    <pic:pic>
                      <pic:nvPicPr>
                        <pic:cNvPr id="0" name="image14.png"/>
                        <pic:cNvPicPr preferRelativeResize="0"/>
                      </pic:nvPicPr>
                      <pic:blipFill>
                        <a:blip r:embed="rId29"/>
                        <a:srcRect/>
                        <a:stretch>
                          <a:fillRect/>
                        </a:stretch>
                      </pic:blipFill>
                      <pic:spPr>
                        <a:xfrm>
                          <a:off x="0" y="0"/>
                          <a:ext cx="146685" cy="568325"/>
                        </a:xfrm>
                        <a:prstGeom prst="rect"/>
                        <a:ln/>
                      </pic:spPr>
                    </pic:pic>
                  </a:graphicData>
                </a:graphic>
              </wp:anchor>
            </w:drawing>
          </mc:Fallback>
        </mc:AlternateContent>
      </w:r>
      <w:r w:rsidRPr="00882FED">
        <w:rPr>
          <w:noProof/>
        </w:rPr>
        <mc:AlternateContent>
          <mc:Choice Requires="wpg">
            <w:drawing>
              <wp:anchor distT="0" distB="0" distL="114300" distR="114300" simplePos="0" relativeHeight="251661312" behindDoc="0" locked="0" layoutInCell="1" hidden="0" allowOverlap="1" wp14:anchorId="3D7F270A" wp14:editId="52098E23">
                <wp:simplePos x="0" y="0"/>
                <wp:positionH relativeFrom="column">
                  <wp:posOffset>5397500</wp:posOffset>
                </wp:positionH>
                <wp:positionV relativeFrom="paragraph">
                  <wp:posOffset>4445000</wp:posOffset>
                </wp:positionV>
                <wp:extent cx="215900" cy="3206750"/>
                <wp:effectExtent l="0" t="0" r="0" b="0"/>
                <wp:wrapNone/>
                <wp:docPr id="69" name="Cerrar llave 69"/>
                <wp:cNvGraphicFramePr/>
                <a:graphic xmlns:a="http://schemas.openxmlformats.org/drawingml/2006/main">
                  <a:graphicData uri="http://schemas.microsoft.com/office/word/2010/wordprocessingShape">
                    <wps:wsp>
                      <wps:cNvSpPr/>
                      <wps:spPr>
                        <a:xfrm>
                          <a:off x="5250750" y="2189325"/>
                          <a:ext cx="190500" cy="3181350"/>
                        </a:xfrm>
                        <a:prstGeom prst="rightBrace">
                          <a:avLst>
                            <a:gd name="adj1" fmla="val 8333"/>
                            <a:gd name="adj2" fmla="val 50000"/>
                          </a:avLst>
                        </a:prstGeom>
                        <a:noFill/>
                        <a:ln w="25400" cap="flat" cmpd="sng">
                          <a:solidFill>
                            <a:srgbClr val="C00000"/>
                          </a:solidFill>
                          <a:prstDash val="solid"/>
                          <a:round/>
                          <a:headEnd type="none" w="sm" len="sm"/>
                          <a:tailEnd type="none" w="sm" len="sm"/>
                        </a:ln>
                      </wps:spPr>
                      <wps:txbx>
                        <w:txbxContent>
                          <w:p w:rsidR="00E45B85" w:rsidRDefault="00E45B85">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5397500</wp:posOffset>
                </wp:positionH>
                <wp:positionV relativeFrom="paragraph">
                  <wp:posOffset>4445000</wp:posOffset>
                </wp:positionV>
                <wp:extent cx="215900" cy="3206750"/>
                <wp:effectExtent b="0" l="0" r="0" t="0"/>
                <wp:wrapNone/>
                <wp:docPr id="69" name="image13.png"/>
                <a:graphic>
                  <a:graphicData uri="http://schemas.openxmlformats.org/drawingml/2006/picture">
                    <pic:pic>
                      <pic:nvPicPr>
                        <pic:cNvPr id="0" name="image13.png"/>
                        <pic:cNvPicPr preferRelativeResize="0"/>
                      </pic:nvPicPr>
                      <pic:blipFill>
                        <a:blip r:embed="rId30"/>
                        <a:srcRect/>
                        <a:stretch>
                          <a:fillRect/>
                        </a:stretch>
                      </pic:blipFill>
                      <pic:spPr>
                        <a:xfrm>
                          <a:off x="0" y="0"/>
                          <a:ext cx="215900" cy="3206750"/>
                        </a:xfrm>
                        <a:prstGeom prst="rect"/>
                        <a:ln/>
                      </pic:spPr>
                    </pic:pic>
                  </a:graphicData>
                </a:graphic>
              </wp:anchor>
            </w:drawing>
          </mc:Fallback>
        </mc:AlternateContent>
      </w:r>
    </w:p>
    <w:p w:rsidR="00E45B85" w:rsidRPr="00882FED" w:rsidRDefault="003D2527">
      <w:pPr>
        <w:spacing w:before="240" w:after="240" w:line="360" w:lineRule="auto"/>
        <w:jc w:val="center"/>
        <w:rPr>
          <w:rFonts w:ascii="Palatino Linotype" w:eastAsia="Palatino Linotype" w:hAnsi="Palatino Linotype" w:cs="Palatino Linotype"/>
        </w:rPr>
      </w:pPr>
      <w:r w:rsidRPr="00882FED">
        <w:rPr>
          <w:rFonts w:ascii="Palatino Linotype" w:eastAsia="Palatino Linotype" w:hAnsi="Palatino Linotype" w:cs="Palatino Linotype"/>
          <w:noProof/>
        </w:rPr>
        <w:lastRenderedPageBreak/>
        <w:drawing>
          <wp:inline distT="0" distB="0" distL="0" distR="0" wp14:anchorId="539EB6F2" wp14:editId="0ADD40C7">
            <wp:extent cx="5057775" cy="7153275"/>
            <wp:effectExtent l="0" t="0" r="0" b="0"/>
            <wp:docPr id="8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5057775" cy="7153275"/>
                    </a:xfrm>
                    <a:prstGeom prst="rect">
                      <a:avLst/>
                    </a:prstGeom>
                    <a:ln/>
                  </pic:spPr>
                </pic:pic>
              </a:graphicData>
            </a:graphic>
          </wp:inline>
        </w:drawing>
      </w:r>
      <w:r w:rsidRPr="00882FED">
        <w:rPr>
          <w:noProof/>
        </w:rPr>
        <mc:AlternateContent>
          <mc:Choice Requires="wpg">
            <w:drawing>
              <wp:anchor distT="0" distB="0" distL="114300" distR="114300" simplePos="0" relativeHeight="251662336" behindDoc="0" locked="0" layoutInCell="1" hidden="0" allowOverlap="1" wp14:anchorId="650AC41E" wp14:editId="6912AB15">
                <wp:simplePos x="0" y="0"/>
                <wp:positionH relativeFrom="column">
                  <wp:posOffset>1841500</wp:posOffset>
                </wp:positionH>
                <wp:positionV relativeFrom="paragraph">
                  <wp:posOffset>4559300</wp:posOffset>
                </wp:positionV>
                <wp:extent cx="3438525" cy="1419225"/>
                <wp:effectExtent l="0" t="0" r="0" b="0"/>
                <wp:wrapNone/>
                <wp:docPr id="72" name="Rectángulo 72"/>
                <wp:cNvGraphicFramePr/>
                <a:graphic xmlns:a="http://schemas.openxmlformats.org/drawingml/2006/main">
                  <a:graphicData uri="http://schemas.microsoft.com/office/word/2010/wordprocessingShape">
                    <wps:wsp>
                      <wps:cNvSpPr/>
                      <wps:spPr>
                        <a:xfrm>
                          <a:off x="3645788" y="3089438"/>
                          <a:ext cx="3400425" cy="1381125"/>
                        </a:xfrm>
                        <a:prstGeom prst="rect">
                          <a:avLst/>
                        </a:prstGeom>
                        <a:noFill/>
                        <a:ln w="38100" cap="flat" cmpd="sng">
                          <a:solidFill>
                            <a:srgbClr val="C00000"/>
                          </a:solidFill>
                          <a:prstDash val="solid"/>
                          <a:round/>
                          <a:headEnd type="none" w="sm" len="sm"/>
                          <a:tailEnd type="none" w="sm" len="sm"/>
                        </a:ln>
                      </wps:spPr>
                      <wps:txbx>
                        <w:txbxContent>
                          <w:p w:rsidR="00E45B85" w:rsidRDefault="00E45B85">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1841500</wp:posOffset>
                </wp:positionH>
                <wp:positionV relativeFrom="paragraph">
                  <wp:posOffset>4559300</wp:posOffset>
                </wp:positionV>
                <wp:extent cx="3438525" cy="1419225"/>
                <wp:effectExtent b="0" l="0" r="0" t="0"/>
                <wp:wrapNone/>
                <wp:docPr id="72" name="image16.png"/>
                <a:graphic>
                  <a:graphicData uri="http://schemas.openxmlformats.org/drawingml/2006/picture">
                    <pic:pic>
                      <pic:nvPicPr>
                        <pic:cNvPr id="0" name="image16.png"/>
                        <pic:cNvPicPr preferRelativeResize="0"/>
                      </pic:nvPicPr>
                      <pic:blipFill>
                        <a:blip r:embed="rId32"/>
                        <a:srcRect/>
                        <a:stretch>
                          <a:fillRect/>
                        </a:stretch>
                      </pic:blipFill>
                      <pic:spPr>
                        <a:xfrm>
                          <a:off x="0" y="0"/>
                          <a:ext cx="3438525" cy="1419225"/>
                        </a:xfrm>
                        <a:prstGeom prst="rect"/>
                        <a:ln/>
                      </pic:spPr>
                    </pic:pic>
                  </a:graphicData>
                </a:graphic>
              </wp:anchor>
            </w:drawing>
          </mc:Fallback>
        </mc:AlternateConten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lastRenderedPageBreak/>
        <w:t xml:space="preserve">En tal sentido, si bien, en la etapa de manifestaciones el </w:t>
      </w:r>
      <w:r w:rsidRPr="00882FED">
        <w:rPr>
          <w:rFonts w:ascii="Palatino Linotype" w:eastAsia="Palatino Linotype" w:hAnsi="Palatino Linotype" w:cs="Palatino Linotype"/>
          <w:b/>
        </w:rPr>
        <w:t xml:space="preserve">Sujeto Obligado </w:t>
      </w:r>
      <w:r w:rsidRPr="00882FED">
        <w:rPr>
          <w:rFonts w:ascii="Palatino Linotype" w:eastAsia="Palatino Linotype" w:hAnsi="Palatino Linotype" w:cs="Palatino Linotype"/>
        </w:rPr>
        <w:t xml:space="preserve">remitió el documento idóneo para satisfacer el derecho de acceso a la información pública de la parte recurrente, no debe perderse de vista que el mismo se envió en versión pública y que los motivos de inconformidad alegados por la parte </w:t>
      </w:r>
      <w:r w:rsidRPr="00882FED">
        <w:rPr>
          <w:rFonts w:ascii="Palatino Linotype" w:eastAsia="Palatino Linotype" w:hAnsi="Palatino Linotype" w:cs="Palatino Linotype"/>
          <w:b/>
        </w:rPr>
        <w:t xml:space="preserve">Recurrente </w:t>
      </w:r>
      <w:r w:rsidRPr="00882FED">
        <w:rPr>
          <w:rFonts w:ascii="Palatino Linotype" w:eastAsia="Palatino Linotype" w:hAnsi="Palatino Linotype" w:cs="Palatino Linotype"/>
        </w:rPr>
        <w:t>versan sobre dicha clasificación, pues como puede advertirse en las imágenes insertas se testaron como confidenciales, datos como domicilio en el Estado de México, teléfono, telefax, correo electrónico y firma y rúbrica de los representantes legales de las empresas proveedoras de los productos adquiridos, con fundamento en los artículos 6, inciso A, fracción II de la Constitución Política de los Estados Unidos Mexicanos; 5, párrafos Vigésimo Segundo, Vigésimo Tercero y Vigésimo Cuarto, fracción II de la Constitución Política del Estado Libre y Soberano de México;  3, fracciones IX, XX, XXI, XXIII y XXXIX, 59, fracción V, 139, 143, fracción I y 149 de la Ley de Transparencia y Acceso a la Información pública del Estado de México y Municipios; 4, fracciones XI y L de la Ley de Protección de Datos Personales en Posesión de Sujetos Obligados del Estado de México y Municipios, así como lo establecido en los numerales Vigésimo Octavo, Trigésimo,  fracción XVIII y Trigésimo Primero de los Criterios para la Clasificación de la Información Pública de las Dependencias, Organismos Auxiliares y Fideicomisos Públicos de la Administración Pública del Estado de México.</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Derivado de lo anterior, el presente estudio se enfocará en la procedencia o improcedencia de la clasificación de los datos consistentes en: domicilio en el Estado de México, teléfono, telefax, correo electrónico personal, firma y rúbrica del representante legal de las empresas proveedoras, como confidenciales.</w:t>
      </w:r>
    </w:p>
    <w:p w:rsidR="00E45B85" w:rsidRPr="00882FED" w:rsidRDefault="003D2527">
      <w:pPr>
        <w:spacing w:before="240" w:after="240" w:line="360" w:lineRule="auto"/>
        <w:ind w:right="51"/>
        <w:jc w:val="both"/>
        <w:rPr>
          <w:rFonts w:ascii="Palatino Linotype" w:eastAsia="Palatino Linotype" w:hAnsi="Palatino Linotype" w:cs="Palatino Linotype"/>
        </w:rPr>
      </w:pPr>
      <w:r w:rsidRPr="00882FED">
        <w:rPr>
          <w:rFonts w:ascii="Palatino Linotype" w:eastAsia="Palatino Linotype" w:hAnsi="Palatino Linotype" w:cs="Palatino Linotype"/>
        </w:rPr>
        <w:lastRenderedPageBreak/>
        <w:t>Acodado lo anterior, debe mencionarse, en primer lugar,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E45B85" w:rsidRPr="00882FED" w:rsidRDefault="003D2527">
      <w:pPr>
        <w:ind w:left="851" w:right="900"/>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 xml:space="preserve">“Artículo 91. </w:t>
      </w:r>
      <w:r w:rsidRPr="00882FED">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882FED">
        <w:rPr>
          <w:rFonts w:ascii="Palatino Linotype" w:eastAsia="Palatino Linotype" w:hAnsi="Palatino Linotype" w:cs="Palatino Linotype"/>
          <w:sz w:val="18"/>
          <w:szCs w:val="18"/>
        </w:rPr>
        <w:t xml:space="preserve">. </w:t>
      </w:r>
    </w:p>
    <w:p w:rsidR="00E45B85" w:rsidRPr="00882FED" w:rsidRDefault="003D2527">
      <w:pPr>
        <w:spacing w:before="280" w:after="28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De manera que, la Ley de Transparencia y Acceso a la Información Pública del Estado de México y Municipios, en su artículo 143 prevé los siguientes supuestos para clasificar la información como confidencial:</w:t>
      </w:r>
    </w:p>
    <w:p w:rsidR="00E45B85" w:rsidRPr="00882FED" w:rsidRDefault="003D2527">
      <w:pPr>
        <w:spacing w:before="120" w:after="120"/>
        <w:ind w:left="851" w:right="900"/>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 xml:space="preserve">Artículo 143. </w:t>
      </w:r>
      <w:r w:rsidRPr="00882FED">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rsidR="00E45B85" w:rsidRPr="00882FED" w:rsidRDefault="003D2527">
      <w:pPr>
        <w:spacing w:before="120" w:after="120"/>
        <w:ind w:left="1134" w:right="900"/>
        <w:jc w:val="both"/>
        <w:rPr>
          <w:rFonts w:ascii="Palatino Linotype" w:eastAsia="Palatino Linotype" w:hAnsi="Palatino Linotype" w:cs="Palatino Linotype"/>
          <w:b/>
          <w:i/>
          <w:sz w:val="22"/>
          <w:szCs w:val="22"/>
          <w:u w:val="single"/>
        </w:rPr>
      </w:pPr>
      <w:r w:rsidRPr="00882FED">
        <w:rPr>
          <w:rFonts w:ascii="Palatino Linotype" w:eastAsia="Palatino Linotype" w:hAnsi="Palatino Linotype" w:cs="Palatino Linotype"/>
          <w:b/>
          <w:i/>
          <w:sz w:val="22"/>
          <w:szCs w:val="22"/>
        </w:rPr>
        <w:t>I.</w:t>
      </w:r>
      <w:r w:rsidRPr="00882FED">
        <w:rPr>
          <w:rFonts w:ascii="Palatino Linotype" w:eastAsia="Palatino Linotype" w:hAnsi="Palatino Linotype" w:cs="Palatino Linotype"/>
          <w:b/>
          <w:i/>
          <w:sz w:val="22"/>
          <w:szCs w:val="22"/>
          <w:u w:val="single"/>
        </w:rPr>
        <w:t xml:space="preserve"> Se refiera a la información privada y los datos personales concernientes a una persona física o </w:t>
      </w:r>
      <w:proofErr w:type="gramStart"/>
      <w:r w:rsidRPr="00882FED">
        <w:rPr>
          <w:rFonts w:ascii="Palatino Linotype" w:eastAsia="Palatino Linotype" w:hAnsi="Palatino Linotype" w:cs="Palatino Linotype"/>
          <w:b/>
          <w:i/>
          <w:sz w:val="22"/>
          <w:szCs w:val="22"/>
          <w:u w:val="single"/>
        </w:rPr>
        <w:t>jurídico</w:t>
      </w:r>
      <w:proofErr w:type="gramEnd"/>
      <w:r w:rsidRPr="00882FED">
        <w:rPr>
          <w:rFonts w:ascii="Palatino Linotype" w:eastAsia="Palatino Linotype" w:hAnsi="Palatino Linotype" w:cs="Palatino Linotype"/>
          <w:b/>
          <w:i/>
          <w:sz w:val="22"/>
          <w:szCs w:val="22"/>
          <w:u w:val="single"/>
        </w:rPr>
        <w:t xml:space="preserve"> colectiva identificada o identificable;</w:t>
      </w:r>
    </w:p>
    <w:p w:rsidR="00E45B85" w:rsidRPr="00882FED" w:rsidRDefault="003D2527">
      <w:pPr>
        <w:spacing w:before="120" w:after="120"/>
        <w:ind w:left="1134" w:right="900"/>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lastRenderedPageBreak/>
        <w:t xml:space="preserve">II. </w:t>
      </w:r>
      <w:r w:rsidRPr="00882FED">
        <w:rPr>
          <w:rFonts w:ascii="Palatino Linotype" w:eastAsia="Palatino Linotype" w:hAnsi="Palatino Linotype" w:cs="Palatino Linotype"/>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rsidR="00E45B85" w:rsidRPr="00882FED" w:rsidRDefault="003D2527">
      <w:pPr>
        <w:spacing w:before="120" w:after="120"/>
        <w:ind w:left="1134" w:right="900"/>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 xml:space="preserve">III. </w:t>
      </w:r>
      <w:r w:rsidRPr="00882FED">
        <w:rPr>
          <w:rFonts w:ascii="Palatino Linotype" w:eastAsia="Palatino Linotype" w:hAnsi="Palatino Linotype" w:cs="Palatino Linotype"/>
          <w:i/>
          <w:sz w:val="22"/>
          <w:szCs w:val="22"/>
        </w:rPr>
        <w:t>La que presenten los particulares a los sujetos obligados, de conformidad con lo dispuesto por las leyes o los tratados internacionales.</w:t>
      </w:r>
    </w:p>
    <w:p w:rsidR="00E45B85" w:rsidRPr="00882FED" w:rsidRDefault="003D2527">
      <w:pPr>
        <w:spacing w:before="120" w:after="120"/>
        <w:ind w:left="851" w:right="900"/>
        <w:jc w:val="both"/>
        <w:rPr>
          <w:rFonts w:ascii="Palatino Linotype" w:eastAsia="Palatino Linotype" w:hAnsi="Palatino Linotype" w:cs="Palatino Linotype"/>
          <w:b/>
          <w:i/>
          <w:sz w:val="22"/>
          <w:szCs w:val="22"/>
          <w:u w:val="single"/>
        </w:rPr>
      </w:pPr>
      <w:r w:rsidRPr="00882FED">
        <w:rPr>
          <w:rFonts w:ascii="Palatino Linotype" w:eastAsia="Palatino Linotype" w:hAnsi="Palatino Linotype" w:cs="Palatino Linotype"/>
          <w:b/>
          <w:i/>
          <w:sz w:val="22"/>
          <w:szCs w:val="22"/>
          <w:u w:val="single"/>
        </w:rPr>
        <w:t>La información confidencial no estará sujeta a temporalidad alguna y sólo podrán tener acceso a ella los titulares de la misma, sus representantes y los servidores públicos facultados para ello.</w:t>
      </w:r>
    </w:p>
    <w:p w:rsidR="00E45B85" w:rsidRPr="00882FED" w:rsidRDefault="003D2527">
      <w:pPr>
        <w:spacing w:before="120" w:after="120"/>
        <w:ind w:left="709"/>
        <w:jc w:val="both"/>
        <w:rPr>
          <w:rFonts w:ascii="Palatino Linotype" w:eastAsia="Palatino Linotype" w:hAnsi="Palatino Linotype" w:cs="Palatino Linotype"/>
          <w:b/>
          <w:u w:val="single"/>
        </w:rPr>
      </w:pPr>
      <w:r w:rsidRPr="00882FED">
        <w:rPr>
          <w:rFonts w:ascii="Palatino Linotype" w:eastAsia="Palatino Linotype" w:hAnsi="Palatino Linotype" w:cs="Palatino Linotype"/>
          <w:b/>
          <w:i/>
          <w:sz w:val="22"/>
          <w:szCs w:val="22"/>
          <w:u w:val="single"/>
        </w:rPr>
        <w:t>No se considerará confidencial la información que se encuentre en los registros públicos o en fuentes de acceso público, ni tampoco la que sea considerada por la presente ley como información pública.”</w:t>
      </w:r>
    </w:p>
    <w:p w:rsidR="00E45B85" w:rsidRPr="00882FED" w:rsidRDefault="003D2527">
      <w:pPr>
        <w:spacing w:before="280" w:after="28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E45B85" w:rsidRPr="00882FED" w:rsidRDefault="003D2527">
      <w:pPr>
        <w:numPr>
          <w:ilvl w:val="0"/>
          <w:numId w:val="2"/>
        </w:numPr>
        <w:tabs>
          <w:tab w:val="left" w:pos="851"/>
        </w:tabs>
        <w:spacing w:before="280" w:line="360" w:lineRule="auto"/>
        <w:ind w:left="567" w:firstLine="0"/>
        <w:jc w:val="both"/>
        <w:rPr>
          <w:rFonts w:ascii="Palatino Linotype" w:eastAsia="Palatino Linotype" w:hAnsi="Palatino Linotype" w:cs="Palatino Linotype"/>
        </w:rPr>
      </w:pPr>
      <w:r w:rsidRPr="00882FED">
        <w:rPr>
          <w:rFonts w:ascii="Palatino Linotype" w:eastAsia="Palatino Linotype" w:hAnsi="Palatino Linotype" w:cs="Palatino Linotype"/>
        </w:rPr>
        <w:t>Se reciba una solicitud de acceso a la información;</w:t>
      </w:r>
    </w:p>
    <w:p w:rsidR="00E45B85" w:rsidRPr="00882FED" w:rsidRDefault="003D2527">
      <w:pPr>
        <w:numPr>
          <w:ilvl w:val="0"/>
          <w:numId w:val="2"/>
        </w:numPr>
        <w:tabs>
          <w:tab w:val="left" w:pos="851"/>
        </w:tabs>
        <w:spacing w:line="360" w:lineRule="auto"/>
        <w:ind w:left="567" w:firstLine="0"/>
        <w:jc w:val="both"/>
        <w:rPr>
          <w:rFonts w:ascii="Palatino Linotype" w:eastAsia="Palatino Linotype" w:hAnsi="Palatino Linotype" w:cs="Palatino Linotype"/>
        </w:rPr>
      </w:pPr>
      <w:r w:rsidRPr="00882FED">
        <w:rPr>
          <w:rFonts w:ascii="Palatino Linotype" w:eastAsia="Palatino Linotype" w:hAnsi="Palatino Linotype" w:cs="Palatino Linotype"/>
        </w:rPr>
        <w:t>Se determine mediante resolución de autoridad competente; y/o</w:t>
      </w:r>
    </w:p>
    <w:p w:rsidR="00E45B85" w:rsidRPr="00882FED" w:rsidRDefault="003D2527">
      <w:pPr>
        <w:numPr>
          <w:ilvl w:val="0"/>
          <w:numId w:val="2"/>
        </w:numPr>
        <w:tabs>
          <w:tab w:val="left" w:pos="851"/>
        </w:tabs>
        <w:spacing w:after="280" w:line="360" w:lineRule="auto"/>
        <w:ind w:left="567" w:firstLine="0"/>
        <w:jc w:val="both"/>
        <w:rPr>
          <w:rFonts w:ascii="Palatino Linotype" w:eastAsia="Palatino Linotype" w:hAnsi="Palatino Linotype" w:cs="Palatino Linotype"/>
        </w:rPr>
      </w:pPr>
      <w:r w:rsidRPr="00882FED">
        <w:rPr>
          <w:rFonts w:ascii="Palatino Linotype" w:eastAsia="Palatino Linotype" w:hAnsi="Palatino Linotype" w:cs="Palatino Linotype"/>
        </w:rPr>
        <w:t>Se generen versiones públicas para dar cumplimiento a las obligaciones de transparencia previstas en la Ley.</w:t>
      </w:r>
    </w:p>
    <w:p w:rsidR="00E45B85" w:rsidRPr="00882FED" w:rsidRDefault="003D2527">
      <w:pPr>
        <w:spacing w:before="280" w:after="28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b/>
        </w:rPr>
        <w:t>Por cuando hace a la elaboración de versiones públicas</w:t>
      </w:r>
      <w:r w:rsidRPr="00882FED">
        <w:rPr>
          <w:rFonts w:ascii="Palatino Linotype" w:eastAsia="Palatino Linotype" w:hAnsi="Palatino Linotype" w:cs="Palatino Linotype"/>
        </w:rPr>
        <w:t xml:space="preserve">, debe considerarse que dentro de los datos personales que pudieran contenerse se destacan los datos personales sensibles, los cuales son aquellos referentes de la esfera de su titular cuya utilización indebida pueda dar origen a discriminación o conlleve un riesgo grave para éste. </w:t>
      </w:r>
    </w:p>
    <w:p w:rsidR="00E45B85" w:rsidRPr="00882FED" w:rsidRDefault="003D2527">
      <w:pPr>
        <w:spacing w:before="280" w:after="28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lastRenderedPageBreak/>
        <w:t>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w:t>
      </w:r>
      <w:r w:rsidRPr="00882FED">
        <w:rPr>
          <w:rFonts w:ascii="Palatino Linotype" w:eastAsia="Palatino Linotype" w:hAnsi="Palatino Linotype" w:cs="Palatino Linotype"/>
          <w:vertAlign w:val="superscript"/>
        </w:rPr>
        <w:footnoteReference w:id="2"/>
      </w:r>
      <w:r w:rsidRPr="00882FED">
        <w:rPr>
          <w:rFonts w:ascii="Palatino Linotype" w:eastAsia="Palatino Linotype" w:hAnsi="Palatino Linotype" w:cs="Palatino Linotype"/>
        </w:rPr>
        <w:t>, fracción XII de la Ley de Protección de Datos Personales en Posesión de Sujetos Obligados del Estado de México y Municipios.</w:t>
      </w:r>
    </w:p>
    <w:p w:rsidR="00E45B85" w:rsidRPr="00882FED" w:rsidRDefault="003D2527">
      <w:pPr>
        <w:spacing w:before="280" w:after="280" w:line="360" w:lineRule="auto"/>
        <w:ind w:right="51"/>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De igual forma, es de precisar que la clasificación de la información no se da por el simple mandato de la Ley, sino que es necesario que el </w:t>
      </w:r>
      <w:r w:rsidRPr="00882FED">
        <w:rPr>
          <w:rFonts w:ascii="Palatino Linotype" w:eastAsia="Palatino Linotype" w:hAnsi="Palatino Linotype" w:cs="Palatino Linotype"/>
          <w:b/>
        </w:rPr>
        <w:t>Sujeto Obligado,</w:t>
      </w:r>
      <w:r w:rsidRPr="00882FED">
        <w:rPr>
          <w:rFonts w:ascii="Palatino Linotype" w:eastAsia="Palatino Linotype" w:hAnsi="Palatino Linotype" w:cs="Palatino Linotype"/>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882FED">
        <w:rPr>
          <w:rFonts w:ascii="Palatino Linotype" w:eastAsia="Palatino Linotype" w:hAnsi="Palatino Linotype" w:cs="Palatino Linotype"/>
          <w:b/>
        </w:rPr>
        <w:t>Sujeto Obligado</w:t>
      </w:r>
      <w:r w:rsidRPr="00882FED">
        <w:rPr>
          <w:rFonts w:ascii="Palatino Linotype" w:eastAsia="Palatino Linotype" w:hAnsi="Palatino Linotype" w:cs="Palatino Linotype"/>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49, fracciones II y VIII, 53, fracción X y 59, fracción V, de la Ley de Transparencia y Acceso a la Información Pública del Estado de México y Municipios, a saber:</w:t>
      </w:r>
    </w:p>
    <w:p w:rsidR="00E45B85" w:rsidRPr="00882FED" w:rsidRDefault="003D252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w:t>
      </w:r>
      <w:r w:rsidRPr="00882FED">
        <w:rPr>
          <w:rFonts w:ascii="Palatino Linotype" w:eastAsia="Palatino Linotype" w:hAnsi="Palatino Linotype" w:cs="Palatino Linotype"/>
          <w:b/>
          <w:i/>
          <w:sz w:val="22"/>
          <w:szCs w:val="22"/>
        </w:rPr>
        <w:t>Artículo 49</w:t>
      </w:r>
      <w:r w:rsidRPr="00882FED">
        <w:rPr>
          <w:rFonts w:ascii="Palatino Linotype" w:eastAsia="Palatino Linotype" w:hAnsi="Palatino Linotype" w:cs="Palatino Linotype"/>
          <w:i/>
          <w:sz w:val="22"/>
          <w:szCs w:val="22"/>
        </w:rPr>
        <w:t xml:space="preserve">. Los </w:t>
      </w:r>
      <w:r w:rsidRPr="00882FED">
        <w:rPr>
          <w:rFonts w:ascii="Palatino Linotype" w:eastAsia="Palatino Linotype" w:hAnsi="Palatino Linotype" w:cs="Palatino Linotype"/>
          <w:b/>
          <w:i/>
          <w:sz w:val="22"/>
          <w:szCs w:val="22"/>
        </w:rPr>
        <w:t>Comités de Transparencia</w:t>
      </w:r>
      <w:r w:rsidRPr="00882FED">
        <w:rPr>
          <w:rFonts w:ascii="Palatino Linotype" w:eastAsia="Palatino Linotype" w:hAnsi="Palatino Linotype" w:cs="Palatino Linotype"/>
          <w:i/>
          <w:sz w:val="22"/>
          <w:szCs w:val="22"/>
        </w:rPr>
        <w:t xml:space="preserve"> tendrán las siguientes atribuciones:</w:t>
      </w:r>
    </w:p>
    <w:p w:rsidR="00E45B85" w:rsidRPr="00882FED" w:rsidRDefault="003D252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lastRenderedPageBreak/>
        <w:t>...</w:t>
      </w:r>
    </w:p>
    <w:p w:rsidR="00E45B85" w:rsidRPr="00882FED" w:rsidRDefault="003D252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II.</w:t>
      </w:r>
      <w:r w:rsidRPr="00882FED">
        <w:rPr>
          <w:rFonts w:ascii="Palatino Linotype" w:eastAsia="Palatino Linotype" w:hAnsi="Palatino Linotype" w:cs="Palatino Linotype"/>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E45B85" w:rsidRPr="00882FED" w:rsidRDefault="003D252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w:t>
      </w:r>
    </w:p>
    <w:p w:rsidR="00E45B85" w:rsidRPr="00882FED" w:rsidRDefault="003D252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VIII</w:t>
      </w:r>
      <w:r w:rsidRPr="00882FED">
        <w:rPr>
          <w:rFonts w:ascii="Palatino Linotype" w:eastAsia="Palatino Linotype" w:hAnsi="Palatino Linotype" w:cs="Palatino Linotype"/>
          <w:i/>
          <w:sz w:val="22"/>
          <w:szCs w:val="22"/>
        </w:rPr>
        <w:t>. Aprobar, modificar o revocar la clasificación de la información</w:t>
      </w:r>
    </w:p>
    <w:p w:rsidR="00E45B85" w:rsidRPr="00882FED" w:rsidRDefault="003D2527">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882FED">
        <w:rPr>
          <w:rFonts w:ascii="Palatino Linotype" w:eastAsia="Palatino Linotype" w:hAnsi="Palatino Linotype" w:cs="Palatino Linotype"/>
          <w:b/>
          <w:i/>
          <w:sz w:val="22"/>
          <w:szCs w:val="22"/>
        </w:rPr>
        <w:t>...</w:t>
      </w:r>
    </w:p>
    <w:p w:rsidR="00E45B85" w:rsidRPr="00882FED" w:rsidRDefault="003D252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Artículo 53</w:t>
      </w:r>
      <w:r w:rsidRPr="00882FED">
        <w:rPr>
          <w:rFonts w:ascii="Palatino Linotype" w:eastAsia="Palatino Linotype" w:hAnsi="Palatino Linotype" w:cs="Palatino Linotype"/>
          <w:i/>
          <w:sz w:val="22"/>
          <w:szCs w:val="22"/>
        </w:rPr>
        <w:t xml:space="preserve">. Las </w:t>
      </w:r>
      <w:r w:rsidRPr="00882FED">
        <w:rPr>
          <w:rFonts w:ascii="Palatino Linotype" w:eastAsia="Palatino Linotype" w:hAnsi="Palatino Linotype" w:cs="Palatino Linotype"/>
          <w:b/>
          <w:i/>
          <w:sz w:val="22"/>
          <w:szCs w:val="22"/>
        </w:rPr>
        <w:t xml:space="preserve">Unidades de Transparencia </w:t>
      </w:r>
      <w:r w:rsidRPr="00882FED">
        <w:rPr>
          <w:rFonts w:ascii="Palatino Linotype" w:eastAsia="Palatino Linotype" w:hAnsi="Palatino Linotype" w:cs="Palatino Linotype"/>
          <w:i/>
          <w:sz w:val="22"/>
          <w:szCs w:val="22"/>
        </w:rPr>
        <w:t>tendrán las siguientes funciones:</w:t>
      </w:r>
    </w:p>
    <w:p w:rsidR="00E45B85" w:rsidRPr="00882FED" w:rsidRDefault="003D252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w:t>
      </w:r>
    </w:p>
    <w:p w:rsidR="00E45B85" w:rsidRPr="00882FED" w:rsidRDefault="003D252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X.</w:t>
      </w:r>
      <w:r w:rsidRPr="00882FED">
        <w:rPr>
          <w:rFonts w:ascii="Palatino Linotype" w:eastAsia="Palatino Linotype" w:hAnsi="Palatino Linotype" w:cs="Palatino Linotype"/>
          <w:i/>
          <w:sz w:val="22"/>
          <w:szCs w:val="22"/>
        </w:rPr>
        <w:t xml:space="preserve"> Presentar ante el Comité, el proyecto de clasificación de información;</w:t>
      </w:r>
    </w:p>
    <w:p w:rsidR="00E45B85" w:rsidRPr="00882FED" w:rsidRDefault="003D2527">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882FED">
        <w:rPr>
          <w:rFonts w:ascii="Palatino Linotype" w:eastAsia="Palatino Linotype" w:hAnsi="Palatino Linotype" w:cs="Palatino Linotype"/>
          <w:b/>
          <w:i/>
          <w:sz w:val="22"/>
          <w:szCs w:val="22"/>
        </w:rPr>
        <w:t>...</w:t>
      </w:r>
    </w:p>
    <w:p w:rsidR="00E45B85" w:rsidRPr="00882FED" w:rsidRDefault="003D252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Artículo 59</w:t>
      </w:r>
      <w:r w:rsidRPr="00882FED">
        <w:rPr>
          <w:rFonts w:ascii="Palatino Linotype" w:eastAsia="Palatino Linotype" w:hAnsi="Palatino Linotype" w:cs="Palatino Linotype"/>
          <w:i/>
          <w:sz w:val="22"/>
          <w:szCs w:val="22"/>
        </w:rPr>
        <w:t xml:space="preserve">. Los </w:t>
      </w:r>
      <w:r w:rsidRPr="00882FED">
        <w:rPr>
          <w:rFonts w:ascii="Palatino Linotype" w:eastAsia="Palatino Linotype" w:hAnsi="Palatino Linotype" w:cs="Palatino Linotype"/>
          <w:b/>
          <w:i/>
          <w:sz w:val="22"/>
          <w:szCs w:val="22"/>
        </w:rPr>
        <w:t>servidores públicos habilitados</w:t>
      </w:r>
      <w:r w:rsidRPr="00882FED">
        <w:rPr>
          <w:rFonts w:ascii="Palatino Linotype" w:eastAsia="Palatino Linotype" w:hAnsi="Palatino Linotype" w:cs="Palatino Linotype"/>
          <w:i/>
          <w:sz w:val="22"/>
          <w:szCs w:val="22"/>
        </w:rPr>
        <w:t xml:space="preserve"> tendrán las funciones siguientes:</w:t>
      </w:r>
    </w:p>
    <w:p w:rsidR="00E45B85" w:rsidRPr="00882FED" w:rsidRDefault="003D252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w:t>
      </w:r>
    </w:p>
    <w:p w:rsidR="00E45B85" w:rsidRPr="00882FED" w:rsidRDefault="003D252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V.</w:t>
      </w:r>
      <w:r w:rsidRPr="00882FED">
        <w:rPr>
          <w:rFonts w:ascii="Palatino Linotype" w:eastAsia="Palatino Linotype" w:hAnsi="Palatino Linotype" w:cs="Palatino Linotype"/>
          <w:i/>
          <w:sz w:val="22"/>
          <w:szCs w:val="22"/>
        </w:rPr>
        <w:t xml:space="preserve"> Integrar y presentar al responsable de la Unidad de Transparencia la propuesta de clasificación de información, la cual tendrá los fundamentos y argumentos en que se basa dicha propuesta;”</w:t>
      </w:r>
    </w:p>
    <w:p w:rsidR="00E45B85" w:rsidRPr="00882FED" w:rsidRDefault="003D2527">
      <w:pPr>
        <w:spacing w:before="280" w:after="28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Asimismo, resulta aplicable el contenido del artículo 168 de la Ley de la Materia, que dispone lo siguiente:</w:t>
      </w:r>
    </w:p>
    <w:p w:rsidR="00E45B85" w:rsidRPr="00882FED" w:rsidRDefault="003D2527">
      <w:pPr>
        <w:spacing w:before="120" w:after="12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 xml:space="preserve"> “</w:t>
      </w:r>
      <w:r w:rsidRPr="00882FED">
        <w:rPr>
          <w:rFonts w:ascii="Palatino Linotype" w:eastAsia="Palatino Linotype" w:hAnsi="Palatino Linotype" w:cs="Palatino Linotype"/>
          <w:b/>
          <w:i/>
          <w:sz w:val="22"/>
          <w:szCs w:val="22"/>
        </w:rPr>
        <w:t>Artículo 168</w:t>
      </w:r>
      <w:r w:rsidRPr="00882FED">
        <w:rPr>
          <w:rFonts w:ascii="Palatino Linotype" w:eastAsia="Palatino Linotype" w:hAnsi="Palatino Linotype" w:cs="Palatino Linotype"/>
          <w:i/>
          <w:sz w:val="22"/>
          <w:szCs w:val="22"/>
        </w:rPr>
        <w:t xml:space="preserve">. En caso de que los sujetos obligados consideren que los documentos o la información deban ser clasificados, se sujetará a lo siguiente: </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I.</w:t>
      </w:r>
      <w:r w:rsidRPr="00882FED">
        <w:rPr>
          <w:rFonts w:ascii="Palatino Linotype" w:eastAsia="Palatino Linotype" w:hAnsi="Palatino Linotype" w:cs="Palatino Linotype"/>
          <w:i/>
          <w:sz w:val="22"/>
          <w:szCs w:val="22"/>
        </w:rPr>
        <w:t xml:space="preserve"> El Área deberá remitir la solicitud, </w:t>
      </w:r>
      <w:r w:rsidRPr="00882FED">
        <w:rPr>
          <w:rFonts w:ascii="Palatino Linotype" w:eastAsia="Palatino Linotype" w:hAnsi="Palatino Linotype" w:cs="Palatino Linotype"/>
          <w:b/>
          <w:i/>
          <w:sz w:val="22"/>
          <w:szCs w:val="22"/>
        </w:rPr>
        <w:t xml:space="preserve">así como un escrito en el </w:t>
      </w:r>
      <w:r w:rsidRPr="00882FED">
        <w:rPr>
          <w:rFonts w:ascii="Palatino Linotype" w:eastAsia="Palatino Linotype" w:hAnsi="Palatino Linotype" w:cs="Palatino Linotype"/>
          <w:b/>
          <w:i/>
          <w:sz w:val="22"/>
          <w:szCs w:val="22"/>
          <w:u w:val="single"/>
        </w:rPr>
        <w:t>que funde y motive la clasificación</w:t>
      </w:r>
      <w:r w:rsidRPr="00882FED">
        <w:rPr>
          <w:rFonts w:ascii="Palatino Linotype" w:eastAsia="Palatino Linotype" w:hAnsi="Palatino Linotype" w:cs="Palatino Linotype"/>
          <w:b/>
          <w:i/>
          <w:sz w:val="22"/>
          <w:szCs w:val="22"/>
        </w:rPr>
        <w:t xml:space="preserve"> al Comité de Transparencia</w:t>
      </w:r>
      <w:r w:rsidRPr="00882FED">
        <w:rPr>
          <w:rFonts w:ascii="Palatino Linotype" w:eastAsia="Palatino Linotype" w:hAnsi="Palatino Linotype" w:cs="Palatino Linotype"/>
          <w:i/>
          <w:sz w:val="22"/>
          <w:szCs w:val="22"/>
        </w:rPr>
        <w:t>, mismo que deberá resolver para:</w:t>
      </w:r>
    </w:p>
    <w:p w:rsidR="00E45B85" w:rsidRPr="00882FED" w:rsidRDefault="003D2527">
      <w:pPr>
        <w:spacing w:before="120" w:after="120"/>
        <w:ind w:left="1418"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a)</w:t>
      </w:r>
      <w:r w:rsidRPr="00882FED">
        <w:rPr>
          <w:rFonts w:ascii="Palatino Linotype" w:eastAsia="Palatino Linotype" w:hAnsi="Palatino Linotype" w:cs="Palatino Linotype"/>
          <w:i/>
          <w:sz w:val="22"/>
          <w:szCs w:val="22"/>
        </w:rPr>
        <w:t xml:space="preserve"> </w:t>
      </w:r>
      <w:r w:rsidRPr="00882FED">
        <w:rPr>
          <w:rFonts w:ascii="Palatino Linotype" w:eastAsia="Palatino Linotype" w:hAnsi="Palatino Linotype" w:cs="Palatino Linotype"/>
          <w:b/>
          <w:i/>
          <w:sz w:val="22"/>
          <w:szCs w:val="22"/>
        </w:rPr>
        <w:t>Confirmar la clasificación</w:t>
      </w:r>
      <w:r w:rsidRPr="00882FED">
        <w:rPr>
          <w:rFonts w:ascii="Palatino Linotype" w:eastAsia="Palatino Linotype" w:hAnsi="Palatino Linotype" w:cs="Palatino Linotype"/>
          <w:i/>
          <w:sz w:val="22"/>
          <w:szCs w:val="22"/>
        </w:rPr>
        <w:t xml:space="preserve">; </w:t>
      </w:r>
    </w:p>
    <w:p w:rsidR="00E45B85" w:rsidRPr="00882FED" w:rsidRDefault="003D2527">
      <w:pPr>
        <w:spacing w:before="120" w:after="120"/>
        <w:ind w:left="1418"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b)</w:t>
      </w:r>
      <w:r w:rsidRPr="00882FED">
        <w:rPr>
          <w:rFonts w:ascii="Palatino Linotype" w:eastAsia="Palatino Linotype" w:hAnsi="Palatino Linotype" w:cs="Palatino Linotype"/>
          <w:i/>
          <w:sz w:val="22"/>
          <w:szCs w:val="22"/>
        </w:rPr>
        <w:t xml:space="preserve"> </w:t>
      </w:r>
      <w:r w:rsidRPr="00882FED">
        <w:rPr>
          <w:rFonts w:ascii="Palatino Linotype" w:eastAsia="Palatino Linotype" w:hAnsi="Palatino Linotype" w:cs="Palatino Linotype"/>
          <w:b/>
          <w:i/>
          <w:sz w:val="22"/>
          <w:szCs w:val="22"/>
        </w:rPr>
        <w:t xml:space="preserve">Modificar la clasificación y </w:t>
      </w:r>
      <w:r w:rsidRPr="00882FED">
        <w:rPr>
          <w:rFonts w:ascii="Palatino Linotype" w:eastAsia="Palatino Linotype" w:hAnsi="Palatino Linotype" w:cs="Palatino Linotype"/>
          <w:b/>
          <w:i/>
          <w:sz w:val="22"/>
          <w:szCs w:val="22"/>
          <w:u w:val="single"/>
        </w:rPr>
        <w:t>otorgar</w:t>
      </w:r>
      <w:r w:rsidRPr="00882FED">
        <w:rPr>
          <w:rFonts w:ascii="Palatino Linotype" w:eastAsia="Palatino Linotype" w:hAnsi="Palatino Linotype" w:cs="Palatino Linotype"/>
          <w:b/>
          <w:i/>
          <w:sz w:val="22"/>
          <w:szCs w:val="22"/>
        </w:rPr>
        <w:t xml:space="preserve"> total o </w:t>
      </w:r>
      <w:r w:rsidRPr="00882FED">
        <w:rPr>
          <w:rFonts w:ascii="Palatino Linotype" w:eastAsia="Palatino Linotype" w:hAnsi="Palatino Linotype" w:cs="Palatino Linotype"/>
          <w:b/>
          <w:i/>
          <w:sz w:val="22"/>
          <w:szCs w:val="22"/>
          <w:u w:val="single"/>
        </w:rPr>
        <w:t>parcialmente el acceso a la informació</w:t>
      </w:r>
      <w:r w:rsidRPr="00882FED">
        <w:rPr>
          <w:rFonts w:ascii="Palatino Linotype" w:eastAsia="Palatino Linotype" w:hAnsi="Palatino Linotype" w:cs="Palatino Linotype"/>
          <w:i/>
          <w:sz w:val="22"/>
          <w:szCs w:val="22"/>
          <w:u w:val="single"/>
        </w:rPr>
        <w:t>n</w:t>
      </w:r>
      <w:r w:rsidRPr="00882FED">
        <w:rPr>
          <w:rFonts w:ascii="Palatino Linotype" w:eastAsia="Palatino Linotype" w:hAnsi="Palatino Linotype" w:cs="Palatino Linotype"/>
          <w:i/>
          <w:sz w:val="22"/>
          <w:szCs w:val="22"/>
        </w:rPr>
        <w:t xml:space="preserve">; y </w:t>
      </w:r>
    </w:p>
    <w:p w:rsidR="00E45B85" w:rsidRPr="00882FED" w:rsidRDefault="003D2527">
      <w:pPr>
        <w:spacing w:before="120" w:after="120"/>
        <w:ind w:left="1418"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c)</w:t>
      </w:r>
      <w:r w:rsidRPr="00882FED">
        <w:rPr>
          <w:rFonts w:ascii="Palatino Linotype" w:eastAsia="Palatino Linotype" w:hAnsi="Palatino Linotype" w:cs="Palatino Linotype"/>
          <w:i/>
          <w:sz w:val="22"/>
          <w:szCs w:val="22"/>
        </w:rPr>
        <w:t xml:space="preserve"> Revocar la clasificación y conceder el acceso a la información. </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lastRenderedPageBreak/>
        <w:t>II</w:t>
      </w:r>
      <w:r w:rsidRPr="00882FED">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 </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III</w:t>
      </w:r>
      <w:r w:rsidRPr="00882FED">
        <w:rPr>
          <w:rFonts w:ascii="Palatino Linotype" w:eastAsia="Palatino Linotype" w:hAnsi="Palatino Linotype" w:cs="Palatino Linotype"/>
          <w:i/>
          <w:sz w:val="22"/>
          <w:szCs w:val="22"/>
        </w:rPr>
        <w:t>. La resolución del Comité de Transparencia será notificada al interesado en el plazo de respuesta a la solicitud que establece esta Ley.”</w:t>
      </w:r>
    </w:p>
    <w:p w:rsidR="00E45B85" w:rsidRPr="00882FED" w:rsidRDefault="003D2527">
      <w:pPr>
        <w:spacing w:before="280" w:after="28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Asimismo, es importante mencionar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o confidencial, así como especificando las razones o circunstancias especiales que lo llevaron a concluir que el caso particular se ajusta al supuesto previsto por la norma legal invocada como fundamento, como se lee:</w:t>
      </w:r>
    </w:p>
    <w:p w:rsidR="00E45B85" w:rsidRPr="00882FED" w:rsidRDefault="003D2527">
      <w:pPr>
        <w:spacing w:before="120" w:after="120"/>
        <w:ind w:left="851" w:right="900"/>
        <w:jc w:val="both"/>
        <w:rPr>
          <w:rFonts w:ascii="Palatino Linotype" w:eastAsia="Palatino Linotype" w:hAnsi="Palatino Linotype" w:cs="Palatino Linotype"/>
          <w:b/>
          <w:i/>
          <w:sz w:val="22"/>
          <w:szCs w:val="22"/>
        </w:rPr>
      </w:pPr>
      <w:r w:rsidRPr="00882FED">
        <w:rPr>
          <w:rFonts w:ascii="Palatino Linotype" w:eastAsia="Palatino Linotype" w:hAnsi="Palatino Linotype" w:cs="Palatino Linotype"/>
          <w:b/>
          <w:i/>
          <w:sz w:val="22"/>
          <w:szCs w:val="22"/>
        </w:rPr>
        <w:t>“Octavo</w:t>
      </w:r>
      <w:r w:rsidRPr="00882FED">
        <w:rPr>
          <w:rFonts w:ascii="Palatino Linotype" w:eastAsia="Palatino Linotype" w:hAnsi="Palatino Linotype" w:cs="Palatino Linotype"/>
          <w:i/>
          <w:sz w:val="22"/>
          <w:szCs w:val="22"/>
        </w:rPr>
        <w:t xml:space="preserve">. Para fundar la clasificación de la información </w:t>
      </w:r>
      <w:r w:rsidRPr="00882FED">
        <w:rPr>
          <w:rFonts w:ascii="Palatino Linotype" w:eastAsia="Palatino Linotype" w:hAnsi="Palatino Linotype" w:cs="Palatino Linotype"/>
          <w:b/>
          <w:i/>
          <w:sz w:val="22"/>
          <w:szCs w:val="22"/>
        </w:rPr>
        <w:t xml:space="preserve">se debe señalar el artículo, fracción, inciso, párrafo o numeral de la ley o tratado internacional suscrito por el Estado mexicano que expresamente le otorga el </w:t>
      </w:r>
      <w:r w:rsidRPr="00882FED">
        <w:rPr>
          <w:rFonts w:ascii="Palatino Linotype" w:eastAsia="Palatino Linotype" w:hAnsi="Palatino Linotype" w:cs="Palatino Linotype"/>
          <w:b/>
          <w:i/>
          <w:sz w:val="22"/>
          <w:szCs w:val="22"/>
          <w:u w:val="single"/>
        </w:rPr>
        <w:t>carácter</w:t>
      </w:r>
      <w:r w:rsidRPr="00882FED">
        <w:rPr>
          <w:rFonts w:ascii="Palatino Linotype" w:eastAsia="Palatino Linotype" w:hAnsi="Palatino Linotype" w:cs="Palatino Linotype"/>
          <w:b/>
          <w:i/>
          <w:sz w:val="22"/>
          <w:szCs w:val="22"/>
        </w:rPr>
        <w:t xml:space="preserve"> de reservada o </w:t>
      </w:r>
      <w:r w:rsidRPr="00882FED">
        <w:rPr>
          <w:rFonts w:ascii="Palatino Linotype" w:eastAsia="Palatino Linotype" w:hAnsi="Palatino Linotype" w:cs="Palatino Linotype"/>
          <w:b/>
          <w:i/>
          <w:sz w:val="22"/>
          <w:szCs w:val="22"/>
          <w:u w:val="single"/>
        </w:rPr>
        <w:t>confidencial</w:t>
      </w:r>
      <w:r w:rsidRPr="00882FED">
        <w:rPr>
          <w:rFonts w:ascii="Palatino Linotype" w:eastAsia="Palatino Linotype" w:hAnsi="Palatino Linotype" w:cs="Palatino Linotype"/>
          <w:b/>
          <w:i/>
          <w:sz w:val="22"/>
          <w:szCs w:val="22"/>
        </w:rPr>
        <w:t>.</w:t>
      </w:r>
    </w:p>
    <w:p w:rsidR="00E45B85" w:rsidRPr="00882FED" w:rsidRDefault="003D2527">
      <w:pPr>
        <w:spacing w:before="120" w:after="120"/>
        <w:ind w:left="851" w:right="900"/>
        <w:jc w:val="both"/>
        <w:rPr>
          <w:rFonts w:ascii="Palatino Linotype" w:eastAsia="Palatino Linotype" w:hAnsi="Palatino Linotype" w:cs="Palatino Linotype"/>
          <w:b/>
          <w:i/>
          <w:sz w:val="22"/>
          <w:szCs w:val="22"/>
        </w:rPr>
      </w:pPr>
      <w:r w:rsidRPr="00882FED">
        <w:rPr>
          <w:rFonts w:ascii="Palatino Linotype" w:eastAsia="Palatino Linotype" w:hAnsi="Palatino Linotype" w:cs="Palatino Linotype"/>
          <w:i/>
          <w:sz w:val="22"/>
          <w:szCs w:val="22"/>
        </w:rPr>
        <w:t xml:space="preserve">Para motivar la clasificación </w:t>
      </w:r>
      <w:r w:rsidRPr="00882FED">
        <w:rPr>
          <w:rFonts w:ascii="Palatino Linotype" w:eastAsia="Palatino Linotype" w:hAnsi="Palatino Linotype" w:cs="Palatino Linotype"/>
          <w:b/>
          <w:i/>
          <w:sz w:val="22"/>
          <w:szCs w:val="22"/>
        </w:rPr>
        <w:t>se deberán señalar las razones o circunstancias especiales que lo llevaron a concluir que el caso particular se ajusta al supuesto previsto por la norma legal invocada como fundamento.</w:t>
      </w:r>
    </w:p>
    <w:p w:rsidR="00E45B85" w:rsidRPr="00882FED" w:rsidRDefault="003D2527">
      <w:pPr>
        <w:spacing w:before="120" w:after="120"/>
        <w:ind w:left="851" w:right="900"/>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E45B85" w:rsidRPr="00882FED" w:rsidRDefault="003D2527">
      <w:pPr>
        <w:spacing w:before="120" w:after="120"/>
        <w:ind w:left="851" w:right="900"/>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E45B85" w:rsidRPr="00882FED" w:rsidRDefault="003D2527">
      <w:pPr>
        <w:spacing w:before="120" w:after="120"/>
        <w:ind w:left="851" w:right="900"/>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lastRenderedPageBreak/>
        <w:t>Asimismo, sirve de sustento a lo anterior, la Tesis jurisprudencial número I.4º.A. J/43, publicada en el Semanario Judicial de la Federación y su Gaceta, bajo el número de registro 175,082; que a la letra dice:</w:t>
      </w:r>
    </w:p>
    <w:p w:rsidR="00E45B85" w:rsidRPr="00882FED" w:rsidRDefault="00E45B85">
      <w:pPr>
        <w:spacing w:line="360" w:lineRule="auto"/>
        <w:jc w:val="both"/>
        <w:rPr>
          <w:rFonts w:ascii="Palatino Linotype" w:eastAsia="Palatino Linotype" w:hAnsi="Palatino Linotype" w:cs="Palatino Linotype"/>
          <w:sz w:val="10"/>
          <w:szCs w:val="10"/>
        </w:rPr>
      </w:pPr>
    </w:p>
    <w:p w:rsidR="00E45B85" w:rsidRPr="00882FED" w:rsidRDefault="003D2527">
      <w:pPr>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w:t>
      </w:r>
      <w:r w:rsidRPr="00882FED">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 </w:t>
      </w:r>
      <w:r w:rsidRPr="00882FED">
        <w:rPr>
          <w:rFonts w:ascii="Palatino Linotype" w:eastAsia="Palatino Linotype" w:hAnsi="Palatino Linotype" w:cs="Palatino Linotype"/>
          <w:i/>
          <w:sz w:val="22"/>
          <w:szCs w:val="22"/>
        </w:rPr>
        <w:t>El contenido formal de la garantía de legalidad prevista en el artículo 16 constitucional relativa a la fundamentación y motivación tiene como propósito primordial y ratio que el justiciable </w:t>
      </w:r>
      <w:r w:rsidRPr="00882FED">
        <w:rPr>
          <w:rFonts w:ascii="Palatino Linotype" w:eastAsia="Palatino Linotype" w:hAnsi="Palatino Linotype" w:cs="Palatino Linotype"/>
          <w:b/>
          <w:i/>
          <w:sz w:val="22"/>
          <w:szCs w:val="22"/>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2FED">
        <w:rPr>
          <w:rFonts w:ascii="Palatino Linotype" w:eastAsia="Palatino Linotype" w:hAnsi="Palatino Linotype" w:cs="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2FED">
        <w:rPr>
          <w:rFonts w:ascii="Palatino Linotype" w:eastAsia="Palatino Linotype" w:hAnsi="Palatino Linotype" w:cs="Palatino Linotype"/>
          <w:b/>
          <w:i/>
          <w:sz w:val="22"/>
          <w:szCs w:val="22"/>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2FED">
        <w:rPr>
          <w:rFonts w:ascii="Palatino Linotype" w:eastAsia="Palatino Linotype" w:hAnsi="Palatino Linotype" w:cs="Palatino Linotype"/>
          <w:i/>
          <w:sz w:val="22"/>
          <w:szCs w:val="22"/>
        </w:rPr>
        <w:t> del que se deduzca la relación de pertenencia lógica de los hechos al derecho invocado, que es la subsunción.”</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En el caso que nos ocupa, el </w:t>
      </w:r>
      <w:r w:rsidRPr="00882FED">
        <w:rPr>
          <w:rFonts w:ascii="Palatino Linotype" w:eastAsia="Palatino Linotype" w:hAnsi="Palatino Linotype" w:cs="Palatino Linotype"/>
          <w:b/>
        </w:rPr>
        <w:t xml:space="preserve">Sujeto Obligado </w:t>
      </w:r>
      <w:r w:rsidRPr="00882FED">
        <w:rPr>
          <w:rFonts w:ascii="Palatino Linotype" w:eastAsia="Palatino Linotype" w:hAnsi="Palatino Linotype" w:cs="Palatino Linotype"/>
        </w:rPr>
        <w:t xml:space="preserve">clasificó a través del Acuerdo CTSDS-EXT-014/2022, como datos confidenciales, el domicilio en el Estado de México, teléfono, telefax, correo electrónico y firma y rúbrica de los representantes legales de las empresas proveedoras de los productos adquiridos, contenidos en el contrato número CB/A/5/2021, relacionado con la compra de la productos incluidos en la canasta alimentaria de los Programas de Desarrollo Social “Familias Fuertes Canasta EDOMEX” y “Familias Fuertes Apoyo a Personas Adultas Mayores, sin embargo, si </w:t>
      </w:r>
      <w:r w:rsidRPr="00882FED">
        <w:rPr>
          <w:rFonts w:ascii="Palatino Linotype" w:eastAsia="Palatino Linotype" w:hAnsi="Palatino Linotype" w:cs="Palatino Linotype"/>
        </w:rPr>
        <w:lastRenderedPageBreak/>
        <w:t>bien dicha propuesta se sometió a consideración del referido Comité, y este aprobó la clasificaci</w:t>
      </w:r>
      <w:r w:rsidR="00B55E8F" w:rsidRPr="00882FED">
        <w:rPr>
          <w:rFonts w:ascii="Palatino Linotype" w:eastAsia="Palatino Linotype" w:hAnsi="Palatino Linotype" w:cs="Palatino Linotype"/>
        </w:rPr>
        <w:t>ón a través del Acta de Décimo C</w:t>
      </w:r>
      <w:r w:rsidRPr="00882FED">
        <w:rPr>
          <w:rFonts w:ascii="Palatino Linotype" w:eastAsia="Palatino Linotype" w:hAnsi="Palatino Linotype" w:cs="Palatino Linotype"/>
        </w:rPr>
        <w:t>uarta Sesión Extraordinaria número CTSDS-ACTA-EXT-014/2022, del análisis efectuado por este Organismo Garante conforme a las formalidades establecidas en el marco jurídico aplicable, se concluyó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5245"/>
        <w:gridCol w:w="1320"/>
      </w:tblGrid>
      <w:tr w:rsidR="00882FED" w:rsidRPr="00882FED">
        <w:tc>
          <w:tcPr>
            <w:tcW w:w="2263" w:type="dxa"/>
            <w:vAlign w:val="center"/>
          </w:tcPr>
          <w:p w:rsidR="00E45B85" w:rsidRPr="00882FED" w:rsidRDefault="003D2527">
            <w:pPr>
              <w:jc w:val="center"/>
              <w:rPr>
                <w:rFonts w:ascii="Palatino Linotype" w:eastAsia="Palatino Linotype" w:hAnsi="Palatino Linotype" w:cs="Palatino Linotype"/>
                <w:b/>
                <w:sz w:val="20"/>
                <w:szCs w:val="20"/>
              </w:rPr>
            </w:pPr>
            <w:r w:rsidRPr="00882FED">
              <w:rPr>
                <w:rFonts w:ascii="Palatino Linotype" w:eastAsia="Palatino Linotype" w:hAnsi="Palatino Linotype" w:cs="Palatino Linotype"/>
                <w:b/>
                <w:sz w:val="20"/>
                <w:szCs w:val="20"/>
              </w:rPr>
              <w:t>REQUISITOS</w:t>
            </w:r>
          </w:p>
        </w:tc>
        <w:tc>
          <w:tcPr>
            <w:tcW w:w="5245" w:type="dxa"/>
            <w:vAlign w:val="center"/>
          </w:tcPr>
          <w:p w:rsidR="00E45B85" w:rsidRPr="00882FED" w:rsidRDefault="003D2527">
            <w:pPr>
              <w:jc w:val="center"/>
              <w:rPr>
                <w:rFonts w:ascii="Palatino Linotype" w:eastAsia="Palatino Linotype" w:hAnsi="Palatino Linotype" w:cs="Palatino Linotype"/>
                <w:b/>
                <w:sz w:val="20"/>
                <w:szCs w:val="20"/>
              </w:rPr>
            </w:pPr>
            <w:r w:rsidRPr="00882FED">
              <w:rPr>
                <w:rFonts w:ascii="Palatino Linotype" w:eastAsia="Palatino Linotype" w:hAnsi="Palatino Linotype" w:cs="Palatino Linotype"/>
                <w:b/>
                <w:sz w:val="20"/>
                <w:szCs w:val="20"/>
              </w:rPr>
              <w:t>ACUERDO</w:t>
            </w:r>
          </w:p>
        </w:tc>
        <w:tc>
          <w:tcPr>
            <w:tcW w:w="1320" w:type="dxa"/>
            <w:vAlign w:val="center"/>
          </w:tcPr>
          <w:p w:rsidR="00E45B85" w:rsidRPr="00882FED" w:rsidRDefault="003D2527">
            <w:pPr>
              <w:jc w:val="center"/>
              <w:rPr>
                <w:rFonts w:ascii="Palatino Linotype" w:eastAsia="Palatino Linotype" w:hAnsi="Palatino Linotype" w:cs="Palatino Linotype"/>
                <w:b/>
                <w:sz w:val="20"/>
                <w:szCs w:val="20"/>
              </w:rPr>
            </w:pPr>
            <w:r w:rsidRPr="00882FED">
              <w:rPr>
                <w:rFonts w:ascii="Palatino Linotype" w:eastAsia="Palatino Linotype" w:hAnsi="Palatino Linotype" w:cs="Palatino Linotype"/>
                <w:b/>
                <w:sz w:val="20"/>
                <w:szCs w:val="20"/>
              </w:rPr>
              <w:t>¿CUMPLE?</w:t>
            </w:r>
          </w:p>
        </w:tc>
      </w:tr>
      <w:tr w:rsidR="00882FED" w:rsidRPr="00882FED">
        <w:tc>
          <w:tcPr>
            <w:tcW w:w="2263" w:type="dxa"/>
            <w:vAlign w:val="center"/>
          </w:tcPr>
          <w:p w:rsidR="00E45B85" w:rsidRPr="00882FED" w:rsidRDefault="003D2527">
            <w:pPr>
              <w:widowControl w:val="0"/>
              <w:jc w:val="center"/>
              <w:rPr>
                <w:rFonts w:ascii="Palatino Linotype" w:eastAsia="Palatino Linotype" w:hAnsi="Palatino Linotype" w:cs="Palatino Linotype"/>
                <w:sz w:val="20"/>
                <w:szCs w:val="20"/>
              </w:rPr>
            </w:pPr>
            <w:r w:rsidRPr="00882FED">
              <w:rPr>
                <w:rFonts w:ascii="Palatino Linotype" w:eastAsia="Palatino Linotype" w:hAnsi="Palatino Linotype" w:cs="Palatino Linotype"/>
                <w:sz w:val="20"/>
                <w:szCs w:val="20"/>
              </w:rPr>
              <w:t>Número de solicitud de información</w:t>
            </w:r>
          </w:p>
        </w:tc>
        <w:tc>
          <w:tcPr>
            <w:tcW w:w="5245" w:type="dxa"/>
            <w:vAlign w:val="center"/>
          </w:tcPr>
          <w:p w:rsidR="00E45B85" w:rsidRPr="00882FED" w:rsidRDefault="003D2527">
            <w:pPr>
              <w:spacing w:before="240" w:after="240" w:line="360" w:lineRule="auto"/>
              <w:jc w:val="center"/>
              <w:rPr>
                <w:rFonts w:ascii="Palatino Linotype" w:eastAsia="Palatino Linotype" w:hAnsi="Palatino Linotype" w:cs="Palatino Linotype"/>
              </w:rPr>
            </w:pPr>
            <w:r w:rsidRPr="00882FED">
              <w:object w:dxaOrig="502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18pt" o:ole="">
                  <v:imagedata r:id="rId33" o:title=""/>
                </v:shape>
                <o:OLEObject Type="Embed" ProgID="PBrush" ShapeID="_x0000_i1025" DrawAspect="Content" ObjectID="_1728986842" r:id="rId34"/>
              </w:object>
            </w:r>
          </w:p>
        </w:tc>
        <w:tc>
          <w:tcPr>
            <w:tcW w:w="1320" w:type="dxa"/>
            <w:vAlign w:val="center"/>
          </w:tcPr>
          <w:p w:rsidR="00E45B85" w:rsidRPr="00882FED" w:rsidRDefault="003D2527">
            <w:pPr>
              <w:spacing w:before="240" w:after="240" w:line="360" w:lineRule="auto"/>
              <w:jc w:val="center"/>
              <w:rPr>
                <w:rFonts w:ascii="Palatino Linotype" w:eastAsia="Palatino Linotype" w:hAnsi="Palatino Linotype" w:cs="Palatino Linotype"/>
                <w:b/>
                <w:sz w:val="20"/>
                <w:szCs w:val="20"/>
              </w:rPr>
            </w:pPr>
            <w:r w:rsidRPr="00882FED">
              <w:rPr>
                <w:rFonts w:ascii="Palatino Linotype" w:eastAsia="Palatino Linotype" w:hAnsi="Palatino Linotype" w:cs="Palatino Linotype"/>
                <w:b/>
                <w:sz w:val="20"/>
                <w:szCs w:val="20"/>
              </w:rPr>
              <w:t>SI</w:t>
            </w:r>
          </w:p>
        </w:tc>
      </w:tr>
      <w:tr w:rsidR="00882FED" w:rsidRPr="00882FED">
        <w:tc>
          <w:tcPr>
            <w:tcW w:w="2263" w:type="dxa"/>
            <w:vAlign w:val="center"/>
          </w:tcPr>
          <w:p w:rsidR="00E45B85" w:rsidRPr="00882FED" w:rsidRDefault="003D2527">
            <w:pPr>
              <w:widowControl w:val="0"/>
              <w:jc w:val="center"/>
              <w:rPr>
                <w:rFonts w:ascii="Palatino Linotype" w:eastAsia="Palatino Linotype" w:hAnsi="Palatino Linotype" w:cs="Palatino Linotype"/>
                <w:sz w:val="20"/>
                <w:szCs w:val="20"/>
              </w:rPr>
            </w:pPr>
            <w:r w:rsidRPr="00882FED">
              <w:rPr>
                <w:rFonts w:ascii="Palatino Linotype" w:eastAsia="Palatino Linotype" w:hAnsi="Palatino Linotype" w:cs="Palatino Linotype"/>
                <w:sz w:val="20"/>
                <w:szCs w:val="20"/>
              </w:rPr>
              <w:t>Información solicitada</w:t>
            </w:r>
          </w:p>
        </w:tc>
        <w:tc>
          <w:tcPr>
            <w:tcW w:w="5245" w:type="dxa"/>
            <w:vAlign w:val="center"/>
          </w:tcPr>
          <w:p w:rsidR="00E45B85" w:rsidRPr="00882FED" w:rsidRDefault="003D2527">
            <w:pPr>
              <w:spacing w:before="240" w:after="240" w:line="360" w:lineRule="auto"/>
              <w:jc w:val="center"/>
              <w:rPr>
                <w:rFonts w:ascii="Palatino Linotype" w:eastAsia="Palatino Linotype" w:hAnsi="Palatino Linotype" w:cs="Palatino Linotype"/>
              </w:rPr>
            </w:pPr>
            <w:r w:rsidRPr="00882FED">
              <w:object w:dxaOrig="5025" w:dyaOrig="660">
                <v:shape id="_x0000_i1026" type="#_x0000_t75" style="width:252.75pt;height:33pt" o:ole="">
                  <v:imagedata r:id="rId35" o:title=""/>
                </v:shape>
                <o:OLEObject Type="Embed" ProgID="PBrush" ShapeID="_x0000_i1026" DrawAspect="Content" ObjectID="_1728986843" r:id="rId36"/>
              </w:object>
            </w:r>
          </w:p>
        </w:tc>
        <w:tc>
          <w:tcPr>
            <w:tcW w:w="1320" w:type="dxa"/>
            <w:vAlign w:val="center"/>
          </w:tcPr>
          <w:p w:rsidR="00E45B85" w:rsidRPr="00882FED" w:rsidRDefault="003D2527">
            <w:pPr>
              <w:spacing w:before="240" w:after="240" w:line="360" w:lineRule="auto"/>
              <w:jc w:val="center"/>
              <w:rPr>
                <w:rFonts w:ascii="Palatino Linotype" w:eastAsia="Palatino Linotype" w:hAnsi="Palatino Linotype" w:cs="Palatino Linotype"/>
                <w:sz w:val="20"/>
                <w:szCs w:val="20"/>
              </w:rPr>
            </w:pPr>
            <w:r w:rsidRPr="00882FED">
              <w:rPr>
                <w:rFonts w:ascii="Palatino Linotype" w:eastAsia="Palatino Linotype" w:hAnsi="Palatino Linotype" w:cs="Palatino Linotype"/>
                <w:b/>
                <w:sz w:val="20"/>
                <w:szCs w:val="20"/>
              </w:rPr>
              <w:t>SI</w:t>
            </w:r>
          </w:p>
        </w:tc>
      </w:tr>
      <w:tr w:rsidR="00882FED" w:rsidRPr="00882FED">
        <w:tc>
          <w:tcPr>
            <w:tcW w:w="2263" w:type="dxa"/>
            <w:vAlign w:val="center"/>
          </w:tcPr>
          <w:p w:rsidR="00E45B85" w:rsidRPr="00882FED" w:rsidRDefault="003D2527">
            <w:pPr>
              <w:widowControl w:val="0"/>
              <w:jc w:val="center"/>
              <w:rPr>
                <w:rFonts w:ascii="Palatino Linotype" w:eastAsia="Palatino Linotype" w:hAnsi="Palatino Linotype" w:cs="Palatino Linotype"/>
                <w:sz w:val="20"/>
                <w:szCs w:val="20"/>
              </w:rPr>
            </w:pPr>
            <w:r w:rsidRPr="00882FED">
              <w:rPr>
                <w:rFonts w:ascii="Palatino Linotype" w:eastAsia="Palatino Linotype" w:hAnsi="Palatino Linotype" w:cs="Palatino Linotype"/>
                <w:sz w:val="20"/>
                <w:szCs w:val="20"/>
              </w:rPr>
              <w:t>Razonamiento lógico que demuestre que la información se</w:t>
            </w:r>
          </w:p>
          <w:p w:rsidR="00E45B85" w:rsidRPr="00882FED" w:rsidRDefault="003D2527">
            <w:pPr>
              <w:widowControl w:val="0"/>
              <w:jc w:val="center"/>
              <w:rPr>
                <w:rFonts w:ascii="Palatino Linotype" w:eastAsia="Palatino Linotype" w:hAnsi="Palatino Linotype" w:cs="Palatino Linotype"/>
                <w:sz w:val="20"/>
                <w:szCs w:val="20"/>
              </w:rPr>
            </w:pPr>
            <w:proofErr w:type="gramStart"/>
            <w:r w:rsidRPr="00882FED">
              <w:rPr>
                <w:rFonts w:ascii="Palatino Linotype" w:eastAsia="Palatino Linotype" w:hAnsi="Palatino Linotype" w:cs="Palatino Linotype"/>
                <w:sz w:val="20"/>
                <w:szCs w:val="20"/>
              </w:rPr>
              <w:t>encuentra</w:t>
            </w:r>
            <w:proofErr w:type="gramEnd"/>
            <w:r w:rsidRPr="00882FED">
              <w:rPr>
                <w:rFonts w:ascii="Palatino Linotype" w:eastAsia="Palatino Linotype" w:hAnsi="Palatino Linotype" w:cs="Palatino Linotype"/>
                <w:sz w:val="20"/>
                <w:szCs w:val="20"/>
              </w:rPr>
              <w:t xml:space="preserve"> en la hipótesis prevista en el artículo 143, Fracción I de la Ley.</w:t>
            </w:r>
          </w:p>
          <w:p w:rsidR="00E45B85" w:rsidRPr="00882FED" w:rsidRDefault="00E45B85">
            <w:pPr>
              <w:widowControl w:val="0"/>
              <w:jc w:val="center"/>
              <w:rPr>
                <w:rFonts w:ascii="Palatino Linotype" w:eastAsia="Palatino Linotype" w:hAnsi="Palatino Linotype" w:cs="Palatino Linotype"/>
                <w:sz w:val="20"/>
                <w:szCs w:val="20"/>
              </w:rPr>
            </w:pPr>
          </w:p>
        </w:tc>
        <w:tc>
          <w:tcPr>
            <w:tcW w:w="5245" w:type="dxa"/>
            <w:vAlign w:val="center"/>
          </w:tcPr>
          <w:p w:rsidR="00E45B85" w:rsidRPr="00882FED" w:rsidRDefault="003D2527">
            <w:pPr>
              <w:spacing w:before="240" w:after="240" w:line="360" w:lineRule="auto"/>
              <w:jc w:val="both"/>
            </w:pPr>
            <w:r w:rsidRPr="00882FED">
              <w:object w:dxaOrig="5025" w:dyaOrig="2085">
                <v:shape id="_x0000_i1027" type="#_x0000_t75" style="width:252.75pt;height:104.25pt" o:ole="">
                  <v:imagedata r:id="rId37" o:title=""/>
                </v:shape>
                <o:OLEObject Type="Embed" ProgID="PBrush" ShapeID="_x0000_i1027" DrawAspect="Content" ObjectID="_1728986844" r:id="rId38"/>
              </w:object>
            </w:r>
          </w:p>
          <w:p w:rsidR="00E45B85" w:rsidRPr="00882FED" w:rsidRDefault="003D2527">
            <w:pPr>
              <w:spacing w:before="240" w:after="240" w:line="360" w:lineRule="auto"/>
              <w:jc w:val="both"/>
            </w:pPr>
            <w:r w:rsidRPr="00882FED">
              <w:object w:dxaOrig="5025" w:dyaOrig="1230">
                <v:shape id="_x0000_i1028" type="#_x0000_t75" style="width:252.75pt;height:60.75pt" o:ole="">
                  <v:imagedata r:id="rId39" o:title=""/>
                </v:shape>
                <o:OLEObject Type="Embed" ProgID="PBrush" ShapeID="_x0000_i1028" DrawAspect="Content" ObjectID="_1728986845" r:id="rId40"/>
              </w:object>
            </w:r>
          </w:p>
          <w:p w:rsidR="00E45B85" w:rsidRPr="00882FED" w:rsidRDefault="003D2527">
            <w:pPr>
              <w:spacing w:before="240" w:after="240" w:line="360" w:lineRule="auto"/>
              <w:jc w:val="both"/>
            </w:pPr>
            <w:r w:rsidRPr="00882FED">
              <w:object w:dxaOrig="5025" w:dyaOrig="5325">
                <v:shape id="_x0000_i1029" type="#_x0000_t75" style="width:252.75pt;height:266.25pt" o:ole="">
                  <v:imagedata r:id="rId41" o:title=""/>
                </v:shape>
                <o:OLEObject Type="Embed" ProgID="PBrush" ShapeID="_x0000_i1029" DrawAspect="Content" ObjectID="_1728986846" r:id="rId42"/>
              </w:object>
            </w:r>
          </w:p>
          <w:p w:rsidR="00E45B85" w:rsidRPr="00882FED" w:rsidRDefault="003D2527">
            <w:pPr>
              <w:spacing w:before="240" w:after="240" w:line="360" w:lineRule="auto"/>
              <w:jc w:val="both"/>
            </w:pPr>
            <w:r w:rsidRPr="00882FED">
              <w:object w:dxaOrig="5025" w:dyaOrig="2685">
                <v:shape id="_x0000_i1030" type="#_x0000_t75" style="width:252.75pt;height:134.25pt" o:ole="">
                  <v:imagedata r:id="rId43" o:title=""/>
                </v:shape>
                <o:OLEObject Type="Embed" ProgID="PBrush" ShapeID="_x0000_i1030" DrawAspect="Content" ObjectID="_1728986847" r:id="rId44"/>
              </w:object>
            </w:r>
          </w:p>
        </w:tc>
        <w:tc>
          <w:tcPr>
            <w:tcW w:w="1320" w:type="dxa"/>
            <w:vAlign w:val="center"/>
          </w:tcPr>
          <w:p w:rsidR="00E45B85" w:rsidRPr="00882FED" w:rsidRDefault="003D2527">
            <w:pPr>
              <w:spacing w:before="240" w:after="240" w:line="360" w:lineRule="auto"/>
              <w:jc w:val="center"/>
              <w:rPr>
                <w:rFonts w:ascii="Palatino Linotype" w:eastAsia="Palatino Linotype" w:hAnsi="Palatino Linotype" w:cs="Palatino Linotype"/>
                <w:b/>
                <w:sz w:val="12"/>
                <w:szCs w:val="12"/>
              </w:rPr>
            </w:pPr>
            <w:r w:rsidRPr="00882FED">
              <w:rPr>
                <w:rFonts w:ascii="Palatino Linotype" w:eastAsia="Palatino Linotype" w:hAnsi="Palatino Linotype" w:cs="Palatino Linotype"/>
                <w:b/>
                <w:sz w:val="12"/>
                <w:szCs w:val="12"/>
              </w:rPr>
              <w:lastRenderedPageBreak/>
              <w:t>PARCIALMENTE</w:t>
            </w:r>
          </w:p>
          <w:p w:rsidR="00E45B85" w:rsidRPr="00882FED" w:rsidRDefault="003D2527">
            <w:pPr>
              <w:spacing w:before="240" w:after="240"/>
              <w:jc w:val="center"/>
              <w:rPr>
                <w:rFonts w:ascii="Palatino Linotype" w:eastAsia="Palatino Linotype" w:hAnsi="Palatino Linotype" w:cs="Palatino Linotype"/>
                <w:sz w:val="18"/>
                <w:szCs w:val="18"/>
              </w:rPr>
            </w:pPr>
            <w:r w:rsidRPr="00882FED">
              <w:rPr>
                <w:rFonts w:ascii="Palatino Linotype" w:eastAsia="Palatino Linotype" w:hAnsi="Palatino Linotype" w:cs="Palatino Linotype"/>
                <w:sz w:val="18"/>
                <w:szCs w:val="18"/>
              </w:rPr>
              <w:t xml:space="preserve">En virtud de que si bien se señala como fundamento el artículo 143, fracción I de la Ley de la Materia, </w:t>
            </w:r>
            <w:r w:rsidRPr="00882FED">
              <w:rPr>
                <w:rFonts w:ascii="Palatino Linotype" w:eastAsia="Palatino Linotype" w:hAnsi="Palatino Linotype" w:cs="Palatino Linotype"/>
                <w:b/>
                <w:sz w:val="18"/>
                <w:szCs w:val="18"/>
              </w:rPr>
              <w:t>no motivó el por qué el caso concreto se ajustaba a la norma jurídica legal invocada</w:t>
            </w:r>
            <w:r w:rsidRPr="00882FED">
              <w:rPr>
                <w:rFonts w:ascii="Palatino Linotype" w:eastAsia="Palatino Linotype" w:hAnsi="Palatino Linotype" w:cs="Palatino Linotype"/>
                <w:sz w:val="18"/>
                <w:szCs w:val="18"/>
              </w:rPr>
              <w:t>.</w:t>
            </w:r>
          </w:p>
        </w:tc>
      </w:tr>
      <w:tr w:rsidR="00882FED" w:rsidRPr="00882FED">
        <w:tc>
          <w:tcPr>
            <w:tcW w:w="2263" w:type="dxa"/>
            <w:vAlign w:val="center"/>
          </w:tcPr>
          <w:p w:rsidR="00E45B85" w:rsidRPr="00882FED" w:rsidRDefault="003D2527">
            <w:pPr>
              <w:widowControl w:val="0"/>
              <w:jc w:val="center"/>
              <w:rPr>
                <w:rFonts w:ascii="Palatino Linotype" w:eastAsia="Palatino Linotype" w:hAnsi="Palatino Linotype" w:cs="Palatino Linotype"/>
                <w:sz w:val="20"/>
                <w:szCs w:val="20"/>
              </w:rPr>
            </w:pPr>
            <w:r w:rsidRPr="00882FED">
              <w:rPr>
                <w:rFonts w:ascii="Palatino Linotype" w:eastAsia="Palatino Linotype" w:hAnsi="Palatino Linotype" w:cs="Palatino Linotype"/>
                <w:sz w:val="20"/>
                <w:szCs w:val="20"/>
              </w:rPr>
              <w:lastRenderedPageBreak/>
              <w:t>Nombres y firmas de los integrantes del Comité</w:t>
            </w:r>
          </w:p>
        </w:tc>
        <w:tc>
          <w:tcPr>
            <w:tcW w:w="5245" w:type="dxa"/>
            <w:vAlign w:val="center"/>
          </w:tcPr>
          <w:p w:rsidR="00E45B85" w:rsidRPr="00882FED" w:rsidRDefault="003D2527">
            <w:pPr>
              <w:spacing w:before="240" w:after="240" w:line="360" w:lineRule="auto"/>
              <w:jc w:val="center"/>
            </w:pPr>
            <w:r w:rsidRPr="00882FED">
              <w:object w:dxaOrig="5025" w:dyaOrig="1965">
                <v:shape id="_x0000_i1031" type="#_x0000_t75" style="width:252.75pt;height:97.5pt" o:ole="">
                  <v:imagedata r:id="rId45" o:title=""/>
                </v:shape>
                <o:OLEObject Type="Embed" ProgID="PBrush" ShapeID="_x0000_i1031" DrawAspect="Content" ObjectID="_1728986848" r:id="rId46"/>
              </w:object>
            </w:r>
          </w:p>
          <w:p w:rsidR="00E45B85" w:rsidRPr="00882FED" w:rsidRDefault="003D2527">
            <w:pPr>
              <w:spacing w:before="240" w:after="240" w:line="360" w:lineRule="auto"/>
              <w:jc w:val="center"/>
            </w:pPr>
            <w:r w:rsidRPr="00882FED">
              <w:object w:dxaOrig="5025" w:dyaOrig="4200">
                <v:shape id="_x0000_i1032" type="#_x0000_t75" style="width:252.75pt;height:209.25pt" o:ole="">
                  <v:imagedata r:id="rId47" o:title=""/>
                </v:shape>
                <o:OLEObject Type="Embed" ProgID="PBrush" ShapeID="_x0000_i1032" DrawAspect="Content" ObjectID="_1728986849" r:id="rId48"/>
              </w:object>
            </w:r>
          </w:p>
        </w:tc>
        <w:tc>
          <w:tcPr>
            <w:tcW w:w="1320" w:type="dxa"/>
            <w:vAlign w:val="center"/>
          </w:tcPr>
          <w:p w:rsidR="00E45B85" w:rsidRPr="00882FED" w:rsidRDefault="003D2527">
            <w:pPr>
              <w:spacing w:before="240" w:after="240" w:line="360" w:lineRule="auto"/>
              <w:jc w:val="center"/>
              <w:rPr>
                <w:rFonts w:ascii="Palatino Linotype" w:eastAsia="Palatino Linotype" w:hAnsi="Palatino Linotype" w:cs="Palatino Linotype"/>
                <w:b/>
                <w:sz w:val="20"/>
                <w:szCs w:val="20"/>
              </w:rPr>
            </w:pPr>
            <w:r w:rsidRPr="00882FED">
              <w:rPr>
                <w:rFonts w:ascii="Palatino Linotype" w:eastAsia="Palatino Linotype" w:hAnsi="Palatino Linotype" w:cs="Palatino Linotype"/>
                <w:b/>
                <w:sz w:val="12"/>
                <w:szCs w:val="12"/>
              </w:rPr>
              <w:t>SI</w:t>
            </w:r>
          </w:p>
        </w:tc>
      </w:tr>
    </w:tbl>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De la tabla anterior se advierte si bien el acuerdo remitido hace referencia al número de solicitud, la materia de la misma y contiene las firmas de los integrantes del Comité de Transparencia, respecto del razonamiento lógico referido por el </w:t>
      </w:r>
      <w:r w:rsidRPr="00882FED">
        <w:rPr>
          <w:rFonts w:ascii="Palatino Linotype" w:eastAsia="Palatino Linotype" w:hAnsi="Palatino Linotype" w:cs="Palatino Linotype"/>
          <w:b/>
        </w:rPr>
        <w:t xml:space="preserve">Sujeto Obligado </w:t>
      </w:r>
      <w:r w:rsidRPr="00882FED">
        <w:rPr>
          <w:rFonts w:ascii="Palatino Linotype" w:eastAsia="Palatino Linotype" w:hAnsi="Palatino Linotype" w:cs="Palatino Linotype"/>
        </w:rPr>
        <w:t xml:space="preserve">para clasificar los datos contenidos en el contrato número CB/A/5/2021, relacionado con la compra de la productos incluidos en la canasta alimentaria de los Programas de Desarrollo Social “Familias Fuertes Canasta EDOMEX” y “Familias Fuertes Apoyo a Personas Adultas Mayores, tales como el domicilio, teléfono, telefax, correo electrónico personal, firma y rubrica del representante legal, como </w:t>
      </w:r>
      <w:r w:rsidRPr="00882FED">
        <w:rPr>
          <w:rFonts w:ascii="Palatino Linotype" w:eastAsia="Palatino Linotype" w:hAnsi="Palatino Linotype" w:cs="Palatino Linotype"/>
        </w:rPr>
        <w:lastRenderedPageBreak/>
        <w:t xml:space="preserve">confidenciales, se concluyó que el mismo se centra en justificar la restricción del derecho de acceso a la información a los datos señalados al considerar que son datos personales cuya divulgación pudiera afectar la esfera más íntima de una persona física identificada o identificable, sin embargo, es de señalar que en dicha acta no se expusieron, de manera fundada y motivada las razones por las cuales dichos datos,  actualizaban, de manera particular,  el supuesto legal invocado en el caso que nos ocupa. </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Lo anterior se afirma así, en virtud de que si bien por regla general, datos como el domicilio, teléfono, telefax, correo electrónico personal y firma, constituyen datos personales que deben ser protegidos mediante la clasificación como información confidencial, toda vez que el derecho de acceso a la información pública tiene como limitante el respeto a la intimidad y a la vida privada de las personas, en el caso concreto, no debe perderse de vista que la titularidad de los mismos pudiera</w:t>
      </w:r>
      <w:r w:rsidR="007038F6" w:rsidRPr="00882FED">
        <w:rPr>
          <w:rFonts w:ascii="Palatino Linotype" w:eastAsia="Palatino Linotype" w:hAnsi="Palatino Linotype" w:cs="Palatino Linotype"/>
        </w:rPr>
        <w:t xml:space="preserve"> corresponder a personas jurídico colectivas</w:t>
      </w:r>
      <w:r w:rsidRPr="00882FED">
        <w:rPr>
          <w:rFonts w:ascii="Palatino Linotype" w:eastAsia="Palatino Linotype" w:hAnsi="Palatino Linotype" w:cs="Palatino Linotype"/>
        </w:rPr>
        <w:t xml:space="preserve"> con las cuales el </w:t>
      </w:r>
      <w:r w:rsidRPr="00882FED">
        <w:rPr>
          <w:rFonts w:ascii="Palatino Linotype" w:eastAsia="Palatino Linotype" w:hAnsi="Palatino Linotype" w:cs="Palatino Linotype"/>
          <w:b/>
        </w:rPr>
        <w:t>Sujeto Obligado</w:t>
      </w:r>
      <w:r w:rsidR="007038F6" w:rsidRPr="00882FED">
        <w:rPr>
          <w:rFonts w:ascii="Palatino Linotype" w:eastAsia="Palatino Linotype" w:hAnsi="Palatino Linotype" w:cs="Palatino Linotype"/>
        </w:rPr>
        <w:t xml:space="preserve"> entabló</w:t>
      </w:r>
      <w:r w:rsidRPr="00882FED">
        <w:rPr>
          <w:rFonts w:ascii="Palatino Linotype" w:eastAsia="Palatino Linotype" w:hAnsi="Palatino Linotype" w:cs="Palatino Linotype"/>
        </w:rPr>
        <w:t xml:space="preserve"> una relación contractual que implica la erogación de recursos públicos.</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En otras palabras, el objeto del contrato número CB/A/5/2021, lo es la adquisición de productos incluidos en la canasta alimentaria de los Programas de Desarrollo Social “Familias Fuertes Canasta EDOMEX” y “Familias Fuertes Apoyo a Personas Adultas Mayores, para cuyo cumplimiento las empresas contratadas contrajeron la obligación de proveer determinados productos a cambio de una contraprestación económica, por parte del </w:t>
      </w:r>
      <w:r w:rsidRPr="00882FED">
        <w:rPr>
          <w:rFonts w:ascii="Palatino Linotype" w:eastAsia="Palatino Linotype" w:hAnsi="Palatino Linotype" w:cs="Palatino Linotype"/>
          <w:b/>
        </w:rPr>
        <w:t xml:space="preserve">Sujeto Obligado, </w:t>
      </w:r>
      <w:r w:rsidRPr="00882FED">
        <w:rPr>
          <w:rFonts w:ascii="Palatino Linotype" w:eastAsia="Palatino Linotype" w:hAnsi="Palatino Linotype" w:cs="Palatino Linotype"/>
        </w:rPr>
        <w:t>razón por la cual el contenido del contrato constituye información que es de interés público al encontrarse relacionada con la erogación de recursos provenientes del erario público, y por tanto se encuentra sujeta a rendición de cuentas por parte del ente público.</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lastRenderedPageBreak/>
        <w:t>En este orden de ideas, es imprescindible mencionar que contrato número CB/A/5/2021 deriva del procedimiento adquisitivo de la licitación pública nacional presencial número LPNP-003-20231 según las constancias que obran en el expediente electrónico, asimismo, que de conformidad con artículo 92, fracción XXIX, inciso a, numeral 7 de la Ley de Transparencia y Acceso a la Información Pública del Estado de México y Municipios, los entes públicos se encuentran obligados a poner a disposición del público de manera permanente y actualizada en sus sitios de internet, entre otra información, la relativa a los contratos derivado de los procedimientos de licitación pública que lleven  a cabo,  como se lee enseguida:</w:t>
      </w:r>
    </w:p>
    <w:p w:rsidR="00E45B85" w:rsidRPr="00882FED" w:rsidRDefault="003D2527">
      <w:pPr>
        <w:spacing w:before="120" w:after="12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 xml:space="preserve"> “Artículo 92. </w:t>
      </w:r>
      <w:r w:rsidRPr="00882FED">
        <w:rPr>
          <w:rFonts w:ascii="Palatino Linotype" w:eastAsia="Palatino Linotype" w:hAnsi="Palatino Linotype" w:cs="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XXIX.</w:t>
      </w:r>
      <w:r w:rsidRPr="00882FED">
        <w:rPr>
          <w:rFonts w:ascii="Palatino Linotype" w:eastAsia="Palatino Linotype" w:hAnsi="Palatino Linotype" w:cs="Palatino Linotype"/>
          <w:i/>
          <w:sz w:val="22"/>
          <w:szCs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w:t>
      </w:r>
    </w:p>
    <w:p w:rsidR="00E45B85" w:rsidRPr="00882FED" w:rsidRDefault="003D2527">
      <w:pPr>
        <w:spacing w:before="120" w:after="120"/>
        <w:ind w:left="1418"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a)</w:t>
      </w:r>
      <w:r w:rsidRPr="00882FED">
        <w:rPr>
          <w:rFonts w:ascii="Palatino Linotype" w:eastAsia="Palatino Linotype" w:hAnsi="Palatino Linotype" w:cs="Palatino Linotype"/>
          <w:i/>
          <w:sz w:val="22"/>
          <w:szCs w:val="22"/>
        </w:rPr>
        <w:t xml:space="preserve"> De licitaciones públicas o procedimientos de invitación restringida:</w:t>
      </w:r>
    </w:p>
    <w:p w:rsidR="00E45B85" w:rsidRPr="00882FED" w:rsidRDefault="003D2527">
      <w:pPr>
        <w:spacing w:before="120" w:after="120"/>
        <w:ind w:left="1701" w:right="902"/>
        <w:jc w:val="both"/>
        <w:rPr>
          <w:rFonts w:ascii="Palatino Linotype" w:eastAsia="Palatino Linotype" w:hAnsi="Palatino Linotype" w:cs="Palatino Linotype"/>
          <w:b/>
          <w:i/>
          <w:sz w:val="22"/>
          <w:szCs w:val="22"/>
        </w:rPr>
      </w:pPr>
      <w:r w:rsidRPr="00882FED">
        <w:rPr>
          <w:rFonts w:ascii="Palatino Linotype" w:eastAsia="Palatino Linotype" w:hAnsi="Palatino Linotype" w:cs="Palatino Linotype"/>
          <w:b/>
          <w:i/>
          <w:sz w:val="22"/>
          <w:szCs w:val="22"/>
        </w:rPr>
        <w:t>…</w:t>
      </w:r>
    </w:p>
    <w:p w:rsidR="00E45B85" w:rsidRPr="00882FED" w:rsidRDefault="003D2527">
      <w:pPr>
        <w:spacing w:before="120" w:after="120"/>
        <w:ind w:left="170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7)</w:t>
      </w:r>
      <w:r w:rsidRPr="00882FED">
        <w:rPr>
          <w:rFonts w:ascii="Palatino Linotype" w:eastAsia="Palatino Linotype" w:hAnsi="Palatino Linotype" w:cs="Palatino Linotype"/>
          <w:i/>
          <w:sz w:val="22"/>
          <w:szCs w:val="22"/>
        </w:rPr>
        <w:t xml:space="preserve"> El </w:t>
      </w:r>
      <w:r w:rsidRPr="00882FED">
        <w:rPr>
          <w:rFonts w:ascii="Palatino Linotype" w:eastAsia="Palatino Linotype" w:hAnsi="Palatino Linotype" w:cs="Palatino Linotype"/>
          <w:b/>
          <w:i/>
          <w:sz w:val="22"/>
          <w:szCs w:val="22"/>
        </w:rPr>
        <w:t>contrato</w:t>
      </w:r>
      <w:r w:rsidRPr="00882FED">
        <w:rPr>
          <w:rFonts w:ascii="Palatino Linotype" w:eastAsia="Palatino Linotype" w:hAnsi="Palatino Linotype" w:cs="Palatino Linotype"/>
          <w:i/>
          <w:sz w:val="22"/>
          <w:szCs w:val="22"/>
        </w:rPr>
        <w:t xml:space="preserve"> y, en su caso, sus anexos;”</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Ahora bien, cierto es que en la etapa de manifestaciones el </w:t>
      </w:r>
      <w:r w:rsidRPr="00882FED">
        <w:rPr>
          <w:rFonts w:ascii="Palatino Linotype" w:eastAsia="Palatino Linotype" w:hAnsi="Palatino Linotype" w:cs="Palatino Linotype"/>
          <w:b/>
        </w:rPr>
        <w:t xml:space="preserve">Sujeto Obligado </w:t>
      </w:r>
      <w:r w:rsidRPr="00882FED">
        <w:rPr>
          <w:rFonts w:ascii="Palatino Linotype" w:eastAsia="Palatino Linotype" w:hAnsi="Palatino Linotype" w:cs="Palatino Linotype"/>
        </w:rPr>
        <w:t xml:space="preserve">remitió el contrato número CB/A/5/2021, sin embargo, recordemos que testó el domicilio en el Estado de México, teléfono, telefax, correo electrónico personal, la firma y rubrica </w:t>
      </w:r>
      <w:r w:rsidRPr="00882FED">
        <w:rPr>
          <w:rFonts w:ascii="Palatino Linotype" w:eastAsia="Palatino Linotype" w:hAnsi="Palatino Linotype" w:cs="Palatino Linotype"/>
        </w:rPr>
        <w:lastRenderedPageBreak/>
        <w:t>del representante legal de las empresas, siendo necesario establecer las siguientes consideraciones:</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En primer lugar, respecto de la clasificación de la firma y la rúbrica de los representantes legales de las empresas contratadas, debe mencionarse que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por regla general, constituye un dato personal que debe ser protegido, </w:t>
      </w:r>
      <w:r w:rsidRPr="00882FED">
        <w:rPr>
          <w:rFonts w:ascii="Palatino Linotype" w:eastAsia="Palatino Linotype" w:hAnsi="Palatino Linotype" w:cs="Palatino Linotype"/>
          <w:b/>
        </w:rPr>
        <w:t>no obstante en el caso concreto, debe entenderse a la naturaleza del documento remitido, que implica un acuerdo de voluntades entre las partes</w:t>
      </w:r>
      <w:r w:rsidRPr="00882FED">
        <w:rPr>
          <w:rFonts w:ascii="Palatino Linotype" w:eastAsia="Palatino Linotype" w:hAnsi="Palatino Linotype" w:cs="Palatino Linotype"/>
        </w:rPr>
        <w:t xml:space="preserve">, es decir, del </w:t>
      </w:r>
      <w:r w:rsidRPr="00882FED">
        <w:rPr>
          <w:rFonts w:ascii="Palatino Linotype" w:eastAsia="Palatino Linotype" w:hAnsi="Palatino Linotype" w:cs="Palatino Linotype"/>
          <w:b/>
        </w:rPr>
        <w:t>Sujeto Obligado</w:t>
      </w:r>
      <w:r w:rsidRPr="00882FED">
        <w:rPr>
          <w:rFonts w:ascii="Palatino Linotype" w:eastAsia="Palatino Linotype" w:hAnsi="Palatino Linotype" w:cs="Palatino Linotype"/>
        </w:rPr>
        <w:t xml:space="preserve"> como la parte contratante y de las empresas como la parte proveedora, con la finalidad de enajenar determinados bienes a título oneroso, por lo que el contrato debe cumplir ciertas formalidades y solemnidades que la normatividad establece, siendo  la firma de ambas partes uno de los elementos que le otorga validez y certeza jurídica al acto celebrado.</w:t>
      </w:r>
    </w:p>
    <w:p w:rsidR="00E45B85" w:rsidRPr="00882FED" w:rsidRDefault="003D2527">
      <w:pPr>
        <w:spacing w:before="280" w:after="28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En tal sentido, se considera que la publicidad de la firma y la rúbrica de los representantes legales abona a la transparencia y la rendición de cuentas, dado que la misma acredita de manera fehaciente el consentimiento de ambas partes para la celebración del acto jurídico del que se trate, en consecuencia, no se actualiza la causal de clasificación prevista en el artículo 143, fracción I, de la Ley de Transparencia y Acceso a la Información Pública del Estado de México y Municipios, invocada por el </w:t>
      </w:r>
      <w:r w:rsidRPr="00882FED">
        <w:rPr>
          <w:rFonts w:ascii="Palatino Linotype" w:eastAsia="Palatino Linotype" w:hAnsi="Palatino Linotype" w:cs="Palatino Linotype"/>
          <w:b/>
        </w:rPr>
        <w:t>Sujeto Obligado</w:t>
      </w:r>
      <w:r w:rsidRPr="00882FED">
        <w:rPr>
          <w:rFonts w:ascii="Palatino Linotype" w:eastAsia="Palatino Linotype" w:hAnsi="Palatino Linotype" w:cs="Palatino Linotype"/>
        </w:rPr>
        <w:t>, por tanto, no es procedente la clasificación de dichos datos como confidenciales.</w:t>
      </w:r>
    </w:p>
    <w:p w:rsidR="00E45B85" w:rsidRPr="00882FED" w:rsidRDefault="003D2527">
      <w:pPr>
        <w:spacing w:before="280" w:after="28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lastRenderedPageBreak/>
        <w:t>A efecto de robustecer lo anterior, resulta aplicable el contenido del criterio de interpretación 01/19 emitido por el Instituto Nacional de Transparencia, Acceso a la Información, y Protección de Datos Personales, INAI, que lleva por rubro y texto los siguientes</w:t>
      </w:r>
      <w:r w:rsidR="007038F6" w:rsidRPr="00882FED">
        <w:rPr>
          <w:rFonts w:ascii="Palatino Linotype" w:eastAsia="Palatino Linotype" w:hAnsi="Palatino Linotype" w:cs="Palatino Linotype"/>
        </w:rPr>
        <w:t>:</w:t>
      </w:r>
    </w:p>
    <w:p w:rsidR="00E45B85" w:rsidRPr="00882FED" w:rsidRDefault="003D2527">
      <w:pPr>
        <w:ind w:left="851" w:right="900"/>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“Datos de identificación del representante o apoderado legal.</w:t>
      </w:r>
      <w:r w:rsidRPr="00882FED">
        <w:rPr>
          <w:rFonts w:ascii="Palatino Linotype" w:eastAsia="Palatino Linotype" w:hAnsi="Palatino Linotype" w:cs="Palatino Linotype"/>
          <w:i/>
          <w:sz w:val="22"/>
          <w:szCs w:val="22"/>
        </w:rPr>
        <w:t xml:space="preserve"> </w:t>
      </w:r>
      <w:r w:rsidRPr="00882FED">
        <w:rPr>
          <w:rFonts w:ascii="Palatino Linotype" w:eastAsia="Palatino Linotype" w:hAnsi="Palatino Linotype" w:cs="Palatino Linotype"/>
          <w:b/>
          <w:i/>
          <w:sz w:val="22"/>
          <w:szCs w:val="22"/>
        </w:rPr>
        <w:t xml:space="preserve">Naturaleza jurídica. </w:t>
      </w:r>
      <w:r w:rsidRPr="00882FED">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882FED">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882FED">
        <w:rPr>
          <w:rFonts w:ascii="Palatino Linotype" w:eastAsia="Palatino Linotype" w:hAnsi="Palatino Linotype" w:cs="Palatino Linotype"/>
          <w:i/>
          <w:sz w:val="22"/>
          <w:szCs w:val="22"/>
        </w:rPr>
        <w:t>.”</w:t>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Por otro lado, respecto del domicilio en el Estado de México, teléfono, telefax y correo electrónico, es de señalar que de la lectura del Acta del Comité de Transparencia número CTSDS-EXT14-001/2022, no se advierten los argumentos que la acrediten, de manera fundada y motivada, que dichos datos pertenezcan concretamente a una persona física identificada o identificable, aunado al hecho de que  del análisis del documento que contiene los datos generales de los proveedores que forma parte del contrato CB/A/5/2021, a primera vista, suponiendo, sin conceder, se advierte que estos datos pudieran corresponder con los datos de contacto de las empresa contratadas, como puede observarse en la imagen inserta en la página 18 de la presente resolución, por lo que no revestirían el carácter de datos confidenciales, pues que la titularidad de los mismos no se vincula con una persona física identificada o identificable, sino con una persona </w:t>
      </w:r>
      <w:r w:rsidR="007038F6" w:rsidRPr="00882FED">
        <w:rPr>
          <w:rFonts w:ascii="Palatino Linotype" w:eastAsia="Palatino Linotype" w:hAnsi="Palatino Linotype" w:cs="Palatino Linotype"/>
        </w:rPr>
        <w:t>jurídico colectiva</w:t>
      </w:r>
      <w:r w:rsidRPr="00882FED">
        <w:rPr>
          <w:rFonts w:ascii="Palatino Linotype" w:eastAsia="Palatino Linotype" w:hAnsi="Palatino Linotype" w:cs="Palatino Linotype"/>
        </w:rPr>
        <w:t xml:space="preserve"> proveedora de bienes adquiridos por un ente público.</w:t>
      </w:r>
    </w:p>
    <w:p w:rsidR="007038F6" w:rsidRPr="00882FED" w:rsidRDefault="007038F6" w:rsidP="007038F6">
      <w:pPr>
        <w:spacing w:before="240" w:after="240" w:line="360" w:lineRule="auto"/>
        <w:ind w:right="49"/>
        <w:jc w:val="both"/>
        <w:rPr>
          <w:rFonts w:ascii="Palatino Linotype" w:hAnsi="Palatino Linotype"/>
        </w:rPr>
      </w:pPr>
      <w:r w:rsidRPr="00882FED">
        <w:rPr>
          <w:rFonts w:ascii="Palatino Linotype" w:eastAsia="Palatino Linotype" w:hAnsi="Palatino Linotype" w:cs="Palatino Linotype"/>
        </w:rPr>
        <w:t xml:space="preserve">A efecto de robustecer lo anterior, es preciso mencionar que de conformidad con los Lineamientos </w:t>
      </w:r>
      <w:r w:rsidRPr="00882FED">
        <w:rPr>
          <w:rFonts w:ascii="Palatino Linotype" w:hAnsi="Palatino Linotype"/>
        </w:rPr>
        <w:t xml:space="preserve">Técnicos Generales para la publicación, homologación y </w:t>
      </w:r>
      <w:r w:rsidRPr="00882FED">
        <w:rPr>
          <w:rFonts w:ascii="Palatino Linotype" w:hAnsi="Palatino Linotype"/>
        </w:rPr>
        <w:lastRenderedPageBreak/>
        <w:t xml:space="preserve">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respecto de la fracción </w:t>
      </w:r>
      <w:r w:rsidR="00CD2D00" w:rsidRPr="00882FED">
        <w:rPr>
          <w:rFonts w:ascii="Palatino Linotype" w:hAnsi="Palatino Linotype"/>
        </w:rPr>
        <w:t>XXXII del artículo 70 de la Ley General, relativa al padrón de proveedores</w:t>
      </w:r>
      <w:r w:rsidR="00E7199E" w:rsidRPr="00882FED">
        <w:rPr>
          <w:rFonts w:ascii="Palatino Linotype" w:hAnsi="Palatino Linotype"/>
        </w:rPr>
        <w:t xml:space="preserve"> y contratistas, los criterios sustantivos de contenido prevén la publicación del nombre del representante legal de la empresa, sus datos de contacto como teléfono, extensión, correo electrónico, siempre que estos datos hayan sido proporcionados por la empresa, así como el teléfono oficial y el correo electrónico comercial  del proveedor o contratista, como se observa a continuación:</w:t>
      </w:r>
    </w:p>
    <w:p w:rsidR="00E7199E" w:rsidRPr="00882FED" w:rsidRDefault="00E7199E" w:rsidP="00E7199E">
      <w:pPr>
        <w:spacing w:before="240" w:after="240" w:line="360" w:lineRule="auto"/>
        <w:ind w:right="49"/>
        <w:jc w:val="center"/>
        <w:rPr>
          <w:rFonts w:ascii="Palatino Linotype" w:eastAsia="Palatino Linotype" w:hAnsi="Palatino Linotype" w:cs="Palatino Linotype"/>
        </w:rPr>
      </w:pPr>
      <w:r w:rsidRPr="00882FED">
        <w:rPr>
          <w:rFonts w:ascii="Palatino Linotype" w:eastAsia="Palatino Linotype" w:hAnsi="Palatino Linotype" w:cs="Palatino Linotype"/>
          <w:noProof/>
        </w:rPr>
        <mc:AlternateContent>
          <mc:Choice Requires="wps">
            <w:drawing>
              <wp:anchor distT="0" distB="0" distL="114300" distR="114300" simplePos="0" relativeHeight="251665408" behindDoc="0" locked="0" layoutInCell="1" allowOverlap="1" wp14:anchorId="0C3A2BF5" wp14:editId="2EB51BFD">
                <wp:simplePos x="0" y="0"/>
                <wp:positionH relativeFrom="column">
                  <wp:posOffset>758190</wp:posOffset>
                </wp:positionH>
                <wp:positionV relativeFrom="paragraph">
                  <wp:posOffset>1162685</wp:posOffset>
                </wp:positionV>
                <wp:extent cx="133350" cy="171450"/>
                <wp:effectExtent l="57150" t="38100" r="57150" b="95250"/>
                <wp:wrapNone/>
                <wp:docPr id="3" name="Abrir llave 3"/>
                <wp:cNvGraphicFramePr/>
                <a:graphic xmlns:a="http://schemas.openxmlformats.org/drawingml/2006/main">
                  <a:graphicData uri="http://schemas.microsoft.com/office/word/2010/wordprocessingShape">
                    <wps:wsp>
                      <wps:cNvSpPr/>
                      <wps:spPr>
                        <a:xfrm>
                          <a:off x="0" y="0"/>
                          <a:ext cx="133350" cy="171450"/>
                        </a:xfrm>
                        <a:prstGeom prst="leftBrac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E74E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 o:spid="_x0000_s1026" type="#_x0000_t87" style="position:absolute;margin-left:59.7pt;margin-top:91.55pt;width:10.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" adj="1400" strokecolor="#c00000" strokeweight="2pt">
                <v:shadow on="t" color="black" opacity="24903f" origin=",.5" offset="0,.55556mm"/>
              </v:shape>
            </w:pict>
          </mc:Fallback>
        </mc:AlternateContent>
      </w:r>
      <w:r w:rsidRPr="00882FED">
        <w:rPr>
          <w:rFonts w:ascii="Palatino Linotype" w:eastAsia="Palatino Linotype" w:hAnsi="Palatino Linotype" w:cs="Palatino Linotype"/>
          <w:noProof/>
        </w:rPr>
        <mc:AlternateContent>
          <mc:Choice Requires="wps">
            <w:drawing>
              <wp:anchor distT="0" distB="0" distL="114300" distR="114300" simplePos="0" relativeHeight="251663360" behindDoc="0" locked="0" layoutInCell="1" allowOverlap="1" wp14:anchorId="74FF8569" wp14:editId="09ADF872">
                <wp:simplePos x="0" y="0"/>
                <wp:positionH relativeFrom="column">
                  <wp:posOffset>767715</wp:posOffset>
                </wp:positionH>
                <wp:positionV relativeFrom="paragraph">
                  <wp:posOffset>153035</wp:posOffset>
                </wp:positionV>
                <wp:extent cx="123825" cy="447675"/>
                <wp:effectExtent l="57150" t="38100" r="66675" b="104775"/>
                <wp:wrapNone/>
                <wp:docPr id="2" name="Abrir llave 2"/>
                <wp:cNvGraphicFramePr/>
                <a:graphic xmlns:a="http://schemas.openxmlformats.org/drawingml/2006/main">
                  <a:graphicData uri="http://schemas.microsoft.com/office/word/2010/wordprocessingShape">
                    <wps:wsp>
                      <wps:cNvSpPr/>
                      <wps:spPr>
                        <a:xfrm>
                          <a:off x="0" y="0"/>
                          <a:ext cx="123825" cy="447675"/>
                        </a:xfrm>
                        <a:prstGeom prst="leftBrac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FE3052" id="Abrir llave 2" o:spid="_x0000_s1026" type="#_x0000_t87" style="position:absolute;margin-left:60.45pt;margin-top:12.05pt;width:9.75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" adj="498" strokecolor="#c00000" strokeweight="2pt">
                <v:shadow on="t" color="black" opacity="24903f" origin=",.5" offset="0,.55556mm"/>
              </v:shape>
            </w:pict>
          </mc:Fallback>
        </mc:AlternateContent>
      </w:r>
      <w:r w:rsidRPr="00882FED">
        <w:rPr>
          <w:rFonts w:ascii="Palatino Linotype" w:eastAsia="Palatino Linotype" w:hAnsi="Palatino Linotype" w:cs="Palatino Linotype"/>
          <w:noProof/>
        </w:rPr>
        <w:drawing>
          <wp:inline distT="0" distB="0" distL="0" distR="0" wp14:anchorId="7220E515" wp14:editId="73015541">
            <wp:extent cx="4500000" cy="1727602"/>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0000" cy="1727602"/>
                    </a:xfrm>
                    <a:prstGeom prst="rect">
                      <a:avLst/>
                    </a:prstGeom>
                    <a:noFill/>
                    <a:ln>
                      <a:noFill/>
                    </a:ln>
                  </pic:spPr>
                </pic:pic>
              </a:graphicData>
            </a:graphic>
          </wp:inline>
        </w:drawing>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En conclusión, se considera que el documento remitido en la etapa de manifestaciones, si bien es el documento idóneo para satisfacer el derecho de acceso a la información pública accionado por la persona solicitante, este no puede tenerse por bueno, al haberse testado la firma y la rúbrica de los representantes legales  datos cuya naturaleza es pública por las razones ya expuestas, mientras que en el caso del domicilio en el Estado de México, teléfono, telefax y correo electrónico, este Organismo Garante no tiene la certeza de que dichos datos le pertenezcan a una persona física identificada o identificable, en virtud de que del pronunciamiento </w:t>
      </w:r>
      <w:r w:rsidRPr="00882FED">
        <w:rPr>
          <w:rFonts w:ascii="Palatino Linotype" w:eastAsia="Palatino Linotype" w:hAnsi="Palatino Linotype" w:cs="Palatino Linotype"/>
        </w:rPr>
        <w:lastRenderedPageBreak/>
        <w:t xml:space="preserve">emitido por el </w:t>
      </w:r>
      <w:r w:rsidRPr="00882FED">
        <w:rPr>
          <w:rFonts w:ascii="Palatino Linotype" w:eastAsia="Palatino Linotype" w:hAnsi="Palatino Linotype" w:cs="Palatino Linotype"/>
          <w:b/>
        </w:rPr>
        <w:t xml:space="preserve">Sujeto Obligado, </w:t>
      </w:r>
      <w:r w:rsidRPr="00882FED">
        <w:rPr>
          <w:rFonts w:ascii="Palatino Linotype" w:eastAsia="Palatino Linotype" w:hAnsi="Palatino Linotype" w:cs="Palatino Linotype"/>
        </w:rPr>
        <w:t xml:space="preserve">así como de las constancias que obran en el expediente electrónico, no se advierte </w:t>
      </w:r>
      <w:r w:rsidR="00E7199E" w:rsidRPr="00882FED">
        <w:rPr>
          <w:rFonts w:ascii="Palatino Linotype" w:eastAsia="Palatino Linotype" w:hAnsi="Palatino Linotype" w:cs="Palatino Linotype"/>
        </w:rPr>
        <w:t xml:space="preserve">de manera </w:t>
      </w:r>
      <w:r w:rsidRPr="00882FED">
        <w:rPr>
          <w:rFonts w:ascii="Palatino Linotype" w:eastAsia="Palatino Linotype" w:hAnsi="Palatino Linotype" w:cs="Palatino Linotype"/>
        </w:rPr>
        <w:t xml:space="preserve">concreta dicha circunstancia, pudiendo corresponder a las empresas contratadas, cuya publicidad se encuentra justificada, </w:t>
      </w:r>
      <w:r w:rsidR="009260D9" w:rsidRPr="00882FED">
        <w:rPr>
          <w:rFonts w:ascii="Palatino Linotype" w:eastAsia="Palatino Linotype" w:hAnsi="Palatino Linotype" w:cs="Palatino Linotype"/>
        </w:rPr>
        <w:t xml:space="preserve">como ha quedado expuesto, </w:t>
      </w:r>
      <w:r w:rsidRPr="00882FED">
        <w:rPr>
          <w:rFonts w:ascii="Palatino Linotype" w:eastAsia="Palatino Linotype" w:hAnsi="Palatino Linotype" w:cs="Palatino Linotype"/>
        </w:rPr>
        <w:t>en aras de la transparencia y la rendición de cuentas.</w:t>
      </w:r>
    </w:p>
    <w:p w:rsidR="00E45B85" w:rsidRPr="00882FED" w:rsidRDefault="003D2527">
      <w:pPr>
        <w:spacing w:before="240" w:after="240" w:line="360" w:lineRule="auto"/>
        <w:ind w:right="49"/>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En tal contexto, a efecto de tener por satisfecho el derecho de acceso a la información de la persona solicitante, este Organismo Garante estima procedente ordenar al </w:t>
      </w:r>
      <w:r w:rsidRPr="00882FED">
        <w:rPr>
          <w:rFonts w:ascii="Palatino Linotype" w:eastAsia="Palatino Linotype" w:hAnsi="Palatino Linotype" w:cs="Palatino Linotype"/>
          <w:b/>
        </w:rPr>
        <w:t xml:space="preserve">Sujeto Obligado </w:t>
      </w:r>
      <w:r w:rsidRPr="00882FED">
        <w:rPr>
          <w:rFonts w:ascii="Palatino Linotype" w:eastAsia="Palatino Linotype" w:hAnsi="Palatino Linotype" w:cs="Palatino Linotype"/>
        </w:rPr>
        <w:t xml:space="preserve">haga entrega, nuevamente del contrato CB/A/5/2021, dejando visible la firma y la rúbrica de los representantes legales de las empresas contratadas, y, respecto del domicilio en el Estado de México, teléfono, telefax y correo electrónico, </w:t>
      </w:r>
      <w:r w:rsidR="009260D9" w:rsidRPr="00882FED">
        <w:rPr>
          <w:rFonts w:ascii="Palatino Linotype" w:eastAsia="Palatino Linotype" w:hAnsi="Palatino Linotype" w:cs="Palatino Linotype"/>
        </w:rPr>
        <w:t xml:space="preserve">en caso de que estos pertenezcan a una persona física identificada o identificable, </w:t>
      </w:r>
      <w:r w:rsidRPr="00882FED">
        <w:rPr>
          <w:rFonts w:ascii="Palatino Linotype" w:eastAsia="Palatino Linotype" w:hAnsi="Palatino Linotype" w:cs="Palatino Linotype"/>
        </w:rPr>
        <w:t xml:space="preserve">deberá analizar la naturaleza de dichos datos, debiendo protegerlos a través de la versión pública de conformidad con el considerando siguiente, no obstante, si los mismos </w:t>
      </w:r>
      <w:r w:rsidR="009260D9" w:rsidRPr="00882FED">
        <w:rPr>
          <w:rFonts w:ascii="Palatino Linotype" w:eastAsia="Palatino Linotype" w:hAnsi="Palatino Linotype" w:cs="Palatino Linotype"/>
        </w:rPr>
        <w:t xml:space="preserve">corresponden a las empresas </w:t>
      </w:r>
      <w:r w:rsidRPr="00882FED">
        <w:rPr>
          <w:rFonts w:ascii="Palatino Linotype" w:eastAsia="Palatino Linotype" w:hAnsi="Palatino Linotype" w:cs="Palatino Linotype"/>
        </w:rPr>
        <w:t>deberá hacer entrega del contrato de manera íntegra.</w:t>
      </w:r>
    </w:p>
    <w:p w:rsidR="00E45B85" w:rsidRPr="00882FED" w:rsidRDefault="003D2527">
      <w:pPr>
        <w:spacing w:before="240" w:after="240" w:line="360" w:lineRule="auto"/>
        <w:ind w:right="51"/>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De lo hasta aquí expuesto, se concluye que los motivos de inconformidad de la parte </w:t>
      </w:r>
      <w:r w:rsidRPr="00882FED">
        <w:rPr>
          <w:rFonts w:ascii="Palatino Linotype" w:eastAsia="Palatino Linotype" w:hAnsi="Palatino Linotype" w:cs="Palatino Linotype"/>
          <w:b/>
        </w:rPr>
        <w:t xml:space="preserve">Recurrente </w:t>
      </w:r>
      <w:r w:rsidRPr="00882FED">
        <w:rPr>
          <w:rFonts w:ascii="Palatino Linotype" w:eastAsia="Palatino Linotype" w:hAnsi="Palatino Linotype" w:cs="Palatino Linotype"/>
        </w:rPr>
        <w:t xml:space="preserve">devienen fundados, siendo procedente </w:t>
      </w:r>
      <w:r w:rsidRPr="00882FED">
        <w:rPr>
          <w:rFonts w:ascii="Palatino Linotype" w:eastAsia="Palatino Linotype" w:hAnsi="Palatino Linotype" w:cs="Palatino Linotype"/>
          <w:i/>
        </w:rPr>
        <w:t>Modificar</w:t>
      </w:r>
      <w:r w:rsidRPr="00882FED">
        <w:rPr>
          <w:rFonts w:ascii="Palatino Linotype" w:eastAsia="Palatino Linotype" w:hAnsi="Palatino Linotype" w:cs="Palatino Linotype"/>
        </w:rPr>
        <w:t xml:space="preserve"> la respuesta proporcionada por el </w:t>
      </w:r>
      <w:r w:rsidRPr="00882FED">
        <w:rPr>
          <w:rFonts w:ascii="Palatino Linotype" w:eastAsia="Palatino Linotype" w:hAnsi="Palatino Linotype" w:cs="Palatino Linotype"/>
          <w:b/>
        </w:rPr>
        <w:t xml:space="preserve">Sujeto Obligado </w:t>
      </w:r>
      <w:r w:rsidRPr="00882FED">
        <w:rPr>
          <w:rFonts w:ascii="Palatino Linotype" w:eastAsia="Palatino Linotype" w:hAnsi="Palatino Linotype" w:cs="Palatino Linotype"/>
        </w:rPr>
        <w:t>en términos del artículo 186 fracción III de la Ley de Transparencia y Acceso a la Información Pública del Estado de México y Municipios.</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b/>
        </w:rPr>
        <w:t>Quinto. Versión Pública.</w:t>
      </w:r>
      <w:r w:rsidRPr="00882FED">
        <w:rPr>
          <w:rFonts w:ascii="Palatino Linotype" w:eastAsia="Palatino Linotype" w:hAnsi="Palatino Linotype" w:cs="Palatino Linotype"/>
          <w:sz w:val="28"/>
          <w:szCs w:val="28"/>
        </w:rPr>
        <w:t xml:space="preserve"> </w:t>
      </w:r>
      <w:r w:rsidRPr="00882FED">
        <w:rPr>
          <w:rFonts w:ascii="Palatino Linotype" w:eastAsia="Palatino Linotype" w:hAnsi="Palatino Linotype" w:cs="Palatino Linotype"/>
        </w:rPr>
        <w:t>Finalmente, debe señalarse que de ser el caso en que los documentos que vayan a ser entregados por el</w:t>
      </w:r>
      <w:r w:rsidRPr="00882FED">
        <w:rPr>
          <w:rFonts w:ascii="Palatino Linotype" w:eastAsia="Palatino Linotype" w:hAnsi="Palatino Linotype" w:cs="Palatino Linotype"/>
          <w:b/>
        </w:rPr>
        <w:t xml:space="preserve"> </w:t>
      </w:r>
      <w:r w:rsidRPr="00882FED">
        <w:rPr>
          <w:rFonts w:ascii="Palatino Linotype" w:eastAsia="Palatino Linotype" w:hAnsi="Palatino Linotype" w:cs="Palatino Linotype"/>
        </w:rPr>
        <w:t xml:space="preserve">sujeto obligado, para dar cumplimiento a la presente resolución, contengan datos que deban ser clasificados, </w:t>
      </w:r>
      <w:r w:rsidRPr="00882FED">
        <w:rPr>
          <w:rFonts w:ascii="Palatino Linotype" w:eastAsia="Palatino Linotype" w:hAnsi="Palatino Linotype" w:cs="Palatino Linotype"/>
        </w:rPr>
        <w:lastRenderedPageBreak/>
        <w:t xml:space="preserve">el </w:t>
      </w:r>
      <w:r w:rsidRPr="00882FED">
        <w:rPr>
          <w:rFonts w:ascii="Palatino Linotype" w:eastAsia="Palatino Linotype" w:hAnsi="Palatino Linotype" w:cs="Palatino Linotype"/>
          <w:b/>
        </w:rPr>
        <w:t>Sujeto Obligado</w:t>
      </w:r>
      <w:r w:rsidRPr="00882FED">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y 143 </w:t>
      </w:r>
      <w:proofErr w:type="gramStart"/>
      <w:r w:rsidRPr="00882FED">
        <w:rPr>
          <w:rFonts w:ascii="Palatino Linotype" w:eastAsia="Palatino Linotype" w:hAnsi="Palatino Linotype" w:cs="Palatino Linotype"/>
        </w:rPr>
        <w:t>fracción</w:t>
      </w:r>
      <w:proofErr w:type="gramEnd"/>
      <w:r w:rsidRPr="00882FED">
        <w:rPr>
          <w:rFonts w:ascii="Palatino Linotype" w:eastAsia="Palatino Linotype" w:hAnsi="Palatino Linotype" w:cs="Palatino Linotype"/>
        </w:rPr>
        <w:t xml:space="preserve"> I de la Ley de Transparencia y Acceso a la Información Pública del Estado de México y Municipios que establecen:</w:t>
      </w:r>
    </w:p>
    <w:p w:rsidR="00E45B85" w:rsidRPr="00882FED" w:rsidRDefault="003D2527">
      <w:pPr>
        <w:spacing w:before="120" w:after="12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w:t>
      </w:r>
      <w:r w:rsidRPr="00882FED">
        <w:rPr>
          <w:rFonts w:ascii="Palatino Linotype" w:eastAsia="Palatino Linotype" w:hAnsi="Palatino Linotype" w:cs="Palatino Linotype"/>
          <w:b/>
          <w:i/>
          <w:sz w:val="22"/>
          <w:szCs w:val="22"/>
        </w:rPr>
        <w:t>Artículo 3</w:t>
      </w:r>
      <w:r w:rsidRPr="00882FED">
        <w:rPr>
          <w:rFonts w:ascii="Palatino Linotype" w:eastAsia="Palatino Linotype" w:hAnsi="Palatino Linotype" w:cs="Palatino Linotype"/>
          <w:i/>
          <w:sz w:val="22"/>
          <w:szCs w:val="22"/>
        </w:rPr>
        <w:t>. Para los efectos de la presente Ley se entenderá por:</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IX. Datos personales</w:t>
      </w:r>
      <w:r w:rsidRPr="00882FED">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XX. Información clasificada</w:t>
      </w:r>
      <w:r w:rsidRPr="00882FED">
        <w:rPr>
          <w:rFonts w:ascii="Palatino Linotype" w:eastAsia="Palatino Linotype" w:hAnsi="Palatino Linotype" w:cs="Palatino Linotype"/>
          <w:i/>
          <w:sz w:val="22"/>
          <w:szCs w:val="22"/>
        </w:rPr>
        <w:t>: Aquella considerada por la presente Ley como reservada o confidencial;</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 xml:space="preserve">XXI. Información confidencial: </w:t>
      </w:r>
      <w:r w:rsidRPr="00882FED">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XLV. Versión pública:</w:t>
      </w:r>
      <w:r w:rsidRPr="00882FED">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w:t>
      </w:r>
    </w:p>
    <w:p w:rsidR="00E45B85" w:rsidRPr="00882FED" w:rsidRDefault="003D2527">
      <w:pPr>
        <w:spacing w:before="120" w:after="12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Artículo 91.</w:t>
      </w:r>
      <w:r w:rsidRPr="00882FE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E45B85" w:rsidRPr="00882FED" w:rsidRDefault="003D2527">
      <w:pPr>
        <w:spacing w:before="120" w:after="12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Artículo 132.</w:t>
      </w:r>
      <w:r w:rsidRPr="00882FED">
        <w:rPr>
          <w:rFonts w:ascii="Palatino Linotype" w:eastAsia="Palatino Linotype" w:hAnsi="Palatino Linotype" w:cs="Palatino Linotype"/>
          <w:i/>
          <w:sz w:val="22"/>
          <w:szCs w:val="22"/>
        </w:rPr>
        <w:t xml:space="preserve"> La clasificación de la información se llevará a cabo en el momento en que:</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I</w:t>
      </w:r>
      <w:r w:rsidRPr="00882FED">
        <w:rPr>
          <w:rFonts w:ascii="Palatino Linotype" w:eastAsia="Palatino Linotype" w:hAnsi="Palatino Linotype" w:cs="Palatino Linotype"/>
          <w:i/>
          <w:sz w:val="22"/>
          <w:szCs w:val="22"/>
        </w:rPr>
        <w:t>. Se reciba una solicitud de acceso a la información;</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II.</w:t>
      </w:r>
      <w:r w:rsidRPr="00882FED">
        <w:rPr>
          <w:rFonts w:ascii="Palatino Linotype" w:eastAsia="Palatino Linotype" w:hAnsi="Palatino Linotype" w:cs="Palatino Linotype"/>
          <w:i/>
          <w:sz w:val="22"/>
          <w:szCs w:val="22"/>
        </w:rPr>
        <w:t xml:space="preserve"> Se determine mediante resolución de autoridad competente; o</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lastRenderedPageBreak/>
        <w:t>III.</w:t>
      </w:r>
      <w:r w:rsidRPr="00882FED">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rsidR="00E45B85" w:rsidRPr="00882FED" w:rsidRDefault="003D2527">
      <w:pPr>
        <w:spacing w:before="120" w:after="12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w:t>
      </w:r>
    </w:p>
    <w:p w:rsidR="00E45B85" w:rsidRPr="00882FED" w:rsidRDefault="003D2527">
      <w:pPr>
        <w:spacing w:before="120" w:after="12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Artículo 143</w:t>
      </w:r>
      <w:r w:rsidRPr="00882FE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I.</w:t>
      </w:r>
      <w:r w:rsidRPr="00882FED">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882FED">
        <w:rPr>
          <w:rFonts w:ascii="Palatino Linotype" w:eastAsia="Palatino Linotype" w:hAnsi="Palatino Linotype" w:cs="Palatino Linotype"/>
          <w:i/>
          <w:sz w:val="22"/>
          <w:szCs w:val="22"/>
        </w:rPr>
        <w:t>jurídico</w:t>
      </w:r>
      <w:proofErr w:type="gramEnd"/>
      <w:r w:rsidRPr="00882FED">
        <w:rPr>
          <w:rFonts w:ascii="Palatino Linotype" w:eastAsia="Palatino Linotype" w:hAnsi="Palatino Linotype" w:cs="Palatino Linotype"/>
          <w:i/>
          <w:sz w:val="22"/>
          <w:szCs w:val="22"/>
        </w:rPr>
        <w:t xml:space="preserve"> colectiva identificada o identificable;</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II.</w:t>
      </w:r>
      <w:r w:rsidRPr="00882FED">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III.</w:t>
      </w:r>
      <w:r w:rsidRPr="00882FED">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E45B85" w:rsidRPr="00882FED" w:rsidRDefault="003D2527">
      <w:pPr>
        <w:spacing w:before="120" w:after="12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E45B85" w:rsidRPr="00882FED" w:rsidRDefault="003D2527">
      <w:pPr>
        <w:spacing w:before="120" w:after="12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lastRenderedPageBreak/>
        <w:t>Entorno a lo que aquí nos interesa, los Lineamientos Quincuagésimo sexto, Quincuagésimo séptimo y Quincuagésimo octavo, establecen lo siguiente:</w:t>
      </w:r>
    </w:p>
    <w:p w:rsidR="00E45B85" w:rsidRPr="00882FED" w:rsidRDefault="003D2527">
      <w:pPr>
        <w:spacing w:before="120" w:after="12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“Quincuagésimo sexto</w:t>
      </w:r>
      <w:r w:rsidRPr="00882FED">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E45B85" w:rsidRPr="00882FED" w:rsidRDefault="003D2527">
      <w:pPr>
        <w:spacing w:before="120" w:after="12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Quincuagésimo séptimo</w:t>
      </w:r>
      <w:r w:rsidRPr="00882FED">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I.</w:t>
      </w:r>
      <w:r w:rsidRPr="00882FED">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II.</w:t>
      </w:r>
      <w:r w:rsidRPr="00882FED">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E45B85" w:rsidRPr="00882FED" w:rsidRDefault="003D2527">
      <w:pPr>
        <w:spacing w:before="120" w:after="120"/>
        <w:ind w:left="1134"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III.</w:t>
      </w:r>
      <w:r w:rsidRPr="00882FED">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E45B85" w:rsidRPr="00882FED" w:rsidRDefault="003D2527">
      <w:pPr>
        <w:spacing w:before="120" w:after="12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E45B85" w:rsidRPr="00882FED" w:rsidRDefault="003D2527">
      <w:pPr>
        <w:spacing w:before="120" w:after="120"/>
        <w:ind w:left="851" w:right="902"/>
        <w:jc w:val="both"/>
        <w:rPr>
          <w:rFonts w:ascii="Palatino Linotype" w:eastAsia="Palatino Linotype" w:hAnsi="Palatino Linotype" w:cs="Palatino Linotype"/>
          <w:i/>
          <w:sz w:val="22"/>
          <w:szCs w:val="22"/>
        </w:rPr>
      </w:pPr>
      <w:r w:rsidRPr="00882FED">
        <w:rPr>
          <w:rFonts w:ascii="Palatino Linotype" w:eastAsia="Palatino Linotype" w:hAnsi="Palatino Linotype" w:cs="Palatino Linotype"/>
          <w:b/>
          <w:i/>
          <w:sz w:val="22"/>
          <w:szCs w:val="22"/>
        </w:rPr>
        <w:t>Quincuagésimo octavo</w:t>
      </w:r>
      <w:r w:rsidRPr="00882FED">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882FED">
        <w:rPr>
          <w:rFonts w:ascii="Palatino Linotype" w:eastAsia="Palatino Linotype" w:hAnsi="Palatino Linotype" w:cs="Palatino Linotype"/>
          <w:b/>
        </w:rPr>
        <w:t>Sujeto Obligado</w:t>
      </w:r>
      <w:r w:rsidRPr="00882FED">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w:t>
      </w:r>
      <w:r w:rsidRPr="00882FED">
        <w:rPr>
          <w:rFonts w:ascii="Palatino Linotype" w:eastAsia="Palatino Linotype" w:hAnsi="Palatino Linotype" w:cs="Palatino Linotype"/>
        </w:rPr>
        <w:lastRenderedPageBreak/>
        <w:t>las causas o motivos por las que no se aprecian determinados datos -ya sea porque se testan o suprimen- deja al solicitante en estado de incertidumbre, al no conocer o comprender porque no aparecen en la documentación respectiva.</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882FED" w:rsidRPr="00882FED" w:rsidTr="00E45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E45B85" w:rsidRPr="00882FED" w:rsidRDefault="003D2527">
            <w:pPr>
              <w:jc w:val="center"/>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Parcial</w:t>
            </w:r>
          </w:p>
        </w:tc>
        <w:tc>
          <w:tcPr>
            <w:tcW w:w="4414" w:type="dxa"/>
            <w:gridSpan w:val="2"/>
          </w:tcPr>
          <w:p w:rsidR="00E45B85" w:rsidRPr="00882FED" w:rsidRDefault="003D2527">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Total</w:t>
            </w:r>
          </w:p>
        </w:tc>
      </w:tr>
      <w:tr w:rsidR="00882FED" w:rsidRPr="00882FED" w:rsidTr="00E4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E45B85" w:rsidRPr="00882FED" w:rsidRDefault="003D2527">
            <w:pPr>
              <w:jc w:val="center"/>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Concepto</w:t>
            </w:r>
          </w:p>
        </w:tc>
        <w:tc>
          <w:tcPr>
            <w:tcW w:w="3421" w:type="dxa"/>
          </w:tcPr>
          <w:p w:rsidR="00E45B85" w:rsidRPr="00882FED" w:rsidRDefault="003D2527">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82FED">
              <w:rPr>
                <w:rFonts w:ascii="Palatino Linotype" w:eastAsia="Palatino Linotype" w:hAnsi="Palatino Linotype" w:cs="Palatino Linotype"/>
                <w:b/>
                <w:sz w:val="12"/>
                <w:szCs w:val="12"/>
              </w:rPr>
              <w:t>Dónde</w:t>
            </w:r>
          </w:p>
        </w:tc>
        <w:tc>
          <w:tcPr>
            <w:tcW w:w="968" w:type="dxa"/>
          </w:tcPr>
          <w:p w:rsidR="00E45B85" w:rsidRPr="00882FED" w:rsidRDefault="003D2527">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82FED">
              <w:rPr>
                <w:rFonts w:ascii="Palatino Linotype" w:eastAsia="Palatino Linotype" w:hAnsi="Palatino Linotype" w:cs="Palatino Linotype"/>
                <w:b/>
                <w:sz w:val="12"/>
                <w:szCs w:val="12"/>
              </w:rPr>
              <w:t>Concepto</w:t>
            </w:r>
          </w:p>
        </w:tc>
        <w:tc>
          <w:tcPr>
            <w:tcW w:w="3446" w:type="dxa"/>
          </w:tcPr>
          <w:p w:rsidR="00E45B85" w:rsidRPr="00882FED" w:rsidRDefault="003D2527">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82FED">
              <w:rPr>
                <w:rFonts w:ascii="Palatino Linotype" w:eastAsia="Palatino Linotype" w:hAnsi="Palatino Linotype" w:cs="Palatino Linotype"/>
                <w:b/>
                <w:sz w:val="12"/>
                <w:szCs w:val="12"/>
              </w:rPr>
              <w:t>Dónde</w:t>
            </w:r>
          </w:p>
        </w:tc>
      </w:tr>
      <w:tr w:rsidR="00882FED" w:rsidRPr="00882FED" w:rsidTr="00E45B85">
        <w:tc>
          <w:tcPr>
            <w:cnfStyle w:val="001000000000" w:firstRow="0" w:lastRow="0" w:firstColumn="1" w:lastColumn="0" w:oddVBand="0" w:evenVBand="0" w:oddHBand="0" w:evenHBand="0" w:firstRowFirstColumn="0" w:firstRowLastColumn="0" w:lastRowFirstColumn="0" w:lastRowLastColumn="0"/>
            <w:tcW w:w="8828" w:type="dxa"/>
            <w:gridSpan w:val="4"/>
          </w:tcPr>
          <w:p w:rsidR="00E45B85" w:rsidRPr="00882FED" w:rsidRDefault="003D2527">
            <w:pPr>
              <w:jc w:val="center"/>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Sello oficial o logotipo del sujeto obligado</w:t>
            </w:r>
          </w:p>
        </w:tc>
      </w:tr>
      <w:tr w:rsidR="00882FED" w:rsidRPr="00882FED" w:rsidTr="00E4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E45B85" w:rsidRPr="00882FED" w:rsidRDefault="003D2527">
            <w:pPr>
              <w:jc w:val="both"/>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Fecha de clasificación</w:t>
            </w:r>
          </w:p>
        </w:tc>
        <w:tc>
          <w:tcPr>
            <w:tcW w:w="3421" w:type="dxa"/>
          </w:tcPr>
          <w:p w:rsidR="00E45B85" w:rsidRPr="00882FED" w:rsidRDefault="003D252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E45B85" w:rsidRPr="00882FED" w:rsidRDefault="003D252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82FED">
              <w:rPr>
                <w:rFonts w:ascii="Palatino Linotype" w:eastAsia="Palatino Linotype" w:hAnsi="Palatino Linotype" w:cs="Palatino Linotype"/>
                <w:b/>
                <w:sz w:val="12"/>
                <w:szCs w:val="12"/>
              </w:rPr>
              <w:t>Fecha de clasificación</w:t>
            </w:r>
          </w:p>
        </w:tc>
        <w:tc>
          <w:tcPr>
            <w:tcW w:w="3446" w:type="dxa"/>
          </w:tcPr>
          <w:p w:rsidR="00E45B85" w:rsidRPr="00882FED" w:rsidRDefault="003D252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882FED" w:rsidRPr="00882FED" w:rsidTr="00E45B85">
        <w:tc>
          <w:tcPr>
            <w:cnfStyle w:val="001000000000" w:firstRow="0" w:lastRow="0" w:firstColumn="1" w:lastColumn="0" w:oddVBand="0" w:evenVBand="0" w:oddHBand="0" w:evenHBand="0" w:firstRowFirstColumn="0" w:firstRowLastColumn="0" w:lastRowFirstColumn="0" w:lastRowLastColumn="0"/>
            <w:tcW w:w="993" w:type="dxa"/>
          </w:tcPr>
          <w:p w:rsidR="00E45B85" w:rsidRPr="00882FED" w:rsidRDefault="003D2527">
            <w:pPr>
              <w:jc w:val="both"/>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Área</w:t>
            </w:r>
          </w:p>
        </w:tc>
        <w:tc>
          <w:tcPr>
            <w:tcW w:w="3421" w:type="dxa"/>
          </w:tcPr>
          <w:p w:rsidR="00E45B85" w:rsidRPr="00882FED" w:rsidRDefault="003D252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Se señalará el nombre del área del cual es titular quien clasifica.</w:t>
            </w:r>
          </w:p>
        </w:tc>
        <w:tc>
          <w:tcPr>
            <w:tcW w:w="968" w:type="dxa"/>
          </w:tcPr>
          <w:p w:rsidR="00E45B85" w:rsidRPr="00882FED" w:rsidRDefault="003D252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882FED">
              <w:rPr>
                <w:rFonts w:ascii="Palatino Linotype" w:eastAsia="Palatino Linotype" w:hAnsi="Palatino Linotype" w:cs="Palatino Linotype"/>
                <w:b/>
                <w:sz w:val="12"/>
                <w:szCs w:val="12"/>
              </w:rPr>
              <w:t>Área</w:t>
            </w:r>
          </w:p>
        </w:tc>
        <w:tc>
          <w:tcPr>
            <w:tcW w:w="3446" w:type="dxa"/>
          </w:tcPr>
          <w:p w:rsidR="00E45B85" w:rsidRPr="00882FED" w:rsidRDefault="003D252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Se señalará el nombre del área de la cual es el titular quien clasifica.</w:t>
            </w:r>
          </w:p>
        </w:tc>
      </w:tr>
      <w:tr w:rsidR="00882FED" w:rsidRPr="00882FED" w:rsidTr="00E4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E45B85" w:rsidRPr="00882FED" w:rsidRDefault="003D2527">
            <w:pPr>
              <w:jc w:val="both"/>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Información reservada</w:t>
            </w:r>
          </w:p>
        </w:tc>
        <w:tc>
          <w:tcPr>
            <w:tcW w:w="3421" w:type="dxa"/>
          </w:tcPr>
          <w:p w:rsidR="00E45B85" w:rsidRPr="00882FED" w:rsidRDefault="003D252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882FED">
              <w:rPr>
                <w:rFonts w:ascii="Palatino Linotype" w:eastAsia="Palatino Linotype" w:hAnsi="Palatino Linotype" w:cs="Palatino Linotype"/>
                <w:sz w:val="12"/>
                <w:szCs w:val="12"/>
              </w:rPr>
              <w:t>anotarán</w:t>
            </w:r>
            <w:proofErr w:type="gramEnd"/>
            <w:r w:rsidRPr="00882FED">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rsidR="00E45B85" w:rsidRPr="00882FED" w:rsidRDefault="003D252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82FED">
              <w:rPr>
                <w:rFonts w:ascii="Palatino Linotype" w:eastAsia="Palatino Linotype" w:hAnsi="Palatino Linotype" w:cs="Palatino Linotype"/>
                <w:b/>
                <w:sz w:val="12"/>
                <w:szCs w:val="12"/>
              </w:rPr>
              <w:t>Reservado</w:t>
            </w:r>
          </w:p>
        </w:tc>
        <w:tc>
          <w:tcPr>
            <w:tcW w:w="3446" w:type="dxa"/>
          </w:tcPr>
          <w:p w:rsidR="00E45B85" w:rsidRPr="00882FED" w:rsidRDefault="003D252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Leyenda de información RESERVADA.</w:t>
            </w:r>
          </w:p>
        </w:tc>
      </w:tr>
      <w:tr w:rsidR="00882FED" w:rsidRPr="00882FED" w:rsidTr="00E45B85">
        <w:tc>
          <w:tcPr>
            <w:cnfStyle w:val="001000000000" w:firstRow="0" w:lastRow="0" w:firstColumn="1" w:lastColumn="0" w:oddVBand="0" w:evenVBand="0" w:oddHBand="0" w:evenHBand="0" w:firstRowFirstColumn="0" w:firstRowLastColumn="0" w:lastRowFirstColumn="0" w:lastRowLastColumn="0"/>
            <w:tcW w:w="993" w:type="dxa"/>
          </w:tcPr>
          <w:p w:rsidR="00E45B85" w:rsidRPr="00882FED" w:rsidRDefault="003D2527">
            <w:pPr>
              <w:jc w:val="both"/>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Fundamento legal</w:t>
            </w:r>
          </w:p>
        </w:tc>
        <w:tc>
          <w:tcPr>
            <w:tcW w:w="3421" w:type="dxa"/>
          </w:tcPr>
          <w:p w:rsidR="00E45B85" w:rsidRPr="00882FED" w:rsidRDefault="003D252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E45B85" w:rsidRPr="00882FED" w:rsidRDefault="003D252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882FED">
              <w:rPr>
                <w:rFonts w:ascii="Palatino Linotype" w:eastAsia="Palatino Linotype" w:hAnsi="Palatino Linotype" w:cs="Palatino Linotype"/>
                <w:b/>
                <w:sz w:val="12"/>
                <w:szCs w:val="12"/>
              </w:rPr>
              <w:t>Periodo de reserva</w:t>
            </w:r>
          </w:p>
        </w:tc>
        <w:tc>
          <w:tcPr>
            <w:tcW w:w="3446" w:type="dxa"/>
          </w:tcPr>
          <w:p w:rsidR="00E45B85" w:rsidRPr="00882FED" w:rsidRDefault="003D252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882FED" w:rsidRPr="00882FED" w:rsidTr="00E4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E45B85" w:rsidRPr="00882FED" w:rsidRDefault="003D2527">
            <w:pPr>
              <w:jc w:val="both"/>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Ampliación del periodo de reserva</w:t>
            </w:r>
          </w:p>
        </w:tc>
        <w:tc>
          <w:tcPr>
            <w:tcW w:w="3421" w:type="dxa"/>
          </w:tcPr>
          <w:p w:rsidR="00E45B85" w:rsidRPr="00882FED" w:rsidRDefault="003D252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E45B85" w:rsidRPr="00882FED" w:rsidRDefault="003D252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82FED">
              <w:rPr>
                <w:rFonts w:ascii="Palatino Linotype" w:eastAsia="Palatino Linotype" w:hAnsi="Palatino Linotype" w:cs="Palatino Linotype"/>
                <w:b/>
                <w:sz w:val="12"/>
                <w:szCs w:val="12"/>
              </w:rPr>
              <w:t>Fundamento legal</w:t>
            </w:r>
          </w:p>
        </w:tc>
        <w:tc>
          <w:tcPr>
            <w:tcW w:w="3446" w:type="dxa"/>
          </w:tcPr>
          <w:p w:rsidR="00E45B85" w:rsidRPr="00882FED" w:rsidRDefault="003D252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882FED" w:rsidRPr="00882FED" w:rsidTr="00E45B85">
        <w:tc>
          <w:tcPr>
            <w:cnfStyle w:val="001000000000" w:firstRow="0" w:lastRow="0" w:firstColumn="1" w:lastColumn="0" w:oddVBand="0" w:evenVBand="0" w:oddHBand="0" w:evenHBand="0" w:firstRowFirstColumn="0" w:firstRowLastColumn="0" w:lastRowFirstColumn="0" w:lastRowLastColumn="0"/>
            <w:tcW w:w="993" w:type="dxa"/>
          </w:tcPr>
          <w:p w:rsidR="00E45B85" w:rsidRPr="00882FED" w:rsidRDefault="003D2527">
            <w:pPr>
              <w:jc w:val="both"/>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Confidencial</w:t>
            </w:r>
          </w:p>
        </w:tc>
        <w:tc>
          <w:tcPr>
            <w:tcW w:w="3421" w:type="dxa"/>
          </w:tcPr>
          <w:p w:rsidR="00E45B85" w:rsidRPr="00882FED" w:rsidRDefault="003D252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E45B85" w:rsidRPr="00882FED" w:rsidRDefault="003D252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882FED">
              <w:rPr>
                <w:rFonts w:ascii="Palatino Linotype" w:eastAsia="Palatino Linotype" w:hAnsi="Palatino Linotype" w:cs="Palatino Linotype"/>
                <w:b/>
                <w:sz w:val="12"/>
                <w:szCs w:val="12"/>
              </w:rPr>
              <w:t>Ampliación del periodo de reserva</w:t>
            </w:r>
          </w:p>
        </w:tc>
        <w:tc>
          <w:tcPr>
            <w:tcW w:w="3446" w:type="dxa"/>
          </w:tcPr>
          <w:p w:rsidR="00E45B85" w:rsidRPr="00882FED" w:rsidRDefault="003D252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882FED" w:rsidRPr="00882FED" w:rsidTr="00E4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E45B85" w:rsidRPr="00882FED" w:rsidRDefault="003D2527">
            <w:pPr>
              <w:jc w:val="both"/>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Fundamento legal</w:t>
            </w:r>
          </w:p>
        </w:tc>
        <w:tc>
          <w:tcPr>
            <w:tcW w:w="3421" w:type="dxa"/>
          </w:tcPr>
          <w:p w:rsidR="00E45B85" w:rsidRPr="00882FED" w:rsidRDefault="003D252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E45B85" w:rsidRPr="00882FED" w:rsidRDefault="003D252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82FED">
              <w:rPr>
                <w:rFonts w:ascii="Palatino Linotype" w:eastAsia="Palatino Linotype" w:hAnsi="Palatino Linotype" w:cs="Palatino Linotype"/>
                <w:b/>
                <w:sz w:val="12"/>
                <w:szCs w:val="12"/>
              </w:rPr>
              <w:t>Confidencial</w:t>
            </w:r>
          </w:p>
        </w:tc>
        <w:tc>
          <w:tcPr>
            <w:tcW w:w="3446" w:type="dxa"/>
          </w:tcPr>
          <w:p w:rsidR="00E45B85" w:rsidRPr="00882FED" w:rsidRDefault="003D252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Leyenda de información CONFIDENCIAL.</w:t>
            </w:r>
          </w:p>
        </w:tc>
      </w:tr>
      <w:tr w:rsidR="00882FED" w:rsidRPr="00882FED" w:rsidTr="00E45B85">
        <w:tc>
          <w:tcPr>
            <w:cnfStyle w:val="001000000000" w:firstRow="0" w:lastRow="0" w:firstColumn="1" w:lastColumn="0" w:oddVBand="0" w:evenVBand="0" w:oddHBand="0" w:evenHBand="0" w:firstRowFirstColumn="0" w:firstRowLastColumn="0" w:lastRowFirstColumn="0" w:lastRowLastColumn="0"/>
            <w:tcW w:w="993" w:type="dxa"/>
          </w:tcPr>
          <w:p w:rsidR="00E45B85" w:rsidRPr="00882FED" w:rsidRDefault="003D2527">
            <w:pPr>
              <w:jc w:val="both"/>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Rúbrica del titular del área</w:t>
            </w:r>
          </w:p>
        </w:tc>
        <w:tc>
          <w:tcPr>
            <w:tcW w:w="3421" w:type="dxa"/>
          </w:tcPr>
          <w:p w:rsidR="00E45B85" w:rsidRPr="00882FED" w:rsidRDefault="003D252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Rúbrica autógrafa de quien clasifica.</w:t>
            </w:r>
          </w:p>
        </w:tc>
        <w:tc>
          <w:tcPr>
            <w:tcW w:w="968" w:type="dxa"/>
          </w:tcPr>
          <w:p w:rsidR="00E45B85" w:rsidRPr="00882FED" w:rsidRDefault="003D252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882FED">
              <w:rPr>
                <w:rFonts w:ascii="Palatino Linotype" w:eastAsia="Palatino Linotype" w:hAnsi="Palatino Linotype" w:cs="Palatino Linotype"/>
                <w:b/>
                <w:sz w:val="12"/>
                <w:szCs w:val="12"/>
              </w:rPr>
              <w:t>Fundamento legal</w:t>
            </w:r>
          </w:p>
        </w:tc>
        <w:tc>
          <w:tcPr>
            <w:tcW w:w="3446" w:type="dxa"/>
          </w:tcPr>
          <w:p w:rsidR="00E45B85" w:rsidRPr="00882FED" w:rsidRDefault="003D252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882FED" w:rsidRPr="00882FED" w:rsidTr="00E4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E45B85" w:rsidRPr="00882FED" w:rsidRDefault="003D2527">
            <w:pPr>
              <w:jc w:val="both"/>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Fecha de desclasificación</w:t>
            </w:r>
          </w:p>
        </w:tc>
        <w:tc>
          <w:tcPr>
            <w:tcW w:w="3421" w:type="dxa"/>
          </w:tcPr>
          <w:p w:rsidR="00E45B85" w:rsidRPr="00882FED" w:rsidRDefault="003D252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Se anotará la fecha en que se desclasifica el documento.</w:t>
            </w:r>
          </w:p>
        </w:tc>
        <w:tc>
          <w:tcPr>
            <w:tcW w:w="968" w:type="dxa"/>
          </w:tcPr>
          <w:p w:rsidR="00E45B85" w:rsidRPr="00882FED" w:rsidRDefault="003D252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82FED">
              <w:rPr>
                <w:rFonts w:ascii="Palatino Linotype" w:eastAsia="Palatino Linotype" w:hAnsi="Palatino Linotype" w:cs="Palatino Linotype"/>
                <w:b/>
                <w:sz w:val="12"/>
                <w:szCs w:val="12"/>
              </w:rPr>
              <w:t>Rúbrica del titular del área</w:t>
            </w:r>
          </w:p>
        </w:tc>
        <w:tc>
          <w:tcPr>
            <w:tcW w:w="3446" w:type="dxa"/>
          </w:tcPr>
          <w:p w:rsidR="00E45B85" w:rsidRPr="00882FED" w:rsidRDefault="003D252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Rúbrica autógrafa de quien clasifica.</w:t>
            </w:r>
          </w:p>
        </w:tc>
      </w:tr>
      <w:tr w:rsidR="00882FED" w:rsidRPr="00882FED" w:rsidTr="00E45B85">
        <w:tc>
          <w:tcPr>
            <w:cnfStyle w:val="001000000000" w:firstRow="0" w:lastRow="0" w:firstColumn="1" w:lastColumn="0" w:oddVBand="0" w:evenVBand="0" w:oddHBand="0" w:evenHBand="0" w:firstRowFirstColumn="0" w:firstRowLastColumn="0" w:lastRowFirstColumn="0" w:lastRowLastColumn="0"/>
            <w:tcW w:w="993" w:type="dxa"/>
          </w:tcPr>
          <w:p w:rsidR="00E45B85" w:rsidRPr="00882FED" w:rsidRDefault="003D2527">
            <w:pPr>
              <w:jc w:val="both"/>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Rúbrica y cargo del servidor público</w:t>
            </w:r>
          </w:p>
        </w:tc>
        <w:tc>
          <w:tcPr>
            <w:tcW w:w="3421" w:type="dxa"/>
          </w:tcPr>
          <w:p w:rsidR="00E45B85" w:rsidRPr="00882FED" w:rsidRDefault="003D252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Rúbrica autógrafa de quien desclasifica.</w:t>
            </w:r>
          </w:p>
        </w:tc>
        <w:tc>
          <w:tcPr>
            <w:tcW w:w="968" w:type="dxa"/>
          </w:tcPr>
          <w:p w:rsidR="00E45B85" w:rsidRPr="00882FED" w:rsidRDefault="003D252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882FED">
              <w:rPr>
                <w:rFonts w:ascii="Palatino Linotype" w:eastAsia="Palatino Linotype" w:hAnsi="Palatino Linotype" w:cs="Palatino Linotype"/>
                <w:b/>
                <w:sz w:val="12"/>
                <w:szCs w:val="12"/>
              </w:rPr>
              <w:t>Fecha de desclasificación</w:t>
            </w:r>
          </w:p>
        </w:tc>
        <w:tc>
          <w:tcPr>
            <w:tcW w:w="3446" w:type="dxa"/>
          </w:tcPr>
          <w:p w:rsidR="00E45B85" w:rsidRPr="00882FED" w:rsidRDefault="003D252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Se anotará la fecha en que se desclasifica.</w:t>
            </w:r>
          </w:p>
        </w:tc>
      </w:tr>
      <w:tr w:rsidR="00882FED" w:rsidRPr="00882FED" w:rsidTr="00E4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E45B85" w:rsidRPr="00882FED" w:rsidRDefault="00E45B85">
            <w:pPr>
              <w:jc w:val="both"/>
              <w:rPr>
                <w:rFonts w:ascii="Palatino Linotype" w:eastAsia="Palatino Linotype" w:hAnsi="Palatino Linotype" w:cs="Palatino Linotype"/>
                <w:sz w:val="12"/>
                <w:szCs w:val="12"/>
              </w:rPr>
            </w:pPr>
          </w:p>
        </w:tc>
        <w:tc>
          <w:tcPr>
            <w:tcW w:w="3421" w:type="dxa"/>
          </w:tcPr>
          <w:p w:rsidR="00E45B85" w:rsidRPr="00882FED" w:rsidRDefault="00E45B8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E45B85" w:rsidRPr="00882FED" w:rsidRDefault="003D252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882FED">
              <w:rPr>
                <w:rFonts w:ascii="Palatino Linotype" w:eastAsia="Palatino Linotype" w:hAnsi="Palatino Linotype" w:cs="Palatino Linotype"/>
                <w:b/>
                <w:sz w:val="12"/>
                <w:szCs w:val="12"/>
              </w:rPr>
              <w:t>Partes o secciones reservadas o confidenciales</w:t>
            </w:r>
          </w:p>
        </w:tc>
        <w:tc>
          <w:tcPr>
            <w:tcW w:w="3446" w:type="dxa"/>
          </w:tcPr>
          <w:p w:rsidR="00E45B85" w:rsidRPr="00882FED" w:rsidRDefault="003D252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 xml:space="preserve">En caso que una vez desclasificado el expediente, </w:t>
            </w:r>
            <w:proofErr w:type="spellStart"/>
            <w:r w:rsidRPr="00882FED">
              <w:rPr>
                <w:rFonts w:ascii="Palatino Linotype" w:eastAsia="Palatino Linotype" w:hAnsi="Palatino Linotype" w:cs="Palatino Linotype"/>
                <w:sz w:val="12"/>
                <w:szCs w:val="12"/>
              </w:rPr>
              <w:t>subsistanpartes</w:t>
            </w:r>
            <w:proofErr w:type="spellEnd"/>
            <w:r w:rsidRPr="00882FED">
              <w:rPr>
                <w:rFonts w:ascii="Palatino Linotype" w:eastAsia="Palatino Linotype" w:hAnsi="Palatino Linotype" w:cs="Palatino Linotype"/>
                <w:sz w:val="12"/>
                <w:szCs w:val="12"/>
              </w:rPr>
              <w:t xml:space="preserve"> o secciones del mismo reservadas o confidenciales, se señalará este hecho.</w:t>
            </w:r>
          </w:p>
        </w:tc>
      </w:tr>
      <w:tr w:rsidR="00882FED" w:rsidRPr="00882FED" w:rsidTr="00E45B85">
        <w:tc>
          <w:tcPr>
            <w:cnfStyle w:val="001000000000" w:firstRow="0" w:lastRow="0" w:firstColumn="1" w:lastColumn="0" w:oddVBand="0" w:evenVBand="0" w:oddHBand="0" w:evenHBand="0" w:firstRowFirstColumn="0" w:firstRowLastColumn="0" w:lastRowFirstColumn="0" w:lastRowLastColumn="0"/>
            <w:tcW w:w="993" w:type="dxa"/>
          </w:tcPr>
          <w:p w:rsidR="00E45B85" w:rsidRPr="00882FED" w:rsidRDefault="00E45B85">
            <w:pPr>
              <w:jc w:val="both"/>
              <w:rPr>
                <w:rFonts w:ascii="Palatino Linotype" w:eastAsia="Palatino Linotype" w:hAnsi="Palatino Linotype" w:cs="Palatino Linotype"/>
                <w:sz w:val="12"/>
                <w:szCs w:val="12"/>
              </w:rPr>
            </w:pPr>
          </w:p>
        </w:tc>
        <w:tc>
          <w:tcPr>
            <w:tcW w:w="3421" w:type="dxa"/>
          </w:tcPr>
          <w:p w:rsidR="00E45B85" w:rsidRPr="00882FED" w:rsidRDefault="00E45B8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E45B85" w:rsidRPr="00882FED" w:rsidRDefault="003D252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882FED">
              <w:rPr>
                <w:rFonts w:ascii="Palatino Linotype" w:eastAsia="Palatino Linotype" w:hAnsi="Palatino Linotype" w:cs="Palatino Linotype"/>
                <w:b/>
                <w:sz w:val="12"/>
                <w:szCs w:val="12"/>
              </w:rPr>
              <w:t>Rúbrica y cargo del servidor público</w:t>
            </w:r>
          </w:p>
        </w:tc>
        <w:tc>
          <w:tcPr>
            <w:tcW w:w="3446" w:type="dxa"/>
          </w:tcPr>
          <w:p w:rsidR="00E45B85" w:rsidRPr="00882FED" w:rsidRDefault="003D252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882FED">
              <w:rPr>
                <w:rFonts w:ascii="Palatino Linotype" w:eastAsia="Palatino Linotype" w:hAnsi="Palatino Linotype" w:cs="Palatino Linotype"/>
                <w:sz w:val="12"/>
                <w:szCs w:val="12"/>
              </w:rPr>
              <w:t>Rúbrica autógrafa de quien desclasifica.</w:t>
            </w:r>
          </w:p>
        </w:tc>
      </w:tr>
    </w:tbl>
    <w:p w:rsidR="00E45B85" w:rsidRPr="00882FED" w:rsidRDefault="003D2527" w:rsidP="009260D9">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882FED">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w:t>
      </w:r>
      <w:r w:rsidRPr="00882FED">
        <w:rPr>
          <w:rFonts w:ascii="Palatino Linotype" w:eastAsia="Palatino Linotype" w:hAnsi="Palatino Linotype" w:cs="Palatino Linotype"/>
        </w:rPr>
        <w:lastRenderedPageBreak/>
        <w:t>de México; 2, fracción II; 29, 36 fracciones I y II; 176, 178, 181, 185 y 186 fracción II de la Ley de Transparencia y Acceso a la Información Pública del Estado de México y Municipios, este Pleno:</w:t>
      </w:r>
    </w:p>
    <w:p w:rsidR="00E45B85" w:rsidRPr="00882FED" w:rsidRDefault="003D252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882FED">
        <w:rPr>
          <w:rFonts w:ascii="Palatino Linotype" w:eastAsia="Palatino Linotype" w:hAnsi="Palatino Linotype" w:cs="Palatino Linotype"/>
          <w:b/>
        </w:rPr>
        <w:t>III. R E S U E L V E</w:t>
      </w:r>
    </w:p>
    <w:p w:rsidR="00E45B85" w:rsidRPr="00882FED" w:rsidRDefault="003D2527">
      <w:pPr>
        <w:spacing w:before="240" w:after="240" w:line="360" w:lineRule="auto"/>
        <w:jc w:val="both"/>
        <w:rPr>
          <w:rFonts w:ascii="Palatino Linotype" w:eastAsia="Palatino Linotype" w:hAnsi="Palatino Linotype" w:cs="Palatino Linotype"/>
          <w:b/>
        </w:rPr>
      </w:pPr>
      <w:bookmarkStart w:id="8" w:name="_heading=h.1fob9te" w:colFirst="0" w:colLast="0"/>
      <w:bookmarkEnd w:id="8"/>
      <w:r w:rsidRPr="00882FED">
        <w:rPr>
          <w:rFonts w:ascii="Palatino Linotype" w:eastAsia="Palatino Linotype" w:hAnsi="Palatino Linotype" w:cs="Palatino Linotype"/>
          <w:b/>
        </w:rPr>
        <w:t xml:space="preserve">Primero. </w:t>
      </w:r>
      <w:r w:rsidRPr="00882FED">
        <w:rPr>
          <w:rFonts w:ascii="Palatino Linotype" w:eastAsia="Palatino Linotype" w:hAnsi="Palatino Linotype" w:cs="Palatino Linotype"/>
        </w:rPr>
        <w:t>Resultan</w:t>
      </w:r>
      <w:r w:rsidRPr="00882FED">
        <w:rPr>
          <w:rFonts w:ascii="Palatino Linotype" w:eastAsia="Palatino Linotype" w:hAnsi="Palatino Linotype" w:cs="Palatino Linotype"/>
          <w:b/>
        </w:rPr>
        <w:t xml:space="preserve"> fundados</w:t>
      </w:r>
      <w:r w:rsidRPr="00882FED">
        <w:rPr>
          <w:rFonts w:ascii="Palatino Linotype" w:eastAsia="Palatino Linotype" w:hAnsi="Palatino Linotype" w:cs="Palatino Linotype"/>
        </w:rPr>
        <w:t xml:space="preserve"> los motivos de inconformidad hechos valer por la parte </w:t>
      </w:r>
      <w:r w:rsidRPr="00882FED">
        <w:rPr>
          <w:rFonts w:ascii="Palatino Linotype" w:eastAsia="Palatino Linotype" w:hAnsi="Palatino Linotype" w:cs="Palatino Linotype"/>
          <w:b/>
        </w:rPr>
        <w:t xml:space="preserve">Recurrente </w:t>
      </w:r>
      <w:r w:rsidRPr="00882FED">
        <w:rPr>
          <w:rFonts w:ascii="Palatino Linotype" w:eastAsia="Palatino Linotype" w:hAnsi="Palatino Linotype" w:cs="Palatino Linotype"/>
        </w:rPr>
        <w:t xml:space="preserve">en el recurso de revisión </w:t>
      </w:r>
      <w:r w:rsidRPr="00882FED">
        <w:rPr>
          <w:rFonts w:ascii="Palatino Linotype" w:eastAsia="Palatino Linotype" w:hAnsi="Palatino Linotype" w:cs="Palatino Linotype"/>
          <w:b/>
        </w:rPr>
        <w:t xml:space="preserve">08774/INFOEM/IP/RR/2022, </w:t>
      </w:r>
      <w:r w:rsidRPr="00882FED">
        <w:rPr>
          <w:rFonts w:ascii="Palatino Linotype" w:eastAsia="Palatino Linotype" w:hAnsi="Palatino Linotype" w:cs="Palatino Linotype"/>
        </w:rPr>
        <w:t xml:space="preserve">por lo que, en términos del Considerando </w:t>
      </w:r>
      <w:r w:rsidRPr="00882FED">
        <w:rPr>
          <w:rFonts w:ascii="Palatino Linotype" w:eastAsia="Palatino Linotype" w:hAnsi="Palatino Linotype" w:cs="Palatino Linotype"/>
          <w:b/>
        </w:rPr>
        <w:t>Cuarto</w:t>
      </w:r>
      <w:r w:rsidRPr="00882FED">
        <w:rPr>
          <w:rFonts w:ascii="Palatino Linotype" w:eastAsia="Palatino Linotype" w:hAnsi="Palatino Linotype" w:cs="Palatino Linotype"/>
        </w:rPr>
        <w:t xml:space="preserve"> de la presente resolución, se</w:t>
      </w:r>
      <w:r w:rsidRPr="00882FED">
        <w:rPr>
          <w:rFonts w:ascii="Palatino Linotype" w:eastAsia="Palatino Linotype" w:hAnsi="Palatino Linotype" w:cs="Palatino Linotype"/>
          <w:b/>
        </w:rPr>
        <w:t xml:space="preserve"> Modifica </w:t>
      </w:r>
      <w:r w:rsidRPr="00882FED">
        <w:rPr>
          <w:rFonts w:ascii="Palatino Linotype" w:eastAsia="Palatino Linotype" w:hAnsi="Palatino Linotype" w:cs="Palatino Linotype"/>
        </w:rPr>
        <w:t>la respuesta</w:t>
      </w:r>
      <w:r w:rsidRPr="00882FED">
        <w:rPr>
          <w:rFonts w:ascii="Palatino Linotype" w:eastAsia="Palatino Linotype" w:hAnsi="Palatino Linotype" w:cs="Palatino Linotype"/>
          <w:b/>
        </w:rPr>
        <w:t xml:space="preserve"> </w:t>
      </w:r>
      <w:r w:rsidRPr="00882FED">
        <w:rPr>
          <w:rFonts w:ascii="Palatino Linotype" w:eastAsia="Palatino Linotype" w:hAnsi="Palatino Linotype" w:cs="Palatino Linotype"/>
        </w:rPr>
        <w:t xml:space="preserve">del </w:t>
      </w:r>
      <w:r w:rsidRPr="00882FED">
        <w:rPr>
          <w:rFonts w:ascii="Palatino Linotype" w:eastAsia="Palatino Linotype" w:hAnsi="Palatino Linotype" w:cs="Palatino Linotype"/>
          <w:b/>
        </w:rPr>
        <w:t>Sujeto Obligado.</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b/>
        </w:rPr>
        <w:t xml:space="preserve">Segundo. </w:t>
      </w:r>
      <w:r w:rsidRPr="00882FED">
        <w:rPr>
          <w:rFonts w:ascii="Palatino Linotype" w:eastAsia="Palatino Linotype" w:hAnsi="Palatino Linotype" w:cs="Palatino Linotype"/>
        </w:rPr>
        <w:t xml:space="preserve">Se </w:t>
      </w:r>
      <w:r w:rsidRPr="00882FED">
        <w:rPr>
          <w:rFonts w:ascii="Palatino Linotype" w:eastAsia="Palatino Linotype" w:hAnsi="Palatino Linotype" w:cs="Palatino Linotype"/>
          <w:b/>
        </w:rPr>
        <w:t>Ordena</w:t>
      </w:r>
      <w:r w:rsidRPr="00882FED">
        <w:rPr>
          <w:rFonts w:ascii="Palatino Linotype" w:eastAsia="Palatino Linotype" w:hAnsi="Palatino Linotype" w:cs="Palatino Linotype"/>
        </w:rPr>
        <w:t xml:space="preserve"> al </w:t>
      </w:r>
      <w:r w:rsidRPr="00882FED">
        <w:rPr>
          <w:rFonts w:ascii="Palatino Linotype" w:eastAsia="Palatino Linotype" w:hAnsi="Palatino Linotype" w:cs="Palatino Linotype"/>
          <w:b/>
        </w:rPr>
        <w:t>Sujeto Obligado</w:t>
      </w:r>
      <w:r w:rsidRPr="00882FED">
        <w:rPr>
          <w:rFonts w:ascii="Palatino Linotype" w:eastAsia="Palatino Linotype" w:hAnsi="Palatino Linotype" w:cs="Palatino Linotype"/>
        </w:rPr>
        <w:t xml:space="preserve">, en términos de los Considerandos </w:t>
      </w:r>
      <w:r w:rsidRPr="00882FED">
        <w:rPr>
          <w:rFonts w:ascii="Palatino Linotype" w:eastAsia="Palatino Linotype" w:hAnsi="Palatino Linotype" w:cs="Palatino Linotype"/>
          <w:b/>
        </w:rPr>
        <w:t xml:space="preserve">Cuarto </w:t>
      </w:r>
      <w:r w:rsidRPr="00882FED">
        <w:rPr>
          <w:rFonts w:ascii="Palatino Linotype" w:eastAsia="Palatino Linotype" w:hAnsi="Palatino Linotype" w:cs="Palatino Linotype"/>
        </w:rPr>
        <w:t xml:space="preserve">y </w:t>
      </w:r>
      <w:r w:rsidRPr="00882FED">
        <w:rPr>
          <w:rFonts w:ascii="Palatino Linotype" w:eastAsia="Palatino Linotype" w:hAnsi="Palatino Linotype" w:cs="Palatino Linotype"/>
          <w:b/>
        </w:rPr>
        <w:t xml:space="preserve">Quinto </w:t>
      </w:r>
      <w:r w:rsidRPr="00882FED">
        <w:rPr>
          <w:rFonts w:ascii="Palatino Linotype" w:eastAsia="Palatino Linotype" w:hAnsi="Palatino Linotype" w:cs="Palatino Linotype"/>
        </w:rPr>
        <w:t>de esta resolución, haga entrega, en versión pública de ser necesario, de lo siguiente:</w:t>
      </w:r>
    </w:p>
    <w:p w:rsidR="00E45B85" w:rsidRPr="00882FED" w:rsidRDefault="003D2527">
      <w:pPr>
        <w:spacing w:line="360" w:lineRule="auto"/>
        <w:ind w:left="284" w:right="49"/>
        <w:jc w:val="both"/>
        <w:rPr>
          <w:rFonts w:ascii="Palatino Linotype" w:eastAsia="Palatino Linotype" w:hAnsi="Palatino Linotype" w:cs="Palatino Linotype"/>
        </w:rPr>
      </w:pPr>
      <w:bookmarkStart w:id="9" w:name="_heading=h.kelgs2428oa6" w:colFirst="0" w:colLast="0"/>
      <w:bookmarkEnd w:id="9"/>
      <w:r w:rsidRPr="00882FED">
        <w:rPr>
          <w:rFonts w:ascii="Palatino Linotype" w:eastAsia="Palatino Linotype" w:hAnsi="Palatino Linotype" w:cs="Palatino Linotype"/>
        </w:rPr>
        <w:t>1. Contrato</w:t>
      </w:r>
      <w:r w:rsidR="00280314" w:rsidRPr="00882FED">
        <w:rPr>
          <w:rFonts w:ascii="Palatino Linotype" w:eastAsia="Palatino Linotype" w:hAnsi="Palatino Linotype" w:cs="Palatino Linotype"/>
        </w:rPr>
        <w:t xml:space="preserve"> </w:t>
      </w:r>
      <w:r w:rsidR="009260D9" w:rsidRPr="00882FED">
        <w:rPr>
          <w:rFonts w:ascii="Palatino Linotype" w:eastAsia="Palatino Linotype" w:hAnsi="Palatino Linotype" w:cs="Palatino Linotype"/>
        </w:rPr>
        <w:t>número CB/A/5/2021</w:t>
      </w:r>
      <w:r w:rsidRPr="00882FED">
        <w:rPr>
          <w:rFonts w:ascii="Palatino Linotype" w:eastAsia="Palatino Linotype" w:hAnsi="Palatino Linotype" w:cs="Palatino Linotype"/>
        </w:rPr>
        <w:t xml:space="preserve"> remitido en informe justificado.</w:t>
      </w:r>
    </w:p>
    <w:p w:rsidR="00E45B85" w:rsidRPr="00882FED" w:rsidRDefault="00E45B85">
      <w:pPr>
        <w:ind w:left="284" w:right="49"/>
        <w:jc w:val="both"/>
        <w:rPr>
          <w:rFonts w:ascii="Palatino Linotype" w:eastAsia="Palatino Linotype" w:hAnsi="Palatino Linotype" w:cs="Palatino Linotype"/>
          <w:i/>
          <w:sz w:val="20"/>
          <w:szCs w:val="20"/>
        </w:rPr>
      </w:pPr>
    </w:p>
    <w:p w:rsidR="00E45B85" w:rsidRPr="00882FED" w:rsidRDefault="003D2527">
      <w:pPr>
        <w:ind w:left="284" w:right="49"/>
        <w:jc w:val="both"/>
        <w:rPr>
          <w:rFonts w:ascii="Palatino Linotype" w:eastAsia="Palatino Linotype" w:hAnsi="Palatino Linotype" w:cs="Palatino Linotype"/>
          <w:i/>
          <w:sz w:val="20"/>
          <w:szCs w:val="20"/>
        </w:rPr>
      </w:pPr>
      <w:r w:rsidRPr="00882FED">
        <w:rPr>
          <w:rFonts w:ascii="Palatino Linotype" w:eastAsia="Palatino Linotype" w:hAnsi="Palatino Linotype" w:cs="Palatino Linotype"/>
          <w:i/>
          <w:sz w:val="20"/>
          <w:szCs w:val="20"/>
        </w:rPr>
        <w:t>De ser necesaria la versión pública, se deberá entregar el Acuerdo del Comité de Transparencia mediante el cual se funde y motive la eliminación de los datos y documentos clasificados en su totalidad como confidencial, en términos de los artículos 49, fracción VIII, 143, fracción I y 149 de la Ley de Transparencia y Acceso a la Información Pública del Estado de México y Municipios.</w:t>
      </w:r>
    </w:p>
    <w:p w:rsidR="00E45B85" w:rsidRPr="00882FED" w:rsidRDefault="003D2527">
      <w:pPr>
        <w:spacing w:before="240" w:after="240" w:line="360" w:lineRule="auto"/>
        <w:jc w:val="both"/>
        <w:rPr>
          <w:rFonts w:ascii="Palatino Linotype" w:eastAsia="Palatino Linotype" w:hAnsi="Palatino Linotype" w:cs="Palatino Linotype"/>
          <w:b/>
        </w:rPr>
      </w:pPr>
      <w:r w:rsidRPr="00882FED">
        <w:rPr>
          <w:rFonts w:ascii="Palatino Linotype" w:eastAsia="Palatino Linotype" w:hAnsi="Palatino Linotype" w:cs="Palatino Linotype"/>
          <w:b/>
        </w:rPr>
        <w:t xml:space="preserve">Tercero. Notifíquese, </w:t>
      </w:r>
      <w:r w:rsidRPr="00882FED">
        <w:rPr>
          <w:rFonts w:ascii="Palatino Linotype" w:eastAsia="Palatino Linotype" w:hAnsi="Palatino Linotype" w:cs="Palatino Linotype"/>
        </w:rPr>
        <w:t>vía</w:t>
      </w:r>
      <w:r w:rsidRPr="00882FED">
        <w:rPr>
          <w:rFonts w:ascii="Palatino Linotype" w:eastAsia="Palatino Linotype" w:hAnsi="Palatino Linotype" w:cs="Palatino Linotype"/>
          <w:b/>
        </w:rPr>
        <w:t xml:space="preserve"> SAIMEX, </w:t>
      </w:r>
      <w:r w:rsidRPr="00882FED">
        <w:rPr>
          <w:rFonts w:ascii="Palatino Linotype" w:eastAsia="Palatino Linotype" w:hAnsi="Palatino Linotype" w:cs="Palatino Linotype"/>
        </w:rPr>
        <w:t xml:space="preserve">al Responsable de la Unidad de Transparencia del </w:t>
      </w:r>
      <w:r w:rsidRPr="00882FED">
        <w:rPr>
          <w:rFonts w:ascii="Palatino Linotype" w:eastAsia="Palatino Linotype" w:hAnsi="Palatino Linotype" w:cs="Palatino Linotype"/>
          <w:b/>
        </w:rPr>
        <w:t>Sujeto Obligado</w:t>
      </w:r>
      <w:r w:rsidRPr="00882FED">
        <w:rPr>
          <w:rFonts w:ascii="Palatino Linotype" w:eastAsia="Palatino Linotype" w:hAnsi="Palatino Linotype" w:cs="Palatino Linotype"/>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882FED">
        <w:rPr>
          <w:rFonts w:ascii="Palatino Linotype" w:eastAsia="Palatino Linotype" w:hAnsi="Palatino Linotype" w:cs="Palatino Linotype"/>
          <w:b/>
        </w:rPr>
        <w:t>.</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lastRenderedPageBreak/>
        <w:t xml:space="preserve">De conformidad con el artículo 198 de la Ley de Transparencia y Acceso a la Información Pública del Estado de México y Municipios, de considerarlo procedente, el </w:t>
      </w:r>
      <w:r w:rsidRPr="00882FED">
        <w:rPr>
          <w:rFonts w:ascii="Palatino Linotype" w:eastAsia="Palatino Linotype" w:hAnsi="Palatino Linotype" w:cs="Palatino Linotype"/>
          <w:b/>
        </w:rPr>
        <w:t>Sujeto Obligado</w:t>
      </w:r>
      <w:r w:rsidRPr="00882FED">
        <w:rPr>
          <w:rFonts w:ascii="Palatino Linotype" w:eastAsia="Palatino Linotype" w:hAnsi="Palatino Linotype" w:cs="Palatino Linotype"/>
        </w:rPr>
        <w:t xml:space="preserve"> de manera fundada y motivada, podrá solicitar una ampliación de plazo para el cumplimiento de la presente resolución.</w:t>
      </w:r>
    </w:p>
    <w:p w:rsidR="00E45B85" w:rsidRPr="00882FED" w:rsidRDefault="003D2527">
      <w:pPr>
        <w:spacing w:before="240" w:after="240"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b/>
        </w:rPr>
        <w:t xml:space="preserve">Cuarto.  Notifíquese, </w:t>
      </w:r>
      <w:r w:rsidRPr="00882FED">
        <w:rPr>
          <w:rFonts w:ascii="Palatino Linotype" w:eastAsia="Palatino Linotype" w:hAnsi="Palatino Linotype" w:cs="Palatino Linotype"/>
        </w:rPr>
        <w:t xml:space="preserve">vía </w:t>
      </w:r>
      <w:r w:rsidRPr="00882FED">
        <w:rPr>
          <w:rFonts w:ascii="Palatino Linotype" w:eastAsia="Palatino Linotype" w:hAnsi="Palatino Linotype" w:cs="Palatino Linotype"/>
          <w:b/>
        </w:rPr>
        <w:t>SAIMEX</w:t>
      </w:r>
      <w:r w:rsidRPr="00882FED">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E45B85" w:rsidRPr="00882FED" w:rsidRDefault="003D2527">
      <w:pPr>
        <w:spacing w:line="360" w:lineRule="auto"/>
        <w:jc w:val="both"/>
        <w:rPr>
          <w:rFonts w:ascii="Palatino Linotype" w:eastAsia="Palatino Linotype" w:hAnsi="Palatino Linotype" w:cs="Palatino Linotype"/>
        </w:rPr>
      </w:pPr>
      <w:r w:rsidRPr="00882FE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TRIGÉSIMO </w:t>
      </w:r>
      <w:r w:rsidR="009260D9" w:rsidRPr="00882FED">
        <w:rPr>
          <w:rFonts w:ascii="Palatino Linotype" w:eastAsia="Palatino Linotype" w:hAnsi="Palatino Linotype" w:cs="Palatino Linotype"/>
        </w:rPr>
        <w:t xml:space="preserve">SÉPTIMA </w:t>
      </w:r>
      <w:r w:rsidRPr="00882FED">
        <w:rPr>
          <w:rFonts w:ascii="Palatino Linotype" w:eastAsia="Palatino Linotype" w:hAnsi="Palatino Linotype" w:cs="Palatino Linotype"/>
        </w:rPr>
        <w:t xml:space="preserve">SESIÓN ORDINARIA CELEBRADA EL </w:t>
      </w:r>
      <w:r w:rsidR="009260D9" w:rsidRPr="00882FED">
        <w:rPr>
          <w:rFonts w:ascii="Palatino Linotype" w:eastAsia="Palatino Linotype" w:hAnsi="Palatino Linotype" w:cs="Palatino Linotype"/>
        </w:rPr>
        <w:t>DOCE</w:t>
      </w:r>
      <w:r w:rsidRPr="00882FED">
        <w:rPr>
          <w:rFonts w:ascii="Palatino Linotype" w:eastAsia="Palatino Linotype" w:hAnsi="Palatino Linotype" w:cs="Palatino Linotype"/>
        </w:rPr>
        <w:t xml:space="preserve"> DE OCTUBRE DE DOS MIL VEINTIDÓS, ANTE EL SECRETARIO TÉCNICO DEL PLENO ALEXIS TAPIA RAMÍREZ.</w:t>
      </w:r>
    </w:p>
    <w:p w:rsidR="00E45B85" w:rsidRPr="00882FED" w:rsidRDefault="00E45B85">
      <w:pPr>
        <w:rPr>
          <w:rFonts w:ascii="Palatino Linotype" w:eastAsia="Palatino Linotype" w:hAnsi="Palatino Linotype" w:cs="Palatino Linotype"/>
        </w:rPr>
      </w:pPr>
      <w:bookmarkStart w:id="10" w:name="_GoBack"/>
      <w:bookmarkEnd w:id="10"/>
    </w:p>
    <w:p w:rsidR="00E45B85" w:rsidRPr="00882FED" w:rsidRDefault="005C67A1">
      <w:pPr>
        <w:rPr>
          <w:rFonts w:ascii="Palatino Linotype" w:eastAsia="Palatino Linotype" w:hAnsi="Palatino Linotype" w:cs="Palatino Linotype"/>
        </w:rPr>
      </w:pPr>
      <w:r w:rsidRPr="00882FED">
        <w:rPr>
          <w:rFonts w:ascii="Palatino Linotype" w:eastAsia="Palatino Linotype" w:hAnsi="Palatino Linotype" w:cs="Palatino Linotype"/>
          <w:noProof/>
        </w:rPr>
        <mc:AlternateContent>
          <mc:Choice Requires="wps">
            <w:drawing>
              <wp:anchor distT="0" distB="0" distL="114300" distR="114300" simplePos="0" relativeHeight="251666432" behindDoc="0" locked="0" layoutInCell="1" allowOverlap="1" wp14:anchorId="73B39C40" wp14:editId="4C7E39DC">
                <wp:simplePos x="0" y="0"/>
                <wp:positionH relativeFrom="margin">
                  <wp:align>right</wp:align>
                </wp:positionH>
                <wp:positionV relativeFrom="paragraph">
                  <wp:posOffset>48260</wp:posOffset>
                </wp:positionV>
                <wp:extent cx="5505450" cy="1076325"/>
                <wp:effectExtent l="38100" t="38100" r="76200" b="85725"/>
                <wp:wrapNone/>
                <wp:docPr id="4" name="Conector recto 4"/>
                <wp:cNvGraphicFramePr/>
                <a:graphic xmlns:a="http://schemas.openxmlformats.org/drawingml/2006/main">
                  <a:graphicData uri="http://schemas.microsoft.com/office/word/2010/wordprocessingShape">
                    <wps:wsp>
                      <wps:cNvCnPr/>
                      <wps:spPr>
                        <a:xfrm>
                          <a:off x="0" y="0"/>
                          <a:ext cx="5505450" cy="10763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81C3CA" id="Conector recto 4"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8pt" to="815.8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" strokecolor="black [3200]" strokeweight="2pt">
                <v:shadow on="t" color="black" opacity="24903f" origin=",.5" offset="0,.55556mm"/>
                <w10:wrap anchorx="margin"/>
              </v:line>
            </w:pict>
          </mc:Fallback>
        </mc:AlternateContent>
      </w:r>
    </w:p>
    <w:p w:rsidR="00E45B85" w:rsidRPr="00882FED" w:rsidRDefault="00E45B85">
      <w:pPr>
        <w:rPr>
          <w:rFonts w:ascii="Palatino Linotype" w:eastAsia="Palatino Linotype" w:hAnsi="Palatino Linotype" w:cs="Palatino Linotype"/>
        </w:rPr>
      </w:pPr>
    </w:p>
    <w:p w:rsidR="00E45B85" w:rsidRPr="00882FED" w:rsidRDefault="00E45B85">
      <w:pPr>
        <w:rPr>
          <w:rFonts w:ascii="Palatino Linotype" w:eastAsia="Palatino Linotype" w:hAnsi="Palatino Linotype" w:cs="Palatino Linotype"/>
        </w:rPr>
      </w:pPr>
    </w:p>
    <w:p w:rsidR="00E45B85" w:rsidRPr="00882FED" w:rsidRDefault="00E45B85">
      <w:pPr>
        <w:rPr>
          <w:rFonts w:ascii="Palatino Linotype" w:eastAsia="Palatino Linotype" w:hAnsi="Palatino Linotype" w:cs="Palatino Linotype"/>
        </w:rPr>
      </w:pPr>
    </w:p>
    <w:p w:rsidR="00E45B85" w:rsidRPr="00882FED" w:rsidRDefault="00E45B85">
      <w:pPr>
        <w:rPr>
          <w:rFonts w:ascii="Palatino Linotype" w:eastAsia="Palatino Linotype" w:hAnsi="Palatino Linotype" w:cs="Palatino Linotype"/>
        </w:rPr>
      </w:pPr>
    </w:p>
    <w:p w:rsidR="00E45B85" w:rsidRPr="00882FED" w:rsidRDefault="00E45B85">
      <w:pPr>
        <w:rPr>
          <w:rFonts w:ascii="Palatino Linotype" w:eastAsia="Palatino Linotype" w:hAnsi="Palatino Linotype" w:cs="Palatino Linotype"/>
        </w:rPr>
      </w:pPr>
    </w:p>
    <w:p w:rsidR="00E45B85" w:rsidRPr="00882FED" w:rsidRDefault="00E45B85">
      <w:pPr>
        <w:rPr>
          <w:rFonts w:ascii="Palatino Linotype" w:eastAsia="Palatino Linotype" w:hAnsi="Palatino Linotype" w:cs="Palatino Linotype"/>
        </w:rPr>
      </w:pPr>
    </w:p>
    <w:p w:rsidR="00E45B85" w:rsidRPr="00882FED" w:rsidRDefault="00E45B85">
      <w:pPr>
        <w:rPr>
          <w:rFonts w:ascii="Palatino Linotype" w:eastAsia="Palatino Linotype" w:hAnsi="Palatino Linotype" w:cs="Palatino Linotype"/>
        </w:rPr>
      </w:pPr>
    </w:p>
    <w:p w:rsidR="00E45B85" w:rsidRPr="00882FED" w:rsidRDefault="00E45B85">
      <w:pPr>
        <w:rPr>
          <w:rFonts w:ascii="Palatino Linotype" w:eastAsia="Palatino Linotype" w:hAnsi="Palatino Linotype" w:cs="Palatino Linotype"/>
        </w:rPr>
      </w:pPr>
    </w:p>
    <w:p w:rsidR="00E45B85" w:rsidRPr="00882FED" w:rsidRDefault="00E45B85">
      <w:pPr>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bookmarkStart w:id="11" w:name="_heading=h.3rdcrjn" w:colFirst="0" w:colLast="0"/>
      <w:bookmarkEnd w:id="11"/>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p w:rsidR="00E45B85" w:rsidRPr="00882FED" w:rsidRDefault="00E45B85">
      <w:pPr>
        <w:spacing w:line="360" w:lineRule="auto"/>
        <w:jc w:val="both"/>
        <w:rPr>
          <w:rFonts w:ascii="Palatino Linotype" w:eastAsia="Palatino Linotype" w:hAnsi="Palatino Linotype" w:cs="Palatino Linotype"/>
        </w:rPr>
      </w:pPr>
    </w:p>
    <w:sectPr w:rsidR="00E45B85" w:rsidRPr="00882FED">
      <w:headerReference w:type="default" r:id="rId50"/>
      <w:footerReference w:type="default" r:id="rId51"/>
      <w:headerReference w:type="first" r:id="rId52"/>
      <w:footerReference w:type="first" r:id="rId5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088" w:rsidRDefault="00584088">
      <w:r>
        <w:separator/>
      </w:r>
    </w:p>
  </w:endnote>
  <w:endnote w:type="continuationSeparator" w:id="0">
    <w:p w:rsidR="00584088" w:rsidRDefault="00584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B85" w:rsidRDefault="003D252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519A6">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519A6">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rsidR="00E45B85" w:rsidRDefault="00E45B8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B85" w:rsidRDefault="003D252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519A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519A6">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p>
  <w:p w:rsidR="00E45B85" w:rsidRDefault="00E45B8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088" w:rsidRDefault="00584088">
      <w:r>
        <w:separator/>
      </w:r>
    </w:p>
  </w:footnote>
  <w:footnote w:type="continuationSeparator" w:id="0">
    <w:p w:rsidR="00584088" w:rsidRDefault="00584088">
      <w:r>
        <w:continuationSeparator/>
      </w:r>
    </w:p>
  </w:footnote>
  <w:footnote w:id="1">
    <w:p w:rsidR="00E45B85" w:rsidRDefault="003D2527">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E45B85" w:rsidRDefault="003D252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rsidR="00E45B85" w:rsidRDefault="003D252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 Para los efectos de esta Ley se entenderá por:</w:t>
      </w:r>
    </w:p>
    <w:p w:rsidR="00E45B85" w:rsidRDefault="003D252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B85" w:rsidRDefault="003D2527">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-1080125</wp:posOffset>
          </wp:positionH>
          <wp:positionV relativeFrom="paragraph">
            <wp:posOffset>-488305</wp:posOffset>
          </wp:positionV>
          <wp:extent cx="7809865" cy="10165715"/>
          <wp:effectExtent l="0" t="0" r="0" b="0"/>
          <wp:wrapNone/>
          <wp:docPr id="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E45B85">
      <w:tc>
        <w:tcPr>
          <w:tcW w:w="2489" w:type="dxa"/>
          <w:shd w:val="clear" w:color="auto" w:fill="auto"/>
        </w:tcPr>
        <w:p w:rsidR="00E45B85" w:rsidRDefault="003D25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E45B85" w:rsidRDefault="003D252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08774/INFOEM/IP/RR/2022</w:t>
          </w:r>
        </w:p>
      </w:tc>
    </w:tr>
    <w:tr w:rsidR="00E45B85">
      <w:trPr>
        <w:trHeight w:val="228"/>
      </w:trPr>
      <w:tc>
        <w:tcPr>
          <w:tcW w:w="2489" w:type="dxa"/>
          <w:shd w:val="clear" w:color="auto" w:fill="auto"/>
          <w:vAlign w:val="center"/>
        </w:tcPr>
        <w:p w:rsidR="00E45B85" w:rsidRDefault="003D25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E45B85" w:rsidRDefault="003D252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Desarrollo Social</w:t>
          </w:r>
        </w:p>
      </w:tc>
    </w:tr>
    <w:tr w:rsidR="00E45B85">
      <w:tc>
        <w:tcPr>
          <w:tcW w:w="2489" w:type="dxa"/>
          <w:shd w:val="clear" w:color="auto" w:fill="auto"/>
          <w:vAlign w:val="center"/>
        </w:tcPr>
        <w:p w:rsidR="00E45B85" w:rsidRDefault="003D252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E45B85" w:rsidRDefault="003D252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45B85" w:rsidRDefault="003D252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B85" w:rsidRDefault="003D252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-1080131</wp:posOffset>
          </wp:positionH>
          <wp:positionV relativeFrom="paragraph">
            <wp:posOffset>-262874</wp:posOffset>
          </wp:positionV>
          <wp:extent cx="7809865" cy="10165715"/>
          <wp:effectExtent l="0" t="0" r="0" b="0"/>
          <wp:wrapNone/>
          <wp:docPr id="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670" w:type="dxa"/>
      <w:tblInd w:w="3261" w:type="dxa"/>
      <w:tblLayout w:type="fixed"/>
      <w:tblLook w:val="0400" w:firstRow="0" w:lastRow="0" w:firstColumn="0" w:lastColumn="0" w:noHBand="0" w:noVBand="1"/>
    </w:tblPr>
    <w:tblGrid>
      <w:gridCol w:w="2551"/>
      <w:gridCol w:w="3119"/>
    </w:tblGrid>
    <w:tr w:rsidR="00E45B85">
      <w:tc>
        <w:tcPr>
          <w:tcW w:w="2551" w:type="dxa"/>
          <w:shd w:val="clear" w:color="auto" w:fill="auto"/>
          <w:vAlign w:val="center"/>
        </w:tcPr>
        <w:p w:rsidR="00E45B85" w:rsidRDefault="003D25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E45B85" w:rsidRDefault="003D252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08774/INFOEM/IP/RR/2022</w:t>
          </w:r>
        </w:p>
      </w:tc>
    </w:tr>
    <w:tr w:rsidR="00E45B85">
      <w:trPr>
        <w:trHeight w:val="130"/>
      </w:trPr>
      <w:tc>
        <w:tcPr>
          <w:tcW w:w="2551" w:type="dxa"/>
          <w:shd w:val="clear" w:color="auto" w:fill="auto"/>
          <w:vAlign w:val="center"/>
        </w:tcPr>
        <w:p w:rsidR="00E45B85" w:rsidRDefault="003D25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E45B85" w:rsidRDefault="008B21D9" w:rsidP="008B21D9">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XXXXXXXX XXXXXX XXXXXXXX</w:t>
          </w:r>
        </w:p>
      </w:tc>
    </w:tr>
    <w:tr w:rsidR="00E45B85">
      <w:trPr>
        <w:trHeight w:val="228"/>
      </w:trPr>
      <w:tc>
        <w:tcPr>
          <w:tcW w:w="2551" w:type="dxa"/>
          <w:shd w:val="clear" w:color="auto" w:fill="auto"/>
          <w:vAlign w:val="center"/>
        </w:tcPr>
        <w:p w:rsidR="00E45B85" w:rsidRDefault="003D25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E45B85" w:rsidRDefault="003D252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Desarrollo Social</w:t>
          </w:r>
        </w:p>
      </w:tc>
    </w:tr>
    <w:tr w:rsidR="00E45B85">
      <w:tc>
        <w:tcPr>
          <w:tcW w:w="2551" w:type="dxa"/>
          <w:shd w:val="clear" w:color="auto" w:fill="auto"/>
          <w:vAlign w:val="center"/>
        </w:tcPr>
        <w:p w:rsidR="00E45B85" w:rsidRDefault="003D25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E45B85" w:rsidRDefault="003D252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E45B85" w:rsidRDefault="00E45B85">
    <w:pPr>
      <w:pBdr>
        <w:top w:val="nil"/>
        <w:left w:val="nil"/>
        <w:bottom w:val="nil"/>
        <w:right w:val="nil"/>
        <w:between w:val="nil"/>
      </w:pBdr>
      <w:tabs>
        <w:tab w:val="center" w:pos="4252"/>
        <w:tab w:val="right" w:pos="8504"/>
      </w:tabs>
      <w:rPr>
        <w:rFonts w:ascii="Cambria" w:eastAsia="Cambria" w:hAnsi="Cambria" w:cs="Cambria"/>
        <w:color w:val="000000"/>
      </w:rPr>
    </w:pPr>
  </w:p>
  <w:p w:rsidR="00E45B85" w:rsidRDefault="00E45B8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71326B"/>
    <w:multiLevelType w:val="multilevel"/>
    <w:tmpl w:val="E38ABF1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6A353647"/>
    <w:multiLevelType w:val="multilevel"/>
    <w:tmpl w:val="1E864C5A"/>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B85"/>
    <w:rsid w:val="000067F1"/>
    <w:rsid w:val="000B50D7"/>
    <w:rsid w:val="00280314"/>
    <w:rsid w:val="00280568"/>
    <w:rsid w:val="003118F2"/>
    <w:rsid w:val="00320628"/>
    <w:rsid w:val="003D2527"/>
    <w:rsid w:val="00464D65"/>
    <w:rsid w:val="0047045E"/>
    <w:rsid w:val="00584088"/>
    <w:rsid w:val="0059689E"/>
    <w:rsid w:val="005C67A1"/>
    <w:rsid w:val="007038F6"/>
    <w:rsid w:val="00882FED"/>
    <w:rsid w:val="008B21D9"/>
    <w:rsid w:val="009260D9"/>
    <w:rsid w:val="009519A6"/>
    <w:rsid w:val="00B054F0"/>
    <w:rsid w:val="00B55E8F"/>
    <w:rsid w:val="00B71AD3"/>
    <w:rsid w:val="00CD2D00"/>
    <w:rsid w:val="00D904A2"/>
    <w:rsid w:val="00D96D29"/>
    <w:rsid w:val="00D974EE"/>
    <w:rsid w:val="00DF2B38"/>
    <w:rsid w:val="00E45B85"/>
    <w:rsid w:val="00E719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8F94CDF0-AA5A-4FF4-AC13-CC4BC14CE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table" w:customStyle="1" w:styleId="9">
    <w:name w:val="9"/>
    <w:basedOn w:val="TableNormal2"/>
    <w:tblPr>
      <w:tblStyleRowBandSize w:val="1"/>
      <w:tblStyleColBandSize w:val="1"/>
      <w:tblCellMar>
        <w:top w:w="0" w:type="dxa"/>
        <w:left w:w="115" w:type="dxa"/>
        <w:bottom w:w="0" w:type="dxa"/>
        <w:right w:w="115" w:type="dxa"/>
      </w:tblCellMar>
    </w:tblPr>
  </w:style>
  <w:style w:type="table" w:customStyle="1" w:styleId="8">
    <w:name w:val="8"/>
    <w:basedOn w:val="TableNormal2"/>
    <w:tblPr>
      <w:tblStyleRowBandSize w:val="1"/>
      <w:tblStyleColBandSize w:val="1"/>
      <w:tblCellMar>
        <w:top w:w="0" w:type="dxa"/>
        <w:left w:w="115" w:type="dxa"/>
        <w:bottom w:w="0" w:type="dxa"/>
        <w:right w:w="115" w:type="dxa"/>
      </w:tblCellMar>
    </w:tblPr>
  </w:style>
  <w:style w:type="table" w:customStyle="1" w:styleId="7">
    <w:name w:val="7"/>
    <w:basedOn w:val="TableNormal3"/>
    <w:tblPr>
      <w:tblStyleRowBandSize w:val="1"/>
      <w:tblStyleColBandSize w:val="1"/>
      <w:tblCellMar>
        <w:top w:w="0" w:type="dxa"/>
        <w:left w:w="115" w:type="dxa"/>
        <w:bottom w:w="0" w:type="dxa"/>
        <w:right w:w="115" w:type="dxa"/>
      </w:tblCellMar>
    </w:tblPr>
  </w:style>
  <w:style w:type="table" w:customStyle="1" w:styleId="6">
    <w:name w:val="6"/>
    <w:basedOn w:val="TableNormal3"/>
    <w:tblPr>
      <w:tblStyleRowBandSize w:val="1"/>
      <w:tblStyleColBandSize w:val="1"/>
      <w:tblCellMar>
        <w:top w:w="0" w:type="dxa"/>
        <w:left w:w="115" w:type="dxa"/>
        <w:bottom w:w="0" w:type="dxa"/>
        <w:right w:w="115" w:type="dxa"/>
      </w:tblCellMar>
    </w:tblPr>
  </w:style>
  <w:style w:type="table" w:customStyle="1" w:styleId="20">
    <w:name w:val="20"/>
    <w:basedOn w:val="TableNormal4"/>
    <w:tblPr>
      <w:tblStyleRowBandSize w:val="1"/>
      <w:tblStyleColBandSize w:val="1"/>
      <w:tblCellMar>
        <w:top w:w="0" w:type="dxa"/>
        <w:left w:w="115" w:type="dxa"/>
        <w:bottom w:w="0" w:type="dxa"/>
        <w:right w:w="115" w:type="dxa"/>
      </w:tblCellMar>
    </w:tblPr>
  </w:style>
  <w:style w:type="table" w:customStyle="1" w:styleId="19">
    <w:name w:val="19"/>
    <w:basedOn w:val="TableNormal4"/>
    <w:tblPr>
      <w:tblStyleRowBandSize w:val="1"/>
      <w:tblStyleColBandSize w:val="1"/>
      <w:tblCellMar>
        <w:top w:w="0" w:type="dxa"/>
        <w:left w:w="115" w:type="dxa"/>
        <w:bottom w:w="0" w:type="dxa"/>
        <w:right w:w="115" w:type="dxa"/>
      </w:tblCellMar>
    </w:tblPr>
  </w:style>
  <w:style w:type="table" w:customStyle="1" w:styleId="18">
    <w:name w:val="18"/>
    <w:basedOn w:val="TableNormal5"/>
    <w:tblPr>
      <w:tblStyleRowBandSize w:val="1"/>
      <w:tblStyleColBandSize w:val="1"/>
      <w:tblCellMar>
        <w:top w:w="0" w:type="dxa"/>
        <w:left w:w="115" w:type="dxa"/>
        <w:bottom w:w="0" w:type="dxa"/>
        <w:right w:w="115" w:type="dxa"/>
      </w:tblCellMar>
    </w:tblPr>
  </w:style>
  <w:style w:type="table" w:customStyle="1" w:styleId="17">
    <w:name w:val="17"/>
    <w:basedOn w:val="TableNormal5"/>
    <w:tblPr>
      <w:tblStyleRowBandSize w:val="1"/>
      <w:tblStyleColBandSize w:val="1"/>
      <w:tblCellMar>
        <w:top w:w="0" w:type="dxa"/>
        <w:left w:w="115" w:type="dxa"/>
        <w:bottom w:w="0" w:type="dxa"/>
        <w:right w:w="115" w:type="dxa"/>
      </w:tblCellMar>
    </w:tblPr>
  </w:style>
  <w:style w:type="table" w:customStyle="1" w:styleId="16">
    <w:name w:val="16"/>
    <w:basedOn w:val="TableNormal6"/>
    <w:tblPr>
      <w:tblStyleRowBandSize w:val="1"/>
      <w:tblStyleColBandSize w:val="1"/>
      <w:tblCellMar>
        <w:top w:w="0" w:type="dxa"/>
        <w:left w:w="115" w:type="dxa"/>
        <w:bottom w:w="0" w:type="dxa"/>
        <w:right w:w="115" w:type="dxa"/>
      </w:tblCellMar>
    </w:tblPr>
  </w:style>
  <w:style w:type="table" w:customStyle="1" w:styleId="15">
    <w:name w:val="15"/>
    <w:basedOn w:val="TableNormal6"/>
    <w:tblPr>
      <w:tblStyleRowBandSize w:val="1"/>
      <w:tblStyleColBandSize w:val="1"/>
      <w:tblCellMar>
        <w:top w:w="0" w:type="dxa"/>
        <w:left w:w="115" w:type="dxa"/>
        <w:bottom w:w="0" w:type="dxa"/>
        <w:right w:w="115" w:type="dxa"/>
      </w:tblCellMar>
    </w:tblPr>
  </w:style>
  <w:style w:type="table" w:customStyle="1" w:styleId="14">
    <w:name w:val="14"/>
    <w:basedOn w:val="TableNormal7"/>
    <w:tblPr>
      <w:tblStyleRowBandSize w:val="1"/>
      <w:tblStyleColBandSize w:val="1"/>
      <w:tblCellMar>
        <w:top w:w="0" w:type="dxa"/>
        <w:left w:w="115" w:type="dxa"/>
        <w:bottom w:w="0" w:type="dxa"/>
        <w:right w:w="115" w:type="dxa"/>
      </w:tblCellMar>
    </w:tblPr>
  </w:style>
  <w:style w:type="table" w:customStyle="1" w:styleId="13">
    <w:name w:val="13"/>
    <w:basedOn w:val="TableNormal7"/>
    <w:tblPr>
      <w:tblStyleRowBandSize w:val="1"/>
      <w:tblStyleColBandSize w:val="1"/>
      <w:tblCellMar>
        <w:top w:w="0" w:type="dxa"/>
        <w:left w:w="115" w:type="dxa"/>
        <w:bottom w:w="0"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top w:w="0" w:type="dxa"/>
        <w:left w:w="115" w:type="dxa"/>
        <w:bottom w:w="0" w:type="dxa"/>
        <w:right w:w="115" w:type="dxa"/>
      </w:tblCellMar>
    </w:tblPr>
  </w:style>
  <w:style w:type="table" w:customStyle="1" w:styleId="10">
    <w:name w:val="10"/>
    <w:basedOn w:val="TableNormal8"/>
    <w:tblPr>
      <w:tblStyleRowBandSize w:val="1"/>
      <w:tblStyleColBandSize w:val="1"/>
      <w:tblCellMar>
        <w:top w:w="0" w:type="dxa"/>
        <w:left w:w="115" w:type="dxa"/>
        <w:bottom w:w="0" w:type="dxa"/>
        <w:right w:w="115" w:type="dxa"/>
      </w:tblCellMar>
    </w:tbl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9" Type="http://schemas.openxmlformats.org/officeDocument/2006/relationships/image" Target="media/image8.pn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12.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footnotes" Target="footnotes.xml"/><Relationship Id="rId33" Type="http://schemas.openxmlformats.org/officeDocument/2006/relationships/image" Target="media/image5.png"/><Relationship Id="rId38" Type="http://schemas.openxmlformats.org/officeDocument/2006/relationships/oleObject" Target="embeddings/oleObject3.bin"/><Relationship Id="rId46" Type="http://schemas.openxmlformats.org/officeDocument/2006/relationships/oleObject" Target="embeddings/oleObject7.bin"/><Relationship Id="rId2" Type="http://schemas.openxmlformats.org/officeDocument/2006/relationships/customXml" Target="../customXml/item2.xml"/><Relationship Id="rId29" Type="http://schemas.openxmlformats.org/officeDocument/2006/relationships/image" Target="media/image14.png"/><Relationship Id="rId41" Type="http://schemas.openxmlformats.org/officeDocument/2006/relationships/image" Target="media/image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image" Target="media/image7.png"/><Relationship Id="rId40" Type="http://schemas.openxmlformats.org/officeDocument/2006/relationships/oleObject" Target="embeddings/oleObject4.bin"/><Relationship Id="rId45" Type="http://schemas.openxmlformats.org/officeDocument/2006/relationships/image" Target="media/image11.png"/><Relationship Id="rId53" Type="http://schemas.openxmlformats.org/officeDocument/2006/relationships/footer" Target="footer2.xml"/><Relationship Id="rId5" Type="http://schemas.openxmlformats.org/officeDocument/2006/relationships/settings" Target="settings.xml"/><Relationship Id="rId28" Type="http://schemas.openxmlformats.org/officeDocument/2006/relationships/image" Target="media/image15.png"/><Relationship Id="rId36" Type="http://schemas.openxmlformats.org/officeDocument/2006/relationships/oleObject" Target="embeddings/oleObject2.bin"/><Relationship Id="rId49" Type="http://schemas.openxmlformats.org/officeDocument/2006/relationships/image" Target="media/image18.png"/><Relationship Id="rId10" Type="http://schemas.openxmlformats.org/officeDocument/2006/relationships/image" Target="media/image2.png"/><Relationship Id="rId31" Type="http://schemas.openxmlformats.org/officeDocument/2006/relationships/image" Target="media/image4.png"/><Relationship Id="rId44" Type="http://schemas.openxmlformats.org/officeDocument/2006/relationships/oleObject" Target="embeddings/oleObject6.bin"/><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27" Type="http://schemas.openxmlformats.org/officeDocument/2006/relationships/image" Target="media/image17.png"/><Relationship Id="rId30" Type="http://schemas.openxmlformats.org/officeDocument/2006/relationships/image" Target="media/image13.png"/><Relationship Id="rId35" Type="http://schemas.openxmlformats.org/officeDocument/2006/relationships/image" Target="media/image6.png"/><Relationship Id="rId43" Type="http://schemas.openxmlformats.org/officeDocument/2006/relationships/image" Target="media/image10.png"/><Relationship Id="rId48" Type="http://schemas.openxmlformats.org/officeDocument/2006/relationships/oleObject" Target="embeddings/oleObject8.bin"/><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3K3xXB5PrxyEOY16Z2n2tppq8Q==">AMUW2mWIOVcQOLpWREFBp3ARqTg55zd2GLr8T5b9fhLHhCiY2tgKFXLJ3vS7VxrNxFuctAANEUAeHBgP9xDRx+Xa+ekX+wYEMDNbjUucqQH8S6odBTmHu6ghs/pQHDpk8d/Izse5kah7Jn3QHtHvPwltTxkbzn4cSoYC0d2PHHYiI9R2phI265Re7hbEnNgLJmtCtjyDK79VvgbblK7B1YKh8LxkBQbMc1EO5TruUm1V7L0X5q1jp0JddHBBrP2INEJqP10423f7ZRDJgUrBedasBuqaqk74j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DA8128-6A35-4041-BEE2-7AA9E1164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9610</Words>
  <Characters>52858</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62344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cp:lastPrinted>2022-10-13T15:35:00Z</cp:lastPrinted>
  <dcterms:created xsi:type="dcterms:W3CDTF">2022-11-03T19:21:00Z</dcterms:created>
  <dcterms:modified xsi:type="dcterms:W3CDTF">2022-11-03T19:21:00Z</dcterms:modified>
</cp:coreProperties>
</file>