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siete de abril de dos mil veintidós. </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00304/INFOEM/IP/RR/2022</w:t>
      </w:r>
      <w:r>
        <w:rPr>
          <w:rFonts w:ascii="Palatino Linotype" w:eastAsia="Palatino Linotype" w:hAnsi="Palatino Linotype" w:cs="Palatino Linotype"/>
        </w:rPr>
        <w:t xml:space="preserve">, interpuesto </w:t>
      </w:r>
      <w:proofErr w:type="spellStart"/>
      <w:r w:rsidR="0068036C">
        <w:rPr>
          <w:rFonts w:ascii="Palatino Linotype" w:eastAsia="Palatino Linotype" w:hAnsi="Palatino Linotype" w:cs="Palatino Linotype"/>
          <w:b/>
        </w:rPr>
        <w:t>Xxxxxx</w:t>
      </w:r>
      <w:proofErr w:type="spellEnd"/>
      <w:r w:rsidR="0068036C">
        <w:rPr>
          <w:rFonts w:ascii="Palatino Linotype" w:eastAsia="Palatino Linotype" w:hAnsi="Palatino Linotype" w:cs="Palatino Linotype"/>
          <w:b/>
        </w:rPr>
        <w:t xml:space="preserve"> </w:t>
      </w:r>
      <w:proofErr w:type="spellStart"/>
      <w:r w:rsidR="0068036C">
        <w:rPr>
          <w:rFonts w:ascii="Palatino Linotype" w:eastAsia="Palatino Linotype" w:hAnsi="Palatino Linotype" w:cs="Palatino Linotype"/>
          <w:b/>
        </w:rPr>
        <w:t>Xxxxxxx</w:t>
      </w:r>
      <w:proofErr w:type="spellEnd"/>
      <w:r w:rsidR="0068036C">
        <w:rPr>
          <w:rFonts w:ascii="Palatino Linotype" w:eastAsia="Palatino Linotype" w:hAnsi="Palatino Linotype" w:cs="Palatino Linotype"/>
          <w:b/>
        </w:rPr>
        <w:t xml:space="preserve"> </w:t>
      </w:r>
      <w:proofErr w:type="spellStart"/>
      <w:r w:rsidR="0068036C">
        <w:rPr>
          <w:rFonts w:ascii="Palatino Linotype" w:eastAsia="Palatino Linotype" w:hAnsi="Palatino Linotype" w:cs="Palatino Linotype"/>
          <w:b/>
        </w:rPr>
        <w:t>Xxxxx</w:t>
      </w:r>
      <w:proofErr w:type="spellEnd"/>
      <w:r w:rsidR="0068036C">
        <w:rPr>
          <w:rFonts w:ascii="Palatino Linotype" w:eastAsia="Palatino Linotype" w:hAnsi="Palatino Linotype" w:cs="Palatino Linotype"/>
          <w:b/>
        </w:rPr>
        <w:t xml:space="preserve"> </w:t>
      </w:r>
      <w:proofErr w:type="spellStart"/>
      <w:r w:rsidR="0068036C">
        <w:rPr>
          <w:rFonts w:ascii="Palatino Linotype" w:eastAsia="Palatino Linotype" w:hAnsi="Palatino Linotype" w:cs="Palatino Linotype"/>
          <w:b/>
        </w:rPr>
        <w:t>Xxxxxxxxx</w:t>
      </w:r>
      <w:proofErr w:type="spellEnd"/>
      <w:r w:rsidR="0068036C">
        <w:rPr>
          <w:rFonts w:ascii="Palatino Linotype" w:eastAsia="Palatino Linotype" w:hAnsi="Palatino Linotype" w:cs="Palatino Linotype"/>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Tezoyuca</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w:t>
      </w:r>
      <w:bookmarkStart w:id="0" w:name="_GoBack"/>
      <w:bookmarkEnd w:id="0"/>
      <w:r>
        <w:rPr>
          <w:rFonts w:ascii="Palatino Linotype" w:eastAsia="Palatino Linotype" w:hAnsi="Palatino Linotype" w:cs="Palatino Linotype"/>
        </w:rPr>
        <w:t xml:space="preserve">n con base en los siguientes: </w:t>
      </w:r>
    </w:p>
    <w:p w:rsidR="002B11DD" w:rsidRDefault="00A43F3E">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veinte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00005/TEZOYUCA/IP/2022, </w:t>
      </w:r>
      <w:r>
        <w:rPr>
          <w:rFonts w:ascii="Palatino Linotype" w:eastAsia="Palatino Linotype" w:hAnsi="Palatino Linotype" w:cs="Palatino Linotype"/>
        </w:rPr>
        <w:t xml:space="preserve">mediante la cual requirió la información siguiente: </w:t>
      </w:r>
    </w:p>
    <w:p w:rsidR="002B11DD" w:rsidRDefault="00A43F3E">
      <w:pPr>
        <w:spacing w:line="276" w:lineRule="auto"/>
        <w:ind w:left="851" w:right="616"/>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“Se solicita lo siguiente: Nombre, teléfono institucional, correo institucional de los siguientes servidores públicos: Presidente Municipal, Tesorero Municipal, Contralor Municipal, Secretario del Ayuntamiento, Director de Obras Públicas, Director de Desarrollo Urbano, Director de Desarrollo Económico, Director de Mejora Regulatoria, Dirección de Turismo, Titular de Protección Civil, Titular de Derechos Humanos, Titular de la Unidad de Transparencia, Titular de la UIPPE, Director de Administración y Titular de Servicios Públicos Municipales. También se solicita el certificado de competencia laboral de los servidores públicos que establece el Art. 32 de la Ley Orgánica Municipal.”(</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del Sistema de Acceso a la Información Mexiquense (SAIMEX).</w:t>
      </w:r>
    </w:p>
    <w:p w:rsidR="002B11DD" w:rsidRDefault="00A43F3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veintiuno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rsidR="002B11DD" w:rsidRDefault="002B11DD">
      <w:pPr>
        <w:spacing w:line="360" w:lineRule="auto"/>
        <w:jc w:val="both"/>
        <w:rPr>
          <w:rFonts w:ascii="Palatino Linotype" w:eastAsia="Palatino Linotype" w:hAnsi="Palatino Linotype" w:cs="Palatino Linotype"/>
        </w:rPr>
      </w:pPr>
    </w:p>
    <w:p w:rsidR="002B11DD" w:rsidRDefault="00A43F3E">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solicitud que se refiere es del ayuntamiento de Ixtlahuaca y </w:t>
      </w:r>
      <w:proofErr w:type="spellStart"/>
      <w:r>
        <w:rPr>
          <w:rFonts w:ascii="Palatino Linotype" w:eastAsia="Palatino Linotype" w:hAnsi="Palatino Linotype" w:cs="Palatino Linotype"/>
          <w:i/>
          <w:sz w:val="22"/>
          <w:szCs w:val="22"/>
        </w:rPr>
        <w:t>nocontamos</w:t>
      </w:r>
      <w:proofErr w:type="spellEnd"/>
      <w:r>
        <w:rPr>
          <w:rFonts w:ascii="Palatino Linotype" w:eastAsia="Palatino Linotype" w:hAnsi="Palatino Linotype" w:cs="Palatino Linotype"/>
          <w:i/>
          <w:sz w:val="22"/>
          <w:szCs w:val="22"/>
        </w:rPr>
        <w:t xml:space="preserve"> con información de la institución ya que somos el ayuntamiento de </w:t>
      </w:r>
      <w:proofErr w:type="spellStart"/>
      <w:r>
        <w:rPr>
          <w:rFonts w:ascii="Palatino Linotype" w:eastAsia="Palatino Linotype" w:hAnsi="Palatino Linotype" w:cs="Palatino Linotype"/>
          <w:i/>
          <w:sz w:val="22"/>
          <w:szCs w:val="22"/>
        </w:rPr>
        <w:t>Tezayuca</w:t>
      </w:r>
      <w:proofErr w:type="spellEnd"/>
      <w:r>
        <w:rPr>
          <w:rFonts w:ascii="Palatino Linotype" w:eastAsia="Palatino Linotype" w:hAnsi="Palatino Linotype" w:cs="Palatino Linotype"/>
          <w:i/>
          <w:sz w:val="22"/>
          <w:szCs w:val="22"/>
        </w:rPr>
        <w:t>.”(Sic)</w:t>
      </w:r>
    </w:p>
    <w:p w:rsidR="002B11DD" w:rsidRDefault="002B11DD">
      <w:pPr>
        <w:spacing w:line="360" w:lineRule="auto"/>
        <w:ind w:right="49"/>
        <w:jc w:val="both"/>
        <w:rPr>
          <w:rFonts w:ascii="Palatino Linotype" w:eastAsia="Palatino Linotype" w:hAnsi="Palatino Linotype" w:cs="Palatino Linotype"/>
        </w:rPr>
      </w:pPr>
    </w:p>
    <w:p w:rsidR="002B11DD" w:rsidRDefault="00A43F3E">
      <w:pPr>
        <w:spacing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Pronunciamiento al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adjuntó el archivo electrónico identificado como </w:t>
      </w:r>
      <w:r>
        <w:rPr>
          <w:rFonts w:ascii="Palatino Linotype" w:eastAsia="Palatino Linotype" w:hAnsi="Palatino Linotype" w:cs="Palatino Linotype"/>
          <w:b/>
          <w:i/>
        </w:rPr>
        <w:t>“</w:t>
      </w:r>
      <w:proofErr w:type="gramStart"/>
      <w:r>
        <w:rPr>
          <w:rFonts w:ascii="Palatino Linotype" w:eastAsia="Palatino Linotype" w:hAnsi="Palatino Linotype" w:cs="Palatino Linotype"/>
          <w:b/>
          <w:i/>
        </w:rPr>
        <w:t>documento(</w:t>
      </w:r>
      <w:proofErr w:type="gramEnd"/>
      <w:r>
        <w:rPr>
          <w:rFonts w:ascii="Palatino Linotype" w:eastAsia="Palatino Linotype" w:hAnsi="Palatino Linotype" w:cs="Palatino Linotype"/>
          <w:b/>
          <w:i/>
        </w:rPr>
        <w:t>5).</w:t>
      </w:r>
      <w:proofErr w:type="spellStart"/>
      <w:r>
        <w:rPr>
          <w:rFonts w:ascii="Palatino Linotype" w:eastAsia="Palatino Linotype" w:hAnsi="Palatino Linotype" w:cs="Palatino Linotype"/>
          <w:b/>
          <w:i/>
        </w:rPr>
        <w:t>pdf</w:t>
      </w:r>
      <w:proofErr w:type="spellEnd"/>
      <w:r>
        <w:rPr>
          <w:rFonts w:ascii="Palatino Linotype" w:eastAsia="Palatino Linotype" w:hAnsi="Palatino Linotype" w:cs="Palatino Linotype"/>
          <w:b/>
          <w:i/>
        </w:rPr>
        <w:t xml:space="preserve">” </w:t>
      </w:r>
      <w:r>
        <w:rPr>
          <w:rFonts w:ascii="Palatino Linotype" w:eastAsia="Palatino Linotype" w:hAnsi="Palatino Linotype" w:cs="Palatino Linotype"/>
        </w:rPr>
        <w:t>que contiene el acuse de solicitud de información número 00005/TEZOYUCA/IP/2022.</w:t>
      </w:r>
    </w:p>
    <w:p w:rsidR="002B11DD" w:rsidRDefault="00A43F3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veinticuatro de enero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rsidR="002B11DD" w:rsidRDefault="00A43F3E">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2B11DD" w:rsidRDefault="002B11DD">
      <w:pPr>
        <w:spacing w:line="360" w:lineRule="auto"/>
        <w:ind w:left="851" w:right="900"/>
        <w:jc w:val="both"/>
        <w:rPr>
          <w:rFonts w:ascii="Palatino Linotype" w:eastAsia="Palatino Linotype" w:hAnsi="Palatino Linotype" w:cs="Palatino Linotype"/>
          <w:i/>
          <w:sz w:val="2"/>
          <w:szCs w:val="2"/>
        </w:rPr>
      </w:pPr>
    </w:p>
    <w:p w:rsidR="002B11DD" w:rsidRDefault="00A43F3E">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NINGÚN MOMENTO SE ESPECIFICA QUE SE REQUIEREN LOS DATOS DEL MUNICIPIO DE IXTLAHUACA." (Sic)</w:t>
      </w:r>
    </w:p>
    <w:p w:rsidR="002B11DD" w:rsidRDefault="00A43F3E">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Razones o motivos de la inconformidad: </w:t>
      </w:r>
    </w:p>
    <w:p w:rsidR="002B11DD" w:rsidRDefault="00A43F3E">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CUENTAN CON LA INFORMACIÓN." (Sic)</w:t>
      </w:r>
    </w:p>
    <w:p w:rsidR="002B11DD" w:rsidRDefault="002B11DD">
      <w:pPr>
        <w:spacing w:line="360" w:lineRule="auto"/>
        <w:jc w:val="both"/>
        <w:rPr>
          <w:rFonts w:ascii="Palatino Linotype" w:eastAsia="Palatino Linotype" w:hAnsi="Palatino Linotype" w:cs="Palatino Linotype"/>
          <w:sz w:val="2"/>
          <w:szCs w:val="2"/>
        </w:rPr>
      </w:pP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2B11DD" w:rsidRDefault="00A43F3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veintisiete de enero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2B11DD" w:rsidRDefault="00A43F3E">
      <w:pPr>
        <w:widowControl w:val="0"/>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ocho de febrero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en informe justificado el archivo electrónico identificado como “</w:t>
      </w:r>
      <w:r>
        <w:rPr>
          <w:rFonts w:ascii="Palatino Linotype" w:eastAsia="Palatino Linotype" w:hAnsi="Palatino Linotype" w:cs="Palatino Linotype"/>
          <w:b/>
          <w:i/>
        </w:rPr>
        <w:t xml:space="preserve">correos institucionales.pdf” </w:t>
      </w:r>
      <w:r>
        <w:rPr>
          <w:rFonts w:ascii="Palatino Linotype" w:eastAsia="Palatino Linotype" w:hAnsi="Palatino Linotype" w:cs="Palatino Linotype"/>
        </w:rPr>
        <w:t xml:space="preserve">consistente en el oficio número TEZ/CRH/0029/2022, de fecha cuatro de febrero de dos mil veintidós, suscrito y signado por el </w:t>
      </w:r>
      <w:r>
        <w:rPr>
          <w:rFonts w:ascii="Palatino Linotype" w:eastAsia="Palatino Linotype" w:hAnsi="Palatino Linotype" w:cs="Palatino Linotype"/>
          <w:b/>
          <w:u w:val="single"/>
        </w:rPr>
        <w:t>Coordinador de Recursos Humanos</w:t>
      </w:r>
      <w:r>
        <w:rPr>
          <w:rFonts w:ascii="Palatino Linotype" w:eastAsia="Palatino Linotype" w:hAnsi="Palatino Linotype" w:cs="Palatino Linotype"/>
        </w:rPr>
        <w:t xml:space="preserve"> por medio del cual entregó el nombre, cargo, número telefónico institucional y correo institucional de diversos servidores públicos; asimismo, manifestó: </w:t>
      </w:r>
      <w:r>
        <w:rPr>
          <w:rFonts w:ascii="Palatino Linotype" w:eastAsia="Palatino Linotype" w:hAnsi="Palatino Linotype" w:cs="Palatino Linotype"/>
          <w:i/>
        </w:rPr>
        <w:t xml:space="preserve">“En cumplimiento al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32 frac. V de la ley Orgánica Municipal los servidores públicos cuentan con un plazo de seis meses para contar con la certificación de Competencia Laboral para desempeñar su cargo otorgado.” (Sic)</w:t>
      </w:r>
    </w:p>
    <w:p w:rsidR="002B11DD" w:rsidRDefault="00A43F3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que el </w:t>
      </w:r>
      <w:r>
        <w:rPr>
          <w:rFonts w:ascii="Palatino Linotype" w:eastAsia="Palatino Linotype" w:hAnsi="Palatino Linotype" w:cs="Palatino Linotype"/>
          <w:b/>
        </w:rPr>
        <w:t>cuatro de marzo de dos mil veintidós</w:t>
      </w:r>
      <w:r>
        <w:rPr>
          <w:rFonts w:ascii="Palatino Linotype" w:eastAsia="Palatino Linotype" w:hAnsi="Palatino Linotype" w:cs="Palatino Linotype"/>
        </w:rPr>
        <w:t xml:space="preserve"> se notificó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para su conocimiento y para que manifestara lo que a su derecho asistiera y conviniera. </w:t>
      </w:r>
    </w:p>
    <w:p w:rsidR="002B11DD" w:rsidRDefault="00A43F3E">
      <w:pPr>
        <w:widowControl w:val="0"/>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formuló alegatos ni </w:t>
      </w:r>
      <w:r>
        <w:rPr>
          <w:rFonts w:ascii="Palatino Linotype" w:eastAsia="Palatino Linotype" w:hAnsi="Palatino Linotype" w:cs="Palatino Linotype"/>
        </w:rPr>
        <w:lastRenderedPageBreak/>
        <w:t xml:space="preserve">ofreció medios de prueba. </w:t>
      </w:r>
    </w:p>
    <w:p w:rsidR="002B11DD" w:rsidRDefault="00A43F3E">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7.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once de marzo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rsidR="002B11DD" w:rsidRDefault="00A43F3E">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cinco de abril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2B11DD" w:rsidRDefault="00A43F3E">
      <w:pPr>
        <w:widowControl w:val="0"/>
        <w:spacing w:before="240" w:after="240" w:line="360" w:lineRule="auto"/>
        <w:jc w:val="center"/>
        <w:rPr>
          <w:rFonts w:ascii="Palatino Linotype" w:eastAsia="Palatino Linotype" w:hAnsi="Palatino Linotype" w:cs="Palatino Linotype"/>
          <w:b/>
        </w:rPr>
      </w:pPr>
      <w:bookmarkStart w:id="2" w:name="_heading=h.tyjcwt" w:colFirst="0" w:colLast="0"/>
      <w:bookmarkEnd w:id="2"/>
      <w:r>
        <w:rPr>
          <w:rFonts w:ascii="Palatino Linotype" w:eastAsia="Palatino Linotype" w:hAnsi="Palatino Linotype" w:cs="Palatino Linotype"/>
          <w:b/>
        </w:rPr>
        <w:t>II. C O N S I D E R A N D O</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B11DD" w:rsidRDefault="00A43F3E">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lastRenderedPageBreak/>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veintiuno de enero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veinticuatro de enero de dos mil veintidós</w:t>
      </w:r>
      <w:r>
        <w:rPr>
          <w:rFonts w:ascii="Palatino Linotype" w:eastAsia="Palatino Linotype" w:hAnsi="Palatino Linotype" w:cs="Palatino Linotype"/>
        </w:rPr>
        <w:t>, esto es, el primer día hábil posterior al que tuvo conocimiento de la respuesta impugnada.</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IV del ordenamiento legal citado, que a la letra dice: </w:t>
      </w:r>
    </w:p>
    <w:p w:rsidR="002B11DD" w:rsidRDefault="00A43F3E">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2B11DD" w:rsidRDefault="00A43F3E">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w:t>
      </w:r>
    </w:p>
    <w:p w:rsidR="002B11DD" w:rsidRDefault="00A43F3E">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La declaración de incompetencia por el sujeto obligado;</w:t>
      </w:r>
    </w:p>
    <w:p w:rsidR="002B11DD" w:rsidRDefault="00A43F3E">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2B11DD" w:rsidRDefault="002B11D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rsidR="002B11DD" w:rsidRDefault="00A43F3E">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Tercero. Análisis de las causales de sobreseimiento. </w:t>
      </w:r>
      <w:r>
        <w:rPr>
          <w:rFonts w:ascii="Palatino Linotype" w:eastAsia="Palatino Linotype" w:hAnsi="Palatino Linotype" w:cs="Palatino Linotype"/>
          <w:color w:val="000000"/>
        </w:rPr>
        <w:t xml:space="preserve">Derivado de los documentos enviados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etapa correspondiente a las manifestaciones, conviene analizar las causas de sobreseimiento que establece la Ley de Transparencia y Acceso a la Información Pública del Estado de México y Municipios bajo los argumentos siguientes:</w:t>
      </w: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importante precisar que, en el asunto que se resuelve,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 xml:space="preserve">solicitó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la siguiente información: </w:t>
      </w:r>
    </w:p>
    <w:p w:rsidR="002B11DD" w:rsidRDefault="002B11D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2B11DD" w:rsidRDefault="00A43F3E">
      <w:pPr>
        <w:numPr>
          <w:ilvl w:val="0"/>
          <w:numId w:val="2"/>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Nombre, teléfono institucional y correo institucional del</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Presidente Municipal, Tesorero Municipal, Contralor Municipal, Secretario del Ayuntamiento, Director de Obras Públicas, Director de Desarrollo Urbano, Director de Desarrollo Económico, Director de Mejora Regulatoria, Dirección de Turismo, Titular de Protección Civil, Titular de Derechos Humanos, Titular de la Unidad de Transparencia, Titular de la UIPPE, Director de Administración y Titular de Servicios Públicos Municipales; y,</w:t>
      </w:r>
    </w:p>
    <w:p w:rsidR="002B11DD" w:rsidRDefault="002B11DD">
      <w:pPr>
        <w:pBdr>
          <w:top w:val="nil"/>
          <w:left w:val="nil"/>
          <w:bottom w:val="nil"/>
          <w:right w:val="nil"/>
          <w:between w:val="nil"/>
        </w:pBdr>
        <w:tabs>
          <w:tab w:val="left" w:pos="0"/>
        </w:tabs>
        <w:spacing w:line="360" w:lineRule="auto"/>
        <w:ind w:left="720" w:right="49"/>
        <w:jc w:val="both"/>
        <w:rPr>
          <w:rFonts w:ascii="Palatino Linotype" w:eastAsia="Palatino Linotype" w:hAnsi="Palatino Linotype" w:cs="Palatino Linotype"/>
          <w:color w:val="000000"/>
        </w:rPr>
      </w:pPr>
    </w:p>
    <w:p w:rsidR="002B11DD" w:rsidRDefault="00A43F3E">
      <w:pPr>
        <w:numPr>
          <w:ilvl w:val="0"/>
          <w:numId w:val="2"/>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Certificado de competencia laboral de los servidores públicos que establece el Art. 32 de la Ley Orgánica Municipal.</w:t>
      </w:r>
    </w:p>
    <w:p w:rsidR="002B11DD" w:rsidRDefault="002B11D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lastRenderedPageBreak/>
        <w:t xml:space="preserve">En su respuesta,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manifestó que en la solicitud refirió el Ayuntamiento de Ixtlahuaca; por lo tanto, no cuenta con la información; pronunciamiento que motivo al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a la interposición del recurso de revisión en el que argumentó como razones y motivos de inconformidad </w:t>
      </w:r>
      <w:r>
        <w:rPr>
          <w:rFonts w:ascii="Palatino Linotype" w:eastAsia="Palatino Linotype" w:hAnsi="Palatino Linotype" w:cs="Palatino Linotype"/>
          <w:i/>
          <w:color w:val="000000"/>
        </w:rPr>
        <w:t>“no cuentan con la información”</w:t>
      </w:r>
    </w:p>
    <w:p w:rsidR="002B11DD" w:rsidRDefault="002B11DD">
      <w:pPr>
        <w:pBdr>
          <w:top w:val="nil"/>
          <w:left w:val="nil"/>
          <w:bottom w:val="nil"/>
          <w:right w:val="nil"/>
          <w:between w:val="nil"/>
        </w:pBdr>
        <w:ind w:left="720"/>
        <w:rPr>
          <w:rFonts w:ascii="Palatino Linotype" w:eastAsia="Palatino Linotype" w:hAnsi="Palatino Linotype" w:cs="Palatino Linotype"/>
          <w:color w:val="000000"/>
        </w:rPr>
      </w:pP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es conveniente referir, que si bien es cierto, se vulneró el derecho de acceso a la información pública del particular, al no atenderse el requerimiento formulado dentro el plazo que para tal efecto dispone la Ley en la materia, también lo es que, una vez interpuesto el medio de inconformidad,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 uso de su derecho, a través del informe justificado, remitió el oficio de respuesta número TEZ/CRH/0029/2022 de fecha 04 de febrero de 2022, suscrito por el Coordinador de Recursos Humanos , en el que se advierte el contenido siguiente: </w:t>
      </w: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noProof/>
          <w:color w:val="000000"/>
          <w:lang w:val="es-MX"/>
        </w:rPr>
        <w:drawing>
          <wp:inline distT="0" distB="0" distL="0" distR="0">
            <wp:extent cx="5586183" cy="3159263"/>
            <wp:effectExtent l="12700" t="12700" r="12700" b="1270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586183" cy="3159263"/>
                    </a:xfrm>
                    <a:prstGeom prst="rect">
                      <a:avLst/>
                    </a:prstGeom>
                    <a:ln w="12700">
                      <a:solidFill>
                        <a:srgbClr val="000000"/>
                      </a:solidFill>
                      <a:prstDash val="solid"/>
                    </a:ln>
                  </pic:spPr>
                </pic:pic>
              </a:graphicData>
            </a:graphic>
          </wp:inline>
        </w:drawing>
      </w: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noProof/>
          <w:color w:val="000000"/>
          <w:lang w:val="es-MX"/>
        </w:rPr>
        <w:lastRenderedPageBreak/>
        <w:drawing>
          <wp:inline distT="0" distB="0" distL="0" distR="0">
            <wp:extent cx="5444981" cy="4037254"/>
            <wp:effectExtent l="12700" t="12700" r="12700" b="1270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444981" cy="4037254"/>
                    </a:xfrm>
                    <a:prstGeom prst="rect">
                      <a:avLst/>
                    </a:prstGeom>
                    <a:ln w="12700">
                      <a:solidFill>
                        <a:srgbClr val="000000"/>
                      </a:solidFill>
                      <a:prstDash val="solid"/>
                    </a:ln>
                  </pic:spPr>
                </pic:pic>
              </a:graphicData>
            </a:graphic>
          </wp:inline>
        </w:drawing>
      </w:r>
    </w:p>
    <w:p w:rsidR="002B11DD" w:rsidRDefault="002B11D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Capturas de pantalla que muestran que el Servidor Público Habilitado competente de la Coordinador de Recursos Humanos atendió los requerimientos formulados por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en la solicitud de información, al proporcionar el nombre, número de teléfono institucional y correo institucional de cada uno de los servidores públicos descritos por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al momento de formular la solicitud de información. </w:t>
      </w:r>
    </w:p>
    <w:p w:rsidR="002B11DD" w:rsidRDefault="002B11D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conveniente precisar, que del análisis al documento enviado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a través de informe justificado, se observó que en la relación proporcionada no se advierte el nombre, teléfono y correo institucional del Director </w:t>
      </w:r>
      <w:r>
        <w:rPr>
          <w:rFonts w:ascii="Palatino Linotype" w:eastAsia="Palatino Linotype" w:hAnsi="Palatino Linotype" w:cs="Palatino Linotype"/>
          <w:color w:val="000000"/>
        </w:rPr>
        <w:lastRenderedPageBreak/>
        <w:t xml:space="preserve">de Administración, por lo que es necesario traer a contexto, lo dispuesto en el artículo 38 del </w:t>
      </w:r>
      <w:r>
        <w:rPr>
          <w:rFonts w:ascii="Palatino Linotype" w:eastAsia="Palatino Linotype" w:hAnsi="Palatino Linotype" w:cs="Palatino Linotype"/>
          <w:b/>
          <w:color w:val="000000"/>
        </w:rPr>
        <w:t xml:space="preserve">Bando Municipal de </w:t>
      </w:r>
      <w:proofErr w:type="spellStart"/>
      <w:r>
        <w:rPr>
          <w:rFonts w:ascii="Palatino Linotype" w:eastAsia="Palatino Linotype" w:hAnsi="Palatino Linotype" w:cs="Palatino Linotype"/>
          <w:b/>
          <w:color w:val="000000"/>
        </w:rPr>
        <w:t>Tezoyuca</w:t>
      </w:r>
      <w:proofErr w:type="spellEnd"/>
      <w:r>
        <w:rPr>
          <w:rFonts w:ascii="Palatino Linotype" w:eastAsia="Palatino Linotype" w:hAnsi="Palatino Linotype" w:cs="Palatino Linotype"/>
          <w:b/>
          <w:color w:val="000000"/>
        </w:rPr>
        <w:t xml:space="preserve"> 2022 </w:t>
      </w:r>
      <w:r>
        <w:rPr>
          <w:rFonts w:ascii="Palatino Linotype" w:eastAsia="Palatino Linotype" w:hAnsi="Palatino Linotype" w:cs="Palatino Linotype"/>
          <w:color w:val="000000"/>
        </w:rPr>
        <w:t xml:space="preserve">en el que se estipulan las dependencias que auxiliarán a la administración pública municipal  para el estudio, planeación y despacho de los asuntos, tal como se observa en las siguientes capturas de pantalla. </w:t>
      </w: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5571002" cy="6005403"/>
            <wp:effectExtent l="12700" t="12700" r="12700" b="12700"/>
            <wp:docPr id="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571002" cy="6005403"/>
                    </a:xfrm>
                    <a:prstGeom prst="rect">
                      <a:avLst/>
                    </a:prstGeom>
                    <a:ln w="12700">
                      <a:solidFill>
                        <a:srgbClr val="000000"/>
                      </a:solidFill>
                      <a:prstDash val="solid"/>
                    </a:ln>
                  </pic:spPr>
                </pic:pic>
              </a:graphicData>
            </a:graphic>
          </wp:inline>
        </w:drawing>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5553037" cy="6473451"/>
            <wp:effectExtent l="12700" t="12700" r="12700" b="1270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53037" cy="6473451"/>
                    </a:xfrm>
                    <a:prstGeom prst="rect">
                      <a:avLst/>
                    </a:prstGeom>
                    <a:ln w="12700">
                      <a:solidFill>
                        <a:srgbClr val="000000"/>
                      </a:solidFill>
                      <a:prstDash val="solid"/>
                    </a:ln>
                  </pic:spPr>
                </pic:pic>
              </a:graphicData>
            </a:graphic>
          </wp:inline>
        </w:drawing>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extent cx="5586242" cy="3322785"/>
            <wp:effectExtent l="12700" t="12700" r="12700" b="12700"/>
            <wp:docPr id="2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5586242" cy="3322785"/>
                    </a:xfrm>
                    <a:prstGeom prst="rect">
                      <a:avLst/>
                    </a:prstGeom>
                    <a:ln w="12700">
                      <a:solidFill>
                        <a:srgbClr val="000000"/>
                      </a:solidFill>
                      <a:prstDash val="solid"/>
                    </a:ln>
                  </pic:spPr>
                </pic:pic>
              </a:graphicData>
            </a:graphic>
          </wp:inline>
        </w:drawing>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así que, en el precepto jurídico citado se puede advertir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no cuenta con una Dirección de Administración como parte de su estructura orgánica.  </w:t>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en relación al requerimiento referente a la </w:t>
      </w:r>
      <w:r>
        <w:rPr>
          <w:rFonts w:ascii="Palatino Linotype" w:eastAsia="Palatino Linotype" w:hAnsi="Palatino Linotype" w:cs="Palatino Linotype"/>
          <w:b/>
          <w:color w:val="000000"/>
          <w:u w:val="single"/>
        </w:rPr>
        <w:t>certificación de los servidores públicos</w:t>
      </w:r>
      <w:r>
        <w:rPr>
          <w:rFonts w:ascii="Palatino Linotype" w:eastAsia="Palatino Linotype" w:hAnsi="Palatino Linotype" w:cs="Palatino Linotype"/>
          <w:color w:val="000000"/>
        </w:rPr>
        <w:t xml:space="preserve">, es conveniente traer a contexto lo dispuesto por el artículo 32, fracción IV de la Ley Orgánica Municipal del Estado de México, que a la letra dice: </w:t>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32. Para ocupar las titularidades de la </w:t>
      </w:r>
      <w:r>
        <w:rPr>
          <w:rFonts w:ascii="Palatino Linotype" w:eastAsia="Palatino Linotype" w:hAnsi="Palatino Linotype" w:cs="Palatino Linotype"/>
          <w:b/>
          <w:i/>
          <w:color w:val="000000"/>
          <w:sz w:val="22"/>
          <w:szCs w:val="22"/>
          <w:u w:val="single"/>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r>
        <w:rPr>
          <w:rFonts w:ascii="Palatino Linotype" w:eastAsia="Palatino Linotype" w:hAnsi="Palatino Linotype" w:cs="Palatino Linotype"/>
          <w:i/>
          <w:color w:val="000000"/>
          <w:sz w:val="22"/>
          <w:szCs w:val="22"/>
        </w:rPr>
        <w:t>, se deberán satisfacer los siguientes requisitos:</w:t>
      </w:r>
    </w:p>
    <w:p w:rsidR="002B11DD" w:rsidRDefault="00A43F3E">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p>
    <w:p w:rsidR="002B11DD" w:rsidRDefault="00A43F3E">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u w:val="single"/>
        </w:rPr>
      </w:pPr>
      <w:r>
        <w:rPr>
          <w:rFonts w:ascii="Palatino Linotype" w:eastAsia="Palatino Linotype" w:hAnsi="Palatino Linotype" w:cs="Palatino Linotype"/>
          <w:i/>
          <w:color w:val="000000"/>
          <w:sz w:val="22"/>
          <w:szCs w:val="22"/>
        </w:rPr>
        <w:t xml:space="preserve">IV. </w:t>
      </w:r>
      <w:r>
        <w:rPr>
          <w:rFonts w:ascii="Palatino Linotype" w:eastAsia="Palatino Linotype" w:hAnsi="Palatino Linotype" w:cs="Palatino Linotype"/>
          <w:b/>
          <w:i/>
          <w:color w:val="000000"/>
          <w:sz w:val="22"/>
          <w:szCs w:val="22"/>
          <w:u w:val="single"/>
        </w:rPr>
        <w:t>Contar con certificación de competencia laboral en la materia del cargo que se desempeñará</w:t>
      </w:r>
      <w:r>
        <w:rPr>
          <w:rFonts w:ascii="Palatino Linotype" w:eastAsia="Palatino Linotype" w:hAnsi="Palatino Linotype" w:cs="Palatino Linotype"/>
          <w:i/>
          <w:color w:val="000000"/>
          <w:sz w:val="22"/>
          <w:szCs w:val="22"/>
        </w:rPr>
        <w:t xml:space="preserve">, expedida por institución con reconocimiento de validez oficial. Este requisito deberá acreditarse dentro de los </w:t>
      </w:r>
      <w:r>
        <w:rPr>
          <w:rFonts w:ascii="Palatino Linotype" w:eastAsia="Palatino Linotype" w:hAnsi="Palatino Linotype" w:cs="Palatino Linotype"/>
          <w:i/>
          <w:color w:val="000000"/>
          <w:sz w:val="22"/>
          <w:szCs w:val="22"/>
          <w:u w:val="single"/>
        </w:rPr>
        <w:t>seis meses siguientes a la fecha en que inicien sus funciones;</w:t>
      </w:r>
    </w:p>
    <w:p w:rsidR="002B11DD" w:rsidRDefault="002B11DD">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u w:val="single"/>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respondió que los servidores públicos cuentan con un plazo de seis meses para obtener  la certificación de competencia laboral correspondiente al cargo para el cual fueron nombrados. </w:t>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de la manifestación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se infiere que los servidores públicos de los cuales se requirió la certificación de competencia laboral, tomaron posesión del cargo el uno de enero de dos mil veintidós, de conformidad con lo dispuesto en el artículo 19 de la </w:t>
      </w:r>
      <w:r>
        <w:rPr>
          <w:rFonts w:ascii="Palatino Linotype" w:eastAsia="Palatino Linotype" w:hAnsi="Palatino Linotype" w:cs="Palatino Linotype"/>
          <w:b/>
          <w:color w:val="000000"/>
        </w:rPr>
        <w:t xml:space="preserve">Ley Orgánica Municipal del Estado de México, </w:t>
      </w:r>
      <w:r>
        <w:rPr>
          <w:rFonts w:ascii="Palatino Linotype" w:eastAsia="Palatino Linotype" w:hAnsi="Palatino Linotype" w:cs="Palatino Linotype"/>
          <w:color w:val="000000"/>
        </w:rPr>
        <w:t xml:space="preserve">que es del texto literal siguiente: </w:t>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w:t>
      </w:r>
      <w:r>
        <w:rPr>
          <w:rFonts w:ascii="Palatino Linotype" w:eastAsia="Palatino Linotype" w:hAnsi="Palatino Linotype" w:cs="Palatino Linotype"/>
          <w:i/>
          <w:color w:val="000000"/>
          <w:sz w:val="22"/>
          <w:szCs w:val="22"/>
        </w:rPr>
        <w:t xml:space="preserve">.- A las nueve horas del </w:t>
      </w:r>
      <w:r>
        <w:rPr>
          <w:rFonts w:ascii="Palatino Linotype" w:eastAsia="Palatino Linotype" w:hAnsi="Palatino Linotype" w:cs="Palatino Linotype"/>
          <w:b/>
          <w:i/>
          <w:color w:val="000000"/>
          <w:sz w:val="22"/>
          <w:szCs w:val="22"/>
          <w:u w:val="single"/>
        </w:rPr>
        <w:t>día 1 de enero del año inmediato siguiente a aquel en que se hayan efectuado las elecciones municipales,</w:t>
      </w:r>
      <w:r>
        <w:rPr>
          <w:rFonts w:ascii="Palatino Linotype" w:eastAsia="Palatino Linotype" w:hAnsi="Palatino Linotype" w:cs="Palatino Linotype"/>
          <w:i/>
          <w:color w:val="000000"/>
          <w:sz w:val="22"/>
          <w:szCs w:val="22"/>
        </w:rPr>
        <w:t xml:space="preserve">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importante referir, que con el objeto de tener certeza sobre la fecha en que los servidores públicos ocuparon el cargo, se realizó la consulta en el directorio registrado en el Portal de Información Pública de Oficio Mexiquense (IPOMEX),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el que se verificó que el uno de enero ocuparon el cargo los servidores públicos señalados en el artículo 132 de la Ley Orgánica Municipal; </w:t>
      </w:r>
      <w:r>
        <w:rPr>
          <w:rFonts w:ascii="Palatino Linotype" w:eastAsia="Palatino Linotype" w:hAnsi="Palatino Linotype" w:cs="Palatino Linotype"/>
          <w:color w:val="000000"/>
        </w:rPr>
        <w:lastRenderedPageBreak/>
        <w:t xml:space="preserve">por lo que para efectos de ejemplifica se insertan en el presente capturas de pantalla de los registros consulados. </w:t>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5477962" cy="2471762"/>
            <wp:effectExtent l="12700" t="12700" r="12700" b="12700"/>
            <wp:docPr id="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477962" cy="2471762"/>
                    </a:xfrm>
                    <a:prstGeom prst="rect">
                      <a:avLst/>
                    </a:prstGeom>
                    <a:ln w="12700">
                      <a:solidFill>
                        <a:srgbClr val="000000"/>
                      </a:solidFill>
                      <a:prstDash val="solid"/>
                    </a:ln>
                  </pic:spPr>
                </pic:pic>
              </a:graphicData>
            </a:graphic>
          </wp:inline>
        </w:drawing>
      </w: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5458587" cy="2219635"/>
            <wp:effectExtent l="12700" t="12700" r="12700" b="1270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458587" cy="2219635"/>
                    </a:xfrm>
                    <a:prstGeom prst="rect">
                      <a:avLst/>
                    </a:prstGeom>
                    <a:ln w="12700">
                      <a:solidFill>
                        <a:srgbClr val="000000"/>
                      </a:solidFill>
                      <a:prstDash val="solid"/>
                    </a:ln>
                  </pic:spPr>
                </pic:pic>
              </a:graphicData>
            </a:graphic>
          </wp:inline>
        </w:drawing>
      </w: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extent cx="5496695" cy="2372057"/>
            <wp:effectExtent l="12700" t="12700" r="12700" b="1270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496695" cy="2372057"/>
                    </a:xfrm>
                    <a:prstGeom prst="rect">
                      <a:avLst/>
                    </a:prstGeom>
                    <a:ln w="12700">
                      <a:solidFill>
                        <a:srgbClr val="000000"/>
                      </a:solidFill>
                      <a:prstDash val="solid"/>
                    </a:ln>
                  </pic:spPr>
                </pic:pic>
              </a:graphicData>
            </a:graphic>
          </wp:inline>
        </w:drawing>
      </w: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5496691" cy="2438740"/>
            <wp:effectExtent l="12700" t="12700" r="12700" b="1270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496691" cy="2438740"/>
                    </a:xfrm>
                    <a:prstGeom prst="rect">
                      <a:avLst/>
                    </a:prstGeom>
                    <a:ln w="12700">
                      <a:solidFill>
                        <a:srgbClr val="000000"/>
                      </a:solidFill>
                      <a:prstDash val="solid"/>
                    </a:ln>
                  </pic:spPr>
                </pic:pic>
              </a:graphicData>
            </a:graphic>
          </wp:inline>
        </w:drawing>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las imágenes que se insertan, se advierte que la fecha registrada en que los servidores públicos ocuparon el cargo, es el uno de enero de dos mil veintidós, por lo tanto, no ha concluido el plazo de seis meses que la fracción IV del artículo 32 de la Ley Orgánica del Estado de México otorga a los servidores públicos nombrados, para que presenten la certificación de competencia laboral correspondiente. </w:t>
      </w:r>
    </w:p>
    <w:p w:rsidR="002B11DD" w:rsidRDefault="002B11DD">
      <w:pPr>
        <w:pBdr>
          <w:top w:val="nil"/>
          <w:left w:val="nil"/>
          <w:bottom w:val="nil"/>
          <w:right w:val="nil"/>
          <w:between w:val="nil"/>
        </w:pBdr>
        <w:spacing w:line="360" w:lineRule="auto"/>
        <w:jc w:val="both"/>
        <w:rPr>
          <w:rFonts w:ascii="Palatino Linotype" w:eastAsia="Palatino Linotype" w:hAnsi="Palatino Linotype" w:cs="Palatino Linotype"/>
        </w:rPr>
      </w:pPr>
    </w:p>
    <w:p w:rsidR="002B11DD" w:rsidRDefault="00A43F3E">
      <w:pPr>
        <w:spacing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con dicha información se estima que se colmó el derecho de acceso a la información ejercido por el particular toda vez que, el Sujeto Obligado remite mediante informe justificado los datos solicitados y precisa que respecto a las certificaciones aún se está en plazo para su obtención, con lo que se despeja y aclara los puntos requeridos por el particular. </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toda vez que no posee, administra ni genera la información requerida por el particular, constituye un hecho negativo; entonces, si se considera el hecho negativo, es obvio que éste no puede fácticamente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ya que no puede probarse por ser lógica y materialmente imposible.</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2B11DD" w:rsidRDefault="00A43F3E">
      <w:pPr>
        <w:spacing w:line="360" w:lineRule="auto"/>
        <w:ind w:left="860" w:right="560"/>
        <w:jc w:val="both"/>
        <w:rPr>
          <w:rFonts w:ascii="Palatino Linotype" w:eastAsia="Palatino Linotype" w:hAnsi="Palatino Linotype" w:cs="Palatino Linotype"/>
          <w:b/>
          <w:i/>
        </w:rPr>
      </w:pPr>
      <w:r>
        <w:rPr>
          <w:rFonts w:ascii="Palatino Linotype" w:eastAsia="Palatino Linotype" w:hAnsi="Palatino Linotype" w:cs="Palatino Linotype"/>
          <w:b/>
          <w:i/>
        </w:rPr>
        <w:t>HECHOS NEGATIVOS, NO SON SUSCEPTIBLES DE DEMOSTRACIÓN.</w:t>
      </w:r>
    </w:p>
    <w:p w:rsidR="002B11DD" w:rsidRDefault="00A43F3E">
      <w:pPr>
        <w:spacing w:line="360" w:lineRule="auto"/>
        <w:ind w:left="860"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Tratándose de un hecho negativo, el Juez no tiene </w:t>
      </w:r>
      <w:proofErr w:type="spellStart"/>
      <w:r>
        <w:rPr>
          <w:rFonts w:ascii="Palatino Linotype" w:eastAsia="Palatino Linotype" w:hAnsi="Palatino Linotype" w:cs="Palatino Linotype"/>
          <w:i/>
        </w:rPr>
        <w:t>por que</w:t>
      </w:r>
      <w:proofErr w:type="spellEnd"/>
      <w:r>
        <w:rPr>
          <w:rFonts w:ascii="Palatino Linotype" w:eastAsia="Palatino Linotype" w:hAnsi="Palatino Linotype" w:cs="Palatino Linotype"/>
          <w:i/>
        </w:rPr>
        <w:t xml:space="preserve"> invocar prueba alguna de la que se desprenda, ya que es bien sabido que esta clase de hechos no son susceptibles de demostración.</w:t>
      </w:r>
    </w:p>
    <w:p w:rsidR="002B11DD" w:rsidRDefault="00A43F3E">
      <w:pPr>
        <w:spacing w:line="360" w:lineRule="auto"/>
        <w:ind w:left="860" w:right="560"/>
        <w:jc w:val="both"/>
        <w:rPr>
          <w:rFonts w:ascii="Palatino Linotype" w:eastAsia="Palatino Linotype" w:hAnsi="Palatino Linotype" w:cs="Palatino Linotype"/>
          <w:i/>
        </w:rPr>
      </w:pPr>
      <w:r>
        <w:rPr>
          <w:rFonts w:ascii="Palatino Linotype" w:eastAsia="Palatino Linotype" w:hAnsi="Palatino Linotype" w:cs="Palatino Linotype"/>
          <w:i/>
        </w:rPr>
        <w:t>Amparo en revisión 2022/61. José García Florín (Menor). 9 de octubre de 1961. Cinco votos. Ponente: José Rivera Pérez Campos.”</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sólo proporcionará la información que obra en sus archivos,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w:t>
      </w:r>
    </w:p>
    <w:p w:rsidR="002B11DD" w:rsidRDefault="00A43F3E">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A</w:t>
      </w:r>
      <w:r>
        <w:rPr>
          <w:rFonts w:ascii="Palatino Linotype" w:eastAsia="Palatino Linotype" w:hAnsi="Palatino Linotype" w:cs="Palatino Linotype"/>
          <w:color w:val="000000"/>
        </w:rPr>
        <w:t>sí mismo, es necesario señalar que al haberse pronunciado el servidor público habilitado competente,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2B11DD" w:rsidRDefault="002B11D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spacing w:after="36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rsidR="002B11DD" w:rsidRDefault="00A43F3E">
      <w:pPr>
        <w:spacing w:before="240" w:after="36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w:t>
      </w:r>
      <w:r>
        <w:rPr>
          <w:rFonts w:ascii="Palatino Linotype" w:eastAsia="Palatino Linotype" w:hAnsi="Palatino Linotype" w:cs="Palatino Linotype"/>
          <w:i/>
          <w:sz w:val="22"/>
          <w:szCs w:val="22"/>
        </w:rPr>
        <w:lastRenderedPageBreak/>
        <w:t>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B11DD" w:rsidRDefault="00A43F3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este sentido, y ante la información adicional y precisa remitida vía informe justificado, conviene hacer alusión a lo que señala el artículo 192, fracción III de la Ley de Transparencia y Acceso a la Información Pública del Estado de México y Municipios vigente, a saber:</w:t>
      </w:r>
    </w:p>
    <w:p w:rsidR="002B11DD" w:rsidRDefault="00A43F3E">
      <w:pPr>
        <w:pBdr>
          <w:top w:val="nil"/>
          <w:left w:val="nil"/>
          <w:bottom w:val="nil"/>
          <w:right w:val="nil"/>
          <w:between w:val="nil"/>
        </w:pBdr>
        <w:spacing w:before="240" w:after="240"/>
        <w:ind w:left="851" w:right="90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será sobreseído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en todo o en parte,</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cuando una vez admitido, se actualicen alguno de los siguientes supuestos</w:t>
      </w:r>
      <w:r>
        <w:rPr>
          <w:rFonts w:ascii="Palatino Linotype" w:eastAsia="Palatino Linotype" w:hAnsi="Palatino Linotype" w:cs="Palatino Linotype"/>
          <w:i/>
          <w:color w:val="000000"/>
          <w:sz w:val="22"/>
          <w:szCs w:val="22"/>
        </w:rPr>
        <w:t>: </w:t>
      </w:r>
    </w:p>
    <w:p w:rsidR="002B11DD" w:rsidRDefault="00A43F3E">
      <w:pPr>
        <w:pBdr>
          <w:top w:val="nil"/>
          <w:left w:val="nil"/>
          <w:bottom w:val="nil"/>
          <w:right w:val="nil"/>
          <w:between w:val="nil"/>
        </w:pBdr>
        <w:spacing w:before="240" w:after="240"/>
        <w:ind w:left="1134" w:right="900"/>
        <w:jc w:val="both"/>
        <w:rPr>
          <w:color w:val="000000"/>
        </w:rPr>
      </w:pPr>
      <w:r>
        <w:rPr>
          <w:rFonts w:ascii="Palatino Linotype" w:eastAsia="Palatino Linotype" w:hAnsi="Palatino Linotype" w:cs="Palatino Linotype"/>
          <w:i/>
          <w:color w:val="000000"/>
          <w:sz w:val="22"/>
          <w:szCs w:val="22"/>
        </w:rPr>
        <w:t>(…)</w:t>
      </w:r>
    </w:p>
    <w:p w:rsidR="002B11DD" w:rsidRDefault="00A43F3E">
      <w:pPr>
        <w:pBdr>
          <w:top w:val="nil"/>
          <w:left w:val="nil"/>
          <w:bottom w:val="nil"/>
          <w:right w:val="nil"/>
          <w:between w:val="nil"/>
        </w:pBdr>
        <w:spacing w:before="240" w:after="240"/>
        <w:ind w:left="1134" w:right="900"/>
        <w:jc w:val="both"/>
        <w:rPr>
          <w:color w:val="000000"/>
        </w:rPr>
      </w:pPr>
      <w:r>
        <w:rPr>
          <w:rFonts w:ascii="Palatino Linotype" w:eastAsia="Palatino Linotype" w:hAnsi="Palatino Linotype" w:cs="Palatino Linotype"/>
          <w:b/>
          <w:i/>
          <w:color w:val="000000"/>
          <w:sz w:val="22"/>
          <w:szCs w:val="22"/>
        </w:rPr>
        <w:t>III. El sujeto obligado responsable del acto, lo modifique o revoque de tal manera que el recurso de revisión quede sin materia...</w:t>
      </w:r>
      <w:r>
        <w:rPr>
          <w:rFonts w:ascii="Palatino Linotype" w:eastAsia="Palatino Linotype" w:hAnsi="Palatino Linotype" w:cs="Palatino Linotype"/>
          <w:i/>
          <w:color w:val="000000"/>
          <w:sz w:val="22"/>
          <w:szCs w:val="22"/>
        </w:rPr>
        <w:t>”</w:t>
      </w:r>
    </w:p>
    <w:p w:rsidR="002B11DD" w:rsidRDefault="00A43F3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establecido en el precepto legal citado se advierte que el sobreseimiento del recurso de revisión procede en los siguientes casos:</w:t>
      </w:r>
    </w:p>
    <w:p w:rsidR="002B11DD" w:rsidRDefault="00A43F3E">
      <w:pPr>
        <w:pBdr>
          <w:top w:val="nil"/>
          <w:left w:val="nil"/>
          <w:bottom w:val="nil"/>
          <w:right w:val="nil"/>
          <w:between w:val="nil"/>
        </w:pBdr>
        <w:spacing w:before="240" w:after="240"/>
        <w:ind w:left="284"/>
        <w:jc w:val="both"/>
        <w:rPr>
          <w:color w:val="000000"/>
        </w:rPr>
      </w:pPr>
      <w:r>
        <w:rPr>
          <w:rFonts w:ascii="Palatino Linotype" w:eastAsia="Palatino Linotype" w:hAnsi="Palatino Linotype" w:cs="Palatino Linotype"/>
          <w:color w:val="000000"/>
        </w:rPr>
        <w:t>a) Cuando el Sujeto Obligado modifique el acto impugnado. </w:t>
      </w:r>
    </w:p>
    <w:p w:rsidR="002B11DD" w:rsidRDefault="00A43F3E">
      <w:pPr>
        <w:pBdr>
          <w:top w:val="nil"/>
          <w:left w:val="nil"/>
          <w:bottom w:val="nil"/>
          <w:right w:val="nil"/>
          <w:between w:val="nil"/>
        </w:pBdr>
        <w:spacing w:before="240" w:after="240"/>
        <w:ind w:left="284"/>
        <w:jc w:val="both"/>
        <w:rPr>
          <w:color w:val="000000"/>
        </w:rPr>
      </w:pPr>
      <w:r>
        <w:rPr>
          <w:rFonts w:ascii="Palatino Linotype" w:eastAsia="Palatino Linotype" w:hAnsi="Palatino Linotype" w:cs="Palatino Linotype"/>
          <w:color w:val="000000"/>
        </w:rPr>
        <w:t>b) Cuando el Sujeto Obligado revoque el acto impugnado; </w:t>
      </w:r>
    </w:p>
    <w:p w:rsidR="002B11DD" w:rsidRDefault="00A43F3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Quedando en ambos casos el acto combatido sin materia o sin efectos.</w:t>
      </w:r>
    </w:p>
    <w:p w:rsidR="002B11DD" w:rsidRDefault="00A43F3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rsidR="002B11DD" w:rsidRDefault="00A43F3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2B11DD" w:rsidRDefault="00A43F3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En este orden de ideas, un acto impugnado queda sin efectos, cuando </w:t>
      </w:r>
      <w:proofErr w:type="spellStart"/>
      <w:r>
        <w:rPr>
          <w:rFonts w:ascii="Palatino Linotype" w:eastAsia="Palatino Linotype" w:hAnsi="Palatino Linotype" w:cs="Palatino Linotype"/>
          <w:color w:val="000000"/>
        </w:rPr>
        <w:t>aún</w:t>
      </w:r>
      <w:proofErr w:type="spellEnd"/>
      <w:r>
        <w:rPr>
          <w:rFonts w:ascii="Palatino Linotype" w:eastAsia="Palatino Linotype" w:hAnsi="Palatino Linotype" w:cs="Palatino Linotype"/>
          <w:color w:val="000000"/>
        </w:rPr>
        <w:t xml:space="preserve"> existiendo jurídicamente (esto es, que no se ha modificado, ni revocado) ya no genera ninguna consecuencia legal.</w:t>
      </w:r>
    </w:p>
    <w:p w:rsidR="002B11DD" w:rsidRDefault="00A43F3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2B11DD" w:rsidRDefault="00A43F3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Ahora bien, en el caso concreto, es evidente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revocó su respuesta, ya que, a través de su pronunciamiento emitido en la etapa de manifestaciones, proporcionó la información requerida.</w:t>
      </w: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este modo, cuando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antes de que se dicte resolución definitiva, entrega la información solicitada o </w:t>
      </w:r>
      <w:r>
        <w:rPr>
          <w:rFonts w:ascii="Palatino Linotype" w:eastAsia="Palatino Linotype" w:hAnsi="Palatino Linotype" w:cs="Palatino Linotype"/>
          <w:color w:val="000000"/>
          <w:u w:val="single"/>
        </w:rPr>
        <w:t>completa la respuesta que en un primer momento fue incompleta</w:t>
      </w:r>
      <w:r>
        <w:rPr>
          <w:rFonts w:ascii="Palatino Linotype" w:eastAsia="Palatino Linotype" w:hAnsi="Palatino Linotype" w:cs="Palatino Linotype"/>
          <w:color w:val="000000"/>
        </w:rPr>
        <w:t xml:space="preserve"> o no correspondió con lo solicitado; el recurso de </w:t>
      </w:r>
      <w:r>
        <w:rPr>
          <w:rFonts w:ascii="Palatino Linotype" w:eastAsia="Palatino Linotype" w:hAnsi="Palatino Linotype" w:cs="Palatino Linotype"/>
          <w:color w:val="000000"/>
        </w:rPr>
        <w:lastRenderedPageBreak/>
        <w:t xml:space="preserve">revisión que al efecto se haya interpuesto queda sin materia lo que imposibilita el estudio de fondo de la </w:t>
      </w:r>
      <w:proofErr w:type="spellStart"/>
      <w:r>
        <w:rPr>
          <w:rFonts w:ascii="Palatino Linotype" w:eastAsia="Palatino Linotype" w:hAnsi="Palatino Linotype" w:cs="Palatino Linotype"/>
          <w:i/>
          <w:color w:val="000000"/>
        </w:rPr>
        <w:t>litis</w:t>
      </w:r>
      <w:proofErr w:type="spellEnd"/>
      <w:r>
        <w:rPr>
          <w:rFonts w:ascii="Palatino Linotype" w:eastAsia="Palatino Linotype" w:hAnsi="Palatino Linotype" w:cs="Palatino Linotype"/>
          <w:color w:val="000000"/>
        </w:rPr>
        <w:t xml:space="preserve"> planteada, debido a que la afectación en su esfera de derechos fue restituida por la propia autoridad que emitió el acto motivo de impugnación.</w:t>
      </w:r>
    </w:p>
    <w:p w:rsidR="002B11DD" w:rsidRDefault="002B11DD">
      <w:pPr>
        <w:pBdr>
          <w:top w:val="nil"/>
          <w:left w:val="nil"/>
          <w:bottom w:val="nil"/>
          <w:right w:val="nil"/>
          <w:between w:val="nil"/>
        </w:pBdr>
        <w:ind w:left="720"/>
        <w:rPr>
          <w:rFonts w:ascii="Palatino Linotype" w:eastAsia="Palatino Linotype" w:hAnsi="Palatino Linotype" w:cs="Palatino Linotype"/>
          <w:color w:val="000000"/>
        </w:rPr>
      </w:pP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para que se actualice el sobreseimiento de un recurso de revisión,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puede entregar o completar la información al momento de rendir su </w:t>
      </w:r>
      <w:r>
        <w:rPr>
          <w:rFonts w:ascii="Palatino Linotype" w:eastAsia="Palatino Linotype" w:hAnsi="Palatino Linotype" w:cs="Palatino Linotype"/>
          <w:b/>
          <w:color w:val="000000"/>
          <w:u w:val="single"/>
        </w:rPr>
        <w:t>informe de justificación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u w:val="single"/>
        </w:rPr>
        <w:t>dentro de los siete días</w:t>
      </w:r>
      <w:r>
        <w:rPr>
          <w:rFonts w:ascii="Palatino Linotype" w:eastAsia="Palatino Linotype" w:hAnsi="Palatino Linotype" w:cs="Palatino Linotype"/>
          <w:color w:val="000000"/>
        </w:rPr>
        <w:t xml:space="preserve"> previstos para manifestar lo que a su derecho convenga, lo anterior también puede ocurrir si entrega la información después de ese lapso, pero antes del cierre de instrucción. </w:t>
      </w:r>
    </w:p>
    <w:p w:rsidR="002B11DD" w:rsidRDefault="002B11DD">
      <w:pPr>
        <w:pBdr>
          <w:top w:val="nil"/>
          <w:left w:val="nil"/>
          <w:bottom w:val="nil"/>
          <w:right w:val="nil"/>
          <w:between w:val="nil"/>
        </w:pBdr>
        <w:ind w:left="720"/>
        <w:rPr>
          <w:rFonts w:ascii="Palatino Linotype" w:eastAsia="Palatino Linotype" w:hAnsi="Palatino Linotype" w:cs="Palatino Linotype"/>
          <w:color w:val="000000"/>
        </w:rPr>
      </w:pP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Pleno advierte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con la información enviada, </w:t>
      </w:r>
      <w:r>
        <w:rPr>
          <w:rFonts w:ascii="Palatino Linotype" w:eastAsia="Palatino Linotype" w:hAnsi="Palatino Linotype" w:cs="Palatino Linotype"/>
          <w:b/>
          <w:color w:val="000000"/>
        </w:rPr>
        <w:t>modifica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u w:val="single"/>
        </w:rPr>
        <w:t>el acto que le dio origen al recurso de revisión, por lo que trae como consecuencia que el mismo quede sin materia</w:t>
      </w:r>
      <w:r>
        <w:rPr>
          <w:rFonts w:ascii="Palatino Linotype" w:eastAsia="Palatino Linotype" w:hAnsi="Palatino Linotype" w:cs="Palatino Linotype"/>
          <w:color w:val="000000"/>
        </w:rPr>
        <w:t xml:space="preserve">, actualizándose de este modo, la hipótesis jurídica contenida en la </w:t>
      </w:r>
      <w:r>
        <w:rPr>
          <w:rFonts w:ascii="Palatino Linotype" w:eastAsia="Palatino Linotype" w:hAnsi="Palatino Linotype" w:cs="Palatino Linotype"/>
          <w:b/>
          <w:color w:val="000000"/>
        </w:rPr>
        <w:t>fracción III</w:t>
      </w:r>
      <w:r>
        <w:rPr>
          <w:rFonts w:ascii="Palatino Linotype" w:eastAsia="Palatino Linotype" w:hAnsi="Palatino Linotype" w:cs="Palatino Linotype"/>
          <w:color w:val="000000"/>
        </w:rPr>
        <w:t xml:space="preserve"> del citado artículo </w:t>
      </w:r>
      <w:r>
        <w:rPr>
          <w:rFonts w:ascii="Palatino Linotype" w:eastAsia="Palatino Linotype" w:hAnsi="Palatino Linotype" w:cs="Palatino Linotype"/>
          <w:b/>
          <w:color w:val="000000"/>
        </w:rPr>
        <w:t>192</w:t>
      </w:r>
      <w:r>
        <w:rPr>
          <w:rFonts w:ascii="Palatino Linotype" w:eastAsia="Palatino Linotype" w:hAnsi="Palatino Linotype" w:cs="Palatino Linotype"/>
          <w:color w:val="000000"/>
        </w:rPr>
        <w:t>.</w:t>
      </w:r>
    </w:p>
    <w:p w:rsidR="002B11DD" w:rsidRDefault="002B11D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siendo el </w:t>
      </w:r>
      <w:r>
        <w:rPr>
          <w:rFonts w:ascii="Palatino Linotype" w:eastAsia="Palatino Linotype" w:hAnsi="Palatino Linotype" w:cs="Palatino Linotype"/>
          <w:i/>
          <w:color w:val="000000"/>
        </w:rPr>
        <w:t>sobreseimiento</w:t>
      </w:r>
      <w:r>
        <w:rPr>
          <w:rFonts w:ascii="Palatino Linotype" w:eastAsia="Palatino Linotype" w:hAnsi="Palatino Linotype" w:cs="Palatino Linotype"/>
          <w:color w:val="000000"/>
        </w:rPr>
        <w:t xml:space="preserve"> un acto que da por terminado el procedimiento administrativo de impugnación por alguna causa sobreviniente en el juicio de que se trate, que impide a la autoridad referirse a lo sustancial de lo planteado por la parte Recurrente, este Instituto se encuentra imposibilitado para entrar al estudio de fondo del recurso de revisión, lo anterior con apoyo en la Tesis Aislada del Segundo Tribunal Colegiado del Segundo Distrito, de la Suprema Corte de Justicia de la Nación, registrada con el rubro: </w:t>
      </w:r>
      <w:r>
        <w:rPr>
          <w:rFonts w:ascii="Palatino Linotype" w:eastAsia="Palatino Linotype" w:hAnsi="Palatino Linotype" w:cs="Palatino Linotype"/>
          <w:b/>
          <w:color w:val="000000"/>
        </w:rPr>
        <w:t>SOBRESEIMIENTO, NO PERMITE ENTRAR AL ESTUDIO DE LAS CUESTIONES DE FONDO</w:t>
      </w:r>
    </w:p>
    <w:p w:rsidR="002B11DD" w:rsidRDefault="002B11DD">
      <w:pPr>
        <w:pBdr>
          <w:top w:val="nil"/>
          <w:left w:val="nil"/>
          <w:bottom w:val="nil"/>
          <w:right w:val="nil"/>
          <w:between w:val="nil"/>
        </w:pBdr>
        <w:ind w:left="720"/>
        <w:rPr>
          <w:rFonts w:ascii="Palatino Linotype" w:eastAsia="Palatino Linotype" w:hAnsi="Palatino Linotype" w:cs="Palatino Linotype"/>
          <w:color w:val="000000"/>
        </w:rPr>
      </w:pPr>
    </w:p>
    <w:p w:rsidR="002B11DD" w:rsidRDefault="00A43F3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lo tanto, en términos del artículo 186 fracción I este Pleno determina el </w:t>
      </w:r>
      <w:r>
        <w:rPr>
          <w:rFonts w:ascii="Palatino Linotype" w:eastAsia="Palatino Linotype" w:hAnsi="Palatino Linotype" w:cs="Palatino Linotype"/>
          <w:b/>
          <w:color w:val="000000"/>
        </w:rPr>
        <w:t xml:space="preserve">SOBRESEIMIENTO </w:t>
      </w:r>
      <w:r>
        <w:rPr>
          <w:rFonts w:ascii="Palatino Linotype" w:eastAsia="Palatino Linotype" w:hAnsi="Palatino Linotype" w:cs="Palatino Linotype"/>
          <w:color w:val="000000"/>
        </w:rPr>
        <w:t>del presente recurso de revisión, toda vez que la afectación al derecho de acceso a la información pública establecido constitucionalmente a favor del particular ha sido resarcida al proporcionar la información que ha sido observada por este Organismo Garante.</w:t>
      </w:r>
    </w:p>
    <w:p w:rsidR="002B11DD" w:rsidRDefault="00A43F3E">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2B11DD" w:rsidRDefault="00A43F3E">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2B11DD" w:rsidRDefault="00A43F3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highlight w:val="white"/>
        </w:rPr>
        <w:t xml:space="preserve">Se </w:t>
      </w:r>
      <w:r>
        <w:rPr>
          <w:rFonts w:ascii="Palatino Linotype" w:eastAsia="Palatino Linotype" w:hAnsi="Palatino Linotype" w:cs="Palatino Linotype"/>
          <w:b/>
          <w:highlight w:val="white"/>
        </w:rPr>
        <w:t>SOBRESEE</w:t>
      </w:r>
      <w:r>
        <w:rPr>
          <w:rFonts w:ascii="Palatino Linotype" w:eastAsia="Palatino Linotype" w:hAnsi="Palatino Linotype" w:cs="Palatino Linotype"/>
          <w:highlight w:val="white"/>
        </w:rPr>
        <w:t xml:space="preserve"> el recurso de revisión número </w:t>
      </w:r>
      <w:r>
        <w:rPr>
          <w:rFonts w:ascii="Palatino Linotype" w:eastAsia="Palatino Linotype" w:hAnsi="Palatino Linotype" w:cs="Palatino Linotype"/>
          <w:b/>
          <w:highlight w:val="white"/>
        </w:rPr>
        <w:t>00304/INFOEM/IP/RR/2022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porque al modificar la respuesta a la solicitud de acceso a la información </w:t>
      </w:r>
      <w:r>
        <w:rPr>
          <w:rFonts w:ascii="Palatino Linotype" w:eastAsia="Palatino Linotype" w:hAnsi="Palatino Linotype" w:cs="Palatino Linotype"/>
          <w:b/>
        </w:rPr>
        <w:t>00005/TEZOYUCA/IP/2022</w:t>
      </w:r>
      <w:r>
        <w:rPr>
          <w:rFonts w:ascii="Palatino Linotype" w:eastAsia="Palatino Linotype" w:hAnsi="Palatino Linotype" w:cs="Palatino Linotype"/>
        </w:rPr>
        <w:t xml:space="preserve"> el recurso de revisión quedó sin materia en términos del Considerando Tercero de la presente resolución</w:t>
      </w:r>
      <w:r>
        <w:rPr>
          <w:rFonts w:ascii="Palatino Linotype" w:eastAsia="Palatino Linotype" w:hAnsi="Palatino Linotype" w:cs="Palatino Linotype"/>
          <w:b/>
        </w:rPr>
        <w:t>.</w:t>
      </w:r>
    </w:p>
    <w:p w:rsidR="002B11DD" w:rsidRDefault="00A43F3E">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SEGUNDO.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Titular de la Unidad de Transparencia del Sujeto Obligado la presente resolución, para su conocimiento. </w:t>
      </w:r>
    </w:p>
    <w:p w:rsidR="002B11DD" w:rsidRDefault="00A43F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B11DD" w:rsidRDefault="00A43F3E">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SIETE DE ABRIL DE DOS MIL VEINTIDÓS, ANTE EL SECRETARIO TÉCNICO DEL PLENO, ALEXIS TAPIA RAMÍREZ.</w:t>
      </w: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p w:rsidR="002B11DD" w:rsidRDefault="002B11DD">
      <w:pPr>
        <w:spacing w:before="240" w:after="240"/>
        <w:jc w:val="both"/>
        <w:rPr>
          <w:rFonts w:ascii="Palatino Linotype" w:eastAsia="Palatino Linotype" w:hAnsi="Palatino Linotype" w:cs="Palatino Linotype"/>
          <w:sz w:val="20"/>
          <w:szCs w:val="20"/>
        </w:rPr>
      </w:pPr>
    </w:p>
    <w:sectPr w:rsidR="002B11DD">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8C1" w:rsidRDefault="005128C1">
      <w:r>
        <w:separator/>
      </w:r>
    </w:p>
  </w:endnote>
  <w:endnote w:type="continuationSeparator" w:id="0">
    <w:p w:rsidR="005128C1" w:rsidRDefault="0051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DD" w:rsidRDefault="00A43F3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8036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036C">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2B11DD" w:rsidRDefault="002B11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DD" w:rsidRDefault="00A43F3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8036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036C">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2B11DD" w:rsidRDefault="002B11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8C1" w:rsidRDefault="005128C1">
      <w:r>
        <w:separator/>
      </w:r>
    </w:p>
  </w:footnote>
  <w:footnote w:type="continuationSeparator" w:id="0">
    <w:p w:rsidR="005128C1" w:rsidRDefault="0051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DD" w:rsidRDefault="00A43F3E">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-708024</wp:posOffset>
          </wp:positionH>
          <wp:positionV relativeFrom="paragraph">
            <wp:posOffset>-415289</wp:posOffset>
          </wp:positionV>
          <wp:extent cx="7809865" cy="10165715"/>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2B11DD">
      <w:tc>
        <w:tcPr>
          <w:tcW w:w="2489" w:type="dxa"/>
          <w:shd w:val="clear" w:color="auto" w:fill="auto"/>
        </w:tcPr>
        <w:p w:rsidR="002B11DD" w:rsidRDefault="00A43F3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2B11DD" w:rsidRDefault="00A43F3E">
          <w:pPr>
            <w:ind w:right="175"/>
            <w:jc w:val="both"/>
            <w:rPr>
              <w:rFonts w:ascii="Palatino Linotype" w:eastAsia="Palatino Linotype" w:hAnsi="Palatino Linotype" w:cs="Palatino Linotype"/>
              <w:b/>
            </w:rPr>
          </w:pPr>
          <w:r>
            <w:rPr>
              <w:rFonts w:ascii="Palatino Linotype" w:eastAsia="Palatino Linotype" w:hAnsi="Palatino Linotype" w:cs="Palatino Linotype"/>
              <w:b/>
            </w:rPr>
            <w:t>00304/INFOEM/IP/RR/2022</w:t>
          </w:r>
        </w:p>
      </w:tc>
    </w:tr>
    <w:tr w:rsidR="002B11DD">
      <w:trPr>
        <w:trHeight w:val="228"/>
      </w:trPr>
      <w:tc>
        <w:tcPr>
          <w:tcW w:w="2489" w:type="dxa"/>
          <w:shd w:val="clear" w:color="auto" w:fill="auto"/>
          <w:vAlign w:val="center"/>
        </w:tcPr>
        <w:p w:rsidR="002B11DD" w:rsidRDefault="00A43F3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2B11DD" w:rsidRDefault="00A43F3E">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Tezoyuca</w:t>
          </w:r>
          <w:proofErr w:type="spellEnd"/>
        </w:p>
      </w:tc>
    </w:tr>
    <w:tr w:rsidR="002B11DD">
      <w:tc>
        <w:tcPr>
          <w:tcW w:w="2489" w:type="dxa"/>
          <w:shd w:val="clear" w:color="auto" w:fill="auto"/>
          <w:vAlign w:val="center"/>
        </w:tcPr>
        <w:p w:rsidR="002B11DD" w:rsidRDefault="00A43F3E">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2B11DD" w:rsidRDefault="00A43F3E">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2B11DD" w:rsidRDefault="00A43F3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DD" w:rsidRDefault="00A43F3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-756284</wp:posOffset>
          </wp:positionH>
          <wp:positionV relativeFrom="paragraph">
            <wp:posOffset>-424179</wp:posOffset>
          </wp:positionV>
          <wp:extent cx="7809865" cy="10165715"/>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6095" w:type="dxa"/>
      <w:tblInd w:w="3261" w:type="dxa"/>
      <w:tblLayout w:type="fixed"/>
      <w:tblLook w:val="0400" w:firstRow="0" w:lastRow="0" w:firstColumn="0" w:lastColumn="0" w:noHBand="0" w:noVBand="1"/>
    </w:tblPr>
    <w:tblGrid>
      <w:gridCol w:w="2551"/>
      <w:gridCol w:w="3544"/>
    </w:tblGrid>
    <w:tr w:rsidR="002B11DD">
      <w:tc>
        <w:tcPr>
          <w:tcW w:w="2551" w:type="dxa"/>
          <w:shd w:val="clear" w:color="auto" w:fill="auto"/>
          <w:vAlign w:val="center"/>
        </w:tcPr>
        <w:p w:rsidR="002B11DD" w:rsidRDefault="00A43F3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2B11DD" w:rsidRDefault="00A43F3E">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00304/INFOEM/IP/RR/2022</w:t>
          </w:r>
        </w:p>
      </w:tc>
    </w:tr>
    <w:tr w:rsidR="002B11DD">
      <w:trPr>
        <w:trHeight w:val="130"/>
      </w:trPr>
      <w:tc>
        <w:tcPr>
          <w:tcW w:w="2551" w:type="dxa"/>
          <w:shd w:val="clear" w:color="auto" w:fill="auto"/>
          <w:vAlign w:val="center"/>
        </w:tcPr>
        <w:p w:rsidR="002B11DD" w:rsidRDefault="00A43F3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2B11DD" w:rsidRDefault="0068036C" w:rsidP="0068036C">
          <w:pPr>
            <w:jc w:val="both"/>
            <w:rPr>
              <w:rFonts w:ascii="Palatino Linotype" w:eastAsia="Palatino Linotype" w:hAnsi="Palatino Linotype" w:cs="Palatino Linotype"/>
              <w:b/>
            </w:rPr>
          </w:pPr>
          <w:proofErr w:type="spellStart"/>
          <w:r>
            <w:rPr>
              <w:rFonts w:ascii="Palatino Linotype" w:eastAsia="Palatino Linotype" w:hAnsi="Palatino Linotype" w:cs="Palatino Linotype"/>
              <w:b/>
            </w:rPr>
            <w:t>Xxxxxx</w:t>
          </w:r>
          <w:proofErr w:type="spellEnd"/>
          <w:r w:rsidR="00A43F3E">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w:t>
          </w:r>
          <w:proofErr w:type="spellEnd"/>
          <w:r w:rsidR="00A43F3E">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w:t>
          </w:r>
          <w:proofErr w:type="spellEnd"/>
          <w:r w:rsidR="00A43F3E">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Xxxxxxxxx</w:t>
          </w:r>
          <w:proofErr w:type="spellEnd"/>
        </w:p>
      </w:tc>
    </w:tr>
    <w:tr w:rsidR="002B11DD">
      <w:trPr>
        <w:trHeight w:val="228"/>
      </w:trPr>
      <w:tc>
        <w:tcPr>
          <w:tcW w:w="2551" w:type="dxa"/>
          <w:shd w:val="clear" w:color="auto" w:fill="auto"/>
          <w:vAlign w:val="center"/>
        </w:tcPr>
        <w:p w:rsidR="002B11DD" w:rsidRDefault="00A43F3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2B11DD" w:rsidRDefault="00A43F3E">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Tezoyuca</w:t>
          </w:r>
          <w:proofErr w:type="spellEnd"/>
        </w:p>
      </w:tc>
    </w:tr>
    <w:tr w:rsidR="002B11DD">
      <w:tc>
        <w:tcPr>
          <w:tcW w:w="2551" w:type="dxa"/>
          <w:shd w:val="clear" w:color="auto" w:fill="auto"/>
          <w:vAlign w:val="center"/>
        </w:tcPr>
        <w:p w:rsidR="002B11DD" w:rsidRDefault="00A43F3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2B11DD" w:rsidRDefault="00A43F3E">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2B11DD" w:rsidRDefault="002B11D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B6B27"/>
    <w:multiLevelType w:val="multilevel"/>
    <w:tmpl w:val="0CF43B2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32372FC"/>
    <w:multiLevelType w:val="multilevel"/>
    <w:tmpl w:val="F7DAEF7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DD"/>
    <w:rsid w:val="002259CA"/>
    <w:rsid w:val="002B11DD"/>
    <w:rsid w:val="005128C1"/>
    <w:rsid w:val="0068036C"/>
    <w:rsid w:val="006F28A2"/>
    <w:rsid w:val="008048D4"/>
    <w:rsid w:val="00A43F3E"/>
    <w:rsid w:val="00A74EE9"/>
    <w:rsid w:val="00D2702E"/>
    <w:rsid w:val="00D429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3D465-9FA3-4497-B16F-ABA325F9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
    <w:name w:val="4"/>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3">
    <w:name w:val="3"/>
    <w:basedOn w:val="TableNormal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0"/>
    <w:tblPr>
      <w:tblStyleRowBandSize w:val="1"/>
      <w:tblStyleColBandSize w:val="1"/>
      <w:tblCellMar>
        <w:top w:w="0" w:type="dxa"/>
        <w:left w:w="115" w:type="dxa"/>
        <w:bottom w:w="0" w:type="dxa"/>
        <w:right w:w="115" w:type="dxa"/>
      </w:tblCellMar>
    </w:tblPr>
  </w:style>
  <w:style w:type="table" w:customStyle="1" w:styleId="1">
    <w:name w:val="1"/>
    <w:basedOn w:val="TableNormal0"/>
    <w:tblPr>
      <w:tblStyleRowBandSize w:val="1"/>
      <w:tblStyleColBandSize w:val="1"/>
      <w:tblCellMar>
        <w:top w:w="0" w:type="dxa"/>
        <w:left w:w="115" w:type="dxa"/>
        <w:bottom w:w="0" w:type="dxa"/>
        <w:right w:w="115" w:type="dxa"/>
      </w:tblCellMar>
    </w:tblPr>
  </w:style>
  <w:style w:type="table" w:customStyle="1" w:styleId="a">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0">
    <w:basedOn w:val="TableNormal0"/>
    <w:rPr>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D4QJU8DEaS5IRam5zCJ/KsQ4A==">AMUW2mUz13zfiayXHPqquR/3hgSlkgYB12OxTA9+6FgjH8siFHfU61HYgvsPWVEw5iXRNaq0b3sG3QNP7OT0V4n4fQbG9mrhGzF0e0d54V/uaVTQXFb2PubPg0JYo3wh/BhpbqJa0vCyFKDm/JOG6j58Ya2na1zrGA==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3701</Words>
  <Characters>20361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2022-05-06T19:04:00Z</dcterms:created>
  <dcterms:modified xsi:type="dcterms:W3CDTF">2022-05-06T19:15:00Z</dcterms:modified>
</cp:coreProperties>
</file>