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BFE5A" w14:textId="67213FCE" w:rsidR="00E113EC" w:rsidRPr="00ED4C8A" w:rsidRDefault="00E113EC" w:rsidP="0008753C">
      <w:pPr>
        <w:spacing w:before="240" w:after="240" w:line="360" w:lineRule="auto"/>
        <w:jc w:val="both"/>
        <w:rPr>
          <w:rFonts w:ascii="Palatino Linotype" w:eastAsiaTheme="minorEastAsia" w:hAnsi="Palatino Linotype"/>
          <w:sz w:val="24"/>
          <w:szCs w:val="24"/>
          <w:lang w:val="es-ES_tradnl" w:eastAsia="es-ES"/>
        </w:rPr>
      </w:pPr>
      <w:r w:rsidRPr="00ED4C8A">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Metepec, Estado de M</w:t>
      </w:r>
      <w:r w:rsidR="00F46FEB" w:rsidRPr="00ED4C8A">
        <w:rPr>
          <w:rFonts w:ascii="Palatino Linotype" w:eastAsiaTheme="minorEastAsia" w:hAnsi="Palatino Linotype"/>
          <w:sz w:val="24"/>
          <w:szCs w:val="24"/>
          <w:lang w:val="es-ES_tradnl" w:eastAsia="es-ES"/>
        </w:rPr>
        <w:t xml:space="preserve">éxico; de </w:t>
      </w:r>
      <w:r w:rsidR="00451F80" w:rsidRPr="00ED4C8A">
        <w:rPr>
          <w:rFonts w:ascii="Palatino Linotype" w:eastAsiaTheme="minorEastAsia" w:hAnsi="Palatino Linotype"/>
          <w:sz w:val="24"/>
          <w:szCs w:val="24"/>
          <w:lang w:val="es-ES_tradnl" w:eastAsia="es-ES"/>
        </w:rPr>
        <w:t>veinticuatro</w:t>
      </w:r>
      <w:r w:rsidR="004626BF" w:rsidRPr="00ED4C8A">
        <w:rPr>
          <w:rFonts w:ascii="Palatino Linotype" w:eastAsiaTheme="minorEastAsia" w:hAnsi="Palatino Linotype"/>
          <w:sz w:val="24"/>
          <w:szCs w:val="24"/>
          <w:lang w:val="es-ES_tradnl" w:eastAsia="es-ES"/>
        </w:rPr>
        <w:t xml:space="preserve"> </w:t>
      </w:r>
      <w:r w:rsidR="00F46FEB" w:rsidRPr="00ED4C8A">
        <w:rPr>
          <w:rFonts w:ascii="Palatino Linotype" w:eastAsiaTheme="minorEastAsia" w:hAnsi="Palatino Linotype"/>
          <w:sz w:val="24"/>
          <w:szCs w:val="24"/>
          <w:lang w:val="es-ES_tradnl" w:eastAsia="es-ES"/>
        </w:rPr>
        <w:t>(</w:t>
      </w:r>
      <w:r w:rsidR="00451F80" w:rsidRPr="00ED4C8A">
        <w:rPr>
          <w:rFonts w:ascii="Palatino Linotype" w:eastAsiaTheme="minorEastAsia" w:hAnsi="Palatino Linotype"/>
          <w:sz w:val="24"/>
          <w:szCs w:val="24"/>
          <w:lang w:val="es-ES_tradnl" w:eastAsia="es-ES"/>
        </w:rPr>
        <w:t>24</w:t>
      </w:r>
      <w:r w:rsidR="00266D35" w:rsidRPr="00ED4C8A">
        <w:rPr>
          <w:rFonts w:ascii="Palatino Linotype" w:eastAsiaTheme="minorEastAsia" w:hAnsi="Palatino Linotype"/>
          <w:sz w:val="24"/>
          <w:szCs w:val="24"/>
          <w:lang w:val="es-ES_tradnl" w:eastAsia="es-ES"/>
        </w:rPr>
        <w:t xml:space="preserve">) de </w:t>
      </w:r>
      <w:r w:rsidR="00E47578" w:rsidRPr="00ED4C8A">
        <w:rPr>
          <w:rFonts w:ascii="Palatino Linotype" w:eastAsiaTheme="minorEastAsia" w:hAnsi="Palatino Linotype"/>
          <w:sz w:val="24"/>
          <w:szCs w:val="24"/>
          <w:lang w:val="es-ES_tradnl" w:eastAsia="es-ES"/>
        </w:rPr>
        <w:t>marzo</w:t>
      </w:r>
      <w:r w:rsidR="00F623B7" w:rsidRPr="00ED4C8A">
        <w:rPr>
          <w:rFonts w:ascii="Palatino Linotype" w:eastAsiaTheme="minorEastAsia" w:hAnsi="Palatino Linotype"/>
          <w:sz w:val="24"/>
          <w:szCs w:val="24"/>
          <w:lang w:val="es-ES_tradnl" w:eastAsia="es-ES"/>
        </w:rPr>
        <w:t xml:space="preserve"> de dos mil veinti</w:t>
      </w:r>
      <w:r w:rsidR="00B8571A" w:rsidRPr="00ED4C8A">
        <w:rPr>
          <w:rFonts w:ascii="Palatino Linotype" w:eastAsiaTheme="minorEastAsia" w:hAnsi="Palatino Linotype"/>
          <w:sz w:val="24"/>
          <w:szCs w:val="24"/>
          <w:lang w:val="es-ES_tradnl" w:eastAsia="es-ES"/>
        </w:rPr>
        <w:t>dós</w:t>
      </w:r>
      <w:r w:rsidR="00DA44C3" w:rsidRPr="00ED4C8A">
        <w:rPr>
          <w:rFonts w:ascii="Palatino Linotype" w:eastAsiaTheme="minorEastAsia" w:hAnsi="Palatino Linotype"/>
          <w:sz w:val="24"/>
          <w:szCs w:val="24"/>
          <w:lang w:val="es-ES_tradnl" w:eastAsia="es-ES"/>
        </w:rPr>
        <w:t>.</w:t>
      </w:r>
    </w:p>
    <w:p w14:paraId="4AF97040" w14:textId="2C3DECAA" w:rsidR="00E113EC" w:rsidRPr="00ED4C8A" w:rsidRDefault="00E113EC" w:rsidP="0008753C">
      <w:pPr>
        <w:spacing w:before="240" w:after="360" w:line="360" w:lineRule="auto"/>
        <w:jc w:val="both"/>
        <w:rPr>
          <w:rFonts w:ascii="Palatino Linotype" w:eastAsiaTheme="minorEastAsia" w:hAnsi="Palatino Linotype"/>
          <w:sz w:val="24"/>
          <w:szCs w:val="24"/>
          <w:lang w:val="es-ES_tradnl" w:eastAsia="es-ES"/>
        </w:rPr>
      </w:pPr>
      <w:r w:rsidRPr="00ED4C8A">
        <w:rPr>
          <w:rFonts w:ascii="Palatino Linotype" w:eastAsiaTheme="minorEastAsia" w:hAnsi="Palatino Linotype"/>
          <w:b/>
          <w:sz w:val="24"/>
          <w:szCs w:val="24"/>
          <w:lang w:val="es-ES_tradnl" w:eastAsia="es-ES"/>
        </w:rPr>
        <w:t>VISTO</w:t>
      </w:r>
      <w:r w:rsidRPr="00ED4C8A">
        <w:rPr>
          <w:rFonts w:ascii="Palatino Linotype" w:eastAsiaTheme="minorEastAsia" w:hAnsi="Palatino Linotype"/>
          <w:sz w:val="24"/>
          <w:szCs w:val="24"/>
          <w:lang w:val="es-ES_tradnl" w:eastAsia="es-ES"/>
        </w:rPr>
        <w:t xml:space="preserve"> el expediente electrónico formado con motivo del recurso de revisión </w:t>
      </w:r>
      <w:r w:rsidR="00266D35" w:rsidRPr="00ED4C8A">
        <w:rPr>
          <w:rFonts w:ascii="Palatino Linotype" w:eastAsiaTheme="minorEastAsia" w:hAnsi="Palatino Linotype" w:cs="Arial"/>
          <w:b/>
          <w:bCs/>
          <w:sz w:val="24"/>
          <w:szCs w:val="24"/>
          <w:lang w:val="es-ES_tradnl" w:eastAsia="es-ES"/>
        </w:rPr>
        <w:t>0</w:t>
      </w:r>
      <w:r w:rsidR="00E91116" w:rsidRPr="00ED4C8A">
        <w:rPr>
          <w:rFonts w:ascii="Palatino Linotype" w:eastAsiaTheme="minorEastAsia" w:hAnsi="Palatino Linotype" w:cs="Arial"/>
          <w:b/>
          <w:bCs/>
          <w:sz w:val="24"/>
          <w:szCs w:val="24"/>
          <w:lang w:val="es-ES_tradnl" w:eastAsia="es-ES"/>
        </w:rPr>
        <w:t>4</w:t>
      </w:r>
      <w:r w:rsidR="00451F80" w:rsidRPr="00ED4C8A">
        <w:rPr>
          <w:rFonts w:ascii="Palatino Linotype" w:eastAsiaTheme="minorEastAsia" w:hAnsi="Palatino Linotype" w:cs="Arial"/>
          <w:b/>
          <w:bCs/>
          <w:sz w:val="24"/>
          <w:szCs w:val="24"/>
          <w:lang w:val="es-ES_tradnl" w:eastAsia="es-ES"/>
        </w:rPr>
        <w:t>623</w:t>
      </w:r>
      <w:r w:rsidR="00F623B7" w:rsidRPr="00ED4C8A">
        <w:rPr>
          <w:rFonts w:ascii="Palatino Linotype" w:eastAsiaTheme="minorEastAsia" w:hAnsi="Palatino Linotype" w:cs="Arial"/>
          <w:b/>
          <w:bCs/>
          <w:sz w:val="24"/>
          <w:szCs w:val="24"/>
          <w:lang w:val="es-ES_tradnl" w:eastAsia="es-ES"/>
        </w:rPr>
        <w:t>/INFOEM/IP/RR/2021</w:t>
      </w:r>
      <w:r w:rsidRPr="00ED4C8A">
        <w:rPr>
          <w:rFonts w:ascii="Palatino Linotype" w:eastAsiaTheme="minorEastAsia" w:hAnsi="Palatino Linotype" w:cs="Arial"/>
          <w:b/>
          <w:bCs/>
          <w:sz w:val="24"/>
          <w:szCs w:val="24"/>
          <w:lang w:val="es-ES_tradnl" w:eastAsia="es-ES"/>
        </w:rPr>
        <w:t xml:space="preserve">, </w:t>
      </w:r>
      <w:r w:rsidRPr="00ED4C8A">
        <w:rPr>
          <w:rFonts w:ascii="Palatino Linotype" w:eastAsiaTheme="minorEastAsia" w:hAnsi="Palatino Linotype"/>
          <w:sz w:val="24"/>
          <w:szCs w:val="24"/>
          <w:lang w:val="es-ES_tradnl" w:eastAsia="es-ES"/>
        </w:rPr>
        <w:t xml:space="preserve">promovido </w:t>
      </w:r>
      <w:r w:rsidR="00BB7082">
        <w:rPr>
          <w:rFonts w:ascii="Palatino Linotype" w:eastAsiaTheme="minorEastAsia" w:hAnsi="Palatino Linotype"/>
          <w:b/>
          <w:bCs/>
          <w:sz w:val="24"/>
          <w:szCs w:val="24"/>
          <w:lang w:val="es-ES_tradnl" w:eastAsia="es-ES"/>
        </w:rPr>
        <w:t>Xxxxxxxx Xxxxxxxx Xxxxx</w:t>
      </w:r>
      <w:r w:rsidR="00224540" w:rsidRPr="00ED4C8A">
        <w:rPr>
          <w:rFonts w:ascii="Palatino Linotype" w:eastAsiaTheme="minorEastAsia" w:hAnsi="Palatino Linotype"/>
          <w:sz w:val="24"/>
          <w:szCs w:val="24"/>
          <w:lang w:val="es-ES_tradnl" w:eastAsia="es-ES"/>
        </w:rPr>
        <w:t>,</w:t>
      </w:r>
      <w:bookmarkStart w:id="0" w:name="_GoBack"/>
      <w:bookmarkEnd w:id="0"/>
      <w:r w:rsidR="00451F80" w:rsidRPr="00ED4C8A">
        <w:rPr>
          <w:rFonts w:ascii="Palatino Linotype" w:eastAsiaTheme="minorEastAsia" w:hAnsi="Palatino Linotype"/>
          <w:sz w:val="24"/>
          <w:szCs w:val="24"/>
          <w:lang w:val="es-ES_tradnl" w:eastAsia="es-ES"/>
        </w:rPr>
        <w:t xml:space="preserve"> </w:t>
      </w:r>
      <w:r w:rsidR="00224540" w:rsidRPr="00ED4C8A">
        <w:rPr>
          <w:rFonts w:ascii="Palatino Linotype" w:eastAsiaTheme="minorEastAsia" w:hAnsi="Palatino Linotype"/>
          <w:sz w:val="24"/>
          <w:szCs w:val="24"/>
          <w:lang w:val="es-ES_tradnl" w:eastAsia="es-ES"/>
        </w:rPr>
        <w:t>que en lo sucesivo se le identificará</w:t>
      </w:r>
      <w:r w:rsidR="00F623B7" w:rsidRPr="00ED4C8A">
        <w:rPr>
          <w:rFonts w:ascii="Palatino Linotype" w:eastAsiaTheme="minorEastAsia" w:hAnsi="Palatino Linotype" w:cs="Arial"/>
          <w:sz w:val="24"/>
          <w:szCs w:val="24"/>
          <w:lang w:val="es-ES_tradnl" w:eastAsia="es-ES"/>
        </w:rPr>
        <w:t xml:space="preserve"> </w:t>
      </w:r>
      <w:r w:rsidR="00224540" w:rsidRPr="00ED4C8A">
        <w:rPr>
          <w:rFonts w:ascii="Palatino Linotype" w:eastAsiaTheme="minorEastAsia" w:hAnsi="Palatino Linotype" w:cs="Arial"/>
          <w:sz w:val="24"/>
          <w:szCs w:val="24"/>
          <w:lang w:val="es-ES_tradnl" w:eastAsia="es-ES"/>
        </w:rPr>
        <w:t>como</w:t>
      </w:r>
      <w:r w:rsidRPr="00ED4C8A">
        <w:rPr>
          <w:rFonts w:ascii="Palatino Linotype" w:eastAsiaTheme="minorEastAsia" w:hAnsi="Palatino Linotype" w:cs="Arial"/>
          <w:sz w:val="24"/>
          <w:szCs w:val="24"/>
          <w:lang w:val="es-ES_tradnl" w:eastAsia="es-ES"/>
        </w:rPr>
        <w:t xml:space="preserve"> </w:t>
      </w:r>
      <w:r w:rsidRPr="00ED4C8A">
        <w:rPr>
          <w:rFonts w:ascii="Palatino Linotype" w:eastAsiaTheme="minorEastAsia" w:hAnsi="Palatino Linotype" w:cs="Arial"/>
          <w:b/>
          <w:sz w:val="24"/>
          <w:szCs w:val="24"/>
          <w:lang w:val="es-ES_tradnl" w:eastAsia="es-ES"/>
        </w:rPr>
        <w:t>RECURRENTE</w:t>
      </w:r>
      <w:r w:rsidR="009073E1" w:rsidRPr="00ED4C8A">
        <w:rPr>
          <w:rFonts w:ascii="Palatino Linotype" w:eastAsiaTheme="minorEastAsia" w:hAnsi="Palatino Linotype" w:cs="Arial"/>
          <w:sz w:val="24"/>
          <w:szCs w:val="24"/>
          <w:lang w:val="es-ES_tradnl" w:eastAsia="es-ES"/>
        </w:rPr>
        <w:t xml:space="preserve">, en contra de la </w:t>
      </w:r>
      <w:r w:rsidRPr="00ED4C8A">
        <w:rPr>
          <w:rFonts w:ascii="Palatino Linotype" w:eastAsiaTheme="minorEastAsia" w:hAnsi="Palatino Linotype" w:cs="Arial"/>
          <w:sz w:val="24"/>
          <w:szCs w:val="24"/>
          <w:lang w:val="es-ES_tradnl" w:eastAsia="es-ES"/>
        </w:rPr>
        <w:t xml:space="preserve">respuesta del </w:t>
      </w:r>
      <w:r w:rsidR="00451F80" w:rsidRPr="00ED4C8A">
        <w:rPr>
          <w:rFonts w:ascii="Palatino Linotype" w:hAnsi="Palatino Linotype"/>
          <w:b/>
          <w:bCs/>
          <w:color w:val="000000"/>
          <w:sz w:val="24"/>
          <w:szCs w:val="24"/>
          <w:lang w:val="es-ES_tradnl"/>
        </w:rPr>
        <w:t>Ayuntamiento de Nicolás Romero</w:t>
      </w:r>
      <w:r w:rsidR="009073E1" w:rsidRPr="00ED4C8A">
        <w:rPr>
          <w:rFonts w:ascii="Palatino Linotype" w:eastAsiaTheme="minorEastAsia" w:hAnsi="Palatino Linotype" w:cs="Arial"/>
          <w:b/>
          <w:sz w:val="24"/>
          <w:szCs w:val="24"/>
          <w:lang w:val="es-ES_tradnl" w:eastAsia="es-ES"/>
        </w:rPr>
        <w:t>,</w:t>
      </w:r>
      <w:r w:rsidRPr="00ED4C8A">
        <w:rPr>
          <w:rFonts w:ascii="Palatino Linotype" w:eastAsiaTheme="minorEastAsia" w:hAnsi="Palatino Linotype" w:cs="Arial"/>
          <w:b/>
          <w:sz w:val="24"/>
          <w:szCs w:val="24"/>
          <w:lang w:val="es-ES_tradnl" w:eastAsia="es-ES"/>
        </w:rPr>
        <w:t xml:space="preserve"> </w:t>
      </w:r>
      <w:r w:rsidRPr="00ED4C8A">
        <w:rPr>
          <w:rFonts w:ascii="Palatino Linotype" w:eastAsiaTheme="minorEastAsia" w:hAnsi="Palatino Linotype"/>
          <w:sz w:val="24"/>
          <w:szCs w:val="24"/>
          <w:lang w:val="es-ES_tradnl" w:eastAsia="es-ES"/>
        </w:rPr>
        <w:t>en lo sucesivo el</w:t>
      </w:r>
      <w:r w:rsidRPr="00ED4C8A">
        <w:rPr>
          <w:rFonts w:ascii="Palatino Linotype" w:eastAsiaTheme="minorEastAsia" w:hAnsi="Palatino Linotype"/>
          <w:b/>
          <w:sz w:val="24"/>
          <w:szCs w:val="24"/>
          <w:lang w:val="es-ES_tradnl" w:eastAsia="es-ES"/>
        </w:rPr>
        <w:t xml:space="preserve"> SUJETO OBLIGADO, </w:t>
      </w:r>
      <w:r w:rsidRPr="00ED4C8A">
        <w:rPr>
          <w:rFonts w:ascii="Palatino Linotype" w:eastAsiaTheme="minorEastAsia" w:hAnsi="Palatino Linotype"/>
          <w:sz w:val="24"/>
          <w:szCs w:val="24"/>
          <w:lang w:val="es-ES_tradnl" w:eastAsia="es-ES"/>
        </w:rPr>
        <w:t xml:space="preserve">se procede a dictar la presente resolución, con base en los siguientes: </w:t>
      </w:r>
    </w:p>
    <w:p w14:paraId="5E5431DF" w14:textId="77777777" w:rsidR="00E113EC" w:rsidRPr="00ED4C8A"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32"/>
        </w:rPr>
      </w:pPr>
      <w:bookmarkStart w:id="1" w:name="_Toc85130362"/>
      <w:r w:rsidRPr="00ED4C8A">
        <w:rPr>
          <w:rFonts w:ascii="Palatino Linotype" w:eastAsiaTheme="majorEastAsia" w:hAnsi="Palatino Linotype" w:cstheme="majorBidi"/>
          <w:b/>
          <w:sz w:val="24"/>
          <w:szCs w:val="32"/>
        </w:rPr>
        <w:t>A N T E C E D E N T E S</w:t>
      </w:r>
      <w:bookmarkEnd w:id="1"/>
    </w:p>
    <w:p w14:paraId="5F0A240F" w14:textId="77777777" w:rsidR="00E113EC" w:rsidRPr="00ED4C8A" w:rsidRDefault="00E113EC" w:rsidP="0008753C">
      <w:pPr>
        <w:keepNext/>
        <w:keepLines/>
        <w:spacing w:before="240" w:after="0" w:line="360" w:lineRule="auto"/>
        <w:ind w:right="-142"/>
        <w:jc w:val="center"/>
        <w:outlineLvl w:val="0"/>
        <w:rPr>
          <w:rFonts w:ascii="Palatino Linotype" w:eastAsiaTheme="majorEastAsia" w:hAnsi="Palatino Linotype" w:cstheme="majorBidi"/>
          <w:sz w:val="24"/>
          <w:szCs w:val="32"/>
        </w:rPr>
      </w:pPr>
    </w:p>
    <w:p w14:paraId="23162A71" w14:textId="138D0E6D" w:rsidR="00E113EC" w:rsidRPr="00ED4C8A" w:rsidRDefault="00E113EC" w:rsidP="00AF7F39">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ED4C8A">
        <w:rPr>
          <w:rFonts w:ascii="Palatino Linotype" w:eastAsia="Calibri" w:hAnsi="Palatino Linotype" w:cs="Arial"/>
          <w:sz w:val="24"/>
          <w:szCs w:val="24"/>
          <w:lang w:val="es-ES" w:eastAsia="es-ES"/>
        </w:rPr>
        <w:t xml:space="preserve">El </w:t>
      </w:r>
      <w:r w:rsidR="00451F80" w:rsidRPr="00ED4C8A">
        <w:rPr>
          <w:rFonts w:ascii="Palatino Linotype" w:eastAsia="Calibri" w:hAnsi="Palatino Linotype" w:cs="Arial"/>
          <w:sz w:val="24"/>
          <w:szCs w:val="24"/>
          <w:lang w:val="es-ES" w:eastAsia="es-ES"/>
        </w:rPr>
        <w:t xml:space="preserve">diecisiete </w:t>
      </w:r>
      <w:r w:rsidR="00266D35" w:rsidRPr="00ED4C8A">
        <w:rPr>
          <w:rFonts w:ascii="Palatino Linotype" w:eastAsia="Calibri" w:hAnsi="Palatino Linotype" w:cs="Arial"/>
          <w:sz w:val="24"/>
          <w:szCs w:val="24"/>
          <w:lang w:val="es-ES" w:eastAsia="es-ES"/>
        </w:rPr>
        <w:t>(</w:t>
      </w:r>
      <w:r w:rsidR="00451F80" w:rsidRPr="00ED4C8A">
        <w:rPr>
          <w:rFonts w:ascii="Palatino Linotype" w:eastAsia="Calibri" w:hAnsi="Palatino Linotype" w:cs="Arial"/>
          <w:sz w:val="24"/>
          <w:szCs w:val="24"/>
          <w:lang w:val="es-ES" w:eastAsia="es-ES"/>
        </w:rPr>
        <w:t>17</w:t>
      </w:r>
      <w:r w:rsidR="009640E7" w:rsidRPr="00ED4C8A">
        <w:rPr>
          <w:rFonts w:ascii="Palatino Linotype" w:eastAsia="Calibri" w:hAnsi="Palatino Linotype" w:cs="Arial"/>
          <w:sz w:val="24"/>
          <w:szCs w:val="24"/>
          <w:lang w:val="es-ES" w:eastAsia="es-ES"/>
        </w:rPr>
        <w:t xml:space="preserve">) de </w:t>
      </w:r>
      <w:r w:rsidR="00451F80" w:rsidRPr="00ED4C8A">
        <w:rPr>
          <w:rFonts w:ascii="Palatino Linotype" w:eastAsia="Calibri" w:hAnsi="Palatino Linotype" w:cs="Arial"/>
          <w:sz w:val="24"/>
          <w:szCs w:val="24"/>
          <w:lang w:val="es-ES" w:eastAsia="es-ES"/>
        </w:rPr>
        <w:t xml:space="preserve">agosto </w:t>
      </w:r>
      <w:r w:rsidR="00F623B7" w:rsidRPr="00ED4C8A">
        <w:rPr>
          <w:rFonts w:ascii="Palatino Linotype" w:eastAsia="Calibri" w:hAnsi="Palatino Linotype" w:cs="Arial"/>
          <w:sz w:val="24"/>
          <w:szCs w:val="24"/>
          <w:lang w:val="es-ES" w:eastAsia="es-ES"/>
        </w:rPr>
        <w:t>de dos mil veintiuno</w:t>
      </w:r>
      <w:r w:rsidRPr="00ED4C8A">
        <w:rPr>
          <w:rFonts w:ascii="Palatino Linotype" w:eastAsia="Calibri" w:hAnsi="Palatino Linotype" w:cs="Arial"/>
          <w:sz w:val="24"/>
          <w:szCs w:val="24"/>
          <w:lang w:val="es-ES" w:eastAsia="es-ES"/>
        </w:rPr>
        <w:t>,</w:t>
      </w:r>
      <w:r w:rsidRPr="00ED4C8A">
        <w:rPr>
          <w:rFonts w:ascii="Palatino Linotype" w:eastAsia="Calibri" w:hAnsi="Palatino Linotype" w:cs="Times New Roman"/>
          <w:sz w:val="24"/>
          <w:szCs w:val="24"/>
          <w:lang w:val="es-ES" w:eastAsia="es-ES"/>
        </w:rPr>
        <w:t xml:space="preserve"> se</w:t>
      </w:r>
      <w:r w:rsidRPr="00ED4C8A">
        <w:rPr>
          <w:rFonts w:ascii="Palatino Linotype" w:eastAsiaTheme="minorEastAsia" w:hAnsi="Palatino Linotype"/>
          <w:b/>
          <w:sz w:val="24"/>
          <w:szCs w:val="24"/>
          <w:lang w:val="es-ES_tradnl" w:eastAsia="es-ES"/>
        </w:rPr>
        <w:t xml:space="preserve"> </w:t>
      </w:r>
      <w:r w:rsidRPr="00ED4C8A">
        <w:rPr>
          <w:rFonts w:ascii="Palatino Linotype" w:eastAsiaTheme="minorEastAsia" w:hAnsi="Palatino Linotype"/>
          <w:sz w:val="24"/>
          <w:szCs w:val="24"/>
          <w:lang w:val="es-ES_tradnl" w:eastAsia="es-ES"/>
        </w:rPr>
        <w:t xml:space="preserve">presentó </w:t>
      </w:r>
      <w:r w:rsidRPr="00ED4C8A">
        <w:rPr>
          <w:rFonts w:ascii="Palatino Linotype" w:eastAsia="Calibri" w:hAnsi="Palatino Linotype" w:cs="Arial"/>
          <w:sz w:val="24"/>
          <w:szCs w:val="24"/>
          <w:lang w:val="es-ES" w:eastAsia="es-ES"/>
        </w:rPr>
        <w:t xml:space="preserve">ante el </w:t>
      </w:r>
      <w:r w:rsidRPr="00ED4C8A">
        <w:rPr>
          <w:rFonts w:ascii="Palatino Linotype" w:eastAsia="Calibri" w:hAnsi="Palatino Linotype" w:cs="Arial"/>
          <w:b/>
          <w:sz w:val="24"/>
          <w:szCs w:val="24"/>
          <w:lang w:val="es-ES" w:eastAsia="es-ES"/>
        </w:rPr>
        <w:t>SUJETO OBLIGADO,</w:t>
      </w:r>
      <w:r w:rsidRPr="00ED4C8A">
        <w:rPr>
          <w:rFonts w:ascii="Palatino Linotype" w:eastAsia="Calibri" w:hAnsi="Palatino Linotype" w:cs="Arial"/>
          <w:sz w:val="24"/>
          <w:szCs w:val="24"/>
          <w:lang w:val="es-ES_tradnl" w:eastAsia="es-ES"/>
        </w:rPr>
        <w:t xml:space="preserve"> vía </w:t>
      </w:r>
      <w:r w:rsidRPr="00ED4C8A">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266D35" w:rsidRPr="00ED4C8A">
        <w:rPr>
          <w:rFonts w:ascii="Palatino Linotype" w:eastAsia="Times New Roman" w:hAnsi="Palatino Linotype" w:cs="Arial"/>
          <w:b/>
          <w:sz w:val="24"/>
          <w:szCs w:val="24"/>
          <w:lang w:val="es-ES" w:eastAsia="es-ES"/>
        </w:rPr>
        <w:t>00</w:t>
      </w:r>
      <w:r w:rsidR="00451F80" w:rsidRPr="00ED4C8A">
        <w:rPr>
          <w:rFonts w:ascii="Palatino Linotype" w:eastAsia="Times New Roman" w:hAnsi="Palatino Linotype" w:cs="Arial"/>
          <w:b/>
          <w:sz w:val="24"/>
          <w:szCs w:val="24"/>
          <w:lang w:val="es-ES" w:eastAsia="es-ES"/>
        </w:rPr>
        <w:t>195</w:t>
      </w:r>
      <w:r w:rsidR="009640E7" w:rsidRPr="00ED4C8A">
        <w:rPr>
          <w:rFonts w:ascii="Palatino Linotype" w:eastAsia="Times New Roman" w:hAnsi="Palatino Linotype" w:cs="Arial"/>
          <w:b/>
          <w:sz w:val="24"/>
          <w:szCs w:val="24"/>
          <w:lang w:val="es-ES" w:eastAsia="es-ES"/>
        </w:rPr>
        <w:t>/</w:t>
      </w:r>
      <w:r w:rsidR="00451F80" w:rsidRPr="00ED4C8A">
        <w:rPr>
          <w:rFonts w:ascii="Palatino Linotype" w:eastAsia="Times New Roman" w:hAnsi="Palatino Linotype" w:cs="Arial"/>
          <w:b/>
          <w:sz w:val="24"/>
          <w:szCs w:val="24"/>
          <w:lang w:val="es-ES" w:eastAsia="es-ES"/>
        </w:rPr>
        <w:t>NICOROM</w:t>
      </w:r>
      <w:r w:rsidR="00F623B7" w:rsidRPr="00ED4C8A">
        <w:rPr>
          <w:rFonts w:ascii="Palatino Linotype" w:eastAsia="Times New Roman" w:hAnsi="Palatino Linotype" w:cs="Arial"/>
          <w:b/>
          <w:sz w:val="24"/>
          <w:szCs w:val="24"/>
          <w:lang w:val="es-ES" w:eastAsia="es-ES"/>
        </w:rPr>
        <w:t>/IP/2021</w:t>
      </w:r>
      <w:r w:rsidRPr="00ED4C8A">
        <w:rPr>
          <w:rFonts w:ascii="Palatino Linotype" w:eastAsia="Times New Roman" w:hAnsi="Palatino Linotype" w:cs="Arial"/>
          <w:b/>
          <w:sz w:val="24"/>
          <w:szCs w:val="24"/>
          <w:lang w:val="es-ES" w:eastAsia="es-ES"/>
        </w:rPr>
        <w:t xml:space="preserve">, </w:t>
      </w:r>
      <w:r w:rsidRPr="00ED4C8A">
        <w:rPr>
          <w:rFonts w:ascii="Palatino Linotype" w:eastAsia="Calibri" w:hAnsi="Palatino Linotype" w:cs="Arial"/>
          <w:sz w:val="24"/>
          <w:szCs w:val="24"/>
          <w:lang w:val="es-ES" w:eastAsia="es-ES"/>
        </w:rPr>
        <w:t>mediante la cual se requirió lo siguiente:</w:t>
      </w:r>
    </w:p>
    <w:p w14:paraId="7376A95C" w14:textId="77777777" w:rsidR="0008753C" w:rsidRPr="00ED4C8A" w:rsidRDefault="0008753C" w:rsidP="0008753C">
      <w:pPr>
        <w:spacing w:before="240" w:after="240" w:line="360" w:lineRule="auto"/>
        <w:contextualSpacing/>
        <w:jc w:val="both"/>
        <w:rPr>
          <w:rFonts w:ascii="Palatino Linotype" w:eastAsia="Calibri" w:hAnsi="Palatino Linotype" w:cs="Arial"/>
          <w:sz w:val="24"/>
          <w:szCs w:val="24"/>
          <w:lang w:val="es-ES" w:eastAsia="es-ES"/>
        </w:rPr>
      </w:pPr>
    </w:p>
    <w:p w14:paraId="1B12EBA7" w14:textId="4BD95362" w:rsidR="00F623B7" w:rsidRPr="00ED4C8A" w:rsidRDefault="00F623B7" w:rsidP="00451F80">
      <w:pPr>
        <w:spacing w:line="240" w:lineRule="auto"/>
        <w:ind w:left="567" w:right="567"/>
        <w:jc w:val="both"/>
        <w:rPr>
          <w:rFonts w:ascii="Palatino Linotype" w:eastAsia="Times New Roman" w:hAnsi="Palatino Linotype" w:cs="Times New Roman"/>
          <w:i/>
          <w:lang w:eastAsia="es-MX"/>
        </w:rPr>
      </w:pPr>
      <w:r w:rsidRPr="00ED4C8A">
        <w:rPr>
          <w:rFonts w:ascii="Palatino Linotype" w:eastAsia="Calibri" w:hAnsi="Palatino Linotype" w:cs="Arial"/>
          <w:i/>
          <w:lang w:val="es-ES" w:eastAsia="es-ES"/>
        </w:rPr>
        <w:t>“</w:t>
      </w:r>
      <w:r w:rsidR="00451F80" w:rsidRPr="00ED4C8A">
        <w:rPr>
          <w:rFonts w:ascii="Palatino Linotype" w:eastAsia="Times New Roman" w:hAnsi="Palatino Linotype" w:cs="Times New Roman"/>
          <w:i/>
          <w:color w:val="000000"/>
          <w:lang w:eastAsia="es-MX"/>
        </w:rPr>
        <w:t xml:space="preserve">En relación con las licencias solicitadas por la Segunda regidora Melva Carrasco Gódinez (concedida en la Sexagésima Segunda Sesión Extraordinaria de Cabildo de fecha 22 de abril del 2021) , Décimo Regidor Ricardo Rivera Escalona (concedida en la Sexagésima Segunda Sesión extraordinaria de Cabildo de fecha 22 de abril del 2021) y Décimo Primer Regidor, Gabriel Alejandro Navarro García ( concedida en la Sexagésima Sesión Extraordinaria de fecha 16 de abril del 2021), , solicito se informe </w:t>
      </w:r>
      <w:r w:rsidR="00451F80" w:rsidRPr="00ED4C8A">
        <w:rPr>
          <w:rFonts w:ascii="Palatino Linotype" w:eastAsia="Times New Roman" w:hAnsi="Palatino Linotype" w:cs="Times New Roman"/>
          <w:i/>
          <w:color w:val="000000"/>
          <w:lang w:eastAsia="es-MX"/>
        </w:rPr>
        <w:lastRenderedPageBreak/>
        <w:t>bajo protesta de decir verdad si se realizaron los procesos de entrega recepción entre los ediles salientes y los entrantes, así como se me remitan copias simples de las actas de entrega recepción que en su momento se llevaron a cabo con la participación del OSFEM en términos de los Lineamientos para la entregas recepción vigentes ; y para indebido caso de que las mismas no se hayan realizado solicito se remitan copias simples de las acciones tomadas por la Contralora Municipal para hacer esta irregularidad del conocimiento de la Contraloría del Poder Legislativo del Estado de México;</w:t>
      </w:r>
      <w:r w:rsidR="00AF7F39" w:rsidRPr="00ED4C8A">
        <w:rPr>
          <w:rFonts w:ascii="Palatino Linotype" w:eastAsia="Times New Roman" w:hAnsi="Palatino Linotype" w:cs="Times New Roman"/>
          <w:i/>
          <w:color w:val="000000"/>
          <w:lang w:eastAsia="es-MX"/>
        </w:rPr>
        <w:t>.</w:t>
      </w:r>
      <w:r w:rsidRPr="00ED4C8A">
        <w:rPr>
          <w:rFonts w:ascii="Palatino Linotype" w:eastAsia="Calibri" w:hAnsi="Palatino Linotype" w:cs="Arial"/>
          <w:i/>
          <w:lang w:val="es-ES" w:eastAsia="es-ES"/>
        </w:rPr>
        <w:t>” (Sic)</w:t>
      </w:r>
    </w:p>
    <w:p w14:paraId="79C90E0F" w14:textId="77777777" w:rsidR="00BD1A80" w:rsidRPr="00ED4C8A" w:rsidRDefault="00BD1A80" w:rsidP="00BD1A80">
      <w:pPr>
        <w:spacing w:before="240" w:after="240" w:line="360" w:lineRule="auto"/>
        <w:contextualSpacing/>
        <w:jc w:val="both"/>
        <w:rPr>
          <w:rFonts w:ascii="Palatino Linotype" w:eastAsiaTheme="minorEastAsia" w:hAnsi="Palatino Linotype" w:cs="Arial"/>
          <w:i/>
          <w:sz w:val="24"/>
          <w:lang w:eastAsia="es-ES"/>
        </w:rPr>
      </w:pPr>
    </w:p>
    <w:p w14:paraId="1529D78D" w14:textId="5EA87D14" w:rsidR="00266D35" w:rsidRPr="00ED4C8A" w:rsidRDefault="00E113EC" w:rsidP="00266D35">
      <w:pPr>
        <w:numPr>
          <w:ilvl w:val="0"/>
          <w:numId w:val="2"/>
        </w:numPr>
        <w:spacing w:before="240" w:after="240" w:line="360" w:lineRule="auto"/>
        <w:ind w:left="0" w:firstLine="0"/>
        <w:contextualSpacing/>
        <w:jc w:val="both"/>
        <w:rPr>
          <w:rFonts w:ascii="Palatino Linotype" w:eastAsiaTheme="minorEastAsia" w:hAnsi="Palatino Linotype" w:cs="Arial"/>
          <w:i/>
          <w:sz w:val="24"/>
          <w:lang w:eastAsia="es-ES"/>
        </w:rPr>
      </w:pPr>
      <w:r w:rsidRPr="00ED4C8A">
        <w:rPr>
          <w:rFonts w:ascii="Palatino Linotype" w:eastAsiaTheme="minorEastAsia" w:hAnsi="Palatino Linotype" w:cs="Arial"/>
          <w:sz w:val="24"/>
          <w:szCs w:val="24"/>
          <w:lang w:val="es-ES_tradnl" w:eastAsia="es-ES"/>
        </w:rPr>
        <w:t>El</w:t>
      </w:r>
      <w:r w:rsidR="009640E7" w:rsidRPr="00ED4C8A">
        <w:rPr>
          <w:rFonts w:ascii="Palatino Linotype" w:eastAsiaTheme="minorEastAsia" w:hAnsi="Palatino Linotype" w:cs="Arial"/>
          <w:sz w:val="24"/>
          <w:szCs w:val="24"/>
          <w:lang w:val="es-ES_tradnl" w:eastAsia="es-ES"/>
        </w:rPr>
        <w:t xml:space="preserve"> </w:t>
      </w:r>
      <w:r w:rsidR="00451F80" w:rsidRPr="00ED4C8A">
        <w:rPr>
          <w:rFonts w:ascii="Palatino Linotype" w:eastAsiaTheme="minorEastAsia" w:hAnsi="Palatino Linotype" w:cs="Arial"/>
          <w:sz w:val="24"/>
          <w:szCs w:val="24"/>
          <w:lang w:val="es-ES_tradnl" w:eastAsia="es-ES"/>
        </w:rPr>
        <w:t xml:space="preserve">siete </w:t>
      </w:r>
      <w:r w:rsidR="00F623B7" w:rsidRPr="00ED4C8A">
        <w:rPr>
          <w:rFonts w:ascii="Palatino Linotype" w:eastAsiaTheme="minorEastAsia" w:hAnsi="Palatino Linotype" w:cs="Arial"/>
          <w:sz w:val="24"/>
          <w:szCs w:val="24"/>
          <w:lang w:val="es-ES_tradnl" w:eastAsia="es-ES"/>
        </w:rPr>
        <w:t>(</w:t>
      </w:r>
      <w:r w:rsidR="00451F80" w:rsidRPr="00ED4C8A">
        <w:rPr>
          <w:rFonts w:ascii="Palatino Linotype" w:eastAsiaTheme="minorEastAsia" w:hAnsi="Palatino Linotype" w:cs="Arial"/>
          <w:sz w:val="24"/>
          <w:szCs w:val="24"/>
          <w:lang w:val="es-ES_tradnl" w:eastAsia="es-ES"/>
        </w:rPr>
        <w:t>0</w:t>
      </w:r>
      <w:r w:rsidR="00AF7F39" w:rsidRPr="00ED4C8A">
        <w:rPr>
          <w:rFonts w:ascii="Palatino Linotype" w:eastAsiaTheme="minorEastAsia" w:hAnsi="Palatino Linotype" w:cs="Arial"/>
          <w:sz w:val="24"/>
          <w:szCs w:val="24"/>
          <w:lang w:val="es-ES_tradnl" w:eastAsia="es-ES"/>
        </w:rPr>
        <w:t>7</w:t>
      </w:r>
      <w:r w:rsidR="00F623B7" w:rsidRPr="00ED4C8A">
        <w:rPr>
          <w:rFonts w:ascii="Palatino Linotype" w:eastAsiaTheme="minorEastAsia" w:hAnsi="Palatino Linotype" w:cs="Arial"/>
          <w:sz w:val="24"/>
          <w:szCs w:val="24"/>
          <w:lang w:val="es-ES_tradnl" w:eastAsia="es-ES"/>
        </w:rPr>
        <w:t xml:space="preserve">) de </w:t>
      </w:r>
      <w:r w:rsidR="00451F80" w:rsidRPr="00ED4C8A">
        <w:rPr>
          <w:rFonts w:ascii="Palatino Linotype" w:eastAsiaTheme="minorEastAsia" w:hAnsi="Palatino Linotype" w:cs="Arial"/>
          <w:sz w:val="24"/>
          <w:szCs w:val="24"/>
          <w:lang w:val="es-ES_tradnl" w:eastAsia="es-ES"/>
        </w:rPr>
        <w:t>septiembre</w:t>
      </w:r>
      <w:r w:rsidR="00F623B7" w:rsidRPr="00ED4C8A">
        <w:rPr>
          <w:rFonts w:ascii="Palatino Linotype" w:eastAsiaTheme="minorEastAsia" w:hAnsi="Palatino Linotype" w:cs="Arial"/>
          <w:sz w:val="24"/>
          <w:szCs w:val="24"/>
          <w:lang w:val="es-ES_tradnl" w:eastAsia="es-ES"/>
        </w:rPr>
        <w:t xml:space="preserve"> de dos mil veintiuno</w:t>
      </w:r>
      <w:r w:rsidR="009640E7" w:rsidRPr="00ED4C8A">
        <w:rPr>
          <w:rFonts w:ascii="Palatino Linotype" w:eastAsiaTheme="minorEastAsia" w:hAnsi="Palatino Linotype" w:cs="Arial"/>
          <w:sz w:val="24"/>
          <w:szCs w:val="24"/>
          <w:lang w:val="es-ES_tradnl" w:eastAsia="es-ES"/>
        </w:rPr>
        <w:t xml:space="preserve">, </w:t>
      </w:r>
      <w:r w:rsidR="00EC4F5B" w:rsidRPr="00ED4C8A">
        <w:rPr>
          <w:rFonts w:ascii="Palatino Linotype" w:eastAsiaTheme="minorEastAsia" w:hAnsi="Palatino Linotype" w:cs="Arial"/>
          <w:sz w:val="24"/>
          <w:szCs w:val="24"/>
          <w:lang w:val="es-ES_tradnl" w:eastAsia="es-ES"/>
        </w:rPr>
        <w:t xml:space="preserve">el </w:t>
      </w:r>
      <w:r w:rsidRPr="00ED4C8A">
        <w:rPr>
          <w:rFonts w:ascii="Palatino Linotype" w:eastAsiaTheme="minorEastAsia" w:hAnsi="Palatino Linotype" w:cs="Arial"/>
          <w:b/>
          <w:sz w:val="24"/>
          <w:szCs w:val="24"/>
          <w:lang w:val="es-ES_tradnl" w:eastAsia="es-ES"/>
        </w:rPr>
        <w:t>SUJETO OBLIGADO</w:t>
      </w:r>
      <w:r w:rsidRPr="00ED4C8A">
        <w:rPr>
          <w:rFonts w:ascii="Palatino Linotype" w:eastAsiaTheme="minorEastAsia" w:hAnsi="Palatino Linotype" w:cs="Arial"/>
          <w:sz w:val="24"/>
          <w:szCs w:val="24"/>
          <w:lang w:val="es-ES_tradnl" w:eastAsia="es-ES"/>
        </w:rPr>
        <w:t xml:space="preserve"> </w:t>
      </w:r>
      <w:r w:rsidR="009640E7" w:rsidRPr="00ED4C8A">
        <w:rPr>
          <w:rFonts w:ascii="Palatino Linotype" w:hAnsi="Palatino Linotype"/>
          <w:color w:val="000000"/>
          <w:sz w:val="24"/>
        </w:rPr>
        <w:t>dio respuesta a la solicitud de inf</w:t>
      </w:r>
      <w:r w:rsidR="00F623B7" w:rsidRPr="00ED4C8A">
        <w:rPr>
          <w:rFonts w:ascii="Palatino Linotype" w:hAnsi="Palatino Linotype"/>
          <w:color w:val="000000"/>
          <w:sz w:val="24"/>
        </w:rPr>
        <w:t>ormación</w:t>
      </w:r>
      <w:r w:rsidR="006F6666" w:rsidRPr="00ED4C8A">
        <w:rPr>
          <w:rFonts w:ascii="Palatino Linotype" w:hAnsi="Palatino Linotype"/>
          <w:color w:val="000000"/>
          <w:sz w:val="24"/>
        </w:rPr>
        <w:t>,</w:t>
      </w:r>
      <w:r w:rsidR="00F623B7" w:rsidRPr="00ED4C8A">
        <w:rPr>
          <w:rFonts w:ascii="Palatino Linotype" w:hAnsi="Palatino Linotype"/>
          <w:color w:val="000000"/>
          <w:sz w:val="24"/>
        </w:rPr>
        <w:t xml:space="preserve"> </w:t>
      </w:r>
      <w:r w:rsidR="00AF7F39" w:rsidRPr="00ED4C8A">
        <w:rPr>
          <w:rFonts w:ascii="Palatino Linotype" w:hAnsi="Palatino Linotype"/>
          <w:color w:val="000000"/>
          <w:sz w:val="24"/>
        </w:rPr>
        <w:t>en los siguie</w:t>
      </w:r>
      <w:r w:rsidR="002B403F" w:rsidRPr="00ED4C8A">
        <w:rPr>
          <w:rFonts w:ascii="Palatino Linotype" w:hAnsi="Palatino Linotype"/>
          <w:color w:val="000000"/>
          <w:sz w:val="24"/>
        </w:rPr>
        <w:t>n</w:t>
      </w:r>
      <w:r w:rsidR="00AF7F39" w:rsidRPr="00ED4C8A">
        <w:rPr>
          <w:rFonts w:ascii="Palatino Linotype" w:hAnsi="Palatino Linotype"/>
          <w:color w:val="000000"/>
          <w:sz w:val="24"/>
        </w:rPr>
        <w:t>tes t</w:t>
      </w:r>
      <w:r w:rsidR="002B403F" w:rsidRPr="00ED4C8A">
        <w:rPr>
          <w:rFonts w:ascii="Palatino Linotype" w:hAnsi="Palatino Linotype"/>
          <w:color w:val="000000"/>
          <w:sz w:val="24"/>
        </w:rPr>
        <w:t>é</w:t>
      </w:r>
      <w:r w:rsidR="00AF7F39" w:rsidRPr="00ED4C8A">
        <w:rPr>
          <w:rFonts w:ascii="Palatino Linotype" w:hAnsi="Palatino Linotype"/>
          <w:color w:val="000000"/>
          <w:sz w:val="24"/>
        </w:rPr>
        <w:t>rminos:</w:t>
      </w:r>
    </w:p>
    <w:p w14:paraId="11137F30" w14:textId="77777777" w:rsidR="00AF7F39" w:rsidRPr="00ED4C8A" w:rsidRDefault="00AF7F39" w:rsidP="00AF7F39">
      <w:pPr>
        <w:spacing w:before="240" w:after="240" w:line="360" w:lineRule="auto"/>
        <w:contextualSpacing/>
        <w:jc w:val="both"/>
        <w:rPr>
          <w:rFonts w:ascii="Palatino Linotype" w:eastAsiaTheme="minorEastAsia" w:hAnsi="Palatino Linotype" w:cs="Arial"/>
          <w:i/>
          <w:sz w:val="24"/>
          <w:lang w:eastAsia="es-ES"/>
        </w:rPr>
      </w:pPr>
    </w:p>
    <w:p w14:paraId="038FB69A" w14:textId="2D86788F" w:rsidR="00AF7F39" w:rsidRPr="00ED4C8A" w:rsidRDefault="00AF7F39" w:rsidP="00451F80">
      <w:pPr>
        <w:ind w:left="567" w:right="567"/>
        <w:rPr>
          <w:rFonts w:ascii="Palatino Linotype" w:eastAsia="Times New Roman" w:hAnsi="Palatino Linotype" w:cs="Times New Roman"/>
          <w:i/>
          <w:iCs/>
          <w:lang w:eastAsia="es-MX"/>
        </w:rPr>
      </w:pPr>
      <w:r w:rsidRPr="00ED4C8A">
        <w:rPr>
          <w:rFonts w:ascii="Palatino Linotype" w:hAnsi="Palatino Linotype"/>
          <w:i/>
          <w:iCs/>
          <w:color w:val="000000"/>
        </w:rPr>
        <w:t>“</w:t>
      </w:r>
      <w:r w:rsidR="00451F80" w:rsidRPr="00ED4C8A">
        <w:rPr>
          <w:rFonts w:ascii="Palatino Linotype" w:hAnsi="Palatino Linotype"/>
          <w:i/>
          <w:iCs/>
          <w:color w:val="000000"/>
        </w:rPr>
        <w:t>…</w:t>
      </w:r>
      <w:r w:rsidR="00451F80" w:rsidRPr="00ED4C8A">
        <w:rPr>
          <w:rFonts w:ascii="Palatino Linotype" w:eastAsia="Times New Roman" w:hAnsi="Palatino Linotype" w:cs="Times New Roman"/>
          <w:i/>
          <w:iCs/>
          <w:color w:val="000000"/>
          <w:lang w:eastAsia="es-MX"/>
        </w:rPr>
        <w:t>Buenas tardes, por este medio envío respuesta a su solicitud de información. Sin mas por el momento, reciba un cordial saludo…</w:t>
      </w:r>
      <w:r w:rsidRPr="00ED4C8A">
        <w:rPr>
          <w:rFonts w:ascii="Palatino Linotype" w:hAnsi="Palatino Linotype"/>
          <w:i/>
          <w:iCs/>
          <w:color w:val="000000"/>
        </w:rPr>
        <w:t>” (Sic)</w:t>
      </w:r>
    </w:p>
    <w:p w14:paraId="46F4CBFF" w14:textId="77777777" w:rsidR="00224540" w:rsidRPr="00ED4C8A" w:rsidRDefault="00224540" w:rsidP="00AF7F39">
      <w:pPr>
        <w:spacing w:line="240" w:lineRule="auto"/>
        <w:ind w:left="567" w:right="567"/>
        <w:jc w:val="both"/>
        <w:rPr>
          <w:rFonts w:ascii="Palatino Linotype" w:hAnsi="Palatino Linotype"/>
          <w:i/>
          <w:iCs/>
          <w:color w:val="000000"/>
        </w:rPr>
      </w:pPr>
    </w:p>
    <w:p w14:paraId="085F99BE" w14:textId="51F040A2" w:rsidR="00AF7F39" w:rsidRPr="00ED4C8A" w:rsidRDefault="00AF7F39" w:rsidP="00A277B5">
      <w:pPr>
        <w:spacing w:line="240" w:lineRule="auto"/>
        <w:ind w:right="567"/>
        <w:jc w:val="both"/>
        <w:rPr>
          <w:rFonts w:ascii="Palatino Linotype" w:hAnsi="Palatino Linotype"/>
          <w:b/>
          <w:bCs/>
          <w:color w:val="000000" w:themeColor="text1"/>
        </w:rPr>
      </w:pPr>
      <w:r w:rsidRPr="00ED4C8A">
        <w:rPr>
          <w:rFonts w:ascii="Palatino Linotype" w:hAnsi="Palatino Linotype"/>
          <w:b/>
          <w:bCs/>
          <w:color w:val="000000"/>
        </w:rPr>
        <w:t>Archivo</w:t>
      </w:r>
      <w:r w:rsidR="00451F80" w:rsidRPr="00ED4C8A">
        <w:rPr>
          <w:rFonts w:ascii="Palatino Linotype" w:hAnsi="Palatino Linotype"/>
          <w:b/>
          <w:bCs/>
          <w:color w:val="000000"/>
        </w:rPr>
        <w:t>s</w:t>
      </w:r>
      <w:r w:rsidRPr="00ED4C8A">
        <w:rPr>
          <w:rFonts w:ascii="Palatino Linotype" w:hAnsi="Palatino Linotype"/>
          <w:b/>
          <w:bCs/>
          <w:color w:val="000000"/>
        </w:rPr>
        <w:t xml:space="preserve"> adjunto</w:t>
      </w:r>
      <w:r w:rsidR="00451F80" w:rsidRPr="00ED4C8A">
        <w:rPr>
          <w:rFonts w:ascii="Palatino Linotype" w:hAnsi="Palatino Linotype"/>
          <w:b/>
          <w:bCs/>
          <w:color w:val="000000"/>
        </w:rPr>
        <w:t>s:</w:t>
      </w:r>
    </w:p>
    <w:p w14:paraId="777CFD36" w14:textId="125EA41E" w:rsidR="00224540" w:rsidRPr="00ED4C8A" w:rsidRDefault="00224540" w:rsidP="00224540">
      <w:pPr>
        <w:spacing w:line="240" w:lineRule="auto"/>
        <w:ind w:right="567"/>
        <w:jc w:val="both"/>
        <w:rPr>
          <w:rFonts w:ascii="Palatino Linotype" w:hAnsi="Palatino Linotype"/>
          <w:b/>
          <w:bCs/>
          <w:color w:val="000000" w:themeColor="text1"/>
        </w:rPr>
      </w:pPr>
    </w:p>
    <w:p w14:paraId="50209E71" w14:textId="77777777" w:rsidR="00451F80" w:rsidRPr="00ED4C8A" w:rsidRDefault="00915216" w:rsidP="00451F80">
      <w:pPr>
        <w:pStyle w:val="Prrafodelista"/>
        <w:numPr>
          <w:ilvl w:val="0"/>
          <w:numId w:val="36"/>
        </w:numPr>
        <w:spacing w:line="240" w:lineRule="auto"/>
        <w:ind w:right="567" w:hanging="153"/>
        <w:jc w:val="both"/>
        <w:rPr>
          <w:rFonts w:ascii="Palatino Linotype" w:hAnsi="Palatino Linotype"/>
          <w:b/>
          <w:bCs/>
          <w:color w:val="000000" w:themeColor="text1"/>
        </w:rPr>
      </w:pPr>
      <w:hyperlink r:id="rId7" w:tgtFrame="_blank" w:history="1">
        <w:r w:rsidR="00451F80" w:rsidRPr="00ED4C8A">
          <w:rPr>
            <w:rStyle w:val="Hipervnculo"/>
            <w:rFonts w:ascii="Palatino Linotype" w:hAnsi="Palatino Linotype" w:cs="Arial"/>
            <w:b/>
            <w:bCs/>
            <w:color w:val="000000" w:themeColor="text1"/>
          </w:rPr>
          <w:t>NR_CM_686_2021 00195.pdf</w:t>
        </w:r>
      </w:hyperlink>
      <w:r w:rsidR="00451F80" w:rsidRPr="00ED4C8A">
        <w:rPr>
          <w:rFonts w:ascii="Palatino Linotype" w:hAnsi="Palatino Linotype"/>
          <w:b/>
          <w:bCs/>
          <w:color w:val="000000" w:themeColor="text1"/>
        </w:rPr>
        <w:t xml:space="preserve">: </w:t>
      </w:r>
      <w:r w:rsidR="00451F80" w:rsidRPr="00ED4C8A">
        <w:rPr>
          <w:rFonts w:ascii="Palatino Linotype" w:hAnsi="Palatino Linotype"/>
          <w:color w:val="000000" w:themeColor="text1"/>
        </w:rPr>
        <w:t>Oficio número NR/CM/686/2021, de fecha 19 de agosto de 2021, suscrito y signado por el Contralor Municipal, dirigido al Coordinador de la Unidad de Transparencia Municiapl, a través del cual informó lo siguiente:</w:t>
      </w:r>
    </w:p>
    <w:p w14:paraId="0E6B41DA" w14:textId="77777777" w:rsidR="00451F80" w:rsidRPr="00ED4C8A" w:rsidRDefault="00451F80" w:rsidP="00451F80">
      <w:pPr>
        <w:pStyle w:val="Prrafodelista"/>
        <w:spacing w:line="240" w:lineRule="auto"/>
        <w:ind w:right="567" w:hanging="153"/>
        <w:jc w:val="both"/>
        <w:rPr>
          <w:rFonts w:ascii="Palatino Linotype" w:hAnsi="Palatino Linotype"/>
          <w:b/>
          <w:bCs/>
          <w:color w:val="000000" w:themeColor="text1"/>
        </w:rPr>
      </w:pPr>
    </w:p>
    <w:p w14:paraId="43C9F1C8" w14:textId="6426D163" w:rsidR="00451F80" w:rsidRPr="00ED4C8A" w:rsidRDefault="00451F80" w:rsidP="00451F80">
      <w:pPr>
        <w:pStyle w:val="Prrafodelista"/>
        <w:spacing w:line="240" w:lineRule="auto"/>
        <w:ind w:left="851" w:right="851"/>
        <w:jc w:val="both"/>
        <w:rPr>
          <w:rFonts w:ascii="Palatino Linotype" w:hAnsi="Palatino Linotype"/>
          <w:b/>
          <w:bCs/>
          <w:i/>
          <w:iCs/>
          <w:color w:val="000000" w:themeColor="text1"/>
        </w:rPr>
      </w:pPr>
      <w:r w:rsidRPr="00ED4C8A">
        <w:rPr>
          <w:rFonts w:ascii="Palatino Linotype" w:hAnsi="Palatino Linotype"/>
          <w:b/>
          <w:bCs/>
          <w:i/>
          <w:iCs/>
          <w:color w:val="000000" w:themeColor="text1"/>
        </w:rPr>
        <w:t>“…se hace de su conocimiento que, al ser Cargos de Elección Popular, la Contraloría Municipal carece de competencia para proporcionar la información y/o documentación requerida respecto de las Entregas Recepción de los ediles salientes y los entrantes tal como lo señala la Ley Órganica Municipal del Estado de México y los Lineamientos de Entrega Recepción de la Administración Pública del Estado de México…”</w:t>
      </w:r>
      <w:r w:rsidR="00DD1B9D" w:rsidRPr="00ED4C8A">
        <w:rPr>
          <w:rFonts w:ascii="Palatino Linotype" w:hAnsi="Palatino Linotype"/>
          <w:b/>
          <w:bCs/>
          <w:i/>
          <w:iCs/>
          <w:color w:val="000000" w:themeColor="text1"/>
        </w:rPr>
        <w:t xml:space="preserve"> (Sic)</w:t>
      </w:r>
    </w:p>
    <w:p w14:paraId="6CBA892F" w14:textId="77777777" w:rsidR="00451F80" w:rsidRPr="00ED4C8A" w:rsidRDefault="00451F80" w:rsidP="00451F80">
      <w:pPr>
        <w:pStyle w:val="Prrafodelista"/>
        <w:spacing w:line="240" w:lineRule="auto"/>
        <w:ind w:left="567" w:right="567"/>
        <w:jc w:val="both"/>
        <w:rPr>
          <w:rFonts w:ascii="Palatino Linotype" w:hAnsi="Palatino Linotype"/>
          <w:b/>
          <w:bCs/>
          <w:color w:val="000000" w:themeColor="text1"/>
        </w:rPr>
      </w:pPr>
    </w:p>
    <w:p w14:paraId="4E5C6C04" w14:textId="77777777" w:rsidR="00451F80" w:rsidRPr="00ED4C8A" w:rsidRDefault="00915216" w:rsidP="00451F80">
      <w:pPr>
        <w:pStyle w:val="Prrafodelista"/>
        <w:numPr>
          <w:ilvl w:val="0"/>
          <w:numId w:val="36"/>
        </w:numPr>
        <w:spacing w:line="240" w:lineRule="auto"/>
        <w:ind w:right="567" w:hanging="153"/>
        <w:jc w:val="both"/>
        <w:rPr>
          <w:rFonts w:ascii="Palatino Linotype" w:hAnsi="Palatino Linotype"/>
          <w:color w:val="000000" w:themeColor="text1"/>
        </w:rPr>
      </w:pPr>
      <w:hyperlink r:id="rId8" w:tgtFrame="_blank" w:history="1">
        <w:r w:rsidR="00451F80" w:rsidRPr="00ED4C8A">
          <w:rPr>
            <w:rStyle w:val="Hipervnculo"/>
            <w:rFonts w:ascii="Palatino Linotype" w:hAnsi="Palatino Linotype" w:cs="Arial"/>
            <w:b/>
            <w:bCs/>
            <w:color w:val="000000" w:themeColor="text1"/>
          </w:rPr>
          <w:t>NR_SM_185_2021 00195.pdf</w:t>
        </w:r>
      </w:hyperlink>
      <w:r w:rsidR="00451F80" w:rsidRPr="00ED4C8A">
        <w:rPr>
          <w:rFonts w:ascii="Palatino Linotype" w:hAnsi="Palatino Linotype"/>
          <w:b/>
          <w:bCs/>
          <w:color w:val="000000" w:themeColor="text1"/>
        </w:rPr>
        <w:t xml:space="preserve">: </w:t>
      </w:r>
      <w:r w:rsidR="00451F80" w:rsidRPr="00ED4C8A">
        <w:rPr>
          <w:rFonts w:ascii="Palatino Linotype" w:hAnsi="Palatino Linotype"/>
          <w:color w:val="000000" w:themeColor="text1"/>
        </w:rPr>
        <w:t xml:space="preserve">Oficio número NR/SM/185/2021, de fecha 24 de agosto de 2021, suscrito y signado por la Síndico Municipal, dirigido al </w:t>
      </w:r>
      <w:r w:rsidR="00451F80" w:rsidRPr="00ED4C8A">
        <w:rPr>
          <w:rFonts w:ascii="Palatino Linotype" w:hAnsi="Palatino Linotype"/>
          <w:color w:val="000000" w:themeColor="text1"/>
        </w:rPr>
        <w:lastRenderedPageBreak/>
        <w:t>Coordinador de la Unidad de Transparencia Municiapl, a través del cual informó lo siguiente:</w:t>
      </w:r>
    </w:p>
    <w:p w14:paraId="4AA8A1E1" w14:textId="77777777" w:rsidR="00451F80" w:rsidRPr="00ED4C8A" w:rsidRDefault="00451F80" w:rsidP="00451F80">
      <w:pPr>
        <w:spacing w:line="240" w:lineRule="auto"/>
        <w:ind w:left="709" w:right="567" w:hanging="153"/>
        <w:jc w:val="both"/>
        <w:rPr>
          <w:rFonts w:ascii="Palatino Linotype" w:hAnsi="Palatino Linotype"/>
          <w:b/>
          <w:bCs/>
          <w:color w:val="000000" w:themeColor="text1"/>
        </w:rPr>
      </w:pPr>
    </w:p>
    <w:p w14:paraId="53CADCB4" w14:textId="373D0A3E" w:rsidR="00451F80" w:rsidRPr="00ED4C8A" w:rsidRDefault="00451F80" w:rsidP="00451F80">
      <w:pPr>
        <w:spacing w:line="240" w:lineRule="auto"/>
        <w:ind w:left="851" w:right="851"/>
        <w:jc w:val="both"/>
        <w:rPr>
          <w:rFonts w:ascii="Palatino Linotype" w:hAnsi="Palatino Linotype"/>
          <w:b/>
          <w:bCs/>
          <w:color w:val="000000" w:themeColor="text1"/>
        </w:rPr>
      </w:pPr>
      <w:r w:rsidRPr="00ED4C8A">
        <w:rPr>
          <w:rFonts w:ascii="Palatino Linotype" w:hAnsi="Palatino Linotype"/>
          <w:b/>
          <w:bCs/>
          <w:i/>
          <w:iCs/>
          <w:color w:val="000000" w:themeColor="text1"/>
        </w:rPr>
        <w:t xml:space="preserve">“… en ningún momento se solicitó mi intervención por parte de los servidores públicos salientes a fin de que en colaboración con la Contraloría Municipal les fuera proporcionada toda la información y acceso al Sistema Creg- Entrega-Recepción ya que como lo señaló con anterioridad debe intervenir  la Contraloría Municipal por tratarse de la entrega del despacho de la unidad administrativa, con todos sus recursos, documentos e información inherentes a las atribuciones, funciones, factultades y actividades de las regidurías, ya que es quien cuenta con todas las obligaciones y </w:t>
      </w:r>
      <w:r w:rsidRPr="00ED4C8A">
        <w:rPr>
          <w:rFonts w:ascii="Palatino Linotype" w:hAnsi="Palatino Linotype"/>
          <w:b/>
          <w:bCs/>
          <w:color w:val="000000" w:themeColor="text1"/>
        </w:rPr>
        <w:t>facultades enherentes a la entrega recepción…”</w:t>
      </w:r>
      <w:r w:rsidR="00DD1B9D" w:rsidRPr="00ED4C8A">
        <w:rPr>
          <w:rFonts w:ascii="Palatino Linotype" w:hAnsi="Palatino Linotype"/>
          <w:b/>
          <w:bCs/>
          <w:color w:val="000000" w:themeColor="text1"/>
        </w:rPr>
        <w:t xml:space="preserve"> (Sic)</w:t>
      </w:r>
    </w:p>
    <w:p w14:paraId="497DC3B0" w14:textId="78C90948" w:rsidR="00451F80" w:rsidRPr="00ED4C8A" w:rsidRDefault="00451F80" w:rsidP="00451F80">
      <w:pPr>
        <w:spacing w:line="240" w:lineRule="auto"/>
        <w:ind w:left="851" w:right="851"/>
        <w:jc w:val="both"/>
        <w:rPr>
          <w:rFonts w:ascii="Palatino Linotype" w:hAnsi="Palatino Linotype"/>
          <w:b/>
          <w:bCs/>
          <w:i/>
          <w:iCs/>
          <w:color w:val="000000" w:themeColor="text1"/>
        </w:rPr>
      </w:pPr>
    </w:p>
    <w:p w14:paraId="710D4733" w14:textId="77777777" w:rsidR="00451F80" w:rsidRPr="00ED4C8A" w:rsidRDefault="00915216" w:rsidP="00451F80">
      <w:pPr>
        <w:pStyle w:val="Prrafodelista"/>
        <w:numPr>
          <w:ilvl w:val="0"/>
          <w:numId w:val="36"/>
        </w:numPr>
        <w:spacing w:line="240" w:lineRule="auto"/>
        <w:ind w:right="567" w:hanging="153"/>
        <w:jc w:val="both"/>
        <w:rPr>
          <w:rFonts w:ascii="Palatino Linotype" w:hAnsi="Palatino Linotype"/>
          <w:color w:val="000000" w:themeColor="text1"/>
        </w:rPr>
      </w:pPr>
      <w:hyperlink r:id="rId9" w:tgtFrame="_blank" w:history="1">
        <w:r w:rsidR="00451F80" w:rsidRPr="00ED4C8A">
          <w:rPr>
            <w:rStyle w:val="Hipervnculo"/>
            <w:rFonts w:ascii="Palatino Linotype" w:hAnsi="Palatino Linotype" w:cs="Arial"/>
            <w:b/>
            <w:bCs/>
            <w:color w:val="000000" w:themeColor="text1"/>
          </w:rPr>
          <w:t>NR_SM_193_2021 00195.pdf</w:t>
        </w:r>
      </w:hyperlink>
      <w:r w:rsidR="00451F80" w:rsidRPr="00ED4C8A">
        <w:rPr>
          <w:rFonts w:ascii="Palatino Linotype" w:hAnsi="Palatino Linotype"/>
          <w:b/>
          <w:bCs/>
          <w:color w:val="000000" w:themeColor="text1"/>
        </w:rPr>
        <w:t xml:space="preserve">: </w:t>
      </w:r>
      <w:r w:rsidR="00451F80" w:rsidRPr="00ED4C8A">
        <w:rPr>
          <w:rFonts w:ascii="Palatino Linotype" w:hAnsi="Palatino Linotype"/>
          <w:color w:val="000000" w:themeColor="text1"/>
        </w:rPr>
        <w:t>Oficio número NR/SM/193/2021, de fecha 07 de septiembre de 2021, suscrito y signado por la Síndico Municipal, dirigido al Coordinador de la Unidad de Transparencia Municiapl, a través del cual informó lo siguiente:</w:t>
      </w:r>
    </w:p>
    <w:p w14:paraId="257172F4" w14:textId="77777777" w:rsidR="00451F80" w:rsidRPr="00ED4C8A" w:rsidRDefault="00451F80" w:rsidP="00451F80">
      <w:pPr>
        <w:spacing w:line="240" w:lineRule="auto"/>
        <w:ind w:left="567" w:right="567"/>
        <w:jc w:val="both"/>
        <w:rPr>
          <w:rFonts w:ascii="Palatino Linotype" w:hAnsi="Palatino Linotype"/>
          <w:b/>
          <w:bCs/>
          <w:color w:val="000000" w:themeColor="text1"/>
        </w:rPr>
      </w:pPr>
    </w:p>
    <w:p w14:paraId="537600E6" w14:textId="52CCA4CF" w:rsidR="00451F80" w:rsidRPr="00ED4C8A" w:rsidRDefault="00451F80" w:rsidP="00451F80">
      <w:pPr>
        <w:spacing w:line="240" w:lineRule="auto"/>
        <w:ind w:left="851" w:right="851"/>
        <w:jc w:val="both"/>
        <w:rPr>
          <w:rFonts w:ascii="Palatino Linotype" w:hAnsi="Palatino Linotype"/>
          <w:b/>
          <w:bCs/>
          <w:i/>
          <w:iCs/>
          <w:color w:val="000000" w:themeColor="text1"/>
        </w:rPr>
      </w:pPr>
      <w:r w:rsidRPr="00ED4C8A">
        <w:rPr>
          <w:rFonts w:ascii="Palatino Linotype" w:hAnsi="Palatino Linotype"/>
          <w:b/>
          <w:bCs/>
          <w:i/>
          <w:iCs/>
          <w:color w:val="000000" w:themeColor="text1"/>
        </w:rPr>
        <w:t>“… hago de su conocimiento, que al realizar una búsqueda minuciosa en los archivos que obran en esta Sindicatura, no se encontró oficio de intervención o colaboración ingresado por parte de la Segunda Regidora […], Décimo Regidor […], y Décimo Primer Regidor […], a fin de hacerme participe de los actos de entrega-recepción, por lo anterior no cuento con atribuciones y/o documentación solicitada respecto de la Entrega Recepción de los ediles salientes y entrantes…”</w:t>
      </w:r>
      <w:r w:rsidR="00DD1B9D" w:rsidRPr="00ED4C8A">
        <w:rPr>
          <w:rFonts w:ascii="Palatino Linotype" w:hAnsi="Palatino Linotype"/>
          <w:b/>
          <w:bCs/>
          <w:i/>
          <w:iCs/>
          <w:color w:val="000000" w:themeColor="text1"/>
        </w:rPr>
        <w:t xml:space="preserve"> (Sic)</w:t>
      </w:r>
    </w:p>
    <w:p w14:paraId="141671AB" w14:textId="77777777" w:rsidR="00451F80" w:rsidRPr="00ED4C8A" w:rsidRDefault="00451F80" w:rsidP="00224540">
      <w:pPr>
        <w:spacing w:line="240" w:lineRule="auto"/>
        <w:ind w:right="567"/>
        <w:jc w:val="both"/>
        <w:rPr>
          <w:rFonts w:ascii="Palatino Linotype" w:eastAsia="Times New Roman" w:hAnsi="Palatino Linotype" w:cs="Times New Roman"/>
          <w:b/>
          <w:bCs/>
          <w:lang w:eastAsia="es-MX"/>
        </w:rPr>
      </w:pPr>
    </w:p>
    <w:p w14:paraId="7A2A71C8" w14:textId="1B0022D2" w:rsidR="00DE4BA1" w:rsidRPr="00ED4C8A" w:rsidRDefault="00DE4BA1" w:rsidP="009D0086">
      <w:pPr>
        <w:pStyle w:val="Prrafodelista"/>
        <w:numPr>
          <w:ilvl w:val="0"/>
          <w:numId w:val="2"/>
        </w:numPr>
        <w:tabs>
          <w:tab w:val="left" w:pos="284"/>
          <w:tab w:val="left" w:pos="426"/>
        </w:tabs>
        <w:spacing w:after="0" w:line="360" w:lineRule="auto"/>
        <w:ind w:left="0" w:firstLine="0"/>
        <w:jc w:val="both"/>
        <w:rPr>
          <w:rFonts w:ascii="Palatino Linotype" w:hAnsi="Palatino Linotype"/>
          <w:sz w:val="24"/>
        </w:rPr>
      </w:pPr>
      <w:bookmarkStart w:id="2" w:name="_Toc462307683"/>
      <w:bookmarkStart w:id="3" w:name="_Toc472427085"/>
      <w:bookmarkStart w:id="4" w:name="_Toc472500652"/>
      <w:r w:rsidRPr="00ED4C8A">
        <w:rPr>
          <w:rFonts w:ascii="Palatino Linotype" w:eastAsia="Times New Roman" w:hAnsi="Palatino Linotype" w:cs="Arial"/>
          <w:sz w:val="24"/>
          <w:lang w:val="es-ES"/>
        </w:rPr>
        <w:t xml:space="preserve">Derivado de la respuesta emitida por el </w:t>
      </w:r>
      <w:r w:rsidRPr="00ED4C8A">
        <w:rPr>
          <w:rFonts w:ascii="Palatino Linotype" w:eastAsia="Times New Roman" w:hAnsi="Palatino Linotype" w:cs="Arial"/>
          <w:b/>
          <w:sz w:val="24"/>
          <w:lang w:val="es-ES"/>
        </w:rPr>
        <w:t>SUJETO OBLIGADO</w:t>
      </w:r>
      <w:r w:rsidRPr="00ED4C8A">
        <w:rPr>
          <w:rFonts w:ascii="Palatino Linotype" w:eastAsia="Times New Roman" w:hAnsi="Palatino Linotype" w:cs="Arial"/>
          <w:sz w:val="24"/>
          <w:lang w:val="es-ES"/>
        </w:rPr>
        <w:t xml:space="preserve">, el </w:t>
      </w:r>
      <w:r w:rsidR="001B02C0" w:rsidRPr="00ED4C8A">
        <w:rPr>
          <w:rFonts w:ascii="Palatino Linotype" w:eastAsia="Times New Roman" w:hAnsi="Palatino Linotype" w:cs="Arial"/>
          <w:sz w:val="24"/>
          <w:lang w:val="es-ES"/>
        </w:rPr>
        <w:t>nueve</w:t>
      </w:r>
      <w:r w:rsidR="00AC105D" w:rsidRPr="00ED4C8A">
        <w:rPr>
          <w:rFonts w:ascii="Palatino Linotype" w:eastAsia="Times New Roman" w:hAnsi="Palatino Linotype" w:cs="Arial"/>
          <w:sz w:val="24"/>
          <w:lang w:val="es-ES"/>
        </w:rPr>
        <w:t xml:space="preserve"> (0</w:t>
      </w:r>
      <w:r w:rsidR="001B02C0" w:rsidRPr="00ED4C8A">
        <w:rPr>
          <w:rFonts w:ascii="Palatino Linotype" w:eastAsia="Times New Roman" w:hAnsi="Palatino Linotype" w:cs="Arial"/>
          <w:sz w:val="24"/>
          <w:lang w:val="es-ES"/>
        </w:rPr>
        <w:t>9</w:t>
      </w:r>
      <w:r w:rsidRPr="00ED4C8A">
        <w:rPr>
          <w:rFonts w:ascii="Palatino Linotype" w:eastAsia="Times New Roman" w:hAnsi="Palatino Linotype" w:cs="Arial"/>
          <w:sz w:val="24"/>
          <w:lang w:val="es-ES"/>
        </w:rPr>
        <w:t xml:space="preserve">) de </w:t>
      </w:r>
      <w:r w:rsidR="00BD1A80" w:rsidRPr="00ED4C8A">
        <w:rPr>
          <w:rFonts w:ascii="Palatino Linotype" w:eastAsia="Times New Roman" w:hAnsi="Palatino Linotype" w:cs="Arial"/>
          <w:sz w:val="24"/>
          <w:lang w:val="es-ES"/>
        </w:rPr>
        <w:t>septiembre</w:t>
      </w:r>
      <w:r w:rsidRPr="00ED4C8A">
        <w:rPr>
          <w:rFonts w:ascii="Palatino Linotype" w:eastAsia="Times New Roman" w:hAnsi="Palatino Linotype" w:cs="Arial"/>
          <w:sz w:val="24"/>
          <w:lang w:val="es-ES"/>
        </w:rPr>
        <w:t xml:space="preserve"> de dos mil </w:t>
      </w:r>
      <w:r w:rsidR="00F623B7" w:rsidRPr="00ED4C8A">
        <w:rPr>
          <w:rFonts w:ascii="Palatino Linotype" w:eastAsia="Times New Roman" w:hAnsi="Palatino Linotype" w:cs="Arial"/>
          <w:sz w:val="24"/>
          <w:lang w:val="es-ES"/>
        </w:rPr>
        <w:t xml:space="preserve">veintiuno, </w:t>
      </w:r>
      <w:r w:rsidRPr="00ED4C8A">
        <w:rPr>
          <w:rFonts w:ascii="Palatino Linotype" w:eastAsia="Times New Roman" w:hAnsi="Palatino Linotype" w:cs="Arial"/>
          <w:sz w:val="24"/>
          <w:lang w:val="es-ES"/>
        </w:rPr>
        <w:t xml:space="preserve">estando en tiempo y forma, </w:t>
      </w:r>
      <w:r w:rsidR="00C626D3" w:rsidRPr="00ED4C8A">
        <w:rPr>
          <w:rFonts w:ascii="Palatino Linotype" w:eastAsia="Times New Roman" w:hAnsi="Palatino Linotype" w:cs="Arial"/>
          <w:sz w:val="24"/>
          <w:lang w:val="es-ES"/>
        </w:rPr>
        <w:t xml:space="preserve">el </w:t>
      </w:r>
      <w:r w:rsidR="003445CD" w:rsidRPr="00ED4C8A">
        <w:rPr>
          <w:rFonts w:ascii="Palatino Linotype" w:eastAsia="Times New Roman" w:hAnsi="Palatino Linotype" w:cs="Arial"/>
          <w:sz w:val="24"/>
          <w:lang w:val="es-ES"/>
        </w:rPr>
        <w:t>P</w:t>
      </w:r>
      <w:r w:rsidRPr="00ED4C8A">
        <w:rPr>
          <w:rFonts w:ascii="Palatino Linotype" w:eastAsia="Times New Roman" w:hAnsi="Palatino Linotype" w:cs="Arial"/>
          <w:sz w:val="24"/>
          <w:lang w:val="es-ES"/>
        </w:rPr>
        <w:t xml:space="preserve">articular interpuso </w:t>
      </w:r>
      <w:r w:rsidRPr="00ED4C8A">
        <w:rPr>
          <w:rFonts w:ascii="Palatino Linotype" w:eastAsia="Times New Roman" w:hAnsi="Palatino Linotype" w:cs="Arial"/>
          <w:sz w:val="24"/>
          <w:lang w:val="es-ES"/>
        </w:rPr>
        <w:lastRenderedPageBreak/>
        <w:t xml:space="preserve">el recurso de revisión </w:t>
      </w:r>
      <w:r w:rsidR="005E6FF9" w:rsidRPr="00ED4C8A">
        <w:rPr>
          <w:rFonts w:ascii="Palatino Linotype" w:eastAsia="Calibri" w:hAnsi="Palatino Linotype" w:cs="Arial"/>
          <w:b/>
          <w:sz w:val="24"/>
          <w:lang w:val="es-ES"/>
        </w:rPr>
        <w:t>04</w:t>
      </w:r>
      <w:r w:rsidR="001B02C0" w:rsidRPr="00ED4C8A">
        <w:rPr>
          <w:rFonts w:ascii="Palatino Linotype" w:eastAsia="Calibri" w:hAnsi="Palatino Linotype" w:cs="Arial"/>
          <w:b/>
          <w:sz w:val="24"/>
          <w:lang w:val="es-ES"/>
        </w:rPr>
        <w:t>623</w:t>
      </w:r>
      <w:r w:rsidR="00F623B7" w:rsidRPr="00ED4C8A">
        <w:rPr>
          <w:rFonts w:ascii="Palatino Linotype" w:eastAsia="Calibri" w:hAnsi="Palatino Linotype" w:cs="Arial"/>
          <w:b/>
          <w:sz w:val="24"/>
          <w:lang w:val="es-ES"/>
        </w:rPr>
        <w:t>/INFOEM/IP/RR/2021</w:t>
      </w:r>
      <w:r w:rsidRPr="00ED4C8A">
        <w:rPr>
          <w:rFonts w:ascii="Palatino Linotype" w:eastAsia="Calibri" w:hAnsi="Palatino Linotype" w:cs="Arial"/>
          <w:b/>
          <w:sz w:val="24"/>
          <w:lang w:val="es-ES"/>
        </w:rPr>
        <w:t>;</w:t>
      </w:r>
      <w:r w:rsidRPr="00ED4C8A">
        <w:rPr>
          <w:rFonts w:ascii="Palatino Linotype" w:eastAsia="Times New Roman" w:hAnsi="Palatino Linotype" w:cs="Arial"/>
          <w:sz w:val="24"/>
          <w:lang w:val="es-ES"/>
        </w:rPr>
        <w:t xml:space="preserve"> impugnación en la que refirió lo siguiente:</w:t>
      </w:r>
    </w:p>
    <w:p w14:paraId="3A515464" w14:textId="77777777" w:rsidR="00472478" w:rsidRPr="00ED4C8A" w:rsidRDefault="00472478" w:rsidP="00AC105D">
      <w:pPr>
        <w:pStyle w:val="Prrafodelista"/>
        <w:tabs>
          <w:tab w:val="left" w:pos="284"/>
          <w:tab w:val="left" w:pos="426"/>
        </w:tabs>
        <w:spacing w:after="0" w:line="240" w:lineRule="auto"/>
        <w:ind w:left="0"/>
        <w:jc w:val="both"/>
        <w:rPr>
          <w:rFonts w:ascii="Palatino Linotype" w:hAnsi="Palatino Linotype"/>
        </w:rPr>
      </w:pPr>
    </w:p>
    <w:p w14:paraId="495BF5E6" w14:textId="6DC9B605" w:rsidR="00DE4BA1" w:rsidRPr="00ED4C8A" w:rsidRDefault="00DE4BA1" w:rsidP="001B02C0">
      <w:pPr>
        <w:pStyle w:val="Prrafodelista"/>
        <w:numPr>
          <w:ilvl w:val="0"/>
          <w:numId w:val="36"/>
        </w:numPr>
        <w:spacing w:line="240" w:lineRule="auto"/>
        <w:ind w:right="567" w:hanging="153"/>
        <w:jc w:val="both"/>
        <w:rPr>
          <w:rFonts w:ascii="Palatino Linotype" w:eastAsia="Times New Roman" w:hAnsi="Palatino Linotype" w:cs="Times New Roman"/>
          <w:i/>
          <w:iCs/>
          <w:lang w:eastAsia="es-MX"/>
        </w:rPr>
      </w:pPr>
      <w:r w:rsidRPr="00ED4C8A">
        <w:rPr>
          <w:rFonts w:ascii="Palatino Linotype" w:eastAsia="Times New Roman" w:hAnsi="Palatino Linotype" w:cs="Arial"/>
          <w:b/>
          <w:i/>
          <w:iCs/>
          <w:lang w:val="es-ES"/>
        </w:rPr>
        <w:t>Acto impugnado:</w:t>
      </w:r>
      <w:r w:rsidRPr="00ED4C8A">
        <w:rPr>
          <w:rFonts w:ascii="Palatino Linotype" w:eastAsia="Times New Roman" w:hAnsi="Palatino Linotype" w:cs="Arial"/>
          <w:i/>
          <w:iCs/>
          <w:lang w:val="es-ES"/>
        </w:rPr>
        <w:t xml:space="preserve"> “</w:t>
      </w:r>
      <w:r w:rsidR="001B02C0" w:rsidRPr="00ED4C8A">
        <w:rPr>
          <w:rFonts w:ascii="Palatino Linotype" w:eastAsia="Times New Roman" w:hAnsi="Palatino Linotype" w:cs="Arial"/>
          <w:i/>
          <w:iCs/>
          <w:lang w:val="es-ES"/>
        </w:rPr>
        <w:t>L</w:t>
      </w:r>
      <w:r w:rsidR="001B02C0" w:rsidRPr="00ED4C8A">
        <w:rPr>
          <w:rFonts w:ascii="Palatino Linotype" w:eastAsia="Times New Roman" w:hAnsi="Palatino Linotype" w:cs="Times New Roman"/>
          <w:i/>
          <w:iCs/>
          <w:color w:val="000000"/>
          <w:lang w:eastAsia="es-MX"/>
        </w:rPr>
        <w:t>a respuestas respuestas de la Síndico Municipal y en particular de la Contralora Municipal , no dan respuesta en su totalidad a lo solicitado, ya que no dieron respuestas a mi solicitud de información en relación con: "... para indebido caso de que las mismas no se hayan realizado solicito se remitan copias simples de las acciones tomadas por la Contralora Municipal para hacer esta irregularidad del conocimiento de la Contraloría del Poder Legislativo del Estado de México;...", atentando a los principios de máxima publicidad y transparencia, omitiendo dar información alguna a esa parte de mi solicitud</w:t>
      </w:r>
      <w:r w:rsidR="001B02C0" w:rsidRPr="00ED4C8A">
        <w:rPr>
          <w:rFonts w:ascii="Palatino Linotype" w:eastAsia="Times New Roman" w:hAnsi="Palatino Linotype" w:cs="Times New Roman"/>
          <w:i/>
          <w:iCs/>
          <w:lang w:eastAsia="es-MX"/>
        </w:rPr>
        <w:t>.</w:t>
      </w:r>
      <w:r w:rsidR="0091788F" w:rsidRPr="00ED4C8A">
        <w:rPr>
          <w:rFonts w:ascii="Palatino Linotype" w:eastAsia="Times New Roman" w:hAnsi="Palatino Linotype" w:cs="Arial"/>
          <w:i/>
          <w:iCs/>
          <w:lang w:val="es-ES"/>
        </w:rPr>
        <w:t>”</w:t>
      </w:r>
      <w:r w:rsidR="006F6666" w:rsidRPr="00ED4C8A">
        <w:rPr>
          <w:rFonts w:ascii="Palatino Linotype" w:eastAsia="Times New Roman" w:hAnsi="Palatino Linotype" w:cs="Arial"/>
          <w:i/>
          <w:iCs/>
          <w:lang w:val="es-ES"/>
        </w:rPr>
        <w:t xml:space="preserve"> </w:t>
      </w:r>
      <w:r w:rsidR="0091788F" w:rsidRPr="00ED4C8A">
        <w:rPr>
          <w:rFonts w:ascii="Palatino Linotype" w:eastAsia="Times New Roman" w:hAnsi="Palatino Linotype" w:cs="Arial"/>
          <w:i/>
          <w:iCs/>
          <w:lang w:val="es-ES"/>
        </w:rPr>
        <w:t>(Sic)</w:t>
      </w:r>
    </w:p>
    <w:p w14:paraId="539A089B" w14:textId="77777777" w:rsidR="0091788F" w:rsidRPr="00ED4C8A" w:rsidRDefault="0091788F" w:rsidP="001B02C0">
      <w:pPr>
        <w:pStyle w:val="Prrafodelista"/>
        <w:spacing w:after="0" w:line="240" w:lineRule="auto"/>
        <w:ind w:left="567" w:right="567"/>
        <w:jc w:val="both"/>
        <w:rPr>
          <w:rFonts w:ascii="Palatino Linotype" w:eastAsia="Times New Roman" w:hAnsi="Palatino Linotype" w:cs="Arial"/>
          <w:i/>
          <w:iCs/>
          <w:lang w:val="es-ES"/>
        </w:rPr>
      </w:pPr>
    </w:p>
    <w:p w14:paraId="49FC37A3" w14:textId="3849BCAA" w:rsidR="00E113EC" w:rsidRPr="00ED4C8A" w:rsidRDefault="00DE4BA1" w:rsidP="001B02C0">
      <w:pPr>
        <w:pStyle w:val="Prrafodelista"/>
        <w:numPr>
          <w:ilvl w:val="0"/>
          <w:numId w:val="36"/>
        </w:numPr>
        <w:spacing w:line="240" w:lineRule="auto"/>
        <w:ind w:right="567" w:hanging="153"/>
        <w:jc w:val="both"/>
        <w:rPr>
          <w:rFonts w:ascii="Palatino Linotype" w:eastAsia="Times New Roman" w:hAnsi="Palatino Linotype" w:cs="Times New Roman"/>
          <w:i/>
          <w:iCs/>
          <w:lang w:eastAsia="es-MX"/>
        </w:rPr>
      </w:pPr>
      <w:r w:rsidRPr="00ED4C8A">
        <w:rPr>
          <w:rFonts w:ascii="Palatino Linotype" w:eastAsia="Times New Roman" w:hAnsi="Palatino Linotype" w:cs="Arial"/>
          <w:b/>
          <w:i/>
          <w:iCs/>
          <w:lang w:val="es-ES"/>
        </w:rPr>
        <w:t xml:space="preserve">Razones o motivos de </w:t>
      </w:r>
      <w:r w:rsidR="00627D87" w:rsidRPr="00ED4C8A">
        <w:rPr>
          <w:rFonts w:ascii="Palatino Linotype" w:eastAsia="Times New Roman" w:hAnsi="Palatino Linotype" w:cs="Arial"/>
          <w:b/>
          <w:i/>
          <w:iCs/>
          <w:lang w:val="es-ES"/>
        </w:rPr>
        <w:t>inconformidad:</w:t>
      </w:r>
      <w:r w:rsidR="00627D87" w:rsidRPr="00ED4C8A">
        <w:rPr>
          <w:rFonts w:ascii="Palatino Linotype" w:eastAsia="Times New Roman" w:hAnsi="Palatino Linotype" w:cs="Arial"/>
          <w:i/>
          <w:iCs/>
          <w:lang w:val="es-ES"/>
        </w:rPr>
        <w:t xml:space="preserve"> “</w:t>
      </w:r>
      <w:r w:rsidR="001B02C0" w:rsidRPr="00ED4C8A">
        <w:rPr>
          <w:rFonts w:ascii="Palatino Linotype" w:eastAsia="Times New Roman" w:hAnsi="Palatino Linotype" w:cs="Times New Roman"/>
          <w:i/>
          <w:iCs/>
          <w:color w:val="000000"/>
          <w:lang w:eastAsia="es-MX"/>
        </w:rPr>
        <w:t>NO se dio respuesta completa a las cuestiones planteadas en mi solicitud.</w:t>
      </w:r>
      <w:r w:rsidRPr="00ED4C8A">
        <w:rPr>
          <w:rFonts w:ascii="Palatino Linotype" w:eastAsia="Times New Roman" w:hAnsi="Palatino Linotype" w:cs="Arial"/>
          <w:i/>
          <w:iCs/>
          <w:lang w:val="es-ES"/>
        </w:rPr>
        <w:t>”</w:t>
      </w:r>
      <w:r w:rsidR="006F6666" w:rsidRPr="00ED4C8A">
        <w:rPr>
          <w:rFonts w:ascii="Palatino Linotype" w:eastAsia="Times New Roman" w:hAnsi="Palatino Linotype" w:cs="Arial"/>
          <w:i/>
          <w:iCs/>
          <w:lang w:val="es-ES"/>
        </w:rPr>
        <w:t xml:space="preserve"> </w:t>
      </w:r>
      <w:r w:rsidRPr="00ED4C8A">
        <w:rPr>
          <w:rFonts w:ascii="Palatino Linotype" w:eastAsia="Times New Roman" w:hAnsi="Palatino Linotype" w:cs="Arial"/>
          <w:i/>
          <w:iCs/>
          <w:lang w:val="es-ES"/>
        </w:rPr>
        <w:t>(Sic)</w:t>
      </w:r>
    </w:p>
    <w:p w14:paraId="0E2C6118" w14:textId="77777777" w:rsidR="001B02C0" w:rsidRPr="00ED4C8A" w:rsidRDefault="001B02C0" w:rsidP="001B02C0">
      <w:pPr>
        <w:pStyle w:val="Prrafodelista"/>
        <w:rPr>
          <w:rFonts w:ascii="Palatino Linotype" w:eastAsia="Times New Roman" w:hAnsi="Palatino Linotype" w:cs="Times New Roman"/>
          <w:i/>
          <w:iCs/>
          <w:lang w:eastAsia="es-MX"/>
        </w:rPr>
      </w:pPr>
    </w:p>
    <w:p w14:paraId="3AC8B6A3" w14:textId="77777777" w:rsidR="001B02C0" w:rsidRPr="00ED4C8A" w:rsidRDefault="001B02C0" w:rsidP="001B02C0">
      <w:pPr>
        <w:spacing w:before="100" w:beforeAutospacing="1" w:after="100" w:afterAutospacing="1" w:line="240" w:lineRule="auto"/>
        <w:rPr>
          <w:rFonts w:ascii="Palatino Linotype" w:eastAsia="Times New Roman" w:hAnsi="Palatino Linotype" w:cs="Times New Roman"/>
          <w:b/>
          <w:bCs/>
          <w:color w:val="000000" w:themeColor="text1"/>
          <w:lang w:eastAsia="es-MX"/>
        </w:rPr>
      </w:pPr>
      <w:r w:rsidRPr="00ED4C8A">
        <w:rPr>
          <w:rFonts w:ascii="Palatino Linotype" w:eastAsia="Times New Roman" w:hAnsi="Palatino Linotype" w:cs="Times New Roman"/>
          <w:b/>
          <w:bCs/>
          <w:color w:val="000000" w:themeColor="text1"/>
          <w:lang w:eastAsia="es-MX"/>
        </w:rPr>
        <w:t xml:space="preserve">Archivo adjunto: </w:t>
      </w:r>
    </w:p>
    <w:p w14:paraId="364D7F6E" w14:textId="1DBFEDCB" w:rsidR="001B02C0" w:rsidRPr="00ED4C8A" w:rsidRDefault="001B02C0" w:rsidP="001B02C0">
      <w:pPr>
        <w:spacing w:before="100" w:beforeAutospacing="1" w:after="100" w:afterAutospacing="1" w:line="240" w:lineRule="auto"/>
        <w:ind w:left="567" w:right="567"/>
        <w:rPr>
          <w:rFonts w:ascii="Palatino Linotype" w:hAnsi="Palatino Linotype" w:cs="Arial"/>
          <w:color w:val="000000" w:themeColor="text1"/>
        </w:rPr>
      </w:pPr>
      <w:r w:rsidRPr="00ED4C8A">
        <w:rPr>
          <w:rFonts w:ascii="Palatino Linotype" w:eastAsia="Times New Roman" w:hAnsi="Palatino Linotype" w:cs="Times New Roman"/>
          <w:color w:val="000000" w:themeColor="text1"/>
          <w:lang w:eastAsia="es-MX"/>
        </w:rPr>
        <w:t>Documento denominado “</w:t>
      </w:r>
      <w:hyperlink r:id="rId10" w:tgtFrame="_blank" w:history="1">
        <w:r w:rsidRPr="00ED4C8A">
          <w:rPr>
            <w:rStyle w:val="Hipervnculo"/>
            <w:rFonts w:ascii="Palatino Linotype" w:hAnsi="Palatino Linotype" w:cs="Arial"/>
            <w:b/>
            <w:bCs/>
            <w:color w:val="000000" w:themeColor="text1"/>
            <w:u w:val="none"/>
          </w:rPr>
          <w:t>NR_SM_193_2021 00195.pdf</w:t>
        </w:r>
      </w:hyperlink>
      <w:r w:rsidRPr="00ED4C8A">
        <w:rPr>
          <w:rFonts w:ascii="Palatino Linotype" w:hAnsi="Palatino Linotype" w:cs="Arial"/>
          <w:b/>
          <w:bCs/>
          <w:color w:val="000000" w:themeColor="text1"/>
        </w:rPr>
        <w:t>”,</w:t>
      </w:r>
      <w:r w:rsidRPr="00ED4C8A">
        <w:rPr>
          <w:rFonts w:ascii="Palatino Linotype" w:hAnsi="Palatino Linotype" w:cs="Arial"/>
          <w:color w:val="000000" w:themeColor="text1"/>
        </w:rPr>
        <w:t xml:space="preserve"> mismo que fue proporcionado en respuesta por parte del </w:t>
      </w:r>
      <w:r w:rsidRPr="00ED4C8A">
        <w:rPr>
          <w:rFonts w:ascii="Palatino Linotype" w:hAnsi="Palatino Linotype" w:cs="Arial"/>
          <w:b/>
          <w:bCs/>
          <w:color w:val="000000" w:themeColor="text1"/>
        </w:rPr>
        <w:t>SUJETO OBLIGADO.</w:t>
      </w:r>
    </w:p>
    <w:p w14:paraId="76ECBD0B" w14:textId="77777777" w:rsidR="0091788F" w:rsidRPr="00ED4C8A" w:rsidRDefault="0091788F" w:rsidP="0091788F">
      <w:pPr>
        <w:tabs>
          <w:tab w:val="left" w:pos="567"/>
        </w:tabs>
        <w:spacing w:after="0" w:line="240" w:lineRule="auto"/>
        <w:ind w:right="567"/>
        <w:jc w:val="both"/>
        <w:rPr>
          <w:rFonts w:ascii="Palatino Linotype" w:eastAsia="Times New Roman" w:hAnsi="Palatino Linotype" w:cs="Arial"/>
          <w:i/>
          <w:lang w:val="es-ES"/>
        </w:rPr>
      </w:pPr>
    </w:p>
    <w:bookmarkEnd w:id="2"/>
    <w:bookmarkEnd w:id="3"/>
    <w:bookmarkEnd w:id="4"/>
    <w:p w14:paraId="6BEF517D" w14:textId="44D2EC80" w:rsidR="00E113EC" w:rsidRPr="00ED4C8A" w:rsidRDefault="00E113EC" w:rsidP="0008753C">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ED4C8A">
        <w:rPr>
          <w:rFonts w:ascii="Palatino Linotype" w:eastAsia="Times New Roman" w:hAnsi="Palatino Linotype" w:cs="Arial"/>
          <w:sz w:val="24"/>
          <w:szCs w:val="24"/>
          <w:lang w:val="es-ES" w:eastAsia="es-ES"/>
        </w:rPr>
        <w:t xml:space="preserve">Se registró el recurso de revisión bajo el número de expediente </w:t>
      </w:r>
      <w:r w:rsidRPr="00ED4C8A">
        <w:rPr>
          <w:rFonts w:ascii="Palatino Linotype" w:eastAsiaTheme="minorEastAsia" w:hAnsi="Palatino Linotype" w:cs="Arial"/>
          <w:bCs/>
          <w:sz w:val="24"/>
          <w:szCs w:val="24"/>
          <w:lang w:val="es-ES_tradnl" w:eastAsia="es-ES"/>
        </w:rPr>
        <w:t xml:space="preserve">al rubro indicado, asimismo con fundamento en lo dispuesto por el </w:t>
      </w:r>
      <w:r w:rsidRPr="00ED4C8A">
        <w:rPr>
          <w:rFonts w:ascii="Palatino Linotype" w:eastAsia="Calibri" w:hAnsi="Palatino Linotype" w:cs="Arial"/>
          <w:sz w:val="24"/>
          <w:szCs w:val="24"/>
          <w:lang w:val="es-ES" w:eastAsia="es-ES"/>
        </w:rPr>
        <w:t xml:space="preserve">artículo 185 fracción I de la </w:t>
      </w:r>
      <w:r w:rsidRPr="00ED4C8A">
        <w:rPr>
          <w:rFonts w:ascii="Palatino Linotype" w:eastAsia="Calibri" w:hAnsi="Palatino Linotype" w:cs="Arial"/>
          <w:b/>
          <w:sz w:val="24"/>
          <w:szCs w:val="24"/>
          <w:lang w:val="es-ES" w:eastAsia="es-ES"/>
        </w:rPr>
        <w:t xml:space="preserve">Ley de Transparencia y Acceso a la Información Pública del Estado de México y Municipios </w:t>
      </w:r>
      <w:r w:rsidR="00AC105D" w:rsidRPr="00ED4C8A">
        <w:rPr>
          <w:rFonts w:ascii="Palatino Linotype" w:eastAsia="Times New Roman" w:hAnsi="Palatino Linotype" w:cs="Arial"/>
          <w:sz w:val="24"/>
          <w:szCs w:val="24"/>
          <w:lang w:val="es-ES" w:eastAsia="es-ES"/>
        </w:rPr>
        <w:t>se turnó a la</w:t>
      </w:r>
      <w:r w:rsidRPr="00ED4C8A">
        <w:rPr>
          <w:rFonts w:ascii="Palatino Linotype" w:eastAsia="Times New Roman" w:hAnsi="Palatino Linotype" w:cs="Arial"/>
          <w:sz w:val="24"/>
          <w:szCs w:val="24"/>
          <w:lang w:val="es-ES" w:eastAsia="es-ES"/>
        </w:rPr>
        <w:t xml:space="preserve"> </w:t>
      </w:r>
      <w:r w:rsidR="00AC105D" w:rsidRPr="00ED4C8A">
        <w:rPr>
          <w:rFonts w:ascii="Palatino Linotype" w:eastAsia="Times New Roman" w:hAnsi="Palatino Linotype" w:cs="Arial"/>
          <w:b/>
          <w:sz w:val="24"/>
          <w:szCs w:val="24"/>
          <w:lang w:val="es-ES" w:eastAsia="es-ES"/>
        </w:rPr>
        <w:t>Comisionada</w:t>
      </w:r>
      <w:r w:rsidRPr="00ED4C8A">
        <w:rPr>
          <w:rFonts w:ascii="Palatino Linotype" w:eastAsia="Times New Roman" w:hAnsi="Palatino Linotype" w:cs="Arial"/>
          <w:b/>
          <w:sz w:val="24"/>
          <w:szCs w:val="24"/>
          <w:lang w:val="es-ES" w:eastAsia="es-ES"/>
        </w:rPr>
        <w:t xml:space="preserve"> </w:t>
      </w:r>
      <w:r w:rsidR="00024A68" w:rsidRPr="00ED4C8A">
        <w:rPr>
          <w:rFonts w:ascii="Palatino Linotype" w:eastAsia="Times New Roman" w:hAnsi="Palatino Linotype" w:cs="Arial"/>
          <w:b/>
          <w:sz w:val="24"/>
          <w:szCs w:val="24"/>
          <w:lang w:val="es-ES" w:eastAsia="es-ES"/>
        </w:rPr>
        <w:t>María del Rosario Mejía Ayala</w:t>
      </w:r>
      <w:r w:rsidRPr="00ED4C8A">
        <w:rPr>
          <w:rFonts w:ascii="Palatino Linotype" w:eastAsia="Times New Roman" w:hAnsi="Palatino Linotype" w:cs="Arial"/>
          <w:b/>
          <w:sz w:val="24"/>
          <w:szCs w:val="24"/>
          <w:lang w:val="es-ES" w:eastAsia="es-ES"/>
        </w:rPr>
        <w:t xml:space="preserve">, </w:t>
      </w:r>
      <w:r w:rsidRPr="00ED4C8A">
        <w:rPr>
          <w:rFonts w:ascii="Palatino Linotype" w:eastAsia="Times New Roman" w:hAnsi="Palatino Linotype" w:cs="Arial"/>
          <w:sz w:val="24"/>
          <w:szCs w:val="24"/>
          <w:lang w:val="es-ES" w:eastAsia="es-ES"/>
        </w:rPr>
        <w:t xml:space="preserve">con el objeto de </w:t>
      </w:r>
      <w:r w:rsidRPr="00ED4C8A">
        <w:rPr>
          <w:rFonts w:ascii="Palatino Linotype" w:eastAsia="Times New Roman" w:hAnsi="Palatino Linotype" w:cs="Arial"/>
          <w:sz w:val="24"/>
          <w:szCs w:val="24"/>
          <w:lang w:eastAsia="es-ES"/>
        </w:rPr>
        <w:t>su análisis.</w:t>
      </w:r>
    </w:p>
    <w:p w14:paraId="57160A1E" w14:textId="77777777" w:rsidR="00E113EC" w:rsidRPr="00ED4C8A" w:rsidRDefault="00E113EC" w:rsidP="0008753C">
      <w:pPr>
        <w:spacing w:after="0" w:line="360" w:lineRule="auto"/>
        <w:ind w:right="-142"/>
        <w:contextualSpacing/>
        <w:rPr>
          <w:rFonts w:ascii="Palatino Linotype" w:eastAsiaTheme="minorEastAsia" w:hAnsi="Palatino Linotype"/>
          <w:i/>
          <w:lang w:val="es-ES_tradnl" w:eastAsia="es-ES"/>
        </w:rPr>
      </w:pPr>
    </w:p>
    <w:p w14:paraId="12FD0346" w14:textId="4494E0D6" w:rsidR="009D0086" w:rsidRPr="00ED4C8A" w:rsidRDefault="00AC105D"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ED4C8A">
        <w:rPr>
          <w:rFonts w:ascii="Palatino Linotype" w:eastAsia="Calibri" w:hAnsi="Palatino Linotype" w:cs="Arial"/>
          <w:sz w:val="24"/>
          <w:szCs w:val="24"/>
          <w:lang w:val="es-ES" w:eastAsia="es-ES"/>
        </w:rPr>
        <w:t>La Comisionada</w:t>
      </w:r>
      <w:r w:rsidR="00E113EC" w:rsidRPr="00ED4C8A">
        <w:rPr>
          <w:rFonts w:ascii="Palatino Linotype" w:eastAsia="Calibri" w:hAnsi="Palatino Linotype" w:cs="Arial"/>
          <w:sz w:val="24"/>
          <w:szCs w:val="24"/>
          <w:lang w:val="es-ES" w:eastAsia="es-ES"/>
        </w:rPr>
        <w:t xml:space="preserve"> Ponente con fundamento en lo dispuesto por el artículo 185 fracción II de la ley de la materia, a través del ac</w:t>
      </w:r>
      <w:r w:rsidR="00E45EFD" w:rsidRPr="00ED4C8A">
        <w:rPr>
          <w:rFonts w:ascii="Palatino Linotype" w:eastAsia="Calibri" w:hAnsi="Palatino Linotype" w:cs="Arial"/>
          <w:sz w:val="24"/>
          <w:szCs w:val="24"/>
          <w:lang w:val="es-ES" w:eastAsia="es-ES"/>
        </w:rPr>
        <w:t xml:space="preserve">uerdo de admisión de fecha </w:t>
      </w:r>
      <w:r w:rsidR="001B02C0" w:rsidRPr="00ED4C8A">
        <w:rPr>
          <w:rFonts w:ascii="Palatino Linotype" w:eastAsia="Calibri" w:hAnsi="Palatino Linotype" w:cs="Arial"/>
          <w:sz w:val="24"/>
          <w:szCs w:val="24"/>
          <w:lang w:val="es-ES" w:eastAsia="es-ES"/>
        </w:rPr>
        <w:t>dieci</w:t>
      </w:r>
      <w:r w:rsidR="00BD1A80" w:rsidRPr="00ED4C8A">
        <w:rPr>
          <w:rFonts w:ascii="Palatino Linotype" w:eastAsia="Calibri" w:hAnsi="Palatino Linotype" w:cs="Arial"/>
          <w:sz w:val="24"/>
          <w:szCs w:val="24"/>
          <w:lang w:val="es-ES" w:eastAsia="es-ES"/>
        </w:rPr>
        <w:t>siete</w:t>
      </w:r>
      <w:r w:rsidR="006F6666" w:rsidRPr="00ED4C8A">
        <w:rPr>
          <w:rFonts w:ascii="Palatino Linotype" w:eastAsia="Calibri" w:hAnsi="Palatino Linotype" w:cs="Arial"/>
          <w:sz w:val="24"/>
          <w:szCs w:val="24"/>
          <w:lang w:val="es-ES" w:eastAsia="es-ES"/>
        </w:rPr>
        <w:t xml:space="preserve"> </w:t>
      </w:r>
      <w:r w:rsidRPr="00ED4C8A">
        <w:rPr>
          <w:rFonts w:ascii="Palatino Linotype" w:eastAsia="Calibri" w:hAnsi="Palatino Linotype" w:cs="Arial"/>
          <w:sz w:val="24"/>
          <w:szCs w:val="24"/>
          <w:lang w:val="es-ES" w:eastAsia="es-ES"/>
        </w:rPr>
        <w:lastRenderedPageBreak/>
        <w:t>(</w:t>
      </w:r>
      <w:r w:rsidR="001B02C0" w:rsidRPr="00ED4C8A">
        <w:rPr>
          <w:rFonts w:ascii="Palatino Linotype" w:eastAsia="Calibri" w:hAnsi="Palatino Linotype" w:cs="Arial"/>
          <w:sz w:val="24"/>
          <w:szCs w:val="24"/>
          <w:lang w:val="es-ES" w:eastAsia="es-ES"/>
        </w:rPr>
        <w:t>1</w:t>
      </w:r>
      <w:r w:rsidR="00BD1A80" w:rsidRPr="00ED4C8A">
        <w:rPr>
          <w:rFonts w:ascii="Palatino Linotype" w:eastAsia="Calibri" w:hAnsi="Palatino Linotype" w:cs="Arial"/>
          <w:sz w:val="24"/>
          <w:szCs w:val="24"/>
          <w:lang w:val="es-ES" w:eastAsia="es-ES"/>
        </w:rPr>
        <w:t>7</w:t>
      </w:r>
      <w:r w:rsidR="00E113EC" w:rsidRPr="00ED4C8A">
        <w:rPr>
          <w:rFonts w:ascii="Palatino Linotype" w:eastAsia="Calibri" w:hAnsi="Palatino Linotype" w:cs="Arial"/>
          <w:sz w:val="24"/>
          <w:szCs w:val="24"/>
          <w:lang w:val="es-ES" w:eastAsia="es-ES"/>
        </w:rPr>
        <w:t xml:space="preserve">) de </w:t>
      </w:r>
      <w:r w:rsidR="00BD1A80" w:rsidRPr="00ED4C8A">
        <w:rPr>
          <w:rFonts w:ascii="Palatino Linotype" w:eastAsia="Calibri" w:hAnsi="Palatino Linotype" w:cs="Arial"/>
          <w:sz w:val="24"/>
          <w:szCs w:val="24"/>
          <w:lang w:val="es-ES" w:eastAsia="es-ES"/>
        </w:rPr>
        <w:t>septiembre</w:t>
      </w:r>
      <w:r w:rsidR="00E45EFD" w:rsidRPr="00ED4C8A">
        <w:rPr>
          <w:rFonts w:ascii="Palatino Linotype" w:eastAsia="Calibri" w:hAnsi="Palatino Linotype" w:cs="Arial"/>
          <w:sz w:val="24"/>
          <w:szCs w:val="24"/>
          <w:lang w:val="es-ES" w:eastAsia="es-ES"/>
        </w:rPr>
        <w:t xml:space="preserve"> </w:t>
      </w:r>
      <w:r w:rsidR="0091788F" w:rsidRPr="00ED4C8A">
        <w:rPr>
          <w:rFonts w:ascii="Palatino Linotype" w:eastAsia="Calibri" w:hAnsi="Palatino Linotype" w:cs="Arial"/>
          <w:sz w:val="24"/>
          <w:szCs w:val="24"/>
          <w:lang w:val="es-ES" w:eastAsia="es-ES"/>
        </w:rPr>
        <w:t>de dos mil veintiuno</w:t>
      </w:r>
      <w:r w:rsidR="00E113EC" w:rsidRPr="00ED4C8A">
        <w:rPr>
          <w:rFonts w:ascii="Palatino Linotype" w:eastAsia="Calibri" w:hAnsi="Palatino Linotype" w:cs="Arial"/>
          <w:sz w:val="24"/>
          <w:szCs w:val="24"/>
          <w:lang w:val="es-ES" w:eastAsia="es-ES"/>
        </w:rPr>
        <w:t xml:space="preserve">, puso a disposición de las partes el expediente electrónico </w:t>
      </w:r>
      <w:r w:rsidR="00E113EC" w:rsidRPr="00ED4C8A">
        <w:rPr>
          <w:rFonts w:ascii="Palatino Linotype" w:eastAsia="Calibri" w:hAnsi="Palatino Linotype" w:cs="Arial"/>
          <w:sz w:val="24"/>
          <w:szCs w:val="24"/>
          <w:lang w:val="es-ES_tradnl" w:eastAsia="es-ES"/>
        </w:rPr>
        <w:t xml:space="preserve">vía </w:t>
      </w:r>
      <w:r w:rsidR="00E113EC" w:rsidRPr="00ED4C8A">
        <w:rPr>
          <w:rFonts w:ascii="Palatino Linotype" w:eastAsia="Calibri" w:hAnsi="Palatino Linotype" w:cs="Arial"/>
          <w:sz w:val="24"/>
          <w:szCs w:val="24"/>
          <w:lang w:val="es-ES" w:eastAsia="es-ES"/>
        </w:rPr>
        <w:t xml:space="preserve">Sistema de Acceso a la Información Mexiquense </w:t>
      </w:r>
      <w:r w:rsidR="00E113EC" w:rsidRPr="00ED4C8A">
        <w:rPr>
          <w:rFonts w:ascii="Palatino Linotype" w:eastAsia="Calibri" w:hAnsi="Palatino Linotype" w:cs="Arial"/>
          <w:b/>
          <w:sz w:val="24"/>
          <w:szCs w:val="24"/>
          <w:lang w:val="es-ES" w:eastAsia="es-ES"/>
        </w:rPr>
        <w:t xml:space="preserve">SAIMEX </w:t>
      </w:r>
      <w:r w:rsidR="00E113EC" w:rsidRPr="00ED4C8A">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00E113EC" w:rsidRPr="00ED4C8A">
        <w:rPr>
          <w:rFonts w:ascii="Palatino Linotype" w:eastAsia="Calibri" w:hAnsi="Palatino Linotype" w:cs="Arial"/>
          <w:b/>
          <w:sz w:val="24"/>
          <w:szCs w:val="24"/>
          <w:lang w:val="es-ES" w:eastAsia="es-ES"/>
        </w:rPr>
        <w:t>SUJETO OBLIGADO</w:t>
      </w:r>
      <w:r w:rsidR="00E113EC" w:rsidRPr="00ED4C8A">
        <w:rPr>
          <w:rFonts w:ascii="Palatino Linotype" w:eastAsia="Calibri" w:hAnsi="Palatino Linotype" w:cs="Arial"/>
          <w:sz w:val="24"/>
          <w:szCs w:val="24"/>
          <w:lang w:val="es-ES" w:eastAsia="es-ES"/>
        </w:rPr>
        <w:t xml:space="preserve"> presentará el Informe Justificado procedente</w:t>
      </w:r>
      <w:r w:rsidR="00DF2CBA" w:rsidRPr="00ED4C8A">
        <w:rPr>
          <w:rFonts w:ascii="Palatino Linotype" w:eastAsia="Calibri" w:hAnsi="Palatino Linotype" w:cs="Arial"/>
          <w:sz w:val="24"/>
          <w:szCs w:val="24"/>
          <w:lang w:val="es-ES" w:eastAsia="es-ES"/>
        </w:rPr>
        <w:t>.</w:t>
      </w:r>
    </w:p>
    <w:p w14:paraId="74DC721B" w14:textId="77777777" w:rsidR="00AC105D" w:rsidRPr="00ED4C8A" w:rsidRDefault="00AC105D" w:rsidP="00AC105D">
      <w:pPr>
        <w:spacing w:before="240" w:after="240" w:line="360" w:lineRule="auto"/>
        <w:ind w:right="-142"/>
        <w:contextualSpacing/>
        <w:jc w:val="both"/>
        <w:rPr>
          <w:rFonts w:ascii="Palatino Linotype" w:eastAsiaTheme="minorEastAsia" w:hAnsi="Palatino Linotype"/>
          <w:i/>
          <w:lang w:val="es-ES_tradnl" w:eastAsia="es-ES"/>
        </w:rPr>
      </w:pPr>
    </w:p>
    <w:p w14:paraId="5B906F17" w14:textId="5AE5FC38" w:rsidR="00403E24" w:rsidRPr="00ED4C8A" w:rsidRDefault="0091788F" w:rsidP="00BD1A80">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ED4C8A">
        <w:rPr>
          <w:rFonts w:ascii="Palatino Linotype" w:eastAsia="Calibri" w:hAnsi="Palatino Linotype" w:cs="Arial"/>
          <w:sz w:val="24"/>
          <w:lang w:val="es-ES"/>
        </w:rPr>
        <w:t xml:space="preserve">El </w:t>
      </w:r>
      <w:r w:rsidRPr="00ED4C8A">
        <w:rPr>
          <w:rFonts w:ascii="Palatino Linotype" w:eastAsia="Calibri" w:hAnsi="Palatino Linotype" w:cs="Arial"/>
          <w:b/>
          <w:sz w:val="24"/>
          <w:lang w:val="es-ES"/>
        </w:rPr>
        <w:t>SUJETO OBLIGADO</w:t>
      </w:r>
      <w:r w:rsidR="00BD1A80" w:rsidRPr="00ED4C8A">
        <w:rPr>
          <w:rFonts w:ascii="Palatino Linotype" w:eastAsia="Calibri" w:hAnsi="Palatino Linotype" w:cs="Arial"/>
          <w:b/>
          <w:sz w:val="24"/>
          <w:lang w:val="es-ES"/>
        </w:rPr>
        <w:t xml:space="preserve"> </w:t>
      </w:r>
      <w:r w:rsidR="00BD1A80" w:rsidRPr="00ED4C8A">
        <w:rPr>
          <w:rFonts w:ascii="Palatino Linotype" w:eastAsia="Calibri" w:hAnsi="Palatino Linotype" w:cs="Arial"/>
          <w:bCs/>
          <w:sz w:val="24"/>
          <w:lang w:val="es-ES"/>
        </w:rPr>
        <w:t>no</w:t>
      </w:r>
      <w:r w:rsidR="00DC3515" w:rsidRPr="00ED4C8A">
        <w:rPr>
          <w:rFonts w:ascii="Palatino Linotype" w:eastAsia="Calibri" w:hAnsi="Palatino Linotype" w:cs="Arial"/>
          <w:bCs/>
          <w:sz w:val="24"/>
          <w:lang w:val="es-ES"/>
        </w:rPr>
        <w:t xml:space="preserve"> </w:t>
      </w:r>
      <w:r w:rsidRPr="00ED4C8A">
        <w:rPr>
          <w:rFonts w:ascii="Palatino Linotype" w:eastAsia="Calibri" w:hAnsi="Palatino Linotype" w:cs="Arial"/>
          <w:sz w:val="24"/>
          <w:lang w:val="es-ES"/>
        </w:rPr>
        <w:t>rindió informe justificado p</w:t>
      </w:r>
      <w:r w:rsidR="00403E24" w:rsidRPr="00ED4C8A">
        <w:rPr>
          <w:rFonts w:ascii="Palatino Linotype" w:eastAsia="Calibri" w:hAnsi="Palatino Linotype" w:cs="Arial"/>
          <w:sz w:val="24"/>
          <w:lang w:val="es-ES"/>
        </w:rPr>
        <w:t>ara manifestar lo que a</w:t>
      </w:r>
      <w:r w:rsidR="00DC3515" w:rsidRPr="00ED4C8A">
        <w:rPr>
          <w:rFonts w:ascii="Palatino Linotype" w:eastAsia="Calibri" w:hAnsi="Palatino Linotype" w:cs="Arial"/>
          <w:sz w:val="24"/>
          <w:lang w:val="es-ES"/>
        </w:rPr>
        <w:t xml:space="preserve"> derecho conviniera</w:t>
      </w:r>
      <w:r w:rsidR="00BD1A80" w:rsidRPr="00ED4C8A">
        <w:rPr>
          <w:rFonts w:ascii="Palatino Linotype" w:eastAsia="Calibri" w:hAnsi="Palatino Linotype" w:cs="Arial"/>
          <w:sz w:val="24"/>
          <w:lang w:val="es-ES"/>
        </w:rPr>
        <w:t>, p</w:t>
      </w:r>
      <w:r w:rsidRPr="00ED4C8A">
        <w:rPr>
          <w:rFonts w:ascii="Palatino Linotype" w:eastAsia="Calibri" w:hAnsi="Palatino Linotype" w:cs="Arial"/>
          <w:sz w:val="24"/>
          <w:lang w:val="es-ES"/>
        </w:rPr>
        <w:t xml:space="preserve">or su parte </w:t>
      </w:r>
      <w:r w:rsidR="008A6770" w:rsidRPr="00ED4C8A">
        <w:rPr>
          <w:rFonts w:ascii="Palatino Linotype" w:eastAsia="Calibri" w:hAnsi="Palatino Linotype" w:cs="Arial"/>
          <w:sz w:val="24"/>
          <w:lang w:val="es-ES"/>
        </w:rPr>
        <w:t>el</w:t>
      </w:r>
      <w:r w:rsidRPr="00ED4C8A">
        <w:rPr>
          <w:rFonts w:ascii="Palatino Linotype" w:eastAsia="Calibri" w:hAnsi="Palatino Linotype" w:cs="Arial"/>
          <w:sz w:val="24"/>
          <w:lang w:val="es-ES"/>
        </w:rPr>
        <w:t xml:space="preserve"> </w:t>
      </w:r>
      <w:r w:rsidR="003445CD" w:rsidRPr="00ED4C8A">
        <w:rPr>
          <w:rFonts w:ascii="Palatino Linotype" w:eastAsia="Calibri" w:hAnsi="Palatino Linotype" w:cs="Arial"/>
          <w:sz w:val="24"/>
          <w:lang w:val="es-ES"/>
        </w:rPr>
        <w:t>P</w:t>
      </w:r>
      <w:r w:rsidR="008A6770" w:rsidRPr="00ED4C8A">
        <w:rPr>
          <w:rFonts w:ascii="Palatino Linotype" w:eastAsia="Calibri" w:hAnsi="Palatino Linotype" w:cs="Arial"/>
          <w:sz w:val="24"/>
          <w:lang w:val="es-ES"/>
        </w:rPr>
        <w:t>articular</w:t>
      </w:r>
      <w:r w:rsidRPr="00ED4C8A">
        <w:rPr>
          <w:rFonts w:ascii="Palatino Linotype" w:eastAsia="Calibri" w:hAnsi="Palatino Linotype" w:cs="Arial"/>
          <w:sz w:val="24"/>
          <w:lang w:val="es-ES"/>
        </w:rPr>
        <w:t xml:space="preserve"> no presentó alegatos ni ofreció medios de prueba, según consta en el Sistema de Acceso a la Información Mexiquense </w:t>
      </w:r>
      <w:r w:rsidRPr="00ED4C8A">
        <w:rPr>
          <w:rFonts w:ascii="Palatino Linotype" w:eastAsia="Calibri" w:hAnsi="Palatino Linotype" w:cs="Arial"/>
          <w:b/>
          <w:sz w:val="24"/>
          <w:lang w:val="es-ES"/>
        </w:rPr>
        <w:t>SAIMEX.</w:t>
      </w:r>
    </w:p>
    <w:p w14:paraId="4F02B539" w14:textId="77777777" w:rsidR="00403E24" w:rsidRPr="00ED4C8A" w:rsidRDefault="00403E24" w:rsidP="00420997">
      <w:pPr>
        <w:spacing w:after="0" w:line="360" w:lineRule="auto"/>
        <w:ind w:right="34"/>
        <w:contextualSpacing/>
        <w:jc w:val="both"/>
        <w:rPr>
          <w:rFonts w:ascii="Palatino Linotype" w:eastAsia="MS Mincho" w:hAnsi="Palatino Linotype" w:cs="Times New Roman"/>
          <w:sz w:val="24"/>
          <w:szCs w:val="24"/>
          <w:lang w:val="es-ES_tradnl" w:eastAsia="es-ES"/>
        </w:rPr>
      </w:pPr>
    </w:p>
    <w:p w14:paraId="1D104935" w14:textId="38CEF2A3" w:rsidR="00CE26E3" w:rsidRPr="00ED4C8A" w:rsidRDefault="00F46FEB" w:rsidP="0071089A">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La Comisionada</w:t>
      </w:r>
      <w:r w:rsidR="00403E24" w:rsidRPr="00ED4C8A">
        <w:rPr>
          <w:rFonts w:ascii="Palatino Linotype" w:eastAsia="MS Mincho" w:hAnsi="Palatino Linotype" w:cs="Times New Roman"/>
          <w:sz w:val="24"/>
          <w:szCs w:val="24"/>
          <w:lang w:val="es-ES_tradnl" w:eastAsia="es-ES"/>
        </w:rPr>
        <w:t xml:space="preserve"> Ponente decretó el cierre de instrucción</w:t>
      </w:r>
      <w:r w:rsidR="00403E24" w:rsidRPr="00ED4C8A">
        <w:rPr>
          <w:rFonts w:ascii="Palatino Linotype" w:eastAsia="MS Mincho" w:hAnsi="Palatino Linotype" w:cs="Arial"/>
          <w:sz w:val="24"/>
          <w:szCs w:val="24"/>
          <w:lang w:val="es-ES_tradnl" w:eastAsia="es-ES"/>
        </w:rPr>
        <w:t xml:space="preserve"> </w:t>
      </w:r>
      <w:r w:rsidR="00403E24" w:rsidRPr="00ED4C8A">
        <w:rPr>
          <w:rFonts w:ascii="Palatino Linotype" w:eastAsia="MS Mincho" w:hAnsi="Palatino Linotype" w:cs="Times New Roman"/>
          <w:sz w:val="24"/>
          <w:szCs w:val="24"/>
          <w:lang w:val="es-ES_tradnl" w:eastAsia="es-ES"/>
        </w:rPr>
        <w:t xml:space="preserve">mediante acuerdo del </w:t>
      </w:r>
      <w:r w:rsidR="001B02C0" w:rsidRPr="00ED4C8A">
        <w:rPr>
          <w:rFonts w:ascii="Palatino Linotype" w:eastAsia="MS Mincho" w:hAnsi="Palatino Linotype" w:cs="Times New Roman"/>
          <w:sz w:val="24"/>
          <w:szCs w:val="24"/>
          <w:lang w:val="es-ES_tradnl" w:eastAsia="es-ES"/>
        </w:rPr>
        <w:t xml:space="preserve">diez </w:t>
      </w:r>
      <w:r w:rsidR="00403E24" w:rsidRPr="00ED4C8A">
        <w:rPr>
          <w:rFonts w:ascii="Palatino Linotype" w:eastAsia="MS Mincho" w:hAnsi="Palatino Linotype" w:cs="Times New Roman"/>
          <w:sz w:val="24"/>
          <w:szCs w:val="24"/>
          <w:lang w:val="es-ES_tradnl" w:eastAsia="es-ES"/>
        </w:rPr>
        <w:t>(</w:t>
      </w:r>
      <w:r w:rsidR="00F61D9F" w:rsidRPr="00ED4C8A">
        <w:rPr>
          <w:rFonts w:ascii="Palatino Linotype" w:eastAsia="MS Mincho" w:hAnsi="Palatino Linotype" w:cs="Times New Roman"/>
          <w:sz w:val="24"/>
          <w:szCs w:val="24"/>
          <w:lang w:val="es-ES_tradnl" w:eastAsia="es-ES"/>
        </w:rPr>
        <w:t>1</w:t>
      </w:r>
      <w:r w:rsidR="001B02C0" w:rsidRPr="00ED4C8A">
        <w:rPr>
          <w:rFonts w:ascii="Palatino Linotype" w:eastAsia="MS Mincho" w:hAnsi="Palatino Linotype" w:cs="Times New Roman"/>
          <w:sz w:val="24"/>
          <w:szCs w:val="24"/>
          <w:lang w:val="es-ES_tradnl" w:eastAsia="es-ES"/>
        </w:rPr>
        <w:t>0</w:t>
      </w:r>
      <w:r w:rsidR="00403E24" w:rsidRPr="00ED4C8A">
        <w:rPr>
          <w:rFonts w:ascii="Palatino Linotype" w:eastAsia="MS Mincho" w:hAnsi="Palatino Linotype" w:cs="Times New Roman"/>
          <w:sz w:val="24"/>
          <w:szCs w:val="24"/>
          <w:lang w:val="es-ES_tradnl" w:eastAsia="es-ES"/>
        </w:rPr>
        <w:t xml:space="preserve">) de </w:t>
      </w:r>
      <w:r w:rsidR="001B02C0" w:rsidRPr="00ED4C8A">
        <w:rPr>
          <w:rFonts w:ascii="Palatino Linotype" w:eastAsia="MS Mincho" w:hAnsi="Palatino Linotype" w:cs="Times New Roman"/>
          <w:sz w:val="24"/>
          <w:szCs w:val="24"/>
          <w:lang w:val="es-ES_tradnl" w:eastAsia="es-ES"/>
        </w:rPr>
        <w:t>noviembre de</w:t>
      </w:r>
      <w:r w:rsidR="00403E24" w:rsidRPr="00ED4C8A">
        <w:rPr>
          <w:rFonts w:ascii="Palatino Linotype" w:eastAsia="MS Mincho" w:hAnsi="Palatino Linotype" w:cs="Times New Roman"/>
          <w:sz w:val="24"/>
          <w:szCs w:val="24"/>
          <w:lang w:val="es-ES_tradnl" w:eastAsia="es-ES"/>
        </w:rPr>
        <w:t xml:space="preserve"> dos mil veinti</w:t>
      </w:r>
      <w:r w:rsidR="001B02C0" w:rsidRPr="00ED4C8A">
        <w:rPr>
          <w:rFonts w:ascii="Palatino Linotype" w:eastAsia="MS Mincho" w:hAnsi="Palatino Linotype" w:cs="Times New Roman"/>
          <w:sz w:val="24"/>
          <w:szCs w:val="24"/>
          <w:lang w:val="es-ES_tradnl" w:eastAsia="es-ES"/>
        </w:rPr>
        <w:t>uno</w:t>
      </w:r>
      <w:r w:rsidR="0071089A" w:rsidRPr="00ED4C8A">
        <w:rPr>
          <w:rFonts w:ascii="Palatino Linotype" w:eastAsia="MS Mincho" w:hAnsi="Palatino Linotype" w:cs="Times New Roman"/>
          <w:sz w:val="24"/>
          <w:szCs w:val="24"/>
          <w:lang w:val="es-ES_tradnl" w:eastAsia="es-ES"/>
        </w:rPr>
        <w:t>; y mediante acuerdo de</w:t>
      </w:r>
      <w:r w:rsidR="00CE26E3" w:rsidRPr="00ED4C8A">
        <w:rPr>
          <w:rFonts w:ascii="Palatino Linotype" w:eastAsia="MS Mincho" w:hAnsi="Palatino Linotype" w:cs="Times New Roman"/>
          <w:sz w:val="24"/>
          <w:szCs w:val="24"/>
          <w:lang w:val="es-ES_tradnl" w:eastAsia="es-ES"/>
        </w:rPr>
        <w:t xml:space="preserve"> misma fecha se</w:t>
      </w:r>
      <w:r w:rsidR="00D61913" w:rsidRPr="00ED4C8A">
        <w:rPr>
          <w:rFonts w:ascii="Palatino Linotype" w:eastAsia="MS Mincho" w:hAnsi="Palatino Linotype" w:cs="Times New Roman"/>
          <w:sz w:val="24"/>
          <w:szCs w:val="24"/>
          <w:lang w:val="es-ES_tradnl" w:eastAsia="es-ES"/>
        </w:rPr>
        <w:t xml:space="preserve"> notificó que</w:t>
      </w:r>
      <w:r w:rsidR="00E45EFD" w:rsidRPr="00ED4C8A">
        <w:rPr>
          <w:rFonts w:ascii="Palatino Linotype" w:eastAsia="MS Mincho" w:hAnsi="Palatino Linotype" w:cs="Times New Roman"/>
          <w:sz w:val="24"/>
          <w:szCs w:val="24"/>
          <w:lang w:val="es-ES_tradnl" w:eastAsia="es-ES"/>
        </w:rPr>
        <w:t xml:space="preserve"> el</w:t>
      </w:r>
      <w:r w:rsidR="0071089A" w:rsidRPr="00ED4C8A">
        <w:rPr>
          <w:rFonts w:ascii="Palatino Linotype" w:eastAsia="MS Mincho" w:hAnsi="Palatino Linotype" w:cs="Times New Roman"/>
          <w:sz w:val="24"/>
          <w:szCs w:val="24"/>
          <w:lang w:val="es-ES_tradnl" w:eastAsia="es-ES"/>
        </w:rPr>
        <w:t xml:space="preserve"> </w:t>
      </w:r>
      <w:r w:rsidR="00E45EFD" w:rsidRPr="00ED4C8A">
        <w:rPr>
          <w:rFonts w:ascii="Palatino Linotype" w:eastAsia="MS Mincho" w:hAnsi="Palatino Linotype" w:cs="Times New Roman"/>
          <w:sz w:val="24"/>
          <w:szCs w:val="24"/>
          <w:lang w:val="es-ES_tradnl" w:eastAsia="es-ES"/>
        </w:rPr>
        <w:t>plazo de treinta (30) días para resolver el recurso de revisión, sería ampliado por un periodo de quinc</w:t>
      </w:r>
      <w:r w:rsidR="00403E24" w:rsidRPr="00ED4C8A">
        <w:rPr>
          <w:rFonts w:ascii="Palatino Linotype" w:eastAsia="MS Mincho" w:hAnsi="Palatino Linotype" w:cs="Times New Roman"/>
          <w:sz w:val="24"/>
          <w:szCs w:val="24"/>
          <w:lang w:val="es-ES_tradnl" w:eastAsia="es-ES"/>
        </w:rPr>
        <w:t>e (15) días hábiles adicionales</w:t>
      </w:r>
      <w:r w:rsidR="00E45EFD" w:rsidRPr="00ED4C8A">
        <w:rPr>
          <w:rFonts w:ascii="Palatino Linotype" w:eastAsia="MS Mincho" w:hAnsi="Palatino Linotype" w:cs="Times New Roman"/>
          <w:sz w:val="24"/>
          <w:szCs w:val="24"/>
          <w:lang w:val="es-ES_tradnl" w:eastAsia="es-ES"/>
        </w:rPr>
        <w:t xml:space="preserve">, </w:t>
      </w:r>
      <w:r w:rsidR="00403E24" w:rsidRPr="00ED4C8A">
        <w:rPr>
          <w:rFonts w:ascii="Palatino Linotype" w:eastAsia="MS Mincho" w:hAnsi="Palatino Linotype" w:cs="Arial"/>
          <w:sz w:val="24"/>
          <w:szCs w:val="24"/>
          <w:lang w:val="es-ES_tradnl" w:eastAsia="es-ES"/>
        </w:rPr>
        <w:t>posterior a ello ordenó turnar el expediente a resolución.</w:t>
      </w:r>
      <w:r w:rsidR="00CE26E3" w:rsidRPr="00ED4C8A">
        <w:rPr>
          <w:rFonts w:ascii="Palatino Linotype" w:eastAsia="MS Mincho" w:hAnsi="Palatino Linotype" w:cs="Arial"/>
          <w:sz w:val="24"/>
          <w:szCs w:val="24"/>
          <w:lang w:val="es-ES_tradnl" w:eastAsia="es-ES"/>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031A4BD9" w14:textId="77777777" w:rsidR="00E113EC" w:rsidRPr="00ED4C8A"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 w:name="_Toc85130363"/>
      <w:r w:rsidRPr="00ED4C8A">
        <w:rPr>
          <w:rFonts w:ascii="Palatino Linotype" w:eastAsiaTheme="majorEastAsia" w:hAnsi="Palatino Linotype" w:cstheme="majorBidi"/>
          <w:b/>
          <w:sz w:val="24"/>
          <w:szCs w:val="24"/>
        </w:rPr>
        <w:lastRenderedPageBreak/>
        <w:t>C O N S I D E R A N D O</w:t>
      </w:r>
      <w:bookmarkEnd w:id="5"/>
      <w:r w:rsidRPr="00ED4C8A">
        <w:rPr>
          <w:rFonts w:ascii="Palatino Linotype" w:eastAsiaTheme="majorEastAsia" w:hAnsi="Palatino Linotype" w:cstheme="majorBidi"/>
          <w:b/>
          <w:sz w:val="24"/>
          <w:szCs w:val="24"/>
        </w:rPr>
        <w:t xml:space="preserve"> </w:t>
      </w:r>
    </w:p>
    <w:p w14:paraId="22DC78BC" w14:textId="77777777" w:rsidR="00E113EC" w:rsidRPr="00ED4C8A" w:rsidRDefault="00E113EC" w:rsidP="0008753C">
      <w:pPr>
        <w:spacing w:after="0" w:line="360" w:lineRule="auto"/>
        <w:ind w:right="-142"/>
        <w:rPr>
          <w:rFonts w:eastAsiaTheme="minorEastAsia"/>
          <w:sz w:val="24"/>
          <w:szCs w:val="24"/>
        </w:rPr>
      </w:pPr>
    </w:p>
    <w:p w14:paraId="7F1080EA" w14:textId="49118CDF" w:rsidR="00E113EC" w:rsidRPr="00ED4C8A"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6" w:name="_Toc85130364"/>
      <w:r w:rsidRPr="00ED4C8A">
        <w:rPr>
          <w:rFonts w:ascii="Palatino Linotype" w:eastAsiaTheme="majorEastAsia" w:hAnsi="Palatino Linotype" w:cstheme="majorBidi"/>
          <w:b/>
          <w:sz w:val="24"/>
          <w:szCs w:val="26"/>
        </w:rPr>
        <w:t>PRIMERO. De la C</w:t>
      </w:r>
      <w:r w:rsidR="00E113EC" w:rsidRPr="00ED4C8A">
        <w:rPr>
          <w:rFonts w:ascii="Palatino Linotype" w:eastAsiaTheme="majorEastAsia" w:hAnsi="Palatino Linotype" w:cstheme="majorBidi"/>
          <w:b/>
          <w:sz w:val="24"/>
          <w:szCs w:val="26"/>
        </w:rPr>
        <w:t>ompetencia</w:t>
      </w:r>
      <w:bookmarkEnd w:id="6"/>
    </w:p>
    <w:p w14:paraId="372E7FD4" w14:textId="77777777" w:rsidR="00E113EC" w:rsidRPr="00ED4C8A" w:rsidRDefault="00E113EC" w:rsidP="0008753C">
      <w:pPr>
        <w:spacing w:after="0" w:line="360" w:lineRule="auto"/>
        <w:ind w:right="-142"/>
        <w:rPr>
          <w:rFonts w:eastAsiaTheme="minorEastAsia"/>
          <w:sz w:val="24"/>
          <w:szCs w:val="24"/>
        </w:rPr>
      </w:pPr>
    </w:p>
    <w:p w14:paraId="00165783" w14:textId="4201DAD0" w:rsidR="00E113EC" w:rsidRPr="00ED4C8A" w:rsidRDefault="00726565" w:rsidP="00C25B96">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ED4C8A">
        <w:rPr>
          <w:rFonts w:ascii="Palatino Linotype" w:eastAsiaTheme="minorEastAsia" w:hAnsi="Palatino Linotype"/>
          <w:sz w:val="24"/>
          <w:szCs w:val="24"/>
          <w:lang w:val="es-ES_tradnl" w:eastAsia="es-ES"/>
        </w:rPr>
        <w:t xml:space="preserve">Este Instituto de </w:t>
      </w:r>
      <w:r w:rsidR="00627D87" w:rsidRPr="00ED4C8A">
        <w:rPr>
          <w:rFonts w:ascii="Palatino Linotype" w:eastAsiaTheme="minorEastAsia" w:hAnsi="Palatino Linotype"/>
          <w:sz w:val="24"/>
          <w:szCs w:val="24"/>
          <w:lang w:val="es-ES_tradnl" w:eastAsia="es-ES"/>
        </w:rPr>
        <w:t>Transparencia</w:t>
      </w:r>
      <w:r w:rsidRPr="00ED4C8A">
        <w:rPr>
          <w:rFonts w:ascii="Palatino Linotype" w:eastAsiaTheme="minorEastAsia" w:hAnsi="Palatino Linotype"/>
          <w:sz w:val="24"/>
          <w:szCs w:val="24"/>
          <w:lang w:val="es-ES_tradnl" w:eastAsia="es-ES"/>
        </w:rPr>
        <w:t xml:space="preserve">, Acceso a la Información Pública y Protección de Datos Personales del </w:t>
      </w:r>
      <w:r w:rsidRPr="00ED4C8A">
        <w:rPr>
          <w:rFonts w:ascii="Palatino Linotype" w:hAnsi="Palatino Linotype" w:cs="Arial"/>
          <w:sz w:val="24"/>
          <w:lang w:val="es-ES_tradnl"/>
        </w:rPr>
        <w:t>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C342F3C" w14:textId="77777777" w:rsidR="00BF77EB" w:rsidRPr="00ED4C8A" w:rsidRDefault="00BF77EB" w:rsidP="00BF77EB">
      <w:pPr>
        <w:spacing w:before="240" w:after="240" w:line="360" w:lineRule="auto"/>
        <w:ind w:right="-142"/>
        <w:contextualSpacing/>
        <w:jc w:val="both"/>
        <w:rPr>
          <w:rFonts w:ascii="Palatino Linotype" w:eastAsiaTheme="minorEastAsia" w:hAnsi="Palatino Linotype"/>
          <w:sz w:val="24"/>
          <w:szCs w:val="24"/>
          <w:lang w:val="es-ES_tradnl" w:eastAsia="es-ES"/>
        </w:rPr>
      </w:pPr>
    </w:p>
    <w:p w14:paraId="7427FC80" w14:textId="1BA7314E" w:rsidR="00E113EC" w:rsidRPr="00ED4C8A"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7" w:name="_Toc85130365"/>
      <w:r w:rsidRPr="00ED4C8A">
        <w:rPr>
          <w:rFonts w:ascii="Palatino Linotype" w:eastAsiaTheme="majorEastAsia" w:hAnsi="Palatino Linotype" w:cstheme="majorBidi"/>
          <w:b/>
          <w:sz w:val="24"/>
          <w:szCs w:val="26"/>
        </w:rPr>
        <w:t>SEGUNDO. De la Oportunidad y P</w:t>
      </w:r>
      <w:r w:rsidR="00E113EC" w:rsidRPr="00ED4C8A">
        <w:rPr>
          <w:rFonts w:ascii="Palatino Linotype" w:eastAsiaTheme="majorEastAsia" w:hAnsi="Palatino Linotype" w:cstheme="majorBidi"/>
          <w:b/>
          <w:sz w:val="24"/>
          <w:szCs w:val="26"/>
        </w:rPr>
        <w:t>rocedencia.</w:t>
      </w:r>
      <w:bookmarkEnd w:id="7"/>
    </w:p>
    <w:p w14:paraId="78C44EDB" w14:textId="77777777" w:rsidR="00E113EC" w:rsidRPr="00ED4C8A" w:rsidRDefault="00E113EC" w:rsidP="0008753C">
      <w:pPr>
        <w:spacing w:line="360" w:lineRule="auto"/>
        <w:contextualSpacing/>
        <w:rPr>
          <w:rFonts w:ascii="Palatino Linotype" w:eastAsia="Calibri" w:hAnsi="Palatino Linotype" w:cs="Arial"/>
          <w:sz w:val="24"/>
          <w:szCs w:val="24"/>
          <w:lang w:val="es-ES_tradnl" w:eastAsia="es-ES"/>
        </w:rPr>
      </w:pPr>
    </w:p>
    <w:p w14:paraId="380DE6DD" w14:textId="5A6FCB9A" w:rsidR="00E45EFD" w:rsidRPr="00ED4C8A" w:rsidRDefault="00E45EFD" w:rsidP="000D580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ED4C8A">
        <w:rPr>
          <w:rFonts w:ascii="Palatino Linotype" w:eastAsia="Calibri" w:hAnsi="Palatino Linotype" w:cs="Arial"/>
          <w:sz w:val="24"/>
          <w:szCs w:val="24"/>
        </w:rPr>
        <w:t xml:space="preserve">El medio de impugnación fue presentado a través del </w:t>
      </w:r>
      <w:r w:rsidRPr="00ED4C8A">
        <w:rPr>
          <w:rFonts w:ascii="Palatino Linotype" w:eastAsia="Calibri" w:hAnsi="Palatino Linotype" w:cs="Arial"/>
          <w:b/>
          <w:sz w:val="24"/>
          <w:szCs w:val="24"/>
        </w:rPr>
        <w:t>SAIMEX,</w:t>
      </w:r>
      <w:r w:rsidRPr="00ED4C8A">
        <w:rPr>
          <w:rFonts w:ascii="Palatino Linotype" w:eastAsia="Calibri" w:hAnsi="Palatino Linotype" w:cs="Arial"/>
          <w:sz w:val="24"/>
          <w:szCs w:val="24"/>
        </w:rPr>
        <w:t xml:space="preserve"> en el formato previamente aprobado para tal efecto y dentro del plazo legal de quince días hábiles otorgados; </w:t>
      </w:r>
      <w:r w:rsidR="00063434" w:rsidRPr="00ED4C8A">
        <w:rPr>
          <w:rFonts w:ascii="Palatino Linotype" w:eastAsia="Calibri" w:hAnsi="Palatino Linotype" w:cs="Arial"/>
          <w:sz w:val="24"/>
          <w:szCs w:val="24"/>
        </w:rPr>
        <w:t>siendo así</w:t>
      </w:r>
      <w:r w:rsidRPr="00ED4C8A">
        <w:rPr>
          <w:rFonts w:ascii="Palatino Linotype" w:eastAsia="Calibri" w:hAnsi="Palatino Linotype" w:cs="Arial"/>
          <w:sz w:val="24"/>
          <w:szCs w:val="24"/>
        </w:rPr>
        <w:t xml:space="preserve"> que el </w:t>
      </w:r>
      <w:r w:rsidRPr="00ED4C8A">
        <w:rPr>
          <w:rFonts w:ascii="Palatino Linotype" w:eastAsia="Calibri" w:hAnsi="Palatino Linotype" w:cs="Arial"/>
          <w:b/>
          <w:sz w:val="24"/>
          <w:szCs w:val="24"/>
        </w:rPr>
        <w:t>SUJETO OBLIGADO</w:t>
      </w:r>
      <w:r w:rsidR="00063434" w:rsidRPr="00ED4C8A">
        <w:rPr>
          <w:rFonts w:ascii="Palatino Linotype" w:eastAsia="Calibri" w:hAnsi="Palatino Linotype" w:cs="Arial"/>
          <w:sz w:val="24"/>
          <w:szCs w:val="24"/>
        </w:rPr>
        <w:t xml:space="preserve"> entregó su respuesta el</w:t>
      </w:r>
      <w:r w:rsidRPr="00ED4C8A">
        <w:rPr>
          <w:rFonts w:ascii="Palatino Linotype" w:eastAsia="Calibri" w:hAnsi="Palatino Linotype" w:cs="Arial"/>
          <w:sz w:val="24"/>
          <w:szCs w:val="24"/>
        </w:rPr>
        <w:t xml:space="preserve"> </w:t>
      </w:r>
      <w:r w:rsidR="00224540" w:rsidRPr="00ED4C8A">
        <w:rPr>
          <w:rFonts w:ascii="Palatino Linotype" w:eastAsia="Calibri" w:hAnsi="Palatino Linotype" w:cs="Arial"/>
          <w:bCs/>
          <w:sz w:val="24"/>
          <w:szCs w:val="24"/>
        </w:rPr>
        <w:t xml:space="preserve">siete </w:t>
      </w:r>
      <w:r w:rsidR="005F7675" w:rsidRPr="00ED4C8A">
        <w:rPr>
          <w:rFonts w:ascii="Palatino Linotype" w:eastAsia="Calibri" w:hAnsi="Palatino Linotype" w:cs="Arial"/>
          <w:bCs/>
          <w:sz w:val="24"/>
          <w:szCs w:val="24"/>
        </w:rPr>
        <w:t>(</w:t>
      </w:r>
      <w:r w:rsidR="00CE26E3" w:rsidRPr="00ED4C8A">
        <w:rPr>
          <w:rFonts w:ascii="Palatino Linotype" w:eastAsia="Calibri" w:hAnsi="Palatino Linotype" w:cs="Arial"/>
          <w:bCs/>
          <w:sz w:val="24"/>
          <w:szCs w:val="24"/>
        </w:rPr>
        <w:t>0</w:t>
      </w:r>
      <w:r w:rsidR="00224540" w:rsidRPr="00ED4C8A">
        <w:rPr>
          <w:rFonts w:ascii="Palatino Linotype" w:eastAsia="Calibri" w:hAnsi="Palatino Linotype" w:cs="Arial"/>
          <w:bCs/>
          <w:sz w:val="24"/>
          <w:szCs w:val="24"/>
        </w:rPr>
        <w:t>7</w:t>
      </w:r>
      <w:r w:rsidR="005F7675" w:rsidRPr="00ED4C8A">
        <w:rPr>
          <w:rFonts w:ascii="Palatino Linotype" w:eastAsia="Calibri" w:hAnsi="Palatino Linotype" w:cs="Arial"/>
          <w:bCs/>
          <w:sz w:val="24"/>
          <w:szCs w:val="24"/>
        </w:rPr>
        <w:t xml:space="preserve">) de </w:t>
      </w:r>
      <w:r w:rsidR="00CE26E3" w:rsidRPr="00ED4C8A">
        <w:rPr>
          <w:rFonts w:ascii="Palatino Linotype" w:eastAsia="Calibri" w:hAnsi="Palatino Linotype" w:cs="Arial"/>
          <w:bCs/>
          <w:sz w:val="24"/>
          <w:szCs w:val="24"/>
        </w:rPr>
        <w:t>septiembre</w:t>
      </w:r>
      <w:r w:rsidR="00726565" w:rsidRPr="00ED4C8A">
        <w:rPr>
          <w:rFonts w:ascii="Palatino Linotype" w:eastAsia="Calibri" w:hAnsi="Palatino Linotype" w:cs="Arial"/>
          <w:bCs/>
          <w:sz w:val="24"/>
          <w:szCs w:val="24"/>
        </w:rPr>
        <w:t xml:space="preserve"> </w:t>
      </w:r>
      <w:r w:rsidR="005F7675" w:rsidRPr="00ED4C8A">
        <w:rPr>
          <w:rFonts w:ascii="Palatino Linotype" w:eastAsia="Calibri" w:hAnsi="Palatino Linotype" w:cs="Arial"/>
          <w:bCs/>
          <w:sz w:val="24"/>
          <w:szCs w:val="24"/>
        </w:rPr>
        <w:t>dos mil veintiuno</w:t>
      </w:r>
      <w:r w:rsidRPr="00ED4C8A">
        <w:rPr>
          <w:rFonts w:ascii="Palatino Linotype" w:eastAsia="Calibri" w:hAnsi="Palatino Linotype" w:cs="Arial"/>
          <w:bCs/>
          <w:sz w:val="24"/>
          <w:szCs w:val="24"/>
        </w:rPr>
        <w:t xml:space="preserve">, </w:t>
      </w:r>
      <w:r w:rsidRPr="00ED4C8A">
        <w:rPr>
          <w:rFonts w:ascii="Palatino Linotype" w:hAnsi="Palatino Linotype" w:cs="Arial"/>
          <w:bCs/>
          <w:sz w:val="24"/>
          <w:szCs w:val="24"/>
        </w:rPr>
        <w:t xml:space="preserve">de tal forma que el plazo para interponer el recurso transcurrió del </w:t>
      </w:r>
      <w:r w:rsidR="00224540" w:rsidRPr="00ED4C8A">
        <w:rPr>
          <w:rFonts w:ascii="Palatino Linotype" w:hAnsi="Palatino Linotype" w:cs="Arial"/>
          <w:bCs/>
          <w:sz w:val="24"/>
          <w:szCs w:val="24"/>
        </w:rPr>
        <w:t xml:space="preserve">ocho </w:t>
      </w:r>
      <w:r w:rsidR="005F7675" w:rsidRPr="00ED4C8A">
        <w:rPr>
          <w:rFonts w:ascii="Palatino Linotype" w:hAnsi="Palatino Linotype" w:cs="Arial"/>
          <w:bCs/>
          <w:sz w:val="24"/>
          <w:szCs w:val="24"/>
        </w:rPr>
        <w:t>(</w:t>
      </w:r>
      <w:r w:rsidR="00CE26E3" w:rsidRPr="00ED4C8A">
        <w:rPr>
          <w:rFonts w:ascii="Palatino Linotype" w:hAnsi="Palatino Linotype" w:cs="Arial"/>
          <w:bCs/>
          <w:sz w:val="24"/>
          <w:szCs w:val="24"/>
        </w:rPr>
        <w:t>0</w:t>
      </w:r>
      <w:r w:rsidR="00224540" w:rsidRPr="00ED4C8A">
        <w:rPr>
          <w:rFonts w:ascii="Palatino Linotype" w:hAnsi="Palatino Linotype" w:cs="Arial"/>
          <w:bCs/>
          <w:sz w:val="24"/>
          <w:szCs w:val="24"/>
        </w:rPr>
        <w:t>8</w:t>
      </w:r>
      <w:r w:rsidR="005F7675" w:rsidRPr="00ED4C8A">
        <w:rPr>
          <w:rFonts w:ascii="Palatino Linotype" w:hAnsi="Palatino Linotype" w:cs="Arial"/>
          <w:bCs/>
          <w:sz w:val="24"/>
          <w:szCs w:val="24"/>
        </w:rPr>
        <w:t xml:space="preserve">) </w:t>
      </w:r>
      <w:r w:rsidR="00547A19" w:rsidRPr="00ED4C8A">
        <w:rPr>
          <w:rFonts w:ascii="Palatino Linotype" w:hAnsi="Palatino Linotype" w:cs="Arial"/>
          <w:bCs/>
          <w:sz w:val="24"/>
          <w:szCs w:val="24"/>
        </w:rPr>
        <w:t xml:space="preserve">al </w:t>
      </w:r>
      <w:r w:rsidR="00CE26E3" w:rsidRPr="00ED4C8A">
        <w:rPr>
          <w:rFonts w:ascii="Palatino Linotype" w:hAnsi="Palatino Linotype" w:cs="Arial"/>
          <w:bCs/>
          <w:sz w:val="24"/>
          <w:szCs w:val="24"/>
        </w:rPr>
        <w:t>treinta</w:t>
      </w:r>
      <w:r w:rsidR="0071089A" w:rsidRPr="00ED4C8A">
        <w:rPr>
          <w:rFonts w:ascii="Palatino Linotype" w:hAnsi="Palatino Linotype" w:cs="Arial"/>
          <w:bCs/>
          <w:sz w:val="24"/>
          <w:szCs w:val="24"/>
        </w:rPr>
        <w:t xml:space="preserve"> </w:t>
      </w:r>
      <w:r w:rsidR="005F7675" w:rsidRPr="00ED4C8A">
        <w:rPr>
          <w:rFonts w:ascii="Palatino Linotype" w:hAnsi="Palatino Linotype" w:cs="Arial"/>
          <w:bCs/>
          <w:sz w:val="24"/>
          <w:szCs w:val="24"/>
        </w:rPr>
        <w:t>(</w:t>
      </w:r>
      <w:r w:rsidR="00CE26E3" w:rsidRPr="00ED4C8A">
        <w:rPr>
          <w:rFonts w:ascii="Palatino Linotype" w:hAnsi="Palatino Linotype" w:cs="Arial"/>
          <w:bCs/>
          <w:sz w:val="24"/>
          <w:szCs w:val="24"/>
        </w:rPr>
        <w:t>30</w:t>
      </w:r>
      <w:r w:rsidR="00043FE7" w:rsidRPr="00ED4C8A">
        <w:rPr>
          <w:rFonts w:ascii="Palatino Linotype" w:hAnsi="Palatino Linotype" w:cs="Arial"/>
          <w:bCs/>
          <w:sz w:val="24"/>
          <w:szCs w:val="24"/>
        </w:rPr>
        <w:t xml:space="preserve">) de </w:t>
      </w:r>
      <w:r w:rsidR="00224540" w:rsidRPr="00ED4C8A">
        <w:rPr>
          <w:rFonts w:ascii="Palatino Linotype" w:hAnsi="Palatino Linotype" w:cs="Arial"/>
          <w:bCs/>
          <w:sz w:val="24"/>
          <w:szCs w:val="24"/>
        </w:rPr>
        <w:t>septiembre</w:t>
      </w:r>
      <w:r w:rsidRPr="00ED4C8A">
        <w:rPr>
          <w:rFonts w:ascii="Palatino Linotype" w:hAnsi="Palatino Linotype" w:cs="Arial"/>
          <w:bCs/>
          <w:sz w:val="24"/>
          <w:szCs w:val="24"/>
        </w:rPr>
        <w:t xml:space="preserve"> del</w:t>
      </w:r>
      <w:r w:rsidRPr="00ED4C8A">
        <w:rPr>
          <w:rFonts w:ascii="Palatino Linotype" w:eastAsia="Calibri" w:hAnsi="Palatino Linotype" w:cs="Times New Roman"/>
          <w:bCs/>
          <w:sz w:val="24"/>
          <w:szCs w:val="24"/>
          <w:lang w:val="es-ES" w:eastAsia="es-ES"/>
        </w:rPr>
        <w:t xml:space="preserve"> </w:t>
      </w:r>
      <w:r w:rsidR="00316768" w:rsidRPr="00ED4C8A">
        <w:rPr>
          <w:rFonts w:ascii="Palatino Linotype" w:eastAsia="Calibri" w:hAnsi="Palatino Linotype" w:cs="Times New Roman"/>
          <w:bCs/>
          <w:sz w:val="24"/>
          <w:szCs w:val="24"/>
          <w:lang w:val="es-ES" w:eastAsia="es-ES"/>
        </w:rPr>
        <w:t xml:space="preserve">dos mil </w:t>
      </w:r>
      <w:r w:rsidR="005F7675" w:rsidRPr="00ED4C8A">
        <w:rPr>
          <w:rFonts w:ascii="Palatino Linotype" w:eastAsia="Calibri" w:hAnsi="Palatino Linotype" w:cs="Times New Roman"/>
          <w:bCs/>
          <w:sz w:val="24"/>
          <w:szCs w:val="24"/>
          <w:lang w:val="es-ES" w:eastAsia="es-ES"/>
        </w:rPr>
        <w:t>veint</w:t>
      </w:r>
      <w:r w:rsidR="00224540" w:rsidRPr="00ED4C8A">
        <w:rPr>
          <w:rFonts w:ascii="Palatino Linotype" w:eastAsia="Calibri" w:hAnsi="Palatino Linotype" w:cs="Times New Roman"/>
          <w:bCs/>
          <w:sz w:val="24"/>
          <w:szCs w:val="24"/>
          <w:lang w:val="es-ES" w:eastAsia="es-ES"/>
        </w:rPr>
        <w:t>iuno</w:t>
      </w:r>
      <w:r w:rsidRPr="00ED4C8A">
        <w:rPr>
          <w:rFonts w:ascii="Palatino Linotype" w:hAnsi="Palatino Linotype" w:cs="Arial"/>
          <w:bCs/>
          <w:sz w:val="24"/>
          <w:szCs w:val="24"/>
        </w:rPr>
        <w:t xml:space="preserve">; </w:t>
      </w:r>
      <w:r w:rsidRPr="00ED4C8A">
        <w:rPr>
          <w:rFonts w:ascii="Palatino Linotype" w:hAnsi="Palatino Linotype" w:cs="Arial"/>
          <w:bCs/>
          <w:sz w:val="24"/>
          <w:szCs w:val="24"/>
        </w:rPr>
        <w:lastRenderedPageBreak/>
        <w:t>en consecuenci</w:t>
      </w:r>
      <w:r w:rsidR="005F7675" w:rsidRPr="00ED4C8A">
        <w:rPr>
          <w:rFonts w:ascii="Palatino Linotype" w:hAnsi="Palatino Linotype" w:cs="Arial"/>
          <w:bCs/>
          <w:sz w:val="24"/>
          <w:szCs w:val="24"/>
        </w:rPr>
        <w:t>a, presentó su inconformidad el</w:t>
      </w:r>
      <w:r w:rsidR="00043FE7" w:rsidRPr="00ED4C8A">
        <w:rPr>
          <w:rFonts w:ascii="Palatino Linotype" w:hAnsi="Palatino Linotype" w:cs="Arial"/>
          <w:bCs/>
          <w:sz w:val="24"/>
          <w:szCs w:val="24"/>
        </w:rPr>
        <w:t xml:space="preserve"> </w:t>
      </w:r>
      <w:r w:rsidR="00CE26E3" w:rsidRPr="00ED4C8A">
        <w:rPr>
          <w:rFonts w:ascii="Palatino Linotype" w:hAnsi="Palatino Linotype" w:cs="Arial"/>
          <w:bCs/>
          <w:sz w:val="24"/>
          <w:szCs w:val="24"/>
        </w:rPr>
        <w:t>nueve</w:t>
      </w:r>
      <w:r w:rsidR="005F7675" w:rsidRPr="00ED4C8A">
        <w:rPr>
          <w:rFonts w:ascii="Palatino Linotype" w:hAnsi="Palatino Linotype" w:cs="Arial"/>
          <w:bCs/>
          <w:sz w:val="24"/>
          <w:szCs w:val="24"/>
        </w:rPr>
        <w:t xml:space="preserve"> (</w:t>
      </w:r>
      <w:r w:rsidR="00224540" w:rsidRPr="00ED4C8A">
        <w:rPr>
          <w:rFonts w:ascii="Palatino Linotype" w:hAnsi="Palatino Linotype" w:cs="Arial"/>
          <w:bCs/>
          <w:sz w:val="24"/>
          <w:szCs w:val="24"/>
        </w:rPr>
        <w:t>0</w:t>
      </w:r>
      <w:r w:rsidR="00CE26E3" w:rsidRPr="00ED4C8A">
        <w:rPr>
          <w:rFonts w:ascii="Palatino Linotype" w:hAnsi="Palatino Linotype" w:cs="Arial"/>
          <w:bCs/>
          <w:sz w:val="24"/>
          <w:szCs w:val="24"/>
        </w:rPr>
        <w:t>9</w:t>
      </w:r>
      <w:r w:rsidRPr="00ED4C8A">
        <w:rPr>
          <w:rFonts w:ascii="Palatino Linotype" w:hAnsi="Palatino Linotype" w:cs="Arial"/>
          <w:bCs/>
          <w:sz w:val="24"/>
          <w:szCs w:val="24"/>
        </w:rPr>
        <w:t xml:space="preserve">) </w:t>
      </w:r>
      <w:r w:rsidR="00043FE7" w:rsidRPr="00ED4C8A">
        <w:rPr>
          <w:rFonts w:ascii="Palatino Linotype" w:hAnsi="Palatino Linotype" w:cs="Arial"/>
          <w:bCs/>
          <w:sz w:val="24"/>
          <w:szCs w:val="24"/>
        </w:rPr>
        <w:t xml:space="preserve">de </w:t>
      </w:r>
      <w:r w:rsidR="00224540" w:rsidRPr="00ED4C8A">
        <w:rPr>
          <w:rFonts w:ascii="Palatino Linotype" w:hAnsi="Palatino Linotype" w:cs="Arial"/>
          <w:bCs/>
          <w:sz w:val="24"/>
          <w:szCs w:val="24"/>
        </w:rPr>
        <w:t>septiembre</w:t>
      </w:r>
      <w:r w:rsidR="0071089A" w:rsidRPr="00ED4C8A">
        <w:rPr>
          <w:rFonts w:ascii="Palatino Linotype" w:hAnsi="Palatino Linotype" w:cs="Arial"/>
          <w:bCs/>
          <w:sz w:val="24"/>
          <w:szCs w:val="24"/>
        </w:rPr>
        <w:t xml:space="preserve"> </w:t>
      </w:r>
      <w:r w:rsidR="005F7675" w:rsidRPr="00ED4C8A">
        <w:rPr>
          <w:rFonts w:ascii="Palatino Linotype" w:hAnsi="Palatino Linotype" w:cs="Arial"/>
          <w:bCs/>
          <w:sz w:val="24"/>
          <w:szCs w:val="24"/>
        </w:rPr>
        <w:t>de</w:t>
      </w:r>
      <w:r w:rsidR="005F7675" w:rsidRPr="00ED4C8A">
        <w:rPr>
          <w:rFonts w:ascii="Palatino Linotype" w:hAnsi="Palatino Linotype" w:cs="Arial"/>
          <w:sz w:val="24"/>
          <w:szCs w:val="24"/>
        </w:rPr>
        <w:t xml:space="preserve"> dos mil veintiuno</w:t>
      </w:r>
      <w:r w:rsidRPr="00ED4C8A">
        <w:rPr>
          <w:rFonts w:ascii="Palatino Linotype" w:hAnsi="Palatino Linotype" w:cs="Arial"/>
          <w:sz w:val="24"/>
          <w:szCs w:val="24"/>
        </w:rPr>
        <w:t xml:space="preserve">, éste se encuentran dentro de los márgenes temporales previstos en el artículo 178 de la </w:t>
      </w:r>
      <w:r w:rsidRPr="00ED4C8A">
        <w:rPr>
          <w:rFonts w:ascii="Palatino Linotype" w:hAnsi="Palatino Linotype" w:cs="Arial"/>
          <w:b/>
          <w:sz w:val="24"/>
          <w:szCs w:val="24"/>
        </w:rPr>
        <w:t>Ley de Transparencia y Acceso a la Información Pública del Estado de México y Municipios</w:t>
      </w:r>
      <w:r w:rsidRPr="00ED4C8A">
        <w:rPr>
          <w:rFonts w:ascii="Palatino Linotype" w:hAnsi="Palatino Linotype" w:cs="Arial"/>
          <w:sz w:val="24"/>
          <w:szCs w:val="24"/>
        </w:rPr>
        <w:t>.</w:t>
      </w:r>
    </w:p>
    <w:p w14:paraId="675D52DA" w14:textId="77777777" w:rsidR="002F7D7C" w:rsidRPr="00ED4C8A" w:rsidRDefault="002F7D7C" w:rsidP="002F7D7C">
      <w:pPr>
        <w:spacing w:before="240" w:after="240" w:line="360" w:lineRule="auto"/>
        <w:contextualSpacing/>
        <w:jc w:val="both"/>
        <w:rPr>
          <w:rFonts w:ascii="Palatino Linotype" w:eastAsia="Calibri" w:hAnsi="Palatino Linotype" w:cs="Times New Roman"/>
          <w:sz w:val="24"/>
          <w:szCs w:val="24"/>
          <w:lang w:val="es-ES" w:eastAsia="es-ES"/>
        </w:rPr>
      </w:pPr>
    </w:p>
    <w:p w14:paraId="26A995AF" w14:textId="08727D4B" w:rsidR="005F7675" w:rsidRPr="00ED4C8A" w:rsidRDefault="002F7D7C" w:rsidP="005F7675">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ED4C8A">
        <w:rPr>
          <w:rFonts w:ascii="Palatino Linotype" w:eastAsia="Calibri" w:hAnsi="Palatino Linotype" w:cs="Arial"/>
          <w:sz w:val="24"/>
          <w:szCs w:val="24"/>
          <w:lang w:val="es-ES_tradnl" w:eastAsia="es-ES"/>
        </w:rPr>
        <w:t xml:space="preserve">Por </w:t>
      </w:r>
      <w:r w:rsidR="00CE26E3" w:rsidRPr="00ED4C8A">
        <w:rPr>
          <w:rFonts w:ascii="Palatino Linotype" w:eastAsia="Calibri" w:hAnsi="Palatino Linotype" w:cs="Arial"/>
          <w:sz w:val="24"/>
          <w:szCs w:val="24"/>
          <w:lang w:val="es-ES_tradnl" w:eastAsia="es-ES"/>
        </w:rPr>
        <w:t>lo que</w:t>
      </w:r>
      <w:r w:rsidR="00E113EC" w:rsidRPr="00ED4C8A">
        <w:rPr>
          <w:rFonts w:ascii="Palatino Linotype" w:eastAsia="Calibri" w:hAnsi="Palatino Linotype" w:cs="Arial"/>
          <w:sz w:val="24"/>
          <w:szCs w:val="24"/>
          <w:lang w:val="es-ES_tradnl" w:eastAsia="es-ES"/>
        </w:rPr>
        <w:t xml:space="preserve">, </w:t>
      </w:r>
      <w:r w:rsidR="00944476" w:rsidRPr="00ED4C8A">
        <w:rPr>
          <w:rFonts w:ascii="Palatino Linotype" w:eastAsia="Calibri" w:hAnsi="Palatino Linotype" w:cs="Arial"/>
          <w:sz w:val="24"/>
          <w:szCs w:val="24"/>
          <w:lang w:val="es-ES_tradnl" w:eastAsia="es-ES"/>
        </w:rPr>
        <w:t>el escrito</w:t>
      </w:r>
      <w:r w:rsidR="00E113EC" w:rsidRPr="00ED4C8A">
        <w:rPr>
          <w:rFonts w:ascii="Palatino Linotype" w:eastAsia="Calibri" w:hAnsi="Palatino Linotype" w:cs="Arial"/>
          <w:sz w:val="24"/>
          <w:szCs w:val="24"/>
          <w:lang w:val="es-ES_tradnl" w:eastAsia="es-ES"/>
        </w:rPr>
        <w:t xml:space="preserve">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8" w:name="_Toc2881747"/>
    </w:p>
    <w:p w14:paraId="54EF6511" w14:textId="77777777" w:rsidR="00110357" w:rsidRPr="00ED4C8A" w:rsidRDefault="00110357" w:rsidP="005F7675">
      <w:pPr>
        <w:spacing w:before="240" w:after="240" w:line="360" w:lineRule="auto"/>
        <w:contextualSpacing/>
        <w:jc w:val="both"/>
        <w:rPr>
          <w:rFonts w:ascii="Palatino Linotype" w:eastAsia="Calibri" w:hAnsi="Palatino Linotype" w:cs="Times New Roman"/>
          <w:sz w:val="24"/>
          <w:szCs w:val="24"/>
          <w:lang w:val="es-ES" w:eastAsia="es-ES"/>
        </w:rPr>
      </w:pPr>
    </w:p>
    <w:p w14:paraId="320EF63A" w14:textId="36A3D267" w:rsidR="00E113EC" w:rsidRPr="00ED4C8A" w:rsidRDefault="005F7675" w:rsidP="0008753C">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9" w:name="_Toc85130366"/>
      <w:r w:rsidRPr="00ED4C8A">
        <w:rPr>
          <w:rFonts w:ascii="Palatino Linotype" w:eastAsia="MS Mincho" w:hAnsi="Palatino Linotype" w:cstheme="majorBidi"/>
          <w:b/>
          <w:sz w:val="24"/>
          <w:szCs w:val="24"/>
          <w:lang w:val="es-ES_tradnl" w:eastAsia="es-ES"/>
        </w:rPr>
        <w:t>TERCERO. Del P</w:t>
      </w:r>
      <w:r w:rsidR="00E113EC" w:rsidRPr="00ED4C8A">
        <w:rPr>
          <w:rFonts w:ascii="Palatino Linotype" w:eastAsia="MS Mincho" w:hAnsi="Palatino Linotype" w:cstheme="majorBidi"/>
          <w:b/>
          <w:sz w:val="24"/>
          <w:szCs w:val="24"/>
          <w:lang w:val="es-ES_tradnl" w:eastAsia="es-ES"/>
        </w:rPr>
        <w:t>lanteamiento de la Litis.</w:t>
      </w:r>
      <w:bookmarkEnd w:id="8"/>
      <w:bookmarkEnd w:id="9"/>
    </w:p>
    <w:p w14:paraId="0308E4B8" w14:textId="77777777" w:rsidR="00E113EC" w:rsidRPr="00ED4C8A" w:rsidRDefault="00E113EC" w:rsidP="0008753C">
      <w:pPr>
        <w:spacing w:after="0" w:line="360" w:lineRule="auto"/>
        <w:contextualSpacing/>
        <w:jc w:val="both"/>
        <w:rPr>
          <w:rFonts w:ascii="Palatino Linotype" w:eastAsia="Calibri" w:hAnsi="Palatino Linotype" w:cs="Arial"/>
          <w:b/>
          <w:sz w:val="24"/>
          <w:szCs w:val="24"/>
          <w:lang w:val="es-ES_tradnl" w:eastAsia="es-ES"/>
        </w:rPr>
      </w:pPr>
    </w:p>
    <w:p w14:paraId="472E90F7" w14:textId="2D7775F3" w:rsidR="005F7675" w:rsidRPr="00ED4C8A" w:rsidRDefault="00C626D3" w:rsidP="0008753C">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10" w:name="_Toc504500691"/>
      <w:bookmarkStart w:id="11" w:name="_Toc445745137"/>
      <w:bookmarkStart w:id="12" w:name="_Toc447699318"/>
      <w:bookmarkStart w:id="13" w:name="_Toc452379730"/>
      <w:bookmarkStart w:id="14" w:name="_Toc459195482"/>
      <w:bookmarkStart w:id="15" w:name="_Toc461555892"/>
      <w:bookmarkStart w:id="16" w:name="_Toc462307689"/>
      <w:bookmarkStart w:id="17" w:name="_Toc473628138"/>
      <w:r w:rsidRPr="00ED4C8A">
        <w:rPr>
          <w:rFonts w:ascii="Palatino Linotype" w:hAnsi="Palatino Linotype" w:cs="Arial"/>
          <w:sz w:val="24"/>
          <w:szCs w:val="24"/>
          <w:lang w:val="es-ES_tradnl"/>
        </w:rPr>
        <w:t xml:space="preserve">El </w:t>
      </w:r>
      <w:r w:rsidR="004B2816" w:rsidRPr="00ED4C8A">
        <w:rPr>
          <w:rFonts w:ascii="Palatino Linotype" w:hAnsi="Palatino Linotype" w:cs="Arial"/>
          <w:sz w:val="24"/>
          <w:szCs w:val="24"/>
          <w:lang w:val="es-ES_tradnl"/>
        </w:rPr>
        <w:t>P</w:t>
      </w:r>
      <w:r w:rsidR="005F7675" w:rsidRPr="00ED4C8A">
        <w:rPr>
          <w:rFonts w:ascii="Palatino Linotype" w:hAnsi="Palatino Linotype" w:cs="Arial"/>
          <w:sz w:val="24"/>
          <w:szCs w:val="24"/>
          <w:lang w:val="es-ES_tradnl"/>
        </w:rPr>
        <w:t xml:space="preserve">articular solicitó al </w:t>
      </w:r>
      <w:r w:rsidR="00CE26E3" w:rsidRPr="00ED4C8A">
        <w:rPr>
          <w:rFonts w:ascii="Palatino Linotype" w:hAnsi="Palatino Linotype" w:cs="Arial"/>
          <w:b/>
          <w:sz w:val="24"/>
          <w:szCs w:val="24"/>
          <w:lang w:val="es-ES_tradnl"/>
        </w:rPr>
        <w:t>Ayuntamiento de Nicolás Romero</w:t>
      </w:r>
      <w:r w:rsidR="005F7675" w:rsidRPr="00ED4C8A">
        <w:rPr>
          <w:rFonts w:ascii="Palatino Linotype" w:hAnsi="Palatino Linotype" w:cs="Arial"/>
          <w:sz w:val="24"/>
          <w:szCs w:val="24"/>
          <w:lang w:val="es-ES_tradnl"/>
        </w:rPr>
        <w:t xml:space="preserve"> la siguiente información</w:t>
      </w:r>
      <w:r w:rsidR="006A34AD" w:rsidRPr="00ED4C8A">
        <w:rPr>
          <w:rFonts w:ascii="Palatino Linotype" w:hAnsi="Palatino Linotype" w:cs="Arial"/>
          <w:sz w:val="24"/>
          <w:szCs w:val="24"/>
          <w:lang w:val="es-ES_tradnl"/>
        </w:rPr>
        <w:t>:</w:t>
      </w:r>
    </w:p>
    <w:p w14:paraId="7D01C727" w14:textId="77777777" w:rsidR="005F7675" w:rsidRPr="00ED4C8A" w:rsidRDefault="005F7675" w:rsidP="005F7675">
      <w:pPr>
        <w:spacing w:after="0" w:line="360" w:lineRule="auto"/>
        <w:contextualSpacing/>
        <w:jc w:val="both"/>
        <w:rPr>
          <w:rFonts w:ascii="Palatino Linotype" w:hAnsi="Palatino Linotype" w:cs="Arial"/>
          <w:sz w:val="24"/>
          <w:szCs w:val="24"/>
          <w:lang w:val="es-ES_tradnl"/>
        </w:rPr>
      </w:pPr>
    </w:p>
    <w:p w14:paraId="42E3D2D8" w14:textId="77777777" w:rsidR="006A34AD" w:rsidRPr="00ED4C8A" w:rsidRDefault="006A34AD" w:rsidP="006A34AD">
      <w:pPr>
        <w:pStyle w:val="Prrafodelista"/>
        <w:numPr>
          <w:ilvl w:val="0"/>
          <w:numId w:val="38"/>
        </w:numPr>
        <w:spacing w:after="0" w:line="360" w:lineRule="auto"/>
        <w:ind w:right="567" w:hanging="153"/>
        <w:jc w:val="both"/>
        <w:rPr>
          <w:rFonts w:ascii="Palatino Linotype" w:eastAsia="MS Mincho" w:hAnsi="Palatino Linotype" w:cs="Times New Roman"/>
          <w:b/>
          <w:bCs/>
          <w:lang w:val="es-ES_tradnl" w:eastAsia="es-ES"/>
        </w:rPr>
      </w:pPr>
      <w:r w:rsidRPr="00ED4C8A">
        <w:rPr>
          <w:rFonts w:ascii="Palatino Linotype" w:hAnsi="Palatino Linotype" w:cs="Arial"/>
          <w:b/>
          <w:bCs/>
        </w:rPr>
        <w:t xml:space="preserve">Acta administrativa de entrega recepción de </w:t>
      </w:r>
      <w:r w:rsidRPr="00ED4C8A">
        <w:rPr>
          <w:rFonts w:ascii="Palatino Linotype" w:eastAsia="MS Mincho" w:hAnsi="Palatino Linotype" w:cs="Times New Roman"/>
          <w:b/>
          <w:bCs/>
          <w:lang w:val="es-ES_tradnl" w:eastAsia="es-ES"/>
        </w:rPr>
        <w:t>la Segunda Regidora</w:t>
      </w:r>
      <w:r w:rsidRPr="00ED4C8A">
        <w:rPr>
          <w:rFonts w:ascii="Palatino Linotype" w:hAnsi="Palatino Linotype" w:cs="Arial"/>
          <w:b/>
          <w:bCs/>
        </w:rPr>
        <w:t xml:space="preserve">, de la </w:t>
      </w:r>
      <w:r w:rsidRPr="00ED4C8A">
        <w:rPr>
          <w:rFonts w:ascii="Palatino Linotype" w:eastAsia="MS Mincho" w:hAnsi="Palatino Linotype" w:cs="Times New Roman"/>
          <w:b/>
          <w:bCs/>
          <w:lang w:val="es-ES_tradnl" w:eastAsia="es-ES"/>
        </w:rPr>
        <w:t xml:space="preserve">licencia concedida en la Sexagésima Segunda Sesión </w:t>
      </w:r>
      <w:r w:rsidRPr="00ED4C8A">
        <w:rPr>
          <w:rFonts w:ascii="Palatino Linotype" w:hAnsi="Palatino Linotype"/>
          <w:b/>
          <w:bCs/>
          <w:color w:val="000000"/>
        </w:rPr>
        <w:t>Extraordinaria de Cabildo, celebrada el 22 de abril del 2021</w:t>
      </w:r>
    </w:p>
    <w:p w14:paraId="391C8CE0" w14:textId="77777777" w:rsidR="006A34AD" w:rsidRPr="00ED4C8A" w:rsidRDefault="006A34AD" w:rsidP="006A34AD">
      <w:pPr>
        <w:pStyle w:val="Prrafodelista"/>
        <w:numPr>
          <w:ilvl w:val="0"/>
          <w:numId w:val="38"/>
        </w:numPr>
        <w:spacing w:after="0" w:line="360" w:lineRule="auto"/>
        <w:ind w:right="567" w:hanging="153"/>
        <w:jc w:val="both"/>
        <w:rPr>
          <w:rFonts w:ascii="Palatino Linotype" w:eastAsia="MS Mincho" w:hAnsi="Palatino Linotype" w:cs="Times New Roman"/>
          <w:b/>
          <w:bCs/>
          <w:lang w:val="es-ES_tradnl" w:eastAsia="es-ES"/>
        </w:rPr>
      </w:pPr>
      <w:r w:rsidRPr="00ED4C8A">
        <w:rPr>
          <w:rFonts w:ascii="Palatino Linotype" w:hAnsi="Palatino Linotype" w:cs="Arial"/>
          <w:b/>
          <w:bCs/>
        </w:rPr>
        <w:t>Acta administrativa de entrega recepción d</w:t>
      </w:r>
      <w:r w:rsidRPr="00ED4C8A">
        <w:rPr>
          <w:rFonts w:ascii="Palatino Linotype" w:eastAsia="MS Mincho" w:hAnsi="Palatino Linotype" w:cs="Times New Roman"/>
          <w:b/>
          <w:bCs/>
          <w:lang w:val="es-ES_tradnl" w:eastAsia="es-ES"/>
        </w:rPr>
        <w:t>el Décimo Regidor</w:t>
      </w:r>
      <w:r w:rsidRPr="00ED4C8A">
        <w:rPr>
          <w:rFonts w:ascii="Palatino Linotype" w:hAnsi="Palatino Linotype" w:cs="Arial"/>
          <w:b/>
          <w:bCs/>
        </w:rPr>
        <w:t xml:space="preserve">, de la </w:t>
      </w:r>
      <w:r w:rsidRPr="00ED4C8A">
        <w:rPr>
          <w:rFonts w:ascii="Palatino Linotype" w:eastAsia="MS Mincho" w:hAnsi="Palatino Linotype" w:cs="Times New Roman"/>
          <w:b/>
          <w:bCs/>
          <w:lang w:val="es-ES_tradnl" w:eastAsia="es-ES"/>
        </w:rPr>
        <w:t xml:space="preserve">licencia </w:t>
      </w:r>
      <w:r w:rsidRPr="00ED4C8A">
        <w:rPr>
          <w:rFonts w:ascii="Palatino Linotype" w:hAnsi="Palatino Linotype"/>
          <w:b/>
          <w:bCs/>
          <w:color w:val="000000"/>
        </w:rPr>
        <w:t>concedida en la Sexagésima Segunda Sesión Extraordinaria de Cabildo, celebrada el 22 de abril del 2021.</w:t>
      </w:r>
    </w:p>
    <w:p w14:paraId="17553024" w14:textId="77777777" w:rsidR="006A34AD" w:rsidRPr="00ED4C8A" w:rsidRDefault="006A34AD" w:rsidP="006A34AD">
      <w:pPr>
        <w:pStyle w:val="Prrafodelista"/>
        <w:numPr>
          <w:ilvl w:val="0"/>
          <w:numId w:val="38"/>
        </w:numPr>
        <w:spacing w:after="0" w:line="360" w:lineRule="auto"/>
        <w:ind w:right="567" w:hanging="153"/>
        <w:jc w:val="both"/>
        <w:rPr>
          <w:rFonts w:ascii="Palatino Linotype" w:eastAsia="MS Mincho" w:hAnsi="Palatino Linotype" w:cs="Times New Roman"/>
          <w:b/>
          <w:bCs/>
          <w:lang w:val="es-ES_tradnl" w:eastAsia="es-ES"/>
        </w:rPr>
      </w:pPr>
      <w:r w:rsidRPr="00ED4C8A">
        <w:rPr>
          <w:rFonts w:ascii="Palatino Linotype" w:hAnsi="Palatino Linotype" w:cs="Arial"/>
          <w:b/>
          <w:bCs/>
        </w:rPr>
        <w:lastRenderedPageBreak/>
        <w:t>Acta administrativa de entrega recepción del</w:t>
      </w:r>
      <w:r w:rsidRPr="00ED4C8A">
        <w:rPr>
          <w:rFonts w:ascii="Palatino Linotype" w:eastAsia="MS Mincho" w:hAnsi="Palatino Linotype" w:cs="Times New Roman"/>
          <w:b/>
          <w:bCs/>
          <w:lang w:val="es-ES_tradnl" w:eastAsia="es-ES"/>
        </w:rPr>
        <w:t xml:space="preserve"> Décimo Primer Regidor</w:t>
      </w:r>
      <w:r w:rsidRPr="00ED4C8A">
        <w:rPr>
          <w:rFonts w:ascii="Palatino Linotype" w:hAnsi="Palatino Linotype" w:cs="Arial"/>
          <w:b/>
          <w:bCs/>
        </w:rPr>
        <w:t xml:space="preserve">, de la </w:t>
      </w:r>
      <w:r w:rsidRPr="00ED4C8A">
        <w:rPr>
          <w:rFonts w:ascii="Palatino Linotype" w:eastAsia="MS Mincho" w:hAnsi="Palatino Linotype" w:cs="Times New Roman"/>
          <w:b/>
          <w:bCs/>
          <w:lang w:val="es-ES_tradnl" w:eastAsia="es-ES"/>
        </w:rPr>
        <w:t xml:space="preserve">licencia </w:t>
      </w:r>
      <w:r w:rsidRPr="00ED4C8A">
        <w:rPr>
          <w:rFonts w:ascii="Palatino Linotype" w:hAnsi="Palatino Linotype"/>
          <w:b/>
          <w:bCs/>
          <w:color w:val="000000"/>
        </w:rPr>
        <w:t>concedida en la Sexagésima Sesión Extraordinaria de Cabildo, celebrada el 22 de abril del 2021.</w:t>
      </w:r>
    </w:p>
    <w:p w14:paraId="3A24827C" w14:textId="77777777" w:rsidR="006A34AD" w:rsidRPr="00ED4C8A" w:rsidRDefault="006A34AD" w:rsidP="006A34AD">
      <w:pPr>
        <w:pStyle w:val="Prrafodelista"/>
        <w:numPr>
          <w:ilvl w:val="0"/>
          <w:numId w:val="38"/>
        </w:numPr>
        <w:spacing w:after="0" w:line="360" w:lineRule="auto"/>
        <w:ind w:right="567" w:hanging="153"/>
        <w:jc w:val="both"/>
        <w:rPr>
          <w:rFonts w:ascii="Palatino Linotype" w:eastAsia="MS Mincho" w:hAnsi="Palatino Linotype" w:cs="Times New Roman"/>
          <w:lang w:val="es-ES_tradnl" w:eastAsia="es-ES"/>
        </w:rPr>
      </w:pPr>
      <w:r w:rsidRPr="00ED4C8A">
        <w:rPr>
          <w:rFonts w:ascii="Palatino Linotype" w:hAnsi="Palatino Linotype" w:cs="Arial"/>
          <w:b/>
          <w:lang w:val="es-ES_tradnl"/>
        </w:rPr>
        <w:t>De no haberse generado las actas administrativas de entrega recepción, los documentos donde consten las acciones tomadas por la Contraloría Municipal.</w:t>
      </w:r>
    </w:p>
    <w:p w14:paraId="4C91A195" w14:textId="77777777" w:rsidR="00B5260A" w:rsidRPr="00ED4C8A" w:rsidRDefault="00B5260A" w:rsidP="00B5260A">
      <w:pPr>
        <w:spacing w:after="0" w:line="360" w:lineRule="auto"/>
        <w:jc w:val="both"/>
        <w:rPr>
          <w:rFonts w:ascii="Palatino Linotype" w:hAnsi="Palatino Linotype" w:cs="Arial"/>
          <w:b/>
          <w:sz w:val="24"/>
          <w:szCs w:val="24"/>
          <w:lang w:val="es-ES_tradnl"/>
        </w:rPr>
      </w:pPr>
    </w:p>
    <w:p w14:paraId="213C8E2A" w14:textId="2A1D7C49" w:rsidR="00BA46E5" w:rsidRPr="00ED4C8A" w:rsidRDefault="00BA46E5" w:rsidP="00BA46E5">
      <w:pPr>
        <w:numPr>
          <w:ilvl w:val="0"/>
          <w:numId w:val="2"/>
        </w:numPr>
        <w:spacing w:after="0" w:line="360" w:lineRule="auto"/>
        <w:ind w:left="0" w:firstLine="0"/>
        <w:contextualSpacing/>
        <w:jc w:val="both"/>
        <w:rPr>
          <w:rFonts w:ascii="Palatino Linotype" w:eastAsia="Times New Roman" w:hAnsi="Palatino Linotype" w:cs="Times New Roman"/>
          <w:color w:val="000000"/>
          <w:sz w:val="24"/>
          <w:szCs w:val="24"/>
          <w:lang w:eastAsia="es-MX"/>
        </w:rPr>
      </w:pPr>
      <w:r w:rsidRPr="00ED4C8A">
        <w:rPr>
          <w:rFonts w:ascii="Palatino Linotype" w:hAnsi="Palatino Linotype" w:cs="Arial"/>
          <w:sz w:val="24"/>
          <w:szCs w:val="24"/>
          <w:lang w:val="es-ES_tradnl"/>
        </w:rPr>
        <w:t xml:space="preserve">En respuesta, el </w:t>
      </w:r>
      <w:r w:rsidRPr="00ED4C8A">
        <w:rPr>
          <w:rFonts w:ascii="Palatino Linotype" w:hAnsi="Palatino Linotype" w:cs="Arial"/>
          <w:b/>
          <w:sz w:val="24"/>
          <w:szCs w:val="24"/>
          <w:lang w:val="es-ES_tradnl"/>
        </w:rPr>
        <w:t>SUJETO OBLIGADO</w:t>
      </w:r>
      <w:r w:rsidRPr="00ED4C8A">
        <w:rPr>
          <w:rFonts w:ascii="Palatino Linotype" w:hAnsi="Palatino Linotype" w:cs="Arial"/>
          <w:sz w:val="24"/>
          <w:szCs w:val="24"/>
          <w:lang w:val="es-ES_tradnl"/>
        </w:rPr>
        <w:t xml:space="preserve"> </w:t>
      </w:r>
      <w:r w:rsidR="00B4131F" w:rsidRPr="00ED4C8A">
        <w:rPr>
          <w:rFonts w:ascii="Palatino Linotype" w:eastAsia="Times New Roman" w:hAnsi="Palatino Linotype" w:cs="Times New Roman"/>
          <w:color w:val="000000"/>
          <w:sz w:val="24"/>
          <w:szCs w:val="24"/>
          <w:lang w:eastAsia="es-MX"/>
        </w:rPr>
        <w:t>informó a través de un oficio suscrito y signado por el Contralor Municipal que</w:t>
      </w:r>
      <w:r w:rsidR="004F41FD" w:rsidRPr="00ED4C8A">
        <w:rPr>
          <w:rFonts w:ascii="Palatino Linotype" w:eastAsia="Times New Roman" w:hAnsi="Palatino Linotype" w:cs="Times New Roman"/>
          <w:color w:val="000000"/>
          <w:sz w:val="24"/>
          <w:szCs w:val="24"/>
          <w:lang w:eastAsia="es-MX"/>
        </w:rPr>
        <w:t xml:space="preserve"> al tratarse de cargos de elección popular</w:t>
      </w:r>
      <w:r w:rsidR="00B4131F" w:rsidRPr="00ED4C8A">
        <w:rPr>
          <w:rFonts w:ascii="Palatino Linotype" w:eastAsia="Times New Roman" w:hAnsi="Palatino Linotype" w:cs="Times New Roman"/>
          <w:color w:val="000000"/>
          <w:sz w:val="24"/>
          <w:szCs w:val="24"/>
          <w:lang w:eastAsia="es-MX"/>
        </w:rPr>
        <w:t xml:space="preserve"> carece de competencia para proporcionar la información requerida</w:t>
      </w:r>
      <w:r w:rsidR="004F41FD" w:rsidRPr="00ED4C8A">
        <w:rPr>
          <w:rFonts w:ascii="Palatino Linotype" w:eastAsia="Times New Roman" w:hAnsi="Palatino Linotype" w:cs="Times New Roman"/>
          <w:color w:val="000000"/>
          <w:sz w:val="24"/>
          <w:szCs w:val="24"/>
          <w:lang w:eastAsia="es-MX"/>
        </w:rPr>
        <w:t>.</w:t>
      </w:r>
    </w:p>
    <w:p w14:paraId="134F9533" w14:textId="77777777" w:rsidR="00BA46E5" w:rsidRPr="00ED4C8A" w:rsidRDefault="00BA46E5" w:rsidP="00BA46E5">
      <w:pPr>
        <w:spacing w:after="0" w:line="360" w:lineRule="auto"/>
        <w:contextualSpacing/>
        <w:jc w:val="both"/>
        <w:rPr>
          <w:rFonts w:ascii="Palatino Linotype" w:hAnsi="Palatino Linotype" w:cs="Arial"/>
          <w:sz w:val="24"/>
          <w:szCs w:val="24"/>
        </w:rPr>
      </w:pPr>
    </w:p>
    <w:p w14:paraId="3AF88AD7" w14:textId="6DC435AA" w:rsidR="00BF60EF" w:rsidRPr="00ED4C8A" w:rsidRDefault="006E05C3" w:rsidP="001D6CEA">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ED4C8A">
        <w:rPr>
          <w:rFonts w:ascii="Palatino Linotype" w:eastAsia="MS Mincho" w:hAnsi="Palatino Linotype" w:cs="Arial"/>
          <w:sz w:val="24"/>
          <w:szCs w:val="24"/>
          <w:lang w:val="es-ES_tradnl" w:eastAsia="es-ES"/>
        </w:rPr>
        <w:t>En este sentido</w:t>
      </w:r>
      <w:r w:rsidR="009B6599" w:rsidRPr="00ED4C8A">
        <w:rPr>
          <w:rFonts w:ascii="Palatino Linotype" w:eastAsia="MS Mincho" w:hAnsi="Palatino Linotype" w:cs="Arial"/>
          <w:sz w:val="24"/>
          <w:szCs w:val="24"/>
          <w:lang w:val="es-ES_tradnl" w:eastAsia="es-ES"/>
        </w:rPr>
        <w:t>,</w:t>
      </w:r>
      <w:r w:rsidRPr="00ED4C8A">
        <w:rPr>
          <w:rFonts w:ascii="Palatino Linotype" w:eastAsia="MS Mincho" w:hAnsi="Palatino Linotype" w:cs="Arial"/>
          <w:sz w:val="24"/>
          <w:szCs w:val="24"/>
          <w:lang w:val="es-ES_tradnl" w:eastAsia="es-ES"/>
        </w:rPr>
        <w:t xml:space="preserve"> </w:t>
      </w:r>
      <w:r w:rsidR="00A11F31" w:rsidRPr="00ED4C8A">
        <w:rPr>
          <w:rFonts w:ascii="Palatino Linotype" w:eastAsia="MS Mincho" w:hAnsi="Palatino Linotype" w:cs="Arial"/>
          <w:sz w:val="24"/>
          <w:szCs w:val="24"/>
          <w:lang w:val="es-ES_tradnl" w:eastAsia="es-ES"/>
        </w:rPr>
        <w:t>el</w:t>
      </w:r>
      <w:r w:rsidR="003445CD" w:rsidRPr="00ED4C8A">
        <w:rPr>
          <w:rFonts w:ascii="Palatino Linotype" w:eastAsia="MS Mincho" w:hAnsi="Palatino Linotype" w:cs="Arial"/>
          <w:sz w:val="24"/>
          <w:szCs w:val="24"/>
          <w:lang w:val="es-ES_tradnl" w:eastAsia="es-ES"/>
        </w:rPr>
        <w:t xml:space="preserve"> P</w:t>
      </w:r>
      <w:r w:rsidR="00A11F31" w:rsidRPr="00ED4C8A">
        <w:rPr>
          <w:rFonts w:ascii="Palatino Linotype" w:eastAsia="MS Mincho" w:hAnsi="Palatino Linotype" w:cs="Arial"/>
          <w:sz w:val="24"/>
          <w:szCs w:val="24"/>
          <w:lang w:val="es-ES_tradnl" w:eastAsia="es-ES"/>
        </w:rPr>
        <w:t xml:space="preserve">articular señaló en el recurso de revisión, como motivo de inconformidad, que </w:t>
      </w:r>
      <w:r w:rsidR="004F41FD" w:rsidRPr="00ED4C8A">
        <w:rPr>
          <w:rFonts w:ascii="Palatino Linotype" w:eastAsia="MS Mincho" w:hAnsi="Palatino Linotype" w:cs="Arial"/>
          <w:sz w:val="24"/>
          <w:szCs w:val="24"/>
          <w:lang w:val="es-ES_tradnl" w:eastAsia="es-ES"/>
        </w:rPr>
        <w:t>le entregaron información incompleta.</w:t>
      </w:r>
    </w:p>
    <w:p w14:paraId="5DEB1612" w14:textId="77777777" w:rsidR="00BF60EF" w:rsidRPr="00ED4C8A" w:rsidRDefault="00BF60EF" w:rsidP="0008753C">
      <w:pPr>
        <w:spacing w:after="0" w:line="360" w:lineRule="auto"/>
        <w:contextualSpacing/>
        <w:jc w:val="both"/>
        <w:rPr>
          <w:rFonts w:ascii="Palatino Linotype" w:hAnsi="Palatino Linotype" w:cs="Arial"/>
          <w:sz w:val="24"/>
          <w:szCs w:val="24"/>
          <w:lang w:val="es-ES_tradnl"/>
        </w:rPr>
      </w:pPr>
    </w:p>
    <w:p w14:paraId="6C936608" w14:textId="6C41EF63" w:rsidR="00BF60EF" w:rsidRPr="00ED4C8A" w:rsidRDefault="00BF60EF" w:rsidP="000D580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ED4C8A">
        <w:rPr>
          <w:rFonts w:ascii="Palatino Linotype" w:hAnsi="Palatino Linotype" w:cs="Arial"/>
          <w:sz w:val="24"/>
          <w:szCs w:val="24"/>
          <w:lang w:val="es-ES_tradnl"/>
        </w:rPr>
        <w:t xml:space="preserve">En consecuencia, </w:t>
      </w:r>
      <w:r w:rsidR="00E74AE7" w:rsidRPr="00ED4C8A">
        <w:rPr>
          <w:rFonts w:ascii="Palatino Linotype" w:hAnsi="Palatino Linotype" w:cs="Arial"/>
          <w:sz w:val="24"/>
          <w:szCs w:val="24"/>
          <w:lang w:val="es-ES_tradnl"/>
        </w:rPr>
        <w:t>la Litis del presente asunto, corresponde a determinar si se actualiza la causal de procedencia prevista en el artículo 179, fracción I</w:t>
      </w:r>
      <w:r w:rsidR="00FA65AF" w:rsidRPr="00ED4C8A">
        <w:rPr>
          <w:rFonts w:ascii="Palatino Linotype" w:hAnsi="Palatino Linotype" w:cs="Arial"/>
          <w:sz w:val="24"/>
          <w:szCs w:val="24"/>
          <w:lang w:val="es-ES_tradnl"/>
        </w:rPr>
        <w:t xml:space="preserve"> </w:t>
      </w:r>
      <w:r w:rsidR="00D8732D" w:rsidRPr="00ED4C8A">
        <w:rPr>
          <w:rFonts w:ascii="Palatino Linotype" w:hAnsi="Palatino Linotype" w:cs="Arial"/>
          <w:sz w:val="24"/>
          <w:szCs w:val="24"/>
          <w:lang w:val="es-ES_tradnl"/>
        </w:rPr>
        <w:t xml:space="preserve">y V </w:t>
      </w:r>
      <w:r w:rsidR="00E74AE7" w:rsidRPr="00ED4C8A">
        <w:rPr>
          <w:rFonts w:ascii="Palatino Linotype" w:hAnsi="Palatino Linotype" w:cs="Arial"/>
          <w:sz w:val="24"/>
          <w:szCs w:val="24"/>
          <w:lang w:val="es-ES_tradnl"/>
        </w:rPr>
        <w:t xml:space="preserve">de la Ley de Transparencia y Acceso a la Información Pública del Estado de México y Municipios; que determina </w:t>
      </w:r>
      <w:r w:rsidR="00E74AE7" w:rsidRPr="00ED4C8A">
        <w:rPr>
          <w:rFonts w:ascii="Palatino Linotype" w:hAnsi="Palatino Linotype" w:cs="Arial"/>
          <w:sz w:val="24"/>
          <w:szCs w:val="24"/>
          <w:u w:val="single"/>
          <w:lang w:val="es-ES_tradnl"/>
        </w:rPr>
        <w:t>la negativa a la información solicitada</w:t>
      </w:r>
      <w:r w:rsidR="00D8732D" w:rsidRPr="00ED4C8A">
        <w:rPr>
          <w:rFonts w:ascii="Palatino Linotype" w:hAnsi="Palatino Linotype" w:cs="Arial"/>
          <w:sz w:val="24"/>
          <w:szCs w:val="24"/>
          <w:u w:val="single"/>
          <w:lang w:val="es-ES_tradnl"/>
        </w:rPr>
        <w:t xml:space="preserve"> y la entrega de información incompleta</w:t>
      </w:r>
      <w:r w:rsidR="00E74AE7" w:rsidRPr="00ED4C8A">
        <w:rPr>
          <w:rFonts w:ascii="Palatino Linotype" w:hAnsi="Palatino Linotype" w:cs="Arial"/>
          <w:sz w:val="24"/>
          <w:szCs w:val="24"/>
          <w:lang w:val="es-ES_tradnl"/>
        </w:rPr>
        <w:t xml:space="preserve">, hipótesis de la que se inconformó </w:t>
      </w:r>
      <w:r w:rsidR="00C626D3" w:rsidRPr="00ED4C8A">
        <w:rPr>
          <w:rFonts w:ascii="Palatino Linotype" w:hAnsi="Palatino Linotype" w:cs="Arial"/>
          <w:sz w:val="24"/>
          <w:szCs w:val="24"/>
          <w:lang w:val="es-ES_tradnl"/>
        </w:rPr>
        <w:t>el</w:t>
      </w:r>
      <w:r w:rsidR="003445CD" w:rsidRPr="00ED4C8A">
        <w:rPr>
          <w:rFonts w:ascii="Palatino Linotype" w:hAnsi="Palatino Linotype" w:cs="Arial"/>
          <w:sz w:val="24"/>
          <w:szCs w:val="24"/>
          <w:lang w:val="es-ES_tradnl"/>
        </w:rPr>
        <w:t xml:space="preserve"> P</w:t>
      </w:r>
      <w:r w:rsidR="00E74AE7" w:rsidRPr="00ED4C8A">
        <w:rPr>
          <w:rFonts w:ascii="Palatino Linotype" w:hAnsi="Palatino Linotype" w:cs="Arial"/>
          <w:sz w:val="24"/>
          <w:szCs w:val="24"/>
          <w:lang w:val="es-ES_tradnl"/>
        </w:rPr>
        <w:t xml:space="preserve">articular; y acreditar si la respuesta del </w:t>
      </w:r>
      <w:r w:rsidR="00E74AE7" w:rsidRPr="00ED4C8A">
        <w:rPr>
          <w:rFonts w:ascii="Palatino Linotype" w:hAnsi="Palatino Linotype" w:cs="Arial"/>
          <w:b/>
          <w:sz w:val="24"/>
          <w:szCs w:val="24"/>
          <w:lang w:val="es-ES_tradnl"/>
        </w:rPr>
        <w:t>SUJETO OBLIGADO</w:t>
      </w:r>
      <w:r w:rsidR="00E74AE7" w:rsidRPr="00ED4C8A">
        <w:rPr>
          <w:rFonts w:ascii="Palatino Linotype" w:hAnsi="Palatino Linotype" w:cs="Arial"/>
          <w:sz w:val="24"/>
          <w:szCs w:val="24"/>
          <w:lang w:val="es-ES_tradnl"/>
        </w:rPr>
        <w:t xml:space="preserve"> resulta accesible, en apego a los principios establecidos en el artículo 11 de la Ley de Transparencia.</w:t>
      </w:r>
    </w:p>
    <w:p w14:paraId="07B85945" w14:textId="77777777" w:rsidR="00D15D38" w:rsidRPr="00ED4C8A" w:rsidRDefault="00D15D38" w:rsidP="0008753C">
      <w:pPr>
        <w:spacing w:before="240" w:after="240" w:line="360" w:lineRule="auto"/>
        <w:ind w:right="49"/>
        <w:contextualSpacing/>
        <w:jc w:val="both"/>
        <w:rPr>
          <w:rFonts w:ascii="Palatino Linotype" w:eastAsia="MS Mincho" w:hAnsi="Palatino Linotype" w:cs="Arial"/>
          <w:sz w:val="24"/>
          <w:szCs w:val="24"/>
          <w:lang w:val="es-ES_tradnl" w:eastAsia="es-ES"/>
        </w:rPr>
      </w:pPr>
    </w:p>
    <w:p w14:paraId="7CEBF152" w14:textId="473C65B0" w:rsidR="009F4327" w:rsidRPr="00ED4C8A" w:rsidRDefault="009F4327" w:rsidP="009F4327">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18" w:name="_Toc2881748"/>
      <w:bookmarkStart w:id="19" w:name="_Toc85130367"/>
      <w:r w:rsidRPr="00ED4C8A">
        <w:rPr>
          <w:rFonts w:ascii="Palatino Linotype" w:eastAsia="MS Gothic" w:hAnsi="Palatino Linotype" w:cstheme="majorBidi"/>
          <w:b/>
          <w:sz w:val="24"/>
          <w:szCs w:val="24"/>
          <w:lang w:val="es-ES_tradnl" w:eastAsia="es-ES"/>
        </w:rPr>
        <w:lastRenderedPageBreak/>
        <w:t>CUARTO. Del Estudio y R</w:t>
      </w:r>
      <w:r w:rsidR="00E113EC" w:rsidRPr="00ED4C8A">
        <w:rPr>
          <w:rFonts w:ascii="Palatino Linotype" w:eastAsia="MS Gothic" w:hAnsi="Palatino Linotype" w:cstheme="majorBidi"/>
          <w:b/>
          <w:sz w:val="24"/>
          <w:szCs w:val="24"/>
          <w:lang w:val="es-ES_tradnl" w:eastAsia="es-ES"/>
        </w:rPr>
        <w:t xml:space="preserve">esolución del </w:t>
      </w:r>
      <w:r w:rsidRPr="00ED4C8A">
        <w:rPr>
          <w:rFonts w:ascii="Palatino Linotype" w:eastAsia="MS Gothic" w:hAnsi="Palatino Linotype" w:cstheme="majorBidi"/>
          <w:b/>
          <w:sz w:val="24"/>
          <w:szCs w:val="24"/>
          <w:lang w:val="es-ES_tradnl" w:eastAsia="es-ES"/>
        </w:rPr>
        <w:t>Asunto</w:t>
      </w:r>
      <w:r w:rsidR="00E113EC" w:rsidRPr="00ED4C8A">
        <w:rPr>
          <w:rFonts w:ascii="Palatino Linotype" w:eastAsia="MS Gothic" w:hAnsi="Palatino Linotype" w:cstheme="majorBidi"/>
          <w:b/>
          <w:sz w:val="24"/>
          <w:szCs w:val="24"/>
          <w:lang w:val="es-ES_tradnl" w:eastAsia="es-ES"/>
        </w:rPr>
        <w:t>.</w:t>
      </w:r>
      <w:bookmarkEnd w:id="18"/>
      <w:bookmarkEnd w:id="19"/>
    </w:p>
    <w:p w14:paraId="488E09A5" w14:textId="77777777" w:rsidR="009F4327" w:rsidRPr="00ED4C8A" w:rsidRDefault="009F4327" w:rsidP="009F4327">
      <w:pPr>
        <w:keepNext/>
        <w:keepLines/>
        <w:spacing w:before="240" w:after="0" w:line="360" w:lineRule="auto"/>
        <w:outlineLvl w:val="0"/>
        <w:rPr>
          <w:rFonts w:ascii="Palatino Linotype" w:eastAsia="MS Gothic" w:hAnsi="Palatino Linotype" w:cstheme="majorBidi"/>
          <w:b/>
          <w:sz w:val="2"/>
          <w:szCs w:val="24"/>
          <w:lang w:val="es-ES_tradnl" w:eastAsia="es-ES"/>
        </w:rPr>
      </w:pPr>
    </w:p>
    <w:p w14:paraId="7F49CDA4" w14:textId="5042FE86" w:rsidR="009F4327" w:rsidRPr="00ED4C8A" w:rsidRDefault="009F4327" w:rsidP="00A21531">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Derivado </w:t>
      </w:r>
      <w:r w:rsidRPr="00ED4C8A">
        <w:rPr>
          <w:rFonts w:ascii="Palatino Linotype" w:eastAsia="MS Mincho" w:hAnsi="Palatino Linotype" w:cs="Times New Roman"/>
          <w:color w:val="000000"/>
          <w:sz w:val="24"/>
          <w:szCs w:val="24"/>
        </w:rPr>
        <w:t xml:space="preserve">del </w:t>
      </w:r>
      <w:r w:rsidRPr="00ED4C8A">
        <w:rPr>
          <w:rFonts w:ascii="Palatino Linotype" w:hAnsi="Palatino Linotype" w:cs="Arial"/>
          <w:sz w:val="24"/>
          <w:szCs w:val="24"/>
        </w:rPr>
        <w:t xml:space="preserve">planteamiento de la </w:t>
      </w:r>
      <w:r w:rsidRPr="00ED4C8A">
        <w:rPr>
          <w:rFonts w:ascii="Palatino Linotype" w:hAnsi="Palatino Linotype" w:cs="Arial"/>
          <w:i/>
          <w:sz w:val="24"/>
          <w:szCs w:val="24"/>
        </w:rPr>
        <w:t>Litis</w:t>
      </w:r>
      <w:r w:rsidRPr="00ED4C8A">
        <w:rPr>
          <w:rFonts w:ascii="Palatino Linotype" w:hAnsi="Palatino Linotype" w:cs="Arial"/>
          <w:sz w:val="24"/>
          <w:szCs w:val="24"/>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w:t>
      </w:r>
      <w:r w:rsidR="009B6599" w:rsidRPr="00ED4C8A">
        <w:rPr>
          <w:rFonts w:ascii="Palatino Linotype" w:hAnsi="Palatino Linotype" w:cs="Arial"/>
          <w:sz w:val="24"/>
          <w:szCs w:val="24"/>
        </w:rPr>
        <w:t>de acuerdo con</w:t>
      </w:r>
      <w:r w:rsidRPr="00ED4C8A">
        <w:rPr>
          <w:rFonts w:ascii="Palatino Linotype" w:hAnsi="Palatino Linotype" w:cs="Arial"/>
          <w:sz w:val="24"/>
          <w:szCs w:val="24"/>
        </w:rPr>
        <w:t xml:space="preserve"> lo establecido en el artículo 8 de la </w:t>
      </w:r>
      <w:r w:rsidRPr="00ED4C8A">
        <w:rPr>
          <w:rFonts w:ascii="Palatino Linotype" w:eastAsia="Calibri" w:hAnsi="Palatino Linotype" w:cs="Arial"/>
          <w:b/>
          <w:sz w:val="24"/>
          <w:szCs w:val="24"/>
          <w:lang w:val="es-ES"/>
        </w:rPr>
        <w:t>Ley de Transparencia y Acceso a la Información Pública del Estado de México y Municipios</w:t>
      </w:r>
      <w:r w:rsidRPr="00ED4C8A">
        <w:rPr>
          <w:rFonts w:ascii="Palatino Linotype" w:eastAsia="Times New Roman" w:hAnsi="Palatino Linotype" w:cs="Arial"/>
          <w:sz w:val="24"/>
          <w:szCs w:val="24"/>
          <w:lang w:val="es-ES" w:eastAsia="es-MX"/>
        </w:rPr>
        <w:t>.</w:t>
      </w:r>
    </w:p>
    <w:p w14:paraId="47A24A08" w14:textId="77777777" w:rsidR="009F4327" w:rsidRPr="00ED4C8A"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4D630417" w14:textId="248F0A5A" w:rsidR="009F4327" w:rsidRPr="00ED4C8A"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Para </w:t>
      </w:r>
      <w:r w:rsidRPr="00ED4C8A">
        <w:rPr>
          <w:rFonts w:ascii="Palatino Linotype" w:eastAsia="MS Mincho" w:hAnsi="Palatino Linotype" w:cs="Times New Roman"/>
          <w:sz w:val="24"/>
          <w:szCs w:val="24"/>
        </w:rPr>
        <w:t xml:space="preserve">proceder al análisis del presente asunto, es necesario recapitular lo que </w:t>
      </w:r>
      <w:r w:rsidR="00C626D3" w:rsidRPr="00ED4C8A">
        <w:rPr>
          <w:rFonts w:ascii="Palatino Linotype" w:eastAsia="MS Mincho" w:hAnsi="Palatino Linotype" w:cs="Times New Roman"/>
          <w:sz w:val="24"/>
          <w:szCs w:val="24"/>
        </w:rPr>
        <w:t>el</w:t>
      </w:r>
      <w:r w:rsidR="003445CD" w:rsidRPr="00ED4C8A">
        <w:rPr>
          <w:rFonts w:ascii="Palatino Linotype" w:eastAsia="MS Mincho" w:hAnsi="Palatino Linotype" w:cs="Times New Roman"/>
          <w:sz w:val="24"/>
          <w:szCs w:val="24"/>
        </w:rPr>
        <w:t xml:space="preserve"> P</w:t>
      </w:r>
      <w:r w:rsidRPr="00ED4C8A">
        <w:rPr>
          <w:rFonts w:ascii="Palatino Linotype" w:eastAsia="MS Mincho" w:hAnsi="Palatino Linotype" w:cs="Times New Roman"/>
          <w:sz w:val="24"/>
          <w:szCs w:val="24"/>
        </w:rPr>
        <w:t>articular solicitó</w:t>
      </w:r>
      <w:r w:rsidR="00F67039" w:rsidRPr="00ED4C8A">
        <w:rPr>
          <w:rFonts w:ascii="Palatino Linotype" w:eastAsia="MS Mincho" w:hAnsi="Palatino Linotype" w:cs="Times New Roman"/>
          <w:sz w:val="24"/>
          <w:szCs w:val="24"/>
        </w:rPr>
        <w:t>:</w:t>
      </w:r>
    </w:p>
    <w:p w14:paraId="401BDDF4" w14:textId="77777777" w:rsidR="005B1CDB" w:rsidRPr="00ED4C8A" w:rsidRDefault="005B1CDB" w:rsidP="005B1CDB">
      <w:pPr>
        <w:spacing w:after="0" w:line="360" w:lineRule="auto"/>
        <w:ind w:right="567"/>
        <w:contextualSpacing/>
        <w:jc w:val="both"/>
        <w:rPr>
          <w:rFonts w:ascii="Palatino Linotype" w:eastAsia="MS Mincho" w:hAnsi="Palatino Linotype" w:cs="Times New Roman"/>
          <w:sz w:val="24"/>
          <w:szCs w:val="24"/>
          <w:lang w:val="es-ES_tradnl" w:eastAsia="es-ES"/>
        </w:rPr>
      </w:pPr>
    </w:p>
    <w:p w14:paraId="5BF137D7" w14:textId="0422B1F5" w:rsidR="005B1CDB" w:rsidRPr="00ED4C8A" w:rsidRDefault="005B1CDB" w:rsidP="005B1CDB">
      <w:pPr>
        <w:pStyle w:val="Prrafodelista"/>
        <w:numPr>
          <w:ilvl w:val="0"/>
          <w:numId w:val="38"/>
        </w:numPr>
        <w:spacing w:after="0" w:line="360" w:lineRule="auto"/>
        <w:ind w:right="567" w:hanging="153"/>
        <w:jc w:val="both"/>
        <w:rPr>
          <w:rFonts w:ascii="Palatino Linotype" w:eastAsia="MS Mincho" w:hAnsi="Palatino Linotype" w:cs="Times New Roman"/>
          <w:b/>
          <w:bCs/>
          <w:lang w:val="es-ES_tradnl" w:eastAsia="es-ES"/>
        </w:rPr>
      </w:pPr>
      <w:r w:rsidRPr="00ED4C8A">
        <w:rPr>
          <w:rFonts w:ascii="Palatino Linotype" w:hAnsi="Palatino Linotype" w:cs="Arial"/>
          <w:b/>
          <w:bCs/>
        </w:rPr>
        <w:t xml:space="preserve">Acta administrativa de entrega recepción de </w:t>
      </w:r>
      <w:r w:rsidRPr="00ED4C8A">
        <w:rPr>
          <w:rFonts w:ascii="Palatino Linotype" w:eastAsia="MS Mincho" w:hAnsi="Palatino Linotype" w:cs="Times New Roman"/>
          <w:b/>
          <w:bCs/>
          <w:lang w:val="es-ES_tradnl" w:eastAsia="es-ES"/>
        </w:rPr>
        <w:t>la Segunda Regidora</w:t>
      </w:r>
      <w:r w:rsidRPr="00ED4C8A">
        <w:rPr>
          <w:rFonts w:ascii="Palatino Linotype" w:hAnsi="Palatino Linotype" w:cs="Arial"/>
          <w:b/>
          <w:bCs/>
        </w:rPr>
        <w:t xml:space="preserve">, de la </w:t>
      </w:r>
      <w:r w:rsidRPr="00ED4C8A">
        <w:rPr>
          <w:rFonts w:ascii="Palatino Linotype" w:eastAsia="MS Mincho" w:hAnsi="Palatino Linotype" w:cs="Times New Roman"/>
          <w:b/>
          <w:bCs/>
          <w:lang w:val="es-ES_tradnl" w:eastAsia="es-ES"/>
        </w:rPr>
        <w:t xml:space="preserve">licencia concedida en la Sexagésima Segunda Sesión </w:t>
      </w:r>
      <w:r w:rsidRPr="00ED4C8A">
        <w:rPr>
          <w:rFonts w:ascii="Palatino Linotype" w:hAnsi="Palatino Linotype"/>
          <w:b/>
          <w:bCs/>
          <w:color w:val="000000"/>
        </w:rPr>
        <w:t>Extraordinaria de Cabildo, celebrada el 22 de abril del 2021</w:t>
      </w:r>
    </w:p>
    <w:p w14:paraId="4FF822AC" w14:textId="6880ADE4" w:rsidR="005B1CDB" w:rsidRPr="00ED4C8A" w:rsidRDefault="005B1CDB" w:rsidP="005B1CDB">
      <w:pPr>
        <w:pStyle w:val="Prrafodelista"/>
        <w:numPr>
          <w:ilvl w:val="0"/>
          <w:numId w:val="38"/>
        </w:numPr>
        <w:spacing w:after="0" w:line="360" w:lineRule="auto"/>
        <w:ind w:right="567" w:hanging="153"/>
        <w:jc w:val="both"/>
        <w:rPr>
          <w:rFonts w:ascii="Palatino Linotype" w:eastAsia="MS Mincho" w:hAnsi="Palatino Linotype" w:cs="Times New Roman"/>
          <w:b/>
          <w:bCs/>
          <w:lang w:val="es-ES_tradnl" w:eastAsia="es-ES"/>
        </w:rPr>
      </w:pPr>
      <w:r w:rsidRPr="00ED4C8A">
        <w:rPr>
          <w:rFonts w:ascii="Palatino Linotype" w:hAnsi="Palatino Linotype" w:cs="Arial"/>
          <w:b/>
          <w:bCs/>
        </w:rPr>
        <w:t>Acta administrativa de entrega recepción d</w:t>
      </w:r>
      <w:r w:rsidRPr="00ED4C8A">
        <w:rPr>
          <w:rFonts w:ascii="Palatino Linotype" w:eastAsia="MS Mincho" w:hAnsi="Palatino Linotype" w:cs="Times New Roman"/>
          <w:b/>
          <w:bCs/>
          <w:lang w:val="es-ES_tradnl" w:eastAsia="es-ES"/>
        </w:rPr>
        <w:t>el Décimo Regidor</w:t>
      </w:r>
      <w:r w:rsidRPr="00ED4C8A">
        <w:rPr>
          <w:rFonts w:ascii="Palatino Linotype" w:hAnsi="Palatino Linotype" w:cs="Arial"/>
          <w:b/>
          <w:bCs/>
        </w:rPr>
        <w:t xml:space="preserve">, de la </w:t>
      </w:r>
      <w:r w:rsidRPr="00ED4C8A">
        <w:rPr>
          <w:rFonts w:ascii="Palatino Linotype" w:eastAsia="MS Mincho" w:hAnsi="Palatino Linotype" w:cs="Times New Roman"/>
          <w:b/>
          <w:bCs/>
          <w:lang w:val="es-ES_tradnl" w:eastAsia="es-ES"/>
        </w:rPr>
        <w:t xml:space="preserve">licencia </w:t>
      </w:r>
      <w:r w:rsidRPr="00ED4C8A">
        <w:rPr>
          <w:rFonts w:ascii="Palatino Linotype" w:hAnsi="Palatino Linotype"/>
          <w:b/>
          <w:bCs/>
          <w:color w:val="000000"/>
        </w:rPr>
        <w:t>concedida en la Sexagésima Segunda Sesión Extraordinaria de Cabildo, celebrada el 22 de abril del 2021.</w:t>
      </w:r>
    </w:p>
    <w:p w14:paraId="7D570C14" w14:textId="19304D42" w:rsidR="005B1CDB" w:rsidRPr="00ED4C8A" w:rsidRDefault="005B1CDB" w:rsidP="005B1CDB">
      <w:pPr>
        <w:pStyle w:val="Prrafodelista"/>
        <w:numPr>
          <w:ilvl w:val="0"/>
          <w:numId w:val="38"/>
        </w:numPr>
        <w:spacing w:after="0" w:line="360" w:lineRule="auto"/>
        <w:ind w:right="567" w:hanging="153"/>
        <w:jc w:val="both"/>
        <w:rPr>
          <w:rFonts w:ascii="Palatino Linotype" w:eastAsia="MS Mincho" w:hAnsi="Palatino Linotype" w:cs="Times New Roman"/>
          <w:b/>
          <w:bCs/>
          <w:lang w:val="es-ES_tradnl" w:eastAsia="es-ES"/>
        </w:rPr>
      </w:pPr>
      <w:r w:rsidRPr="00ED4C8A">
        <w:rPr>
          <w:rFonts w:ascii="Palatino Linotype" w:hAnsi="Palatino Linotype" w:cs="Arial"/>
          <w:b/>
          <w:bCs/>
        </w:rPr>
        <w:t>Acta administrativa de entrega recepción del</w:t>
      </w:r>
      <w:r w:rsidRPr="00ED4C8A">
        <w:rPr>
          <w:rFonts w:ascii="Palatino Linotype" w:eastAsia="MS Mincho" w:hAnsi="Palatino Linotype" w:cs="Times New Roman"/>
          <w:b/>
          <w:bCs/>
          <w:lang w:val="es-ES_tradnl" w:eastAsia="es-ES"/>
        </w:rPr>
        <w:t xml:space="preserve"> Décimo Primer Regidor</w:t>
      </w:r>
      <w:r w:rsidRPr="00ED4C8A">
        <w:rPr>
          <w:rFonts w:ascii="Palatino Linotype" w:hAnsi="Palatino Linotype" w:cs="Arial"/>
          <w:b/>
          <w:bCs/>
        </w:rPr>
        <w:t xml:space="preserve">, de la </w:t>
      </w:r>
      <w:r w:rsidRPr="00ED4C8A">
        <w:rPr>
          <w:rFonts w:ascii="Palatino Linotype" w:eastAsia="MS Mincho" w:hAnsi="Palatino Linotype" w:cs="Times New Roman"/>
          <w:b/>
          <w:bCs/>
          <w:lang w:val="es-ES_tradnl" w:eastAsia="es-ES"/>
        </w:rPr>
        <w:t xml:space="preserve">licencia </w:t>
      </w:r>
      <w:r w:rsidRPr="00ED4C8A">
        <w:rPr>
          <w:rFonts w:ascii="Palatino Linotype" w:hAnsi="Palatino Linotype"/>
          <w:b/>
          <w:bCs/>
          <w:color w:val="000000"/>
        </w:rPr>
        <w:t>concedida en la Sexagésima Sesión Extraordinaria de Cabildo, celebrada el 22 de abril del 2021.</w:t>
      </w:r>
    </w:p>
    <w:p w14:paraId="031455C5" w14:textId="144B6947" w:rsidR="0046066D" w:rsidRPr="00ED4C8A" w:rsidRDefault="0046066D" w:rsidP="005B1CDB">
      <w:pPr>
        <w:pStyle w:val="Prrafodelista"/>
        <w:numPr>
          <w:ilvl w:val="0"/>
          <w:numId w:val="38"/>
        </w:numPr>
        <w:spacing w:after="0" w:line="360" w:lineRule="auto"/>
        <w:ind w:right="567" w:hanging="153"/>
        <w:jc w:val="both"/>
        <w:rPr>
          <w:rFonts w:ascii="Palatino Linotype" w:eastAsia="MS Mincho" w:hAnsi="Palatino Linotype" w:cs="Times New Roman"/>
          <w:lang w:val="es-ES_tradnl" w:eastAsia="es-ES"/>
        </w:rPr>
      </w:pPr>
      <w:r w:rsidRPr="00ED4C8A">
        <w:rPr>
          <w:rFonts w:ascii="Palatino Linotype" w:hAnsi="Palatino Linotype" w:cs="Arial"/>
          <w:b/>
          <w:lang w:val="es-ES_tradnl"/>
        </w:rPr>
        <w:lastRenderedPageBreak/>
        <w:t xml:space="preserve">De no haberse generado las actas </w:t>
      </w:r>
      <w:r w:rsidR="005B1CDB" w:rsidRPr="00ED4C8A">
        <w:rPr>
          <w:rFonts w:ascii="Palatino Linotype" w:hAnsi="Palatino Linotype" w:cs="Arial"/>
          <w:b/>
          <w:lang w:val="es-ES_tradnl"/>
        </w:rPr>
        <w:t xml:space="preserve">administrativas </w:t>
      </w:r>
      <w:r w:rsidRPr="00ED4C8A">
        <w:rPr>
          <w:rFonts w:ascii="Palatino Linotype" w:hAnsi="Palatino Linotype" w:cs="Arial"/>
          <w:b/>
          <w:lang w:val="es-ES_tradnl"/>
        </w:rPr>
        <w:t>de entrega recepción, los documentos donde consten las acciones tomadas por la Contraloría Municipal.</w:t>
      </w:r>
    </w:p>
    <w:p w14:paraId="166AAB7C" w14:textId="77777777" w:rsidR="0046066D" w:rsidRPr="00ED4C8A" w:rsidRDefault="0046066D"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32276657" w14:textId="137435D2" w:rsidR="00FA65AF" w:rsidRPr="00ED4C8A" w:rsidRDefault="009F4327" w:rsidP="00FA65AF">
      <w:pPr>
        <w:numPr>
          <w:ilvl w:val="0"/>
          <w:numId w:val="2"/>
        </w:numPr>
        <w:spacing w:after="0" w:line="360" w:lineRule="auto"/>
        <w:ind w:left="0" w:right="34" w:firstLine="0"/>
        <w:contextualSpacing/>
        <w:jc w:val="both"/>
        <w:rPr>
          <w:rFonts w:ascii="Palatino Linotype" w:hAnsi="Palatino Linotype"/>
        </w:rPr>
      </w:pPr>
      <w:r w:rsidRPr="00ED4C8A">
        <w:rPr>
          <w:rFonts w:ascii="Palatino Linotype" w:eastAsia="MS Mincho" w:hAnsi="Palatino Linotype" w:cs="Times New Roman"/>
          <w:sz w:val="24"/>
          <w:szCs w:val="24"/>
          <w:lang w:val="es-ES_tradnl" w:eastAsia="es-ES"/>
        </w:rPr>
        <w:t xml:space="preserve">En </w:t>
      </w:r>
      <w:r w:rsidRPr="00ED4C8A">
        <w:rPr>
          <w:rFonts w:ascii="Palatino Linotype" w:hAnsi="Palatino Linotype" w:cs="Arial"/>
          <w:sz w:val="24"/>
          <w:szCs w:val="24"/>
          <w:lang w:val="es-ES_tradnl"/>
        </w:rPr>
        <w:t xml:space="preserve">respuesta, el </w:t>
      </w:r>
      <w:r w:rsidRPr="00ED4C8A">
        <w:rPr>
          <w:rFonts w:ascii="Palatino Linotype" w:hAnsi="Palatino Linotype" w:cs="Arial"/>
          <w:b/>
          <w:sz w:val="24"/>
          <w:szCs w:val="24"/>
          <w:lang w:val="es-ES_tradnl"/>
        </w:rPr>
        <w:t>SUJETO OBLIGADO</w:t>
      </w:r>
      <w:r w:rsidRPr="00ED4C8A">
        <w:rPr>
          <w:rFonts w:ascii="Palatino Linotype" w:hAnsi="Palatino Linotype" w:cs="Arial"/>
          <w:sz w:val="24"/>
          <w:szCs w:val="24"/>
          <w:lang w:val="es-ES_tradnl"/>
        </w:rPr>
        <w:t xml:space="preserve"> </w:t>
      </w:r>
      <w:r w:rsidR="0046066D" w:rsidRPr="00ED4C8A">
        <w:rPr>
          <w:rFonts w:ascii="Palatino Linotype" w:eastAsia="Times New Roman" w:hAnsi="Palatino Linotype" w:cs="Times New Roman"/>
          <w:color w:val="000000"/>
          <w:sz w:val="24"/>
          <w:szCs w:val="24"/>
          <w:lang w:eastAsia="es-MX"/>
        </w:rPr>
        <w:t>informó a través de un oficio suscrito y signado por el Contralor Municipal que al tratarse de cargos de elección popular carece de competencia para proporcionar la información requerida, como a ocntunuación se observa.</w:t>
      </w:r>
      <w:r w:rsidR="006A34AD" w:rsidRPr="00ED4C8A">
        <w:rPr>
          <w:rFonts w:ascii="Palatino Linotype" w:hAnsi="Palatino Linotype" w:cs="Arial"/>
          <w:noProof/>
          <w:sz w:val="24"/>
          <w:szCs w:val="24"/>
          <w:lang w:eastAsia="es-MX"/>
        </w:rPr>
        <w:t xml:space="preserve"> </w:t>
      </w:r>
    </w:p>
    <w:p w14:paraId="55B376BA" w14:textId="60DEADF6" w:rsidR="0046066D" w:rsidRPr="00ED4C8A" w:rsidRDefault="0046066D" w:rsidP="0046066D">
      <w:pPr>
        <w:spacing w:after="0" w:line="360" w:lineRule="auto"/>
        <w:ind w:right="34"/>
        <w:contextualSpacing/>
        <w:jc w:val="both"/>
        <w:rPr>
          <w:rFonts w:ascii="Palatino Linotype" w:eastAsia="Times New Roman" w:hAnsi="Palatino Linotype" w:cs="Times New Roman"/>
          <w:color w:val="000000"/>
          <w:sz w:val="24"/>
          <w:szCs w:val="24"/>
          <w:lang w:eastAsia="es-MX"/>
        </w:rPr>
      </w:pPr>
    </w:p>
    <w:p w14:paraId="1406B28A" w14:textId="04E1A284" w:rsidR="00C25DA5" w:rsidRPr="00ED4C8A" w:rsidRDefault="006A34AD" w:rsidP="006A34AD">
      <w:pPr>
        <w:spacing w:after="0" w:line="360" w:lineRule="auto"/>
        <w:ind w:right="34"/>
        <w:contextualSpacing/>
        <w:rPr>
          <w:rFonts w:ascii="Palatino Linotype" w:hAnsi="Palatino Linotype"/>
        </w:rPr>
      </w:pPr>
      <w:r w:rsidRPr="00ED4C8A">
        <w:rPr>
          <w:rFonts w:ascii="Palatino Linotype" w:hAnsi="Palatino Linotype" w:cs="Arial"/>
          <w:noProof/>
          <w:sz w:val="24"/>
          <w:szCs w:val="24"/>
          <w:lang w:eastAsia="es-MX"/>
        </w:rPr>
        <mc:AlternateContent>
          <mc:Choice Requires="wps">
            <w:drawing>
              <wp:anchor distT="0" distB="0" distL="114300" distR="114300" simplePos="0" relativeHeight="251664384" behindDoc="0" locked="0" layoutInCell="1" allowOverlap="1" wp14:anchorId="133FB1A8" wp14:editId="5BD5D6BD">
                <wp:simplePos x="0" y="0"/>
                <wp:positionH relativeFrom="column">
                  <wp:posOffset>-165735</wp:posOffset>
                </wp:positionH>
                <wp:positionV relativeFrom="paragraph">
                  <wp:posOffset>1114788</wp:posOffset>
                </wp:positionV>
                <wp:extent cx="6139543" cy="990600"/>
                <wp:effectExtent l="0" t="0" r="7620" b="12700"/>
                <wp:wrapNone/>
                <wp:docPr id="5" name="Rectángulo 5"/>
                <wp:cNvGraphicFramePr/>
                <a:graphic xmlns:a="http://schemas.openxmlformats.org/drawingml/2006/main">
                  <a:graphicData uri="http://schemas.microsoft.com/office/word/2010/wordprocessingShape">
                    <wps:wsp>
                      <wps:cNvSpPr/>
                      <wps:spPr>
                        <a:xfrm>
                          <a:off x="0" y="0"/>
                          <a:ext cx="6139543" cy="990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86BD89" id="Rectángulo 5" o:spid="_x0000_s1026" style="position:absolute;margin-left:-13.05pt;margin-top:87.8pt;width:483.45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" filled="f" strokecolor="red" strokeweight="1pt"/>
            </w:pict>
          </mc:Fallback>
        </mc:AlternateContent>
      </w:r>
      <w:r w:rsidR="0046066D" w:rsidRPr="00ED4C8A">
        <w:rPr>
          <w:rFonts w:ascii="Palatino Linotype" w:hAnsi="Palatino Linotype" w:cs="Arial"/>
          <w:noProof/>
          <w:lang w:eastAsia="es-MX"/>
        </w:rPr>
        <w:drawing>
          <wp:inline distT="0" distB="0" distL="0" distR="0" wp14:anchorId="171CEDC3" wp14:editId="0541540A">
            <wp:extent cx="5626875" cy="1903186"/>
            <wp:effectExtent l="12700" t="12700" r="12065"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
                      <a:extLst>
                        <a:ext uri="{28A0092B-C50C-407E-A947-70E740481C1C}">
                          <a14:useLocalDpi xmlns:a14="http://schemas.microsoft.com/office/drawing/2010/main" val="0"/>
                        </a:ext>
                      </a:extLst>
                    </a:blip>
                    <a:srcRect t="41484" b="31982"/>
                    <a:stretch/>
                  </pic:blipFill>
                  <pic:spPr bwMode="auto">
                    <a:xfrm>
                      <a:off x="0" y="0"/>
                      <a:ext cx="5774861" cy="19532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244791" w14:textId="77777777" w:rsidR="00BF77EB" w:rsidRPr="00ED4C8A" w:rsidRDefault="00BF77EB" w:rsidP="006A34AD">
      <w:pPr>
        <w:spacing w:after="0" w:line="360" w:lineRule="auto"/>
        <w:ind w:right="34"/>
        <w:contextualSpacing/>
        <w:rPr>
          <w:rFonts w:ascii="Palatino Linotype" w:hAnsi="Palatino Linotype"/>
        </w:rPr>
      </w:pPr>
    </w:p>
    <w:p w14:paraId="0425D60D" w14:textId="2DC02C6C" w:rsidR="00B5629C" w:rsidRPr="00ED4C8A" w:rsidRDefault="00C25DA5" w:rsidP="00A11F31">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En consecuencia, </w:t>
      </w:r>
      <w:r w:rsidR="000104D2" w:rsidRPr="00ED4C8A">
        <w:rPr>
          <w:rFonts w:ascii="Palatino Linotype" w:eastAsia="MS Mincho" w:hAnsi="Palatino Linotype" w:cs="Arial"/>
          <w:sz w:val="24"/>
          <w:szCs w:val="24"/>
          <w:lang w:val="es-ES_tradnl" w:eastAsia="es-ES"/>
        </w:rPr>
        <w:t>el</w:t>
      </w:r>
      <w:r w:rsidR="003445CD" w:rsidRPr="00ED4C8A">
        <w:rPr>
          <w:rFonts w:ascii="Palatino Linotype" w:eastAsia="MS Mincho" w:hAnsi="Palatino Linotype" w:cs="Arial"/>
          <w:sz w:val="24"/>
          <w:szCs w:val="24"/>
          <w:lang w:val="es-ES_tradnl" w:eastAsia="es-ES"/>
        </w:rPr>
        <w:t xml:space="preserve"> P</w:t>
      </w:r>
      <w:r w:rsidRPr="00ED4C8A">
        <w:rPr>
          <w:rFonts w:ascii="Palatino Linotype" w:eastAsia="MS Mincho" w:hAnsi="Palatino Linotype" w:cs="Arial"/>
          <w:sz w:val="24"/>
          <w:szCs w:val="24"/>
          <w:lang w:val="es-ES_tradnl" w:eastAsia="es-ES"/>
        </w:rPr>
        <w:t xml:space="preserve">articular señaló en </w:t>
      </w:r>
      <w:r w:rsidR="000104D2" w:rsidRPr="00ED4C8A">
        <w:rPr>
          <w:rFonts w:ascii="Palatino Linotype" w:eastAsia="MS Mincho" w:hAnsi="Palatino Linotype" w:cs="Arial"/>
          <w:sz w:val="24"/>
          <w:szCs w:val="24"/>
          <w:lang w:val="es-ES_tradnl" w:eastAsia="es-ES"/>
        </w:rPr>
        <w:t>el</w:t>
      </w:r>
      <w:r w:rsidRPr="00ED4C8A">
        <w:rPr>
          <w:rFonts w:ascii="Palatino Linotype" w:eastAsia="MS Mincho" w:hAnsi="Palatino Linotype" w:cs="Arial"/>
          <w:sz w:val="24"/>
          <w:szCs w:val="24"/>
          <w:lang w:val="es-ES_tradnl" w:eastAsia="es-ES"/>
        </w:rPr>
        <w:t xml:space="preserve"> recurso de revisión, como motivo de inconformidad</w:t>
      </w:r>
      <w:r w:rsidR="00A11F31" w:rsidRPr="00ED4C8A">
        <w:rPr>
          <w:rFonts w:ascii="Palatino Linotype" w:eastAsia="MS Mincho" w:hAnsi="Palatino Linotype" w:cs="Arial"/>
          <w:sz w:val="24"/>
          <w:szCs w:val="24"/>
          <w:lang w:val="es-ES_tradnl" w:eastAsia="es-ES"/>
        </w:rPr>
        <w:t>,</w:t>
      </w:r>
      <w:r w:rsidRPr="00ED4C8A">
        <w:rPr>
          <w:rFonts w:ascii="Palatino Linotype" w:eastAsia="MS Mincho" w:hAnsi="Palatino Linotype" w:cs="Arial"/>
          <w:sz w:val="24"/>
          <w:szCs w:val="24"/>
          <w:lang w:val="es-ES_tradnl" w:eastAsia="es-ES"/>
        </w:rPr>
        <w:t xml:space="preserve"> que </w:t>
      </w:r>
      <w:r w:rsidR="00AF7E74" w:rsidRPr="00ED4C8A">
        <w:rPr>
          <w:rFonts w:ascii="Palatino Linotype" w:eastAsia="MS Mincho" w:hAnsi="Palatino Linotype" w:cs="Arial"/>
          <w:sz w:val="24"/>
          <w:szCs w:val="24"/>
          <w:lang w:val="es-ES_tradnl" w:eastAsia="es-ES"/>
        </w:rPr>
        <w:t>l</w:t>
      </w:r>
      <w:r w:rsidR="000104D2" w:rsidRPr="00ED4C8A">
        <w:rPr>
          <w:rFonts w:ascii="Palatino Linotype" w:eastAsia="MS Mincho" w:hAnsi="Palatino Linotype" w:cs="Arial"/>
          <w:sz w:val="24"/>
          <w:szCs w:val="24"/>
          <w:lang w:val="es-ES_tradnl" w:eastAsia="es-ES"/>
        </w:rPr>
        <w:t xml:space="preserve">e proporcionaron </w:t>
      </w:r>
      <w:r w:rsidR="0046066D" w:rsidRPr="00ED4C8A">
        <w:rPr>
          <w:rFonts w:ascii="Palatino Linotype" w:eastAsia="MS Mincho" w:hAnsi="Palatino Linotype" w:cs="Arial"/>
          <w:sz w:val="24"/>
          <w:szCs w:val="24"/>
          <w:lang w:val="es-ES_tradnl" w:eastAsia="es-ES"/>
        </w:rPr>
        <w:t>información incompleta.</w:t>
      </w:r>
    </w:p>
    <w:p w14:paraId="74A325AE" w14:textId="77777777" w:rsidR="004977D2" w:rsidRPr="00ED4C8A" w:rsidRDefault="004977D2" w:rsidP="00D21D95">
      <w:pPr>
        <w:rPr>
          <w:rFonts w:ascii="Palatino Linotype" w:eastAsia="MS Mincho" w:hAnsi="Palatino Linotype" w:cs="Times New Roman"/>
          <w:sz w:val="24"/>
          <w:szCs w:val="24"/>
          <w:lang w:val="es-ES_tradnl" w:eastAsia="es-ES"/>
        </w:rPr>
      </w:pPr>
    </w:p>
    <w:p w14:paraId="7BE13355" w14:textId="407500BA" w:rsidR="00AF7E74" w:rsidRPr="00ED4C8A" w:rsidRDefault="00AF7E74" w:rsidP="00AF7E7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Ahora bien, en necesario referir que </w:t>
      </w:r>
      <w:r w:rsidRPr="00ED4C8A">
        <w:rPr>
          <w:rFonts w:ascii="Palatino Linotype" w:eastAsia="Calibri" w:hAnsi="Palatino Linotype" w:cs="Arial"/>
          <w:sz w:val="24"/>
          <w:szCs w:val="24"/>
        </w:rPr>
        <w:t>que este Órgano Garante</w:t>
      </w:r>
      <w:r w:rsidRPr="00ED4C8A">
        <w:rPr>
          <w:rFonts w:ascii="Palatino Linotype" w:eastAsia="Calibri" w:hAnsi="Palatino Linotype" w:cs="Arial"/>
          <w:sz w:val="24"/>
          <w:szCs w:val="24"/>
          <w:lang w:val="es-ES_tradnl"/>
        </w:rPr>
        <w:t xml:space="preserve"> no se encuentra facultado para manifestarse sobre la veracidad de la información proporcionada por parte de los </w:t>
      </w:r>
      <w:r w:rsidRPr="00ED4C8A">
        <w:rPr>
          <w:rFonts w:ascii="Palatino Linotype" w:eastAsia="Calibri" w:hAnsi="Palatino Linotype" w:cs="Arial"/>
          <w:b/>
          <w:sz w:val="24"/>
          <w:szCs w:val="24"/>
          <w:lang w:val="es-ES_tradnl"/>
        </w:rPr>
        <w:t>sujetos obligados</w:t>
      </w:r>
      <w:r w:rsidRPr="00ED4C8A">
        <w:rPr>
          <w:rFonts w:ascii="Palatino Linotype" w:eastAsia="Calibri" w:hAnsi="Palatino Linotype" w:cs="Arial"/>
          <w:sz w:val="24"/>
          <w:szCs w:val="24"/>
          <w:lang w:val="es-ES_tradnl"/>
        </w:rPr>
        <w:t xml:space="preserve">, conforme a lo establecido en el Criterio 31/10 </w:t>
      </w:r>
      <w:r w:rsidRPr="00ED4C8A">
        <w:rPr>
          <w:rFonts w:ascii="Palatino Linotype" w:eastAsia="Calibri" w:hAnsi="Palatino Linotype" w:cs="Arial"/>
          <w:sz w:val="24"/>
          <w:szCs w:val="24"/>
          <w:lang w:val="es-ES_tradnl"/>
        </w:rPr>
        <w:lastRenderedPageBreak/>
        <w:t>emitido por el Instituto Nacional de Transparencia, Acceso a la Información Pública y Protección de Datos Personales INAI (anteriormente IFAI) que se procede a citar a continuación:</w:t>
      </w:r>
    </w:p>
    <w:p w14:paraId="5AF2344D" w14:textId="72367E11" w:rsidR="00AF7E74" w:rsidRPr="00ED4C8A" w:rsidRDefault="00AF7E74" w:rsidP="00AF7E74">
      <w:pPr>
        <w:spacing w:after="0" w:line="360" w:lineRule="auto"/>
        <w:ind w:right="34"/>
        <w:contextualSpacing/>
        <w:jc w:val="both"/>
        <w:rPr>
          <w:rFonts w:ascii="Palatino Linotype" w:eastAsia="MS Mincho" w:hAnsi="Palatino Linotype" w:cs="Times New Roman"/>
          <w:sz w:val="24"/>
          <w:szCs w:val="24"/>
          <w:lang w:val="es-ES_tradnl" w:eastAsia="es-ES"/>
        </w:rPr>
      </w:pPr>
    </w:p>
    <w:p w14:paraId="091B9980" w14:textId="77777777" w:rsidR="00AF7E74" w:rsidRPr="00ED4C8A" w:rsidRDefault="00AF7E74" w:rsidP="00AF7E74">
      <w:pPr>
        <w:tabs>
          <w:tab w:val="left" w:pos="8222"/>
        </w:tabs>
        <w:ind w:left="567" w:right="567"/>
        <w:contextualSpacing/>
        <w:jc w:val="both"/>
        <w:rPr>
          <w:rFonts w:ascii="Palatino Linotype" w:eastAsia="MS Mincho" w:hAnsi="Palatino Linotype" w:cs="Arial"/>
          <w:i/>
        </w:rPr>
      </w:pPr>
      <w:r w:rsidRPr="00ED4C8A">
        <w:rPr>
          <w:rFonts w:ascii="Palatino Linotype" w:eastAsia="MS Mincho" w:hAnsi="Palatino Linotype" w:cs="Arial"/>
          <w:b/>
          <w:i/>
        </w:rPr>
        <w:t>“El Instituto Federal de Acceso a la Información y Protección de Datos no cuenta con facultades para pronunciarse respecto de la veracidad de los documentos proporcionados por los sujetos obligados.</w:t>
      </w:r>
      <w:r w:rsidRPr="00ED4C8A">
        <w:rPr>
          <w:rFonts w:ascii="Palatino Linotype" w:eastAsia="MS Mincho"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2DC6FB6" w14:textId="77777777" w:rsidR="00AF7E74" w:rsidRPr="00ED4C8A" w:rsidRDefault="00AF7E74" w:rsidP="00AF7E74">
      <w:pPr>
        <w:tabs>
          <w:tab w:val="left" w:pos="8222"/>
        </w:tabs>
        <w:ind w:left="567" w:right="567"/>
        <w:contextualSpacing/>
        <w:jc w:val="both"/>
        <w:rPr>
          <w:rFonts w:ascii="Palatino Linotype" w:eastAsia="MS Mincho" w:hAnsi="Palatino Linotype" w:cs="Arial"/>
          <w:i/>
        </w:rPr>
      </w:pPr>
    </w:p>
    <w:p w14:paraId="5DB65309" w14:textId="77777777" w:rsidR="00AF7E74" w:rsidRPr="00ED4C8A" w:rsidRDefault="00AF7E74" w:rsidP="00AF7E74">
      <w:pPr>
        <w:tabs>
          <w:tab w:val="left" w:pos="8222"/>
        </w:tabs>
        <w:ind w:left="567" w:right="567"/>
        <w:contextualSpacing/>
        <w:jc w:val="both"/>
        <w:rPr>
          <w:rFonts w:ascii="Palatino Linotype" w:eastAsia="MS Mincho" w:hAnsi="Palatino Linotype" w:cs="Arial"/>
          <w:i/>
        </w:rPr>
      </w:pPr>
      <w:r w:rsidRPr="00ED4C8A">
        <w:rPr>
          <w:rFonts w:ascii="Palatino Linotype" w:eastAsia="MS Mincho" w:hAnsi="Palatino Linotype" w:cs="Arial"/>
          <w:i/>
        </w:rPr>
        <w:t>Expedientes:</w:t>
      </w:r>
    </w:p>
    <w:p w14:paraId="369C69C6" w14:textId="77777777" w:rsidR="00AF7E74" w:rsidRPr="00ED4C8A" w:rsidRDefault="00AF7E74" w:rsidP="00AF7E74">
      <w:pPr>
        <w:tabs>
          <w:tab w:val="left" w:pos="8222"/>
        </w:tabs>
        <w:ind w:left="567" w:right="567"/>
        <w:contextualSpacing/>
        <w:jc w:val="both"/>
        <w:rPr>
          <w:rFonts w:ascii="Palatino Linotype" w:eastAsia="MS Mincho" w:hAnsi="Palatino Linotype" w:cs="Arial"/>
          <w:i/>
        </w:rPr>
      </w:pPr>
      <w:r w:rsidRPr="00ED4C8A">
        <w:rPr>
          <w:rFonts w:ascii="Palatino Linotype" w:eastAsia="MS Mincho" w:hAnsi="Palatino Linotype" w:cs="Arial"/>
          <w:i/>
        </w:rPr>
        <w:t>2440/07 Comisión Federal de Electricidad - Alonso Lujambio Irazábal</w:t>
      </w:r>
    </w:p>
    <w:p w14:paraId="299291D2" w14:textId="77777777" w:rsidR="00AF7E74" w:rsidRPr="00ED4C8A" w:rsidRDefault="00AF7E74" w:rsidP="00AF7E74">
      <w:pPr>
        <w:tabs>
          <w:tab w:val="left" w:pos="8222"/>
        </w:tabs>
        <w:ind w:left="567" w:right="567"/>
        <w:contextualSpacing/>
        <w:jc w:val="both"/>
        <w:rPr>
          <w:rFonts w:ascii="Palatino Linotype" w:eastAsia="MS Mincho" w:hAnsi="Palatino Linotype" w:cs="Arial"/>
          <w:i/>
        </w:rPr>
      </w:pPr>
      <w:r w:rsidRPr="00ED4C8A">
        <w:rPr>
          <w:rFonts w:ascii="Palatino Linotype" w:eastAsia="MS Mincho" w:hAnsi="Palatino Linotype" w:cs="Arial"/>
          <w:i/>
        </w:rPr>
        <w:t>0113/09 Instituto de Seguridad y Servicios Sociales de los Trabajadores del</w:t>
      </w:r>
    </w:p>
    <w:p w14:paraId="76F0E44D" w14:textId="77777777" w:rsidR="00AF7E74" w:rsidRPr="00ED4C8A" w:rsidRDefault="00AF7E74" w:rsidP="00AF7E74">
      <w:pPr>
        <w:tabs>
          <w:tab w:val="left" w:pos="8222"/>
        </w:tabs>
        <w:ind w:left="567" w:right="567"/>
        <w:contextualSpacing/>
        <w:jc w:val="both"/>
        <w:rPr>
          <w:rFonts w:ascii="Palatino Linotype" w:eastAsia="MS Mincho" w:hAnsi="Palatino Linotype" w:cs="Arial"/>
          <w:i/>
        </w:rPr>
      </w:pPr>
      <w:r w:rsidRPr="00ED4C8A">
        <w:rPr>
          <w:rFonts w:ascii="Palatino Linotype" w:eastAsia="MS Mincho" w:hAnsi="Palatino Linotype" w:cs="Arial"/>
          <w:i/>
        </w:rPr>
        <w:t>Estado – Alonso Lujambio Irazábal</w:t>
      </w:r>
    </w:p>
    <w:p w14:paraId="127354F6" w14:textId="77777777" w:rsidR="00AF7E74" w:rsidRPr="00ED4C8A" w:rsidRDefault="00AF7E74" w:rsidP="00AF7E74">
      <w:pPr>
        <w:tabs>
          <w:tab w:val="left" w:pos="8222"/>
        </w:tabs>
        <w:ind w:left="567" w:right="567"/>
        <w:contextualSpacing/>
        <w:jc w:val="both"/>
        <w:rPr>
          <w:rFonts w:ascii="Palatino Linotype" w:eastAsia="MS Mincho" w:hAnsi="Palatino Linotype" w:cs="Arial"/>
          <w:i/>
        </w:rPr>
      </w:pPr>
      <w:r w:rsidRPr="00ED4C8A">
        <w:rPr>
          <w:rFonts w:ascii="Palatino Linotype" w:eastAsia="MS Mincho" w:hAnsi="Palatino Linotype" w:cs="Arial"/>
          <w:i/>
        </w:rPr>
        <w:t>1624/09 Instituto Nacional para la Educación de los Adultos - María Marván Laborde</w:t>
      </w:r>
    </w:p>
    <w:p w14:paraId="7A2DEF41" w14:textId="77777777" w:rsidR="00AF7E74" w:rsidRPr="00ED4C8A" w:rsidRDefault="00AF7E74" w:rsidP="00AF7E74">
      <w:pPr>
        <w:tabs>
          <w:tab w:val="left" w:pos="8222"/>
        </w:tabs>
        <w:spacing w:after="0" w:line="360" w:lineRule="auto"/>
        <w:ind w:left="567" w:right="34"/>
        <w:contextualSpacing/>
        <w:jc w:val="both"/>
        <w:rPr>
          <w:rFonts w:ascii="Palatino Linotype" w:eastAsia="MS Mincho" w:hAnsi="Palatino Linotype" w:cs="Arial"/>
          <w:i/>
        </w:rPr>
      </w:pPr>
      <w:r w:rsidRPr="00ED4C8A">
        <w:rPr>
          <w:rFonts w:ascii="Palatino Linotype" w:eastAsia="MS Mincho" w:hAnsi="Palatino Linotype" w:cs="Arial"/>
          <w:i/>
        </w:rPr>
        <w:t>2395/09 Secretaría de Economía - María Marván Laborde</w:t>
      </w:r>
    </w:p>
    <w:p w14:paraId="759E9AFA" w14:textId="5EBC55A1" w:rsidR="00AF7E74" w:rsidRPr="00ED4C8A" w:rsidRDefault="00AF7E74" w:rsidP="00AF7E74">
      <w:pPr>
        <w:tabs>
          <w:tab w:val="left" w:pos="8222"/>
        </w:tabs>
        <w:spacing w:after="0" w:line="360" w:lineRule="auto"/>
        <w:ind w:left="567" w:right="34"/>
        <w:contextualSpacing/>
        <w:jc w:val="both"/>
        <w:rPr>
          <w:rFonts w:ascii="Palatino Linotype" w:eastAsia="MS Mincho" w:hAnsi="Palatino Linotype" w:cs="Arial"/>
          <w:i/>
        </w:rPr>
      </w:pPr>
      <w:r w:rsidRPr="00ED4C8A">
        <w:rPr>
          <w:rFonts w:ascii="Palatino Linotype" w:eastAsia="MS Mincho" w:hAnsi="Palatino Linotype" w:cs="Arial"/>
          <w:i/>
        </w:rPr>
        <w:t>0837/10 Administración Portuaria Integral de Veracruz, S.A. de C.V. – María Marván Laborde.</w:t>
      </w:r>
    </w:p>
    <w:p w14:paraId="2030BEFC" w14:textId="77777777" w:rsidR="00AF7E74" w:rsidRPr="00ED4C8A" w:rsidRDefault="00AF7E74" w:rsidP="00AF7E74">
      <w:pPr>
        <w:spacing w:after="0" w:line="360" w:lineRule="auto"/>
        <w:ind w:right="34"/>
        <w:contextualSpacing/>
        <w:jc w:val="both"/>
        <w:rPr>
          <w:rFonts w:ascii="Palatino Linotype" w:eastAsia="MS Mincho" w:hAnsi="Palatino Linotype" w:cs="Times New Roman"/>
          <w:sz w:val="24"/>
          <w:szCs w:val="24"/>
          <w:lang w:val="es-ES_tradnl" w:eastAsia="es-ES"/>
        </w:rPr>
      </w:pPr>
    </w:p>
    <w:p w14:paraId="420E2278" w14:textId="6EA857BA" w:rsidR="00AF7E74" w:rsidRPr="00ED4C8A" w:rsidRDefault="00075B5A"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No </w:t>
      </w:r>
      <w:r w:rsidR="00CD592F" w:rsidRPr="00ED4C8A">
        <w:rPr>
          <w:rFonts w:ascii="Palatino Linotype" w:eastAsia="MS Mincho" w:hAnsi="Palatino Linotype" w:cs="Times New Roman"/>
          <w:sz w:val="24"/>
          <w:szCs w:val="24"/>
          <w:lang w:val="es-ES_tradnl" w:eastAsia="es-ES"/>
        </w:rPr>
        <w:t>obstante,</w:t>
      </w:r>
      <w:r w:rsidRPr="00ED4C8A">
        <w:rPr>
          <w:rFonts w:ascii="Palatino Linotype" w:eastAsia="MS Mincho" w:hAnsi="Palatino Linotype" w:cs="Times New Roman"/>
          <w:sz w:val="24"/>
          <w:szCs w:val="24"/>
          <w:lang w:val="es-ES_tradnl" w:eastAsia="es-ES"/>
        </w:rPr>
        <w:t xml:space="preserve"> </w:t>
      </w:r>
      <w:r w:rsidR="00CD592F" w:rsidRPr="00ED4C8A">
        <w:rPr>
          <w:rFonts w:ascii="Palatino Linotype" w:eastAsia="MS Mincho" w:hAnsi="Palatino Linotype" w:cstheme="majorBidi"/>
          <w:sz w:val="24"/>
          <w:szCs w:val="24"/>
        </w:rPr>
        <w:t xml:space="preserve">si bien es cierto el Contralor Municipal </w:t>
      </w:r>
      <w:r w:rsidR="00C068AF" w:rsidRPr="00ED4C8A">
        <w:rPr>
          <w:rFonts w:ascii="Palatino Linotype" w:eastAsia="MS Mincho" w:hAnsi="Palatino Linotype" w:cstheme="majorBidi"/>
          <w:sz w:val="24"/>
          <w:szCs w:val="24"/>
        </w:rPr>
        <w:t xml:space="preserve">como servidor público </w:t>
      </w:r>
      <w:r w:rsidR="006A34AD" w:rsidRPr="00ED4C8A">
        <w:rPr>
          <w:rFonts w:ascii="Palatino Linotype" w:eastAsia="MS Mincho" w:hAnsi="Palatino Linotype" w:cstheme="majorBidi"/>
          <w:sz w:val="24"/>
          <w:szCs w:val="24"/>
        </w:rPr>
        <w:t xml:space="preserve">habilitado </w:t>
      </w:r>
      <w:r w:rsidR="00C068AF" w:rsidRPr="00ED4C8A">
        <w:rPr>
          <w:rFonts w:ascii="Palatino Linotype" w:eastAsia="MS Mincho" w:hAnsi="Palatino Linotype" w:cstheme="majorBidi"/>
          <w:sz w:val="24"/>
          <w:szCs w:val="24"/>
        </w:rPr>
        <w:t xml:space="preserve">competente </w:t>
      </w:r>
      <w:r w:rsidR="00CD592F" w:rsidRPr="00ED4C8A">
        <w:rPr>
          <w:rFonts w:ascii="Palatino Linotype" w:eastAsia="MS Mincho" w:hAnsi="Palatino Linotype" w:cstheme="majorBidi"/>
          <w:sz w:val="24"/>
          <w:szCs w:val="24"/>
        </w:rPr>
        <w:t xml:space="preserve">atendio lo solicitado, también lo es que, </w:t>
      </w:r>
      <w:r w:rsidR="00C068AF" w:rsidRPr="00ED4C8A">
        <w:rPr>
          <w:rFonts w:ascii="Palatino Linotype" w:eastAsia="MS Mincho" w:hAnsi="Palatino Linotype" w:cstheme="majorBidi"/>
          <w:sz w:val="24"/>
          <w:szCs w:val="24"/>
        </w:rPr>
        <w:t xml:space="preserve">no </w:t>
      </w:r>
      <w:r w:rsidR="003F13FD" w:rsidRPr="00ED4C8A">
        <w:rPr>
          <w:rFonts w:ascii="Palatino Linotype" w:eastAsia="MS Mincho" w:hAnsi="Palatino Linotype" w:cstheme="majorBidi"/>
          <w:sz w:val="24"/>
          <w:szCs w:val="24"/>
        </w:rPr>
        <w:t>se observa</w:t>
      </w:r>
      <w:r w:rsidR="00C068AF" w:rsidRPr="00ED4C8A">
        <w:rPr>
          <w:rFonts w:ascii="Palatino Linotype" w:eastAsia="MS Mincho" w:hAnsi="Palatino Linotype" w:cstheme="majorBidi"/>
          <w:sz w:val="24"/>
          <w:szCs w:val="24"/>
        </w:rPr>
        <w:t xml:space="preserve"> </w:t>
      </w:r>
      <w:r w:rsidR="00976167" w:rsidRPr="00ED4C8A">
        <w:rPr>
          <w:rFonts w:ascii="Palatino Linotype" w:eastAsia="MS Mincho" w:hAnsi="Palatino Linotype" w:cstheme="majorBidi"/>
          <w:sz w:val="24"/>
          <w:szCs w:val="24"/>
        </w:rPr>
        <w:lastRenderedPageBreak/>
        <w:t>pronunciamiento alguno</w:t>
      </w:r>
      <w:r w:rsidR="00C068AF" w:rsidRPr="00ED4C8A">
        <w:rPr>
          <w:rFonts w:ascii="Palatino Linotype" w:eastAsia="MS Mincho" w:hAnsi="Palatino Linotype" w:cstheme="majorBidi"/>
          <w:sz w:val="24"/>
          <w:szCs w:val="24"/>
        </w:rPr>
        <w:t xml:space="preserve"> por </w:t>
      </w:r>
      <w:r w:rsidR="003F13FD" w:rsidRPr="00ED4C8A">
        <w:rPr>
          <w:rFonts w:ascii="Palatino Linotype" w:eastAsia="MS Mincho" w:hAnsi="Palatino Linotype" w:cstheme="majorBidi"/>
          <w:sz w:val="24"/>
          <w:szCs w:val="24"/>
        </w:rPr>
        <w:t xml:space="preserve">parte de </w:t>
      </w:r>
      <w:r w:rsidR="00C068AF" w:rsidRPr="00ED4C8A">
        <w:rPr>
          <w:rFonts w:ascii="Palatino Linotype" w:eastAsia="MS Mincho" w:hAnsi="Palatino Linotype" w:cstheme="majorBidi"/>
          <w:sz w:val="24"/>
          <w:szCs w:val="24"/>
        </w:rPr>
        <w:t xml:space="preserve">las Regidurías </w:t>
      </w:r>
      <w:r w:rsidR="00976167" w:rsidRPr="00ED4C8A">
        <w:rPr>
          <w:rFonts w:ascii="Palatino Linotype" w:eastAsia="MS Mincho" w:hAnsi="Palatino Linotype" w:cstheme="majorBidi"/>
          <w:sz w:val="24"/>
          <w:szCs w:val="24"/>
        </w:rPr>
        <w:t>referidas en la solicitud de información</w:t>
      </w:r>
      <w:r w:rsidR="003F13FD" w:rsidRPr="00ED4C8A">
        <w:rPr>
          <w:rFonts w:ascii="Palatino Linotype" w:eastAsia="MS Mincho" w:hAnsi="Palatino Linotype" w:cstheme="majorBidi"/>
          <w:sz w:val="24"/>
          <w:szCs w:val="24"/>
        </w:rPr>
        <w:t xml:space="preserve">, conforme a lo establecido en los artículos </w:t>
      </w:r>
      <w:r w:rsidR="003F13FD" w:rsidRPr="00ED4C8A">
        <w:rPr>
          <w:rFonts w:ascii="Palatino Linotype" w:eastAsia="Calibri" w:hAnsi="Palatino Linotype" w:cs="Arial"/>
          <w:sz w:val="24"/>
          <w:szCs w:val="24"/>
          <w:lang w:eastAsia="es-MX"/>
        </w:rPr>
        <w:t>11 y 15 del Reglamento para la Entrega y Recepción de las Unidades Administrativas de la Administración Pública del Estado de México</w:t>
      </w:r>
      <w:r w:rsidR="00662235" w:rsidRPr="00ED4C8A">
        <w:rPr>
          <w:rFonts w:ascii="Palatino Linotype" w:eastAsia="Calibri" w:hAnsi="Palatino Linotype" w:cs="Arial"/>
          <w:sz w:val="24"/>
          <w:szCs w:val="24"/>
          <w:lang w:eastAsia="es-MX"/>
        </w:rPr>
        <w:t xml:space="preserve">; y el artículo 37 de los </w:t>
      </w:r>
      <w:r w:rsidR="00662235" w:rsidRPr="00ED4C8A">
        <w:rPr>
          <w:rFonts w:ascii="Palatino Linotype" w:hAnsi="Palatino Linotype" w:cs="Arial"/>
          <w:sz w:val="24"/>
          <w:szCs w:val="24"/>
        </w:rPr>
        <w:t>Lineamientos que regulan la Entrega Recepción de la Administración Pública Municipal del Estado de México</w:t>
      </w:r>
      <w:r w:rsidR="003F13FD" w:rsidRPr="00ED4C8A">
        <w:rPr>
          <w:rFonts w:ascii="Palatino Linotype" w:eastAsia="Calibri" w:hAnsi="Palatino Linotype" w:cs="Arial"/>
          <w:sz w:val="24"/>
          <w:szCs w:val="24"/>
          <w:lang w:eastAsia="es-MX"/>
        </w:rPr>
        <w:t xml:space="preserve">, </w:t>
      </w:r>
      <w:r w:rsidR="006A34AD" w:rsidRPr="00ED4C8A">
        <w:rPr>
          <w:rFonts w:ascii="Palatino Linotype" w:eastAsia="Calibri" w:hAnsi="Palatino Linotype" w:cs="Arial"/>
          <w:sz w:val="24"/>
          <w:szCs w:val="24"/>
          <w:lang w:eastAsia="es-MX"/>
        </w:rPr>
        <w:t>preceptos legales que</w:t>
      </w:r>
      <w:r w:rsidR="003F13FD" w:rsidRPr="00ED4C8A">
        <w:rPr>
          <w:rFonts w:ascii="Palatino Linotype" w:eastAsia="Calibri" w:hAnsi="Palatino Linotype" w:cs="Arial"/>
          <w:sz w:val="24"/>
          <w:szCs w:val="24"/>
          <w:lang w:eastAsia="es-MX"/>
        </w:rPr>
        <w:t xml:space="preserve"> serán expuestos más adelante.</w:t>
      </w:r>
    </w:p>
    <w:p w14:paraId="1F18690D" w14:textId="77777777" w:rsidR="00CD592F" w:rsidRPr="00ED4C8A" w:rsidRDefault="00CD592F" w:rsidP="00CD592F">
      <w:pPr>
        <w:spacing w:after="0" w:line="360" w:lineRule="auto"/>
        <w:ind w:right="34"/>
        <w:contextualSpacing/>
        <w:jc w:val="both"/>
        <w:rPr>
          <w:rFonts w:ascii="Palatino Linotype" w:eastAsia="MS Mincho" w:hAnsi="Palatino Linotype" w:cs="Times New Roman"/>
          <w:sz w:val="24"/>
          <w:szCs w:val="24"/>
          <w:lang w:val="es-ES_tradnl" w:eastAsia="es-ES"/>
        </w:rPr>
      </w:pPr>
    </w:p>
    <w:p w14:paraId="3163FB0B" w14:textId="623E94BF" w:rsidR="00AF7E74" w:rsidRPr="00ED4C8A" w:rsidRDefault="00976167"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Conforme </w:t>
      </w:r>
      <w:r w:rsidRPr="00ED4C8A">
        <w:rPr>
          <w:rFonts w:ascii="Palatino Linotype" w:eastAsia="MS Mincho" w:hAnsi="Palatino Linotype"/>
          <w:sz w:val="24"/>
          <w:szCs w:val="24"/>
        </w:rPr>
        <w:t>a lo anterior, evidentemente la Titular de la Unidad de Transparencia no siguió el procedimiento de búsqueda de la información, previsto en el artículo 162 de la Ley de Transparencia Local, toda vez que omitió turnar las solicitudes de información a todas las áreas que pudieran o deban contar con lo requerido conforme a sus facultades, competencias y funciones, con el propósito de realizar una búsqueda exhaustiva y razonable de la información, en razón de que se limitó a turnar la solicitud al Contralor y a la Síndica Municipal.</w:t>
      </w:r>
    </w:p>
    <w:p w14:paraId="15F0FD30" w14:textId="77777777" w:rsidR="00976167" w:rsidRPr="00ED4C8A" w:rsidRDefault="00976167" w:rsidP="00976167">
      <w:pPr>
        <w:spacing w:after="0" w:line="360" w:lineRule="auto"/>
        <w:ind w:right="34"/>
        <w:contextualSpacing/>
        <w:jc w:val="both"/>
        <w:rPr>
          <w:rFonts w:ascii="Palatino Linotype" w:eastAsia="MS Mincho" w:hAnsi="Palatino Linotype" w:cs="Times New Roman"/>
          <w:sz w:val="24"/>
          <w:szCs w:val="24"/>
          <w:lang w:val="es-ES_tradnl" w:eastAsia="es-ES"/>
        </w:rPr>
      </w:pPr>
    </w:p>
    <w:p w14:paraId="71065156" w14:textId="3DE8773D" w:rsidR="00AF7E74" w:rsidRPr="00ED4C8A" w:rsidRDefault="00976167"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Es </w:t>
      </w:r>
      <w:r w:rsidRPr="00ED4C8A">
        <w:rPr>
          <w:rFonts w:ascii="Palatino Linotype" w:eastAsia="MS Mincho" w:hAnsi="Palatino Linotype"/>
          <w:sz w:val="24"/>
          <w:szCs w:val="24"/>
        </w:rPr>
        <w:t xml:space="preserve">importante referir que, las Unidades de Transparencia son las áreas responsables en cada Sujeto Obligado de dar atención a las solicitudes de información, por lo tanto, el responsable de dicha área es el enlace entre el </w:t>
      </w:r>
      <w:r w:rsidRPr="00ED4C8A">
        <w:rPr>
          <w:rFonts w:ascii="Palatino Linotype" w:eastAsia="MS Mincho" w:hAnsi="Palatino Linotype"/>
          <w:b/>
          <w:bCs/>
          <w:sz w:val="24"/>
          <w:szCs w:val="24"/>
        </w:rPr>
        <w:t>SUJETO OBLIGADO</w:t>
      </w:r>
      <w:r w:rsidRPr="00ED4C8A">
        <w:rPr>
          <w:rFonts w:ascii="Palatino Linotype" w:eastAsia="MS Mincho" w:hAnsi="Palatino Linotype"/>
          <w:sz w:val="24"/>
          <w:szCs w:val="24"/>
        </w:rPr>
        <w:t xml:space="preserve"> y los solicitantes, quien cuenta con la responsabilidad de dar trámite internamente a las mismas solicitudes de información.</w:t>
      </w:r>
    </w:p>
    <w:p w14:paraId="1A333781" w14:textId="77777777" w:rsidR="00233275" w:rsidRPr="00ED4C8A" w:rsidRDefault="00233275" w:rsidP="00233275">
      <w:pPr>
        <w:spacing w:after="0" w:line="360" w:lineRule="auto"/>
        <w:ind w:right="34"/>
        <w:contextualSpacing/>
        <w:jc w:val="both"/>
        <w:rPr>
          <w:rFonts w:ascii="Palatino Linotype" w:eastAsia="MS Mincho" w:hAnsi="Palatino Linotype" w:cs="Times New Roman"/>
          <w:sz w:val="24"/>
          <w:szCs w:val="24"/>
          <w:lang w:val="es-ES_tradnl" w:eastAsia="es-ES"/>
        </w:rPr>
      </w:pPr>
    </w:p>
    <w:p w14:paraId="46281EB2" w14:textId="6EABE5CE" w:rsidR="00E11DA7" w:rsidRPr="00ED4C8A" w:rsidRDefault="00976167" w:rsidP="00E11DA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lastRenderedPageBreak/>
        <w:t>En este sentido</w:t>
      </w:r>
      <w:r w:rsidRPr="00ED4C8A">
        <w:rPr>
          <w:rFonts w:ascii="Palatino Linotype" w:eastAsia="MS Mincho" w:hAnsi="Palatino Linotype"/>
          <w:sz w:val="24"/>
          <w:szCs w:val="24"/>
        </w:rPr>
        <w:t>, corresponde al Titular de la Unidad de Transparencia garantizar que las solicitudes se turnen a todas las áreas competentes que puedan contar con la información, con el objeto de que realicen una búsqueda exhaustiva y razonable, en este caso, de turnar la solicitud a todas las unidades administrativas que, conforme a sus atribuciones previstas en su Bando Municipal, pudieran contar con lo requerido.</w:t>
      </w:r>
    </w:p>
    <w:p w14:paraId="55E1AC3D" w14:textId="77777777" w:rsidR="00BF77EB" w:rsidRPr="00ED4C8A" w:rsidRDefault="00BF77EB" w:rsidP="00E11DA7">
      <w:pPr>
        <w:spacing w:after="0" w:line="360" w:lineRule="auto"/>
        <w:ind w:right="34"/>
        <w:contextualSpacing/>
        <w:jc w:val="both"/>
        <w:rPr>
          <w:rFonts w:ascii="Palatino Linotype" w:eastAsia="MS Mincho" w:hAnsi="Palatino Linotype" w:cs="Times New Roman"/>
          <w:sz w:val="24"/>
          <w:szCs w:val="24"/>
          <w:lang w:val="es-ES_tradnl" w:eastAsia="es-ES"/>
        </w:rPr>
      </w:pPr>
    </w:p>
    <w:p w14:paraId="6BC846BC" w14:textId="0C2E8010" w:rsidR="00976167" w:rsidRPr="00ED4C8A" w:rsidRDefault="00E11DA7" w:rsidP="00E11DA7">
      <w:pPr>
        <w:pStyle w:val="Prrafodelista"/>
        <w:numPr>
          <w:ilvl w:val="0"/>
          <w:numId w:val="38"/>
        </w:numPr>
        <w:spacing w:after="0" w:line="360" w:lineRule="auto"/>
        <w:ind w:right="34"/>
        <w:jc w:val="both"/>
        <w:rPr>
          <w:rFonts w:ascii="Palatino Linotype" w:eastAsia="MS Mincho" w:hAnsi="Palatino Linotype" w:cs="Times New Roman"/>
          <w:b/>
          <w:bCs/>
          <w:i/>
          <w:iCs/>
          <w:sz w:val="24"/>
          <w:szCs w:val="24"/>
          <w:lang w:val="es-ES_tradnl" w:eastAsia="es-ES"/>
        </w:rPr>
      </w:pPr>
      <w:r w:rsidRPr="00ED4C8A">
        <w:rPr>
          <w:rFonts w:ascii="Palatino Linotype" w:eastAsia="MS Mincho" w:hAnsi="Palatino Linotype" w:cs="Times New Roman"/>
          <w:b/>
          <w:bCs/>
          <w:i/>
          <w:iCs/>
          <w:sz w:val="24"/>
          <w:szCs w:val="24"/>
          <w:lang w:val="es-ES_tradnl" w:eastAsia="es-ES"/>
        </w:rPr>
        <w:t>De las actas de entrega recepción.</w:t>
      </w:r>
    </w:p>
    <w:p w14:paraId="6EF3A0C7" w14:textId="77777777" w:rsidR="00E11DA7" w:rsidRPr="00ED4C8A" w:rsidRDefault="00E11DA7" w:rsidP="00E11DA7">
      <w:pPr>
        <w:spacing w:after="0" w:line="360" w:lineRule="auto"/>
        <w:ind w:right="34"/>
        <w:jc w:val="both"/>
        <w:rPr>
          <w:rFonts w:ascii="Palatino Linotype" w:eastAsia="MS Mincho" w:hAnsi="Palatino Linotype" w:cs="Times New Roman"/>
          <w:b/>
          <w:bCs/>
          <w:i/>
          <w:iCs/>
          <w:sz w:val="24"/>
          <w:szCs w:val="24"/>
          <w:lang w:val="es-ES_tradnl" w:eastAsia="es-ES"/>
        </w:rPr>
      </w:pPr>
    </w:p>
    <w:p w14:paraId="61ADEE65" w14:textId="06A98DE5" w:rsidR="00976167" w:rsidRPr="00ED4C8A" w:rsidRDefault="00E11DA7"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Ahora bien, conforme a lo anteriormente expuesto </w:t>
      </w:r>
      <w:r w:rsidRPr="00ED4C8A">
        <w:rPr>
          <w:rFonts w:ascii="Palatino Linotype" w:hAnsi="Palatino Linotype" w:cs="Arial"/>
          <w:sz w:val="24"/>
          <w:szCs w:val="24"/>
        </w:rPr>
        <w:t>debemos traer a contexto, lo establecido en el artículo 19 de la Ley Orgánica Municipal del Estado de México, que a la letra indica:</w:t>
      </w:r>
    </w:p>
    <w:p w14:paraId="31B5441D" w14:textId="1202CFAD" w:rsidR="00E11DA7" w:rsidRPr="00ED4C8A" w:rsidRDefault="00E11DA7" w:rsidP="00E11DA7">
      <w:pPr>
        <w:spacing w:after="0" w:line="360" w:lineRule="auto"/>
        <w:ind w:right="34"/>
        <w:contextualSpacing/>
        <w:jc w:val="both"/>
        <w:rPr>
          <w:rFonts w:ascii="Palatino Linotype" w:eastAsia="MS Mincho" w:hAnsi="Palatino Linotype" w:cs="Times New Roman"/>
          <w:sz w:val="24"/>
          <w:szCs w:val="24"/>
          <w:lang w:val="es-ES_tradnl" w:eastAsia="es-ES"/>
        </w:rPr>
      </w:pPr>
    </w:p>
    <w:p w14:paraId="4C7ED4F4" w14:textId="77777777" w:rsidR="00E11DA7" w:rsidRPr="00ED4C8A" w:rsidRDefault="00E11DA7" w:rsidP="00E11DA7">
      <w:pPr>
        <w:spacing w:line="240" w:lineRule="auto"/>
        <w:ind w:left="567" w:right="616"/>
        <w:jc w:val="both"/>
        <w:rPr>
          <w:rFonts w:ascii="Palatino Linotype" w:hAnsi="Palatino Linotype"/>
          <w:i/>
        </w:rPr>
      </w:pPr>
      <w:r w:rsidRPr="00ED4C8A">
        <w:rPr>
          <w:rFonts w:ascii="Palatino Linotype" w:hAnsi="Palatino Linotype" w:cs="Arial"/>
          <w:i/>
        </w:rPr>
        <w:t>“</w:t>
      </w:r>
      <w:r w:rsidRPr="00ED4C8A">
        <w:rPr>
          <w:rFonts w:ascii="Palatino Linotype" w:hAnsi="Palatino Linotype" w:cs="Arial"/>
          <w:b/>
          <w:i/>
        </w:rPr>
        <w:t xml:space="preserve">Artículo </w:t>
      </w:r>
      <w:r w:rsidRPr="00ED4C8A">
        <w:rPr>
          <w:rFonts w:ascii="Palatino Linotype" w:hAnsi="Palatino Linotype"/>
          <w:b/>
          <w:i/>
        </w:rPr>
        <w:t>19</w:t>
      </w:r>
      <w:r w:rsidRPr="00ED4C8A">
        <w:rPr>
          <w:rFonts w:ascii="Palatino Linotype" w:hAnsi="Palatino Linotype"/>
          <w:i/>
        </w:rPr>
        <w:t>.-</w:t>
      </w:r>
      <w:r w:rsidRPr="00ED4C8A">
        <w:rPr>
          <w:rFonts w:ascii="Palatino Linotype" w:hAnsi="Palatino Linotype"/>
        </w:rPr>
        <w:t xml:space="preserve"> </w:t>
      </w:r>
      <w:r w:rsidRPr="00ED4C8A">
        <w:rPr>
          <w:rFonts w:ascii="Palatino Linotype" w:hAnsi="Palatino Linotype"/>
          <w:i/>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38BC7F44" w14:textId="77777777" w:rsidR="00E11DA7" w:rsidRPr="00ED4C8A" w:rsidRDefault="00E11DA7" w:rsidP="00E11DA7">
      <w:pPr>
        <w:spacing w:line="240" w:lineRule="auto"/>
        <w:ind w:left="567" w:right="616"/>
        <w:jc w:val="both"/>
        <w:rPr>
          <w:rFonts w:ascii="Palatino Linotype" w:hAnsi="Palatino Linotype"/>
          <w:i/>
        </w:rPr>
      </w:pPr>
      <w:r w:rsidRPr="00ED4C8A">
        <w:rPr>
          <w:rFonts w:ascii="Palatino Linotype" w:hAnsi="Palatino Linotype"/>
          <w:i/>
        </w:rPr>
        <w:t>La inasistencia de los integrantes del ayuntamiento saliente no será obstáculo para que se dé por instalado el entrante, sin perjuicio de las sanciones que establezcan las disposiciones jurídicas aplicables.</w:t>
      </w:r>
    </w:p>
    <w:p w14:paraId="4353F7C1" w14:textId="77777777" w:rsidR="00E11DA7" w:rsidRPr="00ED4C8A" w:rsidRDefault="00E11DA7" w:rsidP="00E11DA7">
      <w:pPr>
        <w:spacing w:line="240" w:lineRule="auto"/>
        <w:ind w:left="567" w:right="616"/>
        <w:jc w:val="both"/>
        <w:rPr>
          <w:rFonts w:ascii="Palatino Linotype" w:hAnsi="Palatino Linotype"/>
          <w:i/>
        </w:rPr>
      </w:pPr>
      <w:r w:rsidRPr="00ED4C8A">
        <w:rPr>
          <w:rFonts w:ascii="Palatino Linotype" w:hAnsi="Palatino Linotype"/>
          <w:i/>
        </w:rPr>
        <w:t xml:space="preserve">A continuación se procederá a la </w:t>
      </w:r>
      <w:r w:rsidRPr="00ED4C8A">
        <w:rPr>
          <w:rFonts w:ascii="Palatino Linotype" w:hAnsi="Palatino Linotype"/>
          <w:b/>
          <w:bCs/>
          <w:i/>
          <w:u w:val="single"/>
        </w:rPr>
        <w:t>suscripción de las actas y demás documentos relativos a la entrega-recepción de la administración municipal</w:t>
      </w:r>
      <w:r w:rsidRPr="00ED4C8A">
        <w:rPr>
          <w:rFonts w:ascii="Palatino Linotype" w:hAnsi="Palatino Linotype"/>
          <w:i/>
        </w:rPr>
        <w:t xml:space="preserve">, con la participación de los miembros de los ayuntamientos y los titulares de sus dependencias administrativas salientes y entrantes, designados al efecto; la cual se realizará siguiendo </w:t>
      </w:r>
      <w:r w:rsidRPr="00ED4C8A">
        <w:rPr>
          <w:rFonts w:ascii="Palatino Linotype" w:hAnsi="Palatino Linotype"/>
          <w:i/>
        </w:rPr>
        <w:lastRenderedPageBreak/>
        <w:t xml:space="preserve">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07548AC6" w14:textId="77777777" w:rsidR="00E11DA7" w:rsidRPr="00ED4C8A" w:rsidRDefault="00E11DA7" w:rsidP="00E11DA7">
      <w:pPr>
        <w:spacing w:line="240" w:lineRule="auto"/>
        <w:ind w:left="567" w:right="616"/>
        <w:jc w:val="both"/>
        <w:rPr>
          <w:rFonts w:ascii="Palatino Linotype" w:hAnsi="Palatino Linotype"/>
          <w:i/>
        </w:rPr>
      </w:pPr>
      <w:r w:rsidRPr="00ED4C8A">
        <w:rPr>
          <w:rFonts w:ascii="Palatino Linotype" w:hAnsi="Palatino Linotype"/>
          <w:i/>
        </w:rPr>
        <w:t xml:space="preserve">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por el Presidente Municipal entrante; sin otra responsabilidad administrativa relacionada con el acto. </w:t>
      </w:r>
    </w:p>
    <w:p w14:paraId="515C715F" w14:textId="77777777" w:rsidR="00E11DA7" w:rsidRPr="00ED4C8A" w:rsidRDefault="00E11DA7" w:rsidP="00E11DA7">
      <w:pPr>
        <w:spacing w:line="240" w:lineRule="auto"/>
        <w:ind w:left="567" w:right="616"/>
        <w:jc w:val="both"/>
        <w:rPr>
          <w:rFonts w:ascii="Palatino Linotype" w:hAnsi="Palatino Linotype"/>
          <w:b/>
          <w:bCs/>
          <w:i/>
        </w:rPr>
      </w:pPr>
      <w:r w:rsidRPr="00ED4C8A">
        <w:rPr>
          <w:rFonts w:ascii="Palatino Linotype" w:hAnsi="Palatino Linotype"/>
          <w:b/>
          <w:bCs/>
          <w:i/>
        </w:rPr>
        <w:t>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disciplinaria</w:t>
      </w:r>
      <w:r w:rsidRPr="00ED4C8A">
        <w:rPr>
          <w:rFonts w:ascii="Palatino Linotype" w:hAnsi="Palatino Linotype"/>
          <w:b/>
          <w:bCs/>
        </w:rPr>
        <w:t>.</w:t>
      </w:r>
    </w:p>
    <w:p w14:paraId="62762021" w14:textId="77777777" w:rsidR="00E11DA7" w:rsidRPr="00ED4C8A" w:rsidRDefault="00E11DA7" w:rsidP="00E11DA7">
      <w:pPr>
        <w:spacing w:line="240" w:lineRule="auto"/>
        <w:ind w:left="567" w:right="616"/>
        <w:jc w:val="both"/>
        <w:rPr>
          <w:rFonts w:ascii="Palatino Linotype" w:hAnsi="Palatino Linotype" w:cs="Arial"/>
          <w:b/>
          <w:bCs/>
          <w:i/>
          <w:iCs/>
          <w:lang w:eastAsia="es-MX"/>
        </w:rPr>
      </w:pPr>
      <w:r w:rsidRPr="00ED4C8A">
        <w:rPr>
          <w:rFonts w:ascii="Palatino Linotype" w:hAnsi="Palatino Linotype" w:cs="Arial"/>
          <w:b/>
          <w:bCs/>
          <w:i/>
          <w:iCs/>
          <w:lang w:eastAsia="es-MX"/>
        </w:rPr>
        <w:t xml:space="preserve"> (Énfasis añadido)</w:t>
      </w:r>
    </w:p>
    <w:p w14:paraId="71B707BA" w14:textId="77777777" w:rsidR="00E11DA7" w:rsidRPr="00ED4C8A" w:rsidRDefault="00E11DA7" w:rsidP="00E11DA7">
      <w:pPr>
        <w:spacing w:after="0" w:line="360" w:lineRule="auto"/>
        <w:ind w:right="34"/>
        <w:contextualSpacing/>
        <w:jc w:val="both"/>
        <w:rPr>
          <w:rFonts w:ascii="Palatino Linotype" w:eastAsia="MS Mincho" w:hAnsi="Palatino Linotype" w:cs="Times New Roman"/>
          <w:sz w:val="24"/>
          <w:szCs w:val="24"/>
          <w:lang w:val="es-ES_tradnl" w:eastAsia="es-ES"/>
        </w:rPr>
      </w:pPr>
    </w:p>
    <w:p w14:paraId="25EA10E1" w14:textId="3EFEAD1D" w:rsidR="007D29EA" w:rsidRPr="00ED4C8A" w:rsidRDefault="007D29EA" w:rsidP="007D29EA">
      <w:pPr>
        <w:pStyle w:val="Prrafodelista"/>
        <w:numPr>
          <w:ilvl w:val="0"/>
          <w:numId w:val="2"/>
        </w:numPr>
        <w:spacing w:after="0" w:line="360" w:lineRule="auto"/>
        <w:ind w:left="0" w:firstLine="0"/>
        <w:jc w:val="both"/>
        <w:rPr>
          <w:rFonts w:ascii="Palatino Linotype" w:eastAsia="Calibri" w:hAnsi="Palatino Linotype" w:cs="Arial"/>
          <w:sz w:val="24"/>
          <w:szCs w:val="24"/>
          <w:lang w:eastAsia="es-MX"/>
        </w:rPr>
      </w:pPr>
      <w:r w:rsidRPr="00ED4C8A">
        <w:rPr>
          <w:rFonts w:ascii="Palatino Linotype" w:eastAsia="MS Mincho" w:hAnsi="Palatino Linotype" w:cs="Times New Roman"/>
          <w:sz w:val="24"/>
          <w:szCs w:val="24"/>
          <w:lang w:val="es-ES_tradnl" w:eastAsia="es-ES"/>
        </w:rPr>
        <w:t xml:space="preserve">Asimismo, </w:t>
      </w:r>
      <w:r w:rsidRPr="00ED4C8A">
        <w:rPr>
          <w:rFonts w:ascii="Palatino Linotype" w:eastAsia="Calibri" w:hAnsi="Palatino Linotype" w:cs="Arial"/>
          <w:sz w:val="24"/>
          <w:szCs w:val="24"/>
          <w:lang w:eastAsia="es-MX"/>
        </w:rPr>
        <w:t>debe, a su vez, observarse lo establecido por análoga en los artículos 3, 4, 10, 11,15 y 16 del Reglamento para la Entrega y Recepción de las Unidades Administrativas de la Administración Pública del Estado de México los cuales se transcriben a continuación:</w:t>
      </w:r>
    </w:p>
    <w:p w14:paraId="4B43F6B2" w14:textId="29214D82" w:rsidR="007D29EA" w:rsidRPr="00ED4C8A" w:rsidRDefault="007D29EA" w:rsidP="007D29EA">
      <w:pPr>
        <w:pStyle w:val="Prrafodelista"/>
        <w:spacing w:after="0" w:line="360" w:lineRule="auto"/>
        <w:ind w:left="0"/>
        <w:jc w:val="both"/>
        <w:rPr>
          <w:rFonts w:ascii="Palatino Linotype" w:eastAsia="Calibri" w:hAnsi="Palatino Linotype" w:cs="Arial"/>
          <w:sz w:val="24"/>
          <w:szCs w:val="24"/>
          <w:lang w:eastAsia="es-MX"/>
        </w:rPr>
      </w:pPr>
    </w:p>
    <w:p w14:paraId="3657AC67" w14:textId="77777777" w:rsidR="007D29EA" w:rsidRPr="00ED4C8A" w:rsidRDefault="007D29EA" w:rsidP="00F27872">
      <w:pPr>
        <w:spacing w:line="240" w:lineRule="auto"/>
        <w:ind w:left="567" w:right="567"/>
        <w:jc w:val="both"/>
        <w:rPr>
          <w:rFonts w:ascii="Palatino Linotype" w:hAnsi="Palatino Linotype"/>
          <w:i/>
        </w:rPr>
      </w:pPr>
      <w:r w:rsidRPr="00ED4C8A">
        <w:rPr>
          <w:rFonts w:ascii="Palatino Linotype" w:hAnsi="Palatino Linotype"/>
          <w:b/>
          <w:i/>
        </w:rPr>
        <w:lastRenderedPageBreak/>
        <w:t>“Artículo 3.-</w:t>
      </w:r>
      <w:r w:rsidRPr="00ED4C8A">
        <w:rPr>
          <w:rFonts w:ascii="Palatino Linotype" w:hAnsi="Palatino Linotype"/>
          <w:i/>
        </w:rPr>
        <w:t xml:space="preserve"> </w:t>
      </w:r>
      <w:r w:rsidRPr="00ED4C8A">
        <w:rPr>
          <w:rFonts w:ascii="Palatino Linotype" w:hAnsi="Palatino Linotype"/>
          <w:i/>
          <w:u w:val="single"/>
        </w:rPr>
        <w:t>La Entrega y Recepción se realizará cuando un servidor público se separe de su empleo, cargo o comisión, por cualquier motivo, incluyendo licencias, suplencias, encargos o Término del Periodo Constitucional</w:t>
      </w:r>
      <w:r w:rsidRPr="00ED4C8A">
        <w:rPr>
          <w:rFonts w:ascii="Palatino Linotype" w:hAnsi="Palatino Linotype"/>
          <w:i/>
        </w:rPr>
        <w:t xml:space="preserve">. </w:t>
      </w:r>
    </w:p>
    <w:p w14:paraId="5C7DB7C5" w14:textId="77777777" w:rsidR="007D29EA" w:rsidRPr="00ED4C8A" w:rsidRDefault="007D29EA" w:rsidP="00F27872">
      <w:pPr>
        <w:spacing w:line="240" w:lineRule="auto"/>
        <w:ind w:left="567" w:right="567"/>
        <w:jc w:val="both"/>
        <w:rPr>
          <w:rFonts w:ascii="Palatino Linotype" w:hAnsi="Palatino Linotype"/>
          <w:i/>
        </w:rPr>
      </w:pPr>
      <w:r w:rsidRPr="00ED4C8A">
        <w:rPr>
          <w:rFonts w:ascii="Palatino Linotype" w:hAnsi="Palatino Linotype"/>
          <w:i/>
        </w:rPr>
        <w:t>La Entrega y Recepción también deberá de llevarse a cabo en los casos de escisión, eliminación, readscripción, descentralización, desconcentración, extinción, liquidación o fusión, de Unidades Administrativas, Dependencias u Organismos Auxiliares, según corresponda, que impliquen la transferencia total o parcial de Unidades Administrativas o funciones, independientemente de que haya continuidad de servidores públicos.</w:t>
      </w:r>
    </w:p>
    <w:p w14:paraId="5DFFDDED" w14:textId="7BE2D8B2" w:rsidR="007D29EA" w:rsidRPr="00ED4C8A" w:rsidRDefault="007D29EA" w:rsidP="00F27872">
      <w:pPr>
        <w:spacing w:line="240" w:lineRule="auto"/>
        <w:ind w:left="567" w:right="567"/>
        <w:jc w:val="both"/>
        <w:rPr>
          <w:rFonts w:ascii="Palatino Linotype" w:hAnsi="Palatino Linotype" w:cs="Arial"/>
          <w:i/>
        </w:rPr>
      </w:pPr>
    </w:p>
    <w:p w14:paraId="3BF1B360" w14:textId="77777777" w:rsidR="007D29EA" w:rsidRPr="00ED4C8A" w:rsidRDefault="007D29EA" w:rsidP="00F27872">
      <w:pPr>
        <w:spacing w:line="240" w:lineRule="auto"/>
        <w:ind w:left="567" w:right="567"/>
        <w:jc w:val="both"/>
        <w:rPr>
          <w:rFonts w:ascii="Palatino Linotype" w:hAnsi="Palatino Linotype" w:cs="Arial"/>
          <w:i/>
          <w:u w:val="single"/>
        </w:rPr>
      </w:pPr>
      <w:r w:rsidRPr="00ED4C8A">
        <w:rPr>
          <w:rFonts w:ascii="Palatino Linotype" w:hAnsi="Palatino Linotype" w:cs="Arial"/>
          <w:b/>
          <w:i/>
        </w:rPr>
        <w:t>Artículo 4.</w:t>
      </w:r>
      <w:r w:rsidRPr="00ED4C8A">
        <w:rPr>
          <w:rFonts w:ascii="Palatino Linotype" w:hAnsi="Palatino Linotype" w:cs="Arial"/>
          <w:i/>
        </w:rPr>
        <w:t xml:space="preserve"> </w:t>
      </w:r>
      <w:r w:rsidRPr="00ED4C8A">
        <w:rPr>
          <w:rFonts w:ascii="Palatino Linotype" w:hAnsi="Palatino Linotype" w:cs="Arial"/>
          <w:i/>
          <w:u w:val="single"/>
        </w:rPr>
        <w:t>Son sujetos obligados a la Entrega y Recepción, los servidores públicos desde el Gobernador del Estado hasta Jefes de Departamento, así como sus equivalentes en los Organismos Auxiliares.</w:t>
      </w:r>
    </w:p>
    <w:p w14:paraId="427B4164" w14:textId="77777777" w:rsidR="007D29EA" w:rsidRPr="00ED4C8A" w:rsidRDefault="007D29EA" w:rsidP="00F27872">
      <w:pPr>
        <w:spacing w:line="240" w:lineRule="auto"/>
        <w:ind w:left="567" w:right="567"/>
        <w:jc w:val="both"/>
        <w:rPr>
          <w:rFonts w:ascii="Palatino Linotype" w:hAnsi="Palatino Linotype"/>
          <w:i/>
        </w:rPr>
      </w:pPr>
      <w:r w:rsidRPr="00ED4C8A">
        <w:rPr>
          <w:rFonts w:ascii="Palatino Linotype" w:hAnsi="Palatino Linotype"/>
          <w:i/>
        </w:rPr>
        <w:t xml:space="preserve">Los titulares, suplentes o encargados de las Unidades Administrativas, desde el Gobernador hasta Jefes de Departamento, así como sus equivalentes en los Organismos Auxiliares, deberán entregar su oficina y las Unidades Administrativas a su cargo, conforme a lo establecido en el Manual. </w:t>
      </w:r>
    </w:p>
    <w:p w14:paraId="7DA72B98" w14:textId="48A00E3D" w:rsidR="007D29EA" w:rsidRPr="00ED4C8A" w:rsidRDefault="007D29EA" w:rsidP="00F27872">
      <w:pPr>
        <w:pStyle w:val="Prrafodelista"/>
        <w:spacing w:after="0" w:line="240" w:lineRule="auto"/>
        <w:ind w:left="567" w:right="567"/>
        <w:jc w:val="both"/>
        <w:rPr>
          <w:rFonts w:ascii="Palatino Linotype" w:hAnsi="Palatino Linotype"/>
          <w:i/>
        </w:rPr>
      </w:pPr>
      <w:r w:rsidRPr="00ED4C8A">
        <w:rPr>
          <w:rFonts w:ascii="Palatino Linotype" w:hAnsi="Palatino Linotype"/>
          <w:i/>
        </w:rPr>
        <w:t>El titular de la Dependencia u Organismo Auxiliar determinará, mediante acuerdo publicado en la “Gaceta del Gobierno”, a los servidores públicos de puestos distintos a los señalados en este artículo, que sean responsables de fondos, valores, almacenes, bienes, documentos, funciones, actividades o asuntos que considere de importancia, como sujetos obligados a la Entrega y Recepción, informando de ello, mediante oficio, a la Contraloría.</w:t>
      </w:r>
    </w:p>
    <w:p w14:paraId="3F4F1174" w14:textId="77777777" w:rsidR="00F27872" w:rsidRPr="00ED4C8A" w:rsidRDefault="00F27872" w:rsidP="00F27872">
      <w:pPr>
        <w:pStyle w:val="Prrafodelista"/>
        <w:spacing w:after="0" w:line="240" w:lineRule="auto"/>
        <w:ind w:left="567" w:right="567"/>
        <w:jc w:val="both"/>
        <w:rPr>
          <w:rFonts w:ascii="Palatino Linotype" w:hAnsi="Palatino Linotype"/>
          <w:i/>
        </w:rPr>
      </w:pPr>
    </w:p>
    <w:p w14:paraId="24DC55CD"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b/>
          <w:i/>
        </w:rPr>
        <w:t>Artículo 10</w:t>
      </w:r>
      <w:r w:rsidRPr="00ED4C8A">
        <w:rPr>
          <w:rFonts w:ascii="Palatino Linotype" w:hAnsi="Palatino Linotype"/>
          <w:i/>
        </w:rPr>
        <w:t xml:space="preserve">. La Entrega y Recepción deberá documentarse en un acta administrativa y sus anexos, en la que intervendrán los sujetos obligados, los testigos correspondientes, el representante del Órgano de Control Interno y, a falta de éste, el de la Contraloría. </w:t>
      </w:r>
    </w:p>
    <w:p w14:paraId="33D45FFB"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El acta se firmará de manera autógrafa dentro de los cinco días hábiles siguientes, al día en que se presentó el supuesto conforme al artículo 3 del presente Reglamento. </w:t>
      </w:r>
    </w:p>
    <w:p w14:paraId="7572F719" w14:textId="02C7E42E"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Los anexos del acta serán firmados por quienes los elaboren y por el servidor público que entregue la Unidad Administrativa correspondiente.</w:t>
      </w:r>
    </w:p>
    <w:p w14:paraId="3955B01C"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b/>
          <w:i/>
        </w:rPr>
        <w:lastRenderedPageBreak/>
        <w:t>Artículo 11.</w:t>
      </w:r>
      <w:r w:rsidRPr="00ED4C8A">
        <w:rPr>
          <w:rFonts w:ascii="Palatino Linotype" w:hAnsi="Palatino Linotype"/>
          <w:i/>
        </w:rPr>
        <w:t xml:space="preserve"> El acta y sus anexos se elaborarán en original y dos copias; el original quedará bajo resguardo del servidor público que recibe; una copia será para quien entrega; y otra para el Órgano de Control Interno, y a falta de éste a la Contraloría. </w:t>
      </w:r>
    </w:p>
    <w:p w14:paraId="275200E2"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Cuando el Órgano de Control Interno o la Contraloría no hubieren intervenido, la copia respectiva le será enviada por el servidor público que recibe, dentro de los cinco días hábiles siguientes al acto de Entrega y Recepción.</w:t>
      </w:r>
    </w:p>
    <w:p w14:paraId="24A30E48"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b/>
          <w:i/>
        </w:rPr>
        <w:t>Artículo 15</w:t>
      </w:r>
      <w:r w:rsidRPr="00ED4C8A">
        <w:rPr>
          <w:rFonts w:ascii="Palatino Linotype" w:hAnsi="Palatino Linotype"/>
          <w:i/>
        </w:rPr>
        <w:t xml:space="preserve">. El servidor público que recibe podrá solicitar por escrito aclaraciones o precisiones a quien le entregó, dentro de los treinta días hábiles siguientes al de la firma del acta. El servidor público que entregó tendrá la obligación de dar respuesta a las mismas en un plazo igual, contado a partir del requerimiento. </w:t>
      </w:r>
    </w:p>
    <w:p w14:paraId="1E679415"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El servidor público que recibe debe proporcionar y permitir el acceso al servidor público que entregó, a los archivos que estuvieron a su cargo, cuando se le requiera alguna aclaración o precisión sobre el contenido del acta, informes, anexos o demás Documentos de la Entrega y Recepción. </w:t>
      </w:r>
    </w:p>
    <w:p w14:paraId="06A8BEC0"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Lo dispuesto en este artículo, es sin perjuicio de la responsabilidad administrativa en que pudieron haber incurrido los servidores públicos.</w:t>
      </w:r>
    </w:p>
    <w:p w14:paraId="6D87A578"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b/>
          <w:i/>
        </w:rPr>
        <w:t>Artículo 16.</w:t>
      </w:r>
      <w:r w:rsidRPr="00ED4C8A">
        <w:rPr>
          <w:rFonts w:ascii="Palatino Linotype" w:hAnsi="Palatino Linotype"/>
          <w:i/>
        </w:rPr>
        <w:t xml:space="preserve"> El acta de Entrega y Recepción, y sus anexos, deberán elaborarse utilizando los criterios y formatos establecidos en el Manual y en el Sistema, en los cuales se requerirán los Documentos vinculados con la actuación de la Unidad Administrativa que corresponda, cuando menos, a los apartados siguientes:</w:t>
      </w:r>
    </w:p>
    <w:p w14:paraId="498974E1" w14:textId="0A0F00A1"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b/>
          <w:i/>
        </w:rPr>
        <w:t>I.</w:t>
      </w:r>
      <w:r w:rsidRPr="00ED4C8A">
        <w:rPr>
          <w:rFonts w:ascii="Palatino Linotype" w:hAnsi="Palatino Linotype"/>
          <w:i/>
        </w:rPr>
        <w:t xml:space="preserve"> Marco Jurídico: Relación de leyes, reglamentos, decretos, acuerdos y demás disposiciones vigentes.</w:t>
      </w:r>
    </w:p>
    <w:p w14:paraId="7CABC731"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II. Planeación: Plan de Desarrollo del Estado de México, programas sectoriales, regionales, especiales, y anual de metas por proyecto y unidad ejecutora. </w:t>
      </w:r>
    </w:p>
    <w:p w14:paraId="17F390D1"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III. Derechos y Obligaciones: Relación de instrumentos jurídicos que generen derechos u obligaciones que deba cumplir o exigir la Unidad Administrativa, como contratos, convenios, acuerdos, y anexos, suscritos por los Titulares del Ejecutivo Estatal, de las Dependencias, Organismos Auxiliares o de las Unidades Administrativas, con la federación, entidades federativas, municipios, sindicatos o sectores social o privado; concesiones; fideicomisos; condiciones generales de trabajo; seguros; fianzas; procesos jurisdiccionales, entre otros. </w:t>
      </w:r>
    </w:p>
    <w:p w14:paraId="76075CAB"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lastRenderedPageBreak/>
        <w:t xml:space="preserve">IV. Organización: Reglamento Interior; estructura orgánica autorizada; manuales generales de organización, de procedimientos, y de trámites y servicios. </w:t>
      </w:r>
    </w:p>
    <w:p w14:paraId="137AF58C"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V. Recursos Humanos: Plantilla de personal actualizada y, en su caso, la relación de personal contratado por honorarios asimilables al salario, por tiempo u obra determinada, comisionado, por lista de raya; y tabuladores de sueldos. </w:t>
      </w:r>
    </w:p>
    <w:p w14:paraId="6F2AC536"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VI. Recursos Materiales: Inventarios de bienes muebles, inmuebles, semovientes, bienes incautados y existencias en almacenes; resguardo de bienes bajo custodia del titular. También se incluyen los sistemas de información, software, adquisiciones pendientes y en proceso; así como el programa anual de adquisiciones. </w:t>
      </w:r>
    </w:p>
    <w:p w14:paraId="6432883F" w14:textId="72F18672"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VII. Recursos Presupuestales y Financieros: Documentos relativos al presupuesto autorizado, ejercido, comprometido, disponible y metas relacionadas; ingresos estimados y reales; recursos federales; estados financieros; cuenta pública; deuda pública; cartera vencida; cuentas bancarias y de inversión; fondos; valores en custodia; contenido de cajas fuertes y listado de pagos pendientes, corte de formas valoradas, conciliaciones bancarias, arqueos de caja, entre otros.</w:t>
      </w:r>
    </w:p>
    <w:p w14:paraId="74AC628F"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VIII. Obra Pública: Programa anual; relación de obra pública y servicios relacionados con la misma, por fuente de recursos, y documentos de adjudicación.</w:t>
      </w:r>
    </w:p>
    <w:p w14:paraId="144DF44C"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IX. Archivos: Relación de documentos no convencionales, históricos, de trámite, de concentración, biblio-hemerográficos, así como el listado de información reservada y confidencial. </w:t>
      </w:r>
    </w:p>
    <w:p w14:paraId="0DA1D444"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X. Control y Fiscalización: Relación de observaciones o salvedades en proceso de atención, determinadas por las autoridades federales o estatales competentes, y por los auditores externos; así como de procedimientos administrativos de responsabilidades. </w:t>
      </w:r>
    </w:p>
    <w:p w14:paraId="1458E137"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XI. Informe de Gestión: Reportes sobre el cumplimiento de obligaciones derivadas de los instrumentos jurídicos referidos en el apartado de derechos y obligaciones; sobre el avance del presupuesto, programas y proyectos a su cargo; y uno ejecutivo que describa el estado en que se recibió y en el que se entrega la Unidad Administrativa. </w:t>
      </w:r>
    </w:p>
    <w:p w14:paraId="30C4AA69"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Asimismo, los resultados alcanzados; la relación de compromisos y actividades prioritarios dentro de los noventa días naturales siguientes, a cargo de la Unidad Administrativa, así como de aquellas que dependan de ésta; y, en su caso, las recomendaciones que se consideren pertinentes. </w:t>
      </w:r>
    </w:p>
    <w:p w14:paraId="36BFBC6D" w14:textId="03CA572A"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lastRenderedPageBreak/>
        <w:t>En materia de transparencia las solicitudes de información en proceso de atención y, en su caso, los recursos de revisión pendientes de resolver.</w:t>
      </w:r>
    </w:p>
    <w:p w14:paraId="35319980"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El servidor público que entrega, deberá presentar los Certificados de No Adeudo expedidos por la Secretaría, tratándose de Dependencias; y por el área competente en el caso de Organismos Auxiliares. </w:t>
      </w:r>
    </w:p>
    <w:p w14:paraId="4ADA8330"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XII. Generales: Los bienes muebles que se encuentren bajo custodia del servidor público que no cuenten con el respectivo resguardo. </w:t>
      </w:r>
    </w:p>
    <w:p w14:paraId="3BE7B16A"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También se deberán entregar, en su caso, credenciales, gafetes, claves de acceso, combinaciones de cajas fuertes y llaves, entre otros. </w:t>
      </w:r>
    </w:p>
    <w:p w14:paraId="428DF557"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El servidor público que entrega debe llenar los formatos e incorporar los Documentos de acuerdo a los apartados que le resulten aplicables. </w:t>
      </w:r>
    </w:p>
    <w:p w14:paraId="5B09EF88" w14:textId="77777777" w:rsidR="00F27872" w:rsidRPr="00ED4C8A" w:rsidRDefault="00F27872" w:rsidP="00F27872">
      <w:pPr>
        <w:spacing w:line="240" w:lineRule="auto"/>
        <w:ind w:left="567" w:right="567"/>
        <w:jc w:val="both"/>
        <w:rPr>
          <w:rFonts w:ascii="Palatino Linotype" w:hAnsi="Palatino Linotype"/>
          <w:i/>
        </w:rPr>
      </w:pPr>
      <w:r w:rsidRPr="00ED4C8A">
        <w:rPr>
          <w:rFonts w:ascii="Palatino Linotype" w:hAnsi="Palatino Linotype"/>
          <w:i/>
        </w:rPr>
        <w:t xml:space="preserve">Además, debe manifestar en el acta que conoce su contenido y el de sus anexos; y, cuando corresponda adjuntará copia del acuse de recibo de su renuncia. </w:t>
      </w:r>
    </w:p>
    <w:p w14:paraId="70EBE5D0" w14:textId="4F1C836F" w:rsidR="00F27872" w:rsidRPr="00ED4C8A" w:rsidRDefault="00F27872" w:rsidP="00F27872">
      <w:pPr>
        <w:pStyle w:val="Prrafodelista"/>
        <w:spacing w:after="0" w:line="240" w:lineRule="auto"/>
        <w:ind w:left="567" w:right="567"/>
        <w:jc w:val="both"/>
        <w:rPr>
          <w:rFonts w:ascii="Palatino Linotype" w:eastAsia="Calibri" w:hAnsi="Palatino Linotype" w:cs="Arial"/>
          <w:sz w:val="24"/>
          <w:szCs w:val="24"/>
          <w:lang w:eastAsia="es-MX"/>
        </w:rPr>
      </w:pPr>
      <w:r w:rsidRPr="00ED4C8A">
        <w:rPr>
          <w:rFonts w:ascii="Palatino Linotype" w:hAnsi="Palatino Linotype"/>
          <w:i/>
        </w:rPr>
        <w:t>Los documentos publicados en la página oficial del Gobierno del Estado de México, podrán entregarse señalando su dirección electrónica, siempre y cuando no se contravenga lo dispuesto en el Manual.</w:t>
      </w:r>
      <w:r w:rsidR="003F13FD" w:rsidRPr="00ED4C8A">
        <w:rPr>
          <w:rFonts w:ascii="Palatino Linotype" w:hAnsi="Palatino Linotype"/>
          <w:i/>
        </w:rPr>
        <w:t>”</w:t>
      </w:r>
    </w:p>
    <w:p w14:paraId="6FFC1FAA" w14:textId="77777777" w:rsidR="007D29EA" w:rsidRPr="00ED4C8A" w:rsidRDefault="007D29EA" w:rsidP="003F13FD">
      <w:pPr>
        <w:pStyle w:val="Prrafodelista"/>
        <w:spacing w:after="0" w:line="360" w:lineRule="auto"/>
        <w:ind w:left="0"/>
        <w:jc w:val="both"/>
        <w:rPr>
          <w:rFonts w:ascii="Palatino Linotype" w:eastAsia="Calibri" w:hAnsi="Palatino Linotype" w:cs="Arial"/>
          <w:sz w:val="24"/>
          <w:szCs w:val="24"/>
          <w:lang w:eastAsia="es-MX"/>
        </w:rPr>
      </w:pPr>
    </w:p>
    <w:p w14:paraId="78EB0690" w14:textId="27BBF53E" w:rsidR="003F13FD" w:rsidRPr="00ED4C8A" w:rsidRDefault="003F13FD" w:rsidP="003F13FD">
      <w:pPr>
        <w:pStyle w:val="Prrafodelista"/>
        <w:numPr>
          <w:ilvl w:val="0"/>
          <w:numId w:val="2"/>
        </w:numPr>
        <w:spacing w:after="0" w:line="360" w:lineRule="auto"/>
        <w:ind w:left="0" w:firstLine="0"/>
        <w:jc w:val="both"/>
        <w:rPr>
          <w:rFonts w:ascii="Palatino Linotype" w:hAnsi="Palatino Linotype" w:cs="Arial"/>
          <w:sz w:val="24"/>
          <w:szCs w:val="24"/>
        </w:rPr>
      </w:pPr>
      <w:r w:rsidRPr="00ED4C8A">
        <w:rPr>
          <w:rFonts w:ascii="Palatino Linotype" w:eastAsia="MS Mincho" w:hAnsi="Palatino Linotype" w:cs="Times New Roman"/>
          <w:sz w:val="24"/>
          <w:szCs w:val="24"/>
          <w:lang w:val="es-ES_tradnl" w:eastAsia="es-ES"/>
        </w:rPr>
        <w:t xml:space="preserve">En este orden de ideas, </w:t>
      </w:r>
      <w:r w:rsidRPr="00ED4C8A">
        <w:rPr>
          <w:rFonts w:ascii="Palatino Linotype" w:hAnsi="Palatino Linotype" w:cs="Arial"/>
          <w:sz w:val="24"/>
          <w:szCs w:val="24"/>
        </w:rPr>
        <w:t xml:space="preserve">los Lineamientos que regulan la Entrega Recepción de la Administración Pública Municipal del Estado de México, prevé en su artículo 7 fracción I, así como en los artículos 16, 29 y 37 lo siguiente: </w:t>
      </w:r>
    </w:p>
    <w:p w14:paraId="70BC2177" w14:textId="7C5CB92E" w:rsidR="003F13FD" w:rsidRPr="00ED4C8A" w:rsidRDefault="003F13FD" w:rsidP="003F13FD">
      <w:pPr>
        <w:pStyle w:val="Prrafodelista"/>
        <w:spacing w:after="0" w:line="360" w:lineRule="auto"/>
        <w:ind w:left="0"/>
        <w:jc w:val="both"/>
        <w:rPr>
          <w:rFonts w:ascii="Palatino Linotype" w:hAnsi="Palatino Linotype" w:cs="Arial"/>
          <w:sz w:val="24"/>
          <w:szCs w:val="24"/>
        </w:rPr>
      </w:pPr>
    </w:p>
    <w:p w14:paraId="5E5BCE13"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w:t>
      </w:r>
      <w:r w:rsidRPr="00ED4C8A">
        <w:rPr>
          <w:rFonts w:ascii="Palatino Linotype" w:hAnsi="Palatino Linotype"/>
          <w:b/>
          <w:i/>
        </w:rPr>
        <w:t>Artículo 7</w:t>
      </w:r>
      <w:r w:rsidRPr="00ED4C8A">
        <w:rPr>
          <w:rFonts w:ascii="Palatino Linotype" w:hAnsi="Palatino Linotype"/>
          <w:i/>
        </w:rPr>
        <w:t>. Son sujetos a entrega-recepción:</w:t>
      </w:r>
    </w:p>
    <w:p w14:paraId="02FD8A9E" w14:textId="77777777" w:rsidR="003F13FD" w:rsidRPr="00ED4C8A" w:rsidRDefault="003F13FD" w:rsidP="00662235">
      <w:pPr>
        <w:spacing w:line="240" w:lineRule="auto"/>
        <w:ind w:left="567" w:right="567"/>
        <w:jc w:val="both"/>
        <w:rPr>
          <w:rFonts w:ascii="Palatino Linotype" w:hAnsi="Palatino Linotype"/>
          <w:b/>
          <w:bCs/>
          <w:i/>
          <w:u w:val="single"/>
        </w:rPr>
      </w:pPr>
      <w:r w:rsidRPr="00ED4C8A">
        <w:rPr>
          <w:rFonts w:ascii="Palatino Linotype" w:hAnsi="Palatino Linotype"/>
          <w:b/>
          <w:bCs/>
          <w:i/>
          <w:u w:val="single"/>
        </w:rPr>
        <w:t xml:space="preserve">1. En los municipios: </w:t>
      </w:r>
    </w:p>
    <w:p w14:paraId="0C3909BB" w14:textId="049CC724" w:rsidR="003F13FD" w:rsidRPr="00ED4C8A" w:rsidRDefault="003F13FD" w:rsidP="00662235">
      <w:pPr>
        <w:pStyle w:val="Prrafodelista"/>
        <w:spacing w:after="0" w:line="240" w:lineRule="auto"/>
        <w:ind w:left="567" w:right="567"/>
        <w:jc w:val="both"/>
        <w:rPr>
          <w:rFonts w:ascii="Palatino Linotype" w:hAnsi="Palatino Linotype"/>
          <w:i/>
        </w:rPr>
      </w:pPr>
      <w:r w:rsidRPr="00ED4C8A">
        <w:rPr>
          <w:rFonts w:ascii="Palatino Linotype" w:hAnsi="Palatino Linotype"/>
          <w:i/>
        </w:rPr>
        <w:t>a) Presidente</w:t>
      </w:r>
    </w:p>
    <w:p w14:paraId="76289D30"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b) Síndico(s) </w:t>
      </w:r>
    </w:p>
    <w:p w14:paraId="0F23304E" w14:textId="77777777" w:rsidR="003F13FD" w:rsidRPr="00ED4C8A" w:rsidRDefault="003F13FD" w:rsidP="00662235">
      <w:pPr>
        <w:spacing w:line="240" w:lineRule="auto"/>
        <w:ind w:left="567" w:right="567"/>
        <w:jc w:val="both"/>
        <w:rPr>
          <w:rFonts w:ascii="Palatino Linotype" w:hAnsi="Palatino Linotype"/>
          <w:b/>
          <w:bCs/>
          <w:i/>
          <w:u w:val="single"/>
        </w:rPr>
      </w:pPr>
      <w:r w:rsidRPr="00ED4C8A">
        <w:rPr>
          <w:rFonts w:ascii="Palatino Linotype" w:hAnsi="Palatino Linotype"/>
          <w:b/>
          <w:bCs/>
          <w:i/>
          <w:u w:val="single"/>
        </w:rPr>
        <w:t xml:space="preserve">c) Regidores </w:t>
      </w:r>
    </w:p>
    <w:p w14:paraId="5400C92C"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d) Secretario del ayuntamiento </w:t>
      </w:r>
    </w:p>
    <w:p w14:paraId="3D327699"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lastRenderedPageBreak/>
        <w:t xml:space="preserve">e) Tesorero </w:t>
      </w:r>
    </w:p>
    <w:p w14:paraId="53FCAEB6"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f) Director de administración o su equivalente </w:t>
      </w:r>
    </w:p>
    <w:p w14:paraId="1FC761DF"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g) Director de obras públicas o su equivalente </w:t>
      </w:r>
    </w:p>
    <w:p w14:paraId="3F02751D"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h) Titular del órgano de control interno </w:t>
      </w:r>
    </w:p>
    <w:p w14:paraId="5C53AFDA"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i) Titular de la unidad de información </w:t>
      </w:r>
    </w:p>
    <w:p w14:paraId="118E21A1"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j) Titulares de áreas a nivel dirección que se encuentren determinadas en la entidad.</w:t>
      </w:r>
    </w:p>
    <w:p w14:paraId="0D905C10" w14:textId="77777777" w:rsidR="003F13FD" w:rsidRPr="00ED4C8A" w:rsidRDefault="003F13FD" w:rsidP="00662235">
      <w:pPr>
        <w:pStyle w:val="Prrafodelista"/>
        <w:spacing w:after="0" w:line="240" w:lineRule="auto"/>
        <w:ind w:left="567" w:right="567"/>
        <w:jc w:val="both"/>
        <w:rPr>
          <w:rFonts w:ascii="Palatino Linotype" w:hAnsi="Palatino Linotype" w:cs="Arial"/>
          <w:sz w:val="24"/>
          <w:szCs w:val="24"/>
        </w:rPr>
      </w:pPr>
    </w:p>
    <w:p w14:paraId="6E5CD000"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b/>
          <w:i/>
        </w:rPr>
        <w:t>Artículo 16</w:t>
      </w:r>
      <w:r w:rsidRPr="00ED4C8A">
        <w:rPr>
          <w:rFonts w:ascii="Palatino Linotype" w:hAnsi="Palatino Linotype"/>
          <w:i/>
        </w:rPr>
        <w:t>. El acto de entrega-recepción será público, con excepción del que a consideración del Órgano Superior, convenga que sea privado; éste se llevará a cabo en las oficinas de los integrantes del ayuntamiento; de los titulares de las dependencias y entidades de la administración pública municipal.</w:t>
      </w:r>
    </w:p>
    <w:p w14:paraId="79A488DB"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b/>
          <w:i/>
        </w:rPr>
        <w:t>Artículo 29</w:t>
      </w:r>
      <w:r w:rsidRPr="00ED4C8A">
        <w:rPr>
          <w:rFonts w:ascii="Palatino Linotype" w:hAnsi="Palatino Linotype"/>
          <w:i/>
        </w:rPr>
        <w:t xml:space="preserve">. El acta y la información derivada del acto de entrega-recepción se deberán generar obligatoriamente en el sistema implementado para tal efecto. </w:t>
      </w:r>
    </w:p>
    <w:p w14:paraId="38233950"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En el acto intervendrán: </w:t>
      </w:r>
    </w:p>
    <w:p w14:paraId="3A5A805D"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a) El servidor público entrante </w:t>
      </w:r>
    </w:p>
    <w:p w14:paraId="3CFB4282"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b) El servidor público saliente o servidor público que presenta la información para la entrega-recepción </w:t>
      </w:r>
    </w:p>
    <w:p w14:paraId="0E333D16" w14:textId="7B746BD5"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c) El testigo del servidor público entrante </w:t>
      </w:r>
    </w:p>
    <w:p w14:paraId="5BD766A3"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d) El testigo del servidor público saliente o testigo del servidor público que presenta la información para la entrega-recepción </w:t>
      </w:r>
    </w:p>
    <w:p w14:paraId="718955E0"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e) El titular del órgano de control interno o el síndico en su caso </w:t>
      </w:r>
    </w:p>
    <w:p w14:paraId="3CB06A56"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f) El representante del Órgano Superior, cuando corresponda.</w:t>
      </w:r>
    </w:p>
    <w:p w14:paraId="3C59CB42" w14:textId="77777777" w:rsidR="003F13FD" w:rsidRPr="00ED4C8A" w:rsidRDefault="003F13FD" w:rsidP="00662235">
      <w:pPr>
        <w:spacing w:line="240" w:lineRule="auto"/>
        <w:ind w:left="567" w:right="567"/>
        <w:jc w:val="both"/>
        <w:rPr>
          <w:rFonts w:ascii="Palatino Linotype" w:hAnsi="Palatino Linotype"/>
          <w:i/>
        </w:rPr>
      </w:pPr>
    </w:p>
    <w:p w14:paraId="0E48B10E"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b/>
          <w:i/>
        </w:rPr>
        <w:t>Artículo 37</w:t>
      </w:r>
      <w:r w:rsidRPr="00ED4C8A">
        <w:rPr>
          <w:rFonts w:ascii="Palatino Linotype" w:hAnsi="Palatino Linotype"/>
          <w:i/>
        </w:rPr>
        <w:t>. El acta original de la entrega-recepción y el paquete generado por el sistema se distribuirán, según el caso de la manera siguiente:</w:t>
      </w:r>
    </w:p>
    <w:p w14:paraId="15BD179E"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lastRenderedPageBreak/>
        <w:t xml:space="preserve"> a) </w:t>
      </w:r>
      <w:r w:rsidRPr="00ED4C8A">
        <w:rPr>
          <w:rFonts w:ascii="Palatino Linotype" w:hAnsi="Palatino Linotype"/>
          <w:b/>
          <w:bCs/>
          <w:i/>
        </w:rPr>
        <w:t>Al servidor público entrante:</w:t>
      </w:r>
      <w:r w:rsidRPr="00ED4C8A">
        <w:rPr>
          <w:rFonts w:ascii="Palatino Linotype" w:hAnsi="Palatino Linotype"/>
          <w:i/>
        </w:rPr>
        <w:t xml:space="preserve"> Acta original y el paquete generado por el sistema en disco versátil digital (DVD) o disco compacto (CD). </w:t>
      </w:r>
    </w:p>
    <w:p w14:paraId="123FCCB8"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b) </w:t>
      </w:r>
      <w:r w:rsidRPr="00ED4C8A">
        <w:rPr>
          <w:rFonts w:ascii="Palatino Linotype" w:hAnsi="Palatino Linotype"/>
          <w:b/>
          <w:bCs/>
          <w:i/>
        </w:rPr>
        <w:t>Al servidor público saliente o servidor público que presenta la información para la entrega-recepción:</w:t>
      </w:r>
      <w:r w:rsidRPr="00ED4C8A">
        <w:rPr>
          <w:rFonts w:ascii="Palatino Linotype" w:hAnsi="Palatino Linotype"/>
          <w:i/>
        </w:rPr>
        <w:t xml:space="preserve"> Acta original y el paquete generado por el sistema en disco versátil digital (DVD) o disco compacto (CD). </w:t>
      </w:r>
    </w:p>
    <w:p w14:paraId="349D5CFB" w14:textId="77777777" w:rsidR="003F13FD" w:rsidRPr="00ED4C8A" w:rsidRDefault="003F13FD" w:rsidP="00662235">
      <w:pPr>
        <w:spacing w:line="240" w:lineRule="auto"/>
        <w:ind w:left="567" w:right="567"/>
        <w:jc w:val="both"/>
        <w:rPr>
          <w:rFonts w:ascii="Palatino Linotype" w:hAnsi="Palatino Linotype"/>
          <w:i/>
        </w:rPr>
      </w:pPr>
      <w:r w:rsidRPr="00ED4C8A">
        <w:rPr>
          <w:rFonts w:ascii="Palatino Linotype" w:hAnsi="Palatino Linotype"/>
          <w:i/>
        </w:rPr>
        <w:t xml:space="preserve">c) </w:t>
      </w:r>
      <w:r w:rsidRPr="00ED4C8A">
        <w:rPr>
          <w:rFonts w:ascii="Palatino Linotype" w:hAnsi="Palatino Linotype"/>
          <w:b/>
          <w:bCs/>
          <w:i/>
        </w:rPr>
        <w:t>Al titular del órgano de control interno o al síndico en su caso:</w:t>
      </w:r>
      <w:r w:rsidRPr="00ED4C8A">
        <w:rPr>
          <w:rFonts w:ascii="Palatino Linotype" w:hAnsi="Palatino Linotype"/>
          <w:i/>
        </w:rPr>
        <w:t xml:space="preserve"> Acta original y el paquete generado por el sistema en disco versátil digital (DVD) o disco compacto (CD). </w:t>
      </w:r>
    </w:p>
    <w:p w14:paraId="1404E6AE" w14:textId="77777777" w:rsidR="003F13FD" w:rsidRPr="00ED4C8A" w:rsidRDefault="003F13FD" w:rsidP="00662235">
      <w:pPr>
        <w:spacing w:line="240" w:lineRule="auto"/>
        <w:ind w:left="567" w:right="567"/>
        <w:jc w:val="both"/>
        <w:rPr>
          <w:rFonts w:ascii="Palatino Linotype" w:hAnsi="Palatino Linotype" w:cs="Arial"/>
          <w:i/>
        </w:rPr>
      </w:pPr>
      <w:r w:rsidRPr="00ED4C8A">
        <w:rPr>
          <w:rFonts w:ascii="Palatino Linotype" w:hAnsi="Palatino Linotype"/>
          <w:i/>
        </w:rPr>
        <w:t xml:space="preserve">d) </w:t>
      </w:r>
      <w:r w:rsidRPr="00ED4C8A">
        <w:rPr>
          <w:rFonts w:ascii="Palatino Linotype" w:hAnsi="Palatino Linotype"/>
          <w:b/>
          <w:bCs/>
          <w:i/>
        </w:rPr>
        <w:t>Al Órgano Superior:</w:t>
      </w:r>
      <w:r w:rsidRPr="00ED4C8A">
        <w:rPr>
          <w:rFonts w:ascii="Palatino Linotype" w:hAnsi="Palatino Linotype"/>
          <w:i/>
        </w:rPr>
        <w:t xml:space="preserve"> Acta original y el paquete generado por el sistema en disco versátil digital (DVD) o disco compacto (CD</w:t>
      </w:r>
      <w:r w:rsidRPr="00ED4C8A">
        <w:rPr>
          <w:rFonts w:ascii="Palatino Linotype" w:hAnsi="Palatino Linotype"/>
        </w:rPr>
        <w:t>).</w:t>
      </w:r>
    </w:p>
    <w:p w14:paraId="3EC03277" w14:textId="77777777" w:rsidR="003F13FD" w:rsidRPr="00ED4C8A" w:rsidRDefault="003F13FD" w:rsidP="003F13FD">
      <w:pPr>
        <w:pStyle w:val="Prrafodelista"/>
        <w:spacing w:after="0" w:line="360" w:lineRule="auto"/>
        <w:ind w:left="0"/>
        <w:jc w:val="both"/>
        <w:rPr>
          <w:rFonts w:ascii="Palatino Linotype" w:hAnsi="Palatino Linotype" w:cs="Arial"/>
          <w:sz w:val="24"/>
          <w:szCs w:val="24"/>
        </w:rPr>
      </w:pPr>
    </w:p>
    <w:p w14:paraId="30AD36B6" w14:textId="22F83A36" w:rsidR="00976167" w:rsidRPr="00ED4C8A" w:rsidRDefault="00F67039" w:rsidP="0066223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5408" behindDoc="0" locked="0" layoutInCell="1" allowOverlap="1" wp14:anchorId="27DDFB97" wp14:editId="6920DE78">
                <wp:simplePos x="0" y="0"/>
                <wp:positionH relativeFrom="column">
                  <wp:posOffset>-2449</wp:posOffset>
                </wp:positionH>
                <wp:positionV relativeFrom="paragraph">
                  <wp:posOffset>1146446</wp:posOffset>
                </wp:positionV>
                <wp:extent cx="5410200" cy="2852057"/>
                <wp:effectExtent l="0" t="0" r="12700" b="18415"/>
                <wp:wrapNone/>
                <wp:docPr id="10" name="Conector recto 10"/>
                <wp:cNvGraphicFramePr/>
                <a:graphic xmlns:a="http://schemas.openxmlformats.org/drawingml/2006/main">
                  <a:graphicData uri="http://schemas.microsoft.com/office/word/2010/wordprocessingShape">
                    <wps:wsp>
                      <wps:cNvCnPr/>
                      <wps:spPr>
                        <a:xfrm>
                          <a:off x="0" y="0"/>
                          <a:ext cx="5410200" cy="2852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4D4D9F" id="Conector recto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pt,90.25pt" to="425.8pt,3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" strokecolor="#5b9bd5 [3204]" strokeweight=".5pt">
                <v:stroke joinstyle="miter"/>
              </v:line>
            </w:pict>
          </mc:Fallback>
        </mc:AlternateContent>
      </w:r>
      <w:r w:rsidR="00662235" w:rsidRPr="00ED4C8A">
        <w:rPr>
          <w:rFonts w:ascii="Palatino Linotype" w:eastAsia="MS Mincho" w:hAnsi="Palatino Linotype" w:cs="Times New Roman"/>
          <w:sz w:val="24"/>
          <w:szCs w:val="24"/>
          <w:lang w:val="es-ES_tradnl" w:eastAsia="es-ES"/>
        </w:rPr>
        <w:t xml:space="preserve">Por lo que </w:t>
      </w:r>
      <w:r w:rsidR="00662235" w:rsidRPr="00ED4C8A">
        <w:rPr>
          <w:rFonts w:ascii="Palatino Linotype" w:hAnsi="Palatino Linotype" w:cs="Arial"/>
          <w:sz w:val="24"/>
          <w:szCs w:val="24"/>
        </w:rPr>
        <w:t>lo que tratándose se servidores públicos del Municipio resulta aplicable el formato establecido en los Lineamientos que regulan la Entrega Recepción de la Administración Pública Municipal del Estado de México</w:t>
      </w:r>
      <w:r w:rsidR="00662235" w:rsidRPr="00ED4C8A">
        <w:rPr>
          <w:rStyle w:val="Refdenotaalpie"/>
          <w:rFonts w:ascii="Palatino Linotype" w:hAnsi="Palatino Linotype" w:cs="Arial"/>
          <w:sz w:val="24"/>
          <w:szCs w:val="24"/>
        </w:rPr>
        <w:footnoteReference w:id="1"/>
      </w:r>
      <w:r w:rsidR="00662235" w:rsidRPr="00ED4C8A">
        <w:rPr>
          <w:rFonts w:ascii="Palatino Linotype" w:hAnsi="Palatino Linotype" w:cs="Arial"/>
          <w:sz w:val="24"/>
          <w:szCs w:val="24"/>
        </w:rPr>
        <w:t>, tal y como se puede apreciar a continuación.</w:t>
      </w:r>
    </w:p>
    <w:p w14:paraId="6B635543" w14:textId="6615FCE7" w:rsidR="00662235" w:rsidRPr="00ED4C8A" w:rsidRDefault="00F67039" w:rsidP="00BF77EB">
      <w:pPr>
        <w:spacing w:after="0" w:line="360" w:lineRule="auto"/>
        <w:ind w:right="34"/>
        <w:contextualSpacing/>
        <w:jc w:val="center"/>
        <w:rPr>
          <w:rFonts w:ascii="Palatino Linotype" w:hAnsi="Palatino Linotype" w:cs="Arial"/>
          <w:sz w:val="24"/>
          <w:szCs w:val="24"/>
          <w:lang w:val="es-ES_tradnl"/>
        </w:rPr>
      </w:pPr>
      <w:r w:rsidRPr="00ED4C8A">
        <w:rPr>
          <w:rFonts w:ascii="Palatino Linotype" w:eastAsia="MS Mincho" w:hAnsi="Palatino Linotype" w:cs="Times New Roman"/>
          <w:noProof/>
          <w:sz w:val="24"/>
          <w:szCs w:val="24"/>
          <w:lang w:eastAsia="es-MX"/>
        </w:rPr>
        <w:lastRenderedPageBreak/>
        <mc:AlternateContent>
          <mc:Choice Requires="wps">
            <w:drawing>
              <wp:anchor distT="0" distB="0" distL="114300" distR="114300" simplePos="0" relativeHeight="251666432" behindDoc="0" locked="0" layoutInCell="1" allowOverlap="1" wp14:anchorId="74941224" wp14:editId="0E95FFD0">
                <wp:simplePos x="0" y="0"/>
                <wp:positionH relativeFrom="column">
                  <wp:posOffset>-2449</wp:posOffset>
                </wp:positionH>
                <wp:positionV relativeFrom="paragraph">
                  <wp:posOffset>5781765</wp:posOffset>
                </wp:positionV>
                <wp:extent cx="5638800" cy="1839685"/>
                <wp:effectExtent l="0" t="0" r="12700" b="14605"/>
                <wp:wrapNone/>
                <wp:docPr id="11" name="Conector recto 11"/>
                <wp:cNvGraphicFramePr/>
                <a:graphic xmlns:a="http://schemas.openxmlformats.org/drawingml/2006/main">
                  <a:graphicData uri="http://schemas.microsoft.com/office/word/2010/wordprocessingShape">
                    <wps:wsp>
                      <wps:cNvCnPr/>
                      <wps:spPr>
                        <a:xfrm>
                          <a:off x="0" y="0"/>
                          <a:ext cx="5638800" cy="18396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5A6A1A" id="Conector recto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pt,455.25pt" to="443.8pt,6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" strokecolor="#5b9bd5 [3204]" strokeweight=".5pt">
                <v:stroke joinstyle="miter"/>
              </v:line>
            </w:pict>
          </mc:Fallback>
        </mc:AlternateContent>
      </w:r>
      <w:r w:rsidR="00662235" w:rsidRPr="00ED4C8A">
        <w:rPr>
          <w:rFonts w:ascii="Palatino Linotype" w:eastAsia="MS Mincho" w:hAnsi="Palatino Linotype" w:cs="Times New Roman"/>
          <w:noProof/>
          <w:sz w:val="24"/>
          <w:szCs w:val="24"/>
          <w:lang w:eastAsia="es-MX"/>
        </w:rPr>
        <w:drawing>
          <wp:inline distT="0" distB="0" distL="0" distR="0" wp14:anchorId="140DD3CF" wp14:editId="190716AD">
            <wp:extent cx="5858533" cy="5660572"/>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38" t="15049" r="28691" b="10446"/>
                    <a:stretch/>
                  </pic:blipFill>
                  <pic:spPr bwMode="auto">
                    <a:xfrm>
                      <a:off x="0" y="0"/>
                      <a:ext cx="5881430" cy="5682696"/>
                    </a:xfrm>
                    <a:prstGeom prst="rect">
                      <a:avLst/>
                    </a:prstGeom>
                    <a:ln>
                      <a:noFill/>
                    </a:ln>
                    <a:extLst>
                      <a:ext uri="{53640926-AAD7-44D8-BBD7-CCE9431645EC}">
                        <a14:shadowObscured xmlns:a14="http://schemas.microsoft.com/office/drawing/2010/main"/>
                      </a:ext>
                    </a:extLst>
                  </pic:spPr>
                </pic:pic>
              </a:graphicData>
            </a:graphic>
          </wp:inline>
        </w:drawing>
      </w:r>
    </w:p>
    <w:p w14:paraId="508C67A3" w14:textId="1A8C6055" w:rsidR="00662235" w:rsidRPr="00ED4C8A" w:rsidRDefault="00662235" w:rsidP="00662235">
      <w:pPr>
        <w:spacing w:after="0" w:line="360" w:lineRule="auto"/>
        <w:ind w:right="34"/>
        <w:contextualSpacing/>
        <w:jc w:val="both"/>
        <w:rPr>
          <w:rFonts w:ascii="Palatino Linotype" w:eastAsia="MS Mincho" w:hAnsi="Palatino Linotype" w:cs="Times New Roman"/>
          <w:sz w:val="24"/>
          <w:szCs w:val="24"/>
          <w:lang w:val="es-ES_tradnl" w:eastAsia="es-ES"/>
        </w:rPr>
      </w:pPr>
      <w:r w:rsidRPr="00ED4C8A">
        <w:rPr>
          <w:rFonts w:ascii="Palatino Linotype" w:hAnsi="Palatino Linotype"/>
          <w:noProof/>
          <w:lang w:eastAsia="es-MX"/>
        </w:rPr>
        <w:lastRenderedPageBreak/>
        <w:drawing>
          <wp:inline distT="0" distB="0" distL="0" distR="0" wp14:anchorId="63969936" wp14:editId="2380A2B5">
            <wp:extent cx="5474524" cy="7311198"/>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68" t="11288" r="33134" b="6325"/>
                    <a:stretch/>
                  </pic:blipFill>
                  <pic:spPr bwMode="auto">
                    <a:xfrm>
                      <a:off x="0" y="0"/>
                      <a:ext cx="5497574" cy="7341981"/>
                    </a:xfrm>
                    <a:prstGeom prst="rect">
                      <a:avLst/>
                    </a:prstGeom>
                    <a:ln>
                      <a:noFill/>
                    </a:ln>
                    <a:extLst>
                      <a:ext uri="{53640926-AAD7-44D8-BBD7-CCE9431645EC}">
                        <a14:shadowObscured xmlns:a14="http://schemas.microsoft.com/office/drawing/2010/main"/>
                      </a:ext>
                    </a:extLst>
                  </pic:spPr>
                </pic:pic>
              </a:graphicData>
            </a:graphic>
          </wp:inline>
        </w:drawing>
      </w:r>
    </w:p>
    <w:p w14:paraId="16585155" w14:textId="4E2C9309" w:rsidR="00662235" w:rsidRPr="00ED4C8A" w:rsidRDefault="00662235" w:rsidP="00662235">
      <w:pPr>
        <w:spacing w:after="0" w:line="360" w:lineRule="auto"/>
        <w:ind w:right="34"/>
        <w:contextualSpacing/>
        <w:jc w:val="both"/>
        <w:rPr>
          <w:rFonts w:ascii="Palatino Linotype" w:eastAsia="MS Mincho" w:hAnsi="Palatino Linotype" w:cs="Times New Roman"/>
          <w:sz w:val="24"/>
          <w:szCs w:val="24"/>
          <w:lang w:val="es-ES_tradnl" w:eastAsia="es-ES"/>
        </w:rPr>
      </w:pPr>
      <w:r w:rsidRPr="00ED4C8A">
        <w:rPr>
          <w:rFonts w:ascii="Palatino Linotype" w:hAnsi="Palatino Linotype"/>
          <w:noProof/>
          <w:lang w:eastAsia="es-MX"/>
        </w:rPr>
        <w:lastRenderedPageBreak/>
        <w:drawing>
          <wp:inline distT="0" distB="0" distL="0" distR="0" wp14:anchorId="1F119338" wp14:editId="004981BF">
            <wp:extent cx="5545776" cy="73951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800" t="10157" r="32923" b="8578"/>
                    <a:stretch/>
                  </pic:blipFill>
                  <pic:spPr bwMode="auto">
                    <a:xfrm>
                      <a:off x="0" y="0"/>
                      <a:ext cx="5575231" cy="7434403"/>
                    </a:xfrm>
                    <a:prstGeom prst="rect">
                      <a:avLst/>
                    </a:prstGeom>
                    <a:ln>
                      <a:noFill/>
                    </a:ln>
                    <a:extLst>
                      <a:ext uri="{53640926-AAD7-44D8-BBD7-CCE9431645EC}">
                        <a14:shadowObscured xmlns:a14="http://schemas.microsoft.com/office/drawing/2010/main"/>
                      </a:ext>
                    </a:extLst>
                  </pic:spPr>
                </pic:pic>
              </a:graphicData>
            </a:graphic>
          </wp:inline>
        </w:drawing>
      </w:r>
    </w:p>
    <w:p w14:paraId="4C9D3DE3" w14:textId="2DC15669" w:rsidR="007D29EA" w:rsidRPr="00ED4C8A" w:rsidRDefault="00662235" w:rsidP="00662235">
      <w:pPr>
        <w:spacing w:after="0" w:line="360" w:lineRule="auto"/>
        <w:ind w:right="34"/>
        <w:contextualSpacing/>
        <w:jc w:val="both"/>
        <w:rPr>
          <w:rFonts w:ascii="Palatino Linotype" w:eastAsia="MS Mincho" w:hAnsi="Palatino Linotype" w:cs="Times New Roman"/>
          <w:sz w:val="24"/>
          <w:szCs w:val="24"/>
          <w:lang w:val="es-ES_tradnl" w:eastAsia="es-ES"/>
        </w:rPr>
      </w:pPr>
      <w:r w:rsidRPr="00ED4C8A">
        <w:rPr>
          <w:rFonts w:ascii="Palatino Linotype" w:hAnsi="Palatino Linotype"/>
          <w:noProof/>
          <w:lang w:eastAsia="es-MX"/>
        </w:rPr>
        <w:lastRenderedPageBreak/>
        <w:drawing>
          <wp:inline distT="0" distB="0" distL="0" distR="0" wp14:anchorId="6D1CB7F5" wp14:editId="01CA2C97">
            <wp:extent cx="5545776" cy="766746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03" t="10910" r="33980" b="7440"/>
                    <a:stretch/>
                  </pic:blipFill>
                  <pic:spPr bwMode="auto">
                    <a:xfrm>
                      <a:off x="0" y="0"/>
                      <a:ext cx="5553337" cy="7677915"/>
                    </a:xfrm>
                    <a:prstGeom prst="rect">
                      <a:avLst/>
                    </a:prstGeom>
                    <a:ln>
                      <a:noFill/>
                    </a:ln>
                    <a:extLst>
                      <a:ext uri="{53640926-AAD7-44D8-BBD7-CCE9431645EC}">
                        <a14:shadowObscured xmlns:a14="http://schemas.microsoft.com/office/drawing/2010/main"/>
                      </a:ext>
                    </a:extLst>
                  </pic:spPr>
                </pic:pic>
              </a:graphicData>
            </a:graphic>
          </wp:inline>
        </w:drawing>
      </w:r>
    </w:p>
    <w:p w14:paraId="271FE6A6" w14:textId="71CF43CD" w:rsidR="00662235" w:rsidRPr="00ED4C8A" w:rsidRDefault="00662235" w:rsidP="00662235">
      <w:pPr>
        <w:spacing w:after="0" w:line="360" w:lineRule="auto"/>
        <w:ind w:right="34"/>
        <w:contextualSpacing/>
        <w:jc w:val="both"/>
        <w:rPr>
          <w:rFonts w:ascii="Palatino Linotype" w:eastAsia="MS Mincho" w:hAnsi="Palatino Linotype" w:cs="Times New Roman"/>
          <w:sz w:val="24"/>
          <w:szCs w:val="24"/>
          <w:lang w:val="es-ES_tradnl" w:eastAsia="es-ES"/>
        </w:rPr>
      </w:pPr>
      <w:r w:rsidRPr="00ED4C8A">
        <w:rPr>
          <w:rFonts w:ascii="Palatino Linotype" w:hAnsi="Palatino Linotype"/>
          <w:noProof/>
          <w:lang w:eastAsia="es-MX"/>
        </w:rPr>
        <w:lastRenderedPageBreak/>
        <w:drawing>
          <wp:inline distT="0" distB="0" distL="0" distR="0" wp14:anchorId="3768F933" wp14:editId="512CD864">
            <wp:extent cx="5545776" cy="7395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801" t="14296" r="33557" b="5942"/>
                    <a:stretch/>
                  </pic:blipFill>
                  <pic:spPr bwMode="auto">
                    <a:xfrm>
                      <a:off x="0" y="0"/>
                      <a:ext cx="5568003" cy="7425216"/>
                    </a:xfrm>
                    <a:prstGeom prst="rect">
                      <a:avLst/>
                    </a:prstGeom>
                    <a:ln>
                      <a:noFill/>
                    </a:ln>
                    <a:extLst>
                      <a:ext uri="{53640926-AAD7-44D8-BBD7-CCE9431645EC}">
                        <a14:shadowObscured xmlns:a14="http://schemas.microsoft.com/office/drawing/2010/main"/>
                      </a:ext>
                    </a:extLst>
                  </pic:spPr>
                </pic:pic>
              </a:graphicData>
            </a:graphic>
          </wp:inline>
        </w:drawing>
      </w:r>
    </w:p>
    <w:p w14:paraId="1B82DE9F" w14:textId="78044491" w:rsidR="00662235" w:rsidRPr="00ED4C8A" w:rsidRDefault="00662235" w:rsidP="00662235">
      <w:pPr>
        <w:spacing w:after="0" w:line="360" w:lineRule="auto"/>
        <w:ind w:right="34"/>
        <w:contextualSpacing/>
        <w:jc w:val="both"/>
        <w:rPr>
          <w:rFonts w:ascii="Palatino Linotype" w:eastAsia="MS Mincho" w:hAnsi="Palatino Linotype" w:cs="Times New Roman"/>
          <w:sz w:val="24"/>
          <w:szCs w:val="24"/>
          <w:lang w:val="es-ES_tradnl" w:eastAsia="es-ES"/>
        </w:rPr>
      </w:pPr>
      <w:r w:rsidRPr="00ED4C8A">
        <w:rPr>
          <w:rFonts w:ascii="Palatino Linotype" w:hAnsi="Palatino Linotype"/>
          <w:noProof/>
          <w:lang w:eastAsia="es-MX"/>
        </w:rPr>
        <w:lastRenderedPageBreak/>
        <w:drawing>
          <wp:inline distT="0" distB="0" distL="0" distR="0" wp14:anchorId="3F66F3AD" wp14:editId="6B9EF7CE">
            <wp:extent cx="5545776" cy="69001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166" t="9029" r="32288" b="12338"/>
                    <a:stretch/>
                  </pic:blipFill>
                  <pic:spPr bwMode="auto">
                    <a:xfrm>
                      <a:off x="0" y="0"/>
                      <a:ext cx="5569734" cy="6929931"/>
                    </a:xfrm>
                    <a:prstGeom prst="rect">
                      <a:avLst/>
                    </a:prstGeom>
                    <a:ln>
                      <a:noFill/>
                    </a:ln>
                    <a:extLst>
                      <a:ext uri="{53640926-AAD7-44D8-BBD7-CCE9431645EC}">
                        <a14:shadowObscured xmlns:a14="http://schemas.microsoft.com/office/drawing/2010/main"/>
                      </a:ext>
                    </a:extLst>
                  </pic:spPr>
                </pic:pic>
              </a:graphicData>
            </a:graphic>
          </wp:inline>
        </w:drawing>
      </w:r>
    </w:p>
    <w:p w14:paraId="32F83155" w14:textId="1DE9E277" w:rsidR="007D29EA" w:rsidRPr="00ED4C8A" w:rsidRDefault="00662235"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lastRenderedPageBreak/>
        <w:t xml:space="preserve">En este sentido, </w:t>
      </w:r>
      <w:r w:rsidRPr="00ED4C8A">
        <w:rPr>
          <w:rFonts w:ascii="Palatino Linotype" w:hAnsi="Palatino Linotype" w:cs="Arial"/>
          <w:sz w:val="24"/>
          <w:szCs w:val="24"/>
        </w:rPr>
        <w:t xml:space="preserve">de los preceptos en cita se advierte que, </w:t>
      </w:r>
      <w:r w:rsidRPr="00ED4C8A">
        <w:rPr>
          <w:rFonts w:ascii="Palatino Linotype" w:hAnsi="Palatino Linotype" w:cs="Arial"/>
          <w:sz w:val="24"/>
          <w:szCs w:val="24"/>
          <w:u w:val="single"/>
        </w:rPr>
        <w:t xml:space="preserve">los servidores públicos tienen la obligación de hacer la entrega del área de la que son Titulares cuando se separen de su empleo, cargo o comisión, </w:t>
      </w:r>
      <w:r w:rsidRPr="00ED4C8A">
        <w:rPr>
          <w:rFonts w:ascii="Palatino Linotype" w:hAnsi="Palatino Linotype" w:cs="Arial"/>
          <w:b/>
          <w:bCs/>
          <w:sz w:val="24"/>
          <w:szCs w:val="24"/>
          <w:u w:val="single"/>
        </w:rPr>
        <w:t>por cualquier motivo, incluyendo las licencias, suplencias, encargos o término del periodo constitucional, en los términos de la legislación aplicable</w:t>
      </w:r>
      <w:r w:rsidRPr="00ED4C8A">
        <w:rPr>
          <w:rFonts w:ascii="Palatino Linotype" w:hAnsi="Palatino Linotype" w:cs="Arial"/>
          <w:sz w:val="24"/>
          <w:szCs w:val="24"/>
        </w:rPr>
        <w:t xml:space="preserve">; asimismo, </w:t>
      </w:r>
      <w:r w:rsidRPr="00ED4C8A">
        <w:rPr>
          <w:rFonts w:ascii="Palatino Linotype" w:hAnsi="Palatino Linotype" w:cs="Arial"/>
          <w:b/>
          <w:bCs/>
          <w:sz w:val="24"/>
          <w:szCs w:val="24"/>
          <w:u w:val="single"/>
        </w:rPr>
        <w:t>los documentos de entrega-recepción deberán constar en un acta administrativa y sus anexos en la que intervendrán los sujetos obligados entrante y saliente, los testigos correspondientes, el representante del Órgano de Control Interno</w:t>
      </w:r>
      <w:r w:rsidRPr="00ED4C8A">
        <w:rPr>
          <w:rFonts w:ascii="Palatino Linotype" w:hAnsi="Palatino Linotype" w:cs="Arial"/>
          <w:b/>
          <w:sz w:val="24"/>
          <w:szCs w:val="24"/>
          <w:u w:val="single"/>
        </w:rPr>
        <w:t xml:space="preserve"> y a falta de éste un representante de la Secretaría de la Contraloría</w:t>
      </w:r>
      <w:r w:rsidRPr="00ED4C8A">
        <w:rPr>
          <w:rFonts w:ascii="Palatino Linotype" w:hAnsi="Palatino Linotype" w:cs="Arial"/>
          <w:b/>
          <w:sz w:val="24"/>
          <w:szCs w:val="24"/>
        </w:rPr>
        <w:t>.</w:t>
      </w:r>
    </w:p>
    <w:p w14:paraId="4D71ADEF" w14:textId="77777777" w:rsidR="007D29EA" w:rsidRPr="00ED4C8A" w:rsidRDefault="007D29EA" w:rsidP="00DF57C9">
      <w:pPr>
        <w:spacing w:after="0" w:line="360" w:lineRule="auto"/>
        <w:ind w:right="34"/>
        <w:contextualSpacing/>
        <w:jc w:val="both"/>
        <w:rPr>
          <w:rFonts w:ascii="Palatino Linotype" w:eastAsia="MS Mincho" w:hAnsi="Palatino Linotype" w:cs="Times New Roman"/>
          <w:sz w:val="24"/>
          <w:szCs w:val="24"/>
          <w:lang w:val="es-ES_tradnl" w:eastAsia="es-ES"/>
        </w:rPr>
      </w:pPr>
    </w:p>
    <w:p w14:paraId="3D3D30BE" w14:textId="31F5C09E" w:rsidR="00662235" w:rsidRPr="00ED4C8A" w:rsidRDefault="00DF57C9"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Conforme a lo anterior, </w:t>
      </w:r>
      <w:r w:rsidR="00233275" w:rsidRPr="00ED4C8A">
        <w:rPr>
          <w:rFonts w:ascii="Palatino Linotype" w:eastAsia="MS Mincho" w:hAnsi="Palatino Linotype" w:cs="Times New Roman"/>
          <w:sz w:val="24"/>
          <w:szCs w:val="24"/>
          <w:lang w:val="es-ES_tradnl" w:eastAsia="es-ES"/>
        </w:rPr>
        <w:t xml:space="preserve">se tiene que </w:t>
      </w:r>
      <w:r w:rsidRPr="00ED4C8A">
        <w:rPr>
          <w:rFonts w:ascii="Palatino Linotype" w:eastAsia="MS Mincho" w:hAnsi="Palatino Linotype" w:cs="Times New Roman"/>
          <w:sz w:val="24"/>
          <w:szCs w:val="24"/>
          <w:lang w:val="es-ES_tradnl" w:eastAsia="es-ES"/>
        </w:rPr>
        <w:t xml:space="preserve">la información requerida por el Particular se refiere a las </w:t>
      </w:r>
      <w:r w:rsidRPr="00ED4C8A">
        <w:rPr>
          <w:rFonts w:ascii="Palatino Linotype" w:eastAsia="MS Mincho" w:hAnsi="Palatino Linotype" w:cs="Times New Roman"/>
          <w:b/>
          <w:bCs/>
          <w:sz w:val="24"/>
          <w:szCs w:val="24"/>
          <w:u w:val="single"/>
          <w:lang w:val="es-ES_tradnl" w:eastAsia="es-ES"/>
        </w:rPr>
        <w:t>licencias solicitadas</w:t>
      </w:r>
      <w:r w:rsidR="00233275" w:rsidRPr="00ED4C8A">
        <w:rPr>
          <w:rFonts w:ascii="Palatino Linotype" w:eastAsia="MS Mincho" w:hAnsi="Palatino Linotype" w:cs="Times New Roman"/>
          <w:b/>
          <w:bCs/>
          <w:sz w:val="24"/>
          <w:szCs w:val="24"/>
          <w:u w:val="single"/>
          <w:lang w:val="es-ES_tradnl" w:eastAsia="es-ES"/>
        </w:rPr>
        <w:t xml:space="preserve"> por tres Regidores</w:t>
      </w:r>
      <w:r w:rsidR="00BF77EB" w:rsidRPr="00ED4C8A">
        <w:rPr>
          <w:rFonts w:ascii="Palatino Linotype" w:eastAsia="MS Mincho" w:hAnsi="Palatino Linotype" w:cs="Times New Roman"/>
          <w:b/>
          <w:bCs/>
          <w:sz w:val="24"/>
          <w:szCs w:val="24"/>
          <w:u w:val="single"/>
          <w:lang w:val="es-ES_tradnl" w:eastAsia="es-ES"/>
        </w:rPr>
        <w:t>,</w:t>
      </w:r>
      <w:r w:rsidRPr="00ED4C8A">
        <w:rPr>
          <w:rFonts w:ascii="Palatino Linotype" w:eastAsia="MS Mincho" w:hAnsi="Palatino Linotype" w:cs="Times New Roman"/>
          <w:sz w:val="24"/>
          <w:szCs w:val="24"/>
          <w:lang w:val="es-ES_tradnl" w:eastAsia="es-ES"/>
        </w:rPr>
        <w:t xml:space="preserve"> conforme a lo expuesto en la solicitud de información:</w:t>
      </w:r>
    </w:p>
    <w:p w14:paraId="263FA0F7" w14:textId="77777777" w:rsidR="002A6833" w:rsidRPr="00ED4C8A" w:rsidRDefault="002A6833" w:rsidP="002A6833">
      <w:pPr>
        <w:spacing w:after="0" w:line="360" w:lineRule="auto"/>
        <w:ind w:right="34"/>
        <w:contextualSpacing/>
        <w:jc w:val="both"/>
        <w:rPr>
          <w:rFonts w:ascii="Palatino Linotype" w:eastAsia="MS Mincho" w:hAnsi="Palatino Linotype" w:cs="Times New Roman"/>
          <w:sz w:val="24"/>
          <w:szCs w:val="24"/>
          <w:lang w:val="es-ES_tradnl" w:eastAsia="es-ES"/>
        </w:rPr>
      </w:pPr>
    </w:p>
    <w:p w14:paraId="2C674F01" w14:textId="2D26C599" w:rsidR="00662235" w:rsidRPr="00ED4C8A" w:rsidRDefault="00DF57C9" w:rsidP="002A6833">
      <w:pPr>
        <w:pStyle w:val="Prrafodelista"/>
        <w:numPr>
          <w:ilvl w:val="0"/>
          <w:numId w:val="38"/>
        </w:numPr>
        <w:spacing w:after="0" w:line="360" w:lineRule="auto"/>
        <w:ind w:right="567" w:hanging="153"/>
        <w:jc w:val="both"/>
        <w:rPr>
          <w:rFonts w:ascii="Palatino Linotype" w:eastAsia="MS Mincho" w:hAnsi="Palatino Linotype" w:cs="Times New Roman"/>
          <w:b/>
          <w:bCs/>
          <w:lang w:val="es-ES_tradnl" w:eastAsia="es-ES"/>
        </w:rPr>
      </w:pPr>
      <w:r w:rsidRPr="00ED4C8A">
        <w:rPr>
          <w:rFonts w:ascii="Palatino Linotype" w:eastAsia="MS Mincho" w:hAnsi="Palatino Linotype" w:cs="Times New Roman"/>
          <w:b/>
          <w:bCs/>
          <w:lang w:val="es-ES_tradnl" w:eastAsia="es-ES"/>
        </w:rPr>
        <w:t>Licencia solicitada por la Segunda Regidora, concedida</w:t>
      </w:r>
      <w:r w:rsidR="002A6833" w:rsidRPr="00ED4C8A">
        <w:rPr>
          <w:rFonts w:ascii="Palatino Linotype" w:eastAsia="MS Mincho" w:hAnsi="Palatino Linotype" w:cs="Times New Roman"/>
          <w:b/>
          <w:bCs/>
          <w:lang w:val="es-ES_tradnl" w:eastAsia="es-ES"/>
        </w:rPr>
        <w:t xml:space="preserve"> en la Sexagésima Segunda Sesión </w:t>
      </w:r>
      <w:r w:rsidR="002A6833" w:rsidRPr="00ED4C8A">
        <w:rPr>
          <w:rFonts w:ascii="Palatino Linotype" w:hAnsi="Palatino Linotype"/>
          <w:b/>
          <w:bCs/>
          <w:color w:val="000000"/>
        </w:rPr>
        <w:t>Extraordinaria de Cabildo celebrada el 22 de abril del 2021</w:t>
      </w:r>
    </w:p>
    <w:p w14:paraId="0241C870" w14:textId="2FB24509" w:rsidR="002A6833" w:rsidRPr="00ED4C8A" w:rsidRDefault="002A6833" w:rsidP="002A6833">
      <w:pPr>
        <w:pStyle w:val="Prrafodelista"/>
        <w:numPr>
          <w:ilvl w:val="0"/>
          <w:numId w:val="38"/>
        </w:numPr>
        <w:spacing w:after="0" w:line="360" w:lineRule="auto"/>
        <w:ind w:right="567" w:hanging="153"/>
        <w:jc w:val="both"/>
        <w:rPr>
          <w:rFonts w:ascii="Palatino Linotype" w:eastAsia="MS Mincho" w:hAnsi="Palatino Linotype" w:cs="Times New Roman"/>
          <w:b/>
          <w:bCs/>
          <w:lang w:val="es-ES_tradnl" w:eastAsia="es-ES"/>
        </w:rPr>
      </w:pPr>
      <w:r w:rsidRPr="00ED4C8A">
        <w:rPr>
          <w:rFonts w:ascii="Palatino Linotype" w:eastAsia="MS Mincho" w:hAnsi="Palatino Linotype" w:cs="Times New Roman"/>
          <w:b/>
          <w:bCs/>
          <w:lang w:val="es-ES_tradnl" w:eastAsia="es-ES"/>
        </w:rPr>
        <w:t xml:space="preserve">Licencia solicitada por el Décimo Regidor, </w:t>
      </w:r>
      <w:r w:rsidRPr="00ED4C8A">
        <w:rPr>
          <w:rFonts w:ascii="Palatino Linotype" w:hAnsi="Palatino Linotype"/>
          <w:b/>
          <w:bCs/>
          <w:color w:val="000000"/>
        </w:rPr>
        <w:t>concedida en la Sexagésima Segunda Sesión extraordinaria de Cabildo celebrada el 22 de abril del 2021.</w:t>
      </w:r>
    </w:p>
    <w:p w14:paraId="4790F817" w14:textId="750F7ED1" w:rsidR="00DF57C9" w:rsidRPr="00ED4C8A" w:rsidRDefault="002A6833" w:rsidP="00BF77EB">
      <w:pPr>
        <w:pStyle w:val="Prrafodelista"/>
        <w:numPr>
          <w:ilvl w:val="0"/>
          <w:numId w:val="38"/>
        </w:numPr>
        <w:spacing w:after="0" w:line="360" w:lineRule="auto"/>
        <w:ind w:right="567" w:hanging="153"/>
        <w:jc w:val="both"/>
        <w:rPr>
          <w:rFonts w:ascii="Palatino Linotype" w:eastAsia="MS Mincho" w:hAnsi="Palatino Linotype" w:cs="Times New Roman"/>
          <w:b/>
          <w:bCs/>
          <w:lang w:val="es-ES_tradnl" w:eastAsia="es-ES"/>
        </w:rPr>
      </w:pPr>
      <w:r w:rsidRPr="00ED4C8A">
        <w:rPr>
          <w:rFonts w:ascii="Palatino Linotype" w:eastAsia="MS Mincho" w:hAnsi="Palatino Linotype" w:cs="Times New Roman"/>
          <w:b/>
          <w:bCs/>
          <w:lang w:val="es-ES_tradnl" w:eastAsia="es-ES"/>
        </w:rPr>
        <w:t xml:space="preserve">Licencia solicitada por el Décimo Primer Regidor, </w:t>
      </w:r>
      <w:r w:rsidRPr="00ED4C8A">
        <w:rPr>
          <w:rFonts w:ascii="Palatino Linotype" w:hAnsi="Palatino Linotype"/>
          <w:b/>
          <w:bCs/>
          <w:color w:val="000000"/>
        </w:rPr>
        <w:t>concedida en la Sexagésima Sesión Extraordinaria de Cabildo celebrada el 22 de abril del 2021.</w:t>
      </w:r>
      <w:r w:rsidR="00BF77EB" w:rsidRPr="00ED4C8A">
        <w:rPr>
          <w:rFonts w:ascii="Palatino Linotype" w:hAnsi="Palatino Linotype"/>
          <w:b/>
          <w:bCs/>
          <w:color w:val="000000"/>
        </w:rPr>
        <w:t xml:space="preserve"> </w:t>
      </w:r>
    </w:p>
    <w:p w14:paraId="6E81143B" w14:textId="77777777" w:rsidR="00BF77EB" w:rsidRPr="00ED4C8A" w:rsidRDefault="00BF77EB" w:rsidP="00BF77EB">
      <w:pPr>
        <w:spacing w:after="0" w:line="360" w:lineRule="auto"/>
        <w:ind w:right="567"/>
        <w:jc w:val="both"/>
        <w:rPr>
          <w:rFonts w:ascii="Palatino Linotype" w:eastAsia="MS Mincho" w:hAnsi="Palatino Linotype" w:cs="Times New Roman"/>
          <w:lang w:val="es-ES_tradnl" w:eastAsia="es-ES"/>
        </w:rPr>
      </w:pPr>
    </w:p>
    <w:p w14:paraId="0C43C4C8" w14:textId="0176AB2F" w:rsidR="00BF77EB" w:rsidRPr="00ED4C8A" w:rsidRDefault="00233275" w:rsidP="0023327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lastRenderedPageBreak/>
        <w:t xml:space="preserve">Una vez precisado lo anterior, el </w:t>
      </w:r>
      <w:r w:rsidRPr="00ED4C8A">
        <w:rPr>
          <w:rFonts w:ascii="Palatino Linotype" w:hAnsi="Palatino Linotype" w:cs="Arial"/>
          <w:b/>
          <w:sz w:val="24"/>
          <w:szCs w:val="24"/>
        </w:rPr>
        <w:t>SUJETO OBLIGADO</w:t>
      </w:r>
      <w:r w:rsidRPr="00ED4C8A">
        <w:rPr>
          <w:rFonts w:ascii="Palatino Linotype" w:hAnsi="Palatino Linotype" w:cs="Arial"/>
          <w:sz w:val="24"/>
          <w:szCs w:val="24"/>
        </w:rPr>
        <w:t xml:space="preserve"> acorde a sus atribuciones, funciones, facultades o competencias se encuentra en posibilidad de facilitar las actas</w:t>
      </w:r>
      <w:r w:rsidR="00BF77EB" w:rsidRPr="00ED4C8A">
        <w:rPr>
          <w:rFonts w:ascii="Palatino Linotype" w:hAnsi="Palatino Linotype" w:cs="Arial"/>
          <w:sz w:val="24"/>
          <w:szCs w:val="24"/>
        </w:rPr>
        <w:t xml:space="preserve"> administrativas</w:t>
      </w:r>
      <w:r w:rsidRPr="00ED4C8A">
        <w:rPr>
          <w:rFonts w:ascii="Palatino Linotype" w:hAnsi="Palatino Linotype" w:cs="Arial"/>
          <w:sz w:val="24"/>
          <w:szCs w:val="24"/>
        </w:rPr>
        <w:t xml:space="preserve"> de entrega recepción requerida</w:t>
      </w:r>
      <w:r w:rsidR="00BF77EB" w:rsidRPr="00ED4C8A">
        <w:rPr>
          <w:rFonts w:ascii="Palatino Linotype" w:hAnsi="Palatino Linotype" w:cs="Arial"/>
          <w:sz w:val="24"/>
          <w:szCs w:val="24"/>
        </w:rPr>
        <w:t>s</w:t>
      </w:r>
      <w:r w:rsidRPr="00ED4C8A">
        <w:rPr>
          <w:rFonts w:ascii="Palatino Linotype" w:hAnsi="Palatino Linotype" w:cs="Arial"/>
          <w:sz w:val="24"/>
          <w:szCs w:val="24"/>
        </w:rPr>
        <w:t xml:space="preserve"> mediante solicitud de acceso a la información pública por parte del </w:t>
      </w:r>
      <w:r w:rsidRPr="00ED4C8A">
        <w:rPr>
          <w:rFonts w:ascii="Palatino Linotype" w:hAnsi="Palatino Linotype" w:cs="Arial"/>
          <w:b/>
          <w:sz w:val="24"/>
          <w:szCs w:val="24"/>
        </w:rPr>
        <w:t>RECURRENTE.</w:t>
      </w:r>
    </w:p>
    <w:p w14:paraId="34EEFF6B" w14:textId="77777777" w:rsidR="00BF77EB" w:rsidRPr="00ED4C8A" w:rsidRDefault="00BF77EB" w:rsidP="00233275">
      <w:pPr>
        <w:spacing w:after="0" w:line="360" w:lineRule="auto"/>
        <w:ind w:right="34"/>
        <w:contextualSpacing/>
        <w:jc w:val="both"/>
        <w:rPr>
          <w:rFonts w:ascii="Palatino Linotype" w:eastAsia="MS Mincho" w:hAnsi="Palatino Linotype" w:cs="Times New Roman"/>
          <w:sz w:val="24"/>
          <w:szCs w:val="24"/>
          <w:lang w:val="es-ES_tradnl" w:eastAsia="es-ES"/>
        </w:rPr>
      </w:pPr>
    </w:p>
    <w:p w14:paraId="685FC687" w14:textId="1E02F20E" w:rsidR="00662235" w:rsidRPr="00ED4C8A" w:rsidRDefault="006C5D03"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Ahora bien, </w:t>
      </w:r>
      <w:r w:rsidRPr="00ED4C8A">
        <w:rPr>
          <w:rFonts w:ascii="Palatino Linotype" w:eastAsia="Palatino Linotype" w:hAnsi="Palatino Linotype" w:cs="Palatino Linotype"/>
          <w:sz w:val="24"/>
          <w:szCs w:val="24"/>
        </w:rPr>
        <w:t>en el supuesto de que el S</w:t>
      </w:r>
      <w:r w:rsidRPr="00ED4C8A">
        <w:rPr>
          <w:rFonts w:ascii="Palatino Linotype" w:eastAsia="Palatino Linotype" w:hAnsi="Palatino Linotype" w:cs="Palatino Linotype"/>
          <w:b/>
          <w:sz w:val="24"/>
          <w:szCs w:val="24"/>
        </w:rPr>
        <w:t>UJETO OBLIGADO</w:t>
      </w:r>
      <w:r w:rsidRPr="00ED4C8A">
        <w:rPr>
          <w:rFonts w:ascii="Palatino Linotype" w:eastAsia="Palatino Linotype" w:hAnsi="Palatino Linotype" w:cs="Palatino Linotype"/>
          <w:sz w:val="24"/>
          <w:szCs w:val="24"/>
        </w:rPr>
        <w:t xml:space="preserve"> no localice la información solicitada, el Comité de Transparencia deberá emitir el Acuerdo de la</w:t>
      </w:r>
      <w:r w:rsidRPr="00ED4C8A">
        <w:rPr>
          <w:rFonts w:ascii="Palatino Linotype" w:eastAsia="Palatino Linotype" w:hAnsi="Palatino Linotype" w:cs="Palatino Linotype"/>
          <w:b/>
          <w:sz w:val="24"/>
          <w:szCs w:val="24"/>
        </w:rPr>
        <w:t xml:space="preserve"> declaratoria de inexistencia</w:t>
      </w:r>
      <w:r w:rsidRPr="00ED4C8A">
        <w:rPr>
          <w:rFonts w:ascii="Palatino Linotype" w:eastAsia="Palatino Linotype" w:hAnsi="Palatino Linotype" w:cs="Palatino Linotype"/>
          <w:sz w:val="24"/>
          <w:szCs w:val="24"/>
        </w:rPr>
        <w:t>, debidamente fundado y motivado conforme a lo dispuesto en los artículos 19, 49 fracción III, 169 fracción II y 170 de la Ley de Transparencia y Acceso a la Información Pública del Estado de México y Municipios, que establecen la forma en que los Sujetos Obligados deben dar curso; preceptos que se transcriben a continuación:</w:t>
      </w:r>
    </w:p>
    <w:p w14:paraId="6E73B095" w14:textId="6C0C2D2F" w:rsidR="006C5D03" w:rsidRPr="00ED4C8A" w:rsidRDefault="006C5D03" w:rsidP="006C5D03">
      <w:pPr>
        <w:rPr>
          <w:rFonts w:ascii="Palatino Linotype" w:eastAsia="MS Mincho" w:hAnsi="Palatino Linotype" w:cs="Times New Roman"/>
          <w:sz w:val="24"/>
          <w:szCs w:val="24"/>
          <w:lang w:val="es-ES_tradnl" w:eastAsia="es-ES"/>
        </w:rPr>
      </w:pPr>
    </w:p>
    <w:p w14:paraId="1F5F97BF" w14:textId="77777777" w:rsidR="006C5D03" w:rsidRPr="00ED4C8A" w:rsidRDefault="006C5D03" w:rsidP="006C5D03">
      <w:pPr>
        <w:shd w:val="clear" w:color="auto" w:fill="FFFFFF"/>
        <w:spacing w:before="240" w:after="240" w:line="240" w:lineRule="auto"/>
        <w:ind w:left="567" w:right="851"/>
        <w:jc w:val="both"/>
        <w:rPr>
          <w:rFonts w:ascii="Palatino Linotype" w:eastAsia="Palatino Linotype" w:hAnsi="Palatino Linotype" w:cs="Palatino Linotype"/>
          <w:i/>
        </w:rPr>
      </w:pPr>
      <w:r w:rsidRPr="00ED4C8A">
        <w:rPr>
          <w:rFonts w:ascii="Palatino Linotype" w:eastAsia="Palatino Linotype" w:hAnsi="Palatino Linotype" w:cs="Palatino Linotype"/>
          <w:b/>
          <w:i/>
        </w:rPr>
        <w:t>“Artículo 19.</w:t>
      </w:r>
      <w:r w:rsidRPr="00ED4C8A">
        <w:rPr>
          <w:rFonts w:ascii="Palatino Linotype" w:eastAsia="Palatino Linotype" w:hAnsi="Palatino Linotype" w:cs="Palatino Linotype"/>
          <w:i/>
        </w:rPr>
        <w:t xml:space="preserve"> Se presume que la información debe existir si se refiere a las facultades, competencias y funciones que los ordenamientos jurídicos aplicables otorgan a los sujetos obligados. </w:t>
      </w:r>
    </w:p>
    <w:p w14:paraId="314D3EB9" w14:textId="77777777" w:rsidR="006C5D03" w:rsidRPr="00ED4C8A" w:rsidRDefault="006C5D03" w:rsidP="006C5D03">
      <w:pPr>
        <w:shd w:val="clear" w:color="auto" w:fill="FFFFFF"/>
        <w:spacing w:before="240" w:after="240" w:line="240" w:lineRule="auto"/>
        <w:ind w:left="567" w:right="851"/>
        <w:jc w:val="both"/>
        <w:rPr>
          <w:rFonts w:ascii="Palatino Linotype" w:eastAsia="Palatino Linotype" w:hAnsi="Palatino Linotype" w:cs="Palatino Linotype"/>
          <w:i/>
        </w:rPr>
      </w:pPr>
      <w:r w:rsidRPr="00ED4C8A">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B6C0BDB" w14:textId="77777777" w:rsidR="006C5D03" w:rsidRPr="00ED4C8A" w:rsidRDefault="006C5D03" w:rsidP="006C5D03">
      <w:pPr>
        <w:shd w:val="clear" w:color="auto" w:fill="FFFFFF"/>
        <w:spacing w:line="240" w:lineRule="auto"/>
        <w:ind w:left="567" w:right="851"/>
        <w:jc w:val="both"/>
        <w:rPr>
          <w:rFonts w:ascii="Georgia" w:eastAsia="Georgia" w:hAnsi="Georgia" w:cs="Georgia"/>
        </w:rPr>
      </w:pPr>
      <w:r w:rsidRPr="00ED4C8A">
        <w:rPr>
          <w:rFonts w:ascii="Palatino Linotype" w:eastAsia="Palatino Linotype" w:hAnsi="Palatino Linotype" w:cs="Palatino Linotype"/>
          <w:b/>
          <w:i/>
        </w:rPr>
        <w:t>Artículo 49.</w:t>
      </w:r>
      <w:r w:rsidRPr="00ED4C8A">
        <w:rPr>
          <w:rFonts w:ascii="Palatino Linotype" w:eastAsia="Palatino Linotype" w:hAnsi="Palatino Linotype" w:cs="Palatino Linotype"/>
          <w:i/>
        </w:rPr>
        <w:t xml:space="preserve"> Los Comités de Transparencia tendrán las siguientes atribuciones:</w:t>
      </w:r>
    </w:p>
    <w:p w14:paraId="2A2E6614" w14:textId="65BA35C0" w:rsidR="006C5D03" w:rsidRPr="00ED4C8A" w:rsidRDefault="006C5D03" w:rsidP="006C5D03">
      <w:pPr>
        <w:spacing w:line="240" w:lineRule="auto"/>
        <w:ind w:left="567" w:right="851"/>
        <w:jc w:val="both"/>
        <w:rPr>
          <w:rFonts w:ascii="Palatino Linotype" w:eastAsia="Palatino Linotype" w:hAnsi="Palatino Linotype" w:cs="Palatino Linotype"/>
          <w:i/>
        </w:rPr>
      </w:pPr>
      <w:r w:rsidRPr="00ED4C8A">
        <w:rPr>
          <w:rFonts w:ascii="Palatino Linotype" w:eastAsia="Palatino Linotype" w:hAnsi="Palatino Linotype" w:cs="Palatino Linotype"/>
          <w:i/>
        </w:rPr>
        <w:t>(…)</w:t>
      </w:r>
    </w:p>
    <w:p w14:paraId="0CD73403" w14:textId="77777777" w:rsidR="006C5D03" w:rsidRPr="00ED4C8A" w:rsidRDefault="006C5D03" w:rsidP="006C5D03">
      <w:pPr>
        <w:shd w:val="clear" w:color="auto" w:fill="FFFFFF"/>
        <w:spacing w:line="240" w:lineRule="auto"/>
        <w:ind w:left="567" w:right="851"/>
        <w:jc w:val="both"/>
        <w:rPr>
          <w:rFonts w:ascii="Palatino Linotype" w:eastAsia="Palatino Linotype" w:hAnsi="Palatino Linotype" w:cs="Palatino Linotype"/>
          <w:i/>
        </w:rPr>
      </w:pPr>
      <w:r w:rsidRPr="00ED4C8A">
        <w:rPr>
          <w:rFonts w:ascii="Palatino Linotype" w:eastAsia="Palatino Linotype" w:hAnsi="Palatino Linotype" w:cs="Palatino Linotype"/>
          <w:i/>
        </w:rPr>
        <w:t xml:space="preserve">III. Ordenar, en su caso a las áreas competentes que generen la información que derivado de sus facultades, competencias y funciones deban tener en posesión o que </w:t>
      </w:r>
      <w:r w:rsidRPr="00ED4C8A">
        <w:rPr>
          <w:rFonts w:ascii="Palatino Linotype" w:eastAsia="Palatino Linotype" w:hAnsi="Palatino Linotype" w:cs="Palatino Linotype"/>
          <w:i/>
        </w:rPr>
        <w:lastRenderedPageBreak/>
        <w:t>previa acreditación de la imposibilidad de su generación, exponga, de forma fundada y  motivada las razones por las cuales, en el caso particular, no ejercieron dichas facultades, competencias o funciones;</w:t>
      </w:r>
    </w:p>
    <w:p w14:paraId="36F2FCA1" w14:textId="77777777" w:rsidR="006C5D03" w:rsidRPr="00ED4C8A" w:rsidRDefault="006C5D03" w:rsidP="006C5D03">
      <w:pPr>
        <w:shd w:val="clear" w:color="auto" w:fill="FFFFFF"/>
        <w:spacing w:line="240" w:lineRule="auto"/>
        <w:ind w:left="567" w:right="851"/>
        <w:jc w:val="both"/>
        <w:rPr>
          <w:rFonts w:ascii="Palatino Linotype" w:eastAsia="Palatino Linotype" w:hAnsi="Palatino Linotype" w:cs="Palatino Linotype"/>
          <w:i/>
        </w:rPr>
      </w:pPr>
      <w:r w:rsidRPr="00ED4C8A">
        <w:rPr>
          <w:rFonts w:ascii="Palatino Linotype" w:eastAsia="Palatino Linotype" w:hAnsi="Palatino Linotype" w:cs="Palatino Linotype"/>
          <w:i/>
        </w:rPr>
        <w:t>(…)</w:t>
      </w:r>
    </w:p>
    <w:p w14:paraId="22D28668" w14:textId="77777777" w:rsidR="006C5D03" w:rsidRPr="00ED4C8A" w:rsidRDefault="006C5D03" w:rsidP="006C5D03">
      <w:pPr>
        <w:shd w:val="clear" w:color="auto" w:fill="FFFFFF"/>
        <w:spacing w:line="240" w:lineRule="auto"/>
        <w:ind w:left="567" w:right="851"/>
        <w:jc w:val="both"/>
        <w:rPr>
          <w:rFonts w:ascii="Palatino Linotype" w:eastAsia="Palatino Linotype" w:hAnsi="Palatino Linotype" w:cs="Palatino Linotype"/>
          <w:i/>
        </w:rPr>
      </w:pPr>
    </w:p>
    <w:p w14:paraId="017AF610" w14:textId="77777777" w:rsidR="006C5D03" w:rsidRPr="00ED4C8A" w:rsidRDefault="006C5D03" w:rsidP="006C5D03">
      <w:pPr>
        <w:shd w:val="clear" w:color="auto" w:fill="FFFFFF"/>
        <w:spacing w:line="240" w:lineRule="auto"/>
        <w:ind w:left="567" w:right="851"/>
        <w:jc w:val="both"/>
        <w:rPr>
          <w:rFonts w:ascii="Georgia" w:eastAsia="Georgia" w:hAnsi="Georgia" w:cs="Georgia"/>
        </w:rPr>
      </w:pPr>
      <w:r w:rsidRPr="00ED4C8A">
        <w:rPr>
          <w:rFonts w:ascii="Palatino Linotype" w:eastAsia="Palatino Linotype" w:hAnsi="Palatino Linotype" w:cs="Palatino Linotype"/>
          <w:b/>
          <w:i/>
        </w:rPr>
        <w:t>Artículo 169.</w:t>
      </w:r>
      <w:r w:rsidRPr="00ED4C8A">
        <w:rPr>
          <w:rFonts w:ascii="Palatino Linotype" w:eastAsia="Palatino Linotype" w:hAnsi="Palatino Linotype" w:cs="Palatino Linotype"/>
          <w:i/>
        </w:rPr>
        <w:t xml:space="preserve"> Cuando la información no se encuentre en los archivos del sujeto obligado, el Comité de Transparencia:</w:t>
      </w:r>
    </w:p>
    <w:p w14:paraId="653E72B7" w14:textId="77777777" w:rsidR="006C5D03" w:rsidRPr="00ED4C8A" w:rsidRDefault="006C5D03" w:rsidP="006C5D03">
      <w:pPr>
        <w:shd w:val="clear" w:color="auto" w:fill="FFFFFF"/>
        <w:spacing w:line="240" w:lineRule="auto"/>
        <w:ind w:left="567" w:right="851"/>
        <w:jc w:val="both"/>
        <w:rPr>
          <w:rFonts w:ascii="Georgia" w:eastAsia="Georgia" w:hAnsi="Georgia" w:cs="Georgia"/>
        </w:rPr>
      </w:pPr>
      <w:r w:rsidRPr="00ED4C8A">
        <w:rPr>
          <w:rFonts w:ascii="Palatino Linotype" w:eastAsia="Palatino Linotype" w:hAnsi="Palatino Linotype" w:cs="Palatino Linotype"/>
          <w:i/>
        </w:rPr>
        <w:t>(…)</w:t>
      </w:r>
    </w:p>
    <w:p w14:paraId="27C3CB72" w14:textId="77777777" w:rsidR="006C5D03" w:rsidRPr="00ED4C8A" w:rsidRDefault="006C5D03" w:rsidP="006C5D03">
      <w:pPr>
        <w:shd w:val="clear" w:color="auto" w:fill="FFFFFF"/>
        <w:spacing w:line="240" w:lineRule="auto"/>
        <w:ind w:left="567" w:right="851"/>
        <w:jc w:val="both"/>
        <w:rPr>
          <w:rFonts w:ascii="Palatino Linotype" w:eastAsia="Palatino Linotype" w:hAnsi="Palatino Linotype" w:cs="Palatino Linotype"/>
          <w:i/>
        </w:rPr>
      </w:pPr>
      <w:r w:rsidRPr="00ED4C8A">
        <w:rPr>
          <w:rFonts w:ascii="Palatino Linotype" w:eastAsia="Palatino Linotype" w:hAnsi="Palatino Linotype" w:cs="Palatino Linotype"/>
          <w:i/>
        </w:rPr>
        <w:t>II. Expedirá una resolución que confirme la inexistencia del documento;</w:t>
      </w:r>
    </w:p>
    <w:p w14:paraId="7EF84FED" w14:textId="171F240C" w:rsidR="006C5D03" w:rsidRPr="00ED4C8A" w:rsidRDefault="006C5D03" w:rsidP="006C5D03">
      <w:pPr>
        <w:shd w:val="clear" w:color="auto" w:fill="FFFFFF"/>
        <w:spacing w:line="240" w:lineRule="auto"/>
        <w:ind w:left="567" w:right="851"/>
        <w:jc w:val="both"/>
        <w:rPr>
          <w:rFonts w:ascii="Palatino Linotype" w:eastAsia="Palatino Linotype" w:hAnsi="Palatino Linotype" w:cs="Palatino Linotype"/>
          <w:i/>
        </w:rPr>
      </w:pPr>
      <w:r w:rsidRPr="00ED4C8A">
        <w:rPr>
          <w:rFonts w:ascii="Palatino Linotype" w:eastAsia="Palatino Linotype" w:hAnsi="Palatino Linotype" w:cs="Palatino Linotype"/>
          <w:i/>
        </w:rPr>
        <w:t>(…)</w:t>
      </w:r>
    </w:p>
    <w:p w14:paraId="33ACF246" w14:textId="3C546FE0" w:rsidR="006C5D03" w:rsidRPr="00ED4C8A" w:rsidRDefault="006C5D03" w:rsidP="006C5D03">
      <w:pPr>
        <w:spacing w:line="240" w:lineRule="auto"/>
        <w:ind w:left="567" w:right="851"/>
        <w:jc w:val="both"/>
        <w:rPr>
          <w:rFonts w:ascii="Palatino Linotype" w:eastAsia="MS Mincho" w:hAnsi="Palatino Linotype" w:cs="Times New Roman"/>
          <w:sz w:val="24"/>
          <w:szCs w:val="24"/>
          <w:lang w:val="es-ES_tradnl" w:eastAsia="es-ES"/>
        </w:rPr>
      </w:pPr>
      <w:r w:rsidRPr="00ED4C8A">
        <w:rPr>
          <w:rFonts w:ascii="Palatino Linotype" w:eastAsia="Palatino Linotype" w:hAnsi="Palatino Linotype" w:cs="Palatino Linotype"/>
          <w:b/>
          <w:i/>
        </w:rPr>
        <w:t>Artículo 170.</w:t>
      </w:r>
      <w:r w:rsidRPr="00ED4C8A">
        <w:rPr>
          <w:rFonts w:ascii="Palatino Linotype" w:eastAsia="Palatino Linotype" w:hAnsi="Palatino Linotype" w:cs="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14:paraId="3EDF80DE" w14:textId="77777777" w:rsidR="006C5D03" w:rsidRPr="00ED4C8A" w:rsidRDefault="006C5D03" w:rsidP="006C5D03">
      <w:pPr>
        <w:rPr>
          <w:rFonts w:ascii="Palatino Linotype" w:eastAsia="MS Mincho" w:hAnsi="Palatino Linotype" w:cs="Times New Roman"/>
          <w:sz w:val="24"/>
          <w:szCs w:val="24"/>
          <w:lang w:val="es-ES_tradnl" w:eastAsia="es-ES"/>
        </w:rPr>
      </w:pPr>
    </w:p>
    <w:p w14:paraId="5F76A1D2" w14:textId="0F774F55" w:rsidR="006C5D03" w:rsidRPr="00ED4C8A" w:rsidRDefault="006C5D03" w:rsidP="006C5D0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De los </w:t>
      </w:r>
      <w:r w:rsidRPr="00ED4C8A">
        <w:rPr>
          <w:rFonts w:ascii="Palatino Linotype" w:eastAsia="Palatino Linotype" w:hAnsi="Palatino Linotype" w:cs="Palatino Linotype"/>
          <w:sz w:val="24"/>
          <w:szCs w:val="24"/>
        </w:rPr>
        <w:t>los dispositivos legales se desprende, que los Sujetos Obligados deben emitir la Declaratoria de Inexistencia precisando de manera enunciativa más no limitativa, las áreas en las que se instruyó la búsqueda, las respuestas otorgadas por los Servidores Públicos habilitados y las circunstancias que tomó en cuenta para determinar que la información requerida no obra en los archivos, debiendo notificar al interesado de tal circunstancia.</w:t>
      </w:r>
    </w:p>
    <w:p w14:paraId="78CF6D89" w14:textId="77777777" w:rsidR="006C5D03" w:rsidRPr="00ED4C8A" w:rsidRDefault="006C5D03" w:rsidP="006C5D03">
      <w:pPr>
        <w:spacing w:after="0" w:line="360" w:lineRule="auto"/>
        <w:ind w:right="34"/>
        <w:contextualSpacing/>
        <w:jc w:val="both"/>
        <w:rPr>
          <w:rFonts w:ascii="Palatino Linotype" w:eastAsia="MS Mincho" w:hAnsi="Palatino Linotype" w:cs="Times New Roman"/>
          <w:sz w:val="24"/>
          <w:szCs w:val="24"/>
          <w:lang w:val="es-ES_tradnl" w:eastAsia="es-ES"/>
        </w:rPr>
      </w:pPr>
    </w:p>
    <w:p w14:paraId="6FE493E9" w14:textId="3D6916BD" w:rsidR="006C5D03" w:rsidRPr="00ED4C8A" w:rsidRDefault="006C5D03" w:rsidP="00F67039">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lastRenderedPageBreak/>
        <w:t xml:space="preserve">Robustece </w:t>
      </w:r>
      <w:r w:rsidRPr="00ED4C8A">
        <w:rPr>
          <w:rFonts w:ascii="Palatino Linotype" w:eastAsia="Palatino Linotype" w:hAnsi="Palatino Linotype" w:cs="Palatino Linotype"/>
          <w:sz w:val="24"/>
          <w:szCs w:val="24"/>
        </w:rPr>
        <w:t>a lo anterior, los Criterios 0003-11 y 0004-11, emitidos por el Pleno de este Instituto, publicados en el periódico oficial del Estado de México “Gaceta del Gobierno”, el diecinueve de octubre de dos mil once, que establecen lo siguiente:</w:t>
      </w:r>
    </w:p>
    <w:p w14:paraId="7C7B0AD3" w14:textId="77777777" w:rsidR="006C5D03" w:rsidRPr="00ED4C8A" w:rsidRDefault="006C5D03" w:rsidP="006C5D03">
      <w:pPr>
        <w:spacing w:after="0" w:line="360" w:lineRule="auto"/>
        <w:ind w:left="567" w:right="567"/>
        <w:contextualSpacing/>
        <w:jc w:val="both"/>
        <w:rPr>
          <w:rFonts w:ascii="Palatino Linotype" w:eastAsia="MS Mincho" w:hAnsi="Palatino Linotype" w:cs="Times New Roman"/>
          <w:sz w:val="24"/>
          <w:szCs w:val="24"/>
          <w:lang w:val="es-ES_tradnl" w:eastAsia="es-ES"/>
        </w:rPr>
      </w:pPr>
    </w:p>
    <w:p w14:paraId="029191EB" w14:textId="77777777" w:rsidR="006C5D03" w:rsidRPr="00ED4C8A" w:rsidRDefault="006C5D03" w:rsidP="006C5D03">
      <w:pPr>
        <w:spacing w:line="240" w:lineRule="auto"/>
        <w:ind w:left="567" w:right="567"/>
        <w:jc w:val="center"/>
        <w:rPr>
          <w:rFonts w:ascii="Palatino Linotype" w:eastAsia="Palatino Linotype" w:hAnsi="Palatino Linotype" w:cs="Palatino Linotype"/>
          <w:b/>
          <w:i/>
        </w:rPr>
      </w:pPr>
      <w:r w:rsidRPr="00ED4C8A">
        <w:rPr>
          <w:rFonts w:ascii="Palatino Linotype" w:eastAsia="Palatino Linotype" w:hAnsi="Palatino Linotype" w:cs="Palatino Linotype"/>
          <w:i/>
        </w:rPr>
        <w:t>“</w:t>
      </w:r>
      <w:r w:rsidRPr="00ED4C8A">
        <w:rPr>
          <w:rFonts w:ascii="Palatino Linotype" w:eastAsia="Palatino Linotype" w:hAnsi="Palatino Linotype" w:cs="Palatino Linotype"/>
          <w:b/>
          <w:i/>
        </w:rPr>
        <w:t>CRITERIO 0003-11</w:t>
      </w:r>
    </w:p>
    <w:p w14:paraId="25979F44" w14:textId="77777777" w:rsidR="006C5D03" w:rsidRPr="00ED4C8A" w:rsidRDefault="006C5D03" w:rsidP="006C5D03">
      <w:pPr>
        <w:spacing w:line="240" w:lineRule="auto"/>
        <w:ind w:left="567" w:right="567"/>
        <w:jc w:val="both"/>
        <w:rPr>
          <w:rFonts w:ascii="Palatino Linotype" w:eastAsia="Palatino Linotype" w:hAnsi="Palatino Linotype" w:cs="Palatino Linotype"/>
          <w:i/>
        </w:rPr>
      </w:pPr>
      <w:r w:rsidRPr="00ED4C8A">
        <w:rPr>
          <w:rFonts w:ascii="Palatino Linotype" w:eastAsia="Palatino Linotype" w:hAnsi="Palatino Linotype" w:cs="Palatino Linotype"/>
          <w:b/>
          <w:i/>
        </w:rPr>
        <w:t>INEXISTENCIA, CONCEPTO DE, EN MATERIA DE TRANSPARENCIA.</w:t>
      </w:r>
      <w:r w:rsidRPr="00ED4C8A">
        <w:rPr>
          <w:rFonts w:ascii="Palatino Linotype" w:eastAsia="Palatino Linotype" w:hAnsi="Palatino Linotype" w:cs="Palatino Linotype"/>
          <w:i/>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44C5C4B4" w14:textId="77777777" w:rsidR="006C5D03" w:rsidRPr="00ED4C8A" w:rsidRDefault="006C5D03" w:rsidP="006C5D03">
      <w:pPr>
        <w:spacing w:line="240" w:lineRule="auto"/>
        <w:ind w:left="567" w:right="567"/>
        <w:jc w:val="both"/>
        <w:rPr>
          <w:rFonts w:ascii="Palatino Linotype" w:eastAsia="Palatino Linotype" w:hAnsi="Palatino Linotype" w:cs="Palatino Linotype"/>
          <w:i/>
        </w:rPr>
      </w:pPr>
      <w:r w:rsidRPr="00ED4C8A">
        <w:rPr>
          <w:rFonts w:ascii="Palatino Linotype" w:eastAsia="Palatino Linotype" w:hAnsi="Palatino Linotype" w:cs="Palatino Linotype"/>
          <w:i/>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7218056E" w14:textId="77777777" w:rsidR="006C5D03" w:rsidRPr="00ED4C8A" w:rsidRDefault="006C5D03" w:rsidP="006C5D03">
      <w:pPr>
        <w:spacing w:line="240" w:lineRule="auto"/>
        <w:ind w:left="567" w:right="567"/>
        <w:jc w:val="both"/>
        <w:rPr>
          <w:rFonts w:ascii="Palatino Linotype" w:eastAsia="Palatino Linotype" w:hAnsi="Palatino Linotype" w:cs="Palatino Linotype"/>
          <w:i/>
        </w:rPr>
      </w:pPr>
      <w:r w:rsidRPr="00ED4C8A">
        <w:rPr>
          <w:rFonts w:ascii="Palatino Linotype" w:eastAsia="Palatino Linotype" w:hAnsi="Palatino Linotype" w:cs="Palatino Linotype"/>
          <w:i/>
        </w:rPr>
        <w:t>b) En los casos en que por las atribuciones conferidas al Sujeto Obligado éste debió generar, administrar o poseer la información, pero en incumplimiento a la normatividad respectiva no llevó a cabo ninguna de es acciones.</w:t>
      </w:r>
    </w:p>
    <w:p w14:paraId="1E953736" w14:textId="77777777" w:rsidR="006C5D03" w:rsidRPr="00ED4C8A" w:rsidRDefault="006C5D03" w:rsidP="006C5D03">
      <w:pPr>
        <w:spacing w:line="240" w:lineRule="auto"/>
        <w:ind w:left="567" w:right="567"/>
        <w:jc w:val="both"/>
        <w:rPr>
          <w:rFonts w:ascii="Palatino Linotype" w:eastAsia="Palatino Linotype" w:hAnsi="Palatino Linotype" w:cs="Palatino Linotype"/>
          <w:i/>
        </w:rPr>
      </w:pPr>
      <w:r w:rsidRPr="00ED4C8A">
        <w:rPr>
          <w:rFonts w:ascii="Palatino Linotype" w:eastAsia="Palatino Linotype" w:hAnsi="Palatino Linotype" w:cs="Palatino Linotype"/>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Transparencia.”(Sic)</w:t>
      </w:r>
    </w:p>
    <w:p w14:paraId="5D73DBF8" w14:textId="77777777" w:rsidR="006C5D03" w:rsidRPr="00ED4C8A" w:rsidRDefault="006C5D03" w:rsidP="006C5D03">
      <w:pPr>
        <w:pStyle w:val="Prrafodelista"/>
        <w:tabs>
          <w:tab w:val="left" w:pos="426"/>
          <w:tab w:val="left" w:pos="567"/>
        </w:tabs>
        <w:spacing w:line="240" w:lineRule="auto"/>
        <w:ind w:left="567" w:right="567"/>
        <w:jc w:val="both"/>
        <w:rPr>
          <w:rFonts w:ascii="Palatino Linotype" w:eastAsia="Calibri" w:hAnsi="Palatino Linotype" w:cs="Arial"/>
          <w:color w:val="000000" w:themeColor="text1"/>
          <w:lang w:val="es-ES"/>
        </w:rPr>
      </w:pPr>
    </w:p>
    <w:p w14:paraId="40CAB2A1" w14:textId="77777777" w:rsidR="006C5D03" w:rsidRPr="00ED4C8A" w:rsidRDefault="006C5D03" w:rsidP="006C5D03">
      <w:pPr>
        <w:spacing w:line="240" w:lineRule="auto"/>
        <w:ind w:left="567" w:right="567"/>
        <w:jc w:val="center"/>
        <w:rPr>
          <w:rFonts w:ascii="Palatino Linotype" w:eastAsia="Palatino Linotype" w:hAnsi="Palatino Linotype" w:cs="Palatino Linotype"/>
          <w:b/>
          <w:i/>
        </w:rPr>
      </w:pPr>
      <w:r w:rsidRPr="00ED4C8A">
        <w:rPr>
          <w:rFonts w:ascii="Palatino Linotype" w:eastAsia="Palatino Linotype" w:hAnsi="Palatino Linotype" w:cs="Palatino Linotype"/>
          <w:b/>
          <w:i/>
        </w:rPr>
        <w:t>CRITERIO 0004-11</w:t>
      </w:r>
    </w:p>
    <w:p w14:paraId="01804A02" w14:textId="12F9D8A0" w:rsidR="006C5D03" w:rsidRPr="00ED4C8A" w:rsidRDefault="006C5D03" w:rsidP="006C5D03">
      <w:pPr>
        <w:spacing w:after="0" w:line="240" w:lineRule="auto"/>
        <w:ind w:left="567" w:right="567"/>
        <w:contextualSpacing/>
        <w:jc w:val="both"/>
        <w:rPr>
          <w:rFonts w:ascii="Palatino Linotype" w:eastAsia="Palatino Linotype" w:hAnsi="Palatino Linotype" w:cs="Palatino Linotype"/>
          <w:i/>
        </w:rPr>
      </w:pPr>
      <w:r w:rsidRPr="00ED4C8A">
        <w:rPr>
          <w:rFonts w:ascii="Palatino Linotype" w:eastAsia="Palatino Linotype" w:hAnsi="Palatino Linotype" w:cs="Palatino Linotype"/>
          <w:b/>
          <w:i/>
        </w:rPr>
        <w:t>INEXISTENCIA, DECLARATORIA DE LA. ALCANCES Y PROCEDIMIENTOS</w:t>
      </w:r>
      <w:r w:rsidRPr="00ED4C8A">
        <w:rPr>
          <w:rFonts w:ascii="Palatino Linotype" w:eastAsia="Palatino Linotype" w:hAnsi="Palatino Linotype" w:cs="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w:t>
      </w:r>
      <w:r w:rsidRPr="00ED4C8A">
        <w:rPr>
          <w:rFonts w:ascii="Palatino Linotype" w:eastAsia="Palatino Linotype" w:hAnsi="Palatino Linotype" w:cs="Palatino Linotype"/>
          <w:i/>
        </w:rPr>
        <w:lastRenderedPageBreak/>
        <w:t>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w:t>
      </w:r>
    </w:p>
    <w:p w14:paraId="6F50CDE0" w14:textId="77777777" w:rsidR="006C5D03" w:rsidRPr="00ED4C8A" w:rsidRDefault="006C5D03" w:rsidP="006C5D03">
      <w:pPr>
        <w:pStyle w:val="Prrafodelista"/>
        <w:tabs>
          <w:tab w:val="left" w:pos="426"/>
          <w:tab w:val="left" w:pos="567"/>
        </w:tabs>
        <w:spacing w:line="240" w:lineRule="auto"/>
        <w:ind w:left="567" w:right="565"/>
        <w:jc w:val="both"/>
        <w:rPr>
          <w:rFonts w:ascii="Palatino Linotype" w:eastAsia="Calibri" w:hAnsi="Palatino Linotype" w:cs="Arial"/>
          <w:color w:val="000000" w:themeColor="text1"/>
          <w:lang w:val="es-ES"/>
        </w:rPr>
      </w:pPr>
      <w:r w:rsidRPr="00ED4C8A">
        <w:rPr>
          <w:rFonts w:ascii="Palatino Linotype" w:eastAsia="Palatino Linotype" w:hAnsi="Palatino Linotype" w:cs="Palatino Linotype"/>
          <w:i/>
        </w:rPr>
        <w:t>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9F7105A" w14:textId="77777777" w:rsidR="006C5D03" w:rsidRPr="00ED4C8A" w:rsidRDefault="006C5D03" w:rsidP="006C5D03">
      <w:pPr>
        <w:spacing w:line="240" w:lineRule="auto"/>
        <w:ind w:left="567" w:right="565"/>
        <w:jc w:val="both"/>
        <w:rPr>
          <w:rFonts w:ascii="Palatino Linotype" w:eastAsia="Palatino Linotype" w:hAnsi="Palatino Linotype" w:cs="Palatino Linotype"/>
          <w:i/>
        </w:rPr>
      </w:pPr>
      <w:r w:rsidRPr="00ED4C8A">
        <w:rPr>
          <w:rFonts w:ascii="Palatino Linotype" w:eastAsia="Palatino Linotype" w:hAnsi="Palatino Linotype" w:cs="Palatino Linotype"/>
          <w:i/>
        </w:rPr>
        <w:t>Bajo el entendido de que dicha búsqueda exhaustiva permitirá dos determinaciones:</w:t>
      </w:r>
    </w:p>
    <w:p w14:paraId="663AF77A" w14:textId="77777777" w:rsidR="006C5D03" w:rsidRPr="00ED4C8A" w:rsidRDefault="006C5D03" w:rsidP="006C5D03">
      <w:pPr>
        <w:spacing w:line="240" w:lineRule="auto"/>
        <w:ind w:left="567" w:right="565"/>
        <w:jc w:val="both"/>
        <w:rPr>
          <w:rFonts w:ascii="Palatino Linotype" w:eastAsia="Palatino Linotype" w:hAnsi="Palatino Linotype" w:cs="Palatino Linotype"/>
          <w:i/>
        </w:rPr>
      </w:pPr>
      <w:r w:rsidRPr="00ED4C8A">
        <w:rPr>
          <w:rFonts w:ascii="Palatino Linotype" w:eastAsia="Palatino Linotype" w:hAnsi="Palatino Linotype" w:cs="Palatino Linotype"/>
          <w:i/>
        </w:rPr>
        <w:t>1ª) Que se localice la documentación que contenga la información solicitada y de ser así la información pueda entregarse al solicitante en la forma en que se encuentra disponible, o</w:t>
      </w:r>
    </w:p>
    <w:p w14:paraId="15F83D35" w14:textId="0E326FB1" w:rsidR="006C5D03" w:rsidRPr="00ED4C8A" w:rsidRDefault="006C5D03" w:rsidP="006C5D03">
      <w:pPr>
        <w:spacing w:line="240" w:lineRule="auto"/>
        <w:ind w:left="567" w:right="565"/>
        <w:jc w:val="both"/>
        <w:rPr>
          <w:rFonts w:ascii="Palatino Linotype" w:eastAsia="Palatino Linotype" w:hAnsi="Palatino Linotype" w:cs="Palatino Linotype"/>
          <w:i/>
        </w:rPr>
      </w:pPr>
      <w:r w:rsidRPr="00ED4C8A">
        <w:rPr>
          <w:rFonts w:ascii="Palatino Linotype" w:eastAsia="Palatino Linotype" w:hAnsi="Palatino Linotype" w:cs="Palatino Linotype"/>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(Sic)</w:t>
      </w:r>
    </w:p>
    <w:p w14:paraId="76777E94" w14:textId="77777777" w:rsidR="006C5D03" w:rsidRPr="00ED4C8A" w:rsidRDefault="006C5D03" w:rsidP="006C5D03">
      <w:pPr>
        <w:spacing w:after="0" w:line="360" w:lineRule="auto"/>
        <w:ind w:right="34"/>
        <w:contextualSpacing/>
        <w:jc w:val="both"/>
        <w:rPr>
          <w:rFonts w:ascii="Palatino Linotype" w:eastAsia="MS Mincho" w:hAnsi="Palatino Linotype" w:cs="Times New Roman"/>
          <w:sz w:val="24"/>
          <w:szCs w:val="24"/>
          <w:lang w:val="es-ES_tradnl" w:eastAsia="es-ES"/>
        </w:rPr>
      </w:pPr>
    </w:p>
    <w:p w14:paraId="6DF82DC3" w14:textId="3945983C" w:rsidR="00233275" w:rsidRPr="00ED4C8A" w:rsidRDefault="006C5D03"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En </w:t>
      </w:r>
      <w:r w:rsidRPr="00ED4C8A">
        <w:rPr>
          <w:rFonts w:ascii="Palatino Linotype" w:eastAsia="Palatino Linotype" w:hAnsi="Palatino Linotype" w:cs="Palatino Linotype"/>
          <w:sz w:val="24"/>
          <w:szCs w:val="24"/>
        </w:rPr>
        <w:t>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3DEE1914" w14:textId="77777777" w:rsidR="006C5D03" w:rsidRPr="00ED4C8A" w:rsidRDefault="006C5D03" w:rsidP="006C5D03">
      <w:pPr>
        <w:spacing w:after="0" w:line="360" w:lineRule="auto"/>
        <w:ind w:right="34"/>
        <w:contextualSpacing/>
        <w:jc w:val="both"/>
        <w:rPr>
          <w:rFonts w:ascii="Palatino Linotype" w:eastAsia="MS Mincho" w:hAnsi="Palatino Linotype" w:cs="Times New Roman"/>
          <w:sz w:val="24"/>
          <w:szCs w:val="24"/>
          <w:lang w:val="es-ES_tradnl" w:eastAsia="es-ES"/>
        </w:rPr>
      </w:pPr>
    </w:p>
    <w:p w14:paraId="4B6A830A" w14:textId="16FC2470" w:rsidR="006C5D03" w:rsidRPr="00ED4C8A" w:rsidRDefault="006C5D03"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lastRenderedPageBreak/>
        <w:t xml:space="preserve">Por lo tanto, </w:t>
      </w:r>
      <w:r w:rsidRPr="00ED4C8A">
        <w:rPr>
          <w:rFonts w:ascii="Palatino Linotype" w:eastAsia="Palatino Linotype" w:hAnsi="Palatino Linotype" w:cs="Palatino Linotype"/>
          <w:sz w:val="24"/>
          <w:szCs w:val="24"/>
        </w:rPr>
        <w:t>la declaratoria de inexistencia no es un mero trámite por el cual de manera mecánica o simple manifieste que la información no existe en sus archivos</w:t>
      </w:r>
      <w:r w:rsidRPr="00ED4C8A">
        <w:rPr>
          <w:rFonts w:ascii="Palatino Linotype" w:eastAsia="Palatino Linotype" w:hAnsi="Palatino Linotype" w:cs="Palatino Linotype"/>
          <w:b/>
          <w:sz w:val="24"/>
          <w:szCs w:val="24"/>
        </w:rPr>
        <w:t xml:space="preserve">, </w:t>
      </w:r>
      <w:r w:rsidRPr="00ED4C8A">
        <w:rPr>
          <w:rFonts w:ascii="Palatino Linotype" w:eastAsia="Palatino Linotype" w:hAnsi="Palatino Linotype" w:cs="Palatino Linotype"/>
          <w:sz w:val="24"/>
          <w:szCs w:val="24"/>
        </w:rPr>
        <w:t xml:space="preserve"> cuando la misma por disposición legal debería de obrar, sino que su contenido y alcance implica la responsabilidad y atribución del Comité de Transparencia del </w:t>
      </w:r>
      <w:r w:rsidRPr="00ED4C8A">
        <w:rPr>
          <w:rFonts w:ascii="Palatino Linotype" w:eastAsia="Palatino Linotype" w:hAnsi="Palatino Linotype" w:cs="Palatino Linotype"/>
          <w:b/>
          <w:bCs/>
          <w:sz w:val="24"/>
          <w:szCs w:val="24"/>
        </w:rPr>
        <w:t>SUJETO OBLIGADO</w:t>
      </w:r>
      <w:r w:rsidRPr="00ED4C8A">
        <w:rPr>
          <w:rFonts w:ascii="Palatino Linotype" w:eastAsia="Palatino Linotype" w:hAnsi="Palatino Linotype" w:cs="Palatino Linotype"/>
          <w:b/>
          <w:sz w:val="24"/>
          <w:szCs w:val="24"/>
        </w:rPr>
        <w:t xml:space="preserve">, </w:t>
      </w:r>
      <w:r w:rsidRPr="00ED4C8A">
        <w:rPr>
          <w:rFonts w:ascii="Palatino Linotype" w:eastAsia="Palatino Linotype" w:hAnsi="Palatino Linotype" w:cs="Palatino Linotype"/>
          <w:sz w:val="24"/>
          <w:szCs w:val="24"/>
        </w:rPr>
        <w:t>de instruir una búsqueda exhaustiva a todas y cada una de las áreas administrativas de las que se compone, para localizar los documentos que contengan la información materia de una solicitud, asimismo, para supervisar que esa búsqueda se lleve a cabo en todas y cada una de las áreas de que se compone dicho órgano, lo anterior manifestado con fundamento en el artículo 162 de la Ley de Transparencia y acceso a la Información Pública del Estado de México y Municipios.</w:t>
      </w:r>
    </w:p>
    <w:p w14:paraId="620E952F" w14:textId="77777777" w:rsidR="006C5D03" w:rsidRPr="00ED4C8A" w:rsidRDefault="006C5D03" w:rsidP="006C5D03">
      <w:pPr>
        <w:spacing w:after="0" w:line="360" w:lineRule="auto"/>
        <w:ind w:right="34"/>
        <w:contextualSpacing/>
        <w:jc w:val="both"/>
        <w:rPr>
          <w:rFonts w:ascii="Palatino Linotype" w:eastAsia="MS Mincho" w:hAnsi="Palatino Linotype" w:cs="Times New Roman"/>
          <w:sz w:val="24"/>
          <w:szCs w:val="24"/>
          <w:lang w:val="es-ES_tradnl" w:eastAsia="es-ES"/>
        </w:rPr>
      </w:pPr>
    </w:p>
    <w:p w14:paraId="24DDBAE9" w14:textId="4A422A0C" w:rsidR="006C5D03" w:rsidRPr="00ED4C8A" w:rsidRDefault="00A157B8"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Bajo </w:t>
      </w:r>
      <w:r w:rsidRPr="00ED4C8A">
        <w:rPr>
          <w:rFonts w:ascii="Palatino Linotype" w:eastAsia="Palatino Linotype" w:hAnsi="Palatino Linotype" w:cs="Palatino Linotype"/>
          <w:sz w:val="24"/>
          <w:szCs w:val="24"/>
        </w:rPr>
        <w:t>el entendido de que dicha búsqueda exhaustiva permitirá:</w:t>
      </w:r>
    </w:p>
    <w:p w14:paraId="6753FC5A" w14:textId="062DC882" w:rsidR="00A157B8" w:rsidRPr="00ED4C8A" w:rsidRDefault="00A157B8" w:rsidP="00A157B8">
      <w:pPr>
        <w:spacing w:after="0" w:line="360" w:lineRule="auto"/>
        <w:ind w:right="34"/>
        <w:contextualSpacing/>
        <w:jc w:val="both"/>
        <w:rPr>
          <w:rFonts w:ascii="Palatino Linotype" w:eastAsia="MS Mincho" w:hAnsi="Palatino Linotype" w:cs="Times New Roman"/>
          <w:sz w:val="24"/>
          <w:szCs w:val="24"/>
          <w:lang w:val="es-ES_tradnl" w:eastAsia="es-ES"/>
        </w:rPr>
      </w:pPr>
    </w:p>
    <w:p w14:paraId="0AFB0EC7" w14:textId="77777777" w:rsidR="00A157B8" w:rsidRPr="00ED4C8A" w:rsidRDefault="00A157B8" w:rsidP="00A157B8">
      <w:pPr>
        <w:pStyle w:val="Prrafodelista"/>
        <w:tabs>
          <w:tab w:val="left" w:pos="426"/>
          <w:tab w:val="left" w:pos="567"/>
        </w:tabs>
        <w:spacing w:line="360" w:lineRule="auto"/>
        <w:ind w:left="567" w:right="565"/>
        <w:jc w:val="both"/>
        <w:rPr>
          <w:rFonts w:ascii="Palatino Linotype" w:eastAsia="Palatino Linotype" w:hAnsi="Palatino Linotype" w:cs="Palatino Linotype"/>
          <w:color w:val="000000"/>
          <w:sz w:val="24"/>
          <w:szCs w:val="24"/>
        </w:rPr>
      </w:pPr>
      <w:r w:rsidRPr="00ED4C8A">
        <w:rPr>
          <w:rFonts w:ascii="Palatino Linotype" w:eastAsia="Calibri" w:hAnsi="Palatino Linotype" w:cs="Arial"/>
          <w:color w:val="000000" w:themeColor="text1"/>
          <w:sz w:val="24"/>
          <w:szCs w:val="24"/>
          <w:lang w:val="es-ES"/>
        </w:rPr>
        <w:t xml:space="preserve">Que </w:t>
      </w:r>
      <w:r w:rsidRPr="00ED4C8A">
        <w:rPr>
          <w:rFonts w:ascii="Palatino Linotype" w:eastAsia="Palatino Linotype" w:hAnsi="Palatino Linotype" w:cs="Palatino Linotype"/>
          <w:color w:val="000000"/>
          <w:sz w:val="24"/>
          <w:szCs w:val="24"/>
        </w:rPr>
        <w:t>se localice la documentación que contenga la información solicitada. En este caso habrá que señalar que de acuerdo con las disposiciones transcritas, la información puede obrar en sus archivos ya sea porque la genera, la administra o simplemente la posee.</w:t>
      </w:r>
    </w:p>
    <w:p w14:paraId="7DADAE0C" w14:textId="77777777" w:rsidR="00A157B8" w:rsidRPr="00ED4C8A" w:rsidRDefault="00A157B8" w:rsidP="00A157B8">
      <w:pPr>
        <w:spacing w:after="0" w:line="360" w:lineRule="auto"/>
        <w:ind w:right="34"/>
        <w:contextualSpacing/>
        <w:jc w:val="both"/>
        <w:rPr>
          <w:rFonts w:ascii="Palatino Linotype" w:eastAsia="MS Mincho" w:hAnsi="Palatino Linotype" w:cs="Times New Roman"/>
          <w:sz w:val="24"/>
          <w:szCs w:val="24"/>
          <w:lang w:val="es-ES_tradnl" w:eastAsia="es-ES"/>
        </w:rPr>
      </w:pPr>
    </w:p>
    <w:p w14:paraId="79181176" w14:textId="48E31F58" w:rsidR="006C5D03" w:rsidRPr="00ED4C8A" w:rsidRDefault="00A157B8"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De </w:t>
      </w:r>
      <w:r w:rsidRPr="00ED4C8A">
        <w:rPr>
          <w:rFonts w:ascii="Palatino Linotype" w:eastAsia="Palatino Linotype" w:hAnsi="Palatino Linotype" w:cs="Palatino Linotype"/>
          <w:sz w:val="24"/>
          <w:szCs w:val="24"/>
        </w:rPr>
        <w:t xml:space="preserve">actualizarse esta primera hipótesis, la información debe entregarse a la </w:t>
      </w:r>
      <w:r w:rsidRPr="00ED4C8A">
        <w:rPr>
          <w:rFonts w:ascii="Palatino Linotype" w:eastAsia="Palatino Linotype" w:hAnsi="Palatino Linotype" w:cs="Palatino Linotype"/>
          <w:b/>
          <w:sz w:val="24"/>
          <w:szCs w:val="24"/>
        </w:rPr>
        <w:t>recurrente</w:t>
      </w:r>
      <w:r w:rsidRPr="00ED4C8A">
        <w:rPr>
          <w:rFonts w:ascii="Palatino Linotype" w:eastAsia="Palatino Linotype" w:hAnsi="Palatino Linotype" w:cs="Palatino Linotype"/>
          <w:b/>
          <w:i/>
          <w:sz w:val="24"/>
          <w:szCs w:val="24"/>
        </w:rPr>
        <w:t xml:space="preserve"> </w:t>
      </w:r>
      <w:r w:rsidRPr="00ED4C8A">
        <w:rPr>
          <w:rFonts w:ascii="Palatino Linotype" w:eastAsia="Palatino Linotype" w:hAnsi="Palatino Linotype" w:cs="Palatino Linotype"/>
          <w:sz w:val="24"/>
          <w:szCs w:val="24"/>
        </w:rPr>
        <w:t>a través del o los documentos fuente.</w:t>
      </w:r>
    </w:p>
    <w:p w14:paraId="4C363EA5" w14:textId="52843D52" w:rsidR="00A157B8" w:rsidRPr="00ED4C8A" w:rsidRDefault="00A157B8" w:rsidP="00A157B8">
      <w:pPr>
        <w:spacing w:after="0" w:line="360" w:lineRule="auto"/>
        <w:ind w:right="34"/>
        <w:contextualSpacing/>
        <w:jc w:val="both"/>
        <w:rPr>
          <w:rFonts w:ascii="Palatino Linotype" w:eastAsia="MS Mincho" w:hAnsi="Palatino Linotype" w:cs="Times New Roman"/>
          <w:sz w:val="24"/>
          <w:szCs w:val="24"/>
          <w:lang w:val="es-ES_tradnl" w:eastAsia="es-ES"/>
        </w:rPr>
      </w:pPr>
    </w:p>
    <w:p w14:paraId="38C1DB45" w14:textId="7AA7D960" w:rsidR="00A157B8" w:rsidRPr="00ED4C8A" w:rsidRDefault="00A157B8" w:rsidP="00A157B8">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sz w:val="24"/>
          <w:szCs w:val="24"/>
          <w:lang w:val="es-ES"/>
        </w:rPr>
      </w:pPr>
      <w:r w:rsidRPr="00ED4C8A">
        <w:rPr>
          <w:rFonts w:ascii="Palatino Linotype" w:eastAsia="Calibri" w:hAnsi="Palatino Linotype" w:cs="Arial"/>
          <w:color w:val="000000" w:themeColor="text1"/>
          <w:sz w:val="24"/>
          <w:szCs w:val="24"/>
          <w:lang w:val="es-ES"/>
        </w:rPr>
        <w:lastRenderedPageBreak/>
        <w:t xml:space="preserve">Que </w:t>
      </w:r>
      <w:r w:rsidRPr="00ED4C8A">
        <w:rPr>
          <w:rFonts w:ascii="Palatino Linotype" w:eastAsia="Palatino Linotype" w:hAnsi="Palatino Linotype" w:cs="Palatino Linotype"/>
          <w:color w:val="000000"/>
          <w:sz w:val="24"/>
          <w:szCs w:val="24"/>
        </w:rPr>
        <w:t>no se localice documento alguno que contenga la información requerida, en este supuesto, el Comité de Transparencia deberá resolver la declaratoria de inexistencia de la información y notificarla al recurrente</w:t>
      </w:r>
      <w:r w:rsidRPr="00ED4C8A">
        <w:rPr>
          <w:rFonts w:ascii="Palatino Linotype" w:eastAsia="Palatino Linotype" w:hAnsi="Palatino Linotype" w:cs="Palatino Linotype"/>
          <w:b/>
          <w:i/>
          <w:color w:val="000000"/>
          <w:sz w:val="24"/>
          <w:szCs w:val="24"/>
        </w:rPr>
        <w:t xml:space="preserve"> </w:t>
      </w:r>
      <w:r w:rsidRPr="00ED4C8A">
        <w:rPr>
          <w:rFonts w:ascii="Palatino Linotype" w:eastAsia="Palatino Linotype" w:hAnsi="Palatino Linotype" w:cs="Palatino Linotype"/>
          <w:color w:val="000000"/>
          <w:sz w:val="24"/>
          <w:szCs w:val="24"/>
        </w:rPr>
        <w:t>y a este Pleno.</w:t>
      </w:r>
    </w:p>
    <w:p w14:paraId="6A0EE3D4" w14:textId="1CCC20B8" w:rsidR="00A157B8" w:rsidRPr="00ED4C8A" w:rsidRDefault="00A157B8"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Además, </w:t>
      </w:r>
      <w:r w:rsidRPr="00ED4C8A">
        <w:rPr>
          <w:rFonts w:ascii="Palatino Linotype" w:eastAsia="Palatino Linotype" w:hAnsi="Palatino Linotype" w:cs="Palatino Linotype"/>
          <w:sz w:val="24"/>
          <w:szCs w:val="24"/>
        </w:rPr>
        <w:t>de los requisitos formales y sustanciales señalados, la declaratoria de inexistencia de la información debe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que se tomaron en cuenta para llegar a determinar que no obra en sus archivos las información requerida. Con el fin de que el particular pueda tener certeza de que se hizo una búsqueda exhaustiva de la información solicitada y que se le dio la adecuada atención a su solicitud, bajo el entendido que la búsqueda es un elemento previo acreditable antes de la emisión del acuerdo de inexistencia.</w:t>
      </w:r>
    </w:p>
    <w:p w14:paraId="5E0FF168" w14:textId="77777777" w:rsidR="00A157B8" w:rsidRPr="00ED4C8A" w:rsidRDefault="00A157B8" w:rsidP="00A157B8">
      <w:pPr>
        <w:spacing w:after="0" w:line="360" w:lineRule="auto"/>
        <w:ind w:right="34"/>
        <w:contextualSpacing/>
        <w:jc w:val="both"/>
        <w:rPr>
          <w:rFonts w:ascii="Palatino Linotype" w:eastAsia="MS Mincho" w:hAnsi="Palatino Linotype" w:cs="Times New Roman"/>
          <w:sz w:val="24"/>
          <w:szCs w:val="24"/>
          <w:lang w:val="es-ES_tradnl" w:eastAsia="es-ES"/>
        </w:rPr>
      </w:pPr>
    </w:p>
    <w:p w14:paraId="3B54B644" w14:textId="38609A53" w:rsidR="00A157B8" w:rsidRPr="00ED4C8A" w:rsidRDefault="00A157B8"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En efecto, </w:t>
      </w:r>
      <w:r w:rsidRPr="00ED4C8A">
        <w:rPr>
          <w:rFonts w:ascii="Palatino Linotype" w:eastAsia="Palatino Linotype" w:hAnsi="Palatino Linotype" w:cs="Palatino Linotype"/>
          <w:sz w:val="24"/>
          <w:szCs w:val="24"/>
        </w:rPr>
        <w:t xml:space="preserve">la búsqueda exhaustiva presupone que el Comité deba tomar o acordar las medidas pertinentes para la debida localización dentro de la dependencia de la información solicitada, y en general de adoptar cualquier otra medida que considere conducente para tales efectos y velar por la certeza en el derecho de acceso a la información, y sólo agotadas las medidas necesarias de búsqueda de la información, y en caso de no encontrarla. Procede expedir una </w:t>
      </w:r>
      <w:r w:rsidRPr="00ED4C8A">
        <w:rPr>
          <w:rFonts w:ascii="Palatino Linotype" w:eastAsia="Palatino Linotype" w:hAnsi="Palatino Linotype" w:cs="Palatino Linotype"/>
          <w:sz w:val="24"/>
          <w:szCs w:val="24"/>
        </w:rPr>
        <w:lastRenderedPageBreak/>
        <w:t>resolución que confirme la inexistencia de la información o documento solicitado y notificar el acuerdo correspondiente.</w:t>
      </w:r>
    </w:p>
    <w:p w14:paraId="3D0405E9" w14:textId="77777777" w:rsidR="00A157B8" w:rsidRPr="00ED4C8A" w:rsidRDefault="00A157B8" w:rsidP="00A157B8">
      <w:pPr>
        <w:spacing w:after="0" w:line="360" w:lineRule="auto"/>
        <w:ind w:right="34"/>
        <w:contextualSpacing/>
        <w:jc w:val="both"/>
        <w:rPr>
          <w:rFonts w:ascii="Palatino Linotype" w:eastAsia="MS Mincho" w:hAnsi="Palatino Linotype" w:cs="Times New Roman"/>
          <w:sz w:val="24"/>
          <w:szCs w:val="24"/>
          <w:lang w:val="es-ES_tradnl" w:eastAsia="es-ES"/>
        </w:rPr>
      </w:pPr>
    </w:p>
    <w:p w14:paraId="21C93F57" w14:textId="68CBCA56" w:rsidR="00A157B8" w:rsidRPr="00ED4C8A" w:rsidRDefault="00A157B8" w:rsidP="00A157B8">
      <w:pPr>
        <w:pStyle w:val="Prrafodelista"/>
        <w:numPr>
          <w:ilvl w:val="0"/>
          <w:numId w:val="42"/>
        </w:numPr>
        <w:spacing w:after="0" w:line="360" w:lineRule="auto"/>
        <w:ind w:right="34"/>
        <w:jc w:val="both"/>
        <w:rPr>
          <w:rFonts w:ascii="Palatino Linotype" w:eastAsia="MS Mincho" w:hAnsi="Palatino Linotype" w:cs="Times New Roman"/>
          <w:b/>
          <w:bCs/>
          <w:i/>
          <w:iCs/>
          <w:sz w:val="24"/>
          <w:szCs w:val="24"/>
          <w:lang w:val="es-ES_tradnl" w:eastAsia="es-ES"/>
        </w:rPr>
      </w:pPr>
      <w:r w:rsidRPr="00ED4C8A">
        <w:rPr>
          <w:rFonts w:ascii="Palatino Linotype" w:eastAsia="MS Mincho" w:hAnsi="Palatino Linotype" w:cs="Times New Roman"/>
          <w:b/>
          <w:bCs/>
          <w:i/>
          <w:iCs/>
          <w:sz w:val="24"/>
          <w:szCs w:val="24"/>
          <w:lang w:val="es-ES_tradnl" w:eastAsia="es-ES"/>
        </w:rPr>
        <w:t>De la obligación de documentar.</w:t>
      </w:r>
    </w:p>
    <w:p w14:paraId="6D1E3D80" w14:textId="77777777" w:rsidR="00F67039" w:rsidRPr="00ED4C8A" w:rsidRDefault="00F67039" w:rsidP="00F67039">
      <w:pPr>
        <w:spacing w:after="0" w:line="360" w:lineRule="auto"/>
        <w:ind w:right="34"/>
        <w:jc w:val="both"/>
        <w:rPr>
          <w:rFonts w:ascii="Palatino Linotype" w:eastAsia="MS Mincho" w:hAnsi="Palatino Linotype" w:cs="Times New Roman"/>
          <w:b/>
          <w:bCs/>
          <w:i/>
          <w:iCs/>
          <w:sz w:val="24"/>
          <w:szCs w:val="24"/>
          <w:lang w:val="es-ES_tradnl" w:eastAsia="es-ES"/>
        </w:rPr>
      </w:pPr>
    </w:p>
    <w:p w14:paraId="2F8413CB" w14:textId="6BEE84D4" w:rsidR="00A157B8" w:rsidRPr="00ED4C8A" w:rsidRDefault="00F67039"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Derivado de </w:t>
      </w:r>
      <w:r w:rsidRPr="00ED4C8A">
        <w:rPr>
          <w:rFonts w:ascii="Palatino Linotype" w:eastAsia="Calibri" w:hAnsi="Palatino Linotype" w:cs="Arial"/>
          <w:sz w:val="24"/>
          <w:szCs w:val="24"/>
        </w:rPr>
        <w:t xml:space="preserve">de la manifestación del Sujeto Obligado, debemos mencionar que, el derecho de acceso a la información es </w:t>
      </w:r>
      <w:r w:rsidRPr="00ED4C8A">
        <w:rPr>
          <w:rFonts w:ascii="Palatino Linotype" w:eastAsia="Times New Roman" w:hAnsi="Palatino Linotype" w:cs="Arial"/>
          <w:color w:val="000000" w:themeColor="text1"/>
          <w:sz w:val="24"/>
          <w:szCs w:val="24"/>
          <w:lang w:eastAsia="es-MX"/>
        </w:rPr>
        <w:t xml:space="preserve">la </w:t>
      </w:r>
      <w:r w:rsidRPr="00ED4C8A">
        <w:rPr>
          <w:rFonts w:ascii="Palatino Linotype" w:eastAsia="MS Mincho" w:hAnsi="Palatino Linotype" w:cs="Times New Roman"/>
          <w:i/>
          <w:sz w:val="24"/>
          <w:szCs w:val="24"/>
        </w:rPr>
        <w:t>igualdad de oportunidades para recibir, buscar e impartir información</w:t>
      </w:r>
      <w:r w:rsidRPr="00ED4C8A">
        <w:rPr>
          <w:rStyle w:val="Refdenotaalpie"/>
          <w:rFonts w:ascii="Palatino Linotype" w:eastAsia="MS Mincho" w:hAnsi="Palatino Linotype" w:cs="Times New Roman"/>
          <w:i/>
          <w:sz w:val="24"/>
          <w:szCs w:val="24"/>
        </w:rPr>
        <w:footnoteReference w:id="2"/>
      </w:r>
      <w:r w:rsidRPr="00ED4C8A">
        <w:rPr>
          <w:rFonts w:ascii="Palatino Linotype" w:eastAsia="MS Mincho" w:hAnsi="Palatino Linotype" w:cs="Times New Roman"/>
          <w:i/>
          <w:sz w:val="24"/>
          <w:szCs w:val="24"/>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D4C8A">
        <w:rPr>
          <w:rStyle w:val="Refdenotaalpie"/>
          <w:rFonts w:ascii="Palatino Linotype" w:eastAsia="MS Mincho" w:hAnsi="Palatino Linotype" w:cs="Times New Roman"/>
          <w:sz w:val="24"/>
          <w:szCs w:val="24"/>
        </w:rPr>
        <w:footnoteReference w:id="3"/>
      </w:r>
      <w:r w:rsidRPr="00ED4C8A">
        <w:rPr>
          <w:rFonts w:ascii="Palatino Linotype" w:eastAsia="MS Mincho" w:hAnsi="Palatino Linotype" w:cs="Times New Roman"/>
          <w:i/>
          <w:sz w:val="24"/>
          <w:szCs w:val="24"/>
        </w:rPr>
        <w:t xml:space="preserve"> </w:t>
      </w:r>
      <w:r w:rsidRPr="00ED4C8A">
        <w:rPr>
          <w:rFonts w:ascii="Palatino Linotype" w:eastAsia="MS Mincho" w:hAnsi="Palatino Linotype" w:cs="Times New Roman"/>
          <w:sz w:val="24"/>
          <w:szCs w:val="24"/>
        </w:rPr>
        <w:t xml:space="preserve">que se constituye como una herramienta fundamental para </w:t>
      </w:r>
      <w:r w:rsidRPr="00ED4C8A">
        <w:rPr>
          <w:rFonts w:ascii="Palatino Linotype" w:eastAsia="MS Mincho" w:hAnsi="Palatino Linotype" w:cs="Times New Roman"/>
          <w:i/>
          <w:sz w:val="24"/>
          <w:szCs w:val="24"/>
        </w:rPr>
        <w:t>ejercer control democrático de las gestiones estatales, de forma tal que puedan cuestionar, indagar y considerar si se está dando un adecuado cumplimiento de las funciones públicas,</w:t>
      </w:r>
      <w:r w:rsidRPr="00ED4C8A">
        <w:rPr>
          <w:rStyle w:val="Refdenotaalpie"/>
          <w:rFonts w:ascii="Palatino Linotype" w:eastAsia="MS Mincho" w:hAnsi="Palatino Linotype" w:cs="Times New Roman"/>
          <w:i/>
          <w:sz w:val="24"/>
          <w:szCs w:val="24"/>
        </w:rPr>
        <w:footnoteReference w:id="4"/>
      </w:r>
      <w:r w:rsidRPr="00ED4C8A">
        <w:rPr>
          <w:rFonts w:ascii="Palatino Linotype" w:eastAsia="MS Mincho" w:hAnsi="Palatino Linotype" w:cs="Times New Roman"/>
          <w:sz w:val="24"/>
          <w:szCs w:val="24"/>
        </w:rPr>
        <w:t>fomentando</w:t>
      </w:r>
      <w:r w:rsidRPr="00ED4C8A">
        <w:rPr>
          <w:rFonts w:ascii="Palatino Linotype" w:eastAsia="MS Mincho" w:hAnsi="Palatino Linotype" w:cs="Times New Roman"/>
          <w:i/>
          <w:sz w:val="24"/>
          <w:szCs w:val="24"/>
        </w:rPr>
        <w:t xml:space="preserve"> la transparencia de las actividades estatales y</w:t>
      </w:r>
      <w:r w:rsidRPr="00ED4C8A">
        <w:rPr>
          <w:rFonts w:ascii="Palatino Linotype" w:eastAsia="MS Mincho" w:hAnsi="Palatino Linotype" w:cs="Times New Roman"/>
          <w:sz w:val="24"/>
          <w:szCs w:val="24"/>
        </w:rPr>
        <w:t xml:space="preserve"> promoviendo</w:t>
      </w:r>
      <w:r w:rsidRPr="00ED4C8A">
        <w:rPr>
          <w:rFonts w:ascii="Palatino Linotype" w:eastAsia="MS Mincho" w:hAnsi="Palatino Linotype" w:cs="Times New Roman"/>
          <w:i/>
          <w:sz w:val="24"/>
          <w:szCs w:val="24"/>
        </w:rPr>
        <w:t xml:space="preserve"> la responsabilidad de los funcionarios sobre su gestión pública</w:t>
      </w:r>
      <w:r w:rsidRPr="00ED4C8A">
        <w:rPr>
          <w:rStyle w:val="Refdenotaalpie"/>
          <w:rFonts w:ascii="Palatino Linotype" w:eastAsia="MS Mincho" w:hAnsi="Palatino Linotype" w:cs="Times New Roman"/>
          <w:i/>
          <w:sz w:val="24"/>
          <w:szCs w:val="24"/>
        </w:rPr>
        <w:footnoteReference w:id="5"/>
      </w:r>
      <w:r w:rsidRPr="00ED4C8A">
        <w:rPr>
          <w:rFonts w:ascii="Palatino Linotype" w:eastAsia="MS Mincho" w:hAnsi="Palatino Linotype" w:cs="Times New Roman"/>
          <w:i/>
          <w:sz w:val="24"/>
          <w:szCs w:val="24"/>
        </w:rPr>
        <w:t xml:space="preserve"> </w:t>
      </w:r>
      <w:r w:rsidRPr="00ED4C8A">
        <w:rPr>
          <w:rFonts w:ascii="Palatino Linotype" w:eastAsia="MS Mincho" w:hAnsi="Palatino Linotype" w:cs="Times New Roman"/>
          <w:sz w:val="24"/>
          <w:szCs w:val="24"/>
        </w:rPr>
        <w:t>que permite</w:t>
      </w:r>
      <w:r w:rsidRPr="00ED4C8A">
        <w:rPr>
          <w:rFonts w:ascii="Palatino Linotype" w:eastAsia="MS Mincho" w:hAnsi="Palatino Linotype" w:cs="Times New Roman"/>
          <w:i/>
          <w:sz w:val="24"/>
          <w:szCs w:val="24"/>
        </w:rPr>
        <w:t xml:space="preserve"> saber qué están haciendo los gobiernos por sus pueblos, sin lo cual la verdad languidecería y la participación en el gobierno permanecería fragmentada.</w:t>
      </w:r>
      <w:r w:rsidRPr="00ED4C8A">
        <w:rPr>
          <w:rStyle w:val="Refdenotaalpie"/>
          <w:rFonts w:ascii="Palatino Linotype" w:eastAsia="MS Mincho" w:hAnsi="Palatino Linotype" w:cs="Times New Roman"/>
          <w:i/>
          <w:sz w:val="24"/>
          <w:szCs w:val="24"/>
        </w:rPr>
        <w:footnoteReference w:id="6"/>
      </w:r>
      <w:r w:rsidRPr="00ED4C8A">
        <w:rPr>
          <w:rFonts w:ascii="Palatino Linotype" w:eastAsia="MS Mincho" w:hAnsi="Palatino Linotype" w:cs="Times New Roman"/>
          <w:sz w:val="24"/>
          <w:szCs w:val="24"/>
        </w:rPr>
        <w:t xml:space="preserve"> ”</w:t>
      </w:r>
    </w:p>
    <w:p w14:paraId="6018F319" w14:textId="4CFD27B6" w:rsidR="00A157B8" w:rsidRPr="00ED4C8A" w:rsidRDefault="00F67039"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lastRenderedPageBreak/>
        <w:t xml:space="preserve">El </w:t>
      </w:r>
      <w:r w:rsidRPr="00ED4C8A">
        <w:rPr>
          <w:rFonts w:ascii="Palatino Linotype" w:eastAsia="MS Mincho" w:hAnsi="Palatino Linotype"/>
          <w:sz w:val="24"/>
          <w:szCs w:val="24"/>
        </w:rPr>
        <w:t xml:space="preserve">acceso a la información es un derecho humano constitucional y convencionalmente reconocido y para tal efecto </w:t>
      </w:r>
      <w:r w:rsidRPr="00ED4C8A">
        <w:rPr>
          <w:rFonts w:ascii="Palatino Linotype" w:eastAsia="Calibri" w:hAnsi="Palatino Linotype"/>
          <w:sz w:val="24"/>
          <w:szCs w:val="24"/>
          <w:lang w:val="es-ES"/>
        </w:rPr>
        <w:t xml:space="preserve">el párrafo tercero del artículo primero de la Constitución Política de los Estados Unidos Mexicanos establece el deber de todas las autoridades, </w:t>
      </w:r>
      <w:r w:rsidRPr="00ED4C8A">
        <w:rPr>
          <w:rFonts w:ascii="Palatino Linotype" w:eastAsia="Calibri" w:hAnsi="Palatino Linotype"/>
          <w:i/>
          <w:sz w:val="24"/>
          <w:szCs w:val="24"/>
          <w:lang w:val="es-ES"/>
        </w:rPr>
        <w:t xml:space="preserve">en el ámbito de sus atribuciones, de promover, respetar, proteger y </w:t>
      </w:r>
      <w:r w:rsidRPr="00ED4C8A">
        <w:rPr>
          <w:rFonts w:ascii="Palatino Linotype" w:eastAsia="Calibri" w:hAnsi="Palatino Linotype"/>
          <w:b/>
          <w:i/>
          <w:sz w:val="24"/>
          <w:szCs w:val="24"/>
          <w:lang w:val="es-ES"/>
        </w:rPr>
        <w:t>garantizar</w:t>
      </w:r>
      <w:r w:rsidRPr="00ED4C8A">
        <w:rPr>
          <w:rFonts w:ascii="Palatino Linotype" w:eastAsia="Calibri" w:hAnsi="Palatino Linotype"/>
          <w:i/>
          <w:sz w:val="24"/>
          <w:szCs w:val="24"/>
          <w:lang w:val="es-ES"/>
        </w:rPr>
        <w:t xml:space="preserve"> los derechos humanos. </w:t>
      </w:r>
      <w:r w:rsidRPr="00ED4C8A">
        <w:rPr>
          <w:rFonts w:ascii="Palatino Linotype" w:eastAsia="Calibri" w:hAnsi="Palatino Linotype"/>
          <w:sz w:val="24"/>
          <w:szCs w:val="24"/>
          <w:lang w:val="es-ES"/>
        </w:rPr>
        <w:t>En cuanto al derecho de acceso a la información, la Ley de Transparencia y Acceso a la Información Pública del Estado de México y Municipios prevé establece que</w:t>
      </w:r>
      <w:r w:rsidRPr="00ED4C8A">
        <w:rPr>
          <w:rFonts w:ascii="Palatino Linotype" w:eastAsia="Calibri" w:hAnsi="Palatino Linotype"/>
          <w:b/>
          <w:i/>
          <w:sz w:val="24"/>
          <w:szCs w:val="24"/>
          <w:lang w:val="es-ES"/>
        </w:rPr>
        <w:t xml:space="preserve"> e</w:t>
      </w:r>
      <w:r w:rsidRPr="00ED4C8A">
        <w:rPr>
          <w:rFonts w:ascii="Palatino Linotype" w:hAnsi="Palatino Linotype"/>
          <w:i/>
          <w:sz w:val="24"/>
          <w:szCs w:val="24"/>
        </w:rPr>
        <w:t>l procedimiento de acceso a la información es la garantía primaria del derecho en cuestión y se rige por los principios de simplicidad, rapidez y gratuidad del procedimiento, auxilio y orientación a los particulares</w:t>
      </w:r>
      <w:r w:rsidRPr="00ED4C8A">
        <w:rPr>
          <w:rStyle w:val="Refdenotaalpie"/>
          <w:rFonts w:ascii="Palatino Linotype" w:hAnsi="Palatino Linotype"/>
          <w:i/>
          <w:sz w:val="24"/>
          <w:szCs w:val="24"/>
        </w:rPr>
        <w:footnoteReference w:id="7"/>
      </w:r>
      <w:r w:rsidRPr="00ED4C8A">
        <w:rPr>
          <w:rFonts w:ascii="Palatino Linotype" w:hAnsi="Palatino Linotype"/>
          <w:i/>
          <w:sz w:val="24"/>
          <w:szCs w:val="24"/>
        </w:rPr>
        <w:t xml:space="preserve">, </w:t>
      </w:r>
      <w:r w:rsidRPr="00ED4C8A">
        <w:rPr>
          <w:rFonts w:ascii="Palatino Linotype" w:hAnsi="Palatino Linotype"/>
          <w:sz w:val="24"/>
          <w:szCs w:val="24"/>
        </w:rPr>
        <w:t>asimismo establece</w:t>
      </w:r>
      <w:r w:rsidRPr="00ED4C8A">
        <w:rPr>
          <w:rFonts w:ascii="Palatino Linotype" w:hAnsi="Palatino Linotype"/>
          <w:i/>
          <w:sz w:val="24"/>
          <w:szCs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26E95406" w14:textId="77777777" w:rsidR="00F67039" w:rsidRPr="00ED4C8A" w:rsidRDefault="00F67039" w:rsidP="00F67039">
      <w:pPr>
        <w:spacing w:after="0" w:line="360" w:lineRule="auto"/>
        <w:ind w:right="34"/>
        <w:contextualSpacing/>
        <w:jc w:val="both"/>
        <w:rPr>
          <w:rFonts w:ascii="Palatino Linotype" w:eastAsia="MS Mincho" w:hAnsi="Palatino Linotype" w:cs="Times New Roman"/>
          <w:sz w:val="24"/>
          <w:szCs w:val="24"/>
          <w:lang w:val="es-ES_tradnl" w:eastAsia="es-ES"/>
        </w:rPr>
      </w:pPr>
    </w:p>
    <w:p w14:paraId="26721FFA" w14:textId="3C05ED60" w:rsidR="00F67039" w:rsidRPr="00ED4C8A" w:rsidRDefault="00F67039" w:rsidP="00F67039">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Resulta </w:t>
      </w:r>
      <w:r w:rsidRPr="00ED4C8A">
        <w:rPr>
          <w:rFonts w:ascii="Palatino Linotype" w:hAnsi="Palatino Linotype"/>
          <w:color w:val="000000" w:themeColor="text1"/>
          <w:sz w:val="24"/>
          <w:szCs w:val="24"/>
        </w:rPr>
        <w:t xml:space="preserve">necesario referir que, el </w:t>
      </w:r>
      <w:r w:rsidRPr="00ED4C8A">
        <w:rPr>
          <w:rFonts w:ascii="Palatino Linotype" w:eastAsia="Calibri" w:hAnsi="Palatino Linotype" w:cs="Arial"/>
          <w:sz w:val="24"/>
          <w:szCs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w:t>
      </w:r>
      <w:r w:rsidRPr="00ED4C8A">
        <w:rPr>
          <w:rFonts w:ascii="Palatino Linotype" w:eastAsia="Calibri" w:hAnsi="Palatino Linotype" w:cs="Arial"/>
          <w:sz w:val="24"/>
          <w:szCs w:val="24"/>
        </w:rPr>
        <w:lastRenderedPageBreak/>
        <w:t xml:space="preserve">concurren refiriendo que </w:t>
      </w:r>
      <w:r w:rsidRPr="00ED4C8A">
        <w:rPr>
          <w:rFonts w:ascii="Palatino Linotype" w:eastAsia="Calibri" w:hAnsi="Palatino Linotype" w:cs="Arial"/>
          <w:b/>
          <w:sz w:val="24"/>
          <w:szCs w:val="24"/>
        </w:rPr>
        <w:t>los Sujetos Obligados deberán documentar todo acto que se derive del ejercicio de sus facultades, competencias o funciones,</w:t>
      </w:r>
      <w:r w:rsidRPr="00ED4C8A">
        <w:rPr>
          <w:rFonts w:ascii="Palatino Linotype" w:eastAsia="Calibri" w:hAnsi="Palatino Linotype" w:cs="Arial"/>
          <w:sz w:val="24"/>
          <w:szCs w:val="24"/>
        </w:rPr>
        <w:t xml:space="preserve"> considerando desde su origen la eventual publicidad y reutilización de la información que generen, posean o administren.</w:t>
      </w:r>
    </w:p>
    <w:p w14:paraId="54416BE2" w14:textId="77777777" w:rsidR="00F67039" w:rsidRPr="00ED4C8A" w:rsidRDefault="00F67039" w:rsidP="00F67039">
      <w:pPr>
        <w:pStyle w:val="Prrafodelista"/>
        <w:rPr>
          <w:rFonts w:ascii="Palatino Linotype" w:eastAsia="MS Mincho" w:hAnsi="Palatino Linotype" w:cs="Times New Roman"/>
          <w:sz w:val="24"/>
          <w:szCs w:val="24"/>
          <w:lang w:val="es-ES_tradnl" w:eastAsia="es-ES"/>
        </w:rPr>
      </w:pPr>
    </w:p>
    <w:p w14:paraId="4A7060E1" w14:textId="25D17068" w:rsidR="00F67039" w:rsidRPr="00ED4C8A" w:rsidRDefault="00F67039" w:rsidP="00F67039">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Además, </w:t>
      </w:r>
      <w:r w:rsidRPr="00ED4C8A">
        <w:rPr>
          <w:rFonts w:ascii="Palatino Linotype" w:eastAsia="Times New Roman" w:hAnsi="Palatino Linotype" w:cs="Arial"/>
          <w:color w:val="000000"/>
          <w:sz w:val="24"/>
          <w:szCs w:val="24"/>
        </w:rPr>
        <w:t>debemos tomar en cuenta los artículos 4 y 12, de la Ley de Transparencia y Acceso a la Información Pública del Estado de México y Municipios, los cuales establecen lo siguiente:</w:t>
      </w:r>
    </w:p>
    <w:p w14:paraId="08F52369" w14:textId="77777777" w:rsidR="00F67039" w:rsidRPr="00ED4C8A" w:rsidRDefault="00F67039" w:rsidP="00F67039">
      <w:pPr>
        <w:rPr>
          <w:rFonts w:ascii="Palatino Linotype" w:eastAsia="MS Mincho" w:hAnsi="Palatino Linotype" w:cs="Times New Roman"/>
          <w:sz w:val="24"/>
          <w:szCs w:val="24"/>
          <w:lang w:val="es-ES_tradnl" w:eastAsia="es-ES"/>
        </w:rPr>
      </w:pPr>
    </w:p>
    <w:p w14:paraId="0FF7CADE" w14:textId="77777777" w:rsidR="00F67039" w:rsidRPr="00ED4C8A" w:rsidRDefault="00F67039" w:rsidP="00F67039">
      <w:pPr>
        <w:autoSpaceDE w:val="0"/>
        <w:autoSpaceDN w:val="0"/>
        <w:adjustRightInd w:val="0"/>
        <w:spacing w:line="240" w:lineRule="auto"/>
        <w:ind w:left="567" w:right="567"/>
        <w:jc w:val="both"/>
        <w:rPr>
          <w:rFonts w:ascii="Palatino Linotype" w:hAnsi="Palatino Linotype" w:cs="Bookman Old Style"/>
          <w:i/>
        </w:rPr>
      </w:pPr>
      <w:r w:rsidRPr="00ED4C8A">
        <w:rPr>
          <w:rFonts w:ascii="Palatino Linotype" w:hAnsi="Palatino Linotype" w:cs="Bookman Old Style,Bold"/>
          <w:b/>
          <w:bCs/>
          <w:i/>
        </w:rPr>
        <w:t xml:space="preserve">Artículo 4. </w:t>
      </w:r>
      <w:r w:rsidRPr="00ED4C8A">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302E734D" w14:textId="77777777" w:rsidR="00F67039" w:rsidRPr="00ED4C8A" w:rsidRDefault="00F67039" w:rsidP="00F67039">
      <w:pPr>
        <w:autoSpaceDE w:val="0"/>
        <w:autoSpaceDN w:val="0"/>
        <w:adjustRightInd w:val="0"/>
        <w:spacing w:line="240" w:lineRule="auto"/>
        <w:ind w:left="567" w:right="567"/>
        <w:jc w:val="both"/>
        <w:rPr>
          <w:rFonts w:ascii="Palatino Linotype" w:hAnsi="Palatino Linotype" w:cs="Bookman Old Style"/>
          <w:i/>
        </w:rPr>
      </w:pPr>
    </w:p>
    <w:p w14:paraId="010A23D9" w14:textId="77777777" w:rsidR="00F67039" w:rsidRPr="00ED4C8A" w:rsidRDefault="00F67039" w:rsidP="00F67039">
      <w:pPr>
        <w:autoSpaceDE w:val="0"/>
        <w:autoSpaceDN w:val="0"/>
        <w:adjustRightInd w:val="0"/>
        <w:spacing w:line="240" w:lineRule="auto"/>
        <w:ind w:left="567" w:right="567"/>
        <w:jc w:val="both"/>
        <w:rPr>
          <w:rFonts w:ascii="Palatino Linotype" w:hAnsi="Palatino Linotype" w:cs="Bookman Old Style"/>
          <w:i/>
        </w:rPr>
      </w:pPr>
      <w:r w:rsidRPr="00ED4C8A">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D0DEB42" w14:textId="77777777" w:rsidR="00F67039" w:rsidRPr="00ED4C8A" w:rsidRDefault="00F67039" w:rsidP="00F67039">
      <w:pPr>
        <w:autoSpaceDE w:val="0"/>
        <w:autoSpaceDN w:val="0"/>
        <w:adjustRightInd w:val="0"/>
        <w:spacing w:line="240" w:lineRule="auto"/>
        <w:ind w:left="567" w:right="567"/>
        <w:jc w:val="both"/>
        <w:rPr>
          <w:rFonts w:ascii="Palatino Linotype" w:hAnsi="Palatino Linotype" w:cs="Bookman Old Style"/>
          <w:i/>
        </w:rPr>
      </w:pPr>
    </w:p>
    <w:p w14:paraId="6ED1FD73" w14:textId="7C59E91B" w:rsidR="00F67039" w:rsidRPr="00ED4C8A" w:rsidRDefault="00F67039" w:rsidP="00F67039">
      <w:pPr>
        <w:spacing w:after="0" w:line="240" w:lineRule="auto"/>
        <w:ind w:left="567" w:right="567"/>
        <w:contextualSpacing/>
        <w:jc w:val="both"/>
        <w:rPr>
          <w:rFonts w:ascii="Palatino Linotype" w:hAnsi="Palatino Linotype" w:cs="Bookman Old Style"/>
          <w:i/>
        </w:rPr>
      </w:pPr>
      <w:r w:rsidRPr="00ED4C8A">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2050A0FA" w14:textId="503C6D83" w:rsidR="00F67039" w:rsidRPr="00ED4C8A" w:rsidRDefault="00F67039" w:rsidP="00F67039">
      <w:pPr>
        <w:spacing w:after="0" w:line="240" w:lineRule="auto"/>
        <w:ind w:left="567" w:right="567"/>
        <w:contextualSpacing/>
        <w:jc w:val="both"/>
        <w:rPr>
          <w:rFonts w:ascii="Palatino Linotype" w:hAnsi="Palatino Linotype" w:cs="Bookman Old Style"/>
          <w:i/>
        </w:rPr>
      </w:pPr>
    </w:p>
    <w:p w14:paraId="37FF6728" w14:textId="77777777" w:rsidR="00F67039" w:rsidRPr="00ED4C8A" w:rsidRDefault="00F67039" w:rsidP="00F67039">
      <w:pPr>
        <w:autoSpaceDE w:val="0"/>
        <w:autoSpaceDN w:val="0"/>
        <w:adjustRightInd w:val="0"/>
        <w:spacing w:line="240" w:lineRule="auto"/>
        <w:ind w:left="567" w:right="567"/>
        <w:jc w:val="both"/>
        <w:rPr>
          <w:rFonts w:ascii="Palatino Linotype" w:hAnsi="Palatino Linotype" w:cs="Bookman Old Style"/>
          <w:i/>
        </w:rPr>
      </w:pPr>
      <w:r w:rsidRPr="00ED4C8A">
        <w:rPr>
          <w:rFonts w:ascii="Palatino Linotype" w:hAnsi="Palatino Linotype" w:cs="Bookman Old Style,Bold"/>
          <w:b/>
          <w:bCs/>
          <w:i/>
        </w:rPr>
        <w:lastRenderedPageBreak/>
        <w:t xml:space="preserve">Artículo 12. </w:t>
      </w:r>
      <w:r w:rsidRPr="00ED4C8A">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14:paraId="5C254E62" w14:textId="77777777" w:rsidR="00F67039" w:rsidRPr="00ED4C8A" w:rsidRDefault="00F67039" w:rsidP="00F67039">
      <w:pPr>
        <w:autoSpaceDE w:val="0"/>
        <w:autoSpaceDN w:val="0"/>
        <w:adjustRightInd w:val="0"/>
        <w:spacing w:line="240" w:lineRule="auto"/>
        <w:ind w:left="567" w:right="567"/>
        <w:jc w:val="both"/>
        <w:rPr>
          <w:rFonts w:ascii="Palatino Linotype" w:hAnsi="Palatino Linotype" w:cs="Bookman Old Style"/>
          <w:i/>
        </w:rPr>
      </w:pPr>
    </w:p>
    <w:p w14:paraId="39421A80" w14:textId="2A973380" w:rsidR="00F67039" w:rsidRPr="00ED4C8A" w:rsidRDefault="00F67039" w:rsidP="00F67039">
      <w:pPr>
        <w:autoSpaceDE w:val="0"/>
        <w:autoSpaceDN w:val="0"/>
        <w:adjustRightInd w:val="0"/>
        <w:spacing w:line="240" w:lineRule="auto"/>
        <w:ind w:left="567" w:right="567"/>
        <w:jc w:val="both"/>
        <w:rPr>
          <w:rFonts w:ascii="Palatino Linotype" w:hAnsi="Palatino Linotype" w:cs="Bookman Old Style"/>
          <w:b/>
          <w:i/>
        </w:rPr>
      </w:pPr>
      <w:r w:rsidRPr="00ED4C8A">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ED4C8A">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p>
    <w:p w14:paraId="4D1FF4FC" w14:textId="77777777" w:rsidR="00F67039" w:rsidRPr="00ED4C8A" w:rsidRDefault="00F67039" w:rsidP="00F67039">
      <w:pPr>
        <w:spacing w:after="0" w:line="360" w:lineRule="auto"/>
        <w:ind w:right="34"/>
        <w:contextualSpacing/>
        <w:jc w:val="both"/>
        <w:rPr>
          <w:rFonts w:ascii="Palatino Linotype" w:eastAsia="MS Mincho" w:hAnsi="Palatino Linotype" w:cs="Times New Roman"/>
          <w:sz w:val="24"/>
          <w:szCs w:val="24"/>
          <w:lang w:val="es-ES_tradnl" w:eastAsia="es-ES"/>
        </w:rPr>
      </w:pPr>
    </w:p>
    <w:p w14:paraId="16D93926" w14:textId="3E551F68" w:rsidR="00F67039" w:rsidRPr="00ED4C8A" w:rsidRDefault="00F67039"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Es así que, </w:t>
      </w:r>
      <w:r w:rsidRPr="00ED4C8A">
        <w:rPr>
          <w:rFonts w:ascii="Palatino Linotype" w:hAnsi="Palatino Linotype"/>
          <w:sz w:val="24"/>
          <w:szCs w:val="24"/>
          <w:lang w:val="es-ES"/>
        </w:rPr>
        <w:t>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D4C8A">
        <w:rPr>
          <w:rStyle w:val="Refdenotaalpie"/>
          <w:rFonts w:ascii="Palatino Linotype" w:hAnsi="Palatino Linotype"/>
          <w:sz w:val="24"/>
          <w:szCs w:val="24"/>
          <w:lang w:val="es-ES"/>
        </w:rPr>
        <w:footnoteReference w:id="8"/>
      </w:r>
      <w:r w:rsidRPr="00ED4C8A">
        <w:rPr>
          <w:rFonts w:ascii="Palatino Linotype" w:hAnsi="Palatino Linotype"/>
          <w:sz w:val="24"/>
          <w:szCs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2A2AB80" w14:textId="77777777" w:rsidR="00F67039" w:rsidRPr="00ED4C8A" w:rsidRDefault="00F67039" w:rsidP="00F67039">
      <w:pPr>
        <w:spacing w:after="0" w:line="360" w:lineRule="auto"/>
        <w:ind w:right="34"/>
        <w:contextualSpacing/>
        <w:jc w:val="both"/>
        <w:rPr>
          <w:rFonts w:ascii="Palatino Linotype" w:eastAsia="MS Mincho" w:hAnsi="Palatino Linotype" w:cs="Times New Roman"/>
          <w:sz w:val="24"/>
          <w:szCs w:val="24"/>
          <w:lang w:val="es-ES_tradnl" w:eastAsia="es-ES"/>
        </w:rPr>
      </w:pPr>
    </w:p>
    <w:p w14:paraId="4C7FC09F" w14:textId="2E56F0AE" w:rsidR="00F67039" w:rsidRPr="00ED4C8A" w:rsidRDefault="00F67039"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Robustece </w:t>
      </w:r>
      <w:r w:rsidRPr="00ED4C8A">
        <w:rPr>
          <w:rFonts w:ascii="Palatino Linotype" w:hAnsi="Palatino Linotype"/>
          <w:sz w:val="24"/>
          <w:szCs w:val="24"/>
          <w:lang w:val="es-ES"/>
        </w:rPr>
        <w:t xml:space="preserve">lo anterior la Tesis aislada identificada con la clave I.4º. A.40 A del Cuarto Tribunal colegiado en Materia Administrativa del Primer Circuito, </w:t>
      </w:r>
      <w:r w:rsidRPr="00ED4C8A">
        <w:rPr>
          <w:rFonts w:ascii="Palatino Linotype" w:hAnsi="Palatino Linotype"/>
          <w:sz w:val="24"/>
          <w:szCs w:val="24"/>
          <w:lang w:val="es-ES"/>
        </w:rPr>
        <w:lastRenderedPageBreak/>
        <w:t>publicada en el</w:t>
      </w:r>
      <w:r w:rsidRPr="00ED4C8A">
        <w:rPr>
          <w:rFonts w:ascii="Palatino Linotype" w:hAnsi="Palatino Linotype"/>
          <w:lang w:val="es-ES"/>
        </w:rPr>
        <w:t xml:space="preserve"> </w:t>
      </w:r>
      <w:r w:rsidRPr="00ED4C8A">
        <w:rPr>
          <w:rFonts w:ascii="Palatino Linotype" w:hAnsi="Palatino Linotype"/>
          <w:sz w:val="24"/>
          <w:szCs w:val="24"/>
          <w:lang w:val="es-ES"/>
        </w:rPr>
        <w:t>Seminario Judicial de la Federación y su Gaceta en el libro XVIII, Marzo 2013, Página 1899.</w:t>
      </w:r>
    </w:p>
    <w:p w14:paraId="5ED3A46A" w14:textId="178281C8" w:rsidR="00F67039" w:rsidRPr="00ED4C8A" w:rsidRDefault="00F67039" w:rsidP="00F67039">
      <w:pPr>
        <w:pStyle w:val="Prrafodelista"/>
        <w:rPr>
          <w:rFonts w:ascii="Palatino Linotype" w:eastAsia="MS Mincho" w:hAnsi="Palatino Linotype" w:cs="Times New Roman"/>
          <w:sz w:val="24"/>
          <w:szCs w:val="24"/>
          <w:lang w:val="es-ES_tradnl" w:eastAsia="es-ES"/>
        </w:rPr>
      </w:pPr>
    </w:p>
    <w:p w14:paraId="7EB4F202" w14:textId="77777777" w:rsidR="00F67039" w:rsidRPr="00ED4C8A" w:rsidRDefault="00F67039" w:rsidP="00F67039">
      <w:pPr>
        <w:pStyle w:val="Prrafodelista"/>
        <w:tabs>
          <w:tab w:val="left" w:pos="851"/>
        </w:tabs>
        <w:spacing w:line="240" w:lineRule="auto"/>
        <w:ind w:left="567" w:right="567"/>
        <w:jc w:val="both"/>
        <w:rPr>
          <w:rFonts w:ascii="Palatino Linotype" w:hAnsi="Palatino Linotype"/>
          <w:i/>
        </w:rPr>
      </w:pPr>
      <w:r w:rsidRPr="00ED4C8A">
        <w:rPr>
          <w:rFonts w:ascii="Palatino Linotype" w:hAnsi="Palatino Linotype"/>
          <w:b/>
          <w:i/>
        </w:rPr>
        <w:t>ACCESO A LA INFORMACIÓN. IMPLICACIÓN DEL PRINCIPIO DE MÁXIMA PUBLICIDAD EN EL DERECHO FUNDAMENTAL RELATIVO.</w:t>
      </w:r>
      <w:r w:rsidRPr="00ED4C8A">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EB52637" w14:textId="77777777" w:rsidR="00F67039" w:rsidRPr="00ED4C8A" w:rsidRDefault="00F67039" w:rsidP="00F67039">
      <w:pPr>
        <w:pStyle w:val="Prrafodelista"/>
        <w:tabs>
          <w:tab w:val="left" w:pos="851"/>
        </w:tabs>
        <w:spacing w:line="240" w:lineRule="auto"/>
        <w:ind w:left="567" w:right="567"/>
        <w:jc w:val="both"/>
        <w:rPr>
          <w:rFonts w:ascii="Palatino Linotype" w:hAnsi="Palatino Linotype"/>
          <w:i/>
        </w:rPr>
      </w:pPr>
    </w:p>
    <w:p w14:paraId="068816FA" w14:textId="77777777" w:rsidR="00F67039" w:rsidRPr="00ED4C8A" w:rsidRDefault="00F67039" w:rsidP="00F67039">
      <w:pPr>
        <w:pStyle w:val="Prrafodelista"/>
        <w:tabs>
          <w:tab w:val="left" w:pos="851"/>
        </w:tabs>
        <w:spacing w:line="240" w:lineRule="auto"/>
        <w:ind w:left="567" w:right="567"/>
        <w:jc w:val="both"/>
        <w:rPr>
          <w:rFonts w:ascii="Palatino Linotype" w:hAnsi="Palatino Linotype"/>
          <w:i/>
        </w:rPr>
      </w:pPr>
      <w:r w:rsidRPr="00ED4C8A">
        <w:rPr>
          <w:rFonts w:ascii="Palatino Linotype" w:hAnsi="Palatino Linotype"/>
          <w:i/>
        </w:rPr>
        <w:t xml:space="preserve">CUARTO TRIBUNAL COLEGIADO EN MATERIA ADMINISTRATIVA DEL PRIMER CIRCUITO. </w:t>
      </w:r>
    </w:p>
    <w:p w14:paraId="2DE62633" w14:textId="77777777" w:rsidR="00F67039" w:rsidRPr="00ED4C8A" w:rsidRDefault="00F67039" w:rsidP="00F67039">
      <w:pPr>
        <w:pStyle w:val="Prrafodelista"/>
        <w:tabs>
          <w:tab w:val="left" w:pos="851"/>
        </w:tabs>
        <w:spacing w:line="240" w:lineRule="auto"/>
        <w:ind w:left="567" w:right="567"/>
        <w:jc w:val="both"/>
        <w:rPr>
          <w:rFonts w:ascii="Palatino Linotype" w:hAnsi="Palatino Linotype"/>
          <w:i/>
        </w:rPr>
      </w:pPr>
    </w:p>
    <w:p w14:paraId="04B9A070" w14:textId="6ADBE6C2" w:rsidR="00F67039" w:rsidRPr="00ED4C8A" w:rsidRDefault="00F67039" w:rsidP="00F67039">
      <w:pPr>
        <w:pStyle w:val="Prrafodelista"/>
        <w:tabs>
          <w:tab w:val="left" w:pos="851"/>
        </w:tabs>
        <w:spacing w:line="240" w:lineRule="auto"/>
        <w:ind w:left="567" w:right="567"/>
        <w:jc w:val="both"/>
        <w:rPr>
          <w:rFonts w:ascii="Palatino Linotype" w:hAnsi="Palatino Linotype"/>
          <w:i/>
          <w:lang w:val="es-ES"/>
        </w:rPr>
      </w:pPr>
      <w:r w:rsidRPr="00ED4C8A">
        <w:rPr>
          <w:rFonts w:ascii="Palatino Linotype" w:hAnsi="Palatino Linotype"/>
          <w:i/>
        </w:rPr>
        <w:t>Amparo en revisión 257/2012. Ruth Corona Muñoz. 6 de diciembre de 2012. Unanimidad de votos. Ponente: Jean Claude Tron Petit. Secretaria: Mayra Susana Martínez López.</w:t>
      </w:r>
    </w:p>
    <w:p w14:paraId="77A7F690" w14:textId="77777777" w:rsidR="00F67039" w:rsidRPr="00ED4C8A" w:rsidRDefault="00F67039" w:rsidP="00F67039">
      <w:pPr>
        <w:pStyle w:val="Prrafodelista"/>
        <w:rPr>
          <w:rFonts w:ascii="Palatino Linotype" w:eastAsia="MS Mincho" w:hAnsi="Palatino Linotype" w:cs="Times New Roman"/>
          <w:sz w:val="24"/>
          <w:szCs w:val="24"/>
          <w:lang w:val="es-ES_tradnl" w:eastAsia="es-ES"/>
        </w:rPr>
      </w:pPr>
    </w:p>
    <w:p w14:paraId="585C0FB6" w14:textId="70E74E4D" w:rsidR="00F67039" w:rsidRPr="00ED4C8A" w:rsidRDefault="00F67039" w:rsidP="00F67039">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lastRenderedPageBreak/>
        <w:t xml:space="preserve">El </w:t>
      </w:r>
      <w:r w:rsidRPr="00ED4C8A">
        <w:rPr>
          <w:rFonts w:ascii="Palatino Linotype" w:hAnsi="Palatino Linotype"/>
          <w:sz w:val="24"/>
          <w:szCs w:val="24"/>
          <w:lang w:val="es-ES"/>
        </w:rPr>
        <w:t>derecho de acceso a la información encuentra su materia elemental en los documentos, y la Ley de Transparencia local nos brinda el siguiente concepto, para darnos un mejor panorama:</w:t>
      </w:r>
    </w:p>
    <w:p w14:paraId="5C52D5F7" w14:textId="52834F1B" w:rsidR="00F67039" w:rsidRPr="00ED4C8A" w:rsidRDefault="00F67039" w:rsidP="00F67039">
      <w:pPr>
        <w:spacing w:after="0" w:line="360" w:lineRule="auto"/>
        <w:ind w:right="34"/>
        <w:contextualSpacing/>
        <w:jc w:val="both"/>
        <w:rPr>
          <w:rFonts w:ascii="Palatino Linotype" w:eastAsia="MS Mincho" w:hAnsi="Palatino Linotype" w:cs="Times New Roman"/>
          <w:sz w:val="24"/>
          <w:szCs w:val="24"/>
          <w:lang w:val="es-ES_tradnl" w:eastAsia="es-ES"/>
        </w:rPr>
      </w:pPr>
    </w:p>
    <w:p w14:paraId="3DB40E9B" w14:textId="77777777" w:rsidR="00F67039" w:rsidRPr="00ED4C8A" w:rsidRDefault="00F67039" w:rsidP="00F67039">
      <w:pPr>
        <w:autoSpaceDE w:val="0"/>
        <w:autoSpaceDN w:val="0"/>
        <w:adjustRightInd w:val="0"/>
        <w:spacing w:line="240" w:lineRule="auto"/>
        <w:ind w:left="567" w:right="567"/>
        <w:jc w:val="both"/>
        <w:rPr>
          <w:rFonts w:ascii="Palatino Linotype" w:hAnsi="Palatino Linotype"/>
          <w:i/>
          <w:lang w:val="es-ES"/>
        </w:rPr>
      </w:pPr>
      <w:r w:rsidRPr="00ED4C8A">
        <w:rPr>
          <w:rFonts w:ascii="Palatino Linotype" w:hAnsi="Palatino Linotype" w:cs="Bookman Old Style,Bold"/>
          <w:b/>
          <w:bCs/>
          <w:i/>
        </w:rPr>
        <w:t xml:space="preserve">XI. Documento: </w:t>
      </w:r>
      <w:r w:rsidRPr="00ED4C8A">
        <w:rPr>
          <w:rFonts w:ascii="Palatino Linotype" w:hAnsi="Palatino Linotype" w:cs="Bookman Old Style"/>
          <w:i/>
        </w:rPr>
        <w:t xml:space="preserve">Los expedientes, reportes, estudios, actas, resoluciones, oficios, correspondencia, acuerdos, directivas, directrices, circulares, contratos, convenios, instructivos, notas, memorandos, estadísticas o bien, </w:t>
      </w:r>
      <w:r w:rsidRPr="00ED4C8A">
        <w:rPr>
          <w:rFonts w:ascii="Palatino Linotype" w:hAnsi="Palatino Linotype" w:cs="Bookman Old Style"/>
          <w:b/>
          <w:i/>
        </w:rPr>
        <w:t>cualquier otro registro</w:t>
      </w:r>
      <w:r w:rsidRPr="00ED4C8A">
        <w:rPr>
          <w:rFonts w:ascii="Palatino Linotype" w:hAnsi="Palatino Linotype" w:cs="Bookman Old Style"/>
          <w:i/>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96AB524" w14:textId="77777777" w:rsidR="00F67039" w:rsidRPr="00ED4C8A" w:rsidRDefault="00F67039" w:rsidP="00F67039">
      <w:pPr>
        <w:spacing w:after="0" w:line="360" w:lineRule="auto"/>
        <w:ind w:right="34"/>
        <w:contextualSpacing/>
        <w:jc w:val="both"/>
        <w:rPr>
          <w:rFonts w:ascii="Palatino Linotype" w:eastAsia="MS Mincho" w:hAnsi="Palatino Linotype" w:cs="Times New Roman"/>
          <w:sz w:val="24"/>
          <w:szCs w:val="24"/>
          <w:lang w:val="es-ES_tradnl" w:eastAsia="es-ES"/>
        </w:rPr>
      </w:pPr>
    </w:p>
    <w:p w14:paraId="0877D289" w14:textId="3FAAEB73" w:rsidR="00F67039" w:rsidRPr="00ED4C8A" w:rsidRDefault="00F67039"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Es así </w:t>
      </w:r>
      <w:r w:rsidRPr="00ED4C8A">
        <w:rPr>
          <w:rFonts w:ascii="Palatino Linotype" w:hAnsi="Palatino Linotype"/>
          <w:sz w:val="24"/>
          <w:szCs w:val="24"/>
          <w:lang w:val="es-ES"/>
        </w:rPr>
        <w:t>como, todos los actos de autoridad que realicen los Sujetos Obligados deben estar documentados y, bajo el más alto estándar de transparencia deberán poner toda la información que se encuentre en su posesión, a disposición de los particulares que la soliciten.</w:t>
      </w:r>
    </w:p>
    <w:p w14:paraId="1B176F73" w14:textId="77777777" w:rsidR="00F67039" w:rsidRPr="00ED4C8A" w:rsidRDefault="00F67039" w:rsidP="00F67039">
      <w:pPr>
        <w:spacing w:after="0" w:line="360" w:lineRule="auto"/>
        <w:ind w:right="34"/>
        <w:contextualSpacing/>
        <w:jc w:val="both"/>
        <w:rPr>
          <w:rFonts w:ascii="Palatino Linotype" w:eastAsia="MS Mincho" w:hAnsi="Palatino Linotype" w:cs="Times New Roman"/>
          <w:sz w:val="24"/>
          <w:szCs w:val="24"/>
          <w:lang w:val="es-ES_tradnl" w:eastAsia="es-ES"/>
        </w:rPr>
      </w:pPr>
    </w:p>
    <w:p w14:paraId="27A78125" w14:textId="1CD11B69" w:rsidR="00F67039" w:rsidRPr="00ED4C8A" w:rsidRDefault="003118D5"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En atención </w:t>
      </w:r>
      <w:r w:rsidRPr="00ED4C8A">
        <w:rPr>
          <w:rFonts w:ascii="Palatino Linotype" w:hAnsi="Palatino Linotype"/>
          <w:sz w:val="24"/>
          <w:szCs w:val="24"/>
          <w:lang w:val="es-ES"/>
        </w:rPr>
        <w:t xml:space="preserve">a lo anterior, se ordena poner a disposición del </w:t>
      </w:r>
      <w:r w:rsidRPr="00ED4C8A">
        <w:rPr>
          <w:rFonts w:ascii="Palatino Linotype" w:hAnsi="Palatino Linotype"/>
          <w:b/>
          <w:bCs/>
          <w:sz w:val="24"/>
          <w:szCs w:val="24"/>
          <w:lang w:val="es-ES"/>
        </w:rPr>
        <w:t>RECURRENTE</w:t>
      </w:r>
      <w:r w:rsidRPr="00ED4C8A">
        <w:rPr>
          <w:rFonts w:ascii="Palatino Linotype" w:hAnsi="Palatino Linotype"/>
          <w:sz w:val="24"/>
          <w:szCs w:val="24"/>
          <w:lang w:val="es-ES"/>
        </w:rPr>
        <w:t xml:space="preserve"> la información requerida. </w:t>
      </w:r>
    </w:p>
    <w:p w14:paraId="54A00D64" w14:textId="77777777" w:rsidR="003118D5" w:rsidRPr="00ED4C8A" w:rsidRDefault="003118D5" w:rsidP="003118D5">
      <w:pPr>
        <w:rPr>
          <w:rFonts w:ascii="Palatino Linotype" w:eastAsia="MS Mincho" w:hAnsi="Palatino Linotype" w:cs="Times New Roman"/>
          <w:sz w:val="24"/>
          <w:szCs w:val="24"/>
          <w:lang w:val="es-ES_tradnl" w:eastAsia="es-ES"/>
        </w:rPr>
      </w:pPr>
    </w:p>
    <w:p w14:paraId="0DB2B20D" w14:textId="6F5BC44A" w:rsidR="00B12C54" w:rsidRPr="00ED4C8A" w:rsidRDefault="003118D5" w:rsidP="003118D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Ahora bien, </w:t>
      </w:r>
      <w:r w:rsidRPr="00ED4C8A">
        <w:rPr>
          <w:rFonts w:ascii="Palatino Linotype" w:hAnsi="Palatino Linotype"/>
          <w:sz w:val="24"/>
          <w:szCs w:val="24"/>
          <w:lang w:val="es-ES"/>
        </w:rPr>
        <w:t xml:space="preserve">de ser el caso de que la información contenga datos personales susceptibles de clasificarse como confidenciales, el </w:t>
      </w:r>
      <w:r w:rsidRPr="00ED4C8A">
        <w:rPr>
          <w:rFonts w:ascii="Palatino Linotype" w:hAnsi="Palatino Linotype"/>
          <w:b/>
          <w:bCs/>
          <w:sz w:val="24"/>
          <w:szCs w:val="24"/>
          <w:lang w:val="es-ES"/>
        </w:rPr>
        <w:t>SUJETO OBLIGADO</w:t>
      </w:r>
      <w:r w:rsidRPr="00ED4C8A">
        <w:rPr>
          <w:rFonts w:ascii="Palatino Linotype" w:hAnsi="Palatino Linotype"/>
          <w:sz w:val="24"/>
          <w:szCs w:val="24"/>
          <w:lang w:val="es-ES"/>
        </w:rPr>
        <w:t xml:space="preserve"> deberá estar a lo dispuesto en el considerando que a continuación de enuncia.</w:t>
      </w:r>
    </w:p>
    <w:p w14:paraId="1B655825" w14:textId="77777777" w:rsidR="00B12C54" w:rsidRPr="00ED4C8A" w:rsidRDefault="00B12C54" w:rsidP="0008753C">
      <w:pPr>
        <w:spacing w:line="360" w:lineRule="auto"/>
        <w:contextualSpacing/>
        <w:rPr>
          <w:rFonts w:ascii="Palatino Linotype" w:eastAsiaTheme="minorEastAsia" w:hAnsi="Palatino Linotype" w:cs="Arial"/>
          <w:sz w:val="24"/>
          <w:szCs w:val="24"/>
          <w:lang w:val="es-ES_tradnl" w:eastAsia="es-ES"/>
        </w:rPr>
      </w:pPr>
    </w:p>
    <w:p w14:paraId="32C02BB2" w14:textId="115920DC" w:rsidR="003118D5" w:rsidRPr="00ED4C8A" w:rsidRDefault="00B12C54" w:rsidP="00F57513">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20" w:name="_Toc26394553"/>
      <w:bookmarkStart w:id="21" w:name="_Toc85130368"/>
      <w:r w:rsidRPr="00ED4C8A">
        <w:rPr>
          <w:rFonts w:ascii="Palatino Linotype" w:eastAsia="MS Mincho" w:hAnsi="Palatino Linotype" w:cstheme="majorBidi"/>
          <w:b/>
          <w:sz w:val="24"/>
          <w:szCs w:val="24"/>
          <w:lang w:val="es-ES_tradnl" w:eastAsia="es-ES"/>
        </w:rPr>
        <w:lastRenderedPageBreak/>
        <w:t>QUINTO</w:t>
      </w:r>
      <w:r w:rsidR="00F202AC" w:rsidRPr="00ED4C8A">
        <w:rPr>
          <w:rFonts w:ascii="Palatino Linotype" w:eastAsia="MS Mincho" w:hAnsi="Palatino Linotype" w:cstheme="majorBidi"/>
          <w:b/>
          <w:sz w:val="24"/>
          <w:szCs w:val="24"/>
          <w:lang w:val="es-ES_tradnl" w:eastAsia="es-ES"/>
        </w:rPr>
        <w:t>. De Versión P</w:t>
      </w:r>
      <w:r w:rsidRPr="00ED4C8A">
        <w:rPr>
          <w:rFonts w:ascii="Palatino Linotype" w:eastAsia="MS Mincho" w:hAnsi="Palatino Linotype" w:cstheme="majorBidi"/>
          <w:b/>
          <w:sz w:val="24"/>
          <w:szCs w:val="24"/>
          <w:lang w:val="es-ES_tradnl" w:eastAsia="es-ES"/>
        </w:rPr>
        <w:t>ública.</w:t>
      </w:r>
      <w:bookmarkEnd w:id="20"/>
      <w:bookmarkEnd w:id="21"/>
    </w:p>
    <w:p w14:paraId="6171DA16" w14:textId="46E3566E" w:rsidR="00B12C54" w:rsidRPr="00ED4C8A"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Arial"/>
          <w:color w:val="000000"/>
          <w:sz w:val="24"/>
          <w:szCs w:val="24"/>
          <w:lang w:val="es-ES_tradnl" w:eastAsia="es-ES"/>
        </w:rPr>
        <w:t>D</w:t>
      </w:r>
      <w:r w:rsidR="00B12C54" w:rsidRPr="00ED4C8A">
        <w:rPr>
          <w:rFonts w:ascii="Palatino Linotype" w:eastAsia="MS Mincho" w:hAnsi="Palatino Linotype" w:cs="Arial"/>
          <w:color w:val="000000"/>
          <w:sz w:val="24"/>
          <w:szCs w:val="24"/>
          <w:lang w:val="es-ES_tradnl" w:eastAsia="es-ES"/>
        </w:rPr>
        <w:t xml:space="preserve">ebe destacarse </w:t>
      </w:r>
      <w:r w:rsidR="00930FD7" w:rsidRPr="00ED4C8A">
        <w:rPr>
          <w:rFonts w:ascii="Palatino Linotype" w:eastAsia="MS Mincho" w:hAnsi="Palatino Linotype" w:cs="Arial"/>
          <w:color w:val="000000"/>
          <w:sz w:val="24"/>
          <w:szCs w:val="24"/>
          <w:lang w:val="es-ES_tradnl" w:eastAsia="es-ES"/>
        </w:rPr>
        <w:t>que,</w:t>
      </w:r>
      <w:r w:rsidR="00B12C54" w:rsidRPr="00ED4C8A">
        <w:rPr>
          <w:rFonts w:ascii="Palatino Linotype" w:eastAsia="MS Mincho" w:hAnsi="Palatino Linotype" w:cs="Arial"/>
          <w:color w:val="000000"/>
          <w:sz w:val="24"/>
          <w:szCs w:val="24"/>
          <w:lang w:val="es-ES_tradnl" w:eastAsia="es-ES"/>
        </w:rPr>
        <w:t xml:space="preserv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B12C54" w:rsidRPr="00ED4C8A">
        <w:rPr>
          <w:rFonts w:ascii="Palatino Linotype" w:eastAsia="MS Mincho" w:hAnsi="Palatino Linotype" w:cs="Arial"/>
          <w:b/>
          <w:color w:val="000000"/>
          <w:sz w:val="24"/>
          <w:szCs w:val="24"/>
          <w:u w:val="single"/>
          <w:lang w:val="es-ES_tradnl" w:eastAsia="es-ES"/>
        </w:rPr>
        <w:t>versión pública</w:t>
      </w:r>
      <w:r w:rsidR="00B12C54" w:rsidRPr="00ED4C8A">
        <w:rPr>
          <w:rFonts w:ascii="Palatino Linotype" w:eastAsia="MS Mincho" w:hAnsi="Palatino Linotype" w:cs="Arial"/>
          <w:color w:val="000000"/>
          <w:sz w:val="24"/>
          <w:szCs w:val="24"/>
          <w:lang w:val="es-ES_tradnl" w:eastAsia="es-ES"/>
        </w:rPr>
        <w:t xml:space="preserve"> </w:t>
      </w:r>
      <w:r w:rsidR="00B12C54" w:rsidRPr="00ED4C8A">
        <w:rPr>
          <w:rFonts w:ascii="Palatino Linotype" w:eastAsia="MS Mincho" w:hAnsi="Palatino Linotype" w:cs="Arial"/>
          <w:sz w:val="24"/>
          <w:szCs w:val="24"/>
          <w:lang w:val="es-ES_tradnl" w:eastAsia="es-ES"/>
        </w:rPr>
        <w:t>del</w:t>
      </w:r>
      <w:r w:rsidR="00B12C54" w:rsidRPr="00ED4C8A">
        <w:rPr>
          <w:rFonts w:ascii="Palatino Linotype" w:eastAsia="MS Mincho" w:hAnsi="Palatino Linotype" w:cs="Arial"/>
          <w:color w:val="000000"/>
          <w:sz w:val="24"/>
          <w:szCs w:val="24"/>
          <w:lang w:val="es-ES_tradnl" w:eastAsia="es-ES"/>
        </w:rPr>
        <w:t xml:space="preserve"> documento por las consideraciones que se estimen pertinentes.</w:t>
      </w:r>
    </w:p>
    <w:p w14:paraId="4B8180C9" w14:textId="77777777" w:rsidR="00677F4D" w:rsidRPr="00ED4C8A" w:rsidRDefault="00677F4D" w:rsidP="00677F4D">
      <w:pPr>
        <w:pStyle w:val="Prrafodelista"/>
        <w:spacing w:after="0" w:line="360" w:lineRule="auto"/>
        <w:ind w:left="0"/>
        <w:jc w:val="both"/>
        <w:rPr>
          <w:rFonts w:ascii="Palatino Linotype" w:eastAsia="MS Mincho" w:hAnsi="Palatino Linotype" w:cs="Times New Roman"/>
          <w:sz w:val="24"/>
          <w:szCs w:val="24"/>
          <w:lang w:val="es-ES_tradnl" w:eastAsia="es-ES"/>
        </w:rPr>
      </w:pPr>
    </w:p>
    <w:p w14:paraId="2687F2C1" w14:textId="072BF9D3" w:rsidR="00677F4D" w:rsidRPr="00ED4C8A"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Arial"/>
          <w:color w:val="000000"/>
          <w:sz w:val="24"/>
          <w:szCs w:val="24"/>
          <w:lang w:val="es-ES_tradnl" w:eastAsia="es-ES"/>
        </w:rPr>
        <w:t xml:space="preserve">La </w:t>
      </w:r>
      <w:r w:rsidRPr="00ED4C8A">
        <w:rPr>
          <w:rFonts w:ascii="Palatino Linotype" w:eastAsia="MS Gothic" w:hAnsi="Palatino Linotype" w:cs="Times New Roman"/>
          <w:sz w:val="24"/>
          <w:szCs w:val="24"/>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D4C8A">
        <w:rPr>
          <w:rFonts w:ascii="Palatino Linotype" w:eastAsia="MS Gothic" w:hAnsi="Palatino Linotype" w:cs="Times New Roman"/>
          <w:sz w:val="24"/>
          <w:szCs w:val="24"/>
          <w:vertAlign w:val="superscript"/>
        </w:rPr>
        <w:footnoteReference w:id="9"/>
      </w:r>
      <w:r w:rsidRPr="00ED4C8A">
        <w:rPr>
          <w:rFonts w:ascii="Palatino Linotype" w:eastAsia="MS Gothic" w:hAnsi="Palatino Linotype" w:cs="Times New Roman"/>
          <w:sz w:val="24"/>
          <w:szCs w:val="24"/>
        </w:rPr>
        <w:t xml:space="preserve"> aunque cualquier límite o restricción, para ser legítimo, debe reunir con tres requisitos: primero, debe de estar </w:t>
      </w:r>
      <w:r w:rsidRPr="00ED4C8A">
        <w:rPr>
          <w:rFonts w:ascii="Palatino Linotype" w:eastAsia="MS Gothic" w:hAnsi="Palatino Linotype" w:cs="Times New Roman"/>
          <w:sz w:val="24"/>
          <w:szCs w:val="24"/>
        </w:rPr>
        <w:lastRenderedPageBreak/>
        <w:t>establecida en un ordenamiento legal, antes de su aplicación; debe de corresponder a un fin legítimo y ser estrictamente proporcional con el principio o valor que se pretende preservar.</w:t>
      </w:r>
      <w:r w:rsidRPr="00ED4C8A">
        <w:rPr>
          <w:rFonts w:ascii="Palatino Linotype" w:eastAsia="MS Gothic" w:hAnsi="Palatino Linotype" w:cs="Times New Roman"/>
          <w:sz w:val="24"/>
          <w:szCs w:val="24"/>
          <w:vertAlign w:val="superscript"/>
        </w:rPr>
        <w:footnoteReference w:id="10"/>
      </w:r>
      <w:r w:rsidRPr="00ED4C8A">
        <w:rPr>
          <w:rFonts w:ascii="Palatino Linotype" w:eastAsia="MS Gothic" w:hAnsi="Palatino Linotype" w:cs="Times New Roman"/>
          <w:sz w:val="24"/>
          <w:szCs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14D5B36" w14:textId="77777777" w:rsidR="00677F4D" w:rsidRPr="00ED4C8A" w:rsidRDefault="00677F4D" w:rsidP="00677F4D">
      <w:pPr>
        <w:pStyle w:val="Prrafodelista"/>
        <w:rPr>
          <w:rFonts w:ascii="Palatino Linotype" w:eastAsia="MS Mincho" w:hAnsi="Palatino Linotype" w:cs="Times New Roman"/>
          <w:sz w:val="24"/>
          <w:szCs w:val="24"/>
          <w:lang w:val="es-ES_tradnl" w:eastAsia="es-ES"/>
        </w:rPr>
      </w:pPr>
    </w:p>
    <w:p w14:paraId="6E45A810" w14:textId="5F729139" w:rsidR="00677F4D" w:rsidRPr="00ED4C8A"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ED4C8A">
        <w:rPr>
          <w:rFonts w:ascii="Palatino Linotype" w:eastAsia="MS Mincho" w:hAnsi="Palatino Linotype" w:cs="Times New Roman"/>
          <w:sz w:val="24"/>
          <w:szCs w:val="24"/>
          <w:lang w:val="es-ES_tradnl" w:eastAsia="es-ES"/>
        </w:rPr>
        <w:t xml:space="preserve">El </w:t>
      </w:r>
      <w:r w:rsidRPr="00ED4C8A">
        <w:rPr>
          <w:rFonts w:ascii="Palatino Linotype" w:eastAsia="MS Gothic" w:hAnsi="Palatino Linotype" w:cs="Times New Roman"/>
          <w:sz w:val="24"/>
          <w:szCs w:val="24"/>
        </w:rPr>
        <w:t xml:space="preserve">grave problema que enfrentamos en general, los acuerdos de clasificación de la información que emiten los sujetos </w:t>
      </w:r>
      <w:r w:rsidR="00930FD7" w:rsidRPr="00ED4C8A">
        <w:rPr>
          <w:rFonts w:ascii="Palatino Linotype" w:eastAsia="MS Gothic" w:hAnsi="Palatino Linotype" w:cs="Times New Roman"/>
          <w:sz w:val="24"/>
          <w:szCs w:val="24"/>
        </w:rPr>
        <w:t>obligados</w:t>
      </w:r>
      <w:r w:rsidRPr="00ED4C8A">
        <w:rPr>
          <w:rFonts w:ascii="Palatino Linotype" w:eastAsia="MS Gothic" w:hAnsi="Palatino Linotype" w:cs="Times New Roman"/>
          <w:sz w:val="24"/>
          <w:szCs w:val="24"/>
        </w:rPr>
        <w:t xml:space="preserve"> siguen sin observar los requisitos, tanto por la complejidad del procedimiento como por la falta de atención de los operadores jurídicos.</w:t>
      </w:r>
    </w:p>
    <w:p w14:paraId="043F56EA" w14:textId="77777777" w:rsidR="00677F4D" w:rsidRPr="00ED4C8A" w:rsidRDefault="00677F4D" w:rsidP="00677F4D">
      <w:pPr>
        <w:pStyle w:val="Prrafodelista"/>
        <w:rPr>
          <w:rFonts w:ascii="Palatino Linotype" w:eastAsia="MS Mincho" w:hAnsi="Palatino Linotype" w:cs="Times New Roman"/>
          <w:sz w:val="24"/>
          <w:szCs w:val="24"/>
          <w:lang w:val="es-ES_tradnl" w:eastAsia="es-ES"/>
        </w:rPr>
      </w:pPr>
    </w:p>
    <w:p w14:paraId="23A454CE" w14:textId="7FD64880" w:rsidR="00301F6D" w:rsidRPr="00ED4C8A"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ED4C8A">
        <w:rPr>
          <w:rFonts w:ascii="Palatino Linotype" w:hAnsi="Palatino Linotype" w:cs="Bookman Old Style"/>
          <w:b/>
          <w:sz w:val="24"/>
          <w:szCs w:val="24"/>
        </w:rPr>
        <w:t>Requisitos previos.</w:t>
      </w:r>
      <w:bookmarkStart w:id="22" w:name="_Toc454968928"/>
      <w:bookmarkStart w:id="23" w:name="_Toc455743517"/>
      <w:bookmarkStart w:id="24" w:name="_Toc458016386"/>
      <w:bookmarkStart w:id="25" w:name="_Toc461555893"/>
      <w:bookmarkStart w:id="26" w:name="_Toc462307690"/>
      <w:bookmarkStart w:id="27" w:name="_Toc475005143"/>
      <w:bookmarkStart w:id="28" w:name="_Toc499659080"/>
    </w:p>
    <w:p w14:paraId="7FA479B0" w14:textId="785350FA" w:rsidR="00677F4D" w:rsidRPr="00ED4C8A"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Los </w:t>
      </w:r>
      <w:r w:rsidRPr="00ED4C8A">
        <w:rPr>
          <w:rFonts w:ascii="Palatino Linotype" w:eastAsia="MS Gothic" w:hAnsi="Palatino Linotype" w:cs="Times New Roman"/>
          <w:sz w:val="24"/>
          <w:szCs w:val="24"/>
        </w:rPr>
        <w:t xml:space="preserve">artículos 122 y 100 de la Ley Estatal y de la Ley General, respectivamente, señalan que los sujetos obligados determinan que la información actualiza alguno de los supuestos de clasificación y que son los titulares de las áreas los encargados </w:t>
      </w:r>
      <w:r w:rsidRPr="00ED4C8A">
        <w:rPr>
          <w:rFonts w:ascii="Palatino Linotype" w:eastAsia="MS Gothic" w:hAnsi="Palatino Linotype" w:cs="Times New Roman"/>
          <w:sz w:val="24"/>
          <w:szCs w:val="24"/>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EAD6164" w14:textId="77777777" w:rsidR="00677F4D" w:rsidRPr="00ED4C8A"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56917A" w14:textId="37C0E8BD" w:rsidR="00677F4D" w:rsidRPr="00ED4C8A"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Además, se </w:t>
      </w:r>
      <w:r w:rsidRPr="00ED4C8A">
        <w:rPr>
          <w:rFonts w:ascii="Palatino Linotype" w:eastAsia="MS Gothic" w:hAnsi="Palatino Linotype" w:cs="Times New Roman"/>
          <w:sz w:val="24"/>
          <w:szCs w:val="24"/>
        </w:rPr>
        <w:t>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E640B54" w14:textId="77777777" w:rsidR="00677F4D" w:rsidRPr="00ED4C8A" w:rsidRDefault="00677F4D" w:rsidP="00677F4D">
      <w:pPr>
        <w:pStyle w:val="Prrafodelista"/>
        <w:rPr>
          <w:rFonts w:ascii="Palatino Linotype" w:eastAsia="MS Mincho" w:hAnsi="Palatino Linotype" w:cs="Arial"/>
          <w:sz w:val="24"/>
          <w:szCs w:val="24"/>
          <w:lang w:val="es-ES_tradnl" w:eastAsia="es-ES"/>
        </w:rPr>
      </w:pPr>
    </w:p>
    <w:p w14:paraId="5C7E2526" w14:textId="32FFFF9E" w:rsidR="00677F4D" w:rsidRPr="00ED4C8A"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El </w:t>
      </w:r>
      <w:r w:rsidRPr="00ED4C8A">
        <w:rPr>
          <w:rFonts w:ascii="Palatino Linotype" w:eastAsia="MS Gothic" w:hAnsi="Palatino Linotype" w:cs="Times New Roman"/>
          <w:sz w:val="24"/>
          <w:szCs w:val="24"/>
        </w:rPr>
        <w:t xml:space="preserve">último de estos requisitos previos consiste en que no se pueden emitir acuerdos de carácter general ni particular, según lo disponen los artículos 134 y 108 de la Ley Estatal y de la Ley General, respectivamente, esto es, </w:t>
      </w:r>
      <w:r w:rsidRPr="00ED4C8A">
        <w:rPr>
          <w:rFonts w:ascii="Palatino Linotype" w:eastAsia="MS Gothic" w:hAnsi="Palatino Linotype" w:cs="Times New Roman"/>
          <w:b/>
          <w:sz w:val="24"/>
          <w:szCs w:val="24"/>
          <w:u w:val="single"/>
        </w:rPr>
        <w:t xml:space="preserve">no se puede hacer un acuerdo para clasificar de manera general todos los documentos de un expediente o área,  </w:t>
      </w:r>
      <w:r w:rsidRPr="00ED4C8A">
        <w:rPr>
          <w:rFonts w:ascii="Palatino Linotype" w:eastAsia="MS Gothic" w:hAnsi="Palatino Linotype" w:cs="Times New Roman"/>
          <w:sz w:val="24"/>
          <w:szCs w:val="24"/>
        </w:rPr>
        <w:t>sin individualizar su análisis y tampoco se puede hacer un acuerdo por cada dato que se vaya a clasificar dentro de un documento con diez datos, por ejemplo, susceptibles de ser clasificados.</w:t>
      </w:r>
    </w:p>
    <w:p w14:paraId="7C0E8EEE" w14:textId="345327A8" w:rsidR="00677F4D" w:rsidRPr="00ED4C8A"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ED4C8A">
        <w:rPr>
          <w:rFonts w:ascii="Palatino Linotype" w:hAnsi="Palatino Linotype" w:cs="Bookman Old Style"/>
          <w:b/>
          <w:sz w:val="24"/>
          <w:szCs w:val="24"/>
        </w:rPr>
        <w:lastRenderedPageBreak/>
        <w:t xml:space="preserve">Supuesto de clasificación. </w:t>
      </w:r>
    </w:p>
    <w:p w14:paraId="12005D17" w14:textId="12234D0C" w:rsidR="00677F4D" w:rsidRPr="00ED4C8A"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Las </w:t>
      </w:r>
      <w:r w:rsidRPr="00ED4C8A">
        <w:rPr>
          <w:rFonts w:ascii="Palatino Linotype" w:eastAsia="MS Gothic" w:hAnsi="Palatino Linotype" w:cs="Times New Roman"/>
          <w:sz w:val="24"/>
          <w:szCs w:val="24"/>
        </w:rPr>
        <w:t>disposiciones constitucionales y legales en la materia establecen los dos supuestos generales para clasificar la información: por reserva y por confidencialidad.</w:t>
      </w:r>
    </w:p>
    <w:p w14:paraId="6F4F71DD" w14:textId="77777777" w:rsidR="00677F4D" w:rsidRPr="00ED4C8A"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3DD41E2" w14:textId="3C08BE26" w:rsidR="00677F4D" w:rsidRPr="00ED4C8A"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Los </w:t>
      </w:r>
      <w:r w:rsidRPr="00ED4C8A">
        <w:rPr>
          <w:rFonts w:ascii="Palatino Linotype" w:eastAsia="MS Gothic" w:hAnsi="Palatino Linotype" w:cs="Times New Roman"/>
          <w:sz w:val="24"/>
          <w:szCs w:val="24"/>
        </w:rPr>
        <w:t>artículos 143 y 116 de la Ley Estatal y de la Ley General, respectivamente, señalan los supuestos para que la información pueda ser clasificada como confidencial:</w:t>
      </w:r>
    </w:p>
    <w:p w14:paraId="6CA7D248" w14:textId="77777777" w:rsidR="00677F4D" w:rsidRPr="00ED4C8A" w:rsidRDefault="00677F4D" w:rsidP="00BA2D46">
      <w:pPr>
        <w:spacing w:after="0" w:line="240" w:lineRule="auto"/>
        <w:ind w:left="567" w:right="567"/>
        <w:contextualSpacing/>
        <w:jc w:val="both"/>
        <w:rPr>
          <w:rFonts w:ascii="Palatino Linotype" w:eastAsia="MS Mincho" w:hAnsi="Palatino Linotype" w:cs="Arial"/>
          <w:sz w:val="24"/>
          <w:szCs w:val="24"/>
          <w:lang w:val="es-ES_tradnl" w:eastAsia="es-ES"/>
        </w:rPr>
      </w:pPr>
    </w:p>
    <w:p w14:paraId="1A057034" w14:textId="77777777" w:rsidR="00677F4D" w:rsidRPr="00ED4C8A"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ED4C8A">
        <w:rPr>
          <w:rFonts w:ascii="Palatino Linotype" w:hAnsi="Palatino Linotype" w:cs="Bookman Old Style"/>
          <w:bCs/>
          <w:i/>
          <w:color w:val="000000"/>
        </w:rPr>
        <w:t xml:space="preserve">“I. </w:t>
      </w:r>
      <w:r w:rsidRPr="00ED4C8A">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DAE418C" w14:textId="77777777" w:rsidR="00677F4D" w:rsidRPr="00ED4C8A"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ED4C8A">
        <w:rPr>
          <w:rFonts w:ascii="Palatino Linotype" w:hAnsi="Palatino Linotype" w:cs="Bookman Old Style"/>
          <w:bCs/>
          <w:i/>
          <w:color w:val="000000"/>
        </w:rPr>
        <w:t xml:space="preserve">II. </w:t>
      </w:r>
      <w:r w:rsidRPr="00ED4C8A">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1157CB8" w14:textId="77777777" w:rsidR="00677F4D" w:rsidRPr="00ED4C8A"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ED4C8A">
        <w:rPr>
          <w:rFonts w:ascii="Palatino Linotype" w:hAnsi="Palatino Linotype" w:cs="Bookman Old Style"/>
          <w:bCs/>
          <w:i/>
          <w:color w:val="000000"/>
        </w:rPr>
        <w:t xml:space="preserve">III. </w:t>
      </w:r>
      <w:r w:rsidRPr="00ED4C8A">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05E3EB1" w14:textId="77777777" w:rsidR="00677F4D" w:rsidRPr="00ED4C8A"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ED4C8A">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509F4E8" w14:textId="0A509530" w:rsidR="00677F4D" w:rsidRPr="00ED4C8A"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Bookman Old Style"/>
          <w:i/>
          <w:color w:val="000000"/>
        </w:rPr>
      </w:pPr>
      <w:r w:rsidRPr="00ED4C8A">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23739045" w14:textId="77777777" w:rsidR="00677F4D" w:rsidRPr="00ED4C8A" w:rsidRDefault="00677F4D" w:rsidP="00677F4D">
      <w:pPr>
        <w:widowControl w:val="0"/>
        <w:tabs>
          <w:tab w:val="left" w:pos="8222"/>
        </w:tabs>
        <w:autoSpaceDE w:val="0"/>
        <w:autoSpaceDN w:val="0"/>
        <w:adjustRightInd w:val="0"/>
        <w:spacing w:after="240" w:line="240" w:lineRule="auto"/>
        <w:ind w:right="567"/>
        <w:jc w:val="both"/>
        <w:rPr>
          <w:rFonts w:ascii="Palatino Linotype" w:hAnsi="Palatino Linotype" w:cs="Bookman Old Style"/>
          <w:i/>
          <w:color w:val="000000"/>
        </w:rPr>
      </w:pPr>
    </w:p>
    <w:p w14:paraId="3A357011" w14:textId="711A3104" w:rsidR="00677F4D" w:rsidRPr="00ED4C8A"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lastRenderedPageBreak/>
        <w:t xml:space="preserve">Mientras </w:t>
      </w:r>
      <w:r w:rsidRPr="00ED4C8A">
        <w:rPr>
          <w:rFonts w:ascii="Palatino Linotype" w:eastAsia="MS Gothic" w:hAnsi="Palatino Linotype" w:cs="Times New Roman"/>
          <w:sz w:val="24"/>
          <w:szCs w:val="24"/>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C597314" w14:textId="77777777" w:rsidR="00677F4D" w:rsidRPr="00ED4C8A"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3726EDA" w14:textId="51F2E62A" w:rsidR="00677F4D" w:rsidRPr="00ED4C8A"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Como </w:t>
      </w:r>
      <w:r w:rsidRPr="00ED4C8A">
        <w:rPr>
          <w:rFonts w:ascii="Palatino Linotype" w:eastAsia="MS Gothic" w:hAnsi="Palatino Linotype" w:cs="Times New Roman"/>
          <w:sz w:val="24"/>
          <w:szCs w:val="24"/>
        </w:rPr>
        <w:t xml:space="preserve">consecuencia de lo anterior, el </w:t>
      </w:r>
      <w:r w:rsidRPr="00ED4C8A">
        <w:rPr>
          <w:rFonts w:ascii="Palatino Linotype" w:eastAsia="MS Gothic" w:hAnsi="Palatino Linotype" w:cs="Times New Roman"/>
          <w:b/>
          <w:sz w:val="24"/>
          <w:szCs w:val="24"/>
        </w:rPr>
        <w:t>SUJETO OBLIGADO</w:t>
      </w:r>
      <w:r w:rsidRPr="00ED4C8A">
        <w:rPr>
          <w:rFonts w:ascii="Palatino Linotype" w:eastAsia="MS Gothic" w:hAnsi="Palatino Linotype" w:cs="Times New Roman"/>
          <w:sz w:val="24"/>
          <w:szCs w:val="24"/>
        </w:rPr>
        <w:t xml:space="preserve"> debe identificar claramente el tipo de información y hacer un juicio de subsunción o encaje</w:t>
      </w:r>
      <w:r w:rsidRPr="00ED4C8A">
        <w:rPr>
          <w:rFonts w:ascii="Palatino Linotype" w:eastAsia="MS Gothic" w:hAnsi="Palatino Linotype" w:cs="Times New Roman"/>
          <w:sz w:val="24"/>
          <w:szCs w:val="24"/>
          <w:vertAlign w:val="superscript"/>
        </w:rPr>
        <w:footnoteReference w:id="11"/>
      </w:r>
      <w:r w:rsidRPr="00ED4C8A">
        <w:rPr>
          <w:rFonts w:ascii="Palatino Linotype" w:eastAsia="MS Gothic" w:hAnsi="Palatino Linotype" w:cs="Times New Roman"/>
          <w:sz w:val="24"/>
          <w:szCs w:val="24"/>
        </w:rPr>
        <w:t xml:space="preserve"> para acreditar que el supuesto de hecho corresponde estrictamente con la hipótesis jurídica. Esto también lo debe de realizar el servidor público habilitado y el titular del área que administra la información.</w:t>
      </w:r>
    </w:p>
    <w:p w14:paraId="10B698D9" w14:textId="77777777" w:rsidR="00677F4D" w:rsidRPr="00ED4C8A" w:rsidRDefault="00677F4D" w:rsidP="00677F4D">
      <w:pPr>
        <w:pStyle w:val="Prrafodelista"/>
        <w:rPr>
          <w:rFonts w:ascii="Palatino Linotype" w:eastAsia="MS Mincho" w:hAnsi="Palatino Linotype" w:cs="Arial"/>
          <w:sz w:val="24"/>
          <w:szCs w:val="24"/>
          <w:lang w:val="es-ES_tradnl" w:eastAsia="es-ES"/>
        </w:rPr>
      </w:pPr>
    </w:p>
    <w:p w14:paraId="74CE553D" w14:textId="4079B61D" w:rsidR="00677F4D" w:rsidRPr="00ED4C8A"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lastRenderedPageBreak/>
        <w:t xml:space="preserve">Al </w:t>
      </w:r>
      <w:r w:rsidRPr="00ED4C8A">
        <w:rPr>
          <w:rFonts w:ascii="Palatino Linotype" w:eastAsia="MS Gothic" w:hAnsi="Palatino Linotype" w:cs="Times New Roman"/>
          <w:sz w:val="24"/>
          <w:szCs w:val="24"/>
        </w:rPr>
        <w:t>respecto, los Lineamientos Generales en Materia de Clasificación y Desclasificación de la Información, así Como para la Elaboración de Versiones Públicas, por cuanto hace a la clasificación de la información, señalan lo siguiente:</w:t>
      </w:r>
    </w:p>
    <w:p w14:paraId="4E13B240" w14:textId="77777777" w:rsidR="00677F4D" w:rsidRPr="00ED4C8A"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ED4C8A">
        <w:rPr>
          <w:rFonts w:ascii="Palatino Linotype" w:hAnsi="Palatino Linotype" w:cs="Arial"/>
          <w:i/>
        </w:rPr>
        <w:t>“</w:t>
      </w:r>
      <w:r w:rsidRPr="00ED4C8A">
        <w:rPr>
          <w:rFonts w:ascii="Palatino Linotype" w:hAnsi="Palatino Linotype" w:cs="Arial"/>
          <w:b/>
          <w:i/>
        </w:rPr>
        <w:t>Quincuagésimo.</w:t>
      </w:r>
      <w:r w:rsidRPr="00ED4C8A">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4AA20EE" w14:textId="77777777" w:rsidR="00677F4D" w:rsidRPr="00ED4C8A"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DBE48F0" w14:textId="77777777" w:rsidR="00677F4D" w:rsidRPr="00ED4C8A"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ED4C8A">
        <w:rPr>
          <w:rFonts w:ascii="Palatino Linotype" w:hAnsi="Palatino Linotype" w:cs="Arial"/>
          <w:b/>
          <w:i/>
        </w:rPr>
        <w:t>Quincuagésimo primero.</w:t>
      </w:r>
      <w:r w:rsidRPr="00ED4C8A">
        <w:rPr>
          <w:rFonts w:ascii="Palatino Linotype" w:hAnsi="Palatino Linotype" w:cs="Arial"/>
          <w:i/>
        </w:rPr>
        <w:t xml:space="preserve"> La leyenda en los documentos clasificados indicará:</w:t>
      </w:r>
    </w:p>
    <w:p w14:paraId="38011068" w14:textId="77777777" w:rsidR="00677F4D" w:rsidRPr="00ED4C8A"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ED4C8A">
        <w:rPr>
          <w:rFonts w:ascii="Palatino Linotype" w:hAnsi="Palatino Linotype" w:cs="Arial"/>
          <w:i/>
        </w:rPr>
        <w:t>I. La fecha de sesión del Comité de Transparencia en donde se confirmó la clasificación, en su caso;</w:t>
      </w:r>
    </w:p>
    <w:p w14:paraId="1BDF2AF1" w14:textId="77777777" w:rsidR="00677F4D" w:rsidRPr="00ED4C8A"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ED4C8A">
        <w:rPr>
          <w:rFonts w:ascii="Palatino Linotype" w:hAnsi="Palatino Linotype" w:cs="Arial"/>
          <w:i/>
        </w:rPr>
        <w:t>II. El nombre del área;</w:t>
      </w:r>
    </w:p>
    <w:p w14:paraId="5B7F2C20" w14:textId="77777777" w:rsidR="00677F4D" w:rsidRPr="00ED4C8A"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ED4C8A">
        <w:rPr>
          <w:rFonts w:ascii="Palatino Linotype" w:hAnsi="Palatino Linotype" w:cs="Arial"/>
          <w:i/>
        </w:rPr>
        <w:t>III. La palabra reservado o confidencial;</w:t>
      </w:r>
    </w:p>
    <w:p w14:paraId="38CCB9E4" w14:textId="77777777" w:rsidR="00677F4D" w:rsidRPr="00ED4C8A"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ED4C8A">
        <w:rPr>
          <w:rFonts w:ascii="Palatino Linotype" w:hAnsi="Palatino Linotype" w:cs="Arial"/>
          <w:i/>
        </w:rPr>
        <w:t>IV. Las partes o secciones reservadas o confidenciales, en su caso;</w:t>
      </w:r>
    </w:p>
    <w:p w14:paraId="210439BF" w14:textId="77777777" w:rsidR="00677F4D" w:rsidRPr="00ED4C8A"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ED4C8A">
        <w:rPr>
          <w:rFonts w:ascii="Palatino Linotype" w:hAnsi="Palatino Linotype" w:cs="Arial"/>
          <w:i/>
        </w:rPr>
        <w:t>V. El fundamento legal;</w:t>
      </w:r>
    </w:p>
    <w:p w14:paraId="3A2806AA" w14:textId="77777777" w:rsidR="00677F4D" w:rsidRPr="00ED4C8A"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ED4C8A">
        <w:rPr>
          <w:rFonts w:ascii="Palatino Linotype" w:hAnsi="Palatino Linotype" w:cs="Arial"/>
          <w:i/>
        </w:rPr>
        <w:t>VI. El periodo de reserva, y</w:t>
      </w:r>
    </w:p>
    <w:p w14:paraId="2C947D07" w14:textId="77777777" w:rsidR="00677F4D" w:rsidRPr="00ED4C8A"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ED4C8A">
        <w:rPr>
          <w:rFonts w:ascii="Palatino Linotype" w:hAnsi="Palatino Linotype" w:cs="Arial"/>
          <w:i/>
        </w:rPr>
        <w:t>VII. La rúbrica del titular del área.</w:t>
      </w:r>
    </w:p>
    <w:p w14:paraId="578D4424" w14:textId="77777777" w:rsidR="00677F4D" w:rsidRPr="00ED4C8A"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17C07AC" w14:textId="77777777" w:rsidR="00677F4D" w:rsidRPr="00ED4C8A" w:rsidRDefault="00677F4D"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sidRPr="00ED4C8A">
        <w:rPr>
          <w:rFonts w:ascii="Palatino Linotype" w:hAnsi="Palatino Linotype" w:cs="Arial"/>
          <w:b/>
          <w:i/>
        </w:rPr>
        <w:t>Quincuagésimo segundo.</w:t>
      </w:r>
      <w:r w:rsidRPr="00ED4C8A">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4AEFEC16" w14:textId="77777777" w:rsidR="00677F4D" w:rsidRPr="00ED4C8A" w:rsidRDefault="00677F4D"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r w:rsidRPr="00ED4C8A">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6C2386D3" w14:textId="77777777" w:rsidR="00BA2D46" w:rsidRPr="00ED4C8A" w:rsidRDefault="00BA2D46"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p>
    <w:p w14:paraId="7140E37A" w14:textId="482846BE" w:rsidR="00677F4D" w:rsidRPr="00ED4C8A" w:rsidRDefault="007B3EA1"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sidRPr="00ED4C8A">
        <w:rPr>
          <w:rFonts w:ascii="Palatino Linotype" w:hAnsi="Palatino Linotype" w:cs="Arial"/>
          <w:b/>
          <w:i/>
          <w:noProof/>
          <w:lang w:eastAsia="es-MX"/>
        </w:rPr>
        <mc:AlternateContent>
          <mc:Choice Requires="wps">
            <w:drawing>
              <wp:anchor distT="0" distB="0" distL="114300" distR="114300" simplePos="0" relativeHeight="251662336" behindDoc="0" locked="0" layoutInCell="1" allowOverlap="1" wp14:anchorId="4C2EBD91" wp14:editId="25AC066D">
                <wp:simplePos x="0" y="0"/>
                <wp:positionH relativeFrom="column">
                  <wp:posOffset>313236</wp:posOffset>
                </wp:positionH>
                <wp:positionV relativeFrom="paragraph">
                  <wp:posOffset>372564</wp:posOffset>
                </wp:positionV>
                <wp:extent cx="5279572" cy="1992085"/>
                <wp:effectExtent l="0" t="0" r="16510" b="14605"/>
                <wp:wrapNone/>
                <wp:docPr id="26" name="Conector recto 26"/>
                <wp:cNvGraphicFramePr/>
                <a:graphic xmlns:a="http://schemas.openxmlformats.org/drawingml/2006/main">
                  <a:graphicData uri="http://schemas.microsoft.com/office/word/2010/wordprocessingShape">
                    <wps:wsp>
                      <wps:cNvCnPr/>
                      <wps:spPr>
                        <a:xfrm>
                          <a:off x="0" y="0"/>
                          <a:ext cx="5279572" cy="1992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A89E83" id="Conector recto 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29.35pt" to="440.3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" strokecolor="#5b9bd5 [3204]" strokeweight=".5pt">
                <v:stroke joinstyle="miter"/>
              </v:line>
            </w:pict>
          </mc:Fallback>
        </mc:AlternateContent>
      </w:r>
      <w:r w:rsidR="00677F4D" w:rsidRPr="00ED4C8A">
        <w:rPr>
          <w:rFonts w:ascii="Palatino Linotype" w:hAnsi="Palatino Linotype" w:cs="Arial"/>
          <w:b/>
          <w:i/>
        </w:rPr>
        <w:t>Quincuagésimo tercero.</w:t>
      </w:r>
      <w:r w:rsidR="00677F4D" w:rsidRPr="00ED4C8A">
        <w:rPr>
          <w:rFonts w:ascii="Palatino Linotype" w:hAnsi="Palatino Linotype" w:cs="Arial"/>
          <w:i/>
        </w:rPr>
        <w:t xml:space="preserve"> El formato para señalar la clasificación parcial de un documento, es el siguiente:</w:t>
      </w:r>
    </w:p>
    <w:p w14:paraId="14D7520E" w14:textId="29F84C8E" w:rsidR="00677F4D" w:rsidRPr="00ED4C8A" w:rsidRDefault="00677F4D" w:rsidP="00BA2D46">
      <w:pPr>
        <w:tabs>
          <w:tab w:val="left" w:pos="66"/>
        </w:tabs>
        <w:spacing w:after="0" w:line="240" w:lineRule="auto"/>
        <w:ind w:left="567" w:right="567"/>
        <w:contextualSpacing/>
        <w:jc w:val="both"/>
        <w:rPr>
          <w:rFonts w:ascii="Palatino Linotype" w:eastAsia="MS Mincho" w:hAnsi="Palatino Linotype" w:cs="Arial"/>
          <w:sz w:val="24"/>
          <w:szCs w:val="24"/>
          <w:lang w:val="es-ES_tradnl" w:eastAsia="es-ES"/>
        </w:rPr>
      </w:pPr>
      <w:r w:rsidRPr="00ED4C8A">
        <w:rPr>
          <w:rFonts w:ascii="Palatino Linotype" w:hAnsi="Palatino Linotype" w:cs="Arial"/>
          <w:i/>
          <w:noProof/>
          <w:lang w:eastAsia="es-MX"/>
        </w:rPr>
        <w:lastRenderedPageBreak/>
        <w:drawing>
          <wp:inline distT="0" distB="0" distL="0" distR="0" wp14:anchorId="24CC4B30" wp14:editId="2B9AC926">
            <wp:extent cx="4977517" cy="6798366"/>
            <wp:effectExtent l="57150" t="57150" r="109220" b="116840"/>
            <wp:docPr id="7" name="Imagen 7"/>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676" cy="666063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9965A9" w14:textId="077734D6" w:rsidR="00677F4D" w:rsidRPr="00ED4C8A"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lastRenderedPageBreak/>
        <w:t xml:space="preserve">Una </w:t>
      </w:r>
      <w:r w:rsidRPr="00ED4C8A">
        <w:rPr>
          <w:rFonts w:ascii="Palatino Linotype" w:hAnsi="Palatino Linotype" w:cs="Bookman Old Style"/>
          <w:sz w:val="24"/>
          <w:szCs w:val="24"/>
        </w:rPr>
        <w:t xml:space="preserve">vez </w:t>
      </w:r>
      <w:r w:rsidRPr="00ED4C8A">
        <w:rPr>
          <w:rFonts w:ascii="Palatino Linotype" w:eastAsia="MS Gothic" w:hAnsi="Palatino Linotype" w:cs="Times New Roman"/>
          <w:sz w:val="24"/>
          <w:szCs w:val="24"/>
        </w:rPr>
        <w:t>hecho lo anterior, se remite la información al Titular de la Unidad de Transparencia, con el acuerdo de clasificación correspondiente, para que sea sometido al conocimiento del Comité de Transparencia.</w:t>
      </w:r>
    </w:p>
    <w:p w14:paraId="610BEFC3" w14:textId="77777777" w:rsidR="00677F4D" w:rsidRPr="00ED4C8A" w:rsidRDefault="00677F4D" w:rsidP="00677F4D">
      <w:pPr>
        <w:pStyle w:val="Prrafodelista"/>
        <w:numPr>
          <w:ilvl w:val="0"/>
          <w:numId w:val="27"/>
        </w:numPr>
        <w:spacing w:before="240" w:after="240" w:line="360" w:lineRule="auto"/>
        <w:ind w:right="49"/>
        <w:jc w:val="both"/>
        <w:rPr>
          <w:rFonts w:ascii="Palatino Linotype" w:hAnsi="Palatino Linotype" w:cs="Bookman Old Style"/>
          <w:sz w:val="24"/>
          <w:szCs w:val="24"/>
        </w:rPr>
      </w:pPr>
      <w:r w:rsidRPr="00ED4C8A">
        <w:rPr>
          <w:rFonts w:ascii="Palatino Linotype" w:hAnsi="Palatino Linotype" w:cs="Arial"/>
          <w:b/>
          <w:sz w:val="24"/>
          <w:szCs w:val="24"/>
        </w:rPr>
        <w:t>La intervención del Comité de Transparencia.</w:t>
      </w:r>
    </w:p>
    <w:p w14:paraId="6EA23D06" w14:textId="5FB3CC12" w:rsidR="00677F4D" w:rsidRPr="00ED4C8A" w:rsidRDefault="00677F4D" w:rsidP="00677F4D">
      <w:pPr>
        <w:pStyle w:val="Prrafodelista"/>
        <w:numPr>
          <w:ilvl w:val="1"/>
          <w:numId w:val="27"/>
        </w:numPr>
        <w:tabs>
          <w:tab w:val="left" w:pos="142"/>
          <w:tab w:val="left" w:pos="284"/>
          <w:tab w:val="left" w:pos="426"/>
        </w:tabs>
        <w:spacing w:before="240" w:after="240" w:line="360" w:lineRule="auto"/>
        <w:jc w:val="both"/>
        <w:rPr>
          <w:rFonts w:ascii="Palatino Linotype" w:hAnsi="Palatino Linotype" w:cs="Arial"/>
          <w:b/>
          <w:sz w:val="24"/>
          <w:szCs w:val="24"/>
        </w:rPr>
      </w:pPr>
      <w:r w:rsidRPr="00ED4C8A">
        <w:rPr>
          <w:rFonts w:ascii="Palatino Linotype" w:hAnsi="Palatino Linotype" w:cs="Arial"/>
          <w:b/>
          <w:sz w:val="24"/>
          <w:szCs w:val="24"/>
        </w:rPr>
        <w:t>Formalidades para emitir el Acuerdo de Clasificación.</w:t>
      </w:r>
    </w:p>
    <w:p w14:paraId="067D955E" w14:textId="7CD16B6C" w:rsidR="00677F4D" w:rsidRPr="00ED4C8A"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El </w:t>
      </w:r>
      <w:r w:rsidRPr="00ED4C8A">
        <w:rPr>
          <w:rFonts w:ascii="Palatino Linotype" w:eastAsia="MS Gothic" w:hAnsi="Palatino Linotype" w:cs="Times New Roman"/>
          <w:sz w:val="24"/>
          <w:szCs w:val="24"/>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ED4C8A">
        <w:rPr>
          <w:rFonts w:ascii="Palatino Linotype" w:eastAsia="MS Gothic" w:hAnsi="Palatino Linotype" w:cs="Times New Roman"/>
          <w:b/>
          <w:sz w:val="24"/>
          <w:szCs w:val="24"/>
          <w:u w:val="single"/>
        </w:rPr>
        <w:t>confirmar, modificar o revocar</w:t>
      </w:r>
      <w:r w:rsidRPr="00ED4C8A">
        <w:rPr>
          <w:rFonts w:ascii="Palatino Linotype" w:eastAsia="MS Gothic" w:hAnsi="Palatino Linotype" w:cs="Times New Roman"/>
          <w:sz w:val="24"/>
          <w:szCs w:val="24"/>
        </w:rPr>
        <w:t xml:space="preserve"> la clasificación de la información que ha hecho el titular del área que administra la información. Por lo tanto, el Comité </w:t>
      </w:r>
      <w:r w:rsidRPr="00ED4C8A">
        <w:rPr>
          <w:rFonts w:ascii="Palatino Linotype" w:eastAsia="MS Gothic" w:hAnsi="Palatino Linotype" w:cs="Times New Roman"/>
          <w:b/>
          <w:sz w:val="24"/>
          <w:szCs w:val="24"/>
          <w:u w:val="single"/>
        </w:rPr>
        <w:t>no aprueba</w:t>
      </w:r>
      <w:r w:rsidRPr="00ED4C8A">
        <w:rPr>
          <w:rFonts w:ascii="Palatino Linotype" w:eastAsia="MS Gothic" w:hAnsi="Palatino Linotype" w:cs="Times New Roman"/>
          <w:sz w:val="24"/>
          <w:szCs w:val="24"/>
        </w:rPr>
        <w:t xml:space="preserve"> la clasificación, sino que revisa lo que ha hecho el titular del área y confirma, modifica o revoca la decisión a través de un acuerdo.</w:t>
      </w:r>
    </w:p>
    <w:p w14:paraId="36267260" w14:textId="77777777" w:rsidR="00677F4D" w:rsidRPr="00ED4C8A"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38BC4BDA" w14:textId="76D00456" w:rsidR="00677F4D" w:rsidRPr="00ED4C8A"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Gothic" w:hAnsi="Palatino Linotype" w:cs="Times New Roman"/>
          <w:sz w:val="24"/>
          <w:szCs w:val="24"/>
        </w:rPr>
        <w:t>Evidentemente, esta decisión implica una restricción a un derecho humano, por lo tanto, puede generar un agravio a</w:t>
      </w:r>
      <w:r w:rsidR="004B2816" w:rsidRPr="00ED4C8A">
        <w:rPr>
          <w:rFonts w:ascii="Palatino Linotype" w:eastAsia="MS Gothic" w:hAnsi="Palatino Linotype" w:cs="Times New Roman"/>
          <w:sz w:val="24"/>
          <w:szCs w:val="24"/>
        </w:rPr>
        <w:t xml:space="preserve"> </w:t>
      </w:r>
      <w:r w:rsidR="00C626D3" w:rsidRPr="00ED4C8A">
        <w:rPr>
          <w:rFonts w:ascii="Palatino Linotype" w:eastAsia="MS Gothic" w:hAnsi="Palatino Linotype" w:cs="Times New Roman"/>
          <w:sz w:val="24"/>
          <w:szCs w:val="24"/>
        </w:rPr>
        <w:t>el</w:t>
      </w:r>
      <w:r w:rsidR="003445CD" w:rsidRPr="00ED4C8A">
        <w:rPr>
          <w:rFonts w:ascii="Palatino Linotype" w:eastAsia="MS Gothic" w:hAnsi="Palatino Linotype" w:cs="Times New Roman"/>
          <w:sz w:val="24"/>
          <w:szCs w:val="24"/>
        </w:rPr>
        <w:t xml:space="preserve"> P</w:t>
      </w:r>
      <w:r w:rsidRPr="00ED4C8A">
        <w:rPr>
          <w:rFonts w:ascii="Palatino Linotype" w:eastAsia="MS Gothic" w:hAnsi="Palatino Linotype" w:cs="Times New Roman"/>
          <w:sz w:val="24"/>
          <w:szCs w:val="24"/>
        </w:rPr>
        <w:t xml:space="preserve">articular y, en consecuencia, es necesario que </w:t>
      </w:r>
      <w:r w:rsidRPr="00ED4C8A">
        <w:rPr>
          <w:rFonts w:ascii="Palatino Linotype" w:eastAsia="MS Gothic" w:hAnsi="Palatino Linotype" w:cs="Times New Roman"/>
          <w:b/>
          <w:sz w:val="24"/>
          <w:szCs w:val="24"/>
          <w:u w:val="single"/>
        </w:rPr>
        <w:t>el acto reúna con los requisitos elementales</w:t>
      </w:r>
      <w:r w:rsidRPr="00ED4C8A">
        <w:rPr>
          <w:rFonts w:ascii="Palatino Linotype" w:eastAsia="MS Gothic" w:hAnsi="Palatino Linotype" w:cs="Times New Roman"/>
          <w:sz w:val="24"/>
          <w:szCs w:val="24"/>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w:t>
      </w:r>
      <w:r w:rsidRPr="00ED4C8A">
        <w:rPr>
          <w:rFonts w:ascii="Palatino Linotype" w:eastAsia="MS Gothic" w:hAnsi="Palatino Linotype" w:cs="Times New Roman"/>
          <w:sz w:val="24"/>
          <w:szCs w:val="24"/>
        </w:rPr>
        <w:lastRenderedPageBreak/>
        <w:t>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912FE8E" w14:textId="77777777" w:rsidR="00677F4D" w:rsidRPr="00ED4C8A"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9AA559D" w14:textId="757BF987" w:rsidR="00677F4D" w:rsidRPr="00ED4C8A"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La </w:t>
      </w:r>
      <w:r w:rsidRPr="00ED4C8A">
        <w:rPr>
          <w:rFonts w:ascii="Palatino Linotype" w:eastAsia="MS Gothic" w:hAnsi="Palatino Linotype" w:cs="Times New Roman"/>
          <w:sz w:val="24"/>
          <w:szCs w:val="24"/>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77058F5" w14:textId="28B105FE" w:rsidR="00677F4D" w:rsidRPr="00ED4C8A" w:rsidRDefault="00677F4D" w:rsidP="00677F4D">
      <w:pPr>
        <w:pStyle w:val="Prrafodelista"/>
        <w:numPr>
          <w:ilvl w:val="1"/>
          <w:numId w:val="27"/>
        </w:numPr>
        <w:spacing w:before="240" w:after="240" w:line="360" w:lineRule="auto"/>
        <w:ind w:right="49"/>
        <w:jc w:val="both"/>
        <w:rPr>
          <w:rFonts w:ascii="Palatino Linotype" w:hAnsi="Palatino Linotype" w:cs="Bookman Old Style"/>
          <w:sz w:val="24"/>
          <w:szCs w:val="24"/>
        </w:rPr>
      </w:pPr>
      <w:r w:rsidRPr="00ED4C8A">
        <w:rPr>
          <w:rFonts w:ascii="Palatino Linotype" w:hAnsi="Palatino Linotype" w:cs="Arial"/>
          <w:b/>
          <w:sz w:val="24"/>
          <w:szCs w:val="24"/>
        </w:rPr>
        <w:t>Requisitos de fondo del Acuerdo de Clasificación.</w:t>
      </w:r>
    </w:p>
    <w:p w14:paraId="68568D89" w14:textId="736593BD" w:rsidR="00677F4D" w:rsidRPr="00ED4C8A"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Como </w:t>
      </w:r>
      <w:r w:rsidRPr="00ED4C8A">
        <w:rPr>
          <w:rFonts w:ascii="Palatino Linotype" w:eastAsia="MS Gothic" w:hAnsi="Palatino Linotype" w:cs="Times New Roman"/>
          <w:sz w:val="24"/>
          <w:szCs w:val="24"/>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w:t>
      </w:r>
      <w:r w:rsidRPr="00ED4C8A">
        <w:rPr>
          <w:rFonts w:ascii="Palatino Linotype" w:eastAsia="MS Gothic" w:hAnsi="Palatino Linotype" w:cs="Times New Roman"/>
          <w:sz w:val="24"/>
          <w:szCs w:val="24"/>
        </w:rPr>
        <w:lastRenderedPageBreak/>
        <w:t>sexagésimo segundo de los Lineamientos Generales,  al señalar que la carga de la prueba, para justificar las restricciones, corresponde a los sujetos obligados, por lo que deberán fundar y motivar debidamente la clasificación.</w:t>
      </w:r>
    </w:p>
    <w:p w14:paraId="47DFCFE5" w14:textId="77777777" w:rsidR="00677F4D" w:rsidRPr="00ED4C8A"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7A7B0693" w14:textId="129B5F81" w:rsidR="00677F4D" w:rsidRPr="00ED4C8A"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De lo </w:t>
      </w:r>
      <w:r w:rsidRPr="00ED4C8A">
        <w:rPr>
          <w:rFonts w:ascii="Palatino Linotype" w:eastAsia="MS Gothic" w:hAnsi="Palatino Linotype" w:cs="Times New Roman"/>
          <w:sz w:val="24"/>
          <w:szCs w:val="24"/>
        </w:rPr>
        <w:t xml:space="preserve">anterior, se desprende </w:t>
      </w:r>
      <w:r w:rsidR="00930FD7" w:rsidRPr="00ED4C8A">
        <w:rPr>
          <w:rFonts w:ascii="Palatino Linotype" w:eastAsia="MS Gothic" w:hAnsi="Palatino Linotype" w:cs="Times New Roman"/>
          <w:sz w:val="24"/>
          <w:szCs w:val="24"/>
        </w:rPr>
        <w:t>que,</w:t>
      </w:r>
      <w:r w:rsidRPr="00ED4C8A">
        <w:rPr>
          <w:rFonts w:ascii="Palatino Linotype" w:eastAsia="MS Gothic" w:hAnsi="Palatino Linotype" w:cs="Times New Roman"/>
          <w:sz w:val="24"/>
          <w:szCs w:val="24"/>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2185EED" w14:textId="77777777" w:rsidR="00677F4D" w:rsidRPr="00ED4C8A" w:rsidRDefault="00677F4D" w:rsidP="00677F4D">
      <w:pPr>
        <w:pStyle w:val="Prrafodelista"/>
        <w:rPr>
          <w:rFonts w:ascii="Palatino Linotype" w:eastAsia="MS Mincho" w:hAnsi="Palatino Linotype" w:cs="Arial"/>
          <w:sz w:val="24"/>
          <w:szCs w:val="24"/>
          <w:lang w:val="es-ES_tradnl" w:eastAsia="es-ES"/>
        </w:rPr>
      </w:pPr>
    </w:p>
    <w:p w14:paraId="2036D1B9" w14:textId="0BB6B343" w:rsidR="00677F4D" w:rsidRPr="00ED4C8A"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Han </w:t>
      </w:r>
      <w:r w:rsidR="00BA2D46" w:rsidRPr="00ED4C8A">
        <w:rPr>
          <w:rFonts w:ascii="Palatino Linotype" w:eastAsia="MS Gothic" w:hAnsi="Palatino Linotype" w:cs="Times New Roman"/>
          <w:sz w:val="24"/>
          <w:szCs w:val="24"/>
        </w:rPr>
        <w:t>sido vastos los estudios doctrinarios relativos a estos derechos fundamentales y al principio de legalidad en ellos contenidos; como ejemplo, el procesalista José Ovalle Fabela, en su obra “Garantías Constitucionales del Proceso”, refiere que “...</w:t>
      </w:r>
      <w:r w:rsidR="00BA2D46" w:rsidRPr="00ED4C8A">
        <w:rPr>
          <w:rFonts w:ascii="Palatino Linotype" w:eastAsia="MS Gothic" w:hAnsi="Palatino Linotype" w:cs="Times New Roman"/>
          <w:i/>
          <w:sz w:val="24"/>
          <w:szCs w:val="24"/>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00BA2D46" w:rsidRPr="00ED4C8A">
        <w:rPr>
          <w:rFonts w:ascii="Palatino Linotype" w:eastAsia="MS Gothic" w:hAnsi="Palatino Linotype" w:cs="Times New Roman"/>
          <w:i/>
          <w:sz w:val="24"/>
          <w:szCs w:val="24"/>
        </w:rPr>
        <w:lastRenderedPageBreak/>
        <w:t>ciertos, normalmente a partir del análisis de las pruebas, lo cual se debe exteriorizar en una argumentación o juicio de hecho</w:t>
      </w:r>
      <w:r w:rsidR="00BA2D46" w:rsidRPr="00ED4C8A">
        <w:rPr>
          <w:rFonts w:ascii="Palatino Linotype" w:eastAsia="MS Gothic" w:hAnsi="Palatino Linotype" w:cs="Times New Roman"/>
          <w:sz w:val="24"/>
          <w:szCs w:val="24"/>
        </w:rPr>
        <w:t>....”</w:t>
      </w:r>
      <w:r w:rsidR="00BA2D46" w:rsidRPr="00ED4C8A">
        <w:rPr>
          <w:rFonts w:ascii="Palatino Linotype" w:eastAsia="MS Gothic" w:hAnsi="Palatino Linotype" w:cs="Times New Roman"/>
          <w:sz w:val="24"/>
          <w:szCs w:val="24"/>
          <w:vertAlign w:val="superscript"/>
        </w:rPr>
        <w:footnoteReference w:id="12"/>
      </w:r>
    </w:p>
    <w:p w14:paraId="730F8C0D" w14:textId="77777777" w:rsidR="00BA2D46" w:rsidRPr="00ED4C8A" w:rsidRDefault="00BA2D46" w:rsidP="00BA2D46">
      <w:pPr>
        <w:rPr>
          <w:rFonts w:ascii="Palatino Linotype" w:eastAsia="MS Mincho" w:hAnsi="Palatino Linotype" w:cs="Arial"/>
          <w:sz w:val="24"/>
          <w:szCs w:val="24"/>
          <w:lang w:val="es-ES_tradnl" w:eastAsia="es-ES"/>
        </w:rPr>
      </w:pPr>
    </w:p>
    <w:p w14:paraId="723EECCE" w14:textId="4154479B" w:rsidR="00BA2D46" w:rsidRPr="00ED4C8A"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Por </w:t>
      </w:r>
      <w:r w:rsidRPr="00ED4C8A">
        <w:rPr>
          <w:rFonts w:ascii="Palatino Linotype" w:hAnsi="Palatino Linotype" w:cs="Arial"/>
          <w:sz w:val="24"/>
          <w:szCs w:val="24"/>
        </w:rPr>
        <w:t>su parte, el intérprete judicial del país ha establecido una jurisprudencia respecto a qué debe entenderse por fundamentación y motivación, en los siguientes términos:</w:t>
      </w:r>
    </w:p>
    <w:p w14:paraId="26C7E872" w14:textId="77777777" w:rsidR="00BA2D46" w:rsidRPr="00ED4C8A" w:rsidRDefault="00BA2D46" w:rsidP="00BA2D46">
      <w:pPr>
        <w:pStyle w:val="Prrafodelista"/>
        <w:rPr>
          <w:rFonts w:ascii="Palatino Linotype" w:eastAsia="MS Mincho" w:hAnsi="Palatino Linotype" w:cs="Arial"/>
          <w:sz w:val="24"/>
          <w:szCs w:val="24"/>
          <w:lang w:val="es-ES_tradnl" w:eastAsia="es-ES"/>
        </w:rPr>
      </w:pPr>
    </w:p>
    <w:p w14:paraId="5E2D365A" w14:textId="77777777" w:rsidR="00BA2D46" w:rsidRPr="00ED4C8A" w:rsidRDefault="00BA2D46" w:rsidP="00BA2D46">
      <w:pPr>
        <w:spacing w:line="240" w:lineRule="auto"/>
        <w:ind w:left="567" w:right="618"/>
        <w:contextualSpacing/>
        <w:jc w:val="both"/>
        <w:rPr>
          <w:rFonts w:ascii="Palatino Linotype" w:hAnsi="Palatino Linotype" w:cs="Arial"/>
          <w:i/>
          <w:color w:val="000000"/>
        </w:rPr>
      </w:pPr>
      <w:r w:rsidRPr="00ED4C8A">
        <w:rPr>
          <w:rFonts w:ascii="Palatino Linotype" w:hAnsi="Palatino Linotype" w:cs="Arial"/>
          <w:b/>
          <w:i/>
          <w:color w:val="000000"/>
        </w:rPr>
        <w:t>FUNDAMENTACIÓN Y MOTIVACIÓN.</w:t>
      </w:r>
      <w:r w:rsidRPr="00ED4C8A">
        <w:rPr>
          <w:rFonts w:ascii="Palatino Linotype" w:hAnsi="Palatino Linotype" w:cs="Arial"/>
          <w:i/>
          <w:color w:val="000000"/>
        </w:rPr>
        <w:t xml:space="preserve"> “La </w:t>
      </w:r>
      <w:r w:rsidRPr="00ED4C8A">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D4C8A">
        <w:rPr>
          <w:rFonts w:ascii="Palatino Linotype" w:hAnsi="Palatino Linotype" w:cs="Arial"/>
          <w:i/>
          <w:color w:val="000000"/>
        </w:rPr>
        <w:t>.”</w:t>
      </w:r>
    </w:p>
    <w:p w14:paraId="078B0BD7" w14:textId="77777777" w:rsidR="00BA2D46" w:rsidRPr="00ED4C8A" w:rsidRDefault="00BA2D46" w:rsidP="00BA2D46">
      <w:pPr>
        <w:spacing w:line="240" w:lineRule="auto"/>
        <w:ind w:left="567" w:right="618"/>
        <w:contextualSpacing/>
        <w:jc w:val="both"/>
        <w:rPr>
          <w:rFonts w:ascii="Palatino Linotype" w:hAnsi="Palatino Linotype" w:cs="Arial"/>
          <w:i/>
          <w:color w:val="000000"/>
        </w:rPr>
      </w:pPr>
      <w:r w:rsidRPr="00ED4C8A">
        <w:rPr>
          <w:rFonts w:ascii="Palatino Linotype" w:hAnsi="Palatino Linotype" w:cs="Arial"/>
          <w:i/>
          <w:color w:val="000000"/>
        </w:rPr>
        <w:t>SEGUNDO TRIBUNAL COLEGIADO DEL SEXTO CIRCUITO.</w:t>
      </w:r>
    </w:p>
    <w:p w14:paraId="7C51F538" w14:textId="77777777" w:rsidR="00BA2D46" w:rsidRPr="00ED4C8A" w:rsidRDefault="00BA2D46" w:rsidP="00BA2D46">
      <w:pPr>
        <w:spacing w:line="240" w:lineRule="auto"/>
        <w:ind w:left="567" w:right="618"/>
        <w:contextualSpacing/>
        <w:jc w:val="both"/>
        <w:rPr>
          <w:rFonts w:ascii="Palatino Linotype" w:hAnsi="Palatino Linotype" w:cs="Arial"/>
          <w:i/>
          <w:color w:val="000000"/>
        </w:rPr>
      </w:pPr>
      <w:r w:rsidRPr="00ED4C8A">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6F39556F" w14:textId="77777777" w:rsidR="00BA2D46" w:rsidRPr="00ED4C8A" w:rsidRDefault="00BA2D46" w:rsidP="00BA2D46">
      <w:pPr>
        <w:spacing w:line="240" w:lineRule="auto"/>
        <w:ind w:left="567" w:right="618"/>
        <w:contextualSpacing/>
        <w:jc w:val="both"/>
        <w:rPr>
          <w:rFonts w:ascii="Palatino Linotype" w:hAnsi="Palatino Linotype" w:cs="Arial"/>
          <w:i/>
          <w:color w:val="000000"/>
        </w:rPr>
      </w:pPr>
      <w:r w:rsidRPr="00ED4C8A">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58F7957" w14:textId="77777777" w:rsidR="00BA2D46" w:rsidRPr="00ED4C8A" w:rsidRDefault="00BA2D46" w:rsidP="00BA2D46">
      <w:pPr>
        <w:spacing w:line="240" w:lineRule="auto"/>
        <w:ind w:left="567" w:right="618"/>
        <w:contextualSpacing/>
        <w:jc w:val="both"/>
        <w:rPr>
          <w:rFonts w:ascii="Palatino Linotype" w:hAnsi="Palatino Linotype" w:cs="Arial"/>
          <w:i/>
          <w:color w:val="000000"/>
        </w:rPr>
      </w:pPr>
      <w:r w:rsidRPr="00ED4C8A">
        <w:rPr>
          <w:rFonts w:ascii="Palatino Linotype" w:hAnsi="Palatino Linotype" w:cs="Arial"/>
          <w:i/>
          <w:color w:val="000000"/>
        </w:rPr>
        <w:t>Amparo en revisión 333/88. Adilia Romero. 26 de octubre de 1988. Unanimidad de votos. Ponente: Arnoldo Nájera Virgen. Secretario: Enrique Crispín Campos Ramírez.</w:t>
      </w:r>
    </w:p>
    <w:p w14:paraId="6C2EB560" w14:textId="77777777" w:rsidR="00BA2D46" w:rsidRPr="00ED4C8A" w:rsidRDefault="00BA2D46" w:rsidP="00BA2D46">
      <w:pPr>
        <w:spacing w:line="240" w:lineRule="auto"/>
        <w:ind w:left="567" w:right="618"/>
        <w:contextualSpacing/>
        <w:jc w:val="both"/>
        <w:rPr>
          <w:rFonts w:ascii="Palatino Linotype" w:hAnsi="Palatino Linotype" w:cs="Arial"/>
          <w:i/>
          <w:color w:val="000000"/>
        </w:rPr>
      </w:pPr>
      <w:r w:rsidRPr="00ED4C8A">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56F11B9C" w14:textId="77777777" w:rsidR="00BA2D46" w:rsidRPr="00ED4C8A" w:rsidRDefault="00BA2D46" w:rsidP="00BA2D46">
      <w:pPr>
        <w:pStyle w:val="Prrafodelista"/>
        <w:tabs>
          <w:tab w:val="left" w:pos="142"/>
          <w:tab w:val="left" w:pos="284"/>
          <w:tab w:val="left" w:pos="426"/>
        </w:tabs>
        <w:spacing w:before="240" w:after="240" w:line="240" w:lineRule="auto"/>
        <w:ind w:left="567" w:right="618"/>
        <w:jc w:val="both"/>
        <w:rPr>
          <w:rFonts w:ascii="Palatino Linotype" w:hAnsi="Palatino Linotype" w:cs="Bookman Old Style"/>
        </w:rPr>
      </w:pPr>
      <w:r w:rsidRPr="00ED4C8A">
        <w:rPr>
          <w:rFonts w:ascii="Palatino Linotype" w:hAnsi="Palatino Linotype" w:cs="Arial"/>
          <w:i/>
          <w:color w:val="000000"/>
        </w:rPr>
        <w:lastRenderedPageBreak/>
        <w:t>Amparo directo 7/96. Pedro Vicente López Miro. 21 de febrero de 1996. Unanimidad de votos. Ponente: María Eugenia Estela Martínez Cardiel. Secretario: Enrique Baigts Muñoz.</w:t>
      </w:r>
    </w:p>
    <w:p w14:paraId="594BE5AA" w14:textId="77777777" w:rsidR="00BA2D46" w:rsidRPr="00ED4C8A"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AE1BDC3" w14:textId="236828B2" w:rsidR="00677F4D" w:rsidRPr="00ED4C8A"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Gothic" w:hAnsi="Palatino Linotype" w:cs="Times New Roman"/>
          <w:sz w:val="24"/>
          <w:szCs w:val="24"/>
        </w:rPr>
        <w:t xml:space="preserve"> </w:t>
      </w:r>
      <w:r w:rsidR="00BA2D46" w:rsidRPr="00ED4C8A">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DEE0762" w14:textId="77777777" w:rsidR="00BA2D46" w:rsidRPr="00ED4C8A"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45083D" w14:textId="4F044F59" w:rsidR="00BA2D46" w:rsidRPr="00ED4C8A"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En </w:t>
      </w:r>
      <w:r w:rsidRPr="00ED4C8A">
        <w:rPr>
          <w:rFonts w:ascii="Palatino Linotype" w:eastAsia="MS Gothic" w:hAnsi="Palatino Linotype" w:cs="Times New Roman"/>
          <w:sz w:val="24"/>
          <w:szCs w:val="24"/>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364EF4F" w14:textId="77777777" w:rsidR="00BA2D46" w:rsidRPr="00ED4C8A"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4D44AC4" w14:textId="12EA35A1" w:rsidR="00BA2D46" w:rsidRPr="00ED4C8A"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En </w:t>
      </w:r>
      <w:r w:rsidRPr="00ED4C8A">
        <w:rPr>
          <w:rFonts w:ascii="Palatino Linotype" w:eastAsia="MS Gothic" w:hAnsi="Palatino Linotype" w:cs="Times New Roman"/>
          <w:sz w:val="24"/>
          <w:szCs w:val="24"/>
        </w:rPr>
        <w:t>ese mismo sentido, el numeral trigésimo tercero fracción V de los Lineamientos Generales, precisa que para motivar la clasificación se deben acreditar las circunstancias de tiempo, modo y lugar.</w:t>
      </w:r>
    </w:p>
    <w:p w14:paraId="3E5628FA" w14:textId="77777777" w:rsidR="00BA2D46" w:rsidRPr="00ED4C8A" w:rsidRDefault="00BA2D46" w:rsidP="00F202AC">
      <w:pPr>
        <w:rPr>
          <w:rFonts w:ascii="Palatino Linotype" w:eastAsia="MS Mincho" w:hAnsi="Palatino Linotype" w:cs="Arial"/>
          <w:sz w:val="24"/>
          <w:szCs w:val="24"/>
          <w:lang w:val="es-ES_tradnl" w:eastAsia="es-ES"/>
        </w:rPr>
      </w:pPr>
    </w:p>
    <w:p w14:paraId="3E181E7B" w14:textId="5598740B" w:rsidR="00BA2D46" w:rsidRPr="00ED4C8A"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Ahora </w:t>
      </w:r>
      <w:r w:rsidRPr="00ED4C8A">
        <w:rPr>
          <w:rFonts w:ascii="Palatino Linotype" w:eastAsia="MS Gothic" w:hAnsi="Palatino Linotype" w:cs="Times New Roman"/>
          <w:sz w:val="24"/>
          <w:szCs w:val="24"/>
        </w:rPr>
        <w:t xml:space="preserve">bien, </w:t>
      </w:r>
      <w:r w:rsidRPr="00ED4C8A">
        <w:rPr>
          <w:rFonts w:ascii="Palatino Linotype" w:eastAsia="MS Gothic" w:hAnsi="Palatino Linotype" w:cs="Times New Roman"/>
          <w:b/>
          <w:sz w:val="24"/>
          <w:szCs w:val="24"/>
          <w:u w:val="single"/>
        </w:rPr>
        <w:t>para cada caso además de fundar y motivar</w:t>
      </w:r>
      <w:r w:rsidRPr="00ED4C8A">
        <w:rPr>
          <w:rFonts w:ascii="Palatino Linotype" w:eastAsia="MS Gothic" w:hAnsi="Palatino Linotype" w:cs="Times New Roman"/>
          <w:sz w:val="24"/>
          <w:szCs w:val="24"/>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Pr="00ED4C8A">
        <w:rPr>
          <w:rFonts w:ascii="Palatino Linotype" w:eastAsia="MS Gothic" w:hAnsi="Palatino Linotype" w:cs="Times New Roman"/>
          <w:sz w:val="24"/>
          <w:szCs w:val="24"/>
        </w:rPr>
        <w:lastRenderedPageBreak/>
        <w:t>no así todos los datos contenidos en dicho documento que son datos personales</w:t>
      </w:r>
      <w:r w:rsidRPr="00ED4C8A">
        <w:rPr>
          <w:rFonts w:ascii="Palatino Linotype" w:eastAsia="MS Gothic" w:hAnsi="Palatino Linotype" w:cs="Times New Roman"/>
          <w:sz w:val="24"/>
          <w:szCs w:val="24"/>
          <w:vertAlign w:val="superscript"/>
        </w:rPr>
        <w:footnoteReference w:id="13"/>
      </w:r>
      <w:r w:rsidRPr="00ED4C8A">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ED4C8A">
        <w:rPr>
          <w:rFonts w:ascii="Palatino Linotype" w:eastAsia="MS Gothic" w:hAnsi="Palatino Linotype" w:cs="Times New Roman"/>
          <w:sz w:val="24"/>
          <w:szCs w:val="24"/>
          <w:lang w:val="es-ES"/>
        </w:rPr>
        <w:t>Clave Única de Registro de Población (CURP), Registro Federal de Contribuyentes (R.F.C.), los Códigos Bidimensionales, también denominados Códigos QR, son datos  susceptibles de clasificarse como confidenciales mediante una versión pública que deje a la vista los datos que ofrezcan la información requerida.</w:t>
      </w:r>
    </w:p>
    <w:p w14:paraId="24443C3B" w14:textId="77777777" w:rsidR="00BA2D46" w:rsidRPr="00ED4C8A" w:rsidRDefault="00BA2D46" w:rsidP="00F202AC">
      <w:pPr>
        <w:rPr>
          <w:rFonts w:ascii="Palatino Linotype" w:eastAsia="MS Mincho" w:hAnsi="Palatino Linotype" w:cs="Arial"/>
          <w:sz w:val="24"/>
          <w:szCs w:val="24"/>
          <w:lang w:val="es-ES_tradnl" w:eastAsia="es-ES"/>
        </w:rPr>
      </w:pPr>
    </w:p>
    <w:p w14:paraId="003F9E30" w14:textId="281A7C5D" w:rsidR="00301F6D" w:rsidRPr="00ED4C8A" w:rsidRDefault="00BA2D46" w:rsidP="00592E88">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Arial"/>
          <w:sz w:val="24"/>
          <w:szCs w:val="24"/>
          <w:lang w:val="es-ES_tradnl" w:eastAsia="es-ES"/>
        </w:rPr>
        <w:t xml:space="preserve">Otro </w:t>
      </w:r>
      <w:r w:rsidRPr="00ED4C8A">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B21D70D" w14:textId="77777777" w:rsidR="00592E88" w:rsidRPr="00ED4C8A" w:rsidRDefault="00592E88" w:rsidP="00592E88">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394FB243" w14:textId="540783A0" w:rsidR="003D72B0" w:rsidRPr="00ED4C8A" w:rsidRDefault="00301F6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ED4C8A">
        <w:rPr>
          <w:rFonts w:ascii="Palatino Linotype" w:eastAsia="MS Mincho" w:hAnsi="Palatino Linotype" w:cstheme="majorBidi"/>
          <w:sz w:val="24"/>
          <w:szCs w:val="24"/>
          <w:lang w:val="es-ES_tradnl" w:eastAsia="es-ES"/>
        </w:rPr>
        <w:t xml:space="preserve">Por lo anteriormente expuesto y fundado este </w:t>
      </w:r>
      <w:r w:rsidRPr="00ED4C8A">
        <w:rPr>
          <w:rFonts w:ascii="Palatino Linotype" w:eastAsia="MS Mincho" w:hAnsi="Palatino Linotype" w:cstheme="majorBidi"/>
          <w:b/>
          <w:sz w:val="24"/>
          <w:szCs w:val="24"/>
          <w:lang w:val="es-ES_tradnl" w:eastAsia="es-ES"/>
        </w:rPr>
        <w:t>ÓRGANO GARANTE</w:t>
      </w:r>
      <w:r w:rsidRPr="00ED4C8A">
        <w:rPr>
          <w:rFonts w:ascii="Palatino Linotype" w:eastAsia="MS Mincho" w:hAnsi="Palatino Linotype" w:cstheme="majorBidi"/>
          <w:sz w:val="24"/>
          <w:szCs w:val="24"/>
          <w:lang w:val="es-ES_tradnl" w:eastAsia="es-ES"/>
        </w:rPr>
        <w:t xml:space="preserve"> emite los siguientes:</w:t>
      </w:r>
    </w:p>
    <w:p w14:paraId="4CC28E1A" w14:textId="0E333B69" w:rsidR="00B12C54" w:rsidRPr="00ED4C8A" w:rsidRDefault="00B12C54" w:rsidP="0008753C">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29" w:name="_Toc447183492"/>
      <w:bookmarkStart w:id="30" w:name="_Toc450120667"/>
      <w:bookmarkStart w:id="31" w:name="_Toc461555895"/>
      <w:bookmarkStart w:id="32" w:name="_Toc26394555"/>
      <w:bookmarkStart w:id="33" w:name="_Toc85130369"/>
      <w:bookmarkEnd w:id="22"/>
      <w:bookmarkEnd w:id="23"/>
      <w:bookmarkEnd w:id="24"/>
      <w:bookmarkEnd w:id="25"/>
      <w:bookmarkEnd w:id="26"/>
      <w:bookmarkEnd w:id="27"/>
      <w:bookmarkEnd w:id="28"/>
      <w:r w:rsidRPr="00ED4C8A">
        <w:rPr>
          <w:rFonts w:ascii="Palatino Linotype" w:eastAsia="Calibri" w:hAnsi="Palatino Linotype" w:cstheme="majorBidi"/>
          <w:b/>
          <w:sz w:val="24"/>
          <w:szCs w:val="24"/>
          <w:lang w:val="es-ES" w:eastAsia="es-ES"/>
        </w:rPr>
        <w:lastRenderedPageBreak/>
        <w:t>R E S O L U T I V O S</w:t>
      </w:r>
      <w:bookmarkEnd w:id="29"/>
      <w:bookmarkEnd w:id="30"/>
      <w:bookmarkEnd w:id="31"/>
      <w:bookmarkEnd w:id="32"/>
      <w:bookmarkEnd w:id="33"/>
    </w:p>
    <w:p w14:paraId="5ED2512A" w14:textId="2D0C0762" w:rsidR="00B12C54" w:rsidRPr="00ED4C8A"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ED4C8A">
        <w:rPr>
          <w:rFonts w:ascii="Palatino Linotype" w:eastAsiaTheme="minorEastAsia" w:hAnsi="Palatino Linotype"/>
          <w:b/>
          <w:sz w:val="24"/>
          <w:szCs w:val="24"/>
          <w:lang w:val="es-ES_tradnl" w:eastAsia="es-ES"/>
        </w:rPr>
        <w:t>PRIMERO</w:t>
      </w:r>
      <w:r w:rsidRPr="00ED4C8A">
        <w:rPr>
          <w:rFonts w:ascii="Palatino Linotype" w:eastAsiaTheme="minorEastAsia" w:hAnsi="Palatino Linotype"/>
          <w:sz w:val="24"/>
          <w:szCs w:val="24"/>
          <w:lang w:val="es-ES_tradnl" w:eastAsia="es-ES"/>
        </w:rPr>
        <w:t xml:space="preserve">. </w:t>
      </w:r>
      <w:r w:rsidR="00BA2D46" w:rsidRPr="00ED4C8A">
        <w:rPr>
          <w:rFonts w:ascii="Palatino Linotype" w:eastAsia="Times New Roman" w:hAnsi="Palatino Linotype" w:cs="Arial"/>
          <w:sz w:val="24"/>
          <w:szCs w:val="24"/>
        </w:rPr>
        <w:t>Resultan fundadas las</w:t>
      </w:r>
      <w:r w:rsidR="00BA2D46" w:rsidRPr="00ED4C8A">
        <w:rPr>
          <w:rFonts w:ascii="Palatino Linotype" w:eastAsia="Times New Roman" w:hAnsi="Palatino Linotype" w:cs="Arial"/>
          <w:b/>
          <w:sz w:val="24"/>
          <w:szCs w:val="24"/>
        </w:rPr>
        <w:t xml:space="preserve"> </w:t>
      </w:r>
      <w:r w:rsidR="00BA2D46" w:rsidRPr="00ED4C8A">
        <w:rPr>
          <w:rFonts w:ascii="Palatino Linotype" w:eastAsia="Times New Roman" w:hAnsi="Palatino Linotype" w:cs="Arial"/>
          <w:sz w:val="24"/>
          <w:szCs w:val="24"/>
          <w:lang w:val="es-ES"/>
        </w:rPr>
        <w:t xml:space="preserve">razones o motivos de inconformidad hechos valer </w:t>
      </w:r>
      <w:r w:rsidR="00BA2D46" w:rsidRPr="00ED4C8A">
        <w:rPr>
          <w:rFonts w:ascii="Palatino Linotype" w:eastAsia="Calibri" w:hAnsi="Palatino Linotype" w:cs="Arial"/>
          <w:sz w:val="24"/>
          <w:szCs w:val="24"/>
          <w:lang w:val="es-ES"/>
        </w:rPr>
        <w:t xml:space="preserve">en el recurso de revisión </w:t>
      </w:r>
      <w:r w:rsidR="00E91116" w:rsidRPr="00ED4C8A">
        <w:rPr>
          <w:rFonts w:ascii="Palatino Linotype" w:hAnsi="Palatino Linotype" w:cs="Arial"/>
          <w:b/>
          <w:bCs/>
          <w:sz w:val="24"/>
          <w:szCs w:val="24"/>
        </w:rPr>
        <w:t>04</w:t>
      </w:r>
      <w:r w:rsidR="003118D5" w:rsidRPr="00ED4C8A">
        <w:rPr>
          <w:rFonts w:ascii="Palatino Linotype" w:hAnsi="Palatino Linotype" w:cs="Arial"/>
          <w:b/>
          <w:bCs/>
          <w:sz w:val="24"/>
          <w:szCs w:val="24"/>
        </w:rPr>
        <w:t>623</w:t>
      </w:r>
      <w:r w:rsidR="00BA2D46" w:rsidRPr="00ED4C8A">
        <w:rPr>
          <w:rFonts w:ascii="Palatino Linotype" w:hAnsi="Palatino Linotype" w:cs="Arial"/>
          <w:b/>
          <w:bCs/>
          <w:sz w:val="24"/>
          <w:szCs w:val="24"/>
        </w:rPr>
        <w:t>/INFOEM/IP/RR/2021</w:t>
      </w:r>
      <w:r w:rsidR="00BA2D46" w:rsidRPr="00ED4C8A">
        <w:rPr>
          <w:rFonts w:ascii="Palatino Linotype" w:hAnsi="Palatino Linotype" w:cs="Arial"/>
          <w:b/>
          <w:bCs/>
          <w:sz w:val="24"/>
          <w:szCs w:val="24"/>
          <w:lang w:eastAsia="es-MX"/>
        </w:rPr>
        <w:t xml:space="preserve"> </w:t>
      </w:r>
      <w:r w:rsidR="00BA2D46" w:rsidRPr="00ED4C8A">
        <w:rPr>
          <w:rFonts w:ascii="Palatino Linotype" w:hAnsi="Palatino Linotype" w:cs="Arial"/>
          <w:bCs/>
          <w:sz w:val="24"/>
          <w:szCs w:val="24"/>
          <w:lang w:eastAsia="es-MX"/>
        </w:rPr>
        <w:t xml:space="preserve">en términos de los </w:t>
      </w:r>
      <w:r w:rsidR="00BA2D46" w:rsidRPr="00ED4C8A">
        <w:rPr>
          <w:rFonts w:ascii="Palatino Linotype" w:hAnsi="Palatino Linotype" w:cs="Arial"/>
          <w:b/>
          <w:bCs/>
          <w:sz w:val="24"/>
          <w:szCs w:val="24"/>
          <w:lang w:eastAsia="es-MX"/>
        </w:rPr>
        <w:t xml:space="preserve">Considerandos CUARTO y QUINTO </w:t>
      </w:r>
      <w:r w:rsidR="00BA2D46" w:rsidRPr="00ED4C8A">
        <w:rPr>
          <w:rFonts w:ascii="Palatino Linotype" w:hAnsi="Palatino Linotype" w:cs="Arial"/>
          <w:bCs/>
          <w:sz w:val="24"/>
          <w:szCs w:val="24"/>
          <w:lang w:eastAsia="es-MX"/>
        </w:rPr>
        <w:t>de la presente resolución.</w:t>
      </w:r>
    </w:p>
    <w:p w14:paraId="4580A14F" w14:textId="4758A91B" w:rsidR="00B12C54" w:rsidRPr="00ED4C8A"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ED4C8A">
        <w:rPr>
          <w:rFonts w:ascii="Palatino Linotype" w:eastAsiaTheme="minorEastAsia" w:hAnsi="Palatino Linotype"/>
          <w:b/>
          <w:sz w:val="24"/>
          <w:szCs w:val="24"/>
          <w:lang w:val="es-ES_tradnl" w:eastAsia="es-ES"/>
        </w:rPr>
        <w:t>SEGUNDO</w:t>
      </w:r>
      <w:r w:rsidRPr="00ED4C8A">
        <w:rPr>
          <w:rFonts w:ascii="Palatino Linotype" w:eastAsiaTheme="minorEastAsia" w:hAnsi="Palatino Linotype"/>
          <w:sz w:val="24"/>
          <w:szCs w:val="24"/>
          <w:lang w:val="es-ES_tradnl" w:eastAsia="es-ES"/>
        </w:rPr>
        <w:t xml:space="preserve">. Se </w:t>
      </w:r>
      <w:r w:rsidR="00592E88" w:rsidRPr="00ED4C8A">
        <w:rPr>
          <w:rFonts w:ascii="Palatino Linotype" w:eastAsiaTheme="minorEastAsia" w:hAnsi="Palatino Linotype"/>
          <w:b/>
          <w:sz w:val="24"/>
          <w:szCs w:val="24"/>
          <w:lang w:val="es-ES_tradnl" w:eastAsia="es-ES"/>
        </w:rPr>
        <w:t>MODIFICA</w:t>
      </w:r>
      <w:r w:rsidR="00EC5A6C" w:rsidRPr="00ED4C8A">
        <w:rPr>
          <w:rFonts w:ascii="Palatino Linotype" w:eastAsiaTheme="minorEastAsia" w:hAnsi="Palatino Linotype"/>
          <w:b/>
          <w:sz w:val="24"/>
          <w:szCs w:val="24"/>
          <w:lang w:val="es-ES_tradnl" w:eastAsia="es-ES"/>
        </w:rPr>
        <w:t xml:space="preserve"> </w:t>
      </w:r>
      <w:r w:rsidR="00046361" w:rsidRPr="00ED4C8A">
        <w:rPr>
          <w:rFonts w:ascii="Palatino Linotype" w:eastAsiaTheme="minorEastAsia" w:hAnsi="Palatino Linotype"/>
          <w:sz w:val="24"/>
          <w:szCs w:val="24"/>
          <w:lang w:val="es-ES_tradnl" w:eastAsia="es-ES"/>
        </w:rPr>
        <w:t>la respuesta emitida</w:t>
      </w:r>
      <w:r w:rsidRPr="00ED4C8A">
        <w:rPr>
          <w:rFonts w:ascii="Palatino Linotype" w:eastAsiaTheme="minorEastAsia" w:hAnsi="Palatino Linotype"/>
          <w:sz w:val="24"/>
          <w:szCs w:val="24"/>
          <w:lang w:val="es-ES_tradnl" w:eastAsia="es-ES"/>
        </w:rPr>
        <w:t xml:space="preserve"> por el </w:t>
      </w:r>
      <w:r w:rsidR="003118D5" w:rsidRPr="00ED4C8A">
        <w:rPr>
          <w:rFonts w:ascii="Palatino Linotype" w:hAnsi="Palatino Linotype"/>
          <w:b/>
          <w:bCs/>
          <w:color w:val="000000"/>
          <w:sz w:val="24"/>
          <w:szCs w:val="24"/>
          <w:lang w:val="es-ES_tradnl"/>
        </w:rPr>
        <w:t>Ayuntamiento de Nicolás Romero</w:t>
      </w:r>
      <w:r w:rsidRPr="00ED4C8A">
        <w:rPr>
          <w:rFonts w:ascii="Palatino Linotype" w:eastAsiaTheme="minorEastAsia" w:hAnsi="Palatino Linotype"/>
          <w:sz w:val="24"/>
          <w:szCs w:val="24"/>
          <w:lang w:val="es-ES_tradnl" w:eastAsia="es-ES"/>
        </w:rPr>
        <w:t xml:space="preserve">, y se </w:t>
      </w:r>
      <w:r w:rsidRPr="00ED4C8A">
        <w:rPr>
          <w:rFonts w:ascii="Palatino Linotype" w:eastAsiaTheme="minorEastAsia" w:hAnsi="Palatino Linotype"/>
          <w:b/>
          <w:sz w:val="24"/>
          <w:szCs w:val="24"/>
          <w:lang w:val="es-ES_tradnl" w:eastAsia="es-ES"/>
        </w:rPr>
        <w:t>ORDENA</w:t>
      </w:r>
      <w:r w:rsidRPr="00ED4C8A">
        <w:rPr>
          <w:rFonts w:ascii="Palatino Linotype" w:eastAsiaTheme="minorEastAsia" w:hAnsi="Palatino Linotype"/>
          <w:sz w:val="24"/>
          <w:szCs w:val="24"/>
          <w:lang w:val="es-ES_tradnl" w:eastAsia="es-ES"/>
        </w:rPr>
        <w:t xml:space="preserve"> entregar vía Sistema de Acceso a la Información Mexiquense (</w:t>
      </w:r>
      <w:r w:rsidRPr="00ED4C8A">
        <w:rPr>
          <w:rFonts w:ascii="Palatino Linotype" w:eastAsiaTheme="minorEastAsia" w:hAnsi="Palatino Linotype"/>
          <w:b/>
          <w:sz w:val="24"/>
          <w:szCs w:val="24"/>
          <w:lang w:val="es-ES_tradnl" w:eastAsia="es-ES"/>
        </w:rPr>
        <w:t>SAIMEX</w:t>
      </w:r>
      <w:r w:rsidR="002445FA" w:rsidRPr="00ED4C8A">
        <w:rPr>
          <w:rFonts w:ascii="Palatino Linotype" w:eastAsiaTheme="minorEastAsia" w:hAnsi="Palatino Linotype"/>
          <w:sz w:val="24"/>
          <w:szCs w:val="24"/>
          <w:lang w:val="es-ES_tradnl" w:eastAsia="es-ES"/>
        </w:rPr>
        <w:t xml:space="preserve">), </w:t>
      </w:r>
      <w:r w:rsidR="00EC5A6C" w:rsidRPr="00ED4C8A">
        <w:rPr>
          <w:rFonts w:ascii="Palatino Linotype" w:eastAsiaTheme="minorEastAsia" w:hAnsi="Palatino Linotype"/>
          <w:sz w:val="24"/>
          <w:szCs w:val="24"/>
          <w:lang w:val="es-ES_tradnl" w:eastAsia="es-ES"/>
        </w:rPr>
        <w:t xml:space="preserve">previa búsqueda exhaustiva y razonable, </w:t>
      </w:r>
      <w:r w:rsidRPr="00ED4C8A">
        <w:rPr>
          <w:rFonts w:ascii="Palatino Linotype" w:eastAsiaTheme="minorEastAsia" w:hAnsi="Palatino Linotype"/>
          <w:sz w:val="24"/>
          <w:szCs w:val="24"/>
          <w:lang w:val="es-ES_tradnl" w:eastAsia="es-ES"/>
        </w:rPr>
        <w:t>en versión pública</w:t>
      </w:r>
      <w:r w:rsidR="005679E7" w:rsidRPr="00ED4C8A">
        <w:rPr>
          <w:rFonts w:ascii="Palatino Linotype" w:eastAsiaTheme="minorEastAsia" w:hAnsi="Palatino Linotype"/>
          <w:sz w:val="24"/>
          <w:szCs w:val="24"/>
          <w:lang w:val="es-ES_tradnl" w:eastAsia="es-ES"/>
        </w:rPr>
        <w:t xml:space="preserve"> se ser procedente</w:t>
      </w:r>
      <w:r w:rsidRPr="00ED4C8A">
        <w:rPr>
          <w:rFonts w:ascii="Palatino Linotype" w:eastAsiaTheme="minorEastAsia" w:hAnsi="Palatino Linotype"/>
          <w:sz w:val="24"/>
          <w:szCs w:val="24"/>
          <w:lang w:val="es-ES_tradnl" w:eastAsia="es-ES"/>
        </w:rPr>
        <w:t xml:space="preserve">, la siguiente información: </w:t>
      </w:r>
    </w:p>
    <w:p w14:paraId="7B8CA029" w14:textId="71EC0A4E" w:rsidR="00BB4EC4" w:rsidRPr="00ED4C8A" w:rsidRDefault="00BB4EC4" w:rsidP="00BB4EC4">
      <w:pPr>
        <w:pStyle w:val="Prrafodelista"/>
        <w:numPr>
          <w:ilvl w:val="0"/>
          <w:numId w:val="43"/>
        </w:numPr>
        <w:spacing w:after="0" w:line="360" w:lineRule="auto"/>
        <w:ind w:left="851" w:right="567" w:hanging="284"/>
        <w:jc w:val="both"/>
        <w:rPr>
          <w:rFonts w:ascii="Palatino Linotype" w:eastAsia="MS Mincho" w:hAnsi="Palatino Linotype" w:cs="Times New Roman"/>
          <w:b/>
          <w:bCs/>
          <w:lang w:val="es-ES_tradnl" w:eastAsia="es-ES"/>
        </w:rPr>
      </w:pPr>
      <w:r w:rsidRPr="00ED4C8A">
        <w:rPr>
          <w:rFonts w:ascii="Palatino Linotype" w:hAnsi="Palatino Linotype" w:cs="Arial"/>
          <w:b/>
          <w:bCs/>
        </w:rPr>
        <w:t xml:space="preserve">De </w:t>
      </w:r>
      <w:r w:rsidRPr="00ED4C8A">
        <w:rPr>
          <w:rFonts w:ascii="Palatino Linotype" w:eastAsia="MS Mincho" w:hAnsi="Palatino Linotype" w:cs="Times New Roman"/>
          <w:b/>
          <w:bCs/>
          <w:lang w:val="es-ES_tradnl" w:eastAsia="es-ES"/>
        </w:rPr>
        <w:t>la Segunda Regidora</w:t>
      </w:r>
      <w:r w:rsidRPr="00ED4C8A">
        <w:rPr>
          <w:rFonts w:ascii="Palatino Linotype" w:hAnsi="Palatino Linotype" w:cs="Arial"/>
          <w:b/>
          <w:bCs/>
          <w:lang w:val="es-ES_tradnl"/>
        </w:rPr>
        <w:t xml:space="preserve">, el </w:t>
      </w:r>
      <w:r w:rsidRPr="00ED4C8A">
        <w:rPr>
          <w:rFonts w:ascii="Palatino Linotype" w:hAnsi="Palatino Linotype" w:cs="Arial"/>
          <w:b/>
          <w:bCs/>
        </w:rPr>
        <w:t xml:space="preserve">acta administrativa de entrega recepción de la </w:t>
      </w:r>
      <w:r w:rsidRPr="00ED4C8A">
        <w:rPr>
          <w:rFonts w:ascii="Palatino Linotype" w:eastAsia="MS Mincho" w:hAnsi="Palatino Linotype" w:cs="Times New Roman"/>
          <w:b/>
          <w:bCs/>
          <w:lang w:val="es-ES_tradnl" w:eastAsia="es-ES"/>
        </w:rPr>
        <w:t xml:space="preserve">licencia concedida en la Sexagésima Segunda Sesión </w:t>
      </w:r>
      <w:r w:rsidRPr="00ED4C8A">
        <w:rPr>
          <w:rFonts w:ascii="Palatino Linotype" w:hAnsi="Palatino Linotype"/>
          <w:b/>
          <w:bCs/>
          <w:color w:val="000000"/>
        </w:rPr>
        <w:t>Extraordinaria de Cabildo</w:t>
      </w:r>
      <w:r w:rsidR="005679E7" w:rsidRPr="00ED4C8A">
        <w:rPr>
          <w:rFonts w:ascii="Palatino Linotype" w:hAnsi="Palatino Linotype"/>
          <w:b/>
          <w:bCs/>
          <w:color w:val="000000"/>
        </w:rPr>
        <w:t xml:space="preserve"> </w:t>
      </w:r>
      <w:r w:rsidRPr="00ED4C8A">
        <w:rPr>
          <w:rFonts w:ascii="Palatino Linotype" w:hAnsi="Palatino Linotype"/>
          <w:b/>
          <w:bCs/>
          <w:color w:val="000000"/>
        </w:rPr>
        <w:t>celebrada el 22 de abril del 2021.</w:t>
      </w:r>
    </w:p>
    <w:p w14:paraId="5CE943AC" w14:textId="3AE5F64C" w:rsidR="00BB4EC4" w:rsidRPr="00ED4C8A" w:rsidRDefault="00BB4EC4" w:rsidP="00BB4EC4">
      <w:pPr>
        <w:pStyle w:val="Prrafodelista"/>
        <w:numPr>
          <w:ilvl w:val="0"/>
          <w:numId w:val="43"/>
        </w:numPr>
        <w:spacing w:after="0" w:line="360" w:lineRule="auto"/>
        <w:ind w:left="851" w:right="567" w:hanging="284"/>
        <w:jc w:val="both"/>
        <w:rPr>
          <w:rFonts w:ascii="Palatino Linotype" w:eastAsia="MS Mincho" w:hAnsi="Palatino Linotype" w:cs="Times New Roman"/>
          <w:b/>
          <w:bCs/>
          <w:lang w:val="es-ES_tradnl" w:eastAsia="es-ES"/>
        </w:rPr>
      </w:pPr>
      <w:r w:rsidRPr="00ED4C8A">
        <w:rPr>
          <w:rFonts w:ascii="Palatino Linotype" w:hAnsi="Palatino Linotype" w:cs="Arial"/>
          <w:b/>
          <w:bCs/>
        </w:rPr>
        <w:t xml:space="preserve">Del </w:t>
      </w:r>
      <w:r w:rsidRPr="00ED4C8A">
        <w:rPr>
          <w:rFonts w:ascii="Palatino Linotype" w:eastAsia="MS Mincho" w:hAnsi="Palatino Linotype" w:cs="Times New Roman"/>
          <w:b/>
          <w:bCs/>
          <w:lang w:val="es-ES_tradnl" w:eastAsia="es-ES"/>
        </w:rPr>
        <w:t>Décimo Regidor</w:t>
      </w:r>
      <w:r w:rsidR="005679E7" w:rsidRPr="00ED4C8A">
        <w:rPr>
          <w:rFonts w:ascii="Palatino Linotype" w:eastAsia="MS Mincho" w:hAnsi="Palatino Linotype" w:cs="Times New Roman"/>
          <w:b/>
          <w:bCs/>
          <w:lang w:val="es-ES_tradnl" w:eastAsia="es-ES"/>
        </w:rPr>
        <w:t>,</w:t>
      </w:r>
      <w:r w:rsidRPr="00ED4C8A">
        <w:rPr>
          <w:rFonts w:ascii="Palatino Linotype" w:hAnsi="Palatino Linotype" w:cs="Arial"/>
          <w:b/>
          <w:bCs/>
        </w:rPr>
        <w:t xml:space="preserve"> el acta administrativa de entrega recepción de la </w:t>
      </w:r>
      <w:r w:rsidRPr="00ED4C8A">
        <w:rPr>
          <w:rFonts w:ascii="Palatino Linotype" w:eastAsia="MS Mincho" w:hAnsi="Palatino Linotype" w:cs="Times New Roman"/>
          <w:b/>
          <w:bCs/>
          <w:lang w:val="es-ES_tradnl" w:eastAsia="es-ES"/>
        </w:rPr>
        <w:t xml:space="preserve">licencia </w:t>
      </w:r>
      <w:r w:rsidRPr="00ED4C8A">
        <w:rPr>
          <w:rFonts w:ascii="Palatino Linotype" w:hAnsi="Palatino Linotype"/>
          <w:b/>
          <w:bCs/>
          <w:color w:val="000000"/>
        </w:rPr>
        <w:t>concedida en la Sexagésima Segunda Sesión Extraordinaria de Cabildo</w:t>
      </w:r>
      <w:r w:rsidR="005679E7" w:rsidRPr="00ED4C8A">
        <w:rPr>
          <w:rFonts w:ascii="Palatino Linotype" w:hAnsi="Palatino Linotype"/>
          <w:b/>
          <w:bCs/>
          <w:color w:val="000000"/>
        </w:rPr>
        <w:t xml:space="preserve"> </w:t>
      </w:r>
      <w:r w:rsidRPr="00ED4C8A">
        <w:rPr>
          <w:rFonts w:ascii="Palatino Linotype" w:hAnsi="Palatino Linotype"/>
          <w:b/>
          <w:bCs/>
          <w:color w:val="000000"/>
        </w:rPr>
        <w:t>celebrada el 22 de abril del 2021.</w:t>
      </w:r>
    </w:p>
    <w:p w14:paraId="7BD60435" w14:textId="0A8C9182" w:rsidR="00BB4EC4" w:rsidRPr="00ED4C8A" w:rsidRDefault="00BB4EC4" w:rsidP="00BB4EC4">
      <w:pPr>
        <w:pStyle w:val="Prrafodelista"/>
        <w:numPr>
          <w:ilvl w:val="0"/>
          <w:numId w:val="43"/>
        </w:numPr>
        <w:spacing w:after="0" w:line="360" w:lineRule="auto"/>
        <w:ind w:left="851" w:right="567" w:hanging="284"/>
        <w:jc w:val="both"/>
        <w:rPr>
          <w:rFonts w:ascii="Palatino Linotype" w:eastAsia="MS Mincho" w:hAnsi="Palatino Linotype" w:cs="Times New Roman"/>
          <w:b/>
          <w:bCs/>
          <w:lang w:val="es-ES_tradnl" w:eastAsia="es-ES"/>
        </w:rPr>
      </w:pPr>
      <w:r w:rsidRPr="00ED4C8A">
        <w:rPr>
          <w:rFonts w:ascii="Palatino Linotype" w:hAnsi="Palatino Linotype" w:cs="Arial"/>
          <w:b/>
          <w:bCs/>
        </w:rPr>
        <w:t xml:space="preserve">Del </w:t>
      </w:r>
      <w:r w:rsidRPr="00ED4C8A">
        <w:rPr>
          <w:rFonts w:ascii="Palatino Linotype" w:eastAsia="MS Mincho" w:hAnsi="Palatino Linotype" w:cs="Times New Roman"/>
          <w:b/>
          <w:bCs/>
          <w:lang w:val="es-ES_tradnl" w:eastAsia="es-ES"/>
        </w:rPr>
        <w:t>Décimo Primer Regidor</w:t>
      </w:r>
      <w:r w:rsidRPr="00ED4C8A">
        <w:rPr>
          <w:rFonts w:ascii="Palatino Linotype" w:hAnsi="Palatino Linotype" w:cs="Arial"/>
          <w:b/>
          <w:bCs/>
        </w:rPr>
        <w:t xml:space="preserve">, el acta administrativa de entrega recepción de la </w:t>
      </w:r>
      <w:r w:rsidRPr="00ED4C8A">
        <w:rPr>
          <w:rFonts w:ascii="Palatino Linotype" w:eastAsia="MS Mincho" w:hAnsi="Palatino Linotype" w:cs="Times New Roman"/>
          <w:b/>
          <w:bCs/>
          <w:lang w:val="es-ES_tradnl" w:eastAsia="es-ES"/>
        </w:rPr>
        <w:t xml:space="preserve">licencia </w:t>
      </w:r>
      <w:r w:rsidRPr="00ED4C8A">
        <w:rPr>
          <w:rFonts w:ascii="Palatino Linotype" w:hAnsi="Palatino Linotype"/>
          <w:b/>
          <w:bCs/>
          <w:color w:val="000000"/>
        </w:rPr>
        <w:t>concedida en la Sexagésima Sesión Extraordinaria de Cabildo</w:t>
      </w:r>
      <w:r w:rsidR="005679E7" w:rsidRPr="00ED4C8A">
        <w:rPr>
          <w:rFonts w:ascii="Palatino Linotype" w:hAnsi="Palatino Linotype"/>
          <w:b/>
          <w:bCs/>
          <w:color w:val="000000"/>
        </w:rPr>
        <w:t xml:space="preserve"> </w:t>
      </w:r>
      <w:r w:rsidRPr="00ED4C8A">
        <w:rPr>
          <w:rFonts w:ascii="Palatino Linotype" w:hAnsi="Palatino Linotype"/>
          <w:b/>
          <w:bCs/>
          <w:color w:val="000000"/>
        </w:rPr>
        <w:t>celebrada el 22 de abril del 2021.</w:t>
      </w:r>
    </w:p>
    <w:p w14:paraId="5C6C6694" w14:textId="77777777" w:rsidR="00BB4EC4" w:rsidRPr="00ED4C8A" w:rsidRDefault="00BB4EC4" w:rsidP="00BB4EC4">
      <w:pPr>
        <w:pStyle w:val="Prrafodelista"/>
        <w:numPr>
          <w:ilvl w:val="0"/>
          <w:numId w:val="43"/>
        </w:numPr>
        <w:spacing w:after="0" w:line="360" w:lineRule="auto"/>
        <w:ind w:left="851" w:right="567" w:hanging="284"/>
        <w:jc w:val="both"/>
        <w:rPr>
          <w:rFonts w:ascii="Palatino Linotype" w:eastAsia="MS Mincho" w:hAnsi="Palatino Linotype" w:cs="Times New Roman"/>
          <w:b/>
          <w:bCs/>
          <w:lang w:val="es-ES_tradnl" w:eastAsia="es-ES"/>
        </w:rPr>
      </w:pPr>
      <w:r w:rsidRPr="00ED4C8A">
        <w:rPr>
          <w:rFonts w:ascii="Palatino Linotype" w:hAnsi="Palatino Linotype" w:cs="Arial"/>
          <w:b/>
          <w:lang w:val="es-ES_tradnl"/>
        </w:rPr>
        <w:t>De no haberse generado las actas administrativas de entrega recepción, los documentos donde consten las acciones tomadas por la Contraloría Municipal.</w:t>
      </w:r>
    </w:p>
    <w:p w14:paraId="2E3F2460" w14:textId="77777777" w:rsidR="0070092A" w:rsidRPr="00ED4C8A" w:rsidRDefault="0070092A" w:rsidP="0070092A">
      <w:pPr>
        <w:pStyle w:val="Prrafodelista"/>
        <w:rPr>
          <w:rFonts w:ascii="Palatino Linotype" w:hAnsi="Palatino Linotype"/>
          <w:b/>
          <w:color w:val="000000"/>
          <w:sz w:val="24"/>
          <w:szCs w:val="24"/>
          <w:lang w:val="es-ES_tradnl"/>
        </w:rPr>
      </w:pPr>
    </w:p>
    <w:p w14:paraId="023E6C05" w14:textId="35FF550C" w:rsidR="00B12C54" w:rsidRPr="00ED4C8A"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ED4C8A">
        <w:rPr>
          <w:rFonts w:ascii="Palatino Linotype" w:eastAsiaTheme="minorEastAsia" w:hAnsi="Palatino Linotype"/>
          <w:sz w:val="24"/>
          <w:szCs w:val="24"/>
          <w:lang w:val="es-ES_tradnl" w:eastAsia="es-ES"/>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versiones públicas que se formulen y se pongan a disposición de</w:t>
      </w:r>
      <w:r w:rsidR="0070092A" w:rsidRPr="00ED4C8A">
        <w:rPr>
          <w:rFonts w:ascii="Palatino Linotype" w:eastAsiaTheme="minorEastAsia" w:hAnsi="Palatino Linotype"/>
          <w:sz w:val="24"/>
          <w:szCs w:val="24"/>
          <w:lang w:val="es-ES_tradnl" w:eastAsia="es-ES"/>
        </w:rPr>
        <w:t xml:space="preserve">l </w:t>
      </w:r>
      <w:r w:rsidRPr="00ED4C8A">
        <w:rPr>
          <w:rFonts w:ascii="Palatino Linotype" w:eastAsiaTheme="minorEastAsia" w:hAnsi="Palatino Linotype"/>
          <w:b/>
          <w:sz w:val="24"/>
          <w:szCs w:val="24"/>
          <w:lang w:val="es-ES_tradnl" w:eastAsia="es-ES"/>
        </w:rPr>
        <w:t>RECURRENTE</w:t>
      </w:r>
      <w:r w:rsidRPr="00ED4C8A">
        <w:rPr>
          <w:rFonts w:ascii="Palatino Linotype" w:eastAsiaTheme="minorEastAsia" w:hAnsi="Palatino Linotype"/>
          <w:sz w:val="24"/>
          <w:szCs w:val="24"/>
          <w:lang w:val="es-ES_tradnl" w:eastAsia="es-ES"/>
        </w:rPr>
        <w:t>.</w:t>
      </w:r>
    </w:p>
    <w:p w14:paraId="2FC9CDAC" w14:textId="6A2E19BC" w:rsidR="005679E7" w:rsidRPr="00ED4C8A" w:rsidRDefault="005679E7" w:rsidP="005679E7">
      <w:pPr>
        <w:tabs>
          <w:tab w:val="left" w:pos="142"/>
        </w:tabs>
        <w:spacing w:line="360" w:lineRule="auto"/>
        <w:ind w:right="-2"/>
        <w:jc w:val="both"/>
        <w:rPr>
          <w:rFonts w:ascii="Palatino Linotype" w:eastAsia="Arial Unicode MS" w:hAnsi="Palatino Linotype" w:cs="Arial"/>
          <w:color w:val="000000" w:themeColor="text1"/>
          <w:sz w:val="24"/>
          <w:szCs w:val="24"/>
        </w:rPr>
      </w:pPr>
      <w:r w:rsidRPr="00ED4C8A">
        <w:rPr>
          <w:rFonts w:ascii="Palatino Linotype" w:hAnsi="Palatino Linotype" w:cs="Bookman Old Style"/>
          <w:bCs/>
          <w:color w:val="000000" w:themeColor="text1"/>
          <w:sz w:val="24"/>
          <w:szCs w:val="24"/>
        </w:rPr>
        <w:t xml:space="preserve">Para el caso de que la información </w:t>
      </w:r>
      <w:r w:rsidRPr="00ED4C8A">
        <w:rPr>
          <w:rFonts w:ascii="Palatino Linotype" w:eastAsia="Arial Unicode MS" w:hAnsi="Palatino Linotype" w:cs="Arial"/>
          <w:color w:val="000000" w:themeColor="text1"/>
          <w:sz w:val="24"/>
          <w:szCs w:val="24"/>
        </w:rPr>
        <w:t>referida en los incisos “</w:t>
      </w:r>
      <w:r w:rsidRPr="00ED4C8A">
        <w:rPr>
          <w:rFonts w:ascii="Palatino Linotype" w:eastAsia="Arial Unicode MS" w:hAnsi="Palatino Linotype" w:cs="Arial"/>
          <w:b/>
          <w:bCs/>
          <w:color w:val="000000" w:themeColor="text1"/>
          <w:sz w:val="24"/>
          <w:szCs w:val="24"/>
        </w:rPr>
        <w:t>a)”, “b)” y “c)”</w:t>
      </w:r>
      <w:r w:rsidRPr="00ED4C8A">
        <w:rPr>
          <w:rFonts w:ascii="Palatino Linotype" w:eastAsia="Arial Unicode MS" w:hAnsi="Palatino Linotype" w:cs="Arial"/>
          <w:color w:val="000000" w:themeColor="text1"/>
          <w:sz w:val="24"/>
          <w:szCs w:val="24"/>
        </w:rPr>
        <w:t xml:space="preserve"> no sea localizada </w:t>
      </w:r>
      <w:r w:rsidRPr="00ED4C8A">
        <w:rPr>
          <w:rFonts w:ascii="Palatino Linotype" w:hAnsi="Palatino Linotype" w:cs="Bookman Old Style"/>
          <w:b/>
          <w:bCs/>
          <w:color w:val="000000" w:themeColor="text1"/>
          <w:sz w:val="24"/>
          <w:szCs w:val="24"/>
        </w:rPr>
        <w:t>EL SUJETO OBLIGADO</w:t>
      </w:r>
      <w:r w:rsidRPr="00ED4C8A">
        <w:rPr>
          <w:rFonts w:ascii="Palatino Linotype" w:hAnsi="Palatino Linotype" w:cs="Bookman Old Style"/>
          <w:bCs/>
          <w:color w:val="000000" w:themeColor="text1"/>
          <w:sz w:val="24"/>
          <w:szCs w:val="24"/>
        </w:rPr>
        <w:t xml:space="preserve"> deberá emitir el Acuerdo de Inexistencia en términos de los artículos 49, fracciones II y XIII, 169 y 170 de la Ley de Transparencia y Acceso a la Información Pública del Estado de México y Municipios.</w:t>
      </w:r>
    </w:p>
    <w:p w14:paraId="2FC2A028" w14:textId="77777777" w:rsidR="00B12C54" w:rsidRPr="00ED4C8A"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ED4C8A">
        <w:rPr>
          <w:rFonts w:ascii="Palatino Linotype" w:eastAsiaTheme="minorEastAsia" w:hAnsi="Palatino Linotype"/>
          <w:b/>
          <w:sz w:val="24"/>
          <w:szCs w:val="24"/>
          <w:lang w:val="es-ES_tradnl" w:eastAsia="es-ES"/>
        </w:rPr>
        <w:t>TERCERO. Notifíquese</w:t>
      </w:r>
      <w:r w:rsidRPr="00ED4C8A">
        <w:rPr>
          <w:rFonts w:ascii="Palatino Linotype" w:eastAsiaTheme="minorEastAsia" w:hAnsi="Palatino Linotype"/>
          <w:sz w:val="24"/>
          <w:szCs w:val="24"/>
          <w:lang w:val="es-ES_tradnl" w:eastAsia="es-ES"/>
        </w:rPr>
        <w:t xml:space="preserve"> al Titular de la Unidad de Transparencia del </w:t>
      </w:r>
      <w:r w:rsidRPr="00ED4C8A">
        <w:rPr>
          <w:rFonts w:ascii="Palatino Linotype" w:eastAsiaTheme="minorEastAsia" w:hAnsi="Palatino Linotype"/>
          <w:b/>
          <w:sz w:val="24"/>
          <w:szCs w:val="24"/>
          <w:lang w:val="es-ES_tradnl" w:eastAsia="es-ES"/>
        </w:rPr>
        <w:t>SUJETO OBLIGADO</w:t>
      </w:r>
      <w:r w:rsidRPr="00ED4C8A">
        <w:rPr>
          <w:rFonts w:ascii="Palatino Linotype" w:eastAsiaTheme="minorEastAsia" w:hAnsi="Palatino Linotype"/>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886FC0B" w14:textId="4F5CA145" w:rsidR="00B12C54" w:rsidRPr="00ED4C8A" w:rsidRDefault="00BA2D46"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ED4C8A">
        <w:rPr>
          <w:rFonts w:ascii="Palatino Linotype" w:eastAsiaTheme="minorEastAsia" w:hAnsi="Palatino Linotype"/>
          <w:b/>
          <w:sz w:val="24"/>
          <w:szCs w:val="24"/>
          <w:lang w:val="es-ES_tradnl" w:eastAsia="es-ES"/>
        </w:rPr>
        <w:t xml:space="preserve">CUARTO. </w:t>
      </w:r>
      <w:r w:rsidRPr="00ED4C8A">
        <w:rPr>
          <w:rFonts w:ascii="Palatino Linotype" w:eastAsiaTheme="minorEastAsia" w:hAnsi="Palatino Linotype"/>
          <w:sz w:val="24"/>
          <w:szCs w:val="24"/>
          <w:lang w:val="es-ES_tradnl" w:eastAsia="es-ES"/>
        </w:rPr>
        <w:t>Notifíquese a</w:t>
      </w:r>
      <w:r w:rsidR="0070092A" w:rsidRPr="00ED4C8A">
        <w:rPr>
          <w:rFonts w:ascii="Palatino Linotype" w:eastAsiaTheme="minorEastAsia" w:hAnsi="Palatino Linotype"/>
          <w:sz w:val="24"/>
          <w:szCs w:val="24"/>
          <w:lang w:val="es-ES_tradnl" w:eastAsia="es-ES"/>
        </w:rPr>
        <w:t>l</w:t>
      </w:r>
      <w:r w:rsidRPr="00ED4C8A">
        <w:rPr>
          <w:rFonts w:ascii="Palatino Linotype" w:eastAsiaTheme="minorEastAsia" w:hAnsi="Palatino Linotype"/>
          <w:b/>
          <w:sz w:val="24"/>
          <w:szCs w:val="24"/>
          <w:lang w:val="es-ES_tradnl" w:eastAsia="es-ES"/>
        </w:rPr>
        <w:t xml:space="preserve"> RECURRENTE</w:t>
      </w:r>
      <w:r w:rsidRPr="00ED4C8A">
        <w:rPr>
          <w:rFonts w:ascii="Palatino Linotype" w:eastAsiaTheme="minorEastAsia" w:hAnsi="Palatino Linotype"/>
          <w:sz w:val="24"/>
          <w:szCs w:val="24"/>
          <w:lang w:val="es-ES_tradnl" w:eastAsia="es-ES"/>
        </w:rPr>
        <w:t>, la presente resolución</w:t>
      </w:r>
      <w:r w:rsidR="00110357" w:rsidRPr="00ED4C8A">
        <w:rPr>
          <w:rFonts w:ascii="Palatino Linotype" w:eastAsiaTheme="minorEastAsia" w:hAnsi="Palatino Linotype"/>
          <w:sz w:val="24"/>
          <w:szCs w:val="24"/>
          <w:lang w:val="es-ES_tradnl" w:eastAsia="es-ES"/>
        </w:rPr>
        <w:t xml:space="preserve"> a través del Sistema de Acceso a la Información Mexiquense (</w:t>
      </w:r>
      <w:r w:rsidR="00110357" w:rsidRPr="00ED4C8A">
        <w:rPr>
          <w:rFonts w:ascii="Palatino Linotype" w:eastAsiaTheme="minorEastAsia" w:hAnsi="Palatino Linotype"/>
          <w:b/>
          <w:sz w:val="24"/>
          <w:szCs w:val="24"/>
          <w:lang w:val="es-ES_tradnl" w:eastAsia="es-ES"/>
        </w:rPr>
        <w:t>SAIMEX</w:t>
      </w:r>
      <w:r w:rsidR="00110357" w:rsidRPr="00ED4C8A">
        <w:rPr>
          <w:rFonts w:ascii="Palatino Linotype" w:eastAsiaTheme="minorEastAsia" w:hAnsi="Palatino Linotype"/>
          <w:sz w:val="24"/>
          <w:szCs w:val="24"/>
          <w:lang w:val="es-ES_tradnl" w:eastAsia="es-ES"/>
        </w:rPr>
        <w:t>)</w:t>
      </w:r>
      <w:r w:rsidRPr="00ED4C8A">
        <w:rPr>
          <w:rFonts w:ascii="Palatino Linotype" w:eastAsiaTheme="minorEastAsia" w:hAnsi="Palatino Linotype"/>
          <w:sz w:val="24"/>
          <w:szCs w:val="24"/>
          <w:lang w:val="es-ES_tradnl" w:eastAsia="es-ES"/>
        </w:rPr>
        <w:t>.</w:t>
      </w:r>
    </w:p>
    <w:p w14:paraId="4D8016D9" w14:textId="603F53D4" w:rsidR="00B12C54" w:rsidRPr="00ED4C8A"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ED4C8A">
        <w:rPr>
          <w:rFonts w:ascii="Palatino Linotype" w:eastAsiaTheme="minorEastAsia" w:hAnsi="Palatino Linotype"/>
          <w:b/>
          <w:sz w:val="24"/>
          <w:szCs w:val="24"/>
          <w:lang w:val="es-ES_tradnl" w:eastAsia="es-ES"/>
        </w:rPr>
        <w:lastRenderedPageBreak/>
        <w:t>QUINTO</w:t>
      </w:r>
      <w:r w:rsidRPr="00ED4C8A">
        <w:rPr>
          <w:rFonts w:ascii="Palatino Linotype" w:eastAsiaTheme="minorEastAsia" w:hAnsi="Palatino Linotype"/>
          <w:sz w:val="24"/>
          <w:szCs w:val="24"/>
          <w:lang w:val="es-ES_tradnl" w:eastAsia="es-ES"/>
        </w:rPr>
        <w:t>. Se hace del conocimiento de</w:t>
      </w:r>
      <w:r w:rsidR="0070092A" w:rsidRPr="00ED4C8A">
        <w:rPr>
          <w:rFonts w:ascii="Palatino Linotype" w:eastAsiaTheme="minorEastAsia" w:hAnsi="Palatino Linotype"/>
          <w:sz w:val="24"/>
          <w:szCs w:val="24"/>
          <w:lang w:val="es-ES_tradnl" w:eastAsia="es-ES"/>
        </w:rPr>
        <w:t>l</w:t>
      </w:r>
      <w:r w:rsidR="00BA2D46" w:rsidRPr="00ED4C8A">
        <w:rPr>
          <w:rFonts w:ascii="Palatino Linotype" w:eastAsiaTheme="minorEastAsia" w:hAnsi="Palatino Linotype"/>
          <w:b/>
          <w:sz w:val="24"/>
          <w:szCs w:val="24"/>
          <w:lang w:val="es-ES_tradnl" w:eastAsia="es-ES"/>
        </w:rPr>
        <w:t xml:space="preserve"> RECURRENTE </w:t>
      </w:r>
      <w:r w:rsidRPr="00ED4C8A">
        <w:rPr>
          <w:rFonts w:ascii="Palatino Linotype" w:eastAsiaTheme="minorEastAsia" w:hAnsi="Palatino Linotype"/>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5F96F67" w14:textId="0828FEC5" w:rsidR="00B12C54" w:rsidRPr="00ED4C8A"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ED4C8A">
        <w:rPr>
          <w:rFonts w:ascii="Palatino Linotype" w:eastAsiaTheme="minorEastAsia" w:hAnsi="Palatino Linotype"/>
          <w:b/>
          <w:sz w:val="24"/>
          <w:szCs w:val="24"/>
          <w:lang w:val="es-ES_tradnl" w:eastAsia="es-ES"/>
        </w:rPr>
        <w:t>SEXTO</w:t>
      </w:r>
      <w:r w:rsidR="00F202AC" w:rsidRPr="00ED4C8A">
        <w:rPr>
          <w:rFonts w:ascii="Palatino Linotype" w:eastAsiaTheme="minorEastAsia" w:hAnsi="Palatino Linotype"/>
          <w:sz w:val="24"/>
          <w:szCs w:val="24"/>
          <w:lang w:val="es-ES_tradnl" w:eastAsia="es-ES"/>
        </w:rPr>
        <w:t xml:space="preserve">. De </w:t>
      </w:r>
      <w:r w:rsidR="00F202AC" w:rsidRPr="00ED4C8A">
        <w:rPr>
          <w:rFonts w:ascii="Palatino Linotype" w:eastAsia="Times New Roman" w:hAnsi="Palatino Linotype" w:cs="Times New Roman"/>
          <w:color w:val="000000"/>
          <w:sz w:val="24"/>
          <w:szCs w:val="24"/>
          <w:lang w:val="es-ES" w:eastAsia="es-MX"/>
        </w:rPr>
        <w:t>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Start w:id="34" w:name="_Hlk99014733"/>
    <w:bookmarkEnd w:id="10"/>
    <w:bookmarkEnd w:id="11"/>
    <w:bookmarkEnd w:id="12"/>
    <w:bookmarkEnd w:id="13"/>
    <w:bookmarkEnd w:id="14"/>
    <w:bookmarkEnd w:id="15"/>
    <w:bookmarkEnd w:id="16"/>
    <w:bookmarkEnd w:id="17"/>
    <w:p w14:paraId="02EC7E65" w14:textId="02E21734" w:rsidR="00ED4C8A" w:rsidRPr="00624AAD" w:rsidRDefault="001D58B0" w:rsidP="00ED4C8A">
      <w:pPr>
        <w:spacing w:before="240" w:after="240" w:line="360" w:lineRule="auto"/>
        <w:ind w:firstLine="1"/>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36A0E4E8" wp14:editId="3D47A82E">
                <wp:simplePos x="0" y="0"/>
                <wp:positionH relativeFrom="column">
                  <wp:posOffset>24765</wp:posOffset>
                </wp:positionH>
                <wp:positionV relativeFrom="paragraph">
                  <wp:posOffset>2538094</wp:posOffset>
                </wp:positionV>
                <wp:extent cx="5372100" cy="17811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372100" cy="178117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878106" id="Conector recto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5pt,199.85pt" to="424.95pt,3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" strokecolor="#bdd6ee [1300]" strokeweight=".5pt">
                <v:stroke joinstyle="miter"/>
              </v:line>
            </w:pict>
          </mc:Fallback>
        </mc:AlternateContent>
      </w:r>
      <w:r w:rsidR="00ED4C8A" w:rsidRPr="00ED4C8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(AUSENCIA JUSTIFICADA)</w:t>
      </w:r>
      <w:r w:rsidR="00ED4C8A" w:rsidRPr="00ED4C8A">
        <w:rPr>
          <w:rFonts w:ascii="Palatino Linotype" w:hAnsi="Palatino Linotype"/>
        </w:rPr>
        <w:t xml:space="preserve">; Y GUADALUPE RAMÍREZ PEÑA EN LA DÉCIMA PRIMERA SESIÓN ORDINARIA CELEBRADA EL VEINTICUATRO </w:t>
      </w:r>
      <w:r>
        <w:rPr>
          <w:rFonts w:ascii="Palatino Linotype" w:hAnsi="Palatino Linotype"/>
        </w:rPr>
        <w:t xml:space="preserve">(24) </w:t>
      </w:r>
      <w:r w:rsidR="00ED4C8A" w:rsidRPr="00ED4C8A">
        <w:rPr>
          <w:rFonts w:ascii="Palatino Linotype" w:hAnsi="Palatino Linotype"/>
        </w:rPr>
        <w:t>DE MARZO DE DOS MIL VEINTIDÓS, ANTE EL SECRETARIO TÉCNICO DEL PLENO ALEXIS TAPIA RAMÍREZ.</w:t>
      </w:r>
      <w:r w:rsidR="00ED4C8A" w:rsidRPr="00624AAD">
        <w:rPr>
          <w:rFonts w:ascii="Palatino Linotype" w:hAnsi="Palatino Linotype"/>
        </w:rPr>
        <w:t xml:space="preserve"> </w:t>
      </w:r>
    </w:p>
    <w:bookmarkEnd w:id="34"/>
    <w:p w14:paraId="7A3C9367" w14:textId="77777777" w:rsidR="00F202AC" w:rsidRDefault="00F202AC" w:rsidP="00F202AC">
      <w:pPr>
        <w:tabs>
          <w:tab w:val="left" w:pos="0"/>
        </w:tabs>
        <w:spacing w:line="360" w:lineRule="auto"/>
        <w:ind w:right="49"/>
        <w:jc w:val="both"/>
        <w:rPr>
          <w:rFonts w:ascii="Palatino Linotype" w:hAnsi="Palatino Linotype" w:cs="Arial"/>
        </w:rPr>
      </w:pPr>
    </w:p>
    <w:p w14:paraId="00EFE0D1" w14:textId="77777777" w:rsidR="00F202AC" w:rsidRDefault="00F202AC" w:rsidP="00F202AC">
      <w:pPr>
        <w:tabs>
          <w:tab w:val="left" w:pos="0"/>
        </w:tabs>
        <w:spacing w:line="360" w:lineRule="auto"/>
        <w:ind w:right="49"/>
        <w:jc w:val="both"/>
        <w:rPr>
          <w:rFonts w:ascii="Palatino Linotype" w:hAnsi="Palatino Linotype" w:cs="Arial"/>
        </w:rPr>
      </w:pPr>
    </w:p>
    <w:p w14:paraId="0D9051EC" w14:textId="77777777" w:rsidR="00F202AC" w:rsidRDefault="00F202AC" w:rsidP="00F202AC">
      <w:pPr>
        <w:tabs>
          <w:tab w:val="left" w:pos="0"/>
        </w:tabs>
        <w:spacing w:line="360" w:lineRule="auto"/>
        <w:ind w:right="49"/>
        <w:jc w:val="both"/>
        <w:rPr>
          <w:rFonts w:ascii="Palatino Linotype" w:hAnsi="Palatino Linotype" w:cs="Arial"/>
        </w:rPr>
      </w:pPr>
    </w:p>
    <w:p w14:paraId="74A393B6" w14:textId="77777777" w:rsidR="00F202AC" w:rsidRDefault="00F202AC" w:rsidP="00F202AC">
      <w:pPr>
        <w:tabs>
          <w:tab w:val="left" w:pos="0"/>
        </w:tabs>
        <w:spacing w:line="360" w:lineRule="auto"/>
        <w:ind w:right="49"/>
        <w:jc w:val="both"/>
        <w:rPr>
          <w:rFonts w:ascii="Palatino Linotype" w:hAnsi="Palatino Linotype" w:cs="Arial"/>
        </w:rPr>
      </w:pPr>
    </w:p>
    <w:p w14:paraId="4266B5AD" w14:textId="77777777" w:rsidR="00F202AC" w:rsidRDefault="00F202AC" w:rsidP="00F202AC">
      <w:pPr>
        <w:tabs>
          <w:tab w:val="left" w:pos="0"/>
        </w:tabs>
        <w:spacing w:line="360" w:lineRule="auto"/>
        <w:ind w:right="49"/>
        <w:jc w:val="both"/>
        <w:rPr>
          <w:rFonts w:ascii="Palatino Linotype" w:hAnsi="Palatino Linotype" w:cs="Arial"/>
        </w:rPr>
      </w:pPr>
    </w:p>
    <w:p w14:paraId="79547626" w14:textId="77777777" w:rsidR="00F202AC" w:rsidRDefault="00F202AC" w:rsidP="00F202AC">
      <w:pPr>
        <w:tabs>
          <w:tab w:val="left" w:pos="0"/>
        </w:tabs>
        <w:spacing w:line="360" w:lineRule="auto"/>
        <w:ind w:right="49"/>
        <w:jc w:val="both"/>
        <w:rPr>
          <w:rFonts w:ascii="Palatino Linotype" w:hAnsi="Palatino Linotype" w:cs="Arial"/>
        </w:rPr>
      </w:pPr>
    </w:p>
    <w:p w14:paraId="38459ADF" w14:textId="77777777" w:rsidR="00F202AC" w:rsidRDefault="00F202AC" w:rsidP="00F202AC">
      <w:pPr>
        <w:tabs>
          <w:tab w:val="left" w:pos="0"/>
        </w:tabs>
        <w:spacing w:line="360" w:lineRule="auto"/>
        <w:ind w:right="49"/>
        <w:jc w:val="both"/>
        <w:rPr>
          <w:rFonts w:ascii="Palatino Linotype" w:hAnsi="Palatino Linotype" w:cs="Arial"/>
        </w:rPr>
      </w:pPr>
    </w:p>
    <w:p w14:paraId="61533BA5" w14:textId="77777777" w:rsidR="00F202AC" w:rsidRDefault="00F202AC" w:rsidP="00F202AC">
      <w:pPr>
        <w:tabs>
          <w:tab w:val="left" w:pos="0"/>
        </w:tabs>
        <w:spacing w:line="360" w:lineRule="auto"/>
        <w:ind w:right="49"/>
        <w:jc w:val="both"/>
        <w:rPr>
          <w:rFonts w:ascii="Palatino Linotype" w:hAnsi="Palatino Linotype" w:cs="Arial"/>
        </w:rPr>
      </w:pPr>
    </w:p>
    <w:p w14:paraId="51241297" w14:textId="77777777" w:rsidR="00F202AC" w:rsidRDefault="00F202AC" w:rsidP="00F202AC">
      <w:pPr>
        <w:tabs>
          <w:tab w:val="left" w:pos="0"/>
        </w:tabs>
        <w:spacing w:line="360" w:lineRule="auto"/>
        <w:ind w:right="49"/>
        <w:jc w:val="both"/>
        <w:rPr>
          <w:rFonts w:ascii="Palatino Linotype" w:hAnsi="Palatino Linotype" w:cs="Arial"/>
        </w:rPr>
      </w:pPr>
    </w:p>
    <w:p w14:paraId="6FEA090A" w14:textId="77777777" w:rsidR="00F202AC" w:rsidRDefault="00F202AC" w:rsidP="00F202AC">
      <w:pPr>
        <w:tabs>
          <w:tab w:val="left" w:pos="0"/>
        </w:tabs>
        <w:spacing w:line="360" w:lineRule="auto"/>
        <w:ind w:right="49"/>
        <w:jc w:val="both"/>
        <w:rPr>
          <w:rFonts w:ascii="Palatino Linotype" w:hAnsi="Palatino Linotype" w:cs="Arial"/>
        </w:rPr>
      </w:pPr>
    </w:p>
    <w:p w14:paraId="0069AAD7" w14:textId="77777777" w:rsidR="00F202AC" w:rsidRDefault="00F202AC" w:rsidP="00F202AC">
      <w:pPr>
        <w:tabs>
          <w:tab w:val="left" w:pos="0"/>
        </w:tabs>
        <w:spacing w:line="360" w:lineRule="auto"/>
        <w:ind w:right="49"/>
        <w:jc w:val="both"/>
        <w:rPr>
          <w:rFonts w:ascii="Palatino Linotype" w:hAnsi="Palatino Linotype" w:cs="Arial"/>
        </w:rPr>
      </w:pPr>
    </w:p>
    <w:p w14:paraId="70CBA44A" w14:textId="77777777" w:rsidR="00F202AC" w:rsidRDefault="00F202AC" w:rsidP="00F202AC">
      <w:pPr>
        <w:tabs>
          <w:tab w:val="left" w:pos="0"/>
        </w:tabs>
        <w:spacing w:line="360" w:lineRule="auto"/>
        <w:ind w:right="49"/>
        <w:jc w:val="both"/>
        <w:rPr>
          <w:rFonts w:ascii="Palatino Linotype" w:hAnsi="Palatino Linotype" w:cs="Arial"/>
        </w:rPr>
      </w:pPr>
    </w:p>
    <w:p w14:paraId="4F6A8ED7" w14:textId="77777777" w:rsidR="00F202AC" w:rsidRDefault="00F202AC" w:rsidP="00F202AC">
      <w:pPr>
        <w:tabs>
          <w:tab w:val="left" w:pos="0"/>
        </w:tabs>
        <w:spacing w:line="360" w:lineRule="auto"/>
        <w:ind w:right="49"/>
        <w:jc w:val="both"/>
        <w:rPr>
          <w:rFonts w:ascii="Palatino Linotype" w:hAnsi="Palatino Linotype" w:cs="Arial"/>
        </w:rPr>
      </w:pPr>
    </w:p>
    <w:p w14:paraId="45F69BCE" w14:textId="77777777" w:rsidR="00F202AC" w:rsidRDefault="00F202AC" w:rsidP="00F202AC">
      <w:pPr>
        <w:tabs>
          <w:tab w:val="left" w:pos="0"/>
        </w:tabs>
        <w:spacing w:line="360" w:lineRule="auto"/>
        <w:ind w:right="49"/>
        <w:jc w:val="both"/>
        <w:rPr>
          <w:rFonts w:ascii="Palatino Linotype" w:hAnsi="Palatino Linotype" w:cs="Arial"/>
        </w:rPr>
      </w:pPr>
    </w:p>
    <w:p w14:paraId="20C4158A" w14:textId="77777777" w:rsidR="00F202AC" w:rsidRDefault="00F202AC" w:rsidP="00F202AC">
      <w:pPr>
        <w:tabs>
          <w:tab w:val="left" w:pos="0"/>
        </w:tabs>
        <w:spacing w:line="360" w:lineRule="auto"/>
        <w:ind w:right="49"/>
        <w:jc w:val="both"/>
        <w:rPr>
          <w:rFonts w:ascii="Palatino Linotype" w:hAnsi="Palatino Linotype" w:cs="Arial"/>
        </w:rPr>
      </w:pPr>
    </w:p>
    <w:p w14:paraId="1D7B1199" w14:textId="77777777" w:rsidR="00F202AC" w:rsidRDefault="00F202AC" w:rsidP="00F202AC">
      <w:pPr>
        <w:tabs>
          <w:tab w:val="left" w:pos="0"/>
        </w:tabs>
        <w:spacing w:line="360" w:lineRule="auto"/>
        <w:ind w:right="49"/>
        <w:jc w:val="both"/>
        <w:rPr>
          <w:rFonts w:ascii="Palatino Linotype" w:hAnsi="Palatino Linotype" w:cs="Arial"/>
        </w:rPr>
      </w:pPr>
    </w:p>
    <w:p w14:paraId="155ED27B" w14:textId="77777777" w:rsidR="00F202AC" w:rsidRDefault="00F202AC" w:rsidP="00F202AC">
      <w:pPr>
        <w:tabs>
          <w:tab w:val="left" w:pos="0"/>
        </w:tabs>
        <w:spacing w:line="360" w:lineRule="auto"/>
        <w:ind w:right="49"/>
        <w:jc w:val="both"/>
        <w:rPr>
          <w:rFonts w:ascii="Palatino Linotype" w:hAnsi="Palatino Linotype" w:cs="Arial"/>
        </w:rPr>
      </w:pPr>
    </w:p>
    <w:p w14:paraId="71BD7F7D" w14:textId="77777777" w:rsidR="00F202AC" w:rsidRDefault="00F202AC" w:rsidP="00F202AC">
      <w:pPr>
        <w:tabs>
          <w:tab w:val="left" w:pos="0"/>
        </w:tabs>
        <w:spacing w:line="360" w:lineRule="auto"/>
        <w:ind w:right="49"/>
        <w:jc w:val="both"/>
        <w:rPr>
          <w:rFonts w:ascii="Palatino Linotype" w:hAnsi="Palatino Linotype" w:cs="Arial"/>
        </w:rPr>
      </w:pPr>
    </w:p>
    <w:p w14:paraId="0DD0D134" w14:textId="77777777" w:rsidR="00F202AC" w:rsidRDefault="00F202AC" w:rsidP="00F202AC">
      <w:pPr>
        <w:tabs>
          <w:tab w:val="left" w:pos="0"/>
        </w:tabs>
        <w:spacing w:line="360" w:lineRule="auto"/>
        <w:ind w:right="49"/>
        <w:jc w:val="both"/>
        <w:rPr>
          <w:rFonts w:ascii="Palatino Linotype" w:hAnsi="Palatino Linotype" w:cs="Arial"/>
        </w:rPr>
      </w:pPr>
    </w:p>
    <w:p w14:paraId="1EF675DC" w14:textId="77777777" w:rsidR="00F202AC" w:rsidRPr="00F202AC" w:rsidRDefault="00F202AC" w:rsidP="00F202AC">
      <w:pPr>
        <w:tabs>
          <w:tab w:val="left" w:pos="0"/>
        </w:tabs>
        <w:spacing w:line="360" w:lineRule="auto"/>
        <w:ind w:right="49"/>
        <w:jc w:val="both"/>
        <w:rPr>
          <w:rFonts w:ascii="Palatino Linotype" w:hAnsi="Palatino Linotype" w:cs="Arial"/>
        </w:rPr>
      </w:pPr>
    </w:p>
    <w:sectPr w:rsidR="00F202AC" w:rsidRPr="00F202AC" w:rsidSect="00E113EC">
      <w:headerReference w:type="default" r:id="rId19"/>
      <w:footerReference w:type="default" r:id="rId20"/>
      <w:headerReference w:type="first" r:id="rId21"/>
      <w:footerReference w:type="first" r:id="rId22"/>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309B6" w14:textId="77777777" w:rsidR="00915216" w:rsidRDefault="00915216" w:rsidP="00E113EC">
      <w:pPr>
        <w:spacing w:after="0" w:line="240" w:lineRule="auto"/>
      </w:pPr>
      <w:r>
        <w:separator/>
      </w:r>
    </w:p>
  </w:endnote>
  <w:endnote w:type="continuationSeparator" w:id="0">
    <w:p w14:paraId="2F67CE31" w14:textId="77777777" w:rsidR="00915216" w:rsidRDefault="00915216" w:rsidP="00E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1F6F2F4D" w14:textId="77777777" w:rsidR="00B73B44" w:rsidRPr="00883450" w:rsidRDefault="00B73B44">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A31321">
              <w:rPr>
                <w:rFonts w:ascii="Palatino Linotype" w:hAnsi="Palatino Linotype"/>
                <w:b/>
                <w:bCs/>
                <w:noProof/>
                <w:szCs w:val="20"/>
              </w:rPr>
              <w:t>50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A31321">
              <w:rPr>
                <w:rFonts w:ascii="Palatino Linotype" w:hAnsi="Palatino Linotype"/>
                <w:b/>
                <w:bCs/>
                <w:noProof/>
                <w:szCs w:val="20"/>
              </w:rPr>
              <w:t>56</w:t>
            </w:r>
            <w:r w:rsidRPr="00883450">
              <w:rPr>
                <w:rFonts w:ascii="Palatino Linotype" w:hAnsi="Palatino Linotype"/>
                <w:b/>
                <w:bCs/>
                <w:szCs w:val="20"/>
              </w:rPr>
              <w:fldChar w:fldCharType="end"/>
            </w:r>
          </w:p>
        </w:sdtContent>
      </w:sdt>
    </w:sdtContent>
  </w:sdt>
  <w:p w14:paraId="07765639" w14:textId="5D8965BF" w:rsidR="00B73B44" w:rsidRDefault="00B73B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46C6F" w14:textId="77777777" w:rsidR="00B73B44" w:rsidRPr="00883450" w:rsidRDefault="00B73B44" w:rsidP="00E11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BB7082" w:rsidRPr="00BB708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BB7082" w:rsidRPr="00BB7082">
      <w:rPr>
        <w:rFonts w:ascii="Palatino Linotype" w:hAnsi="Palatino Linotype"/>
        <w:noProof/>
        <w:lang w:val="es-ES"/>
      </w:rPr>
      <w:t>56</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99DB5" w14:textId="77777777" w:rsidR="00915216" w:rsidRDefault="00915216" w:rsidP="00E113EC">
      <w:pPr>
        <w:spacing w:after="0" w:line="240" w:lineRule="auto"/>
      </w:pPr>
      <w:r>
        <w:separator/>
      </w:r>
    </w:p>
  </w:footnote>
  <w:footnote w:type="continuationSeparator" w:id="0">
    <w:p w14:paraId="205ED377" w14:textId="77777777" w:rsidR="00915216" w:rsidRDefault="00915216" w:rsidP="00E113EC">
      <w:pPr>
        <w:spacing w:after="0" w:line="240" w:lineRule="auto"/>
      </w:pPr>
      <w:r>
        <w:continuationSeparator/>
      </w:r>
    </w:p>
  </w:footnote>
  <w:footnote w:id="1">
    <w:p w14:paraId="00292A10" w14:textId="77777777" w:rsidR="00662235" w:rsidRDefault="00662235" w:rsidP="00662235">
      <w:pPr>
        <w:pStyle w:val="Textonotapie"/>
      </w:pPr>
      <w:r>
        <w:rPr>
          <w:rStyle w:val="Refdenotaalpie"/>
        </w:rPr>
        <w:footnoteRef/>
      </w:r>
      <w:hyperlink r:id="rId1" w:history="1">
        <w:r w:rsidRPr="00E854B1">
          <w:rPr>
            <w:rStyle w:val="Hipervnculo"/>
          </w:rPr>
          <w:t>http://legislacion.edomex.gob.mx/sites/legislacion.edomex.gob.mx/files/files/pdf/gct/2018/ago023.pdf</w:t>
        </w:r>
      </w:hyperlink>
    </w:p>
  </w:footnote>
  <w:footnote w:id="2">
    <w:p w14:paraId="386AB865" w14:textId="77777777" w:rsidR="00F67039" w:rsidRDefault="00F67039" w:rsidP="00F67039">
      <w:pPr>
        <w:pStyle w:val="Textonotapie"/>
      </w:pPr>
      <w:r>
        <w:rPr>
          <w:rStyle w:val="Refdenotaalpie"/>
        </w:rPr>
        <w:footnoteRef/>
      </w:r>
      <w:r>
        <w:t xml:space="preserve"> Convención Americana sobre Derechos Humanos. Artículo 13.</w:t>
      </w:r>
    </w:p>
  </w:footnote>
  <w:footnote w:id="3">
    <w:p w14:paraId="7130CC6F" w14:textId="77777777" w:rsidR="00F67039" w:rsidRDefault="00F67039" w:rsidP="00F67039">
      <w:pPr>
        <w:pStyle w:val="Textonotapie"/>
      </w:pPr>
      <w:r>
        <w:rPr>
          <w:rStyle w:val="Refdenotaalpie"/>
        </w:rPr>
        <w:footnoteRef/>
      </w:r>
      <w:r>
        <w:t xml:space="preserve"> Constitución Política de los Estados Unidos Mexicanos. Artículo sexto, sección A, Fracción I.</w:t>
      </w:r>
    </w:p>
  </w:footnote>
  <w:footnote w:id="4">
    <w:p w14:paraId="781FC50B" w14:textId="77777777" w:rsidR="00F67039" w:rsidRDefault="00F67039" w:rsidP="00F6703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75D7279C" w14:textId="77777777" w:rsidR="00F67039" w:rsidRDefault="00F67039" w:rsidP="00F67039">
      <w:pPr>
        <w:pStyle w:val="Textonotapie"/>
      </w:pPr>
      <w:r>
        <w:rPr>
          <w:rStyle w:val="Refdenotaalpie"/>
        </w:rPr>
        <w:footnoteRef/>
      </w:r>
      <w:r>
        <w:t xml:space="preserve"> Ibídem. Párr. 87.</w:t>
      </w:r>
    </w:p>
  </w:footnote>
  <w:footnote w:id="6">
    <w:p w14:paraId="5A178C2C" w14:textId="77777777" w:rsidR="00F67039" w:rsidRDefault="00F67039" w:rsidP="00F67039">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2" w:history="1">
        <w:r w:rsidRPr="0089286F">
          <w:rPr>
            <w:rStyle w:val="Hipervnculo"/>
          </w:rPr>
          <w:t>http://www.oas.org/es/cidh/expresion/documentos_basicos/declaraciones.asp</w:t>
        </w:r>
      </w:hyperlink>
      <w:r>
        <w:t>.</w:t>
      </w:r>
    </w:p>
  </w:footnote>
  <w:footnote w:id="7">
    <w:p w14:paraId="3AB15737" w14:textId="77777777" w:rsidR="00F67039" w:rsidRDefault="00F67039" w:rsidP="00F67039">
      <w:pPr>
        <w:pStyle w:val="Textonotapie"/>
      </w:pPr>
      <w:r>
        <w:rPr>
          <w:rStyle w:val="Refdenotaalpie"/>
        </w:rPr>
        <w:footnoteRef/>
      </w:r>
      <w:r>
        <w:t xml:space="preserve"> Artículo 150. Ley de Transparencia y Acceso a la Información Pública del Estado de México y Municipios.</w:t>
      </w:r>
    </w:p>
    <w:p w14:paraId="406BA63B" w14:textId="77777777" w:rsidR="00F67039" w:rsidRDefault="00F67039" w:rsidP="00F67039">
      <w:pPr>
        <w:pStyle w:val="Textonotapie"/>
      </w:pPr>
      <w:r>
        <w:t>Artículo 151. Ibídem.</w:t>
      </w:r>
    </w:p>
  </w:footnote>
  <w:footnote w:id="8">
    <w:p w14:paraId="265CCA35" w14:textId="77777777" w:rsidR="00F67039" w:rsidRDefault="00F67039" w:rsidP="00F67039">
      <w:pPr>
        <w:pStyle w:val="Textonotapie"/>
      </w:pPr>
      <w:r>
        <w:rPr>
          <w:rStyle w:val="Refdenotaalpie"/>
        </w:rPr>
        <w:footnoteRef/>
      </w:r>
      <w:r>
        <w:t xml:space="preserve"> Ley de Transparencia y Acceso a la Información Pública del Estado de México y Municipios. Artículo 9. …</w:t>
      </w:r>
    </w:p>
    <w:p w14:paraId="50C60E86" w14:textId="77777777" w:rsidR="00F67039" w:rsidRDefault="00F67039" w:rsidP="00F67039">
      <w:pPr>
        <w:pStyle w:val="Textonotapie"/>
      </w:pPr>
      <w:r>
        <w:t>II. Eficacia: Obligación del Instituto para tutelar, de manera efectiva, el derecho de acceso a la información;</w:t>
      </w:r>
    </w:p>
    <w:p w14:paraId="592803A8" w14:textId="77777777" w:rsidR="00F67039" w:rsidRDefault="00F67039" w:rsidP="00F67039">
      <w:pPr>
        <w:pStyle w:val="Textonotapie"/>
      </w:pPr>
      <w:r>
        <w:t xml:space="preserve">… </w:t>
      </w:r>
    </w:p>
  </w:footnote>
  <w:footnote w:id="9">
    <w:p w14:paraId="7C3B8C51" w14:textId="77777777" w:rsidR="00B73B44" w:rsidRDefault="00B73B44" w:rsidP="00677F4D">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3830CD2" w14:textId="77777777" w:rsidR="00B73B44" w:rsidRDefault="00B73B44" w:rsidP="00677F4D">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10">
    <w:p w14:paraId="3D1BCAF3" w14:textId="77777777" w:rsidR="00B73B44" w:rsidRDefault="00B73B44" w:rsidP="00677F4D">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1">
    <w:p w14:paraId="3AE96A11" w14:textId="77777777" w:rsidR="00B73B44" w:rsidRDefault="00B73B44" w:rsidP="00677F4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796CE9E" w14:textId="77777777" w:rsidR="00B73B44" w:rsidRDefault="00B73B44" w:rsidP="00677F4D">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F813EF7" w14:textId="77777777" w:rsidR="00B73B44" w:rsidRDefault="00B73B44" w:rsidP="00677F4D">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2">
    <w:p w14:paraId="7B07B886" w14:textId="77777777" w:rsidR="00B73B44" w:rsidRDefault="00B73B44" w:rsidP="00BA2D4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1842F8D6" w14:textId="77777777" w:rsidR="00B73B44" w:rsidRDefault="00B73B44" w:rsidP="00BA2D46">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C50DA12" w14:textId="77777777" w:rsidR="00B73B44" w:rsidRDefault="00B73B44" w:rsidP="00BA2D46">
      <w:pPr>
        <w:pStyle w:val="Textonotapie"/>
        <w:jc w:val="both"/>
        <w:rPr>
          <w:rFonts w:ascii="Palatino Linotype" w:hAnsi="Palatino Linotype"/>
          <w:sz w:val="18"/>
        </w:rPr>
      </w:pPr>
      <w:r>
        <w:rPr>
          <w:rFonts w:ascii="Palatino Linotype" w:hAnsi="Palatino Linotype"/>
          <w:sz w:val="18"/>
        </w:rPr>
        <w:t xml:space="preserve"> (…)</w:t>
      </w:r>
    </w:p>
    <w:p w14:paraId="24CAC473" w14:textId="77777777" w:rsidR="00B73B44" w:rsidRDefault="00B73B44" w:rsidP="00BA2D46">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6E611" w14:textId="3A6A7854" w:rsidR="00B73B44" w:rsidRDefault="00617E7A">
    <w:pPr>
      <w:pStyle w:val="Encabezado"/>
    </w:pPr>
    <w:r>
      <w:rPr>
        <w:noProof/>
        <w:lang w:eastAsia="es-MX"/>
      </w:rPr>
      <w:drawing>
        <wp:anchor distT="0" distB="0" distL="114300" distR="114300" simplePos="0" relativeHeight="251661312" behindDoc="1" locked="0" layoutInCell="0" allowOverlap="1" wp14:anchorId="21970AAE" wp14:editId="14011DF0">
          <wp:simplePos x="0" y="0"/>
          <wp:positionH relativeFrom="margin">
            <wp:posOffset>-890905</wp:posOffset>
          </wp:positionH>
          <wp:positionV relativeFrom="margin">
            <wp:posOffset>-1501007</wp:posOffset>
          </wp:positionV>
          <wp:extent cx="7490460" cy="9753600"/>
          <wp:effectExtent l="0" t="0" r="0" b="0"/>
          <wp:wrapNone/>
          <wp:docPr id="1" name="Imagen 1"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sidR="00B73B44">
      <w:rPr>
        <w:noProof/>
        <w:lang w:eastAsia="es-MX"/>
      </w:rPr>
      <w:drawing>
        <wp:anchor distT="0" distB="0" distL="114300" distR="114300" simplePos="0" relativeHeight="251658240" behindDoc="1" locked="0" layoutInCell="0" allowOverlap="1" wp14:anchorId="6BB4012B" wp14:editId="05DFEFD7">
          <wp:simplePos x="0" y="0"/>
          <wp:positionH relativeFrom="margin">
            <wp:posOffset>-891125</wp:posOffset>
          </wp:positionH>
          <wp:positionV relativeFrom="margin">
            <wp:posOffset>-1575683</wp:posOffset>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sidR="00B73B44">
      <w:t>&lt;</w:t>
    </w:r>
  </w:p>
  <w:p w14:paraId="2B04E46E" w14:textId="138C83D1" w:rsidR="00B73B44" w:rsidRDefault="00B73B44">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B73B44" w:rsidRPr="00EF13C1" w14:paraId="2D33F594" w14:textId="77777777" w:rsidTr="00E113EC">
      <w:trPr>
        <w:gridAfter w:val="1"/>
        <w:wAfter w:w="425" w:type="dxa"/>
        <w:trHeight w:val="138"/>
      </w:trPr>
      <w:tc>
        <w:tcPr>
          <w:tcW w:w="2977" w:type="dxa"/>
          <w:vAlign w:val="center"/>
        </w:tcPr>
        <w:p w14:paraId="75BC2A06" w14:textId="36922960" w:rsidR="00B73B44" w:rsidRPr="00EF13C1" w:rsidRDefault="00B73B44" w:rsidP="00E113E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544" w:type="dxa"/>
          <w:vAlign w:val="center"/>
        </w:tcPr>
        <w:p w14:paraId="4EA50EC2" w14:textId="44B3FD14" w:rsidR="00B73B44" w:rsidRPr="00AF7F39" w:rsidRDefault="00B73B44" w:rsidP="00F623B7">
          <w:pPr>
            <w:pStyle w:val="Encabezado"/>
            <w:tabs>
              <w:tab w:val="clear" w:pos="4419"/>
              <w:tab w:val="center" w:pos="3328"/>
            </w:tabs>
            <w:jc w:val="both"/>
            <w:rPr>
              <w:rFonts w:ascii="Palatino Linotype" w:hAnsi="Palatino Linotype" w:cs="Arial"/>
              <w:b/>
              <w:bCs/>
              <w:sz w:val="22"/>
              <w:szCs w:val="22"/>
              <w:lang w:eastAsia="es-MX"/>
            </w:rPr>
          </w:pPr>
          <w:r>
            <w:rPr>
              <w:rFonts w:ascii="Palatino Linotype" w:hAnsi="Palatino Linotype" w:cs="Arial"/>
              <w:b/>
              <w:bCs/>
              <w:sz w:val="22"/>
              <w:szCs w:val="22"/>
              <w:lang w:eastAsia="es-MX"/>
            </w:rPr>
            <w:t>0</w:t>
          </w:r>
          <w:r w:rsidR="00AF7F39">
            <w:rPr>
              <w:rFonts w:ascii="Palatino Linotype" w:hAnsi="Palatino Linotype" w:cs="Arial"/>
              <w:b/>
              <w:bCs/>
              <w:sz w:val="22"/>
              <w:szCs w:val="22"/>
              <w:lang w:eastAsia="es-MX"/>
            </w:rPr>
            <w:t>4</w:t>
          </w:r>
          <w:r w:rsidR="00451F80">
            <w:rPr>
              <w:rFonts w:ascii="Palatino Linotype" w:hAnsi="Palatino Linotype" w:cs="Arial"/>
              <w:b/>
              <w:bCs/>
              <w:sz w:val="22"/>
              <w:szCs w:val="22"/>
              <w:lang w:eastAsia="es-MX"/>
            </w:rPr>
            <w:t>623</w:t>
          </w:r>
          <w:r>
            <w:rPr>
              <w:rFonts w:ascii="Palatino Linotype" w:hAnsi="Palatino Linotype" w:cs="Arial"/>
              <w:b/>
              <w:bCs/>
              <w:sz w:val="22"/>
              <w:szCs w:val="22"/>
              <w:lang w:eastAsia="es-MX"/>
            </w:rPr>
            <w:t>/INFOEM/IP/RR/2021</w:t>
          </w:r>
        </w:p>
      </w:tc>
    </w:tr>
    <w:tr w:rsidR="00B73B44" w:rsidRPr="00EF13C1" w14:paraId="5E164CB6" w14:textId="77777777" w:rsidTr="00E113EC">
      <w:trPr>
        <w:trHeight w:val="321"/>
      </w:trPr>
      <w:tc>
        <w:tcPr>
          <w:tcW w:w="2977" w:type="dxa"/>
          <w:vAlign w:val="center"/>
        </w:tcPr>
        <w:p w14:paraId="3D610515" w14:textId="02604BAA" w:rsidR="00B73B44" w:rsidRPr="00A61802" w:rsidRDefault="00B73B44" w:rsidP="0008753C">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gridSpan w:val="2"/>
          <w:vAlign w:val="center"/>
        </w:tcPr>
        <w:p w14:paraId="4E0CDA0F" w14:textId="4BFF9D46" w:rsidR="00B73B44" w:rsidRPr="00A61802" w:rsidRDefault="00451F80" w:rsidP="0008753C">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bCs/>
              <w:color w:val="000000"/>
              <w:sz w:val="22"/>
              <w:szCs w:val="22"/>
            </w:rPr>
            <w:t>Ayuntamiento de Nicolás Romero</w:t>
          </w:r>
        </w:p>
      </w:tc>
    </w:tr>
    <w:tr w:rsidR="00B73B44" w:rsidRPr="00EF13C1" w14:paraId="5C1677E6" w14:textId="77777777" w:rsidTr="00E113EC">
      <w:trPr>
        <w:gridAfter w:val="1"/>
        <w:wAfter w:w="425" w:type="dxa"/>
        <w:trHeight w:val="321"/>
      </w:trPr>
      <w:tc>
        <w:tcPr>
          <w:tcW w:w="2977" w:type="dxa"/>
          <w:vAlign w:val="center"/>
        </w:tcPr>
        <w:p w14:paraId="1889C51A" w14:textId="7F09357B" w:rsidR="00B73B44" w:rsidRPr="00EF13C1" w:rsidRDefault="00B73B44" w:rsidP="0008753C">
          <w:pPr>
            <w:rPr>
              <w:rFonts w:ascii="Palatino Linotype" w:hAnsi="Palatino Linotype"/>
              <w:b/>
              <w:sz w:val="22"/>
              <w:szCs w:val="22"/>
            </w:rPr>
          </w:pPr>
          <w:r>
            <w:rPr>
              <w:rFonts w:ascii="Palatino Linotype" w:hAnsi="Palatino Linotype"/>
              <w:b/>
              <w:sz w:val="22"/>
              <w:szCs w:val="22"/>
            </w:rPr>
            <w:t>Comisionado P</w:t>
          </w:r>
          <w:r w:rsidRPr="00EF13C1">
            <w:rPr>
              <w:rFonts w:ascii="Palatino Linotype" w:hAnsi="Palatino Linotype"/>
              <w:b/>
              <w:sz w:val="22"/>
              <w:szCs w:val="22"/>
            </w:rPr>
            <w:t>onente:</w:t>
          </w:r>
        </w:p>
      </w:tc>
      <w:tc>
        <w:tcPr>
          <w:tcW w:w="3544" w:type="dxa"/>
          <w:vAlign w:val="center"/>
        </w:tcPr>
        <w:p w14:paraId="785B27E5" w14:textId="3F30DF63" w:rsidR="00B73B44" w:rsidRPr="00EF13C1" w:rsidRDefault="00B73B44" w:rsidP="0008753C">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5028832" w14:textId="23ED65CA" w:rsidR="00B73B44" w:rsidRDefault="00B73B44" w:rsidP="00E113E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C9E35" w14:textId="2CAB6201" w:rsidR="00B73B44" w:rsidRDefault="00B73B44" w:rsidP="0008753C">
    <w:pPr>
      <w:pStyle w:val="Encabezado"/>
      <w:tabs>
        <w:tab w:val="left" w:pos="3103"/>
      </w:tabs>
    </w:pPr>
    <w:r>
      <w:rPr>
        <w:rFonts w:ascii="Palatino Linotype" w:hAnsi="Palatino Linotype"/>
        <w:b/>
        <w:noProof/>
        <w:lang w:eastAsia="es-MX"/>
      </w:rPr>
      <w:drawing>
        <wp:anchor distT="0" distB="0" distL="114300" distR="114300" simplePos="0" relativeHeight="251659264" behindDoc="1" locked="0" layoutInCell="0" allowOverlap="1" wp14:anchorId="6BB4012B" wp14:editId="1F531468">
          <wp:simplePos x="0" y="0"/>
          <wp:positionH relativeFrom="page">
            <wp:align>left</wp:align>
          </wp:positionH>
          <wp:positionV relativeFrom="margin">
            <wp:align>center</wp:align>
          </wp:positionV>
          <wp:extent cx="7490460" cy="9753600"/>
          <wp:effectExtent l="0" t="0" r="0" b="0"/>
          <wp:wrapNone/>
          <wp:docPr id="9" name="Imagen 9"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tblGrid>
    <w:tr w:rsidR="00B73B44" w:rsidRPr="00EF13C1" w14:paraId="64D9CFC0" w14:textId="77777777" w:rsidTr="00941B7B">
      <w:trPr>
        <w:trHeight w:val="138"/>
      </w:trPr>
      <w:tc>
        <w:tcPr>
          <w:tcW w:w="2977" w:type="dxa"/>
          <w:vAlign w:val="center"/>
        </w:tcPr>
        <w:p w14:paraId="3E369B4E" w14:textId="087D5B23" w:rsidR="00B73B44" w:rsidRPr="00451F80" w:rsidRDefault="00B73B44" w:rsidP="008425E5">
          <w:pPr>
            <w:rPr>
              <w:rFonts w:ascii="Palatino Linotype" w:hAnsi="Palatino Linotype"/>
              <w:b/>
              <w:sz w:val="22"/>
              <w:szCs w:val="22"/>
            </w:rPr>
          </w:pPr>
          <w:r w:rsidRPr="00451F80">
            <w:rPr>
              <w:rFonts w:ascii="Palatino Linotype" w:hAnsi="Palatino Linotype"/>
              <w:b/>
              <w:sz w:val="22"/>
              <w:szCs w:val="22"/>
            </w:rPr>
            <w:t>Recurso de Revisión:</w:t>
          </w:r>
        </w:p>
      </w:tc>
      <w:tc>
        <w:tcPr>
          <w:tcW w:w="3964" w:type="dxa"/>
          <w:vAlign w:val="center"/>
        </w:tcPr>
        <w:p w14:paraId="4FF0D2F5" w14:textId="49CBB5AE" w:rsidR="00B73B44" w:rsidRPr="00451F80" w:rsidRDefault="00F46FEB" w:rsidP="008425E5">
          <w:pPr>
            <w:pStyle w:val="Encabezado"/>
            <w:tabs>
              <w:tab w:val="clear" w:pos="4419"/>
              <w:tab w:val="center" w:pos="3328"/>
            </w:tabs>
            <w:jc w:val="both"/>
            <w:rPr>
              <w:rFonts w:ascii="Palatino Linotype" w:hAnsi="Palatino Linotype"/>
              <w:b/>
              <w:sz w:val="22"/>
              <w:szCs w:val="22"/>
            </w:rPr>
          </w:pPr>
          <w:r w:rsidRPr="00451F80">
            <w:rPr>
              <w:rFonts w:ascii="Palatino Linotype" w:hAnsi="Palatino Linotype" w:cs="Arial"/>
              <w:b/>
              <w:bCs/>
              <w:sz w:val="22"/>
              <w:szCs w:val="22"/>
              <w:lang w:eastAsia="es-MX"/>
            </w:rPr>
            <w:t>0</w:t>
          </w:r>
          <w:r w:rsidR="00AF7F39" w:rsidRPr="00451F80">
            <w:rPr>
              <w:rFonts w:ascii="Palatino Linotype" w:hAnsi="Palatino Linotype" w:cs="Arial"/>
              <w:b/>
              <w:bCs/>
              <w:sz w:val="22"/>
              <w:szCs w:val="22"/>
              <w:lang w:eastAsia="es-MX"/>
            </w:rPr>
            <w:t>4</w:t>
          </w:r>
          <w:r w:rsidR="00451F80" w:rsidRPr="00451F80">
            <w:rPr>
              <w:rFonts w:ascii="Palatino Linotype" w:hAnsi="Palatino Linotype" w:cs="Arial"/>
              <w:b/>
              <w:bCs/>
              <w:sz w:val="22"/>
              <w:szCs w:val="22"/>
              <w:lang w:eastAsia="es-MX"/>
            </w:rPr>
            <w:t>623</w:t>
          </w:r>
          <w:r w:rsidR="00B73B44" w:rsidRPr="00451F80">
            <w:rPr>
              <w:rFonts w:ascii="Palatino Linotype" w:hAnsi="Palatino Linotype" w:cs="Arial"/>
              <w:b/>
              <w:bCs/>
              <w:sz w:val="22"/>
              <w:szCs w:val="22"/>
              <w:lang w:eastAsia="es-MX"/>
            </w:rPr>
            <w:t>/INFOEM/IP/RR/2021</w:t>
          </w:r>
        </w:p>
      </w:tc>
    </w:tr>
    <w:tr w:rsidR="00B73B44" w:rsidRPr="00EF13C1" w14:paraId="66DE6236" w14:textId="77777777" w:rsidTr="00941B7B">
      <w:trPr>
        <w:trHeight w:val="138"/>
      </w:trPr>
      <w:tc>
        <w:tcPr>
          <w:tcW w:w="2977" w:type="dxa"/>
          <w:vAlign w:val="center"/>
        </w:tcPr>
        <w:p w14:paraId="44532DAF" w14:textId="19C81A73" w:rsidR="00B73B44" w:rsidRPr="00451F80" w:rsidRDefault="00B73B44" w:rsidP="008425E5">
          <w:pPr>
            <w:rPr>
              <w:rFonts w:ascii="Palatino Linotype" w:hAnsi="Palatino Linotype"/>
              <w:b/>
              <w:sz w:val="22"/>
              <w:szCs w:val="22"/>
            </w:rPr>
          </w:pPr>
          <w:r w:rsidRPr="00451F80">
            <w:rPr>
              <w:rFonts w:ascii="Palatino Linotype" w:hAnsi="Palatino Linotype"/>
              <w:b/>
              <w:sz w:val="22"/>
              <w:szCs w:val="22"/>
            </w:rPr>
            <w:t>Recurrente:</w:t>
          </w:r>
        </w:p>
      </w:tc>
      <w:tc>
        <w:tcPr>
          <w:tcW w:w="3964" w:type="dxa"/>
          <w:vAlign w:val="center"/>
        </w:tcPr>
        <w:p w14:paraId="460C7481" w14:textId="5343A86B" w:rsidR="00B73B44" w:rsidRPr="00451F80" w:rsidRDefault="00BB7082" w:rsidP="008425E5">
          <w:pPr>
            <w:pStyle w:val="Encabezado"/>
            <w:tabs>
              <w:tab w:val="clear" w:pos="4419"/>
              <w:tab w:val="center" w:pos="3328"/>
            </w:tabs>
            <w:jc w:val="both"/>
            <w:rPr>
              <w:rFonts w:ascii="Palatino Linotype" w:hAnsi="Palatino Linotype" w:cs="Arial"/>
              <w:b/>
              <w:bCs/>
              <w:sz w:val="22"/>
              <w:szCs w:val="22"/>
              <w:lang w:eastAsia="es-MX"/>
            </w:rPr>
          </w:pPr>
          <w:r>
            <w:rPr>
              <w:rFonts w:ascii="Palatino Linotype" w:hAnsi="Palatino Linotype" w:cs="Arial"/>
              <w:b/>
              <w:bCs/>
              <w:sz w:val="22"/>
              <w:szCs w:val="22"/>
              <w:lang w:eastAsia="es-MX"/>
            </w:rPr>
            <w:t>Xxxxxxxxx Xxxxxxxx Xxxxx</w:t>
          </w:r>
        </w:p>
      </w:tc>
    </w:tr>
    <w:tr w:rsidR="00B73B44" w:rsidRPr="00EF13C1" w14:paraId="1950E3D0" w14:textId="77777777" w:rsidTr="00941B7B">
      <w:trPr>
        <w:trHeight w:val="321"/>
      </w:trPr>
      <w:tc>
        <w:tcPr>
          <w:tcW w:w="2977" w:type="dxa"/>
          <w:vAlign w:val="center"/>
        </w:tcPr>
        <w:p w14:paraId="1303F549" w14:textId="626364E3" w:rsidR="00B73B44" w:rsidRPr="00451F80" w:rsidRDefault="00B73B44" w:rsidP="008425E5">
          <w:pPr>
            <w:rPr>
              <w:rFonts w:ascii="Palatino Linotype" w:hAnsi="Palatino Linotype"/>
              <w:b/>
              <w:sz w:val="22"/>
              <w:szCs w:val="22"/>
              <w:highlight w:val="yellow"/>
            </w:rPr>
          </w:pPr>
          <w:r w:rsidRPr="00451F80">
            <w:rPr>
              <w:rFonts w:ascii="Palatino Linotype" w:hAnsi="Palatino Linotype"/>
              <w:b/>
              <w:sz w:val="22"/>
              <w:szCs w:val="22"/>
            </w:rPr>
            <w:t>Sujeto Obligado:</w:t>
          </w:r>
        </w:p>
      </w:tc>
      <w:tc>
        <w:tcPr>
          <w:tcW w:w="3969" w:type="dxa"/>
          <w:vAlign w:val="center"/>
        </w:tcPr>
        <w:p w14:paraId="19E5A0A7" w14:textId="1EE6DD4C" w:rsidR="00B73B44" w:rsidRPr="00451F80" w:rsidRDefault="00451F80" w:rsidP="008425E5">
          <w:pPr>
            <w:pStyle w:val="Encabezado"/>
            <w:tabs>
              <w:tab w:val="clear" w:pos="4419"/>
              <w:tab w:val="center" w:pos="3328"/>
            </w:tabs>
            <w:ind w:right="-108"/>
            <w:jc w:val="both"/>
            <w:rPr>
              <w:rFonts w:ascii="Palatino Linotype" w:hAnsi="Palatino Linotype"/>
              <w:b/>
              <w:sz w:val="22"/>
              <w:szCs w:val="22"/>
              <w:highlight w:val="yellow"/>
            </w:rPr>
          </w:pPr>
          <w:r w:rsidRPr="00451F80">
            <w:rPr>
              <w:rFonts w:ascii="Palatino Linotype" w:hAnsi="Palatino Linotype"/>
              <w:b/>
              <w:bCs/>
              <w:color w:val="000000"/>
              <w:sz w:val="22"/>
              <w:szCs w:val="22"/>
            </w:rPr>
            <w:t>Ayuntamiento de Nicolás Romero</w:t>
          </w:r>
          <w:r w:rsidR="00E47578" w:rsidRPr="00451F80">
            <w:rPr>
              <w:rFonts w:ascii="Palatino Linotype" w:hAnsi="Palatino Linotype"/>
              <w:b/>
              <w:bCs/>
              <w:color w:val="000000"/>
              <w:sz w:val="22"/>
              <w:szCs w:val="22"/>
            </w:rPr>
            <w:t xml:space="preserve"> </w:t>
          </w:r>
        </w:p>
      </w:tc>
    </w:tr>
    <w:tr w:rsidR="00B73B44" w:rsidRPr="00EF13C1" w14:paraId="3121D07B" w14:textId="77777777" w:rsidTr="00941B7B">
      <w:trPr>
        <w:trHeight w:val="321"/>
      </w:trPr>
      <w:tc>
        <w:tcPr>
          <w:tcW w:w="2977" w:type="dxa"/>
          <w:vAlign w:val="center"/>
        </w:tcPr>
        <w:p w14:paraId="4F405E6E" w14:textId="5EC341AD" w:rsidR="00B73B44" w:rsidRPr="00451F80" w:rsidRDefault="00B73B44" w:rsidP="008425E5">
          <w:pPr>
            <w:rPr>
              <w:rFonts w:ascii="Palatino Linotype" w:hAnsi="Palatino Linotype"/>
              <w:b/>
              <w:sz w:val="22"/>
              <w:szCs w:val="22"/>
            </w:rPr>
          </w:pPr>
          <w:r w:rsidRPr="00451F80">
            <w:rPr>
              <w:rFonts w:ascii="Palatino Linotype" w:hAnsi="Palatino Linotype"/>
              <w:b/>
              <w:sz w:val="22"/>
              <w:szCs w:val="22"/>
            </w:rPr>
            <w:t>Comisionada Ponente:</w:t>
          </w:r>
        </w:p>
      </w:tc>
      <w:tc>
        <w:tcPr>
          <w:tcW w:w="3964" w:type="dxa"/>
          <w:vAlign w:val="center"/>
        </w:tcPr>
        <w:p w14:paraId="737380D1" w14:textId="2CC8484A" w:rsidR="00B73B44" w:rsidRPr="00451F80" w:rsidRDefault="00B73B44" w:rsidP="008425E5">
          <w:pPr>
            <w:pStyle w:val="Encabezado"/>
            <w:tabs>
              <w:tab w:val="clear" w:pos="4419"/>
              <w:tab w:val="center" w:pos="3328"/>
            </w:tabs>
            <w:jc w:val="both"/>
            <w:rPr>
              <w:rFonts w:ascii="Palatino Linotype" w:hAnsi="Palatino Linotype"/>
              <w:b/>
              <w:sz w:val="22"/>
              <w:szCs w:val="22"/>
            </w:rPr>
          </w:pPr>
          <w:r w:rsidRPr="00451F80">
            <w:rPr>
              <w:rFonts w:ascii="Palatino Linotype" w:hAnsi="Palatino Linotype"/>
              <w:b/>
              <w:sz w:val="22"/>
              <w:szCs w:val="22"/>
            </w:rPr>
            <w:t>María del Rosario Mejía Ayala</w:t>
          </w:r>
        </w:p>
      </w:tc>
    </w:tr>
  </w:tbl>
  <w:p w14:paraId="623071CD" w14:textId="0DF6D601" w:rsidR="00B73B44" w:rsidRDefault="00B73B44" w:rsidP="0008753C">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BC7705"/>
    <w:multiLevelType w:val="hybridMultilevel"/>
    <w:tmpl w:val="E73A1ADC"/>
    <w:lvl w:ilvl="0" w:tplc="AA725038">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CC505E4"/>
    <w:multiLevelType w:val="hybridMultilevel"/>
    <w:tmpl w:val="30EA05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117C6A0C"/>
    <w:multiLevelType w:val="hybridMultilevel"/>
    <w:tmpl w:val="25E62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1D4765"/>
    <w:multiLevelType w:val="hybridMultilevel"/>
    <w:tmpl w:val="107CA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0824A4"/>
    <w:multiLevelType w:val="hybridMultilevel"/>
    <w:tmpl w:val="E76EF0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0742C1"/>
    <w:multiLevelType w:val="hybridMultilevel"/>
    <w:tmpl w:val="BCC2D84C"/>
    <w:lvl w:ilvl="0" w:tplc="27E4AFC6">
      <w:start w:val="1"/>
      <w:numFmt w:val="lowerLetter"/>
      <w:lvlText w:val="%1)"/>
      <w:lvlJc w:val="left"/>
      <w:pPr>
        <w:ind w:left="927" w:hanging="360"/>
      </w:pPr>
      <w:rPr>
        <w:rFonts w:eastAsiaTheme="minorEastAsia"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2C2A9B"/>
    <w:multiLevelType w:val="hybridMultilevel"/>
    <w:tmpl w:val="1B9A3D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4742A"/>
    <w:multiLevelType w:val="hybridMultilevel"/>
    <w:tmpl w:val="DAC2B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DC1691"/>
    <w:multiLevelType w:val="hybridMultilevel"/>
    <w:tmpl w:val="F726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36638C"/>
    <w:multiLevelType w:val="hybridMultilevel"/>
    <w:tmpl w:val="6BE6C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E03561"/>
    <w:multiLevelType w:val="hybridMultilevel"/>
    <w:tmpl w:val="6B480F80"/>
    <w:lvl w:ilvl="0" w:tplc="5F5806A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3A9C2F76"/>
    <w:multiLevelType w:val="hybridMultilevel"/>
    <w:tmpl w:val="CA48BB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683928"/>
    <w:multiLevelType w:val="hybridMultilevel"/>
    <w:tmpl w:val="07C6A0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5" w15:restartNumberingAfterBreak="0">
    <w:nsid w:val="4BA36350"/>
    <w:multiLevelType w:val="hybridMultilevel"/>
    <w:tmpl w:val="4A0C0896"/>
    <w:lvl w:ilvl="0" w:tplc="CA7EF8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53290075"/>
    <w:multiLevelType w:val="hybridMultilevel"/>
    <w:tmpl w:val="92183444"/>
    <w:lvl w:ilvl="0" w:tplc="D264D846">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544A52E6"/>
    <w:multiLevelType w:val="hybridMultilevel"/>
    <w:tmpl w:val="072EC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0D71D5"/>
    <w:multiLevelType w:val="hybridMultilevel"/>
    <w:tmpl w:val="2738D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414863"/>
    <w:multiLevelType w:val="hybridMultilevel"/>
    <w:tmpl w:val="9C723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AD0365"/>
    <w:multiLevelType w:val="hybridMultilevel"/>
    <w:tmpl w:val="911EB8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C901496"/>
    <w:multiLevelType w:val="hybridMultilevel"/>
    <w:tmpl w:val="F446B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55006F"/>
    <w:multiLevelType w:val="hybridMultilevel"/>
    <w:tmpl w:val="AEFED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61234A"/>
    <w:multiLevelType w:val="hybridMultilevel"/>
    <w:tmpl w:val="B88436EA"/>
    <w:lvl w:ilvl="0" w:tplc="10C6EDDC">
      <w:start w:val="4"/>
      <w:numFmt w:val="upperRoman"/>
      <w:lvlText w:val="%1."/>
      <w:lvlJc w:val="left"/>
      <w:pPr>
        <w:ind w:left="862" w:hanging="720"/>
      </w:pPr>
      <w:rPr>
        <w:rFonts w:eastAsia="MS Mincho" w:cstheme="majorBidi"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8" w15:restartNumberingAfterBreak="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AB1BDB"/>
    <w:multiLevelType w:val="multilevel"/>
    <w:tmpl w:val="B304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9D2DB8"/>
    <w:multiLevelType w:val="hybridMultilevel"/>
    <w:tmpl w:val="3C0634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15:restartNumberingAfterBreak="0">
    <w:nsid w:val="7D027CC9"/>
    <w:multiLevelType w:val="hybridMultilevel"/>
    <w:tmpl w:val="FBF8FB4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9"/>
  </w:num>
  <w:num w:numId="2">
    <w:abstractNumId w:val="15"/>
  </w:num>
  <w:num w:numId="3">
    <w:abstractNumId w:val="18"/>
  </w:num>
  <w:num w:numId="4">
    <w:abstractNumId w:val="36"/>
  </w:num>
  <w:num w:numId="5">
    <w:abstractNumId w:val="23"/>
  </w:num>
  <w:num w:numId="6">
    <w:abstractNumId w:val="7"/>
  </w:num>
  <w:num w:numId="7">
    <w:abstractNumId w:val="19"/>
  </w:num>
  <w:num w:numId="8">
    <w:abstractNumId w:val="1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
  </w:num>
  <w:num w:numId="12">
    <w:abstractNumId w:val="26"/>
  </w:num>
  <w:num w:numId="13">
    <w:abstractNumId w:val="14"/>
  </w:num>
  <w:num w:numId="14">
    <w:abstractNumId w:val="0"/>
  </w:num>
  <w:num w:numId="15">
    <w:abstractNumId w:val="37"/>
  </w:num>
  <w:num w:numId="16">
    <w:abstractNumId w:val="29"/>
  </w:num>
  <w:num w:numId="17">
    <w:abstractNumId w:val="16"/>
  </w:num>
  <w:num w:numId="18">
    <w:abstractNumId w:val="35"/>
  </w:num>
  <w:num w:numId="19">
    <w:abstractNumId w:val="17"/>
  </w:num>
  <w:num w:numId="20">
    <w:abstractNumId w:val="3"/>
  </w:num>
  <w:num w:numId="21">
    <w:abstractNumId w:val="40"/>
  </w:num>
  <w:num w:numId="22">
    <w:abstractNumId w:val="24"/>
  </w:num>
  <w:num w:numId="23">
    <w:abstractNumId w:val="10"/>
  </w:num>
  <w:num w:numId="24">
    <w:abstractNumId w:val="27"/>
  </w:num>
  <w:num w:numId="25">
    <w:abstractNumId w:val="6"/>
  </w:num>
  <w:num w:numId="26">
    <w:abstractNumId w:val="28"/>
  </w:num>
  <w:num w:numId="27">
    <w:abstractNumId w:val="30"/>
  </w:num>
  <w:num w:numId="28">
    <w:abstractNumId w:val="8"/>
  </w:num>
  <w:num w:numId="29">
    <w:abstractNumId w:val="5"/>
  </w:num>
  <w:num w:numId="30">
    <w:abstractNumId w:val="34"/>
  </w:num>
  <w:num w:numId="31">
    <w:abstractNumId w:val="22"/>
  </w:num>
  <w:num w:numId="32">
    <w:abstractNumId w:val="33"/>
  </w:num>
  <w:num w:numId="33">
    <w:abstractNumId w:val="4"/>
  </w:num>
  <w:num w:numId="34">
    <w:abstractNumId w:val="21"/>
  </w:num>
  <w:num w:numId="35">
    <w:abstractNumId w:val="38"/>
  </w:num>
  <w:num w:numId="36">
    <w:abstractNumId w:val="31"/>
  </w:num>
  <w:num w:numId="37">
    <w:abstractNumId w:val="39"/>
  </w:num>
  <w:num w:numId="38">
    <w:abstractNumId w:val="12"/>
  </w:num>
  <w:num w:numId="39">
    <w:abstractNumId w:val="20"/>
  </w:num>
  <w:num w:numId="40">
    <w:abstractNumId w:val="25"/>
  </w:num>
  <w:num w:numId="41">
    <w:abstractNumId w:val="1"/>
  </w:num>
  <w:num w:numId="42">
    <w:abstractNumId w:val="32"/>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3EC"/>
    <w:rsid w:val="00000422"/>
    <w:rsid w:val="00002C8C"/>
    <w:rsid w:val="000104D2"/>
    <w:rsid w:val="00010FD8"/>
    <w:rsid w:val="00013A04"/>
    <w:rsid w:val="00020443"/>
    <w:rsid w:val="00021FCD"/>
    <w:rsid w:val="00024A68"/>
    <w:rsid w:val="00043FE7"/>
    <w:rsid w:val="0004519A"/>
    <w:rsid w:val="00046361"/>
    <w:rsid w:val="0004654E"/>
    <w:rsid w:val="00063434"/>
    <w:rsid w:val="00075B5A"/>
    <w:rsid w:val="0008753C"/>
    <w:rsid w:val="00091060"/>
    <w:rsid w:val="000963B7"/>
    <w:rsid w:val="000A2268"/>
    <w:rsid w:val="000B66F6"/>
    <w:rsid w:val="000C6D77"/>
    <w:rsid w:val="000D580E"/>
    <w:rsid w:val="000E0969"/>
    <w:rsid w:val="000E23CB"/>
    <w:rsid w:val="000E3B73"/>
    <w:rsid w:val="000F075C"/>
    <w:rsid w:val="001005B2"/>
    <w:rsid w:val="00100898"/>
    <w:rsid w:val="001100B3"/>
    <w:rsid w:val="00110357"/>
    <w:rsid w:val="00110427"/>
    <w:rsid w:val="001126B0"/>
    <w:rsid w:val="00113325"/>
    <w:rsid w:val="001164AB"/>
    <w:rsid w:val="00120F87"/>
    <w:rsid w:val="0012473D"/>
    <w:rsid w:val="0015457B"/>
    <w:rsid w:val="00155558"/>
    <w:rsid w:val="00190942"/>
    <w:rsid w:val="001A1C56"/>
    <w:rsid w:val="001A6BF6"/>
    <w:rsid w:val="001B02C0"/>
    <w:rsid w:val="001C4E92"/>
    <w:rsid w:val="001C5165"/>
    <w:rsid w:val="001C6A9E"/>
    <w:rsid w:val="001D58B0"/>
    <w:rsid w:val="001D6CEA"/>
    <w:rsid w:val="001D6E62"/>
    <w:rsid w:val="002109C9"/>
    <w:rsid w:val="00212795"/>
    <w:rsid w:val="00224540"/>
    <w:rsid w:val="0022754C"/>
    <w:rsid w:val="00233275"/>
    <w:rsid w:val="002445FA"/>
    <w:rsid w:val="00253AB5"/>
    <w:rsid w:val="002577D2"/>
    <w:rsid w:val="002642FA"/>
    <w:rsid w:val="00266D35"/>
    <w:rsid w:val="00274CF5"/>
    <w:rsid w:val="00293C1B"/>
    <w:rsid w:val="002A2108"/>
    <w:rsid w:val="002A5275"/>
    <w:rsid w:val="002A6833"/>
    <w:rsid w:val="002B20B1"/>
    <w:rsid w:val="002B26C9"/>
    <w:rsid w:val="002B403F"/>
    <w:rsid w:val="002C5058"/>
    <w:rsid w:val="002C70BC"/>
    <w:rsid w:val="002E4B85"/>
    <w:rsid w:val="002F3E2A"/>
    <w:rsid w:val="002F7D7C"/>
    <w:rsid w:val="003018A7"/>
    <w:rsid w:val="00301F6D"/>
    <w:rsid w:val="003118D5"/>
    <w:rsid w:val="00313566"/>
    <w:rsid w:val="00316768"/>
    <w:rsid w:val="00320D6C"/>
    <w:rsid w:val="003445CD"/>
    <w:rsid w:val="0034633A"/>
    <w:rsid w:val="0036126F"/>
    <w:rsid w:val="00364138"/>
    <w:rsid w:val="00384D60"/>
    <w:rsid w:val="00392087"/>
    <w:rsid w:val="00393038"/>
    <w:rsid w:val="00396FF1"/>
    <w:rsid w:val="003A5BD6"/>
    <w:rsid w:val="003B0953"/>
    <w:rsid w:val="003D72B0"/>
    <w:rsid w:val="003D784F"/>
    <w:rsid w:val="003E7B16"/>
    <w:rsid w:val="003F0983"/>
    <w:rsid w:val="003F13FD"/>
    <w:rsid w:val="00400E9D"/>
    <w:rsid w:val="004020A9"/>
    <w:rsid w:val="00403E24"/>
    <w:rsid w:val="00406F17"/>
    <w:rsid w:val="00420997"/>
    <w:rsid w:val="00437758"/>
    <w:rsid w:val="004465F8"/>
    <w:rsid w:val="00451F80"/>
    <w:rsid w:val="0046066D"/>
    <w:rsid w:val="004620FD"/>
    <w:rsid w:val="004626BF"/>
    <w:rsid w:val="004645FD"/>
    <w:rsid w:val="00472478"/>
    <w:rsid w:val="00482FE1"/>
    <w:rsid w:val="0048339E"/>
    <w:rsid w:val="00487D73"/>
    <w:rsid w:val="00495F08"/>
    <w:rsid w:val="004977D2"/>
    <w:rsid w:val="004B0AC0"/>
    <w:rsid w:val="004B2816"/>
    <w:rsid w:val="004B4E36"/>
    <w:rsid w:val="004C16FA"/>
    <w:rsid w:val="004C400B"/>
    <w:rsid w:val="004D1DE7"/>
    <w:rsid w:val="004D33D9"/>
    <w:rsid w:val="004F41FD"/>
    <w:rsid w:val="0050224C"/>
    <w:rsid w:val="00505288"/>
    <w:rsid w:val="00537643"/>
    <w:rsid w:val="00543EC3"/>
    <w:rsid w:val="00546E1A"/>
    <w:rsid w:val="00547A19"/>
    <w:rsid w:val="00554277"/>
    <w:rsid w:val="00556452"/>
    <w:rsid w:val="00562094"/>
    <w:rsid w:val="005679E7"/>
    <w:rsid w:val="00584E24"/>
    <w:rsid w:val="00592E88"/>
    <w:rsid w:val="005A3A41"/>
    <w:rsid w:val="005B0BE4"/>
    <w:rsid w:val="005B1CDB"/>
    <w:rsid w:val="005B71CC"/>
    <w:rsid w:val="005C7651"/>
    <w:rsid w:val="005E02AF"/>
    <w:rsid w:val="005E6FF9"/>
    <w:rsid w:val="005F1302"/>
    <w:rsid w:val="005F7675"/>
    <w:rsid w:val="00612BD6"/>
    <w:rsid w:val="00617E7A"/>
    <w:rsid w:val="006202ED"/>
    <w:rsid w:val="00623C38"/>
    <w:rsid w:val="00627D87"/>
    <w:rsid w:val="0063058C"/>
    <w:rsid w:val="0064458A"/>
    <w:rsid w:val="00651CCF"/>
    <w:rsid w:val="00653460"/>
    <w:rsid w:val="00662235"/>
    <w:rsid w:val="00667B7B"/>
    <w:rsid w:val="00677F4D"/>
    <w:rsid w:val="00690C74"/>
    <w:rsid w:val="006929A2"/>
    <w:rsid w:val="006A34AD"/>
    <w:rsid w:val="006A3769"/>
    <w:rsid w:val="006C1464"/>
    <w:rsid w:val="006C2528"/>
    <w:rsid w:val="006C5D03"/>
    <w:rsid w:val="006D061D"/>
    <w:rsid w:val="006E05C3"/>
    <w:rsid w:val="006F155E"/>
    <w:rsid w:val="006F589C"/>
    <w:rsid w:val="006F6666"/>
    <w:rsid w:val="006F7126"/>
    <w:rsid w:val="006F7E08"/>
    <w:rsid w:val="0070092A"/>
    <w:rsid w:val="0071089A"/>
    <w:rsid w:val="007123EE"/>
    <w:rsid w:val="00721347"/>
    <w:rsid w:val="00726565"/>
    <w:rsid w:val="007368E5"/>
    <w:rsid w:val="00745FA6"/>
    <w:rsid w:val="007504A4"/>
    <w:rsid w:val="0075060E"/>
    <w:rsid w:val="00755546"/>
    <w:rsid w:val="0076070F"/>
    <w:rsid w:val="00772E85"/>
    <w:rsid w:val="007775DB"/>
    <w:rsid w:val="00781252"/>
    <w:rsid w:val="00783AF8"/>
    <w:rsid w:val="00785862"/>
    <w:rsid w:val="00791FDA"/>
    <w:rsid w:val="007A6573"/>
    <w:rsid w:val="007B3EA1"/>
    <w:rsid w:val="007B705C"/>
    <w:rsid w:val="007D29EA"/>
    <w:rsid w:val="007F2AB8"/>
    <w:rsid w:val="00806A87"/>
    <w:rsid w:val="00814543"/>
    <w:rsid w:val="00822F20"/>
    <w:rsid w:val="00835A13"/>
    <w:rsid w:val="00835BC7"/>
    <w:rsid w:val="008369D5"/>
    <w:rsid w:val="00837180"/>
    <w:rsid w:val="00841D58"/>
    <w:rsid w:val="008425E5"/>
    <w:rsid w:val="00856712"/>
    <w:rsid w:val="008646CB"/>
    <w:rsid w:val="0086776C"/>
    <w:rsid w:val="00874EFB"/>
    <w:rsid w:val="00877CCC"/>
    <w:rsid w:val="008A6770"/>
    <w:rsid w:val="008A69C8"/>
    <w:rsid w:val="008D1593"/>
    <w:rsid w:val="008F4A60"/>
    <w:rsid w:val="00906938"/>
    <w:rsid w:val="009073E1"/>
    <w:rsid w:val="009074AB"/>
    <w:rsid w:val="00915216"/>
    <w:rsid w:val="0091788F"/>
    <w:rsid w:val="00923E9F"/>
    <w:rsid w:val="009249E2"/>
    <w:rsid w:val="00930376"/>
    <w:rsid w:val="0093058F"/>
    <w:rsid w:val="00930FD7"/>
    <w:rsid w:val="00930FE2"/>
    <w:rsid w:val="009419D8"/>
    <w:rsid w:val="00941B7B"/>
    <w:rsid w:val="00944476"/>
    <w:rsid w:val="009511C3"/>
    <w:rsid w:val="00951AE0"/>
    <w:rsid w:val="009538C8"/>
    <w:rsid w:val="00953B68"/>
    <w:rsid w:val="009640E7"/>
    <w:rsid w:val="00976167"/>
    <w:rsid w:val="00987B30"/>
    <w:rsid w:val="00987C1D"/>
    <w:rsid w:val="0099259D"/>
    <w:rsid w:val="0099538F"/>
    <w:rsid w:val="00996614"/>
    <w:rsid w:val="009B07C5"/>
    <w:rsid w:val="009B095B"/>
    <w:rsid w:val="009B27AD"/>
    <w:rsid w:val="009B4B96"/>
    <w:rsid w:val="009B56AF"/>
    <w:rsid w:val="009B6599"/>
    <w:rsid w:val="009C2A7A"/>
    <w:rsid w:val="009C5C23"/>
    <w:rsid w:val="009D0086"/>
    <w:rsid w:val="009D2910"/>
    <w:rsid w:val="009E749C"/>
    <w:rsid w:val="009F0E28"/>
    <w:rsid w:val="009F4327"/>
    <w:rsid w:val="00A11F31"/>
    <w:rsid w:val="00A12E21"/>
    <w:rsid w:val="00A15302"/>
    <w:rsid w:val="00A157B8"/>
    <w:rsid w:val="00A21531"/>
    <w:rsid w:val="00A277B5"/>
    <w:rsid w:val="00A31321"/>
    <w:rsid w:val="00A61802"/>
    <w:rsid w:val="00A675FA"/>
    <w:rsid w:val="00A7336A"/>
    <w:rsid w:val="00A73A55"/>
    <w:rsid w:val="00A752AF"/>
    <w:rsid w:val="00A86B04"/>
    <w:rsid w:val="00A9072F"/>
    <w:rsid w:val="00AA1D26"/>
    <w:rsid w:val="00AC105D"/>
    <w:rsid w:val="00AC7345"/>
    <w:rsid w:val="00AD0A82"/>
    <w:rsid w:val="00AD70E6"/>
    <w:rsid w:val="00AE568A"/>
    <w:rsid w:val="00AE6C8D"/>
    <w:rsid w:val="00AF42CA"/>
    <w:rsid w:val="00AF7E74"/>
    <w:rsid w:val="00AF7F39"/>
    <w:rsid w:val="00B00F0F"/>
    <w:rsid w:val="00B12B8E"/>
    <w:rsid w:val="00B12C54"/>
    <w:rsid w:val="00B16B59"/>
    <w:rsid w:val="00B2227D"/>
    <w:rsid w:val="00B3020C"/>
    <w:rsid w:val="00B32A3B"/>
    <w:rsid w:val="00B360DC"/>
    <w:rsid w:val="00B3758F"/>
    <w:rsid w:val="00B4031B"/>
    <w:rsid w:val="00B4131F"/>
    <w:rsid w:val="00B52247"/>
    <w:rsid w:val="00B5260A"/>
    <w:rsid w:val="00B5629C"/>
    <w:rsid w:val="00B6145E"/>
    <w:rsid w:val="00B61B3D"/>
    <w:rsid w:val="00B64BC7"/>
    <w:rsid w:val="00B73B44"/>
    <w:rsid w:val="00B757A0"/>
    <w:rsid w:val="00B8571A"/>
    <w:rsid w:val="00B907A1"/>
    <w:rsid w:val="00BA2D46"/>
    <w:rsid w:val="00BA46E5"/>
    <w:rsid w:val="00BB3390"/>
    <w:rsid w:val="00BB4DD0"/>
    <w:rsid w:val="00BB4EC4"/>
    <w:rsid w:val="00BB7082"/>
    <w:rsid w:val="00BD1A80"/>
    <w:rsid w:val="00BF60EF"/>
    <w:rsid w:val="00BF7173"/>
    <w:rsid w:val="00BF77EB"/>
    <w:rsid w:val="00C03BFC"/>
    <w:rsid w:val="00C067A2"/>
    <w:rsid w:val="00C068AF"/>
    <w:rsid w:val="00C15C95"/>
    <w:rsid w:val="00C25DA5"/>
    <w:rsid w:val="00C358F3"/>
    <w:rsid w:val="00C40C11"/>
    <w:rsid w:val="00C42EEA"/>
    <w:rsid w:val="00C460CA"/>
    <w:rsid w:val="00C626D3"/>
    <w:rsid w:val="00C73FF1"/>
    <w:rsid w:val="00C75187"/>
    <w:rsid w:val="00C9538C"/>
    <w:rsid w:val="00C968C2"/>
    <w:rsid w:val="00CA6964"/>
    <w:rsid w:val="00CB501A"/>
    <w:rsid w:val="00CB69D7"/>
    <w:rsid w:val="00CB6C30"/>
    <w:rsid w:val="00CC2573"/>
    <w:rsid w:val="00CD592F"/>
    <w:rsid w:val="00CD73A8"/>
    <w:rsid w:val="00CE26E3"/>
    <w:rsid w:val="00CF0245"/>
    <w:rsid w:val="00CF45A6"/>
    <w:rsid w:val="00D049D2"/>
    <w:rsid w:val="00D060A3"/>
    <w:rsid w:val="00D1453B"/>
    <w:rsid w:val="00D15D38"/>
    <w:rsid w:val="00D20350"/>
    <w:rsid w:val="00D21D95"/>
    <w:rsid w:val="00D343E8"/>
    <w:rsid w:val="00D3469B"/>
    <w:rsid w:val="00D41DFC"/>
    <w:rsid w:val="00D53DD3"/>
    <w:rsid w:val="00D613FF"/>
    <w:rsid w:val="00D61913"/>
    <w:rsid w:val="00D745B8"/>
    <w:rsid w:val="00D85AC9"/>
    <w:rsid w:val="00D8732D"/>
    <w:rsid w:val="00D87D30"/>
    <w:rsid w:val="00DA1257"/>
    <w:rsid w:val="00DA44C3"/>
    <w:rsid w:val="00DB655B"/>
    <w:rsid w:val="00DC3515"/>
    <w:rsid w:val="00DC558D"/>
    <w:rsid w:val="00DD18C7"/>
    <w:rsid w:val="00DD1B9D"/>
    <w:rsid w:val="00DE2822"/>
    <w:rsid w:val="00DE4BA1"/>
    <w:rsid w:val="00DE6A17"/>
    <w:rsid w:val="00DE72E0"/>
    <w:rsid w:val="00DF2CBA"/>
    <w:rsid w:val="00DF57C9"/>
    <w:rsid w:val="00E0115F"/>
    <w:rsid w:val="00E05ECD"/>
    <w:rsid w:val="00E113EC"/>
    <w:rsid w:val="00E11DA7"/>
    <w:rsid w:val="00E21EAF"/>
    <w:rsid w:val="00E2258F"/>
    <w:rsid w:val="00E22777"/>
    <w:rsid w:val="00E24B6C"/>
    <w:rsid w:val="00E2576F"/>
    <w:rsid w:val="00E33EAA"/>
    <w:rsid w:val="00E45EFD"/>
    <w:rsid w:val="00E47578"/>
    <w:rsid w:val="00E5100F"/>
    <w:rsid w:val="00E5387D"/>
    <w:rsid w:val="00E5419E"/>
    <w:rsid w:val="00E63601"/>
    <w:rsid w:val="00E74AE7"/>
    <w:rsid w:val="00E818AF"/>
    <w:rsid w:val="00E85A7C"/>
    <w:rsid w:val="00E91116"/>
    <w:rsid w:val="00E91684"/>
    <w:rsid w:val="00E92074"/>
    <w:rsid w:val="00E94DB5"/>
    <w:rsid w:val="00EC4F5B"/>
    <w:rsid w:val="00EC5A6C"/>
    <w:rsid w:val="00ED4C8A"/>
    <w:rsid w:val="00EE4BC1"/>
    <w:rsid w:val="00EF7C5F"/>
    <w:rsid w:val="00F07AFB"/>
    <w:rsid w:val="00F15DAB"/>
    <w:rsid w:val="00F202AC"/>
    <w:rsid w:val="00F21544"/>
    <w:rsid w:val="00F234BF"/>
    <w:rsid w:val="00F24149"/>
    <w:rsid w:val="00F254CE"/>
    <w:rsid w:val="00F27136"/>
    <w:rsid w:val="00F27872"/>
    <w:rsid w:val="00F37EED"/>
    <w:rsid w:val="00F40031"/>
    <w:rsid w:val="00F43EFC"/>
    <w:rsid w:val="00F46FEB"/>
    <w:rsid w:val="00F4754F"/>
    <w:rsid w:val="00F52D0A"/>
    <w:rsid w:val="00F53B56"/>
    <w:rsid w:val="00F55AE1"/>
    <w:rsid w:val="00F57513"/>
    <w:rsid w:val="00F57AA9"/>
    <w:rsid w:val="00F57D0B"/>
    <w:rsid w:val="00F61D9F"/>
    <w:rsid w:val="00F62038"/>
    <w:rsid w:val="00F623B7"/>
    <w:rsid w:val="00F67039"/>
    <w:rsid w:val="00F76158"/>
    <w:rsid w:val="00F80315"/>
    <w:rsid w:val="00F84E70"/>
    <w:rsid w:val="00FA65AF"/>
    <w:rsid w:val="00FB4F83"/>
    <w:rsid w:val="00FC0C50"/>
    <w:rsid w:val="00FD1687"/>
    <w:rsid w:val="00FE1DAD"/>
    <w:rsid w:val="00FE62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8FCC4"/>
  <w15:chartTrackingRefBased/>
  <w15:docId w15:val="{E19F8049-FCF6-4C37-A9E4-ECF9269D5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7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3EC"/>
  </w:style>
  <w:style w:type="paragraph" w:styleId="Piedepgina">
    <w:name w:val="footer"/>
    <w:basedOn w:val="Normal"/>
    <w:link w:val="PiedepginaCar"/>
    <w:uiPriority w:val="99"/>
    <w:unhideWhenUsed/>
    <w:rsid w:val="00E11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3EC"/>
  </w:style>
  <w:style w:type="table" w:styleId="Tablaconcuadrcula">
    <w:name w:val="Table Grid"/>
    <w:basedOn w:val="Tablanormal"/>
    <w:uiPriority w:val="39"/>
    <w:rsid w:val="00E113E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113E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113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13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1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13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13EC"/>
  </w:style>
  <w:style w:type="paragraph" w:customStyle="1" w:styleId="ADB1">
    <w:name w:val="ADB1"/>
    <w:basedOn w:val="Normal"/>
    <w:next w:val="Textonotapie"/>
    <w:uiPriority w:val="99"/>
    <w:unhideWhenUsed/>
    <w:qFormat/>
    <w:rsid w:val="00E113EC"/>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791FDA"/>
    <w:rPr>
      <w:color w:val="0563C1" w:themeColor="hyperlink"/>
      <w:u w:val="single"/>
    </w:rPr>
  </w:style>
  <w:style w:type="character" w:styleId="Hipervnculovisitado">
    <w:name w:val="FollowedHyperlink"/>
    <w:basedOn w:val="Fuentedeprrafopredeter"/>
    <w:uiPriority w:val="99"/>
    <w:semiHidden/>
    <w:unhideWhenUsed/>
    <w:rsid w:val="00791FDA"/>
    <w:rPr>
      <w:color w:val="954F72" w:themeColor="followedHyperlink"/>
      <w:u w:val="single"/>
    </w:rPr>
  </w:style>
  <w:style w:type="character" w:customStyle="1" w:styleId="Ttulo1Car">
    <w:name w:val="Título 1 Car"/>
    <w:basedOn w:val="Fuentedeprrafopredeter"/>
    <w:link w:val="Ttulo1"/>
    <w:uiPriority w:val="9"/>
    <w:rsid w:val="00C75187"/>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9072F"/>
    <w:pPr>
      <w:spacing w:after="100"/>
    </w:pPr>
  </w:style>
  <w:style w:type="paragraph" w:styleId="TDC2">
    <w:name w:val="toc 2"/>
    <w:basedOn w:val="Normal"/>
    <w:next w:val="Normal"/>
    <w:autoRedefine/>
    <w:uiPriority w:val="39"/>
    <w:unhideWhenUsed/>
    <w:rsid w:val="00A9072F"/>
    <w:pPr>
      <w:spacing w:after="100"/>
      <w:ind w:left="220"/>
    </w:pPr>
  </w:style>
  <w:style w:type="character" w:styleId="Refdecomentario">
    <w:name w:val="annotation reference"/>
    <w:basedOn w:val="Fuentedeprrafopredeter"/>
    <w:uiPriority w:val="99"/>
    <w:semiHidden/>
    <w:unhideWhenUsed/>
    <w:rsid w:val="00043FE7"/>
    <w:rPr>
      <w:sz w:val="16"/>
      <w:szCs w:val="16"/>
    </w:rPr>
  </w:style>
  <w:style w:type="paragraph" w:styleId="Textocomentario">
    <w:name w:val="annotation text"/>
    <w:basedOn w:val="Normal"/>
    <w:link w:val="TextocomentarioCar"/>
    <w:uiPriority w:val="99"/>
    <w:semiHidden/>
    <w:unhideWhenUsed/>
    <w:rsid w:val="00043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FE7"/>
    <w:rPr>
      <w:sz w:val="20"/>
      <w:szCs w:val="20"/>
    </w:rPr>
  </w:style>
  <w:style w:type="paragraph" w:styleId="Asuntodelcomentario">
    <w:name w:val="annotation subject"/>
    <w:basedOn w:val="Textocomentario"/>
    <w:next w:val="Textocomentario"/>
    <w:link w:val="AsuntodelcomentarioCar"/>
    <w:uiPriority w:val="99"/>
    <w:semiHidden/>
    <w:unhideWhenUsed/>
    <w:rsid w:val="00043FE7"/>
    <w:rPr>
      <w:b/>
      <w:bCs/>
    </w:rPr>
  </w:style>
  <w:style w:type="character" w:customStyle="1" w:styleId="AsuntodelcomentarioCar">
    <w:name w:val="Asunto del comentario Car"/>
    <w:basedOn w:val="TextocomentarioCar"/>
    <w:link w:val="Asuntodelcomentario"/>
    <w:uiPriority w:val="99"/>
    <w:semiHidden/>
    <w:rsid w:val="00043FE7"/>
    <w:rPr>
      <w:b/>
      <w:bCs/>
      <w:sz w:val="20"/>
      <w:szCs w:val="20"/>
    </w:rPr>
  </w:style>
  <w:style w:type="paragraph" w:styleId="Textodeglobo">
    <w:name w:val="Balloon Text"/>
    <w:basedOn w:val="Normal"/>
    <w:link w:val="TextodegloboCar"/>
    <w:uiPriority w:val="99"/>
    <w:semiHidden/>
    <w:unhideWhenUsed/>
    <w:rsid w:val="0004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3FE7"/>
    <w:rPr>
      <w:rFonts w:ascii="Segoe UI" w:hAnsi="Segoe UI" w:cs="Segoe UI"/>
      <w:sz w:val="18"/>
      <w:szCs w:val="18"/>
    </w:rPr>
  </w:style>
  <w:style w:type="paragraph" w:styleId="Sinespaciado">
    <w:name w:val="No Spacing"/>
    <w:aliases w:val="Francesa,INAI"/>
    <w:link w:val="SinespaciadoCar"/>
    <w:uiPriority w:val="1"/>
    <w:qFormat/>
    <w:rsid w:val="00B12C54"/>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B12C54"/>
    <w:rPr>
      <w:rFonts w:eastAsiaTheme="minorEastAsia"/>
      <w:sz w:val="24"/>
      <w:szCs w:val="24"/>
      <w:lang w:val="es-ES_tradnl" w:eastAsia="es-ES"/>
    </w:rPr>
  </w:style>
  <w:style w:type="paragraph" w:styleId="Textosinformato">
    <w:name w:val="Plain Text"/>
    <w:basedOn w:val="Normal"/>
    <w:link w:val="TextosinformatoCar"/>
    <w:rsid w:val="000E23C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E23CB"/>
    <w:rPr>
      <w:rFonts w:ascii="Courier New" w:eastAsia="Times New Roman" w:hAnsi="Courier New" w:cs="Times New Roman"/>
      <w:sz w:val="20"/>
      <w:szCs w:val="20"/>
      <w:lang w:val="es-ES" w:eastAsia="es-ES"/>
    </w:rPr>
  </w:style>
  <w:style w:type="paragraph" w:customStyle="1" w:styleId="Texto">
    <w:name w:val="Texto"/>
    <w:basedOn w:val="Normal"/>
    <w:rsid w:val="000E23CB"/>
    <w:pPr>
      <w:spacing w:after="101" w:line="216" w:lineRule="exact"/>
      <w:ind w:firstLine="288"/>
      <w:jc w:val="both"/>
    </w:pPr>
    <w:rPr>
      <w:rFonts w:ascii="Arial" w:eastAsia="Times New Roman" w:hAnsi="Arial" w:cs="Arial"/>
      <w:sz w:val="18"/>
      <w:szCs w:val="18"/>
      <w:lang w:eastAsia="es-ES"/>
    </w:rPr>
  </w:style>
  <w:style w:type="character" w:customStyle="1" w:styleId="Mencinsinresolver1">
    <w:name w:val="Mención sin resolver1"/>
    <w:basedOn w:val="Fuentedeprrafopredeter"/>
    <w:uiPriority w:val="99"/>
    <w:semiHidden/>
    <w:unhideWhenUsed/>
    <w:rsid w:val="006C1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86954">
      <w:bodyDiv w:val="1"/>
      <w:marLeft w:val="0"/>
      <w:marRight w:val="0"/>
      <w:marTop w:val="0"/>
      <w:marBottom w:val="0"/>
      <w:divBdr>
        <w:top w:val="none" w:sz="0" w:space="0" w:color="auto"/>
        <w:left w:val="none" w:sz="0" w:space="0" w:color="auto"/>
        <w:bottom w:val="none" w:sz="0" w:space="0" w:color="auto"/>
        <w:right w:val="none" w:sz="0" w:space="0" w:color="auto"/>
      </w:divBdr>
    </w:div>
    <w:div w:id="176772320">
      <w:bodyDiv w:val="1"/>
      <w:marLeft w:val="0"/>
      <w:marRight w:val="0"/>
      <w:marTop w:val="0"/>
      <w:marBottom w:val="0"/>
      <w:divBdr>
        <w:top w:val="none" w:sz="0" w:space="0" w:color="auto"/>
        <w:left w:val="none" w:sz="0" w:space="0" w:color="auto"/>
        <w:bottom w:val="none" w:sz="0" w:space="0" w:color="auto"/>
        <w:right w:val="none" w:sz="0" w:space="0" w:color="auto"/>
      </w:divBdr>
    </w:div>
    <w:div w:id="249657199">
      <w:bodyDiv w:val="1"/>
      <w:marLeft w:val="0"/>
      <w:marRight w:val="0"/>
      <w:marTop w:val="0"/>
      <w:marBottom w:val="0"/>
      <w:divBdr>
        <w:top w:val="none" w:sz="0" w:space="0" w:color="auto"/>
        <w:left w:val="none" w:sz="0" w:space="0" w:color="auto"/>
        <w:bottom w:val="none" w:sz="0" w:space="0" w:color="auto"/>
        <w:right w:val="none" w:sz="0" w:space="0" w:color="auto"/>
      </w:divBdr>
    </w:div>
    <w:div w:id="258564466">
      <w:bodyDiv w:val="1"/>
      <w:marLeft w:val="0"/>
      <w:marRight w:val="0"/>
      <w:marTop w:val="0"/>
      <w:marBottom w:val="0"/>
      <w:divBdr>
        <w:top w:val="none" w:sz="0" w:space="0" w:color="auto"/>
        <w:left w:val="none" w:sz="0" w:space="0" w:color="auto"/>
        <w:bottom w:val="none" w:sz="0" w:space="0" w:color="auto"/>
        <w:right w:val="none" w:sz="0" w:space="0" w:color="auto"/>
      </w:divBdr>
    </w:div>
    <w:div w:id="312680967">
      <w:bodyDiv w:val="1"/>
      <w:marLeft w:val="0"/>
      <w:marRight w:val="0"/>
      <w:marTop w:val="0"/>
      <w:marBottom w:val="0"/>
      <w:divBdr>
        <w:top w:val="none" w:sz="0" w:space="0" w:color="auto"/>
        <w:left w:val="none" w:sz="0" w:space="0" w:color="auto"/>
        <w:bottom w:val="none" w:sz="0" w:space="0" w:color="auto"/>
        <w:right w:val="none" w:sz="0" w:space="0" w:color="auto"/>
      </w:divBdr>
    </w:div>
    <w:div w:id="350643093">
      <w:bodyDiv w:val="1"/>
      <w:marLeft w:val="0"/>
      <w:marRight w:val="0"/>
      <w:marTop w:val="0"/>
      <w:marBottom w:val="0"/>
      <w:divBdr>
        <w:top w:val="none" w:sz="0" w:space="0" w:color="auto"/>
        <w:left w:val="none" w:sz="0" w:space="0" w:color="auto"/>
        <w:bottom w:val="none" w:sz="0" w:space="0" w:color="auto"/>
        <w:right w:val="none" w:sz="0" w:space="0" w:color="auto"/>
      </w:divBdr>
    </w:div>
    <w:div w:id="384649143">
      <w:bodyDiv w:val="1"/>
      <w:marLeft w:val="0"/>
      <w:marRight w:val="0"/>
      <w:marTop w:val="0"/>
      <w:marBottom w:val="0"/>
      <w:divBdr>
        <w:top w:val="none" w:sz="0" w:space="0" w:color="auto"/>
        <w:left w:val="none" w:sz="0" w:space="0" w:color="auto"/>
        <w:bottom w:val="none" w:sz="0" w:space="0" w:color="auto"/>
        <w:right w:val="none" w:sz="0" w:space="0" w:color="auto"/>
      </w:divBdr>
    </w:div>
    <w:div w:id="479926986">
      <w:bodyDiv w:val="1"/>
      <w:marLeft w:val="0"/>
      <w:marRight w:val="0"/>
      <w:marTop w:val="0"/>
      <w:marBottom w:val="0"/>
      <w:divBdr>
        <w:top w:val="none" w:sz="0" w:space="0" w:color="auto"/>
        <w:left w:val="none" w:sz="0" w:space="0" w:color="auto"/>
        <w:bottom w:val="none" w:sz="0" w:space="0" w:color="auto"/>
        <w:right w:val="none" w:sz="0" w:space="0" w:color="auto"/>
      </w:divBdr>
    </w:div>
    <w:div w:id="542639461">
      <w:bodyDiv w:val="1"/>
      <w:marLeft w:val="0"/>
      <w:marRight w:val="0"/>
      <w:marTop w:val="0"/>
      <w:marBottom w:val="0"/>
      <w:divBdr>
        <w:top w:val="none" w:sz="0" w:space="0" w:color="auto"/>
        <w:left w:val="none" w:sz="0" w:space="0" w:color="auto"/>
        <w:bottom w:val="none" w:sz="0" w:space="0" w:color="auto"/>
        <w:right w:val="none" w:sz="0" w:space="0" w:color="auto"/>
      </w:divBdr>
    </w:div>
    <w:div w:id="612398172">
      <w:bodyDiv w:val="1"/>
      <w:marLeft w:val="0"/>
      <w:marRight w:val="0"/>
      <w:marTop w:val="0"/>
      <w:marBottom w:val="0"/>
      <w:divBdr>
        <w:top w:val="none" w:sz="0" w:space="0" w:color="auto"/>
        <w:left w:val="none" w:sz="0" w:space="0" w:color="auto"/>
        <w:bottom w:val="none" w:sz="0" w:space="0" w:color="auto"/>
        <w:right w:val="none" w:sz="0" w:space="0" w:color="auto"/>
      </w:divBdr>
    </w:div>
    <w:div w:id="617028729">
      <w:bodyDiv w:val="1"/>
      <w:marLeft w:val="0"/>
      <w:marRight w:val="0"/>
      <w:marTop w:val="0"/>
      <w:marBottom w:val="0"/>
      <w:divBdr>
        <w:top w:val="none" w:sz="0" w:space="0" w:color="auto"/>
        <w:left w:val="none" w:sz="0" w:space="0" w:color="auto"/>
        <w:bottom w:val="none" w:sz="0" w:space="0" w:color="auto"/>
        <w:right w:val="none" w:sz="0" w:space="0" w:color="auto"/>
      </w:divBdr>
    </w:div>
    <w:div w:id="674916006">
      <w:bodyDiv w:val="1"/>
      <w:marLeft w:val="0"/>
      <w:marRight w:val="0"/>
      <w:marTop w:val="0"/>
      <w:marBottom w:val="0"/>
      <w:divBdr>
        <w:top w:val="none" w:sz="0" w:space="0" w:color="auto"/>
        <w:left w:val="none" w:sz="0" w:space="0" w:color="auto"/>
        <w:bottom w:val="none" w:sz="0" w:space="0" w:color="auto"/>
        <w:right w:val="none" w:sz="0" w:space="0" w:color="auto"/>
      </w:divBdr>
    </w:div>
    <w:div w:id="693654976">
      <w:bodyDiv w:val="1"/>
      <w:marLeft w:val="0"/>
      <w:marRight w:val="0"/>
      <w:marTop w:val="0"/>
      <w:marBottom w:val="0"/>
      <w:divBdr>
        <w:top w:val="none" w:sz="0" w:space="0" w:color="auto"/>
        <w:left w:val="none" w:sz="0" w:space="0" w:color="auto"/>
        <w:bottom w:val="none" w:sz="0" w:space="0" w:color="auto"/>
        <w:right w:val="none" w:sz="0" w:space="0" w:color="auto"/>
      </w:divBdr>
    </w:div>
    <w:div w:id="787823041">
      <w:bodyDiv w:val="1"/>
      <w:marLeft w:val="0"/>
      <w:marRight w:val="0"/>
      <w:marTop w:val="0"/>
      <w:marBottom w:val="0"/>
      <w:divBdr>
        <w:top w:val="none" w:sz="0" w:space="0" w:color="auto"/>
        <w:left w:val="none" w:sz="0" w:space="0" w:color="auto"/>
        <w:bottom w:val="none" w:sz="0" w:space="0" w:color="auto"/>
        <w:right w:val="none" w:sz="0" w:space="0" w:color="auto"/>
      </w:divBdr>
    </w:div>
    <w:div w:id="823817023">
      <w:bodyDiv w:val="1"/>
      <w:marLeft w:val="0"/>
      <w:marRight w:val="0"/>
      <w:marTop w:val="0"/>
      <w:marBottom w:val="0"/>
      <w:divBdr>
        <w:top w:val="none" w:sz="0" w:space="0" w:color="auto"/>
        <w:left w:val="none" w:sz="0" w:space="0" w:color="auto"/>
        <w:bottom w:val="none" w:sz="0" w:space="0" w:color="auto"/>
        <w:right w:val="none" w:sz="0" w:space="0" w:color="auto"/>
      </w:divBdr>
    </w:div>
    <w:div w:id="837161088">
      <w:bodyDiv w:val="1"/>
      <w:marLeft w:val="0"/>
      <w:marRight w:val="0"/>
      <w:marTop w:val="0"/>
      <w:marBottom w:val="0"/>
      <w:divBdr>
        <w:top w:val="none" w:sz="0" w:space="0" w:color="auto"/>
        <w:left w:val="none" w:sz="0" w:space="0" w:color="auto"/>
        <w:bottom w:val="none" w:sz="0" w:space="0" w:color="auto"/>
        <w:right w:val="none" w:sz="0" w:space="0" w:color="auto"/>
      </w:divBdr>
    </w:div>
    <w:div w:id="946276495">
      <w:bodyDiv w:val="1"/>
      <w:marLeft w:val="0"/>
      <w:marRight w:val="0"/>
      <w:marTop w:val="0"/>
      <w:marBottom w:val="0"/>
      <w:divBdr>
        <w:top w:val="none" w:sz="0" w:space="0" w:color="auto"/>
        <w:left w:val="none" w:sz="0" w:space="0" w:color="auto"/>
        <w:bottom w:val="none" w:sz="0" w:space="0" w:color="auto"/>
        <w:right w:val="none" w:sz="0" w:space="0" w:color="auto"/>
      </w:divBdr>
    </w:div>
    <w:div w:id="1019814334">
      <w:bodyDiv w:val="1"/>
      <w:marLeft w:val="0"/>
      <w:marRight w:val="0"/>
      <w:marTop w:val="0"/>
      <w:marBottom w:val="0"/>
      <w:divBdr>
        <w:top w:val="none" w:sz="0" w:space="0" w:color="auto"/>
        <w:left w:val="none" w:sz="0" w:space="0" w:color="auto"/>
        <w:bottom w:val="none" w:sz="0" w:space="0" w:color="auto"/>
        <w:right w:val="none" w:sz="0" w:space="0" w:color="auto"/>
      </w:divBdr>
    </w:div>
    <w:div w:id="1100947681">
      <w:bodyDiv w:val="1"/>
      <w:marLeft w:val="0"/>
      <w:marRight w:val="0"/>
      <w:marTop w:val="0"/>
      <w:marBottom w:val="0"/>
      <w:divBdr>
        <w:top w:val="none" w:sz="0" w:space="0" w:color="auto"/>
        <w:left w:val="none" w:sz="0" w:space="0" w:color="auto"/>
        <w:bottom w:val="none" w:sz="0" w:space="0" w:color="auto"/>
        <w:right w:val="none" w:sz="0" w:space="0" w:color="auto"/>
      </w:divBdr>
    </w:div>
    <w:div w:id="1252473769">
      <w:bodyDiv w:val="1"/>
      <w:marLeft w:val="0"/>
      <w:marRight w:val="0"/>
      <w:marTop w:val="0"/>
      <w:marBottom w:val="0"/>
      <w:divBdr>
        <w:top w:val="none" w:sz="0" w:space="0" w:color="auto"/>
        <w:left w:val="none" w:sz="0" w:space="0" w:color="auto"/>
        <w:bottom w:val="none" w:sz="0" w:space="0" w:color="auto"/>
        <w:right w:val="none" w:sz="0" w:space="0" w:color="auto"/>
      </w:divBdr>
    </w:div>
    <w:div w:id="1391270311">
      <w:bodyDiv w:val="1"/>
      <w:marLeft w:val="0"/>
      <w:marRight w:val="0"/>
      <w:marTop w:val="0"/>
      <w:marBottom w:val="0"/>
      <w:divBdr>
        <w:top w:val="none" w:sz="0" w:space="0" w:color="auto"/>
        <w:left w:val="none" w:sz="0" w:space="0" w:color="auto"/>
        <w:bottom w:val="none" w:sz="0" w:space="0" w:color="auto"/>
        <w:right w:val="none" w:sz="0" w:space="0" w:color="auto"/>
      </w:divBdr>
    </w:div>
    <w:div w:id="1418404031">
      <w:bodyDiv w:val="1"/>
      <w:marLeft w:val="0"/>
      <w:marRight w:val="0"/>
      <w:marTop w:val="0"/>
      <w:marBottom w:val="0"/>
      <w:divBdr>
        <w:top w:val="none" w:sz="0" w:space="0" w:color="auto"/>
        <w:left w:val="none" w:sz="0" w:space="0" w:color="auto"/>
        <w:bottom w:val="none" w:sz="0" w:space="0" w:color="auto"/>
        <w:right w:val="none" w:sz="0" w:space="0" w:color="auto"/>
      </w:divBdr>
    </w:div>
    <w:div w:id="1731154340">
      <w:bodyDiv w:val="1"/>
      <w:marLeft w:val="0"/>
      <w:marRight w:val="0"/>
      <w:marTop w:val="0"/>
      <w:marBottom w:val="0"/>
      <w:divBdr>
        <w:top w:val="none" w:sz="0" w:space="0" w:color="auto"/>
        <w:left w:val="none" w:sz="0" w:space="0" w:color="auto"/>
        <w:bottom w:val="none" w:sz="0" w:space="0" w:color="auto"/>
        <w:right w:val="none" w:sz="0" w:space="0" w:color="auto"/>
      </w:divBdr>
    </w:div>
    <w:div w:id="1749692794">
      <w:bodyDiv w:val="1"/>
      <w:marLeft w:val="0"/>
      <w:marRight w:val="0"/>
      <w:marTop w:val="0"/>
      <w:marBottom w:val="0"/>
      <w:divBdr>
        <w:top w:val="none" w:sz="0" w:space="0" w:color="auto"/>
        <w:left w:val="none" w:sz="0" w:space="0" w:color="auto"/>
        <w:bottom w:val="none" w:sz="0" w:space="0" w:color="auto"/>
        <w:right w:val="none" w:sz="0" w:space="0" w:color="auto"/>
      </w:divBdr>
    </w:div>
    <w:div w:id="1754012182">
      <w:bodyDiv w:val="1"/>
      <w:marLeft w:val="0"/>
      <w:marRight w:val="0"/>
      <w:marTop w:val="0"/>
      <w:marBottom w:val="0"/>
      <w:divBdr>
        <w:top w:val="none" w:sz="0" w:space="0" w:color="auto"/>
        <w:left w:val="none" w:sz="0" w:space="0" w:color="auto"/>
        <w:bottom w:val="none" w:sz="0" w:space="0" w:color="auto"/>
        <w:right w:val="none" w:sz="0" w:space="0" w:color="auto"/>
      </w:divBdr>
    </w:div>
    <w:div w:id="1788963946">
      <w:bodyDiv w:val="1"/>
      <w:marLeft w:val="0"/>
      <w:marRight w:val="0"/>
      <w:marTop w:val="0"/>
      <w:marBottom w:val="0"/>
      <w:divBdr>
        <w:top w:val="none" w:sz="0" w:space="0" w:color="auto"/>
        <w:left w:val="none" w:sz="0" w:space="0" w:color="auto"/>
        <w:bottom w:val="none" w:sz="0" w:space="0" w:color="auto"/>
        <w:right w:val="none" w:sz="0" w:space="0" w:color="auto"/>
      </w:divBdr>
    </w:div>
    <w:div w:id="1874733134">
      <w:bodyDiv w:val="1"/>
      <w:marLeft w:val="0"/>
      <w:marRight w:val="0"/>
      <w:marTop w:val="0"/>
      <w:marBottom w:val="0"/>
      <w:divBdr>
        <w:top w:val="none" w:sz="0" w:space="0" w:color="auto"/>
        <w:left w:val="none" w:sz="0" w:space="0" w:color="auto"/>
        <w:bottom w:val="none" w:sz="0" w:space="0" w:color="auto"/>
        <w:right w:val="none" w:sz="0" w:space="0" w:color="auto"/>
      </w:divBdr>
    </w:div>
    <w:div w:id="1908999638">
      <w:bodyDiv w:val="1"/>
      <w:marLeft w:val="0"/>
      <w:marRight w:val="0"/>
      <w:marTop w:val="0"/>
      <w:marBottom w:val="0"/>
      <w:divBdr>
        <w:top w:val="none" w:sz="0" w:space="0" w:color="auto"/>
        <w:left w:val="none" w:sz="0" w:space="0" w:color="auto"/>
        <w:bottom w:val="none" w:sz="0" w:space="0" w:color="auto"/>
        <w:right w:val="none" w:sz="0" w:space="0" w:color="auto"/>
      </w:divBdr>
    </w:div>
    <w:div w:id="204447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11464.page"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saimex.org.mx/saimex/solicitud/downloadAttach/1197570.page"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saimex.org.mx/saimex/solicitud/downloadAttach/1212775.pag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imex.org.mx/saimex/solicitud/downloadAttach/1211465.page" TargetMode="External"/><Relationship Id="rId14" Type="http://schemas.openxmlformats.org/officeDocument/2006/relationships/image" Target="media/image4.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oas.org/es/cidh/expresion/documentos_basicos/declaraciones.asp" TargetMode="External"/><Relationship Id="rId1" Type="http://schemas.openxmlformats.org/officeDocument/2006/relationships/hyperlink" Target="http://legislacion.edomex.gob.mx/sites/legislacion.edomex.gob.mx/files/files/pdf/gct/2018/ago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10829</Words>
  <Characters>59560</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ESTELA infoem</cp:lastModifiedBy>
  <cp:revision>2</cp:revision>
  <cp:lastPrinted>2022-03-25T01:57:00Z</cp:lastPrinted>
  <dcterms:created xsi:type="dcterms:W3CDTF">2022-04-05T23:03:00Z</dcterms:created>
  <dcterms:modified xsi:type="dcterms:W3CDTF">2022-04-05T23:03:00Z</dcterms:modified>
</cp:coreProperties>
</file>