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53EF9"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trece de julio de dos mil veintidós. </w:t>
      </w:r>
    </w:p>
    <w:p w14:paraId="3AFDCF2B" w14:textId="4BE60EA5"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b/>
        </w:rPr>
        <w:t>VISTO</w:t>
      </w:r>
      <w:r w:rsidRPr="009E60F3">
        <w:rPr>
          <w:rFonts w:ascii="Palatino Linotype" w:eastAsia="Palatino Linotype" w:hAnsi="Palatino Linotype" w:cs="Palatino Linotype"/>
        </w:rPr>
        <w:t xml:space="preserve"> el expediente formado con motivo del recurso de revisión </w:t>
      </w:r>
      <w:r w:rsidRPr="009E60F3">
        <w:rPr>
          <w:rFonts w:ascii="Palatino Linotype" w:eastAsia="Palatino Linotype" w:hAnsi="Palatino Linotype" w:cs="Palatino Linotype"/>
          <w:b/>
        </w:rPr>
        <w:t>05029/INFOEM/IP/RR/2022</w:t>
      </w:r>
      <w:r w:rsidRPr="009E60F3">
        <w:rPr>
          <w:rFonts w:ascii="Palatino Linotype" w:eastAsia="Palatino Linotype" w:hAnsi="Palatino Linotype" w:cs="Palatino Linotype"/>
        </w:rPr>
        <w:t>, interpuesto por</w:t>
      </w:r>
      <w:r w:rsidRPr="009E60F3">
        <w:rPr>
          <w:rFonts w:ascii="Palatino Linotype" w:eastAsia="Palatino Linotype" w:hAnsi="Palatino Linotype" w:cs="Palatino Linotype"/>
          <w:b/>
        </w:rPr>
        <w:t xml:space="preserve"> </w:t>
      </w:r>
      <w:proofErr w:type="spellStart"/>
      <w:r w:rsidR="00831270">
        <w:rPr>
          <w:rFonts w:ascii="Palatino Linotype" w:eastAsia="Palatino Linotype" w:hAnsi="Palatino Linotype" w:cs="Palatino Linotype"/>
          <w:b/>
        </w:rPr>
        <w:t>Xxxxxx</w:t>
      </w:r>
      <w:proofErr w:type="spellEnd"/>
      <w:r w:rsidRPr="009E60F3">
        <w:rPr>
          <w:rFonts w:ascii="Palatino Linotype" w:eastAsia="Palatino Linotype" w:hAnsi="Palatino Linotype" w:cs="Palatino Linotype"/>
          <w:b/>
        </w:rPr>
        <w:t xml:space="preserve"> </w:t>
      </w:r>
      <w:proofErr w:type="spellStart"/>
      <w:r w:rsidR="00831270">
        <w:rPr>
          <w:rFonts w:ascii="Palatino Linotype" w:eastAsia="Palatino Linotype" w:hAnsi="Palatino Linotype" w:cs="Palatino Linotype"/>
          <w:b/>
        </w:rPr>
        <w:t>Xxxxx</w:t>
      </w:r>
      <w:proofErr w:type="spellEnd"/>
      <w:r w:rsidRPr="009E60F3">
        <w:rPr>
          <w:rFonts w:ascii="Palatino Linotype" w:eastAsia="Palatino Linotype" w:hAnsi="Palatino Linotype" w:cs="Palatino Linotype"/>
          <w:b/>
        </w:rPr>
        <w:t xml:space="preserve"> </w:t>
      </w:r>
      <w:proofErr w:type="spellStart"/>
      <w:r w:rsidR="00831270">
        <w:rPr>
          <w:rFonts w:ascii="Palatino Linotype" w:eastAsia="Palatino Linotype" w:hAnsi="Palatino Linotype" w:cs="Palatino Linotype"/>
          <w:b/>
        </w:rPr>
        <w:t>Xxxxx</w:t>
      </w:r>
      <w:proofErr w:type="spellEnd"/>
      <w:r w:rsidRPr="009E60F3">
        <w:rPr>
          <w:rFonts w:ascii="Palatino Linotype" w:eastAsia="Palatino Linotype" w:hAnsi="Palatino Linotype" w:cs="Palatino Linotype"/>
        </w:rPr>
        <w:t>, en lo sucesivo</w:t>
      </w:r>
      <w:r w:rsidRPr="009E60F3">
        <w:rPr>
          <w:rFonts w:ascii="Palatino Linotype" w:eastAsia="Palatino Linotype" w:hAnsi="Palatino Linotype" w:cs="Palatino Linotype"/>
          <w:b/>
        </w:rPr>
        <w:t xml:space="preserve"> </w:t>
      </w:r>
      <w:r w:rsidRPr="009E60F3">
        <w:rPr>
          <w:rFonts w:ascii="Palatino Linotype" w:eastAsia="Palatino Linotype" w:hAnsi="Palatino Linotype" w:cs="Palatino Linotype"/>
        </w:rPr>
        <w:t xml:space="preserve">la parte </w:t>
      </w:r>
      <w:r w:rsidRPr="009E60F3">
        <w:rPr>
          <w:rFonts w:ascii="Palatino Linotype" w:eastAsia="Palatino Linotype" w:hAnsi="Palatino Linotype" w:cs="Palatino Linotype"/>
          <w:b/>
        </w:rPr>
        <w:t>Recurrente,</w:t>
      </w:r>
      <w:r w:rsidRPr="009E60F3">
        <w:rPr>
          <w:rFonts w:ascii="Palatino Linotype" w:eastAsia="Palatino Linotype" w:hAnsi="Palatino Linotype" w:cs="Palatino Linotype"/>
        </w:rPr>
        <w:t xml:space="preserve"> en contra de la respuesta a su solicitud por parte del </w:t>
      </w:r>
      <w:r w:rsidRPr="009E60F3">
        <w:rPr>
          <w:rFonts w:ascii="Palatino Linotype" w:eastAsia="Palatino Linotype" w:hAnsi="Palatino Linotype" w:cs="Palatino Linotype"/>
          <w:b/>
        </w:rPr>
        <w:t xml:space="preserve">Ayuntamiento de Toluca, </w:t>
      </w:r>
      <w:r w:rsidRPr="009E60F3">
        <w:rPr>
          <w:rFonts w:ascii="Palatino Linotype" w:eastAsia="Palatino Linotype" w:hAnsi="Palatino Linotype" w:cs="Palatino Linotype"/>
        </w:rPr>
        <w:t xml:space="preserve">en lo sucesivo el </w:t>
      </w:r>
      <w:r w:rsidRPr="009E60F3">
        <w:rPr>
          <w:rFonts w:ascii="Palatino Linotype" w:eastAsia="Palatino Linotype" w:hAnsi="Palatino Linotype" w:cs="Palatino Linotype"/>
          <w:b/>
        </w:rPr>
        <w:t xml:space="preserve">Sujeto Obligado, </w:t>
      </w:r>
      <w:r w:rsidRPr="009E60F3">
        <w:rPr>
          <w:rFonts w:ascii="Palatino Linotype" w:eastAsia="Palatino Linotype" w:hAnsi="Palatino Linotype" w:cs="Palatino Linotype"/>
        </w:rPr>
        <w:t xml:space="preserve">se procede a dictar la presente resolución con base en los siguientes: </w:t>
      </w:r>
    </w:p>
    <w:p w14:paraId="36017000" w14:textId="77777777" w:rsidR="002344C9" w:rsidRPr="009E60F3" w:rsidRDefault="00D73648">
      <w:pPr>
        <w:spacing w:before="240" w:after="240" w:line="360" w:lineRule="auto"/>
        <w:jc w:val="center"/>
        <w:rPr>
          <w:rFonts w:ascii="Palatino Linotype" w:eastAsia="Palatino Linotype" w:hAnsi="Palatino Linotype" w:cs="Palatino Linotype"/>
          <w:b/>
        </w:rPr>
      </w:pPr>
      <w:r w:rsidRPr="009E60F3">
        <w:rPr>
          <w:rFonts w:ascii="Palatino Linotype" w:eastAsia="Palatino Linotype" w:hAnsi="Palatino Linotype" w:cs="Palatino Linotype"/>
          <w:b/>
        </w:rPr>
        <w:t>I. A N T E C E D E N T E S</w:t>
      </w:r>
    </w:p>
    <w:p w14:paraId="70327F7F"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b/>
        </w:rPr>
        <w:t>1. Solicitud de acceso a la información.</w:t>
      </w:r>
      <w:r w:rsidRPr="009E60F3">
        <w:rPr>
          <w:rFonts w:ascii="Palatino Linotype" w:eastAsia="Palatino Linotype" w:hAnsi="Palatino Linotype" w:cs="Palatino Linotype"/>
        </w:rPr>
        <w:t xml:space="preserve"> Con fecha </w:t>
      </w:r>
      <w:r w:rsidRPr="009E60F3">
        <w:rPr>
          <w:rFonts w:ascii="Palatino Linotype" w:eastAsia="Palatino Linotype" w:hAnsi="Palatino Linotype" w:cs="Palatino Linotype"/>
          <w:b/>
        </w:rPr>
        <w:t>cuatro de marzo dos mil veintidós,</w:t>
      </w:r>
      <w:r w:rsidRPr="009E60F3">
        <w:rPr>
          <w:rFonts w:ascii="Palatino Linotype" w:eastAsia="Palatino Linotype" w:hAnsi="Palatino Linotype" w:cs="Palatino Linotype"/>
        </w:rPr>
        <w:t xml:space="preserve"> la parte </w:t>
      </w:r>
      <w:r w:rsidRPr="009E60F3">
        <w:rPr>
          <w:rFonts w:ascii="Palatino Linotype" w:eastAsia="Palatino Linotype" w:hAnsi="Palatino Linotype" w:cs="Palatino Linotype"/>
          <w:b/>
        </w:rPr>
        <w:t xml:space="preserve">Recurrente </w:t>
      </w:r>
      <w:r w:rsidRPr="009E60F3">
        <w:rPr>
          <w:rFonts w:ascii="Palatino Linotype" w:eastAsia="Palatino Linotype" w:hAnsi="Palatino Linotype" w:cs="Palatino Linotype"/>
        </w:rPr>
        <w:t xml:space="preserve">presentó, través del Sistema de Acceso a la Información Mexiquense, en lo subsecuente el </w:t>
      </w:r>
      <w:r w:rsidRPr="009E60F3">
        <w:rPr>
          <w:rFonts w:ascii="Palatino Linotype" w:eastAsia="Palatino Linotype" w:hAnsi="Palatino Linotype" w:cs="Palatino Linotype"/>
          <w:b/>
        </w:rPr>
        <w:t>SAIMEX,</w:t>
      </w:r>
      <w:r w:rsidRPr="009E60F3">
        <w:rPr>
          <w:rFonts w:ascii="Palatino Linotype" w:eastAsia="Palatino Linotype" w:hAnsi="Palatino Linotype" w:cs="Palatino Linotype"/>
        </w:rPr>
        <w:t xml:space="preserve"> ante el </w:t>
      </w:r>
      <w:r w:rsidRPr="009E60F3">
        <w:rPr>
          <w:rFonts w:ascii="Palatino Linotype" w:eastAsia="Palatino Linotype" w:hAnsi="Palatino Linotype" w:cs="Palatino Linotype"/>
          <w:b/>
        </w:rPr>
        <w:t>Sujeto Obligado</w:t>
      </w:r>
      <w:r w:rsidRPr="009E60F3">
        <w:rPr>
          <w:rFonts w:ascii="Palatino Linotype" w:eastAsia="Palatino Linotype" w:hAnsi="Palatino Linotype" w:cs="Palatino Linotype"/>
        </w:rPr>
        <w:t>, la solicitud de acceso a la información pública, a la que se le asignó el número</w:t>
      </w:r>
      <w:r w:rsidRPr="009E60F3">
        <w:rPr>
          <w:rFonts w:ascii="Palatino Linotype" w:eastAsia="Palatino Linotype" w:hAnsi="Palatino Linotype" w:cs="Palatino Linotype"/>
          <w:b/>
        </w:rPr>
        <w:t xml:space="preserve"> 00613/TOLUCA/IP/2022, </w:t>
      </w:r>
      <w:r w:rsidRPr="009E60F3">
        <w:rPr>
          <w:rFonts w:ascii="Palatino Linotype" w:eastAsia="Palatino Linotype" w:hAnsi="Palatino Linotype" w:cs="Palatino Linotype"/>
        </w:rPr>
        <w:t xml:space="preserve">mediante la cual requirió la información siguiente: </w:t>
      </w:r>
    </w:p>
    <w:p w14:paraId="5C52209F" w14:textId="77777777" w:rsidR="002344C9" w:rsidRPr="009E60F3" w:rsidRDefault="00D73648">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9E60F3">
        <w:rPr>
          <w:rFonts w:ascii="Palatino Linotype" w:eastAsia="Palatino Linotype" w:hAnsi="Palatino Linotype" w:cs="Palatino Linotype"/>
          <w:i/>
          <w:sz w:val="22"/>
          <w:szCs w:val="22"/>
        </w:rPr>
        <w:t>“¿</w:t>
      </w:r>
      <w:proofErr w:type="spellStart"/>
      <w:r w:rsidRPr="009E60F3">
        <w:rPr>
          <w:rFonts w:ascii="Palatino Linotype" w:eastAsia="Palatino Linotype" w:hAnsi="Palatino Linotype" w:cs="Palatino Linotype"/>
          <w:i/>
          <w:sz w:val="22"/>
          <w:szCs w:val="22"/>
        </w:rPr>
        <w:t>Cuanto</w:t>
      </w:r>
      <w:proofErr w:type="spellEnd"/>
      <w:r w:rsidRPr="009E60F3">
        <w:rPr>
          <w:rFonts w:ascii="Palatino Linotype" w:eastAsia="Palatino Linotype" w:hAnsi="Palatino Linotype" w:cs="Palatino Linotype"/>
          <w:i/>
          <w:sz w:val="22"/>
          <w:szCs w:val="22"/>
        </w:rPr>
        <w:t xml:space="preserve"> va a costar y de </w:t>
      </w:r>
      <w:proofErr w:type="spellStart"/>
      <w:r w:rsidRPr="009E60F3">
        <w:rPr>
          <w:rFonts w:ascii="Palatino Linotype" w:eastAsia="Palatino Linotype" w:hAnsi="Palatino Linotype" w:cs="Palatino Linotype"/>
          <w:i/>
          <w:sz w:val="22"/>
          <w:szCs w:val="22"/>
        </w:rPr>
        <w:t>que</w:t>
      </w:r>
      <w:proofErr w:type="spellEnd"/>
      <w:r w:rsidRPr="009E60F3">
        <w:rPr>
          <w:rFonts w:ascii="Palatino Linotype" w:eastAsia="Palatino Linotype" w:hAnsi="Palatino Linotype" w:cs="Palatino Linotype"/>
          <w:i/>
          <w:sz w:val="22"/>
          <w:szCs w:val="22"/>
        </w:rPr>
        <w:t xml:space="preserve"> partido presupuestal va a salir? la dinámica de baile para ganar una cena con tu pareja o amigos, organizada por la Dirección de Juventud.” (sic)</w:t>
      </w:r>
    </w:p>
    <w:p w14:paraId="55BA6CC5" w14:textId="77777777" w:rsidR="002344C9" w:rsidRPr="009E60F3" w:rsidRDefault="00D73648">
      <w:pPr>
        <w:spacing w:before="240" w:after="240" w:line="360" w:lineRule="auto"/>
        <w:ind w:right="900"/>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La parte </w:t>
      </w:r>
      <w:r w:rsidRPr="009E60F3">
        <w:rPr>
          <w:rFonts w:ascii="Palatino Linotype" w:eastAsia="Palatino Linotype" w:hAnsi="Palatino Linotype" w:cs="Palatino Linotype"/>
          <w:b/>
        </w:rPr>
        <w:t>Recurrente</w:t>
      </w:r>
      <w:r w:rsidRPr="009E60F3">
        <w:rPr>
          <w:rFonts w:ascii="Palatino Linotype" w:eastAsia="Palatino Linotype" w:hAnsi="Palatino Linotype" w:cs="Palatino Linotype"/>
        </w:rPr>
        <w:t xml:space="preserve"> no adjuntó archivos.</w:t>
      </w:r>
    </w:p>
    <w:p w14:paraId="6BEBA8D1"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b/>
        </w:rPr>
        <w:t>Modalidad de Entrega:</w:t>
      </w:r>
      <w:r w:rsidRPr="009E60F3">
        <w:rPr>
          <w:rFonts w:ascii="Palatino Linotype" w:eastAsia="Palatino Linotype" w:hAnsi="Palatino Linotype" w:cs="Palatino Linotype"/>
        </w:rPr>
        <w:t xml:space="preserve"> A través de SAIMEX.</w:t>
      </w:r>
    </w:p>
    <w:p w14:paraId="4AB83F4E"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b/>
        </w:rPr>
        <w:lastRenderedPageBreak/>
        <w:t xml:space="preserve">2. Respuesta. </w:t>
      </w:r>
      <w:r w:rsidRPr="009E60F3">
        <w:rPr>
          <w:rFonts w:ascii="Palatino Linotype" w:eastAsia="Palatino Linotype" w:hAnsi="Palatino Linotype" w:cs="Palatino Linotype"/>
        </w:rPr>
        <w:t>Con fecha</w:t>
      </w:r>
      <w:r w:rsidRPr="009E60F3">
        <w:rPr>
          <w:rFonts w:ascii="Palatino Linotype" w:eastAsia="Palatino Linotype" w:hAnsi="Palatino Linotype" w:cs="Palatino Linotype"/>
          <w:b/>
        </w:rPr>
        <w:t xml:space="preserve"> veintiocho de marzo de dos mil veintidós</w:t>
      </w:r>
      <w:r w:rsidRPr="009E60F3">
        <w:rPr>
          <w:rFonts w:ascii="Palatino Linotype" w:eastAsia="Palatino Linotype" w:hAnsi="Palatino Linotype" w:cs="Palatino Linotype"/>
        </w:rPr>
        <w:t xml:space="preserve">, el </w:t>
      </w:r>
      <w:r w:rsidRPr="009E60F3">
        <w:rPr>
          <w:rFonts w:ascii="Palatino Linotype" w:eastAsia="Palatino Linotype" w:hAnsi="Palatino Linotype" w:cs="Palatino Linotype"/>
          <w:b/>
        </w:rPr>
        <w:t xml:space="preserve">Sujeto Obligado </w:t>
      </w:r>
      <w:r w:rsidRPr="009E60F3">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19616409" w14:textId="77777777" w:rsidR="002344C9" w:rsidRPr="009E60F3" w:rsidRDefault="00D73648">
      <w:pPr>
        <w:spacing w:before="240" w:after="240"/>
        <w:ind w:left="851" w:right="902"/>
        <w:jc w:val="both"/>
        <w:rPr>
          <w:rFonts w:ascii="Palatino Linotype" w:eastAsia="Palatino Linotype" w:hAnsi="Palatino Linotype" w:cs="Palatino Linotype"/>
          <w:i/>
          <w:sz w:val="22"/>
          <w:szCs w:val="22"/>
        </w:rPr>
      </w:pPr>
      <w:r w:rsidRPr="009E60F3">
        <w:rPr>
          <w:rFonts w:ascii="Palatino Linotype" w:eastAsia="Palatino Linotype" w:hAnsi="Palatino Linotype" w:cs="Palatino Linotype"/>
          <w:i/>
          <w:sz w:val="22"/>
          <w:szCs w:val="22"/>
        </w:rPr>
        <w:t>“…me permito adjuntar al presente la respuesta correspondiente...” (sic)</w:t>
      </w:r>
    </w:p>
    <w:p w14:paraId="484778CC" w14:textId="77777777" w:rsidR="002344C9" w:rsidRPr="009E60F3" w:rsidRDefault="00D73648">
      <w:pPr>
        <w:spacing w:before="240" w:after="240" w:line="360" w:lineRule="auto"/>
        <w:ind w:right="49"/>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El </w:t>
      </w:r>
      <w:r w:rsidRPr="009E60F3">
        <w:rPr>
          <w:rFonts w:ascii="Palatino Linotype" w:eastAsia="Palatino Linotype" w:hAnsi="Palatino Linotype" w:cs="Palatino Linotype"/>
          <w:b/>
        </w:rPr>
        <w:t>Sujeto Obligado</w:t>
      </w:r>
      <w:r w:rsidRPr="009E60F3">
        <w:rPr>
          <w:rFonts w:ascii="Palatino Linotype" w:eastAsia="Palatino Linotype" w:hAnsi="Palatino Linotype" w:cs="Palatino Linotype"/>
        </w:rPr>
        <w:t xml:space="preserve"> adjuntó el archivo: </w:t>
      </w:r>
    </w:p>
    <w:p w14:paraId="78F2078B" w14:textId="77777777" w:rsidR="002344C9" w:rsidRPr="009E60F3" w:rsidRDefault="00D73648">
      <w:pPr>
        <w:spacing w:before="240" w:after="240" w:line="360" w:lineRule="auto"/>
        <w:ind w:right="49"/>
        <w:jc w:val="both"/>
        <w:rPr>
          <w:rFonts w:ascii="Palatino Linotype" w:eastAsia="Palatino Linotype" w:hAnsi="Palatino Linotype" w:cs="Palatino Linotype"/>
        </w:rPr>
      </w:pPr>
      <w:r w:rsidRPr="009E60F3">
        <w:rPr>
          <w:rFonts w:ascii="Palatino Linotype" w:eastAsia="Palatino Linotype" w:hAnsi="Palatino Linotype" w:cs="Palatino Linotype"/>
          <w:i/>
        </w:rPr>
        <w:t>- “</w:t>
      </w:r>
      <w:proofErr w:type="spellStart"/>
      <w:r w:rsidRPr="009E60F3">
        <w:rPr>
          <w:rFonts w:ascii="Palatino Linotype" w:eastAsia="Palatino Linotype" w:hAnsi="Palatino Linotype" w:cs="Palatino Linotype"/>
          <w:i/>
        </w:rPr>
        <w:t>Saimex</w:t>
      </w:r>
      <w:proofErr w:type="spellEnd"/>
      <w:r w:rsidRPr="009E60F3">
        <w:rPr>
          <w:rFonts w:ascii="Palatino Linotype" w:eastAsia="Palatino Linotype" w:hAnsi="Palatino Linotype" w:cs="Palatino Linotype"/>
          <w:i/>
        </w:rPr>
        <w:t xml:space="preserve"> 00613.pdf”, </w:t>
      </w:r>
      <w:r w:rsidRPr="009E60F3">
        <w:rPr>
          <w:rFonts w:ascii="Palatino Linotype" w:eastAsia="Palatino Linotype" w:hAnsi="Palatino Linotype" w:cs="Palatino Linotype"/>
        </w:rPr>
        <w:t xml:space="preserve">que contiene el escrito de fecha veintiocho de marzo de dos mil veintidós, signado por la Titular de la Unidad de Transparencia, mediante el cual hace del conocimiento de la particular el pronunciamiento vertido por el Director de Desarrollo Social en atención a la solicitud de información, quien después de realizar la búsqueda exhaustiva y minuciosa, informó que el evento denominado Dance </w:t>
      </w:r>
      <w:proofErr w:type="spellStart"/>
      <w:r w:rsidRPr="009E60F3">
        <w:rPr>
          <w:rFonts w:ascii="Palatino Linotype" w:eastAsia="Palatino Linotype" w:hAnsi="Palatino Linotype" w:cs="Palatino Linotype"/>
        </w:rPr>
        <w:t>On</w:t>
      </w:r>
      <w:proofErr w:type="spellEnd"/>
      <w:r w:rsidRPr="009E60F3">
        <w:rPr>
          <w:rFonts w:ascii="Palatino Linotype" w:eastAsia="Palatino Linotype" w:hAnsi="Palatino Linotype" w:cs="Palatino Linotype"/>
        </w:rPr>
        <w:t xml:space="preserve">, no tenía costo para la ciudadanía en general, ya que las actividades que oferta dicha dependencia son gratuitas, asimismo, refirió que la partida presupuestal a la que dicho evento pertenece es la </w:t>
      </w:r>
      <w:r w:rsidRPr="009E60F3">
        <w:rPr>
          <w:rFonts w:ascii="Palatino Linotype" w:eastAsia="Palatino Linotype" w:hAnsi="Palatino Linotype" w:cs="Palatino Linotype"/>
          <w:b/>
          <w:u w:val="single"/>
        </w:rPr>
        <w:t>clave presupuestal</w:t>
      </w:r>
      <w:r w:rsidRPr="009E60F3">
        <w:rPr>
          <w:rFonts w:ascii="Palatino Linotype" w:eastAsia="Palatino Linotype" w:hAnsi="Palatino Linotype" w:cs="Palatino Linotype"/>
        </w:rPr>
        <w:t xml:space="preserve"> I01 143 02 06 08 06 02 01 E: Expresión Juvenil. </w:t>
      </w:r>
    </w:p>
    <w:p w14:paraId="78184CBD" w14:textId="77777777" w:rsidR="002344C9" w:rsidRPr="009E60F3" w:rsidRDefault="00D73648">
      <w:pPr>
        <w:spacing w:before="240" w:after="240" w:line="360" w:lineRule="auto"/>
        <w:ind w:right="49"/>
        <w:jc w:val="both"/>
        <w:rPr>
          <w:rFonts w:ascii="Palatino Linotype" w:eastAsia="Palatino Linotype" w:hAnsi="Palatino Linotype" w:cs="Palatino Linotype"/>
        </w:rPr>
      </w:pPr>
      <w:r w:rsidRPr="009E60F3">
        <w:rPr>
          <w:rFonts w:ascii="Palatino Linotype" w:eastAsia="Palatino Linotype" w:hAnsi="Palatino Linotype" w:cs="Palatino Linotype"/>
          <w:b/>
        </w:rPr>
        <w:t xml:space="preserve">3. Interposición del recurso de revisión. </w:t>
      </w:r>
      <w:r w:rsidRPr="009E60F3">
        <w:rPr>
          <w:rFonts w:ascii="Palatino Linotype" w:eastAsia="Palatino Linotype" w:hAnsi="Palatino Linotype" w:cs="Palatino Linotype"/>
        </w:rPr>
        <w:t xml:space="preserve">Inconforme con los términos de la respuesta emitida por parte del </w:t>
      </w:r>
      <w:r w:rsidRPr="009E60F3">
        <w:rPr>
          <w:rFonts w:ascii="Palatino Linotype" w:eastAsia="Palatino Linotype" w:hAnsi="Palatino Linotype" w:cs="Palatino Linotype"/>
          <w:b/>
        </w:rPr>
        <w:t>Sujeto Obligado</w:t>
      </w:r>
      <w:r w:rsidRPr="009E60F3">
        <w:rPr>
          <w:rFonts w:ascii="Palatino Linotype" w:eastAsia="Palatino Linotype" w:hAnsi="Palatino Linotype" w:cs="Palatino Linotype"/>
        </w:rPr>
        <w:t xml:space="preserve">, el </w:t>
      </w:r>
      <w:r w:rsidRPr="009E60F3">
        <w:rPr>
          <w:rFonts w:ascii="Palatino Linotype" w:eastAsia="Palatino Linotype" w:hAnsi="Palatino Linotype" w:cs="Palatino Linotype"/>
          <w:b/>
        </w:rPr>
        <w:t>veintiocho</w:t>
      </w:r>
      <w:r w:rsidRPr="009E60F3">
        <w:rPr>
          <w:rFonts w:ascii="Palatino Linotype" w:eastAsia="Palatino Linotype" w:hAnsi="Palatino Linotype" w:cs="Palatino Linotype"/>
        </w:rPr>
        <w:t xml:space="preserve"> </w:t>
      </w:r>
      <w:r w:rsidRPr="009E60F3">
        <w:rPr>
          <w:rFonts w:ascii="Palatino Linotype" w:eastAsia="Palatino Linotype" w:hAnsi="Palatino Linotype" w:cs="Palatino Linotype"/>
          <w:b/>
        </w:rPr>
        <w:t>de marzo de dos mil veintidós,</w:t>
      </w:r>
      <w:r w:rsidRPr="009E60F3">
        <w:rPr>
          <w:rFonts w:ascii="Palatino Linotype" w:eastAsia="Palatino Linotype" w:hAnsi="Palatino Linotype" w:cs="Palatino Linotype"/>
        </w:rPr>
        <w:t xml:space="preserve"> la parte </w:t>
      </w:r>
      <w:r w:rsidRPr="009E60F3">
        <w:rPr>
          <w:rFonts w:ascii="Palatino Linotype" w:eastAsia="Palatino Linotype" w:hAnsi="Palatino Linotype" w:cs="Palatino Linotype"/>
          <w:b/>
        </w:rPr>
        <w:t>Recurrente</w:t>
      </w:r>
      <w:r w:rsidRPr="009E60F3">
        <w:rPr>
          <w:rFonts w:ascii="Palatino Linotype" w:eastAsia="Palatino Linotype" w:hAnsi="Palatino Linotype" w:cs="Palatino Linotype"/>
        </w:rPr>
        <w:t xml:space="preserve"> interpuso el recurso de revisión a través de </w:t>
      </w:r>
      <w:r w:rsidRPr="009E60F3">
        <w:rPr>
          <w:rFonts w:ascii="Palatino Linotype" w:eastAsia="Palatino Linotype" w:hAnsi="Palatino Linotype" w:cs="Palatino Linotype"/>
          <w:b/>
        </w:rPr>
        <w:t xml:space="preserve">SAIMEX, </w:t>
      </w:r>
      <w:r w:rsidRPr="009E60F3">
        <w:rPr>
          <w:rFonts w:ascii="Palatino Linotype" w:eastAsia="Palatino Linotype" w:hAnsi="Palatino Linotype" w:cs="Palatino Linotype"/>
        </w:rPr>
        <w:t>en donde se manifestó de la siguiente manera:</w:t>
      </w:r>
    </w:p>
    <w:p w14:paraId="5744E891" w14:textId="77777777" w:rsidR="002344C9" w:rsidRPr="009E60F3" w:rsidRDefault="00D73648">
      <w:pPr>
        <w:tabs>
          <w:tab w:val="left" w:pos="2745"/>
        </w:tabs>
        <w:spacing w:before="240" w:after="240" w:line="360" w:lineRule="auto"/>
        <w:jc w:val="both"/>
        <w:rPr>
          <w:rFonts w:ascii="Palatino Linotype" w:eastAsia="Palatino Linotype" w:hAnsi="Palatino Linotype" w:cs="Palatino Linotype"/>
          <w:b/>
        </w:rPr>
      </w:pPr>
      <w:r w:rsidRPr="009E60F3">
        <w:rPr>
          <w:rFonts w:ascii="Palatino Linotype" w:eastAsia="Palatino Linotype" w:hAnsi="Palatino Linotype" w:cs="Palatino Linotype"/>
          <w:b/>
        </w:rPr>
        <w:t xml:space="preserve">Acto impugnado: </w:t>
      </w:r>
    </w:p>
    <w:p w14:paraId="099AF0E6" w14:textId="77777777" w:rsidR="002344C9" w:rsidRPr="009E60F3" w:rsidRDefault="00D73648">
      <w:pPr>
        <w:tabs>
          <w:tab w:val="left" w:pos="2745"/>
        </w:tabs>
        <w:spacing w:before="240" w:after="240" w:line="360" w:lineRule="auto"/>
        <w:ind w:left="851"/>
        <w:jc w:val="both"/>
        <w:rPr>
          <w:rFonts w:ascii="Palatino Linotype" w:eastAsia="Palatino Linotype" w:hAnsi="Palatino Linotype" w:cs="Palatino Linotype"/>
          <w:i/>
          <w:sz w:val="22"/>
          <w:szCs w:val="22"/>
        </w:rPr>
      </w:pPr>
      <w:r w:rsidRPr="009E60F3">
        <w:rPr>
          <w:rFonts w:ascii="Palatino Linotype" w:eastAsia="Palatino Linotype" w:hAnsi="Palatino Linotype" w:cs="Palatino Linotype"/>
          <w:i/>
          <w:sz w:val="22"/>
          <w:szCs w:val="22"/>
        </w:rPr>
        <w:t>“LA RESPUESTA.” (sic)</w:t>
      </w:r>
    </w:p>
    <w:p w14:paraId="18186273" w14:textId="77777777" w:rsidR="002344C9" w:rsidRPr="009E60F3" w:rsidRDefault="00D73648">
      <w:pPr>
        <w:spacing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b/>
        </w:rPr>
        <w:t>Y Razones o motivos de inconformidad</w:t>
      </w:r>
      <w:r w:rsidRPr="009E60F3">
        <w:rPr>
          <w:rFonts w:ascii="Palatino Linotype" w:eastAsia="Palatino Linotype" w:hAnsi="Palatino Linotype" w:cs="Palatino Linotype"/>
        </w:rPr>
        <w:t>:</w:t>
      </w:r>
    </w:p>
    <w:p w14:paraId="7A85A6C6" w14:textId="77777777" w:rsidR="002344C9" w:rsidRPr="009E60F3" w:rsidRDefault="00D73648">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9E60F3">
        <w:rPr>
          <w:rFonts w:ascii="Palatino Linotype" w:eastAsia="Palatino Linotype" w:hAnsi="Palatino Linotype" w:cs="Palatino Linotype"/>
          <w:i/>
          <w:sz w:val="22"/>
          <w:szCs w:val="22"/>
        </w:rPr>
        <w:t xml:space="preserve"> “RESPUESTA INCOMPLETA.” (sic)</w:t>
      </w:r>
    </w:p>
    <w:p w14:paraId="745BE154" w14:textId="77777777" w:rsidR="002344C9" w:rsidRPr="009E60F3" w:rsidRDefault="00D73648">
      <w:pPr>
        <w:spacing w:before="240" w:after="240" w:line="360" w:lineRule="auto"/>
        <w:ind w:right="51"/>
        <w:jc w:val="both"/>
        <w:rPr>
          <w:rFonts w:ascii="Palatino Linotype" w:eastAsia="Palatino Linotype" w:hAnsi="Palatino Linotype" w:cs="Palatino Linotype"/>
        </w:rPr>
      </w:pPr>
      <w:r w:rsidRPr="009E60F3">
        <w:rPr>
          <w:rFonts w:ascii="Palatino Linotype" w:eastAsia="Palatino Linotype" w:hAnsi="Palatino Linotype" w:cs="Palatino Linotype"/>
          <w:b/>
        </w:rPr>
        <w:lastRenderedPageBreak/>
        <w:t xml:space="preserve">Anexos: </w:t>
      </w:r>
      <w:r w:rsidRPr="009E60F3">
        <w:rPr>
          <w:rFonts w:ascii="Palatino Linotype" w:eastAsia="Palatino Linotype" w:hAnsi="Palatino Linotype" w:cs="Palatino Linotype"/>
        </w:rPr>
        <w:t xml:space="preserve">La parte </w:t>
      </w:r>
      <w:r w:rsidRPr="009E60F3">
        <w:rPr>
          <w:rFonts w:ascii="Palatino Linotype" w:eastAsia="Palatino Linotype" w:hAnsi="Palatino Linotype" w:cs="Palatino Linotype"/>
          <w:b/>
        </w:rPr>
        <w:t>Recurrente</w:t>
      </w:r>
      <w:r w:rsidRPr="009E60F3">
        <w:rPr>
          <w:rFonts w:ascii="Palatino Linotype" w:eastAsia="Palatino Linotype" w:hAnsi="Palatino Linotype" w:cs="Palatino Linotype"/>
        </w:rPr>
        <w:t xml:space="preserve"> no adjuntó archivos.</w:t>
      </w:r>
    </w:p>
    <w:p w14:paraId="03E046D6" w14:textId="77777777" w:rsidR="002344C9" w:rsidRPr="009E60F3" w:rsidRDefault="00D73648">
      <w:pPr>
        <w:spacing w:before="240" w:after="240" w:line="360" w:lineRule="auto"/>
        <w:ind w:right="51"/>
        <w:jc w:val="both"/>
        <w:rPr>
          <w:rFonts w:ascii="Palatino Linotype" w:eastAsia="Palatino Linotype" w:hAnsi="Palatino Linotype" w:cs="Palatino Linotype"/>
        </w:rPr>
      </w:pPr>
      <w:r w:rsidRPr="009E60F3">
        <w:rPr>
          <w:rFonts w:ascii="Palatino Linotype" w:eastAsia="Palatino Linotype" w:hAnsi="Palatino Linotype" w:cs="Palatino Linotype"/>
          <w:b/>
        </w:rPr>
        <w:t xml:space="preserve">4. Turno. </w:t>
      </w:r>
      <w:r w:rsidRPr="009E60F3">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9E60F3">
        <w:rPr>
          <w:rFonts w:ascii="Palatino Linotype" w:eastAsia="Palatino Linotype" w:hAnsi="Palatino Linotype" w:cs="Palatino Linotype"/>
          <w:b/>
        </w:rPr>
        <w:t xml:space="preserve">Guadalupe Ramírez Peña, </w:t>
      </w:r>
      <w:r w:rsidRPr="009E60F3">
        <w:rPr>
          <w:rFonts w:ascii="Palatino Linotype" w:eastAsia="Palatino Linotype" w:hAnsi="Palatino Linotype" w:cs="Palatino Linotype"/>
        </w:rPr>
        <w:t xml:space="preserve">a efecto de que analizara sobre su admisión o su </w:t>
      </w:r>
      <w:proofErr w:type="spellStart"/>
      <w:r w:rsidRPr="009E60F3">
        <w:rPr>
          <w:rFonts w:ascii="Palatino Linotype" w:eastAsia="Palatino Linotype" w:hAnsi="Palatino Linotype" w:cs="Palatino Linotype"/>
        </w:rPr>
        <w:t>desechamiento</w:t>
      </w:r>
      <w:proofErr w:type="spellEnd"/>
      <w:r w:rsidRPr="009E60F3">
        <w:rPr>
          <w:rFonts w:ascii="Palatino Linotype" w:eastAsia="Palatino Linotype" w:hAnsi="Palatino Linotype" w:cs="Palatino Linotype"/>
        </w:rPr>
        <w:t>.</w:t>
      </w:r>
    </w:p>
    <w:p w14:paraId="4E0A21D6"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b/>
        </w:rPr>
        <w:t>5. Admisión del Recurso de revisión.</w:t>
      </w:r>
      <w:r w:rsidRPr="009E60F3">
        <w:rPr>
          <w:rFonts w:ascii="Palatino Linotype" w:eastAsia="Palatino Linotype" w:hAnsi="Palatino Linotype" w:cs="Palatino Linotype"/>
        </w:rPr>
        <w:t xml:space="preserve"> Con fecha</w:t>
      </w:r>
      <w:r w:rsidRPr="009E60F3">
        <w:rPr>
          <w:rFonts w:ascii="Palatino Linotype" w:eastAsia="Palatino Linotype" w:hAnsi="Palatino Linotype" w:cs="Palatino Linotype"/>
          <w:b/>
        </w:rPr>
        <w:t xml:space="preserve"> treinta y uno de marzo de dos mil veintidós, </w:t>
      </w:r>
      <w:r w:rsidRPr="009E60F3">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9E60F3">
        <w:rPr>
          <w:rFonts w:ascii="Palatino Linotype" w:eastAsia="Palatino Linotype" w:hAnsi="Palatino Linotype" w:cs="Palatino Linotype"/>
          <w:b/>
        </w:rPr>
        <w:t xml:space="preserve">Sujeto Obligado </w:t>
      </w:r>
      <w:r w:rsidRPr="009E60F3">
        <w:rPr>
          <w:rFonts w:ascii="Palatino Linotype" w:eastAsia="Palatino Linotype" w:hAnsi="Palatino Linotype" w:cs="Palatino Linotype"/>
        </w:rPr>
        <w:t>presentara su informe justificado.</w:t>
      </w:r>
    </w:p>
    <w:p w14:paraId="75C0DB04" w14:textId="77777777" w:rsidR="002344C9" w:rsidRPr="009E60F3" w:rsidRDefault="00D73648">
      <w:pPr>
        <w:spacing w:after="240" w:line="360" w:lineRule="auto"/>
        <w:jc w:val="both"/>
        <w:rPr>
          <w:rFonts w:ascii="Palatino Linotype" w:eastAsia="Palatino Linotype" w:hAnsi="Palatino Linotype" w:cs="Palatino Linotype"/>
        </w:rPr>
      </w:pPr>
      <w:bookmarkStart w:id="2" w:name="_heading=h.2s8eyo1" w:colFirst="0" w:colLast="0"/>
      <w:bookmarkEnd w:id="2"/>
      <w:r w:rsidRPr="009E60F3">
        <w:rPr>
          <w:rFonts w:ascii="Palatino Linotype" w:eastAsia="Palatino Linotype" w:hAnsi="Palatino Linotype" w:cs="Palatino Linotype"/>
          <w:b/>
        </w:rPr>
        <w:t>6. Manifestaciones</w:t>
      </w:r>
      <w:r w:rsidRPr="009E60F3">
        <w:rPr>
          <w:rFonts w:ascii="Palatino Linotype" w:eastAsia="Palatino Linotype" w:hAnsi="Palatino Linotype" w:cs="Palatino Linotype"/>
        </w:rPr>
        <w:t xml:space="preserve">. En fecha </w:t>
      </w:r>
      <w:r w:rsidRPr="009E60F3">
        <w:rPr>
          <w:rFonts w:ascii="Palatino Linotype" w:eastAsia="Palatino Linotype" w:hAnsi="Palatino Linotype" w:cs="Palatino Linotype"/>
          <w:b/>
        </w:rPr>
        <w:t xml:space="preserve">ocho de abril de dos mil veintidós, </w:t>
      </w:r>
      <w:r w:rsidRPr="009E60F3">
        <w:rPr>
          <w:rFonts w:ascii="Palatino Linotype" w:eastAsia="Palatino Linotype" w:hAnsi="Palatino Linotype" w:cs="Palatino Linotype"/>
        </w:rPr>
        <w:t xml:space="preserve">el </w:t>
      </w:r>
      <w:r w:rsidRPr="009E60F3">
        <w:rPr>
          <w:rFonts w:ascii="Palatino Linotype" w:eastAsia="Palatino Linotype" w:hAnsi="Palatino Linotype" w:cs="Palatino Linotype"/>
          <w:b/>
        </w:rPr>
        <w:t xml:space="preserve">Sujeto Obligado </w:t>
      </w:r>
      <w:r w:rsidRPr="009E60F3">
        <w:rPr>
          <w:rFonts w:ascii="Palatino Linotype" w:eastAsia="Palatino Linotype" w:hAnsi="Palatino Linotype" w:cs="Palatino Linotype"/>
        </w:rPr>
        <w:t>remitió, a través del SAIMEX, su informe justificado, mediante el cual ratifica en lo sustancial la respuesta proporcionada en primera instancia, asimismo, respecto del motivo de inconformidad aducido por el particular, indicó que la Unidad de Transparencia tuvo a bien garantizar que la solicitud se turnara al área competente que cuente con la información o deban tenerla de acuerdo a sus facultades, competencias y funciones, con el objeto de que realice una búsqueda exhaustiva y razonable de la información solicitada, acreditándolo con la captura de pantalla del apartado de requerimientos del SAIMEX.</w:t>
      </w:r>
    </w:p>
    <w:p w14:paraId="029F2536" w14:textId="77777777" w:rsidR="002344C9" w:rsidRPr="009E60F3" w:rsidRDefault="00D73648">
      <w:pPr>
        <w:spacing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lastRenderedPageBreak/>
        <w:t xml:space="preserve">Documento que, una vez analizado, se hizo del conocimiento de la parte </w:t>
      </w:r>
      <w:r w:rsidRPr="009E60F3">
        <w:rPr>
          <w:rFonts w:ascii="Palatino Linotype" w:eastAsia="Palatino Linotype" w:hAnsi="Palatino Linotype" w:cs="Palatino Linotype"/>
          <w:b/>
        </w:rPr>
        <w:t>Recurrente</w:t>
      </w:r>
      <w:r w:rsidRPr="009E60F3">
        <w:rPr>
          <w:rFonts w:ascii="Palatino Linotype" w:eastAsia="Palatino Linotype" w:hAnsi="Palatino Linotype" w:cs="Palatino Linotype"/>
        </w:rPr>
        <w:t xml:space="preserve"> a efecto de que manifestara lo que a su derecho estimara conveniente, sin embargo, fue omisa en ejercer dicha prerrogativa en el plazo establecido para tal efecto.</w:t>
      </w:r>
    </w:p>
    <w:p w14:paraId="2E634CBA" w14:textId="77777777" w:rsidR="002344C9" w:rsidRPr="009E60F3" w:rsidRDefault="00D73648">
      <w:pPr>
        <w:spacing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b/>
        </w:rPr>
        <w:t>7. Ampliación del término para resolver</w:t>
      </w:r>
      <w:r w:rsidRPr="009E60F3">
        <w:rPr>
          <w:rFonts w:ascii="Palatino Linotype" w:eastAsia="Palatino Linotype" w:hAnsi="Palatino Linotype" w:cs="Palatino Linotype"/>
        </w:rPr>
        <w:t xml:space="preserve">. En fecha </w:t>
      </w:r>
      <w:r w:rsidRPr="009E60F3">
        <w:rPr>
          <w:rFonts w:ascii="Palatino Linotype" w:eastAsia="Palatino Linotype" w:hAnsi="Palatino Linotype" w:cs="Palatino Linotype"/>
          <w:b/>
        </w:rPr>
        <w:t>veinte de mayo de dos mil veintidós</w:t>
      </w:r>
      <w:r w:rsidRPr="009E60F3">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328359AF" w14:textId="77777777" w:rsidR="00BA1185" w:rsidRPr="009E60F3" w:rsidRDefault="00BA1185" w:rsidP="00BA1185">
      <w:pPr>
        <w:spacing w:before="240" w:after="240" w:line="360" w:lineRule="auto"/>
        <w:jc w:val="both"/>
        <w:rPr>
          <w:rFonts w:ascii="Palatino Linotype" w:eastAsia="Palatino Linotype" w:hAnsi="Palatino Linotype" w:cs="Palatino Linotype"/>
        </w:rPr>
      </w:pPr>
      <w:bookmarkStart w:id="3" w:name="_heading=h.17dp8vu" w:colFirst="0" w:colLast="0"/>
      <w:bookmarkEnd w:id="3"/>
      <w:r w:rsidRPr="009E60F3">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4145E72" w14:textId="77777777" w:rsidR="00BA1185" w:rsidRPr="009E60F3" w:rsidRDefault="00BA1185" w:rsidP="00BA1185">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C782D61" w14:textId="77777777" w:rsidR="00BA1185" w:rsidRPr="009E60F3" w:rsidRDefault="00BA1185" w:rsidP="00BA1185">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w:t>
      </w:r>
      <w:r w:rsidRPr="009E60F3">
        <w:rPr>
          <w:rFonts w:ascii="Palatino Linotype" w:eastAsia="Palatino Linotype" w:hAnsi="Palatino Linotype" w:cs="Palatino Linotype"/>
        </w:rPr>
        <w:lastRenderedPageBreak/>
        <w:t>en el menor tiempo posible, tomando en consideración la dilación total del procedimiento; esto es, en un plazo razonable.</w:t>
      </w:r>
    </w:p>
    <w:p w14:paraId="3971C6B8" w14:textId="77777777" w:rsidR="00BA1185" w:rsidRPr="009E60F3" w:rsidRDefault="00BA1185" w:rsidP="00BA1185">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CE14A92" w14:textId="77777777" w:rsidR="00BA1185" w:rsidRPr="009E60F3" w:rsidRDefault="00BA1185" w:rsidP="00BA1185">
      <w:pPr>
        <w:spacing w:before="240" w:after="240" w:line="360" w:lineRule="auto"/>
        <w:jc w:val="both"/>
        <w:rPr>
          <w:rFonts w:ascii="Palatino Linotype" w:eastAsia="Palatino Linotype" w:hAnsi="Palatino Linotype" w:cs="Palatino Linotype"/>
          <w:strike/>
        </w:rPr>
      </w:pPr>
      <w:r w:rsidRPr="009E60F3">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9F6B90D" w14:textId="77777777" w:rsidR="00BA1185" w:rsidRPr="009E60F3" w:rsidRDefault="00BA1185" w:rsidP="00BA1185">
      <w:pPr>
        <w:numPr>
          <w:ilvl w:val="0"/>
          <w:numId w:val="8"/>
        </w:numPr>
        <w:tabs>
          <w:tab w:val="left" w:pos="993"/>
        </w:tabs>
        <w:spacing w:before="240" w:after="240" w:line="360" w:lineRule="auto"/>
        <w:ind w:left="567" w:firstLine="0"/>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92604C9" w14:textId="77777777" w:rsidR="00BA1185" w:rsidRPr="009E60F3" w:rsidRDefault="00BA1185" w:rsidP="00BA1185">
      <w:pPr>
        <w:numPr>
          <w:ilvl w:val="0"/>
          <w:numId w:val="8"/>
        </w:numPr>
        <w:tabs>
          <w:tab w:val="left" w:pos="993"/>
        </w:tabs>
        <w:spacing w:before="240" w:after="240" w:line="360" w:lineRule="auto"/>
        <w:ind w:left="567" w:firstLine="0"/>
        <w:jc w:val="both"/>
        <w:rPr>
          <w:rFonts w:ascii="Palatino Linotype" w:eastAsia="Palatino Linotype" w:hAnsi="Palatino Linotype" w:cs="Palatino Linotype"/>
        </w:rPr>
      </w:pPr>
      <w:r w:rsidRPr="009E60F3">
        <w:rPr>
          <w:rFonts w:ascii="Palatino Linotype" w:eastAsia="Palatino Linotype" w:hAnsi="Palatino Linotype" w:cs="Palatino Linotype"/>
        </w:rPr>
        <w:t>Actividad Procesal del interesado. Acciones u omisiones del interesado.</w:t>
      </w:r>
    </w:p>
    <w:p w14:paraId="62925D6C" w14:textId="77777777" w:rsidR="00BA1185" w:rsidRPr="009E60F3" w:rsidRDefault="00BA1185" w:rsidP="00BA1185">
      <w:pPr>
        <w:numPr>
          <w:ilvl w:val="0"/>
          <w:numId w:val="8"/>
        </w:numPr>
        <w:tabs>
          <w:tab w:val="left" w:pos="993"/>
        </w:tabs>
        <w:spacing w:before="240" w:after="240" w:line="360" w:lineRule="auto"/>
        <w:ind w:left="567" w:firstLine="0"/>
        <w:jc w:val="both"/>
        <w:rPr>
          <w:rFonts w:ascii="Palatino Linotype" w:eastAsia="Palatino Linotype" w:hAnsi="Palatino Linotype" w:cs="Palatino Linotype"/>
        </w:rPr>
      </w:pPr>
      <w:r w:rsidRPr="009E60F3">
        <w:rPr>
          <w:rFonts w:ascii="Palatino Linotype" w:eastAsia="Palatino Linotype" w:hAnsi="Palatino Linotype" w:cs="Palatino Linotype"/>
        </w:rPr>
        <w:t>Conducta de la Autoridad: Las Acciones u omisiones realizadas en el procedimiento. Así como si la autoridad actuó con la debida diligencia.</w:t>
      </w:r>
    </w:p>
    <w:p w14:paraId="2416E03D" w14:textId="77777777" w:rsidR="00BA1185" w:rsidRPr="009E60F3" w:rsidRDefault="00BA1185" w:rsidP="00BA1185">
      <w:pPr>
        <w:numPr>
          <w:ilvl w:val="0"/>
          <w:numId w:val="8"/>
        </w:numPr>
        <w:tabs>
          <w:tab w:val="left" w:pos="993"/>
        </w:tabs>
        <w:spacing w:before="240" w:after="240" w:line="360" w:lineRule="auto"/>
        <w:ind w:left="567" w:firstLine="0"/>
        <w:jc w:val="both"/>
        <w:rPr>
          <w:rFonts w:ascii="Palatino Linotype" w:eastAsia="Palatino Linotype" w:hAnsi="Palatino Linotype" w:cs="Palatino Linotype"/>
        </w:rPr>
      </w:pPr>
      <w:r w:rsidRPr="009E60F3">
        <w:rPr>
          <w:rFonts w:ascii="Palatino Linotype" w:eastAsia="Palatino Linotype" w:hAnsi="Palatino Linotype" w:cs="Palatino Linotype"/>
        </w:rPr>
        <w:t>La afectación generada en la situación jurídica de la persona involucrada en el proceso: Violación a sus derechos humanos.</w:t>
      </w:r>
    </w:p>
    <w:p w14:paraId="1CA53C22" w14:textId="77777777" w:rsidR="00BA1185" w:rsidRPr="009E60F3" w:rsidRDefault="00BA1185" w:rsidP="00BA1185">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9E60F3">
        <w:rPr>
          <w:rFonts w:ascii="Palatino Linotype" w:eastAsia="Palatino Linotype" w:hAnsi="Palatino Linotype" w:cs="Palatino Linotype"/>
        </w:rPr>
        <w:lastRenderedPageBreak/>
        <w:t>relación con la actuación del funcionario, como ha acontecido en el caso que nos ocupa.</w:t>
      </w:r>
    </w:p>
    <w:p w14:paraId="0A00B221" w14:textId="77777777" w:rsidR="00BA1185" w:rsidRPr="009E60F3" w:rsidRDefault="00BA1185" w:rsidP="00BA1185">
      <w:pPr>
        <w:spacing w:before="240" w:after="240" w:line="360" w:lineRule="auto"/>
        <w:jc w:val="both"/>
        <w:rPr>
          <w:rFonts w:ascii="Palatino Linotype" w:eastAsia="Palatino Linotype" w:hAnsi="Palatino Linotype" w:cs="Palatino Linotype"/>
          <w:b/>
        </w:rPr>
      </w:pPr>
      <w:r w:rsidRPr="009E60F3">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9E60F3">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9E60F3">
        <w:rPr>
          <w:rFonts w:ascii="Palatino Linotype" w:eastAsia="Palatino Linotype" w:hAnsi="Palatino Linotype" w:cs="Palatino Linotype"/>
        </w:rPr>
        <w:t>, visible en la Gaceta del Seminario Judicial de la Federación con el registro digital 205635.</w:t>
      </w:r>
    </w:p>
    <w:p w14:paraId="57BE644B" w14:textId="77777777" w:rsidR="00BA1185" w:rsidRPr="009E60F3" w:rsidRDefault="00BA1185" w:rsidP="00BA1185">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E1A75F3" w14:textId="77777777" w:rsidR="00BA1185" w:rsidRPr="009E60F3" w:rsidRDefault="00BA1185" w:rsidP="00BA1185">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82BC9EA" w14:textId="77777777" w:rsidR="00BA1185" w:rsidRPr="009E60F3" w:rsidRDefault="00BA1185" w:rsidP="00BA1185">
      <w:pPr>
        <w:spacing w:before="240" w:after="240"/>
        <w:ind w:left="851" w:right="900"/>
        <w:jc w:val="both"/>
        <w:rPr>
          <w:rFonts w:ascii="Palatino Linotype" w:eastAsia="Palatino Linotype" w:hAnsi="Palatino Linotype" w:cs="Palatino Linotype"/>
          <w:sz w:val="22"/>
        </w:rPr>
      </w:pPr>
      <w:r w:rsidRPr="009E60F3">
        <w:rPr>
          <w:rFonts w:ascii="Palatino Linotype" w:eastAsia="Palatino Linotype" w:hAnsi="Palatino Linotype" w:cs="Palatino Linotype"/>
          <w:sz w:val="22"/>
        </w:rPr>
        <w:lastRenderedPageBreak/>
        <w:t xml:space="preserve"> </w:t>
      </w:r>
      <w:r w:rsidRPr="009E60F3">
        <w:rPr>
          <w:rFonts w:ascii="Palatino Linotype" w:eastAsia="Palatino Linotype" w:hAnsi="Palatino Linotype" w:cs="Palatino Linotype"/>
          <w:b/>
          <w:i/>
          <w:sz w:val="22"/>
        </w:rPr>
        <w:t>“PLAZO RAZONABLE PARA RESOLVER. DIMENSIÓN Y EFECTOS DE ESTE CONCEPTO CUANDO SE ADUCE EXCESIVA CARGA DE TRABAJO</w:t>
      </w:r>
      <w:r w:rsidRPr="009E60F3">
        <w:rPr>
          <w:rFonts w:ascii="Palatino Linotype" w:eastAsia="Palatino Linotype" w:hAnsi="Palatino Linotype" w:cs="Palatino Linotype"/>
          <w:i/>
          <w:sz w:val="22"/>
        </w:rPr>
        <w:t>.”</w:t>
      </w:r>
      <w:r w:rsidRPr="009E60F3">
        <w:rPr>
          <w:rFonts w:ascii="Palatino Linotype" w:eastAsia="Palatino Linotype" w:hAnsi="Palatino Linotype" w:cs="Palatino Linotype"/>
          <w:sz w:val="22"/>
        </w:rPr>
        <w:t xml:space="preserve"> consultable en el Seminario Judicial de la Federación y su gaceta, con el registro digital 2002351.</w:t>
      </w:r>
    </w:p>
    <w:p w14:paraId="62EDD94B" w14:textId="77777777" w:rsidR="00BA1185" w:rsidRPr="009E60F3" w:rsidRDefault="00BA1185" w:rsidP="00BA1185">
      <w:pPr>
        <w:spacing w:before="240" w:after="240"/>
        <w:ind w:left="851" w:right="900"/>
        <w:jc w:val="both"/>
        <w:rPr>
          <w:rFonts w:ascii="Palatino Linotype" w:eastAsia="Palatino Linotype" w:hAnsi="Palatino Linotype" w:cs="Palatino Linotype"/>
          <w:sz w:val="22"/>
        </w:rPr>
      </w:pPr>
      <w:r w:rsidRPr="009E60F3">
        <w:rPr>
          <w:rFonts w:ascii="Palatino Linotype" w:eastAsia="Palatino Linotype" w:hAnsi="Palatino Linotype" w:cs="Palatino Linotype"/>
          <w:b/>
          <w:i/>
          <w:sz w:val="22"/>
        </w:rPr>
        <w:t>“PLAZO RAZONABLE PARA RESOLVER. CONCEPTO Y ELEMENTOS QUE LO INTEGRAN A LA LUZ DEL DERECHO INTERNACIONAL DE LOS DERECHOS HUMANOS.”</w:t>
      </w:r>
      <w:r w:rsidRPr="009E60F3">
        <w:rPr>
          <w:rFonts w:ascii="Palatino Linotype" w:eastAsia="Palatino Linotype" w:hAnsi="Palatino Linotype" w:cs="Palatino Linotype"/>
          <w:sz w:val="22"/>
        </w:rPr>
        <w:t>, visible en el Seminario Judicial de la Federación y su gaceta, con el registro digital 2002350.</w:t>
      </w:r>
    </w:p>
    <w:p w14:paraId="59B5F06E" w14:textId="77777777" w:rsidR="00BA1185" w:rsidRPr="009E60F3" w:rsidRDefault="00BA1185" w:rsidP="00BA1185">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3D5922A"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b/>
        </w:rPr>
        <w:t xml:space="preserve">8. Cierre de instrucción. </w:t>
      </w:r>
      <w:r w:rsidRPr="009E60F3">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9E60F3">
        <w:rPr>
          <w:rFonts w:ascii="Palatino Linotype" w:eastAsia="Palatino Linotype" w:hAnsi="Palatino Linotype" w:cs="Palatino Linotype"/>
          <w:b/>
        </w:rPr>
        <w:t>veinte de mayo de dos mil veintidós</w:t>
      </w:r>
      <w:r w:rsidRPr="009E60F3">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235525CF"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49833CB" w14:textId="77777777" w:rsidR="002344C9" w:rsidRPr="009E60F3" w:rsidRDefault="00D73648">
      <w:pPr>
        <w:widowControl w:val="0"/>
        <w:spacing w:before="240" w:after="240" w:line="360" w:lineRule="auto"/>
        <w:jc w:val="center"/>
        <w:rPr>
          <w:rFonts w:ascii="Palatino Linotype" w:eastAsia="Palatino Linotype" w:hAnsi="Palatino Linotype" w:cs="Palatino Linotype"/>
          <w:b/>
        </w:rPr>
      </w:pPr>
      <w:r w:rsidRPr="009E60F3">
        <w:rPr>
          <w:rFonts w:ascii="Palatino Linotype" w:eastAsia="Palatino Linotype" w:hAnsi="Palatino Linotype" w:cs="Palatino Linotype"/>
          <w:b/>
        </w:rPr>
        <w:t>II. C O N S I D E R A N D O S</w:t>
      </w:r>
    </w:p>
    <w:p w14:paraId="2E07B210"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b/>
        </w:rPr>
        <w:t>Primero. Competencia.</w:t>
      </w:r>
      <w:r w:rsidRPr="009E60F3">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w:t>
      </w:r>
      <w:r w:rsidRPr="009E60F3">
        <w:rPr>
          <w:rFonts w:ascii="Palatino Linotype" w:eastAsia="Palatino Linotype" w:hAnsi="Palatino Linotype" w:cs="Palatino Linotype"/>
        </w:rPr>
        <w:lastRenderedPageBreak/>
        <w:t>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7846D5F1" w14:textId="77777777" w:rsidR="002344C9" w:rsidRPr="009E60F3" w:rsidRDefault="00D73648">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9E60F3">
        <w:rPr>
          <w:rFonts w:ascii="Palatino Linotype" w:eastAsia="Palatino Linotype" w:hAnsi="Palatino Linotype" w:cs="Palatino Linotype"/>
          <w:b/>
        </w:rPr>
        <w:t>Segundo. Oportunidad y Procedibilidad del Recurso de Revisión</w:t>
      </w:r>
      <w:r w:rsidRPr="009E60F3">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08A7F5A"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9E60F3">
        <w:rPr>
          <w:rFonts w:ascii="Palatino Linotype" w:eastAsia="Palatino Linotype" w:hAnsi="Palatino Linotype" w:cs="Palatino Linotype"/>
          <w:b/>
        </w:rPr>
        <w:t xml:space="preserve">Sujeto Obligado </w:t>
      </w:r>
      <w:r w:rsidRPr="009E60F3">
        <w:rPr>
          <w:rFonts w:ascii="Palatino Linotype" w:eastAsia="Palatino Linotype" w:hAnsi="Palatino Linotype" w:cs="Palatino Linotype"/>
        </w:rPr>
        <w:t xml:space="preserve">remitió la respuesta a la solicitud de información el día </w:t>
      </w:r>
      <w:r w:rsidRPr="009E60F3">
        <w:rPr>
          <w:rFonts w:ascii="Palatino Linotype" w:eastAsia="Palatino Linotype" w:hAnsi="Palatino Linotype" w:cs="Palatino Linotype"/>
          <w:b/>
        </w:rPr>
        <w:t xml:space="preserve">veintiocho de marzo de dos mil veintidós, </w:t>
      </w:r>
      <w:r w:rsidRPr="009E60F3">
        <w:rPr>
          <w:rFonts w:ascii="Palatino Linotype" w:eastAsia="Palatino Linotype" w:hAnsi="Palatino Linotype" w:cs="Palatino Linotype"/>
        </w:rPr>
        <w:t xml:space="preserve">mientras que el recurso de revisión interpuesto por la parte </w:t>
      </w:r>
      <w:r w:rsidRPr="009E60F3">
        <w:rPr>
          <w:rFonts w:ascii="Palatino Linotype" w:eastAsia="Palatino Linotype" w:hAnsi="Palatino Linotype" w:cs="Palatino Linotype"/>
          <w:b/>
        </w:rPr>
        <w:t>Recurrente</w:t>
      </w:r>
      <w:r w:rsidRPr="009E60F3">
        <w:rPr>
          <w:rFonts w:ascii="Palatino Linotype" w:eastAsia="Palatino Linotype" w:hAnsi="Palatino Linotype" w:cs="Palatino Linotype"/>
        </w:rPr>
        <w:t xml:space="preserve">, se tuvo por presentado el día </w:t>
      </w:r>
      <w:r w:rsidRPr="009E60F3">
        <w:rPr>
          <w:rFonts w:ascii="Palatino Linotype" w:eastAsia="Palatino Linotype" w:hAnsi="Palatino Linotype" w:cs="Palatino Linotype"/>
          <w:b/>
        </w:rPr>
        <w:t>veintiocho de marzo de dos mil veintidós</w:t>
      </w:r>
      <w:r w:rsidRPr="009E60F3">
        <w:rPr>
          <w:rFonts w:ascii="Palatino Linotype" w:eastAsia="Palatino Linotype" w:hAnsi="Palatino Linotype" w:cs="Palatino Linotype"/>
        </w:rPr>
        <w:t>, esto es, el mismo día en que tuvo conocimiento de la respuesta impugnada.</w:t>
      </w:r>
    </w:p>
    <w:p w14:paraId="6C4482D3" w14:textId="77777777" w:rsidR="002344C9" w:rsidRPr="009E60F3" w:rsidRDefault="00D73648">
      <w:pPr>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9E60F3">
        <w:rPr>
          <w:rFonts w:ascii="Palatino Linotype" w:eastAsia="Palatino Linotype" w:hAnsi="Palatino Linotype" w:cs="Palatino Linotype"/>
        </w:rPr>
        <w:t xml:space="preserve">En este sentido, al considerar la fecha en que se formuló la solicitud y la fecha en que respondió a ésta el </w:t>
      </w:r>
      <w:r w:rsidRPr="009E60F3">
        <w:rPr>
          <w:rFonts w:ascii="Palatino Linotype" w:eastAsia="Palatino Linotype" w:hAnsi="Palatino Linotype" w:cs="Palatino Linotype"/>
          <w:b/>
        </w:rPr>
        <w:t>Sujeto Obligado</w:t>
      </w:r>
      <w:r w:rsidRPr="009E60F3">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1B5BBE68" w14:textId="77777777" w:rsidR="002344C9" w:rsidRPr="009E60F3" w:rsidRDefault="00D73648">
      <w:pPr>
        <w:spacing w:before="240" w:after="240" w:line="360" w:lineRule="auto"/>
        <w:jc w:val="both"/>
        <w:rPr>
          <w:rFonts w:ascii="Palatino Linotype" w:eastAsia="Palatino Linotype" w:hAnsi="Palatino Linotype" w:cs="Palatino Linotype"/>
        </w:rPr>
      </w:pPr>
      <w:bookmarkStart w:id="6" w:name="_heading=h.q9a5pqst6so" w:colFirst="0" w:colLast="0"/>
      <w:bookmarkEnd w:id="6"/>
      <w:r w:rsidRPr="009E60F3">
        <w:rPr>
          <w:rFonts w:ascii="Palatino Linotype" w:eastAsia="Palatino Linotype" w:hAnsi="Palatino Linotype" w:cs="Palatino Linotype"/>
        </w:rPr>
        <w:lastRenderedPageBreak/>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29A46909" w14:textId="77777777" w:rsidR="002344C9" w:rsidRPr="009E60F3" w:rsidRDefault="00D73648">
      <w:pPr>
        <w:spacing w:before="120" w:after="120"/>
        <w:ind w:left="851" w:right="902"/>
        <w:jc w:val="both"/>
        <w:rPr>
          <w:rFonts w:ascii="Palatino Linotype" w:eastAsia="Palatino Linotype" w:hAnsi="Palatino Linotype" w:cs="Palatino Linotype"/>
          <w:i/>
          <w:sz w:val="22"/>
          <w:szCs w:val="22"/>
        </w:rPr>
      </w:pPr>
      <w:r w:rsidRPr="009E60F3">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9E60F3">
        <w:rPr>
          <w:rFonts w:ascii="Palatino Linotype" w:eastAsia="Palatino Linotype" w:hAnsi="Palatino Linotype" w:cs="Palatino Linotype"/>
          <w:i/>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235E3C2A"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136CC14"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lastRenderedPageBreak/>
        <w:t xml:space="preserve">Finalmente, se advierte que resulta procedente la interposición del recurso, según lo manifestado por la parte </w:t>
      </w:r>
      <w:r w:rsidRPr="009E60F3">
        <w:rPr>
          <w:rFonts w:ascii="Palatino Linotype" w:eastAsia="Palatino Linotype" w:hAnsi="Palatino Linotype" w:cs="Palatino Linotype"/>
          <w:b/>
        </w:rPr>
        <w:t>Recurrente</w:t>
      </w:r>
      <w:r w:rsidRPr="009E60F3">
        <w:rPr>
          <w:rFonts w:ascii="Palatino Linotype" w:eastAsia="Palatino Linotype" w:hAnsi="Palatino Linotype" w:cs="Palatino Linotype"/>
        </w:rPr>
        <w:t xml:space="preserve"> en sus motivos de inconformidad, de acuerdo al artículo 179, fracción V del ordenamiento legal citado, que a la letra dice: </w:t>
      </w:r>
    </w:p>
    <w:p w14:paraId="5E401DA4" w14:textId="77777777" w:rsidR="002344C9" w:rsidRPr="009E60F3" w:rsidRDefault="00D73648">
      <w:pPr>
        <w:spacing w:before="120" w:after="120"/>
        <w:ind w:left="851" w:right="902"/>
        <w:jc w:val="both"/>
        <w:rPr>
          <w:rFonts w:ascii="Palatino Linotype" w:eastAsia="Palatino Linotype" w:hAnsi="Palatino Linotype" w:cs="Palatino Linotype"/>
          <w:i/>
          <w:sz w:val="22"/>
          <w:szCs w:val="22"/>
        </w:rPr>
      </w:pPr>
      <w:r w:rsidRPr="009E60F3">
        <w:rPr>
          <w:rFonts w:ascii="Palatino Linotype" w:eastAsia="Palatino Linotype" w:hAnsi="Palatino Linotype" w:cs="Palatino Linotype"/>
          <w:i/>
          <w:sz w:val="22"/>
          <w:szCs w:val="22"/>
        </w:rPr>
        <w:t>“</w:t>
      </w:r>
      <w:r w:rsidRPr="009E60F3">
        <w:rPr>
          <w:rFonts w:ascii="Palatino Linotype" w:eastAsia="Palatino Linotype" w:hAnsi="Palatino Linotype" w:cs="Palatino Linotype"/>
          <w:b/>
          <w:i/>
          <w:sz w:val="22"/>
          <w:szCs w:val="22"/>
        </w:rPr>
        <w:t>Artículo 179.</w:t>
      </w:r>
      <w:r w:rsidRPr="009E60F3">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CBDF884" w14:textId="77777777" w:rsidR="002344C9" w:rsidRPr="009E60F3" w:rsidRDefault="00D73648">
      <w:pPr>
        <w:spacing w:before="120" w:after="120"/>
        <w:ind w:left="1134"/>
        <w:rPr>
          <w:rFonts w:ascii="Palatino Linotype" w:eastAsia="Palatino Linotype" w:hAnsi="Palatino Linotype" w:cs="Palatino Linotype"/>
          <w:b/>
          <w:i/>
          <w:sz w:val="22"/>
          <w:szCs w:val="22"/>
        </w:rPr>
      </w:pPr>
      <w:r w:rsidRPr="009E60F3">
        <w:rPr>
          <w:rFonts w:ascii="Palatino Linotype" w:eastAsia="Palatino Linotype" w:hAnsi="Palatino Linotype" w:cs="Palatino Linotype"/>
          <w:b/>
          <w:i/>
          <w:sz w:val="22"/>
          <w:szCs w:val="22"/>
        </w:rPr>
        <w:t>…</w:t>
      </w:r>
    </w:p>
    <w:p w14:paraId="7EF3B4EB" w14:textId="77777777" w:rsidR="002344C9" w:rsidRPr="009E60F3" w:rsidRDefault="00D73648">
      <w:pPr>
        <w:spacing w:before="120" w:after="120"/>
        <w:ind w:left="1134"/>
        <w:rPr>
          <w:rFonts w:ascii="Palatino Linotype" w:eastAsia="Palatino Linotype" w:hAnsi="Palatino Linotype" w:cs="Palatino Linotype"/>
          <w:b/>
          <w:i/>
          <w:sz w:val="22"/>
          <w:szCs w:val="22"/>
        </w:rPr>
      </w:pPr>
      <w:r w:rsidRPr="009E60F3">
        <w:rPr>
          <w:rFonts w:ascii="Palatino Linotype" w:eastAsia="Palatino Linotype" w:hAnsi="Palatino Linotype" w:cs="Palatino Linotype"/>
          <w:b/>
          <w:i/>
          <w:sz w:val="22"/>
          <w:szCs w:val="22"/>
        </w:rPr>
        <w:t xml:space="preserve">V. </w:t>
      </w:r>
      <w:r w:rsidRPr="009E60F3">
        <w:rPr>
          <w:rFonts w:ascii="Palatino Linotype" w:eastAsia="Palatino Linotype" w:hAnsi="Palatino Linotype" w:cs="Palatino Linotype"/>
          <w:i/>
          <w:sz w:val="22"/>
          <w:szCs w:val="22"/>
        </w:rPr>
        <w:t>La entrega de información incompleta</w:t>
      </w:r>
      <w:r w:rsidRPr="009E60F3">
        <w:rPr>
          <w:rFonts w:ascii="Palatino Linotype" w:eastAsia="Palatino Linotype" w:hAnsi="Palatino Linotype" w:cs="Palatino Linotype"/>
          <w:b/>
          <w:i/>
          <w:sz w:val="22"/>
          <w:szCs w:val="22"/>
        </w:rPr>
        <w:t>;</w:t>
      </w:r>
      <w:r w:rsidRPr="009E60F3">
        <w:rPr>
          <w:rFonts w:ascii="Palatino Linotype" w:eastAsia="Palatino Linotype" w:hAnsi="Palatino Linotype" w:cs="Palatino Linotype"/>
          <w:i/>
          <w:sz w:val="22"/>
          <w:szCs w:val="22"/>
        </w:rPr>
        <w:t>”</w:t>
      </w:r>
    </w:p>
    <w:p w14:paraId="66709AD2"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b/>
        </w:rPr>
        <w:t xml:space="preserve">Tercero. Materia de la revisión. </w:t>
      </w:r>
      <w:r w:rsidRPr="009E60F3">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9E60F3">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9E60F3">
        <w:rPr>
          <w:rFonts w:ascii="Palatino Linotype" w:eastAsia="Palatino Linotype" w:hAnsi="Palatino Linotype" w:cs="Palatino Linotype"/>
        </w:rPr>
        <w:t xml:space="preserve">de la parte </w:t>
      </w:r>
      <w:r w:rsidRPr="009E60F3">
        <w:rPr>
          <w:rFonts w:ascii="Palatino Linotype" w:eastAsia="Palatino Linotype" w:hAnsi="Palatino Linotype" w:cs="Palatino Linotype"/>
          <w:b/>
        </w:rPr>
        <w:t>Recurrente</w:t>
      </w:r>
      <w:r w:rsidRPr="009E60F3">
        <w:rPr>
          <w:rFonts w:ascii="Palatino Linotype" w:eastAsia="Palatino Linotype" w:hAnsi="Palatino Linotype" w:cs="Palatino Linotype"/>
        </w:rPr>
        <w:t>, o en su defecto, en caso de ser procedente, ordenar la entrega de información oportuna.</w:t>
      </w:r>
    </w:p>
    <w:p w14:paraId="08F06972" w14:textId="77777777" w:rsidR="002344C9" w:rsidRPr="009E60F3" w:rsidRDefault="00D73648">
      <w:pPr>
        <w:spacing w:before="240" w:after="240" w:line="360" w:lineRule="auto"/>
        <w:ind w:right="51"/>
        <w:jc w:val="both"/>
        <w:rPr>
          <w:rFonts w:ascii="Palatino Linotype" w:eastAsia="Palatino Linotype" w:hAnsi="Palatino Linotype" w:cs="Palatino Linotype"/>
        </w:rPr>
      </w:pPr>
      <w:bookmarkStart w:id="7" w:name="_heading=h.2et92p0" w:colFirst="0" w:colLast="0"/>
      <w:bookmarkEnd w:id="7"/>
      <w:r w:rsidRPr="009E60F3">
        <w:rPr>
          <w:rFonts w:ascii="Palatino Linotype" w:eastAsia="Palatino Linotype" w:hAnsi="Palatino Linotype" w:cs="Palatino Linotype"/>
          <w:b/>
        </w:rPr>
        <w:t xml:space="preserve">Cuarto. Estudio del asunto. </w:t>
      </w:r>
      <w:r w:rsidRPr="009E60F3">
        <w:rPr>
          <w:rFonts w:ascii="Palatino Linotype" w:eastAsia="Palatino Linotype" w:hAnsi="Palatino Linotype" w:cs="Palatino Linotype"/>
        </w:rPr>
        <w:t xml:space="preserve">Del análisis de la solicitud de información, motivo del recurso de revisión que ahora se resuelve se advierte que la parte </w:t>
      </w:r>
      <w:r w:rsidRPr="009E60F3">
        <w:rPr>
          <w:rFonts w:ascii="Palatino Linotype" w:eastAsia="Palatino Linotype" w:hAnsi="Palatino Linotype" w:cs="Palatino Linotype"/>
          <w:b/>
        </w:rPr>
        <w:t>Recurrente</w:t>
      </w:r>
      <w:r w:rsidRPr="009E60F3">
        <w:rPr>
          <w:rFonts w:ascii="Palatino Linotype" w:eastAsia="Palatino Linotype" w:hAnsi="Palatino Linotype" w:cs="Palatino Linotype"/>
        </w:rPr>
        <w:t xml:space="preserve"> requirió al </w:t>
      </w:r>
      <w:r w:rsidRPr="009E60F3">
        <w:rPr>
          <w:rFonts w:ascii="Palatino Linotype" w:eastAsia="Palatino Linotype" w:hAnsi="Palatino Linotype" w:cs="Palatino Linotype"/>
          <w:b/>
        </w:rPr>
        <w:t xml:space="preserve">Sujeto Obligado </w:t>
      </w:r>
      <w:r w:rsidRPr="009E60F3">
        <w:rPr>
          <w:rFonts w:ascii="Palatino Linotype" w:eastAsia="Palatino Linotype" w:hAnsi="Palatino Linotype" w:cs="Palatino Linotype"/>
        </w:rPr>
        <w:t>le proporcione, información consistente en lo siguiente:</w:t>
      </w:r>
    </w:p>
    <w:p w14:paraId="0A09F742" w14:textId="77777777" w:rsidR="002344C9" w:rsidRPr="009E60F3" w:rsidRDefault="00D73648">
      <w:pPr>
        <w:spacing w:before="240" w:after="240" w:line="360" w:lineRule="auto"/>
        <w:ind w:right="51"/>
        <w:jc w:val="both"/>
        <w:rPr>
          <w:rFonts w:ascii="Palatino Linotype" w:eastAsia="Palatino Linotype" w:hAnsi="Palatino Linotype" w:cs="Palatino Linotype"/>
        </w:rPr>
      </w:pPr>
      <w:r w:rsidRPr="009E60F3">
        <w:rPr>
          <w:rFonts w:ascii="Palatino Linotype" w:eastAsia="Palatino Linotype" w:hAnsi="Palatino Linotype" w:cs="Palatino Linotype"/>
        </w:rPr>
        <w:t>De la dinámica de baile para ganar una cena con tú pareja o amigos, organizada por la Dirección de Juventud:</w:t>
      </w:r>
    </w:p>
    <w:p w14:paraId="3B5F6556" w14:textId="77777777" w:rsidR="002344C9" w:rsidRPr="009E60F3" w:rsidRDefault="00D73648">
      <w:pPr>
        <w:numPr>
          <w:ilvl w:val="0"/>
          <w:numId w:val="6"/>
        </w:numPr>
        <w:pBdr>
          <w:top w:val="nil"/>
          <w:left w:val="nil"/>
          <w:bottom w:val="nil"/>
          <w:right w:val="nil"/>
          <w:between w:val="nil"/>
        </w:pBdr>
        <w:spacing w:after="240" w:line="360" w:lineRule="auto"/>
        <w:ind w:right="51"/>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¿Cuánto </w:t>
      </w:r>
      <w:r w:rsidRPr="009E60F3">
        <w:rPr>
          <w:rFonts w:ascii="Palatino Linotype" w:eastAsia="Palatino Linotype" w:hAnsi="Palatino Linotype" w:cs="Palatino Linotype"/>
          <w:b/>
        </w:rPr>
        <w:t>va a costar</w:t>
      </w:r>
      <w:r w:rsidRPr="009E60F3">
        <w:rPr>
          <w:rFonts w:ascii="Palatino Linotype" w:eastAsia="Palatino Linotype" w:hAnsi="Palatino Linotype" w:cs="Palatino Linotype"/>
        </w:rPr>
        <w:t xml:space="preserve"> y de qué partido presupuestal va a salir? </w:t>
      </w:r>
    </w:p>
    <w:p w14:paraId="55BF5D39" w14:textId="77777777" w:rsidR="002344C9" w:rsidRPr="009E60F3" w:rsidRDefault="00D73648">
      <w:pPr>
        <w:spacing w:before="240" w:after="240" w:line="360" w:lineRule="auto"/>
        <w:ind w:right="49"/>
        <w:jc w:val="both"/>
        <w:rPr>
          <w:rFonts w:ascii="Palatino Linotype" w:eastAsia="Palatino Linotype" w:hAnsi="Palatino Linotype" w:cs="Palatino Linotype"/>
          <w:i/>
        </w:rPr>
      </w:pPr>
      <w:r w:rsidRPr="009E60F3">
        <w:rPr>
          <w:rFonts w:ascii="Palatino Linotype" w:eastAsia="Palatino Linotype" w:hAnsi="Palatino Linotype" w:cs="Palatino Linotype"/>
        </w:rPr>
        <w:t xml:space="preserve">En respuesta, el </w:t>
      </w:r>
      <w:r w:rsidRPr="009E60F3">
        <w:rPr>
          <w:rFonts w:ascii="Palatino Linotype" w:eastAsia="Palatino Linotype" w:hAnsi="Palatino Linotype" w:cs="Palatino Linotype"/>
          <w:b/>
        </w:rPr>
        <w:t xml:space="preserve">Sujeto Obligado, </w:t>
      </w:r>
      <w:r w:rsidRPr="009E60F3">
        <w:rPr>
          <w:rFonts w:ascii="Palatino Linotype" w:eastAsia="Palatino Linotype" w:hAnsi="Palatino Linotype" w:cs="Palatino Linotype"/>
        </w:rPr>
        <w:t xml:space="preserve">a través de la Unidad de Transparencia,  hizo del conocimiento del particular el pronunciamiento vertido por el Director de </w:t>
      </w:r>
      <w:r w:rsidRPr="009E60F3">
        <w:rPr>
          <w:rFonts w:ascii="Palatino Linotype" w:eastAsia="Palatino Linotype" w:hAnsi="Palatino Linotype" w:cs="Palatino Linotype"/>
        </w:rPr>
        <w:lastRenderedPageBreak/>
        <w:t xml:space="preserve">Desarrollo Social, quien informó, después de la búsqueda exhaustiva para dar atención a la solicitud, que el evento denominado </w:t>
      </w:r>
      <w:r w:rsidRPr="009E60F3">
        <w:rPr>
          <w:rFonts w:ascii="Palatino Linotype" w:eastAsia="Palatino Linotype" w:hAnsi="Palatino Linotype" w:cs="Palatino Linotype"/>
          <w:i/>
        </w:rPr>
        <w:t xml:space="preserve">Dance </w:t>
      </w:r>
      <w:proofErr w:type="spellStart"/>
      <w:r w:rsidRPr="009E60F3">
        <w:rPr>
          <w:rFonts w:ascii="Palatino Linotype" w:eastAsia="Palatino Linotype" w:hAnsi="Palatino Linotype" w:cs="Palatino Linotype"/>
          <w:i/>
        </w:rPr>
        <w:t>On</w:t>
      </w:r>
      <w:proofErr w:type="spellEnd"/>
      <w:r w:rsidRPr="009E60F3">
        <w:rPr>
          <w:rFonts w:ascii="Palatino Linotype" w:eastAsia="Palatino Linotype" w:hAnsi="Palatino Linotype" w:cs="Palatino Linotype"/>
        </w:rPr>
        <w:t xml:space="preserve">, al que la particular se refería, no tenía costo alguno para la ciudadanía, al ser gratuitas todas las actividades que oferta dicha dependencia, asimismo señaló que la partida presupuestal a la que pertenece dicho evento es la clave presupuestal </w:t>
      </w:r>
      <w:r w:rsidRPr="009E60F3">
        <w:rPr>
          <w:rFonts w:ascii="Palatino Linotype" w:eastAsia="Palatino Linotype" w:hAnsi="Palatino Linotype" w:cs="Palatino Linotype"/>
          <w:i/>
        </w:rPr>
        <w:t xml:space="preserve">101 143 02 06 08 06 02 01 E: Expresión Juvenil.  </w:t>
      </w:r>
    </w:p>
    <w:p w14:paraId="29682A67"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Bajo tales argumentos, al no estar conforme con los términos de la respuesta proporcionada, el particular interpuso el recurso de revisión que nos ocupa, mediante el cual señaló como motivo de inconformidad, que la respuesta emitida estaba incompleta. </w:t>
      </w:r>
    </w:p>
    <w:p w14:paraId="1C2F6AF7"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Así, admitido el presente recurso de revisión, en términos del artículo 185 fracción II</w:t>
      </w:r>
      <w:r w:rsidRPr="009E60F3">
        <w:rPr>
          <w:rFonts w:ascii="Palatino Linotype" w:eastAsia="Palatino Linotype" w:hAnsi="Palatino Linotype" w:cs="Palatino Linotype"/>
          <w:vertAlign w:val="superscript"/>
        </w:rPr>
        <w:footnoteReference w:id="1"/>
      </w:r>
      <w:r w:rsidRPr="009E60F3">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62274C63"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Al respecto, el </w:t>
      </w:r>
      <w:r w:rsidRPr="009E60F3">
        <w:rPr>
          <w:rFonts w:ascii="Palatino Linotype" w:eastAsia="Palatino Linotype" w:hAnsi="Palatino Linotype" w:cs="Palatino Linotype"/>
          <w:b/>
        </w:rPr>
        <w:t>Sujeto Obligado</w:t>
      </w:r>
      <w:r w:rsidRPr="009E60F3">
        <w:rPr>
          <w:rFonts w:ascii="Palatino Linotype" w:eastAsia="Palatino Linotype" w:hAnsi="Palatino Linotype" w:cs="Palatino Linotype"/>
        </w:rPr>
        <w:t xml:space="preserve">, mediante su informe justificado ratificó en lo sustancial la respuesta emitida en primera instancia,  asimismo, respecto del motivo de inconformidad aducido por el particular, indicó que la Unidad de Transparencia tuvo a bien garantizar que la solicitud se turnara al área competente que cuente con la información o deban tenerla de acuerdo a sus facultades, competencias y funciones, con el objeto de que realice una búsqueda exhaustiva y razonable de la </w:t>
      </w:r>
      <w:r w:rsidRPr="009E60F3">
        <w:rPr>
          <w:rFonts w:ascii="Palatino Linotype" w:eastAsia="Palatino Linotype" w:hAnsi="Palatino Linotype" w:cs="Palatino Linotype"/>
        </w:rPr>
        <w:lastRenderedPageBreak/>
        <w:t>información solicitada, acreditándolo con la captura de pantalla del apartado de requerimientos del SAIMEX.</w:t>
      </w:r>
    </w:p>
    <w:p w14:paraId="18AA56D2" w14:textId="77777777" w:rsidR="002344C9" w:rsidRPr="009E60F3" w:rsidRDefault="00D73648">
      <w:pPr>
        <w:spacing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Por su parte la </w:t>
      </w:r>
      <w:r w:rsidRPr="009E60F3">
        <w:rPr>
          <w:rFonts w:ascii="Palatino Linotype" w:eastAsia="Palatino Linotype" w:hAnsi="Palatino Linotype" w:cs="Palatino Linotype"/>
          <w:b/>
        </w:rPr>
        <w:t xml:space="preserve">Recurrente </w:t>
      </w:r>
      <w:r w:rsidRPr="009E60F3">
        <w:rPr>
          <w:rFonts w:ascii="Palatino Linotype" w:eastAsia="Palatino Linotype" w:hAnsi="Palatino Linotype" w:cs="Palatino Linotype"/>
        </w:rPr>
        <w:t>fue omisa en expresar alegato alguno y ofrecer pruebas en el plazo establecido para tal efecto como se señaló anteriormente.</w:t>
      </w:r>
    </w:p>
    <w:p w14:paraId="59D17C7F" w14:textId="77777777" w:rsidR="002344C9" w:rsidRPr="009E60F3" w:rsidRDefault="00D73648">
      <w:pPr>
        <w:spacing w:before="240" w:after="240" w:line="360" w:lineRule="auto"/>
        <w:ind w:right="49"/>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En esta tesitura, de las constancias que integran el expediente electrónico  relacionado con el recurso de revisión materia de estudio, se colige que el </w:t>
      </w:r>
      <w:r w:rsidRPr="009E60F3">
        <w:rPr>
          <w:rFonts w:ascii="Palatino Linotype" w:eastAsia="Palatino Linotype" w:hAnsi="Palatino Linotype" w:cs="Palatino Linotype"/>
          <w:b/>
        </w:rPr>
        <w:t>Sujeto Obligado</w:t>
      </w:r>
      <w:r w:rsidRPr="009E60F3">
        <w:rPr>
          <w:rFonts w:ascii="Palatino Linotype" w:eastAsia="Palatino Linotype" w:hAnsi="Palatino Linotype" w:cs="Palatino Linotype"/>
        </w:rPr>
        <w:t xml:space="preserve"> no niega la competencia para conocer de la información solicitada, sino por el contrario, con la respuesta pronunciada asevera que es competente para conocer de la solicitud de información</w:t>
      </w:r>
      <w:r w:rsidRPr="009E60F3">
        <w:rPr>
          <w:rFonts w:ascii="Palatino Linotype" w:eastAsia="Palatino Linotype" w:hAnsi="Palatino Linotype" w:cs="Palatino Linotype"/>
          <w:i/>
          <w:sz w:val="20"/>
          <w:szCs w:val="20"/>
        </w:rPr>
        <w:t xml:space="preserve">, </w:t>
      </w:r>
      <w:r w:rsidRPr="009E60F3">
        <w:rPr>
          <w:rFonts w:ascii="Palatino Linotype" w:eastAsia="Palatino Linotype" w:hAnsi="Palatino Linotype" w:cs="Palatino Linotype"/>
        </w:rPr>
        <w:t xml:space="preserve">lo anterior es así, ya que el estudio enunciado tiene por objeto determinar si </w:t>
      </w:r>
      <w:r w:rsidRPr="009E60F3">
        <w:t>los</w:t>
      </w:r>
      <w:r w:rsidRPr="009E60F3">
        <w:rPr>
          <w:rFonts w:ascii="Palatino Linotype" w:eastAsia="Palatino Linotype" w:hAnsi="Palatino Linotype" w:cs="Palatino Linotype"/>
        </w:rPr>
        <w:t xml:space="preserve"> Sujeto</w:t>
      </w:r>
      <w:r w:rsidRPr="009E60F3">
        <w:t>s</w:t>
      </w:r>
      <w:r w:rsidRPr="009E60F3">
        <w:rPr>
          <w:rFonts w:ascii="Palatino Linotype" w:eastAsia="Palatino Linotype" w:hAnsi="Palatino Linotype" w:cs="Palatino Linotype"/>
        </w:rPr>
        <w:t xml:space="preserve"> Obligado</w:t>
      </w:r>
      <w:r w:rsidRPr="009E60F3">
        <w:t>s</w:t>
      </w:r>
      <w:r w:rsidRPr="009E60F3">
        <w:rPr>
          <w:rFonts w:ascii="Palatino Linotype" w:eastAsia="Palatino Linotype" w:hAnsi="Palatino Linotype" w:cs="Palatino Linotype"/>
        </w:rPr>
        <w:t xml:space="preserve"> generan, poseen o administran  la información solicitada, sin embargo, en aquellos casos en que </w:t>
      </w:r>
      <w:r w:rsidRPr="009E60F3">
        <w:t>e</w:t>
      </w:r>
      <w:r w:rsidRPr="009E60F3">
        <w:rPr>
          <w:rFonts w:ascii="Palatino Linotype" w:eastAsia="Palatino Linotype" w:hAnsi="Palatino Linotype" w:cs="Palatino Linotype"/>
        </w:rPr>
        <w:t>st</w:t>
      </w:r>
      <w:r w:rsidRPr="009E60F3">
        <w:t xml:space="preserve">os </w:t>
      </w:r>
      <w:r w:rsidRPr="009E60F3">
        <w:rPr>
          <w:rFonts w:ascii="Palatino Linotype" w:eastAsia="Palatino Linotype" w:hAnsi="Palatino Linotype" w:cs="Palatino Linotype"/>
        </w:rPr>
        <w:t>ha</w:t>
      </w:r>
      <w:r w:rsidRPr="009E60F3">
        <w:t>n</w:t>
      </w:r>
      <w:r w:rsidRPr="009E60F3">
        <w:rPr>
          <w:rFonts w:ascii="Palatino Linotype" w:eastAsia="Palatino Linotype" w:hAnsi="Palatino Linotype" w:cs="Palatino Linotype"/>
        </w:rPr>
        <w:t xml:space="preserve"> asumido la competencia, sería ocioso y a nada práctico nos conduciría su estudio, ya que, se insiste, el ente obligado asumió la competencia referida, motivo por el cual se actualiza el supuesto previsto en el artículo 12 de la legislación aplicable en la materia. </w:t>
      </w:r>
    </w:p>
    <w:p w14:paraId="54A1F58B" w14:textId="77777777" w:rsidR="002344C9" w:rsidRPr="009E60F3" w:rsidRDefault="00D73648">
      <w:pPr>
        <w:spacing w:before="240" w:after="240"/>
        <w:ind w:left="851" w:right="902"/>
        <w:jc w:val="both"/>
        <w:rPr>
          <w:rFonts w:ascii="Palatino Linotype" w:eastAsia="Palatino Linotype" w:hAnsi="Palatino Linotype" w:cs="Palatino Linotype"/>
          <w:i/>
          <w:sz w:val="22"/>
          <w:szCs w:val="22"/>
        </w:rPr>
      </w:pPr>
      <w:r w:rsidRPr="009E60F3">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w:t>
      </w:r>
      <w:r w:rsidRPr="009E60F3">
        <w:rPr>
          <w:rFonts w:ascii="Palatino Linotype" w:eastAsia="Palatino Linotype" w:hAnsi="Palatino Linotype" w:cs="Palatino Linotype"/>
          <w:i/>
          <w:sz w:val="22"/>
          <w:szCs w:val="22"/>
        </w:rPr>
        <w:t xml:space="preserve"> en los términos de las disposiciones jurídicas aplicables. </w:t>
      </w:r>
    </w:p>
    <w:p w14:paraId="6455B46E" w14:textId="77777777" w:rsidR="002344C9" w:rsidRPr="009E60F3" w:rsidRDefault="00D73648">
      <w:pPr>
        <w:spacing w:before="240" w:after="240"/>
        <w:ind w:left="851" w:right="902"/>
        <w:jc w:val="both"/>
        <w:rPr>
          <w:rFonts w:ascii="Palatino Linotype" w:eastAsia="Palatino Linotype" w:hAnsi="Palatino Linotype" w:cs="Palatino Linotype"/>
          <w:i/>
          <w:sz w:val="22"/>
          <w:szCs w:val="22"/>
        </w:rPr>
      </w:pPr>
      <w:r w:rsidRPr="009E60F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9E60F3">
        <w:rPr>
          <w:rFonts w:ascii="Palatino Linotype" w:eastAsia="Palatino Linotype" w:hAnsi="Palatino Linotype" w:cs="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14:paraId="46F7BF1F"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Por consiguiente, a efecto de determinar si el derecho de acceso se satisfizo con la misma, o en su defecto, señalar los documentos que en el ejercicio de sus </w:t>
      </w:r>
      <w:r w:rsidRPr="009E60F3">
        <w:rPr>
          <w:rFonts w:ascii="Palatino Linotype" w:eastAsia="Palatino Linotype" w:hAnsi="Palatino Linotype" w:cs="Palatino Linotype"/>
        </w:rPr>
        <w:lastRenderedPageBreak/>
        <w:t xml:space="preserve">atribuciones pudo haber generado, y que, de manera enunciativa más no limitativa, pudieran colmar dicho derecho, se procedió al análisis de los requerimientos planteados por la persona solicitante y la respuesta proporcionada por el </w:t>
      </w:r>
      <w:r w:rsidRPr="009E60F3">
        <w:rPr>
          <w:rFonts w:ascii="Palatino Linotype" w:eastAsia="Palatino Linotype" w:hAnsi="Palatino Linotype" w:cs="Palatino Linotype"/>
          <w:b/>
        </w:rPr>
        <w:t>Sujeto Obligado</w:t>
      </w:r>
      <w:r w:rsidRPr="009E60F3">
        <w:rPr>
          <w:rFonts w:ascii="Palatino Linotype" w:eastAsia="Palatino Linotype" w:hAnsi="Palatino Linotype" w:cs="Palatino Linotype"/>
        </w:rPr>
        <w:t xml:space="preserve">, concluyendo que la información remitida </w:t>
      </w:r>
      <w:r w:rsidRPr="009E60F3">
        <w:rPr>
          <w:rFonts w:ascii="Palatino Linotype" w:eastAsia="Palatino Linotype" w:hAnsi="Palatino Linotype" w:cs="Palatino Linotype"/>
          <w:b/>
        </w:rPr>
        <w:t xml:space="preserve"> </w:t>
      </w:r>
      <w:r w:rsidRPr="009E60F3">
        <w:rPr>
          <w:rFonts w:ascii="Palatino Linotype" w:eastAsia="Palatino Linotype" w:hAnsi="Palatino Linotype" w:cs="Palatino Linotype"/>
        </w:rPr>
        <w:t>no es suficiente para satisfacer el derecho de acceso a la información pública, por las razones que a continuación se exponen:</w:t>
      </w:r>
    </w:p>
    <w:p w14:paraId="296BD5F7" w14:textId="77777777" w:rsidR="00474C27" w:rsidRPr="009E60F3" w:rsidRDefault="00D73648" w:rsidP="00474C27">
      <w:pPr>
        <w:spacing w:before="280" w:after="28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En primer lugar, </w:t>
      </w:r>
      <w:r w:rsidR="00474C27" w:rsidRPr="009E60F3">
        <w:rPr>
          <w:rFonts w:ascii="Palatino Linotype" w:eastAsia="Palatino Linotype" w:hAnsi="Palatino Linotype" w:cs="Palatino Linotype"/>
        </w:rPr>
        <w:t>tomando en consideración la materia de la solicitud, es oportuno mencionar que derivado de la investigación realizada por este Organismo Garante, se pudo localizar la convocatoria</w:t>
      </w:r>
      <w:r w:rsidR="00113399" w:rsidRPr="009E60F3">
        <w:rPr>
          <w:rStyle w:val="Refdenotaalpie"/>
          <w:rFonts w:ascii="Palatino Linotype" w:eastAsia="Palatino Linotype" w:hAnsi="Palatino Linotype" w:cs="Palatino Linotype"/>
        </w:rPr>
        <w:footnoteReference w:id="2"/>
      </w:r>
      <w:r w:rsidR="00474C27" w:rsidRPr="009E60F3">
        <w:rPr>
          <w:rFonts w:ascii="Palatino Linotype" w:eastAsia="Palatino Linotype" w:hAnsi="Palatino Linotype" w:cs="Palatino Linotype"/>
        </w:rPr>
        <w:t xml:space="preserve"> a participar en la dinámica referida por el particular tal como se advierte a continuación:  </w:t>
      </w:r>
    </w:p>
    <w:p w14:paraId="28FC2612" w14:textId="77777777" w:rsidR="00474C27" w:rsidRPr="009E60F3" w:rsidRDefault="00474C27" w:rsidP="00474C27">
      <w:pPr>
        <w:spacing w:before="280" w:after="280" w:line="360" w:lineRule="auto"/>
        <w:jc w:val="center"/>
        <w:rPr>
          <w:rFonts w:ascii="Palatino Linotype" w:eastAsia="Palatino Linotype" w:hAnsi="Palatino Linotype" w:cs="Palatino Linotype"/>
        </w:rPr>
      </w:pPr>
      <w:r w:rsidRPr="009E60F3">
        <w:rPr>
          <w:rFonts w:ascii="Palatino Linotype" w:eastAsia="Palatino Linotype" w:hAnsi="Palatino Linotype" w:cs="Palatino Linotype"/>
          <w:noProof/>
        </w:rPr>
        <w:drawing>
          <wp:inline distT="0" distB="0" distL="0" distR="0" wp14:anchorId="37A55281" wp14:editId="5C5AF9D3">
            <wp:extent cx="2556000" cy="349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vocatoria dinámica.jpg"/>
                    <pic:cNvPicPr/>
                  </pic:nvPicPr>
                  <pic:blipFill>
                    <a:blip r:embed="rId9">
                      <a:extLst>
                        <a:ext uri="{28A0092B-C50C-407E-A947-70E740481C1C}">
                          <a14:useLocalDpi xmlns:a14="http://schemas.microsoft.com/office/drawing/2010/main" val="0"/>
                        </a:ext>
                      </a:extLst>
                    </a:blip>
                    <a:stretch>
                      <a:fillRect/>
                    </a:stretch>
                  </pic:blipFill>
                  <pic:spPr>
                    <a:xfrm>
                      <a:off x="0" y="0"/>
                      <a:ext cx="2556000" cy="3493858"/>
                    </a:xfrm>
                    <a:prstGeom prst="rect">
                      <a:avLst/>
                    </a:prstGeom>
                  </pic:spPr>
                </pic:pic>
              </a:graphicData>
            </a:graphic>
          </wp:inline>
        </w:drawing>
      </w:r>
    </w:p>
    <w:p w14:paraId="6C4D4300" w14:textId="77777777" w:rsidR="005656CC" w:rsidRPr="009E60F3" w:rsidRDefault="005656CC" w:rsidP="00474C27">
      <w:pPr>
        <w:spacing w:before="280" w:after="28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lastRenderedPageBreak/>
        <w:t>De la convocatoria se advierte que la dinámica estuvo a cargo de la Dirección de Apoyo a la Juventud, y que la premiación consistiría en una cena para</w:t>
      </w:r>
      <w:r w:rsidR="001065C7" w:rsidRPr="009E60F3">
        <w:rPr>
          <w:rFonts w:ascii="Palatino Linotype" w:eastAsia="Palatino Linotype" w:hAnsi="Palatino Linotype" w:cs="Palatino Linotype"/>
        </w:rPr>
        <w:t xml:space="preserve"> dos personas para el primer lugar en la categoría </w:t>
      </w:r>
      <w:r w:rsidR="001065C7" w:rsidRPr="009E60F3">
        <w:rPr>
          <w:rFonts w:ascii="Palatino Linotype" w:eastAsia="Palatino Linotype" w:hAnsi="Palatino Linotype" w:cs="Palatino Linotype"/>
          <w:i/>
        </w:rPr>
        <w:t>pareja</w:t>
      </w:r>
      <w:r w:rsidR="00113399" w:rsidRPr="009E60F3">
        <w:rPr>
          <w:rFonts w:ascii="Palatino Linotype" w:eastAsia="Palatino Linotype" w:hAnsi="Palatino Linotype" w:cs="Palatino Linotype"/>
        </w:rPr>
        <w:t xml:space="preserve">, </w:t>
      </w:r>
      <w:r w:rsidR="001065C7" w:rsidRPr="009E60F3">
        <w:rPr>
          <w:rFonts w:ascii="Palatino Linotype" w:eastAsia="Palatino Linotype" w:hAnsi="Palatino Linotype" w:cs="Palatino Linotype"/>
        </w:rPr>
        <w:t>y una cena para</w:t>
      </w:r>
      <w:r w:rsidRPr="009E60F3">
        <w:rPr>
          <w:rFonts w:ascii="Palatino Linotype" w:eastAsia="Palatino Linotype" w:hAnsi="Palatino Linotype" w:cs="Palatino Linotype"/>
        </w:rPr>
        <w:t xml:space="preserve"> tres personas para el primer lugar</w:t>
      </w:r>
      <w:r w:rsidR="001065C7" w:rsidRPr="009E60F3">
        <w:rPr>
          <w:rFonts w:ascii="Palatino Linotype" w:eastAsia="Palatino Linotype" w:hAnsi="Palatino Linotype" w:cs="Palatino Linotype"/>
        </w:rPr>
        <w:t xml:space="preserve"> en la categoría </w:t>
      </w:r>
      <w:r w:rsidR="001065C7" w:rsidRPr="009E60F3">
        <w:rPr>
          <w:rFonts w:ascii="Palatino Linotype" w:eastAsia="Palatino Linotype" w:hAnsi="Palatino Linotype" w:cs="Palatino Linotype"/>
          <w:i/>
        </w:rPr>
        <w:t>amigos</w:t>
      </w:r>
      <w:r w:rsidR="001065C7" w:rsidRPr="009E60F3">
        <w:rPr>
          <w:rFonts w:ascii="Palatino Linotype" w:eastAsia="Palatino Linotype" w:hAnsi="Palatino Linotype" w:cs="Palatino Linotype"/>
        </w:rPr>
        <w:t>.</w:t>
      </w:r>
    </w:p>
    <w:p w14:paraId="6B103542" w14:textId="77777777" w:rsidR="002344C9" w:rsidRPr="009E60F3" w:rsidRDefault="00113399">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Por otro lado</w:t>
      </w:r>
      <w:r w:rsidR="001065C7" w:rsidRPr="009E60F3">
        <w:rPr>
          <w:rFonts w:ascii="Palatino Linotype" w:eastAsia="Palatino Linotype" w:hAnsi="Palatino Linotype" w:cs="Palatino Linotype"/>
        </w:rPr>
        <w:t xml:space="preserve">, </w:t>
      </w:r>
      <w:r w:rsidR="00D73648" w:rsidRPr="009E60F3">
        <w:rPr>
          <w:rFonts w:ascii="Palatino Linotype" w:eastAsia="Palatino Linotype" w:hAnsi="Palatino Linotype" w:cs="Palatino Linotype"/>
        </w:rPr>
        <w:t xml:space="preserve">respecto del primer </w:t>
      </w:r>
      <w:r w:rsidRPr="009E60F3">
        <w:rPr>
          <w:rFonts w:ascii="Palatino Linotype" w:eastAsia="Palatino Linotype" w:hAnsi="Palatino Linotype" w:cs="Palatino Linotype"/>
        </w:rPr>
        <w:t xml:space="preserve">requerimiento, </w:t>
      </w:r>
      <w:r w:rsidR="00D73648" w:rsidRPr="009E60F3">
        <w:rPr>
          <w:rFonts w:ascii="Palatino Linotype" w:eastAsia="Palatino Linotype" w:hAnsi="Palatino Linotype" w:cs="Palatino Linotype"/>
        </w:rPr>
        <w:t xml:space="preserve">se advierte que la persona solicitante, al pedir el costo de la dinámica, no pretende obtener la cantidad monetaria que los interesados tendrían que cubrir para poder participar </w:t>
      </w:r>
      <w:r w:rsidR="001065C7" w:rsidRPr="009E60F3">
        <w:rPr>
          <w:rFonts w:ascii="Palatino Linotype" w:eastAsia="Palatino Linotype" w:hAnsi="Palatino Linotype" w:cs="Palatino Linotype"/>
        </w:rPr>
        <w:t>en la dinámica</w:t>
      </w:r>
      <w:r w:rsidR="00D73648" w:rsidRPr="009E60F3">
        <w:rPr>
          <w:rFonts w:ascii="Palatino Linotype" w:eastAsia="Palatino Linotype" w:hAnsi="Palatino Linotype" w:cs="Palatino Linotype"/>
        </w:rPr>
        <w:t xml:space="preserve">, tal y como fue interpretado por el </w:t>
      </w:r>
      <w:r w:rsidR="00D73648" w:rsidRPr="009E60F3">
        <w:rPr>
          <w:rFonts w:ascii="Palatino Linotype" w:eastAsia="Palatino Linotype" w:hAnsi="Palatino Linotype" w:cs="Palatino Linotype"/>
          <w:b/>
        </w:rPr>
        <w:t xml:space="preserve">Sujeto Obligado, </w:t>
      </w:r>
      <w:r w:rsidR="00D73648" w:rsidRPr="009E60F3">
        <w:rPr>
          <w:rFonts w:ascii="Palatino Linotype" w:eastAsia="Palatino Linotype" w:hAnsi="Palatino Linotype" w:cs="Palatino Linotype"/>
        </w:rPr>
        <w:t xml:space="preserve">sino, que requiere se le informe sobre la cantidad monetaria </w:t>
      </w:r>
      <w:r w:rsidR="00BA1185" w:rsidRPr="009E60F3">
        <w:rPr>
          <w:rFonts w:ascii="Palatino Linotype" w:eastAsia="Palatino Linotype" w:hAnsi="Palatino Linotype" w:cs="Palatino Linotype"/>
        </w:rPr>
        <w:t xml:space="preserve">que el </w:t>
      </w:r>
      <w:r w:rsidR="00D73648" w:rsidRPr="009E60F3">
        <w:rPr>
          <w:rFonts w:ascii="Palatino Linotype" w:eastAsia="Palatino Linotype" w:hAnsi="Palatino Linotype" w:cs="Palatino Linotype"/>
        </w:rPr>
        <w:t>ayuntamiento</w:t>
      </w:r>
      <w:r w:rsidR="00BA1185" w:rsidRPr="009E60F3">
        <w:rPr>
          <w:rFonts w:ascii="Palatino Linotype" w:eastAsia="Palatino Linotype" w:hAnsi="Palatino Linotype" w:cs="Palatino Linotype"/>
        </w:rPr>
        <w:t xml:space="preserve"> destinará </w:t>
      </w:r>
      <w:r w:rsidR="00D73648" w:rsidRPr="009E60F3">
        <w:rPr>
          <w:rFonts w:ascii="Palatino Linotype" w:eastAsia="Palatino Linotype" w:hAnsi="Palatino Linotype" w:cs="Palatino Linotype"/>
        </w:rPr>
        <w:t>para la realización de la referida dinámica,</w:t>
      </w:r>
      <w:r w:rsidR="00BA1185" w:rsidRPr="009E60F3">
        <w:rPr>
          <w:rFonts w:ascii="Palatino Linotype" w:eastAsia="Palatino Linotype" w:hAnsi="Palatino Linotype" w:cs="Palatino Linotype"/>
        </w:rPr>
        <w:t xml:space="preserve"> es decir, el monto programado o presupuestado, </w:t>
      </w:r>
      <w:r w:rsidR="00D73648" w:rsidRPr="009E60F3">
        <w:rPr>
          <w:rFonts w:ascii="Palatino Linotype" w:eastAsia="Palatino Linotype" w:hAnsi="Palatino Linotype" w:cs="Palatino Linotype"/>
        </w:rPr>
        <w:t>tan es así que solicitó, además, se le hiciera entrega de la partida presupuestal de la cual se obtendrían los recursos públicos para cubrir el gasto generado.</w:t>
      </w:r>
    </w:p>
    <w:p w14:paraId="67D8124B" w14:textId="77777777" w:rsidR="002344C9" w:rsidRPr="009E60F3" w:rsidRDefault="00D73648">
      <w:pPr>
        <w:spacing w:before="280" w:after="28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En tal contexto, toda vez que el ejercicio del derecho de acceso a la información no implica que los particulares tengan la obligación de ser expertos de ser expertos en la materia, y señalen de manera concreta o específica el o los documentos a los cuales desean acceder, este Organismo Garante considera  necesario aplicar la facultad de suplencia prevista en los artículos 13</w:t>
      </w:r>
      <w:r w:rsidRPr="009E60F3">
        <w:rPr>
          <w:rFonts w:ascii="Palatino Linotype" w:eastAsia="Palatino Linotype" w:hAnsi="Palatino Linotype" w:cs="Palatino Linotype"/>
          <w:vertAlign w:val="superscript"/>
        </w:rPr>
        <w:footnoteReference w:id="3"/>
      </w:r>
      <w:r w:rsidRPr="009E60F3">
        <w:rPr>
          <w:rFonts w:ascii="Palatino Linotype" w:eastAsia="Palatino Linotype" w:hAnsi="Palatino Linotype" w:cs="Palatino Linotype"/>
        </w:rPr>
        <w:t xml:space="preserve"> y 181</w:t>
      </w:r>
      <w:r w:rsidRPr="009E60F3">
        <w:rPr>
          <w:rFonts w:ascii="Palatino Linotype" w:eastAsia="Palatino Linotype" w:hAnsi="Palatino Linotype" w:cs="Palatino Linotype"/>
          <w:vertAlign w:val="superscript"/>
        </w:rPr>
        <w:footnoteReference w:id="4"/>
      </w:r>
      <w:r w:rsidRPr="009E60F3">
        <w:rPr>
          <w:rFonts w:ascii="Palatino Linotype" w:eastAsia="Palatino Linotype" w:hAnsi="Palatino Linotype" w:cs="Palatino Linotype"/>
        </w:rPr>
        <w:t xml:space="preserve"> párrafo cuarto de la Ley de Transparencia y Acceso a la Información Pública del Estado de México y Municipios, en favor de la persona solicitante, por lo que se estima adecuado ordenar la entrega, </w:t>
      </w:r>
      <w:r w:rsidRPr="009E60F3">
        <w:rPr>
          <w:rFonts w:ascii="Palatino Linotype" w:eastAsia="Palatino Linotype" w:hAnsi="Palatino Linotype" w:cs="Palatino Linotype"/>
        </w:rPr>
        <w:lastRenderedPageBreak/>
        <w:t xml:space="preserve">de ser el caso, del soporte documental que dé cuenta del monto </w:t>
      </w:r>
      <w:r w:rsidR="008F2687" w:rsidRPr="009E60F3">
        <w:rPr>
          <w:rFonts w:ascii="Palatino Linotype" w:eastAsia="Palatino Linotype" w:hAnsi="Palatino Linotype" w:cs="Palatino Linotype"/>
        </w:rPr>
        <w:t>programado</w:t>
      </w:r>
      <w:r w:rsidR="00BA1185" w:rsidRPr="009E60F3">
        <w:rPr>
          <w:rFonts w:ascii="Palatino Linotype" w:eastAsia="Palatino Linotype" w:hAnsi="Palatino Linotype" w:cs="Palatino Linotype"/>
        </w:rPr>
        <w:t xml:space="preserve"> o presupuestado</w:t>
      </w:r>
      <w:r w:rsidRPr="009E60F3">
        <w:rPr>
          <w:rFonts w:ascii="Palatino Linotype" w:eastAsia="Palatino Linotype" w:hAnsi="Palatino Linotype" w:cs="Palatino Linotype"/>
        </w:rPr>
        <w:t xml:space="preserve"> para la realización del evento o dinámica señalada por el particular</w:t>
      </w:r>
      <w:r w:rsidR="00BA1185" w:rsidRPr="009E60F3">
        <w:rPr>
          <w:rFonts w:ascii="Palatino Linotype" w:eastAsia="Palatino Linotype" w:hAnsi="Palatino Linotype" w:cs="Palatino Linotype"/>
        </w:rPr>
        <w:t>.</w:t>
      </w:r>
    </w:p>
    <w:p w14:paraId="6742C80C"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Continuando con el análisis es oportuno mencionar que, en términos del artículo 134 de la Constitución Política de los Estados Unidos Mexicanos, se encomienda a los Municipios administrar con eficiencia, eficacia, economía, transparencia y honradez los recursos económicos a fin de satisfacer los objetivos a que estén destinados.</w:t>
      </w:r>
    </w:p>
    <w:p w14:paraId="0801576B"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Por ello, el artículo 61</w:t>
      </w:r>
      <w:r w:rsidR="00113399" w:rsidRPr="009E60F3">
        <w:rPr>
          <w:rFonts w:ascii="Palatino Linotype" w:eastAsia="Palatino Linotype" w:hAnsi="Palatino Linotype" w:cs="Palatino Linotype"/>
        </w:rPr>
        <w:t>,</w:t>
      </w:r>
      <w:r w:rsidRPr="009E60F3">
        <w:rPr>
          <w:rFonts w:ascii="Palatino Linotype" w:eastAsia="Palatino Linotype" w:hAnsi="Palatino Linotype" w:cs="Palatino Linotype"/>
        </w:rPr>
        <w:t xml:space="preserve"> fracción II de la Ley General de Contabilidad Gubernamental establece las bases del presupuesto de egresos, conforme a lo siguiente:</w:t>
      </w:r>
    </w:p>
    <w:p w14:paraId="36835C4B" w14:textId="77777777" w:rsidR="002344C9" w:rsidRPr="009E60F3" w:rsidRDefault="00D73648">
      <w:pPr>
        <w:pBdr>
          <w:top w:val="nil"/>
          <w:left w:val="nil"/>
          <w:bottom w:val="nil"/>
          <w:right w:val="nil"/>
          <w:between w:val="nil"/>
        </w:pBdr>
        <w:spacing w:before="240" w:after="240"/>
        <w:ind w:left="851" w:right="902"/>
        <w:jc w:val="both"/>
        <w:rPr>
          <w:rFonts w:ascii="Palatino Linotype" w:eastAsia="Palatino Linotype" w:hAnsi="Palatino Linotype" w:cs="Palatino Linotype"/>
          <w:i/>
          <w:sz w:val="22"/>
          <w:szCs w:val="22"/>
        </w:rPr>
      </w:pPr>
      <w:r w:rsidRPr="009E60F3">
        <w:rPr>
          <w:rFonts w:ascii="Palatino Linotype" w:eastAsia="Palatino Linotype" w:hAnsi="Palatino Linotype" w:cs="Palatino Linotype"/>
          <w:b/>
          <w:i/>
          <w:sz w:val="22"/>
          <w:szCs w:val="22"/>
        </w:rPr>
        <w:t>“Artículo 61.-</w:t>
      </w:r>
      <w:r w:rsidRPr="009E60F3">
        <w:rPr>
          <w:rFonts w:ascii="Palatino Linotype" w:eastAsia="Palatino Linotype" w:hAnsi="Palatino Linotype" w:cs="Palatino Linotype"/>
          <w:i/>
          <w:sz w:val="22"/>
          <w:szCs w:val="22"/>
        </w:rPr>
        <w:t xml:space="preserve"> Además de la información prevista en las respectivas leyes en materia financiera, fiscal y presupuestaria y la información señalada en los artículos 46 a 48 de esta Ley, la Federación, las entidades federativas, los municipios, y en su caso, las demarcaciones territoriales del Distrito Federal, incluirán en sus respectivas leyes de ingresos y presupuestos de egresos u ordenamientos equivalentes, apartados específicos con la información siguiente:</w:t>
      </w:r>
    </w:p>
    <w:p w14:paraId="68787A77" w14:textId="77777777" w:rsidR="002344C9" w:rsidRPr="009E60F3" w:rsidRDefault="00D73648">
      <w:pPr>
        <w:spacing w:before="240" w:after="240"/>
        <w:ind w:left="1134" w:right="902"/>
        <w:jc w:val="both"/>
        <w:rPr>
          <w:rFonts w:ascii="Palatino Linotype" w:eastAsia="Palatino Linotype" w:hAnsi="Palatino Linotype" w:cs="Palatino Linotype"/>
          <w:i/>
          <w:sz w:val="22"/>
          <w:szCs w:val="22"/>
        </w:rPr>
      </w:pPr>
      <w:r w:rsidRPr="009E60F3">
        <w:rPr>
          <w:rFonts w:ascii="Palatino Linotype" w:eastAsia="Palatino Linotype" w:hAnsi="Palatino Linotype" w:cs="Palatino Linotype"/>
          <w:i/>
          <w:sz w:val="22"/>
          <w:szCs w:val="22"/>
        </w:rPr>
        <w:t>(…)</w:t>
      </w:r>
    </w:p>
    <w:p w14:paraId="70FF2389" w14:textId="77777777" w:rsidR="002344C9" w:rsidRPr="009E60F3" w:rsidRDefault="00D73648">
      <w:pPr>
        <w:spacing w:before="240" w:after="240"/>
        <w:ind w:left="1134" w:right="902"/>
        <w:jc w:val="both"/>
        <w:rPr>
          <w:rFonts w:ascii="Palatino Linotype" w:eastAsia="Palatino Linotype" w:hAnsi="Palatino Linotype" w:cs="Palatino Linotype"/>
          <w:b/>
          <w:i/>
          <w:sz w:val="22"/>
          <w:szCs w:val="22"/>
        </w:rPr>
      </w:pPr>
      <w:r w:rsidRPr="009E60F3">
        <w:rPr>
          <w:rFonts w:ascii="Palatino Linotype" w:eastAsia="Palatino Linotype" w:hAnsi="Palatino Linotype" w:cs="Palatino Linotype"/>
          <w:b/>
          <w:i/>
          <w:sz w:val="22"/>
          <w:szCs w:val="22"/>
        </w:rPr>
        <w:t xml:space="preserve">II. Presupuestos de Egresos: </w:t>
      </w:r>
    </w:p>
    <w:p w14:paraId="070325BA" w14:textId="77777777" w:rsidR="002344C9" w:rsidRPr="009E60F3" w:rsidRDefault="00D73648">
      <w:pPr>
        <w:spacing w:before="240" w:after="240"/>
        <w:ind w:left="1418" w:right="902"/>
        <w:jc w:val="both"/>
        <w:rPr>
          <w:rFonts w:ascii="Palatino Linotype" w:eastAsia="Palatino Linotype" w:hAnsi="Palatino Linotype" w:cs="Palatino Linotype"/>
          <w:i/>
          <w:sz w:val="22"/>
          <w:szCs w:val="22"/>
        </w:rPr>
      </w:pPr>
      <w:r w:rsidRPr="009E60F3">
        <w:rPr>
          <w:rFonts w:ascii="Palatino Linotype" w:eastAsia="Palatino Linotype" w:hAnsi="Palatino Linotype" w:cs="Palatino Linotype"/>
          <w:b/>
          <w:i/>
          <w:sz w:val="22"/>
          <w:szCs w:val="22"/>
        </w:rPr>
        <w:t>a)</w:t>
      </w:r>
      <w:r w:rsidRPr="009E60F3">
        <w:rPr>
          <w:rFonts w:ascii="Palatino Linotype" w:eastAsia="Palatino Linotype" w:hAnsi="Palatino Linotype" w:cs="Palatino Linotype"/>
          <w:i/>
          <w:sz w:val="22"/>
          <w:szCs w:val="22"/>
        </w:rPr>
        <w:t xml:space="preserve"> Las prioridades de gasto, los programas y proyectos, así como la distribución del presupuesto, detallando el gasto en servicios personales, incluyendo el analítico de plazas y desglosando todas las remuneraciones; las contrataciones de servicios por honorarios y, en su caso, previsiones para personal eventual; pensiones; gastos de operación, incluyendo gasto en comunicación social; gasto de inversión; así como gasto correspondiente a compromisos plurianuales, proyectos de asociaciones público privadas y proyectos de prestación de servicios, entre otros; </w:t>
      </w:r>
    </w:p>
    <w:p w14:paraId="1ECAF3DD" w14:textId="77777777" w:rsidR="002344C9" w:rsidRPr="009E60F3" w:rsidRDefault="00D73648">
      <w:pPr>
        <w:spacing w:before="240" w:after="240"/>
        <w:ind w:left="1418" w:right="902"/>
        <w:jc w:val="both"/>
        <w:rPr>
          <w:rFonts w:ascii="Palatino Linotype" w:eastAsia="Palatino Linotype" w:hAnsi="Palatino Linotype" w:cs="Palatino Linotype"/>
          <w:i/>
          <w:sz w:val="22"/>
          <w:szCs w:val="22"/>
        </w:rPr>
      </w:pPr>
      <w:r w:rsidRPr="009E60F3">
        <w:rPr>
          <w:rFonts w:ascii="Palatino Linotype" w:eastAsia="Palatino Linotype" w:hAnsi="Palatino Linotype" w:cs="Palatino Linotype"/>
          <w:b/>
          <w:i/>
          <w:sz w:val="22"/>
          <w:szCs w:val="22"/>
        </w:rPr>
        <w:t>b)</w:t>
      </w:r>
      <w:r w:rsidRPr="009E60F3">
        <w:rPr>
          <w:rFonts w:ascii="Palatino Linotype" w:eastAsia="Palatino Linotype" w:hAnsi="Palatino Linotype" w:cs="Palatino Linotype"/>
          <w:i/>
          <w:sz w:val="22"/>
          <w:szCs w:val="22"/>
        </w:rPr>
        <w:t xml:space="preserve"> El listado de programas así como sus indicadores estratégicos y de gestión aprobados, y </w:t>
      </w:r>
    </w:p>
    <w:p w14:paraId="6AFA2DF7" w14:textId="77777777" w:rsidR="002344C9" w:rsidRPr="009E60F3" w:rsidRDefault="00D73648">
      <w:pPr>
        <w:spacing w:before="240" w:after="240"/>
        <w:ind w:left="1418" w:right="902"/>
        <w:jc w:val="both"/>
        <w:rPr>
          <w:rFonts w:ascii="Palatino Linotype" w:eastAsia="Palatino Linotype" w:hAnsi="Palatino Linotype" w:cs="Palatino Linotype"/>
          <w:i/>
          <w:sz w:val="22"/>
          <w:szCs w:val="22"/>
        </w:rPr>
      </w:pPr>
      <w:r w:rsidRPr="009E60F3">
        <w:rPr>
          <w:rFonts w:ascii="Palatino Linotype" w:eastAsia="Palatino Linotype" w:hAnsi="Palatino Linotype" w:cs="Palatino Linotype"/>
          <w:b/>
          <w:i/>
          <w:sz w:val="22"/>
          <w:szCs w:val="22"/>
        </w:rPr>
        <w:t>c)</w:t>
      </w:r>
      <w:r w:rsidRPr="009E60F3">
        <w:rPr>
          <w:rFonts w:ascii="Palatino Linotype" w:eastAsia="Palatino Linotype" w:hAnsi="Palatino Linotype" w:cs="Palatino Linotype"/>
          <w:i/>
          <w:sz w:val="22"/>
          <w:szCs w:val="22"/>
        </w:rPr>
        <w:t xml:space="preserve"> La aplicación de los recursos conforme a las clasificaciones administrativa, funcional, programática, económica y, en su caso, </w:t>
      </w:r>
      <w:r w:rsidRPr="009E60F3">
        <w:rPr>
          <w:rFonts w:ascii="Palatino Linotype" w:eastAsia="Palatino Linotype" w:hAnsi="Palatino Linotype" w:cs="Palatino Linotype"/>
          <w:i/>
          <w:sz w:val="22"/>
          <w:szCs w:val="22"/>
        </w:rPr>
        <w:lastRenderedPageBreak/>
        <w:t>geográfica y sus interrelaciones que faciliten el análisis para valorar la eficiencia y eficacia en el uso y destino de los recursos y sus resultados…”</w:t>
      </w:r>
    </w:p>
    <w:p w14:paraId="1AC23DEA" w14:textId="77777777" w:rsidR="002344C9" w:rsidRPr="009E60F3" w:rsidRDefault="00D73648">
      <w:pPr>
        <w:spacing w:before="240" w:after="240" w:line="360" w:lineRule="auto"/>
        <w:ind w:right="-91"/>
        <w:jc w:val="both"/>
        <w:rPr>
          <w:rFonts w:ascii="Palatino Linotype" w:eastAsia="Palatino Linotype" w:hAnsi="Palatino Linotype" w:cs="Palatino Linotype"/>
        </w:rPr>
      </w:pPr>
      <w:r w:rsidRPr="009E60F3">
        <w:rPr>
          <w:rFonts w:ascii="Palatino Linotype" w:eastAsia="Palatino Linotype" w:hAnsi="Palatino Linotype" w:cs="Palatino Linotype"/>
        </w:rPr>
        <w:t>En términos del artículo en cita, los ayuntamientos y a las entidades públicas municipales, aplicaran los recursos públicos con un enfoque de resultados de conformidad con lo establecido en la Constitución Local, la Ley Orgánica Municipal del Estado de México y el Código Financiero del Estado de México y Municipios, que permita integrar u operar el presupuesto que ejercerán las Dependencias Generales, Auxiliares y los Organismos Municipales en congruencia con lo establecido en el Plan de Desarrollo Municipal, y para ello el presupuesto de egresos se integra con los recursos destinados a los Ayuntamientos y sus Organismos Municipales, conforme al gasto programable y no programable, , conforme a la siguiente distribución:</w:t>
      </w:r>
    </w:p>
    <w:p w14:paraId="28CE041D" w14:textId="77777777" w:rsidR="002344C9" w:rsidRPr="009E60F3" w:rsidRDefault="00D73648">
      <w:pPr>
        <w:spacing w:after="120"/>
        <w:ind w:left="851" w:right="900"/>
        <w:jc w:val="both"/>
        <w:rPr>
          <w:rFonts w:ascii="Palatino Linotype" w:eastAsia="Palatino Linotype" w:hAnsi="Palatino Linotype" w:cs="Palatino Linotype"/>
          <w:b/>
          <w:i/>
          <w:sz w:val="22"/>
          <w:szCs w:val="22"/>
        </w:rPr>
      </w:pPr>
      <w:r w:rsidRPr="009E60F3">
        <w:rPr>
          <w:rFonts w:ascii="Palatino Linotype" w:eastAsia="Palatino Linotype" w:hAnsi="Palatino Linotype" w:cs="Palatino Linotype"/>
          <w:b/>
          <w:i/>
          <w:sz w:val="22"/>
          <w:szCs w:val="22"/>
        </w:rPr>
        <w:t>Código Financiero del Estado de México y Municipios</w:t>
      </w:r>
    </w:p>
    <w:p w14:paraId="028098AB" w14:textId="77777777" w:rsidR="002344C9" w:rsidRPr="009E60F3" w:rsidRDefault="00D73648">
      <w:pPr>
        <w:spacing w:after="120"/>
        <w:ind w:left="851" w:right="900"/>
        <w:jc w:val="both"/>
        <w:rPr>
          <w:rFonts w:ascii="Palatino Linotype" w:eastAsia="Palatino Linotype" w:hAnsi="Palatino Linotype" w:cs="Palatino Linotype"/>
          <w:i/>
          <w:sz w:val="22"/>
          <w:szCs w:val="22"/>
        </w:rPr>
      </w:pPr>
      <w:r w:rsidRPr="009E60F3">
        <w:rPr>
          <w:rFonts w:ascii="Palatino Linotype" w:eastAsia="Palatino Linotype" w:hAnsi="Palatino Linotype" w:cs="Palatino Linotype"/>
          <w:b/>
          <w:i/>
          <w:sz w:val="22"/>
          <w:szCs w:val="22"/>
        </w:rPr>
        <w:t>“Artículo 292</w:t>
      </w:r>
      <w:r w:rsidRPr="009E60F3">
        <w:rPr>
          <w:rFonts w:ascii="Palatino Linotype" w:eastAsia="Palatino Linotype" w:hAnsi="Palatino Linotype" w:cs="Palatino Linotype"/>
          <w:i/>
          <w:sz w:val="22"/>
          <w:szCs w:val="22"/>
        </w:rPr>
        <w:t xml:space="preserve">.- El Proyecto de Presupuesto de Egresos del Gobierno del Estado de México deberá contribuir a un balance presupuestario sostenible en términos de la legislación en la materia, será elaborado atendiendo el modelo de Presupuesto Basado en Resultados y sujeto a la evaluación del desempeño de sus programas presupuestarios, y se integrará con los recursos que se destinen a los poderes Ejecutivo, Legislativo y Judicial, a los organismos autónomos y a los municipios. </w:t>
      </w:r>
    </w:p>
    <w:p w14:paraId="1A6D7A37" w14:textId="77777777" w:rsidR="002344C9" w:rsidRPr="009E60F3" w:rsidRDefault="00D73648">
      <w:pPr>
        <w:spacing w:after="120"/>
        <w:ind w:left="851" w:right="900"/>
        <w:jc w:val="both"/>
        <w:rPr>
          <w:rFonts w:ascii="Palatino Linotype" w:eastAsia="Palatino Linotype" w:hAnsi="Palatino Linotype" w:cs="Palatino Linotype"/>
          <w:b/>
          <w:i/>
          <w:sz w:val="22"/>
          <w:szCs w:val="22"/>
        </w:rPr>
      </w:pPr>
      <w:r w:rsidRPr="009E60F3">
        <w:rPr>
          <w:rFonts w:ascii="Palatino Linotype" w:eastAsia="Palatino Linotype" w:hAnsi="Palatino Linotype" w:cs="Palatino Linotype"/>
          <w:b/>
          <w:i/>
          <w:sz w:val="22"/>
          <w:szCs w:val="22"/>
        </w:rPr>
        <w:t xml:space="preserve">Para el caso de los Municipios, el Proyecto de Presupuesto se integrará con los recursos que se destinen al Ayuntamiento y a los organismos municipales. </w:t>
      </w:r>
    </w:p>
    <w:p w14:paraId="74F65C42" w14:textId="77777777" w:rsidR="002344C9" w:rsidRPr="009E60F3" w:rsidRDefault="00D73648">
      <w:pPr>
        <w:spacing w:after="120"/>
        <w:ind w:left="851" w:right="900"/>
        <w:jc w:val="both"/>
        <w:rPr>
          <w:rFonts w:ascii="Palatino Linotype" w:eastAsia="Palatino Linotype" w:hAnsi="Palatino Linotype" w:cs="Palatino Linotype"/>
          <w:b/>
          <w:i/>
          <w:sz w:val="22"/>
          <w:szCs w:val="22"/>
        </w:rPr>
      </w:pPr>
      <w:r w:rsidRPr="009E60F3">
        <w:rPr>
          <w:rFonts w:ascii="Palatino Linotype" w:eastAsia="Palatino Linotype" w:hAnsi="Palatino Linotype" w:cs="Palatino Linotype"/>
          <w:i/>
          <w:sz w:val="22"/>
          <w:szCs w:val="22"/>
        </w:rPr>
        <w:t>La distribución será conforme a lo siguiente:</w:t>
      </w:r>
    </w:p>
    <w:p w14:paraId="2A3E3D60" w14:textId="77777777" w:rsidR="002344C9" w:rsidRPr="009E60F3" w:rsidRDefault="00D73648">
      <w:pPr>
        <w:spacing w:after="120"/>
        <w:ind w:left="1134" w:right="900"/>
        <w:jc w:val="both"/>
        <w:rPr>
          <w:rFonts w:ascii="Palatino Linotype" w:eastAsia="Palatino Linotype" w:hAnsi="Palatino Linotype" w:cs="Palatino Linotype"/>
        </w:rPr>
      </w:pPr>
      <w:r w:rsidRPr="009E60F3">
        <w:rPr>
          <w:rFonts w:ascii="Palatino Linotype" w:eastAsia="Palatino Linotype" w:hAnsi="Palatino Linotype" w:cs="Palatino Linotype"/>
          <w:b/>
        </w:rPr>
        <w:t>I.</w:t>
      </w:r>
      <w:r w:rsidRPr="009E60F3">
        <w:rPr>
          <w:rFonts w:ascii="Palatino Linotype" w:eastAsia="Palatino Linotype" w:hAnsi="Palatino Linotype" w:cs="Palatino Linotype"/>
        </w:rPr>
        <w:t xml:space="preserve"> El gasto programable comprende los siguientes capítulos: </w:t>
      </w:r>
    </w:p>
    <w:p w14:paraId="30C546D8" w14:textId="77777777" w:rsidR="002344C9" w:rsidRPr="009E60F3" w:rsidRDefault="00D73648">
      <w:pPr>
        <w:spacing w:after="120"/>
        <w:ind w:left="1418" w:right="900"/>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a). 1000 Servicios Personales. </w:t>
      </w:r>
    </w:p>
    <w:p w14:paraId="1B3BA470" w14:textId="77777777" w:rsidR="002344C9" w:rsidRPr="009E60F3" w:rsidRDefault="00D73648">
      <w:pPr>
        <w:spacing w:after="120"/>
        <w:ind w:left="1418" w:right="900"/>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b). 2000 Materiales y Suministros. </w:t>
      </w:r>
    </w:p>
    <w:p w14:paraId="5A20199A" w14:textId="77777777" w:rsidR="002344C9" w:rsidRPr="009E60F3" w:rsidRDefault="00D73648">
      <w:pPr>
        <w:spacing w:after="120"/>
        <w:ind w:left="1418" w:right="900"/>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c). 3000 Servicios Generales. </w:t>
      </w:r>
    </w:p>
    <w:p w14:paraId="1C831CA3" w14:textId="77777777" w:rsidR="002344C9" w:rsidRPr="009E60F3" w:rsidRDefault="00D73648">
      <w:pPr>
        <w:spacing w:after="120"/>
        <w:ind w:left="1418" w:right="900"/>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d).4000 Transferencias, Asignaciones, Subsidios y otras ayudas. </w:t>
      </w:r>
    </w:p>
    <w:p w14:paraId="6CEE5E12" w14:textId="77777777" w:rsidR="002344C9" w:rsidRPr="009E60F3" w:rsidRDefault="00D73648">
      <w:pPr>
        <w:spacing w:after="120"/>
        <w:ind w:left="1418" w:right="900"/>
        <w:jc w:val="both"/>
        <w:rPr>
          <w:rFonts w:ascii="Palatino Linotype" w:eastAsia="Palatino Linotype" w:hAnsi="Palatino Linotype" w:cs="Palatino Linotype"/>
        </w:rPr>
      </w:pPr>
      <w:r w:rsidRPr="009E60F3">
        <w:rPr>
          <w:rFonts w:ascii="Palatino Linotype" w:eastAsia="Palatino Linotype" w:hAnsi="Palatino Linotype" w:cs="Palatino Linotype"/>
        </w:rPr>
        <w:lastRenderedPageBreak/>
        <w:t xml:space="preserve">e). 5000 Bienes Muebles, Inmuebles e Intangibles. </w:t>
      </w:r>
    </w:p>
    <w:p w14:paraId="0F9BD5F9" w14:textId="77777777" w:rsidR="002344C9" w:rsidRPr="009E60F3" w:rsidRDefault="00D73648">
      <w:pPr>
        <w:spacing w:after="120"/>
        <w:ind w:left="1418" w:right="900"/>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f). 6000 Inversión Pública. </w:t>
      </w:r>
    </w:p>
    <w:p w14:paraId="686C67A1" w14:textId="77777777" w:rsidR="002344C9" w:rsidRPr="009E60F3" w:rsidRDefault="00D73648">
      <w:pPr>
        <w:spacing w:after="120"/>
        <w:ind w:left="1418" w:right="900"/>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g). 7000 Inversiones Financieras y otras provisiones. </w:t>
      </w:r>
    </w:p>
    <w:p w14:paraId="21D071D8" w14:textId="77777777" w:rsidR="002344C9" w:rsidRPr="009E60F3" w:rsidRDefault="00D73648">
      <w:pPr>
        <w:spacing w:after="120"/>
        <w:ind w:left="1134" w:right="900"/>
        <w:jc w:val="both"/>
        <w:rPr>
          <w:rFonts w:ascii="Palatino Linotype" w:eastAsia="Palatino Linotype" w:hAnsi="Palatino Linotype" w:cs="Palatino Linotype"/>
        </w:rPr>
      </w:pPr>
      <w:r w:rsidRPr="009E60F3">
        <w:rPr>
          <w:rFonts w:ascii="Palatino Linotype" w:eastAsia="Palatino Linotype" w:hAnsi="Palatino Linotype" w:cs="Palatino Linotype"/>
          <w:b/>
        </w:rPr>
        <w:t>II</w:t>
      </w:r>
      <w:r w:rsidRPr="009E60F3">
        <w:rPr>
          <w:rFonts w:ascii="Palatino Linotype" w:eastAsia="Palatino Linotype" w:hAnsi="Palatino Linotype" w:cs="Palatino Linotype"/>
        </w:rPr>
        <w:t xml:space="preserve">. El gasto no programable comprende los siguientes capítulos: </w:t>
      </w:r>
    </w:p>
    <w:p w14:paraId="54AC2397" w14:textId="77777777" w:rsidR="002344C9" w:rsidRPr="009E60F3" w:rsidRDefault="00D73648">
      <w:pPr>
        <w:spacing w:after="120"/>
        <w:ind w:left="1418" w:right="900"/>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a). 8000 Participaciones y Aportaciones. </w:t>
      </w:r>
    </w:p>
    <w:p w14:paraId="6ADE3391" w14:textId="77777777" w:rsidR="002344C9" w:rsidRPr="009E60F3" w:rsidRDefault="00D73648">
      <w:pPr>
        <w:pBdr>
          <w:top w:val="nil"/>
          <w:left w:val="nil"/>
          <w:bottom w:val="nil"/>
          <w:right w:val="nil"/>
          <w:between w:val="nil"/>
        </w:pBdr>
        <w:spacing w:after="120"/>
        <w:ind w:left="1418" w:right="900"/>
        <w:jc w:val="both"/>
        <w:rPr>
          <w:rFonts w:ascii="Palatino Linotype" w:eastAsia="Palatino Linotype" w:hAnsi="Palatino Linotype" w:cs="Palatino Linotype"/>
        </w:rPr>
      </w:pPr>
      <w:r w:rsidRPr="009E60F3">
        <w:rPr>
          <w:rFonts w:ascii="Palatino Linotype" w:eastAsia="Palatino Linotype" w:hAnsi="Palatino Linotype" w:cs="Palatino Linotype"/>
        </w:rPr>
        <w:t>b). 9000 Deuda Pública.</w:t>
      </w:r>
    </w:p>
    <w:p w14:paraId="696D281A"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En este mismo sentido, el Manual para la Planeación, Programación y Presupuestación Municipal para el ejercicio fiscal 2022, en el marco conceptual, numeral 1.2, define al presupuesto como:</w:t>
      </w:r>
    </w:p>
    <w:p w14:paraId="1BA852FA" w14:textId="77777777" w:rsidR="002344C9" w:rsidRPr="009E60F3" w:rsidRDefault="00D73648">
      <w:pPr>
        <w:spacing w:before="120" w:after="120"/>
        <w:ind w:left="851" w:right="902"/>
        <w:jc w:val="both"/>
        <w:rPr>
          <w:rFonts w:ascii="Palatino Linotype" w:eastAsia="Palatino Linotype" w:hAnsi="Palatino Linotype" w:cs="Palatino Linotype"/>
          <w:i/>
          <w:sz w:val="22"/>
          <w:szCs w:val="22"/>
        </w:rPr>
      </w:pPr>
      <w:r w:rsidRPr="009E60F3">
        <w:rPr>
          <w:rFonts w:ascii="Palatino Linotype" w:eastAsia="Palatino Linotype" w:hAnsi="Palatino Linotype" w:cs="Palatino Linotype"/>
          <w:i/>
          <w:sz w:val="22"/>
          <w:szCs w:val="22"/>
        </w:rPr>
        <w:t xml:space="preserve">“Con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(PDM), durante el ejercicio fiscal correspondiente. </w:t>
      </w:r>
    </w:p>
    <w:p w14:paraId="2383F905" w14:textId="77777777" w:rsidR="002344C9" w:rsidRPr="009E60F3" w:rsidRDefault="00D73648">
      <w:pPr>
        <w:spacing w:before="120" w:after="120"/>
        <w:ind w:left="851" w:right="902"/>
        <w:jc w:val="both"/>
        <w:rPr>
          <w:rFonts w:ascii="Palatino Linotype" w:eastAsia="Palatino Linotype" w:hAnsi="Palatino Linotype" w:cs="Palatino Linotype"/>
          <w:i/>
          <w:sz w:val="22"/>
          <w:szCs w:val="22"/>
        </w:rPr>
      </w:pPr>
      <w:r w:rsidRPr="009E60F3">
        <w:rPr>
          <w:rFonts w:ascii="Palatino Linotype" w:eastAsia="Palatino Linotype" w:hAnsi="Palatino Linotype" w:cs="Palatino Linotype"/>
          <w:i/>
          <w:sz w:val="22"/>
          <w:szCs w:val="22"/>
        </w:rPr>
        <w:t>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 El presupuesto público involucra los planes, políticas, programas, proyectos, estrategias y objetivos del municipio, como medio efectivo de control del gasto público y en ellos se fundamentan las diferentes alternativas de asignación de recursos para gastos e inversiones.”</w:t>
      </w:r>
    </w:p>
    <w:p w14:paraId="18F4F123" w14:textId="77777777" w:rsidR="002344C9" w:rsidRPr="009E60F3" w:rsidRDefault="00D73648">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Por su parte, el Código Financiero del Estado de México, señala que el presupuesto de egresos de los municipios constituye el instrumento jurídico, de política económica y de política de gasto, que aprueba el Ayuntamiento en el cual se establece el ejercicio, control y evaluación del gasto público, divido en concepto, </w:t>
      </w:r>
      <w:r w:rsidRPr="009E60F3">
        <w:rPr>
          <w:rFonts w:ascii="Palatino Linotype" w:eastAsia="Palatino Linotype" w:hAnsi="Palatino Linotype" w:cs="Palatino Linotype"/>
        </w:rPr>
        <w:lastRenderedPageBreak/>
        <w:t>partida genérica y partida específica, que representan las autorizaciones específicas del presupuesto.</w:t>
      </w:r>
    </w:p>
    <w:p w14:paraId="07D387A9"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Así que, este Instituto precisa que, para el cumplimiento de las obligaciones constitucionales, legales y administrativas, el </w:t>
      </w:r>
      <w:r w:rsidRPr="009E60F3">
        <w:rPr>
          <w:rFonts w:ascii="Palatino Linotype" w:eastAsia="Palatino Linotype" w:hAnsi="Palatino Linotype" w:cs="Palatino Linotype"/>
          <w:b/>
        </w:rPr>
        <w:t xml:space="preserve">Sujeto Obligado </w:t>
      </w:r>
      <w:r w:rsidRPr="009E60F3">
        <w:rPr>
          <w:rFonts w:ascii="Palatino Linotype" w:eastAsia="Palatino Linotype" w:hAnsi="Palatino Linotype" w:cs="Palatino Linotype"/>
        </w:rPr>
        <w:t xml:space="preserve">debe contar con documentos que contengan la información precisa sobre el uso de recursos públicos, tal es el caso del </w:t>
      </w:r>
      <w:r w:rsidRPr="009E60F3">
        <w:rPr>
          <w:rFonts w:ascii="Palatino Linotype" w:eastAsia="Palatino Linotype" w:hAnsi="Palatino Linotype" w:cs="Palatino Linotype"/>
          <w:b/>
          <w:u w:val="single"/>
        </w:rPr>
        <w:t>presupuesto asignado para la realización de</w:t>
      </w:r>
      <w:r w:rsidR="00113399" w:rsidRPr="009E60F3">
        <w:rPr>
          <w:rFonts w:ascii="Palatino Linotype" w:eastAsia="Palatino Linotype" w:hAnsi="Palatino Linotype" w:cs="Palatino Linotype"/>
          <w:b/>
          <w:u w:val="single"/>
        </w:rPr>
        <w:t xml:space="preserve"> la dinámica</w:t>
      </w:r>
      <w:r w:rsidRPr="009E60F3">
        <w:rPr>
          <w:rFonts w:ascii="Palatino Linotype" w:eastAsia="Palatino Linotype" w:hAnsi="Palatino Linotype" w:cs="Palatino Linotype"/>
        </w:rPr>
        <w:t xml:space="preserve"> a que hace alusión la persona solicitante.</w:t>
      </w:r>
    </w:p>
    <w:p w14:paraId="59081DDC" w14:textId="77777777" w:rsidR="002344C9" w:rsidRPr="009E60F3" w:rsidRDefault="00D73648">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9E60F3">
        <w:rPr>
          <w:rFonts w:ascii="Palatino Linotype" w:eastAsia="Palatino Linotype" w:hAnsi="Palatino Linotype" w:cs="Palatino Linotype"/>
        </w:rPr>
        <w:t>Abundando en el tema, cabe señalar que el artículo 293 del Código Financiero del Estado de México</w:t>
      </w:r>
      <w:r w:rsidRPr="009E60F3">
        <w:rPr>
          <w:rFonts w:ascii="Palatino Linotype" w:eastAsia="Palatino Linotype" w:hAnsi="Palatino Linotype" w:cs="Palatino Linotype"/>
          <w:i/>
        </w:rPr>
        <w:t xml:space="preserve"> </w:t>
      </w:r>
      <w:r w:rsidRPr="009E60F3">
        <w:rPr>
          <w:rFonts w:ascii="Palatino Linotype" w:eastAsia="Palatino Linotype" w:hAnsi="Palatino Linotype" w:cs="Palatino Linotype"/>
        </w:rPr>
        <w:t xml:space="preserve">establece que los capítulos de gasto se dividirán en </w:t>
      </w:r>
      <w:r w:rsidRPr="009E60F3">
        <w:rPr>
          <w:rFonts w:ascii="Palatino Linotype" w:eastAsia="Palatino Linotype" w:hAnsi="Palatino Linotype" w:cs="Palatino Linotype"/>
          <w:b/>
        </w:rPr>
        <w:t>concepto, partida genérica y partida específica,</w:t>
      </w:r>
      <w:r w:rsidRPr="009E60F3">
        <w:rPr>
          <w:rFonts w:ascii="Palatino Linotype" w:eastAsia="Palatino Linotype" w:hAnsi="Palatino Linotype" w:cs="Palatino Linotype"/>
        </w:rPr>
        <w:t xml:space="preserve"> que representarán las autorizaciones específicas del presupuesto, las cuales se encuentran contenidas en </w:t>
      </w:r>
      <w:r w:rsidRPr="009E60F3">
        <w:rPr>
          <w:rFonts w:ascii="Palatino Linotype" w:eastAsia="Palatino Linotype" w:hAnsi="Palatino Linotype" w:cs="Palatino Linotype"/>
          <w:i/>
        </w:rPr>
        <w:t>el clasificador por objeto de gasto</w:t>
      </w:r>
      <w:r w:rsidRPr="009E60F3">
        <w:rPr>
          <w:rFonts w:ascii="Palatino Linotype" w:eastAsia="Palatino Linotype" w:hAnsi="Palatino Linotype" w:cs="Palatino Linotype"/>
        </w:rPr>
        <w:t xml:space="preserve"> que debe emitir la Tesorería, mismo que debe guardar congruencia con el clasificador que emita el Consejo Nacional de Armonización Contable y el Consejo de Armonización Contable del Estado de México, a saber:</w:t>
      </w:r>
    </w:p>
    <w:p w14:paraId="276E54FE" w14:textId="77777777" w:rsidR="002344C9" w:rsidRPr="009E60F3" w:rsidRDefault="00D7364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E60F3">
        <w:rPr>
          <w:rFonts w:ascii="Palatino Linotype" w:eastAsia="Palatino Linotype" w:hAnsi="Palatino Linotype" w:cs="Palatino Linotype"/>
          <w:i/>
          <w:sz w:val="22"/>
          <w:szCs w:val="22"/>
        </w:rPr>
        <w:t>“</w:t>
      </w:r>
      <w:r w:rsidRPr="009E60F3">
        <w:rPr>
          <w:rFonts w:ascii="Palatino Linotype" w:eastAsia="Palatino Linotype" w:hAnsi="Palatino Linotype" w:cs="Palatino Linotype"/>
          <w:b/>
          <w:i/>
          <w:sz w:val="22"/>
          <w:szCs w:val="22"/>
        </w:rPr>
        <w:t>Artículo 293</w:t>
      </w:r>
      <w:r w:rsidRPr="009E60F3">
        <w:rPr>
          <w:rFonts w:ascii="Palatino Linotype" w:eastAsia="Palatino Linotype" w:hAnsi="Palatino Linotype" w:cs="Palatino Linotype"/>
          <w:i/>
          <w:sz w:val="22"/>
          <w:szCs w:val="22"/>
        </w:rPr>
        <w:t xml:space="preserve">.- </w:t>
      </w:r>
      <w:r w:rsidRPr="009E60F3">
        <w:rPr>
          <w:rFonts w:ascii="Palatino Linotype" w:eastAsia="Palatino Linotype" w:hAnsi="Palatino Linotype" w:cs="Palatino Linotype"/>
          <w:b/>
          <w:i/>
          <w:sz w:val="22"/>
          <w:szCs w:val="22"/>
        </w:rPr>
        <w:t xml:space="preserve">Los capítulos de gasto se dividirán en </w:t>
      </w:r>
      <w:r w:rsidRPr="009E60F3">
        <w:rPr>
          <w:rFonts w:ascii="Palatino Linotype" w:eastAsia="Palatino Linotype" w:hAnsi="Palatino Linotype" w:cs="Palatino Linotype"/>
          <w:b/>
          <w:i/>
          <w:sz w:val="22"/>
          <w:szCs w:val="22"/>
          <w:u w:val="single"/>
        </w:rPr>
        <w:t>concepto, partida genérica y partida específica</w:t>
      </w:r>
      <w:r w:rsidRPr="009E60F3">
        <w:rPr>
          <w:rFonts w:ascii="Palatino Linotype" w:eastAsia="Palatino Linotype" w:hAnsi="Palatino Linotype" w:cs="Palatino Linotype"/>
          <w:i/>
          <w:sz w:val="22"/>
          <w:szCs w:val="22"/>
        </w:rPr>
        <w:t xml:space="preserve">, que representarán las autorizaciones específicas del presupuesto, las cuales se encuentran contenidas en el clasificador por objeto de gasto que emita el Consejo Nacional de Armonización Contable y el Consejo de Armonización Contable del Estado de México. </w:t>
      </w:r>
    </w:p>
    <w:p w14:paraId="4EBF6678" w14:textId="77777777" w:rsidR="002344C9" w:rsidRPr="009E60F3" w:rsidRDefault="00D7364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E60F3">
        <w:rPr>
          <w:rFonts w:ascii="Palatino Linotype" w:eastAsia="Palatino Linotype" w:hAnsi="Palatino Linotype" w:cs="Palatino Linotype"/>
          <w:i/>
          <w:sz w:val="22"/>
          <w:szCs w:val="22"/>
        </w:rPr>
        <w:t>En el caso de los municipios,</w:t>
      </w:r>
      <w:r w:rsidRPr="009E60F3">
        <w:rPr>
          <w:rFonts w:ascii="Palatino Linotype" w:eastAsia="Palatino Linotype" w:hAnsi="Palatino Linotype" w:cs="Palatino Linotype"/>
          <w:b/>
          <w:i/>
          <w:sz w:val="22"/>
          <w:szCs w:val="22"/>
        </w:rPr>
        <w:t xml:space="preserve"> corresponderá a su Tesorería emitir el Clasificador por Objeto del Gasto</w:t>
      </w:r>
      <w:r w:rsidRPr="009E60F3">
        <w:rPr>
          <w:rFonts w:ascii="Palatino Linotype" w:eastAsia="Palatino Linotype" w:hAnsi="Palatino Linotype" w:cs="Palatino Linotype"/>
          <w:i/>
          <w:sz w:val="22"/>
          <w:szCs w:val="22"/>
        </w:rPr>
        <w:t>, el cual deberá guardar congruencia y homogeneidad con el señalado en el párrafo anterior.”</w:t>
      </w:r>
    </w:p>
    <w:p w14:paraId="1FCAED67" w14:textId="77777777" w:rsidR="002344C9" w:rsidRPr="009E60F3" w:rsidRDefault="00D73648">
      <w:pPr>
        <w:spacing w:before="280" w:after="28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Con base en lo anterior el </w:t>
      </w:r>
      <w:r w:rsidRPr="009E60F3">
        <w:rPr>
          <w:rFonts w:ascii="Palatino Linotype" w:eastAsia="Palatino Linotype" w:hAnsi="Palatino Linotype" w:cs="Palatino Linotype"/>
          <w:i/>
        </w:rPr>
        <w:t>Clasificador por objeto del gasto,</w:t>
      </w:r>
      <w:r w:rsidRPr="009E60F3">
        <w:rPr>
          <w:rFonts w:ascii="Palatino Linotype" w:eastAsia="Palatino Linotype" w:hAnsi="Palatino Linotype" w:cs="Palatino Linotype"/>
        </w:rPr>
        <w:t xml:space="preserve"> es el que se estableció en cumplimiento al artículo cuarto transitorio de la Ley General de Contabilidad Gubernamental, el Gobierno del Estado de México, ya que realiza las acciones </w:t>
      </w:r>
      <w:r w:rsidRPr="009E60F3">
        <w:rPr>
          <w:rFonts w:ascii="Palatino Linotype" w:eastAsia="Palatino Linotype" w:hAnsi="Palatino Linotype" w:cs="Palatino Linotype"/>
        </w:rPr>
        <w:lastRenderedPageBreak/>
        <w:t xml:space="preserve">pertinentes para armonizar los sistemas contables de las dependencias, los poderes Legislativo y Judicial; las entidades públicas, los órganos autónomos y los municipios de la entidad, </w:t>
      </w:r>
      <w:r w:rsidRPr="009E60F3">
        <w:rPr>
          <w:rFonts w:ascii="Palatino Linotype" w:eastAsia="Palatino Linotype" w:hAnsi="Palatino Linotype" w:cs="Palatino Linotype"/>
          <w:b/>
        </w:rPr>
        <w:t>para que éstos cuenten con un catálogo de partidas presupuestarias que se alinean al Clasificador por Objeto del Gasto autorizado por el CONAC,</w:t>
      </w:r>
      <w:r w:rsidRPr="009E60F3">
        <w:rPr>
          <w:rFonts w:ascii="Palatino Linotype" w:eastAsia="Palatino Linotype" w:hAnsi="Palatino Linotype" w:cs="Palatino Linotype"/>
        </w:rPr>
        <w:t xml:space="preserve"> en la reunión celebrada el 28 de mayo del 2010 y que fue publicado en Gaceta del Gobierno del estado de México No. 118 del 23 de junio de 2010.</w:t>
      </w:r>
    </w:p>
    <w:p w14:paraId="470239CC" w14:textId="77777777" w:rsidR="002344C9" w:rsidRPr="009E60F3" w:rsidRDefault="00D73648">
      <w:pPr>
        <w:spacing w:before="280" w:after="28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Así, al ser un instrumento que permite la obtención de información para el análisis y seguimiento de la gestión financiera gubernamental, es considerado la clasificación operativa que permite conocer en qué se gasta, (base del registro de las transacciones económico – financieras) y a su vez permite cuantificar la demanda de bienes y servicios que realiza el Sector Público; teniendo como objetivos principales los siguientes:</w:t>
      </w:r>
    </w:p>
    <w:p w14:paraId="3B70157C" w14:textId="77777777" w:rsidR="002344C9" w:rsidRPr="009E60F3" w:rsidRDefault="00D73648">
      <w:pPr>
        <w:numPr>
          <w:ilvl w:val="0"/>
          <w:numId w:val="3"/>
        </w:numPr>
        <w:pBdr>
          <w:top w:val="nil"/>
          <w:left w:val="nil"/>
          <w:bottom w:val="nil"/>
          <w:right w:val="nil"/>
          <w:between w:val="nil"/>
        </w:pBdr>
        <w:spacing w:before="28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Ofrecer información valiosa de la demanda de bienes y servicios que realiza el Sector Público.</w:t>
      </w:r>
    </w:p>
    <w:p w14:paraId="55F50FBC" w14:textId="77777777" w:rsidR="002344C9" w:rsidRPr="009E60F3" w:rsidRDefault="00D7364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Permite identificar con claridad y transparencia los bienes y servicios que se adquieren, las transferencias que se realizan y las aplicaciones previstas en el presupuesto.</w:t>
      </w:r>
    </w:p>
    <w:p w14:paraId="35698965" w14:textId="77777777" w:rsidR="002344C9" w:rsidRPr="009E60F3" w:rsidRDefault="00D7364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Facilitar la programación de las adquisiciones de bienes y servicios y otras acciones relacionadas con administración de bienes del Estado.</w:t>
      </w:r>
    </w:p>
    <w:p w14:paraId="2CC8C953" w14:textId="77777777" w:rsidR="002344C9" w:rsidRPr="009E60F3" w:rsidRDefault="00D7364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En el marco del sistema de cuentas gubernamentales, integradas e interrelacionadas, el Clasificador por Objeto del Gasto es uno de los principales elementos para obtener clasificaciones agregadas.</w:t>
      </w:r>
    </w:p>
    <w:p w14:paraId="2DE042A1" w14:textId="77777777" w:rsidR="002344C9" w:rsidRPr="009E60F3" w:rsidRDefault="00D7364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lastRenderedPageBreak/>
        <w:t>Facilitar el ejercicio del control interno y externo de las transacciones de los entes públicos.</w:t>
      </w:r>
    </w:p>
    <w:p w14:paraId="0F68ED4A" w14:textId="77777777" w:rsidR="002344C9" w:rsidRPr="009E60F3" w:rsidRDefault="00D7364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Promover el desarrollo y aplicación de los sistemas de programación y gestión del gasto público.</w:t>
      </w:r>
    </w:p>
    <w:p w14:paraId="4763D858" w14:textId="77777777" w:rsidR="002344C9" w:rsidRPr="009E60F3" w:rsidRDefault="00D73648">
      <w:pPr>
        <w:numPr>
          <w:ilvl w:val="0"/>
          <w:numId w:val="3"/>
        </w:numPr>
        <w:pBdr>
          <w:top w:val="nil"/>
          <w:left w:val="nil"/>
          <w:bottom w:val="nil"/>
          <w:right w:val="nil"/>
          <w:between w:val="nil"/>
        </w:pBdr>
        <w:spacing w:after="28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Permitir el análisis de los efectos del gasto público y la proyección del mismo.</w:t>
      </w:r>
    </w:p>
    <w:p w14:paraId="5C6F851A"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Asimismo, cabe señalar que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 es de observancia obligatoria para las dependencias, entidades públicas y los Municipios, por lo que para la integración de la clave presupuestaria debe considerarse el Clasificador.</w:t>
      </w:r>
    </w:p>
    <w:p w14:paraId="3D522E2E"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Consecuentemente para identificar el gasto público por su naturaleza económica, durante el proceso de programación e integración del Anteproyecto de Presupuesto, así como para su ejercicio, </w:t>
      </w:r>
      <w:r w:rsidRPr="009E60F3">
        <w:rPr>
          <w:rFonts w:ascii="Palatino Linotype" w:eastAsia="Palatino Linotype" w:hAnsi="Palatino Linotype" w:cs="Palatino Linotype"/>
          <w:b/>
        </w:rPr>
        <w:t xml:space="preserve">las unidades ejecutoras deben </w:t>
      </w:r>
      <w:r w:rsidRPr="009E60F3">
        <w:rPr>
          <w:rFonts w:ascii="Palatino Linotype" w:eastAsia="Palatino Linotype" w:hAnsi="Palatino Linotype" w:cs="Palatino Linotype"/>
          <w:b/>
          <w:u w:val="single"/>
        </w:rPr>
        <w:t>establecer el vínculo</w:t>
      </w:r>
      <w:r w:rsidRPr="009E60F3">
        <w:rPr>
          <w:rFonts w:ascii="Palatino Linotype" w:eastAsia="Palatino Linotype" w:hAnsi="Palatino Linotype" w:cs="Palatino Linotype"/>
          <w:b/>
        </w:rPr>
        <w:t>, por capítulo, subcapítulo, partida de gasto genérica y partida de gasto específica,</w:t>
      </w:r>
      <w:r w:rsidRPr="009E60F3">
        <w:rPr>
          <w:rFonts w:ascii="Palatino Linotype" w:eastAsia="Palatino Linotype" w:hAnsi="Palatino Linotype" w:cs="Palatino Linotype"/>
        </w:rPr>
        <w:t xml:space="preserve"> con el componente de la </w:t>
      </w:r>
      <w:r w:rsidRPr="009E60F3">
        <w:rPr>
          <w:rFonts w:ascii="Palatino Linotype" w:eastAsia="Palatino Linotype" w:hAnsi="Palatino Linotype" w:cs="Palatino Linotype"/>
          <w:b/>
          <w:u w:val="single"/>
        </w:rPr>
        <w:t>clave presupuestaria</w:t>
      </w:r>
      <w:r w:rsidRPr="009E60F3">
        <w:rPr>
          <w:rFonts w:ascii="Palatino Linotype" w:eastAsia="Palatino Linotype" w:hAnsi="Palatino Linotype" w:cs="Palatino Linotype"/>
        </w:rPr>
        <w:t xml:space="preserve"> correspondiente.</w:t>
      </w:r>
    </w:p>
    <w:p w14:paraId="14C27E98"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lastRenderedPageBreak/>
        <w:t>Para tal efecto, el Manual para la Planeación, Programación y Presupuesto de Egresos Municipal para el Ejercicio Fiscal 2022</w:t>
      </w:r>
      <w:r w:rsidRPr="009E60F3">
        <w:rPr>
          <w:rFonts w:ascii="Palatino Linotype" w:eastAsia="Palatino Linotype" w:hAnsi="Palatino Linotype" w:cs="Palatino Linotype"/>
          <w:vertAlign w:val="superscript"/>
        </w:rPr>
        <w:footnoteReference w:id="5"/>
      </w:r>
      <w:r w:rsidRPr="009E60F3">
        <w:rPr>
          <w:rFonts w:ascii="Palatino Linotype" w:eastAsia="Palatino Linotype" w:hAnsi="Palatino Linotype" w:cs="Palatino Linotype"/>
        </w:rPr>
        <w:t>, integra como anexo el “Clasificador por objeto del gasto”,  el cual se constituye un elemento fundamental del sistema general de cuentas donde cada componente destaca aspectos concretos del presupuesto y suministra información que atiende a necesidades diferentes pero enlazadas, permitiendo el vínculo con la contabilidad, es decir, que se trata de un instrumento que permite la obtención de información para el análisis y seguimiento de la gestión financiera gubernamental, por lo cual permite conocer en qué se gasta y cuantificar la demanda de bienes o servicios.</w:t>
      </w:r>
    </w:p>
    <w:p w14:paraId="047F4592" w14:textId="77777777" w:rsidR="002344C9" w:rsidRPr="009E60F3" w:rsidRDefault="00D73648">
      <w:pPr>
        <w:spacing w:before="280" w:after="28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La estructura del Clasificador, según lo previsto en el anexo, fue diseñada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14:paraId="219C95EF"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noProof/>
        </w:rPr>
        <w:drawing>
          <wp:inline distT="0" distB="0" distL="0" distR="0" wp14:anchorId="292F0120" wp14:editId="0B4AEA91">
            <wp:extent cx="5610225" cy="933450"/>
            <wp:effectExtent l="0" t="0" r="0" b="0"/>
            <wp:docPr id="1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610225" cy="933450"/>
                    </a:xfrm>
                    <a:prstGeom prst="rect">
                      <a:avLst/>
                    </a:prstGeom>
                    <a:ln/>
                  </pic:spPr>
                </pic:pic>
              </a:graphicData>
            </a:graphic>
          </wp:inline>
        </w:drawing>
      </w:r>
    </w:p>
    <w:p w14:paraId="0F30A587" w14:textId="77777777" w:rsidR="002344C9" w:rsidRPr="009E60F3" w:rsidRDefault="00D73648">
      <w:pPr>
        <w:spacing w:before="280" w:after="28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Debiendo definir cada una de las partes que lo integran como sigue:</w:t>
      </w:r>
    </w:p>
    <w:p w14:paraId="584AEC41" w14:textId="77777777" w:rsidR="002344C9" w:rsidRPr="009E60F3" w:rsidRDefault="00D73648">
      <w:pPr>
        <w:numPr>
          <w:ilvl w:val="0"/>
          <w:numId w:val="1"/>
        </w:numPr>
        <w:pBdr>
          <w:top w:val="nil"/>
          <w:left w:val="nil"/>
          <w:bottom w:val="nil"/>
          <w:right w:val="nil"/>
          <w:between w:val="nil"/>
        </w:pBdr>
        <w:spacing w:before="120" w:after="120" w:line="360" w:lineRule="auto"/>
        <w:ind w:hanging="357"/>
        <w:jc w:val="both"/>
        <w:rPr>
          <w:rFonts w:ascii="Palatino Linotype" w:eastAsia="Palatino Linotype" w:hAnsi="Palatino Linotype" w:cs="Palatino Linotype"/>
        </w:rPr>
      </w:pPr>
      <w:r w:rsidRPr="009E60F3">
        <w:rPr>
          <w:rFonts w:ascii="Palatino Linotype" w:eastAsia="Palatino Linotype" w:hAnsi="Palatino Linotype" w:cs="Palatino Linotype"/>
          <w:b/>
        </w:rPr>
        <w:lastRenderedPageBreak/>
        <w:t>Capítulo:</w:t>
      </w:r>
      <w:r w:rsidRPr="009E60F3">
        <w:rPr>
          <w:rFonts w:ascii="Palatino Linotype" w:eastAsia="Palatino Linotype" w:hAnsi="Palatino Linotype" w:cs="Palatino Linotype"/>
        </w:rPr>
        <w:t xml:space="preserve"> Es el mayor nivel de agregación que identifica el conjunto homogéneo y ordenado de los bienes y servicios requeridos por los entes públicos. </w:t>
      </w:r>
    </w:p>
    <w:p w14:paraId="4D566D01" w14:textId="77777777" w:rsidR="002344C9" w:rsidRPr="009E60F3" w:rsidRDefault="00D73648">
      <w:pPr>
        <w:numPr>
          <w:ilvl w:val="0"/>
          <w:numId w:val="1"/>
        </w:numPr>
        <w:pBdr>
          <w:top w:val="nil"/>
          <w:left w:val="nil"/>
          <w:bottom w:val="nil"/>
          <w:right w:val="nil"/>
          <w:between w:val="nil"/>
        </w:pBdr>
        <w:spacing w:before="120" w:after="120" w:line="360" w:lineRule="auto"/>
        <w:ind w:hanging="357"/>
        <w:jc w:val="both"/>
        <w:rPr>
          <w:rFonts w:ascii="Palatino Linotype" w:eastAsia="Palatino Linotype" w:hAnsi="Palatino Linotype" w:cs="Palatino Linotype"/>
        </w:rPr>
      </w:pPr>
      <w:r w:rsidRPr="009E60F3">
        <w:rPr>
          <w:rFonts w:ascii="Palatino Linotype" w:eastAsia="Palatino Linotype" w:hAnsi="Palatino Linotype" w:cs="Palatino Linotype"/>
          <w:b/>
        </w:rPr>
        <w:t>Concepto:</w:t>
      </w:r>
      <w:r w:rsidRPr="009E60F3">
        <w:rPr>
          <w:rFonts w:ascii="Palatino Linotype" w:eastAsia="Palatino Linotype" w:hAnsi="Palatino Linotype" w:cs="Palatino Linotype"/>
        </w:rPr>
        <w:t xml:space="preserve"> Son subconjuntos homogéneos y ordenados en forma específica, producto de la desagregación de los bienes y servicios, incluidos en cada capítulo. </w:t>
      </w:r>
    </w:p>
    <w:p w14:paraId="07A08EB7" w14:textId="77777777" w:rsidR="002344C9" w:rsidRPr="009E60F3" w:rsidRDefault="00D73648">
      <w:pPr>
        <w:numPr>
          <w:ilvl w:val="0"/>
          <w:numId w:val="1"/>
        </w:numPr>
        <w:pBdr>
          <w:top w:val="nil"/>
          <w:left w:val="nil"/>
          <w:bottom w:val="nil"/>
          <w:right w:val="nil"/>
          <w:between w:val="nil"/>
        </w:pBdr>
        <w:spacing w:before="120" w:after="120" w:line="360" w:lineRule="auto"/>
        <w:ind w:hanging="357"/>
        <w:jc w:val="both"/>
        <w:rPr>
          <w:rFonts w:ascii="Palatino Linotype" w:eastAsia="Palatino Linotype" w:hAnsi="Palatino Linotype" w:cs="Palatino Linotype"/>
        </w:rPr>
      </w:pPr>
      <w:r w:rsidRPr="009E60F3">
        <w:rPr>
          <w:rFonts w:ascii="Palatino Linotype" w:eastAsia="Palatino Linotype" w:hAnsi="Palatino Linotype" w:cs="Palatino Linotype"/>
          <w:b/>
        </w:rPr>
        <w:t>Partida:</w:t>
      </w:r>
      <w:r w:rsidRPr="009E60F3">
        <w:rPr>
          <w:rFonts w:ascii="Palatino Linotype" w:eastAsia="Palatino Linotype" w:hAnsi="Palatino Linotype" w:cs="Palatino Linotype"/>
        </w:rPr>
        <w:t xml:space="preserve"> Es el nivel de agregación más específico en el cual se describen las expresiones concretas y detalladas de los bienes y servicios que se adquieren y se compone de: </w:t>
      </w:r>
    </w:p>
    <w:p w14:paraId="358FC3AB" w14:textId="77777777" w:rsidR="002344C9" w:rsidRPr="009E60F3" w:rsidRDefault="00D73648">
      <w:pPr>
        <w:numPr>
          <w:ilvl w:val="0"/>
          <w:numId w:val="2"/>
        </w:numPr>
        <w:pBdr>
          <w:top w:val="nil"/>
          <w:left w:val="nil"/>
          <w:bottom w:val="nil"/>
          <w:right w:val="nil"/>
          <w:between w:val="nil"/>
        </w:pBdr>
        <w:spacing w:before="12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b/>
        </w:rPr>
        <w:t>La Partida Genérica</w:t>
      </w:r>
      <w:r w:rsidRPr="009E60F3">
        <w:rPr>
          <w:rFonts w:ascii="Palatino Linotype" w:eastAsia="Palatino Linotype" w:hAnsi="Palatino Linotype" w:cs="Palatino Linotype"/>
        </w:rPr>
        <w:t xml:space="preserve"> se refiere al tercer dígito, el cual logrará la armonización a todos los niveles de gobierno.</w:t>
      </w:r>
    </w:p>
    <w:p w14:paraId="67525202" w14:textId="77777777" w:rsidR="002344C9" w:rsidRPr="009E60F3" w:rsidRDefault="00D73648">
      <w:pPr>
        <w:numPr>
          <w:ilvl w:val="0"/>
          <w:numId w:val="2"/>
        </w:numPr>
        <w:pBdr>
          <w:top w:val="nil"/>
          <w:left w:val="nil"/>
          <w:bottom w:val="nil"/>
          <w:right w:val="nil"/>
          <w:between w:val="nil"/>
        </w:pBdr>
        <w:spacing w:after="120" w:line="360" w:lineRule="auto"/>
        <w:ind w:hanging="357"/>
        <w:jc w:val="both"/>
        <w:rPr>
          <w:rFonts w:ascii="Palatino Linotype" w:eastAsia="Palatino Linotype" w:hAnsi="Palatino Linotype" w:cs="Palatino Linotype"/>
        </w:rPr>
      </w:pPr>
      <w:r w:rsidRPr="009E60F3">
        <w:rPr>
          <w:rFonts w:ascii="Palatino Linotype" w:eastAsia="Palatino Linotype" w:hAnsi="Palatino Linotype" w:cs="Palatino Linotype"/>
          <w:b/>
        </w:rPr>
        <w:t>La Partida Específica</w:t>
      </w:r>
      <w:r w:rsidRPr="009E60F3">
        <w:rPr>
          <w:rFonts w:ascii="Palatino Linotype" w:eastAsia="Palatino Linotype" w:hAnsi="Palatino Linotype" w:cs="Palatino Linotype"/>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14:paraId="5C20FD3A"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De acuerdo con este nivel de desagregación del Clasificador por Objeto del Gasto Estatal y Municipal, la definición de los Capítulos de gasto es la siguiente: </w:t>
      </w:r>
    </w:p>
    <w:p w14:paraId="789F867D" w14:textId="77777777" w:rsidR="002344C9" w:rsidRPr="009E60F3" w:rsidRDefault="00D73648">
      <w:pPr>
        <w:spacing w:before="240" w:after="240"/>
        <w:ind w:left="426" w:right="49"/>
        <w:jc w:val="both"/>
        <w:rPr>
          <w:rFonts w:ascii="Palatino Linotype" w:eastAsia="Palatino Linotype" w:hAnsi="Palatino Linotype" w:cs="Palatino Linotype"/>
        </w:rPr>
      </w:pPr>
      <w:r w:rsidRPr="009E60F3">
        <w:rPr>
          <w:rFonts w:ascii="Palatino Linotype" w:eastAsia="Palatino Linotype" w:hAnsi="Palatino Linotype" w:cs="Palatino Linotype"/>
          <w:b/>
        </w:rPr>
        <w:t>1000 SERVICIOS PERSONALES.</w:t>
      </w:r>
      <w:r w:rsidRPr="009E60F3">
        <w:rPr>
          <w:rFonts w:ascii="Palatino Linotype" w:eastAsia="Palatino Linotype" w:hAnsi="Palatino Linotype" w:cs="Palatino Linotype"/>
        </w:rPr>
        <w:t xml:space="preserve">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w:t>
      </w:r>
    </w:p>
    <w:p w14:paraId="1AF7633F" w14:textId="77777777" w:rsidR="002344C9" w:rsidRPr="009E60F3" w:rsidRDefault="00D73648">
      <w:pPr>
        <w:spacing w:before="240" w:after="240"/>
        <w:ind w:left="426" w:right="49"/>
        <w:jc w:val="both"/>
        <w:rPr>
          <w:rFonts w:ascii="Palatino Linotype" w:eastAsia="Palatino Linotype" w:hAnsi="Palatino Linotype" w:cs="Palatino Linotype"/>
        </w:rPr>
      </w:pPr>
      <w:r w:rsidRPr="009E60F3">
        <w:rPr>
          <w:rFonts w:ascii="Palatino Linotype" w:eastAsia="Palatino Linotype" w:hAnsi="Palatino Linotype" w:cs="Palatino Linotype"/>
          <w:b/>
        </w:rPr>
        <w:lastRenderedPageBreak/>
        <w:t>2000 MATERIALES Y SUMINISTROS</w:t>
      </w:r>
      <w:r w:rsidRPr="009E60F3">
        <w:rPr>
          <w:rFonts w:ascii="Palatino Linotype" w:eastAsia="Palatino Linotype" w:hAnsi="Palatino Linotype" w:cs="Palatino Linotype"/>
        </w:rPr>
        <w:t xml:space="preserve">. Agrupa las asignaciones destinadas a la adquisición de toda clase de insumos y suministros requeridos para la prestación de bienes y servicios públicos y para el desempeño de las actividades administrativas. </w:t>
      </w:r>
    </w:p>
    <w:p w14:paraId="1FA728DA" w14:textId="77777777" w:rsidR="002344C9" w:rsidRPr="009E60F3" w:rsidRDefault="00D73648">
      <w:pPr>
        <w:spacing w:before="240" w:after="240"/>
        <w:ind w:left="426" w:right="49"/>
        <w:jc w:val="both"/>
        <w:rPr>
          <w:rFonts w:ascii="Palatino Linotype" w:eastAsia="Palatino Linotype" w:hAnsi="Palatino Linotype" w:cs="Palatino Linotype"/>
          <w:b/>
          <w:i/>
        </w:rPr>
      </w:pPr>
      <w:r w:rsidRPr="009E60F3">
        <w:rPr>
          <w:rFonts w:ascii="Palatino Linotype" w:eastAsia="Palatino Linotype" w:hAnsi="Palatino Linotype" w:cs="Palatino Linotype"/>
          <w:b/>
        </w:rPr>
        <w:t>3000 SERVICIOS GENERALES</w:t>
      </w:r>
      <w:r w:rsidRPr="009E60F3">
        <w:rPr>
          <w:rFonts w:ascii="Palatino Linotype" w:eastAsia="Palatino Linotype" w:hAnsi="Palatino Linotype" w:cs="Palatino Linotype"/>
          <w:b/>
          <w:i/>
        </w:rPr>
        <w:t xml:space="preserve">. Asignaciones destinadas a cubrir el costo de todo tipo de servicios que se contraten con particulares o instituciones del propio sector público; así como los servicios oficiales requeridos para el desempeño de actividades vinculadas con la función pública. </w:t>
      </w:r>
    </w:p>
    <w:p w14:paraId="6AD6F92D" w14:textId="77777777" w:rsidR="002344C9" w:rsidRPr="009E60F3" w:rsidRDefault="00D73648">
      <w:pPr>
        <w:spacing w:before="240" w:after="240"/>
        <w:ind w:left="426" w:right="49"/>
        <w:jc w:val="both"/>
        <w:rPr>
          <w:rFonts w:ascii="Palatino Linotype" w:eastAsia="Palatino Linotype" w:hAnsi="Palatino Linotype" w:cs="Palatino Linotype"/>
        </w:rPr>
      </w:pPr>
      <w:r w:rsidRPr="009E60F3">
        <w:rPr>
          <w:rFonts w:ascii="Palatino Linotype" w:eastAsia="Palatino Linotype" w:hAnsi="Palatino Linotype" w:cs="Palatino Linotype"/>
          <w:b/>
        </w:rPr>
        <w:t>4000 TRANSFERENCIAS, ASIGNACIONES, SUBSIDIOS Y OTRAS AYUDAS</w:t>
      </w:r>
      <w:r w:rsidRPr="009E60F3">
        <w:rPr>
          <w:rFonts w:ascii="Palatino Linotype" w:eastAsia="Palatino Linotype" w:hAnsi="Palatino Linotype" w:cs="Palatino Linotype"/>
        </w:rPr>
        <w:t>. 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w:t>
      </w:r>
    </w:p>
    <w:p w14:paraId="54222636" w14:textId="77777777" w:rsidR="002344C9" w:rsidRPr="009E60F3" w:rsidRDefault="00D73648">
      <w:pPr>
        <w:spacing w:before="240" w:after="240"/>
        <w:ind w:left="426" w:right="49"/>
        <w:jc w:val="both"/>
        <w:rPr>
          <w:rFonts w:ascii="Palatino Linotype" w:eastAsia="Palatino Linotype" w:hAnsi="Palatino Linotype" w:cs="Palatino Linotype"/>
        </w:rPr>
      </w:pPr>
      <w:r w:rsidRPr="009E60F3">
        <w:rPr>
          <w:rFonts w:ascii="Palatino Linotype" w:eastAsia="Palatino Linotype" w:hAnsi="Palatino Linotype" w:cs="Palatino Linotype"/>
          <w:b/>
        </w:rPr>
        <w:t>5000 BIENES MUEBLES, INMUEBLES E INTANGIBLES</w:t>
      </w:r>
      <w:r w:rsidRPr="009E60F3">
        <w:rPr>
          <w:rFonts w:ascii="Palatino Linotype" w:eastAsia="Palatino Linotype" w:hAnsi="Palatino Linotype" w:cs="Palatino Linotype"/>
        </w:rPr>
        <w:t xml:space="preserve">. 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14:paraId="3D20D0FD" w14:textId="77777777" w:rsidR="002344C9" w:rsidRPr="009E60F3" w:rsidRDefault="00D73648">
      <w:pPr>
        <w:spacing w:before="240" w:after="240"/>
        <w:ind w:left="426" w:right="49"/>
        <w:jc w:val="both"/>
        <w:rPr>
          <w:rFonts w:ascii="Palatino Linotype" w:eastAsia="Palatino Linotype" w:hAnsi="Palatino Linotype" w:cs="Palatino Linotype"/>
        </w:rPr>
      </w:pPr>
      <w:r w:rsidRPr="009E60F3">
        <w:rPr>
          <w:rFonts w:ascii="Palatino Linotype" w:eastAsia="Palatino Linotype" w:hAnsi="Palatino Linotype" w:cs="Palatino Linotype"/>
          <w:b/>
        </w:rPr>
        <w:t>6000 INVERSIÓN PÚBLICA.</w:t>
      </w:r>
      <w:r w:rsidRPr="009E60F3">
        <w:rPr>
          <w:rFonts w:ascii="Palatino Linotype" w:eastAsia="Palatino Linotype" w:hAnsi="Palatino Linotype" w:cs="Palatino Linotype"/>
        </w:rPr>
        <w:t xml:space="preserve"> Asignaciones destinadas a obras por contrato y proyectos productivos y acciones de fomento. Incluye los gastos en estudios de pre‐inversión y preparación del proyecto. </w:t>
      </w:r>
    </w:p>
    <w:p w14:paraId="2EFE5EEA" w14:textId="77777777" w:rsidR="002344C9" w:rsidRPr="009E60F3" w:rsidRDefault="00D73648">
      <w:pPr>
        <w:spacing w:before="240" w:after="240"/>
        <w:ind w:left="426" w:right="49"/>
        <w:jc w:val="both"/>
        <w:rPr>
          <w:rFonts w:ascii="Palatino Linotype" w:eastAsia="Palatino Linotype" w:hAnsi="Palatino Linotype" w:cs="Palatino Linotype"/>
        </w:rPr>
      </w:pPr>
      <w:r w:rsidRPr="009E60F3">
        <w:rPr>
          <w:rFonts w:ascii="Palatino Linotype" w:eastAsia="Palatino Linotype" w:hAnsi="Palatino Linotype" w:cs="Palatino Linotype"/>
          <w:b/>
        </w:rPr>
        <w:t>7000 INVERSIONES FINANCIERAS Y OTRAS PROVISIONES</w:t>
      </w:r>
      <w:r w:rsidRPr="009E60F3">
        <w:rPr>
          <w:rFonts w:ascii="Palatino Linotype" w:eastAsia="Palatino Linotype" w:hAnsi="Palatino Linotype" w:cs="Palatino Linotype"/>
        </w:rPr>
        <w:t xml:space="preserve">. 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 </w:t>
      </w:r>
    </w:p>
    <w:p w14:paraId="6F8C0B26" w14:textId="77777777" w:rsidR="002344C9" w:rsidRPr="009E60F3" w:rsidRDefault="00D73648">
      <w:pPr>
        <w:spacing w:before="240" w:after="240"/>
        <w:ind w:left="426" w:right="49"/>
        <w:jc w:val="both"/>
        <w:rPr>
          <w:rFonts w:ascii="Palatino Linotype" w:eastAsia="Palatino Linotype" w:hAnsi="Palatino Linotype" w:cs="Palatino Linotype"/>
        </w:rPr>
      </w:pPr>
      <w:r w:rsidRPr="009E60F3">
        <w:rPr>
          <w:rFonts w:ascii="Palatino Linotype" w:eastAsia="Palatino Linotype" w:hAnsi="Palatino Linotype" w:cs="Palatino Linotype"/>
          <w:b/>
        </w:rPr>
        <w:t>8000 PARTICIPACIONES Y APORTACIONES.</w:t>
      </w:r>
      <w:r w:rsidRPr="009E60F3">
        <w:rPr>
          <w:rFonts w:ascii="Palatino Linotype" w:eastAsia="Palatino Linotype" w:hAnsi="Palatino Linotype" w:cs="Palatino Linotype"/>
        </w:rPr>
        <w:t xml:space="preserve"> Agrupa el importe de los recursos federales y estatales para cubrir las participaciones en ingresos federales a Municipios provenientes de la recaudación federal, así como las asignaciones destinadas a los Municipios de acuerdo a los convenios de </w:t>
      </w:r>
      <w:r w:rsidRPr="009E60F3">
        <w:rPr>
          <w:rFonts w:ascii="Palatino Linotype" w:eastAsia="Palatino Linotype" w:hAnsi="Palatino Linotype" w:cs="Palatino Linotype"/>
        </w:rPr>
        <w:lastRenderedPageBreak/>
        <w:t xml:space="preserve">coordinación fiscal que celebre el Gobierno Federal con el Estado. Incluye las asignaciones a cubrir las aportaciones federales provenientes del Ramo General 33 Aportaciones Federales para Entidades Federativas y Municipios a favor de los Municipios. </w:t>
      </w:r>
    </w:p>
    <w:p w14:paraId="6A94B055" w14:textId="77777777" w:rsidR="002344C9" w:rsidRPr="009E60F3" w:rsidRDefault="00D73648">
      <w:pPr>
        <w:spacing w:before="240" w:after="240"/>
        <w:ind w:left="426" w:right="49"/>
        <w:jc w:val="both"/>
        <w:rPr>
          <w:rFonts w:ascii="Palatino Linotype" w:eastAsia="Palatino Linotype" w:hAnsi="Palatino Linotype" w:cs="Palatino Linotype"/>
        </w:rPr>
      </w:pPr>
      <w:r w:rsidRPr="009E60F3">
        <w:rPr>
          <w:rFonts w:ascii="Palatino Linotype" w:eastAsia="Palatino Linotype" w:hAnsi="Palatino Linotype" w:cs="Palatino Linotype"/>
          <w:b/>
        </w:rPr>
        <w:t>9000 DEUDA PÚBLICA</w:t>
      </w:r>
      <w:r w:rsidRPr="009E60F3">
        <w:rPr>
          <w:rFonts w:ascii="Palatino Linotype" w:eastAsia="Palatino Linotype" w:hAnsi="Palatino Linotype" w:cs="Palatino Linotype"/>
        </w:rPr>
        <w:t xml:space="preserve">. 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 </w:t>
      </w:r>
    </w:p>
    <w:p w14:paraId="653D8CB6"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De la estructura de codificación, se derivan subcapítulos, partidas genéricas y partidas específicas como se ejemplifica a continuación:</w:t>
      </w:r>
    </w:p>
    <w:p w14:paraId="054C082C"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noProof/>
        </w:rPr>
        <w:drawing>
          <wp:inline distT="0" distB="0" distL="0" distR="0" wp14:anchorId="54156A28" wp14:editId="5496642F">
            <wp:extent cx="5610225" cy="2305050"/>
            <wp:effectExtent l="0" t="0" r="0" b="0"/>
            <wp:docPr id="11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rcRect/>
                    <a:stretch>
                      <a:fillRect/>
                    </a:stretch>
                  </pic:blipFill>
                  <pic:spPr>
                    <a:xfrm>
                      <a:off x="0" y="0"/>
                      <a:ext cx="5610225" cy="2305050"/>
                    </a:xfrm>
                    <a:prstGeom prst="rect">
                      <a:avLst/>
                    </a:prstGeom>
                    <a:ln/>
                  </pic:spPr>
                </pic:pic>
              </a:graphicData>
            </a:graphic>
          </wp:inline>
        </w:drawing>
      </w:r>
    </w:p>
    <w:p w14:paraId="50E24298"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noProof/>
        </w:rPr>
        <w:drawing>
          <wp:inline distT="0" distB="0" distL="0" distR="0" wp14:anchorId="288E4F3E" wp14:editId="7682D423">
            <wp:extent cx="5610225" cy="1457325"/>
            <wp:effectExtent l="0" t="0" r="0" b="0"/>
            <wp:docPr id="1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610225" cy="1457325"/>
                    </a:xfrm>
                    <a:prstGeom prst="rect">
                      <a:avLst/>
                    </a:prstGeom>
                    <a:ln/>
                  </pic:spPr>
                </pic:pic>
              </a:graphicData>
            </a:graphic>
          </wp:inline>
        </w:drawing>
      </w:r>
    </w:p>
    <w:p w14:paraId="1321AD6B" w14:textId="77777777" w:rsidR="002344C9" w:rsidRPr="009E60F3" w:rsidRDefault="00D73648">
      <w:pPr>
        <w:jc w:val="both"/>
        <w:rPr>
          <w:rFonts w:ascii="Palatino Linotype" w:eastAsia="Palatino Linotype" w:hAnsi="Palatino Linotype" w:cs="Palatino Linotype"/>
        </w:rPr>
      </w:pPr>
      <w:r w:rsidRPr="009E60F3">
        <w:rPr>
          <w:rFonts w:ascii="Palatino Linotype" w:eastAsia="Palatino Linotype" w:hAnsi="Palatino Linotype" w:cs="Palatino Linotype"/>
          <w:noProof/>
        </w:rPr>
        <w:lastRenderedPageBreak/>
        <w:drawing>
          <wp:inline distT="0" distB="0" distL="0" distR="0" wp14:anchorId="14114205" wp14:editId="751E84AB">
            <wp:extent cx="5610225" cy="1447800"/>
            <wp:effectExtent l="0" t="0" r="0" b="0"/>
            <wp:docPr id="1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5610225" cy="1447800"/>
                    </a:xfrm>
                    <a:prstGeom prst="rect">
                      <a:avLst/>
                    </a:prstGeom>
                    <a:ln/>
                  </pic:spPr>
                </pic:pic>
              </a:graphicData>
            </a:graphic>
          </wp:inline>
        </w:drawing>
      </w:r>
      <w:r w:rsidRPr="009E60F3">
        <w:rPr>
          <w:rFonts w:ascii="Palatino Linotype" w:eastAsia="Palatino Linotype" w:hAnsi="Palatino Linotype" w:cs="Palatino Linotype"/>
          <w:noProof/>
        </w:rPr>
        <w:drawing>
          <wp:inline distT="0" distB="0" distL="0" distR="0" wp14:anchorId="2ED47F92" wp14:editId="292EC9CD">
            <wp:extent cx="5610225" cy="1314450"/>
            <wp:effectExtent l="0" t="0" r="0" b="0"/>
            <wp:docPr id="1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5610225" cy="1314450"/>
                    </a:xfrm>
                    <a:prstGeom prst="rect">
                      <a:avLst/>
                    </a:prstGeom>
                    <a:ln/>
                  </pic:spPr>
                </pic:pic>
              </a:graphicData>
            </a:graphic>
          </wp:inline>
        </w:drawing>
      </w:r>
    </w:p>
    <w:p w14:paraId="0E06A071"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De las imágenes anteriores podemos advertir, por ejemplo, que la erogación por concepto de propaganda, se encuentra contemplada en la partida específica 3611 Gastos de publicidad y propaganda, que pertenece a la partida genérica 3610 Difusión por radio, televisión y otros medios de mensajes sobre programas y actividades gubernamentales, del subcapítulo 3600 Servicios de Comunicación Social y Publicidad, del capítulo 3000 Servicios Generales.</w:t>
      </w:r>
    </w:p>
    <w:p w14:paraId="2F45B5DD"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De igual forma, los propósitos del referido Manual establecen que los ayuntamientos a través de la aplicación de los recursos públicos operar el programa anual mediante la clasificación funcional-programática para ser identificable y así dar un seguimiento y evaluación respectiva, lo que se transcribe en seguida para mejor entendimiento:</w:t>
      </w:r>
    </w:p>
    <w:p w14:paraId="205EBC93" w14:textId="77777777" w:rsidR="002344C9" w:rsidRPr="009E60F3" w:rsidRDefault="00D73648">
      <w:pPr>
        <w:ind w:left="567" w:right="616"/>
        <w:jc w:val="both"/>
        <w:rPr>
          <w:rFonts w:ascii="Palatino Linotype" w:eastAsia="Palatino Linotype" w:hAnsi="Palatino Linotype" w:cs="Palatino Linotype"/>
          <w:i/>
          <w:sz w:val="22"/>
          <w:szCs w:val="22"/>
        </w:rPr>
      </w:pPr>
      <w:r w:rsidRPr="009E60F3">
        <w:rPr>
          <w:rFonts w:ascii="Palatino Linotype" w:eastAsia="Palatino Linotype" w:hAnsi="Palatino Linotype" w:cs="Palatino Linotype"/>
          <w:i/>
          <w:sz w:val="22"/>
          <w:szCs w:val="22"/>
        </w:rPr>
        <w:t>“En el segundo capítulo se describe la Clasificación Funcional-</w:t>
      </w:r>
      <w:r w:rsidRPr="009E60F3">
        <w:rPr>
          <w:rFonts w:ascii="Palatino Linotype" w:eastAsia="Palatino Linotype" w:hAnsi="Palatino Linotype" w:cs="Palatino Linotype"/>
          <w:b/>
          <w:i/>
          <w:sz w:val="22"/>
          <w:szCs w:val="22"/>
        </w:rPr>
        <w:t xml:space="preserve">Programática (estructura programática) Municipal con la que han de </w:t>
      </w:r>
      <w:r w:rsidRPr="009E60F3">
        <w:rPr>
          <w:rFonts w:ascii="Palatino Linotype" w:eastAsia="Palatino Linotype" w:hAnsi="Palatino Linotype" w:cs="Palatino Linotype"/>
          <w:b/>
          <w:i/>
          <w:sz w:val="22"/>
          <w:szCs w:val="22"/>
          <w:u w:val="single"/>
        </w:rPr>
        <w:t>operar</w:t>
      </w:r>
      <w:r w:rsidRPr="009E60F3">
        <w:rPr>
          <w:rFonts w:ascii="Palatino Linotype" w:eastAsia="Palatino Linotype" w:hAnsi="Palatino Linotype" w:cs="Palatino Linotype"/>
          <w:i/>
          <w:sz w:val="22"/>
          <w:szCs w:val="22"/>
        </w:rPr>
        <w:t xml:space="preserve"> </w:t>
      </w:r>
      <w:r w:rsidRPr="009E60F3">
        <w:rPr>
          <w:rFonts w:ascii="Palatino Linotype" w:eastAsia="Palatino Linotype" w:hAnsi="Palatino Linotype" w:cs="Palatino Linotype"/>
          <w:b/>
          <w:i/>
          <w:sz w:val="22"/>
          <w:szCs w:val="22"/>
        </w:rPr>
        <w:t>los Ayuntamientos</w:t>
      </w:r>
      <w:r w:rsidRPr="009E60F3">
        <w:rPr>
          <w:rFonts w:ascii="Palatino Linotype" w:eastAsia="Palatino Linotype" w:hAnsi="Palatino Linotype" w:cs="Palatino Linotype"/>
          <w:i/>
          <w:sz w:val="22"/>
          <w:szCs w:val="22"/>
        </w:rPr>
        <w:t xml:space="preserve">, misma que se define como un instrumento fundamental para la planeación, programación, elaboración del presupuesto, seguimiento y evaluación del desempeño. La aplicación de los recursos apoya a la identificación y vinculación que el </w:t>
      </w:r>
      <w:r w:rsidRPr="009E60F3">
        <w:rPr>
          <w:rFonts w:ascii="Palatino Linotype" w:eastAsia="Palatino Linotype" w:hAnsi="Palatino Linotype" w:cs="Palatino Linotype"/>
          <w:i/>
          <w:sz w:val="22"/>
          <w:szCs w:val="22"/>
        </w:rPr>
        <w:lastRenderedPageBreak/>
        <w:t xml:space="preserve">presupuesto tiene con otros elementos </w:t>
      </w:r>
      <w:r w:rsidRPr="009E60F3">
        <w:rPr>
          <w:rFonts w:ascii="Palatino Linotype" w:eastAsia="Palatino Linotype" w:hAnsi="Palatino Linotype" w:cs="Palatino Linotype"/>
          <w:b/>
          <w:i/>
          <w:sz w:val="22"/>
          <w:szCs w:val="22"/>
        </w:rPr>
        <w:t>de la planeación municipal</w:t>
      </w:r>
      <w:r w:rsidRPr="009E60F3">
        <w:rPr>
          <w:rFonts w:ascii="Palatino Linotype" w:eastAsia="Palatino Linotype" w:hAnsi="Palatino Linotype" w:cs="Palatino Linotype"/>
          <w:i/>
          <w:sz w:val="22"/>
          <w:szCs w:val="22"/>
        </w:rPr>
        <w:t>, como son el Plan de Desarrollo Municipal y el Programa Anual, donde se derivan los componentes de la estructura programática municipal” (Sic)</w:t>
      </w:r>
    </w:p>
    <w:p w14:paraId="6D750C58"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Las categorías programáticas se integran por seis diferentes niveles de agrupación, según lo previsto en el “Acuerdo por el que se emite la Clasificación Funcional del Gasto”. </w:t>
      </w:r>
    </w:p>
    <w:p w14:paraId="3E678DF8"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En el Estado de México, la Clasificación Funcional del Gasto armonizada está estructurada en 4 finalidades identificadas por el primer par de dígitos de la clasificación de 28 funciones identificadas por el segundo p</w:t>
      </w:r>
      <w:r w:rsidR="005F0BD6" w:rsidRPr="009E60F3">
        <w:rPr>
          <w:rFonts w:ascii="Palatino Linotype" w:eastAsia="Palatino Linotype" w:hAnsi="Palatino Linotype" w:cs="Palatino Linotype"/>
        </w:rPr>
        <w:t xml:space="preserve">ar de dígitos, 111 subfunciones </w:t>
      </w:r>
      <w:r w:rsidRPr="009E60F3">
        <w:rPr>
          <w:rFonts w:ascii="Palatino Linotype" w:eastAsia="Palatino Linotype" w:hAnsi="Palatino Linotype" w:cs="Palatino Linotype"/>
        </w:rPr>
        <w:t>correspondientes al tercer par de dígitos, 74 Programas presupuestarios que se identifican con el cuarto par, 107 subprogramas, el quinto par y 192 proyectos que pueden visualizarse en el sexto par, como se ilustra a continuación:</w:t>
      </w:r>
    </w:p>
    <w:p w14:paraId="25BE42A1"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noProof/>
        </w:rPr>
        <w:drawing>
          <wp:inline distT="0" distB="0" distL="0" distR="0" wp14:anchorId="03007513" wp14:editId="439804D6">
            <wp:extent cx="5610225" cy="3305175"/>
            <wp:effectExtent l="0" t="0" r="0" b="0"/>
            <wp:docPr id="11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5610225" cy="3305175"/>
                    </a:xfrm>
                    <a:prstGeom prst="rect">
                      <a:avLst/>
                    </a:prstGeom>
                    <a:ln/>
                  </pic:spPr>
                </pic:pic>
              </a:graphicData>
            </a:graphic>
          </wp:inline>
        </w:drawing>
      </w:r>
    </w:p>
    <w:p w14:paraId="0F0EE4AC"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lastRenderedPageBreak/>
        <w:t>La totalidad de categorías que integrarán la Estructura Programática son:</w:t>
      </w:r>
    </w:p>
    <w:p w14:paraId="49674737" w14:textId="77777777" w:rsidR="002344C9" w:rsidRPr="009E60F3" w:rsidRDefault="00D73648">
      <w:pPr>
        <w:numPr>
          <w:ilvl w:val="0"/>
          <w:numId w:val="4"/>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rPr>
      </w:pPr>
      <w:r w:rsidRPr="009E60F3">
        <w:rPr>
          <w:rFonts w:ascii="Palatino Linotype" w:eastAsia="Palatino Linotype" w:hAnsi="Palatino Linotype" w:cs="Palatino Linotype"/>
          <w:b/>
        </w:rPr>
        <w:t>Finalidad:</w:t>
      </w:r>
      <w:r w:rsidRPr="009E60F3">
        <w:rPr>
          <w:rFonts w:ascii="Palatino Linotype" w:eastAsia="Palatino Linotype" w:hAnsi="Palatino Linotype" w:cs="Palatino Linotype"/>
        </w:rPr>
        <w:t xml:space="preserve"> agrupa los gastos según los propósitos u objetivos socioeconómicos que persiguen los diferentes entes públicos, es decir que presenta el gasto público según la naturaleza de los servicios gubernamentales brindados a la población, mismas que se dividen en:</w:t>
      </w:r>
    </w:p>
    <w:p w14:paraId="1A23F3AE" w14:textId="77777777" w:rsidR="002344C9" w:rsidRPr="009E60F3" w:rsidRDefault="00D73648">
      <w:pPr>
        <w:numPr>
          <w:ilvl w:val="0"/>
          <w:numId w:val="5"/>
        </w:numPr>
        <w:pBdr>
          <w:top w:val="nil"/>
          <w:left w:val="nil"/>
          <w:bottom w:val="nil"/>
          <w:right w:val="nil"/>
          <w:between w:val="nil"/>
        </w:pBdr>
        <w:tabs>
          <w:tab w:val="left" w:pos="851"/>
        </w:tabs>
        <w:spacing w:before="240" w:after="240" w:line="360" w:lineRule="auto"/>
        <w:ind w:left="567" w:firstLine="0"/>
        <w:jc w:val="both"/>
        <w:rPr>
          <w:rFonts w:ascii="Palatino Linotype" w:eastAsia="Palatino Linotype" w:hAnsi="Palatino Linotype" w:cs="Palatino Linotype"/>
        </w:rPr>
      </w:pPr>
      <w:r w:rsidRPr="009E60F3">
        <w:rPr>
          <w:rFonts w:ascii="Palatino Linotype" w:eastAsia="Palatino Linotype" w:hAnsi="Palatino Linotype" w:cs="Palatino Linotype"/>
        </w:rPr>
        <w:t>1er finalidad “</w:t>
      </w:r>
      <w:r w:rsidRPr="009E60F3">
        <w:rPr>
          <w:rFonts w:ascii="Palatino Linotype" w:eastAsia="Palatino Linotype" w:hAnsi="Palatino Linotype" w:cs="Palatino Linotype"/>
          <w:i/>
        </w:rPr>
        <w:t>Gobierno</w:t>
      </w:r>
      <w:r w:rsidRPr="009E60F3">
        <w:rPr>
          <w:rFonts w:ascii="Palatino Linotype" w:eastAsia="Palatino Linotype" w:hAnsi="Palatino Linotype" w:cs="Palatino Linotype"/>
        </w:rPr>
        <w:t>”: comprende las acciones propias de gobierno.</w:t>
      </w:r>
    </w:p>
    <w:p w14:paraId="704826DC" w14:textId="77777777" w:rsidR="002344C9" w:rsidRPr="009E60F3" w:rsidRDefault="00D73648">
      <w:pPr>
        <w:numPr>
          <w:ilvl w:val="0"/>
          <w:numId w:val="5"/>
        </w:numPr>
        <w:pBdr>
          <w:top w:val="nil"/>
          <w:left w:val="nil"/>
          <w:bottom w:val="nil"/>
          <w:right w:val="nil"/>
          <w:between w:val="nil"/>
        </w:pBdr>
        <w:tabs>
          <w:tab w:val="left" w:pos="851"/>
        </w:tabs>
        <w:spacing w:before="240" w:after="240" w:line="360" w:lineRule="auto"/>
        <w:ind w:left="567" w:firstLine="0"/>
        <w:jc w:val="both"/>
        <w:rPr>
          <w:rFonts w:ascii="Palatino Linotype" w:eastAsia="Palatino Linotype" w:hAnsi="Palatino Linotype" w:cs="Palatino Linotype"/>
        </w:rPr>
      </w:pPr>
      <w:r w:rsidRPr="009E60F3">
        <w:rPr>
          <w:rFonts w:ascii="Palatino Linotype" w:eastAsia="Palatino Linotype" w:hAnsi="Palatino Linotype" w:cs="Palatino Linotype"/>
        </w:rPr>
        <w:t>2da finalidad “</w:t>
      </w:r>
      <w:r w:rsidRPr="009E60F3">
        <w:rPr>
          <w:rFonts w:ascii="Palatino Linotype" w:eastAsia="Palatino Linotype" w:hAnsi="Palatino Linotype" w:cs="Palatino Linotype"/>
          <w:i/>
        </w:rPr>
        <w:t>Desarrollo Social</w:t>
      </w:r>
      <w:r w:rsidRPr="009E60F3">
        <w:rPr>
          <w:rFonts w:ascii="Palatino Linotype" w:eastAsia="Palatino Linotype" w:hAnsi="Palatino Linotype" w:cs="Palatino Linotype"/>
        </w:rPr>
        <w:t>”: incluye las actividades relacionadas con la prestación de servicios sociales en beneficio de la población.</w:t>
      </w:r>
    </w:p>
    <w:p w14:paraId="1B07BF29" w14:textId="77777777" w:rsidR="002344C9" w:rsidRPr="009E60F3" w:rsidRDefault="00D73648">
      <w:pPr>
        <w:numPr>
          <w:ilvl w:val="0"/>
          <w:numId w:val="5"/>
        </w:numPr>
        <w:pBdr>
          <w:top w:val="nil"/>
          <w:left w:val="nil"/>
          <w:bottom w:val="nil"/>
          <w:right w:val="nil"/>
          <w:between w:val="nil"/>
        </w:pBdr>
        <w:tabs>
          <w:tab w:val="left" w:pos="851"/>
        </w:tabs>
        <w:spacing w:before="240" w:after="240" w:line="360" w:lineRule="auto"/>
        <w:ind w:left="567" w:firstLine="0"/>
        <w:jc w:val="both"/>
        <w:rPr>
          <w:rFonts w:ascii="Palatino Linotype" w:eastAsia="Palatino Linotype" w:hAnsi="Palatino Linotype" w:cs="Palatino Linotype"/>
        </w:rPr>
      </w:pPr>
      <w:r w:rsidRPr="009E60F3">
        <w:rPr>
          <w:rFonts w:ascii="Palatino Linotype" w:eastAsia="Palatino Linotype" w:hAnsi="Palatino Linotype" w:cs="Palatino Linotype"/>
        </w:rPr>
        <w:t>3er finalidad “</w:t>
      </w:r>
      <w:r w:rsidRPr="009E60F3">
        <w:rPr>
          <w:rFonts w:ascii="Palatino Linotype" w:eastAsia="Palatino Linotype" w:hAnsi="Palatino Linotype" w:cs="Palatino Linotype"/>
          <w:i/>
        </w:rPr>
        <w:t>Desarrollo Económico</w:t>
      </w:r>
      <w:r w:rsidRPr="009E60F3">
        <w:rPr>
          <w:rFonts w:ascii="Palatino Linotype" w:eastAsia="Palatino Linotype" w:hAnsi="Palatino Linotype" w:cs="Palatino Linotype"/>
        </w:rPr>
        <w:t>”: comprende las actividades orientadas al desarrollo económico, fomento de la producción y prestación de bienes y servicios públicos.</w:t>
      </w:r>
    </w:p>
    <w:p w14:paraId="133D377A" w14:textId="77777777" w:rsidR="002344C9" w:rsidRPr="009E60F3" w:rsidRDefault="00D73648">
      <w:pPr>
        <w:numPr>
          <w:ilvl w:val="0"/>
          <w:numId w:val="5"/>
        </w:numPr>
        <w:pBdr>
          <w:top w:val="nil"/>
          <w:left w:val="nil"/>
          <w:bottom w:val="nil"/>
          <w:right w:val="nil"/>
          <w:between w:val="nil"/>
        </w:pBdr>
        <w:tabs>
          <w:tab w:val="left" w:pos="851"/>
        </w:tabs>
        <w:spacing w:before="240" w:after="240" w:line="360" w:lineRule="auto"/>
        <w:ind w:left="567" w:firstLine="0"/>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4ta finalidad </w:t>
      </w:r>
      <w:r w:rsidRPr="009E60F3">
        <w:rPr>
          <w:rFonts w:ascii="Palatino Linotype" w:eastAsia="Palatino Linotype" w:hAnsi="Palatino Linotype" w:cs="Palatino Linotype"/>
          <w:i/>
        </w:rPr>
        <w:t xml:space="preserve">“Otras no clasificadas en funciones anteriores”: </w:t>
      </w:r>
      <w:r w:rsidRPr="009E60F3">
        <w:rPr>
          <w:rFonts w:ascii="Palatino Linotype" w:eastAsia="Palatino Linotype" w:hAnsi="Palatino Linotype" w:cs="Palatino Linotype"/>
        </w:rPr>
        <w:t>comprende los pagos de compromisos inherentes a la contratación de deuda; las transferencias entre diferentes niveles y órdenes de gobierno, así como aquellas actividades no susceptibles de etiquetar en las funciones existentes.</w:t>
      </w:r>
    </w:p>
    <w:p w14:paraId="2E8603E9" w14:textId="77777777" w:rsidR="002344C9" w:rsidRPr="009E60F3" w:rsidRDefault="00D73648">
      <w:pPr>
        <w:numPr>
          <w:ilvl w:val="0"/>
          <w:numId w:val="4"/>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rPr>
      </w:pPr>
      <w:r w:rsidRPr="009E60F3">
        <w:rPr>
          <w:rFonts w:ascii="Palatino Linotype" w:eastAsia="Palatino Linotype" w:hAnsi="Palatino Linotype" w:cs="Palatino Linotype"/>
          <w:b/>
        </w:rPr>
        <w:t>Función</w:t>
      </w:r>
      <w:r w:rsidRPr="009E60F3">
        <w:rPr>
          <w:rFonts w:ascii="Palatino Linotype" w:eastAsia="Palatino Linotype" w:hAnsi="Palatino Linotype" w:cs="Palatino Linotype"/>
        </w:rPr>
        <w:t>: nivel de agregación del destino de los recursos del sector público, que se identifica con los campos de acción que el marco jurídico le establece al sector público. Tiene por objeto agrupar los gastos del sector público con base en los objetivos de corto, mediano y largo plazo que se persiguen, lo que contribuye al logro de objetivos generales de acción.</w:t>
      </w:r>
    </w:p>
    <w:p w14:paraId="6650CB26" w14:textId="77777777" w:rsidR="002344C9" w:rsidRPr="009E60F3" w:rsidRDefault="00D73648">
      <w:pPr>
        <w:numPr>
          <w:ilvl w:val="0"/>
          <w:numId w:val="4"/>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b/>
        </w:rPr>
      </w:pPr>
      <w:r w:rsidRPr="009E60F3">
        <w:rPr>
          <w:rFonts w:ascii="Palatino Linotype" w:eastAsia="Palatino Linotype" w:hAnsi="Palatino Linotype" w:cs="Palatino Linotype"/>
          <w:b/>
        </w:rPr>
        <w:lastRenderedPageBreak/>
        <w:t>Subfunción: c</w:t>
      </w:r>
      <w:r w:rsidRPr="009E60F3">
        <w:rPr>
          <w:rFonts w:ascii="Palatino Linotype" w:eastAsia="Palatino Linotype" w:hAnsi="Palatino Linotype" w:cs="Palatino Linotype"/>
        </w:rPr>
        <w:t>orresponde a un desglose pormenorizado de la Función, para identificar con mayor detalle la participación del sector público. Muestra un conjunto de acciones que persiguen objetivos y metas específicas que favorecen el logro del objetivo de la Función, y comprende por lo general, más de un programa.</w:t>
      </w:r>
    </w:p>
    <w:p w14:paraId="448E51E9" w14:textId="77777777" w:rsidR="002344C9" w:rsidRPr="009E60F3" w:rsidRDefault="00D73648">
      <w:pPr>
        <w:numPr>
          <w:ilvl w:val="0"/>
          <w:numId w:val="4"/>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b/>
        </w:rPr>
      </w:pPr>
      <w:r w:rsidRPr="009E60F3">
        <w:rPr>
          <w:rFonts w:ascii="Palatino Linotype" w:eastAsia="Palatino Linotype" w:hAnsi="Palatino Linotype" w:cs="Palatino Linotype"/>
          <w:b/>
        </w:rPr>
        <w:t xml:space="preserve">Programa: </w:t>
      </w:r>
      <w:r w:rsidRPr="009E60F3">
        <w:rPr>
          <w:rFonts w:ascii="Palatino Linotype" w:eastAsia="Palatino Linotype" w:hAnsi="Palatino Linotype" w:cs="Palatino Linotype"/>
        </w:rPr>
        <w:t>es un conjunto organizado de proyectos agrupados en Subprogramas, que satisfacen un objetivo específico de las dependencias o entidades públicas para alcanzar varias metas.</w:t>
      </w:r>
    </w:p>
    <w:p w14:paraId="22E94112" w14:textId="77777777" w:rsidR="002344C9" w:rsidRPr="009E60F3" w:rsidRDefault="00D73648">
      <w:pPr>
        <w:numPr>
          <w:ilvl w:val="0"/>
          <w:numId w:val="4"/>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b/>
        </w:rPr>
      </w:pPr>
      <w:r w:rsidRPr="009E60F3">
        <w:rPr>
          <w:rFonts w:ascii="Palatino Linotype" w:eastAsia="Palatino Linotype" w:hAnsi="Palatino Linotype" w:cs="Palatino Linotype"/>
          <w:b/>
        </w:rPr>
        <w:t xml:space="preserve">Subprograma: </w:t>
      </w:r>
      <w:r w:rsidRPr="009E60F3">
        <w:rPr>
          <w:rFonts w:ascii="Palatino Linotype" w:eastAsia="Palatino Linotype" w:hAnsi="Palatino Linotype" w:cs="Palatino Linotype"/>
        </w:rPr>
        <w:t>subconjunto del programa que reviste las mismas características y tiene la finalidad de agrupar los proyectos con base en objetivos y metas específicas, que identifican un logro o un beneficio producto del programa.</w:t>
      </w:r>
    </w:p>
    <w:p w14:paraId="697218D1" w14:textId="77777777" w:rsidR="002344C9" w:rsidRPr="009E60F3" w:rsidRDefault="00D73648">
      <w:pPr>
        <w:numPr>
          <w:ilvl w:val="0"/>
          <w:numId w:val="4"/>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b/>
        </w:rPr>
      </w:pPr>
      <w:r w:rsidRPr="009E60F3">
        <w:rPr>
          <w:rFonts w:ascii="Palatino Linotype" w:eastAsia="Palatino Linotype" w:hAnsi="Palatino Linotype" w:cs="Palatino Linotype"/>
          <w:b/>
        </w:rPr>
        <w:t xml:space="preserve">Proyecto: </w:t>
      </w:r>
      <w:r w:rsidRPr="009E60F3">
        <w:rPr>
          <w:rFonts w:ascii="Palatino Linotype" w:eastAsia="Palatino Linotype" w:hAnsi="Palatino Linotype" w:cs="Palatino Linotype"/>
        </w:rPr>
        <w:t>conjunto de actividades afines y coherentes que responden al logro de los objetivos del Programa y del Subprograma, en el que se definen metas y recursos para cada unidad ejecutora que lo lleva a cabo.</w:t>
      </w:r>
    </w:p>
    <w:p w14:paraId="592EFC7D"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Conforme a lo anterior, se advierte que el presupuesto de egresos, para la clasificación de los gastos debe utilizar como herramienta la estructura programática sugerida por el Acuerdo de clasificación funcional, para lo cual se deben identificar las funciones que tendrán los egresos conforme a la estructura programática propuesta, en ese sentido la clasificación programática tiene por objeto establecer la clasificación de los programas presupuestarios de los entes públicos la cual permitirá organizar las asignaciones de los recursos de forma representativa y homogénea, conforme al siguiente formato:</w:t>
      </w:r>
    </w:p>
    <w:p w14:paraId="7A993D32" w14:textId="77777777" w:rsidR="002344C9" w:rsidRPr="009E60F3" w:rsidRDefault="00D73648">
      <w:pPr>
        <w:spacing w:before="360" w:after="360" w:line="360" w:lineRule="auto"/>
        <w:jc w:val="center"/>
        <w:rPr>
          <w:rFonts w:ascii="Palatino Linotype" w:eastAsia="Palatino Linotype" w:hAnsi="Palatino Linotype" w:cs="Palatino Linotype"/>
        </w:rPr>
      </w:pPr>
      <w:r w:rsidRPr="009E60F3">
        <w:rPr>
          <w:rFonts w:ascii="Palatino Linotype" w:eastAsia="Palatino Linotype" w:hAnsi="Palatino Linotype" w:cs="Palatino Linotype"/>
          <w:noProof/>
        </w:rPr>
        <w:lastRenderedPageBreak/>
        <w:drawing>
          <wp:inline distT="0" distB="0" distL="0" distR="0" wp14:anchorId="39FE62A8" wp14:editId="6F1B9A80">
            <wp:extent cx="5040000" cy="1694259"/>
            <wp:effectExtent l="0" t="0" r="0" b="0"/>
            <wp:docPr id="11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a:srcRect/>
                    <a:stretch>
                      <a:fillRect/>
                    </a:stretch>
                  </pic:blipFill>
                  <pic:spPr>
                    <a:xfrm>
                      <a:off x="0" y="0"/>
                      <a:ext cx="5040000" cy="1694259"/>
                    </a:xfrm>
                    <a:prstGeom prst="rect">
                      <a:avLst/>
                    </a:prstGeom>
                    <a:ln/>
                  </pic:spPr>
                </pic:pic>
              </a:graphicData>
            </a:graphic>
          </wp:inline>
        </w:drawing>
      </w:r>
      <w:r w:rsidRPr="009E60F3">
        <w:rPr>
          <w:rFonts w:ascii="Palatino Linotype" w:eastAsia="Palatino Linotype" w:hAnsi="Palatino Linotype" w:cs="Palatino Linotype"/>
          <w:noProof/>
        </w:rPr>
        <w:drawing>
          <wp:inline distT="0" distB="0" distL="0" distR="0" wp14:anchorId="110307AE" wp14:editId="3C4A5655">
            <wp:extent cx="5040000" cy="1508570"/>
            <wp:effectExtent l="0" t="0" r="0" b="0"/>
            <wp:docPr id="11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5040000" cy="1508570"/>
                    </a:xfrm>
                    <a:prstGeom prst="rect">
                      <a:avLst/>
                    </a:prstGeom>
                    <a:ln/>
                  </pic:spPr>
                </pic:pic>
              </a:graphicData>
            </a:graphic>
          </wp:inline>
        </w:drawing>
      </w:r>
    </w:p>
    <w:p w14:paraId="63CD95AE" w14:textId="77777777" w:rsidR="002344C9" w:rsidRPr="009E60F3" w:rsidRDefault="00D73648">
      <w:pPr>
        <w:spacing w:before="360" w:after="36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Estructurándose la referida clasificación de la siguiente forma:</w:t>
      </w:r>
    </w:p>
    <w:p w14:paraId="60F4316A" w14:textId="77777777" w:rsidR="002344C9" w:rsidRPr="009E60F3" w:rsidRDefault="00D73648">
      <w:pPr>
        <w:spacing w:before="360" w:after="360" w:line="360" w:lineRule="auto"/>
        <w:jc w:val="center"/>
        <w:rPr>
          <w:rFonts w:ascii="Palatino Linotype" w:eastAsia="Palatino Linotype" w:hAnsi="Palatino Linotype" w:cs="Palatino Linotype"/>
        </w:rPr>
      </w:pPr>
      <w:r w:rsidRPr="009E60F3">
        <w:rPr>
          <w:rFonts w:ascii="Palatino Linotype" w:eastAsia="Palatino Linotype" w:hAnsi="Palatino Linotype" w:cs="Palatino Linotype"/>
          <w:noProof/>
        </w:rPr>
        <w:drawing>
          <wp:inline distT="0" distB="0" distL="0" distR="0" wp14:anchorId="0ADED698" wp14:editId="21DB4549">
            <wp:extent cx="5040000" cy="1855161"/>
            <wp:effectExtent l="0" t="0" r="0" b="0"/>
            <wp:docPr id="11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5040000" cy="1855161"/>
                    </a:xfrm>
                    <a:prstGeom prst="rect">
                      <a:avLst/>
                    </a:prstGeom>
                    <a:ln/>
                  </pic:spPr>
                </pic:pic>
              </a:graphicData>
            </a:graphic>
          </wp:inline>
        </w:drawing>
      </w:r>
    </w:p>
    <w:p w14:paraId="13189D5B"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En el caso concreto, el </w:t>
      </w:r>
      <w:r w:rsidRPr="009E60F3">
        <w:rPr>
          <w:rFonts w:ascii="Palatino Linotype" w:eastAsia="Palatino Linotype" w:hAnsi="Palatino Linotype" w:cs="Palatino Linotype"/>
          <w:b/>
        </w:rPr>
        <w:t>Sujeto Obligado</w:t>
      </w:r>
      <w:r w:rsidRPr="009E60F3">
        <w:rPr>
          <w:rFonts w:ascii="Palatino Linotype" w:eastAsia="Palatino Linotype" w:hAnsi="Palatino Linotype" w:cs="Palatino Linotype"/>
        </w:rPr>
        <w:t xml:space="preserve"> proporcionó la siguiente clave programática:</w:t>
      </w:r>
    </w:p>
    <w:tbl>
      <w:tblPr>
        <w:tblStyle w:val="a9"/>
        <w:tblW w:w="9437" w:type="dxa"/>
        <w:tblInd w:w="0" w:type="dxa"/>
        <w:tblLayout w:type="fixed"/>
        <w:tblLook w:val="0400" w:firstRow="0" w:lastRow="0" w:firstColumn="0" w:lastColumn="0" w:noHBand="0" w:noVBand="1"/>
      </w:tblPr>
      <w:tblGrid>
        <w:gridCol w:w="1200"/>
        <w:gridCol w:w="1200"/>
        <w:gridCol w:w="1200"/>
        <w:gridCol w:w="1257"/>
        <w:gridCol w:w="1520"/>
        <w:gridCol w:w="1340"/>
        <w:gridCol w:w="1720"/>
      </w:tblGrid>
      <w:tr w:rsidR="009E60F3" w:rsidRPr="009E60F3" w14:paraId="33778012" w14:textId="77777777">
        <w:trPr>
          <w:trHeight w:val="540"/>
        </w:trPr>
        <w:tc>
          <w:tcPr>
            <w:tcW w:w="1200" w:type="dxa"/>
            <w:tcBorders>
              <w:top w:val="single" w:sz="8" w:space="0" w:color="000000"/>
              <w:left w:val="single" w:sz="8" w:space="0" w:color="000000"/>
              <w:bottom w:val="single" w:sz="4" w:space="0" w:color="000000"/>
              <w:right w:val="single" w:sz="4" w:space="0" w:color="000000"/>
            </w:tcBorders>
            <w:shd w:val="clear" w:color="auto" w:fill="000000"/>
            <w:vAlign w:val="center"/>
          </w:tcPr>
          <w:p w14:paraId="32596A7A" w14:textId="77777777" w:rsidR="002344C9" w:rsidRPr="009E60F3" w:rsidRDefault="00D73648">
            <w:pPr>
              <w:jc w:val="center"/>
              <w:rPr>
                <w:rFonts w:ascii="Palatino Linotype" w:eastAsia="Palatino Linotype" w:hAnsi="Palatino Linotype" w:cs="Palatino Linotype"/>
                <w:b/>
                <w:sz w:val="14"/>
                <w:szCs w:val="14"/>
              </w:rPr>
            </w:pPr>
            <w:r w:rsidRPr="009E60F3">
              <w:rPr>
                <w:rFonts w:ascii="Palatino Linotype" w:eastAsia="Palatino Linotype" w:hAnsi="Palatino Linotype" w:cs="Palatino Linotype"/>
                <w:b/>
                <w:sz w:val="14"/>
                <w:szCs w:val="14"/>
              </w:rPr>
              <w:t>FINALIDAD</w:t>
            </w:r>
          </w:p>
        </w:tc>
        <w:tc>
          <w:tcPr>
            <w:tcW w:w="1200" w:type="dxa"/>
            <w:tcBorders>
              <w:top w:val="single" w:sz="8" w:space="0" w:color="000000"/>
              <w:left w:val="nil"/>
              <w:bottom w:val="single" w:sz="4" w:space="0" w:color="000000"/>
              <w:right w:val="single" w:sz="4" w:space="0" w:color="000000"/>
            </w:tcBorders>
            <w:shd w:val="clear" w:color="auto" w:fill="262626"/>
            <w:vAlign w:val="center"/>
          </w:tcPr>
          <w:p w14:paraId="2B568990" w14:textId="77777777" w:rsidR="002344C9" w:rsidRPr="009E60F3" w:rsidRDefault="00D73648">
            <w:pPr>
              <w:jc w:val="center"/>
              <w:rPr>
                <w:rFonts w:ascii="Palatino Linotype" w:eastAsia="Palatino Linotype" w:hAnsi="Palatino Linotype" w:cs="Palatino Linotype"/>
                <w:b/>
                <w:sz w:val="14"/>
                <w:szCs w:val="14"/>
              </w:rPr>
            </w:pPr>
            <w:r w:rsidRPr="009E60F3">
              <w:rPr>
                <w:rFonts w:ascii="Palatino Linotype" w:eastAsia="Palatino Linotype" w:hAnsi="Palatino Linotype" w:cs="Palatino Linotype"/>
                <w:b/>
                <w:sz w:val="14"/>
                <w:szCs w:val="14"/>
              </w:rPr>
              <w:t xml:space="preserve">FUNCIÓN </w:t>
            </w:r>
          </w:p>
        </w:tc>
        <w:tc>
          <w:tcPr>
            <w:tcW w:w="1200" w:type="dxa"/>
            <w:tcBorders>
              <w:top w:val="single" w:sz="8" w:space="0" w:color="000000"/>
              <w:left w:val="nil"/>
              <w:bottom w:val="single" w:sz="4" w:space="0" w:color="000000"/>
              <w:right w:val="single" w:sz="4" w:space="0" w:color="000000"/>
            </w:tcBorders>
            <w:shd w:val="clear" w:color="auto" w:fill="404040"/>
            <w:vAlign w:val="center"/>
          </w:tcPr>
          <w:p w14:paraId="31E8187A" w14:textId="77777777" w:rsidR="002344C9" w:rsidRPr="009E60F3" w:rsidRDefault="00D73648">
            <w:pPr>
              <w:jc w:val="center"/>
              <w:rPr>
                <w:rFonts w:ascii="Palatino Linotype" w:eastAsia="Palatino Linotype" w:hAnsi="Palatino Linotype" w:cs="Palatino Linotype"/>
                <w:b/>
                <w:sz w:val="14"/>
                <w:szCs w:val="14"/>
              </w:rPr>
            </w:pPr>
            <w:r w:rsidRPr="009E60F3">
              <w:rPr>
                <w:rFonts w:ascii="Palatino Linotype" w:eastAsia="Palatino Linotype" w:hAnsi="Palatino Linotype" w:cs="Palatino Linotype"/>
                <w:b/>
                <w:sz w:val="14"/>
                <w:szCs w:val="14"/>
              </w:rPr>
              <w:t>SUBFUNCIÓN</w:t>
            </w:r>
          </w:p>
        </w:tc>
        <w:tc>
          <w:tcPr>
            <w:tcW w:w="1257" w:type="dxa"/>
            <w:tcBorders>
              <w:top w:val="single" w:sz="8" w:space="0" w:color="000000"/>
              <w:left w:val="nil"/>
              <w:bottom w:val="single" w:sz="4" w:space="0" w:color="000000"/>
              <w:right w:val="single" w:sz="4" w:space="0" w:color="000000"/>
            </w:tcBorders>
            <w:shd w:val="clear" w:color="auto" w:fill="595959"/>
            <w:vAlign w:val="center"/>
          </w:tcPr>
          <w:p w14:paraId="2FFFDEE2" w14:textId="77777777" w:rsidR="002344C9" w:rsidRPr="009E60F3" w:rsidRDefault="00D73648">
            <w:pPr>
              <w:jc w:val="center"/>
              <w:rPr>
                <w:rFonts w:ascii="Palatino Linotype" w:eastAsia="Palatino Linotype" w:hAnsi="Palatino Linotype" w:cs="Palatino Linotype"/>
                <w:b/>
                <w:sz w:val="14"/>
                <w:szCs w:val="14"/>
              </w:rPr>
            </w:pPr>
            <w:r w:rsidRPr="009E60F3">
              <w:rPr>
                <w:rFonts w:ascii="Palatino Linotype" w:eastAsia="Palatino Linotype" w:hAnsi="Palatino Linotype" w:cs="Palatino Linotype"/>
                <w:b/>
                <w:sz w:val="14"/>
                <w:szCs w:val="14"/>
              </w:rPr>
              <w:t>PROGRAMA</w:t>
            </w:r>
          </w:p>
          <w:p w14:paraId="0616406C" w14:textId="77777777" w:rsidR="002344C9" w:rsidRPr="009E60F3" w:rsidRDefault="00D73648">
            <w:pPr>
              <w:jc w:val="center"/>
              <w:rPr>
                <w:rFonts w:ascii="Palatino Linotype" w:eastAsia="Palatino Linotype" w:hAnsi="Palatino Linotype" w:cs="Palatino Linotype"/>
                <w:b/>
                <w:sz w:val="14"/>
                <w:szCs w:val="14"/>
              </w:rPr>
            </w:pPr>
            <w:r w:rsidRPr="009E60F3">
              <w:rPr>
                <w:rFonts w:ascii="Palatino Linotype" w:eastAsia="Palatino Linotype" w:hAnsi="Palatino Linotype" w:cs="Palatino Linotype"/>
                <w:b/>
                <w:sz w:val="14"/>
                <w:szCs w:val="14"/>
              </w:rPr>
              <w:t>PRESUPUESTAL</w:t>
            </w:r>
          </w:p>
        </w:tc>
        <w:tc>
          <w:tcPr>
            <w:tcW w:w="1520" w:type="dxa"/>
            <w:tcBorders>
              <w:top w:val="single" w:sz="8" w:space="0" w:color="000000"/>
              <w:left w:val="nil"/>
              <w:bottom w:val="single" w:sz="4" w:space="0" w:color="000000"/>
              <w:right w:val="single" w:sz="4" w:space="0" w:color="000000"/>
            </w:tcBorders>
            <w:shd w:val="clear" w:color="auto" w:fill="7F7F7F"/>
            <w:vAlign w:val="center"/>
          </w:tcPr>
          <w:p w14:paraId="1EB22B2E" w14:textId="77777777" w:rsidR="002344C9" w:rsidRPr="009E60F3" w:rsidRDefault="00D73648">
            <w:pPr>
              <w:jc w:val="center"/>
              <w:rPr>
                <w:rFonts w:ascii="Palatino Linotype" w:eastAsia="Palatino Linotype" w:hAnsi="Palatino Linotype" w:cs="Palatino Linotype"/>
                <w:b/>
                <w:sz w:val="14"/>
                <w:szCs w:val="14"/>
              </w:rPr>
            </w:pPr>
            <w:r w:rsidRPr="009E60F3">
              <w:rPr>
                <w:rFonts w:ascii="Palatino Linotype" w:eastAsia="Palatino Linotype" w:hAnsi="Palatino Linotype" w:cs="Palatino Linotype"/>
                <w:b/>
                <w:sz w:val="14"/>
                <w:szCs w:val="14"/>
              </w:rPr>
              <w:t>SUBPROGRAMA</w:t>
            </w:r>
          </w:p>
        </w:tc>
        <w:tc>
          <w:tcPr>
            <w:tcW w:w="1340" w:type="dxa"/>
            <w:tcBorders>
              <w:top w:val="single" w:sz="8" w:space="0" w:color="000000"/>
              <w:left w:val="nil"/>
              <w:bottom w:val="single" w:sz="4" w:space="0" w:color="000000"/>
              <w:right w:val="single" w:sz="4" w:space="0" w:color="000000"/>
            </w:tcBorders>
            <w:shd w:val="clear" w:color="auto" w:fill="D9D9D9"/>
            <w:vAlign w:val="center"/>
          </w:tcPr>
          <w:p w14:paraId="342F432D" w14:textId="77777777" w:rsidR="002344C9" w:rsidRPr="009E60F3" w:rsidRDefault="00D73648">
            <w:pPr>
              <w:jc w:val="center"/>
              <w:rPr>
                <w:rFonts w:ascii="Palatino Linotype" w:eastAsia="Palatino Linotype" w:hAnsi="Palatino Linotype" w:cs="Palatino Linotype"/>
                <w:b/>
                <w:sz w:val="14"/>
                <w:szCs w:val="14"/>
              </w:rPr>
            </w:pPr>
            <w:r w:rsidRPr="009E60F3">
              <w:rPr>
                <w:rFonts w:ascii="Palatino Linotype" w:eastAsia="Palatino Linotype" w:hAnsi="Palatino Linotype" w:cs="Palatino Linotype"/>
                <w:b/>
                <w:sz w:val="14"/>
                <w:szCs w:val="14"/>
              </w:rPr>
              <w:t xml:space="preserve">PROYECTO </w:t>
            </w:r>
          </w:p>
        </w:tc>
        <w:tc>
          <w:tcPr>
            <w:tcW w:w="1720" w:type="dxa"/>
            <w:tcBorders>
              <w:top w:val="single" w:sz="8" w:space="0" w:color="000000"/>
              <w:left w:val="nil"/>
              <w:bottom w:val="single" w:sz="4" w:space="0" w:color="000000"/>
              <w:right w:val="single" w:sz="8" w:space="0" w:color="000000"/>
            </w:tcBorders>
            <w:shd w:val="clear" w:color="auto" w:fill="D9D9D9"/>
            <w:vAlign w:val="center"/>
          </w:tcPr>
          <w:p w14:paraId="1430E96C" w14:textId="77777777" w:rsidR="002344C9" w:rsidRPr="009E60F3" w:rsidRDefault="00D73648">
            <w:pPr>
              <w:jc w:val="center"/>
              <w:rPr>
                <w:rFonts w:ascii="Palatino Linotype" w:eastAsia="Palatino Linotype" w:hAnsi="Palatino Linotype" w:cs="Palatino Linotype"/>
                <w:b/>
                <w:sz w:val="14"/>
                <w:szCs w:val="14"/>
              </w:rPr>
            </w:pPr>
            <w:r w:rsidRPr="009E60F3">
              <w:rPr>
                <w:rFonts w:ascii="Palatino Linotype" w:eastAsia="Palatino Linotype" w:hAnsi="Palatino Linotype" w:cs="Palatino Linotype"/>
                <w:b/>
                <w:sz w:val="14"/>
                <w:szCs w:val="14"/>
              </w:rPr>
              <w:t>CLASIFICACIÓN PROGRAMÁTICA CONAC</w:t>
            </w:r>
          </w:p>
        </w:tc>
      </w:tr>
      <w:tr w:rsidR="009E60F3" w:rsidRPr="009E60F3" w14:paraId="29FB1E82" w14:textId="77777777">
        <w:trPr>
          <w:trHeight w:val="315"/>
        </w:trPr>
        <w:tc>
          <w:tcPr>
            <w:tcW w:w="1200" w:type="dxa"/>
            <w:tcBorders>
              <w:top w:val="nil"/>
              <w:left w:val="single" w:sz="8" w:space="0" w:color="000000"/>
              <w:bottom w:val="single" w:sz="8" w:space="0" w:color="000000"/>
              <w:right w:val="single" w:sz="4" w:space="0" w:color="000000"/>
            </w:tcBorders>
            <w:shd w:val="clear" w:color="auto" w:fill="auto"/>
            <w:vAlign w:val="bottom"/>
          </w:tcPr>
          <w:p w14:paraId="0A78EFFC" w14:textId="77777777" w:rsidR="002344C9" w:rsidRPr="009E60F3" w:rsidRDefault="00D73648">
            <w:pPr>
              <w:jc w:val="center"/>
              <w:rPr>
                <w:rFonts w:ascii="Palatino Linotype" w:eastAsia="Palatino Linotype" w:hAnsi="Palatino Linotype" w:cs="Palatino Linotype"/>
                <w:b/>
                <w:sz w:val="20"/>
                <w:szCs w:val="20"/>
              </w:rPr>
            </w:pPr>
            <w:r w:rsidRPr="009E60F3">
              <w:rPr>
                <w:rFonts w:ascii="Palatino Linotype" w:eastAsia="Palatino Linotype" w:hAnsi="Palatino Linotype" w:cs="Palatino Linotype"/>
                <w:b/>
                <w:sz w:val="20"/>
                <w:szCs w:val="20"/>
              </w:rPr>
              <w:t>02</w:t>
            </w:r>
          </w:p>
        </w:tc>
        <w:tc>
          <w:tcPr>
            <w:tcW w:w="1200" w:type="dxa"/>
            <w:tcBorders>
              <w:top w:val="nil"/>
              <w:left w:val="nil"/>
              <w:bottom w:val="single" w:sz="8" w:space="0" w:color="000000"/>
              <w:right w:val="single" w:sz="4" w:space="0" w:color="000000"/>
            </w:tcBorders>
            <w:shd w:val="clear" w:color="auto" w:fill="auto"/>
            <w:vAlign w:val="bottom"/>
          </w:tcPr>
          <w:p w14:paraId="5C9B47EC" w14:textId="77777777" w:rsidR="002344C9" w:rsidRPr="009E60F3" w:rsidRDefault="00D73648">
            <w:pPr>
              <w:jc w:val="center"/>
              <w:rPr>
                <w:rFonts w:ascii="Palatino Linotype" w:eastAsia="Palatino Linotype" w:hAnsi="Palatino Linotype" w:cs="Palatino Linotype"/>
                <w:b/>
                <w:sz w:val="20"/>
                <w:szCs w:val="20"/>
              </w:rPr>
            </w:pPr>
            <w:r w:rsidRPr="009E60F3">
              <w:rPr>
                <w:rFonts w:ascii="Palatino Linotype" w:eastAsia="Palatino Linotype" w:hAnsi="Palatino Linotype" w:cs="Palatino Linotype"/>
                <w:b/>
                <w:sz w:val="20"/>
                <w:szCs w:val="20"/>
              </w:rPr>
              <w:t>0206</w:t>
            </w:r>
          </w:p>
        </w:tc>
        <w:tc>
          <w:tcPr>
            <w:tcW w:w="1200" w:type="dxa"/>
            <w:tcBorders>
              <w:top w:val="nil"/>
              <w:left w:val="nil"/>
              <w:bottom w:val="single" w:sz="8" w:space="0" w:color="000000"/>
              <w:right w:val="single" w:sz="4" w:space="0" w:color="000000"/>
            </w:tcBorders>
            <w:shd w:val="clear" w:color="auto" w:fill="auto"/>
            <w:vAlign w:val="bottom"/>
          </w:tcPr>
          <w:p w14:paraId="4C231D79" w14:textId="77777777" w:rsidR="002344C9" w:rsidRPr="009E60F3" w:rsidRDefault="00D73648">
            <w:pPr>
              <w:jc w:val="center"/>
              <w:rPr>
                <w:rFonts w:ascii="Palatino Linotype" w:eastAsia="Palatino Linotype" w:hAnsi="Palatino Linotype" w:cs="Palatino Linotype"/>
                <w:b/>
                <w:sz w:val="20"/>
                <w:szCs w:val="20"/>
              </w:rPr>
            </w:pPr>
            <w:r w:rsidRPr="009E60F3">
              <w:rPr>
                <w:rFonts w:ascii="Palatino Linotype" w:eastAsia="Palatino Linotype" w:hAnsi="Palatino Linotype" w:cs="Palatino Linotype"/>
                <w:b/>
                <w:sz w:val="20"/>
                <w:szCs w:val="20"/>
              </w:rPr>
              <w:t>020608</w:t>
            </w:r>
          </w:p>
        </w:tc>
        <w:tc>
          <w:tcPr>
            <w:tcW w:w="1257" w:type="dxa"/>
            <w:tcBorders>
              <w:top w:val="nil"/>
              <w:left w:val="nil"/>
              <w:bottom w:val="single" w:sz="8" w:space="0" w:color="000000"/>
              <w:right w:val="single" w:sz="4" w:space="0" w:color="000000"/>
            </w:tcBorders>
            <w:shd w:val="clear" w:color="auto" w:fill="auto"/>
            <w:vAlign w:val="bottom"/>
          </w:tcPr>
          <w:p w14:paraId="7A2E84A5" w14:textId="77777777" w:rsidR="002344C9" w:rsidRPr="009E60F3" w:rsidRDefault="00D73648">
            <w:pPr>
              <w:jc w:val="center"/>
              <w:rPr>
                <w:rFonts w:ascii="Palatino Linotype" w:eastAsia="Palatino Linotype" w:hAnsi="Palatino Linotype" w:cs="Palatino Linotype"/>
                <w:b/>
                <w:sz w:val="20"/>
                <w:szCs w:val="20"/>
              </w:rPr>
            </w:pPr>
            <w:r w:rsidRPr="009E60F3">
              <w:rPr>
                <w:rFonts w:ascii="Palatino Linotype" w:eastAsia="Palatino Linotype" w:hAnsi="Palatino Linotype" w:cs="Palatino Linotype"/>
                <w:b/>
                <w:sz w:val="20"/>
                <w:szCs w:val="20"/>
              </w:rPr>
              <w:t>02060806</w:t>
            </w:r>
          </w:p>
        </w:tc>
        <w:tc>
          <w:tcPr>
            <w:tcW w:w="1520" w:type="dxa"/>
            <w:tcBorders>
              <w:top w:val="nil"/>
              <w:left w:val="nil"/>
              <w:bottom w:val="single" w:sz="8" w:space="0" w:color="000000"/>
              <w:right w:val="single" w:sz="4" w:space="0" w:color="000000"/>
            </w:tcBorders>
            <w:shd w:val="clear" w:color="auto" w:fill="auto"/>
            <w:vAlign w:val="bottom"/>
          </w:tcPr>
          <w:p w14:paraId="65A3980A" w14:textId="77777777" w:rsidR="002344C9" w:rsidRPr="009E60F3" w:rsidRDefault="00D73648">
            <w:pPr>
              <w:jc w:val="center"/>
              <w:rPr>
                <w:rFonts w:ascii="Palatino Linotype" w:eastAsia="Palatino Linotype" w:hAnsi="Palatino Linotype" w:cs="Palatino Linotype"/>
                <w:b/>
                <w:sz w:val="20"/>
                <w:szCs w:val="20"/>
              </w:rPr>
            </w:pPr>
            <w:r w:rsidRPr="009E60F3">
              <w:rPr>
                <w:rFonts w:ascii="Palatino Linotype" w:eastAsia="Palatino Linotype" w:hAnsi="Palatino Linotype" w:cs="Palatino Linotype"/>
                <w:b/>
                <w:sz w:val="20"/>
                <w:szCs w:val="20"/>
              </w:rPr>
              <w:t>0206080602</w:t>
            </w:r>
          </w:p>
        </w:tc>
        <w:tc>
          <w:tcPr>
            <w:tcW w:w="1340" w:type="dxa"/>
            <w:tcBorders>
              <w:top w:val="nil"/>
              <w:left w:val="nil"/>
              <w:bottom w:val="single" w:sz="8" w:space="0" w:color="000000"/>
              <w:right w:val="single" w:sz="4" w:space="0" w:color="000000"/>
            </w:tcBorders>
            <w:shd w:val="clear" w:color="auto" w:fill="auto"/>
            <w:vAlign w:val="bottom"/>
          </w:tcPr>
          <w:p w14:paraId="500C9944" w14:textId="77777777" w:rsidR="002344C9" w:rsidRPr="009E60F3" w:rsidRDefault="00D73648">
            <w:pPr>
              <w:jc w:val="center"/>
              <w:rPr>
                <w:rFonts w:ascii="Palatino Linotype" w:eastAsia="Palatino Linotype" w:hAnsi="Palatino Linotype" w:cs="Palatino Linotype"/>
                <w:b/>
                <w:sz w:val="20"/>
                <w:szCs w:val="20"/>
              </w:rPr>
            </w:pPr>
            <w:r w:rsidRPr="009E60F3">
              <w:rPr>
                <w:rFonts w:ascii="Palatino Linotype" w:eastAsia="Palatino Linotype" w:hAnsi="Palatino Linotype" w:cs="Palatino Linotype"/>
                <w:b/>
                <w:sz w:val="20"/>
                <w:szCs w:val="20"/>
              </w:rPr>
              <w:t>020608060201</w:t>
            </w:r>
          </w:p>
        </w:tc>
        <w:tc>
          <w:tcPr>
            <w:tcW w:w="1720" w:type="dxa"/>
            <w:tcBorders>
              <w:top w:val="nil"/>
              <w:left w:val="nil"/>
              <w:bottom w:val="single" w:sz="8" w:space="0" w:color="000000"/>
              <w:right w:val="single" w:sz="8" w:space="0" w:color="000000"/>
            </w:tcBorders>
            <w:shd w:val="clear" w:color="auto" w:fill="auto"/>
            <w:vAlign w:val="bottom"/>
          </w:tcPr>
          <w:p w14:paraId="0E60932F" w14:textId="77777777" w:rsidR="002344C9" w:rsidRPr="009E60F3" w:rsidRDefault="00D73648">
            <w:pPr>
              <w:jc w:val="center"/>
              <w:rPr>
                <w:rFonts w:ascii="Palatino Linotype" w:eastAsia="Palatino Linotype" w:hAnsi="Palatino Linotype" w:cs="Palatino Linotype"/>
                <w:b/>
                <w:sz w:val="20"/>
                <w:szCs w:val="20"/>
              </w:rPr>
            </w:pPr>
            <w:r w:rsidRPr="009E60F3">
              <w:rPr>
                <w:rFonts w:ascii="Palatino Linotype" w:eastAsia="Palatino Linotype" w:hAnsi="Palatino Linotype" w:cs="Palatino Linotype"/>
                <w:b/>
                <w:sz w:val="20"/>
                <w:szCs w:val="20"/>
              </w:rPr>
              <w:t>E</w:t>
            </w:r>
          </w:p>
        </w:tc>
      </w:tr>
    </w:tbl>
    <w:p w14:paraId="21CE300E" w14:textId="77777777" w:rsidR="002344C9" w:rsidRPr="009E60F3" w:rsidRDefault="00D73648" w:rsidP="005F0BD6">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lastRenderedPageBreak/>
        <w:t xml:space="preserve">Cuyos conceptos son los siguientes de conformidad con el Manual para la Planeación, Programación y Presupuesto de Egresos:  </w:t>
      </w:r>
    </w:p>
    <w:p w14:paraId="7E163FDB" w14:textId="77777777" w:rsidR="002344C9" w:rsidRPr="009E60F3" w:rsidRDefault="00D73648">
      <w:pPr>
        <w:jc w:val="both"/>
        <w:rPr>
          <w:rFonts w:ascii="Palatino Linotype" w:eastAsia="Palatino Linotype" w:hAnsi="Palatino Linotype" w:cs="Palatino Linotype"/>
        </w:rPr>
      </w:pPr>
      <w:r w:rsidRPr="009E60F3">
        <w:rPr>
          <w:rFonts w:ascii="Palatino Linotype" w:eastAsia="Palatino Linotype" w:hAnsi="Palatino Linotype" w:cs="Palatino Linotype"/>
          <w:noProof/>
        </w:rPr>
        <w:drawing>
          <wp:inline distT="0" distB="0" distL="0" distR="0" wp14:anchorId="73FDC09B" wp14:editId="68D2F843">
            <wp:extent cx="5610225" cy="333375"/>
            <wp:effectExtent l="0" t="0" r="0" b="0"/>
            <wp:docPr id="1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9"/>
                    <a:srcRect b="72656"/>
                    <a:stretch>
                      <a:fillRect/>
                    </a:stretch>
                  </pic:blipFill>
                  <pic:spPr>
                    <a:xfrm>
                      <a:off x="0" y="0"/>
                      <a:ext cx="5610225" cy="333375"/>
                    </a:xfrm>
                    <a:prstGeom prst="rect">
                      <a:avLst/>
                    </a:prstGeom>
                    <a:ln/>
                  </pic:spPr>
                </pic:pic>
              </a:graphicData>
            </a:graphic>
          </wp:inline>
        </w:drawing>
      </w:r>
    </w:p>
    <w:p w14:paraId="369CAC4B" w14:textId="77777777" w:rsidR="002344C9" w:rsidRPr="009E60F3" w:rsidRDefault="00D73648">
      <w:pPr>
        <w:jc w:val="right"/>
        <w:rPr>
          <w:rFonts w:ascii="Palatino Linotype" w:eastAsia="Palatino Linotype" w:hAnsi="Palatino Linotype" w:cs="Palatino Linotype"/>
        </w:rPr>
      </w:pPr>
      <w:r w:rsidRPr="009E60F3">
        <w:rPr>
          <w:rFonts w:ascii="Palatino Linotype" w:eastAsia="Palatino Linotype" w:hAnsi="Palatino Linotype" w:cs="Palatino Linotype"/>
          <w:noProof/>
        </w:rPr>
        <w:drawing>
          <wp:inline distT="0" distB="0" distL="0" distR="0" wp14:anchorId="008B0938" wp14:editId="70ED6BE1">
            <wp:extent cx="5580000" cy="397895"/>
            <wp:effectExtent l="0" t="0" r="0" b="0"/>
            <wp:docPr id="12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t="70423"/>
                    <a:stretch>
                      <a:fillRect/>
                    </a:stretch>
                  </pic:blipFill>
                  <pic:spPr>
                    <a:xfrm>
                      <a:off x="0" y="0"/>
                      <a:ext cx="5580000" cy="397895"/>
                    </a:xfrm>
                    <a:prstGeom prst="rect">
                      <a:avLst/>
                    </a:prstGeom>
                    <a:ln/>
                  </pic:spPr>
                </pic:pic>
              </a:graphicData>
            </a:graphic>
          </wp:inline>
        </w:drawing>
      </w:r>
    </w:p>
    <w:p w14:paraId="338A9D47" w14:textId="77777777" w:rsidR="002344C9" w:rsidRPr="009E60F3" w:rsidRDefault="00D73648">
      <w:pPr>
        <w:jc w:val="both"/>
        <w:rPr>
          <w:rFonts w:ascii="Palatino Linotype" w:eastAsia="Palatino Linotype" w:hAnsi="Palatino Linotype" w:cs="Palatino Linotype"/>
        </w:rPr>
      </w:pPr>
      <w:r w:rsidRPr="009E60F3">
        <w:rPr>
          <w:rFonts w:ascii="Palatino Linotype" w:eastAsia="Palatino Linotype" w:hAnsi="Palatino Linotype" w:cs="Palatino Linotype"/>
          <w:noProof/>
        </w:rPr>
        <w:drawing>
          <wp:inline distT="0" distB="0" distL="0" distR="0" wp14:anchorId="5F507BF7" wp14:editId="2DB0A765">
            <wp:extent cx="5610225" cy="266700"/>
            <wp:effectExtent l="0" t="0" r="0" b="0"/>
            <wp:docPr id="12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a:stretch>
                      <a:fillRect/>
                    </a:stretch>
                  </pic:blipFill>
                  <pic:spPr>
                    <a:xfrm>
                      <a:off x="0" y="0"/>
                      <a:ext cx="5610225" cy="266700"/>
                    </a:xfrm>
                    <a:prstGeom prst="rect">
                      <a:avLst/>
                    </a:prstGeom>
                    <a:ln/>
                  </pic:spPr>
                </pic:pic>
              </a:graphicData>
            </a:graphic>
          </wp:inline>
        </w:drawing>
      </w:r>
    </w:p>
    <w:p w14:paraId="67C07313" w14:textId="77777777" w:rsidR="002344C9" w:rsidRPr="009E60F3" w:rsidRDefault="00D73648">
      <w:pPr>
        <w:jc w:val="right"/>
        <w:rPr>
          <w:rFonts w:ascii="Palatino Linotype" w:eastAsia="Palatino Linotype" w:hAnsi="Palatino Linotype" w:cs="Palatino Linotype"/>
        </w:rPr>
      </w:pPr>
      <w:r w:rsidRPr="009E60F3">
        <w:rPr>
          <w:rFonts w:ascii="Palatino Linotype" w:eastAsia="Palatino Linotype" w:hAnsi="Palatino Linotype" w:cs="Palatino Linotype"/>
          <w:noProof/>
        </w:rPr>
        <w:drawing>
          <wp:inline distT="0" distB="0" distL="0" distR="0" wp14:anchorId="6D12A069" wp14:editId="7EA0CA5C">
            <wp:extent cx="5580000" cy="2036842"/>
            <wp:effectExtent l="0" t="0" r="0" b="0"/>
            <wp:docPr id="12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2"/>
                    <a:srcRect/>
                    <a:stretch>
                      <a:fillRect/>
                    </a:stretch>
                  </pic:blipFill>
                  <pic:spPr>
                    <a:xfrm>
                      <a:off x="0" y="0"/>
                      <a:ext cx="5580000" cy="2036842"/>
                    </a:xfrm>
                    <a:prstGeom prst="rect">
                      <a:avLst/>
                    </a:prstGeom>
                    <a:ln/>
                  </pic:spPr>
                </pic:pic>
              </a:graphicData>
            </a:graphic>
          </wp:inline>
        </w:drawing>
      </w:r>
      <w:r w:rsidRPr="009E60F3">
        <w:rPr>
          <w:noProof/>
        </w:rPr>
        <mc:AlternateContent>
          <mc:Choice Requires="wpg">
            <w:drawing>
              <wp:anchor distT="0" distB="0" distL="114300" distR="114300" simplePos="0" relativeHeight="251658240" behindDoc="0" locked="0" layoutInCell="1" hidden="0" allowOverlap="1" wp14:anchorId="7980331D" wp14:editId="4635DDF0">
                <wp:simplePos x="0" y="0"/>
                <wp:positionH relativeFrom="column">
                  <wp:posOffset>1778000</wp:posOffset>
                </wp:positionH>
                <wp:positionV relativeFrom="paragraph">
                  <wp:posOffset>1524000</wp:posOffset>
                </wp:positionV>
                <wp:extent cx="571500" cy="95250"/>
                <wp:effectExtent l="0" t="0" r="0" b="0"/>
                <wp:wrapNone/>
                <wp:docPr id="87" name="Conector recto de flecha 87"/>
                <wp:cNvGraphicFramePr/>
                <a:graphic xmlns:a="http://schemas.openxmlformats.org/drawingml/2006/main">
                  <a:graphicData uri="http://schemas.microsoft.com/office/word/2010/wordprocessingShape">
                    <wps:wsp>
                      <wps:cNvCnPr/>
                      <wps:spPr>
                        <a:xfrm flipH="1">
                          <a:off x="5079300" y="3751425"/>
                          <a:ext cx="533400" cy="57150"/>
                        </a:xfrm>
                        <a:prstGeom prst="straightConnector1">
                          <a:avLst/>
                        </a:prstGeom>
                        <a:noFill/>
                        <a:ln w="38100" cap="flat" cmpd="sng">
                          <a:solidFill>
                            <a:srgbClr val="C0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1778000</wp:posOffset>
                </wp:positionH>
                <wp:positionV relativeFrom="paragraph">
                  <wp:posOffset>1524000</wp:posOffset>
                </wp:positionV>
                <wp:extent cx="571500" cy="95250"/>
                <wp:effectExtent b="0" l="0" r="0" t="0"/>
                <wp:wrapNone/>
                <wp:docPr id="87" name="image7.png"/>
                <a:graphic>
                  <a:graphicData uri="http://schemas.openxmlformats.org/drawingml/2006/picture">
                    <pic:pic>
                      <pic:nvPicPr>
                        <pic:cNvPr id="0" name="image7.png"/>
                        <pic:cNvPicPr preferRelativeResize="0"/>
                      </pic:nvPicPr>
                      <pic:blipFill>
                        <a:blip r:embed="rId23"/>
                        <a:srcRect/>
                        <a:stretch>
                          <a:fillRect/>
                        </a:stretch>
                      </pic:blipFill>
                      <pic:spPr>
                        <a:xfrm>
                          <a:off x="0" y="0"/>
                          <a:ext cx="571500" cy="95250"/>
                        </a:xfrm>
                        <a:prstGeom prst="rect"/>
                        <a:ln/>
                      </pic:spPr>
                    </pic:pic>
                  </a:graphicData>
                </a:graphic>
              </wp:anchor>
            </w:drawing>
          </mc:Fallback>
        </mc:AlternateContent>
      </w:r>
    </w:p>
    <w:p w14:paraId="5D0B8847"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Siguiendo con el análisis, de conformidad con el Manual Único de Contabilidad Gubernamental para las Dependencias y Entidades Públicas del Gobierno y Municipios del Estado de México, 2022</w:t>
      </w:r>
      <w:r w:rsidRPr="009E60F3">
        <w:rPr>
          <w:rFonts w:ascii="Palatino Linotype" w:eastAsia="Palatino Linotype" w:hAnsi="Palatino Linotype" w:cs="Palatino Linotype"/>
          <w:vertAlign w:val="superscript"/>
        </w:rPr>
        <w:footnoteReference w:id="6"/>
      </w:r>
      <w:r w:rsidRPr="009E60F3">
        <w:rPr>
          <w:rFonts w:ascii="Palatino Linotype" w:eastAsia="Palatino Linotype" w:hAnsi="Palatino Linotype" w:cs="Palatino Linotype"/>
        </w:rPr>
        <w:t>, las cuentas de egresos, además de la clave programática, deben integrarse en los siguientes niveles:</w:t>
      </w:r>
    </w:p>
    <w:p w14:paraId="1E77E69C"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noProof/>
        </w:rPr>
        <w:drawing>
          <wp:inline distT="0" distB="0" distL="0" distR="0" wp14:anchorId="1B902A83" wp14:editId="04BBB3C4">
            <wp:extent cx="5610225" cy="1123950"/>
            <wp:effectExtent l="0" t="0" r="0" b="0"/>
            <wp:docPr id="12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a:srcRect/>
                    <a:stretch>
                      <a:fillRect/>
                    </a:stretch>
                  </pic:blipFill>
                  <pic:spPr>
                    <a:xfrm>
                      <a:off x="0" y="0"/>
                      <a:ext cx="5610225" cy="1123950"/>
                    </a:xfrm>
                    <a:prstGeom prst="rect">
                      <a:avLst/>
                    </a:prstGeom>
                    <a:ln/>
                  </pic:spPr>
                </pic:pic>
              </a:graphicData>
            </a:graphic>
          </wp:inline>
        </w:drawing>
      </w:r>
    </w:p>
    <w:p w14:paraId="78D6A7D7"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lastRenderedPageBreak/>
        <w:t>En este tenor tomando en consideración el Catálogo Dependencias Generales para Municipios y el Catálogo de Dependencias Auxiliares para Municipios contenidos en el Manual Único de Contabilidad Gubernamental para las Dependencias y Entidades Públicas del Gobierno y Municipios del Estado de México, 2022</w:t>
      </w:r>
      <w:r w:rsidRPr="009E60F3">
        <w:rPr>
          <w:rFonts w:ascii="Palatino Linotype" w:eastAsia="Palatino Linotype" w:hAnsi="Palatino Linotype" w:cs="Palatino Linotype"/>
          <w:vertAlign w:val="superscript"/>
        </w:rPr>
        <w:footnoteReference w:id="7"/>
      </w:r>
      <w:r w:rsidRPr="009E60F3">
        <w:rPr>
          <w:rFonts w:ascii="Palatino Linotype" w:eastAsia="Palatino Linotype" w:hAnsi="Palatino Linotype" w:cs="Palatino Linotype"/>
        </w:rPr>
        <w:t xml:space="preserve">, </w:t>
      </w:r>
      <w:r w:rsidR="005F0BD6" w:rsidRPr="009E60F3">
        <w:rPr>
          <w:rFonts w:ascii="Palatino Linotype" w:eastAsia="Palatino Linotype" w:hAnsi="Palatino Linotype" w:cs="Palatino Linotype"/>
        </w:rPr>
        <w:t xml:space="preserve">se advierte que </w:t>
      </w:r>
      <w:r w:rsidRPr="009E60F3">
        <w:rPr>
          <w:rFonts w:ascii="Palatino Linotype" w:eastAsia="Palatino Linotype" w:hAnsi="Palatino Linotype" w:cs="Palatino Linotype"/>
        </w:rPr>
        <w:t xml:space="preserve">el </w:t>
      </w:r>
      <w:r w:rsidRPr="009E60F3">
        <w:rPr>
          <w:rFonts w:ascii="Palatino Linotype" w:eastAsia="Palatino Linotype" w:hAnsi="Palatino Linotype" w:cs="Palatino Linotype"/>
          <w:b/>
        </w:rPr>
        <w:t>Sujeto Obligado</w:t>
      </w:r>
      <w:r w:rsidRPr="009E60F3">
        <w:rPr>
          <w:rFonts w:ascii="Palatino Linotype" w:eastAsia="Palatino Linotype" w:hAnsi="Palatino Linotype" w:cs="Palatino Linotype"/>
        </w:rPr>
        <w:t xml:space="preserve"> proporcionó el número de dependencia general municipal y el </w:t>
      </w:r>
      <w:r w:rsidR="005F0BD6" w:rsidRPr="009E60F3">
        <w:rPr>
          <w:rFonts w:ascii="Palatino Linotype" w:eastAsia="Palatino Linotype" w:hAnsi="Palatino Linotype" w:cs="Palatino Linotype"/>
        </w:rPr>
        <w:t>número</w:t>
      </w:r>
      <w:r w:rsidRPr="009E60F3">
        <w:rPr>
          <w:rFonts w:ascii="Palatino Linotype" w:eastAsia="Palatino Linotype" w:hAnsi="Palatino Linotype" w:cs="Palatino Linotype"/>
        </w:rPr>
        <w:t xml:space="preserve"> de la dependencia administrativa auxiliar, que tiene a su cargo el proyecto </w:t>
      </w:r>
      <w:r w:rsidRPr="009E60F3">
        <w:rPr>
          <w:rFonts w:ascii="Palatino Linotype" w:eastAsia="Palatino Linotype" w:hAnsi="Palatino Linotype" w:cs="Palatino Linotype"/>
          <w:i/>
        </w:rPr>
        <w:t xml:space="preserve">Expresión juvenil, </w:t>
      </w:r>
      <w:r w:rsidRPr="009E60F3">
        <w:rPr>
          <w:rFonts w:ascii="Palatino Linotype" w:eastAsia="Palatino Linotype" w:hAnsi="Palatino Linotype" w:cs="Palatino Linotype"/>
        </w:rPr>
        <w:t>como se muestra a continuación:</w:t>
      </w:r>
    </w:p>
    <w:p w14:paraId="5DF1D3A5" w14:textId="77777777" w:rsidR="002344C9" w:rsidRPr="009E60F3" w:rsidRDefault="005F0BD6">
      <w:pPr>
        <w:spacing w:before="240" w:after="240" w:line="360" w:lineRule="auto"/>
        <w:jc w:val="both"/>
        <w:rPr>
          <w:rFonts w:ascii="Palatino Linotype" w:eastAsia="Palatino Linotype" w:hAnsi="Palatino Linotype" w:cs="Palatino Linotype"/>
        </w:rPr>
      </w:pPr>
      <w:r w:rsidRPr="009E60F3">
        <w:rPr>
          <w:noProof/>
        </w:rPr>
        <mc:AlternateContent>
          <mc:Choice Requires="wps">
            <w:drawing>
              <wp:anchor distT="0" distB="0" distL="114300" distR="114300" simplePos="0" relativeHeight="251659264" behindDoc="0" locked="0" layoutInCell="1" hidden="0" allowOverlap="1" wp14:anchorId="2FEC2751" wp14:editId="11AD2259">
                <wp:simplePos x="0" y="0"/>
                <wp:positionH relativeFrom="column">
                  <wp:posOffset>1828800</wp:posOffset>
                </wp:positionH>
                <wp:positionV relativeFrom="paragraph">
                  <wp:posOffset>1571625</wp:posOffset>
                </wp:positionV>
                <wp:extent cx="3819525" cy="152400"/>
                <wp:effectExtent l="19050" t="19050" r="28575" b="19050"/>
                <wp:wrapNone/>
                <wp:docPr id="89" name="Rectángulo 89"/>
                <wp:cNvGraphicFramePr/>
                <a:graphic xmlns:a="http://schemas.openxmlformats.org/drawingml/2006/main">
                  <a:graphicData uri="http://schemas.microsoft.com/office/word/2010/wordprocessingShape">
                    <wps:wsp>
                      <wps:cNvSpPr/>
                      <wps:spPr>
                        <a:xfrm>
                          <a:off x="0" y="0"/>
                          <a:ext cx="3819525" cy="152400"/>
                        </a:xfrm>
                        <a:prstGeom prst="rect">
                          <a:avLst/>
                        </a:prstGeom>
                        <a:noFill/>
                        <a:ln w="28575" cap="flat" cmpd="sng">
                          <a:solidFill>
                            <a:srgbClr val="C00000"/>
                          </a:solidFill>
                          <a:prstDash val="solid"/>
                          <a:round/>
                          <a:headEnd type="none" w="sm" len="sm"/>
                          <a:tailEnd type="none" w="sm" len="sm"/>
                        </a:ln>
                      </wps:spPr>
                      <wps:txbx>
                        <w:txbxContent>
                          <w:p w14:paraId="24176441" w14:textId="77777777" w:rsidR="002344C9" w:rsidRDefault="002344C9">
                            <w:pPr>
                              <w:textDirection w:val="btLr"/>
                            </w:pPr>
                          </w:p>
                        </w:txbxContent>
                      </wps:txbx>
                      <wps:bodyPr spcFirstLastPara="1" wrap="square" lIns="91425" tIns="91425" rIns="91425" bIns="91425" anchor="ctr" anchorCtr="0">
                        <a:noAutofit/>
                      </wps:bodyPr>
                    </wps:wsp>
                  </a:graphicData>
                </a:graphic>
              </wp:anchor>
            </w:drawing>
          </mc:Choice>
          <mc:Fallback>
            <w:pict>
              <v:rect w14:anchorId="45DEA40B" id="Rectángulo 89" o:spid="_x0000_s1026" style="position:absolute;left:0;text-align:left;margin-left:2in;margin-top:123.75pt;width:300.75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" filled="f" strokecolor="#c00000" strokeweight="2.25pt">
                <v:stroke startarrowwidth="narrow" startarrowlength="short" endarrowwidth="narrow" endarrowlength="short" joinstyle="round"/>
                <v:textbox inset="2.53958mm,2.53958mm,2.53958mm,2.53958mm">
                  <w:txbxContent>
                    <w:p w:rsidR="002344C9" w:rsidRDefault="002344C9">
                      <w:pPr>
                        <w:textDirection w:val="btLr"/>
                      </w:pPr>
                    </w:p>
                  </w:txbxContent>
                </v:textbox>
              </v:rect>
            </w:pict>
          </mc:Fallback>
        </mc:AlternateContent>
      </w:r>
      <w:r w:rsidR="00D73648" w:rsidRPr="009E60F3">
        <w:rPr>
          <w:rFonts w:ascii="Palatino Linotype" w:eastAsia="Palatino Linotype" w:hAnsi="Palatino Linotype" w:cs="Palatino Linotype"/>
          <w:noProof/>
        </w:rPr>
        <w:drawing>
          <wp:inline distT="0" distB="0" distL="0" distR="0" wp14:anchorId="3A0B7498" wp14:editId="6484B0E6">
            <wp:extent cx="5610225" cy="3400425"/>
            <wp:effectExtent l="0" t="0" r="0" b="0"/>
            <wp:docPr id="12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5"/>
                    <a:srcRect/>
                    <a:stretch>
                      <a:fillRect/>
                    </a:stretch>
                  </pic:blipFill>
                  <pic:spPr>
                    <a:xfrm>
                      <a:off x="0" y="0"/>
                      <a:ext cx="5610225" cy="3400425"/>
                    </a:xfrm>
                    <a:prstGeom prst="rect">
                      <a:avLst/>
                    </a:prstGeom>
                    <a:ln/>
                  </pic:spPr>
                </pic:pic>
              </a:graphicData>
            </a:graphic>
          </wp:inline>
        </w:drawing>
      </w:r>
    </w:p>
    <w:p w14:paraId="21515A8D" w14:textId="77777777" w:rsidR="002344C9" w:rsidRPr="009E60F3" w:rsidRDefault="005F0BD6">
      <w:pPr>
        <w:spacing w:before="240" w:after="240" w:line="360" w:lineRule="auto"/>
        <w:jc w:val="both"/>
        <w:rPr>
          <w:rFonts w:ascii="Palatino Linotype" w:eastAsia="Palatino Linotype" w:hAnsi="Palatino Linotype" w:cs="Palatino Linotype"/>
        </w:rPr>
      </w:pPr>
      <w:r w:rsidRPr="009E60F3">
        <w:rPr>
          <w:noProof/>
        </w:rPr>
        <w:lastRenderedPageBreak/>
        <mc:AlternateContent>
          <mc:Choice Requires="wps">
            <w:drawing>
              <wp:anchor distT="0" distB="0" distL="114300" distR="114300" simplePos="0" relativeHeight="251660288" behindDoc="0" locked="0" layoutInCell="1" hidden="0" allowOverlap="1" wp14:anchorId="518364E9" wp14:editId="38C31410">
                <wp:simplePos x="0" y="0"/>
                <wp:positionH relativeFrom="column">
                  <wp:posOffset>2908300</wp:posOffset>
                </wp:positionH>
                <wp:positionV relativeFrom="paragraph">
                  <wp:posOffset>1673225</wp:posOffset>
                </wp:positionV>
                <wp:extent cx="2724150" cy="200025"/>
                <wp:effectExtent l="19050" t="19050" r="19050" b="28575"/>
                <wp:wrapNone/>
                <wp:docPr id="93" name="Rectángulo 93"/>
                <wp:cNvGraphicFramePr/>
                <a:graphic xmlns:a="http://schemas.openxmlformats.org/drawingml/2006/main">
                  <a:graphicData uri="http://schemas.microsoft.com/office/word/2010/wordprocessingShape">
                    <wps:wsp>
                      <wps:cNvSpPr/>
                      <wps:spPr>
                        <a:xfrm>
                          <a:off x="0" y="0"/>
                          <a:ext cx="2724150" cy="200025"/>
                        </a:xfrm>
                        <a:prstGeom prst="rect">
                          <a:avLst/>
                        </a:prstGeom>
                        <a:noFill/>
                        <a:ln w="28575" cap="flat" cmpd="sng">
                          <a:solidFill>
                            <a:srgbClr val="C00000"/>
                          </a:solidFill>
                          <a:prstDash val="solid"/>
                          <a:round/>
                          <a:headEnd type="none" w="sm" len="sm"/>
                          <a:tailEnd type="none" w="sm" len="sm"/>
                        </a:ln>
                      </wps:spPr>
                      <wps:txbx>
                        <w:txbxContent>
                          <w:p w14:paraId="026A8447" w14:textId="77777777" w:rsidR="002344C9" w:rsidRDefault="002344C9">
                            <w:pPr>
                              <w:textDirection w:val="btLr"/>
                            </w:pPr>
                          </w:p>
                        </w:txbxContent>
                      </wps:txbx>
                      <wps:bodyPr spcFirstLastPara="1" wrap="square" lIns="91425" tIns="91425" rIns="91425" bIns="91425" anchor="ctr" anchorCtr="0">
                        <a:noAutofit/>
                      </wps:bodyPr>
                    </wps:wsp>
                  </a:graphicData>
                </a:graphic>
              </wp:anchor>
            </w:drawing>
          </mc:Choice>
          <mc:Fallback>
            <w:pict>
              <v:rect w14:anchorId="4528EF39" id="Rectángulo 93" o:spid="_x0000_s1027" style="position:absolute;left:0;text-align:left;margin-left:229pt;margin-top:131.75pt;width:214.5pt;height:15.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" filled="f" strokecolor="#c00000" strokeweight="2.25pt">
                <v:stroke startarrowwidth="narrow" startarrowlength="short" endarrowwidth="narrow" endarrowlength="short" joinstyle="round"/>
                <v:textbox inset="2.53958mm,2.53958mm,2.53958mm,2.53958mm">
                  <w:txbxContent>
                    <w:p w:rsidR="002344C9" w:rsidRDefault="002344C9">
                      <w:pPr>
                        <w:textDirection w:val="btLr"/>
                      </w:pPr>
                    </w:p>
                  </w:txbxContent>
                </v:textbox>
              </v:rect>
            </w:pict>
          </mc:Fallback>
        </mc:AlternateContent>
      </w:r>
      <w:r w:rsidR="00D73648" w:rsidRPr="009E60F3">
        <w:rPr>
          <w:rFonts w:ascii="Palatino Linotype" w:eastAsia="Palatino Linotype" w:hAnsi="Palatino Linotype" w:cs="Palatino Linotype"/>
          <w:noProof/>
        </w:rPr>
        <w:drawing>
          <wp:inline distT="0" distB="0" distL="0" distR="0" wp14:anchorId="2EE5865A" wp14:editId="365FEAAF">
            <wp:extent cx="5610225" cy="3562350"/>
            <wp:effectExtent l="0" t="0" r="0" b="0"/>
            <wp:docPr id="12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6"/>
                    <a:srcRect/>
                    <a:stretch>
                      <a:fillRect/>
                    </a:stretch>
                  </pic:blipFill>
                  <pic:spPr>
                    <a:xfrm>
                      <a:off x="0" y="0"/>
                      <a:ext cx="5610225" cy="3562350"/>
                    </a:xfrm>
                    <a:prstGeom prst="rect">
                      <a:avLst/>
                    </a:prstGeom>
                    <a:ln/>
                  </pic:spPr>
                </pic:pic>
              </a:graphicData>
            </a:graphic>
          </wp:inline>
        </w:drawing>
      </w:r>
    </w:p>
    <w:p w14:paraId="490BA57E"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De lo hasta aquí expuesto, es evidente que </w:t>
      </w:r>
      <w:r w:rsidRPr="009E60F3">
        <w:rPr>
          <w:rFonts w:ascii="Palatino Linotype" w:eastAsia="Palatino Linotype" w:hAnsi="Palatino Linotype" w:cs="Palatino Linotype"/>
          <w:b/>
        </w:rPr>
        <w:t>la clave proporcionada</w:t>
      </w:r>
      <w:r w:rsidRPr="009E60F3">
        <w:rPr>
          <w:rFonts w:ascii="Palatino Linotype" w:eastAsia="Palatino Linotype" w:hAnsi="Palatino Linotype" w:cs="Palatino Linotype"/>
        </w:rPr>
        <w:t xml:space="preserve"> por el Servidor Público Habilitado de la Dirección de Desarrollo Social </w:t>
      </w:r>
      <w:r w:rsidRPr="009E60F3">
        <w:rPr>
          <w:rFonts w:ascii="Palatino Linotype" w:eastAsia="Palatino Linotype" w:hAnsi="Palatino Linotype" w:cs="Palatino Linotype"/>
          <w:b/>
        </w:rPr>
        <w:t>está incompleta</w:t>
      </w:r>
      <w:r w:rsidRPr="009E60F3">
        <w:rPr>
          <w:rFonts w:ascii="Palatino Linotype" w:eastAsia="Palatino Linotype" w:hAnsi="Palatino Linotype" w:cs="Palatino Linotype"/>
        </w:rPr>
        <w:t xml:space="preserve">, pues </w:t>
      </w:r>
      <w:r w:rsidRPr="009E60F3">
        <w:rPr>
          <w:rFonts w:ascii="Palatino Linotype" w:eastAsia="Palatino Linotype" w:hAnsi="Palatino Linotype" w:cs="Palatino Linotype"/>
          <w:b/>
        </w:rPr>
        <w:t>no se agregó la partida presupuestal especifica de la cual se erogaron los recursos públicos par</w:t>
      </w:r>
      <w:r w:rsidR="005F0BD6" w:rsidRPr="009E60F3">
        <w:rPr>
          <w:rFonts w:ascii="Palatino Linotype" w:eastAsia="Palatino Linotype" w:hAnsi="Palatino Linotype" w:cs="Palatino Linotype"/>
          <w:b/>
        </w:rPr>
        <w:t>a la realización de la dinámica referida</w:t>
      </w:r>
      <w:r w:rsidRPr="009E60F3">
        <w:rPr>
          <w:rFonts w:ascii="Palatino Linotype" w:eastAsia="Palatino Linotype" w:hAnsi="Palatino Linotype" w:cs="Palatino Linotype"/>
          <w:i/>
        </w:rPr>
        <w:t xml:space="preserve">, </w:t>
      </w:r>
      <w:r w:rsidRPr="009E60F3">
        <w:rPr>
          <w:rFonts w:ascii="Palatino Linotype" w:eastAsia="Palatino Linotype" w:hAnsi="Palatino Linotype" w:cs="Palatino Linotype"/>
        </w:rPr>
        <w:t>siendo procedente en consecuencia ordenar la entrega del soporte documental en el que se advierta dicha información para tener por atendido el derecho de acceso a la información de la persona solicitante.</w:t>
      </w:r>
    </w:p>
    <w:p w14:paraId="5ED8BD8B" w14:textId="77777777" w:rsidR="00DE3C2A" w:rsidRPr="009E60F3" w:rsidRDefault="00DE3C2A" w:rsidP="008248E5">
      <w:pPr>
        <w:spacing w:before="240" w:after="240" w:line="360" w:lineRule="auto"/>
        <w:jc w:val="both"/>
      </w:pPr>
      <w:r w:rsidRPr="009E60F3">
        <w:rPr>
          <w:rFonts w:ascii="Palatino Linotype" w:eastAsia="Palatino Linotype" w:hAnsi="Palatino Linotype" w:cs="Palatino Linotype"/>
        </w:rPr>
        <w:t xml:space="preserve">Además respecto </w:t>
      </w:r>
      <w:r w:rsidR="008248E5" w:rsidRPr="009E60F3">
        <w:rPr>
          <w:rFonts w:ascii="Palatino Linotype" w:eastAsia="Palatino Linotype" w:hAnsi="Palatino Linotype" w:cs="Palatino Linotype"/>
        </w:rPr>
        <w:t xml:space="preserve">del </w:t>
      </w:r>
      <w:r w:rsidR="008248E5" w:rsidRPr="009E60F3">
        <w:rPr>
          <w:rFonts w:ascii="Palatino Linotype" w:eastAsia="Palatino Linotype" w:hAnsi="Palatino Linotype" w:cs="Palatino Linotype"/>
          <w:i/>
        </w:rPr>
        <w:t>monto programado o presupuestado para la realización de la referida dinámica</w:t>
      </w:r>
      <w:r w:rsidR="008248E5" w:rsidRPr="009E60F3">
        <w:rPr>
          <w:rFonts w:ascii="Palatino Linotype" w:eastAsia="Palatino Linotype" w:hAnsi="Palatino Linotype" w:cs="Palatino Linotype"/>
        </w:rPr>
        <w:t>, concatenado con el análisis anterior, conviene referir que</w:t>
      </w:r>
      <w:r w:rsidRPr="009E60F3">
        <w:rPr>
          <w:rFonts w:ascii="Palatino Linotype" w:eastAsia="Palatino Linotype" w:hAnsi="Palatino Linotype" w:cs="Palatino Linotype"/>
        </w:rPr>
        <w:t xml:space="preserve"> el artículo 304, fracción VIII del Código Financiero del Estado de México, establece que el Presupuesto de Egresos debe incluir </w:t>
      </w:r>
      <w:r w:rsidRPr="009E60F3">
        <w:t xml:space="preserve">estimaciones de egresos, por cada una de sus fuentes, </w:t>
      </w:r>
      <w:r w:rsidRPr="009E60F3">
        <w:lastRenderedPageBreak/>
        <w:t>agrupados por sus clasificaciones programática a nivel de programas presupuestarios y proyectos, administrativa, y económica, como se lee a continuación:</w:t>
      </w:r>
    </w:p>
    <w:p w14:paraId="3BEC777B" w14:textId="77777777" w:rsidR="00DE3C2A" w:rsidRPr="009E60F3" w:rsidRDefault="00DE3C2A" w:rsidP="00DE3C2A">
      <w:pPr>
        <w:spacing w:before="120" w:after="120"/>
        <w:ind w:left="851" w:right="902"/>
        <w:jc w:val="both"/>
        <w:rPr>
          <w:rFonts w:ascii="Palatino Linotype" w:hAnsi="Palatino Linotype"/>
          <w:i/>
          <w:sz w:val="22"/>
        </w:rPr>
      </w:pPr>
      <w:r w:rsidRPr="009E60F3">
        <w:rPr>
          <w:rFonts w:ascii="Palatino Linotype" w:hAnsi="Palatino Linotype"/>
          <w:i/>
          <w:sz w:val="22"/>
        </w:rPr>
        <w:t>“Artículo 304.- La presentación del Proyecto de Presupuesto de Egresos, tanto a nivel estatal como municipal, deberá incluir, lo siguiente:</w:t>
      </w:r>
    </w:p>
    <w:p w14:paraId="79B0786E" w14:textId="77777777" w:rsidR="00DE3C2A" w:rsidRPr="009E60F3" w:rsidRDefault="00DE3C2A" w:rsidP="00DE3C2A">
      <w:pPr>
        <w:spacing w:before="120" w:after="120"/>
        <w:ind w:left="851" w:right="902"/>
        <w:jc w:val="both"/>
        <w:rPr>
          <w:rFonts w:ascii="Palatino Linotype" w:hAnsi="Palatino Linotype"/>
          <w:i/>
          <w:sz w:val="22"/>
        </w:rPr>
      </w:pPr>
      <w:r w:rsidRPr="009E60F3">
        <w:rPr>
          <w:rFonts w:ascii="Palatino Linotype" w:hAnsi="Palatino Linotype"/>
          <w:i/>
          <w:sz w:val="22"/>
        </w:rPr>
        <w:t>…</w:t>
      </w:r>
    </w:p>
    <w:p w14:paraId="0209107F" w14:textId="77777777" w:rsidR="00DE3C2A" w:rsidRPr="009E60F3" w:rsidRDefault="00DE3C2A" w:rsidP="00DE3C2A">
      <w:pPr>
        <w:spacing w:before="120" w:after="120"/>
        <w:ind w:left="851" w:right="902"/>
        <w:jc w:val="both"/>
        <w:rPr>
          <w:rFonts w:ascii="Palatino Linotype" w:hAnsi="Palatino Linotype"/>
          <w:i/>
          <w:sz w:val="22"/>
        </w:rPr>
      </w:pPr>
      <w:r w:rsidRPr="009E60F3">
        <w:rPr>
          <w:rFonts w:ascii="Palatino Linotype" w:hAnsi="Palatino Linotype"/>
          <w:b/>
          <w:i/>
          <w:sz w:val="22"/>
        </w:rPr>
        <w:t>VIII</w:t>
      </w:r>
      <w:r w:rsidRPr="009E60F3">
        <w:rPr>
          <w:rFonts w:ascii="Palatino Linotype" w:hAnsi="Palatino Linotype"/>
          <w:i/>
          <w:sz w:val="22"/>
        </w:rPr>
        <w:t xml:space="preserve">. </w:t>
      </w:r>
      <w:r w:rsidRPr="009E60F3">
        <w:rPr>
          <w:rFonts w:ascii="Palatino Linotype" w:hAnsi="Palatino Linotype"/>
          <w:b/>
          <w:i/>
          <w:sz w:val="22"/>
        </w:rPr>
        <w:t>Estimaciones de egresos</w:t>
      </w:r>
      <w:r w:rsidRPr="009E60F3">
        <w:rPr>
          <w:rFonts w:ascii="Palatino Linotype" w:hAnsi="Palatino Linotype"/>
          <w:i/>
          <w:sz w:val="22"/>
        </w:rPr>
        <w:t xml:space="preserve">, por cada una de sus fuentes, agrupados de la siguiente forma: </w:t>
      </w:r>
    </w:p>
    <w:p w14:paraId="30CA876B" w14:textId="77777777" w:rsidR="00DE3C2A" w:rsidRPr="009E60F3" w:rsidRDefault="00DE3C2A" w:rsidP="00DE3C2A">
      <w:pPr>
        <w:spacing w:before="120" w:after="120"/>
        <w:ind w:left="1134" w:right="902"/>
        <w:jc w:val="both"/>
        <w:rPr>
          <w:rFonts w:ascii="Palatino Linotype" w:hAnsi="Palatino Linotype"/>
          <w:b/>
          <w:i/>
          <w:sz w:val="22"/>
        </w:rPr>
      </w:pPr>
      <w:r w:rsidRPr="009E60F3">
        <w:rPr>
          <w:rFonts w:ascii="Palatino Linotype" w:hAnsi="Palatino Linotype"/>
          <w:b/>
          <w:i/>
          <w:sz w:val="22"/>
        </w:rPr>
        <w:t>1</w:t>
      </w:r>
      <w:r w:rsidRPr="009E60F3">
        <w:rPr>
          <w:rFonts w:ascii="Palatino Linotype" w:hAnsi="Palatino Linotype"/>
          <w:i/>
          <w:sz w:val="22"/>
        </w:rPr>
        <w:t xml:space="preserve">.- </w:t>
      </w:r>
      <w:r w:rsidRPr="009E60F3">
        <w:rPr>
          <w:rFonts w:ascii="Palatino Linotype" w:hAnsi="Palatino Linotype"/>
          <w:b/>
          <w:i/>
          <w:sz w:val="22"/>
        </w:rPr>
        <w:t xml:space="preserve">Clasificación Programática a nivel de programas presupuestarios y proyectos. </w:t>
      </w:r>
    </w:p>
    <w:p w14:paraId="64B9DEF3" w14:textId="77777777" w:rsidR="00DE3C2A" w:rsidRPr="009E60F3" w:rsidRDefault="00DE3C2A" w:rsidP="00DE3C2A">
      <w:pPr>
        <w:spacing w:before="120" w:after="120"/>
        <w:ind w:left="1134" w:right="902"/>
        <w:jc w:val="both"/>
        <w:rPr>
          <w:rFonts w:ascii="Palatino Linotype" w:hAnsi="Palatino Linotype"/>
          <w:i/>
          <w:sz w:val="22"/>
        </w:rPr>
      </w:pPr>
      <w:r w:rsidRPr="009E60F3">
        <w:rPr>
          <w:rFonts w:ascii="Palatino Linotype" w:hAnsi="Palatino Linotype"/>
          <w:b/>
          <w:i/>
          <w:sz w:val="22"/>
        </w:rPr>
        <w:t>2.</w:t>
      </w:r>
      <w:r w:rsidRPr="009E60F3">
        <w:rPr>
          <w:rFonts w:ascii="Palatino Linotype" w:hAnsi="Palatino Linotype"/>
          <w:i/>
          <w:sz w:val="22"/>
        </w:rPr>
        <w:t>- Clasificación Administrativa.</w:t>
      </w:r>
    </w:p>
    <w:p w14:paraId="49AB0145" w14:textId="77777777" w:rsidR="00DE3C2A" w:rsidRPr="009E60F3" w:rsidRDefault="00DE3C2A" w:rsidP="00DE3C2A">
      <w:pPr>
        <w:spacing w:before="120" w:after="120"/>
        <w:ind w:left="1134" w:right="902"/>
        <w:jc w:val="both"/>
        <w:rPr>
          <w:rFonts w:ascii="Palatino Linotype" w:eastAsia="Palatino Linotype" w:hAnsi="Palatino Linotype" w:cs="Palatino Linotype"/>
          <w:i/>
          <w:sz w:val="22"/>
        </w:rPr>
      </w:pPr>
      <w:r w:rsidRPr="009E60F3">
        <w:rPr>
          <w:rFonts w:ascii="Palatino Linotype" w:hAnsi="Palatino Linotype"/>
          <w:b/>
          <w:i/>
          <w:sz w:val="22"/>
        </w:rPr>
        <w:t>3.</w:t>
      </w:r>
      <w:r w:rsidRPr="009E60F3">
        <w:rPr>
          <w:rFonts w:ascii="Palatino Linotype" w:hAnsi="Palatino Linotype"/>
          <w:i/>
          <w:sz w:val="22"/>
        </w:rPr>
        <w:t>- Clasificación Económica.”</w:t>
      </w:r>
    </w:p>
    <w:p w14:paraId="405C8A9C" w14:textId="77777777" w:rsidR="00DE3C2A" w:rsidRPr="009E60F3" w:rsidRDefault="00DE3C2A" w:rsidP="008248E5">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Mientras que los diversos 334, 335 y 336 del referido Código establecen lo siguiente:</w:t>
      </w:r>
    </w:p>
    <w:p w14:paraId="393E54A5" w14:textId="77777777" w:rsidR="00DE3C2A" w:rsidRPr="009E60F3" w:rsidRDefault="00DE3C2A" w:rsidP="00DE3C2A">
      <w:pPr>
        <w:spacing w:before="120" w:after="120"/>
        <w:ind w:left="851" w:right="902"/>
        <w:jc w:val="both"/>
        <w:rPr>
          <w:rFonts w:ascii="Palatino Linotype" w:hAnsi="Palatino Linotype"/>
          <w:i/>
          <w:sz w:val="22"/>
        </w:rPr>
      </w:pPr>
      <w:r w:rsidRPr="009E60F3">
        <w:rPr>
          <w:rFonts w:ascii="Palatino Linotype" w:hAnsi="Palatino Linotype"/>
          <w:i/>
          <w:sz w:val="22"/>
        </w:rPr>
        <w:t>“</w:t>
      </w:r>
      <w:r w:rsidRPr="009E60F3">
        <w:rPr>
          <w:rFonts w:ascii="Palatino Linotype" w:hAnsi="Palatino Linotype"/>
          <w:b/>
          <w:i/>
          <w:sz w:val="22"/>
        </w:rPr>
        <w:t>Artículo 334</w:t>
      </w:r>
      <w:r w:rsidRPr="009E60F3">
        <w:rPr>
          <w:rFonts w:ascii="Palatino Linotype" w:hAnsi="Palatino Linotype"/>
          <w:i/>
          <w:sz w:val="22"/>
        </w:rPr>
        <w:t>.- La Secretaría y</w:t>
      </w:r>
      <w:r w:rsidRPr="009E60F3">
        <w:rPr>
          <w:rFonts w:ascii="Palatino Linotype" w:hAnsi="Palatino Linotype"/>
          <w:b/>
          <w:i/>
          <w:sz w:val="22"/>
        </w:rPr>
        <w:t xml:space="preserve"> la tesorería</w:t>
      </w:r>
      <w:r w:rsidRPr="009E60F3">
        <w:rPr>
          <w:rFonts w:ascii="Palatino Linotype" w:hAnsi="Palatino Linotype"/>
          <w:i/>
          <w:sz w:val="22"/>
        </w:rPr>
        <w:t xml:space="preserve">, en el ámbito de su competencia, </w:t>
      </w:r>
      <w:r w:rsidRPr="009E60F3">
        <w:rPr>
          <w:rFonts w:ascii="Palatino Linotype" w:hAnsi="Palatino Linotype"/>
          <w:b/>
          <w:i/>
          <w:sz w:val="22"/>
        </w:rPr>
        <w:t xml:space="preserve">autorizarán la </w:t>
      </w:r>
      <w:r w:rsidRPr="009E60F3">
        <w:rPr>
          <w:rFonts w:ascii="Palatino Linotype" w:hAnsi="Palatino Linotype"/>
          <w:b/>
          <w:i/>
          <w:sz w:val="22"/>
          <w:u w:val="single"/>
        </w:rPr>
        <w:t>liberación de recursos financieros</w:t>
      </w:r>
      <w:r w:rsidRPr="009E60F3">
        <w:rPr>
          <w:rFonts w:ascii="Palatino Linotype" w:hAnsi="Palatino Linotype"/>
          <w:b/>
          <w:i/>
          <w:sz w:val="22"/>
        </w:rPr>
        <w:t xml:space="preserve"> de conformidad a los montos </w:t>
      </w:r>
      <w:r w:rsidRPr="009E60F3">
        <w:rPr>
          <w:rFonts w:ascii="Palatino Linotype" w:hAnsi="Palatino Linotype"/>
          <w:b/>
          <w:i/>
          <w:sz w:val="22"/>
          <w:u w:val="single"/>
        </w:rPr>
        <w:t>establecidos en el presupuesto de egresos</w:t>
      </w:r>
      <w:r w:rsidRPr="009E60F3">
        <w:rPr>
          <w:rFonts w:ascii="Palatino Linotype" w:hAnsi="Palatino Linotype"/>
          <w:b/>
          <w:i/>
          <w:sz w:val="22"/>
        </w:rPr>
        <w:t>.</w:t>
      </w:r>
    </w:p>
    <w:p w14:paraId="27420CD8" w14:textId="77777777" w:rsidR="001E07C4" w:rsidRPr="009E60F3" w:rsidRDefault="00DE3C2A" w:rsidP="00DE3C2A">
      <w:pPr>
        <w:spacing w:before="120" w:after="120"/>
        <w:ind w:left="851" w:right="902"/>
        <w:jc w:val="both"/>
        <w:rPr>
          <w:rFonts w:ascii="Palatino Linotype" w:hAnsi="Palatino Linotype"/>
          <w:i/>
          <w:sz w:val="22"/>
        </w:rPr>
      </w:pPr>
      <w:r w:rsidRPr="009E60F3">
        <w:rPr>
          <w:rFonts w:ascii="Palatino Linotype" w:hAnsi="Palatino Linotype"/>
          <w:b/>
          <w:i/>
          <w:sz w:val="22"/>
        </w:rPr>
        <w:t>Artículo 335</w:t>
      </w:r>
      <w:r w:rsidRPr="009E60F3">
        <w:rPr>
          <w:rFonts w:ascii="Palatino Linotype" w:hAnsi="Palatino Linotype"/>
          <w:i/>
          <w:sz w:val="22"/>
        </w:rPr>
        <w:t xml:space="preserve">.- </w:t>
      </w:r>
      <w:r w:rsidRPr="009E60F3">
        <w:rPr>
          <w:rFonts w:ascii="Palatino Linotype" w:hAnsi="Palatino Linotype"/>
          <w:b/>
          <w:i/>
          <w:sz w:val="22"/>
        </w:rPr>
        <w:t>En la liberación de recursos financieros, las dependencias, entidades públicas y unidades administrativas deberán cumplir con los requisitos que se establezcan en las reglas de carácter general que expidan</w:t>
      </w:r>
      <w:r w:rsidRPr="009E60F3">
        <w:rPr>
          <w:rFonts w:ascii="Palatino Linotype" w:hAnsi="Palatino Linotype"/>
          <w:i/>
          <w:sz w:val="22"/>
        </w:rPr>
        <w:t xml:space="preserve"> la Secretaría y </w:t>
      </w:r>
      <w:r w:rsidRPr="009E60F3">
        <w:rPr>
          <w:rFonts w:ascii="Palatino Linotype" w:hAnsi="Palatino Linotype"/>
          <w:b/>
          <w:i/>
          <w:sz w:val="22"/>
        </w:rPr>
        <w:t>la Tesorería</w:t>
      </w:r>
      <w:r w:rsidRPr="009E60F3">
        <w:rPr>
          <w:rFonts w:ascii="Palatino Linotype" w:hAnsi="Palatino Linotype"/>
          <w:i/>
          <w:sz w:val="22"/>
        </w:rPr>
        <w:t xml:space="preserve"> en el ámbito de sus respectivas competencias. </w:t>
      </w:r>
    </w:p>
    <w:p w14:paraId="2BF37836" w14:textId="77777777" w:rsidR="001E07C4" w:rsidRPr="009E60F3" w:rsidRDefault="00DE3C2A" w:rsidP="00DE3C2A">
      <w:pPr>
        <w:spacing w:before="120" w:after="120"/>
        <w:ind w:left="851" w:right="902"/>
        <w:jc w:val="both"/>
        <w:rPr>
          <w:rFonts w:ascii="Palatino Linotype" w:hAnsi="Palatino Linotype"/>
          <w:i/>
          <w:sz w:val="22"/>
        </w:rPr>
      </w:pPr>
      <w:r w:rsidRPr="009E60F3">
        <w:rPr>
          <w:rFonts w:ascii="Palatino Linotype" w:hAnsi="Palatino Linotype"/>
          <w:i/>
          <w:sz w:val="22"/>
        </w:rPr>
        <w:t xml:space="preserve">Los contratistas, proveedores y prestadores de servicios que sean contratados por las unidades ejecutoras del gasto, recibirán el pago por la contraprestación otorgada, únicamente a través del beneficiario, o en su caso por medio de su representante legal debidamente acreditado mediante poder notarial. </w:t>
      </w:r>
    </w:p>
    <w:p w14:paraId="36577CDF" w14:textId="77777777" w:rsidR="00DE3C2A" w:rsidRPr="009E60F3" w:rsidRDefault="00DE3C2A" w:rsidP="00DE3C2A">
      <w:pPr>
        <w:spacing w:before="120" w:after="120"/>
        <w:ind w:left="851" w:right="902"/>
        <w:jc w:val="both"/>
        <w:rPr>
          <w:rFonts w:ascii="Palatino Linotype" w:hAnsi="Palatino Linotype"/>
          <w:i/>
          <w:sz w:val="22"/>
        </w:rPr>
      </w:pPr>
      <w:r w:rsidRPr="009E60F3">
        <w:rPr>
          <w:rFonts w:ascii="Palatino Linotype" w:hAnsi="Palatino Linotype"/>
          <w:i/>
          <w:sz w:val="22"/>
        </w:rPr>
        <w:t xml:space="preserve">Para el pago de documentos programados por la Tesorería, las Dependencias, Entidades Públicas, unidades administrativas, personas físicas y jurídicas colectivas contarán con un plazo de seis meses a partir de su programación para hacerlos efectivos; en caso de no hacerlo, se procederá a la cancelación de la programación del documento, sin perjuicio de su reprogramación. </w:t>
      </w:r>
    </w:p>
    <w:p w14:paraId="555E34E7" w14:textId="77777777" w:rsidR="00DE3C2A" w:rsidRPr="009E60F3" w:rsidRDefault="00DE3C2A" w:rsidP="00DE3C2A">
      <w:pPr>
        <w:spacing w:before="120" w:after="120"/>
        <w:ind w:left="851" w:right="902"/>
        <w:jc w:val="both"/>
        <w:rPr>
          <w:rFonts w:ascii="Palatino Linotype" w:hAnsi="Palatino Linotype"/>
          <w:i/>
          <w:sz w:val="22"/>
        </w:rPr>
      </w:pPr>
      <w:r w:rsidRPr="009E60F3">
        <w:rPr>
          <w:rFonts w:ascii="Palatino Linotype" w:hAnsi="Palatino Linotype"/>
          <w:b/>
          <w:i/>
          <w:sz w:val="22"/>
        </w:rPr>
        <w:t>Artículo 336</w:t>
      </w:r>
      <w:r w:rsidRPr="009E60F3">
        <w:rPr>
          <w:rFonts w:ascii="Palatino Linotype" w:hAnsi="Palatino Linotype"/>
          <w:i/>
          <w:sz w:val="22"/>
        </w:rPr>
        <w:t xml:space="preserve">.- </w:t>
      </w:r>
      <w:r w:rsidRPr="009E60F3">
        <w:rPr>
          <w:rFonts w:ascii="Palatino Linotype" w:hAnsi="Palatino Linotype"/>
          <w:b/>
          <w:i/>
          <w:sz w:val="22"/>
        </w:rPr>
        <w:t xml:space="preserve">Para la disposición de los recursos financieros, las Dependencias, Entidades Públicas y unidades administrativas deberán </w:t>
      </w:r>
      <w:proofErr w:type="spellStart"/>
      <w:r w:rsidRPr="009E60F3">
        <w:rPr>
          <w:rFonts w:ascii="Palatino Linotype" w:hAnsi="Palatino Linotype"/>
          <w:b/>
          <w:i/>
          <w:sz w:val="22"/>
        </w:rPr>
        <w:t>requisitar</w:t>
      </w:r>
      <w:proofErr w:type="spellEnd"/>
      <w:r w:rsidRPr="009E60F3">
        <w:rPr>
          <w:rFonts w:ascii="Palatino Linotype" w:hAnsi="Palatino Linotype"/>
          <w:b/>
          <w:i/>
          <w:sz w:val="22"/>
        </w:rPr>
        <w:t xml:space="preserve"> la orden de pago, especificando que la modalidad de liquidación será preferentemente mediante transferencia electrónica vía </w:t>
      </w:r>
      <w:r w:rsidRPr="009E60F3">
        <w:rPr>
          <w:rFonts w:ascii="Palatino Linotype" w:hAnsi="Palatino Linotype"/>
          <w:b/>
          <w:i/>
          <w:sz w:val="22"/>
        </w:rPr>
        <w:lastRenderedPageBreak/>
        <w:t>Sistema de Pagos Electrónicos Interbancaria, o cheque cuando no haya disponibilidad de servicio</w:t>
      </w:r>
      <w:r w:rsidR="00F1470A" w:rsidRPr="009E60F3">
        <w:rPr>
          <w:rFonts w:ascii="Palatino Linotype" w:hAnsi="Palatino Linotype"/>
          <w:b/>
          <w:i/>
          <w:sz w:val="22"/>
        </w:rPr>
        <w:t>s</w:t>
      </w:r>
      <w:r w:rsidRPr="009E60F3">
        <w:rPr>
          <w:rFonts w:ascii="Palatino Linotype" w:hAnsi="Palatino Linotype"/>
          <w:b/>
          <w:i/>
          <w:sz w:val="22"/>
        </w:rPr>
        <w:t xml:space="preserve"> bancarios</w:t>
      </w:r>
      <w:r w:rsidRPr="009E60F3">
        <w:rPr>
          <w:rFonts w:ascii="Palatino Linotype" w:hAnsi="Palatino Linotype"/>
          <w:i/>
          <w:sz w:val="22"/>
        </w:rPr>
        <w:t xml:space="preserve">. </w:t>
      </w:r>
    </w:p>
    <w:p w14:paraId="1A205D1C" w14:textId="77777777" w:rsidR="00DE3C2A" w:rsidRPr="009E60F3" w:rsidRDefault="00DE3C2A" w:rsidP="00DE3C2A">
      <w:pPr>
        <w:spacing w:before="120" w:after="120"/>
        <w:ind w:left="851" w:right="902"/>
        <w:jc w:val="both"/>
        <w:rPr>
          <w:rFonts w:ascii="Palatino Linotype" w:hAnsi="Palatino Linotype"/>
          <w:i/>
          <w:sz w:val="22"/>
        </w:rPr>
      </w:pPr>
      <w:r w:rsidRPr="009E60F3">
        <w:rPr>
          <w:rFonts w:ascii="Palatino Linotype" w:hAnsi="Palatino Linotype"/>
          <w:i/>
          <w:sz w:val="22"/>
        </w:rPr>
        <w:t xml:space="preserve">Los cheques expedidos vigentes y que no hayan sido cobrados al treinta y uno de diciembre de cada año, deberán ser cuantificados, a fin de hacer la previsión correspondiente para el siguiente ejercicio fiscal. </w:t>
      </w:r>
    </w:p>
    <w:p w14:paraId="66A0B0D2" w14:textId="77777777" w:rsidR="00DE3C2A" w:rsidRPr="009E60F3" w:rsidRDefault="00DE3C2A" w:rsidP="00DE3C2A">
      <w:pPr>
        <w:spacing w:before="120" w:after="120"/>
        <w:ind w:left="851" w:right="902"/>
        <w:jc w:val="both"/>
        <w:rPr>
          <w:rFonts w:ascii="Palatino Linotype" w:eastAsia="Palatino Linotype" w:hAnsi="Palatino Linotype" w:cs="Palatino Linotype"/>
          <w:i/>
          <w:sz w:val="22"/>
        </w:rPr>
      </w:pPr>
      <w:r w:rsidRPr="009E60F3">
        <w:rPr>
          <w:rFonts w:ascii="Palatino Linotype" w:hAnsi="Palatino Linotype"/>
          <w:i/>
          <w:sz w:val="22"/>
        </w:rPr>
        <w:t>De ser aplicable en los municipios, se observará este procedimiento.”</w:t>
      </w:r>
    </w:p>
    <w:p w14:paraId="3DAC443A" w14:textId="77777777" w:rsidR="00F1470A" w:rsidRPr="009E60F3" w:rsidRDefault="00F1470A">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Como se advierte, la liberación de recursos financieros se autoriza de conformidad con los montos establecidos en el presupuesto de egresos, asimismo, las dependencias deben requisita la orden de pago para la disposición de los recursos financieros, por lo que se concluye que el monto para cubrir la dinámica referida, debió contemplarse previamente a la realización del mismo, es decir, debió programarse en el presupuesto de egresos.</w:t>
      </w:r>
    </w:p>
    <w:p w14:paraId="14C23A0B"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Ahora bien, toda vez que ha quedado demostrado que la información remitida para atender la solicitud de información es insuficiente para satisfacer la solicitud de información presentada, se estima dable señalar el o los documentos que, de manera enunciativa, más no limitativa, el </w:t>
      </w:r>
      <w:r w:rsidRPr="009E60F3">
        <w:rPr>
          <w:rFonts w:ascii="Palatino Linotype" w:eastAsia="Palatino Linotype" w:hAnsi="Palatino Linotype" w:cs="Palatino Linotype"/>
          <w:b/>
        </w:rPr>
        <w:t>Sujeto Obligado</w:t>
      </w:r>
      <w:r w:rsidRPr="009E60F3">
        <w:rPr>
          <w:rFonts w:ascii="Palatino Linotype" w:eastAsia="Palatino Linotype" w:hAnsi="Palatino Linotype" w:cs="Palatino Linotype"/>
        </w:rPr>
        <w:t xml:space="preserve"> puede remitir para lograr dicha finalidad, para lo cual es imprescindible referir que, de conformidad con el Manual para la Planeación, Programación y Presupuesto de Egresos Municipal, para proporcionar a cada Dependencia General sus techos financieros, reflejando los gastos fijos e indirectos (servicios personales + materiales y suministros necesarios + servicios generales necesarios + gastos de deuda), la </w:t>
      </w:r>
      <w:r w:rsidRPr="009E60F3">
        <w:rPr>
          <w:rFonts w:ascii="Palatino Linotype" w:eastAsia="Palatino Linotype" w:hAnsi="Palatino Linotype" w:cs="Palatino Linotype"/>
          <w:i/>
        </w:rPr>
        <w:t>Tesorería</w:t>
      </w:r>
      <w:r w:rsidRPr="009E60F3">
        <w:rPr>
          <w:rFonts w:ascii="Palatino Linotype" w:eastAsia="Palatino Linotype" w:hAnsi="Palatino Linotype" w:cs="Palatino Linotype"/>
        </w:rPr>
        <w:t xml:space="preserve"> podrá utilizar el </w:t>
      </w:r>
      <w:r w:rsidRPr="009E60F3">
        <w:rPr>
          <w:rFonts w:ascii="Palatino Linotype" w:eastAsia="Palatino Linotype" w:hAnsi="Palatino Linotype" w:cs="Palatino Linotype"/>
          <w:b/>
        </w:rPr>
        <w:t>PbRM-04a</w:t>
      </w:r>
      <w:r w:rsidRPr="009E60F3">
        <w:rPr>
          <w:rFonts w:ascii="Palatino Linotype" w:eastAsia="Palatino Linotype" w:hAnsi="Palatino Linotype" w:cs="Palatino Linotype"/>
        </w:rPr>
        <w:t xml:space="preserve"> “</w:t>
      </w:r>
      <w:r w:rsidRPr="009E60F3">
        <w:rPr>
          <w:rFonts w:ascii="Palatino Linotype" w:eastAsia="Palatino Linotype" w:hAnsi="Palatino Linotype" w:cs="Palatino Linotype"/>
          <w:b/>
        </w:rPr>
        <w:t>Presupuesto de Egresos Detallado</w:t>
      </w:r>
      <w:r w:rsidRPr="009E60F3">
        <w:rPr>
          <w:rFonts w:ascii="Palatino Linotype" w:eastAsia="Palatino Linotype" w:hAnsi="Palatino Linotype" w:cs="Palatino Linotype"/>
        </w:rPr>
        <w:t>” a fin de registrar los proyectos por partida de gasto, cuyo formato e instructivo de llenado se inserta a continuación para un mejor entendimiento:</w:t>
      </w:r>
    </w:p>
    <w:p w14:paraId="7A396AB8" w14:textId="77777777" w:rsidR="002344C9" w:rsidRPr="009E60F3" w:rsidRDefault="005F0BD6">
      <w:pPr>
        <w:spacing w:before="240" w:after="240" w:line="360" w:lineRule="auto"/>
        <w:jc w:val="center"/>
      </w:pPr>
      <w:r w:rsidRPr="009E60F3">
        <w:rPr>
          <w:noProof/>
        </w:rPr>
        <w:lastRenderedPageBreak/>
        <mc:AlternateContent>
          <mc:Choice Requires="wps">
            <w:drawing>
              <wp:anchor distT="0" distB="0" distL="114300" distR="114300" simplePos="0" relativeHeight="251662336" behindDoc="0" locked="0" layoutInCell="1" hidden="0" allowOverlap="1" wp14:anchorId="18BB1A10" wp14:editId="5CE38D29">
                <wp:simplePos x="0" y="0"/>
                <wp:positionH relativeFrom="column">
                  <wp:posOffset>396240</wp:posOffset>
                </wp:positionH>
                <wp:positionV relativeFrom="paragraph">
                  <wp:posOffset>3449956</wp:posOffset>
                </wp:positionV>
                <wp:extent cx="4832985" cy="1257300"/>
                <wp:effectExtent l="19050" t="19050" r="24765" b="19050"/>
                <wp:wrapNone/>
                <wp:docPr id="98" name="Rectángulo 98"/>
                <wp:cNvGraphicFramePr/>
                <a:graphic xmlns:a="http://schemas.openxmlformats.org/drawingml/2006/main">
                  <a:graphicData uri="http://schemas.microsoft.com/office/word/2010/wordprocessingShape">
                    <wps:wsp>
                      <wps:cNvSpPr/>
                      <wps:spPr>
                        <a:xfrm>
                          <a:off x="0" y="0"/>
                          <a:ext cx="4832985" cy="1257300"/>
                        </a:xfrm>
                        <a:prstGeom prst="rect">
                          <a:avLst/>
                        </a:prstGeom>
                        <a:noFill/>
                        <a:ln w="28575" cap="flat" cmpd="sng">
                          <a:solidFill>
                            <a:srgbClr val="C00000"/>
                          </a:solidFill>
                          <a:prstDash val="solid"/>
                          <a:round/>
                          <a:headEnd type="none" w="sm" len="sm"/>
                          <a:tailEnd type="none" w="sm" len="sm"/>
                        </a:ln>
                      </wps:spPr>
                      <wps:txbx>
                        <w:txbxContent>
                          <w:p w14:paraId="6BA3297E" w14:textId="77777777" w:rsidR="002344C9" w:rsidRDefault="002344C9">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75C4EBBB" id="Rectángulo 98" o:spid="_x0000_s1028" style="position:absolute;left:0;text-align:left;margin-left:31.2pt;margin-top:271.65pt;width:380.55pt;height:9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" filled="f" strokecolor="#c00000" strokeweight="2.25pt">
                <v:stroke startarrowwidth="narrow" startarrowlength="short" endarrowwidth="narrow" endarrowlength="short" joinstyle="round"/>
                <v:textbox inset="2.53958mm,2.53958mm,2.53958mm,2.53958mm">
                  <w:txbxContent>
                    <w:p w:rsidR="002344C9" w:rsidRDefault="002344C9">
                      <w:pPr>
                        <w:textDirection w:val="btLr"/>
                      </w:pPr>
                    </w:p>
                  </w:txbxContent>
                </v:textbox>
              </v:rect>
            </w:pict>
          </mc:Fallback>
        </mc:AlternateContent>
      </w:r>
      <w:r w:rsidRPr="009E60F3">
        <w:rPr>
          <w:noProof/>
        </w:rPr>
        <mc:AlternateContent>
          <mc:Choice Requires="wps">
            <w:drawing>
              <wp:anchor distT="0" distB="0" distL="114300" distR="114300" simplePos="0" relativeHeight="251661312" behindDoc="0" locked="0" layoutInCell="1" hidden="0" allowOverlap="1" wp14:anchorId="20AB4453" wp14:editId="6568E33D">
                <wp:simplePos x="0" y="0"/>
                <wp:positionH relativeFrom="column">
                  <wp:posOffset>434975</wp:posOffset>
                </wp:positionH>
                <wp:positionV relativeFrom="paragraph">
                  <wp:posOffset>933450</wp:posOffset>
                </wp:positionV>
                <wp:extent cx="2577611" cy="184638"/>
                <wp:effectExtent l="0" t="0" r="0" b="0"/>
                <wp:wrapNone/>
                <wp:docPr id="92" name="Rectángulo 92"/>
                <wp:cNvGraphicFramePr/>
                <a:graphic xmlns:a="http://schemas.openxmlformats.org/drawingml/2006/main">
                  <a:graphicData uri="http://schemas.microsoft.com/office/word/2010/wordprocessingShape">
                    <wps:wsp>
                      <wps:cNvSpPr/>
                      <wps:spPr>
                        <a:xfrm>
                          <a:off x="0" y="0"/>
                          <a:ext cx="2577611" cy="184638"/>
                        </a:xfrm>
                        <a:prstGeom prst="rect">
                          <a:avLst/>
                        </a:prstGeom>
                        <a:noFill/>
                        <a:ln w="19050" cap="flat" cmpd="sng">
                          <a:solidFill>
                            <a:srgbClr val="C00000"/>
                          </a:solidFill>
                          <a:prstDash val="solid"/>
                          <a:round/>
                          <a:headEnd type="none" w="sm" len="sm"/>
                          <a:tailEnd type="none" w="sm" len="sm"/>
                        </a:ln>
                      </wps:spPr>
                      <wps:txbx>
                        <w:txbxContent>
                          <w:p w14:paraId="3E654F66" w14:textId="77777777" w:rsidR="002344C9" w:rsidRDefault="002344C9">
                            <w:pPr>
                              <w:textDirection w:val="btLr"/>
                            </w:pPr>
                          </w:p>
                        </w:txbxContent>
                      </wps:txbx>
                      <wps:bodyPr spcFirstLastPara="1" wrap="square" lIns="91425" tIns="91425" rIns="91425" bIns="91425" anchor="ctr" anchorCtr="0">
                        <a:noAutofit/>
                      </wps:bodyPr>
                    </wps:wsp>
                  </a:graphicData>
                </a:graphic>
              </wp:anchor>
            </w:drawing>
          </mc:Choice>
          <mc:Fallback>
            <w:pict>
              <v:rect w14:anchorId="3A6F4A20" id="Rectángulo 92" o:spid="_x0000_s1029" style="position:absolute;left:0;text-align:left;margin-left:34.25pt;margin-top:73.5pt;width:202.95pt;height:14.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" filled="f" strokecolor="#c00000" strokeweight="1.5pt">
                <v:stroke startarrowwidth="narrow" startarrowlength="short" endarrowwidth="narrow" endarrowlength="short" joinstyle="round"/>
                <v:textbox inset="2.53958mm,2.53958mm,2.53958mm,2.53958mm">
                  <w:txbxContent>
                    <w:p w:rsidR="002344C9" w:rsidRDefault="002344C9">
                      <w:pPr>
                        <w:textDirection w:val="btLr"/>
                      </w:pPr>
                    </w:p>
                  </w:txbxContent>
                </v:textbox>
              </v:rect>
            </w:pict>
          </mc:Fallback>
        </mc:AlternateContent>
      </w:r>
      <w:r w:rsidR="00D73648" w:rsidRPr="009E60F3">
        <w:rPr>
          <w:noProof/>
        </w:rPr>
        <w:drawing>
          <wp:inline distT="0" distB="0" distL="0" distR="0" wp14:anchorId="03E2991E" wp14:editId="2718D457">
            <wp:extent cx="4860000" cy="2196000"/>
            <wp:effectExtent l="0" t="0" r="0" b="0"/>
            <wp:docPr id="12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7"/>
                    <a:srcRect b="18785"/>
                    <a:stretch>
                      <a:fillRect/>
                    </a:stretch>
                  </pic:blipFill>
                  <pic:spPr>
                    <a:xfrm>
                      <a:off x="0" y="0"/>
                      <a:ext cx="4860000" cy="2196000"/>
                    </a:xfrm>
                    <a:prstGeom prst="rect">
                      <a:avLst/>
                    </a:prstGeom>
                    <a:ln/>
                  </pic:spPr>
                </pic:pic>
              </a:graphicData>
            </a:graphic>
          </wp:inline>
        </w:drawing>
      </w:r>
      <w:r w:rsidR="00D73648" w:rsidRPr="009E60F3">
        <w:rPr>
          <w:noProof/>
        </w:rPr>
        <w:drawing>
          <wp:inline distT="0" distB="0" distL="0" distR="0" wp14:anchorId="7E96C92C" wp14:editId="79B08655">
            <wp:extent cx="4860000" cy="3008756"/>
            <wp:effectExtent l="0" t="0" r="0" b="0"/>
            <wp:docPr id="12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8"/>
                    <a:srcRect/>
                    <a:stretch>
                      <a:fillRect/>
                    </a:stretch>
                  </pic:blipFill>
                  <pic:spPr>
                    <a:xfrm>
                      <a:off x="0" y="0"/>
                      <a:ext cx="4860000" cy="3008756"/>
                    </a:xfrm>
                    <a:prstGeom prst="rect">
                      <a:avLst/>
                    </a:prstGeom>
                    <a:ln/>
                  </pic:spPr>
                </pic:pic>
              </a:graphicData>
            </a:graphic>
          </wp:inline>
        </w:drawing>
      </w:r>
    </w:p>
    <w:p w14:paraId="07C013ED"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Como se advierte, el formato </w:t>
      </w:r>
      <w:r w:rsidRPr="009E60F3">
        <w:rPr>
          <w:rFonts w:ascii="Palatino Linotype" w:eastAsia="Palatino Linotype" w:hAnsi="Palatino Linotype" w:cs="Palatino Linotype"/>
          <w:b/>
        </w:rPr>
        <w:t>PbRM-04a</w:t>
      </w:r>
      <w:r w:rsidRPr="009E60F3">
        <w:rPr>
          <w:rFonts w:ascii="Palatino Linotype" w:eastAsia="Palatino Linotype" w:hAnsi="Palatino Linotype" w:cs="Palatino Linotype"/>
        </w:rPr>
        <w:t xml:space="preserve"> “</w:t>
      </w:r>
      <w:r w:rsidRPr="009E60F3">
        <w:rPr>
          <w:rFonts w:ascii="Palatino Linotype" w:eastAsia="Palatino Linotype" w:hAnsi="Palatino Linotype" w:cs="Palatino Linotype"/>
          <w:b/>
        </w:rPr>
        <w:t>Presupuesto de Egresos Detallado</w:t>
      </w:r>
      <w:r w:rsidRPr="009E60F3">
        <w:rPr>
          <w:rFonts w:ascii="Palatino Linotype" w:eastAsia="Palatino Linotype" w:hAnsi="Palatino Linotype" w:cs="Palatino Linotype"/>
        </w:rPr>
        <w:t xml:space="preserve">” contiene, </w:t>
      </w:r>
      <w:r w:rsidRPr="009E60F3">
        <w:rPr>
          <w:rFonts w:ascii="Palatino Linotype" w:eastAsia="Palatino Linotype" w:hAnsi="Palatino Linotype" w:cs="Palatino Linotype"/>
          <w:b/>
          <w:u w:val="single"/>
        </w:rPr>
        <w:t>la clave numérica que tiene cada capítulo, concepto, partida genérica y partida específica del gasto</w:t>
      </w:r>
      <w:r w:rsidRPr="009E60F3">
        <w:rPr>
          <w:rFonts w:ascii="Palatino Linotype" w:eastAsia="Palatino Linotype" w:hAnsi="Palatino Linotype" w:cs="Palatino Linotype"/>
        </w:rPr>
        <w:t xml:space="preserve"> que tiene el clasificador por objeto de gasto vigente, además del código de la dependencia general, la dependencia administrativa, la clave programática -que contiene la clave de finalidad, función, subfunción, programa presupuestario, subprograma y proyecto de acuerdo a la Clasificación Funcional Programática Municipal vigente-, el código de fuente de financiamiento </w:t>
      </w:r>
      <w:r w:rsidRPr="009E60F3">
        <w:rPr>
          <w:rFonts w:ascii="Palatino Linotype" w:eastAsia="Palatino Linotype" w:hAnsi="Palatino Linotype" w:cs="Palatino Linotype"/>
        </w:rPr>
        <w:lastRenderedPageBreak/>
        <w:t>de acuerdo a catálogo de Fuentes de Financiamiento,</w:t>
      </w:r>
      <w:r w:rsidR="005A041B" w:rsidRPr="009E60F3">
        <w:rPr>
          <w:rFonts w:ascii="Palatino Linotype" w:eastAsia="Palatino Linotype" w:hAnsi="Palatino Linotype" w:cs="Palatino Linotype"/>
        </w:rPr>
        <w:t xml:space="preserve"> así como el presupuesto en el que se identifiquen los conceptos globales y cuentas que integren estos conceptos –de lo general a lo particular,- </w:t>
      </w:r>
      <w:r w:rsidRPr="009E60F3">
        <w:rPr>
          <w:rFonts w:ascii="Palatino Linotype" w:eastAsia="Palatino Linotype" w:hAnsi="Palatino Linotype" w:cs="Palatino Linotype"/>
        </w:rPr>
        <w:t xml:space="preserve"> entre otros datos, documento a través del cual la persona solicitante podría conocer la partida presupuestal de la que se erogaron los recursos públicos</w:t>
      </w:r>
      <w:r w:rsidR="005A041B" w:rsidRPr="009E60F3">
        <w:rPr>
          <w:rFonts w:ascii="Palatino Linotype" w:eastAsia="Palatino Linotype" w:hAnsi="Palatino Linotype" w:cs="Palatino Linotype"/>
        </w:rPr>
        <w:t>, así como el monto programado o presupuestado</w:t>
      </w:r>
      <w:r w:rsidRPr="009E60F3">
        <w:rPr>
          <w:rFonts w:ascii="Palatino Linotype" w:eastAsia="Palatino Linotype" w:hAnsi="Palatino Linotype" w:cs="Palatino Linotype"/>
        </w:rPr>
        <w:t xml:space="preserve"> para la realización del evento señalado por la particular</w:t>
      </w:r>
      <w:r w:rsidRPr="009E60F3">
        <w:rPr>
          <w:rFonts w:ascii="Palatino Linotype" w:eastAsia="Palatino Linotype" w:hAnsi="Palatino Linotype" w:cs="Palatino Linotype"/>
          <w:i/>
        </w:rPr>
        <w:t>.</w:t>
      </w:r>
    </w:p>
    <w:p w14:paraId="6EC920F8"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En tal sentido, se concluye que el </w:t>
      </w:r>
      <w:r w:rsidRPr="009E60F3">
        <w:rPr>
          <w:rFonts w:ascii="Palatino Linotype" w:eastAsia="Palatino Linotype" w:hAnsi="Palatino Linotype" w:cs="Palatino Linotype"/>
          <w:b/>
        </w:rPr>
        <w:t xml:space="preserve">Sujeto Obligado </w:t>
      </w:r>
      <w:r w:rsidRPr="009E60F3">
        <w:rPr>
          <w:rFonts w:ascii="Palatino Linotype" w:eastAsia="Palatino Linotype" w:hAnsi="Palatino Linotype" w:cs="Palatino Linotype"/>
        </w:rPr>
        <w:t xml:space="preserve">cuenta con las atribuciones necesarias para que en el ejercicio de las mismas hubiera generado, administre o posee la información solicitada por la parte </w:t>
      </w:r>
      <w:r w:rsidRPr="009E60F3">
        <w:rPr>
          <w:rFonts w:ascii="Palatino Linotype" w:eastAsia="Palatino Linotype" w:hAnsi="Palatino Linotype" w:cs="Palatino Linotype"/>
          <w:b/>
        </w:rPr>
        <w:t xml:space="preserve">Recurrente, </w:t>
      </w:r>
      <w:r w:rsidRPr="009E60F3">
        <w:rPr>
          <w:rFonts w:ascii="Palatino Linotype" w:eastAsia="Palatino Linotype" w:hAnsi="Palatino Linotype" w:cs="Palatino Linotype"/>
        </w:rPr>
        <w:t>pues a través de la Tesorería Municipal, aplica el sistema de contabilidad gubernamental para el registro contable y presupuestal de las operaciones financieras que realizan las áreas de la administración pública municipal, conforme a lo previsto en los artículos 93 y 95, fracciones I y IV de la Ley Orgánica Municipal del Estado de México, a saber:</w:t>
      </w:r>
    </w:p>
    <w:p w14:paraId="3502BAF0" w14:textId="77777777" w:rsidR="002344C9" w:rsidRPr="009E60F3" w:rsidRDefault="00D73648">
      <w:pPr>
        <w:spacing w:before="120" w:after="120"/>
        <w:ind w:left="851" w:right="900"/>
        <w:jc w:val="both"/>
        <w:rPr>
          <w:rFonts w:ascii="Palatino Linotype" w:eastAsia="Palatino Linotype" w:hAnsi="Palatino Linotype" w:cs="Palatino Linotype"/>
          <w:i/>
          <w:sz w:val="22"/>
          <w:szCs w:val="22"/>
        </w:rPr>
      </w:pPr>
      <w:r w:rsidRPr="009E60F3">
        <w:rPr>
          <w:rFonts w:ascii="Palatino Linotype" w:eastAsia="Palatino Linotype" w:hAnsi="Palatino Linotype" w:cs="Palatino Linotype"/>
          <w:i/>
          <w:sz w:val="22"/>
          <w:szCs w:val="22"/>
        </w:rPr>
        <w:t>“</w:t>
      </w:r>
      <w:r w:rsidRPr="009E60F3">
        <w:rPr>
          <w:rFonts w:ascii="Palatino Linotype" w:eastAsia="Palatino Linotype" w:hAnsi="Palatino Linotype" w:cs="Palatino Linotype"/>
          <w:b/>
          <w:i/>
          <w:sz w:val="22"/>
          <w:szCs w:val="22"/>
        </w:rPr>
        <w:t>Artículo 93</w:t>
      </w:r>
      <w:r w:rsidRPr="009E60F3">
        <w:rPr>
          <w:rFonts w:ascii="Palatino Linotype" w:eastAsia="Palatino Linotype" w:hAnsi="Palatino Linotype" w:cs="Palatino Linotype"/>
          <w:i/>
          <w:sz w:val="22"/>
          <w:szCs w:val="22"/>
        </w:rPr>
        <w:t xml:space="preserve">.- La </w:t>
      </w:r>
      <w:r w:rsidRPr="009E60F3">
        <w:rPr>
          <w:rFonts w:ascii="Palatino Linotype" w:eastAsia="Palatino Linotype" w:hAnsi="Palatino Linotype" w:cs="Palatino Linotype"/>
          <w:b/>
          <w:i/>
          <w:sz w:val="22"/>
          <w:szCs w:val="22"/>
        </w:rPr>
        <w:t>tesorería municipal</w:t>
      </w:r>
      <w:r w:rsidRPr="009E60F3">
        <w:rPr>
          <w:rFonts w:ascii="Palatino Linotype" w:eastAsia="Palatino Linotype" w:hAnsi="Palatino Linotype" w:cs="Palatino Linotype"/>
          <w:i/>
          <w:sz w:val="22"/>
          <w:szCs w:val="22"/>
        </w:rPr>
        <w:t xml:space="preserve"> es el órgano </w:t>
      </w:r>
      <w:r w:rsidRPr="009E60F3">
        <w:rPr>
          <w:rFonts w:ascii="Palatino Linotype" w:eastAsia="Palatino Linotype" w:hAnsi="Palatino Linotype" w:cs="Palatino Linotype"/>
          <w:b/>
          <w:i/>
          <w:sz w:val="22"/>
          <w:szCs w:val="22"/>
        </w:rPr>
        <w:t>encargado de la recaudación de los ingresos municipales</w:t>
      </w:r>
      <w:r w:rsidRPr="009E60F3">
        <w:rPr>
          <w:rFonts w:ascii="Palatino Linotype" w:eastAsia="Palatino Linotype" w:hAnsi="Palatino Linotype" w:cs="Palatino Linotype"/>
          <w:i/>
          <w:sz w:val="22"/>
          <w:szCs w:val="22"/>
        </w:rPr>
        <w:t xml:space="preserve"> y responsable de realizar las erogaciones que haga el ayuntamiento.</w:t>
      </w:r>
    </w:p>
    <w:p w14:paraId="44CA51F1" w14:textId="77777777" w:rsidR="002344C9" w:rsidRPr="009E60F3" w:rsidRDefault="00D73648">
      <w:pPr>
        <w:spacing w:before="120" w:after="120"/>
        <w:ind w:left="851" w:right="900"/>
        <w:jc w:val="both"/>
        <w:rPr>
          <w:rFonts w:ascii="Palatino Linotype" w:eastAsia="Palatino Linotype" w:hAnsi="Palatino Linotype" w:cs="Palatino Linotype"/>
          <w:i/>
          <w:sz w:val="22"/>
          <w:szCs w:val="22"/>
        </w:rPr>
      </w:pPr>
      <w:r w:rsidRPr="009E60F3">
        <w:rPr>
          <w:rFonts w:ascii="Palatino Linotype" w:eastAsia="Palatino Linotype" w:hAnsi="Palatino Linotype" w:cs="Palatino Linotype"/>
          <w:i/>
          <w:sz w:val="22"/>
          <w:szCs w:val="22"/>
        </w:rPr>
        <w:t>…</w:t>
      </w:r>
    </w:p>
    <w:p w14:paraId="20B672B4" w14:textId="77777777" w:rsidR="002344C9" w:rsidRPr="009E60F3" w:rsidRDefault="00D73648">
      <w:pPr>
        <w:spacing w:before="120" w:after="120"/>
        <w:ind w:left="851" w:right="900"/>
        <w:jc w:val="both"/>
        <w:rPr>
          <w:rFonts w:ascii="Palatino Linotype" w:eastAsia="Palatino Linotype" w:hAnsi="Palatino Linotype" w:cs="Palatino Linotype"/>
          <w:i/>
          <w:sz w:val="22"/>
          <w:szCs w:val="22"/>
        </w:rPr>
      </w:pPr>
      <w:r w:rsidRPr="009E60F3">
        <w:rPr>
          <w:rFonts w:ascii="Palatino Linotype" w:eastAsia="Palatino Linotype" w:hAnsi="Palatino Linotype" w:cs="Palatino Linotype"/>
          <w:b/>
          <w:i/>
          <w:sz w:val="22"/>
          <w:szCs w:val="22"/>
        </w:rPr>
        <w:t>Artículo 95</w:t>
      </w:r>
      <w:r w:rsidRPr="009E60F3">
        <w:rPr>
          <w:rFonts w:ascii="Palatino Linotype" w:eastAsia="Palatino Linotype" w:hAnsi="Palatino Linotype" w:cs="Palatino Linotype"/>
          <w:i/>
          <w:sz w:val="22"/>
          <w:szCs w:val="22"/>
        </w:rPr>
        <w:t xml:space="preserve">.- Son atribuciones del tesorero municipal: </w:t>
      </w:r>
    </w:p>
    <w:p w14:paraId="125B294D" w14:textId="77777777" w:rsidR="002344C9" w:rsidRPr="009E60F3" w:rsidRDefault="00D73648">
      <w:pPr>
        <w:spacing w:before="120" w:after="120"/>
        <w:ind w:left="1134" w:right="900"/>
        <w:jc w:val="both"/>
        <w:rPr>
          <w:rFonts w:ascii="Palatino Linotype" w:eastAsia="Palatino Linotype" w:hAnsi="Palatino Linotype" w:cs="Palatino Linotype"/>
          <w:i/>
          <w:sz w:val="22"/>
          <w:szCs w:val="22"/>
        </w:rPr>
      </w:pPr>
      <w:bookmarkStart w:id="8" w:name="_heading=h.3rdcrjn" w:colFirst="0" w:colLast="0"/>
      <w:bookmarkEnd w:id="8"/>
      <w:r w:rsidRPr="009E60F3">
        <w:rPr>
          <w:rFonts w:ascii="Palatino Linotype" w:eastAsia="Palatino Linotype" w:hAnsi="Palatino Linotype" w:cs="Palatino Linotype"/>
          <w:b/>
          <w:i/>
          <w:sz w:val="22"/>
          <w:szCs w:val="22"/>
        </w:rPr>
        <w:t>I.</w:t>
      </w:r>
      <w:r w:rsidRPr="009E60F3">
        <w:rPr>
          <w:rFonts w:ascii="Palatino Linotype" w:eastAsia="Palatino Linotype" w:hAnsi="Palatino Linotype" w:cs="Palatino Linotype"/>
          <w:i/>
          <w:sz w:val="22"/>
          <w:szCs w:val="22"/>
        </w:rPr>
        <w:t xml:space="preserve"> </w:t>
      </w:r>
      <w:r w:rsidRPr="009E60F3">
        <w:rPr>
          <w:rFonts w:ascii="Palatino Linotype" w:eastAsia="Palatino Linotype" w:hAnsi="Palatino Linotype" w:cs="Palatino Linotype"/>
          <w:b/>
          <w:i/>
          <w:sz w:val="22"/>
          <w:szCs w:val="22"/>
        </w:rPr>
        <w:t>Administrar la hacienda pública municipal</w:t>
      </w:r>
      <w:r w:rsidRPr="009E60F3">
        <w:rPr>
          <w:rFonts w:ascii="Palatino Linotype" w:eastAsia="Palatino Linotype" w:hAnsi="Palatino Linotype" w:cs="Palatino Linotype"/>
          <w:i/>
          <w:sz w:val="22"/>
          <w:szCs w:val="22"/>
        </w:rPr>
        <w:t>, de conformidad con las disposiciones legales aplicables;</w:t>
      </w:r>
    </w:p>
    <w:p w14:paraId="4E4C3481" w14:textId="77777777" w:rsidR="002344C9" w:rsidRPr="009E60F3" w:rsidRDefault="00D73648">
      <w:pPr>
        <w:spacing w:before="120" w:after="120"/>
        <w:ind w:left="1134" w:right="900"/>
        <w:jc w:val="both"/>
        <w:rPr>
          <w:rFonts w:ascii="Palatino Linotype" w:eastAsia="Palatino Linotype" w:hAnsi="Palatino Linotype" w:cs="Palatino Linotype"/>
          <w:i/>
          <w:sz w:val="22"/>
          <w:szCs w:val="22"/>
        </w:rPr>
      </w:pPr>
      <w:r w:rsidRPr="009E60F3">
        <w:rPr>
          <w:rFonts w:ascii="Palatino Linotype" w:eastAsia="Palatino Linotype" w:hAnsi="Palatino Linotype" w:cs="Palatino Linotype"/>
          <w:i/>
          <w:sz w:val="22"/>
          <w:szCs w:val="22"/>
        </w:rPr>
        <w:t>…</w:t>
      </w:r>
    </w:p>
    <w:p w14:paraId="5C872848" w14:textId="77777777" w:rsidR="002344C9" w:rsidRPr="009E60F3" w:rsidRDefault="00D73648">
      <w:pPr>
        <w:spacing w:before="120" w:after="120"/>
        <w:ind w:left="1134" w:right="900"/>
        <w:jc w:val="both"/>
        <w:rPr>
          <w:rFonts w:ascii="Palatino Linotype" w:eastAsia="Palatino Linotype" w:hAnsi="Palatino Linotype" w:cs="Palatino Linotype"/>
          <w:i/>
          <w:sz w:val="22"/>
          <w:szCs w:val="22"/>
        </w:rPr>
      </w:pPr>
      <w:r w:rsidRPr="009E60F3">
        <w:rPr>
          <w:rFonts w:ascii="Palatino Linotype" w:eastAsia="Palatino Linotype" w:hAnsi="Palatino Linotype" w:cs="Palatino Linotype"/>
          <w:b/>
          <w:i/>
          <w:sz w:val="22"/>
          <w:szCs w:val="22"/>
        </w:rPr>
        <w:t>IV.</w:t>
      </w:r>
      <w:r w:rsidRPr="009E60F3">
        <w:rPr>
          <w:rFonts w:ascii="Palatino Linotype" w:eastAsia="Palatino Linotype" w:hAnsi="Palatino Linotype" w:cs="Palatino Linotype"/>
          <w:i/>
          <w:sz w:val="22"/>
          <w:szCs w:val="22"/>
        </w:rPr>
        <w:t xml:space="preserve"> </w:t>
      </w:r>
      <w:r w:rsidRPr="009E60F3">
        <w:rPr>
          <w:rFonts w:ascii="Palatino Linotype" w:eastAsia="Palatino Linotype" w:hAnsi="Palatino Linotype" w:cs="Palatino Linotype"/>
          <w:b/>
          <w:i/>
          <w:sz w:val="22"/>
          <w:szCs w:val="22"/>
        </w:rPr>
        <w:t>Llevar los registros contables, financieros y administrativos de los ingresos</w:t>
      </w:r>
      <w:r w:rsidRPr="009E60F3">
        <w:rPr>
          <w:rFonts w:ascii="Palatino Linotype" w:eastAsia="Palatino Linotype" w:hAnsi="Palatino Linotype" w:cs="Palatino Linotype"/>
          <w:i/>
          <w:sz w:val="22"/>
          <w:szCs w:val="22"/>
        </w:rPr>
        <w:t>, egresos, e inventarios;”</w:t>
      </w:r>
    </w:p>
    <w:p w14:paraId="48212FD1"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Siendo procedente ordenar la búsqueda exhaustiva y razonable del soporte documental que dé cuenta de lo solicitado, a efecto de satisfacer el requerimiento de información de la persona solicitante.</w:t>
      </w:r>
    </w:p>
    <w:p w14:paraId="3C3440B7" w14:textId="77777777" w:rsidR="002344C9" w:rsidRPr="009E60F3" w:rsidRDefault="00D73648">
      <w:pPr>
        <w:spacing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lastRenderedPageBreak/>
        <w:t xml:space="preserve">Lo anterior en virtud de que el </w:t>
      </w:r>
      <w:r w:rsidRPr="009E60F3">
        <w:rPr>
          <w:rFonts w:ascii="Palatino Linotype" w:eastAsia="Palatino Linotype" w:hAnsi="Palatino Linotype" w:cs="Palatino Linotype"/>
          <w:b/>
        </w:rPr>
        <w:t>Sujeto Obligado</w:t>
      </w:r>
      <w:r w:rsidRPr="009E60F3">
        <w:rPr>
          <w:rFonts w:ascii="Palatino Linotype" w:eastAsia="Palatino Linotype" w:hAnsi="Palatino Linotype" w:cs="Palatino Linotype"/>
        </w:rPr>
        <w:t xml:space="preserve"> se encuentra constreñido a documentar todo acto que derive del ejercicio sus facultades, competencias o funciones, considerando desde su origen la eventual publicidad y reutilización de la información que generen, según lo dispuesto en los artículos 18, 24 fracción XXII y 160 párrafo primero de la Ley de la Materia, que son del tenor literal siguiente:</w:t>
      </w:r>
    </w:p>
    <w:p w14:paraId="3BA37383" w14:textId="77777777" w:rsidR="002344C9" w:rsidRPr="009E60F3" w:rsidRDefault="00D7364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E60F3">
        <w:rPr>
          <w:rFonts w:ascii="Palatino Linotype" w:eastAsia="Palatino Linotype" w:hAnsi="Palatino Linotype" w:cs="Palatino Linotype"/>
          <w:b/>
          <w:i/>
          <w:sz w:val="22"/>
          <w:szCs w:val="22"/>
        </w:rPr>
        <w:t>“Artículo 18</w:t>
      </w:r>
      <w:r w:rsidRPr="009E60F3">
        <w:rPr>
          <w:rFonts w:ascii="Palatino Linotype" w:eastAsia="Palatino Linotype" w:hAnsi="Palatino Linotype" w:cs="Palatino Linotype"/>
          <w:i/>
          <w:sz w:val="22"/>
          <w:szCs w:val="22"/>
        </w:rPr>
        <w:t>. Los sujetos obligados deberán documentar todo acto que derive del ejercicio de sus facultades, competencias o funciones, considerando desde su origen la eventual publicidad y reutilización de la información que generen.</w:t>
      </w:r>
    </w:p>
    <w:p w14:paraId="089349ED" w14:textId="77777777" w:rsidR="002344C9" w:rsidRPr="009E60F3" w:rsidRDefault="00D7364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E60F3">
        <w:rPr>
          <w:rFonts w:ascii="Palatino Linotype" w:eastAsia="Palatino Linotype" w:hAnsi="Palatino Linotype" w:cs="Palatino Linotype"/>
          <w:i/>
          <w:sz w:val="22"/>
          <w:szCs w:val="22"/>
        </w:rPr>
        <w:t>…</w:t>
      </w:r>
    </w:p>
    <w:p w14:paraId="1587BAB4" w14:textId="77777777" w:rsidR="002344C9" w:rsidRPr="009E60F3" w:rsidRDefault="00D7364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E60F3">
        <w:rPr>
          <w:rFonts w:ascii="Palatino Linotype" w:eastAsia="Palatino Linotype" w:hAnsi="Palatino Linotype" w:cs="Palatino Linotype"/>
          <w:b/>
          <w:i/>
          <w:sz w:val="22"/>
          <w:szCs w:val="22"/>
        </w:rPr>
        <w:t>Artículo 24.</w:t>
      </w:r>
      <w:r w:rsidRPr="009E60F3">
        <w:rPr>
          <w:rFonts w:ascii="Palatino Linotype" w:eastAsia="Palatino Linotype" w:hAnsi="Palatino Linotype" w:cs="Palatino Linotype"/>
          <w:i/>
          <w:sz w:val="22"/>
          <w:szCs w:val="22"/>
        </w:rPr>
        <w:t xml:space="preserve"> Para el cumplimiento de los objetivos de esta Ley, los sujetos obligados deberán cumplir con las siguientes obligaciones, según corresponda, de acuerdo a su naturaleza:</w:t>
      </w:r>
    </w:p>
    <w:p w14:paraId="1312484F" w14:textId="77777777" w:rsidR="002344C9" w:rsidRPr="009E60F3" w:rsidRDefault="00D7364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E60F3">
        <w:rPr>
          <w:rFonts w:ascii="Palatino Linotype" w:eastAsia="Palatino Linotype" w:hAnsi="Palatino Linotype" w:cs="Palatino Linotype"/>
          <w:b/>
          <w:i/>
          <w:sz w:val="22"/>
          <w:szCs w:val="22"/>
        </w:rPr>
        <w:t>XXII.</w:t>
      </w:r>
      <w:r w:rsidRPr="009E60F3">
        <w:rPr>
          <w:rFonts w:ascii="Palatino Linotype" w:eastAsia="Palatino Linotype" w:hAnsi="Palatino Linotype" w:cs="Palatino Linotype"/>
          <w:i/>
          <w:sz w:val="22"/>
          <w:szCs w:val="22"/>
        </w:rPr>
        <w:t xml:space="preserve"> Documentar todo acto que derive del ejercicio de sus facultades, competencias o funciones y abstenerse de destruirlos u ocultarlos, dentro de los que destacan los procesos deliberativos y de decisión definitiva;</w:t>
      </w:r>
    </w:p>
    <w:p w14:paraId="3F6CCC07" w14:textId="77777777" w:rsidR="002344C9" w:rsidRPr="009E60F3" w:rsidRDefault="00D73648">
      <w:pPr>
        <w:spacing w:before="120" w:after="120"/>
        <w:ind w:left="851" w:right="902"/>
        <w:jc w:val="both"/>
        <w:rPr>
          <w:rFonts w:ascii="Palatino Linotype" w:eastAsia="Palatino Linotype" w:hAnsi="Palatino Linotype" w:cs="Palatino Linotype"/>
          <w:b/>
          <w:i/>
          <w:sz w:val="22"/>
          <w:szCs w:val="22"/>
        </w:rPr>
      </w:pPr>
      <w:r w:rsidRPr="009E60F3">
        <w:rPr>
          <w:rFonts w:ascii="Palatino Linotype" w:eastAsia="Palatino Linotype" w:hAnsi="Palatino Linotype" w:cs="Palatino Linotype"/>
          <w:b/>
          <w:i/>
          <w:sz w:val="22"/>
          <w:szCs w:val="22"/>
        </w:rPr>
        <w:t>…</w:t>
      </w:r>
    </w:p>
    <w:p w14:paraId="4BDBED67" w14:textId="77777777" w:rsidR="002344C9" w:rsidRPr="009E60F3" w:rsidRDefault="00D73648">
      <w:pPr>
        <w:spacing w:before="120" w:after="120"/>
        <w:ind w:left="851" w:right="902"/>
        <w:jc w:val="both"/>
        <w:rPr>
          <w:rFonts w:ascii="Palatino Linotype" w:eastAsia="Palatino Linotype" w:hAnsi="Palatino Linotype" w:cs="Palatino Linotype"/>
          <w:i/>
          <w:sz w:val="36"/>
          <w:szCs w:val="36"/>
        </w:rPr>
      </w:pPr>
      <w:r w:rsidRPr="009E60F3">
        <w:rPr>
          <w:rFonts w:ascii="Palatino Linotype" w:eastAsia="Palatino Linotype" w:hAnsi="Palatino Linotype" w:cs="Palatino Linotype"/>
          <w:b/>
          <w:i/>
          <w:sz w:val="22"/>
          <w:szCs w:val="22"/>
        </w:rPr>
        <w:t>Artículo 160</w:t>
      </w:r>
      <w:r w:rsidRPr="009E60F3">
        <w:rPr>
          <w:rFonts w:ascii="Palatino Linotype" w:eastAsia="Palatino Linotype" w:hAnsi="Palatino Linotype" w:cs="Palatino Linotype"/>
          <w:i/>
          <w:sz w:val="22"/>
          <w:szCs w:val="22"/>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F2F5F7C" w14:textId="77777777" w:rsidR="002344C9" w:rsidRPr="009E60F3" w:rsidRDefault="00D73648">
      <w:pPr>
        <w:spacing w:before="240" w:after="240" w:line="360" w:lineRule="auto"/>
        <w:ind w:right="51"/>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De lo hasta aquí expuesto, se concluye que los motivos de inconformidad de la parte </w:t>
      </w:r>
      <w:r w:rsidRPr="009E60F3">
        <w:rPr>
          <w:rFonts w:ascii="Palatino Linotype" w:eastAsia="Palatino Linotype" w:hAnsi="Palatino Linotype" w:cs="Palatino Linotype"/>
          <w:b/>
        </w:rPr>
        <w:t xml:space="preserve">Recurrente </w:t>
      </w:r>
      <w:r w:rsidRPr="009E60F3">
        <w:rPr>
          <w:rFonts w:ascii="Palatino Linotype" w:eastAsia="Palatino Linotype" w:hAnsi="Palatino Linotype" w:cs="Palatino Linotype"/>
        </w:rPr>
        <w:t xml:space="preserve">devienen fundados siendo procedente </w:t>
      </w:r>
      <w:r w:rsidRPr="009E60F3">
        <w:rPr>
          <w:rFonts w:ascii="Palatino Linotype" w:eastAsia="Palatino Linotype" w:hAnsi="Palatino Linotype" w:cs="Palatino Linotype"/>
          <w:i/>
        </w:rPr>
        <w:t>Modificar</w:t>
      </w:r>
      <w:r w:rsidRPr="009E60F3">
        <w:rPr>
          <w:rFonts w:ascii="Palatino Linotype" w:eastAsia="Palatino Linotype" w:hAnsi="Palatino Linotype" w:cs="Palatino Linotype"/>
        </w:rPr>
        <w:t xml:space="preserve"> la respuesta proporcionada por el </w:t>
      </w:r>
      <w:r w:rsidRPr="009E60F3">
        <w:rPr>
          <w:rFonts w:ascii="Palatino Linotype" w:eastAsia="Palatino Linotype" w:hAnsi="Palatino Linotype" w:cs="Palatino Linotype"/>
          <w:b/>
        </w:rPr>
        <w:t xml:space="preserve">Sujeto Obligado, </w:t>
      </w:r>
      <w:r w:rsidRPr="009E60F3">
        <w:rPr>
          <w:rFonts w:ascii="Palatino Linotype" w:eastAsia="Palatino Linotype" w:hAnsi="Palatino Linotype" w:cs="Palatino Linotype"/>
        </w:rPr>
        <w:t>de conformidad con lo establecido en el artículo 186 fracción III de la Ley de Transparencia y Acceso a la Información Pública del Estado de México y Municipios.</w:t>
      </w:r>
    </w:p>
    <w:p w14:paraId="676EF46E" w14:textId="77777777" w:rsidR="002344C9" w:rsidRPr="009E60F3" w:rsidRDefault="00D7364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w:t>
      </w:r>
      <w:r w:rsidRPr="009E60F3">
        <w:rPr>
          <w:rFonts w:ascii="Palatino Linotype" w:eastAsia="Palatino Linotype" w:hAnsi="Palatino Linotype" w:cs="Palatino Linotype"/>
        </w:rPr>
        <w:lastRenderedPageBreak/>
        <w:t>de México; 2, fracción II; 29, 36 fracciones I y II; 176, 178, 181, 185 y 186 fracción II de la Ley de Transparencia y Acceso a la Información Pública del Estado de México y Municipios, este Pleno:</w:t>
      </w:r>
    </w:p>
    <w:p w14:paraId="26A41EBE" w14:textId="77777777" w:rsidR="002344C9" w:rsidRPr="009E60F3" w:rsidRDefault="00D73648">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9E60F3">
        <w:rPr>
          <w:rFonts w:ascii="Palatino Linotype" w:eastAsia="Palatino Linotype" w:hAnsi="Palatino Linotype" w:cs="Palatino Linotype"/>
          <w:b/>
        </w:rPr>
        <w:t>III. R E S U E L V E:</w:t>
      </w:r>
    </w:p>
    <w:p w14:paraId="013C1F64" w14:textId="77777777" w:rsidR="002344C9" w:rsidRPr="009E60F3" w:rsidRDefault="00D73648">
      <w:pPr>
        <w:spacing w:before="240" w:after="240" w:line="360" w:lineRule="auto"/>
        <w:jc w:val="both"/>
        <w:rPr>
          <w:rFonts w:ascii="Palatino Linotype" w:eastAsia="Palatino Linotype" w:hAnsi="Palatino Linotype" w:cs="Palatino Linotype"/>
        </w:rPr>
      </w:pPr>
      <w:bookmarkStart w:id="9" w:name="_heading=h.4d34og8" w:colFirst="0" w:colLast="0"/>
      <w:bookmarkEnd w:id="9"/>
      <w:r w:rsidRPr="009E60F3">
        <w:rPr>
          <w:rFonts w:ascii="Palatino Linotype" w:eastAsia="Palatino Linotype" w:hAnsi="Palatino Linotype" w:cs="Palatino Linotype"/>
          <w:b/>
        </w:rPr>
        <w:t xml:space="preserve">Primero. </w:t>
      </w:r>
      <w:r w:rsidRPr="009E60F3">
        <w:rPr>
          <w:rFonts w:ascii="Palatino Linotype" w:eastAsia="Palatino Linotype" w:hAnsi="Palatino Linotype" w:cs="Palatino Linotype"/>
        </w:rPr>
        <w:t xml:space="preserve">Resultan </w:t>
      </w:r>
      <w:r w:rsidRPr="009E60F3">
        <w:rPr>
          <w:rFonts w:ascii="Palatino Linotype" w:eastAsia="Palatino Linotype" w:hAnsi="Palatino Linotype" w:cs="Palatino Linotype"/>
          <w:b/>
        </w:rPr>
        <w:t>fundadas</w:t>
      </w:r>
      <w:r w:rsidRPr="009E60F3">
        <w:rPr>
          <w:rFonts w:ascii="Palatino Linotype" w:eastAsia="Palatino Linotype" w:hAnsi="Palatino Linotype" w:cs="Palatino Linotype"/>
        </w:rPr>
        <w:t xml:space="preserve"> las razones o motivos de inconformidad hechos valer por la parte </w:t>
      </w:r>
      <w:r w:rsidRPr="009E60F3">
        <w:rPr>
          <w:rFonts w:ascii="Palatino Linotype" w:eastAsia="Palatino Linotype" w:hAnsi="Palatino Linotype" w:cs="Palatino Linotype"/>
          <w:b/>
        </w:rPr>
        <w:t>Recurrente</w:t>
      </w:r>
      <w:r w:rsidRPr="009E60F3">
        <w:rPr>
          <w:rFonts w:ascii="Palatino Linotype" w:eastAsia="Palatino Linotype" w:hAnsi="Palatino Linotype" w:cs="Palatino Linotype"/>
        </w:rPr>
        <w:t xml:space="preserve"> en el recurso de revisión </w:t>
      </w:r>
      <w:r w:rsidRPr="009E60F3">
        <w:rPr>
          <w:rFonts w:ascii="Palatino Linotype" w:eastAsia="Palatino Linotype" w:hAnsi="Palatino Linotype" w:cs="Palatino Linotype"/>
          <w:b/>
        </w:rPr>
        <w:t>05029/INFOEM/IP/RR/2022,</w:t>
      </w:r>
      <w:r w:rsidRPr="009E60F3">
        <w:rPr>
          <w:rFonts w:ascii="Palatino Linotype" w:eastAsia="Palatino Linotype" w:hAnsi="Palatino Linotype" w:cs="Palatino Linotype"/>
        </w:rPr>
        <w:t xml:space="preserve"> por lo que, en términos de los argumentos de derecho señalados en el considerando </w:t>
      </w:r>
      <w:r w:rsidRPr="009E60F3">
        <w:rPr>
          <w:rFonts w:ascii="Palatino Linotype" w:eastAsia="Palatino Linotype" w:hAnsi="Palatino Linotype" w:cs="Palatino Linotype"/>
          <w:b/>
        </w:rPr>
        <w:t>Cuarto</w:t>
      </w:r>
      <w:r w:rsidRPr="009E60F3">
        <w:rPr>
          <w:rFonts w:ascii="Palatino Linotype" w:eastAsia="Palatino Linotype" w:hAnsi="Palatino Linotype" w:cs="Palatino Linotype"/>
        </w:rPr>
        <w:t>, se</w:t>
      </w:r>
      <w:r w:rsidRPr="009E60F3">
        <w:rPr>
          <w:rFonts w:ascii="Palatino Linotype" w:eastAsia="Palatino Linotype" w:hAnsi="Palatino Linotype" w:cs="Palatino Linotype"/>
          <w:b/>
        </w:rPr>
        <w:t xml:space="preserve"> Modifica </w:t>
      </w:r>
      <w:r w:rsidRPr="009E60F3">
        <w:rPr>
          <w:rFonts w:ascii="Palatino Linotype" w:eastAsia="Palatino Linotype" w:hAnsi="Palatino Linotype" w:cs="Palatino Linotype"/>
        </w:rPr>
        <w:t xml:space="preserve">la respuesta del </w:t>
      </w:r>
      <w:r w:rsidRPr="009E60F3">
        <w:rPr>
          <w:rFonts w:ascii="Palatino Linotype" w:eastAsia="Palatino Linotype" w:hAnsi="Palatino Linotype" w:cs="Palatino Linotype"/>
          <w:b/>
        </w:rPr>
        <w:t>Sujeto Obligado</w:t>
      </w:r>
      <w:r w:rsidRPr="009E60F3">
        <w:rPr>
          <w:rFonts w:ascii="Palatino Linotype" w:eastAsia="Palatino Linotype" w:hAnsi="Palatino Linotype" w:cs="Palatino Linotype"/>
        </w:rPr>
        <w:t>.</w:t>
      </w:r>
    </w:p>
    <w:p w14:paraId="7A8CF3ED"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b/>
        </w:rPr>
        <w:t xml:space="preserve">Segundo. </w:t>
      </w:r>
      <w:r w:rsidRPr="009E60F3">
        <w:rPr>
          <w:rFonts w:ascii="Palatino Linotype" w:eastAsia="Palatino Linotype" w:hAnsi="Palatino Linotype" w:cs="Palatino Linotype"/>
        </w:rPr>
        <w:t xml:space="preserve">Se </w:t>
      </w:r>
      <w:r w:rsidRPr="009E60F3">
        <w:rPr>
          <w:rFonts w:ascii="Palatino Linotype" w:eastAsia="Palatino Linotype" w:hAnsi="Palatino Linotype" w:cs="Palatino Linotype"/>
          <w:b/>
        </w:rPr>
        <w:t>Ordena</w:t>
      </w:r>
      <w:r w:rsidRPr="009E60F3">
        <w:rPr>
          <w:rFonts w:ascii="Palatino Linotype" w:eastAsia="Palatino Linotype" w:hAnsi="Palatino Linotype" w:cs="Palatino Linotype"/>
        </w:rPr>
        <w:t xml:space="preserve"> al </w:t>
      </w:r>
      <w:r w:rsidRPr="009E60F3">
        <w:rPr>
          <w:rFonts w:ascii="Palatino Linotype" w:eastAsia="Palatino Linotype" w:hAnsi="Palatino Linotype" w:cs="Palatino Linotype"/>
          <w:b/>
        </w:rPr>
        <w:t>Sujeto Obligado</w:t>
      </w:r>
      <w:r w:rsidRPr="009E60F3">
        <w:rPr>
          <w:rFonts w:ascii="Palatino Linotype" w:eastAsia="Palatino Linotype" w:hAnsi="Palatino Linotype" w:cs="Palatino Linotype"/>
        </w:rPr>
        <w:t xml:space="preserve">, en términos del Considerando </w:t>
      </w:r>
      <w:r w:rsidRPr="009E60F3">
        <w:rPr>
          <w:rFonts w:ascii="Palatino Linotype" w:eastAsia="Palatino Linotype" w:hAnsi="Palatino Linotype" w:cs="Palatino Linotype"/>
          <w:b/>
        </w:rPr>
        <w:t>Cuarto</w:t>
      </w:r>
      <w:r w:rsidRPr="009E60F3">
        <w:rPr>
          <w:rFonts w:ascii="Palatino Linotype" w:eastAsia="Palatino Linotype" w:hAnsi="Palatino Linotype" w:cs="Palatino Linotype"/>
        </w:rPr>
        <w:t xml:space="preserve"> de esta resolución, haga entrega vía SAIMEX, del soporte documental en el que conste lo siguiente: </w:t>
      </w:r>
    </w:p>
    <w:p w14:paraId="0C76B893" w14:textId="77777777" w:rsidR="002344C9" w:rsidRPr="009E60F3" w:rsidRDefault="00D73648" w:rsidP="008248E5">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De la dinámica</w:t>
      </w:r>
      <w:r w:rsidR="007F48A7" w:rsidRPr="009E60F3">
        <w:rPr>
          <w:rFonts w:ascii="Palatino Linotype" w:eastAsia="Palatino Linotype" w:hAnsi="Palatino Linotype" w:cs="Palatino Linotype"/>
        </w:rPr>
        <w:t xml:space="preserve"> referida por el particular</w:t>
      </w:r>
      <w:r w:rsidRPr="009E60F3">
        <w:rPr>
          <w:rFonts w:ascii="Palatino Linotype" w:eastAsia="Palatino Linotype" w:hAnsi="Palatino Linotype" w:cs="Palatino Linotype"/>
        </w:rPr>
        <w:t xml:space="preserve">, organizada por la Dirección de Apoyo a la Juventud: </w:t>
      </w:r>
    </w:p>
    <w:p w14:paraId="41938697" w14:textId="77777777" w:rsidR="002344C9" w:rsidRPr="009E60F3" w:rsidRDefault="00D73648">
      <w:pPr>
        <w:spacing w:before="240" w:after="240" w:line="360" w:lineRule="auto"/>
        <w:ind w:left="426"/>
        <w:jc w:val="both"/>
        <w:rPr>
          <w:rFonts w:ascii="Palatino Linotype" w:eastAsia="Palatino Linotype" w:hAnsi="Palatino Linotype" w:cs="Palatino Linotype"/>
        </w:rPr>
      </w:pPr>
      <w:r w:rsidRPr="009E60F3">
        <w:rPr>
          <w:rFonts w:ascii="Palatino Linotype" w:eastAsia="Palatino Linotype" w:hAnsi="Palatino Linotype" w:cs="Palatino Linotype"/>
        </w:rPr>
        <w:t>1. Partida presupuestal destinada para cubrir la erogac</w:t>
      </w:r>
      <w:r w:rsidR="008248E5" w:rsidRPr="009E60F3">
        <w:rPr>
          <w:rFonts w:ascii="Palatino Linotype" w:eastAsia="Palatino Linotype" w:hAnsi="Palatino Linotype" w:cs="Palatino Linotype"/>
        </w:rPr>
        <w:t>ión de recursos públicos para su</w:t>
      </w:r>
      <w:r w:rsidRPr="009E60F3">
        <w:rPr>
          <w:rFonts w:ascii="Palatino Linotype" w:eastAsia="Palatino Linotype" w:hAnsi="Palatino Linotype" w:cs="Palatino Linotype"/>
        </w:rPr>
        <w:t xml:space="preserve"> realización.</w:t>
      </w:r>
    </w:p>
    <w:p w14:paraId="539F289E" w14:textId="77777777" w:rsidR="002344C9" w:rsidRPr="009E60F3" w:rsidRDefault="00D73648">
      <w:pPr>
        <w:spacing w:before="240" w:after="240" w:line="360" w:lineRule="auto"/>
        <w:ind w:left="426"/>
        <w:jc w:val="both"/>
        <w:rPr>
          <w:rFonts w:ascii="Palatino Linotype" w:eastAsia="Palatino Linotype" w:hAnsi="Palatino Linotype" w:cs="Palatino Linotype"/>
        </w:rPr>
      </w:pPr>
      <w:r w:rsidRPr="009E60F3">
        <w:rPr>
          <w:rFonts w:ascii="Palatino Linotype" w:eastAsia="Palatino Linotype" w:hAnsi="Palatino Linotype" w:cs="Palatino Linotype"/>
        </w:rPr>
        <w:t xml:space="preserve">2. Monto </w:t>
      </w:r>
      <w:r w:rsidR="003054B2" w:rsidRPr="009E60F3">
        <w:rPr>
          <w:rFonts w:ascii="Palatino Linotype" w:eastAsia="Palatino Linotype" w:hAnsi="Palatino Linotype" w:cs="Palatino Linotype"/>
        </w:rPr>
        <w:t>presupuestado</w:t>
      </w:r>
      <w:r w:rsidR="008248E5" w:rsidRPr="009E60F3">
        <w:rPr>
          <w:rFonts w:ascii="Palatino Linotype" w:eastAsia="Palatino Linotype" w:hAnsi="Palatino Linotype" w:cs="Palatino Linotype"/>
        </w:rPr>
        <w:t xml:space="preserve"> para su</w:t>
      </w:r>
      <w:r w:rsidRPr="009E60F3">
        <w:rPr>
          <w:rFonts w:ascii="Palatino Linotype" w:eastAsia="Palatino Linotype" w:hAnsi="Palatino Linotype" w:cs="Palatino Linotype"/>
        </w:rPr>
        <w:t xml:space="preserve"> realización.</w:t>
      </w:r>
    </w:p>
    <w:p w14:paraId="1BE62678" w14:textId="77777777" w:rsidR="002344C9" w:rsidRPr="009E60F3" w:rsidRDefault="00D73648">
      <w:pPr>
        <w:spacing w:before="240" w:after="240" w:line="360" w:lineRule="auto"/>
        <w:jc w:val="both"/>
        <w:rPr>
          <w:rFonts w:ascii="Palatino Linotype" w:eastAsia="Palatino Linotype" w:hAnsi="Palatino Linotype" w:cs="Palatino Linotype"/>
          <w:b/>
        </w:rPr>
      </w:pPr>
      <w:r w:rsidRPr="009E60F3">
        <w:rPr>
          <w:rFonts w:ascii="Palatino Linotype" w:eastAsia="Palatino Linotype" w:hAnsi="Palatino Linotype" w:cs="Palatino Linotype"/>
          <w:b/>
        </w:rPr>
        <w:t xml:space="preserve">Tercero. Notifíquese, </w:t>
      </w:r>
      <w:r w:rsidRPr="009E60F3">
        <w:rPr>
          <w:rFonts w:ascii="Palatino Linotype" w:eastAsia="Palatino Linotype" w:hAnsi="Palatino Linotype" w:cs="Palatino Linotype"/>
        </w:rPr>
        <w:t xml:space="preserve">vía </w:t>
      </w:r>
      <w:r w:rsidRPr="009E60F3">
        <w:rPr>
          <w:rFonts w:ascii="Palatino Linotype" w:eastAsia="Palatino Linotype" w:hAnsi="Palatino Linotype" w:cs="Palatino Linotype"/>
          <w:b/>
        </w:rPr>
        <w:t xml:space="preserve">SAIMEX, </w:t>
      </w:r>
      <w:r w:rsidRPr="009E60F3">
        <w:rPr>
          <w:rFonts w:ascii="Palatino Linotype" w:eastAsia="Palatino Linotype" w:hAnsi="Palatino Linotype" w:cs="Palatino Linotype"/>
        </w:rPr>
        <w:t>al Responsable de la Unidad de Transparencia del Sujeto Obligado</w:t>
      </w:r>
      <w:r w:rsidRPr="009E60F3">
        <w:rPr>
          <w:rFonts w:ascii="Palatino Linotype" w:eastAsia="Palatino Linotype" w:hAnsi="Palatino Linotype" w:cs="Palatino Linotype"/>
          <w:b/>
        </w:rPr>
        <w:t xml:space="preserve"> </w:t>
      </w:r>
      <w:r w:rsidRPr="009E60F3">
        <w:rPr>
          <w:rFonts w:ascii="Palatino Linotype" w:eastAsia="Palatino Linotype" w:hAnsi="Palatino Linotype" w:cs="Palatino Linotype"/>
        </w:rPr>
        <w:t xml:space="preserve">la presente resolución, para que conforme a los artículo 186, último párrafo y 189, párrafo segundo de la Ley de Transparencia y Acceso a la Información Pública del Estado de México y Municipios dé cumplimiento a lo </w:t>
      </w:r>
      <w:r w:rsidRPr="009E60F3">
        <w:rPr>
          <w:rFonts w:ascii="Palatino Linotype" w:eastAsia="Palatino Linotype" w:hAnsi="Palatino Linotype" w:cs="Palatino Linotype"/>
        </w:rPr>
        <w:lastRenderedPageBreak/>
        <w:t>ordenado dentro del plazo de diez días hábiles, debiendo informar a este Instituto en un plazo de tres días hábiles siguientes sobre el cumplimiento dado a la misma</w:t>
      </w:r>
      <w:r w:rsidRPr="009E60F3">
        <w:rPr>
          <w:rFonts w:ascii="Palatino Linotype" w:eastAsia="Palatino Linotype" w:hAnsi="Palatino Linotype" w:cs="Palatino Linotype"/>
          <w:b/>
        </w:rPr>
        <w:t>.</w:t>
      </w:r>
    </w:p>
    <w:p w14:paraId="675E80BD"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F7DC6E0"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b/>
        </w:rPr>
        <w:t>Cuarto.</w:t>
      </w:r>
      <w:r w:rsidRPr="009E60F3">
        <w:rPr>
          <w:rFonts w:ascii="Palatino Linotype" w:eastAsia="Palatino Linotype" w:hAnsi="Palatino Linotype" w:cs="Palatino Linotype"/>
        </w:rPr>
        <w:t xml:space="preserve"> </w:t>
      </w:r>
      <w:r w:rsidRPr="009E60F3">
        <w:rPr>
          <w:rFonts w:ascii="Palatino Linotype" w:eastAsia="Palatino Linotype" w:hAnsi="Palatino Linotype" w:cs="Palatino Linotype"/>
          <w:b/>
        </w:rPr>
        <w:t xml:space="preserve">Notifíquese, </w:t>
      </w:r>
      <w:r w:rsidRPr="009E60F3">
        <w:rPr>
          <w:rFonts w:ascii="Palatino Linotype" w:eastAsia="Palatino Linotype" w:hAnsi="Palatino Linotype" w:cs="Palatino Linotype"/>
        </w:rPr>
        <w:t xml:space="preserve">vía </w:t>
      </w:r>
      <w:r w:rsidRPr="009E60F3">
        <w:rPr>
          <w:rFonts w:ascii="Palatino Linotype" w:eastAsia="Palatino Linotype" w:hAnsi="Palatino Linotype" w:cs="Palatino Linotype"/>
          <w:b/>
        </w:rPr>
        <w:t>SAIMEX</w:t>
      </w:r>
      <w:r w:rsidRPr="009E60F3">
        <w:rPr>
          <w:rFonts w:ascii="Palatino Linotype" w:eastAsia="Palatino Linotype" w:hAnsi="Palatino Linotype" w:cs="Palatino Linotype"/>
        </w:rPr>
        <w:t xml:space="preserve">, a la parte </w:t>
      </w:r>
      <w:r w:rsidRPr="009E60F3">
        <w:rPr>
          <w:rFonts w:ascii="Palatino Linotype" w:eastAsia="Palatino Linotype" w:hAnsi="Palatino Linotype" w:cs="Palatino Linotype"/>
          <w:b/>
        </w:rPr>
        <w:t>Recurrente</w:t>
      </w:r>
      <w:r w:rsidRPr="009E60F3">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7434EA7" w14:textId="77777777" w:rsidR="002344C9" w:rsidRPr="009E60F3" w:rsidRDefault="00D73648">
      <w:pPr>
        <w:spacing w:before="240" w:after="240" w:line="360" w:lineRule="auto"/>
        <w:jc w:val="both"/>
        <w:rPr>
          <w:rFonts w:ascii="Palatino Linotype" w:eastAsia="Palatino Linotype" w:hAnsi="Palatino Linotype" w:cs="Palatino Linotype"/>
        </w:rPr>
      </w:pPr>
      <w:r w:rsidRPr="009E60F3">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VIGÉSIMO SEXTA SESIÓN ORDINARIA CELEBRADA EL TRECE DE JULIO DE DOS MIL VEINTIDÓS, ANTE EL SECRETARIO TÉCNICO DEL PLENO ALEXIS TAPIA RAMÍREZ.</w:t>
      </w:r>
    </w:p>
    <w:p w14:paraId="3C2D16E3" w14:textId="77777777" w:rsidR="002344C9" w:rsidRPr="009E60F3" w:rsidRDefault="002344C9">
      <w:pPr>
        <w:spacing w:line="360" w:lineRule="auto"/>
        <w:jc w:val="both"/>
        <w:rPr>
          <w:rFonts w:ascii="Palatino Linotype" w:eastAsia="Palatino Linotype" w:hAnsi="Palatino Linotype" w:cs="Palatino Linotype"/>
        </w:rPr>
      </w:pPr>
    </w:p>
    <w:p w14:paraId="28D3E17A" w14:textId="77777777" w:rsidR="002344C9" w:rsidRPr="009E60F3" w:rsidRDefault="002344C9">
      <w:pPr>
        <w:rPr>
          <w:rFonts w:ascii="Palatino Linotype" w:eastAsia="Palatino Linotype" w:hAnsi="Palatino Linotype" w:cs="Palatino Linotype"/>
        </w:rPr>
      </w:pPr>
    </w:p>
    <w:p w14:paraId="637DC515" w14:textId="77777777" w:rsidR="002344C9" w:rsidRPr="009E60F3" w:rsidRDefault="002344C9">
      <w:pPr>
        <w:spacing w:line="360" w:lineRule="auto"/>
        <w:jc w:val="both"/>
        <w:rPr>
          <w:rFonts w:ascii="Palatino Linotype" w:eastAsia="Palatino Linotype" w:hAnsi="Palatino Linotype" w:cs="Palatino Linotype"/>
        </w:rPr>
      </w:pPr>
    </w:p>
    <w:p w14:paraId="6AFEA692" w14:textId="77777777" w:rsidR="002344C9" w:rsidRPr="009E60F3" w:rsidRDefault="002344C9">
      <w:pPr>
        <w:spacing w:line="360" w:lineRule="auto"/>
        <w:jc w:val="both"/>
        <w:rPr>
          <w:rFonts w:ascii="Palatino Linotype" w:eastAsia="Palatino Linotype" w:hAnsi="Palatino Linotype" w:cs="Palatino Linotype"/>
        </w:rPr>
      </w:pPr>
    </w:p>
    <w:p w14:paraId="4649171D" w14:textId="77777777" w:rsidR="002344C9" w:rsidRPr="009E60F3" w:rsidRDefault="002344C9">
      <w:pPr>
        <w:spacing w:line="360" w:lineRule="auto"/>
        <w:jc w:val="both"/>
        <w:rPr>
          <w:rFonts w:ascii="Palatino Linotype" w:eastAsia="Palatino Linotype" w:hAnsi="Palatino Linotype" w:cs="Palatino Linotype"/>
        </w:rPr>
      </w:pPr>
    </w:p>
    <w:p w14:paraId="7D0898E9" w14:textId="77777777" w:rsidR="002344C9" w:rsidRPr="009E60F3" w:rsidRDefault="002344C9">
      <w:pPr>
        <w:spacing w:line="360" w:lineRule="auto"/>
        <w:jc w:val="both"/>
        <w:rPr>
          <w:rFonts w:ascii="Palatino Linotype" w:eastAsia="Palatino Linotype" w:hAnsi="Palatino Linotype" w:cs="Palatino Linotype"/>
        </w:rPr>
      </w:pPr>
    </w:p>
    <w:p w14:paraId="4DDF19A1" w14:textId="77777777" w:rsidR="002344C9" w:rsidRPr="009E60F3" w:rsidRDefault="002344C9">
      <w:pPr>
        <w:spacing w:line="360" w:lineRule="auto"/>
        <w:jc w:val="both"/>
        <w:rPr>
          <w:rFonts w:ascii="Palatino Linotype" w:eastAsia="Palatino Linotype" w:hAnsi="Palatino Linotype" w:cs="Palatino Linotype"/>
        </w:rPr>
      </w:pPr>
    </w:p>
    <w:p w14:paraId="02E7206A" w14:textId="77777777" w:rsidR="002344C9" w:rsidRPr="009E60F3" w:rsidRDefault="002344C9">
      <w:pPr>
        <w:spacing w:line="360" w:lineRule="auto"/>
        <w:jc w:val="both"/>
        <w:rPr>
          <w:rFonts w:ascii="Palatino Linotype" w:eastAsia="Palatino Linotype" w:hAnsi="Palatino Linotype" w:cs="Palatino Linotype"/>
        </w:rPr>
      </w:pPr>
    </w:p>
    <w:p w14:paraId="77D33DB3" w14:textId="77777777" w:rsidR="002344C9" w:rsidRPr="009E60F3" w:rsidRDefault="002344C9">
      <w:pPr>
        <w:spacing w:line="360" w:lineRule="auto"/>
        <w:jc w:val="both"/>
        <w:rPr>
          <w:rFonts w:ascii="Palatino Linotype" w:eastAsia="Palatino Linotype" w:hAnsi="Palatino Linotype" w:cs="Palatino Linotype"/>
        </w:rPr>
      </w:pPr>
    </w:p>
    <w:p w14:paraId="7DF2E8E6" w14:textId="77777777" w:rsidR="002344C9" w:rsidRPr="009E60F3" w:rsidRDefault="002344C9">
      <w:pPr>
        <w:spacing w:line="360" w:lineRule="auto"/>
        <w:jc w:val="both"/>
        <w:rPr>
          <w:rFonts w:ascii="Palatino Linotype" w:eastAsia="Palatino Linotype" w:hAnsi="Palatino Linotype" w:cs="Palatino Linotype"/>
        </w:rPr>
      </w:pPr>
    </w:p>
    <w:p w14:paraId="6ADDAD79" w14:textId="77777777" w:rsidR="002344C9" w:rsidRPr="009E60F3" w:rsidRDefault="002344C9">
      <w:pPr>
        <w:spacing w:line="360" w:lineRule="auto"/>
        <w:jc w:val="both"/>
        <w:rPr>
          <w:rFonts w:ascii="Palatino Linotype" w:eastAsia="Palatino Linotype" w:hAnsi="Palatino Linotype" w:cs="Palatino Linotype"/>
        </w:rPr>
      </w:pPr>
    </w:p>
    <w:p w14:paraId="5554E6C7" w14:textId="77777777" w:rsidR="002344C9" w:rsidRPr="009E60F3" w:rsidRDefault="002344C9">
      <w:pPr>
        <w:spacing w:line="360" w:lineRule="auto"/>
        <w:jc w:val="both"/>
        <w:rPr>
          <w:rFonts w:ascii="Palatino Linotype" w:eastAsia="Palatino Linotype" w:hAnsi="Palatino Linotype" w:cs="Palatino Linotype"/>
        </w:rPr>
      </w:pPr>
    </w:p>
    <w:p w14:paraId="352648D2" w14:textId="77777777" w:rsidR="002344C9" w:rsidRPr="009E60F3" w:rsidRDefault="002344C9">
      <w:pPr>
        <w:spacing w:line="360" w:lineRule="auto"/>
        <w:jc w:val="both"/>
        <w:rPr>
          <w:rFonts w:ascii="Palatino Linotype" w:eastAsia="Palatino Linotype" w:hAnsi="Palatino Linotype" w:cs="Palatino Linotype"/>
        </w:rPr>
      </w:pPr>
    </w:p>
    <w:p w14:paraId="18C462AE" w14:textId="77777777" w:rsidR="002344C9" w:rsidRPr="009E60F3" w:rsidRDefault="002344C9">
      <w:pPr>
        <w:spacing w:line="360" w:lineRule="auto"/>
        <w:jc w:val="both"/>
        <w:rPr>
          <w:rFonts w:ascii="Palatino Linotype" w:eastAsia="Palatino Linotype" w:hAnsi="Palatino Linotype" w:cs="Palatino Linotype"/>
        </w:rPr>
      </w:pPr>
    </w:p>
    <w:p w14:paraId="410A5E24" w14:textId="77777777" w:rsidR="002344C9" w:rsidRPr="009E60F3" w:rsidRDefault="002344C9">
      <w:pPr>
        <w:spacing w:line="360" w:lineRule="auto"/>
        <w:jc w:val="both"/>
        <w:rPr>
          <w:rFonts w:ascii="Palatino Linotype" w:eastAsia="Palatino Linotype" w:hAnsi="Palatino Linotype" w:cs="Palatino Linotype"/>
        </w:rPr>
      </w:pPr>
    </w:p>
    <w:p w14:paraId="45CA5602" w14:textId="77777777" w:rsidR="002344C9" w:rsidRPr="009E60F3" w:rsidRDefault="002344C9">
      <w:pPr>
        <w:spacing w:line="360" w:lineRule="auto"/>
        <w:jc w:val="both"/>
        <w:rPr>
          <w:rFonts w:ascii="Palatino Linotype" w:eastAsia="Palatino Linotype" w:hAnsi="Palatino Linotype" w:cs="Palatino Linotype"/>
        </w:rPr>
      </w:pPr>
    </w:p>
    <w:p w14:paraId="7E5256C6" w14:textId="77777777" w:rsidR="002344C9" w:rsidRPr="009E60F3" w:rsidRDefault="002344C9">
      <w:pPr>
        <w:spacing w:line="360" w:lineRule="auto"/>
        <w:jc w:val="both"/>
        <w:rPr>
          <w:rFonts w:ascii="Palatino Linotype" w:eastAsia="Palatino Linotype" w:hAnsi="Palatino Linotype" w:cs="Palatino Linotype"/>
        </w:rPr>
      </w:pPr>
    </w:p>
    <w:p w14:paraId="37D7F825" w14:textId="77777777" w:rsidR="002344C9" w:rsidRPr="009E60F3" w:rsidRDefault="002344C9">
      <w:pPr>
        <w:spacing w:line="360" w:lineRule="auto"/>
        <w:jc w:val="both"/>
        <w:rPr>
          <w:rFonts w:ascii="Palatino Linotype" w:eastAsia="Palatino Linotype" w:hAnsi="Palatino Linotype" w:cs="Palatino Linotype"/>
        </w:rPr>
      </w:pPr>
    </w:p>
    <w:p w14:paraId="735773FD" w14:textId="77777777" w:rsidR="002344C9" w:rsidRPr="009E60F3" w:rsidRDefault="002344C9">
      <w:pPr>
        <w:spacing w:line="360" w:lineRule="auto"/>
        <w:jc w:val="both"/>
        <w:rPr>
          <w:rFonts w:ascii="Palatino Linotype" w:eastAsia="Palatino Linotype" w:hAnsi="Palatino Linotype" w:cs="Palatino Linotype"/>
        </w:rPr>
      </w:pPr>
    </w:p>
    <w:p w14:paraId="7D0994DC" w14:textId="77777777" w:rsidR="002344C9" w:rsidRPr="009E60F3" w:rsidRDefault="002344C9">
      <w:pPr>
        <w:spacing w:line="360" w:lineRule="auto"/>
        <w:jc w:val="both"/>
        <w:rPr>
          <w:rFonts w:ascii="Palatino Linotype" w:eastAsia="Palatino Linotype" w:hAnsi="Palatino Linotype" w:cs="Palatino Linotype"/>
        </w:rPr>
      </w:pPr>
    </w:p>
    <w:p w14:paraId="73A0C81C" w14:textId="77777777" w:rsidR="002344C9" w:rsidRPr="009E60F3" w:rsidRDefault="002344C9">
      <w:pPr>
        <w:spacing w:line="360" w:lineRule="auto"/>
        <w:jc w:val="both"/>
        <w:rPr>
          <w:rFonts w:ascii="Palatino Linotype" w:eastAsia="Palatino Linotype" w:hAnsi="Palatino Linotype" w:cs="Palatino Linotype"/>
        </w:rPr>
      </w:pPr>
    </w:p>
    <w:p w14:paraId="7A29D4AD" w14:textId="77777777" w:rsidR="002344C9" w:rsidRPr="009E60F3" w:rsidRDefault="002344C9">
      <w:pPr>
        <w:spacing w:line="360" w:lineRule="auto"/>
        <w:jc w:val="both"/>
        <w:rPr>
          <w:rFonts w:ascii="Palatino Linotype" w:eastAsia="Palatino Linotype" w:hAnsi="Palatino Linotype" w:cs="Palatino Linotype"/>
        </w:rPr>
      </w:pPr>
    </w:p>
    <w:p w14:paraId="31D0F074" w14:textId="77777777" w:rsidR="002344C9" w:rsidRPr="009E60F3" w:rsidRDefault="002344C9">
      <w:pPr>
        <w:spacing w:line="360" w:lineRule="auto"/>
        <w:jc w:val="both"/>
        <w:rPr>
          <w:rFonts w:ascii="Palatino Linotype" w:eastAsia="Palatino Linotype" w:hAnsi="Palatino Linotype" w:cs="Palatino Linotype"/>
        </w:rPr>
      </w:pPr>
    </w:p>
    <w:sectPr w:rsidR="002344C9" w:rsidRPr="009E60F3">
      <w:headerReference w:type="default" r:id="rId29"/>
      <w:footerReference w:type="default" r:id="rId30"/>
      <w:headerReference w:type="first" r:id="rId31"/>
      <w:footerReference w:type="first" r:id="rId3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502FF" w14:textId="77777777" w:rsidR="00EA277A" w:rsidRDefault="00EA277A">
      <w:r>
        <w:separator/>
      </w:r>
    </w:p>
  </w:endnote>
  <w:endnote w:type="continuationSeparator" w:id="0">
    <w:p w14:paraId="5D1809E7" w14:textId="77777777" w:rsidR="00EA277A" w:rsidRDefault="00EA2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B6820" w14:textId="77777777" w:rsidR="002344C9" w:rsidRDefault="00D7364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E60F3">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E60F3">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p>
  <w:p w14:paraId="49F64B4C" w14:textId="77777777" w:rsidR="002344C9" w:rsidRDefault="002344C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4A55B" w14:textId="77777777" w:rsidR="002344C9" w:rsidRDefault="00D7364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E60F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E60F3">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p>
  <w:p w14:paraId="2038430A" w14:textId="77777777" w:rsidR="002344C9" w:rsidRDefault="002344C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E53B5" w14:textId="77777777" w:rsidR="00EA277A" w:rsidRDefault="00EA277A">
      <w:r>
        <w:separator/>
      </w:r>
    </w:p>
  </w:footnote>
  <w:footnote w:type="continuationSeparator" w:id="0">
    <w:p w14:paraId="6EA1F358" w14:textId="77777777" w:rsidR="00EA277A" w:rsidRDefault="00EA277A">
      <w:r>
        <w:continuationSeparator/>
      </w:r>
    </w:p>
  </w:footnote>
  <w:footnote w:id="1">
    <w:p w14:paraId="7A74CB54" w14:textId="77777777" w:rsidR="002344C9" w:rsidRPr="00113399" w:rsidRDefault="00D73648">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sidRPr="00113399">
        <w:rPr>
          <w:rFonts w:ascii="Palatino Linotype" w:hAnsi="Palatino Linotype"/>
          <w:sz w:val="16"/>
          <w:szCs w:val="16"/>
          <w:vertAlign w:val="superscript"/>
        </w:rPr>
        <w:footnoteRef/>
      </w:r>
      <w:r w:rsidRPr="00113399">
        <w:rPr>
          <w:rFonts w:ascii="Palatino Linotype" w:eastAsia="Palatino Linotype" w:hAnsi="Palatino Linotype" w:cs="Palatino Linotype"/>
          <w:color w:val="000000"/>
          <w:sz w:val="16"/>
          <w:szCs w:val="16"/>
        </w:rPr>
        <w:t xml:space="preserve"> “</w:t>
      </w:r>
      <w:r w:rsidRPr="00113399">
        <w:rPr>
          <w:rFonts w:ascii="Palatino Linotype" w:eastAsia="Palatino Linotype" w:hAnsi="Palatino Linotype" w:cs="Palatino Linotype"/>
          <w:b/>
          <w:color w:val="000000"/>
          <w:sz w:val="16"/>
          <w:szCs w:val="16"/>
        </w:rPr>
        <w:t>Artículo 185.</w:t>
      </w:r>
      <w:r w:rsidRPr="00113399">
        <w:rPr>
          <w:rFonts w:ascii="Palatino Linotype" w:eastAsia="Palatino Linotype" w:hAnsi="Palatino Linotype" w:cs="Palatino Linotype"/>
          <w:color w:val="000000"/>
          <w:sz w:val="16"/>
          <w:szCs w:val="16"/>
        </w:rPr>
        <w:t xml:space="preserve"> El Instituto resolverá el recurso de revisión conforme a lo siguiente: (…)</w:t>
      </w:r>
    </w:p>
    <w:p w14:paraId="6DA95D95" w14:textId="77777777" w:rsidR="002344C9" w:rsidRPr="00113399" w:rsidRDefault="00D73648">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113399">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157817F0" w14:textId="77777777" w:rsidR="00113399" w:rsidRPr="00113399" w:rsidRDefault="00113399">
      <w:pPr>
        <w:pStyle w:val="Textonotapie"/>
        <w:rPr>
          <w:rFonts w:ascii="Palatino Linotype" w:hAnsi="Palatino Linotype"/>
          <w:sz w:val="16"/>
          <w:szCs w:val="16"/>
        </w:rPr>
      </w:pPr>
      <w:r w:rsidRPr="00113399">
        <w:rPr>
          <w:rStyle w:val="Refdenotaalpie"/>
          <w:rFonts w:ascii="Palatino Linotype" w:hAnsi="Palatino Linotype"/>
          <w:sz w:val="16"/>
          <w:szCs w:val="16"/>
        </w:rPr>
        <w:footnoteRef/>
      </w:r>
      <w:r w:rsidRPr="00113399">
        <w:rPr>
          <w:rFonts w:ascii="Palatino Linotype" w:hAnsi="Palatino Linotype"/>
          <w:sz w:val="16"/>
          <w:szCs w:val="16"/>
        </w:rPr>
        <w:t xml:space="preserve"> Consultable en: </w:t>
      </w:r>
      <w:hyperlink r:id="rId1" w:history="1">
        <w:r w:rsidRPr="00CA2FC3">
          <w:rPr>
            <w:rStyle w:val="Hipervnculo"/>
            <w:rFonts w:ascii="Palatino Linotype" w:hAnsi="Palatino Linotype"/>
            <w:sz w:val="16"/>
            <w:szCs w:val="16"/>
          </w:rPr>
          <w:t>https://www.facebook.com/permalink.php?story_fbid=5168228266529365&amp;id=565789400106631</w:t>
        </w:r>
      </w:hyperlink>
      <w:r>
        <w:rPr>
          <w:rFonts w:ascii="Palatino Linotype" w:hAnsi="Palatino Linotype"/>
          <w:sz w:val="16"/>
          <w:szCs w:val="16"/>
        </w:rPr>
        <w:t xml:space="preserve"> </w:t>
      </w:r>
    </w:p>
  </w:footnote>
  <w:footnote w:id="3">
    <w:p w14:paraId="3B3B20F0" w14:textId="77777777" w:rsidR="002344C9" w:rsidRPr="00113399" w:rsidRDefault="00D73648">
      <w:pPr>
        <w:jc w:val="both"/>
        <w:rPr>
          <w:rFonts w:ascii="Palatino Linotype" w:eastAsia="Palatino Linotype" w:hAnsi="Palatino Linotype" w:cs="Palatino Linotype"/>
          <w:sz w:val="16"/>
          <w:szCs w:val="16"/>
        </w:rPr>
      </w:pPr>
      <w:r w:rsidRPr="00113399">
        <w:rPr>
          <w:rFonts w:ascii="Palatino Linotype" w:hAnsi="Palatino Linotype"/>
          <w:sz w:val="16"/>
          <w:szCs w:val="16"/>
          <w:vertAlign w:val="superscript"/>
        </w:rPr>
        <w:footnoteRef/>
      </w:r>
      <w:r w:rsidRPr="00113399">
        <w:rPr>
          <w:rFonts w:ascii="Palatino Linotype" w:eastAsia="Palatino Linotype" w:hAnsi="Palatino Linotype" w:cs="Palatino Linotype"/>
          <w:sz w:val="16"/>
          <w:szCs w:val="16"/>
        </w:rPr>
        <w:t xml:space="preserve"> </w:t>
      </w:r>
      <w:r w:rsidRPr="00113399">
        <w:rPr>
          <w:rFonts w:ascii="Palatino Linotype" w:eastAsia="Palatino Linotype" w:hAnsi="Palatino Linotype" w:cs="Palatino Linotype"/>
          <w:b/>
          <w:sz w:val="16"/>
          <w:szCs w:val="16"/>
        </w:rPr>
        <w:t xml:space="preserve">Artículo 13. </w:t>
      </w:r>
      <w:r w:rsidRPr="00113399">
        <w:rPr>
          <w:rFonts w:ascii="Palatino Linotype" w:eastAsia="Palatino Linotype" w:hAnsi="Palatino Linotype" w:cs="Palatino Linotype"/>
          <w:sz w:val="16"/>
          <w:szCs w:val="16"/>
        </w:rPr>
        <w:t>El Instituto, en el ámbito de sus atribuciones, deberá suplir cualquier deficiencia para garantizar el ejercicio del derecho de acceso a la información.</w:t>
      </w:r>
    </w:p>
  </w:footnote>
  <w:footnote w:id="4">
    <w:p w14:paraId="666B6D5A" w14:textId="77777777" w:rsidR="002344C9" w:rsidRPr="00113399" w:rsidRDefault="00D73648">
      <w:pPr>
        <w:jc w:val="both"/>
        <w:rPr>
          <w:rFonts w:ascii="Palatino Linotype" w:eastAsia="Palatino Linotype" w:hAnsi="Palatino Linotype" w:cs="Palatino Linotype"/>
          <w:b/>
          <w:sz w:val="16"/>
          <w:szCs w:val="16"/>
        </w:rPr>
      </w:pPr>
      <w:r w:rsidRPr="00113399">
        <w:rPr>
          <w:rFonts w:ascii="Palatino Linotype" w:hAnsi="Palatino Linotype"/>
          <w:sz w:val="16"/>
          <w:szCs w:val="16"/>
          <w:vertAlign w:val="superscript"/>
        </w:rPr>
        <w:footnoteRef/>
      </w:r>
      <w:r w:rsidRPr="00113399">
        <w:rPr>
          <w:rFonts w:ascii="Palatino Linotype" w:eastAsia="Palatino Linotype" w:hAnsi="Palatino Linotype" w:cs="Palatino Linotype"/>
          <w:sz w:val="16"/>
          <w:szCs w:val="16"/>
        </w:rPr>
        <w:t xml:space="preserve"> </w:t>
      </w:r>
      <w:r w:rsidRPr="00113399">
        <w:rPr>
          <w:rFonts w:ascii="Palatino Linotype" w:eastAsia="Palatino Linotype" w:hAnsi="Palatino Linotype" w:cs="Palatino Linotype"/>
          <w:b/>
          <w:sz w:val="16"/>
          <w:szCs w:val="16"/>
        </w:rPr>
        <w:t xml:space="preserve">Artículo 181. </w:t>
      </w:r>
      <w:r w:rsidRPr="00113399">
        <w:rPr>
          <w:rFonts w:ascii="Palatino Linotype" w:eastAsia="Palatino Linotype" w:hAnsi="Palatino Linotype" w:cs="Palatino Linotype"/>
          <w:sz w:val="16"/>
          <w:szCs w:val="16"/>
        </w:rPr>
        <w:t>(…)</w:t>
      </w:r>
    </w:p>
    <w:p w14:paraId="424F118D" w14:textId="77777777" w:rsidR="002344C9" w:rsidRPr="00113399" w:rsidRDefault="00D73648">
      <w:pPr>
        <w:jc w:val="both"/>
        <w:rPr>
          <w:rFonts w:ascii="Palatino Linotype" w:eastAsia="Palatino Linotype" w:hAnsi="Palatino Linotype" w:cs="Palatino Linotype"/>
          <w:sz w:val="16"/>
          <w:szCs w:val="16"/>
        </w:rPr>
      </w:pPr>
      <w:r w:rsidRPr="00113399">
        <w:rPr>
          <w:rFonts w:ascii="Palatino Linotype" w:eastAsia="Palatino Linotype" w:hAnsi="Palatino Linotype" w:cs="Palatino Linotype"/>
          <w:sz w:val="16"/>
          <w:szCs w:val="16"/>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5">
    <w:p w14:paraId="6E6131BA" w14:textId="77777777" w:rsidR="002344C9" w:rsidRPr="00113399" w:rsidRDefault="00D73648">
      <w:pPr>
        <w:pBdr>
          <w:top w:val="nil"/>
          <w:left w:val="nil"/>
          <w:bottom w:val="nil"/>
          <w:right w:val="nil"/>
          <w:between w:val="nil"/>
        </w:pBdr>
        <w:rPr>
          <w:rFonts w:ascii="Palatino Linotype" w:eastAsia="Palatino Linotype" w:hAnsi="Palatino Linotype" w:cs="Palatino Linotype"/>
          <w:color w:val="000000"/>
          <w:sz w:val="16"/>
          <w:szCs w:val="16"/>
        </w:rPr>
      </w:pPr>
      <w:r w:rsidRPr="00113399">
        <w:rPr>
          <w:rFonts w:ascii="Palatino Linotype" w:hAnsi="Palatino Linotype"/>
          <w:sz w:val="16"/>
          <w:szCs w:val="16"/>
          <w:vertAlign w:val="superscript"/>
        </w:rPr>
        <w:footnoteRef/>
      </w:r>
      <w:r w:rsidRPr="00113399">
        <w:rPr>
          <w:rFonts w:ascii="Palatino Linotype" w:eastAsia="Palatino Linotype" w:hAnsi="Palatino Linotype" w:cs="Palatino Linotype"/>
          <w:color w:val="000000"/>
          <w:sz w:val="16"/>
          <w:szCs w:val="16"/>
        </w:rPr>
        <w:t xml:space="preserve"> https://legislacion.edomex.gob.mx/sites/legislacion.edomex.gob.mx/files/files/pdf/gct/2021/octubre/oct141/oct141b.pdf</w:t>
      </w:r>
    </w:p>
  </w:footnote>
  <w:footnote w:id="6">
    <w:p w14:paraId="21BD8ECE" w14:textId="77777777" w:rsidR="002344C9" w:rsidRPr="00113399" w:rsidRDefault="00D73648">
      <w:pPr>
        <w:pBdr>
          <w:top w:val="nil"/>
          <w:left w:val="nil"/>
          <w:bottom w:val="nil"/>
          <w:right w:val="nil"/>
          <w:between w:val="nil"/>
        </w:pBdr>
        <w:rPr>
          <w:rFonts w:ascii="Palatino Linotype" w:eastAsia="Palatino Linotype" w:hAnsi="Palatino Linotype" w:cs="Palatino Linotype"/>
          <w:color w:val="000000"/>
          <w:sz w:val="16"/>
          <w:szCs w:val="16"/>
        </w:rPr>
      </w:pPr>
      <w:r w:rsidRPr="00113399">
        <w:rPr>
          <w:rFonts w:ascii="Palatino Linotype" w:hAnsi="Palatino Linotype"/>
          <w:sz w:val="16"/>
          <w:szCs w:val="16"/>
          <w:vertAlign w:val="superscript"/>
        </w:rPr>
        <w:footnoteRef/>
      </w:r>
      <w:r w:rsidRPr="00113399">
        <w:rPr>
          <w:rFonts w:ascii="Palatino Linotype" w:eastAsia="Palatino Linotype" w:hAnsi="Palatino Linotype" w:cs="Palatino Linotype"/>
          <w:color w:val="000000"/>
          <w:sz w:val="16"/>
          <w:szCs w:val="16"/>
        </w:rPr>
        <w:t xml:space="preserve"> https://legislacion.edomex.gob.mx/sites/legislacion.edomex.gob.mx/files/files/pdf/gct/2022/marzo/mar071/mar071a.pdf</w:t>
      </w:r>
    </w:p>
  </w:footnote>
  <w:footnote w:id="7">
    <w:p w14:paraId="001C2D69" w14:textId="77777777" w:rsidR="002344C9" w:rsidRPr="00113399" w:rsidRDefault="00D73648">
      <w:pPr>
        <w:pBdr>
          <w:top w:val="nil"/>
          <w:left w:val="nil"/>
          <w:bottom w:val="nil"/>
          <w:right w:val="nil"/>
          <w:between w:val="nil"/>
        </w:pBdr>
        <w:rPr>
          <w:rFonts w:ascii="Palatino Linotype" w:eastAsia="Palatino Linotype" w:hAnsi="Palatino Linotype" w:cs="Palatino Linotype"/>
          <w:color w:val="000000"/>
          <w:sz w:val="16"/>
          <w:szCs w:val="16"/>
        </w:rPr>
      </w:pPr>
      <w:r w:rsidRPr="00113399">
        <w:rPr>
          <w:rFonts w:ascii="Palatino Linotype" w:hAnsi="Palatino Linotype"/>
          <w:sz w:val="16"/>
          <w:szCs w:val="16"/>
          <w:vertAlign w:val="superscript"/>
        </w:rPr>
        <w:footnoteRef/>
      </w:r>
      <w:r w:rsidRPr="00113399">
        <w:rPr>
          <w:rFonts w:ascii="Palatino Linotype" w:eastAsia="Palatino Linotype" w:hAnsi="Palatino Linotype" w:cs="Palatino Linotype"/>
          <w:color w:val="000000"/>
          <w:sz w:val="16"/>
          <w:szCs w:val="16"/>
        </w:rPr>
        <w:t xml:space="preserve"> https://legislacion.edomex.gob.mx/sites/legislacion.edomex.gob.mx/files/files/pdf/gct/2022/marzo/mar071/mar071a.pdf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E27E0" w14:textId="77777777" w:rsidR="002344C9" w:rsidRDefault="00D73648">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14:anchorId="0B31DD1D" wp14:editId="12FC5A69">
          <wp:simplePos x="0" y="0"/>
          <wp:positionH relativeFrom="column">
            <wp:posOffset>-1080130</wp:posOffset>
          </wp:positionH>
          <wp:positionV relativeFrom="paragraph">
            <wp:posOffset>-488310</wp:posOffset>
          </wp:positionV>
          <wp:extent cx="7809865" cy="10165715"/>
          <wp:effectExtent l="0" t="0" r="0" b="0"/>
          <wp:wrapNone/>
          <wp:docPr id="10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5953" w:type="dxa"/>
      <w:tblInd w:w="3261" w:type="dxa"/>
      <w:tblLayout w:type="fixed"/>
      <w:tblLook w:val="0400" w:firstRow="0" w:lastRow="0" w:firstColumn="0" w:lastColumn="0" w:noHBand="0" w:noVBand="1"/>
    </w:tblPr>
    <w:tblGrid>
      <w:gridCol w:w="2489"/>
      <w:gridCol w:w="3464"/>
    </w:tblGrid>
    <w:tr w:rsidR="002344C9" w14:paraId="6D2322A0" w14:textId="77777777">
      <w:tc>
        <w:tcPr>
          <w:tcW w:w="2489" w:type="dxa"/>
          <w:shd w:val="clear" w:color="auto" w:fill="auto"/>
        </w:tcPr>
        <w:p w14:paraId="725C7458" w14:textId="77777777" w:rsidR="002344C9" w:rsidRDefault="00D7364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FE8481B" w14:textId="77777777" w:rsidR="002344C9" w:rsidRDefault="00D7364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05029/INFOEM/IP/RR/2022</w:t>
          </w:r>
        </w:p>
      </w:tc>
    </w:tr>
    <w:tr w:rsidR="002344C9" w14:paraId="7DD5A86E" w14:textId="77777777">
      <w:trPr>
        <w:trHeight w:val="228"/>
      </w:trPr>
      <w:tc>
        <w:tcPr>
          <w:tcW w:w="2489" w:type="dxa"/>
          <w:shd w:val="clear" w:color="auto" w:fill="auto"/>
          <w:vAlign w:val="center"/>
        </w:tcPr>
        <w:p w14:paraId="77F446C3" w14:textId="77777777" w:rsidR="002344C9" w:rsidRDefault="00D7364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14BA3BE" w14:textId="77777777" w:rsidR="002344C9" w:rsidRDefault="00D7364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2344C9" w14:paraId="4C1DB168" w14:textId="77777777">
      <w:tc>
        <w:tcPr>
          <w:tcW w:w="2489" w:type="dxa"/>
          <w:shd w:val="clear" w:color="auto" w:fill="auto"/>
          <w:vAlign w:val="center"/>
        </w:tcPr>
        <w:p w14:paraId="08AB8045" w14:textId="77777777" w:rsidR="002344C9" w:rsidRDefault="00D7364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66497BB" w14:textId="77777777" w:rsidR="002344C9" w:rsidRDefault="00D7364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A2BBFC5" w14:textId="77777777" w:rsidR="002344C9" w:rsidRDefault="00D73648">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DBC2A" w14:textId="77777777" w:rsidR="002344C9" w:rsidRDefault="002344C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a"/>
      <w:tblW w:w="5670" w:type="dxa"/>
      <w:tblInd w:w="3261" w:type="dxa"/>
      <w:tblLayout w:type="fixed"/>
      <w:tblLook w:val="0400" w:firstRow="0" w:lastRow="0" w:firstColumn="0" w:lastColumn="0" w:noHBand="0" w:noVBand="1"/>
    </w:tblPr>
    <w:tblGrid>
      <w:gridCol w:w="2551"/>
      <w:gridCol w:w="3119"/>
    </w:tblGrid>
    <w:tr w:rsidR="002344C9" w14:paraId="769D82D5" w14:textId="77777777">
      <w:tc>
        <w:tcPr>
          <w:tcW w:w="2551" w:type="dxa"/>
          <w:shd w:val="clear" w:color="auto" w:fill="auto"/>
          <w:vAlign w:val="center"/>
        </w:tcPr>
        <w:p w14:paraId="3AA87A77" w14:textId="77777777" w:rsidR="002344C9" w:rsidRDefault="00D7364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6C6EED96" w14:textId="77777777" w:rsidR="002344C9" w:rsidRDefault="00D73648">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05029/INFOEM/IP/RR/2022</w:t>
          </w:r>
        </w:p>
      </w:tc>
    </w:tr>
    <w:tr w:rsidR="002344C9" w14:paraId="4CD7641B" w14:textId="77777777">
      <w:trPr>
        <w:trHeight w:val="130"/>
      </w:trPr>
      <w:tc>
        <w:tcPr>
          <w:tcW w:w="2551" w:type="dxa"/>
          <w:shd w:val="clear" w:color="auto" w:fill="auto"/>
          <w:vAlign w:val="center"/>
        </w:tcPr>
        <w:p w14:paraId="13B12296" w14:textId="77777777" w:rsidR="002344C9" w:rsidRDefault="00D7364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0D889C0D" w14:textId="55FAC703" w:rsidR="002344C9" w:rsidRDefault="00831270">
          <w:pPr>
            <w:ind w:left="-45"/>
            <w:jc w:val="both"/>
            <w:rPr>
              <w:rFonts w:ascii="Palatino Linotype" w:eastAsia="Palatino Linotype" w:hAnsi="Palatino Linotype" w:cs="Palatino Linotype"/>
              <w:b/>
              <w:sz w:val="22"/>
              <w:szCs w:val="22"/>
            </w:rPr>
          </w:pPr>
          <w:proofErr w:type="spellStart"/>
          <w:r>
            <w:rPr>
              <w:rFonts w:ascii="Palatino Linotype" w:eastAsia="Palatino Linotype" w:hAnsi="Palatino Linotype" w:cs="Palatino Linotype"/>
              <w:b/>
              <w:sz w:val="22"/>
              <w:szCs w:val="22"/>
            </w:rPr>
            <w:t>Xxxxxx</w:t>
          </w:r>
          <w:proofErr w:type="spellEnd"/>
          <w:r w:rsidR="00D73648">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w:t>
          </w:r>
          <w:proofErr w:type="spellEnd"/>
          <w:r w:rsidR="00D73648">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w:t>
          </w:r>
          <w:proofErr w:type="spellEnd"/>
        </w:p>
      </w:tc>
    </w:tr>
    <w:tr w:rsidR="002344C9" w14:paraId="46E18F0F" w14:textId="77777777">
      <w:trPr>
        <w:trHeight w:val="228"/>
      </w:trPr>
      <w:tc>
        <w:tcPr>
          <w:tcW w:w="2551" w:type="dxa"/>
          <w:shd w:val="clear" w:color="auto" w:fill="auto"/>
          <w:vAlign w:val="center"/>
        </w:tcPr>
        <w:p w14:paraId="7E284149" w14:textId="77777777" w:rsidR="002344C9" w:rsidRDefault="00D7364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695D99C8" w14:textId="77777777" w:rsidR="002344C9" w:rsidRDefault="00D7364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2344C9" w14:paraId="6081E424" w14:textId="77777777">
      <w:tc>
        <w:tcPr>
          <w:tcW w:w="2551" w:type="dxa"/>
          <w:shd w:val="clear" w:color="auto" w:fill="auto"/>
          <w:vAlign w:val="center"/>
        </w:tcPr>
        <w:p w14:paraId="563A0086" w14:textId="77777777" w:rsidR="002344C9" w:rsidRDefault="00D7364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0A32F8DD" w14:textId="77777777" w:rsidR="002344C9" w:rsidRDefault="00D73648">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21A1935" w14:textId="77777777" w:rsidR="002344C9" w:rsidRDefault="00D73648">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76251C72" wp14:editId="08C14B5C">
          <wp:simplePos x="0" y="0"/>
          <wp:positionH relativeFrom="column">
            <wp:posOffset>-1089655</wp:posOffset>
          </wp:positionH>
          <wp:positionV relativeFrom="paragraph">
            <wp:posOffset>-1169665</wp:posOffset>
          </wp:positionV>
          <wp:extent cx="7809865" cy="10165715"/>
          <wp:effectExtent l="0" t="0" r="0" b="0"/>
          <wp:wrapNone/>
          <wp:docPr id="1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7A2973"/>
    <w:multiLevelType w:val="multilevel"/>
    <w:tmpl w:val="CE1CC0C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A2738A"/>
    <w:multiLevelType w:val="multilevel"/>
    <w:tmpl w:val="B17C5FE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44EE1296"/>
    <w:multiLevelType w:val="multilevel"/>
    <w:tmpl w:val="4F06203C"/>
    <w:lvl w:ilvl="0">
      <w:start w:val="1"/>
      <w:numFmt w:val="lowerLetter"/>
      <w:pStyle w:val="Listaconvietas3"/>
      <w:lvlText w:val="%1)"/>
      <w:lvlJc w:val="left"/>
      <w:pPr>
        <w:ind w:left="1068" w:hanging="360"/>
      </w:pPr>
      <w:rPr>
        <w:rFonts w:ascii="Palatino Linotype" w:eastAsia="Palatino Linotype" w:hAnsi="Palatino Linotype" w:cs="Palatino Linotype"/>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 w15:restartNumberingAfterBreak="0">
    <w:nsid w:val="4D307A4C"/>
    <w:multiLevelType w:val="multilevel"/>
    <w:tmpl w:val="FC62F4C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5D0550D2"/>
    <w:multiLevelType w:val="multilevel"/>
    <w:tmpl w:val="88664776"/>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5" w15:restartNumberingAfterBreak="0">
    <w:nsid w:val="665222BB"/>
    <w:multiLevelType w:val="multilevel"/>
    <w:tmpl w:val="33C0C7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B086ED3"/>
    <w:multiLevelType w:val="multilevel"/>
    <w:tmpl w:val="DD8C03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8C33608"/>
    <w:multiLevelType w:val="multilevel"/>
    <w:tmpl w:val="0BECBD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39717407">
    <w:abstractNumId w:val="6"/>
  </w:num>
  <w:num w:numId="2" w16cid:durableId="1099136426">
    <w:abstractNumId w:val="2"/>
  </w:num>
  <w:num w:numId="3" w16cid:durableId="859586561">
    <w:abstractNumId w:val="7"/>
  </w:num>
  <w:num w:numId="4" w16cid:durableId="1425228573">
    <w:abstractNumId w:val="0"/>
  </w:num>
  <w:num w:numId="5" w16cid:durableId="405421655">
    <w:abstractNumId w:val="4"/>
  </w:num>
  <w:num w:numId="6" w16cid:durableId="366567043">
    <w:abstractNumId w:val="5"/>
  </w:num>
  <w:num w:numId="7" w16cid:durableId="569735229">
    <w:abstractNumId w:val="3"/>
  </w:num>
  <w:num w:numId="8" w16cid:durableId="11470170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4C9"/>
    <w:rsid w:val="001065C7"/>
    <w:rsid w:val="00113399"/>
    <w:rsid w:val="001E07C4"/>
    <w:rsid w:val="002344C9"/>
    <w:rsid w:val="003054B2"/>
    <w:rsid w:val="00307F34"/>
    <w:rsid w:val="00313872"/>
    <w:rsid w:val="00397803"/>
    <w:rsid w:val="00474C27"/>
    <w:rsid w:val="005656CC"/>
    <w:rsid w:val="005A041B"/>
    <w:rsid w:val="005F0BD6"/>
    <w:rsid w:val="006E5F24"/>
    <w:rsid w:val="00705C20"/>
    <w:rsid w:val="007F48A7"/>
    <w:rsid w:val="008248E5"/>
    <w:rsid w:val="00831270"/>
    <w:rsid w:val="008B6C62"/>
    <w:rsid w:val="008F2687"/>
    <w:rsid w:val="009A29EF"/>
    <w:rsid w:val="009E60F3"/>
    <w:rsid w:val="009F1102"/>
    <w:rsid w:val="00A95738"/>
    <w:rsid w:val="00BA1185"/>
    <w:rsid w:val="00D73648"/>
    <w:rsid w:val="00DC11F7"/>
    <w:rsid w:val="00DE3C2A"/>
    <w:rsid w:val="00EA277A"/>
    <w:rsid w:val="00F147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9BBFD"/>
  <w15:docId w15:val="{184BED5D-3637-4E51-B8A2-2225AA75C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70" w:type="dxa"/>
        <w:right w:w="70"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70.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footer" Target="footer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facebook.com/permalink.php?story_fbid=5168228266529365&amp;id=56578940010663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OJekD5QHVWZf9uwtGUwiXTnZ5A==">AMUW2mXPDaLCu9+uySuxgMRmL56lfop8dJJ8314D2eMgPbs3EwdUZREpDHvuqdxLXf5XwH6a05PufNHNXtYUmtOJhGqyPbPHudsly91PX0OgCQcLyn5KEqCQ7p0qdm9vtshqWYNR+FUv0sqo/GA5Jz8ItpBForchYpoIUuSWe5Kq65Oahgh9db2IyU/h6qHSQ6+dl9nyzVYFVICVCc1UrgT/fFHgO/CrmmEX2fEaMn8EpVF3qawKOik1+2W4lj3ZasiS4TDsGDOh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FCD0D06-8FD9-4A8E-9160-50C6655DC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8527</Words>
  <Characters>46900</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55317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VIRIDIANA SANTANA</cp:lastModifiedBy>
  <cp:revision>2</cp:revision>
  <dcterms:created xsi:type="dcterms:W3CDTF">2022-08-04T03:19:00Z</dcterms:created>
  <dcterms:modified xsi:type="dcterms:W3CDTF">2022-08-04T03:19:00Z</dcterms:modified>
</cp:coreProperties>
</file>