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B1D0C6" w14:textId="77777777" w:rsidR="006D4227" w:rsidRDefault="00785C6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eastAsia="Palatino Linotype" w:hAnsi="Palatino Linotype" w:cs="Palatino Linotype"/>
          <w:b/>
        </w:rPr>
        <w:t>quince de junio del dos mil veintidós</w:t>
      </w:r>
      <w:r>
        <w:rPr>
          <w:rFonts w:ascii="Palatino Linotype" w:eastAsia="Palatino Linotype" w:hAnsi="Palatino Linotype" w:cs="Palatino Linotype"/>
        </w:rPr>
        <w:t>.</w:t>
      </w:r>
    </w:p>
    <w:p w14:paraId="62A2FFE3" w14:textId="1C0FBA72" w:rsidR="006D4227" w:rsidRDefault="00785C69">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03484/INFOEM/IP/RR/2022</w:t>
      </w:r>
      <w:r>
        <w:rPr>
          <w:rFonts w:ascii="Palatino Linotype" w:eastAsia="Palatino Linotype" w:hAnsi="Palatino Linotype" w:cs="Palatino Linotype"/>
        </w:rPr>
        <w:t xml:space="preserve">, interpuesto por </w:t>
      </w:r>
      <w:r w:rsidR="002B75F9" w:rsidRPr="002B75F9">
        <w:rPr>
          <w:rFonts w:ascii="Palatino Linotype" w:eastAsia="Palatino Linotype" w:hAnsi="Palatino Linotype" w:cs="Palatino Linotype"/>
          <w:b/>
        </w:rPr>
        <w:t>XXXX XXXXXXX XXXXXXX</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Instituto de Transparencia, Acceso a la Información Pública y Protección de Datos Personales del Estado de México y Municipios,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bookmarkStart w:id="0" w:name="_GoBack"/>
      <w:bookmarkEnd w:id="0"/>
    </w:p>
    <w:p w14:paraId="223F9E01" w14:textId="77777777" w:rsidR="006D4227" w:rsidRDefault="00785C69">
      <w:pPr>
        <w:spacing w:before="240" w:after="240" w:line="360" w:lineRule="auto"/>
        <w:ind w:right="49"/>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A N T E C E D E N T E S</w:t>
      </w:r>
    </w:p>
    <w:p w14:paraId="7D9D4D79" w14:textId="77777777" w:rsidR="006D4227" w:rsidRDefault="00785C69">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 xml:space="preserve">cuatro de febrero de dos mil veintidós, </w:t>
      </w:r>
      <w:r>
        <w:rPr>
          <w:rFonts w:ascii="Palatino Linotype" w:eastAsia="Palatino Linotype" w:hAnsi="Palatino Linotype" w:cs="Palatino Linotype"/>
        </w:rPr>
        <w:t xml:space="preserve">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a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00149/INFOEM/IP/2022, </w:t>
      </w:r>
      <w:r>
        <w:rPr>
          <w:rFonts w:ascii="Palatino Linotype" w:eastAsia="Palatino Linotype" w:hAnsi="Palatino Linotype" w:cs="Palatino Linotype"/>
        </w:rPr>
        <w:t xml:space="preserve">mediante la cual requirió la información siguiente: </w:t>
      </w:r>
    </w:p>
    <w:p w14:paraId="16B2153E" w14:textId="77777777" w:rsidR="006D4227" w:rsidRDefault="00785C69">
      <w:pPr>
        <w:spacing w:before="240" w:after="240" w:line="276" w:lineRule="auto"/>
        <w:ind w:left="426"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 “Solicito </w:t>
      </w:r>
      <w:r>
        <w:rPr>
          <w:rFonts w:ascii="Palatino Linotype" w:eastAsia="Palatino Linotype" w:hAnsi="Palatino Linotype" w:cs="Palatino Linotype"/>
          <w:b/>
          <w:i/>
          <w:sz w:val="22"/>
          <w:szCs w:val="22"/>
        </w:rPr>
        <w:t xml:space="preserve">todo los documentos relacionados con la Certificación en el estándar de competencia: Garantizar el derecho de acceso a la información pública; así mismo solicito todos documentos relacionados con la </w:t>
      </w:r>
      <w:proofErr w:type="spellStart"/>
      <w:r>
        <w:rPr>
          <w:rFonts w:ascii="Palatino Linotype" w:eastAsia="Palatino Linotype" w:hAnsi="Palatino Linotype" w:cs="Palatino Linotype"/>
          <w:b/>
          <w:i/>
          <w:sz w:val="22"/>
          <w:szCs w:val="22"/>
        </w:rPr>
        <w:t>Certificacion</w:t>
      </w:r>
      <w:proofErr w:type="spellEnd"/>
      <w:r>
        <w:rPr>
          <w:rFonts w:ascii="Palatino Linotype" w:eastAsia="Palatino Linotype" w:hAnsi="Palatino Linotype" w:cs="Palatino Linotype"/>
          <w:b/>
          <w:i/>
          <w:sz w:val="22"/>
          <w:szCs w:val="22"/>
        </w:rPr>
        <w:t xml:space="preserve"> de protección de datos personales.</w:t>
      </w:r>
      <w:r>
        <w:rPr>
          <w:rFonts w:ascii="Palatino Linotype" w:eastAsia="Palatino Linotype" w:hAnsi="Palatino Linotype" w:cs="Palatino Linotype"/>
          <w:i/>
          <w:sz w:val="22"/>
          <w:szCs w:val="22"/>
        </w:rPr>
        <w:t>” (Sic) (Énfasis añadido)</w:t>
      </w:r>
    </w:p>
    <w:p w14:paraId="48E5AFC8" w14:textId="77777777" w:rsidR="006D4227" w:rsidRDefault="00785C69">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Modalidad de Entrega:</w:t>
      </w:r>
      <w:r>
        <w:rPr>
          <w:rFonts w:ascii="Palatino Linotype" w:eastAsia="Palatino Linotype" w:hAnsi="Palatino Linotype" w:cs="Palatino Linotype"/>
        </w:rPr>
        <w:t xml:space="preserve"> A través del SAIMEX </w:t>
      </w:r>
    </w:p>
    <w:p w14:paraId="2E9577B4" w14:textId="77777777" w:rsidR="006D4227" w:rsidRDefault="00785C69">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En fecha</w:t>
      </w:r>
      <w:r>
        <w:rPr>
          <w:rFonts w:ascii="Palatino Linotype" w:eastAsia="Palatino Linotype" w:hAnsi="Palatino Linotype" w:cs="Palatino Linotype"/>
          <w:b/>
        </w:rPr>
        <w:t xml:space="preserve"> veintiocho de febrero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través del SAIMEX respondió sustancialmente en los siguientes términos: </w:t>
      </w:r>
    </w:p>
    <w:p w14:paraId="371E0B62" w14:textId="77777777" w:rsidR="006D4227" w:rsidRDefault="00785C69">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6A78406" w14:textId="77777777" w:rsidR="006D4227" w:rsidRDefault="00785C69">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 fundamento en el artículo 53 fracción II de la Ley de Transparencia y Acceso a la Información Pública del Estado de México y Municipios, se adjunta la respuesta a su solicitud de acceso a la información pública.</w:t>
      </w:r>
    </w:p>
    <w:p w14:paraId="3380905B" w14:textId="77777777" w:rsidR="006D4227" w:rsidRDefault="00785C69">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662EB30C" w14:textId="77777777" w:rsidR="006D4227" w:rsidRDefault="00785C69">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Mtro. Juan Salvador V. Hernández Flores”</w:t>
      </w:r>
    </w:p>
    <w:p w14:paraId="2897B1D9" w14:textId="77777777" w:rsidR="006D4227" w:rsidRDefault="00785C69">
      <w:pPr>
        <w:spacing w:before="240" w:after="240" w:line="360" w:lineRule="auto"/>
        <w:ind w:left="567" w:right="900"/>
        <w:jc w:val="both"/>
        <w:rPr>
          <w:rFonts w:ascii="Palatino Linotype" w:eastAsia="Palatino Linotype" w:hAnsi="Palatino Linotype" w:cs="Palatino Linotype"/>
          <w:color w:val="000000"/>
        </w:rPr>
      </w:pPr>
      <w:r>
        <w:rPr>
          <w:rFonts w:ascii="Palatino Linotype" w:eastAsia="Palatino Linotype" w:hAnsi="Palatino Linotype" w:cs="Palatino Linotype"/>
          <w:b/>
        </w:rPr>
        <w:t xml:space="preserve">Archivo adjunto: </w:t>
      </w:r>
      <w:r>
        <w:rPr>
          <w:rFonts w:ascii="Palatino Linotype" w:eastAsia="Palatino Linotype" w:hAnsi="Palatino Linotype" w:cs="Palatino Linotype"/>
        </w:rPr>
        <w:t>El Sujeto Obligado remitió la carpeta comprimida “</w:t>
      </w:r>
      <w:r>
        <w:rPr>
          <w:rFonts w:ascii="Palatino Linotype" w:eastAsia="Palatino Linotype" w:hAnsi="Palatino Linotype" w:cs="Palatino Linotype"/>
          <w:b/>
          <w:i/>
          <w:color w:val="000000"/>
        </w:rPr>
        <w:t>Respuesta00149.2022.zip</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color w:val="000000"/>
        </w:rPr>
        <w:t xml:space="preserve">la cual a su vez contiene los siguientes archivos electrónicos:  </w:t>
      </w:r>
    </w:p>
    <w:p w14:paraId="5E8E872E" w14:textId="77777777" w:rsidR="006D4227" w:rsidRDefault="00785C69">
      <w:pPr>
        <w:spacing w:before="240" w:after="240" w:line="360" w:lineRule="auto"/>
        <w:ind w:left="567" w:right="900"/>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sz w:val="22"/>
          <w:szCs w:val="22"/>
        </w:rPr>
        <w:t>“1CodigoEtica.pdf”</w:t>
      </w:r>
      <w:r>
        <w:rPr>
          <w:rFonts w:ascii="Palatino Linotype" w:eastAsia="Palatino Linotype" w:hAnsi="Palatino Linotype" w:cs="Palatino Linotype"/>
          <w:color w:val="000000"/>
        </w:rPr>
        <w:t xml:space="preserve">: Consistente en el Código de Ética del evaluador </w:t>
      </w:r>
      <w:proofErr w:type="gramStart"/>
      <w:r>
        <w:rPr>
          <w:rFonts w:ascii="Palatino Linotype" w:eastAsia="Palatino Linotype" w:hAnsi="Palatino Linotype" w:cs="Palatino Linotype"/>
          <w:color w:val="000000"/>
        </w:rPr>
        <w:t>de</w:t>
      </w:r>
      <w:proofErr w:type="gramEnd"/>
      <w:r>
        <w:rPr>
          <w:rFonts w:ascii="Palatino Linotype" w:eastAsia="Palatino Linotype" w:hAnsi="Palatino Linotype" w:cs="Palatino Linotype"/>
          <w:color w:val="000000"/>
        </w:rPr>
        <w:t xml:space="preserve"> competencias, se inserta la primera captura para mayor referencia.</w:t>
      </w:r>
    </w:p>
    <w:p w14:paraId="1CE4D624" w14:textId="77777777" w:rsidR="006D4227" w:rsidRDefault="00785C69">
      <w:pPr>
        <w:spacing w:before="240" w:after="240" w:line="360" w:lineRule="auto"/>
        <w:ind w:left="567" w:right="90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 </w:t>
      </w:r>
      <w:r>
        <w:rPr>
          <w:rFonts w:ascii="Palatino Linotype" w:eastAsia="Palatino Linotype" w:hAnsi="Palatino Linotype" w:cs="Palatino Linotype"/>
          <w:noProof/>
          <w:color w:val="000000"/>
          <w:lang w:val="es-MX"/>
        </w:rPr>
        <w:drawing>
          <wp:inline distT="0" distB="0" distL="0" distR="0" wp14:anchorId="4F8DDFC0" wp14:editId="10CDAE48">
            <wp:extent cx="4225369" cy="4853758"/>
            <wp:effectExtent l="0" t="0" r="0" b="0"/>
            <wp:docPr id="4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4225369" cy="4853758"/>
                    </a:xfrm>
                    <a:prstGeom prst="rect">
                      <a:avLst/>
                    </a:prstGeom>
                    <a:ln/>
                  </pic:spPr>
                </pic:pic>
              </a:graphicData>
            </a:graphic>
          </wp:inline>
        </w:drawing>
      </w:r>
    </w:p>
    <w:p w14:paraId="11F7E22C" w14:textId="77777777" w:rsidR="006D4227" w:rsidRDefault="00785C69">
      <w:pPr>
        <w:spacing w:before="240" w:after="240" w:line="360"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 xml:space="preserve">“2DecalogoEvaluador.pdf”: </w:t>
      </w:r>
      <w:r>
        <w:rPr>
          <w:rFonts w:ascii="Palatino Linotype" w:eastAsia="Palatino Linotype" w:hAnsi="Palatino Linotype" w:cs="Palatino Linotype"/>
          <w:color w:val="000000"/>
          <w:sz w:val="22"/>
          <w:szCs w:val="22"/>
        </w:rPr>
        <w:t xml:space="preserve">Consistente en el decálogo del evaluador de competencias. </w:t>
      </w:r>
    </w:p>
    <w:p w14:paraId="6DAC6336" w14:textId="77777777" w:rsidR="006D4227" w:rsidRDefault="00785C69">
      <w:pPr>
        <w:spacing w:before="240" w:after="240" w:line="360" w:lineRule="auto"/>
        <w:ind w:left="567" w:right="900"/>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lang w:val="es-MX"/>
        </w:rPr>
        <w:lastRenderedPageBreak/>
        <w:drawing>
          <wp:inline distT="0" distB="0" distL="0" distR="0" wp14:anchorId="3DA3B85A" wp14:editId="4CE43760">
            <wp:extent cx="3905527" cy="3138797"/>
            <wp:effectExtent l="0" t="0" r="0" b="0"/>
            <wp:docPr id="4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3905527" cy="3138797"/>
                    </a:xfrm>
                    <a:prstGeom prst="rect">
                      <a:avLst/>
                    </a:prstGeom>
                    <a:ln/>
                  </pic:spPr>
                </pic:pic>
              </a:graphicData>
            </a:graphic>
          </wp:inline>
        </w:drawing>
      </w:r>
    </w:p>
    <w:p w14:paraId="0966F56C" w14:textId="77777777" w:rsidR="006D4227" w:rsidRDefault="00785C69">
      <w:pPr>
        <w:spacing w:before="240" w:after="240" w:line="360"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“3DerechosObligacionesSNC.pdf”</w:t>
      </w:r>
      <w:r>
        <w:rPr>
          <w:rFonts w:ascii="Palatino Linotype" w:eastAsia="Palatino Linotype" w:hAnsi="Palatino Linotype" w:cs="Palatino Linotype"/>
          <w:color w:val="000000"/>
          <w:sz w:val="22"/>
          <w:szCs w:val="22"/>
        </w:rPr>
        <w:t xml:space="preserve">: Infografía de los derechos y obligaciones de los usuarios del Sistema Nacional de Competencias. </w:t>
      </w:r>
    </w:p>
    <w:p w14:paraId="4DE1EBCD" w14:textId="77777777" w:rsidR="006D4227" w:rsidRDefault="00785C69">
      <w:pPr>
        <w:spacing w:before="240" w:after="240" w:line="360" w:lineRule="auto"/>
        <w:ind w:left="567" w:right="900"/>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lang w:val="es-MX"/>
        </w:rPr>
        <w:drawing>
          <wp:inline distT="0" distB="0" distL="0" distR="0" wp14:anchorId="6A2D402E" wp14:editId="65040A89">
            <wp:extent cx="4055017" cy="2456538"/>
            <wp:effectExtent l="0" t="0" r="0" b="0"/>
            <wp:docPr id="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4055017" cy="2456538"/>
                    </a:xfrm>
                    <a:prstGeom prst="rect">
                      <a:avLst/>
                    </a:prstGeom>
                    <a:ln/>
                  </pic:spPr>
                </pic:pic>
              </a:graphicData>
            </a:graphic>
          </wp:inline>
        </w:drawing>
      </w:r>
    </w:p>
    <w:p w14:paraId="6F2000D2" w14:textId="77777777" w:rsidR="006D4227" w:rsidRDefault="006D4227">
      <w:pPr>
        <w:spacing w:before="240" w:after="240" w:line="360" w:lineRule="auto"/>
        <w:ind w:left="567" w:right="900"/>
        <w:jc w:val="both"/>
        <w:rPr>
          <w:rFonts w:ascii="Palatino Linotype" w:eastAsia="Palatino Linotype" w:hAnsi="Palatino Linotype" w:cs="Palatino Linotype"/>
          <w:color w:val="000000"/>
          <w:sz w:val="22"/>
          <w:szCs w:val="22"/>
        </w:rPr>
      </w:pPr>
    </w:p>
    <w:p w14:paraId="39CC60F7" w14:textId="77777777" w:rsidR="006D4227" w:rsidRDefault="00785C69">
      <w:pPr>
        <w:spacing w:before="240" w:after="240" w:line="360"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 xml:space="preserve">“4ManualProcesoOperacionECE.pdf”: </w:t>
      </w:r>
      <w:r>
        <w:rPr>
          <w:rFonts w:ascii="Palatino Linotype" w:eastAsia="Palatino Linotype" w:hAnsi="Palatino Linotype" w:cs="Palatino Linotype"/>
          <w:color w:val="000000"/>
          <w:sz w:val="22"/>
          <w:szCs w:val="22"/>
        </w:rPr>
        <w:t xml:space="preserve">Documento de 115 fojas que consiste en el Manual del Proceso de Operación de Entidades de Certificación y Evaluación de Competencias (ECE) y Organismos Certificadores (OC). </w:t>
      </w:r>
    </w:p>
    <w:p w14:paraId="70B0B420" w14:textId="77777777" w:rsidR="006D4227" w:rsidRDefault="00785C69">
      <w:pPr>
        <w:spacing w:before="240" w:after="240" w:line="360"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lang w:val="es-MX"/>
        </w:rPr>
        <w:lastRenderedPageBreak/>
        <w:drawing>
          <wp:inline distT="0" distB="0" distL="0" distR="0" wp14:anchorId="67152433" wp14:editId="311AB117">
            <wp:extent cx="4244114" cy="5537952"/>
            <wp:effectExtent l="0" t="0" r="0" b="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244114" cy="5537952"/>
                    </a:xfrm>
                    <a:prstGeom prst="rect">
                      <a:avLst/>
                    </a:prstGeom>
                    <a:ln/>
                  </pic:spPr>
                </pic:pic>
              </a:graphicData>
            </a:graphic>
          </wp:inline>
        </w:drawing>
      </w:r>
    </w:p>
    <w:p w14:paraId="45FB2C02" w14:textId="77777777" w:rsidR="006D4227" w:rsidRDefault="00785C69">
      <w:pPr>
        <w:spacing w:before="240" w:after="240" w:line="360" w:lineRule="auto"/>
        <w:ind w:left="567" w:right="900"/>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 xml:space="preserve">“5ManualIdentidadInstitucional.pdf”: </w:t>
      </w:r>
      <w:r>
        <w:rPr>
          <w:rFonts w:ascii="Palatino Linotype" w:eastAsia="Palatino Linotype" w:hAnsi="Palatino Linotype" w:cs="Palatino Linotype"/>
          <w:color w:val="000000"/>
          <w:sz w:val="22"/>
          <w:szCs w:val="22"/>
        </w:rPr>
        <w:t xml:space="preserve">Manual de Identidad Institucional </w:t>
      </w:r>
    </w:p>
    <w:p w14:paraId="4FD41048" w14:textId="77777777" w:rsidR="006D4227" w:rsidRDefault="00785C69">
      <w:pPr>
        <w:spacing w:before="240" w:after="240" w:line="360" w:lineRule="auto"/>
        <w:ind w:left="567" w:right="900"/>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lang w:val="es-MX"/>
        </w:rPr>
        <w:lastRenderedPageBreak/>
        <w:drawing>
          <wp:inline distT="0" distB="0" distL="0" distR="0" wp14:anchorId="68087CCB" wp14:editId="28A875DA">
            <wp:extent cx="4372765" cy="5327909"/>
            <wp:effectExtent l="0" t="0" r="0" b="0"/>
            <wp:docPr id="4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372765" cy="5327909"/>
                    </a:xfrm>
                    <a:prstGeom prst="rect">
                      <a:avLst/>
                    </a:prstGeom>
                    <a:ln/>
                  </pic:spPr>
                </pic:pic>
              </a:graphicData>
            </a:graphic>
          </wp:inline>
        </w:drawing>
      </w:r>
    </w:p>
    <w:p w14:paraId="158185E8" w14:textId="77777777" w:rsidR="006D4227" w:rsidRDefault="00785C69">
      <w:pPr>
        <w:spacing w:before="240" w:after="240" w:line="360"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“7IncorporacionSolucionesCert.pdf”</w:t>
      </w:r>
      <w:r>
        <w:rPr>
          <w:rFonts w:ascii="Palatino Linotype" w:eastAsia="Palatino Linotype" w:hAnsi="Palatino Linotype" w:cs="Palatino Linotype"/>
          <w:color w:val="000000"/>
          <w:sz w:val="22"/>
          <w:szCs w:val="22"/>
        </w:rPr>
        <w:t xml:space="preserve">: Documento de tres fojas, el cual consiste en la Incorporación a Soluciones de Certificación de Estándares de Competencias. </w:t>
      </w:r>
    </w:p>
    <w:p w14:paraId="24FAD067" w14:textId="77777777" w:rsidR="006D4227" w:rsidRDefault="00785C69">
      <w:pPr>
        <w:spacing w:before="240" w:after="240" w:line="360"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 </w:t>
      </w:r>
      <w:r>
        <w:rPr>
          <w:rFonts w:ascii="Palatino Linotype" w:eastAsia="Palatino Linotype" w:hAnsi="Palatino Linotype" w:cs="Palatino Linotype"/>
          <w:noProof/>
          <w:color w:val="000000"/>
          <w:sz w:val="22"/>
          <w:szCs w:val="22"/>
          <w:lang w:val="es-MX"/>
        </w:rPr>
        <w:drawing>
          <wp:inline distT="0" distB="0" distL="0" distR="0" wp14:anchorId="61BDFA92" wp14:editId="50428CBA">
            <wp:extent cx="4593055" cy="5550923"/>
            <wp:effectExtent l="0" t="0" r="0" b="0"/>
            <wp:docPr id="5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4593055" cy="5550923"/>
                    </a:xfrm>
                    <a:prstGeom prst="rect">
                      <a:avLst/>
                    </a:prstGeom>
                    <a:ln/>
                  </pic:spPr>
                </pic:pic>
              </a:graphicData>
            </a:graphic>
          </wp:inline>
        </w:drawing>
      </w:r>
    </w:p>
    <w:p w14:paraId="4519BEF5" w14:textId="77777777" w:rsidR="006D4227" w:rsidRDefault="00785C69">
      <w:pPr>
        <w:spacing w:before="240" w:after="240" w:line="360"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lastRenderedPageBreak/>
        <w:t xml:space="preserve">“8ManualEvaluacion.pdf”: </w:t>
      </w:r>
      <w:r>
        <w:rPr>
          <w:rFonts w:ascii="Palatino Linotype" w:eastAsia="Palatino Linotype" w:hAnsi="Palatino Linotype" w:cs="Palatino Linotype"/>
          <w:color w:val="000000"/>
          <w:sz w:val="22"/>
          <w:szCs w:val="22"/>
        </w:rPr>
        <w:t xml:space="preserve">Consiste en el Manual de Evaluación, contiene veinticuatro fojas, sin embargo, se inserta la primera foja para mayor referencia. </w:t>
      </w:r>
    </w:p>
    <w:p w14:paraId="07BF980C" w14:textId="77777777" w:rsidR="006D4227" w:rsidRDefault="00785C69">
      <w:pPr>
        <w:spacing w:before="240" w:after="240" w:line="360"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lang w:val="es-MX"/>
        </w:rPr>
        <w:drawing>
          <wp:inline distT="0" distB="0" distL="0" distR="0" wp14:anchorId="241DA5AC" wp14:editId="206972C1">
            <wp:extent cx="4631658" cy="5390428"/>
            <wp:effectExtent l="0" t="0" r="0" b="0"/>
            <wp:docPr id="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4631658" cy="5390428"/>
                    </a:xfrm>
                    <a:prstGeom prst="rect">
                      <a:avLst/>
                    </a:prstGeom>
                    <a:ln/>
                  </pic:spPr>
                </pic:pic>
              </a:graphicData>
            </a:graphic>
          </wp:inline>
        </w:drawing>
      </w:r>
    </w:p>
    <w:p w14:paraId="5C38AC12" w14:textId="77777777" w:rsidR="006D4227" w:rsidRDefault="00785C69" w:rsidP="00201665">
      <w:pPr>
        <w:spacing w:before="240" w:after="240" w:line="360"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lastRenderedPageBreak/>
        <w:t>“CertificadosEntregados-SI00149.docx”</w:t>
      </w:r>
      <w:r>
        <w:rPr>
          <w:rFonts w:ascii="Palatino Linotype" w:eastAsia="Palatino Linotype" w:hAnsi="Palatino Linotype" w:cs="Palatino Linotype"/>
          <w:color w:val="000000"/>
          <w:sz w:val="22"/>
          <w:szCs w:val="22"/>
        </w:rPr>
        <w:t xml:space="preserve">: Listado de 19 fojas, en el que se aprecian las personas que se encuentran certificadas en el EC 1057 “Garantizar el derecho de acceso a la información pública”: </w:t>
      </w:r>
    </w:p>
    <w:p w14:paraId="052E12B9" w14:textId="77777777" w:rsidR="006D4227" w:rsidRDefault="00785C69">
      <w:pPr>
        <w:spacing w:before="240" w:after="240" w:line="360" w:lineRule="auto"/>
        <w:ind w:left="567" w:right="900"/>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lang w:val="es-MX"/>
        </w:rPr>
        <w:drawing>
          <wp:inline distT="0" distB="0" distL="0" distR="0" wp14:anchorId="08642398" wp14:editId="04B62AA8">
            <wp:extent cx="4038600" cy="5505450"/>
            <wp:effectExtent l="0" t="0" r="0" b="0"/>
            <wp:docPr id="5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4039121" cy="5506160"/>
                    </a:xfrm>
                    <a:prstGeom prst="rect">
                      <a:avLst/>
                    </a:prstGeom>
                    <a:ln/>
                  </pic:spPr>
                </pic:pic>
              </a:graphicData>
            </a:graphic>
          </wp:inline>
        </w:drawing>
      </w:r>
    </w:p>
    <w:p w14:paraId="5390F110" w14:textId="77777777" w:rsidR="006D4227" w:rsidRDefault="00785C69">
      <w:pPr>
        <w:spacing w:before="240" w:after="240" w:line="360"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lastRenderedPageBreak/>
        <w:t>“Convocatorias2018-2022.pdf”</w:t>
      </w:r>
      <w:r>
        <w:rPr>
          <w:rFonts w:ascii="Palatino Linotype" w:eastAsia="Palatino Linotype" w:hAnsi="Palatino Linotype" w:cs="Palatino Linotype"/>
          <w:color w:val="000000"/>
          <w:sz w:val="22"/>
          <w:szCs w:val="22"/>
        </w:rPr>
        <w:t xml:space="preserve">: Archivo electrónico que se compone de veintiséis fojas y se advierten las convocatorias para los procesos de certificación, emitidas del 2018 al 4 de febrero de 2022, se inserta la primera foja para ilustrar: </w:t>
      </w:r>
    </w:p>
    <w:p w14:paraId="7A7CD2F1" w14:textId="77777777" w:rsidR="006D4227" w:rsidRDefault="00785C69">
      <w:pPr>
        <w:spacing w:before="240" w:after="240" w:line="360"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lang w:val="es-MX"/>
        </w:rPr>
        <w:drawing>
          <wp:inline distT="0" distB="0" distL="0" distR="0" wp14:anchorId="5B8F177E" wp14:editId="1B8519E9">
            <wp:extent cx="4235450" cy="5383328"/>
            <wp:effectExtent l="0" t="0" r="0" b="8255"/>
            <wp:docPr id="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4239911" cy="5388997"/>
                    </a:xfrm>
                    <a:prstGeom prst="rect">
                      <a:avLst/>
                    </a:prstGeom>
                    <a:ln/>
                  </pic:spPr>
                </pic:pic>
              </a:graphicData>
            </a:graphic>
          </wp:inline>
        </w:drawing>
      </w:r>
    </w:p>
    <w:p w14:paraId="21B5697B" w14:textId="77777777" w:rsidR="006D4227" w:rsidRDefault="00785C69">
      <w:pPr>
        <w:spacing w:before="240" w:after="240" w:line="360" w:lineRule="auto"/>
        <w:ind w:left="567" w:right="900"/>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lastRenderedPageBreak/>
        <w:t>“CuadroClasificacionProceso1057-RespuestaSolicitud00149.pdf”</w:t>
      </w:r>
      <w:r>
        <w:rPr>
          <w:rFonts w:ascii="Palatino Linotype" w:eastAsia="Palatino Linotype" w:hAnsi="Palatino Linotype" w:cs="Palatino Linotype"/>
          <w:color w:val="000000"/>
          <w:sz w:val="22"/>
          <w:szCs w:val="22"/>
        </w:rPr>
        <w:t>: Cuadro de Clasificación del proceso de certificación en el estándar de competencias EC 1057 “Garantizar el derecho de acceso a la información pública”.</w:t>
      </w:r>
      <w:r>
        <w:rPr>
          <w:rFonts w:ascii="Palatino Linotype" w:eastAsia="Palatino Linotype" w:hAnsi="Palatino Linotype" w:cs="Palatino Linotype"/>
          <w:noProof/>
          <w:color w:val="000000"/>
          <w:sz w:val="22"/>
          <w:szCs w:val="22"/>
          <w:lang w:val="es-MX"/>
        </w:rPr>
        <w:drawing>
          <wp:inline distT="0" distB="0" distL="0" distR="0" wp14:anchorId="5C3FD104" wp14:editId="17426A56">
            <wp:extent cx="4174970" cy="4892773"/>
            <wp:effectExtent l="0" t="0" r="0" b="0"/>
            <wp:docPr id="5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4174970" cy="4892773"/>
                    </a:xfrm>
                    <a:prstGeom prst="rect">
                      <a:avLst/>
                    </a:prstGeom>
                    <a:ln/>
                  </pic:spPr>
                </pic:pic>
              </a:graphicData>
            </a:graphic>
          </wp:inline>
        </w:drawing>
      </w:r>
    </w:p>
    <w:p w14:paraId="479C45F6" w14:textId="77777777" w:rsidR="006D4227" w:rsidRDefault="00785C69">
      <w:pPr>
        <w:spacing w:before="240" w:after="240" w:line="360"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 xml:space="preserve">“CuadroClasificacionRegistro1171-RespuestaSolicitud00149.pdf”: </w:t>
      </w:r>
      <w:r>
        <w:rPr>
          <w:rFonts w:ascii="Palatino Linotype" w:eastAsia="Palatino Linotype" w:hAnsi="Palatino Linotype" w:cs="Palatino Linotype"/>
          <w:color w:val="000000"/>
          <w:sz w:val="22"/>
          <w:szCs w:val="22"/>
        </w:rPr>
        <w:t xml:space="preserve">Cuadro de Clasificación del proceso de certificación en el estándar de </w:t>
      </w:r>
      <w:r>
        <w:rPr>
          <w:rFonts w:ascii="Palatino Linotype" w:eastAsia="Palatino Linotype" w:hAnsi="Palatino Linotype" w:cs="Palatino Linotype"/>
          <w:color w:val="000000"/>
          <w:sz w:val="22"/>
          <w:szCs w:val="22"/>
        </w:rPr>
        <w:lastRenderedPageBreak/>
        <w:t>competencias EC 1171 “Garantizar el derecho a la protección de datos personales”.</w:t>
      </w:r>
    </w:p>
    <w:p w14:paraId="5134C3A3" w14:textId="77777777" w:rsidR="006D4227" w:rsidRDefault="00785C69">
      <w:pPr>
        <w:spacing w:before="240" w:after="240" w:line="360" w:lineRule="auto"/>
        <w:ind w:left="567" w:right="900"/>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noProof/>
          <w:color w:val="000000"/>
          <w:sz w:val="22"/>
          <w:szCs w:val="22"/>
          <w:lang w:val="es-MX"/>
        </w:rPr>
        <w:drawing>
          <wp:inline distT="0" distB="0" distL="0" distR="0" wp14:anchorId="69F61D96" wp14:editId="21D9F41D">
            <wp:extent cx="4121547" cy="4842044"/>
            <wp:effectExtent l="0" t="0" r="0" b="0"/>
            <wp:docPr id="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4121547" cy="4842044"/>
                    </a:xfrm>
                    <a:prstGeom prst="rect">
                      <a:avLst/>
                    </a:prstGeom>
                    <a:ln/>
                  </pic:spPr>
                </pic:pic>
              </a:graphicData>
            </a:graphic>
          </wp:inline>
        </w:drawing>
      </w:r>
    </w:p>
    <w:p w14:paraId="704212D0" w14:textId="77777777" w:rsidR="006D4227" w:rsidRDefault="00785C69">
      <w:pPr>
        <w:spacing w:before="240" w:after="240" w:line="360"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 xml:space="preserve">“EstandarDeCompetencia1057.pdf”: </w:t>
      </w:r>
      <w:r>
        <w:rPr>
          <w:rFonts w:ascii="Palatino Linotype" w:eastAsia="Palatino Linotype" w:hAnsi="Palatino Linotype" w:cs="Palatino Linotype"/>
          <w:color w:val="000000"/>
          <w:sz w:val="22"/>
          <w:szCs w:val="22"/>
        </w:rPr>
        <w:t>Archivo electrónico de diez fojas, en el que se aprecia el estándar de competencia EC 1057 “Garantizar el derecho de acceso a la información pública”.</w:t>
      </w:r>
    </w:p>
    <w:p w14:paraId="31D8A428" w14:textId="77777777" w:rsidR="006D4227" w:rsidRDefault="00785C69">
      <w:pPr>
        <w:spacing w:before="240" w:after="240" w:line="360"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lang w:val="es-MX"/>
        </w:rPr>
        <w:lastRenderedPageBreak/>
        <w:drawing>
          <wp:inline distT="0" distB="0" distL="0" distR="0" wp14:anchorId="4176B03C" wp14:editId="0153D461">
            <wp:extent cx="4271431" cy="5899442"/>
            <wp:effectExtent l="0" t="0" r="0" b="0"/>
            <wp:docPr id="5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4271431" cy="5899442"/>
                    </a:xfrm>
                    <a:prstGeom prst="rect">
                      <a:avLst/>
                    </a:prstGeom>
                    <a:ln/>
                  </pic:spPr>
                </pic:pic>
              </a:graphicData>
            </a:graphic>
          </wp:inline>
        </w:drawing>
      </w:r>
    </w:p>
    <w:p w14:paraId="5F1E7044" w14:textId="77777777" w:rsidR="006D4227" w:rsidRDefault="00785C69">
      <w:pPr>
        <w:spacing w:before="240" w:after="240" w:line="360" w:lineRule="auto"/>
        <w:ind w:left="567" w:right="900"/>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i/>
          <w:color w:val="000000"/>
          <w:sz w:val="22"/>
          <w:szCs w:val="22"/>
        </w:rPr>
        <w:lastRenderedPageBreak/>
        <w:t xml:space="preserve">“EstandarDeCompetencia1171.pdf”: </w:t>
      </w:r>
      <w:r>
        <w:rPr>
          <w:rFonts w:ascii="Palatino Linotype" w:eastAsia="Palatino Linotype" w:hAnsi="Palatino Linotype" w:cs="Palatino Linotype"/>
          <w:color w:val="000000"/>
          <w:sz w:val="22"/>
          <w:szCs w:val="22"/>
        </w:rPr>
        <w:t>Archivo electrónico de diez fojas, en el que se aprecia el estándar de competencia EC 1171 “Ga</w:t>
      </w:r>
      <w:r>
        <w:rPr>
          <w:rFonts w:ascii="Palatino Linotype" w:eastAsia="Palatino Linotype" w:hAnsi="Palatino Linotype" w:cs="Palatino Linotype"/>
          <w:b/>
          <w:color w:val="000000"/>
          <w:sz w:val="22"/>
          <w:szCs w:val="22"/>
        </w:rPr>
        <w:t>rantizar el derecho a la protección de datos personales”.</w:t>
      </w:r>
    </w:p>
    <w:p w14:paraId="2DC5C376" w14:textId="77777777" w:rsidR="006D4227" w:rsidRDefault="00785C69">
      <w:pPr>
        <w:spacing w:before="240" w:after="240" w:line="360" w:lineRule="auto"/>
        <w:ind w:left="567" w:right="900"/>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noProof/>
          <w:color w:val="000000"/>
          <w:sz w:val="22"/>
          <w:szCs w:val="22"/>
          <w:lang w:val="es-MX"/>
        </w:rPr>
        <w:drawing>
          <wp:inline distT="0" distB="0" distL="0" distR="0" wp14:anchorId="080733E8" wp14:editId="175EF445">
            <wp:extent cx="3996392" cy="5545554"/>
            <wp:effectExtent l="0" t="0" r="0" b="0"/>
            <wp:docPr id="5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3996392" cy="5545554"/>
                    </a:xfrm>
                    <a:prstGeom prst="rect">
                      <a:avLst/>
                    </a:prstGeom>
                    <a:ln/>
                  </pic:spPr>
                </pic:pic>
              </a:graphicData>
            </a:graphic>
          </wp:inline>
        </w:drawing>
      </w:r>
    </w:p>
    <w:p w14:paraId="16E848C8" w14:textId="77777777" w:rsidR="006D4227" w:rsidRDefault="00785C69">
      <w:pPr>
        <w:spacing w:before="240" w:after="240" w:line="360" w:lineRule="auto"/>
        <w:ind w:left="567" w:right="900"/>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sz w:val="22"/>
          <w:szCs w:val="22"/>
        </w:rPr>
        <w:lastRenderedPageBreak/>
        <w:t xml:space="preserve">“RES-03-INFOEM-EXT-COMT-03-2022.pdf”: </w:t>
      </w:r>
      <w:r>
        <w:rPr>
          <w:rFonts w:ascii="Palatino Linotype" w:eastAsia="Palatino Linotype" w:hAnsi="Palatino Linotype" w:cs="Palatino Linotype"/>
          <w:color w:val="000000"/>
        </w:rPr>
        <w:t xml:space="preserve">Consiste en el Acta de la Tercera Sesión Extraordinaria del Comité de Transparencia, celebrada el veintitrés de febrero de dos mil veintidós, mediante la cual se confirma la propuesta de clasificación como confidencial. </w:t>
      </w:r>
    </w:p>
    <w:p w14:paraId="683CDBFF" w14:textId="77777777" w:rsidR="006D4227" w:rsidRDefault="00785C69">
      <w:pPr>
        <w:spacing w:before="240" w:after="240" w:line="360" w:lineRule="auto"/>
        <w:ind w:left="567" w:right="900"/>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drawing>
          <wp:inline distT="0" distB="0" distL="0" distR="0" wp14:anchorId="30CDC7C2" wp14:editId="617520A6">
            <wp:extent cx="3990609" cy="5116532"/>
            <wp:effectExtent l="0" t="0" r="0" b="0"/>
            <wp:docPr id="5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3990609" cy="5116532"/>
                    </a:xfrm>
                    <a:prstGeom prst="rect">
                      <a:avLst/>
                    </a:prstGeom>
                    <a:ln/>
                  </pic:spPr>
                </pic:pic>
              </a:graphicData>
            </a:graphic>
          </wp:inline>
        </w:drawing>
      </w:r>
    </w:p>
    <w:p w14:paraId="01D0C073" w14:textId="77777777" w:rsidR="006D4227" w:rsidRDefault="00785C69">
      <w:pPr>
        <w:spacing w:before="240" w:after="240" w:line="360"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lastRenderedPageBreak/>
        <w:t xml:space="preserve">“RespuestaSolicitud00149DGCC.pdf”: </w:t>
      </w:r>
      <w:r>
        <w:rPr>
          <w:rFonts w:ascii="Palatino Linotype" w:eastAsia="Palatino Linotype" w:hAnsi="Palatino Linotype" w:cs="Palatino Linotype"/>
          <w:color w:val="000000"/>
          <w:sz w:val="22"/>
          <w:szCs w:val="22"/>
        </w:rPr>
        <w:t>Oficio INFOEM/</w:t>
      </w:r>
      <w:proofErr w:type="spellStart"/>
      <w:r>
        <w:rPr>
          <w:rFonts w:ascii="Palatino Linotype" w:eastAsia="Palatino Linotype" w:hAnsi="Palatino Linotype" w:cs="Palatino Linotype"/>
          <w:color w:val="000000"/>
          <w:sz w:val="22"/>
          <w:szCs w:val="22"/>
        </w:rPr>
        <w:t>DGCyC</w:t>
      </w:r>
      <w:proofErr w:type="spellEnd"/>
      <w:r>
        <w:rPr>
          <w:rFonts w:ascii="Palatino Linotype" w:eastAsia="Palatino Linotype" w:hAnsi="Palatino Linotype" w:cs="Palatino Linotype"/>
          <w:color w:val="000000"/>
          <w:sz w:val="22"/>
          <w:szCs w:val="22"/>
        </w:rPr>
        <w:t xml:space="preserve">/023/2022, signado por la directora General de Capacitación y Certificación, mediante el cual otorga respuesta en los siguientes términos: </w:t>
      </w:r>
    </w:p>
    <w:p w14:paraId="4073A417" w14:textId="77777777" w:rsidR="006D4227" w:rsidRDefault="00785C69">
      <w:pPr>
        <w:spacing w:before="240" w:after="240" w:line="360"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lang w:val="es-MX"/>
        </w:rPr>
        <w:drawing>
          <wp:inline distT="0" distB="0" distL="0" distR="0" wp14:anchorId="65726737" wp14:editId="70EEA881">
            <wp:extent cx="4286250" cy="5652558"/>
            <wp:effectExtent l="0" t="0" r="0" b="5715"/>
            <wp:docPr id="6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4290242" cy="5657822"/>
                    </a:xfrm>
                    <a:prstGeom prst="rect">
                      <a:avLst/>
                    </a:prstGeom>
                    <a:ln/>
                  </pic:spPr>
                </pic:pic>
              </a:graphicData>
            </a:graphic>
          </wp:inline>
        </w:drawing>
      </w:r>
    </w:p>
    <w:p w14:paraId="2F6AD58F" w14:textId="77777777" w:rsidR="006D4227" w:rsidRDefault="00785C69">
      <w:pPr>
        <w:spacing w:before="240" w:after="240" w:line="360"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lastRenderedPageBreak/>
        <w:t xml:space="preserve">“RespuestaSolicitud00149UT.pdf”: </w:t>
      </w:r>
      <w:r>
        <w:rPr>
          <w:rFonts w:ascii="Palatino Linotype" w:eastAsia="Palatino Linotype" w:hAnsi="Palatino Linotype" w:cs="Palatino Linotype"/>
          <w:color w:val="000000"/>
          <w:sz w:val="22"/>
          <w:szCs w:val="22"/>
        </w:rPr>
        <w:t>Oficio INFOEM/UT/0155/2022, signado por el Titular de la Unidad de Transparencia, mediante el cual otorga respuesta al solicitante:</w:t>
      </w:r>
    </w:p>
    <w:p w14:paraId="308F9934" w14:textId="77777777" w:rsidR="006D4227" w:rsidRDefault="00785C69">
      <w:pPr>
        <w:spacing w:before="240" w:after="240" w:line="360"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lang w:val="es-MX"/>
        </w:rPr>
        <w:drawing>
          <wp:inline distT="0" distB="0" distL="0" distR="0" wp14:anchorId="0EC362EA" wp14:editId="78B65CD5">
            <wp:extent cx="4498640" cy="5521059"/>
            <wp:effectExtent l="0" t="0" r="0" b="0"/>
            <wp:docPr id="6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4498640" cy="5521059"/>
                    </a:xfrm>
                    <a:prstGeom prst="rect">
                      <a:avLst/>
                    </a:prstGeom>
                    <a:ln/>
                  </pic:spPr>
                </pic:pic>
              </a:graphicData>
            </a:graphic>
          </wp:inline>
        </w:drawing>
      </w:r>
    </w:p>
    <w:p w14:paraId="0FF539F5" w14:textId="77777777" w:rsidR="006D4227" w:rsidRDefault="00785C69">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3. Interposición del recurso de revisión. </w:t>
      </w:r>
      <w:r>
        <w:rPr>
          <w:rFonts w:ascii="Palatino Linotype" w:eastAsia="Palatino Linotype" w:hAnsi="Palatino Linotype" w:cs="Palatino Linotype"/>
        </w:rPr>
        <w:t xml:space="preserve">Inconforme con la respuesta,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el recurso de revisión materia del presente estudio el día </w:t>
      </w:r>
      <w:r>
        <w:rPr>
          <w:rFonts w:ascii="Palatino Linotype" w:eastAsia="Palatino Linotype" w:hAnsi="Palatino Linotype" w:cs="Palatino Linotype"/>
          <w:b/>
        </w:rPr>
        <w:t>siete de marzo de dos mil veintidós</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el que expresó lo siguiente: </w:t>
      </w:r>
    </w:p>
    <w:p w14:paraId="4DBD2C38" w14:textId="77777777" w:rsidR="006D4227" w:rsidRDefault="00785C69">
      <w:pPr>
        <w:ind w:left="567"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a) Acto impugnado: </w:t>
      </w:r>
    </w:p>
    <w:p w14:paraId="6D562D5E" w14:textId="77777777" w:rsidR="006D4227" w:rsidRDefault="006D4227">
      <w:pPr>
        <w:ind w:right="49"/>
        <w:jc w:val="both"/>
        <w:rPr>
          <w:rFonts w:ascii="Palatino Linotype" w:eastAsia="Palatino Linotype" w:hAnsi="Palatino Linotype" w:cs="Palatino Linotype"/>
          <w:i/>
          <w:sz w:val="22"/>
          <w:szCs w:val="22"/>
        </w:rPr>
      </w:pPr>
    </w:p>
    <w:p w14:paraId="1E1764DD" w14:textId="77777777" w:rsidR="006D4227" w:rsidRDefault="00785C69">
      <w:pPr>
        <w:ind w:left="567" w:right="4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respuesta” (Sic).</w:t>
      </w:r>
    </w:p>
    <w:p w14:paraId="0285338D" w14:textId="77777777" w:rsidR="006D4227" w:rsidRDefault="00785C69">
      <w:pPr>
        <w:spacing w:before="240" w:after="240" w:line="360" w:lineRule="auto"/>
        <w:ind w:left="567" w:right="49"/>
        <w:jc w:val="both"/>
        <w:rPr>
          <w:rFonts w:ascii="Palatino Linotype" w:eastAsia="Palatino Linotype" w:hAnsi="Palatino Linotype" w:cs="Palatino Linotype"/>
        </w:rPr>
      </w:pPr>
      <w:r>
        <w:rPr>
          <w:rFonts w:ascii="Palatino Linotype" w:eastAsia="Palatino Linotype" w:hAnsi="Palatino Linotype" w:cs="Palatino Linotype"/>
          <w:b/>
        </w:rPr>
        <w:t>b) Razones o motivos de inconformidad</w:t>
      </w:r>
      <w:r>
        <w:rPr>
          <w:rFonts w:ascii="Palatino Linotype" w:eastAsia="Palatino Linotype" w:hAnsi="Palatino Linotype" w:cs="Palatino Linotype"/>
        </w:rPr>
        <w:t>:</w:t>
      </w:r>
    </w:p>
    <w:p w14:paraId="4B1763B7" w14:textId="77777777" w:rsidR="006D4227" w:rsidRDefault="00785C69">
      <w:pPr>
        <w:spacing w:before="240" w:after="240" w:line="276" w:lineRule="auto"/>
        <w:ind w:left="567" w:right="851"/>
        <w:jc w:val="both"/>
        <w:rPr>
          <w:rFonts w:ascii="Palatino Linotype" w:eastAsia="Palatino Linotype" w:hAnsi="Palatino Linotype" w:cs="Palatino Linotype"/>
        </w:rPr>
      </w:pPr>
      <w:r>
        <w:rPr>
          <w:rFonts w:ascii="Palatino Linotype" w:eastAsia="Palatino Linotype" w:hAnsi="Palatino Linotype" w:cs="Palatino Linotype"/>
        </w:rPr>
        <w:t>“</w:t>
      </w:r>
      <w:r>
        <w:rPr>
          <w:rFonts w:ascii="Palatino Linotype" w:eastAsia="Palatino Linotype" w:hAnsi="Palatino Linotype" w:cs="Palatino Linotype"/>
          <w:b/>
          <w:i/>
          <w:sz w:val="22"/>
          <w:szCs w:val="22"/>
          <w:u w:val="single"/>
        </w:rPr>
        <w:t>No me entregaron la información completa, faltó incluir los documentos de la certificación en materia de protección de datos personales</w:t>
      </w:r>
      <w:r>
        <w:rPr>
          <w:rFonts w:ascii="Palatino Linotype" w:eastAsia="Palatino Linotype" w:hAnsi="Palatino Linotype" w:cs="Palatino Linotype"/>
          <w:i/>
          <w:sz w:val="22"/>
          <w:szCs w:val="22"/>
        </w:rPr>
        <w:t>.” (Sic) (Énfasis añadido)</w:t>
      </w:r>
    </w:p>
    <w:p w14:paraId="5B5945DD" w14:textId="77777777" w:rsidR="006D4227" w:rsidRDefault="006D4227">
      <w:pPr>
        <w:ind w:right="49"/>
        <w:jc w:val="both"/>
        <w:rPr>
          <w:rFonts w:ascii="Palatino Linotype" w:eastAsia="Palatino Linotype" w:hAnsi="Palatino Linotype" w:cs="Palatino Linotype"/>
          <w:i/>
          <w:sz w:val="22"/>
          <w:szCs w:val="22"/>
        </w:rPr>
      </w:pPr>
    </w:p>
    <w:p w14:paraId="0ADA0CB9" w14:textId="77777777" w:rsidR="006D4227" w:rsidRDefault="00785C69">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para su análisis, estudio, elaboración del proyecto y presentación ante el Pleno de este Instituto.</w:t>
      </w:r>
    </w:p>
    <w:p w14:paraId="6A26DC16" w14:textId="77777777" w:rsidR="006D4227" w:rsidRDefault="006D4227">
      <w:pPr>
        <w:widowControl w:val="0"/>
        <w:spacing w:line="360" w:lineRule="auto"/>
        <w:ind w:right="49"/>
        <w:jc w:val="both"/>
        <w:rPr>
          <w:rFonts w:ascii="Palatino Linotype" w:eastAsia="Palatino Linotype" w:hAnsi="Palatino Linotype" w:cs="Palatino Linotype"/>
        </w:rPr>
      </w:pPr>
    </w:p>
    <w:p w14:paraId="6FD631C0" w14:textId="77777777" w:rsidR="006D4227" w:rsidRDefault="00785C69">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w:t>
      </w:r>
      <w:r>
        <w:rPr>
          <w:rFonts w:ascii="Palatino Linotype" w:eastAsia="Palatino Linotype" w:hAnsi="Palatino Linotype" w:cs="Palatino Linotype"/>
        </w:rPr>
        <w:t xml:space="preserve"> El día</w:t>
      </w:r>
      <w:r>
        <w:rPr>
          <w:rFonts w:ascii="Palatino Linotype" w:eastAsia="Palatino Linotype" w:hAnsi="Palatino Linotype" w:cs="Palatino Linotype"/>
          <w:b/>
        </w:rPr>
        <w:t xml:space="preserve"> diez de marzo de dos mil veintidós </w:t>
      </w:r>
      <w:r>
        <w:rPr>
          <w:rFonts w:ascii="Palatino Linotype" w:eastAsia="Palatino Linotype" w:hAnsi="Palatino Linotype" w:cs="Palatino Linotype"/>
        </w:rPr>
        <w:t xml:space="preserve">se admitió a trámite el presente recurso de revisión a efecto de integrar el expediente respectivo; fue puesto a disposición de las partes por siete días hábiles para que </w:t>
      </w:r>
      <w:r>
        <w:rPr>
          <w:rFonts w:ascii="Palatino Linotype" w:eastAsia="Palatino Linotype" w:hAnsi="Palatino Linotype" w:cs="Palatino Linotype"/>
        </w:rPr>
        <w:lastRenderedPageBreak/>
        <w:t>ofrecieran pruebas y manifestaran lo que a su derecho convenga.</w:t>
      </w:r>
    </w:p>
    <w:p w14:paraId="073F72F6" w14:textId="77777777" w:rsidR="006D4227" w:rsidRDefault="00785C69">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De constancias del expediente electrónico del SAIMEX, se observa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el </w:t>
      </w:r>
      <w:r>
        <w:rPr>
          <w:rFonts w:ascii="Palatino Linotype" w:eastAsia="Palatino Linotype" w:hAnsi="Palatino Linotype" w:cs="Palatino Linotype"/>
          <w:b/>
        </w:rPr>
        <w:t>veintidós de marzo del dos mil veintidós</w:t>
      </w:r>
      <w:r>
        <w:rPr>
          <w:rFonts w:ascii="Palatino Linotype" w:eastAsia="Palatino Linotype" w:hAnsi="Palatino Linotype" w:cs="Palatino Linotype"/>
        </w:rPr>
        <w:t xml:space="preserve">, mediante los archivos electrónicos: </w:t>
      </w:r>
      <w:r>
        <w:rPr>
          <w:rFonts w:ascii="Palatino Linotype" w:eastAsia="Palatino Linotype" w:hAnsi="Palatino Linotype" w:cs="Palatino Linotype"/>
          <w:b/>
          <w:i/>
        </w:rPr>
        <w:t>“RequerimientoInformeRR03484DGCyC.pdf”, “InformeJustificadoRR03484UT.pdf” y “RequerimientoInformeRR03484UTDGCC.pdf”</w:t>
      </w:r>
      <w:r>
        <w:rPr>
          <w:rFonts w:ascii="Palatino Linotype" w:eastAsia="Palatino Linotype" w:hAnsi="Palatino Linotype" w:cs="Palatino Linotype"/>
        </w:rPr>
        <w:t xml:space="preserve">, los cuales medularmente ratifican la respuesta, asimismo por cuanto hace al particular, se tiene que no emitió alegatos o pronunciamiento alguno, por lo que se tiene por </w:t>
      </w:r>
      <w:proofErr w:type="spellStart"/>
      <w:r>
        <w:rPr>
          <w:rFonts w:ascii="Palatino Linotype" w:eastAsia="Palatino Linotype" w:hAnsi="Palatino Linotype" w:cs="Palatino Linotype"/>
        </w:rPr>
        <w:t>precluido</w:t>
      </w:r>
      <w:proofErr w:type="spellEnd"/>
      <w:r>
        <w:rPr>
          <w:rFonts w:ascii="Palatino Linotype" w:eastAsia="Palatino Linotype" w:hAnsi="Palatino Linotype" w:cs="Palatino Linotype"/>
        </w:rPr>
        <w:t xml:space="preserve"> su derecho para tal efecto.</w:t>
      </w:r>
    </w:p>
    <w:p w14:paraId="282A0389" w14:textId="77777777" w:rsidR="006D4227" w:rsidRDefault="00785C69">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de señalar que esta documentación se puso a la vista del particular mediante acuerdo emitido por la Comisionada Ponente en fecha </w:t>
      </w:r>
      <w:r>
        <w:rPr>
          <w:rFonts w:ascii="Palatino Linotype" w:eastAsia="Palatino Linotype" w:hAnsi="Palatino Linotype" w:cs="Palatino Linotype"/>
          <w:b/>
        </w:rPr>
        <w:t>siete de junio de dos mil veintidós</w:t>
      </w:r>
      <w:r>
        <w:rPr>
          <w:rFonts w:ascii="Palatino Linotype" w:eastAsia="Palatino Linotype" w:hAnsi="Palatino Linotype" w:cs="Palatino Linotype"/>
        </w:rPr>
        <w:t xml:space="preserve">, asimismo por cuanto hace a la parte Recurrente, se tiene que fue omiso en presentar manifestaciones, pruebas y/o alegatos en la etapa procedimental previamente reconocida en nuestra Ley de Transparencia, por lo cual se tiene por </w:t>
      </w:r>
      <w:proofErr w:type="spellStart"/>
      <w:r>
        <w:rPr>
          <w:rFonts w:ascii="Palatino Linotype" w:eastAsia="Palatino Linotype" w:hAnsi="Palatino Linotype" w:cs="Palatino Linotype"/>
        </w:rPr>
        <w:t>precluido</w:t>
      </w:r>
      <w:proofErr w:type="spellEnd"/>
      <w:r>
        <w:rPr>
          <w:rFonts w:ascii="Palatino Linotype" w:eastAsia="Palatino Linotype" w:hAnsi="Palatino Linotype" w:cs="Palatino Linotype"/>
        </w:rPr>
        <w:t xml:space="preserve"> su derecho.</w:t>
      </w:r>
    </w:p>
    <w:p w14:paraId="6ED67323" w14:textId="77777777" w:rsidR="006D4227" w:rsidRDefault="00785C69">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07144F91" wp14:editId="313D2EA4">
            <wp:extent cx="5581650" cy="1552575"/>
            <wp:effectExtent l="0" t="0" r="0" b="0"/>
            <wp:docPr id="6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a:stretch>
                      <a:fillRect/>
                    </a:stretch>
                  </pic:blipFill>
                  <pic:spPr>
                    <a:xfrm>
                      <a:off x="0" y="0"/>
                      <a:ext cx="5581650" cy="1552575"/>
                    </a:xfrm>
                    <a:prstGeom prst="rect">
                      <a:avLst/>
                    </a:prstGeom>
                    <a:ln/>
                  </pic:spPr>
                </pic:pic>
              </a:graphicData>
            </a:graphic>
          </wp:inline>
        </w:drawing>
      </w:r>
    </w:p>
    <w:p w14:paraId="340BF3C9" w14:textId="77777777" w:rsidR="006D4227" w:rsidRDefault="006D4227">
      <w:pPr>
        <w:widowControl w:val="0"/>
        <w:spacing w:line="360" w:lineRule="auto"/>
        <w:ind w:right="49"/>
        <w:jc w:val="both"/>
        <w:rPr>
          <w:rFonts w:ascii="Palatino Linotype" w:eastAsia="Palatino Linotype" w:hAnsi="Palatino Linotype" w:cs="Palatino Linotype"/>
        </w:rPr>
      </w:pPr>
    </w:p>
    <w:p w14:paraId="4994396A" w14:textId="77777777" w:rsidR="006D4227" w:rsidRDefault="00785C69">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7. Ampliación del plazo.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siete de junio de dos mil veintidós</w:t>
      </w:r>
      <w:r>
        <w:rPr>
          <w:rFonts w:ascii="Palatino Linotype" w:eastAsia="Palatino Linotype" w:hAnsi="Palatino Linotype" w:cs="Palatino Linotype"/>
        </w:rPr>
        <w:t>, este Instituto notificó a las partes el Acuerdo de Ampliación de Plazo para resolver el medio de impugnación que nos ocupa, en términos de lo dispuesto por el artículo 181, párrafo tercero de la Ley de Transparencia y Acceso a la Información Pública del Estado de México y Municipios; lo anterior, dado el incremento en el número de recursos de revisión promovidos en la anualidad próxima pasada ante este Instituto de Transparencia, Acceso a la Información Pública y Protección de Datos Personales del Estado de México y Municipios y con la finalidad de realizar un análisis exhaustivo de las constancias que obran en el expediente electrónico, adoptando las medidas pertinentes, a fin de aminorar los efectos que conlleva.</w:t>
      </w:r>
    </w:p>
    <w:p w14:paraId="566B77B7" w14:textId="77777777" w:rsidR="006D4227" w:rsidRDefault="00785C6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plazo otorgado para que las partes manifestaran lo que a su derecho conviniera, y siguiendo los trámites correspondientes con fundamento en el artículo 185 fracción VI de la Ley de Transparencia y Acceso a la Información Pública del Estado de México y Municipios, el día </w:t>
      </w:r>
      <w:r w:rsidR="00201665">
        <w:rPr>
          <w:rFonts w:ascii="Palatino Linotype" w:eastAsia="Palatino Linotype" w:hAnsi="Palatino Linotype" w:cs="Palatino Linotype"/>
          <w:b/>
        </w:rPr>
        <w:t>catorce</w:t>
      </w:r>
      <w:r>
        <w:rPr>
          <w:rFonts w:ascii="Palatino Linotype" w:eastAsia="Palatino Linotype" w:hAnsi="Palatino Linotype" w:cs="Palatino Linotype"/>
          <w:b/>
          <w:color w:val="000000"/>
        </w:rPr>
        <w:t xml:space="preserve"> de junio </w:t>
      </w:r>
      <w:r>
        <w:rPr>
          <w:rFonts w:ascii="Palatino Linotype" w:eastAsia="Palatino Linotype" w:hAnsi="Palatino Linotype" w:cs="Palatino Linotype"/>
          <w:b/>
        </w:rPr>
        <w:t>de dos mil veintidós</w:t>
      </w:r>
      <w:r>
        <w:rPr>
          <w:rFonts w:ascii="Palatino Linotype" w:eastAsia="Palatino Linotype" w:hAnsi="Palatino Linotype" w:cs="Palatino Linotype"/>
        </w:rPr>
        <w:t xml:space="preserve">, se procedió a decretar el </w:t>
      </w:r>
      <w:r>
        <w:rPr>
          <w:rFonts w:ascii="Palatino Linotype" w:eastAsia="Palatino Linotype" w:hAnsi="Palatino Linotype" w:cs="Palatino Linotype"/>
        </w:rPr>
        <w:lastRenderedPageBreak/>
        <w:t>cierre de instrucción respectivo y no existiendo diligencia pendiente de desahogo, se ordenó emitir la resolución que conforme a derecho proceda.</w:t>
      </w:r>
    </w:p>
    <w:p w14:paraId="73DC8A02" w14:textId="77777777" w:rsidR="006D4227" w:rsidRDefault="00785C6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6EA76975" w14:textId="77777777" w:rsidR="006D4227" w:rsidRDefault="00785C69">
      <w:pPr>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CONSIDERANDO</w:t>
      </w:r>
    </w:p>
    <w:p w14:paraId="27859BBA" w14:textId="77777777" w:rsidR="006D4227" w:rsidRDefault="00785C69">
      <w:pPr>
        <w:spacing w:before="240" w:after="240"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w:t>
      </w:r>
      <w:r>
        <w:rPr>
          <w:rFonts w:ascii="Palatino Linotype" w:eastAsia="Palatino Linotype" w:hAnsi="Palatino Linotype" w:cs="Palatino Linotype"/>
          <w:b/>
        </w:rPr>
        <w:t>Competencia.</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w:t>
      </w:r>
      <w:r>
        <w:rPr>
          <w:rFonts w:ascii="Palatino Linotype" w:eastAsia="Palatino Linotype" w:hAnsi="Palatino Linotype" w:cs="Palatino Linotype"/>
          <w:b/>
          <w:highlight w:val="white"/>
        </w:rPr>
        <w:t>la parte Recurrente</w:t>
      </w:r>
      <w:r>
        <w:rPr>
          <w:rFonts w:ascii="Palatino Linotype" w:eastAsia="Palatino Linotype" w:hAnsi="Palatino Linotype" w:cs="Palatino Linotype"/>
          <w:highlight w:val="white"/>
        </w:rPr>
        <w:t>, conforme a lo dispuesto en los artículos 6, apartado A de la Constitución Política de los Estados Unidos Mexicanos; 5, párrafos trigésimo, trigésimo primero y trigésimo segundo;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4BB3E98A" w14:textId="77777777" w:rsidR="006D4227" w:rsidRDefault="00785C69">
      <w:pPr>
        <w:spacing w:before="240" w:after="240" w:line="360" w:lineRule="auto"/>
        <w:jc w:val="both"/>
        <w:rPr>
          <w:rFonts w:ascii="Palatino Linotype" w:eastAsia="Palatino Linotype" w:hAnsi="Palatino Linotype" w:cs="Palatino Linotype"/>
          <w:highlight w:val="red"/>
        </w:rPr>
      </w:pPr>
      <w:r>
        <w:rPr>
          <w:rFonts w:ascii="Palatino Linotype" w:eastAsia="Palatino Linotype" w:hAnsi="Palatino Linotype" w:cs="Palatino Linotype"/>
          <w:b/>
        </w:rPr>
        <w:t xml:space="preserve">Segundo. Oportunidad y </w:t>
      </w:r>
      <w:proofErr w:type="spellStart"/>
      <w:r>
        <w:rPr>
          <w:rFonts w:ascii="Palatino Linotype" w:eastAsia="Palatino Linotype" w:hAnsi="Palatino Linotype" w:cs="Palatino Linotype"/>
          <w:b/>
        </w:rPr>
        <w:t>Procedibilidad</w:t>
      </w:r>
      <w:proofErr w:type="spellEnd"/>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 conformidad con los requisitos de Oportunidad y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que debe reunir el recurso de revisión interpuesto, previstos en los artículos 178 y 180 de la Ley de Transparencia y Acceso a la </w:t>
      </w:r>
      <w:r>
        <w:rPr>
          <w:rFonts w:ascii="Palatino Linotype" w:eastAsia="Palatino Linotype" w:hAnsi="Palatino Linotype" w:cs="Palatino Linotype"/>
        </w:rPr>
        <w:lastRenderedPageBreak/>
        <w:t xml:space="preserve">Información Pública del Estado de México y Municipios; 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el solicitante en fecha </w:t>
      </w:r>
      <w:r>
        <w:rPr>
          <w:rFonts w:ascii="Palatino Linotype" w:eastAsia="Palatino Linotype" w:hAnsi="Palatino Linotype" w:cs="Palatino Linotype"/>
          <w:b/>
        </w:rPr>
        <w:t>veintiocho de febrero del año dos mil veintidós</w:t>
      </w:r>
      <w:r>
        <w:rPr>
          <w:rFonts w:ascii="Palatino Linotype" w:eastAsia="Palatino Linotype" w:hAnsi="Palatino Linotype" w:cs="Palatino Linotype"/>
        </w:rPr>
        <w:t xml:space="preserve"> y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presentó su recurso de revisión el </w:t>
      </w:r>
      <w:r>
        <w:rPr>
          <w:rFonts w:ascii="Palatino Linotype" w:eastAsia="Palatino Linotype" w:hAnsi="Palatino Linotype" w:cs="Palatino Linotype"/>
          <w:b/>
        </w:rPr>
        <w:t>siete de marzo de dos mil veintidós</w:t>
      </w:r>
      <w:r>
        <w:rPr>
          <w:rFonts w:ascii="Palatino Linotype" w:eastAsia="Palatino Linotype" w:hAnsi="Palatino Linotype" w:cs="Palatino Linotype"/>
        </w:rPr>
        <w:t>, esto es al cuarto día hábil en el que tuvo conocimiento de la respuesta.</w:t>
      </w:r>
    </w:p>
    <w:p w14:paraId="50132B19" w14:textId="77777777" w:rsidR="006D4227" w:rsidRDefault="00785C69">
      <w:pPr>
        <w:spacing w:before="240" w:after="240"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las cosas, por cuanto hace a la </w:t>
      </w:r>
      <w:proofErr w:type="spellStart"/>
      <w:r>
        <w:rPr>
          <w:rFonts w:ascii="Palatino Linotype" w:eastAsia="Palatino Linotype" w:hAnsi="Palatino Linotype" w:cs="Palatino Linotype"/>
          <w:color w:val="000000"/>
        </w:rPr>
        <w:t>procedibilidad</w:t>
      </w:r>
      <w:proofErr w:type="spellEnd"/>
      <w:r>
        <w:rPr>
          <w:rFonts w:ascii="Palatino Linotype" w:eastAsia="Palatino Linotype" w:hAnsi="Palatino Linotype" w:cs="Palatino Linotype"/>
          <w:color w:val="000000"/>
        </w:rPr>
        <w:t xml:space="preserve">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A69415E" w14:textId="77777777" w:rsidR="006D4227" w:rsidRDefault="00785C6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del recurso, según lo manifestado por</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 xml:space="preserve">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sus motivos de inconformidad, de acuerdo al artículo 179, fracción V del ordenamiento legal citado, que a la letra dice: </w:t>
      </w:r>
    </w:p>
    <w:p w14:paraId="02FD5A1D" w14:textId="77777777" w:rsidR="006D4227" w:rsidRDefault="00785C69">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14:paraId="4C76CF65" w14:textId="77777777" w:rsidR="006D4227" w:rsidRDefault="00785C69">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14:paraId="04FF2CC4" w14:textId="77777777" w:rsidR="006D4227" w:rsidRDefault="00785C69">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V. La entrega de información incompleta;</w:t>
      </w:r>
      <w:r>
        <w:rPr>
          <w:rFonts w:ascii="Palatino Linotype" w:eastAsia="Palatino Linotype" w:hAnsi="Palatino Linotype" w:cs="Palatino Linotype"/>
          <w:i/>
          <w:sz w:val="22"/>
          <w:szCs w:val="22"/>
        </w:rPr>
        <w:t>” </w:t>
      </w:r>
    </w:p>
    <w:p w14:paraId="4C6501DE" w14:textId="77777777" w:rsidR="006D4227" w:rsidRDefault="00785C69">
      <w:pPr>
        <w:spacing w:before="240" w:after="240" w:line="276" w:lineRule="auto"/>
        <w:ind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(Énfasis añadido)</w:t>
      </w:r>
    </w:p>
    <w:p w14:paraId="5A0570FF" w14:textId="77777777" w:rsidR="006D4227" w:rsidRDefault="00785C6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de la parte Recurrente, o en su defecto, en caso de ser procedente, ordenar la entrega de información oportuna.</w:t>
      </w:r>
    </w:p>
    <w:p w14:paraId="1DCCCE31" w14:textId="77777777" w:rsidR="006D4227" w:rsidRDefault="00785C69">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 xml:space="preserve">Antes de entrar al análisis de los pronunciamientos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50EE253" w14:textId="77777777" w:rsidR="006D4227" w:rsidRDefault="00785C69">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xml:space="preserve">, así como de las garantías para su protección, cuyo ejercicio no podrá restringirse ni </w:t>
      </w:r>
      <w:r>
        <w:rPr>
          <w:rFonts w:ascii="Palatino Linotype" w:eastAsia="Palatino Linotype" w:hAnsi="Palatino Linotype" w:cs="Palatino Linotype"/>
          <w:i/>
          <w:sz w:val="22"/>
          <w:szCs w:val="22"/>
        </w:rPr>
        <w:lastRenderedPageBreak/>
        <w:t>suspenderse, salvo en los casos y bajo las condiciones que esta Constitución establece.</w:t>
      </w:r>
    </w:p>
    <w:p w14:paraId="370D70A8" w14:textId="77777777" w:rsidR="006D4227" w:rsidRDefault="00785C69">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19A7A318" w14:textId="77777777" w:rsidR="006D4227" w:rsidRDefault="00785C69">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4F287CD3" w14:textId="77777777" w:rsidR="006D4227" w:rsidRDefault="00785C69">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F4991D4" w14:textId="77777777" w:rsidR="006D4227" w:rsidRDefault="00785C69">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14:paraId="246C506D" w14:textId="77777777" w:rsidR="006D4227" w:rsidRDefault="00785C69">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A563A57" w14:textId="77777777" w:rsidR="006D4227" w:rsidRDefault="00785C69">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14:paraId="09090628" w14:textId="77777777" w:rsidR="006D4227" w:rsidRDefault="00785C69">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w:t>
      </w:r>
      <w:r>
        <w:rPr>
          <w:rFonts w:ascii="Palatino Linotype" w:eastAsia="Palatino Linotype" w:hAnsi="Palatino Linotype" w:cs="Palatino Linotype"/>
          <w:i/>
          <w:sz w:val="22"/>
          <w:szCs w:val="22"/>
        </w:rPr>
        <w:lastRenderedPageBreak/>
        <w:t>publicidad. Los sujetos obligados deberán documentar todo acto que derive del ejercicio de sus facultades, competencias o funciones, la ley determinará los supuestos específicos bajo los cuales procederá la declaración de inexistencia de la información.</w:t>
      </w:r>
    </w:p>
    <w:p w14:paraId="3A3DEB3F" w14:textId="77777777" w:rsidR="006D4227" w:rsidRDefault="00785C69">
      <w:pPr>
        <w:spacing w:before="240" w:after="240" w:line="276" w:lineRule="auto"/>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7476AAFF" w14:textId="77777777" w:rsidR="006D4227" w:rsidRDefault="00785C69">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14:paraId="078AF40C" w14:textId="77777777" w:rsidR="006D4227" w:rsidRDefault="00785C69">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78C12A20" w14:textId="77777777" w:rsidR="006D4227" w:rsidRDefault="00785C69">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57A0F8D" w14:textId="77777777" w:rsidR="006D4227" w:rsidRDefault="00785C69">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56B36CDD" w14:textId="77777777" w:rsidR="006D4227" w:rsidRDefault="00785C69">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3C642F8E" w14:textId="77777777" w:rsidR="006D4227" w:rsidRDefault="00785C6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w:t>
      </w:r>
      <w:r>
        <w:rPr>
          <w:rFonts w:ascii="Palatino Linotype" w:eastAsia="Palatino Linotype" w:hAnsi="Palatino Linotype" w:cs="Palatino Linotype"/>
        </w:rPr>
        <w:lastRenderedPageBreak/>
        <w:t>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A81292F" w14:textId="77777777" w:rsidR="006D4227" w:rsidRDefault="00785C69">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815DEAA" w14:textId="77777777" w:rsidR="006D4227" w:rsidRDefault="00785C69">
      <w:pPr>
        <w:spacing w:before="240" w:after="240" w:line="276" w:lineRule="auto"/>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A0C23DA" w14:textId="77777777" w:rsidR="006D4227" w:rsidRDefault="00785C69">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3EC86B64" w14:textId="77777777" w:rsidR="006D4227" w:rsidRDefault="00785C6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29CCA549" w14:textId="77777777" w:rsidR="006D4227" w:rsidRDefault="00785C69">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AED9FB6" w14:textId="77777777" w:rsidR="006D4227" w:rsidRDefault="00785C69">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7914D9D0" w14:textId="77777777" w:rsidR="006D4227" w:rsidRDefault="00785C69">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xml:space="preserve">, para satisfacer el derecho de acceso a la información pública, </w:t>
      </w:r>
      <w:r>
        <w:rPr>
          <w:rFonts w:ascii="Palatino Linotype" w:eastAsia="Palatino Linotype" w:hAnsi="Palatino Linotype" w:cs="Palatino Linotype"/>
        </w:rPr>
        <w:t>como así lo establece el criterio 03/17 emitido por el Instituto Nacional de Transparencia, Acceso a la Información Pública y Protección de Datos Personales, el cual señala lo siguiente:</w:t>
      </w:r>
    </w:p>
    <w:p w14:paraId="2FF4F274" w14:textId="77777777" w:rsidR="006D4227" w:rsidRDefault="00785C69">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03/17</w:t>
      </w:r>
    </w:p>
    <w:p w14:paraId="63062993" w14:textId="77777777" w:rsidR="006D4227" w:rsidRDefault="00785C69">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“NO EXISTE OBLIGACIÓN DE ELABORAR DOCUMENTOS AD HOC PARA ATENDER LAS SOLICITUDES DE ACCESO A LA INFORMACIÓN.</w:t>
      </w:r>
    </w:p>
    <w:p w14:paraId="7E75D9A5" w14:textId="77777777" w:rsidR="006D4227" w:rsidRDefault="00785C69">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0A2B88B4" w14:textId="77777777" w:rsidR="006D4227" w:rsidRDefault="00785C69">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Por otra parte, y aunado a lo antepuesto, el último párrafo del artículo 24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3281B4F" w14:textId="77777777" w:rsidR="006D4227" w:rsidRDefault="00785C69">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w:t>
      </w:r>
      <w:r>
        <w:rPr>
          <w:rFonts w:ascii="Palatino Linotype" w:eastAsia="Palatino Linotype" w:hAnsi="Palatino Linotype" w:cs="Palatino Linotype"/>
        </w:rPr>
        <w:lastRenderedPageBreak/>
        <w:t>como así se establece en la Ley de Transparencia y Acceso a la Información Pública del Estado de México y Municipios.</w:t>
      </w:r>
    </w:p>
    <w:p w14:paraId="74AC8F32" w14:textId="77777777" w:rsidR="006D4227" w:rsidRDefault="00785C6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AFE67C7" w14:textId="77777777" w:rsidR="006D4227" w:rsidRDefault="00785C69">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2CE00573" w14:textId="77777777" w:rsidR="006D4227" w:rsidRDefault="00785C69">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93DE38C" w14:textId="77777777" w:rsidR="006D4227" w:rsidRDefault="00785C69">
      <w:pP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w:t>
      </w:r>
      <w:r>
        <w:rPr>
          <w:rFonts w:ascii="Palatino Linotype" w:eastAsia="Palatino Linotype" w:hAnsi="Palatino Linotype" w:cs="Palatino Linotype"/>
          <w:b/>
          <w:i/>
          <w:color w:val="000000"/>
          <w:sz w:val="22"/>
          <w:szCs w:val="22"/>
        </w:rPr>
        <w:t>actas,</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14:paraId="464F325F" w14:textId="77777777" w:rsidR="006D4227" w:rsidRDefault="00785C6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w:t>
      </w:r>
      <w:r>
        <w:rPr>
          <w:rFonts w:ascii="Palatino Linotype" w:eastAsia="Palatino Linotype" w:hAnsi="Palatino Linotype" w:cs="Palatino Linotype"/>
        </w:rPr>
        <w:lastRenderedPageBreak/>
        <w:t>la Información Pública del Estado de México y Municipios; publicado en el Periódico Oficial del Gobierno del Estado Libre y Soberano de México “Gaceta del Gobierno”, el diecinueve de octubre de dos mil once, cuyo rubro y texto refieren lo siguiente:</w:t>
      </w:r>
    </w:p>
    <w:p w14:paraId="674C4F69" w14:textId="77777777" w:rsidR="006D4227" w:rsidRDefault="00785C69">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758F545F" w14:textId="77777777" w:rsidR="006D4227" w:rsidRDefault="00785C69">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6A4A990" w14:textId="77777777" w:rsidR="006D4227" w:rsidRDefault="00785C69">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609C644" w14:textId="77777777" w:rsidR="006D4227" w:rsidRDefault="00785C69">
      <w:pPr>
        <w:numPr>
          <w:ilvl w:val="0"/>
          <w:numId w:val="1"/>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14:paraId="0007E717" w14:textId="77777777" w:rsidR="006D4227" w:rsidRDefault="00785C69">
      <w:pPr>
        <w:numPr>
          <w:ilvl w:val="0"/>
          <w:numId w:val="1"/>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14:paraId="4A38FC4D" w14:textId="77777777" w:rsidR="006D4227" w:rsidRDefault="00785C69">
      <w:pPr>
        <w:spacing w:before="240" w:after="240" w:line="276" w:lineRule="auto"/>
        <w:ind w:left="567" w:right="567" w:hanging="28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w:t>
      </w:r>
      <w:r>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0733F07E" w14:textId="77777777" w:rsidR="006D4227" w:rsidRDefault="00785C6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w:t>
      </w:r>
      <w:r>
        <w:rPr>
          <w:rFonts w:ascii="Palatino Linotype" w:eastAsia="Palatino Linotype" w:hAnsi="Palatino Linotype" w:cs="Palatino Linotype"/>
        </w:rPr>
        <w:lastRenderedPageBreak/>
        <w:t>que obre en sus archivos; más aún si la misma se trata de información pública de oficio la cual se relaciona con aquella que se genere de acuerdo con sus facultades, atribuciones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w:t>
      </w:r>
    </w:p>
    <w:p w14:paraId="6E9DBCB4" w14:textId="77777777" w:rsidR="006D4227" w:rsidRDefault="00785C6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para profundizar en el estudio del presente asunto, es conveniente recordar que la parte solicitante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le proporcionara lo siguiente:</w:t>
      </w:r>
    </w:p>
    <w:p w14:paraId="345D48AB" w14:textId="77777777" w:rsidR="006D4227" w:rsidRDefault="00785C69">
      <w:pPr>
        <w:pBdr>
          <w:top w:val="nil"/>
          <w:left w:val="nil"/>
          <w:bottom w:val="nil"/>
          <w:right w:val="nil"/>
          <w:between w:val="nil"/>
        </w:pBdr>
        <w:spacing w:before="240" w:after="240" w:line="360" w:lineRule="auto"/>
        <w:ind w:left="720" w:right="851"/>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Todos los documentos relacionados con: </w:t>
      </w:r>
    </w:p>
    <w:p w14:paraId="79B98496" w14:textId="77777777" w:rsidR="006D4227" w:rsidRDefault="00785C69">
      <w:pPr>
        <w:numPr>
          <w:ilvl w:val="0"/>
          <w:numId w:val="2"/>
        </w:numPr>
        <w:pBdr>
          <w:top w:val="nil"/>
          <w:left w:val="nil"/>
          <w:bottom w:val="nil"/>
          <w:right w:val="nil"/>
          <w:between w:val="nil"/>
        </w:pBdr>
        <w:spacing w:before="240" w:after="240" w:line="360" w:lineRule="auto"/>
        <w:ind w:right="851"/>
        <w:jc w:val="both"/>
        <w:rPr>
          <w:rFonts w:ascii="Palatino Linotype" w:eastAsia="Palatino Linotype" w:hAnsi="Palatino Linotype" w:cs="Palatino Linotype"/>
          <w:b/>
          <w:color w:val="000000"/>
        </w:rPr>
      </w:pPr>
      <w:r>
        <w:rPr>
          <w:rFonts w:ascii="Palatino Linotype" w:eastAsia="Palatino Linotype" w:hAnsi="Palatino Linotype" w:cs="Palatino Linotype"/>
          <w:b/>
        </w:rPr>
        <w:t>l</w:t>
      </w:r>
      <w:r>
        <w:rPr>
          <w:rFonts w:ascii="Palatino Linotype" w:eastAsia="Palatino Linotype" w:hAnsi="Palatino Linotype" w:cs="Palatino Linotype"/>
          <w:b/>
          <w:color w:val="000000"/>
        </w:rPr>
        <w:t xml:space="preserve">a Certificación en el estándar de competencia Garantizar el derecho de acceso a la información pública </w:t>
      </w:r>
    </w:p>
    <w:p w14:paraId="5D205EBC" w14:textId="77777777" w:rsidR="006D4227" w:rsidRDefault="00785C69">
      <w:pPr>
        <w:numPr>
          <w:ilvl w:val="0"/>
          <w:numId w:val="2"/>
        </w:numPr>
        <w:pBdr>
          <w:top w:val="nil"/>
          <w:left w:val="nil"/>
          <w:bottom w:val="nil"/>
          <w:right w:val="nil"/>
          <w:between w:val="nil"/>
        </w:pBdr>
        <w:spacing w:before="240" w:after="240" w:line="360" w:lineRule="auto"/>
        <w:ind w:right="851"/>
        <w:jc w:val="both"/>
        <w:rPr>
          <w:rFonts w:ascii="Palatino Linotype" w:eastAsia="Palatino Linotype" w:hAnsi="Palatino Linotype" w:cs="Palatino Linotype"/>
          <w:b/>
          <w:color w:val="000000"/>
        </w:rPr>
      </w:pPr>
      <w:r>
        <w:rPr>
          <w:rFonts w:ascii="Palatino Linotype" w:eastAsia="Palatino Linotype" w:hAnsi="Palatino Linotype" w:cs="Palatino Linotype"/>
          <w:b/>
        </w:rPr>
        <w:t>l</w:t>
      </w:r>
      <w:r>
        <w:rPr>
          <w:rFonts w:ascii="Palatino Linotype" w:eastAsia="Palatino Linotype" w:hAnsi="Palatino Linotype" w:cs="Palatino Linotype"/>
          <w:b/>
          <w:color w:val="000000"/>
        </w:rPr>
        <w:t>a Certificación de protección de datos personales</w:t>
      </w:r>
    </w:p>
    <w:p w14:paraId="3DDF3008" w14:textId="77777777" w:rsidR="006D4227" w:rsidRDefault="00785C6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manifestó, por conducto de la Directora General de Capacitación y Certificación, lo siguiente: </w:t>
      </w:r>
    </w:p>
    <w:p w14:paraId="364285AA" w14:textId="77777777" w:rsidR="006D4227" w:rsidRDefault="00785C69">
      <w:pPr>
        <w:numPr>
          <w:ilvl w:val="0"/>
          <w:numId w:val="2"/>
        </w:numPr>
        <w:pBdr>
          <w:top w:val="nil"/>
          <w:left w:val="nil"/>
          <w:bottom w:val="nil"/>
          <w:right w:val="nil"/>
          <w:between w:val="nil"/>
        </w:pBdr>
        <w:spacing w:before="240" w:after="240" w:line="360" w:lineRule="auto"/>
        <w:ind w:right="8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Que este Instituto en atención a los artículos 36, fracción XI de la Ley de Transparencia y Acceso a la Información Pública del Estado de México y Municipios y 82, fracción XXI de la Ley de Protección de Datos Personales del Estado de México y Municipios, emitió el Proyecto de Certificación a Sujetos Obligados del Estado de México y Municipios, el cual tiene por objetivos:</w:t>
      </w:r>
    </w:p>
    <w:p w14:paraId="310E8DAC" w14:textId="77777777" w:rsidR="006D4227" w:rsidRDefault="00785C69">
      <w:pPr>
        <w:pBdr>
          <w:top w:val="nil"/>
          <w:left w:val="nil"/>
          <w:bottom w:val="nil"/>
          <w:right w:val="nil"/>
          <w:between w:val="nil"/>
        </w:pBdr>
        <w:spacing w:before="240" w:after="240" w:line="360" w:lineRule="auto"/>
        <w:ind w:left="720" w:right="8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1) Asegurar la debida tutela de los derechos de acceso a la información y protección de datos personales, mediante la profesionalización adecuada de los responsables.</w:t>
      </w:r>
    </w:p>
    <w:p w14:paraId="165DBAD5" w14:textId="77777777" w:rsidR="006D4227" w:rsidRDefault="00785C69">
      <w:pPr>
        <w:pBdr>
          <w:top w:val="nil"/>
          <w:left w:val="nil"/>
          <w:bottom w:val="nil"/>
          <w:right w:val="nil"/>
          <w:between w:val="nil"/>
        </w:pBdr>
        <w:spacing w:before="240" w:after="240" w:line="360" w:lineRule="auto"/>
        <w:ind w:left="720" w:right="8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2) Diseñar un proceso de certificación acorde con las características y necesidades de los sujetos obligados del Estado de México, apegado a criterios metodológicos y a estándares nacionales de competencias laborales en materia de transparencia, acceso a la información y protección de datos personales. </w:t>
      </w:r>
    </w:p>
    <w:p w14:paraId="24D52B76" w14:textId="77777777" w:rsidR="006D4227" w:rsidRDefault="00785C69">
      <w:pPr>
        <w:spacing w:before="240" w:after="240" w:line="360" w:lineRule="auto"/>
        <w:ind w:left="567"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3) Dar cumplimento a los ordenamientos legales en materia de certificación a los titulares de las Unidades de Transparencia de los sujetos obligados y a las organizaciones que llegaran a impartir cursos en materia de acceso a la información y protección de datos personales; así como al Oficial de Protección de Datos Personales.</w:t>
      </w:r>
    </w:p>
    <w:p w14:paraId="20F11C8B" w14:textId="77777777" w:rsidR="006D4227" w:rsidRDefault="00785C69">
      <w:pPr>
        <w:numPr>
          <w:ilvl w:val="0"/>
          <w:numId w:val="2"/>
        </w:numPr>
        <w:pBdr>
          <w:top w:val="nil"/>
          <w:left w:val="nil"/>
          <w:bottom w:val="nil"/>
          <w:right w:val="nil"/>
          <w:between w:val="nil"/>
        </w:pBdr>
        <w:spacing w:before="240" w:after="240" w:line="360" w:lineRule="auto"/>
        <w:ind w:left="567" w:right="851" w:hanging="14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ese sentido y con la finalidad de dar cumplimiento a los mismos, se concretó la acreditación como Entidad de Certificación y Evaluación de Competencias Laborales a través del Consejo Nacional de Normalización y </w:t>
      </w:r>
      <w:r>
        <w:rPr>
          <w:rFonts w:ascii="Palatino Linotype" w:eastAsia="Palatino Linotype" w:hAnsi="Palatino Linotype" w:cs="Palatino Linotype"/>
          <w:color w:val="000000"/>
          <w:sz w:val="22"/>
          <w:szCs w:val="22"/>
        </w:rPr>
        <w:lastRenderedPageBreak/>
        <w:t xml:space="preserve">Certificación de Competencias Laborales (CONOCER) el día 11 de julio de 2018; atento a ello, </w:t>
      </w:r>
      <w:r>
        <w:rPr>
          <w:rFonts w:ascii="Palatino Linotype" w:eastAsia="Palatino Linotype" w:hAnsi="Palatino Linotype" w:cs="Palatino Linotype"/>
          <w:b/>
          <w:color w:val="000000"/>
          <w:sz w:val="22"/>
          <w:szCs w:val="22"/>
          <w:u w:val="single"/>
        </w:rPr>
        <w:t>el Instituto de Transparencia, Acceso a la Información Pública y Protección de Datos Personales del Estado de México y Municipios, adquiere un conjunto de nuevas obligaciones que refieren a la protección de los derechos de los usuarios de los servicios que éste ofrece como Entidad Certificadora</w:t>
      </w:r>
      <w:r>
        <w:rPr>
          <w:rFonts w:ascii="Palatino Linotype" w:eastAsia="Palatino Linotype" w:hAnsi="Palatino Linotype" w:cs="Palatino Linotype"/>
          <w:color w:val="000000"/>
          <w:sz w:val="22"/>
          <w:szCs w:val="22"/>
        </w:rPr>
        <w:t xml:space="preserve">, atendiendo para ello, la siguiente normatividad: </w:t>
      </w:r>
    </w:p>
    <w:p w14:paraId="5CE0CFB2" w14:textId="77777777" w:rsidR="006D4227" w:rsidRDefault="00785C69">
      <w:pPr>
        <w:spacing w:before="240" w:after="240" w:line="276" w:lineRule="auto"/>
        <w:ind w:left="567"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Código de Ética del Evaluador de Competencias.</w:t>
      </w:r>
    </w:p>
    <w:p w14:paraId="378CB947" w14:textId="77777777" w:rsidR="006D4227" w:rsidRDefault="00785C69">
      <w:pPr>
        <w:spacing w:before="240" w:after="240" w:line="276" w:lineRule="auto"/>
        <w:ind w:left="567"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Decálogo del Evaluador de Competencias.</w:t>
      </w:r>
    </w:p>
    <w:p w14:paraId="2CACBBED" w14:textId="77777777" w:rsidR="006D4227" w:rsidRDefault="00785C69">
      <w:pPr>
        <w:spacing w:before="240" w:after="240" w:line="276" w:lineRule="auto"/>
        <w:ind w:left="567"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Derechos y Obligaciones de los Usuarios del Sistema Nacional de Competencias.</w:t>
      </w:r>
    </w:p>
    <w:p w14:paraId="79B2327C" w14:textId="77777777" w:rsidR="006D4227" w:rsidRDefault="00785C69">
      <w:pPr>
        <w:spacing w:before="240" w:after="240" w:line="276" w:lineRule="auto"/>
        <w:ind w:left="567"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Manual del Proceso de Operación de Entidades de Certificación y Evaluación de</w:t>
      </w:r>
    </w:p>
    <w:p w14:paraId="4447B283" w14:textId="77777777" w:rsidR="006D4227" w:rsidRDefault="00785C69">
      <w:pPr>
        <w:spacing w:before="240" w:after="240" w:line="276" w:lineRule="auto"/>
        <w:ind w:left="567"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Competencias (ECE) y Organismos Certificadores (OC).</w:t>
      </w:r>
    </w:p>
    <w:p w14:paraId="0D9821FC" w14:textId="77777777" w:rsidR="006D4227" w:rsidRDefault="00785C69">
      <w:pPr>
        <w:spacing w:before="240" w:after="240" w:line="276" w:lineRule="auto"/>
        <w:ind w:left="567"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Manual de Identidad Institucional RED CONOCER de Prestadores de Servicios.</w:t>
      </w:r>
    </w:p>
    <w:p w14:paraId="205C8496" w14:textId="77777777" w:rsidR="006D4227" w:rsidRDefault="00785C69">
      <w:pPr>
        <w:spacing w:before="240" w:after="240" w:line="276" w:lineRule="auto"/>
        <w:ind w:left="567"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Reglas Generales y Criterios para la integración y operación del Sistema Nacional de Competencias.</w:t>
      </w:r>
    </w:p>
    <w:p w14:paraId="18571F46" w14:textId="77777777" w:rsidR="006D4227" w:rsidRDefault="00785C69">
      <w:pPr>
        <w:spacing w:before="240" w:after="240" w:line="276" w:lineRule="auto"/>
        <w:ind w:left="567"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Incorporación a Soluciones de Certificación.</w:t>
      </w:r>
    </w:p>
    <w:p w14:paraId="61577D6B" w14:textId="77777777" w:rsidR="006D4227" w:rsidRDefault="00785C69">
      <w:pPr>
        <w:spacing w:before="240" w:after="240" w:line="276" w:lineRule="auto"/>
        <w:ind w:left="567"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Manual de Evaluación de Competencia y Verificación Interna.</w:t>
      </w:r>
    </w:p>
    <w:p w14:paraId="74736C87" w14:textId="77777777" w:rsidR="006D4227" w:rsidRDefault="00785C69">
      <w:pPr>
        <w:spacing w:before="240" w:after="240" w:line="360" w:lineRule="auto"/>
        <w:ind w:left="567"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Con base en dicha normatividad, las y los evaluadores en conjunto con la entidad de certificación y evaluación de competencias, tienen la obligación de “asegurar la calidad de sus servicios”, lo que significa proteger y salvaguardar la información que pudiera perjudicar el proceso de certificación de cada uno de los candidatos y con ello violentar sus derechos, es de precisar que dicha normatividad se adjuntó a la presente respuesta.</w:t>
      </w:r>
    </w:p>
    <w:p w14:paraId="0B175E26" w14:textId="77777777" w:rsidR="006D4227" w:rsidRDefault="00785C69">
      <w:pPr>
        <w:numPr>
          <w:ilvl w:val="0"/>
          <w:numId w:val="2"/>
        </w:numPr>
        <w:pBdr>
          <w:top w:val="nil"/>
          <w:left w:val="nil"/>
          <w:bottom w:val="nil"/>
          <w:right w:val="nil"/>
          <w:between w:val="nil"/>
        </w:pBdr>
        <w:spacing w:before="240" w:after="240" w:line="360" w:lineRule="auto"/>
        <w:ind w:right="851"/>
        <w:jc w:val="both"/>
        <w:rPr>
          <w:rFonts w:ascii="Palatino Linotype" w:eastAsia="Palatino Linotype" w:hAnsi="Palatino Linotype" w:cs="Palatino Linotype"/>
          <w:b/>
          <w:color w:val="000000"/>
          <w:sz w:val="20"/>
          <w:szCs w:val="20"/>
          <w:u w:val="single"/>
        </w:rPr>
      </w:pPr>
      <w:r>
        <w:rPr>
          <w:rFonts w:ascii="Palatino Linotype" w:eastAsia="Palatino Linotype" w:hAnsi="Palatino Linotype" w:cs="Palatino Linotype"/>
          <w:color w:val="000000"/>
          <w:sz w:val="22"/>
          <w:szCs w:val="22"/>
        </w:rPr>
        <w:t xml:space="preserve">Que las actividades y procedimientos de registro al proceso, argumentos, pruebas, respuestas y/o expectativas de cada uno de los candidatos, evaluación diagnóstica y sus reactivos y respuestas correctas, además de las estrategias del desarrollo logístico del proceso de certificación, definición del plan de evaluación, cursos de alineación, talleres propedéuticos y sus archivos adjuntos o derivados, estrategias para la aplicación de la evaluación de competencias y reactivos, la emisión de juicios de competencia competente y todavía no competente, dictámenes de procedencia con sus respectivos programas e informes, forman parte de los procesos de capacitación, evaluación y certificación que lleva a cabo el Instituto en su carácter de Entidad de Certificación y de Evaluación de Competencias laborales (ECE), por lo que la ECE debe guardar y custodiar los expedientes (Portafolios de Evidencias), en los que se reúnen y organizan los elementos que demuestran el dominio y conocimiento de las y los candidatos del Estándar de Competencia 1057 “Garantizar el derecho de acceso a la información pública”, asimismo de los registros de </w:t>
      </w:r>
      <w:r>
        <w:rPr>
          <w:rFonts w:ascii="Palatino Linotype" w:eastAsia="Palatino Linotype" w:hAnsi="Palatino Linotype" w:cs="Palatino Linotype"/>
          <w:color w:val="000000"/>
          <w:sz w:val="22"/>
          <w:szCs w:val="22"/>
        </w:rPr>
        <w:lastRenderedPageBreak/>
        <w:t xml:space="preserve">los candidatos al proceso de certificación del Estándar de Competencia EC1171 “Garantizar el derecho a la protección de datos personales”, </w:t>
      </w:r>
      <w:r>
        <w:rPr>
          <w:rFonts w:ascii="Palatino Linotype" w:eastAsia="Palatino Linotype" w:hAnsi="Palatino Linotype" w:cs="Palatino Linotype"/>
          <w:b/>
          <w:color w:val="000000"/>
          <w:sz w:val="22"/>
          <w:szCs w:val="22"/>
          <w:u w:val="single"/>
        </w:rPr>
        <w:t xml:space="preserve">por lo que su divulgación implicaría el tratamiento de los datos personales de las y los candidatos al proceso que estén contenidos en los portafolios de evidencias de los mismos, por lo que se pondría en riesgo su integridad o incluso su divulgación puede dar origen a algún tipo de discriminación. </w:t>
      </w:r>
    </w:p>
    <w:p w14:paraId="1A8388E3" w14:textId="77777777" w:rsidR="006D4227" w:rsidRDefault="00785C69" w:rsidP="00207792">
      <w:pPr>
        <w:spacing w:before="240" w:after="240" w:line="360" w:lineRule="auto"/>
        <w:ind w:left="567"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de acuerdo con lo anteriormente plasmado, de entregar lo solicitado se estaría violentando por parte de este Instituto, como Entidad de Certificación y Evaluación, la Séptima Cláusula, numerales 7.1 y 7.2, párrafo 2 del Contrato de Acreditación Inicial, que dice:</w:t>
      </w:r>
    </w:p>
    <w:p w14:paraId="43271EF7" w14:textId="77777777" w:rsidR="006D4227" w:rsidRDefault="00785C69">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“…CLÁUSULA SÉPTIMA. INFORMACIÓN CONFIDENCIAL.</w:t>
      </w:r>
    </w:p>
    <w:p w14:paraId="4EDBD3E7" w14:textId="77777777" w:rsidR="006D4227" w:rsidRDefault="00785C69">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7.1… Toda información confidencial a que se refiere la presente Cláusula constituye secreto industrial, en términos de lo dispuesto por la Ley de la Propiedad Industrial. </w:t>
      </w:r>
    </w:p>
    <w:p w14:paraId="625D2D84" w14:textId="77777777" w:rsidR="006D4227" w:rsidRDefault="00785C69">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7.2 “La “ECE” deberá tomar las medidas que aseguren el cumplimiento de la normatividad en la materia de transparencia e información vigente, respecto a la información, derivada de los procesos de acreditación inicial, acreditación de CE, EI y Sedes, evaluación, verificación, aseguramiento de la excelencia en la operación y servicio a usuarios, </w:t>
      </w:r>
      <w:proofErr w:type="spellStart"/>
      <w:r>
        <w:rPr>
          <w:rFonts w:ascii="Palatino Linotype" w:eastAsia="Palatino Linotype" w:hAnsi="Palatino Linotype" w:cs="Palatino Linotype"/>
          <w:i/>
          <w:sz w:val="22"/>
          <w:szCs w:val="22"/>
        </w:rPr>
        <w:t>dictaminación</w:t>
      </w:r>
      <w:proofErr w:type="spellEnd"/>
      <w:r>
        <w:rPr>
          <w:rFonts w:ascii="Palatino Linotype" w:eastAsia="Palatino Linotype" w:hAnsi="Palatino Linotype" w:cs="Palatino Linotype"/>
          <w:i/>
          <w:sz w:val="22"/>
          <w:szCs w:val="22"/>
        </w:rPr>
        <w:t xml:space="preserve"> y la información sobre otras Entidades de Certificación y Evaluación y otros Organismos Certificadores, así como toda aquella que tenga que ver con la operación del Sistema Nacional de Competencias sean de carácter estrictamente confidencial.</w:t>
      </w:r>
    </w:p>
    <w:p w14:paraId="2BA810AC" w14:textId="77777777" w:rsidR="006D4227" w:rsidRDefault="00785C69">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La confidencialidad antes citada también será aplicable a los procesos de capacitación, evaluación y certificación de competencias de personas que se lleven a cabo en “La ECE”, así como a los procesos de evaluación de competencias de personas que se lleven a cabo en los Centros de Evaluación y por los Evaluadores Independientes que acredite.</w:t>
      </w:r>
    </w:p>
    <w:p w14:paraId="699469A7" w14:textId="77777777" w:rsidR="006D4227" w:rsidRDefault="00785C69">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7.3 “La ECE” se obliga a guardar estricta confidencialidad respecto a toda la documentación o información que reciba del ”CONOCER”, los cuales deberán ser conservados por éste en la más estricta confidencialidad, y solamente podrá divulgarla a cualquier tercero, con el previo consentimiento del CONOCER.</w:t>
      </w:r>
    </w:p>
    <w:p w14:paraId="7DA61D55" w14:textId="77777777" w:rsidR="006D4227" w:rsidRDefault="00785C69">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De la 7.4 a la 7.6…</w:t>
      </w:r>
    </w:p>
    <w:p w14:paraId="68C034C5" w14:textId="77777777" w:rsidR="006D4227" w:rsidRDefault="00785C69">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0B5632D" w14:textId="77777777" w:rsidR="006D4227" w:rsidRDefault="00785C69">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7.7 Las partes acuerdan expresamente que a partir de la fecha de firma del presente Contrato, toda la información que el CONOCER proporcionó a “La ECE” para la tramitación de su acreditación, se considerará también como información y documentos confidenciales…”</w:t>
      </w:r>
    </w:p>
    <w:p w14:paraId="39AA879F" w14:textId="77777777" w:rsidR="006D4227" w:rsidRDefault="00785C69">
      <w:pPr>
        <w:numPr>
          <w:ilvl w:val="0"/>
          <w:numId w:val="2"/>
        </w:numPr>
        <w:pBdr>
          <w:top w:val="nil"/>
          <w:left w:val="nil"/>
          <w:bottom w:val="nil"/>
          <w:right w:val="nil"/>
          <w:between w:val="nil"/>
        </w:pBdr>
        <w:spacing w:before="240" w:after="240" w:line="276" w:lineRule="auto"/>
        <w:ind w:left="567" w:right="85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Que este Instituto cuenta con los siguientes estándares de competencia laborales:</w:t>
      </w:r>
    </w:p>
    <w:p w14:paraId="5E21A32B" w14:textId="77777777" w:rsidR="006D4227" w:rsidRDefault="00785C69">
      <w:pPr>
        <w:spacing w:before="240" w:after="240" w:line="276" w:lineRule="auto"/>
        <w:ind w:left="567"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 Estándar de competencia 1057 “</w:t>
      </w:r>
      <w:r>
        <w:rPr>
          <w:rFonts w:ascii="Palatino Linotype" w:eastAsia="Palatino Linotype" w:hAnsi="Palatino Linotype" w:cs="Palatino Linotype"/>
          <w:b/>
          <w:sz w:val="22"/>
          <w:szCs w:val="22"/>
        </w:rPr>
        <w:t>Garantizar el derecho de acceso a la información pública</w:t>
      </w:r>
      <w:r>
        <w:rPr>
          <w:rFonts w:ascii="Palatino Linotype" w:eastAsia="Palatino Linotype" w:hAnsi="Palatino Linotype" w:cs="Palatino Linotype"/>
          <w:sz w:val="22"/>
          <w:szCs w:val="22"/>
        </w:rPr>
        <w:t>” con fecha de publicación en el Diario Oficial de la Federación del día 25 de septiembre de 2018.</w:t>
      </w:r>
    </w:p>
    <w:p w14:paraId="4B7DA29B" w14:textId="77777777" w:rsidR="006D4227" w:rsidRDefault="00785C69">
      <w:pPr>
        <w:spacing w:before="240" w:after="240" w:line="276" w:lineRule="auto"/>
        <w:ind w:left="567"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2. Estándar de competencia 1171 “</w:t>
      </w:r>
      <w:r>
        <w:rPr>
          <w:rFonts w:ascii="Palatino Linotype" w:eastAsia="Palatino Linotype" w:hAnsi="Palatino Linotype" w:cs="Palatino Linotype"/>
          <w:b/>
          <w:sz w:val="22"/>
          <w:szCs w:val="22"/>
        </w:rPr>
        <w:t>Garantizar el derecho a la protección de datos personales”</w:t>
      </w:r>
      <w:r>
        <w:rPr>
          <w:rFonts w:ascii="Palatino Linotype" w:eastAsia="Palatino Linotype" w:hAnsi="Palatino Linotype" w:cs="Palatino Linotype"/>
          <w:sz w:val="22"/>
          <w:szCs w:val="22"/>
        </w:rPr>
        <w:t>, con fecha de publicación en el Diario Oficial de la Federación del día 25 de julio de 2019.</w:t>
      </w:r>
    </w:p>
    <w:p w14:paraId="2DD3E30F" w14:textId="77777777" w:rsidR="006D4227" w:rsidRDefault="00785C69">
      <w:pPr>
        <w:numPr>
          <w:ilvl w:val="0"/>
          <w:numId w:val="2"/>
        </w:numPr>
        <w:pBdr>
          <w:top w:val="nil"/>
          <w:left w:val="nil"/>
          <w:bottom w:val="nil"/>
          <w:right w:val="nil"/>
          <w:between w:val="nil"/>
        </w:pBdr>
        <w:spacing w:before="240" w:after="240" w:line="360" w:lineRule="auto"/>
        <w:ind w:left="567" w:right="851" w:hanging="283"/>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Que esta Entidad de Certificación y Evaluación, </w:t>
      </w:r>
      <w:r>
        <w:rPr>
          <w:rFonts w:ascii="Palatino Linotype" w:eastAsia="Palatino Linotype" w:hAnsi="Palatino Linotype" w:cs="Palatino Linotype"/>
          <w:b/>
          <w:color w:val="000000"/>
          <w:sz w:val="22"/>
          <w:szCs w:val="22"/>
          <w:u w:val="single"/>
        </w:rPr>
        <w:t>desde el 2018 a la fecha, ha emitido 7 convocatorias</w:t>
      </w:r>
      <w:r>
        <w:rPr>
          <w:rFonts w:ascii="Palatino Linotype" w:eastAsia="Palatino Linotype" w:hAnsi="Palatino Linotype" w:cs="Palatino Linotype"/>
          <w:color w:val="000000"/>
          <w:sz w:val="22"/>
          <w:szCs w:val="22"/>
        </w:rPr>
        <w:t>.</w:t>
      </w:r>
    </w:p>
    <w:p w14:paraId="34BA8C9E" w14:textId="77777777" w:rsidR="006D4227" w:rsidRDefault="00785C69">
      <w:pPr>
        <w:numPr>
          <w:ilvl w:val="0"/>
          <w:numId w:val="2"/>
        </w:numPr>
        <w:pBdr>
          <w:top w:val="nil"/>
          <w:left w:val="nil"/>
          <w:bottom w:val="nil"/>
          <w:right w:val="nil"/>
          <w:between w:val="nil"/>
        </w:pBdr>
        <w:spacing w:before="240" w:after="240" w:line="360" w:lineRule="auto"/>
        <w:ind w:left="567" w:right="851" w:hanging="283"/>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Finalmente, entregó el listado de las personas certificadas bajo el estándar de competencia EC 1057 “Garantizar el derecho de acceso a la información pública”.</w:t>
      </w:r>
    </w:p>
    <w:p w14:paraId="73B15EE4" w14:textId="77777777" w:rsidR="006D4227" w:rsidRDefault="00785C69">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Conocida la respuesta a la solicitud de información, el particular, al no estar conforme con los términos de la misma, interpuso el recurso de revisión que nos ocupa, donde señaló como motivos de inconformidad: </w:t>
      </w:r>
      <w:r>
        <w:rPr>
          <w:rFonts w:ascii="Palatino Linotype" w:eastAsia="Palatino Linotype" w:hAnsi="Palatino Linotype" w:cs="Palatino Linotype"/>
          <w:i/>
        </w:rPr>
        <w:t xml:space="preserve">“No me entregaron la información completa, </w:t>
      </w:r>
      <w:r>
        <w:rPr>
          <w:rFonts w:ascii="Palatino Linotype" w:eastAsia="Palatino Linotype" w:hAnsi="Palatino Linotype" w:cs="Palatino Linotype"/>
          <w:b/>
          <w:i/>
          <w:u w:val="single"/>
        </w:rPr>
        <w:t>faltó incluir los documentos de la certificación en materia de protección de datos personales</w:t>
      </w:r>
      <w:r>
        <w:rPr>
          <w:rFonts w:ascii="Palatino Linotype" w:eastAsia="Palatino Linotype" w:hAnsi="Palatino Linotype" w:cs="Palatino Linotype"/>
          <w:i/>
        </w:rPr>
        <w:t>.” (Sic) (Énfasis añadido)</w:t>
      </w:r>
    </w:p>
    <w:p w14:paraId="76923454" w14:textId="77777777" w:rsidR="006D4227" w:rsidRDefault="00785C69">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En este sentido, no pasa </w:t>
      </w:r>
      <w:proofErr w:type="gramStart"/>
      <w:r>
        <w:rPr>
          <w:rFonts w:ascii="Palatino Linotype" w:eastAsia="Palatino Linotype" w:hAnsi="Palatino Linotype" w:cs="Palatino Linotype"/>
        </w:rPr>
        <w:t>inadvertido</w:t>
      </w:r>
      <w:proofErr w:type="gramEnd"/>
      <w:r>
        <w:rPr>
          <w:rFonts w:ascii="Palatino Linotype" w:eastAsia="Palatino Linotype" w:hAnsi="Palatino Linotype" w:cs="Palatino Linotype"/>
        </w:rPr>
        <w:t xml:space="preserve"> para este Organismo Garante que los motivos de inconformidad aducidos, no versan sobre la totalidad de la información proporcionada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pues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no se inconformó, de manera expresa, respecto de los documentos relacionados con la Certificación en el estándar de competencia: Garantizar el derecho de acceso a la información pública. </w:t>
      </w:r>
    </w:p>
    <w:p w14:paraId="61EE831C" w14:textId="77777777" w:rsidR="006D4227" w:rsidRDefault="00785C6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orden de ideas,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Pr>
          <w:rFonts w:ascii="Palatino Linotype" w:eastAsia="Palatino Linotype" w:hAnsi="Palatino Linotype" w:cs="Palatino Linotype"/>
          <w:b/>
        </w:rPr>
        <w:t>Sujeto Obligado que no es materia de la inconformidad</w:t>
      </w:r>
      <w:r>
        <w:rPr>
          <w:rFonts w:ascii="Palatino Linotype" w:eastAsia="Palatino Linotype" w:hAnsi="Palatino Linotype" w:cs="Palatino Linotype"/>
        </w:rPr>
        <w:t>, satisface la solicitud presentada.</w:t>
      </w:r>
    </w:p>
    <w:p w14:paraId="1628A81C" w14:textId="77777777" w:rsidR="006D4227" w:rsidRDefault="00785C69">
      <w:pPr>
        <w:spacing w:before="240" w:after="36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Lo anterior es así, debido a que cuando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impugna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y éste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30C5F2F8" w14:textId="77777777" w:rsidR="006D4227" w:rsidRDefault="00785C69">
      <w:pPr>
        <w:spacing w:before="240" w:after="36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“REVISIÓN EN AMPARO. LOS RESOLUTIVOS NO COMBATIDOS DEBEN DECLARARSE FIRMES. </w:t>
      </w:r>
      <w:r>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506E1CC" w14:textId="77777777" w:rsidR="006D4227" w:rsidRDefault="00785C6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Consecuentemente, se insiste, ante la falta de impugnación eficaz, la respuesta entregada debe declararse consentida por el particular.</w:t>
      </w:r>
    </w:p>
    <w:p w14:paraId="64111072" w14:textId="77777777" w:rsidR="006D4227" w:rsidRDefault="00785C6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se sustenta con lo plasmado en el criterio 01/20 emitido por el Instituto Nacional de Transparencia, Acceso a la Información, y Protección de Datos Personales (INAI), que lleva por rubro y texto los siguientes: </w:t>
      </w:r>
    </w:p>
    <w:p w14:paraId="7DB0CE3C" w14:textId="77777777" w:rsidR="006D4227" w:rsidRDefault="00785C69">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 xml:space="preserve">Actos consentidos tácitamente. Improcedencia de su análisis. </w:t>
      </w:r>
      <w:r>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02E4D86D" w14:textId="77777777" w:rsidR="006D4227" w:rsidRDefault="00785C6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Expuesto lo anterior, se concluye que el presente estudio versará sobre los documentos de la certificación en materia de protección de datos personales. Al respecto, resulta importante señalar que en el presente asunto obra el pronunciamiento de la servidora pública habilitada competente que es la Directora General de Capacitación y Certificación, esto encuentra sustento en la siguiente cita al Reglamento</w:t>
      </w:r>
      <w:r>
        <w:t xml:space="preserve"> </w:t>
      </w:r>
      <w:r>
        <w:rPr>
          <w:rFonts w:ascii="Palatino Linotype" w:eastAsia="Palatino Linotype" w:hAnsi="Palatino Linotype" w:cs="Palatino Linotype"/>
        </w:rPr>
        <w:t xml:space="preserve">Interior del Instituto de Transparencia, Acceso a la Información Pública y Protección de Datos Personales del Estado de México y Municipios: </w:t>
      </w:r>
    </w:p>
    <w:p w14:paraId="204F6E32" w14:textId="77777777" w:rsidR="006D4227" w:rsidRDefault="00785C69">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21. Corresponde a la Dirección General de Capacitación, Certificación… ejercer las atribuciones: </w:t>
      </w:r>
    </w:p>
    <w:p w14:paraId="2243282B" w14:textId="77777777" w:rsidR="006D4227" w:rsidRDefault="00785C69">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568C65A" w14:textId="77777777" w:rsidR="006D4227" w:rsidRDefault="00785C69">
      <w:pPr>
        <w:spacing w:before="240" w:after="240" w:line="276" w:lineRule="auto"/>
        <w:ind w:left="567"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VII. Elaborar los programas de certificación; </w:t>
      </w:r>
    </w:p>
    <w:p w14:paraId="1F8E1E2C" w14:textId="77777777" w:rsidR="006D4227" w:rsidRDefault="00785C69">
      <w:pPr>
        <w:spacing w:before="240" w:after="240" w:line="276" w:lineRule="auto"/>
        <w:ind w:left="567"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VIII. Programar e implementar la certificación de las y los Titulares de las Unidades de Transparencia de los Sujetos Obligados; </w:t>
      </w:r>
    </w:p>
    <w:p w14:paraId="2A284FA8" w14:textId="77777777" w:rsidR="006D4227" w:rsidRDefault="00785C69">
      <w:pPr>
        <w:spacing w:before="240" w:after="240" w:line="276" w:lineRule="auto"/>
        <w:ind w:left="567"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IX. Planificar e implementar la certificación de Oficiales de Protección de Datos Personales de los Sujetos Obligados; </w:t>
      </w:r>
    </w:p>
    <w:p w14:paraId="6784B96B" w14:textId="77777777" w:rsidR="006D4227" w:rsidRDefault="00785C69">
      <w:pPr>
        <w:spacing w:before="240" w:after="240" w:line="276" w:lineRule="auto"/>
        <w:ind w:left="567"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X. Planificar e implementar la certificación a los integrantes de los Sujetos Obligados, de las organizaciones o asociaciones de la sociedad, así como de las personas físicas o jurídicas colectivas; </w:t>
      </w:r>
    </w:p>
    <w:p w14:paraId="69CA3275" w14:textId="77777777" w:rsidR="006D4227" w:rsidRDefault="00785C69">
      <w:pPr>
        <w:spacing w:before="240" w:after="240" w:line="276" w:lineRule="auto"/>
        <w:ind w:left="567"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 xml:space="preserve">XI. Planificar e implementar los talleres propedéuticos relacionados con la certificación” </w:t>
      </w:r>
      <w:r>
        <w:rPr>
          <w:rFonts w:ascii="Palatino Linotype" w:eastAsia="Palatino Linotype" w:hAnsi="Palatino Linotype" w:cs="Palatino Linotype"/>
          <w:i/>
          <w:sz w:val="22"/>
          <w:szCs w:val="22"/>
        </w:rPr>
        <w:t>(Sic) (Énfasis añadido)</w:t>
      </w:r>
    </w:p>
    <w:p w14:paraId="0CFEA4A0" w14:textId="77777777" w:rsidR="006D4227" w:rsidRDefault="00785C69">
      <w:pPr>
        <w:spacing w:before="240" w:after="240" w:line="276" w:lineRule="auto"/>
        <w:ind w:right="9"/>
        <w:jc w:val="both"/>
        <w:rPr>
          <w:rFonts w:ascii="Palatino Linotype" w:eastAsia="Palatino Linotype" w:hAnsi="Palatino Linotype" w:cs="Palatino Linotype"/>
        </w:rPr>
      </w:pPr>
      <w:r>
        <w:rPr>
          <w:rFonts w:ascii="Palatino Linotype" w:eastAsia="Palatino Linotype" w:hAnsi="Palatino Linotype" w:cs="Palatino Linotype"/>
        </w:rPr>
        <w:t xml:space="preserve">Bajo esta línea de pensamiento, dicha Dirección aseveró lo siguiente en respuesta y en informe justificado: </w:t>
      </w:r>
    </w:p>
    <w:p w14:paraId="1FFE33BE" w14:textId="77777777" w:rsidR="006D4227" w:rsidRDefault="00785C6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Que este Instituto cuenta con los siguientes estándares de competencia laborales:</w:t>
      </w:r>
    </w:p>
    <w:p w14:paraId="7613BA8A" w14:textId="77777777" w:rsidR="006D4227" w:rsidRDefault="00785C69">
      <w:pPr>
        <w:spacing w:before="240" w:after="240"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DE83B03" w14:textId="77777777" w:rsidR="006D4227" w:rsidRDefault="00785C69">
      <w:pPr>
        <w:spacing w:before="240" w:after="240"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2. Estándar de competencia 1171 “Garantizar el derecho a la protección de datos personales”, con fecha de publicación en el Diario Oficial de la Federación del día 25 de julio de 2019.</w:t>
      </w:r>
    </w:p>
    <w:p w14:paraId="012CDE1A" w14:textId="77777777" w:rsidR="006D4227" w:rsidRDefault="00785C6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Remitió el soporte documental que da cuenta del estándar de competencia 1171, en formato PDF, el cual consiste en un documento de diez páginas el cual </w:t>
      </w:r>
      <w:r>
        <w:rPr>
          <w:rFonts w:ascii="Palatino Linotype" w:eastAsia="Palatino Linotype" w:hAnsi="Palatino Linotype" w:cs="Palatino Linotype"/>
          <w:b/>
          <w:u w:val="single"/>
        </w:rPr>
        <w:t>manifiesta lo relacionado a “Garantizar el derecho a la protección de datos personales”, cuyo propósito es Servir como referente para la evaluación y certificación de las personas que se desempeñan como titulares de las Unidades de Transparencia de los sujetos obligados del Estado de México y sus municipios, quienes cumplen la función de enlace entre titular de los datos personales y sujeto obligado, promoviendo las medidas y condiciones de accesibilidad que permitan ejercer el derecho a la protección de datos personales.</w:t>
      </w:r>
      <w:r>
        <w:rPr>
          <w:rFonts w:ascii="Palatino Linotype" w:eastAsia="Palatino Linotype" w:hAnsi="Palatino Linotype" w:cs="Palatino Linotype"/>
        </w:rPr>
        <w:t xml:space="preserve"> Asimismo, puede ser referente para el desarrollo de programas de capacitación y de formación basados en Estándares de Competencia (EC).</w:t>
      </w:r>
    </w:p>
    <w:p w14:paraId="3151303D" w14:textId="77777777" w:rsidR="006D4227" w:rsidRDefault="00785C69">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lastRenderedPageBreak/>
        <w:t xml:space="preserve">Acta de la Tercera Sesión Extraordinaria del Comité de Transparencia RES/03/INFOEM/EXT/COMT/03ª/2022, misma que se encuentra en PDF, en la cual </w:t>
      </w:r>
      <w:r w:rsidRPr="00207792">
        <w:rPr>
          <w:rFonts w:ascii="Palatino Linotype" w:eastAsia="Palatino Linotype" w:hAnsi="Palatino Linotype" w:cs="Palatino Linotype"/>
        </w:rPr>
        <w:t>se confirma la clasificación como confidenc</w:t>
      </w:r>
      <w:r w:rsidR="00207792" w:rsidRPr="00207792">
        <w:rPr>
          <w:rFonts w:ascii="Palatino Linotype" w:eastAsia="Palatino Linotype" w:hAnsi="Palatino Linotype" w:cs="Palatino Linotype"/>
        </w:rPr>
        <w:t xml:space="preserve">ial de los documentos </w:t>
      </w:r>
      <w:r w:rsidRPr="00207792">
        <w:rPr>
          <w:rFonts w:ascii="Palatino Linotype" w:eastAsia="Palatino Linotype" w:hAnsi="Palatino Linotype" w:cs="Palatino Linotype"/>
        </w:rPr>
        <w:t>generados por este Instituto que forma</w:t>
      </w:r>
      <w:r w:rsidR="00207792" w:rsidRPr="00207792">
        <w:rPr>
          <w:rFonts w:ascii="Palatino Linotype" w:eastAsia="Palatino Linotype" w:hAnsi="Palatino Linotype" w:cs="Palatino Linotype"/>
        </w:rPr>
        <w:t>n</w:t>
      </w:r>
      <w:r w:rsidRPr="00207792">
        <w:rPr>
          <w:rFonts w:ascii="Palatino Linotype" w:eastAsia="Palatino Linotype" w:hAnsi="Palatino Linotype" w:cs="Palatino Linotype"/>
        </w:rPr>
        <w:t xml:space="preserve"> parte integral de los procesos de certificación que se han llevado a cabo, </w:t>
      </w:r>
      <w:r w:rsidR="00207792">
        <w:rPr>
          <w:rFonts w:ascii="Palatino Linotype" w:eastAsia="Palatino Linotype" w:hAnsi="Palatino Linotype" w:cs="Palatino Linotype"/>
          <w:b/>
        </w:rPr>
        <w:t xml:space="preserve">en los estándares de competencia </w:t>
      </w:r>
      <w:r w:rsidR="00207792">
        <w:rPr>
          <w:rFonts w:ascii="Palatino Linotype" w:eastAsia="Palatino Linotype" w:hAnsi="Palatino Linotype" w:cs="Palatino Linotype"/>
        </w:rPr>
        <w:t xml:space="preserve">EC-1057 Garantizar el Derecho de Acceso a la Información Pública y </w:t>
      </w:r>
      <w:r w:rsidR="00207792">
        <w:rPr>
          <w:rFonts w:ascii="Palatino Linotype" w:eastAsia="Palatino Linotype" w:hAnsi="Palatino Linotype" w:cs="Palatino Linotype"/>
          <w:b/>
        </w:rPr>
        <w:t>EC-1171 Garantizar el Derecho a la Protección de Datos Personales</w:t>
      </w:r>
      <w:r>
        <w:rPr>
          <w:rFonts w:ascii="Palatino Linotype" w:eastAsia="Palatino Linotype" w:hAnsi="Palatino Linotype" w:cs="Palatino Linotype"/>
          <w:b/>
        </w:rPr>
        <w:t>.</w:t>
      </w:r>
    </w:p>
    <w:p w14:paraId="12B44EC2" w14:textId="77777777" w:rsidR="006D4227" w:rsidRDefault="00785C6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Esta Entidad de Certificación y Evaluación, </w:t>
      </w:r>
      <w:r>
        <w:rPr>
          <w:rFonts w:ascii="Palatino Linotype" w:eastAsia="Palatino Linotype" w:hAnsi="Palatino Linotype" w:cs="Palatino Linotype"/>
          <w:b/>
          <w:u w:val="single"/>
        </w:rPr>
        <w:t>desde el 2018 a la fecha, ha emitido 7 convocatorias, de las cuales sólo una corresponde al Estándar de Competencia 1171 “Garantizar el derecho a la protección de datos personales”,</w:t>
      </w:r>
      <w:r>
        <w:rPr>
          <w:rFonts w:ascii="Palatino Linotype" w:eastAsia="Palatino Linotype" w:hAnsi="Palatino Linotype" w:cs="Palatino Linotype"/>
        </w:rPr>
        <w:t xml:space="preserve"> la cual fue </w:t>
      </w:r>
      <w:r>
        <w:rPr>
          <w:rFonts w:ascii="Palatino Linotype" w:eastAsia="Palatino Linotype" w:hAnsi="Palatino Linotype" w:cs="Palatino Linotype"/>
          <w:b/>
        </w:rPr>
        <w:t>aprobada por Acuerdo del Pleno de este Instituto en la Cuarta Sesión Ordinaria, celebrada el cuatro de febrero de dos mil veintidós</w:t>
      </w:r>
      <w:r>
        <w:rPr>
          <w:rFonts w:ascii="Palatino Linotype" w:eastAsia="Palatino Linotype" w:hAnsi="Palatino Linotype" w:cs="Palatino Linotype"/>
        </w:rPr>
        <w:t xml:space="preserve">, sirven las siguientes capturas de pantalla para ilustrar lo vertido: </w:t>
      </w:r>
    </w:p>
    <w:p w14:paraId="2A3E291B" w14:textId="77777777" w:rsidR="006D4227" w:rsidRDefault="00785C69">
      <w:pPr>
        <w:spacing w:before="240" w:after="240"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lastRenderedPageBreak/>
        <w:drawing>
          <wp:inline distT="0" distB="0" distL="0" distR="0" wp14:anchorId="13330F90" wp14:editId="28E8D3D1">
            <wp:extent cx="4467225" cy="6677025"/>
            <wp:effectExtent l="0" t="0" r="9525" b="9525"/>
            <wp:docPr id="6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5"/>
                    <a:srcRect/>
                    <a:stretch>
                      <a:fillRect/>
                    </a:stretch>
                  </pic:blipFill>
                  <pic:spPr>
                    <a:xfrm>
                      <a:off x="0" y="0"/>
                      <a:ext cx="4467843" cy="6677949"/>
                    </a:xfrm>
                    <a:prstGeom prst="rect">
                      <a:avLst/>
                    </a:prstGeom>
                    <a:ln/>
                  </pic:spPr>
                </pic:pic>
              </a:graphicData>
            </a:graphic>
          </wp:inline>
        </w:drawing>
      </w:r>
    </w:p>
    <w:p w14:paraId="2DBBAA9E" w14:textId="77777777" w:rsidR="006D4227" w:rsidRDefault="00785C69">
      <w:pPr>
        <w:spacing w:before="240" w:after="240" w:line="276" w:lineRule="auto"/>
        <w:ind w:right="709"/>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0712BDDD" wp14:editId="750A7EF4">
            <wp:extent cx="4259173" cy="6055317"/>
            <wp:effectExtent l="0" t="0" r="0" b="0"/>
            <wp:docPr id="6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6"/>
                    <a:srcRect/>
                    <a:stretch>
                      <a:fillRect/>
                    </a:stretch>
                  </pic:blipFill>
                  <pic:spPr>
                    <a:xfrm>
                      <a:off x="0" y="0"/>
                      <a:ext cx="4259173" cy="6055317"/>
                    </a:xfrm>
                    <a:prstGeom prst="rect">
                      <a:avLst/>
                    </a:prstGeom>
                    <a:ln/>
                  </pic:spPr>
                </pic:pic>
              </a:graphicData>
            </a:graphic>
          </wp:inline>
        </w:drawing>
      </w:r>
      <w:r>
        <w:rPr>
          <w:noProof/>
          <w:lang w:val="es-MX"/>
        </w:rPr>
        <mc:AlternateContent>
          <mc:Choice Requires="wpg">
            <w:drawing>
              <wp:anchor distT="0" distB="0" distL="114300" distR="114300" simplePos="0" relativeHeight="251658240" behindDoc="0" locked="0" layoutInCell="1" hidden="0" allowOverlap="1" wp14:anchorId="2EB55545" wp14:editId="7D951101">
                <wp:simplePos x="0" y="0"/>
                <wp:positionH relativeFrom="column">
                  <wp:posOffset>469900</wp:posOffset>
                </wp:positionH>
                <wp:positionV relativeFrom="paragraph">
                  <wp:posOffset>4483100</wp:posOffset>
                </wp:positionV>
                <wp:extent cx="4095750" cy="762000"/>
                <wp:effectExtent l="0" t="0" r="0" b="0"/>
                <wp:wrapNone/>
                <wp:docPr id="39" name="Rectángulo 39"/>
                <wp:cNvGraphicFramePr/>
                <a:graphic xmlns:a="http://schemas.openxmlformats.org/drawingml/2006/main">
                  <a:graphicData uri="http://schemas.microsoft.com/office/word/2010/wordprocessingShape">
                    <wps:wsp>
                      <wps:cNvSpPr/>
                      <wps:spPr>
                        <a:xfrm>
                          <a:off x="3312413" y="3413288"/>
                          <a:ext cx="4067175" cy="733425"/>
                        </a:xfrm>
                        <a:prstGeom prst="rect">
                          <a:avLst/>
                        </a:prstGeom>
                        <a:noFill/>
                        <a:ln w="28575" cap="flat" cmpd="sng">
                          <a:solidFill>
                            <a:srgbClr val="002060"/>
                          </a:solidFill>
                          <a:prstDash val="solid"/>
                          <a:round/>
                          <a:headEnd type="none" w="sm" len="sm"/>
                          <a:tailEnd type="none" w="sm" len="sm"/>
                        </a:ln>
                      </wps:spPr>
                      <wps:txbx>
                        <w:txbxContent>
                          <w:p w14:paraId="2D0BCDD3" w14:textId="77777777" w:rsidR="006D4227" w:rsidRDefault="006D4227">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469900</wp:posOffset>
                </wp:positionH>
                <wp:positionV relativeFrom="paragraph">
                  <wp:posOffset>4483100</wp:posOffset>
                </wp:positionV>
                <wp:extent cx="4095750" cy="762000"/>
                <wp:effectExtent b="0" l="0" r="0" t="0"/>
                <wp:wrapNone/>
                <wp:docPr id="39" name="image23.png"/>
                <a:graphic>
                  <a:graphicData uri="http://schemas.openxmlformats.org/drawingml/2006/picture">
                    <pic:pic>
                      <pic:nvPicPr>
                        <pic:cNvPr id="0" name="image23.png"/>
                        <pic:cNvPicPr preferRelativeResize="0"/>
                      </pic:nvPicPr>
                      <pic:blipFill>
                        <a:blip r:embed="rId27"/>
                        <a:srcRect/>
                        <a:stretch>
                          <a:fillRect/>
                        </a:stretch>
                      </pic:blipFill>
                      <pic:spPr>
                        <a:xfrm>
                          <a:off x="0" y="0"/>
                          <a:ext cx="4095750" cy="762000"/>
                        </a:xfrm>
                        <a:prstGeom prst="rect"/>
                        <a:ln/>
                      </pic:spPr>
                    </pic:pic>
                  </a:graphicData>
                </a:graphic>
              </wp:anchor>
            </w:drawing>
          </mc:Fallback>
        </mc:AlternateContent>
      </w:r>
    </w:p>
    <w:p w14:paraId="138D3B44" w14:textId="77777777" w:rsidR="006D4227" w:rsidRDefault="00785C69">
      <w:pPr>
        <w:spacing w:before="240" w:after="240" w:line="276" w:lineRule="auto"/>
        <w:ind w:right="709"/>
        <w:jc w:val="center"/>
        <w:rPr>
          <w:rFonts w:ascii="Palatino Linotype" w:eastAsia="Palatino Linotype" w:hAnsi="Palatino Linotype" w:cs="Palatino Linotype"/>
        </w:rPr>
      </w:pPr>
      <w:r>
        <w:rPr>
          <w:noProof/>
          <w:lang w:val="es-MX"/>
        </w:rPr>
        <mc:AlternateContent>
          <mc:Choice Requires="wpg">
            <w:drawing>
              <wp:anchor distT="0" distB="0" distL="114300" distR="114300" simplePos="0" relativeHeight="251659264" behindDoc="0" locked="0" layoutInCell="1" hidden="0" allowOverlap="1" wp14:anchorId="5ABA4481" wp14:editId="36E2ED7E">
                <wp:simplePos x="0" y="0"/>
                <wp:positionH relativeFrom="column">
                  <wp:posOffset>469900</wp:posOffset>
                </wp:positionH>
                <wp:positionV relativeFrom="paragraph">
                  <wp:posOffset>3263900</wp:posOffset>
                </wp:positionV>
                <wp:extent cx="4943475" cy="800100"/>
                <wp:effectExtent l="0" t="0" r="0" b="0"/>
                <wp:wrapNone/>
                <wp:docPr id="40" name="Rectángulo 40"/>
                <wp:cNvGraphicFramePr/>
                <a:graphic xmlns:a="http://schemas.openxmlformats.org/drawingml/2006/main">
                  <a:graphicData uri="http://schemas.microsoft.com/office/word/2010/wordprocessingShape">
                    <wps:wsp>
                      <wps:cNvSpPr/>
                      <wps:spPr>
                        <a:xfrm>
                          <a:off x="2893313" y="3399000"/>
                          <a:ext cx="4905375" cy="762000"/>
                        </a:xfrm>
                        <a:prstGeom prst="rect">
                          <a:avLst/>
                        </a:prstGeom>
                        <a:noFill/>
                        <a:ln w="38100" cap="flat" cmpd="sng">
                          <a:solidFill>
                            <a:srgbClr val="002060"/>
                          </a:solidFill>
                          <a:prstDash val="solid"/>
                          <a:round/>
                          <a:headEnd type="none" w="sm" len="sm"/>
                          <a:tailEnd type="none" w="sm" len="sm"/>
                        </a:ln>
                      </wps:spPr>
                      <wps:txbx>
                        <w:txbxContent>
                          <w:p w14:paraId="16CEF8D6" w14:textId="77777777" w:rsidR="006D4227" w:rsidRDefault="006D4227">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469900</wp:posOffset>
                </wp:positionH>
                <wp:positionV relativeFrom="paragraph">
                  <wp:posOffset>3263900</wp:posOffset>
                </wp:positionV>
                <wp:extent cx="4943475" cy="800100"/>
                <wp:effectExtent b="0" l="0" r="0" t="0"/>
                <wp:wrapNone/>
                <wp:docPr id="40" name="image24.png"/>
                <a:graphic>
                  <a:graphicData uri="http://schemas.openxmlformats.org/drawingml/2006/picture">
                    <pic:pic>
                      <pic:nvPicPr>
                        <pic:cNvPr id="0" name="image24.png"/>
                        <pic:cNvPicPr preferRelativeResize="0"/>
                      </pic:nvPicPr>
                      <pic:blipFill>
                        <a:blip r:embed="rId28"/>
                        <a:srcRect/>
                        <a:stretch>
                          <a:fillRect/>
                        </a:stretch>
                      </pic:blipFill>
                      <pic:spPr>
                        <a:xfrm>
                          <a:off x="0" y="0"/>
                          <a:ext cx="4943475" cy="800100"/>
                        </a:xfrm>
                        <a:prstGeom prst="rect"/>
                        <a:ln/>
                      </pic:spPr>
                    </pic:pic>
                  </a:graphicData>
                </a:graphic>
              </wp:anchor>
            </w:drawing>
          </mc:Fallback>
        </mc:AlternateContent>
      </w:r>
    </w:p>
    <w:p w14:paraId="2C2762F4" w14:textId="77777777" w:rsidR="006D4227" w:rsidRDefault="00785C6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esta tesitura, resulta importante resaltar que </w:t>
      </w:r>
      <w:r>
        <w:rPr>
          <w:rFonts w:ascii="Palatino Linotype" w:eastAsia="Palatino Linotype" w:hAnsi="Palatino Linotype" w:cs="Palatino Linotype"/>
          <w:b/>
        </w:rPr>
        <w:t>la solicitud de información que dio origen al presente recurso de revisión, ingresó en fecha cuatro de febrero de dos mil veintidós</w:t>
      </w:r>
      <w:r>
        <w:rPr>
          <w:rFonts w:ascii="Palatino Linotype" w:eastAsia="Palatino Linotype" w:hAnsi="Palatino Linotype" w:cs="Palatino Linotype"/>
        </w:rPr>
        <w:t>, la cual es coincidente con la emisión del Acuerdo por el que se aprobó la convocatoria para el proceso de certificación bajo el modelo de estándar de competencia laboral EC 1171 denominado “Garantizar el derecho a la protección de datos personales”</w:t>
      </w:r>
      <w:r>
        <w:rPr>
          <w:rFonts w:ascii="Palatino Linotype" w:eastAsia="Palatino Linotype" w:hAnsi="Palatino Linotype" w:cs="Palatino Linotype"/>
          <w:b/>
        </w:rPr>
        <w:t xml:space="preserve"> aprobada por Acuerdo del Pleno de este Instituto en la Cuarta Sesión Ordinaria, celebrada el cuatro de febrero de dos mil veintidós</w:t>
      </w:r>
      <w:r>
        <w:rPr>
          <w:rFonts w:ascii="Palatino Linotype" w:eastAsia="Palatino Linotype" w:hAnsi="Palatino Linotype" w:cs="Palatino Linotype"/>
        </w:rPr>
        <w:t xml:space="preserve">, sirven de mayor referencia las siguientes capturas de pantalla: </w:t>
      </w:r>
    </w:p>
    <w:p w14:paraId="7E0BF228" w14:textId="77777777" w:rsidR="006D4227" w:rsidRDefault="00785C6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3ABDD271" wp14:editId="1F3F0076">
            <wp:extent cx="5486400" cy="762000"/>
            <wp:effectExtent l="0" t="0" r="0" b="0"/>
            <wp:docPr id="6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9"/>
                    <a:srcRect/>
                    <a:stretch>
                      <a:fillRect/>
                    </a:stretch>
                  </pic:blipFill>
                  <pic:spPr>
                    <a:xfrm>
                      <a:off x="0" y="0"/>
                      <a:ext cx="5486400" cy="762000"/>
                    </a:xfrm>
                    <a:prstGeom prst="rect">
                      <a:avLst/>
                    </a:prstGeom>
                    <a:ln/>
                  </pic:spPr>
                </pic:pic>
              </a:graphicData>
            </a:graphic>
          </wp:inline>
        </w:drawing>
      </w:r>
      <w:r>
        <w:rPr>
          <w:noProof/>
          <w:lang w:val="es-MX"/>
        </w:rPr>
        <mc:AlternateContent>
          <mc:Choice Requires="wpg">
            <w:drawing>
              <wp:anchor distT="0" distB="0" distL="114300" distR="114300" simplePos="0" relativeHeight="251660288" behindDoc="0" locked="0" layoutInCell="1" hidden="0" allowOverlap="1" wp14:anchorId="4F016650" wp14:editId="03BEF4CA">
                <wp:simplePos x="0" y="0"/>
                <wp:positionH relativeFrom="column">
                  <wp:posOffset>1282700</wp:posOffset>
                </wp:positionH>
                <wp:positionV relativeFrom="paragraph">
                  <wp:posOffset>495300</wp:posOffset>
                </wp:positionV>
                <wp:extent cx="723900" cy="276225"/>
                <wp:effectExtent l="0" t="0" r="0" b="0"/>
                <wp:wrapNone/>
                <wp:docPr id="43" name="Rectángulo 43"/>
                <wp:cNvGraphicFramePr/>
                <a:graphic xmlns:a="http://schemas.openxmlformats.org/drawingml/2006/main">
                  <a:graphicData uri="http://schemas.microsoft.com/office/word/2010/wordprocessingShape">
                    <wps:wsp>
                      <wps:cNvSpPr/>
                      <wps:spPr>
                        <a:xfrm>
                          <a:off x="4998338" y="3656175"/>
                          <a:ext cx="695325" cy="247650"/>
                        </a:xfrm>
                        <a:prstGeom prst="rect">
                          <a:avLst/>
                        </a:prstGeom>
                        <a:noFill/>
                        <a:ln w="28575" cap="flat" cmpd="sng">
                          <a:solidFill>
                            <a:srgbClr val="002060"/>
                          </a:solidFill>
                          <a:prstDash val="solid"/>
                          <a:round/>
                          <a:headEnd type="none" w="sm" len="sm"/>
                          <a:tailEnd type="none" w="sm" len="sm"/>
                        </a:ln>
                      </wps:spPr>
                      <wps:txbx>
                        <w:txbxContent>
                          <w:p w14:paraId="5C2CCAA7" w14:textId="77777777" w:rsidR="006D4227" w:rsidRDefault="006D4227">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1282700</wp:posOffset>
                </wp:positionH>
                <wp:positionV relativeFrom="paragraph">
                  <wp:posOffset>495300</wp:posOffset>
                </wp:positionV>
                <wp:extent cx="723900" cy="276225"/>
                <wp:effectExtent b="0" l="0" r="0" t="0"/>
                <wp:wrapNone/>
                <wp:docPr id="43" name="image27.png"/>
                <a:graphic>
                  <a:graphicData uri="http://schemas.openxmlformats.org/drawingml/2006/picture">
                    <pic:pic>
                      <pic:nvPicPr>
                        <pic:cNvPr id="0" name="image27.png"/>
                        <pic:cNvPicPr preferRelativeResize="0"/>
                      </pic:nvPicPr>
                      <pic:blipFill>
                        <a:blip r:embed="rId30"/>
                        <a:srcRect/>
                        <a:stretch>
                          <a:fillRect/>
                        </a:stretch>
                      </pic:blipFill>
                      <pic:spPr>
                        <a:xfrm>
                          <a:off x="0" y="0"/>
                          <a:ext cx="723900" cy="276225"/>
                        </a:xfrm>
                        <a:prstGeom prst="rect"/>
                        <a:ln/>
                      </pic:spPr>
                    </pic:pic>
                  </a:graphicData>
                </a:graphic>
              </wp:anchor>
            </w:drawing>
          </mc:Fallback>
        </mc:AlternateContent>
      </w:r>
    </w:p>
    <w:p w14:paraId="2B55E3FA" w14:textId="77777777" w:rsidR="006D4227" w:rsidRDefault="006D4227">
      <w:pPr>
        <w:spacing w:before="240" w:after="240" w:line="360" w:lineRule="auto"/>
        <w:jc w:val="both"/>
        <w:rPr>
          <w:rFonts w:ascii="Palatino Linotype" w:eastAsia="Palatino Linotype" w:hAnsi="Palatino Linotype" w:cs="Palatino Linotype"/>
        </w:rPr>
      </w:pPr>
    </w:p>
    <w:p w14:paraId="1917BE39" w14:textId="77777777" w:rsidR="006D4227" w:rsidRDefault="00785C69">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4FC1A82C" wp14:editId="535D8211">
            <wp:extent cx="4947330" cy="3802115"/>
            <wp:effectExtent l="0" t="0" r="0" b="0"/>
            <wp:docPr id="4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l="6250" t="2203" b="44041"/>
                    <a:stretch>
                      <a:fillRect/>
                    </a:stretch>
                  </pic:blipFill>
                  <pic:spPr>
                    <a:xfrm>
                      <a:off x="0" y="0"/>
                      <a:ext cx="4947330" cy="3802115"/>
                    </a:xfrm>
                    <a:prstGeom prst="rect">
                      <a:avLst/>
                    </a:prstGeom>
                    <a:ln/>
                  </pic:spPr>
                </pic:pic>
              </a:graphicData>
            </a:graphic>
          </wp:inline>
        </w:drawing>
      </w:r>
      <w:r>
        <w:rPr>
          <w:noProof/>
          <w:lang w:val="es-MX"/>
        </w:rPr>
        <mc:AlternateContent>
          <mc:Choice Requires="wps">
            <w:drawing>
              <wp:anchor distT="0" distB="0" distL="114300" distR="114300" simplePos="0" relativeHeight="251661312" behindDoc="0" locked="0" layoutInCell="1" hidden="0" allowOverlap="1" wp14:anchorId="45539719" wp14:editId="32D87A84">
                <wp:simplePos x="0" y="0"/>
                <wp:positionH relativeFrom="column">
                  <wp:posOffset>2933700</wp:posOffset>
                </wp:positionH>
                <wp:positionV relativeFrom="paragraph">
                  <wp:posOffset>457200</wp:posOffset>
                </wp:positionV>
                <wp:extent cx="0" cy="25400"/>
                <wp:effectExtent l="0" t="0" r="0" b="0"/>
                <wp:wrapNone/>
                <wp:docPr id="41" name="Conector recto de flecha 41"/>
                <wp:cNvGraphicFramePr/>
                <a:graphic xmlns:a="http://schemas.openxmlformats.org/drawingml/2006/main">
                  <a:graphicData uri="http://schemas.microsoft.com/office/word/2010/wordprocessingShape">
                    <wps:wsp>
                      <wps:cNvCnPr/>
                      <wps:spPr>
                        <a:xfrm>
                          <a:off x="4207128" y="3780000"/>
                          <a:ext cx="2277745" cy="0"/>
                        </a:xfrm>
                        <a:prstGeom prst="straightConnector1">
                          <a:avLst/>
                        </a:prstGeom>
                        <a:noFill/>
                        <a:ln w="25400" cap="flat" cmpd="sng">
                          <a:solidFill>
                            <a:srgbClr val="00206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2933700</wp:posOffset>
                </wp:positionH>
                <wp:positionV relativeFrom="paragraph">
                  <wp:posOffset>457200</wp:posOffset>
                </wp:positionV>
                <wp:extent cx="0" cy="25400"/>
                <wp:effectExtent b="0" l="0" r="0" t="0"/>
                <wp:wrapNone/>
                <wp:docPr id="41" name="image25.png"/>
                <a:graphic>
                  <a:graphicData uri="http://schemas.openxmlformats.org/drawingml/2006/picture">
                    <pic:pic>
                      <pic:nvPicPr>
                        <pic:cNvPr id="0" name="image25.png"/>
                        <pic:cNvPicPr preferRelativeResize="0"/>
                      </pic:nvPicPr>
                      <pic:blipFill>
                        <a:blip r:embed="rId32"/>
                        <a:srcRect/>
                        <a:stretch>
                          <a:fillRect/>
                        </a:stretch>
                      </pic:blipFill>
                      <pic:spPr>
                        <a:xfrm>
                          <a:off x="0" y="0"/>
                          <a:ext cx="0" cy="25400"/>
                        </a:xfrm>
                        <a:prstGeom prst="rect"/>
                        <a:ln/>
                      </pic:spPr>
                    </pic:pic>
                  </a:graphicData>
                </a:graphic>
              </wp:anchor>
            </w:drawing>
          </mc:Fallback>
        </mc:AlternateContent>
      </w:r>
      <w:r>
        <w:rPr>
          <w:noProof/>
          <w:lang w:val="es-MX"/>
        </w:rPr>
        <mc:AlternateContent>
          <mc:Choice Requires="wpg">
            <w:drawing>
              <wp:anchor distT="0" distB="0" distL="114300" distR="114300" simplePos="0" relativeHeight="251662336" behindDoc="0" locked="0" layoutInCell="1" hidden="0" allowOverlap="1" wp14:anchorId="35E0EB07" wp14:editId="10A5338D">
                <wp:simplePos x="0" y="0"/>
                <wp:positionH relativeFrom="column">
                  <wp:posOffset>431800</wp:posOffset>
                </wp:positionH>
                <wp:positionV relativeFrom="paragraph">
                  <wp:posOffset>2946400</wp:posOffset>
                </wp:positionV>
                <wp:extent cx="4714875" cy="809625"/>
                <wp:effectExtent l="0" t="0" r="0" b="0"/>
                <wp:wrapNone/>
                <wp:docPr id="42" name="Rectángulo 42"/>
                <wp:cNvGraphicFramePr/>
                <a:graphic xmlns:a="http://schemas.openxmlformats.org/drawingml/2006/main">
                  <a:graphicData uri="http://schemas.microsoft.com/office/word/2010/wordprocessingShape">
                    <wps:wsp>
                      <wps:cNvSpPr/>
                      <wps:spPr>
                        <a:xfrm>
                          <a:off x="3007613" y="3394238"/>
                          <a:ext cx="4676775" cy="771525"/>
                        </a:xfrm>
                        <a:prstGeom prst="rect">
                          <a:avLst/>
                        </a:prstGeom>
                        <a:noFill/>
                        <a:ln w="38100" cap="flat" cmpd="sng">
                          <a:solidFill>
                            <a:srgbClr val="002060"/>
                          </a:solidFill>
                          <a:prstDash val="solid"/>
                          <a:round/>
                          <a:headEnd type="none" w="sm" len="sm"/>
                          <a:tailEnd type="none" w="sm" len="sm"/>
                        </a:ln>
                      </wps:spPr>
                      <wps:txbx>
                        <w:txbxContent>
                          <w:p w14:paraId="41351B72" w14:textId="77777777" w:rsidR="006D4227" w:rsidRDefault="006D4227">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431800</wp:posOffset>
                </wp:positionH>
                <wp:positionV relativeFrom="paragraph">
                  <wp:posOffset>2946400</wp:posOffset>
                </wp:positionV>
                <wp:extent cx="4714875" cy="809625"/>
                <wp:effectExtent b="0" l="0" r="0" t="0"/>
                <wp:wrapNone/>
                <wp:docPr id="42" name="image26.png"/>
                <a:graphic>
                  <a:graphicData uri="http://schemas.openxmlformats.org/drawingml/2006/picture">
                    <pic:pic>
                      <pic:nvPicPr>
                        <pic:cNvPr id="0" name="image26.png"/>
                        <pic:cNvPicPr preferRelativeResize="0"/>
                      </pic:nvPicPr>
                      <pic:blipFill>
                        <a:blip r:embed="rId33"/>
                        <a:srcRect/>
                        <a:stretch>
                          <a:fillRect/>
                        </a:stretch>
                      </pic:blipFill>
                      <pic:spPr>
                        <a:xfrm>
                          <a:off x="0" y="0"/>
                          <a:ext cx="4714875" cy="809625"/>
                        </a:xfrm>
                        <a:prstGeom prst="rect"/>
                        <a:ln/>
                      </pic:spPr>
                    </pic:pic>
                  </a:graphicData>
                </a:graphic>
              </wp:anchor>
            </w:drawing>
          </mc:Fallback>
        </mc:AlternateContent>
      </w:r>
    </w:p>
    <w:p w14:paraId="3EE9405D" w14:textId="77777777" w:rsidR="006D4227" w:rsidRDefault="00785C69">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Bajo esta lógica, se tiene que  al haber existido un pronunciamiento por parte de la Servidora Pública Habilitada competente, 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14:paraId="1556F758" w14:textId="77777777" w:rsidR="006D4227" w:rsidRDefault="00785C69">
      <w:pPr>
        <w:tabs>
          <w:tab w:val="left" w:pos="709"/>
        </w:tabs>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Pr>
          <w:rFonts w:ascii="Palatino Linotype" w:eastAsia="Palatino Linotype" w:hAnsi="Palatino Linotype" w:cs="Palatino Linotype"/>
          <w:b/>
          <w:i/>
          <w:sz w:val="22"/>
          <w:szCs w:val="22"/>
        </w:rPr>
        <w:t>”</w:t>
      </w:r>
    </w:p>
    <w:p w14:paraId="445BB05A" w14:textId="77777777" w:rsidR="006D4227" w:rsidRDefault="00785C6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Determinado lo anterior es pertinente mencionar que de las actuaciones que integran el expediente electrónico, referidas con antelación, este Instituto advierte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la información con la que contaba hasta el momento de la presentación de la solicitud, por lo tanto, no cabía la posibilidad de entregar el listado de personas que cuentan con resultado “competente” en la obtención del estándar de competencia EC 1171, en razón de que se encontraba en proceso, en consecuencia, privilegiando el principio de máxima publicidad, el Sujeto Obligado remitió la información que obraba en sus archivos por generarla, poseerla o administrarla.</w:t>
      </w:r>
    </w:p>
    <w:p w14:paraId="0C894E2E" w14:textId="77777777" w:rsidR="006D4227" w:rsidRDefault="00785C6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este sentido, cabe traer a cuenta lo previsto por el artículo 12, párrafo segundo de la Ley de Transparencia y Acceso a la Información Pública del Estado de México y Municipios que la letra establece:</w:t>
      </w:r>
    </w:p>
    <w:p w14:paraId="0A88FA41" w14:textId="77777777" w:rsidR="006D4227" w:rsidRDefault="00785C69">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 </w:t>
      </w:r>
    </w:p>
    <w:p w14:paraId="43F5444A" w14:textId="77777777" w:rsidR="006D4227" w:rsidRDefault="00785C69">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34998F6" w14:textId="77777777" w:rsidR="006D4227" w:rsidRDefault="00785C69">
      <w:pPr>
        <w:widowControl w:val="0"/>
        <w:tabs>
          <w:tab w:val="left" w:pos="1701"/>
          <w:tab w:val="left" w:pos="1843"/>
        </w:tabs>
        <w:spacing w:before="240" w:after="240" w:line="360" w:lineRule="auto"/>
        <w:jc w:val="both"/>
        <w:rPr>
          <w:rFonts w:ascii="Palatino Linotype" w:eastAsia="Palatino Linotype" w:hAnsi="Palatino Linotype" w:cs="Palatino Linotype"/>
        </w:rPr>
      </w:pPr>
      <w:bookmarkStart w:id="1" w:name="_heading=h.gjdgxs" w:colFirst="0" w:colLast="0"/>
      <w:bookmarkEnd w:id="1"/>
      <w:r>
        <w:rPr>
          <w:rFonts w:ascii="Palatino Linotype" w:eastAsia="Palatino Linotype" w:hAnsi="Palatino Linotype" w:cs="Palatino Linotype"/>
        </w:rPr>
        <w:t xml:space="preserve">En mérito de lo expuesto, con fundamento en el artículo 186, fracciones II y III, de la Ley de Transparencia y Acceso a la Información Pública del Estado de México y Municipios; esta Autoridad estima que las razones o motivos de inconformidad hechos valer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devienen infundados; por lo que, lo procedente es </w:t>
      </w:r>
      <w:r>
        <w:rPr>
          <w:rFonts w:ascii="Palatino Linotype" w:eastAsia="Palatino Linotype" w:hAnsi="Palatino Linotype" w:cs="Palatino Linotype"/>
          <w:b/>
        </w:rPr>
        <w:t>CONFIRMAR</w:t>
      </w:r>
      <w:r>
        <w:rPr>
          <w:rFonts w:ascii="Palatino Linotype" w:eastAsia="Palatino Linotype" w:hAnsi="Palatino Linotype" w:cs="Palatino Linotype"/>
        </w:rPr>
        <w:t xml:space="preserve">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14:paraId="297DD32F" w14:textId="77777777" w:rsidR="006D4227" w:rsidRDefault="00785C6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w:t>
      </w:r>
      <w:r>
        <w:rPr>
          <w:rFonts w:ascii="Palatino Linotype" w:eastAsia="Palatino Linotype" w:hAnsi="Palatino Linotype" w:cs="Palatino Linotype"/>
          <w:highlight w:val="white"/>
        </w:rPr>
        <w:t xml:space="preserve">párrafos trigésimo, trigésimo primero y trigésimo segundo, fracciones IV y V </w:t>
      </w:r>
      <w:r>
        <w:rPr>
          <w:rFonts w:ascii="Palatino Linotype" w:eastAsia="Palatino Linotype" w:hAnsi="Palatino Linotype" w:cs="Palatino Linotype"/>
        </w:rPr>
        <w:t>de la Constitución Política del Estado Libre y Soberano de México; 2, fracción II; 29, 36 fracciones I y II; 176, 178, 181, 185 de la Ley de Transparencia y Acceso a la Información Pública del Estado de México y Municipios, este Pleno:</w:t>
      </w:r>
    </w:p>
    <w:p w14:paraId="5B1B864B" w14:textId="77777777" w:rsidR="006D4227" w:rsidRDefault="00785C69">
      <w:pPr>
        <w:numPr>
          <w:ilvl w:val="0"/>
          <w:numId w:val="3"/>
        </w:numPr>
        <w:spacing w:before="240" w:after="240" w:line="360" w:lineRule="auto"/>
        <w:ind w:left="284" w:hanging="426"/>
        <w:jc w:val="center"/>
        <w:rPr>
          <w:rFonts w:ascii="Palatino Linotype" w:eastAsia="Palatino Linotype" w:hAnsi="Palatino Linotype" w:cs="Palatino Linotype"/>
          <w:b/>
        </w:rPr>
      </w:pPr>
      <w:r>
        <w:rPr>
          <w:rFonts w:ascii="Palatino Linotype" w:eastAsia="Palatino Linotype" w:hAnsi="Palatino Linotype" w:cs="Palatino Linotype"/>
          <w:b/>
        </w:rPr>
        <w:t>R E S U E L V E:</w:t>
      </w:r>
    </w:p>
    <w:p w14:paraId="49FBCB61" w14:textId="77777777" w:rsidR="006D4227" w:rsidRDefault="00785C69">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Primero. </w:t>
      </w:r>
      <w:r>
        <w:rPr>
          <w:rFonts w:ascii="Palatino Linotype" w:eastAsia="Palatino Linotype" w:hAnsi="Palatino Linotype" w:cs="Palatino Linotype"/>
        </w:rPr>
        <w:t>Resultan</w:t>
      </w:r>
      <w:r>
        <w:rPr>
          <w:rFonts w:ascii="Palatino Linotype" w:eastAsia="Palatino Linotype" w:hAnsi="Palatino Linotype" w:cs="Palatino Linotype"/>
          <w:b/>
        </w:rPr>
        <w:t xml:space="preserve"> infundados </w:t>
      </w:r>
      <w:r>
        <w:rPr>
          <w:rFonts w:ascii="Palatino Linotype" w:eastAsia="Palatino Linotype" w:hAnsi="Palatino Linotype" w:cs="Palatino Linotype"/>
        </w:rPr>
        <w:t xml:space="preserve">los motivos de inconformidad aducidos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el Recurso de revisión</w:t>
      </w:r>
      <w:r>
        <w:rPr>
          <w:rFonts w:ascii="Palatino Linotype" w:eastAsia="Palatino Linotype" w:hAnsi="Palatino Linotype" w:cs="Palatino Linotype"/>
          <w:b/>
        </w:rPr>
        <w:t xml:space="preserve"> 03484/INFOEM/IP/RR/2022, </w:t>
      </w:r>
      <w:r>
        <w:rPr>
          <w:rFonts w:ascii="Palatino Linotype" w:eastAsia="Palatino Linotype" w:hAnsi="Palatino Linotype" w:cs="Palatino Linotype"/>
        </w:rPr>
        <w:t xml:space="preserve">por lo que, en términos de los argumentos señalados en el </w:t>
      </w:r>
      <w:r>
        <w:rPr>
          <w:rFonts w:ascii="Palatino Linotype" w:eastAsia="Palatino Linotype" w:hAnsi="Palatino Linotype" w:cs="Palatino Linotype"/>
          <w:b/>
        </w:rPr>
        <w:t xml:space="preserve">Considerando Cuarto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CONFIRMA </w:t>
      </w:r>
      <w:r>
        <w:rPr>
          <w:rFonts w:ascii="Palatino Linotype" w:eastAsia="Palatino Linotype" w:hAnsi="Palatino Linotype" w:cs="Palatino Linotype"/>
        </w:rPr>
        <w:t>la respuesta emitida por el</w:t>
      </w:r>
      <w:r>
        <w:rPr>
          <w:rFonts w:ascii="Palatino Linotype" w:eastAsia="Palatino Linotype" w:hAnsi="Palatino Linotype" w:cs="Palatino Linotype"/>
          <w:b/>
        </w:rPr>
        <w:t xml:space="preserve"> Sujeto Obligado.</w:t>
      </w:r>
    </w:p>
    <w:p w14:paraId="5BB623CD" w14:textId="77777777" w:rsidR="006D4227" w:rsidRDefault="00785C6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highlight w:val="white"/>
        </w:rPr>
        <w:t>Segundo</w:t>
      </w:r>
      <w:r>
        <w:rPr>
          <w:rFonts w:ascii="Palatino Linotype" w:eastAsia="Palatino Linotype" w:hAnsi="Palatino Linotype" w:cs="Palatino Linotype"/>
          <w:b/>
          <w:sz w:val="28"/>
          <w:szCs w:val="28"/>
          <w:highlight w:val="white"/>
        </w:rPr>
        <w:t>.</w:t>
      </w:r>
      <w:r>
        <w:rPr>
          <w:rFonts w:ascii="Palatino Linotype" w:eastAsia="Palatino Linotype" w:hAnsi="Palatino Linotype" w:cs="Palatino Linotype"/>
          <w:b/>
          <w:sz w:val="19"/>
          <w:szCs w:val="19"/>
          <w:highlight w:val="white"/>
        </w:rPr>
        <w:t xml:space="preserve"> </w:t>
      </w:r>
      <w:r>
        <w:rPr>
          <w:rFonts w:ascii="Palatino Linotype" w:eastAsia="Palatino Linotype" w:hAnsi="Palatino Linotype" w:cs="Palatino Linotype"/>
        </w:rPr>
        <w:t>Notifíquese al Titular de la Unidad de Transparencia, vía Sistema de Acceso a la Información Mexiquense (SAIMEX)</w:t>
      </w:r>
      <w:r>
        <w:rPr>
          <w:rFonts w:ascii="Palatino Linotype" w:eastAsia="Palatino Linotype" w:hAnsi="Palatino Linotype" w:cs="Palatino Linotype"/>
          <w:b/>
        </w:rPr>
        <w:t>,</w:t>
      </w:r>
      <w:r>
        <w:rPr>
          <w:rFonts w:ascii="Palatino Linotype" w:eastAsia="Palatino Linotype" w:hAnsi="Palatino Linotype" w:cs="Palatino Linotype"/>
        </w:rPr>
        <w:t xml:space="preserve"> para su conocimiento.</w:t>
      </w:r>
    </w:p>
    <w:p w14:paraId="758847F6" w14:textId="77777777" w:rsidR="006D4227" w:rsidRDefault="00785C69">
      <w:pPr>
        <w:spacing w:before="240" w:after="240" w:line="360" w:lineRule="auto"/>
        <w:jc w:val="both"/>
        <w:rPr>
          <w:rFonts w:ascii="Palatino Linotype" w:eastAsia="Palatino Linotype" w:hAnsi="Palatino Linotype" w:cs="Palatino Linotype"/>
          <w:b/>
          <w:color w:val="FF0000"/>
          <w:highlight w:val="yellow"/>
        </w:rPr>
      </w:pPr>
      <w:bookmarkStart w:id="2" w:name="_heading=h.30j0zll" w:colFirst="0" w:colLast="0"/>
      <w:bookmarkEnd w:id="2"/>
      <w:r>
        <w:rPr>
          <w:rFonts w:ascii="Palatino Linotype" w:eastAsia="Palatino Linotype" w:hAnsi="Palatino Linotype" w:cs="Palatino Linotype"/>
          <w:b/>
          <w:highlight w:val="white"/>
        </w:rPr>
        <w:t>Tercero.</w:t>
      </w:r>
      <w:r>
        <w:rPr>
          <w:rFonts w:ascii="Palatino Linotype" w:eastAsia="Palatino Linotype" w:hAnsi="Palatino Linotype" w:cs="Palatino Linotype"/>
          <w:b/>
          <w:sz w:val="28"/>
          <w:szCs w:val="28"/>
          <w:highlight w:val="white"/>
        </w:rPr>
        <w:t xml:space="preserve"> </w:t>
      </w:r>
      <w:r>
        <w:rPr>
          <w:rFonts w:ascii="Palatino Linotype" w:eastAsia="Palatino Linotype" w:hAnsi="Palatino Linotype" w:cs="Palatino Linotype"/>
        </w:rPr>
        <w:t>Notifíquese vía Sistema de Acceso a la Información Mexiquense (SAIMEX)</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la presente resolución a la parte Recurrente, así como, que de conformidad con lo establecido en el artículo 196 de la Ley de Transparencia y Acceso a la Información Pública del Estado de México y Municipios, podrá impugnarla vía </w:t>
      </w:r>
      <w:r>
        <w:rPr>
          <w:rFonts w:ascii="Palatino Linotype" w:eastAsia="Palatino Linotype" w:hAnsi="Palatino Linotype" w:cs="Palatino Linotype"/>
          <w:b/>
        </w:rPr>
        <w:t>Juicio de Amparo</w:t>
      </w:r>
      <w:r>
        <w:rPr>
          <w:rFonts w:ascii="Palatino Linotype" w:eastAsia="Palatino Linotype" w:hAnsi="Palatino Linotype" w:cs="Palatino Linotype"/>
        </w:rPr>
        <w:t xml:space="preserve"> en los términos de las leyes aplicables.</w:t>
      </w:r>
    </w:p>
    <w:p w14:paraId="083D9611" w14:textId="7D9F19A7" w:rsidR="006D4227" w:rsidRDefault="00785C69">
      <w:pPr>
        <w:spacing w:before="240" w:after="240" w:line="360" w:lineRule="auto"/>
        <w:jc w:val="both"/>
        <w:rPr>
          <w:rFonts w:ascii="Palatino Linotype" w:eastAsia="Palatino Linotype" w:hAnsi="Palatino Linotype" w:cs="Palatino Linotype"/>
        </w:rPr>
        <w:sectPr w:rsidR="006D4227">
          <w:headerReference w:type="default" r:id="rId34"/>
          <w:footerReference w:type="default" r:id="rId35"/>
          <w:headerReference w:type="first" r:id="rId36"/>
          <w:footerReference w:type="first" r:id="rId37"/>
          <w:pgSz w:w="12240" w:h="15840"/>
          <w:pgMar w:top="1417" w:right="1892" w:bottom="1417" w:left="1701" w:header="708" w:footer="708" w:gutter="0"/>
          <w:pgNumType w:start="1"/>
          <w:cols w:space="720"/>
          <w:titlePg/>
        </w:sectPr>
      </w:pPr>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w:t>
      </w:r>
      <w:r w:rsidR="00422420">
        <w:rPr>
          <w:rFonts w:ascii="Palatino Linotype" w:eastAsia="Palatino Linotype" w:hAnsi="Palatino Linotype" w:cs="Palatino Linotype"/>
        </w:rPr>
        <w:t>SHARON CRISTINA MORALES MARTÍNEZ;</w:t>
      </w:r>
      <w:r>
        <w:rPr>
          <w:rFonts w:ascii="Palatino Linotype" w:eastAsia="Palatino Linotype" w:hAnsi="Palatino Linotype" w:cs="Palatino Linotype"/>
        </w:rPr>
        <w:t xml:space="preserve"> LUIS GUSTAVO PARRA NORIEGA; </w:t>
      </w:r>
      <w:r w:rsidR="00422420">
        <w:rPr>
          <w:rFonts w:ascii="Palatino Linotype" w:eastAsia="Palatino Linotype" w:hAnsi="Palatino Linotype" w:cs="Palatino Linotype"/>
        </w:rPr>
        <w:t xml:space="preserve">Y GUADALUPE RAMÍREZ PEÑA, </w:t>
      </w:r>
      <w:r>
        <w:rPr>
          <w:rFonts w:ascii="Palatino Linotype" w:eastAsia="Palatino Linotype" w:hAnsi="Palatino Linotype" w:cs="Palatino Linotype"/>
        </w:rPr>
        <w:t>EN LA VIGÉSIMA SEGUNDA SESIÓN ORDINARIA CELEBRADA EL QUINCE DE JUNIO DEL DOS MIL VEINTIDÓS, ANTE EL SECRETARIO TÉCNICO DEL PLENO, ALEXIS TAPIA RAMÍREZ.</w:t>
      </w:r>
    </w:p>
    <w:p w14:paraId="3DB2BAA8" w14:textId="77777777" w:rsidR="006D4227" w:rsidRDefault="006D422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14:paraId="0CAF8684" w14:textId="77777777" w:rsidR="006D4227" w:rsidRDefault="006D422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14:paraId="44C8345E" w14:textId="77777777" w:rsidR="006D4227" w:rsidRDefault="006D422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sectPr w:rsidR="006D4227">
      <w:headerReference w:type="first" r:id="rId38"/>
      <w:pgSz w:w="12240" w:h="15840"/>
      <w:pgMar w:top="1417" w:right="1701" w:bottom="1417" w:left="1701" w:header="708" w:footer="70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6429A4" w14:textId="77777777" w:rsidR="001D5312" w:rsidRDefault="001D5312">
      <w:r>
        <w:separator/>
      </w:r>
    </w:p>
  </w:endnote>
  <w:endnote w:type="continuationSeparator" w:id="0">
    <w:p w14:paraId="61E34C90" w14:textId="77777777" w:rsidR="001D5312" w:rsidRDefault="001D5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27A56" w14:textId="77777777" w:rsidR="006D4227" w:rsidRDefault="00785C6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B75F9">
      <w:rPr>
        <w:rFonts w:ascii="Arial" w:eastAsia="Arial" w:hAnsi="Arial" w:cs="Arial"/>
        <w:b/>
        <w:noProof/>
        <w:color w:val="000000"/>
        <w:sz w:val="20"/>
        <w:szCs w:val="20"/>
      </w:rPr>
      <w:t>13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B75F9">
      <w:rPr>
        <w:rFonts w:ascii="Arial" w:eastAsia="Arial" w:hAnsi="Arial" w:cs="Arial"/>
        <w:b/>
        <w:noProof/>
        <w:color w:val="000000"/>
        <w:sz w:val="20"/>
        <w:szCs w:val="20"/>
      </w:rPr>
      <w:t>50</w:t>
    </w:r>
    <w:r>
      <w:rPr>
        <w:rFonts w:ascii="Arial" w:eastAsia="Arial" w:hAnsi="Arial" w:cs="Arial"/>
        <w:b/>
        <w:color w:val="000000"/>
        <w:sz w:val="20"/>
        <w:szCs w:val="20"/>
      </w:rPr>
      <w:fldChar w:fldCharType="end"/>
    </w:r>
  </w:p>
  <w:p w14:paraId="030C1D06" w14:textId="77777777" w:rsidR="006D4227" w:rsidRDefault="006D4227">
    <w:pPr>
      <w:pBdr>
        <w:top w:val="nil"/>
        <w:left w:val="nil"/>
        <w:bottom w:val="nil"/>
        <w:right w:val="nil"/>
        <w:between w:val="nil"/>
      </w:pBdr>
      <w:tabs>
        <w:tab w:val="center" w:pos="4252"/>
        <w:tab w:val="right" w:pos="8504"/>
      </w:tabs>
      <w:rPr>
        <w:color w:val="000000"/>
      </w:rPr>
    </w:pPr>
  </w:p>
  <w:p w14:paraId="02C21240" w14:textId="77777777" w:rsidR="006D4227" w:rsidRDefault="006D4227">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CEAD1" w14:textId="77777777" w:rsidR="006D4227" w:rsidRDefault="00785C6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B75F9">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B75F9">
      <w:rPr>
        <w:rFonts w:ascii="Arial" w:eastAsia="Arial" w:hAnsi="Arial" w:cs="Arial"/>
        <w:b/>
        <w:noProof/>
        <w:color w:val="000000"/>
        <w:sz w:val="20"/>
        <w:szCs w:val="20"/>
      </w:rPr>
      <w:t>50</w:t>
    </w:r>
    <w:r>
      <w:rPr>
        <w:rFonts w:ascii="Arial" w:eastAsia="Arial" w:hAnsi="Arial" w:cs="Arial"/>
        <w:b/>
        <w:color w:val="000000"/>
        <w:sz w:val="20"/>
        <w:szCs w:val="20"/>
      </w:rPr>
      <w:fldChar w:fldCharType="end"/>
    </w:r>
  </w:p>
  <w:p w14:paraId="78992020" w14:textId="77777777" w:rsidR="006D4227" w:rsidRDefault="006D4227">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EF6DEC" w14:textId="77777777" w:rsidR="001D5312" w:rsidRDefault="001D5312">
      <w:r>
        <w:separator/>
      </w:r>
    </w:p>
  </w:footnote>
  <w:footnote w:type="continuationSeparator" w:id="0">
    <w:p w14:paraId="6D5BB8BD" w14:textId="77777777" w:rsidR="001D5312" w:rsidRDefault="001D5312">
      <w:r>
        <w:continuationSeparator/>
      </w:r>
    </w:p>
  </w:footnote>
  <w:footnote w:id="1">
    <w:p w14:paraId="72CDEF62" w14:textId="77777777" w:rsidR="006D4227" w:rsidRDefault="00785C69">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61657012" w14:textId="77777777" w:rsidR="006D4227" w:rsidRDefault="00785C6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0223BF" w14:textId="77777777" w:rsidR="006D4227" w:rsidRDefault="006D4227">
    <w:pPr>
      <w:widowControl w:val="0"/>
      <w:pBdr>
        <w:top w:val="nil"/>
        <w:left w:val="nil"/>
        <w:bottom w:val="nil"/>
        <w:right w:val="nil"/>
        <w:between w:val="nil"/>
      </w:pBdr>
      <w:spacing w:line="276" w:lineRule="auto"/>
      <w:rPr>
        <w:rFonts w:ascii="Cambria" w:eastAsia="Cambria" w:hAnsi="Cambria" w:cs="Cambria"/>
        <w:color w:val="000000"/>
      </w:rPr>
    </w:pPr>
  </w:p>
  <w:tbl>
    <w:tblPr>
      <w:tblStyle w:val="a0"/>
      <w:tblW w:w="6240" w:type="dxa"/>
      <w:tblInd w:w="3746" w:type="dxa"/>
      <w:tblLayout w:type="fixed"/>
      <w:tblLook w:val="0400" w:firstRow="0" w:lastRow="0" w:firstColumn="0" w:lastColumn="0" w:noHBand="0" w:noVBand="1"/>
    </w:tblPr>
    <w:tblGrid>
      <w:gridCol w:w="2553"/>
      <w:gridCol w:w="3687"/>
    </w:tblGrid>
    <w:tr w:rsidR="006D4227" w14:paraId="5E3EA191" w14:textId="77777777">
      <w:tc>
        <w:tcPr>
          <w:tcW w:w="2553" w:type="dxa"/>
          <w:vAlign w:val="center"/>
        </w:tcPr>
        <w:p w14:paraId="2822497A" w14:textId="77777777" w:rsidR="006D4227" w:rsidRDefault="00785C6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4669A729" w14:textId="77777777" w:rsidR="006D4227" w:rsidRDefault="00785C6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03484/INFOEM/IP/RR/2022</w:t>
          </w:r>
        </w:p>
      </w:tc>
    </w:tr>
    <w:tr w:rsidR="006D4227" w14:paraId="7077462B" w14:textId="77777777">
      <w:trPr>
        <w:trHeight w:val="228"/>
      </w:trPr>
      <w:tc>
        <w:tcPr>
          <w:tcW w:w="2553" w:type="dxa"/>
          <w:vAlign w:val="center"/>
        </w:tcPr>
        <w:p w14:paraId="23C91111" w14:textId="77777777" w:rsidR="006D4227" w:rsidRDefault="00785C6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73A08766" w14:textId="77777777" w:rsidR="006D4227" w:rsidRDefault="00785C69">
          <w:pPr>
            <w:ind w:right="66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Instituto de Transparencia, Acceso a la Información Pública y Protección de Datos Personales del Estado de México y Municipios</w:t>
          </w:r>
        </w:p>
      </w:tc>
    </w:tr>
    <w:tr w:rsidR="006D4227" w14:paraId="4EF9D488" w14:textId="77777777">
      <w:tc>
        <w:tcPr>
          <w:tcW w:w="2553" w:type="dxa"/>
          <w:vAlign w:val="center"/>
        </w:tcPr>
        <w:p w14:paraId="2ACBD20A" w14:textId="77777777" w:rsidR="006D4227" w:rsidRDefault="00785C6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68458B31" w14:textId="77777777" w:rsidR="006D4227" w:rsidRDefault="00785C69">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15B374D" w14:textId="77777777" w:rsidR="006D4227" w:rsidRDefault="00785C69">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r>
      <w:rPr>
        <w:noProof/>
        <w:lang w:val="es-MX"/>
      </w:rPr>
      <w:drawing>
        <wp:anchor distT="0" distB="0" distL="0" distR="0" simplePos="0" relativeHeight="251658240" behindDoc="1" locked="0" layoutInCell="1" hidden="0" allowOverlap="1" wp14:anchorId="5E0E0438" wp14:editId="5AC4C43D">
          <wp:simplePos x="0" y="0"/>
          <wp:positionH relativeFrom="column">
            <wp:posOffset>-1080134</wp:posOffset>
          </wp:positionH>
          <wp:positionV relativeFrom="paragraph">
            <wp:posOffset>-1659889</wp:posOffset>
          </wp:positionV>
          <wp:extent cx="7635600" cy="9943200"/>
          <wp:effectExtent l="0" t="0" r="0" b="0"/>
          <wp:wrapNone/>
          <wp:docPr id="6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p w14:paraId="03657345" w14:textId="77777777" w:rsidR="006D4227" w:rsidRDefault="006D4227">
    <w:pPr>
      <w:pBdr>
        <w:top w:val="nil"/>
        <w:left w:val="nil"/>
        <w:bottom w:val="nil"/>
        <w:right w:val="nil"/>
        <w:between w:val="nil"/>
      </w:pBdr>
      <w:tabs>
        <w:tab w:val="center" w:pos="4252"/>
        <w:tab w:val="right" w:pos="8504"/>
        <w:tab w:val="left" w:pos="2326"/>
      </w:tabs>
      <w:rPr>
        <w:rFonts w:ascii="Cambria" w:eastAsia="Cambria" w:hAnsi="Cambria" w:cs="Cambria"/>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F34BBA" w14:textId="77777777" w:rsidR="006D4227" w:rsidRDefault="00785C69">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14:anchorId="49A94794" wp14:editId="7E2BD66C">
          <wp:simplePos x="0" y="0"/>
          <wp:positionH relativeFrom="column">
            <wp:posOffset>-1080134</wp:posOffset>
          </wp:positionH>
          <wp:positionV relativeFrom="paragraph">
            <wp:posOffset>-343534</wp:posOffset>
          </wp:positionV>
          <wp:extent cx="7635600" cy="9943200"/>
          <wp:effectExtent l="0" t="0" r="0" b="0"/>
          <wp:wrapNone/>
          <wp:docPr id="4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
      <w:tblW w:w="6240" w:type="dxa"/>
      <w:tblInd w:w="3685" w:type="dxa"/>
      <w:tblLayout w:type="fixed"/>
      <w:tblLook w:val="0400" w:firstRow="0" w:lastRow="0" w:firstColumn="0" w:lastColumn="0" w:noHBand="0" w:noVBand="1"/>
    </w:tblPr>
    <w:tblGrid>
      <w:gridCol w:w="2553"/>
      <w:gridCol w:w="3687"/>
    </w:tblGrid>
    <w:tr w:rsidR="006D4227" w14:paraId="3AE06368" w14:textId="77777777">
      <w:tc>
        <w:tcPr>
          <w:tcW w:w="2553" w:type="dxa"/>
          <w:vAlign w:val="center"/>
        </w:tcPr>
        <w:p w14:paraId="30ACD6C5" w14:textId="77777777" w:rsidR="006D4227" w:rsidRDefault="00785C6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71B7FFE2" w14:textId="77777777" w:rsidR="006D4227" w:rsidRDefault="00785C6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03484/INFOEM/IP/RR/2022</w:t>
          </w:r>
        </w:p>
      </w:tc>
    </w:tr>
    <w:tr w:rsidR="006D4227" w14:paraId="78EDB137" w14:textId="77777777">
      <w:tc>
        <w:tcPr>
          <w:tcW w:w="2553" w:type="dxa"/>
          <w:vAlign w:val="center"/>
        </w:tcPr>
        <w:p w14:paraId="4D52729C" w14:textId="77777777" w:rsidR="006D4227" w:rsidRDefault="00785C6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14:paraId="6F039EBD" w14:textId="3DD26E45" w:rsidR="006D4227" w:rsidRDefault="002B75F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 XXXXXXX </w:t>
          </w:r>
          <w:proofErr w:type="spellStart"/>
          <w:r>
            <w:rPr>
              <w:rFonts w:ascii="Palatino Linotype" w:eastAsia="Palatino Linotype" w:hAnsi="Palatino Linotype" w:cs="Palatino Linotype"/>
              <w:b/>
              <w:sz w:val="22"/>
              <w:szCs w:val="22"/>
            </w:rPr>
            <w:t>XXXXXXX</w:t>
          </w:r>
          <w:proofErr w:type="spellEnd"/>
        </w:p>
      </w:tc>
    </w:tr>
    <w:tr w:rsidR="006D4227" w14:paraId="4346D4FF" w14:textId="77777777">
      <w:trPr>
        <w:trHeight w:val="228"/>
      </w:trPr>
      <w:tc>
        <w:tcPr>
          <w:tcW w:w="2553" w:type="dxa"/>
          <w:vAlign w:val="center"/>
        </w:tcPr>
        <w:p w14:paraId="51B49539" w14:textId="77777777" w:rsidR="006D4227" w:rsidRDefault="00785C6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17CD8A7E" w14:textId="77777777" w:rsidR="006D4227" w:rsidRDefault="00785C69">
          <w:pPr>
            <w:ind w:right="7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Instituto de Transparencia, Acceso a la Información Pública y Protección de Datos Personales del Estado de México y Municipios</w:t>
          </w:r>
        </w:p>
      </w:tc>
    </w:tr>
    <w:tr w:rsidR="006D4227" w14:paraId="0CD1305A" w14:textId="77777777">
      <w:tc>
        <w:tcPr>
          <w:tcW w:w="2553" w:type="dxa"/>
          <w:vAlign w:val="center"/>
        </w:tcPr>
        <w:p w14:paraId="0F661095" w14:textId="77777777" w:rsidR="006D4227" w:rsidRDefault="00785C6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5996E4B7" w14:textId="77777777" w:rsidR="006D4227" w:rsidRDefault="00785C69">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038A770" w14:textId="77777777" w:rsidR="006D4227" w:rsidRDefault="006D4227">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0FE7AA" w14:textId="77777777" w:rsidR="006D4227" w:rsidRDefault="00785C69">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14:paraId="6D373B86" w14:textId="77777777" w:rsidR="006D4227" w:rsidRDefault="006D4227">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F41CE"/>
    <w:multiLevelType w:val="multilevel"/>
    <w:tmpl w:val="939C5AC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D03230"/>
    <w:multiLevelType w:val="multilevel"/>
    <w:tmpl w:val="1DCECC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BD43D3A"/>
    <w:multiLevelType w:val="multilevel"/>
    <w:tmpl w:val="56B60250"/>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227"/>
    <w:rsid w:val="001D5312"/>
    <w:rsid w:val="00201665"/>
    <w:rsid w:val="00207792"/>
    <w:rsid w:val="002B75F9"/>
    <w:rsid w:val="00422420"/>
    <w:rsid w:val="00555040"/>
    <w:rsid w:val="006D4227"/>
    <w:rsid w:val="00785C69"/>
    <w:rsid w:val="00815E5D"/>
    <w:rsid w:val="009B455D"/>
    <w:rsid w:val="00D60238"/>
    <w:rsid w:val="00ED2F42"/>
    <w:rsid w:val="00EE5B9B"/>
    <w:rsid w:val="00F462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FCFFF"/>
  <w15:docId w15:val="{395C048F-42AD-4940-B563-D2C9DBFEC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776B4"/>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character" w:customStyle="1" w:styleId="Ttulo3Car">
    <w:name w:val="Título 3 Car"/>
    <w:basedOn w:val="Fuentedeprrafopredeter"/>
    <w:link w:val="Ttulo3"/>
    <w:uiPriority w:val="9"/>
    <w:rsid w:val="00A776B4"/>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776B4"/>
    <w:pPr>
      <w:ind w:left="283" w:hanging="283"/>
      <w:contextualSpacing/>
    </w:pPr>
  </w:style>
  <w:style w:type="paragraph" w:styleId="Lista2">
    <w:name w:val="List 2"/>
    <w:basedOn w:val="Normal"/>
    <w:uiPriority w:val="99"/>
    <w:unhideWhenUsed/>
    <w:rsid w:val="00A776B4"/>
    <w:pPr>
      <w:ind w:left="566" w:hanging="283"/>
      <w:contextualSpacing/>
    </w:pPr>
  </w:style>
  <w:style w:type="paragraph" w:styleId="Lista3">
    <w:name w:val="List 3"/>
    <w:basedOn w:val="Normal"/>
    <w:uiPriority w:val="99"/>
    <w:unhideWhenUsed/>
    <w:rsid w:val="00A776B4"/>
    <w:pPr>
      <w:ind w:left="849" w:hanging="283"/>
      <w:contextualSpacing/>
    </w:pPr>
  </w:style>
  <w:style w:type="paragraph" w:styleId="Textoindependiente">
    <w:name w:val="Body Text"/>
    <w:basedOn w:val="Normal"/>
    <w:link w:val="TextoindependienteCar"/>
    <w:uiPriority w:val="99"/>
    <w:unhideWhenUsed/>
    <w:rsid w:val="00A776B4"/>
    <w:pPr>
      <w:spacing w:after="120"/>
    </w:pPr>
  </w:style>
  <w:style w:type="character" w:customStyle="1" w:styleId="TextoindependienteCar">
    <w:name w:val="Texto independiente Car"/>
    <w:basedOn w:val="Fuentedeprrafopredeter"/>
    <w:link w:val="Textoindependiente"/>
    <w:uiPriority w:val="99"/>
    <w:rsid w:val="00A776B4"/>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776B4"/>
    <w:pPr>
      <w:spacing w:after="120"/>
      <w:ind w:left="283"/>
    </w:pPr>
  </w:style>
  <w:style w:type="character" w:customStyle="1" w:styleId="SangradetextonormalCar">
    <w:name w:val="Sangría de texto normal Car"/>
    <w:basedOn w:val="Fuentedeprrafopredeter"/>
    <w:link w:val="Sangradetextonormal"/>
    <w:uiPriority w:val="99"/>
    <w:rsid w:val="00A776B4"/>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776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776B4"/>
    <w:rPr>
      <w:rFonts w:ascii="Times New Roman" w:eastAsia="Times New Roman" w:hAnsi="Times New Roman" w:cs="Times New Roman"/>
      <w:lang w:val="es-ES"/>
    </w:rPr>
  </w:style>
  <w:style w:type="paragraph" w:styleId="Textosinformato">
    <w:name w:val="Plain Text"/>
    <w:basedOn w:val="Normal"/>
    <w:link w:val="TextosinformatoCar"/>
    <w:rsid w:val="00B67939"/>
    <w:rPr>
      <w:rFonts w:ascii="Courier New" w:hAnsi="Courier New"/>
      <w:sz w:val="20"/>
      <w:szCs w:val="20"/>
    </w:rPr>
  </w:style>
  <w:style w:type="character" w:customStyle="1" w:styleId="TextosinformatoCar">
    <w:name w:val="Texto sin formato Car"/>
    <w:basedOn w:val="Fuentedeprrafopredeter"/>
    <w:link w:val="Textosinformato"/>
    <w:rsid w:val="00B67939"/>
    <w:rPr>
      <w:rFonts w:ascii="Courier New" w:eastAsia="Times New Roman" w:hAnsi="Courier New" w:cs="Times New Roman"/>
      <w:sz w:val="20"/>
      <w:szCs w:val="20"/>
      <w:lang w:val="es-ES"/>
    </w:rPr>
  </w:style>
  <w:style w:type="paragraph" w:customStyle="1" w:styleId="j">
    <w:name w:val="j"/>
    <w:basedOn w:val="Normal"/>
    <w:rsid w:val="00226723"/>
    <w:pPr>
      <w:spacing w:before="100" w:beforeAutospacing="1" w:after="100" w:afterAutospacing="1"/>
    </w:pPr>
    <w:rPr>
      <w:lang w:val="es-MX"/>
    </w:rPr>
  </w:style>
  <w:style w:type="table" w:styleId="Tabladelista1clara-nfasis1">
    <w:name w:val="List Table 1 Light Accent 1"/>
    <w:basedOn w:val="Tablanormal"/>
    <w:uiPriority w:val="46"/>
    <w:rsid w:val="008E624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2871584667633129156gmail-msofootnotereference">
    <w:name w:val="m_2871584667633129156gmail-msofootnotereference"/>
    <w:basedOn w:val="Fuentedeprrafopredeter"/>
    <w:rsid w:val="00C12849"/>
  </w:style>
  <w:style w:type="character" w:customStyle="1" w:styleId="h">
    <w:name w:val="h"/>
    <w:basedOn w:val="Fuentedeprrafopredeter"/>
    <w:rsid w:val="007F685F"/>
  </w:style>
  <w:style w:type="table" w:customStyle="1" w:styleId="Tabladelista1clara-nfasis12">
    <w:name w:val="Tabla de lista 1 clara - Énfasis 12"/>
    <w:basedOn w:val="Tablanormal"/>
    <w:next w:val="Tabladelista1clara-nfasis1"/>
    <w:uiPriority w:val="46"/>
    <w:rsid w:val="00C04B32"/>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ipervnculovisitado">
    <w:name w:val="FollowedHyperlink"/>
    <w:basedOn w:val="Fuentedeprrafopredeter"/>
    <w:uiPriority w:val="99"/>
    <w:semiHidden/>
    <w:unhideWhenUsed/>
    <w:rsid w:val="002C16E8"/>
    <w:rPr>
      <w:color w:val="800080"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4.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3.png"/><Relationship Id="rId30" Type="http://schemas.openxmlformats.org/officeDocument/2006/relationships/image" Target="media/image27.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_rels/header2.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W3BE6h98DqqA+xpM9hahelnYgg==">AMUW2mWSJmep/MgodCu+cCsXpj9SbZqTBeLHx8+1JGUyh5GBpSI98wQAPILvtVha5JVkif7ay9ZdIXflHCFHlrcmQlOEdsQUEW5fe+jPLssTPMtMPFOfxz+4MfndX5fevXBVxoY8QnrC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50</Pages>
  <Words>6872</Words>
  <Characters>37797</Characters>
  <Application>Microsoft Office Word</Application>
  <DocSecurity>0</DocSecurity>
  <Lines>314</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5</cp:revision>
  <cp:lastPrinted>2022-06-16T17:01:00Z</cp:lastPrinted>
  <dcterms:created xsi:type="dcterms:W3CDTF">2022-06-16T00:59:00Z</dcterms:created>
  <dcterms:modified xsi:type="dcterms:W3CDTF">2022-07-06T22:36:00Z</dcterms:modified>
</cp:coreProperties>
</file>