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45082" w14:textId="12CD81C5" w:rsidR="00801872" w:rsidRPr="00C938B6" w:rsidRDefault="00801872" w:rsidP="005B031E">
      <w:pPr>
        <w:spacing w:line="360" w:lineRule="auto"/>
        <w:contextualSpacing/>
        <w:jc w:val="both"/>
        <w:rPr>
          <w:rFonts w:ascii="Palatino Linotype" w:hAnsi="Palatino Linotype"/>
          <w:noProof/>
          <w:sz w:val="22"/>
          <w:szCs w:val="22"/>
          <w:lang w:val="es-ES"/>
        </w:rPr>
      </w:pPr>
      <w:r w:rsidRPr="00C938B6">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5F75E4">
        <w:rPr>
          <w:rFonts w:ascii="Palatino Linotype" w:hAnsi="Palatino Linotype" w:cs="Tahoma"/>
          <w:bCs/>
          <w:sz w:val="22"/>
          <w:szCs w:val="22"/>
        </w:rPr>
        <w:t>veint</w:t>
      </w:r>
      <w:r w:rsidR="003A4A1F">
        <w:rPr>
          <w:rFonts w:ascii="Palatino Linotype" w:hAnsi="Palatino Linotype" w:cs="Tahoma"/>
          <w:bCs/>
          <w:sz w:val="22"/>
          <w:szCs w:val="22"/>
        </w:rPr>
        <w:t>isiete</w:t>
      </w:r>
      <w:r w:rsidR="00A14307">
        <w:rPr>
          <w:rFonts w:ascii="Palatino Linotype" w:hAnsi="Palatino Linotype" w:cs="Tahoma"/>
          <w:bCs/>
          <w:sz w:val="22"/>
          <w:szCs w:val="22"/>
        </w:rPr>
        <w:t xml:space="preserve"> de </w:t>
      </w:r>
      <w:r w:rsidR="0048547F">
        <w:rPr>
          <w:rFonts w:ascii="Palatino Linotype" w:hAnsi="Palatino Linotype" w:cs="Tahoma"/>
          <w:bCs/>
          <w:sz w:val="22"/>
          <w:szCs w:val="22"/>
        </w:rPr>
        <w:t xml:space="preserve">abril </w:t>
      </w:r>
      <w:r w:rsidR="00A14307">
        <w:rPr>
          <w:rFonts w:ascii="Palatino Linotype" w:hAnsi="Palatino Linotype" w:cs="Tahoma"/>
          <w:bCs/>
          <w:sz w:val="22"/>
          <w:szCs w:val="22"/>
        </w:rPr>
        <w:t>de dos mil veintidós</w:t>
      </w:r>
      <w:r w:rsidRPr="00C938B6">
        <w:rPr>
          <w:rFonts w:ascii="Palatino Linotype" w:hAnsi="Palatino Linotype" w:cs="Tahoma"/>
          <w:bCs/>
          <w:sz w:val="22"/>
          <w:szCs w:val="22"/>
        </w:rPr>
        <w:t>.</w:t>
      </w:r>
    </w:p>
    <w:p w14:paraId="452162AB" w14:textId="77777777" w:rsidR="00801872" w:rsidRPr="00C938B6" w:rsidRDefault="00801872" w:rsidP="005B031E">
      <w:pPr>
        <w:spacing w:line="360" w:lineRule="auto"/>
        <w:contextualSpacing/>
        <w:jc w:val="both"/>
        <w:rPr>
          <w:rFonts w:ascii="Palatino Linotype" w:hAnsi="Palatino Linotype"/>
          <w:noProof/>
          <w:sz w:val="22"/>
          <w:szCs w:val="22"/>
          <w:lang w:val="es-ES"/>
        </w:rPr>
      </w:pPr>
    </w:p>
    <w:p w14:paraId="2CD312FD" w14:textId="4F85E242" w:rsidR="00801872" w:rsidRPr="00C938B6" w:rsidRDefault="00801872" w:rsidP="005B031E">
      <w:pPr>
        <w:spacing w:line="360" w:lineRule="auto"/>
        <w:contextualSpacing/>
        <w:jc w:val="both"/>
        <w:rPr>
          <w:rFonts w:ascii="Palatino Linotype" w:eastAsia="Calibri" w:hAnsi="Palatino Linotype" w:cs="Tahoma"/>
          <w:sz w:val="22"/>
          <w:szCs w:val="22"/>
          <w:lang w:eastAsia="en-US"/>
        </w:rPr>
      </w:pPr>
      <w:r w:rsidRPr="00C938B6">
        <w:rPr>
          <w:rFonts w:ascii="Palatino Linotype" w:hAnsi="Palatino Linotype" w:cs="Tahoma"/>
          <w:b/>
          <w:bCs/>
          <w:color w:val="0D0D0D" w:themeColor="text1" w:themeTint="F2"/>
          <w:sz w:val="22"/>
          <w:szCs w:val="22"/>
        </w:rPr>
        <w:t>VISTO</w:t>
      </w:r>
      <w:r w:rsidRPr="00C938B6">
        <w:rPr>
          <w:rFonts w:ascii="Palatino Linotype" w:hAnsi="Palatino Linotype" w:cs="Tahoma"/>
          <w:bCs/>
          <w:color w:val="0D0D0D" w:themeColor="text1" w:themeTint="F2"/>
          <w:sz w:val="22"/>
          <w:szCs w:val="22"/>
        </w:rPr>
        <w:t xml:space="preserve"> el expediente conformado con motivo del Recurso de Revisión </w:t>
      </w:r>
      <w:r w:rsidR="00A14307" w:rsidRPr="00B37A1B">
        <w:rPr>
          <w:rFonts w:ascii="Palatino Linotype" w:eastAsia="Calibri" w:hAnsi="Palatino Linotype" w:cs="Tahoma"/>
          <w:b/>
          <w:bCs/>
          <w:sz w:val="22"/>
          <w:szCs w:val="22"/>
          <w:lang w:eastAsia="en-US"/>
        </w:rPr>
        <w:t>0</w:t>
      </w:r>
      <w:r w:rsidR="001776FA">
        <w:rPr>
          <w:rFonts w:ascii="Palatino Linotype" w:eastAsia="Calibri" w:hAnsi="Palatino Linotype" w:cs="Tahoma"/>
          <w:b/>
          <w:bCs/>
          <w:sz w:val="22"/>
          <w:szCs w:val="22"/>
          <w:lang w:eastAsia="en-US"/>
        </w:rPr>
        <w:t>2</w:t>
      </w:r>
      <w:r w:rsidR="003A4A1F">
        <w:rPr>
          <w:rFonts w:ascii="Palatino Linotype" w:eastAsia="Calibri" w:hAnsi="Palatino Linotype" w:cs="Tahoma"/>
          <w:b/>
          <w:bCs/>
          <w:sz w:val="22"/>
          <w:szCs w:val="22"/>
          <w:lang w:eastAsia="en-US"/>
        </w:rPr>
        <w:t>13</w:t>
      </w:r>
      <w:r w:rsidR="008F7A12">
        <w:rPr>
          <w:rFonts w:ascii="Palatino Linotype" w:eastAsia="Calibri" w:hAnsi="Palatino Linotype" w:cs="Tahoma"/>
          <w:b/>
          <w:bCs/>
          <w:sz w:val="22"/>
          <w:szCs w:val="22"/>
          <w:lang w:eastAsia="en-US"/>
        </w:rPr>
        <w:t>6</w:t>
      </w:r>
      <w:r w:rsidR="00473C88">
        <w:rPr>
          <w:rFonts w:ascii="Palatino Linotype" w:eastAsia="Calibri" w:hAnsi="Palatino Linotype" w:cs="Tahoma"/>
          <w:b/>
          <w:bCs/>
          <w:sz w:val="22"/>
          <w:szCs w:val="22"/>
          <w:lang w:eastAsia="en-US"/>
        </w:rPr>
        <w:t>/INFOEM/IP/RR/2022</w:t>
      </w:r>
      <w:r w:rsidR="00BE73E6" w:rsidRPr="00C938B6">
        <w:rPr>
          <w:rFonts w:ascii="Palatino Linotype" w:eastAsia="Calibri" w:hAnsi="Palatino Linotype" w:cs="Tahoma"/>
          <w:sz w:val="22"/>
          <w:szCs w:val="22"/>
          <w:lang w:eastAsia="en-US"/>
        </w:rPr>
        <w:t>,</w:t>
      </w:r>
      <w:r w:rsidRPr="00C938B6">
        <w:rPr>
          <w:rFonts w:ascii="Palatino Linotype" w:eastAsia="Calibri" w:hAnsi="Palatino Linotype" w:cs="Tahoma"/>
          <w:sz w:val="22"/>
          <w:szCs w:val="22"/>
          <w:lang w:eastAsia="en-US"/>
        </w:rPr>
        <w:t xml:space="preserve"> </w:t>
      </w:r>
      <w:r w:rsidRPr="004E2B9E">
        <w:rPr>
          <w:rFonts w:ascii="Palatino Linotype" w:hAnsi="Palatino Linotype" w:cs="Tahoma"/>
          <w:bCs/>
          <w:sz w:val="22"/>
          <w:szCs w:val="22"/>
        </w:rPr>
        <w:t>interpuesto</w:t>
      </w:r>
      <w:r w:rsidRPr="00C938B6">
        <w:rPr>
          <w:rFonts w:ascii="Palatino Linotype" w:hAnsi="Palatino Linotype" w:cs="Tahoma"/>
          <w:color w:val="0D0D0D" w:themeColor="text1" w:themeTint="F2"/>
          <w:sz w:val="22"/>
          <w:szCs w:val="22"/>
        </w:rPr>
        <w:t xml:space="preserve"> por</w:t>
      </w:r>
      <w:r w:rsidR="00412FE1">
        <w:rPr>
          <w:rFonts w:ascii="Palatino Linotype" w:hAnsi="Palatino Linotype" w:cs="Tahoma"/>
          <w:color w:val="0D0D0D" w:themeColor="text1" w:themeTint="F2"/>
          <w:sz w:val="22"/>
          <w:szCs w:val="22"/>
        </w:rPr>
        <w:t xml:space="preserve"> </w:t>
      </w:r>
      <w:r w:rsidR="00EA55DD">
        <w:rPr>
          <w:rFonts w:ascii="Palatino Linotype" w:hAnsi="Palatino Linotype" w:cs="Tahoma"/>
          <w:color w:val="0D0D0D" w:themeColor="text1" w:themeTint="F2"/>
          <w:sz w:val="22"/>
          <w:szCs w:val="22"/>
        </w:rPr>
        <w:t>una persona usaría del Sistema de Acceso a la Información Mexiquense</w:t>
      </w:r>
      <w:r w:rsidRPr="00C938B6">
        <w:rPr>
          <w:rFonts w:ascii="Palatino Linotype" w:hAnsi="Palatino Linotype" w:cs="Tahoma"/>
          <w:color w:val="0D0D0D" w:themeColor="text1" w:themeTint="F2"/>
          <w:sz w:val="22"/>
          <w:szCs w:val="22"/>
        </w:rPr>
        <w:t xml:space="preserve">, en lo sucesivo Recurrente o Particular, </w:t>
      </w:r>
      <w:r w:rsidRPr="00C938B6">
        <w:rPr>
          <w:rFonts w:ascii="Palatino Linotype" w:eastAsia="Calibri" w:hAnsi="Palatino Linotype" w:cs="Tahoma"/>
          <w:sz w:val="22"/>
          <w:szCs w:val="22"/>
          <w:lang w:val="es-ES" w:eastAsia="en-US"/>
        </w:rPr>
        <w:t xml:space="preserve">en contra de la respuesta del Sujeto Obligado, </w:t>
      </w:r>
      <w:r w:rsidR="005F75E4">
        <w:rPr>
          <w:rFonts w:ascii="Palatino Linotype" w:eastAsia="Calibri" w:hAnsi="Palatino Linotype" w:cs="Tahoma"/>
          <w:sz w:val="22"/>
          <w:szCs w:val="22"/>
          <w:lang w:eastAsia="en-US"/>
        </w:rPr>
        <w:t>Ayuntamiento de Metepec</w:t>
      </w:r>
      <w:r w:rsidR="00412FE1">
        <w:rPr>
          <w:rFonts w:ascii="Palatino Linotype" w:eastAsia="Calibri" w:hAnsi="Palatino Linotype" w:cs="Tahoma"/>
          <w:sz w:val="22"/>
          <w:szCs w:val="22"/>
          <w:lang w:eastAsia="en-US"/>
        </w:rPr>
        <w:t xml:space="preserve"> </w:t>
      </w:r>
      <w:r w:rsidRPr="00C938B6">
        <w:rPr>
          <w:rFonts w:ascii="Palatino Linotype" w:eastAsia="Calibri" w:hAnsi="Palatino Linotype" w:cs="Tahoma"/>
          <w:sz w:val="22"/>
          <w:szCs w:val="22"/>
          <w:lang w:val="es-ES" w:eastAsia="en-US"/>
        </w:rPr>
        <w:t>a la solicitud de acceso a la información</w:t>
      </w:r>
      <w:r w:rsidR="00AA68C9">
        <w:rPr>
          <w:rFonts w:ascii="Palatino Linotype" w:eastAsia="Calibri" w:hAnsi="Palatino Linotype" w:cs="Tahoma"/>
          <w:sz w:val="22"/>
          <w:szCs w:val="22"/>
          <w:lang w:eastAsia="en-US"/>
        </w:rPr>
        <w:t xml:space="preserve"> 00</w:t>
      </w:r>
      <w:r w:rsidR="00F071A2">
        <w:rPr>
          <w:rFonts w:ascii="Palatino Linotype" w:eastAsia="Calibri" w:hAnsi="Palatino Linotype" w:cs="Tahoma"/>
          <w:sz w:val="22"/>
          <w:szCs w:val="22"/>
          <w:lang w:eastAsia="en-US"/>
        </w:rPr>
        <w:t>483</w:t>
      </w:r>
      <w:r w:rsidR="001776FA">
        <w:rPr>
          <w:rFonts w:ascii="Palatino Linotype" w:eastAsia="Calibri" w:hAnsi="Palatino Linotype" w:cs="Tahoma"/>
          <w:sz w:val="22"/>
          <w:szCs w:val="22"/>
          <w:lang w:eastAsia="en-US"/>
        </w:rPr>
        <w:t>/M</w:t>
      </w:r>
      <w:r w:rsidR="005F75E4">
        <w:rPr>
          <w:rFonts w:ascii="Palatino Linotype" w:eastAsia="Calibri" w:hAnsi="Palatino Linotype" w:cs="Tahoma"/>
          <w:sz w:val="22"/>
          <w:szCs w:val="22"/>
          <w:lang w:eastAsia="en-US"/>
        </w:rPr>
        <w:t>ETEPEC</w:t>
      </w:r>
      <w:r w:rsidRPr="00C938B6">
        <w:rPr>
          <w:rFonts w:ascii="Palatino Linotype" w:eastAsia="Calibri" w:hAnsi="Palatino Linotype" w:cs="Tahoma"/>
          <w:sz w:val="22"/>
          <w:szCs w:val="22"/>
          <w:lang w:eastAsia="en-US"/>
        </w:rPr>
        <w:t>/IP/202</w:t>
      </w:r>
      <w:r w:rsidR="00EA55DD">
        <w:rPr>
          <w:rFonts w:ascii="Palatino Linotype" w:eastAsia="Calibri" w:hAnsi="Palatino Linotype" w:cs="Tahoma"/>
          <w:sz w:val="22"/>
          <w:szCs w:val="22"/>
          <w:lang w:eastAsia="en-US"/>
        </w:rPr>
        <w:t>2</w:t>
      </w:r>
      <w:r w:rsidRPr="00C938B6">
        <w:rPr>
          <w:rFonts w:ascii="Palatino Linotype" w:eastAsia="Calibri" w:hAnsi="Palatino Linotype" w:cs="Tahoma"/>
          <w:sz w:val="22"/>
          <w:szCs w:val="22"/>
          <w:lang w:val="es-ES" w:eastAsia="en-US"/>
        </w:rPr>
        <w:t>, se emite la presente</w:t>
      </w:r>
      <w:r w:rsidRPr="00C938B6">
        <w:rPr>
          <w:rFonts w:ascii="Palatino Linotype" w:eastAsia="Calibri" w:hAnsi="Palatino Linotype" w:cs="Tahoma"/>
          <w:bCs/>
          <w:sz w:val="22"/>
          <w:szCs w:val="22"/>
          <w:lang w:val="es-ES" w:eastAsia="en-US"/>
        </w:rPr>
        <w:t xml:space="preserve"> Resolución, con base en los Antecedentes y Consideraciones que a continuación se exponen:</w:t>
      </w:r>
    </w:p>
    <w:p w14:paraId="388C37B9" w14:textId="77777777" w:rsidR="00801872" w:rsidRPr="00C938B6" w:rsidRDefault="00801872" w:rsidP="005B031E">
      <w:pPr>
        <w:tabs>
          <w:tab w:val="left" w:pos="2835"/>
        </w:tabs>
        <w:spacing w:line="360" w:lineRule="auto"/>
        <w:ind w:right="-93"/>
        <w:contextualSpacing/>
        <w:jc w:val="both"/>
        <w:rPr>
          <w:rFonts w:ascii="Palatino Linotype" w:eastAsia="Calibri" w:hAnsi="Palatino Linotype" w:cs="Tahoma"/>
          <w:b/>
          <w:bCs/>
          <w:sz w:val="22"/>
          <w:szCs w:val="22"/>
          <w:lang w:eastAsia="en-US"/>
        </w:rPr>
      </w:pPr>
    </w:p>
    <w:p w14:paraId="76427671" w14:textId="77777777" w:rsidR="00801872" w:rsidRPr="00C938B6" w:rsidRDefault="00801872" w:rsidP="005B031E">
      <w:pPr>
        <w:spacing w:line="360" w:lineRule="auto"/>
        <w:ind w:right="-93"/>
        <w:contextualSpacing/>
        <w:jc w:val="center"/>
        <w:rPr>
          <w:rFonts w:ascii="Palatino Linotype" w:eastAsia="Calibri" w:hAnsi="Palatino Linotype" w:cs="Tahoma"/>
          <w:b/>
          <w:bCs/>
          <w:sz w:val="22"/>
          <w:szCs w:val="22"/>
          <w:lang w:eastAsia="en-US"/>
        </w:rPr>
      </w:pPr>
      <w:r w:rsidRPr="00C938B6">
        <w:rPr>
          <w:rFonts w:ascii="Palatino Linotype" w:eastAsia="Calibri" w:hAnsi="Palatino Linotype" w:cs="Tahoma"/>
          <w:b/>
          <w:bCs/>
          <w:sz w:val="22"/>
          <w:szCs w:val="22"/>
          <w:lang w:eastAsia="en-US"/>
        </w:rPr>
        <w:t>A N T E C E D E N T E S:</w:t>
      </w:r>
    </w:p>
    <w:p w14:paraId="6EC6BCC4" w14:textId="77777777" w:rsidR="00801872" w:rsidRPr="00C938B6" w:rsidRDefault="00801872" w:rsidP="005B031E">
      <w:pPr>
        <w:spacing w:line="360" w:lineRule="auto"/>
        <w:ind w:right="-93"/>
        <w:contextualSpacing/>
        <w:jc w:val="both"/>
        <w:rPr>
          <w:rFonts w:ascii="Palatino Linotype" w:eastAsia="Calibri" w:hAnsi="Palatino Linotype" w:cs="Tahoma"/>
          <w:bCs/>
          <w:sz w:val="22"/>
          <w:szCs w:val="22"/>
          <w:lang w:eastAsia="en-US"/>
        </w:rPr>
      </w:pPr>
    </w:p>
    <w:p w14:paraId="5944A4CF" w14:textId="77777777" w:rsidR="00801872" w:rsidRPr="00C938B6" w:rsidRDefault="00801872" w:rsidP="005B031E">
      <w:pPr>
        <w:spacing w:line="360" w:lineRule="auto"/>
        <w:contextualSpacing/>
        <w:jc w:val="both"/>
        <w:rPr>
          <w:rFonts w:ascii="Palatino Linotype" w:eastAsia="Calibri" w:hAnsi="Palatino Linotype" w:cs="Tahoma"/>
          <w:b/>
          <w:bCs/>
          <w:sz w:val="22"/>
          <w:szCs w:val="22"/>
          <w:lang w:eastAsia="en-US"/>
        </w:rPr>
      </w:pPr>
      <w:r w:rsidRPr="00C938B6">
        <w:rPr>
          <w:rFonts w:ascii="Palatino Linotype" w:eastAsia="Calibri" w:hAnsi="Palatino Linotype" w:cs="Tahoma"/>
          <w:b/>
          <w:bCs/>
          <w:sz w:val="22"/>
          <w:szCs w:val="22"/>
          <w:lang w:eastAsia="en-US"/>
        </w:rPr>
        <w:t xml:space="preserve">I. Presentación de la solicitud de información.  </w:t>
      </w:r>
    </w:p>
    <w:p w14:paraId="397391E9" w14:textId="77777777" w:rsidR="00801872" w:rsidRPr="00C938B6" w:rsidRDefault="00801872" w:rsidP="005B031E">
      <w:pPr>
        <w:autoSpaceDE w:val="0"/>
        <w:autoSpaceDN w:val="0"/>
        <w:adjustRightInd w:val="0"/>
        <w:spacing w:line="360" w:lineRule="auto"/>
        <w:jc w:val="both"/>
        <w:rPr>
          <w:rFonts w:ascii="Palatino Linotype" w:hAnsi="Palatino Linotype" w:cs="Tahoma"/>
          <w:sz w:val="22"/>
          <w:szCs w:val="22"/>
        </w:rPr>
      </w:pPr>
    </w:p>
    <w:p w14:paraId="7BF8DBE2" w14:textId="53BC01A2" w:rsidR="00801872" w:rsidRDefault="00801872" w:rsidP="005B031E">
      <w:pPr>
        <w:autoSpaceDE w:val="0"/>
        <w:autoSpaceDN w:val="0"/>
        <w:adjustRightInd w:val="0"/>
        <w:spacing w:line="360" w:lineRule="auto"/>
        <w:jc w:val="both"/>
        <w:rPr>
          <w:rFonts w:ascii="Palatino Linotype" w:hAnsi="Palatino Linotype" w:cs="Tahoma"/>
          <w:sz w:val="22"/>
          <w:szCs w:val="22"/>
        </w:rPr>
      </w:pPr>
      <w:r w:rsidRPr="00C938B6">
        <w:rPr>
          <w:rFonts w:ascii="Palatino Linotype" w:hAnsi="Palatino Linotype" w:cs="Tahoma"/>
          <w:sz w:val="22"/>
          <w:szCs w:val="22"/>
        </w:rPr>
        <w:t xml:space="preserve">Con fecha </w:t>
      </w:r>
      <w:r w:rsidR="003931DD">
        <w:rPr>
          <w:rFonts w:ascii="Palatino Linotype" w:hAnsi="Palatino Linotype" w:cs="Tahoma"/>
          <w:sz w:val="22"/>
          <w:szCs w:val="22"/>
        </w:rPr>
        <w:t>diez</w:t>
      </w:r>
      <w:r w:rsidR="00EA55DD">
        <w:rPr>
          <w:rFonts w:ascii="Palatino Linotype" w:hAnsi="Palatino Linotype" w:cs="Tahoma"/>
          <w:sz w:val="22"/>
          <w:szCs w:val="22"/>
        </w:rPr>
        <w:t xml:space="preserve"> de enero de dos mil veintidós</w:t>
      </w:r>
      <w:r w:rsidR="00A14307">
        <w:rPr>
          <w:rFonts w:ascii="Palatino Linotype" w:hAnsi="Palatino Linotype" w:cs="Tahoma"/>
          <w:sz w:val="22"/>
          <w:szCs w:val="22"/>
        </w:rPr>
        <w:t>, el Particular presentó una solicitud de acceso a la información pública a través del Sistema de Acceso a la Información Mexiquense (SAIMEX)</w:t>
      </w:r>
      <w:r w:rsidR="002D46B4">
        <w:rPr>
          <w:rFonts w:ascii="Palatino Linotype" w:hAnsi="Palatino Linotype" w:cs="Tahoma"/>
          <w:sz w:val="22"/>
          <w:szCs w:val="22"/>
        </w:rPr>
        <w:t xml:space="preserve"> </w:t>
      </w:r>
      <w:r w:rsidR="00BE73E6" w:rsidRPr="00C938B6">
        <w:rPr>
          <w:rFonts w:ascii="Palatino Linotype" w:eastAsia="Calibri" w:hAnsi="Palatino Linotype" w:cs="Tahoma"/>
          <w:color w:val="000000"/>
          <w:sz w:val="22"/>
          <w:szCs w:val="22"/>
          <w:lang w:eastAsia="en-US"/>
        </w:rPr>
        <w:t>mediante la cual requirió:</w:t>
      </w:r>
    </w:p>
    <w:p w14:paraId="0EEE8EAF" w14:textId="77777777" w:rsidR="002D46B4" w:rsidRPr="002D46B4" w:rsidRDefault="002D46B4" w:rsidP="005B031E">
      <w:pPr>
        <w:autoSpaceDE w:val="0"/>
        <w:autoSpaceDN w:val="0"/>
        <w:adjustRightInd w:val="0"/>
        <w:spacing w:line="360" w:lineRule="auto"/>
        <w:jc w:val="both"/>
        <w:rPr>
          <w:rFonts w:ascii="Palatino Linotype" w:hAnsi="Palatino Linotype" w:cs="Tahoma"/>
          <w:sz w:val="22"/>
          <w:szCs w:val="22"/>
        </w:rPr>
      </w:pPr>
    </w:p>
    <w:p w14:paraId="789FA1B2" w14:textId="63EF4218" w:rsidR="00CC68B4" w:rsidRDefault="00473C88" w:rsidP="005B031E">
      <w:pPr>
        <w:spacing w:line="360" w:lineRule="auto"/>
        <w:ind w:left="567" w:right="567"/>
        <w:contextualSpacing/>
        <w:rPr>
          <w:rFonts w:ascii="Palatino Linotype" w:hAnsi="Palatino Linotype" w:cs="Tahoma"/>
          <w:b/>
          <w:i/>
          <w:iCs/>
        </w:rPr>
      </w:pPr>
      <w:r>
        <w:rPr>
          <w:rFonts w:ascii="Palatino Linotype" w:hAnsi="Palatino Linotype" w:cs="Tahoma"/>
          <w:b/>
          <w:bCs/>
          <w:i/>
          <w:iCs/>
        </w:rPr>
        <w:t>0</w:t>
      </w:r>
      <w:r w:rsidR="0085017F">
        <w:rPr>
          <w:rFonts w:ascii="Palatino Linotype" w:hAnsi="Palatino Linotype" w:cs="Tahoma"/>
          <w:b/>
          <w:bCs/>
          <w:i/>
          <w:iCs/>
        </w:rPr>
        <w:t>0483</w:t>
      </w:r>
      <w:r w:rsidR="00CC68B4" w:rsidRPr="00CC68B4">
        <w:rPr>
          <w:rFonts w:ascii="Palatino Linotype" w:hAnsi="Palatino Linotype" w:cs="Tahoma"/>
          <w:b/>
          <w:bCs/>
          <w:i/>
          <w:iCs/>
        </w:rPr>
        <w:t>/</w:t>
      </w:r>
      <w:r w:rsidR="00EA55DD">
        <w:rPr>
          <w:rFonts w:ascii="Palatino Linotype" w:hAnsi="Palatino Linotype" w:cs="Tahoma"/>
          <w:b/>
          <w:bCs/>
          <w:i/>
          <w:iCs/>
        </w:rPr>
        <w:t>METEPEC</w:t>
      </w:r>
      <w:r w:rsidR="00CC68B4" w:rsidRPr="00CC68B4">
        <w:rPr>
          <w:rFonts w:ascii="Palatino Linotype" w:hAnsi="Palatino Linotype" w:cs="Tahoma"/>
          <w:b/>
          <w:bCs/>
          <w:i/>
          <w:iCs/>
        </w:rPr>
        <w:t>/IP/202</w:t>
      </w:r>
      <w:r w:rsidR="00EA55DD">
        <w:rPr>
          <w:rFonts w:ascii="Palatino Linotype" w:hAnsi="Palatino Linotype" w:cs="Tahoma"/>
          <w:b/>
          <w:bCs/>
          <w:i/>
          <w:iCs/>
        </w:rPr>
        <w:t>2</w:t>
      </w:r>
    </w:p>
    <w:p w14:paraId="15187AB8" w14:textId="08246E14" w:rsidR="00801872" w:rsidRPr="00C938B6" w:rsidRDefault="00801872" w:rsidP="005B031E">
      <w:pPr>
        <w:spacing w:line="360" w:lineRule="auto"/>
        <w:ind w:left="567" w:right="567"/>
        <w:contextualSpacing/>
        <w:rPr>
          <w:rFonts w:ascii="Palatino Linotype" w:hAnsi="Palatino Linotype" w:cs="Tahoma"/>
          <w:b/>
          <w:i/>
          <w:iCs/>
        </w:rPr>
      </w:pPr>
      <w:r w:rsidRPr="00C938B6">
        <w:rPr>
          <w:rFonts w:ascii="Palatino Linotype" w:hAnsi="Palatino Linotype" w:cs="Tahoma"/>
          <w:b/>
          <w:i/>
          <w:iCs/>
        </w:rPr>
        <w:t>DESCRIPCIÓN CLARA Y PRECISA DE LA INFORMACIÓN SOLICITADA</w:t>
      </w:r>
    </w:p>
    <w:p w14:paraId="6728A402" w14:textId="66DB5638" w:rsidR="00801872" w:rsidRPr="00C938B6" w:rsidRDefault="002D46B4" w:rsidP="005B031E">
      <w:pPr>
        <w:spacing w:line="360" w:lineRule="auto"/>
        <w:ind w:left="567" w:right="567"/>
        <w:contextualSpacing/>
        <w:jc w:val="both"/>
        <w:rPr>
          <w:rFonts w:ascii="Palatino Linotype" w:hAnsi="Palatino Linotype"/>
          <w:bCs/>
          <w:i/>
          <w:iCs/>
          <w:color w:val="000000"/>
        </w:rPr>
      </w:pPr>
      <w:bookmarkStart w:id="0" w:name="_Hlk93400387"/>
      <w:r>
        <w:rPr>
          <w:rFonts w:ascii="Palatino Linotype" w:hAnsi="Palatino Linotype"/>
          <w:bCs/>
          <w:i/>
          <w:iCs/>
          <w:color w:val="000000"/>
        </w:rPr>
        <w:t>“</w:t>
      </w:r>
      <w:r w:rsidR="0085017F" w:rsidRPr="0085017F">
        <w:rPr>
          <w:rFonts w:ascii="Palatino Linotype" w:hAnsi="Palatino Linotype"/>
          <w:bCs/>
          <w:i/>
          <w:iCs/>
          <w:color w:val="000000"/>
        </w:rPr>
        <w:t>Gustavo Flores Fernández se quitó el cubrebocas en el siguiente evento "https://www.facebook.com/AyuntamientoMetepec/videos/618432896079738/" Por ello se requiere prueba clínica en donde el Presidente Municipal haya dado negativo al COVID-19 para asegurar que no puso en riesgo a la población que acudió a tan noble evento</w:t>
      </w:r>
      <w:r w:rsidR="00CC68B4">
        <w:rPr>
          <w:rFonts w:ascii="Palatino Linotype" w:hAnsi="Palatino Linotype"/>
          <w:bCs/>
          <w:i/>
          <w:iCs/>
          <w:color w:val="000000"/>
        </w:rPr>
        <w:t xml:space="preserve">“. </w:t>
      </w:r>
      <w:r w:rsidR="00801872" w:rsidRPr="00C938B6">
        <w:rPr>
          <w:rFonts w:ascii="Palatino Linotype" w:hAnsi="Palatino Linotype"/>
          <w:bCs/>
          <w:i/>
          <w:iCs/>
          <w:color w:val="000000"/>
        </w:rPr>
        <w:t xml:space="preserve">(Sic) </w:t>
      </w:r>
    </w:p>
    <w:bookmarkEnd w:id="0"/>
    <w:p w14:paraId="1D28BF4A" w14:textId="77777777" w:rsidR="00801872" w:rsidRPr="00C938B6" w:rsidRDefault="00801872" w:rsidP="005B031E">
      <w:pPr>
        <w:spacing w:line="360" w:lineRule="auto"/>
        <w:ind w:left="567" w:right="567"/>
        <w:contextualSpacing/>
        <w:jc w:val="both"/>
        <w:rPr>
          <w:rFonts w:ascii="Palatino Linotype" w:hAnsi="Palatino Linotype"/>
          <w:bCs/>
          <w:i/>
          <w:iCs/>
          <w:color w:val="000000"/>
        </w:rPr>
      </w:pPr>
    </w:p>
    <w:p w14:paraId="3F3F3633" w14:textId="626FB3CE" w:rsidR="00801872" w:rsidRPr="00C938B6" w:rsidRDefault="00801872" w:rsidP="005B031E">
      <w:pPr>
        <w:tabs>
          <w:tab w:val="left" w:pos="4667"/>
        </w:tabs>
        <w:spacing w:line="360" w:lineRule="auto"/>
        <w:ind w:left="567" w:right="567"/>
        <w:rPr>
          <w:rFonts w:ascii="Palatino Linotype" w:hAnsi="Palatino Linotype" w:cs="Tahoma"/>
          <w:b/>
          <w:bCs/>
          <w:i/>
          <w:iCs/>
        </w:rPr>
      </w:pPr>
      <w:r w:rsidRPr="00C938B6">
        <w:rPr>
          <w:rFonts w:ascii="Palatino Linotype" w:hAnsi="Palatino Linotype" w:cs="Tahoma"/>
          <w:b/>
          <w:bCs/>
          <w:i/>
          <w:iCs/>
        </w:rPr>
        <w:t>MODALIDAD DE ENTREGA</w:t>
      </w:r>
    </w:p>
    <w:p w14:paraId="14C233F3" w14:textId="24003075" w:rsidR="00257F48" w:rsidRPr="001776FA" w:rsidRDefault="00473C88" w:rsidP="001776FA">
      <w:pPr>
        <w:spacing w:line="360" w:lineRule="auto"/>
        <w:ind w:left="567" w:right="567"/>
        <w:rPr>
          <w:rFonts w:ascii="Palatino Linotype" w:hAnsi="Palatino Linotype" w:cs="Arial"/>
          <w:bCs/>
          <w:i/>
          <w:iCs/>
        </w:rPr>
      </w:pPr>
      <w:r>
        <w:rPr>
          <w:rFonts w:ascii="Palatino Linotype" w:hAnsi="Palatino Linotype" w:cs="Arial"/>
          <w:bCs/>
          <w:i/>
          <w:iCs/>
        </w:rPr>
        <w:t>A través de</w:t>
      </w:r>
      <w:r w:rsidR="00533AE8">
        <w:rPr>
          <w:rFonts w:ascii="Palatino Linotype" w:hAnsi="Palatino Linotype" w:cs="Arial"/>
          <w:bCs/>
          <w:i/>
          <w:iCs/>
        </w:rPr>
        <w:t xml:space="preserve">l </w:t>
      </w:r>
      <w:r>
        <w:rPr>
          <w:rFonts w:ascii="Palatino Linotype" w:hAnsi="Palatino Linotype" w:cs="Arial"/>
          <w:bCs/>
          <w:i/>
          <w:iCs/>
        </w:rPr>
        <w:t xml:space="preserve">SAIMEX. </w:t>
      </w:r>
    </w:p>
    <w:p w14:paraId="25D9F666" w14:textId="77777777" w:rsidR="00801872" w:rsidRPr="00C938B6" w:rsidRDefault="00801872" w:rsidP="005B031E">
      <w:pPr>
        <w:pStyle w:val="Prrafodelista"/>
        <w:tabs>
          <w:tab w:val="left" w:pos="567"/>
        </w:tabs>
        <w:spacing w:line="360" w:lineRule="auto"/>
        <w:ind w:left="0"/>
        <w:jc w:val="both"/>
        <w:rPr>
          <w:rFonts w:ascii="Palatino Linotype" w:hAnsi="Palatino Linotype" w:cs="Tahoma"/>
          <w:szCs w:val="22"/>
        </w:rPr>
      </w:pPr>
      <w:r w:rsidRPr="00C938B6">
        <w:rPr>
          <w:rFonts w:ascii="Palatino Linotype" w:hAnsi="Palatino Linotype" w:cs="Tahoma"/>
          <w:b/>
          <w:szCs w:val="22"/>
        </w:rPr>
        <w:lastRenderedPageBreak/>
        <w:t>II. Respuesta del Sujeto Obligado.</w:t>
      </w:r>
    </w:p>
    <w:p w14:paraId="35CE8038" w14:textId="77777777" w:rsidR="00801872" w:rsidRPr="00C938B6" w:rsidRDefault="00801872" w:rsidP="005B031E">
      <w:pPr>
        <w:autoSpaceDE w:val="0"/>
        <w:autoSpaceDN w:val="0"/>
        <w:adjustRightInd w:val="0"/>
        <w:spacing w:line="360" w:lineRule="auto"/>
        <w:ind w:right="-28"/>
        <w:jc w:val="both"/>
        <w:rPr>
          <w:rFonts w:ascii="Palatino Linotype" w:hAnsi="Palatino Linotype" w:cs="Tahoma"/>
          <w:bCs/>
          <w:sz w:val="22"/>
          <w:szCs w:val="22"/>
        </w:rPr>
      </w:pPr>
    </w:p>
    <w:p w14:paraId="60B4E890" w14:textId="2FD7DE7C" w:rsidR="002D46B4" w:rsidRDefault="00801872" w:rsidP="005B031E">
      <w:pPr>
        <w:autoSpaceDE w:val="0"/>
        <w:autoSpaceDN w:val="0"/>
        <w:adjustRightInd w:val="0"/>
        <w:spacing w:line="360" w:lineRule="auto"/>
        <w:ind w:right="-28"/>
        <w:jc w:val="both"/>
        <w:rPr>
          <w:rFonts w:ascii="Palatino Linotype" w:hAnsi="Palatino Linotype" w:cs="Tahoma"/>
          <w:bCs/>
          <w:sz w:val="22"/>
          <w:szCs w:val="22"/>
        </w:rPr>
      </w:pPr>
      <w:r w:rsidRPr="00C938B6">
        <w:rPr>
          <w:rFonts w:ascii="Palatino Linotype" w:hAnsi="Palatino Linotype" w:cs="Tahoma"/>
          <w:bCs/>
          <w:sz w:val="22"/>
          <w:szCs w:val="22"/>
        </w:rPr>
        <w:t>Con fecha</w:t>
      </w:r>
      <w:r w:rsidR="002D46B4">
        <w:rPr>
          <w:rFonts w:ascii="Palatino Linotype" w:hAnsi="Palatino Linotype" w:cs="Tahoma"/>
          <w:bCs/>
          <w:sz w:val="22"/>
          <w:szCs w:val="22"/>
        </w:rPr>
        <w:t xml:space="preserve"> </w:t>
      </w:r>
      <w:r w:rsidR="0085017F">
        <w:rPr>
          <w:rFonts w:ascii="Palatino Linotype" w:hAnsi="Palatino Linotype" w:cs="Tahoma"/>
          <w:bCs/>
          <w:sz w:val="22"/>
          <w:szCs w:val="22"/>
        </w:rPr>
        <w:t>nueve</w:t>
      </w:r>
      <w:r w:rsidR="003931DD">
        <w:rPr>
          <w:rFonts w:ascii="Palatino Linotype" w:hAnsi="Palatino Linotype" w:cs="Tahoma"/>
          <w:bCs/>
          <w:sz w:val="22"/>
          <w:szCs w:val="22"/>
        </w:rPr>
        <w:t xml:space="preserve"> de</w:t>
      </w:r>
      <w:r w:rsidR="004D528F">
        <w:rPr>
          <w:rFonts w:ascii="Palatino Linotype" w:hAnsi="Palatino Linotype" w:cs="Tahoma"/>
          <w:bCs/>
          <w:sz w:val="22"/>
          <w:szCs w:val="22"/>
        </w:rPr>
        <w:t xml:space="preserve"> febrero de dos mil veintidós</w:t>
      </w:r>
      <w:r w:rsidR="002D46B4">
        <w:rPr>
          <w:rFonts w:ascii="Palatino Linotype" w:hAnsi="Palatino Linotype" w:cs="Tahoma"/>
          <w:bCs/>
          <w:sz w:val="22"/>
          <w:szCs w:val="22"/>
        </w:rPr>
        <w:t xml:space="preserve">, </w:t>
      </w:r>
      <w:r w:rsidR="009F646C" w:rsidRPr="00C938B6">
        <w:rPr>
          <w:rFonts w:ascii="Palatino Linotype" w:hAnsi="Palatino Linotype" w:cs="Tahoma"/>
          <w:bCs/>
          <w:sz w:val="22"/>
          <w:szCs w:val="22"/>
        </w:rPr>
        <w:t xml:space="preserve">el Sujeto Obligado notificó </w:t>
      </w:r>
      <w:r w:rsidR="002D46B4" w:rsidRPr="00C938B6">
        <w:rPr>
          <w:rFonts w:ascii="Palatino Linotype" w:hAnsi="Palatino Linotype" w:cs="Tahoma"/>
          <w:bCs/>
          <w:sz w:val="22"/>
          <w:szCs w:val="22"/>
        </w:rPr>
        <w:t xml:space="preserve">a través del </w:t>
      </w:r>
      <w:r w:rsidR="002D46B4" w:rsidRPr="00C938B6">
        <w:rPr>
          <w:rFonts w:ascii="Palatino Linotype" w:hAnsi="Palatino Linotype" w:cs="Tahoma"/>
          <w:sz w:val="22"/>
          <w:szCs w:val="22"/>
        </w:rPr>
        <w:t xml:space="preserve">Sistema de Acceso a la </w:t>
      </w:r>
      <w:r w:rsidR="002D46B4">
        <w:rPr>
          <w:rFonts w:ascii="Palatino Linotype" w:hAnsi="Palatino Linotype" w:cs="Tahoma"/>
          <w:sz w:val="22"/>
          <w:szCs w:val="22"/>
        </w:rPr>
        <w:t>Información Mexiquense (SAIMEX)</w:t>
      </w:r>
      <w:r w:rsidR="002D46B4">
        <w:rPr>
          <w:rFonts w:ascii="Palatino Linotype" w:hAnsi="Palatino Linotype" w:cs="Tahoma"/>
          <w:bCs/>
          <w:sz w:val="22"/>
          <w:szCs w:val="22"/>
        </w:rPr>
        <w:t xml:space="preserve">, </w:t>
      </w:r>
      <w:r w:rsidR="009F646C" w:rsidRPr="00C938B6">
        <w:rPr>
          <w:rFonts w:ascii="Palatino Linotype" w:hAnsi="Palatino Linotype" w:cs="Tahoma"/>
          <w:bCs/>
          <w:sz w:val="22"/>
          <w:szCs w:val="22"/>
        </w:rPr>
        <w:t>la respuesta a la solici</w:t>
      </w:r>
      <w:r w:rsidR="002D46B4">
        <w:rPr>
          <w:rFonts w:ascii="Palatino Linotype" w:hAnsi="Palatino Linotype" w:cs="Tahoma"/>
          <w:bCs/>
          <w:sz w:val="22"/>
          <w:szCs w:val="22"/>
        </w:rPr>
        <w:t>t</w:t>
      </w:r>
      <w:r w:rsidR="001E3977">
        <w:rPr>
          <w:rFonts w:ascii="Palatino Linotype" w:hAnsi="Palatino Linotype" w:cs="Tahoma"/>
          <w:bCs/>
          <w:sz w:val="22"/>
          <w:szCs w:val="22"/>
        </w:rPr>
        <w:t xml:space="preserve">ud de acceso a la </w:t>
      </w:r>
      <w:r w:rsidR="00A60C77">
        <w:rPr>
          <w:rFonts w:ascii="Palatino Linotype" w:hAnsi="Palatino Linotype" w:cs="Tahoma"/>
          <w:bCs/>
          <w:sz w:val="22"/>
          <w:szCs w:val="22"/>
        </w:rPr>
        <w:t>informació</w:t>
      </w:r>
      <w:r w:rsidR="001D1806">
        <w:rPr>
          <w:rFonts w:ascii="Palatino Linotype" w:hAnsi="Palatino Linotype" w:cs="Tahoma"/>
          <w:bCs/>
          <w:sz w:val="22"/>
          <w:szCs w:val="22"/>
        </w:rPr>
        <w:t xml:space="preserve">n al tenor de lo siguiente: </w:t>
      </w:r>
    </w:p>
    <w:p w14:paraId="0070B86F" w14:textId="77777777" w:rsidR="001D1806" w:rsidRDefault="001D1806" w:rsidP="005B031E">
      <w:pPr>
        <w:autoSpaceDE w:val="0"/>
        <w:autoSpaceDN w:val="0"/>
        <w:adjustRightInd w:val="0"/>
        <w:spacing w:line="360" w:lineRule="auto"/>
        <w:ind w:right="-28"/>
        <w:jc w:val="both"/>
        <w:rPr>
          <w:rFonts w:ascii="Palatino Linotype" w:hAnsi="Palatino Linotype" w:cs="Tahoma"/>
          <w:bCs/>
          <w:sz w:val="22"/>
          <w:szCs w:val="22"/>
        </w:rPr>
      </w:pPr>
    </w:p>
    <w:p w14:paraId="420E2315" w14:textId="3D75F1A9" w:rsidR="001439DF" w:rsidRPr="00821876" w:rsidRDefault="001D1806" w:rsidP="00821876">
      <w:pPr>
        <w:autoSpaceDE w:val="0"/>
        <w:autoSpaceDN w:val="0"/>
        <w:adjustRightInd w:val="0"/>
        <w:spacing w:line="360" w:lineRule="auto"/>
        <w:ind w:left="567" w:right="539"/>
        <w:jc w:val="both"/>
        <w:rPr>
          <w:rFonts w:ascii="Palatino Linotype" w:hAnsi="Palatino Linotype" w:cs="Tahoma"/>
          <w:bCs/>
          <w:i/>
          <w:szCs w:val="22"/>
        </w:rPr>
      </w:pPr>
      <w:r w:rsidRPr="00821876">
        <w:rPr>
          <w:rFonts w:ascii="Palatino Linotype" w:hAnsi="Palatino Linotype" w:cs="Tahoma"/>
          <w:bCs/>
          <w:i/>
          <w:szCs w:val="22"/>
        </w:rPr>
        <w:t>“</w:t>
      </w:r>
      <w:r w:rsidR="004F7078" w:rsidRPr="004F7078">
        <w:rPr>
          <w:rFonts w:ascii="Palatino Linotype" w:hAnsi="Palatino Linotype" w:cs="Tahoma"/>
          <w:bCs/>
          <w:i/>
          <w:szCs w:val="22"/>
        </w:rPr>
        <w:t>C. SOLICITANTE P R E S E N T E. En respuesta a la solicitud número 00483/METEPEC/IP/2022,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de ésta, se anexa la respuesta del Servidor Público habilitado. Lo anterior con fundamento en lo establecido por los artículos 12, 18, 19, 53 fracción VI, 160 y 162 de la Ley de Transparencia y Acceso a la Información Pública del Estado de México. Sin más por el momento, me despido de usted, reiterando estar a sus órdenes. ATENTAMENTE Lic. Gerardo Arturo Ozuna Martínez Titular de la Unidad de Transparencia</w:t>
      </w:r>
      <w:r w:rsidR="004F7078">
        <w:rPr>
          <w:rFonts w:ascii="Palatino Linotype" w:hAnsi="Palatino Linotype" w:cs="Tahoma"/>
          <w:bCs/>
          <w:i/>
          <w:szCs w:val="22"/>
        </w:rPr>
        <w:t>…</w:t>
      </w:r>
      <w:r w:rsidR="00003D5C" w:rsidRPr="00821876">
        <w:rPr>
          <w:rFonts w:ascii="Palatino Linotype" w:hAnsi="Palatino Linotype" w:cs="Tahoma"/>
          <w:bCs/>
          <w:i/>
          <w:szCs w:val="22"/>
        </w:rPr>
        <w:t xml:space="preserve"> </w:t>
      </w:r>
      <w:r w:rsidR="0065749C" w:rsidRPr="00821876">
        <w:rPr>
          <w:rFonts w:ascii="Palatino Linotype" w:hAnsi="Palatino Linotype" w:cs="Tahoma"/>
          <w:bCs/>
          <w:i/>
          <w:szCs w:val="22"/>
        </w:rPr>
        <w:t>(Sic)</w:t>
      </w:r>
      <w:bookmarkStart w:id="1" w:name="_Hlk93400407"/>
    </w:p>
    <w:p w14:paraId="350B4695" w14:textId="77777777" w:rsidR="00CD64A4" w:rsidRDefault="00CD64A4" w:rsidP="003931DD">
      <w:pPr>
        <w:autoSpaceDE w:val="0"/>
        <w:autoSpaceDN w:val="0"/>
        <w:adjustRightInd w:val="0"/>
        <w:spacing w:line="360" w:lineRule="auto"/>
        <w:ind w:right="539"/>
        <w:jc w:val="both"/>
        <w:rPr>
          <w:rFonts w:ascii="Palatino Linotype" w:hAnsi="Palatino Linotype" w:cs="Tahoma"/>
          <w:bCs/>
          <w:i/>
          <w:sz w:val="22"/>
          <w:szCs w:val="22"/>
        </w:rPr>
      </w:pPr>
    </w:p>
    <w:p w14:paraId="5499F65D" w14:textId="3C7A1260" w:rsidR="003931DD" w:rsidRDefault="003931DD" w:rsidP="003931DD">
      <w:pPr>
        <w:autoSpaceDE w:val="0"/>
        <w:autoSpaceDN w:val="0"/>
        <w:adjustRightInd w:val="0"/>
        <w:spacing w:line="360" w:lineRule="auto"/>
        <w:ind w:right="539"/>
        <w:jc w:val="both"/>
        <w:rPr>
          <w:rFonts w:ascii="Palatino Linotype" w:hAnsi="Palatino Linotype" w:cs="Tahoma"/>
          <w:bCs/>
          <w:sz w:val="22"/>
          <w:szCs w:val="22"/>
        </w:rPr>
      </w:pPr>
      <w:r>
        <w:rPr>
          <w:rFonts w:ascii="Palatino Linotype" w:hAnsi="Palatino Linotype" w:cs="Tahoma"/>
          <w:bCs/>
          <w:sz w:val="22"/>
          <w:szCs w:val="22"/>
        </w:rPr>
        <w:t xml:space="preserve">Para tales efectos anexó el archivo que se describe a continuación: </w:t>
      </w:r>
    </w:p>
    <w:p w14:paraId="05A23FE6" w14:textId="77777777" w:rsidR="003931DD" w:rsidRDefault="003931DD" w:rsidP="003931DD">
      <w:pPr>
        <w:autoSpaceDE w:val="0"/>
        <w:autoSpaceDN w:val="0"/>
        <w:adjustRightInd w:val="0"/>
        <w:spacing w:line="360" w:lineRule="auto"/>
        <w:ind w:right="539"/>
        <w:jc w:val="both"/>
        <w:rPr>
          <w:rFonts w:ascii="Palatino Linotype" w:hAnsi="Palatino Linotype" w:cs="Tahoma"/>
          <w:bCs/>
          <w:sz w:val="22"/>
          <w:szCs w:val="22"/>
        </w:rPr>
      </w:pPr>
    </w:p>
    <w:p w14:paraId="7C61660C" w14:textId="7A8233CF" w:rsidR="003931DD" w:rsidRDefault="00D33A2E" w:rsidP="00821876">
      <w:pPr>
        <w:pStyle w:val="Prrafodelista"/>
        <w:numPr>
          <w:ilvl w:val="0"/>
          <w:numId w:val="1"/>
        </w:numPr>
        <w:autoSpaceDE w:val="0"/>
        <w:autoSpaceDN w:val="0"/>
        <w:adjustRightInd w:val="0"/>
        <w:spacing w:line="360" w:lineRule="auto"/>
        <w:ind w:left="993" w:right="-28"/>
        <w:jc w:val="both"/>
        <w:rPr>
          <w:rFonts w:ascii="Palatino Linotype" w:hAnsi="Palatino Linotype" w:cs="Tahoma"/>
          <w:bCs/>
          <w:szCs w:val="22"/>
        </w:rPr>
      </w:pPr>
      <w:bookmarkStart w:id="2" w:name="_Hlk101365450"/>
      <w:r>
        <w:rPr>
          <w:rFonts w:ascii="Palatino Linotype" w:hAnsi="Palatino Linotype" w:cs="Tahoma"/>
          <w:b/>
          <w:bCs/>
          <w:szCs w:val="22"/>
        </w:rPr>
        <w:t xml:space="preserve">2022.Año del Quincentenario de la Fundación de Toluca de Lerdo, (06).pdf. </w:t>
      </w:r>
      <w:r w:rsidR="00E84BD6">
        <w:rPr>
          <w:rFonts w:ascii="Palatino Linotype" w:hAnsi="Palatino Linotype" w:cs="Tahoma"/>
          <w:szCs w:val="22"/>
        </w:rPr>
        <w:t xml:space="preserve">Oficio de fecha ocho de febrero de dos mil veintidós, signado por el Titular de la Unidad de Transparencia, mediante el cual informa que </w:t>
      </w:r>
      <w:r w:rsidR="00D4431F">
        <w:rPr>
          <w:rFonts w:ascii="Palatino Linotype" w:hAnsi="Palatino Linotype" w:cs="Tahoma"/>
          <w:szCs w:val="22"/>
        </w:rPr>
        <w:t xml:space="preserve">la solicitud presentada por el Particular no corresponde al ejercicio del derecho de acceso a la información, por lo que no puede ser atendida. </w:t>
      </w:r>
    </w:p>
    <w:bookmarkEnd w:id="2"/>
    <w:p w14:paraId="4CC2217E" w14:textId="77777777" w:rsidR="00821876" w:rsidRPr="003931DD" w:rsidRDefault="00821876" w:rsidP="00821876">
      <w:pPr>
        <w:pStyle w:val="Prrafodelista"/>
        <w:autoSpaceDE w:val="0"/>
        <w:autoSpaceDN w:val="0"/>
        <w:adjustRightInd w:val="0"/>
        <w:spacing w:line="360" w:lineRule="auto"/>
        <w:ind w:left="993" w:right="-28"/>
        <w:jc w:val="both"/>
        <w:rPr>
          <w:rFonts w:ascii="Palatino Linotype" w:hAnsi="Palatino Linotype" w:cs="Tahoma"/>
          <w:bCs/>
          <w:szCs w:val="22"/>
        </w:rPr>
      </w:pPr>
    </w:p>
    <w:p w14:paraId="2DACB647" w14:textId="77777777" w:rsidR="003931DD" w:rsidRPr="003931DD" w:rsidRDefault="003931DD" w:rsidP="003931DD">
      <w:pPr>
        <w:autoSpaceDE w:val="0"/>
        <w:autoSpaceDN w:val="0"/>
        <w:adjustRightInd w:val="0"/>
        <w:spacing w:line="360" w:lineRule="auto"/>
        <w:ind w:right="539"/>
        <w:jc w:val="both"/>
        <w:rPr>
          <w:rFonts w:ascii="Palatino Linotype" w:hAnsi="Palatino Linotype" w:cs="Tahoma"/>
          <w:b/>
          <w:bCs/>
          <w:sz w:val="22"/>
          <w:szCs w:val="22"/>
        </w:rPr>
      </w:pPr>
    </w:p>
    <w:bookmarkEnd w:id="1"/>
    <w:p w14:paraId="17843F84" w14:textId="77777777" w:rsidR="00801872" w:rsidRPr="00C938B6" w:rsidRDefault="00801872" w:rsidP="005B031E">
      <w:pPr>
        <w:autoSpaceDE w:val="0"/>
        <w:autoSpaceDN w:val="0"/>
        <w:adjustRightInd w:val="0"/>
        <w:spacing w:line="360" w:lineRule="auto"/>
        <w:jc w:val="both"/>
        <w:rPr>
          <w:rFonts w:ascii="Palatino Linotype" w:hAnsi="Palatino Linotype" w:cs="Tahoma"/>
          <w:b/>
          <w:sz w:val="22"/>
          <w:szCs w:val="22"/>
        </w:rPr>
      </w:pPr>
      <w:r w:rsidRPr="00C938B6">
        <w:rPr>
          <w:rFonts w:ascii="Palatino Linotype" w:hAnsi="Palatino Linotype" w:cs="Tahoma"/>
          <w:b/>
          <w:sz w:val="22"/>
          <w:szCs w:val="22"/>
        </w:rPr>
        <w:lastRenderedPageBreak/>
        <w:t>III. Interposición del Recurso de Revisión.</w:t>
      </w:r>
    </w:p>
    <w:p w14:paraId="47856147" w14:textId="77777777" w:rsidR="00801872" w:rsidRPr="00C938B6" w:rsidRDefault="00801872" w:rsidP="005B031E">
      <w:pPr>
        <w:widowControl w:val="0"/>
        <w:spacing w:line="360" w:lineRule="auto"/>
        <w:jc w:val="both"/>
        <w:rPr>
          <w:rFonts w:ascii="Palatino Linotype" w:hAnsi="Palatino Linotype" w:cs="Tahoma"/>
          <w:sz w:val="22"/>
          <w:szCs w:val="22"/>
        </w:rPr>
      </w:pPr>
    </w:p>
    <w:p w14:paraId="62F1AEB7" w14:textId="417305F8" w:rsidR="00801872" w:rsidRPr="00C938B6" w:rsidRDefault="00787658" w:rsidP="005B031E">
      <w:pPr>
        <w:widowControl w:val="0"/>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En fecha </w:t>
      </w:r>
      <w:r w:rsidR="003931DD">
        <w:rPr>
          <w:rFonts w:ascii="Palatino Linotype" w:hAnsi="Palatino Linotype" w:cs="Tahoma"/>
          <w:sz w:val="22"/>
          <w:szCs w:val="22"/>
          <w:lang w:val="es-ES"/>
        </w:rPr>
        <w:t>veintiocho</w:t>
      </w:r>
      <w:r w:rsidR="00CD64A4">
        <w:rPr>
          <w:rFonts w:ascii="Palatino Linotype" w:hAnsi="Palatino Linotype" w:cs="Tahoma"/>
          <w:sz w:val="22"/>
          <w:szCs w:val="22"/>
          <w:lang w:val="es-ES"/>
        </w:rPr>
        <w:t xml:space="preserve"> de febrero de dos mil veintidós</w:t>
      </w:r>
      <w:r>
        <w:rPr>
          <w:rFonts w:ascii="Palatino Linotype" w:hAnsi="Palatino Linotype" w:cs="Tahoma"/>
          <w:sz w:val="22"/>
          <w:szCs w:val="22"/>
          <w:lang w:val="es-ES"/>
        </w:rPr>
        <w:t xml:space="preserve">, a través del </w:t>
      </w:r>
      <w:r w:rsidRPr="00C938B6">
        <w:rPr>
          <w:rFonts w:ascii="Palatino Linotype" w:hAnsi="Palatino Linotype" w:cs="Tahoma"/>
          <w:sz w:val="22"/>
          <w:szCs w:val="22"/>
          <w:lang w:val="es-ES"/>
        </w:rPr>
        <w:t>Sistema de Acceso a la Información Mexiquense (SAIMEX)</w:t>
      </w:r>
      <w:r>
        <w:rPr>
          <w:rFonts w:ascii="Palatino Linotype" w:hAnsi="Palatino Linotype" w:cs="Tahoma"/>
          <w:sz w:val="22"/>
          <w:szCs w:val="22"/>
          <w:lang w:val="es-ES"/>
        </w:rPr>
        <w:t xml:space="preserve">, el Particular </w:t>
      </w:r>
      <w:r w:rsidR="00801872" w:rsidRPr="00C938B6">
        <w:rPr>
          <w:rFonts w:ascii="Palatino Linotype" w:hAnsi="Palatino Linotype" w:cs="Tahoma"/>
          <w:sz w:val="22"/>
          <w:szCs w:val="22"/>
          <w:lang w:val="es-ES"/>
        </w:rPr>
        <w:t>interpuso Recurso de Revisión ante este Instituto</w:t>
      </w:r>
      <w:r>
        <w:rPr>
          <w:rFonts w:ascii="Palatino Linotype" w:hAnsi="Palatino Linotype" w:cs="Tahoma"/>
          <w:sz w:val="22"/>
          <w:szCs w:val="22"/>
          <w:lang w:val="es-ES"/>
        </w:rPr>
        <w:t xml:space="preserve"> </w:t>
      </w:r>
      <w:r w:rsidR="00801872" w:rsidRPr="00C938B6">
        <w:rPr>
          <w:rFonts w:ascii="Palatino Linotype" w:hAnsi="Palatino Linotype" w:cs="Tahoma"/>
          <w:sz w:val="22"/>
          <w:szCs w:val="22"/>
          <w:lang w:val="es-ES"/>
        </w:rPr>
        <w:t>en contra de la respuesta otorgada por el</w:t>
      </w:r>
      <w:r w:rsidR="00FD724E">
        <w:rPr>
          <w:rFonts w:ascii="Palatino Linotype" w:hAnsi="Palatino Linotype" w:cs="Tahoma"/>
          <w:sz w:val="22"/>
          <w:szCs w:val="22"/>
          <w:lang w:val="es-ES"/>
        </w:rPr>
        <w:t xml:space="preserve"> </w:t>
      </w:r>
      <w:r w:rsidR="003931DD">
        <w:rPr>
          <w:rFonts w:ascii="Palatino Linotype" w:eastAsia="Calibri" w:hAnsi="Palatino Linotype" w:cs="Tahoma"/>
          <w:bCs/>
          <w:sz w:val="22"/>
          <w:szCs w:val="22"/>
        </w:rPr>
        <w:t xml:space="preserve">Ayuntamiento de Metepec a </w:t>
      </w:r>
      <w:r w:rsidR="00801872" w:rsidRPr="00C938B6">
        <w:rPr>
          <w:rFonts w:ascii="Palatino Linotype" w:hAnsi="Palatino Linotype" w:cs="Tahoma"/>
          <w:sz w:val="22"/>
          <w:szCs w:val="22"/>
          <w:lang w:val="es-ES"/>
        </w:rPr>
        <w:t>la solicitud de información, en los siguientes términos:</w:t>
      </w:r>
    </w:p>
    <w:p w14:paraId="6CC89F15" w14:textId="77777777" w:rsidR="00801872" w:rsidRPr="00C938B6" w:rsidRDefault="00801872" w:rsidP="005B031E">
      <w:pPr>
        <w:widowControl w:val="0"/>
        <w:spacing w:line="360" w:lineRule="auto"/>
        <w:jc w:val="both"/>
        <w:rPr>
          <w:rFonts w:ascii="Palatino Linotype" w:hAnsi="Palatino Linotype" w:cs="Tahoma"/>
          <w:b/>
          <w:bCs/>
          <w:sz w:val="22"/>
          <w:szCs w:val="22"/>
          <w:lang w:val="es-ES"/>
        </w:rPr>
      </w:pPr>
    </w:p>
    <w:p w14:paraId="678BEB74" w14:textId="50E99A83" w:rsidR="00801872" w:rsidRPr="00C938B6" w:rsidRDefault="00787658" w:rsidP="005B031E">
      <w:pPr>
        <w:spacing w:line="360" w:lineRule="auto"/>
        <w:ind w:left="567" w:right="567"/>
        <w:contextualSpacing/>
        <w:jc w:val="both"/>
        <w:rPr>
          <w:rFonts w:ascii="Palatino Linotype" w:hAnsi="Palatino Linotype" w:cs="Tahoma"/>
          <w:b/>
          <w:i/>
          <w:iCs/>
        </w:rPr>
      </w:pPr>
      <w:r>
        <w:rPr>
          <w:rFonts w:ascii="Palatino Linotype" w:hAnsi="Palatino Linotype" w:cs="Tahoma"/>
          <w:b/>
          <w:i/>
          <w:iCs/>
        </w:rPr>
        <w:t xml:space="preserve"> </w:t>
      </w:r>
      <w:bookmarkStart w:id="3" w:name="_Hlk94039942"/>
      <w:r w:rsidR="00801872" w:rsidRPr="00C938B6">
        <w:rPr>
          <w:rFonts w:ascii="Palatino Linotype" w:hAnsi="Palatino Linotype" w:cs="Tahoma"/>
          <w:b/>
          <w:i/>
          <w:iCs/>
        </w:rPr>
        <w:t>ACTO IMPUGNADO</w:t>
      </w:r>
    </w:p>
    <w:p w14:paraId="6124D706" w14:textId="2A34CE3A" w:rsidR="00801872" w:rsidRDefault="00787658" w:rsidP="00FD724E">
      <w:pPr>
        <w:spacing w:line="360" w:lineRule="auto"/>
        <w:ind w:left="567" w:right="567"/>
        <w:contextualSpacing/>
        <w:jc w:val="both"/>
        <w:rPr>
          <w:rFonts w:ascii="Palatino Linotype" w:hAnsi="Palatino Linotype" w:cs="Tahoma"/>
          <w:i/>
          <w:iCs/>
        </w:rPr>
      </w:pPr>
      <w:r>
        <w:rPr>
          <w:rFonts w:ascii="Palatino Linotype" w:hAnsi="Palatino Linotype" w:cs="Tahoma"/>
          <w:i/>
          <w:iCs/>
        </w:rPr>
        <w:t>“</w:t>
      </w:r>
      <w:r w:rsidR="00821876" w:rsidRPr="00821876">
        <w:rPr>
          <w:rFonts w:ascii="Palatino Linotype" w:hAnsi="Palatino Linotype" w:cs="Tahoma"/>
          <w:i/>
          <w:iCs/>
        </w:rPr>
        <w:t>La respuesta proporcionada por el Sujeto Obligado.</w:t>
      </w:r>
      <w:r w:rsidR="00584DB3">
        <w:rPr>
          <w:rFonts w:ascii="Palatino Linotype" w:hAnsi="Palatino Linotype" w:cs="Tahoma"/>
          <w:i/>
          <w:iCs/>
        </w:rPr>
        <w:t xml:space="preserve">”. </w:t>
      </w:r>
      <w:r w:rsidR="00801872" w:rsidRPr="00C938B6">
        <w:rPr>
          <w:rFonts w:ascii="Palatino Linotype" w:hAnsi="Palatino Linotype" w:cs="Tahoma"/>
          <w:i/>
          <w:iCs/>
        </w:rPr>
        <w:t>(Sic)</w:t>
      </w:r>
    </w:p>
    <w:p w14:paraId="6E8E070B" w14:textId="77777777" w:rsidR="003931DD" w:rsidRPr="00FD724E" w:rsidRDefault="003931DD" w:rsidP="00FD724E">
      <w:pPr>
        <w:spacing w:line="360" w:lineRule="auto"/>
        <w:ind w:left="567" w:right="567"/>
        <w:contextualSpacing/>
        <w:jc w:val="both"/>
        <w:rPr>
          <w:rFonts w:ascii="Palatino Linotype" w:hAnsi="Palatino Linotype" w:cs="Tahoma"/>
          <w:i/>
          <w:iCs/>
        </w:rPr>
      </w:pPr>
    </w:p>
    <w:p w14:paraId="5D59FAC9" w14:textId="57CDF813" w:rsidR="00801872" w:rsidRPr="00C938B6" w:rsidRDefault="00801872" w:rsidP="005B031E">
      <w:pPr>
        <w:spacing w:line="360" w:lineRule="auto"/>
        <w:ind w:left="567" w:right="567"/>
        <w:contextualSpacing/>
        <w:jc w:val="both"/>
        <w:rPr>
          <w:rFonts w:ascii="Palatino Linotype" w:hAnsi="Palatino Linotype" w:cs="Tahoma"/>
          <w:b/>
          <w:i/>
          <w:iCs/>
        </w:rPr>
      </w:pPr>
      <w:r w:rsidRPr="00C938B6">
        <w:rPr>
          <w:rFonts w:ascii="Palatino Linotype" w:hAnsi="Palatino Linotype" w:cs="Tahoma"/>
          <w:b/>
          <w:i/>
          <w:iCs/>
        </w:rPr>
        <w:t>RAZONES O MOTIVOS DE LA INCONFORMIDAD</w:t>
      </w:r>
    </w:p>
    <w:p w14:paraId="5353D53C" w14:textId="69E3B25C" w:rsidR="00BE73E6" w:rsidRDefault="00787658" w:rsidP="005B031E">
      <w:pPr>
        <w:spacing w:line="360" w:lineRule="auto"/>
        <w:ind w:left="567" w:right="567"/>
        <w:contextualSpacing/>
        <w:jc w:val="both"/>
        <w:rPr>
          <w:rFonts w:ascii="Palatino Linotype" w:eastAsia="Calibri" w:hAnsi="Palatino Linotype" w:cs="Tahoma"/>
          <w:bCs/>
          <w:i/>
          <w:iCs/>
          <w:lang w:eastAsia="en-US"/>
        </w:rPr>
      </w:pPr>
      <w:bookmarkStart w:id="4" w:name="_Hlk93400426"/>
      <w:r>
        <w:rPr>
          <w:rFonts w:ascii="Palatino Linotype" w:eastAsia="Calibri" w:hAnsi="Palatino Linotype" w:cs="Tahoma"/>
          <w:bCs/>
          <w:i/>
          <w:iCs/>
          <w:lang w:eastAsia="en-US"/>
        </w:rPr>
        <w:t>“</w:t>
      </w:r>
      <w:r w:rsidR="00821876" w:rsidRPr="00821876">
        <w:rPr>
          <w:rFonts w:ascii="Palatino Linotype" w:eastAsia="Calibri" w:hAnsi="Palatino Linotype" w:cs="Tahoma"/>
          <w:bCs/>
          <w:i/>
          <w:iCs/>
          <w:lang w:eastAsia="en-US"/>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w:t>
      </w:r>
      <w:r w:rsidR="00821876" w:rsidRPr="00821876">
        <w:rPr>
          <w:rFonts w:ascii="Palatino Linotype" w:eastAsia="Calibri" w:hAnsi="Palatino Linotype" w:cs="Tahoma"/>
          <w:bCs/>
          <w:i/>
          <w:iCs/>
          <w:lang w:eastAsia="en-US"/>
        </w:rPr>
        <w:lastRenderedPageBreak/>
        <w:t>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w:t>
      </w:r>
      <w:r w:rsidR="00821876">
        <w:rPr>
          <w:rFonts w:ascii="Palatino Linotype" w:eastAsia="Calibri" w:hAnsi="Palatino Linotype" w:cs="Tahoma"/>
          <w:bCs/>
          <w:i/>
          <w:iCs/>
          <w:lang w:eastAsia="en-US"/>
        </w:rPr>
        <w:t>tículo 177 de la ley en mención”</w:t>
      </w:r>
      <w:r w:rsidR="003931DD" w:rsidRPr="003931DD">
        <w:rPr>
          <w:rFonts w:ascii="Palatino Linotype" w:eastAsia="Calibri" w:hAnsi="Palatino Linotype" w:cs="Tahoma"/>
          <w:bCs/>
          <w:i/>
          <w:iCs/>
          <w:lang w:eastAsia="en-US"/>
        </w:rPr>
        <w:t xml:space="preserve">. </w:t>
      </w:r>
      <w:r w:rsidR="00801872" w:rsidRPr="00C938B6">
        <w:rPr>
          <w:rFonts w:ascii="Palatino Linotype" w:eastAsia="Calibri" w:hAnsi="Palatino Linotype" w:cs="Tahoma"/>
          <w:bCs/>
          <w:i/>
          <w:iCs/>
          <w:lang w:eastAsia="en-US"/>
        </w:rPr>
        <w:t>(Sic)</w:t>
      </w:r>
    </w:p>
    <w:bookmarkEnd w:id="3"/>
    <w:bookmarkEnd w:id="4"/>
    <w:p w14:paraId="2D7ED6AB" w14:textId="77777777" w:rsidR="004E0CF0" w:rsidRPr="00584DB3" w:rsidRDefault="004E0CF0" w:rsidP="006F7217">
      <w:pPr>
        <w:tabs>
          <w:tab w:val="left" w:pos="3360"/>
        </w:tabs>
        <w:spacing w:line="360" w:lineRule="auto"/>
        <w:ind w:right="-28"/>
        <w:contextualSpacing/>
        <w:jc w:val="both"/>
        <w:rPr>
          <w:rFonts w:ascii="Palatino Linotype" w:hAnsi="Palatino Linotype" w:cs="Tahoma"/>
          <w:bCs/>
          <w:sz w:val="22"/>
          <w:szCs w:val="22"/>
        </w:rPr>
      </w:pPr>
    </w:p>
    <w:p w14:paraId="522834F7" w14:textId="77777777" w:rsidR="00801872" w:rsidRPr="00C938B6" w:rsidRDefault="00801872" w:rsidP="005B031E">
      <w:pPr>
        <w:spacing w:line="360" w:lineRule="auto"/>
        <w:jc w:val="both"/>
        <w:rPr>
          <w:rFonts w:ascii="Palatino Linotype" w:eastAsia="Batang" w:hAnsi="Palatino Linotype" w:cs="Tahoma"/>
          <w:b/>
          <w:bCs/>
          <w:sz w:val="22"/>
          <w:szCs w:val="22"/>
        </w:rPr>
      </w:pPr>
      <w:r w:rsidRPr="00C938B6">
        <w:rPr>
          <w:rFonts w:ascii="Palatino Linotype" w:hAnsi="Palatino Linotype" w:cs="Tahoma"/>
          <w:b/>
          <w:sz w:val="22"/>
          <w:szCs w:val="22"/>
        </w:rPr>
        <w:t xml:space="preserve">IV. </w:t>
      </w:r>
      <w:r w:rsidRPr="00C938B6">
        <w:rPr>
          <w:rFonts w:ascii="Palatino Linotype" w:eastAsia="Batang" w:hAnsi="Palatino Linotype" w:cs="Tahoma"/>
          <w:b/>
          <w:bCs/>
          <w:sz w:val="22"/>
          <w:szCs w:val="22"/>
        </w:rPr>
        <w:t>Trámite del Recurso de Revisión</w:t>
      </w:r>
      <w:r w:rsidRPr="00C938B6">
        <w:rPr>
          <w:rFonts w:ascii="Palatino Linotype" w:hAnsi="Palatino Linotype" w:cs="Tahoma"/>
          <w:b/>
          <w:sz w:val="22"/>
          <w:szCs w:val="22"/>
        </w:rPr>
        <w:t xml:space="preserve"> </w:t>
      </w:r>
      <w:r w:rsidRPr="00C938B6">
        <w:rPr>
          <w:rFonts w:ascii="Palatino Linotype" w:eastAsia="Batang" w:hAnsi="Palatino Linotype" w:cs="Tahoma"/>
          <w:b/>
          <w:bCs/>
          <w:sz w:val="22"/>
          <w:szCs w:val="22"/>
        </w:rPr>
        <w:t>ante el Instituto.</w:t>
      </w:r>
    </w:p>
    <w:p w14:paraId="6B84BD39" w14:textId="77777777" w:rsidR="00801872" w:rsidRPr="00C938B6" w:rsidRDefault="00801872" w:rsidP="005B031E">
      <w:pPr>
        <w:spacing w:line="360" w:lineRule="auto"/>
        <w:jc w:val="both"/>
        <w:rPr>
          <w:rFonts w:ascii="Palatino Linotype" w:eastAsia="Batang" w:hAnsi="Palatino Linotype" w:cs="Tahoma"/>
          <w:b/>
          <w:bCs/>
          <w:sz w:val="22"/>
          <w:szCs w:val="22"/>
        </w:rPr>
      </w:pPr>
    </w:p>
    <w:p w14:paraId="0DF354DA" w14:textId="35EF2CD8" w:rsidR="00801872" w:rsidRPr="009D337B" w:rsidRDefault="00801872" w:rsidP="005B031E">
      <w:pPr>
        <w:spacing w:line="360" w:lineRule="auto"/>
        <w:jc w:val="both"/>
        <w:rPr>
          <w:rFonts w:ascii="Palatino Linotype" w:eastAsia="Calibri" w:hAnsi="Palatino Linotype" w:cs="Tahoma"/>
          <w:b/>
          <w:bCs/>
          <w:sz w:val="22"/>
          <w:szCs w:val="22"/>
        </w:rPr>
      </w:pPr>
      <w:r w:rsidRPr="00C938B6">
        <w:rPr>
          <w:rFonts w:ascii="Palatino Linotype" w:eastAsia="Batang" w:hAnsi="Palatino Linotype" w:cs="Tahoma"/>
          <w:b/>
          <w:bCs/>
          <w:sz w:val="22"/>
          <w:szCs w:val="22"/>
        </w:rPr>
        <w:t xml:space="preserve">a) Turno del Recurso de Revisión. </w:t>
      </w:r>
      <w:r w:rsidR="00787658">
        <w:rPr>
          <w:rFonts w:ascii="Palatino Linotype" w:eastAsia="Batang" w:hAnsi="Palatino Linotype" w:cs="Tahoma"/>
          <w:sz w:val="22"/>
          <w:szCs w:val="22"/>
        </w:rPr>
        <w:t xml:space="preserve">El </w:t>
      </w:r>
      <w:r w:rsidR="001B1DD5">
        <w:rPr>
          <w:rFonts w:ascii="Palatino Linotype" w:eastAsia="Batang" w:hAnsi="Palatino Linotype" w:cs="Tahoma"/>
          <w:sz w:val="22"/>
          <w:szCs w:val="22"/>
        </w:rPr>
        <w:t>v</w:t>
      </w:r>
      <w:r w:rsidR="00B574E7">
        <w:rPr>
          <w:rFonts w:ascii="Palatino Linotype" w:eastAsia="Batang" w:hAnsi="Palatino Linotype" w:cs="Tahoma"/>
          <w:sz w:val="22"/>
          <w:szCs w:val="22"/>
        </w:rPr>
        <w:t>eintiocho</w:t>
      </w:r>
      <w:r w:rsidR="001B1DD5">
        <w:rPr>
          <w:rFonts w:ascii="Palatino Linotype" w:eastAsia="Batang" w:hAnsi="Palatino Linotype" w:cs="Tahoma"/>
          <w:sz w:val="22"/>
          <w:szCs w:val="22"/>
        </w:rPr>
        <w:t xml:space="preserve"> de febrero de dos mil veintidós</w:t>
      </w:r>
      <w:r w:rsidR="00787658">
        <w:rPr>
          <w:rFonts w:ascii="Palatino Linotype" w:eastAsia="Batang" w:hAnsi="Palatino Linotype" w:cs="Tahoma"/>
          <w:sz w:val="22"/>
          <w:szCs w:val="22"/>
        </w:rPr>
        <w:t>,</w:t>
      </w:r>
      <w:r w:rsidRPr="00C938B6">
        <w:rPr>
          <w:rFonts w:ascii="Palatino Linotype" w:eastAsia="Batang" w:hAnsi="Palatino Linotype" w:cs="Tahoma"/>
          <w:sz w:val="22"/>
          <w:szCs w:val="22"/>
        </w:rPr>
        <w:t xml:space="preserve"> el </w:t>
      </w:r>
      <w:r w:rsidRPr="00C938B6">
        <w:rPr>
          <w:rFonts w:ascii="Palatino Linotype" w:eastAsia="Batang" w:hAnsi="Palatino Linotype" w:cs="Tahoma"/>
          <w:sz w:val="22"/>
          <w:szCs w:val="22"/>
          <w:lang w:val="es-ES"/>
        </w:rPr>
        <w:t>Sistema de Acceso a la Información Mexiquense (SAIMEX),</w:t>
      </w:r>
      <w:r w:rsidRPr="00C938B6">
        <w:rPr>
          <w:rFonts w:ascii="Palatino Linotype" w:eastAsia="Batang" w:hAnsi="Palatino Linotype" w:cs="Tahoma"/>
          <w:sz w:val="22"/>
          <w:szCs w:val="22"/>
        </w:rPr>
        <w:t xml:space="preserve"> asignó el número de expediente </w:t>
      </w:r>
      <w:r w:rsidR="00787658">
        <w:rPr>
          <w:rFonts w:ascii="Palatino Linotype" w:eastAsia="Calibri" w:hAnsi="Palatino Linotype" w:cs="Tahoma"/>
          <w:b/>
          <w:bCs/>
          <w:sz w:val="22"/>
          <w:szCs w:val="22"/>
        </w:rPr>
        <w:t>0</w:t>
      </w:r>
      <w:r w:rsidR="00821876">
        <w:rPr>
          <w:rFonts w:ascii="Palatino Linotype" w:eastAsia="Calibri" w:hAnsi="Palatino Linotype" w:cs="Tahoma"/>
          <w:b/>
          <w:bCs/>
          <w:sz w:val="22"/>
          <w:szCs w:val="22"/>
        </w:rPr>
        <w:t>2</w:t>
      </w:r>
      <w:r w:rsidR="00D26D01">
        <w:rPr>
          <w:rFonts w:ascii="Palatino Linotype" w:eastAsia="Calibri" w:hAnsi="Palatino Linotype" w:cs="Tahoma"/>
          <w:b/>
          <w:bCs/>
          <w:sz w:val="22"/>
          <w:szCs w:val="22"/>
        </w:rPr>
        <w:t>136</w:t>
      </w:r>
      <w:r w:rsidR="009D337B">
        <w:rPr>
          <w:rFonts w:ascii="Palatino Linotype" w:eastAsia="Calibri" w:hAnsi="Palatino Linotype" w:cs="Tahoma"/>
          <w:b/>
          <w:bCs/>
          <w:sz w:val="22"/>
          <w:szCs w:val="22"/>
        </w:rPr>
        <w:t>/INFOEM/IP/RR/2022</w:t>
      </w:r>
      <w:r w:rsidRPr="00C938B6">
        <w:rPr>
          <w:rFonts w:ascii="Palatino Linotype" w:eastAsia="Batang" w:hAnsi="Palatino Linotype" w:cs="Tahoma"/>
          <w:sz w:val="22"/>
          <w:szCs w:val="22"/>
        </w:rPr>
        <w:t xml:space="preserve">, al medio de impugnación que nos ocupa, con base en el sistema aprobado por el Pleno de este Órgano Garante </w:t>
      </w:r>
      <w:r w:rsidR="0017321F">
        <w:rPr>
          <w:rFonts w:ascii="Palatino Linotype" w:eastAsia="Batang" w:hAnsi="Palatino Linotype" w:cs="Tahoma"/>
          <w:sz w:val="22"/>
          <w:szCs w:val="22"/>
        </w:rPr>
        <w:t xml:space="preserve">y lo turnó al </w:t>
      </w:r>
      <w:r w:rsidR="0017321F">
        <w:rPr>
          <w:rFonts w:ascii="Palatino Linotype" w:eastAsia="Batang" w:hAnsi="Palatino Linotype" w:cs="Tahoma"/>
          <w:b/>
          <w:bCs/>
          <w:sz w:val="22"/>
          <w:szCs w:val="22"/>
        </w:rPr>
        <w:t>Comisionado Luis Gustavo Parra Noriega</w:t>
      </w:r>
      <w:r w:rsidR="00D22825">
        <w:rPr>
          <w:rFonts w:ascii="Palatino Linotype" w:eastAsia="Batang" w:hAnsi="Palatino Linotype" w:cs="Tahoma"/>
          <w:b/>
          <w:sz w:val="22"/>
          <w:szCs w:val="22"/>
        </w:rPr>
        <w:t xml:space="preserve"> </w:t>
      </w:r>
      <w:r w:rsidR="00D22825" w:rsidRPr="00C938B6">
        <w:rPr>
          <w:rFonts w:ascii="Palatino Linotype" w:eastAsia="Batang" w:hAnsi="Palatino Linotype" w:cs="Tahoma"/>
          <w:sz w:val="22"/>
          <w:szCs w:val="22"/>
        </w:rPr>
        <w:t>para los efectos del artículo 185, fracción I de la Ley de Transparencia y Acceso a la Información Pública del Estado de México y Municipios.</w:t>
      </w:r>
    </w:p>
    <w:p w14:paraId="2F4CB9FB" w14:textId="77777777" w:rsidR="00400954" w:rsidRPr="0017321F" w:rsidRDefault="00400954" w:rsidP="005B031E">
      <w:pPr>
        <w:spacing w:line="360" w:lineRule="auto"/>
        <w:jc w:val="both"/>
        <w:rPr>
          <w:rFonts w:ascii="Palatino Linotype" w:eastAsia="Batang" w:hAnsi="Palatino Linotype" w:cs="Tahoma"/>
          <w:b/>
          <w:sz w:val="22"/>
          <w:szCs w:val="22"/>
        </w:rPr>
      </w:pPr>
    </w:p>
    <w:p w14:paraId="4B0AE7B1" w14:textId="6D354019" w:rsidR="00801872" w:rsidRPr="00C938B6" w:rsidRDefault="00801872" w:rsidP="005B031E">
      <w:pPr>
        <w:spacing w:line="360" w:lineRule="auto"/>
        <w:jc w:val="both"/>
        <w:rPr>
          <w:rFonts w:ascii="Palatino Linotype" w:eastAsia="Batang" w:hAnsi="Palatino Linotype" w:cs="Tahoma"/>
          <w:b/>
          <w:bCs/>
          <w:sz w:val="22"/>
          <w:szCs w:val="22"/>
        </w:rPr>
      </w:pPr>
      <w:r w:rsidRPr="00C938B6">
        <w:rPr>
          <w:rFonts w:ascii="Palatino Linotype" w:eastAsia="Batang" w:hAnsi="Palatino Linotype" w:cs="Tahoma"/>
          <w:b/>
          <w:bCs/>
          <w:sz w:val="22"/>
          <w:szCs w:val="22"/>
        </w:rPr>
        <w:t>b) Admisión del Recurso de Revisión</w:t>
      </w:r>
      <w:r w:rsidRPr="00C938B6">
        <w:rPr>
          <w:rFonts w:ascii="Palatino Linotype" w:eastAsia="Batang" w:hAnsi="Palatino Linotype" w:cs="Tahoma"/>
          <w:b/>
          <w:bCs/>
          <w:sz w:val="22"/>
          <w:szCs w:val="22"/>
          <w:lang w:val="es-ES_tradnl"/>
        </w:rPr>
        <w:t xml:space="preserve">. </w:t>
      </w:r>
      <w:r w:rsidR="00D22825">
        <w:rPr>
          <w:rFonts w:ascii="Palatino Linotype" w:eastAsia="Batang" w:hAnsi="Palatino Linotype" w:cs="Tahoma"/>
          <w:sz w:val="22"/>
          <w:szCs w:val="22"/>
          <w:lang w:val="es-ES_tradnl"/>
        </w:rPr>
        <w:t xml:space="preserve">El </w:t>
      </w:r>
      <w:r w:rsidR="00C911E9">
        <w:rPr>
          <w:rFonts w:ascii="Palatino Linotype" w:eastAsia="Batang" w:hAnsi="Palatino Linotype" w:cs="Tahoma"/>
          <w:sz w:val="22"/>
          <w:szCs w:val="22"/>
          <w:lang w:val="es-ES_tradnl"/>
        </w:rPr>
        <w:t>siete de marzo</w:t>
      </w:r>
      <w:r w:rsidR="009D337B">
        <w:rPr>
          <w:rFonts w:ascii="Palatino Linotype" w:eastAsia="Batang" w:hAnsi="Palatino Linotype" w:cs="Tahoma"/>
          <w:sz w:val="22"/>
          <w:szCs w:val="22"/>
          <w:lang w:val="es-ES_tradnl"/>
        </w:rPr>
        <w:t xml:space="preserve"> de dos mil veintidós</w:t>
      </w:r>
      <w:r w:rsidRPr="00C938B6">
        <w:rPr>
          <w:rFonts w:ascii="Palatino Linotype" w:eastAsia="Batang" w:hAnsi="Palatino Linotype" w:cs="Tahoma"/>
          <w:sz w:val="22"/>
          <w:szCs w:val="22"/>
          <w:lang w:val="es-ES_tradnl"/>
        </w:rPr>
        <w:t xml:space="preserve">, se acordó la admisión del Recurso de Revisión interpuesto por la Recurrente en contra del Sujeto Obligado, </w:t>
      </w:r>
      <w:r w:rsidRPr="00C938B6">
        <w:rPr>
          <w:rFonts w:ascii="Palatino Linotype" w:eastAsia="Batang" w:hAnsi="Palatino Linotype" w:cs="Tahoma"/>
          <w:sz w:val="22"/>
          <w:szCs w:val="22"/>
          <w:lang w:val="es-ES_tradnl"/>
        </w:rPr>
        <w:lastRenderedPageBreak/>
        <w:t>en términos del artículo 185, fracciones I y II de la Ley de Transparencia y Acceso a la Información Pública del Estado de México y Municipios, el cual fue notificado a las pa</w:t>
      </w:r>
      <w:r w:rsidR="00D22825">
        <w:rPr>
          <w:rFonts w:ascii="Palatino Linotype" w:eastAsia="Batang" w:hAnsi="Palatino Linotype" w:cs="Tahoma"/>
          <w:sz w:val="22"/>
          <w:szCs w:val="22"/>
          <w:lang w:val="es-ES_tradnl"/>
        </w:rPr>
        <w:t>rtes en mismo día, m</w:t>
      </w:r>
      <w:r w:rsidR="00BE73E6" w:rsidRPr="00C938B6">
        <w:rPr>
          <w:rFonts w:ascii="Palatino Linotype" w:eastAsia="Batang" w:hAnsi="Palatino Linotype" w:cs="Tahoma"/>
          <w:sz w:val="22"/>
          <w:szCs w:val="22"/>
          <w:lang w:val="es-ES_tradnl"/>
        </w:rPr>
        <w:t>es y año</w:t>
      </w:r>
      <w:r w:rsidR="00D22825">
        <w:rPr>
          <w:rFonts w:ascii="Palatino Linotype" w:eastAsia="Batang" w:hAnsi="Palatino Linotype" w:cs="Tahoma"/>
          <w:sz w:val="22"/>
          <w:szCs w:val="22"/>
          <w:lang w:val="es-ES_tradnl"/>
        </w:rPr>
        <w:t>,</w:t>
      </w:r>
      <w:r w:rsidRPr="00C938B6">
        <w:rPr>
          <w:rFonts w:ascii="Palatino Linotype" w:eastAsia="Batang" w:hAnsi="Palatino Linotype" w:cs="Tahoma"/>
          <w:sz w:val="22"/>
          <w:szCs w:val="22"/>
          <w:lang w:val="es-ES_tradnl"/>
        </w:rPr>
        <w:t xml:space="preserve"> a través del Sistema de Acceso a la Información Mexiquense (SAIMEX), en el que se les otorgó un plazo de siete días hábiles posteriores a la misma, para que manifestaran lo que a su derecho conviniera y formularan alegatos.</w:t>
      </w:r>
    </w:p>
    <w:p w14:paraId="7C67497D" w14:textId="77777777" w:rsidR="00801872" w:rsidRPr="00C938B6" w:rsidRDefault="00801872" w:rsidP="005B031E">
      <w:pPr>
        <w:spacing w:line="360" w:lineRule="auto"/>
        <w:jc w:val="both"/>
        <w:rPr>
          <w:rFonts w:ascii="Palatino Linotype" w:eastAsia="Batang" w:hAnsi="Palatino Linotype" w:cs="Tahoma"/>
          <w:bCs/>
          <w:sz w:val="22"/>
          <w:szCs w:val="22"/>
        </w:rPr>
      </w:pPr>
    </w:p>
    <w:p w14:paraId="555CA61A" w14:textId="7B36A97B" w:rsidR="009D337B" w:rsidRPr="009D337B" w:rsidRDefault="00801872" w:rsidP="006E1B6B">
      <w:pPr>
        <w:widowControl w:val="0"/>
        <w:spacing w:line="360" w:lineRule="auto"/>
        <w:jc w:val="both"/>
        <w:rPr>
          <w:rFonts w:ascii="Palatino Linotype" w:hAnsi="Palatino Linotype"/>
          <w:bCs/>
          <w:sz w:val="22"/>
          <w:szCs w:val="22"/>
          <w:lang w:val="es-ES_tradnl"/>
        </w:rPr>
      </w:pPr>
      <w:r w:rsidRPr="00C938B6">
        <w:rPr>
          <w:rFonts w:ascii="Palatino Linotype" w:hAnsi="Palatino Linotype"/>
          <w:b/>
          <w:bCs/>
          <w:sz w:val="22"/>
          <w:szCs w:val="22"/>
        </w:rPr>
        <w:t xml:space="preserve">c) </w:t>
      </w:r>
      <w:r w:rsidRPr="00C938B6">
        <w:rPr>
          <w:rFonts w:ascii="Palatino Linotype" w:hAnsi="Palatino Linotype"/>
          <w:b/>
          <w:sz w:val="22"/>
          <w:szCs w:val="22"/>
          <w:lang w:val="es-ES_tradnl"/>
        </w:rPr>
        <w:t xml:space="preserve">Informe Justificado. </w:t>
      </w:r>
      <w:r w:rsidRPr="00C938B6">
        <w:rPr>
          <w:rFonts w:ascii="Palatino Linotype" w:hAnsi="Palatino Linotype"/>
          <w:bCs/>
          <w:sz w:val="22"/>
          <w:szCs w:val="22"/>
          <w:lang w:val="es-ES_tradnl"/>
        </w:rPr>
        <w:t xml:space="preserve">De las constancias que obran en el expediente electrónico, se advierte </w:t>
      </w:r>
      <w:r w:rsidR="00536E4B">
        <w:rPr>
          <w:rFonts w:ascii="Palatino Linotype" w:hAnsi="Palatino Linotype"/>
          <w:bCs/>
          <w:sz w:val="22"/>
          <w:szCs w:val="22"/>
          <w:lang w:val="es-ES_tradnl"/>
        </w:rPr>
        <w:t xml:space="preserve">que el Particular no realizó manifestaciones que a su derecho conviniera, por su parte, el Sujeto Obligado </w:t>
      </w:r>
      <w:r w:rsidR="006E1B6B">
        <w:rPr>
          <w:rFonts w:ascii="Palatino Linotype" w:hAnsi="Palatino Linotype"/>
          <w:bCs/>
          <w:sz w:val="22"/>
          <w:szCs w:val="22"/>
          <w:lang w:val="es-ES_tradnl"/>
        </w:rPr>
        <w:t xml:space="preserve">no rindió su informe justificado. </w:t>
      </w:r>
      <w:r w:rsidR="00D97859">
        <w:rPr>
          <w:rFonts w:ascii="Palatino Linotype" w:hAnsi="Palatino Linotype"/>
          <w:bCs/>
          <w:sz w:val="22"/>
          <w:szCs w:val="22"/>
          <w:lang w:val="es-ES_tradnl"/>
        </w:rPr>
        <w:t xml:space="preserve"> </w:t>
      </w:r>
      <w:bookmarkStart w:id="5" w:name="_Hlk94039962"/>
      <w:r w:rsidR="009D337B">
        <w:rPr>
          <w:rFonts w:ascii="Palatino Linotype" w:hAnsi="Palatino Linotype"/>
          <w:sz w:val="22"/>
          <w:szCs w:val="22"/>
          <w:lang w:val="es-ES_tradnl"/>
        </w:rPr>
        <w:t xml:space="preserve"> </w:t>
      </w:r>
    </w:p>
    <w:bookmarkEnd w:id="5"/>
    <w:p w14:paraId="0F37068C" w14:textId="77777777" w:rsidR="00801872" w:rsidRPr="00C938B6" w:rsidRDefault="00801872" w:rsidP="005B031E">
      <w:pPr>
        <w:spacing w:line="360" w:lineRule="auto"/>
        <w:jc w:val="both"/>
        <w:rPr>
          <w:rFonts w:ascii="Palatino Linotype" w:hAnsi="Palatino Linotype" w:cs="Tahoma"/>
          <w:b/>
          <w:sz w:val="22"/>
          <w:szCs w:val="22"/>
        </w:rPr>
      </w:pPr>
    </w:p>
    <w:p w14:paraId="4D02EED8" w14:textId="4F707956" w:rsidR="00801872" w:rsidRPr="00C938B6" w:rsidRDefault="00801872" w:rsidP="005B031E">
      <w:pPr>
        <w:spacing w:line="360" w:lineRule="auto"/>
        <w:jc w:val="both"/>
        <w:rPr>
          <w:rFonts w:ascii="Palatino Linotype" w:hAnsi="Palatino Linotype" w:cs="Tahoma"/>
          <w:sz w:val="22"/>
          <w:szCs w:val="22"/>
          <w:lang w:val="es-ES"/>
        </w:rPr>
      </w:pPr>
      <w:r w:rsidRPr="00C938B6">
        <w:rPr>
          <w:rFonts w:ascii="Palatino Linotype" w:hAnsi="Palatino Linotype" w:cs="Tahoma"/>
          <w:b/>
          <w:sz w:val="22"/>
          <w:szCs w:val="22"/>
        </w:rPr>
        <w:t>d) Cierre de instrucción.</w:t>
      </w:r>
      <w:r w:rsidRPr="00C938B6">
        <w:rPr>
          <w:rFonts w:ascii="Palatino Linotype" w:hAnsi="Palatino Linotype" w:cs="Tahoma"/>
          <w:sz w:val="22"/>
          <w:szCs w:val="22"/>
        </w:rPr>
        <w:t xml:space="preserve"> </w:t>
      </w:r>
      <w:r w:rsidR="00A26524">
        <w:rPr>
          <w:rFonts w:ascii="Palatino Linotype" w:hAnsi="Palatino Linotype" w:cs="Tahoma"/>
          <w:sz w:val="22"/>
          <w:szCs w:val="22"/>
        </w:rPr>
        <w:t xml:space="preserve">El </w:t>
      </w:r>
      <w:r w:rsidR="00B574E7">
        <w:rPr>
          <w:rFonts w:ascii="Palatino Linotype" w:hAnsi="Palatino Linotype" w:cs="Tahoma"/>
          <w:sz w:val="22"/>
          <w:szCs w:val="22"/>
        </w:rPr>
        <w:t>cinco de abril de</w:t>
      </w:r>
      <w:r w:rsidR="00A26524">
        <w:rPr>
          <w:rFonts w:ascii="Palatino Linotype" w:hAnsi="Palatino Linotype" w:cs="Tahoma"/>
          <w:sz w:val="22"/>
          <w:szCs w:val="22"/>
        </w:rPr>
        <w:t xml:space="preserve"> dos mil veintidós</w:t>
      </w:r>
      <w:r w:rsidRPr="00C938B6">
        <w:rPr>
          <w:rFonts w:ascii="Palatino Linotype" w:hAnsi="Palatino Linotype" w:cs="Tahoma"/>
          <w:sz w:val="22"/>
          <w:szCs w:val="22"/>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Pr="00C938B6">
        <w:rPr>
          <w:rFonts w:ascii="Palatino Linotype" w:hAnsi="Palatino Linotype" w:cs="Tahoma"/>
          <w:sz w:val="22"/>
          <w:szCs w:val="22"/>
          <w:lang w:val="es-ES"/>
        </w:rPr>
        <w:t>Sistema de Acceso a la Información Mexiquense (SAIMEX)</w:t>
      </w:r>
      <w:r w:rsidRPr="00C938B6">
        <w:rPr>
          <w:rFonts w:ascii="Palatino Linotype" w:hAnsi="Palatino Linotype" w:cs="Tahoma"/>
          <w:sz w:val="22"/>
          <w:szCs w:val="22"/>
        </w:rPr>
        <w:t>.</w:t>
      </w:r>
    </w:p>
    <w:p w14:paraId="0491A0F9" w14:textId="77777777" w:rsidR="00801872" w:rsidRPr="00C938B6" w:rsidRDefault="00801872" w:rsidP="005B031E">
      <w:pPr>
        <w:spacing w:line="360" w:lineRule="auto"/>
        <w:jc w:val="both"/>
        <w:rPr>
          <w:rFonts w:ascii="Palatino Linotype" w:hAnsi="Palatino Linotype" w:cs="Tahoma"/>
          <w:sz w:val="22"/>
          <w:szCs w:val="22"/>
        </w:rPr>
      </w:pPr>
    </w:p>
    <w:p w14:paraId="3278182A" w14:textId="24DB59AC" w:rsidR="005F389E" w:rsidRDefault="00801872" w:rsidP="005B031E">
      <w:pPr>
        <w:spacing w:line="360" w:lineRule="auto"/>
        <w:jc w:val="both"/>
        <w:rPr>
          <w:rFonts w:ascii="Palatino Linotype" w:hAnsi="Palatino Linotype" w:cs="Tahoma"/>
          <w:color w:val="000000"/>
          <w:sz w:val="22"/>
          <w:szCs w:val="22"/>
        </w:rPr>
      </w:pPr>
      <w:r w:rsidRPr="00C938B6">
        <w:rPr>
          <w:rFonts w:ascii="Palatino Linotype" w:hAnsi="Palatino Linotype" w:cs="Tahoma"/>
          <w:color w:val="000000"/>
          <w:sz w:val="22"/>
          <w:szCs w:val="22"/>
        </w:rPr>
        <w:t xml:space="preserve">En razón de que fue debidamente sustanciado e integrado el expediente electrónico y no existe diligencia pendiente de desahogo, se emite la resolución que conforme a Derecho proceda, </w:t>
      </w:r>
      <w:r w:rsidR="008C226B" w:rsidRPr="00C938B6">
        <w:rPr>
          <w:rFonts w:ascii="Palatino Linotype" w:hAnsi="Palatino Linotype" w:cs="Tahoma"/>
          <w:color w:val="000000"/>
          <w:sz w:val="22"/>
          <w:szCs w:val="22"/>
        </w:rPr>
        <w:t>de acuerdo con</w:t>
      </w:r>
      <w:r w:rsidRPr="00C938B6">
        <w:rPr>
          <w:rFonts w:ascii="Palatino Linotype" w:hAnsi="Palatino Linotype" w:cs="Tahoma"/>
          <w:color w:val="000000"/>
          <w:sz w:val="22"/>
          <w:szCs w:val="22"/>
        </w:rPr>
        <w:t xml:space="preserve"> los siguientes: </w:t>
      </w:r>
    </w:p>
    <w:p w14:paraId="42F097C6" w14:textId="77777777" w:rsidR="00B574E7" w:rsidRDefault="00B574E7" w:rsidP="00D04134">
      <w:pPr>
        <w:spacing w:line="360" w:lineRule="auto"/>
        <w:rPr>
          <w:rFonts w:ascii="Palatino Linotype" w:hAnsi="Palatino Linotype" w:cs="Tahoma"/>
          <w:b/>
          <w:sz w:val="22"/>
          <w:szCs w:val="22"/>
        </w:rPr>
      </w:pPr>
    </w:p>
    <w:p w14:paraId="5140970D" w14:textId="59C37544" w:rsidR="00801872" w:rsidRPr="00C938B6" w:rsidRDefault="00801872" w:rsidP="005B031E">
      <w:pPr>
        <w:spacing w:line="360" w:lineRule="auto"/>
        <w:jc w:val="center"/>
        <w:rPr>
          <w:rFonts w:ascii="Palatino Linotype" w:hAnsi="Palatino Linotype" w:cs="Tahoma"/>
          <w:b/>
          <w:sz w:val="22"/>
          <w:szCs w:val="22"/>
        </w:rPr>
      </w:pPr>
      <w:r w:rsidRPr="00C938B6">
        <w:rPr>
          <w:rFonts w:ascii="Palatino Linotype" w:hAnsi="Palatino Linotype" w:cs="Tahoma"/>
          <w:b/>
          <w:sz w:val="22"/>
          <w:szCs w:val="22"/>
        </w:rPr>
        <w:t>C O N S I D E R A N D O S:</w:t>
      </w:r>
    </w:p>
    <w:p w14:paraId="35EFA683" w14:textId="77777777" w:rsidR="00801872" w:rsidRPr="00C938B6" w:rsidRDefault="00801872" w:rsidP="005B031E">
      <w:pPr>
        <w:spacing w:line="360" w:lineRule="auto"/>
        <w:rPr>
          <w:rFonts w:ascii="Palatino Linotype" w:hAnsi="Palatino Linotype" w:cs="Tahoma"/>
          <w:b/>
          <w:sz w:val="22"/>
          <w:szCs w:val="22"/>
        </w:rPr>
      </w:pPr>
    </w:p>
    <w:p w14:paraId="45D3D2CB" w14:textId="77777777" w:rsidR="00801872" w:rsidRPr="00C938B6" w:rsidRDefault="00801872" w:rsidP="005B031E">
      <w:pPr>
        <w:spacing w:line="360" w:lineRule="auto"/>
        <w:jc w:val="both"/>
        <w:rPr>
          <w:rFonts w:ascii="Palatino Linotype" w:eastAsia="Batang" w:hAnsi="Palatino Linotype" w:cs="Tahoma"/>
          <w:b/>
          <w:bCs/>
          <w:sz w:val="22"/>
          <w:szCs w:val="22"/>
        </w:rPr>
      </w:pPr>
      <w:r w:rsidRPr="00C938B6">
        <w:rPr>
          <w:rFonts w:ascii="Palatino Linotype" w:eastAsia="Batang" w:hAnsi="Palatino Linotype" w:cs="Tahoma"/>
          <w:b/>
          <w:bCs/>
          <w:sz w:val="22"/>
          <w:szCs w:val="22"/>
        </w:rPr>
        <w:t xml:space="preserve">PRIMERO. Competencia. </w:t>
      </w:r>
    </w:p>
    <w:p w14:paraId="6A4AA277" w14:textId="77777777" w:rsidR="00801872" w:rsidRPr="00C938B6" w:rsidRDefault="00801872" w:rsidP="005B031E">
      <w:pPr>
        <w:spacing w:line="360" w:lineRule="auto"/>
        <w:jc w:val="both"/>
        <w:rPr>
          <w:rFonts w:ascii="Palatino Linotype" w:eastAsia="Batang" w:hAnsi="Palatino Linotype" w:cs="Tahoma"/>
          <w:b/>
          <w:bCs/>
          <w:sz w:val="22"/>
          <w:szCs w:val="22"/>
        </w:rPr>
      </w:pPr>
    </w:p>
    <w:p w14:paraId="31DC8596" w14:textId="0AD93516" w:rsidR="0003468A" w:rsidRPr="00C938B6" w:rsidRDefault="0003468A" w:rsidP="005B031E">
      <w:pPr>
        <w:spacing w:line="360" w:lineRule="auto"/>
        <w:jc w:val="both"/>
        <w:rPr>
          <w:rFonts w:ascii="Palatino Linotype" w:hAnsi="Palatino Linotype" w:cs="Tahoma"/>
          <w:bCs/>
          <w:sz w:val="22"/>
          <w:szCs w:val="22"/>
        </w:rPr>
      </w:pPr>
      <w:r w:rsidRPr="00C938B6">
        <w:rPr>
          <w:rFonts w:ascii="Palatino Linotype" w:hAnsi="Palatino Linotype" w:cs="Tahoma"/>
          <w:bCs/>
          <w:sz w:val="22"/>
          <w:szCs w:val="22"/>
        </w:rPr>
        <w:t xml:space="preserve">El Instituto de Transparencia, Acceso a la Información Pública y Protección de Datos Personales del Estado de México y Municipios, es competente para conocer y resolver el </w:t>
      </w:r>
      <w:r w:rsidRPr="00C938B6">
        <w:rPr>
          <w:rFonts w:ascii="Palatino Linotype" w:hAnsi="Palatino Linotype" w:cs="Tahoma"/>
          <w:bCs/>
          <w:sz w:val="22"/>
          <w:szCs w:val="22"/>
        </w:rPr>
        <w:lastRenderedPageBreak/>
        <w:t xml:space="preserve">presente recurso de revisión interpuesto por la parte recurrente, conforme a lo dispuesto en los artículos 6°, apartado A, de la Constitución Política de los Estados Unidos Mexicanos; 5°, </w:t>
      </w:r>
      <w:r w:rsidRPr="00830132">
        <w:rPr>
          <w:rFonts w:ascii="Palatino Linotype" w:hAnsi="Palatino Linotype" w:cs="Tahoma"/>
          <w:bCs/>
          <w:sz w:val="22"/>
          <w:szCs w:val="22"/>
        </w:rPr>
        <w:t>párrafos</w:t>
      </w:r>
      <w:r w:rsidR="00E94DC8">
        <w:rPr>
          <w:rFonts w:ascii="Palatino Linotype" w:hAnsi="Palatino Linotype" w:cs="Tahoma"/>
          <w:bCs/>
          <w:sz w:val="22"/>
          <w:szCs w:val="22"/>
        </w:rPr>
        <w:t xml:space="preserve"> </w:t>
      </w:r>
      <w:r w:rsidR="00E94DC8" w:rsidRPr="00830132">
        <w:rPr>
          <w:rFonts w:ascii="Palatino Linotype" w:hAnsi="Palatino Linotype" w:cs="Tahoma"/>
          <w:bCs/>
          <w:sz w:val="22"/>
          <w:szCs w:val="22"/>
          <w:lang w:val="x-none"/>
        </w:rPr>
        <w:t>trigésimo</w:t>
      </w:r>
      <w:r w:rsidRPr="00830132">
        <w:rPr>
          <w:rFonts w:ascii="Palatino Linotype" w:hAnsi="Palatino Linotype" w:cs="Tahoma"/>
          <w:bCs/>
          <w:sz w:val="22"/>
          <w:szCs w:val="22"/>
          <w:lang w:val="x-none"/>
        </w:rPr>
        <w:t>, trigésimo primero</w:t>
      </w:r>
      <w:r w:rsidRPr="00830132">
        <w:rPr>
          <w:rFonts w:ascii="Palatino Linotype" w:hAnsi="Palatino Linotype" w:cs="Tahoma"/>
          <w:bCs/>
          <w:sz w:val="22"/>
          <w:szCs w:val="22"/>
        </w:rPr>
        <w:t xml:space="preserve"> y trigésimo segundo, fracciones</w:t>
      </w:r>
      <w:r w:rsidRPr="00C938B6">
        <w:rPr>
          <w:rFonts w:ascii="Palatino Linotype" w:hAnsi="Palatino Linotype" w:cs="Tahoma"/>
          <w:bCs/>
          <w:sz w:val="22"/>
          <w:szCs w:val="22"/>
        </w:rPr>
        <w:t xml:space="preserve">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729B4417" w14:textId="77777777" w:rsidR="00BE73E6" w:rsidRPr="00C938B6" w:rsidRDefault="00BE73E6" w:rsidP="005B031E">
      <w:pPr>
        <w:spacing w:line="360" w:lineRule="auto"/>
        <w:jc w:val="both"/>
        <w:rPr>
          <w:rFonts w:ascii="Palatino Linotype" w:eastAsia="Calibri" w:hAnsi="Palatino Linotype" w:cs="Tahoma"/>
          <w:bCs/>
          <w:color w:val="000000"/>
          <w:sz w:val="22"/>
          <w:szCs w:val="22"/>
          <w:lang w:eastAsia="es-ES_tradnl"/>
        </w:rPr>
      </w:pPr>
    </w:p>
    <w:p w14:paraId="49902CA0" w14:textId="77777777" w:rsidR="00801872" w:rsidRPr="00C938B6" w:rsidRDefault="00801872" w:rsidP="005B031E">
      <w:pPr>
        <w:spacing w:line="360" w:lineRule="auto"/>
        <w:jc w:val="both"/>
        <w:rPr>
          <w:rFonts w:ascii="Palatino Linotype" w:hAnsi="Palatino Linotype"/>
          <w:color w:val="222222"/>
          <w:lang w:val="es-ES"/>
        </w:rPr>
      </w:pPr>
      <w:r w:rsidRPr="00C938B6">
        <w:rPr>
          <w:rFonts w:ascii="Palatino Linotype" w:hAnsi="Palatino Linotype"/>
          <w:b/>
          <w:bCs/>
          <w:color w:val="000000"/>
          <w:sz w:val="22"/>
          <w:szCs w:val="22"/>
          <w:lang w:val="es-ES"/>
        </w:rPr>
        <w:t>SEGUNDO. Causales de procedencia y sobreseimiento.</w:t>
      </w:r>
    </w:p>
    <w:p w14:paraId="7872E74B" w14:textId="5ADFF415" w:rsidR="00BE73E6" w:rsidRPr="00C938B6" w:rsidRDefault="00801872" w:rsidP="005B031E">
      <w:pPr>
        <w:spacing w:line="360" w:lineRule="auto"/>
        <w:jc w:val="both"/>
        <w:rPr>
          <w:rFonts w:ascii="Palatino Linotype" w:hAnsi="Palatino Linotype"/>
          <w:color w:val="222222"/>
          <w:lang w:val="es-ES"/>
        </w:rPr>
      </w:pPr>
      <w:r w:rsidRPr="00C938B6">
        <w:rPr>
          <w:rFonts w:ascii="Palatino Linotype" w:hAnsi="Palatino Linotype"/>
          <w:color w:val="000000"/>
          <w:sz w:val="22"/>
          <w:szCs w:val="22"/>
          <w:lang w:val="es-ES"/>
        </w:rPr>
        <w:t> </w:t>
      </w:r>
    </w:p>
    <w:p w14:paraId="1902D30E" w14:textId="302C240E" w:rsidR="00A26524" w:rsidRDefault="00801872" w:rsidP="001B04D6">
      <w:pPr>
        <w:spacing w:line="360" w:lineRule="auto"/>
        <w:jc w:val="both"/>
        <w:rPr>
          <w:rFonts w:ascii="Palatino Linotype" w:hAnsi="Palatino Linotype"/>
          <w:color w:val="222222"/>
          <w:lang w:val="es-ES"/>
        </w:rPr>
      </w:pPr>
      <w:r w:rsidRPr="00C938B6">
        <w:rPr>
          <w:rFonts w:ascii="Palatino Linotype" w:hAnsi="Palatino Linotype"/>
          <w:color w:val="000000"/>
          <w:sz w:val="22"/>
          <w:szCs w:val="22"/>
          <w:lang w:val="es-ES"/>
        </w:rPr>
        <w:t xml:space="preserve">De las constancias que forman parte de los Recursos de Revisión que se analizan, se advierte que previo al estudio del fondo de la </w:t>
      </w:r>
      <w:r w:rsidRPr="00C938B6">
        <w:rPr>
          <w:rFonts w:ascii="Palatino Linotype" w:hAnsi="Palatino Linotype"/>
          <w:i/>
          <w:color w:val="000000"/>
          <w:sz w:val="22"/>
          <w:szCs w:val="22"/>
          <w:lang w:val="es-ES"/>
        </w:rPr>
        <w:t>litis</w:t>
      </w:r>
      <w:r w:rsidRPr="00C938B6">
        <w:rPr>
          <w:rFonts w:ascii="Palatino Linotype" w:hAnsi="Palatino Linotype"/>
          <w:color w:val="000000"/>
          <w:sz w:val="22"/>
          <w:szCs w:val="22"/>
          <w:lang w:val="es-ES"/>
        </w:rPr>
        <w:t>, es necesario estudiar las causales de improcedencia y sobreseimiento que se adviertan, para determinar lo que en Derecho proceda.</w:t>
      </w:r>
    </w:p>
    <w:p w14:paraId="5A803D51" w14:textId="77777777" w:rsidR="005A67B9" w:rsidRPr="001B04D6" w:rsidRDefault="005A67B9" w:rsidP="001B04D6">
      <w:pPr>
        <w:spacing w:line="360" w:lineRule="auto"/>
        <w:jc w:val="both"/>
        <w:rPr>
          <w:rFonts w:ascii="Palatino Linotype" w:hAnsi="Palatino Linotype"/>
          <w:color w:val="222222"/>
          <w:lang w:val="es-ES"/>
        </w:rPr>
      </w:pPr>
    </w:p>
    <w:p w14:paraId="40B0B6C2" w14:textId="77777777" w:rsidR="00801872" w:rsidRPr="00C938B6" w:rsidRDefault="00801872" w:rsidP="005B031E">
      <w:pPr>
        <w:shd w:val="clear" w:color="auto" w:fill="FFFFFF"/>
        <w:spacing w:line="360" w:lineRule="auto"/>
        <w:jc w:val="both"/>
        <w:rPr>
          <w:rFonts w:ascii="Palatino Linotype" w:hAnsi="Palatino Linotype"/>
          <w:color w:val="222222"/>
          <w:lang w:val="es-ES"/>
        </w:rPr>
      </w:pPr>
      <w:r w:rsidRPr="00C938B6">
        <w:rPr>
          <w:rFonts w:ascii="Palatino Linotype" w:hAnsi="Palatino Linotype"/>
          <w:b/>
          <w:bCs/>
          <w:color w:val="000000"/>
          <w:sz w:val="22"/>
          <w:szCs w:val="22"/>
          <w:lang w:val="es-ES"/>
        </w:rPr>
        <w:t>Causales de improcedencia.</w:t>
      </w:r>
    </w:p>
    <w:p w14:paraId="5660127B" w14:textId="77777777" w:rsidR="00801872" w:rsidRPr="00C938B6" w:rsidRDefault="00801872" w:rsidP="005B031E">
      <w:pPr>
        <w:shd w:val="clear" w:color="auto" w:fill="FFFFFF"/>
        <w:spacing w:line="360" w:lineRule="auto"/>
        <w:jc w:val="both"/>
        <w:rPr>
          <w:rFonts w:ascii="Palatino Linotype" w:hAnsi="Palatino Linotype"/>
          <w:color w:val="222222"/>
          <w:lang w:val="es-ES"/>
        </w:rPr>
      </w:pPr>
      <w:r w:rsidRPr="00C938B6">
        <w:rPr>
          <w:rFonts w:ascii="Palatino Linotype" w:hAnsi="Palatino Linotype"/>
          <w:color w:val="000000"/>
          <w:sz w:val="22"/>
          <w:szCs w:val="22"/>
          <w:lang w:val="es-ES"/>
        </w:rPr>
        <w:t> </w:t>
      </w:r>
    </w:p>
    <w:p w14:paraId="22FB67D0" w14:textId="3EE32A8A" w:rsidR="00B574E7" w:rsidRPr="00C938B6" w:rsidRDefault="00801872" w:rsidP="000A7A91">
      <w:pPr>
        <w:spacing w:line="360" w:lineRule="auto"/>
        <w:jc w:val="both"/>
        <w:rPr>
          <w:rFonts w:ascii="Palatino Linotype" w:hAnsi="Palatino Linotype" w:cs="Tahoma"/>
          <w:bCs/>
          <w:color w:val="000000"/>
          <w:sz w:val="22"/>
          <w:szCs w:val="22"/>
        </w:rPr>
      </w:pPr>
      <w:r w:rsidRPr="00C938B6">
        <w:rPr>
          <w:rFonts w:ascii="Palatino Linotype" w:hAnsi="Palatino Linotype" w:cs="Tahoma"/>
          <w:bCs/>
          <w:color w:val="000000"/>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425DDD49" w14:textId="04BD41B1" w:rsidR="00801872" w:rsidRDefault="00801872" w:rsidP="005B031E">
      <w:pPr>
        <w:spacing w:line="360" w:lineRule="auto"/>
        <w:jc w:val="both"/>
        <w:rPr>
          <w:rFonts w:ascii="Palatino Linotype" w:hAnsi="Palatino Linotype" w:cs="Tahoma"/>
          <w:bCs/>
          <w:color w:val="000000"/>
          <w:sz w:val="22"/>
          <w:szCs w:val="22"/>
        </w:rPr>
      </w:pPr>
      <w:r w:rsidRPr="00C938B6">
        <w:rPr>
          <w:rFonts w:ascii="Palatino Linotype" w:hAnsi="Palatino Linotype" w:cs="Tahoma"/>
          <w:bCs/>
          <w:color w:val="000000"/>
          <w:sz w:val="22"/>
          <w:szCs w:val="22"/>
        </w:rPr>
        <w:lastRenderedPageBreak/>
        <w:t>En el presente caso, no se actualiza alguna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ampliación a los alcances del requerimiento informativo.</w:t>
      </w:r>
    </w:p>
    <w:p w14:paraId="6B8DE10A" w14:textId="77777777" w:rsidR="005A67B9" w:rsidRPr="00C938B6" w:rsidRDefault="005A67B9" w:rsidP="005B031E">
      <w:pPr>
        <w:spacing w:line="360" w:lineRule="auto"/>
        <w:jc w:val="both"/>
        <w:rPr>
          <w:rFonts w:ascii="Palatino Linotype" w:hAnsi="Palatino Linotype" w:cs="Tahoma"/>
          <w:bCs/>
          <w:color w:val="000000"/>
          <w:sz w:val="22"/>
          <w:szCs w:val="22"/>
        </w:rPr>
      </w:pPr>
    </w:p>
    <w:p w14:paraId="24EAC538" w14:textId="69F4510D" w:rsidR="005A67B9" w:rsidRDefault="00801872" w:rsidP="00400954">
      <w:pPr>
        <w:spacing w:line="360" w:lineRule="auto"/>
        <w:jc w:val="both"/>
        <w:rPr>
          <w:rFonts w:ascii="Palatino Linotype" w:hAnsi="Palatino Linotype" w:cs="Tahoma"/>
          <w:sz w:val="22"/>
          <w:szCs w:val="22"/>
          <w:lang w:val="es-ES"/>
        </w:rPr>
      </w:pPr>
      <w:r w:rsidRPr="003066DC">
        <w:rPr>
          <w:rFonts w:ascii="Palatino Linotype" w:hAnsi="Palatino Linotype" w:cs="Tahoma"/>
          <w:sz w:val="22"/>
          <w:szCs w:val="22"/>
        </w:rPr>
        <w:t>Asimismo, se actualiza la</w:t>
      </w:r>
      <w:r w:rsidR="004E2001">
        <w:rPr>
          <w:rFonts w:ascii="Palatino Linotype" w:hAnsi="Palatino Linotype" w:cs="Tahoma"/>
          <w:sz w:val="22"/>
          <w:szCs w:val="22"/>
        </w:rPr>
        <w:t>s</w:t>
      </w:r>
      <w:r w:rsidRPr="003066DC">
        <w:rPr>
          <w:rFonts w:ascii="Palatino Linotype" w:hAnsi="Palatino Linotype" w:cs="Tahoma"/>
          <w:sz w:val="22"/>
          <w:szCs w:val="22"/>
        </w:rPr>
        <w:t xml:space="preserve"> causal</w:t>
      </w:r>
      <w:r w:rsidR="004E2001">
        <w:rPr>
          <w:rFonts w:ascii="Palatino Linotype" w:hAnsi="Palatino Linotype" w:cs="Tahoma"/>
          <w:sz w:val="22"/>
          <w:szCs w:val="22"/>
        </w:rPr>
        <w:t>es</w:t>
      </w:r>
      <w:r w:rsidRPr="003066DC">
        <w:rPr>
          <w:rFonts w:ascii="Palatino Linotype" w:hAnsi="Palatino Linotype" w:cs="Tahoma"/>
          <w:sz w:val="22"/>
          <w:szCs w:val="22"/>
        </w:rPr>
        <w:t xml:space="preserve"> de procedencia del Recurso de Revisión señalada</w:t>
      </w:r>
      <w:r w:rsidR="002A7463">
        <w:rPr>
          <w:rFonts w:ascii="Palatino Linotype" w:hAnsi="Palatino Linotype" w:cs="Tahoma"/>
          <w:sz w:val="22"/>
          <w:szCs w:val="22"/>
        </w:rPr>
        <w:t>s</w:t>
      </w:r>
      <w:r w:rsidRPr="003066DC">
        <w:rPr>
          <w:rFonts w:ascii="Palatino Linotype" w:hAnsi="Palatino Linotype" w:cs="Tahoma"/>
          <w:sz w:val="22"/>
          <w:szCs w:val="22"/>
        </w:rPr>
        <w:t xml:space="preserve"> </w:t>
      </w:r>
      <w:r w:rsidR="00A26524" w:rsidRPr="003066DC">
        <w:rPr>
          <w:rFonts w:ascii="Palatino Linotype" w:hAnsi="Palatino Linotype" w:cs="Tahoma"/>
          <w:sz w:val="22"/>
          <w:szCs w:val="22"/>
        </w:rPr>
        <w:t xml:space="preserve">en el artículo 179, </w:t>
      </w:r>
      <w:r w:rsidR="004E2001">
        <w:rPr>
          <w:rFonts w:ascii="Palatino Linotype" w:hAnsi="Palatino Linotype" w:cs="Tahoma"/>
          <w:sz w:val="22"/>
          <w:szCs w:val="22"/>
        </w:rPr>
        <w:t>fracci</w:t>
      </w:r>
      <w:r w:rsidR="006118BD">
        <w:rPr>
          <w:rFonts w:ascii="Palatino Linotype" w:hAnsi="Palatino Linotype" w:cs="Tahoma"/>
          <w:sz w:val="22"/>
          <w:szCs w:val="22"/>
        </w:rPr>
        <w:t xml:space="preserve">ón </w:t>
      </w:r>
      <w:r w:rsidR="004E2001">
        <w:rPr>
          <w:rFonts w:ascii="Palatino Linotype" w:hAnsi="Palatino Linotype" w:cs="Tahoma"/>
          <w:sz w:val="22"/>
          <w:szCs w:val="22"/>
        </w:rPr>
        <w:t>I</w:t>
      </w:r>
      <w:r w:rsidR="00A26524" w:rsidRPr="003066DC">
        <w:rPr>
          <w:rFonts w:ascii="Palatino Linotype" w:hAnsi="Palatino Linotype" w:cs="Tahoma"/>
          <w:sz w:val="22"/>
          <w:szCs w:val="22"/>
        </w:rPr>
        <w:t xml:space="preserve"> de la Ley de Transparencia y Acceso a la Información Pública del Estado de México y Municipios</w:t>
      </w:r>
      <w:r w:rsidRPr="003066DC">
        <w:rPr>
          <w:rFonts w:ascii="Palatino Linotype" w:hAnsi="Palatino Linotype" w:cs="Tahoma"/>
          <w:sz w:val="22"/>
          <w:szCs w:val="22"/>
        </w:rPr>
        <w:t xml:space="preserve">, </w:t>
      </w:r>
      <w:r w:rsidRPr="003066DC">
        <w:rPr>
          <w:rFonts w:ascii="Palatino Linotype" w:eastAsia="Calibri" w:hAnsi="Palatino Linotype" w:cs="Tahoma"/>
          <w:color w:val="000000"/>
          <w:sz w:val="22"/>
          <w:szCs w:val="22"/>
          <w:lang w:eastAsia="es-MX"/>
        </w:rPr>
        <w:t xml:space="preserve">pues el Recurrente se inconformó </w:t>
      </w:r>
      <w:r w:rsidR="00A26524" w:rsidRPr="003066DC">
        <w:rPr>
          <w:rFonts w:ascii="Palatino Linotype" w:hAnsi="Palatino Linotype" w:cs="Tahoma"/>
          <w:sz w:val="22"/>
          <w:szCs w:val="22"/>
          <w:lang w:val="es-ES"/>
        </w:rPr>
        <w:t>por</w:t>
      </w:r>
      <w:r w:rsidR="002A7463">
        <w:rPr>
          <w:rFonts w:ascii="Palatino Linotype" w:hAnsi="Palatino Linotype" w:cs="Tahoma"/>
          <w:sz w:val="22"/>
          <w:szCs w:val="22"/>
          <w:lang w:val="es-ES"/>
        </w:rPr>
        <w:t xml:space="preserve">que el Sujeto Obligado </w:t>
      </w:r>
      <w:r w:rsidR="006118BD">
        <w:rPr>
          <w:rFonts w:ascii="Palatino Linotype" w:hAnsi="Palatino Linotype" w:cs="Tahoma"/>
          <w:sz w:val="22"/>
          <w:szCs w:val="22"/>
          <w:lang w:val="es-ES"/>
        </w:rPr>
        <w:t>no le entregó la información solicitada</w:t>
      </w:r>
      <w:r w:rsidR="00415DF9">
        <w:rPr>
          <w:rFonts w:ascii="Palatino Linotype" w:hAnsi="Palatino Linotype" w:cs="Tahoma"/>
          <w:sz w:val="22"/>
          <w:szCs w:val="22"/>
          <w:lang w:val="es-ES"/>
        </w:rPr>
        <w:t>.</w:t>
      </w:r>
    </w:p>
    <w:p w14:paraId="34A4C570" w14:textId="77777777" w:rsidR="00400954" w:rsidRPr="001B04D6" w:rsidRDefault="00400954" w:rsidP="00400954">
      <w:pPr>
        <w:spacing w:line="360" w:lineRule="auto"/>
        <w:jc w:val="both"/>
        <w:rPr>
          <w:rFonts w:ascii="Palatino Linotype" w:hAnsi="Palatino Linotype" w:cs="Tahoma"/>
          <w:sz w:val="22"/>
          <w:szCs w:val="22"/>
          <w:lang w:val="es-ES"/>
        </w:rPr>
      </w:pPr>
    </w:p>
    <w:p w14:paraId="2A2CA5AC" w14:textId="77777777" w:rsidR="00801872" w:rsidRPr="00C938B6" w:rsidRDefault="00801872" w:rsidP="005B031E">
      <w:pPr>
        <w:spacing w:line="360" w:lineRule="auto"/>
        <w:jc w:val="both"/>
        <w:rPr>
          <w:rFonts w:ascii="Palatino Linotype" w:hAnsi="Palatino Linotype" w:cs="Tahoma"/>
          <w:bCs/>
          <w:color w:val="0D0D0D" w:themeColor="text1" w:themeTint="F2"/>
          <w:sz w:val="22"/>
          <w:szCs w:val="22"/>
        </w:rPr>
      </w:pPr>
      <w:r w:rsidRPr="00C938B6">
        <w:rPr>
          <w:rFonts w:ascii="Palatino Linotype" w:hAnsi="Palatino Linotype" w:cs="Tahoma"/>
          <w:b/>
          <w:bCs/>
          <w:color w:val="0D0D0D" w:themeColor="text1" w:themeTint="F2"/>
          <w:sz w:val="22"/>
          <w:szCs w:val="22"/>
        </w:rPr>
        <w:t>Causales de sobreseimiento.</w:t>
      </w:r>
    </w:p>
    <w:p w14:paraId="0DDC7168" w14:textId="77777777" w:rsidR="00801872" w:rsidRPr="00C938B6" w:rsidRDefault="00801872" w:rsidP="005B031E">
      <w:pPr>
        <w:spacing w:line="360" w:lineRule="auto"/>
        <w:jc w:val="both"/>
        <w:rPr>
          <w:rFonts w:ascii="Palatino Linotype" w:hAnsi="Palatino Linotype" w:cs="Tahoma"/>
          <w:bCs/>
          <w:color w:val="0D0D0D" w:themeColor="text1" w:themeTint="F2"/>
          <w:sz w:val="22"/>
          <w:szCs w:val="22"/>
        </w:rPr>
      </w:pPr>
    </w:p>
    <w:p w14:paraId="5CF765EA" w14:textId="77777777" w:rsidR="00801872" w:rsidRPr="00C938B6" w:rsidRDefault="00801872" w:rsidP="005B031E">
      <w:pPr>
        <w:spacing w:line="360" w:lineRule="auto"/>
        <w:jc w:val="both"/>
        <w:rPr>
          <w:rFonts w:ascii="Palatino Linotype" w:hAnsi="Palatino Linotype" w:cs="Tahoma"/>
          <w:bCs/>
          <w:color w:val="0D0D0D" w:themeColor="text1" w:themeTint="F2"/>
          <w:sz w:val="22"/>
          <w:szCs w:val="22"/>
        </w:rPr>
      </w:pPr>
      <w:r w:rsidRPr="00C938B6">
        <w:rPr>
          <w:rFonts w:ascii="Palatino Linotype" w:hAnsi="Palatino Linotype" w:cs="Tahoma"/>
          <w:bCs/>
          <w:color w:val="0D0D0D" w:themeColor="text1" w:themeTint="F2"/>
          <w:sz w:val="22"/>
          <w:szCs w:val="22"/>
        </w:rPr>
        <w:t>Por ser de previo y especial pronunciamiento, este Instituto analiza si se actualiza alguna causal de sobreseimiento.</w:t>
      </w:r>
    </w:p>
    <w:p w14:paraId="1A0DB89F" w14:textId="77777777" w:rsidR="00801872" w:rsidRPr="00C938B6" w:rsidRDefault="00801872" w:rsidP="005B031E">
      <w:pPr>
        <w:spacing w:line="360" w:lineRule="auto"/>
        <w:jc w:val="both"/>
        <w:rPr>
          <w:rFonts w:ascii="Palatino Linotype" w:hAnsi="Palatino Linotype" w:cs="Tahoma"/>
          <w:bCs/>
          <w:color w:val="0D0D0D" w:themeColor="text1" w:themeTint="F2"/>
          <w:sz w:val="22"/>
          <w:szCs w:val="22"/>
        </w:rPr>
      </w:pPr>
    </w:p>
    <w:p w14:paraId="1B7073D8" w14:textId="77777777" w:rsidR="00801872" w:rsidRPr="00C938B6" w:rsidRDefault="00801872" w:rsidP="005B031E">
      <w:pPr>
        <w:spacing w:line="360" w:lineRule="auto"/>
        <w:jc w:val="both"/>
        <w:rPr>
          <w:rFonts w:ascii="Palatino Linotype" w:hAnsi="Palatino Linotype" w:cs="Tahoma"/>
          <w:sz w:val="22"/>
          <w:szCs w:val="24"/>
        </w:rPr>
      </w:pPr>
      <w:r w:rsidRPr="00C938B6">
        <w:rPr>
          <w:rFonts w:ascii="Palatino Linotype" w:hAnsi="Palatino Linotype" w:cs="Tahoma"/>
          <w:sz w:val="22"/>
          <w:szCs w:val="24"/>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72A30E0A" w14:textId="77777777" w:rsidR="00443F7A" w:rsidRDefault="00443F7A" w:rsidP="003066DC">
      <w:pPr>
        <w:spacing w:line="360" w:lineRule="auto"/>
        <w:jc w:val="both"/>
        <w:rPr>
          <w:rFonts w:ascii="Palatino Linotype" w:hAnsi="Palatino Linotype" w:cs="Tahoma"/>
          <w:bCs/>
          <w:color w:val="0D0D0D" w:themeColor="text1" w:themeTint="F2"/>
          <w:sz w:val="22"/>
          <w:szCs w:val="22"/>
        </w:rPr>
      </w:pPr>
    </w:p>
    <w:p w14:paraId="311AFA3F" w14:textId="2BE3CC12" w:rsidR="005F389E" w:rsidRPr="003066DC" w:rsidRDefault="00801872" w:rsidP="003066DC">
      <w:pPr>
        <w:spacing w:line="360" w:lineRule="auto"/>
        <w:jc w:val="both"/>
        <w:rPr>
          <w:rFonts w:ascii="Palatino Linotype" w:hAnsi="Palatino Linotype" w:cs="Tahoma"/>
          <w:bCs/>
          <w:color w:val="0D0D0D" w:themeColor="text1" w:themeTint="F2"/>
          <w:sz w:val="22"/>
          <w:szCs w:val="22"/>
        </w:rPr>
      </w:pPr>
      <w:r w:rsidRPr="00C938B6">
        <w:rPr>
          <w:rFonts w:ascii="Palatino Linotype" w:hAnsi="Palatino Linotype" w:cs="Tahoma"/>
          <w:bCs/>
          <w:color w:val="0D0D0D" w:themeColor="text1" w:themeTint="F2"/>
          <w:sz w:val="22"/>
          <w:szCs w:val="22"/>
        </w:rPr>
        <w:t xml:space="preserve">Por tales motivos, se considera procedente entrar al fondo del presente asunto. </w:t>
      </w:r>
    </w:p>
    <w:p w14:paraId="1A4AF4FA" w14:textId="77777777" w:rsidR="00801872" w:rsidRPr="00C938B6" w:rsidRDefault="00801872" w:rsidP="005B031E">
      <w:pPr>
        <w:spacing w:line="360" w:lineRule="auto"/>
        <w:jc w:val="both"/>
        <w:rPr>
          <w:rFonts w:ascii="Palatino Linotype" w:hAnsi="Palatino Linotype" w:cs="Tahoma"/>
          <w:b/>
          <w:bCs/>
          <w:iCs/>
          <w:sz w:val="22"/>
          <w:szCs w:val="22"/>
          <w:lang w:val="es-ES"/>
        </w:rPr>
      </w:pPr>
      <w:r w:rsidRPr="00C938B6">
        <w:rPr>
          <w:rFonts w:ascii="Palatino Linotype" w:hAnsi="Palatino Linotype" w:cs="Tahoma"/>
          <w:b/>
          <w:bCs/>
          <w:iCs/>
          <w:sz w:val="22"/>
          <w:szCs w:val="22"/>
          <w:lang w:val="es-ES"/>
        </w:rPr>
        <w:lastRenderedPageBreak/>
        <w:t xml:space="preserve">TERCERO. Determinación de la Controversia. </w:t>
      </w:r>
    </w:p>
    <w:p w14:paraId="48A4CBC0" w14:textId="77777777" w:rsidR="00801872" w:rsidRPr="00C938B6" w:rsidRDefault="00801872" w:rsidP="005B031E">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p>
    <w:p w14:paraId="612CAB90" w14:textId="1099C7DE" w:rsidR="00D97859" w:rsidRPr="00B574E7" w:rsidRDefault="00A26524" w:rsidP="00415DF9">
      <w:pPr>
        <w:pStyle w:val="Prrafodelista"/>
        <w:autoSpaceDE w:val="0"/>
        <w:autoSpaceDN w:val="0"/>
        <w:adjustRightInd w:val="0"/>
        <w:spacing w:line="360" w:lineRule="auto"/>
        <w:ind w:left="0" w:right="-28"/>
        <w:jc w:val="both"/>
        <w:rPr>
          <w:rFonts w:ascii="Palatino Linotype" w:eastAsia="Calibri" w:hAnsi="Palatino Linotype" w:cs="Tahoma"/>
          <w:b/>
          <w:color w:val="000000"/>
          <w:lang w:val="es-ES" w:eastAsia="es-MX"/>
        </w:rPr>
      </w:pPr>
      <w:r w:rsidRPr="00A26524">
        <w:rPr>
          <w:rFonts w:ascii="Palatino Linotype" w:eastAsia="Calibri" w:hAnsi="Palatino Linotype" w:cs="Tahoma"/>
          <w:color w:val="000000"/>
          <w:lang w:val="es-ES" w:eastAsia="es-MX"/>
        </w:rPr>
        <w:t>Una vez realizado el estudio de las constancias que obran en el expediente electrónico en el que se actúa, se advierte que el Sol</w:t>
      </w:r>
      <w:r w:rsidR="003368BF">
        <w:rPr>
          <w:rFonts w:ascii="Palatino Linotype" w:eastAsia="Calibri" w:hAnsi="Palatino Linotype" w:cs="Tahoma"/>
          <w:color w:val="000000"/>
          <w:lang w:val="es-ES" w:eastAsia="es-MX"/>
        </w:rPr>
        <w:t>icitante requirió</w:t>
      </w:r>
      <w:r w:rsidR="00BD4CA7">
        <w:rPr>
          <w:rFonts w:ascii="Palatino Linotype" w:eastAsia="Calibri" w:hAnsi="Palatino Linotype" w:cs="Tahoma"/>
          <w:color w:val="000000"/>
          <w:lang w:val="es-ES" w:eastAsia="es-MX"/>
        </w:rPr>
        <w:t xml:space="preserve"> los resultados de</w:t>
      </w:r>
      <w:r w:rsidR="003368BF">
        <w:rPr>
          <w:rFonts w:ascii="Palatino Linotype" w:eastAsia="Calibri" w:hAnsi="Palatino Linotype" w:cs="Tahoma"/>
          <w:color w:val="000000"/>
          <w:lang w:val="es-ES" w:eastAsia="es-MX"/>
        </w:rPr>
        <w:t xml:space="preserve"> </w:t>
      </w:r>
      <w:bookmarkStart w:id="6" w:name="_Hlk101365431"/>
      <w:r w:rsidR="00CB6FC8">
        <w:rPr>
          <w:rFonts w:ascii="Palatino Linotype" w:eastAsia="Calibri" w:hAnsi="Palatino Linotype" w:cs="Tahoma"/>
          <w:color w:val="000000"/>
          <w:lang w:val="es-ES" w:eastAsia="es-MX"/>
        </w:rPr>
        <w:t xml:space="preserve">la prueba </w:t>
      </w:r>
      <w:r w:rsidR="00BD4CA7">
        <w:rPr>
          <w:rFonts w:ascii="Palatino Linotype" w:eastAsia="Calibri" w:hAnsi="Palatino Linotype" w:cs="Tahoma"/>
          <w:color w:val="000000"/>
          <w:lang w:val="es-ES" w:eastAsia="es-MX"/>
        </w:rPr>
        <w:t xml:space="preserve">diagnóstica Covid-19 del </w:t>
      </w:r>
      <w:r w:rsidR="00CB6FC8">
        <w:rPr>
          <w:rFonts w:ascii="Palatino Linotype" w:eastAsia="Calibri" w:hAnsi="Palatino Linotype" w:cs="Tahoma"/>
          <w:color w:val="000000"/>
          <w:lang w:val="es-ES" w:eastAsia="es-MX"/>
        </w:rPr>
        <w:t xml:space="preserve">Presidente Municipal para asistir </w:t>
      </w:r>
      <w:r w:rsidR="0086736C">
        <w:rPr>
          <w:rFonts w:ascii="Palatino Linotype" w:eastAsia="Calibri" w:hAnsi="Palatino Linotype" w:cs="Tahoma"/>
          <w:color w:val="000000"/>
          <w:lang w:val="es-ES" w:eastAsia="es-MX"/>
        </w:rPr>
        <w:t xml:space="preserve">al evento de “Caravana de Día de Reyes”. </w:t>
      </w:r>
      <w:bookmarkEnd w:id="6"/>
    </w:p>
    <w:p w14:paraId="06E365C5" w14:textId="77777777" w:rsidR="00415DF9" w:rsidRDefault="00415DF9" w:rsidP="00415DF9">
      <w:pPr>
        <w:pStyle w:val="Prrafodelista"/>
        <w:autoSpaceDE w:val="0"/>
        <w:autoSpaceDN w:val="0"/>
        <w:adjustRightInd w:val="0"/>
        <w:spacing w:line="360" w:lineRule="auto"/>
        <w:ind w:left="0" w:right="-28"/>
        <w:jc w:val="both"/>
        <w:rPr>
          <w:rFonts w:ascii="Palatino Linotype" w:eastAsia="Calibri" w:hAnsi="Palatino Linotype" w:cs="Tahoma"/>
          <w:color w:val="000000"/>
          <w:lang w:val="es-ES" w:eastAsia="es-MX"/>
        </w:rPr>
      </w:pPr>
    </w:p>
    <w:p w14:paraId="660906C4" w14:textId="26FACA93" w:rsidR="00D97859" w:rsidRPr="00881ABA" w:rsidRDefault="00881ABA" w:rsidP="00D97859">
      <w:pPr>
        <w:autoSpaceDE w:val="0"/>
        <w:autoSpaceDN w:val="0"/>
        <w:adjustRightInd w:val="0"/>
        <w:spacing w:line="360" w:lineRule="auto"/>
        <w:ind w:right="-28"/>
        <w:jc w:val="both"/>
        <w:rPr>
          <w:rFonts w:ascii="Palatino Linotype" w:eastAsia="Calibri" w:hAnsi="Palatino Linotype" w:cs="Tahoma"/>
          <w:color w:val="000000"/>
          <w:sz w:val="22"/>
          <w:lang w:val="es-ES" w:eastAsia="es-MX"/>
        </w:rPr>
      </w:pPr>
      <w:r w:rsidRPr="00D97859">
        <w:rPr>
          <w:rFonts w:ascii="Palatino Linotype" w:eastAsia="Calibri" w:hAnsi="Palatino Linotype" w:cs="Tahoma"/>
          <w:color w:val="000000"/>
          <w:sz w:val="22"/>
          <w:lang w:val="es-ES" w:eastAsia="es-MX"/>
        </w:rPr>
        <w:t xml:space="preserve">En atención a </w:t>
      </w:r>
      <w:r>
        <w:rPr>
          <w:rFonts w:ascii="Palatino Linotype" w:eastAsia="Calibri" w:hAnsi="Palatino Linotype" w:cs="Tahoma"/>
          <w:color w:val="000000"/>
          <w:sz w:val="22"/>
          <w:lang w:val="es-ES" w:eastAsia="es-MX"/>
        </w:rPr>
        <w:t xml:space="preserve">ello, el Sujeto Obligado en respuesta </w:t>
      </w:r>
      <w:r w:rsidR="002672E7">
        <w:rPr>
          <w:rFonts w:ascii="Palatino Linotype" w:eastAsia="Calibri" w:hAnsi="Palatino Linotype" w:cs="Tahoma"/>
          <w:color w:val="000000"/>
          <w:sz w:val="22"/>
          <w:lang w:val="es-ES" w:eastAsia="es-MX"/>
        </w:rPr>
        <w:t xml:space="preserve">precisó que </w:t>
      </w:r>
      <w:r w:rsidR="00213F13">
        <w:rPr>
          <w:rFonts w:ascii="Palatino Linotype" w:eastAsia="Calibri" w:hAnsi="Palatino Linotype" w:cs="Tahoma"/>
          <w:color w:val="000000"/>
          <w:sz w:val="22"/>
          <w:lang w:val="es-ES" w:eastAsia="es-MX"/>
        </w:rPr>
        <w:t>la solicitud presentada por el Particular no corresponde al ejercicio del derecho de acceso a la información, por lo que no pu</w:t>
      </w:r>
      <w:r w:rsidR="000F746A">
        <w:rPr>
          <w:rFonts w:ascii="Palatino Linotype" w:eastAsia="Calibri" w:hAnsi="Palatino Linotype" w:cs="Tahoma"/>
          <w:color w:val="000000"/>
          <w:sz w:val="22"/>
          <w:lang w:val="es-ES" w:eastAsia="es-MX"/>
        </w:rPr>
        <w:t>ede</w:t>
      </w:r>
      <w:r w:rsidR="00213F13">
        <w:rPr>
          <w:rFonts w:ascii="Palatino Linotype" w:eastAsia="Calibri" w:hAnsi="Palatino Linotype" w:cs="Tahoma"/>
          <w:color w:val="000000"/>
          <w:sz w:val="22"/>
          <w:lang w:val="es-ES" w:eastAsia="es-MX"/>
        </w:rPr>
        <w:t xml:space="preserve"> ser atendida, </w:t>
      </w:r>
      <w:r w:rsidR="00B574E7">
        <w:rPr>
          <w:rFonts w:ascii="Palatino Linotype" w:eastAsia="Calibri" w:hAnsi="Palatino Linotype" w:cs="Tahoma"/>
          <w:color w:val="000000"/>
          <w:sz w:val="22"/>
          <w:lang w:val="es-ES" w:eastAsia="es-MX"/>
        </w:rPr>
        <w:t xml:space="preserve">situación por la cual el </w:t>
      </w:r>
      <w:r w:rsidR="00213F13">
        <w:rPr>
          <w:rFonts w:ascii="Palatino Linotype" w:eastAsia="Calibri" w:hAnsi="Palatino Linotype" w:cs="Tahoma"/>
          <w:color w:val="000000"/>
          <w:sz w:val="22"/>
          <w:lang w:val="es-ES" w:eastAsia="es-MX"/>
        </w:rPr>
        <w:t>Solicitante</w:t>
      </w:r>
      <w:r w:rsidR="00B574E7">
        <w:rPr>
          <w:rFonts w:ascii="Palatino Linotype" w:eastAsia="Calibri" w:hAnsi="Palatino Linotype" w:cs="Tahoma"/>
          <w:color w:val="000000"/>
          <w:sz w:val="22"/>
          <w:lang w:val="es-ES" w:eastAsia="es-MX"/>
        </w:rPr>
        <w:t xml:space="preserve"> se inconformó, </w:t>
      </w:r>
      <w:r w:rsidR="000B5C29" w:rsidRPr="000B5C29">
        <w:rPr>
          <w:rFonts w:ascii="Palatino Linotype" w:eastAsia="Calibri" w:hAnsi="Palatino Linotype" w:cs="Tahoma"/>
          <w:bCs/>
          <w:iCs/>
          <w:color w:val="000000"/>
          <w:sz w:val="22"/>
          <w:szCs w:val="24"/>
          <w:lang w:val="es-ES" w:eastAsia="es-MX"/>
        </w:rPr>
        <w:t xml:space="preserve">lo </w:t>
      </w:r>
      <w:r w:rsidR="000B5C29">
        <w:rPr>
          <w:rFonts w:ascii="Palatino Linotype" w:eastAsia="Calibri" w:hAnsi="Palatino Linotype" w:cs="Tahoma"/>
          <w:bCs/>
          <w:iCs/>
          <w:color w:val="000000"/>
          <w:sz w:val="22"/>
          <w:szCs w:val="24"/>
          <w:lang w:val="es-ES" w:eastAsia="es-MX"/>
        </w:rPr>
        <w:t>que</w:t>
      </w:r>
      <w:r w:rsidR="000B5C29" w:rsidRPr="000B5C29">
        <w:rPr>
          <w:rFonts w:ascii="Palatino Linotype" w:eastAsia="Calibri" w:hAnsi="Palatino Linotype" w:cs="Tahoma"/>
          <w:bCs/>
          <w:iCs/>
          <w:color w:val="000000"/>
          <w:sz w:val="22"/>
          <w:szCs w:val="24"/>
          <w:lang w:val="es-ES" w:eastAsia="es-MX"/>
        </w:rPr>
        <w:t xml:space="preserve"> actualiza </w:t>
      </w:r>
      <w:r w:rsidR="001760E8">
        <w:rPr>
          <w:rFonts w:ascii="Palatino Linotype" w:eastAsia="Calibri" w:hAnsi="Palatino Linotype" w:cs="Tahoma"/>
          <w:bCs/>
          <w:iCs/>
          <w:color w:val="000000"/>
          <w:sz w:val="22"/>
          <w:szCs w:val="24"/>
          <w:lang w:val="es-ES" w:eastAsia="es-MX"/>
        </w:rPr>
        <w:t>el</w:t>
      </w:r>
      <w:r w:rsidR="00D97859">
        <w:rPr>
          <w:rFonts w:ascii="Palatino Linotype" w:eastAsia="Calibri" w:hAnsi="Palatino Linotype" w:cs="Tahoma"/>
          <w:bCs/>
          <w:iCs/>
          <w:color w:val="000000"/>
          <w:sz w:val="22"/>
          <w:szCs w:val="24"/>
          <w:lang w:val="es-ES" w:eastAsia="es-MX"/>
        </w:rPr>
        <w:t xml:space="preserve"> supuesto</w:t>
      </w:r>
      <w:r w:rsidR="000B5C29" w:rsidRPr="000B5C29">
        <w:rPr>
          <w:rFonts w:ascii="Palatino Linotype" w:eastAsia="Calibri" w:hAnsi="Palatino Linotype" w:cs="Tahoma"/>
          <w:bCs/>
          <w:iCs/>
          <w:color w:val="000000"/>
          <w:sz w:val="22"/>
          <w:szCs w:val="24"/>
          <w:lang w:val="es-ES" w:eastAsia="es-MX"/>
        </w:rPr>
        <w:t xml:space="preserve"> previsto en el artículo 179, fracción</w:t>
      </w:r>
      <w:r w:rsidR="00713E52">
        <w:rPr>
          <w:rFonts w:ascii="Palatino Linotype" w:eastAsia="Calibri" w:hAnsi="Palatino Linotype" w:cs="Tahoma"/>
          <w:bCs/>
          <w:iCs/>
          <w:color w:val="000000"/>
          <w:sz w:val="22"/>
          <w:szCs w:val="24"/>
          <w:lang w:val="es-ES" w:eastAsia="es-MX"/>
        </w:rPr>
        <w:t xml:space="preserve"> </w:t>
      </w:r>
      <w:r w:rsidR="00814DEC">
        <w:rPr>
          <w:rFonts w:ascii="Palatino Linotype" w:eastAsia="Calibri" w:hAnsi="Palatino Linotype" w:cs="Tahoma"/>
          <w:bCs/>
          <w:iCs/>
          <w:color w:val="000000"/>
          <w:sz w:val="22"/>
          <w:szCs w:val="24"/>
          <w:lang w:val="es-ES" w:eastAsia="es-MX"/>
        </w:rPr>
        <w:t>I</w:t>
      </w:r>
      <w:r w:rsidR="000B5C29" w:rsidRPr="000B5C29">
        <w:rPr>
          <w:rFonts w:ascii="Palatino Linotype" w:eastAsia="Calibri" w:hAnsi="Palatino Linotype" w:cs="Tahoma"/>
          <w:bCs/>
          <w:iCs/>
          <w:color w:val="000000"/>
          <w:sz w:val="22"/>
          <w:szCs w:val="24"/>
          <w:lang w:val="es-ES" w:eastAsia="es-MX"/>
        </w:rPr>
        <w:t xml:space="preserve"> de la Ley de Transparencia y Acceso a la Información Pública del Estado de México y Municipios</w:t>
      </w:r>
      <w:r w:rsidR="000B5C29">
        <w:rPr>
          <w:rFonts w:ascii="Palatino Linotype" w:eastAsia="Calibri" w:hAnsi="Palatino Linotype" w:cs="Tahoma"/>
          <w:bCs/>
          <w:iCs/>
          <w:color w:val="000000"/>
          <w:sz w:val="22"/>
          <w:szCs w:val="24"/>
          <w:lang w:val="es-ES" w:eastAsia="es-MX"/>
        </w:rPr>
        <w:t>, correspondiente</w:t>
      </w:r>
      <w:r w:rsidR="001760E8">
        <w:rPr>
          <w:rFonts w:ascii="Palatino Linotype" w:eastAsia="Calibri" w:hAnsi="Palatino Linotype" w:cs="Tahoma"/>
          <w:bCs/>
          <w:iCs/>
          <w:color w:val="000000"/>
          <w:sz w:val="22"/>
          <w:szCs w:val="24"/>
          <w:lang w:val="es-ES" w:eastAsia="es-MX"/>
        </w:rPr>
        <w:t xml:space="preserve"> a </w:t>
      </w:r>
      <w:r w:rsidR="00822C33">
        <w:rPr>
          <w:rFonts w:ascii="Palatino Linotype" w:eastAsia="Calibri" w:hAnsi="Palatino Linotype" w:cs="Tahoma"/>
          <w:bCs/>
          <w:iCs/>
          <w:color w:val="000000"/>
          <w:sz w:val="22"/>
          <w:szCs w:val="24"/>
          <w:lang w:val="es-ES" w:eastAsia="es-MX"/>
        </w:rPr>
        <w:t>l</w:t>
      </w:r>
      <w:r w:rsidR="00213F13">
        <w:rPr>
          <w:rFonts w:ascii="Palatino Linotype" w:eastAsia="Calibri" w:hAnsi="Palatino Linotype" w:cs="Tahoma"/>
          <w:bCs/>
          <w:iCs/>
          <w:color w:val="000000"/>
          <w:sz w:val="22"/>
          <w:szCs w:val="24"/>
          <w:lang w:val="es-ES" w:eastAsia="es-MX"/>
        </w:rPr>
        <w:t xml:space="preserve">a negativa de entrega </w:t>
      </w:r>
      <w:r w:rsidR="00200A1F">
        <w:rPr>
          <w:rFonts w:ascii="Palatino Linotype" w:eastAsia="Calibri" w:hAnsi="Palatino Linotype" w:cs="Tahoma"/>
          <w:bCs/>
          <w:iCs/>
          <w:color w:val="000000"/>
          <w:sz w:val="22"/>
          <w:szCs w:val="24"/>
          <w:lang w:val="es-ES" w:eastAsia="es-MX"/>
        </w:rPr>
        <w:t xml:space="preserve">de la información. </w:t>
      </w:r>
    </w:p>
    <w:p w14:paraId="034FA9C5" w14:textId="77777777" w:rsidR="00D97859" w:rsidRDefault="00D97859" w:rsidP="00D97859">
      <w:pPr>
        <w:autoSpaceDE w:val="0"/>
        <w:autoSpaceDN w:val="0"/>
        <w:adjustRightInd w:val="0"/>
        <w:spacing w:line="360" w:lineRule="auto"/>
        <w:ind w:right="-28"/>
        <w:jc w:val="both"/>
        <w:rPr>
          <w:rFonts w:ascii="Palatino Linotype" w:eastAsia="Calibri" w:hAnsi="Palatino Linotype" w:cs="Tahoma"/>
          <w:bCs/>
          <w:iCs/>
          <w:color w:val="000000"/>
          <w:sz w:val="22"/>
          <w:szCs w:val="24"/>
          <w:lang w:val="es-ES" w:eastAsia="es-MX"/>
        </w:rPr>
      </w:pPr>
    </w:p>
    <w:p w14:paraId="58B27B50" w14:textId="5FD3FF5D" w:rsidR="00853CD1" w:rsidRPr="000F746A" w:rsidRDefault="000B5C29" w:rsidP="000F746A">
      <w:pPr>
        <w:autoSpaceDE w:val="0"/>
        <w:autoSpaceDN w:val="0"/>
        <w:adjustRightInd w:val="0"/>
        <w:spacing w:line="360" w:lineRule="auto"/>
        <w:ind w:right="-28"/>
        <w:jc w:val="both"/>
        <w:rPr>
          <w:rFonts w:ascii="Palatino Linotype" w:eastAsia="Calibri" w:hAnsi="Palatino Linotype" w:cs="Tahoma"/>
          <w:bCs/>
          <w:iCs/>
          <w:color w:val="000000"/>
          <w:sz w:val="22"/>
          <w:szCs w:val="24"/>
          <w:lang w:val="es-ES" w:eastAsia="es-MX"/>
        </w:rPr>
      </w:pPr>
      <w:r w:rsidRPr="000B5C29">
        <w:rPr>
          <w:rFonts w:ascii="Palatino Linotype" w:eastAsia="Calibri" w:hAnsi="Palatino Linotype" w:cs="Tahoma"/>
          <w:bCs/>
          <w:iCs/>
          <w:color w:val="000000"/>
          <w:sz w:val="22"/>
          <w:szCs w:val="24"/>
          <w:lang w:val="es-ES" w:eastAsia="es-MX"/>
        </w:rPr>
        <w:t>Así las cosas, una vez admitido y notificado el Recurso de Revisión a las partes</w:t>
      </w:r>
      <w:r w:rsidR="00FF631D">
        <w:rPr>
          <w:rFonts w:ascii="Palatino Linotype" w:eastAsia="Calibri" w:hAnsi="Palatino Linotype" w:cs="Tahoma"/>
          <w:bCs/>
          <w:iCs/>
          <w:color w:val="000000"/>
          <w:sz w:val="22"/>
          <w:szCs w:val="24"/>
          <w:lang w:val="es-ES" w:eastAsia="es-MX"/>
        </w:rPr>
        <w:t xml:space="preserve">, se tiene que </w:t>
      </w:r>
      <w:r w:rsidR="000F746A">
        <w:rPr>
          <w:rFonts w:ascii="Palatino Linotype" w:eastAsia="Calibri" w:hAnsi="Palatino Linotype" w:cs="Tahoma"/>
          <w:bCs/>
          <w:iCs/>
          <w:color w:val="000000"/>
          <w:sz w:val="22"/>
          <w:szCs w:val="24"/>
          <w:lang w:val="es-ES" w:eastAsia="es-MX"/>
        </w:rPr>
        <w:t>estas</w:t>
      </w:r>
      <w:r w:rsidR="00B574E7">
        <w:rPr>
          <w:rFonts w:ascii="Palatino Linotype" w:eastAsia="Calibri" w:hAnsi="Palatino Linotype" w:cs="Tahoma"/>
          <w:bCs/>
          <w:iCs/>
          <w:color w:val="000000"/>
          <w:sz w:val="22"/>
          <w:szCs w:val="24"/>
          <w:lang w:val="es-ES" w:eastAsia="es-MX"/>
        </w:rPr>
        <w:t xml:space="preserve"> no manifestaron lo que a su derecho conviniera. </w:t>
      </w:r>
      <w:r w:rsidR="00F9219A" w:rsidRPr="000C7E1F">
        <w:rPr>
          <w:rFonts w:ascii="Palatino Linotype" w:eastAsia="Calibri" w:hAnsi="Palatino Linotype" w:cs="Tahoma"/>
          <w:iCs/>
          <w:sz w:val="22"/>
          <w:szCs w:val="22"/>
          <w:lang w:val="es-ES" w:eastAsia="es-ES_tradnl"/>
        </w:rPr>
        <w:t>Lo anterior, se desprende de las documentales que obran en el expediente de referencia, materia de la presente resolución, consistente en: la solicitud de acceso a la información</w:t>
      </w:r>
      <w:r>
        <w:rPr>
          <w:rFonts w:ascii="Palatino Linotype" w:eastAsia="Calibri" w:hAnsi="Palatino Linotype" w:cs="Tahoma"/>
          <w:iCs/>
          <w:sz w:val="22"/>
          <w:szCs w:val="22"/>
          <w:lang w:eastAsia="es-ES_tradnl"/>
        </w:rPr>
        <w:t xml:space="preserve"> y</w:t>
      </w:r>
      <w:r w:rsidR="00F9219A" w:rsidRPr="000C7E1F">
        <w:rPr>
          <w:rFonts w:ascii="Palatino Linotype" w:eastAsia="Calibri" w:hAnsi="Palatino Linotype" w:cs="Tahoma"/>
          <w:iCs/>
          <w:sz w:val="22"/>
          <w:szCs w:val="22"/>
          <w:lang w:eastAsia="es-ES_tradnl"/>
        </w:rPr>
        <w:t xml:space="preserve"> </w:t>
      </w:r>
      <w:r>
        <w:rPr>
          <w:rFonts w:ascii="Palatino Linotype" w:eastAsia="Calibri" w:hAnsi="Palatino Linotype" w:cs="Tahoma"/>
          <w:iCs/>
          <w:sz w:val="22"/>
          <w:szCs w:val="22"/>
          <w:lang w:eastAsia="es-ES_tradnl"/>
        </w:rPr>
        <w:t>el</w:t>
      </w:r>
      <w:r w:rsidR="00F9219A" w:rsidRPr="000C7E1F">
        <w:rPr>
          <w:rFonts w:ascii="Palatino Linotype" w:eastAsia="Calibri" w:hAnsi="Palatino Linotype" w:cs="Tahoma"/>
          <w:iCs/>
          <w:sz w:val="22"/>
          <w:szCs w:val="22"/>
          <w:lang w:eastAsia="es-ES_tradnl"/>
        </w:rPr>
        <w:t xml:space="preserve"> escrito recursal; </w:t>
      </w:r>
      <w:r w:rsidR="00F9219A" w:rsidRPr="000C7E1F">
        <w:rPr>
          <w:rFonts w:ascii="Palatino Linotype" w:eastAsia="Calibri"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51C90A9D" w14:textId="77777777" w:rsidR="00B574E7" w:rsidRPr="009B60E5" w:rsidRDefault="00B574E7" w:rsidP="009B60E5">
      <w:pPr>
        <w:tabs>
          <w:tab w:val="left" w:pos="4962"/>
        </w:tabs>
        <w:spacing w:line="360" w:lineRule="auto"/>
        <w:jc w:val="both"/>
        <w:rPr>
          <w:rFonts w:ascii="Palatino Linotype" w:eastAsia="Calibri" w:hAnsi="Palatino Linotype" w:cs="Tahoma"/>
          <w:bCs/>
          <w:sz w:val="22"/>
          <w:szCs w:val="22"/>
        </w:rPr>
      </w:pPr>
    </w:p>
    <w:p w14:paraId="043C9801" w14:textId="77777777" w:rsidR="00801872" w:rsidRPr="00C938B6" w:rsidRDefault="00801872" w:rsidP="005B031E">
      <w:pPr>
        <w:spacing w:line="360" w:lineRule="auto"/>
        <w:jc w:val="both"/>
        <w:rPr>
          <w:rFonts w:ascii="Palatino Linotype" w:hAnsi="Palatino Linotype" w:cs="Tahoma"/>
          <w:b/>
          <w:bCs/>
          <w:iCs/>
          <w:sz w:val="22"/>
          <w:szCs w:val="22"/>
        </w:rPr>
      </w:pPr>
      <w:r w:rsidRPr="00C938B6">
        <w:rPr>
          <w:rFonts w:ascii="Palatino Linotype" w:hAnsi="Palatino Linotype" w:cs="Tahoma"/>
          <w:b/>
          <w:bCs/>
          <w:iCs/>
          <w:sz w:val="22"/>
          <w:szCs w:val="22"/>
          <w:lang w:val="es-ES"/>
        </w:rPr>
        <w:t xml:space="preserve">CUARTO. </w:t>
      </w:r>
      <w:r w:rsidRPr="00C938B6">
        <w:rPr>
          <w:rFonts w:ascii="Palatino Linotype" w:hAnsi="Palatino Linotype" w:cs="Tahoma"/>
          <w:b/>
          <w:bCs/>
          <w:iCs/>
          <w:sz w:val="22"/>
          <w:szCs w:val="22"/>
        </w:rPr>
        <w:t>Marco normativo aplicable en materia de transparencia y acceso a la información pública.</w:t>
      </w:r>
    </w:p>
    <w:p w14:paraId="23A022ED" w14:textId="77777777" w:rsidR="00801872" w:rsidRPr="00C938B6" w:rsidRDefault="00801872" w:rsidP="005B031E">
      <w:pPr>
        <w:autoSpaceDE w:val="0"/>
        <w:autoSpaceDN w:val="0"/>
        <w:adjustRightInd w:val="0"/>
        <w:spacing w:line="360" w:lineRule="auto"/>
        <w:jc w:val="both"/>
        <w:rPr>
          <w:rFonts w:ascii="Palatino Linotype" w:hAnsi="Palatino Linotype" w:cs="Tahoma"/>
          <w:bCs/>
          <w:iCs/>
          <w:sz w:val="22"/>
          <w:szCs w:val="22"/>
          <w:lang w:val="es-ES"/>
        </w:rPr>
      </w:pPr>
    </w:p>
    <w:p w14:paraId="6CA98EF4" w14:textId="77777777" w:rsidR="007A73E5" w:rsidRPr="007A73E5" w:rsidRDefault="007A73E5" w:rsidP="005B031E">
      <w:pPr>
        <w:spacing w:line="360" w:lineRule="auto"/>
        <w:jc w:val="both"/>
        <w:rPr>
          <w:rFonts w:ascii="Palatino Linotype" w:hAnsi="Palatino Linotype" w:cs="Tahoma"/>
          <w:bCs/>
          <w:iCs/>
          <w:sz w:val="22"/>
          <w:szCs w:val="22"/>
        </w:rPr>
      </w:pPr>
      <w:r w:rsidRPr="007A73E5">
        <w:rPr>
          <w:rFonts w:ascii="Palatino Linotype" w:hAnsi="Palatino Linotype" w:cs="Tahoma"/>
          <w:bCs/>
          <w:iCs/>
          <w:sz w:val="22"/>
          <w:szCs w:val="22"/>
        </w:rPr>
        <w:t xml:space="preserve">El Derecho de Acceso a la Información Pública es un Derecho Humano reconocido en el Pacto de Derechos Civiles y Políticos en su artículo 19.2; en la Convención Americana sobre Derechos Humanos en su artículo 13.1, así como en el artículo 6°, apartado A), fracción I de la </w:t>
      </w:r>
      <w:r w:rsidRPr="007A73E5">
        <w:rPr>
          <w:rFonts w:ascii="Palatino Linotype" w:hAnsi="Palatino Linotype" w:cs="Tahoma"/>
          <w:bCs/>
          <w:iCs/>
          <w:sz w:val="22"/>
          <w:szCs w:val="22"/>
        </w:rPr>
        <w:lastRenderedPageBreak/>
        <w:t>Constitución Política de los Estados Unidos Mexicanos, el cual establece que toda la información en posesión de cualquier autoridad es pública y sólo podrá ser reservada temporalmente por razones de interés público.</w:t>
      </w:r>
    </w:p>
    <w:p w14:paraId="3FDE1922" w14:textId="77777777" w:rsidR="007A73E5" w:rsidRPr="007A73E5" w:rsidRDefault="007A73E5" w:rsidP="005B031E">
      <w:pPr>
        <w:spacing w:line="360" w:lineRule="auto"/>
        <w:jc w:val="both"/>
        <w:rPr>
          <w:rFonts w:ascii="Palatino Linotype" w:hAnsi="Palatino Linotype" w:cs="Tahoma"/>
          <w:bCs/>
          <w:iCs/>
          <w:sz w:val="22"/>
          <w:szCs w:val="22"/>
        </w:rPr>
      </w:pPr>
    </w:p>
    <w:p w14:paraId="4676F5CF" w14:textId="4743E9F8" w:rsidR="007A73E5" w:rsidRDefault="007A73E5" w:rsidP="005B031E">
      <w:pPr>
        <w:spacing w:line="360" w:lineRule="auto"/>
        <w:jc w:val="both"/>
        <w:rPr>
          <w:rFonts w:ascii="Palatino Linotype" w:hAnsi="Palatino Linotype" w:cs="Tahoma"/>
          <w:bCs/>
          <w:iCs/>
          <w:sz w:val="22"/>
          <w:szCs w:val="22"/>
        </w:rPr>
      </w:pPr>
      <w:r w:rsidRPr="007A73E5">
        <w:rPr>
          <w:rFonts w:ascii="Palatino Linotype" w:hAnsi="Palatino Linotype" w:cs="Tahoma"/>
          <w:bCs/>
          <w:iCs/>
          <w:sz w:val="22"/>
          <w:szCs w:val="22"/>
        </w:rPr>
        <w:t>Por su parte, la Ley General de Transparencia y Acceso a la Información Pública, dispone en su artículo 70 que la información que corresponde a las Obligaciones de Transparencia debe estar disponible para cualquier persona de manera permanente y actualizada.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1373A590" w14:textId="77777777" w:rsidR="00D04134" w:rsidRPr="007A73E5" w:rsidRDefault="00D04134" w:rsidP="005B031E">
      <w:pPr>
        <w:spacing w:line="360" w:lineRule="auto"/>
        <w:jc w:val="both"/>
        <w:rPr>
          <w:rFonts w:ascii="Palatino Linotype" w:hAnsi="Palatino Linotype" w:cs="Tahoma"/>
          <w:bCs/>
          <w:iCs/>
          <w:sz w:val="22"/>
          <w:szCs w:val="22"/>
        </w:rPr>
      </w:pPr>
    </w:p>
    <w:p w14:paraId="7058F883" w14:textId="1AAE4392" w:rsidR="007A73E5" w:rsidRDefault="007A73E5" w:rsidP="005B031E">
      <w:pPr>
        <w:spacing w:line="360" w:lineRule="auto"/>
        <w:jc w:val="both"/>
        <w:rPr>
          <w:rFonts w:ascii="Palatino Linotype" w:hAnsi="Palatino Linotype" w:cs="Tahoma"/>
          <w:bCs/>
          <w:iCs/>
          <w:sz w:val="22"/>
          <w:szCs w:val="22"/>
        </w:rPr>
      </w:pPr>
      <w:r w:rsidRPr="007A73E5">
        <w:rPr>
          <w:rFonts w:ascii="Palatino Linotype" w:hAnsi="Palatino Linotype" w:cs="Tahoma"/>
          <w:bCs/>
          <w:iCs/>
          <w:sz w:val="22"/>
          <w:szCs w:val="22"/>
        </w:rPr>
        <w:t>En el mismo sentido, la Ley de Transparencia y Acceso a la Información Pública del Estado de México y Municipios (Reglamentaria del artículo 5° de la Constitución Local), establece en su artículo 12 que quienes generen, recopilen, administren, manejen, procesen, archiven o conserven información pública serán responsables de la misma, del mismo modo, el artículo 18 establece que los Sujetos Obligados deberán documentar todo acto que derive del ejercicio de sus faculta</w:t>
      </w:r>
      <w:r w:rsidR="001B04D6">
        <w:rPr>
          <w:rFonts w:ascii="Palatino Linotype" w:hAnsi="Palatino Linotype" w:cs="Tahoma"/>
          <w:bCs/>
          <w:iCs/>
          <w:sz w:val="22"/>
          <w:szCs w:val="22"/>
        </w:rPr>
        <w:t xml:space="preserve">des, competencias o funciones </w:t>
      </w:r>
      <w:r w:rsidRPr="007A73E5">
        <w:rPr>
          <w:rFonts w:ascii="Palatino Linotype" w:hAnsi="Palatino Linotype" w:cs="Tahoma"/>
          <w:bCs/>
          <w:iCs/>
          <w:sz w:val="22"/>
          <w:szCs w:val="22"/>
        </w:rPr>
        <w:t>desde su origen la eventual publicidad y reutilización de la información que generen.</w:t>
      </w:r>
    </w:p>
    <w:p w14:paraId="2A62ED77" w14:textId="77777777" w:rsidR="00200A1F" w:rsidRPr="007A73E5" w:rsidRDefault="00200A1F" w:rsidP="005B031E">
      <w:pPr>
        <w:spacing w:line="360" w:lineRule="auto"/>
        <w:jc w:val="both"/>
        <w:rPr>
          <w:rFonts w:ascii="Palatino Linotype" w:hAnsi="Palatino Linotype" w:cs="Tahoma"/>
          <w:bCs/>
          <w:iCs/>
          <w:sz w:val="22"/>
          <w:szCs w:val="22"/>
        </w:rPr>
      </w:pPr>
    </w:p>
    <w:p w14:paraId="29E4CFE9" w14:textId="1D8EB86B" w:rsidR="007A73E5" w:rsidRDefault="007A73E5" w:rsidP="005B031E">
      <w:pPr>
        <w:spacing w:line="360" w:lineRule="auto"/>
        <w:jc w:val="both"/>
        <w:rPr>
          <w:rFonts w:ascii="Palatino Linotype" w:hAnsi="Palatino Linotype" w:cs="Tahoma"/>
          <w:bCs/>
          <w:iCs/>
          <w:sz w:val="22"/>
          <w:szCs w:val="22"/>
        </w:rPr>
      </w:pPr>
      <w:r w:rsidRPr="007A73E5">
        <w:rPr>
          <w:rFonts w:ascii="Palatino Linotype" w:hAnsi="Palatino Linotype" w:cs="Tahoma"/>
          <w:bCs/>
          <w:iCs/>
          <w:sz w:val="22"/>
          <w:szCs w:val="22"/>
        </w:rPr>
        <w:t>Finalmente,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A08D7DD" w14:textId="77777777" w:rsidR="007A73E5" w:rsidRPr="00C938B6" w:rsidRDefault="007A73E5" w:rsidP="005B031E">
      <w:pPr>
        <w:spacing w:line="360" w:lineRule="auto"/>
        <w:jc w:val="both"/>
        <w:rPr>
          <w:rFonts w:ascii="Palatino Linotype" w:hAnsi="Palatino Linotype" w:cs="Tahoma"/>
          <w:bCs/>
          <w:iCs/>
          <w:sz w:val="22"/>
          <w:szCs w:val="22"/>
        </w:rPr>
      </w:pPr>
    </w:p>
    <w:p w14:paraId="11337AA8" w14:textId="5B521238" w:rsidR="00070F27" w:rsidRPr="00C938B6" w:rsidRDefault="00801872" w:rsidP="005B031E">
      <w:pPr>
        <w:spacing w:line="360" w:lineRule="auto"/>
        <w:jc w:val="both"/>
        <w:rPr>
          <w:rFonts w:ascii="Palatino Linotype" w:hAnsi="Palatino Linotype" w:cs="Tahoma"/>
          <w:b/>
          <w:bCs/>
          <w:iCs/>
          <w:sz w:val="22"/>
          <w:szCs w:val="22"/>
          <w:lang w:val="es-ES"/>
        </w:rPr>
      </w:pPr>
      <w:r w:rsidRPr="00C938B6">
        <w:rPr>
          <w:rFonts w:ascii="Palatino Linotype" w:hAnsi="Palatino Linotype" w:cs="Tahoma"/>
          <w:b/>
          <w:bCs/>
          <w:iCs/>
          <w:sz w:val="22"/>
          <w:szCs w:val="22"/>
          <w:lang w:val="es-ES"/>
        </w:rPr>
        <w:lastRenderedPageBreak/>
        <w:t>Quinto. Estudio de Fondo.</w:t>
      </w:r>
    </w:p>
    <w:p w14:paraId="2F805B26" w14:textId="77777777" w:rsidR="00B85D47" w:rsidRPr="00C938B6" w:rsidRDefault="00B85D47" w:rsidP="00B85D47">
      <w:pPr>
        <w:spacing w:line="360" w:lineRule="auto"/>
        <w:jc w:val="both"/>
        <w:rPr>
          <w:rFonts w:ascii="Palatino Linotype" w:hAnsi="Palatino Linotype" w:cs="Tahoma"/>
          <w:b/>
          <w:bCs/>
          <w:iCs/>
          <w:sz w:val="22"/>
          <w:szCs w:val="22"/>
          <w:lang w:val="es-ES"/>
        </w:rPr>
      </w:pPr>
    </w:p>
    <w:p w14:paraId="6A359399" w14:textId="7D8F66B0" w:rsidR="00B85D47" w:rsidRDefault="00B85D47" w:rsidP="00B85D47">
      <w:pPr>
        <w:spacing w:line="360" w:lineRule="auto"/>
        <w:jc w:val="both"/>
        <w:rPr>
          <w:rFonts w:ascii="Palatino Linotype" w:hAnsi="Palatino Linotype" w:cs="Tahoma"/>
          <w:bCs/>
          <w:iCs/>
          <w:sz w:val="22"/>
          <w:szCs w:val="22"/>
        </w:rPr>
      </w:pPr>
      <w:r w:rsidRPr="00C938B6">
        <w:rPr>
          <w:rFonts w:ascii="Palatino Linotype" w:hAnsi="Palatino Linotype" w:cs="Tahoma"/>
          <w:bCs/>
          <w:iCs/>
          <w:sz w:val="22"/>
          <w:szCs w:val="22"/>
        </w:rPr>
        <w:t xml:space="preserve">Expuestas las posturas de las partes, se procede al </w:t>
      </w:r>
      <w:r>
        <w:rPr>
          <w:rFonts w:ascii="Palatino Linotype" w:hAnsi="Palatino Linotype" w:cs="Tahoma"/>
          <w:bCs/>
          <w:iCs/>
          <w:sz w:val="22"/>
          <w:szCs w:val="22"/>
        </w:rPr>
        <w:t xml:space="preserve">análisis del agravio hecho valer por el ahora Recurrente, </w:t>
      </w:r>
      <w:r w:rsidR="00B05A7E">
        <w:rPr>
          <w:rFonts w:ascii="Palatino Linotype" w:hAnsi="Palatino Linotype" w:cs="Tahoma"/>
          <w:bCs/>
          <w:iCs/>
          <w:sz w:val="22"/>
          <w:szCs w:val="22"/>
        </w:rPr>
        <w:t>no sin antes mencionar que, el Particular a través del Recurso de Revisión</w:t>
      </w:r>
      <w:r w:rsidR="00C060AB">
        <w:rPr>
          <w:rFonts w:ascii="Palatino Linotype" w:hAnsi="Palatino Linotype" w:cs="Tahoma"/>
          <w:bCs/>
          <w:iCs/>
          <w:sz w:val="22"/>
          <w:szCs w:val="22"/>
        </w:rPr>
        <w:t xml:space="preserve"> realizó diversas manifestaciones </w:t>
      </w:r>
      <w:r w:rsidR="00436852">
        <w:rPr>
          <w:rFonts w:ascii="Palatino Linotype" w:hAnsi="Palatino Linotype" w:cs="Tahoma"/>
          <w:bCs/>
          <w:iCs/>
          <w:sz w:val="22"/>
          <w:szCs w:val="22"/>
        </w:rPr>
        <w:t xml:space="preserve">relativas a las deficiencias en la respuesta proporcionada por el Sujeto Obligado, </w:t>
      </w:r>
      <w:r w:rsidR="00047D58">
        <w:rPr>
          <w:rFonts w:ascii="Palatino Linotype" w:hAnsi="Palatino Linotype" w:cs="Tahoma"/>
          <w:bCs/>
          <w:iCs/>
          <w:sz w:val="22"/>
          <w:szCs w:val="22"/>
        </w:rPr>
        <w:t>sin precisar concisamente su inconformidad, es por lo que</w:t>
      </w:r>
      <w:r w:rsidR="00B05A7E" w:rsidRPr="00B05A7E">
        <w:rPr>
          <w:rFonts w:ascii="Palatino Linotype" w:hAnsi="Palatino Linotype" w:cs="Tahoma"/>
          <w:bCs/>
          <w:iCs/>
          <w:sz w:val="22"/>
          <w:szCs w:val="22"/>
        </w:rPr>
        <w:t xml:space="preserve">, en términos de los diversos 13 y 181 </w:t>
      </w:r>
      <w:r w:rsidR="007B0DFC" w:rsidRPr="00B05A7E">
        <w:rPr>
          <w:rFonts w:ascii="Palatino Linotype" w:hAnsi="Palatino Linotype" w:cs="Tahoma"/>
          <w:bCs/>
          <w:iCs/>
          <w:sz w:val="22"/>
          <w:szCs w:val="22"/>
        </w:rPr>
        <w:t>penúltimo párrafo</w:t>
      </w:r>
      <w:r w:rsidR="007B0DFC">
        <w:rPr>
          <w:rFonts w:ascii="Palatino Linotype" w:hAnsi="Palatino Linotype" w:cs="Tahoma"/>
          <w:bCs/>
          <w:iCs/>
          <w:sz w:val="22"/>
          <w:szCs w:val="22"/>
        </w:rPr>
        <w:t>,</w:t>
      </w:r>
      <w:r w:rsidR="007B0DFC" w:rsidRPr="00B05A7E">
        <w:rPr>
          <w:rFonts w:ascii="Palatino Linotype" w:hAnsi="Palatino Linotype" w:cs="Tahoma"/>
          <w:bCs/>
          <w:iCs/>
          <w:sz w:val="22"/>
          <w:szCs w:val="22"/>
        </w:rPr>
        <w:t xml:space="preserve"> </w:t>
      </w:r>
      <w:r w:rsidR="00B05A7E" w:rsidRPr="00B05A7E">
        <w:rPr>
          <w:rFonts w:ascii="Palatino Linotype" w:hAnsi="Palatino Linotype" w:cs="Tahoma"/>
          <w:bCs/>
          <w:iCs/>
          <w:sz w:val="22"/>
          <w:szCs w:val="22"/>
        </w:rPr>
        <w:t>d</w:t>
      </w:r>
      <w:r w:rsidR="00047D58">
        <w:rPr>
          <w:rFonts w:ascii="Palatino Linotype" w:hAnsi="Palatino Linotype" w:cs="Tahoma"/>
          <w:bCs/>
          <w:iCs/>
          <w:sz w:val="22"/>
          <w:szCs w:val="22"/>
        </w:rPr>
        <w:t>e la Ley de Transparencia y Acceso a la Información Pública del Estado de México y Municipios</w:t>
      </w:r>
      <w:r w:rsidR="00B05A7E" w:rsidRPr="00B05A7E">
        <w:rPr>
          <w:rFonts w:ascii="Palatino Linotype" w:hAnsi="Palatino Linotype" w:cs="Tahoma"/>
          <w:bCs/>
          <w:iCs/>
          <w:sz w:val="22"/>
          <w:szCs w:val="22"/>
        </w:rPr>
        <w:t>, relacionados con el último párrafo, del 146 de la Ley General de Transparencia y Acceso a la Información Pública</w:t>
      </w:r>
      <w:r w:rsidR="00047D58">
        <w:rPr>
          <w:rFonts w:ascii="Palatino Linotype" w:hAnsi="Palatino Linotype" w:cs="Tahoma"/>
          <w:bCs/>
          <w:iCs/>
          <w:sz w:val="22"/>
          <w:szCs w:val="22"/>
        </w:rPr>
        <w:t>, r</w:t>
      </w:r>
      <w:r w:rsidR="00B45F84">
        <w:rPr>
          <w:rFonts w:ascii="Palatino Linotype" w:hAnsi="Palatino Linotype" w:cs="Tahoma"/>
          <w:bCs/>
          <w:iCs/>
          <w:sz w:val="22"/>
          <w:szCs w:val="22"/>
        </w:rPr>
        <w:t>e</w:t>
      </w:r>
      <w:r w:rsidR="00047D58">
        <w:rPr>
          <w:rFonts w:ascii="Palatino Linotype" w:hAnsi="Palatino Linotype" w:cs="Tahoma"/>
          <w:bCs/>
          <w:iCs/>
          <w:sz w:val="22"/>
          <w:szCs w:val="22"/>
        </w:rPr>
        <w:t>sulta aplicable la suplencia de la deficiencia de la queja</w:t>
      </w:r>
      <w:r w:rsidR="00A45AFF">
        <w:rPr>
          <w:rFonts w:ascii="Palatino Linotype" w:hAnsi="Palatino Linotype" w:cs="Tahoma"/>
          <w:bCs/>
          <w:iCs/>
          <w:sz w:val="22"/>
          <w:szCs w:val="22"/>
        </w:rPr>
        <w:t>, con la finalidad de precisar que su inconformidad es la</w:t>
      </w:r>
      <w:r w:rsidR="00047D58">
        <w:rPr>
          <w:rFonts w:ascii="Palatino Linotype" w:hAnsi="Palatino Linotype" w:cs="Tahoma"/>
          <w:bCs/>
          <w:iCs/>
          <w:sz w:val="22"/>
          <w:szCs w:val="22"/>
        </w:rPr>
        <w:t xml:space="preserve"> </w:t>
      </w:r>
      <w:r>
        <w:rPr>
          <w:rFonts w:ascii="Palatino Linotype" w:hAnsi="Palatino Linotype" w:cs="Tahoma"/>
          <w:bCs/>
          <w:iCs/>
          <w:sz w:val="22"/>
          <w:szCs w:val="22"/>
        </w:rPr>
        <w:t xml:space="preserve">concerniente a la </w:t>
      </w:r>
      <w:r w:rsidR="00713E52">
        <w:rPr>
          <w:rFonts w:ascii="Palatino Linotype" w:hAnsi="Palatino Linotype" w:cs="Tahoma"/>
          <w:bCs/>
          <w:iCs/>
          <w:sz w:val="22"/>
          <w:szCs w:val="22"/>
        </w:rPr>
        <w:t xml:space="preserve">negativa a la información solicitada, lo que actualiza la fracción </w:t>
      </w:r>
      <w:r w:rsidR="00A45AFF">
        <w:rPr>
          <w:rFonts w:ascii="Palatino Linotype" w:hAnsi="Palatino Linotype" w:cs="Tahoma"/>
          <w:bCs/>
          <w:iCs/>
          <w:sz w:val="22"/>
          <w:szCs w:val="22"/>
        </w:rPr>
        <w:t>I del dispositivo legal referido</w:t>
      </w:r>
      <w:r w:rsidR="00C93B9C">
        <w:rPr>
          <w:rFonts w:ascii="Palatino Linotype" w:hAnsi="Palatino Linotype" w:cs="Tahoma"/>
          <w:bCs/>
          <w:iCs/>
          <w:sz w:val="22"/>
          <w:szCs w:val="22"/>
        </w:rPr>
        <w:t xml:space="preserve">. </w:t>
      </w:r>
    </w:p>
    <w:p w14:paraId="0EE72833" w14:textId="54FDF4AF" w:rsidR="009B4A6C" w:rsidRDefault="009B4A6C" w:rsidP="00B85D47">
      <w:pPr>
        <w:spacing w:line="360" w:lineRule="auto"/>
        <w:jc w:val="both"/>
        <w:rPr>
          <w:rFonts w:ascii="Palatino Linotype" w:hAnsi="Palatino Linotype" w:cs="Tahoma"/>
          <w:bCs/>
          <w:iCs/>
          <w:sz w:val="22"/>
          <w:szCs w:val="22"/>
        </w:rPr>
      </w:pPr>
    </w:p>
    <w:p w14:paraId="1E297813" w14:textId="01635BF0" w:rsidR="00143754" w:rsidRDefault="009B4A6C" w:rsidP="00B85D47">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Ahora bien, cabe recordar que la pretensión del ahora Recurrente </w:t>
      </w:r>
      <w:r w:rsidR="00143754">
        <w:rPr>
          <w:rFonts w:ascii="Palatino Linotype" w:hAnsi="Palatino Linotype" w:cs="Tahoma"/>
          <w:bCs/>
          <w:iCs/>
          <w:sz w:val="22"/>
          <w:szCs w:val="22"/>
        </w:rPr>
        <w:t>fue</w:t>
      </w:r>
      <w:r>
        <w:rPr>
          <w:rFonts w:ascii="Palatino Linotype" w:hAnsi="Palatino Linotype" w:cs="Tahoma"/>
          <w:bCs/>
          <w:iCs/>
          <w:sz w:val="22"/>
          <w:szCs w:val="22"/>
        </w:rPr>
        <w:t xml:space="preserve"> obtener </w:t>
      </w:r>
      <w:r w:rsidR="000F746A">
        <w:rPr>
          <w:rFonts w:ascii="Palatino Linotype" w:hAnsi="Palatino Linotype" w:cs="Tahoma"/>
          <w:bCs/>
          <w:iCs/>
          <w:sz w:val="22"/>
          <w:szCs w:val="22"/>
        </w:rPr>
        <w:t xml:space="preserve">los resultados de </w:t>
      </w:r>
      <w:r>
        <w:rPr>
          <w:rFonts w:ascii="Palatino Linotype" w:hAnsi="Palatino Linotype" w:cs="Tahoma"/>
          <w:bCs/>
          <w:iCs/>
          <w:sz w:val="22"/>
          <w:szCs w:val="22"/>
        </w:rPr>
        <w:t xml:space="preserve">la prueba </w:t>
      </w:r>
      <w:r w:rsidR="004C744A">
        <w:rPr>
          <w:rFonts w:ascii="Palatino Linotype" w:hAnsi="Palatino Linotype" w:cs="Tahoma"/>
          <w:bCs/>
          <w:iCs/>
          <w:sz w:val="22"/>
          <w:szCs w:val="22"/>
        </w:rPr>
        <w:t xml:space="preserve">de </w:t>
      </w:r>
      <w:r w:rsidR="002A2A73">
        <w:rPr>
          <w:rFonts w:ascii="Palatino Linotype" w:hAnsi="Palatino Linotype" w:cs="Tahoma"/>
          <w:bCs/>
          <w:iCs/>
          <w:sz w:val="22"/>
          <w:szCs w:val="22"/>
        </w:rPr>
        <w:t>diagnóstico</w:t>
      </w:r>
      <w:r w:rsidR="004C744A">
        <w:rPr>
          <w:rFonts w:ascii="Palatino Linotype" w:hAnsi="Palatino Linotype" w:cs="Tahoma"/>
          <w:bCs/>
          <w:iCs/>
          <w:sz w:val="22"/>
          <w:szCs w:val="22"/>
        </w:rPr>
        <w:t xml:space="preserve"> Covi</w:t>
      </w:r>
      <w:r w:rsidR="002A2A73">
        <w:rPr>
          <w:rFonts w:ascii="Palatino Linotype" w:hAnsi="Palatino Linotype" w:cs="Tahoma"/>
          <w:bCs/>
          <w:iCs/>
          <w:sz w:val="22"/>
          <w:szCs w:val="22"/>
        </w:rPr>
        <w:t>d</w:t>
      </w:r>
      <w:r w:rsidR="004C744A">
        <w:rPr>
          <w:rFonts w:ascii="Palatino Linotype" w:hAnsi="Palatino Linotype" w:cs="Tahoma"/>
          <w:bCs/>
          <w:iCs/>
          <w:sz w:val="22"/>
          <w:szCs w:val="22"/>
        </w:rPr>
        <w:t>-19</w:t>
      </w:r>
      <w:r w:rsidR="002A2A73">
        <w:rPr>
          <w:rFonts w:ascii="Palatino Linotype" w:hAnsi="Palatino Linotype" w:cs="Tahoma"/>
          <w:bCs/>
          <w:iCs/>
          <w:sz w:val="22"/>
          <w:szCs w:val="22"/>
        </w:rPr>
        <w:t xml:space="preserve"> </w:t>
      </w:r>
      <w:r>
        <w:rPr>
          <w:rFonts w:ascii="Palatino Linotype" w:hAnsi="Palatino Linotype" w:cs="Tahoma"/>
          <w:bCs/>
          <w:iCs/>
          <w:sz w:val="22"/>
          <w:szCs w:val="22"/>
        </w:rPr>
        <w:t>del Presidente Municipal</w:t>
      </w:r>
      <w:r w:rsidR="00143754">
        <w:rPr>
          <w:rFonts w:ascii="Palatino Linotype" w:hAnsi="Palatino Linotype" w:cs="Tahoma"/>
          <w:bCs/>
          <w:iCs/>
          <w:sz w:val="22"/>
          <w:szCs w:val="22"/>
        </w:rPr>
        <w:t xml:space="preserve"> pa</w:t>
      </w:r>
      <w:r w:rsidR="004C744A">
        <w:rPr>
          <w:rFonts w:ascii="Palatino Linotype" w:hAnsi="Palatino Linotype" w:cs="Tahoma"/>
          <w:bCs/>
          <w:iCs/>
          <w:sz w:val="22"/>
          <w:szCs w:val="22"/>
        </w:rPr>
        <w:t>r</w:t>
      </w:r>
      <w:r w:rsidR="00143754">
        <w:rPr>
          <w:rFonts w:ascii="Palatino Linotype" w:hAnsi="Palatino Linotype" w:cs="Tahoma"/>
          <w:bCs/>
          <w:iCs/>
          <w:sz w:val="22"/>
          <w:szCs w:val="22"/>
        </w:rPr>
        <w:t>a asistir al evento denominado “Caravana de Día de Reyes”, de tal manera que en r</w:t>
      </w:r>
      <w:r w:rsidR="004C744A">
        <w:rPr>
          <w:rFonts w:ascii="Palatino Linotype" w:hAnsi="Palatino Linotype" w:cs="Tahoma"/>
          <w:bCs/>
          <w:iCs/>
          <w:sz w:val="22"/>
          <w:szCs w:val="22"/>
        </w:rPr>
        <w:t xml:space="preserve">espuesta el Sujeto Obligado señaló que </w:t>
      </w:r>
      <w:r w:rsidR="002A2A73">
        <w:rPr>
          <w:rFonts w:ascii="Palatino Linotype" w:hAnsi="Palatino Linotype" w:cs="Tahoma"/>
          <w:bCs/>
          <w:iCs/>
          <w:sz w:val="22"/>
          <w:szCs w:val="22"/>
        </w:rPr>
        <w:t>el requerimiento del Particular no constituía el ejercicio de</w:t>
      </w:r>
      <w:r w:rsidR="006A32E0">
        <w:rPr>
          <w:rFonts w:ascii="Palatino Linotype" w:hAnsi="Palatino Linotype" w:cs="Tahoma"/>
          <w:bCs/>
          <w:iCs/>
          <w:sz w:val="22"/>
          <w:szCs w:val="22"/>
        </w:rPr>
        <w:t xml:space="preserve">l derecho de </w:t>
      </w:r>
      <w:r w:rsidR="002A2A73">
        <w:rPr>
          <w:rFonts w:ascii="Palatino Linotype" w:hAnsi="Palatino Linotype" w:cs="Tahoma"/>
          <w:bCs/>
          <w:iCs/>
          <w:sz w:val="22"/>
          <w:szCs w:val="22"/>
        </w:rPr>
        <w:t>acceso a la información,</w:t>
      </w:r>
      <w:r w:rsidR="006A32E0">
        <w:rPr>
          <w:rFonts w:ascii="Palatino Linotype" w:hAnsi="Palatino Linotype" w:cs="Tahoma"/>
          <w:bCs/>
          <w:iCs/>
          <w:sz w:val="22"/>
          <w:szCs w:val="22"/>
        </w:rPr>
        <w:t xml:space="preserve"> sino más bien, </w:t>
      </w:r>
      <w:r w:rsidR="008347A8">
        <w:rPr>
          <w:rFonts w:ascii="Palatino Linotype" w:hAnsi="Palatino Linotype" w:cs="Tahoma"/>
          <w:bCs/>
          <w:iCs/>
          <w:sz w:val="22"/>
          <w:szCs w:val="22"/>
        </w:rPr>
        <w:t>su requerimiento se encontraba relacionado con el</w:t>
      </w:r>
      <w:r w:rsidR="006A32E0">
        <w:rPr>
          <w:rFonts w:ascii="Palatino Linotype" w:hAnsi="Palatino Linotype" w:cs="Tahoma"/>
          <w:bCs/>
          <w:iCs/>
          <w:sz w:val="22"/>
          <w:szCs w:val="22"/>
        </w:rPr>
        <w:t xml:space="preserve"> derecho de petición,</w:t>
      </w:r>
      <w:r w:rsidR="002A2A73">
        <w:rPr>
          <w:rFonts w:ascii="Palatino Linotype" w:hAnsi="Palatino Linotype" w:cs="Tahoma"/>
          <w:bCs/>
          <w:iCs/>
          <w:sz w:val="22"/>
          <w:szCs w:val="22"/>
        </w:rPr>
        <w:t xml:space="preserve"> por lo que no podía ser atendido</w:t>
      </w:r>
      <w:r w:rsidR="000A63E9">
        <w:rPr>
          <w:rFonts w:ascii="Palatino Linotype" w:hAnsi="Palatino Linotype" w:cs="Tahoma"/>
          <w:bCs/>
          <w:iCs/>
          <w:sz w:val="22"/>
          <w:szCs w:val="22"/>
        </w:rPr>
        <w:t xml:space="preserve">. </w:t>
      </w:r>
    </w:p>
    <w:p w14:paraId="1733FAED" w14:textId="77777777" w:rsidR="00143754" w:rsidRDefault="00143754" w:rsidP="00B85D47">
      <w:pPr>
        <w:spacing w:line="360" w:lineRule="auto"/>
        <w:jc w:val="both"/>
        <w:rPr>
          <w:rFonts w:ascii="Palatino Linotype" w:hAnsi="Palatino Linotype" w:cs="Tahoma"/>
          <w:bCs/>
          <w:iCs/>
          <w:sz w:val="22"/>
          <w:szCs w:val="22"/>
        </w:rPr>
      </w:pPr>
    </w:p>
    <w:p w14:paraId="2DA0B458" w14:textId="07AA60DE" w:rsidR="009B4A6C" w:rsidRDefault="000A63E9" w:rsidP="00B85D47">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De dicha situación, resulta importante</w:t>
      </w:r>
      <w:r w:rsidR="00745D33">
        <w:rPr>
          <w:rFonts w:ascii="Palatino Linotype" w:hAnsi="Palatino Linotype" w:cs="Tahoma"/>
          <w:bCs/>
          <w:iCs/>
          <w:sz w:val="22"/>
          <w:szCs w:val="22"/>
        </w:rPr>
        <w:t xml:space="preserve"> mencionar la diferencia entre ambos derechos,</w:t>
      </w:r>
      <w:r w:rsidR="00CF23FA">
        <w:rPr>
          <w:rFonts w:ascii="Palatino Linotype" w:hAnsi="Palatino Linotype" w:cs="Tahoma"/>
          <w:bCs/>
          <w:iCs/>
          <w:sz w:val="22"/>
          <w:szCs w:val="22"/>
        </w:rPr>
        <w:t xml:space="preserve"> que</w:t>
      </w:r>
      <w:r w:rsidR="00745D33">
        <w:rPr>
          <w:rFonts w:ascii="Palatino Linotype" w:hAnsi="Palatino Linotype" w:cs="Tahoma"/>
          <w:bCs/>
          <w:iCs/>
          <w:sz w:val="22"/>
          <w:szCs w:val="22"/>
        </w:rPr>
        <w:t xml:space="preserve"> </w:t>
      </w:r>
      <w:r w:rsidR="005D03A9">
        <w:rPr>
          <w:rFonts w:ascii="Palatino Linotype" w:hAnsi="Palatino Linotype" w:cs="Tahoma"/>
          <w:bCs/>
          <w:iCs/>
          <w:sz w:val="22"/>
          <w:szCs w:val="22"/>
        </w:rPr>
        <w:t xml:space="preserve">de acuerdo con el Criterio 2/2015 del Instituto Veracruzano de Acceso a la Información y Protección de Datos Personales, </w:t>
      </w:r>
      <w:r w:rsidR="0015698B">
        <w:rPr>
          <w:rFonts w:ascii="Palatino Linotype" w:hAnsi="Palatino Linotype" w:cs="Tahoma"/>
          <w:bCs/>
          <w:iCs/>
          <w:sz w:val="22"/>
          <w:szCs w:val="22"/>
        </w:rPr>
        <w:t xml:space="preserve">existen tres elementos que distinguen a cada uno de </w:t>
      </w:r>
      <w:r w:rsidR="008347A8">
        <w:rPr>
          <w:rFonts w:ascii="Palatino Linotype" w:hAnsi="Palatino Linotype" w:cs="Tahoma"/>
          <w:bCs/>
          <w:iCs/>
          <w:sz w:val="22"/>
          <w:szCs w:val="22"/>
        </w:rPr>
        <w:t>estos</w:t>
      </w:r>
      <w:r w:rsidR="0015698B">
        <w:rPr>
          <w:rFonts w:ascii="Palatino Linotype" w:hAnsi="Palatino Linotype" w:cs="Tahoma"/>
          <w:bCs/>
          <w:iCs/>
          <w:sz w:val="22"/>
          <w:szCs w:val="22"/>
        </w:rPr>
        <w:t>: 1. Su motivo u origen</w:t>
      </w:r>
      <w:r w:rsidR="006A0FE5">
        <w:rPr>
          <w:rFonts w:ascii="Palatino Linotype" w:hAnsi="Palatino Linotype" w:cs="Tahoma"/>
          <w:bCs/>
          <w:iCs/>
          <w:sz w:val="22"/>
          <w:szCs w:val="22"/>
        </w:rPr>
        <w:t>:</w:t>
      </w:r>
      <w:r w:rsidR="0015698B">
        <w:rPr>
          <w:rFonts w:ascii="Palatino Linotype" w:hAnsi="Palatino Linotype" w:cs="Tahoma"/>
          <w:bCs/>
          <w:iCs/>
          <w:sz w:val="22"/>
          <w:szCs w:val="22"/>
        </w:rPr>
        <w:t xml:space="preserve"> A través del ejercicio del </w:t>
      </w:r>
      <w:r w:rsidR="00B90BDC">
        <w:rPr>
          <w:rFonts w:ascii="Palatino Linotype" w:hAnsi="Palatino Linotype" w:cs="Tahoma"/>
          <w:bCs/>
          <w:iCs/>
          <w:sz w:val="22"/>
          <w:szCs w:val="22"/>
        </w:rPr>
        <w:t xml:space="preserve">ejercicio del derecho de acceso a la información los solicitantes pueden requerir documentos que generen, administren, resguarden y/o posean los sujetos obligados; en cambio, en el derecho de petición se pueden plantear cuestiones relacionadas con los servicios públicos, quejas o reclamos. </w:t>
      </w:r>
      <w:r w:rsidR="006A0FE5">
        <w:rPr>
          <w:rFonts w:ascii="Palatino Linotype" w:hAnsi="Palatino Linotype" w:cs="Tahoma"/>
          <w:bCs/>
          <w:iCs/>
          <w:sz w:val="22"/>
          <w:szCs w:val="22"/>
        </w:rPr>
        <w:t xml:space="preserve">2. Las vías de reparación: El derecho </w:t>
      </w:r>
      <w:r w:rsidR="006A0FE5">
        <w:rPr>
          <w:rFonts w:ascii="Palatino Linotype" w:hAnsi="Palatino Linotype" w:cs="Tahoma"/>
          <w:bCs/>
          <w:iCs/>
          <w:sz w:val="22"/>
          <w:szCs w:val="22"/>
        </w:rPr>
        <w:lastRenderedPageBreak/>
        <w:t xml:space="preserve">de acceso a la información se garantiza a través de los </w:t>
      </w:r>
      <w:r w:rsidR="004C4061">
        <w:rPr>
          <w:rFonts w:ascii="Palatino Linotype" w:hAnsi="Palatino Linotype" w:cs="Tahoma"/>
          <w:bCs/>
          <w:iCs/>
          <w:sz w:val="22"/>
          <w:szCs w:val="22"/>
        </w:rPr>
        <w:t>institutos</w:t>
      </w:r>
      <w:r w:rsidR="006A0FE5">
        <w:rPr>
          <w:rFonts w:ascii="Palatino Linotype" w:hAnsi="Palatino Linotype" w:cs="Tahoma"/>
          <w:bCs/>
          <w:iCs/>
          <w:sz w:val="22"/>
          <w:szCs w:val="22"/>
        </w:rPr>
        <w:t xml:space="preserve"> de transparenci</w:t>
      </w:r>
      <w:r w:rsidR="004C4061">
        <w:rPr>
          <w:rFonts w:ascii="Palatino Linotype" w:hAnsi="Palatino Linotype" w:cs="Tahoma"/>
          <w:bCs/>
          <w:iCs/>
          <w:sz w:val="22"/>
          <w:szCs w:val="22"/>
        </w:rPr>
        <w:t xml:space="preserve">a, mientras que el derecho de petición se tutela en sede administrativa o a través del juicio de amparo. 3. Satisfacción de los derechos: El derecho a la información se colma cuando se ponen a disposición los documentos, se justifican las razones de su negativa o cuando se declara la inexistencia de estos, </w:t>
      </w:r>
      <w:r w:rsidR="00E85A61">
        <w:rPr>
          <w:rFonts w:ascii="Palatino Linotype" w:hAnsi="Palatino Linotype" w:cs="Tahoma"/>
          <w:bCs/>
          <w:iCs/>
          <w:sz w:val="22"/>
          <w:szCs w:val="22"/>
        </w:rPr>
        <w:t>mientras que el derecho de petición se cumple cuando se responde al peticionario por escrito, en breve término su instancia.</w:t>
      </w:r>
    </w:p>
    <w:p w14:paraId="09D139DC" w14:textId="3AA566B1" w:rsidR="00E85A61" w:rsidRDefault="00E85A61" w:rsidP="00B85D47">
      <w:pPr>
        <w:spacing w:line="360" w:lineRule="auto"/>
        <w:jc w:val="both"/>
        <w:rPr>
          <w:rFonts w:ascii="Palatino Linotype" w:hAnsi="Palatino Linotype" w:cs="Tahoma"/>
          <w:bCs/>
          <w:iCs/>
          <w:sz w:val="22"/>
          <w:szCs w:val="22"/>
        </w:rPr>
      </w:pPr>
    </w:p>
    <w:p w14:paraId="76616FDC" w14:textId="72131F97" w:rsidR="00E85A61" w:rsidRDefault="006C6994" w:rsidP="00B85D47">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E</w:t>
      </w:r>
      <w:r w:rsidR="00A318F4">
        <w:rPr>
          <w:rFonts w:ascii="Palatino Linotype" w:hAnsi="Palatino Linotype" w:cs="Tahoma"/>
          <w:bCs/>
          <w:iCs/>
          <w:sz w:val="22"/>
          <w:szCs w:val="22"/>
        </w:rPr>
        <w:t xml:space="preserve">n resumen, </w:t>
      </w:r>
      <w:r>
        <w:rPr>
          <w:rFonts w:ascii="Palatino Linotype" w:hAnsi="Palatino Linotype" w:cs="Tahoma"/>
          <w:bCs/>
          <w:iCs/>
          <w:sz w:val="22"/>
          <w:szCs w:val="22"/>
        </w:rPr>
        <w:t xml:space="preserve">tanto el derecho de acceso a la información pública como el derecho de petición constituyen garantías individuales en favor de los gobernados, el primero esta sustentado en el artículo 6° constitucional y el segundo </w:t>
      </w:r>
      <w:r w:rsidR="008E7201">
        <w:rPr>
          <w:rFonts w:ascii="Palatino Linotype" w:hAnsi="Palatino Linotype" w:cs="Tahoma"/>
          <w:bCs/>
          <w:iCs/>
          <w:sz w:val="22"/>
          <w:szCs w:val="22"/>
        </w:rPr>
        <w:t xml:space="preserve">en el artículo 8° ambos de la </w:t>
      </w:r>
      <w:r w:rsidR="00A318F4">
        <w:rPr>
          <w:rFonts w:ascii="Palatino Linotype" w:hAnsi="Palatino Linotype" w:cs="Tahoma"/>
          <w:bCs/>
          <w:iCs/>
          <w:sz w:val="22"/>
          <w:szCs w:val="22"/>
        </w:rPr>
        <w:t>Constitución Política de los Estados Unidos Mexicanos</w:t>
      </w:r>
      <w:r w:rsidR="005D5478">
        <w:rPr>
          <w:rFonts w:ascii="Palatino Linotype" w:hAnsi="Palatino Linotype" w:cs="Tahoma"/>
          <w:bCs/>
          <w:iCs/>
          <w:sz w:val="22"/>
          <w:szCs w:val="22"/>
        </w:rPr>
        <w:t>, mediante el primero se puede solicitar la información referente al ejercicio de funciones y atribuciones que</w:t>
      </w:r>
      <w:r w:rsidR="006F5046">
        <w:rPr>
          <w:rFonts w:ascii="Palatino Linotype" w:hAnsi="Palatino Linotype" w:cs="Tahoma"/>
          <w:bCs/>
          <w:iCs/>
          <w:sz w:val="22"/>
          <w:szCs w:val="22"/>
        </w:rPr>
        <w:t xml:space="preserve"> generen y que reflejen la toma de decisiones de los sujetos obligados, y mediante el segundo, se pueden realizar planteamientos de situaciones que afecten la esfera de cualquier persona, solicitar servicios públicos o exigir explicaciones </w:t>
      </w:r>
      <w:r w:rsidR="00CC2DAE">
        <w:rPr>
          <w:rFonts w:ascii="Palatino Linotype" w:hAnsi="Palatino Linotype" w:cs="Tahoma"/>
          <w:bCs/>
          <w:iCs/>
          <w:sz w:val="22"/>
          <w:szCs w:val="22"/>
        </w:rPr>
        <w:t xml:space="preserve">el ejercicio del poder. </w:t>
      </w:r>
    </w:p>
    <w:p w14:paraId="62AFCF3A" w14:textId="0DADC927" w:rsidR="00CC2DAE" w:rsidRDefault="00CC2DAE" w:rsidP="00B85D47">
      <w:pPr>
        <w:spacing w:line="360" w:lineRule="auto"/>
        <w:jc w:val="both"/>
        <w:rPr>
          <w:rFonts w:ascii="Palatino Linotype" w:hAnsi="Palatino Linotype" w:cs="Tahoma"/>
          <w:bCs/>
          <w:iCs/>
          <w:sz w:val="22"/>
          <w:szCs w:val="22"/>
        </w:rPr>
      </w:pPr>
    </w:p>
    <w:p w14:paraId="5E8D0237" w14:textId="3528B3F7" w:rsidR="003A46CC" w:rsidRPr="0092455B" w:rsidRDefault="00CC2DAE" w:rsidP="00B85D47">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En ese sentido, se tiene que en el presente caso, si bien es cierto el Particular </w:t>
      </w:r>
      <w:r w:rsidR="00B7697F">
        <w:rPr>
          <w:rFonts w:ascii="Palatino Linotype" w:hAnsi="Palatino Linotype" w:cs="Tahoma"/>
          <w:bCs/>
          <w:iCs/>
          <w:sz w:val="22"/>
          <w:szCs w:val="22"/>
        </w:rPr>
        <w:t xml:space="preserve">al momento de realizar su solicitud de información hizo </w:t>
      </w:r>
      <w:r w:rsidR="00CF7A82">
        <w:rPr>
          <w:rFonts w:ascii="Palatino Linotype" w:hAnsi="Palatino Linotype" w:cs="Tahoma"/>
          <w:bCs/>
          <w:iCs/>
          <w:sz w:val="22"/>
          <w:szCs w:val="22"/>
        </w:rPr>
        <w:t>manifestaciones subjetivas que no pueden ser atendidas a través del derecho de acceso a la información</w:t>
      </w:r>
      <w:r w:rsidR="00A82CA5">
        <w:rPr>
          <w:rFonts w:ascii="Palatino Linotype" w:hAnsi="Palatino Linotype" w:cs="Tahoma"/>
          <w:bCs/>
          <w:iCs/>
          <w:sz w:val="22"/>
          <w:szCs w:val="22"/>
        </w:rPr>
        <w:t xml:space="preserve">, también lo es que </w:t>
      </w:r>
      <w:r w:rsidR="00CF7A82">
        <w:rPr>
          <w:rFonts w:ascii="Palatino Linotype" w:hAnsi="Palatino Linotype" w:cs="Tahoma"/>
          <w:bCs/>
          <w:iCs/>
          <w:sz w:val="22"/>
          <w:szCs w:val="22"/>
        </w:rPr>
        <w:t xml:space="preserve">de su solicitud </w:t>
      </w:r>
      <w:r w:rsidR="00A82CA5">
        <w:rPr>
          <w:rFonts w:ascii="Palatino Linotype" w:hAnsi="Palatino Linotype" w:cs="Tahoma"/>
          <w:bCs/>
          <w:iCs/>
          <w:sz w:val="22"/>
          <w:szCs w:val="22"/>
        </w:rPr>
        <w:t xml:space="preserve">se </w:t>
      </w:r>
      <w:r w:rsidR="00CF23FA">
        <w:rPr>
          <w:rFonts w:ascii="Palatino Linotype" w:hAnsi="Palatino Linotype" w:cs="Tahoma"/>
          <w:bCs/>
          <w:iCs/>
          <w:sz w:val="22"/>
          <w:szCs w:val="22"/>
        </w:rPr>
        <w:t>desprende</w:t>
      </w:r>
      <w:r w:rsidR="00A82CA5">
        <w:rPr>
          <w:rFonts w:ascii="Palatino Linotype" w:hAnsi="Palatino Linotype" w:cs="Tahoma"/>
          <w:bCs/>
          <w:iCs/>
          <w:sz w:val="22"/>
          <w:szCs w:val="22"/>
        </w:rPr>
        <w:t xml:space="preserve"> que </w:t>
      </w:r>
      <w:r w:rsidR="006F6808">
        <w:rPr>
          <w:rFonts w:ascii="Palatino Linotype" w:hAnsi="Palatino Linotype" w:cs="Tahoma"/>
          <w:bCs/>
          <w:iCs/>
          <w:sz w:val="22"/>
          <w:szCs w:val="22"/>
        </w:rPr>
        <w:t xml:space="preserve">este </w:t>
      </w:r>
      <w:r w:rsidR="00A82CA5">
        <w:rPr>
          <w:rFonts w:ascii="Palatino Linotype" w:hAnsi="Palatino Linotype" w:cs="Tahoma"/>
          <w:bCs/>
          <w:iCs/>
          <w:sz w:val="22"/>
          <w:szCs w:val="22"/>
        </w:rPr>
        <w:t xml:space="preserve">requiere </w:t>
      </w:r>
      <w:r w:rsidR="006F6808">
        <w:rPr>
          <w:rFonts w:ascii="Palatino Linotype" w:hAnsi="Palatino Linotype" w:cs="Tahoma"/>
          <w:bCs/>
          <w:iCs/>
          <w:sz w:val="22"/>
          <w:szCs w:val="22"/>
        </w:rPr>
        <w:t>tener acceso a un documento</w:t>
      </w:r>
      <w:r w:rsidR="00CF23FA">
        <w:rPr>
          <w:rFonts w:ascii="Palatino Linotype" w:hAnsi="Palatino Linotype" w:cs="Tahoma"/>
          <w:bCs/>
          <w:iCs/>
          <w:sz w:val="22"/>
          <w:szCs w:val="22"/>
        </w:rPr>
        <w:t xml:space="preserve"> en específico</w:t>
      </w:r>
      <w:r w:rsidR="00441DDC">
        <w:rPr>
          <w:rFonts w:ascii="Palatino Linotype" w:hAnsi="Palatino Linotype" w:cs="Tahoma"/>
          <w:bCs/>
          <w:iCs/>
          <w:sz w:val="22"/>
          <w:szCs w:val="22"/>
        </w:rPr>
        <w:t xml:space="preserve">, el cual </w:t>
      </w:r>
      <w:r w:rsidR="00101161">
        <w:rPr>
          <w:rFonts w:ascii="Palatino Linotype" w:hAnsi="Palatino Linotype" w:cs="Tahoma"/>
          <w:bCs/>
          <w:iCs/>
          <w:sz w:val="22"/>
          <w:szCs w:val="22"/>
        </w:rPr>
        <w:t>puede ser atendido por esta vía</w:t>
      </w:r>
      <w:r w:rsidR="003A46CC">
        <w:rPr>
          <w:rFonts w:ascii="Palatino Linotype" w:hAnsi="Palatino Linotype" w:cs="Tahoma"/>
          <w:bCs/>
          <w:iCs/>
          <w:sz w:val="22"/>
          <w:szCs w:val="22"/>
        </w:rPr>
        <w:t xml:space="preserve">, por lo que, los agravios hechos valer por el Solicitante resultan </w:t>
      </w:r>
      <w:r w:rsidR="003A46CC">
        <w:rPr>
          <w:rFonts w:ascii="Palatino Linotype" w:hAnsi="Palatino Linotype" w:cs="Tahoma"/>
          <w:b/>
          <w:iCs/>
          <w:sz w:val="22"/>
          <w:szCs w:val="22"/>
        </w:rPr>
        <w:t xml:space="preserve">FUNDADOS. </w:t>
      </w:r>
    </w:p>
    <w:p w14:paraId="64FDE85F" w14:textId="7BC86218" w:rsidR="003A46CC" w:rsidRDefault="003A46CC" w:rsidP="00B85D47">
      <w:pPr>
        <w:spacing w:line="360" w:lineRule="auto"/>
        <w:jc w:val="both"/>
        <w:rPr>
          <w:rFonts w:ascii="Palatino Linotype" w:hAnsi="Palatino Linotype" w:cs="Tahoma"/>
          <w:b/>
          <w:iCs/>
          <w:sz w:val="22"/>
          <w:szCs w:val="22"/>
        </w:rPr>
      </w:pPr>
    </w:p>
    <w:p w14:paraId="126C3EAA" w14:textId="7CA11A86" w:rsidR="00C34C6B" w:rsidRDefault="00441DDC" w:rsidP="00B85D47">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Ahora bien, </w:t>
      </w:r>
      <w:r w:rsidR="003A46CC">
        <w:rPr>
          <w:rFonts w:ascii="Palatino Linotype" w:hAnsi="Palatino Linotype" w:cs="Tahoma"/>
          <w:bCs/>
          <w:iCs/>
          <w:sz w:val="22"/>
          <w:szCs w:val="22"/>
        </w:rPr>
        <w:t>resulta necesario establecer la naturaleza de la información a la que requiere tener acceso el Particular</w:t>
      </w:r>
      <w:r w:rsidR="00C34C6B">
        <w:rPr>
          <w:rFonts w:ascii="Palatino Linotype" w:hAnsi="Palatino Linotype" w:cs="Tahoma"/>
          <w:bCs/>
          <w:iCs/>
          <w:sz w:val="22"/>
          <w:szCs w:val="22"/>
        </w:rPr>
        <w:t xml:space="preserve"> y que se encuentra relacionada con el estado de salud de un servidor público, por lo cual</w:t>
      </w:r>
      <w:r w:rsidR="00101161">
        <w:rPr>
          <w:rFonts w:ascii="Palatino Linotype" w:hAnsi="Palatino Linotype" w:cs="Tahoma"/>
          <w:bCs/>
          <w:iCs/>
          <w:sz w:val="22"/>
          <w:szCs w:val="22"/>
        </w:rPr>
        <w:t xml:space="preserve">, </w:t>
      </w:r>
      <w:r w:rsidR="00C34C6B">
        <w:rPr>
          <w:rFonts w:ascii="Palatino Linotype" w:hAnsi="Palatino Linotype" w:cs="Tahoma"/>
          <w:bCs/>
          <w:iCs/>
          <w:sz w:val="22"/>
          <w:szCs w:val="22"/>
        </w:rPr>
        <w:t>e</w:t>
      </w:r>
      <w:r w:rsidR="006A32E0">
        <w:rPr>
          <w:rFonts w:ascii="Palatino Linotype" w:hAnsi="Palatino Linotype" w:cs="Tahoma"/>
          <w:bCs/>
          <w:iCs/>
          <w:sz w:val="22"/>
          <w:szCs w:val="22"/>
        </w:rPr>
        <w:t xml:space="preserve">n principio, es </w:t>
      </w:r>
      <w:r w:rsidR="00C34C6B">
        <w:rPr>
          <w:rFonts w:ascii="Palatino Linotype" w:hAnsi="Palatino Linotype" w:cs="Tahoma"/>
          <w:bCs/>
          <w:iCs/>
          <w:sz w:val="22"/>
          <w:szCs w:val="22"/>
        </w:rPr>
        <w:t xml:space="preserve">necesario mencionar </w:t>
      </w:r>
      <w:r w:rsidR="00295DF5">
        <w:rPr>
          <w:rFonts w:ascii="Palatino Linotype" w:hAnsi="Palatino Linotype" w:cs="Tahoma"/>
          <w:bCs/>
          <w:iCs/>
          <w:sz w:val="22"/>
          <w:szCs w:val="22"/>
        </w:rPr>
        <w:t>que l</w:t>
      </w:r>
      <w:r w:rsidR="008D265E">
        <w:rPr>
          <w:rFonts w:ascii="Palatino Linotype" w:hAnsi="Palatino Linotype" w:cs="Tahoma"/>
          <w:bCs/>
          <w:iCs/>
          <w:sz w:val="22"/>
          <w:szCs w:val="22"/>
        </w:rPr>
        <w:t xml:space="preserve">a protección </w:t>
      </w:r>
      <w:r w:rsidR="00295DF5">
        <w:rPr>
          <w:rFonts w:ascii="Palatino Linotype" w:hAnsi="Palatino Linotype" w:cs="Tahoma"/>
          <w:bCs/>
          <w:iCs/>
          <w:sz w:val="22"/>
          <w:szCs w:val="22"/>
        </w:rPr>
        <w:t>d</w:t>
      </w:r>
      <w:r w:rsidR="008D265E">
        <w:rPr>
          <w:rFonts w:ascii="Palatino Linotype" w:hAnsi="Palatino Linotype" w:cs="Tahoma"/>
          <w:bCs/>
          <w:iCs/>
          <w:sz w:val="22"/>
          <w:szCs w:val="22"/>
        </w:rPr>
        <w:t xml:space="preserve">e los datos </w:t>
      </w:r>
      <w:r w:rsidR="008D265E">
        <w:rPr>
          <w:rFonts w:ascii="Palatino Linotype" w:hAnsi="Palatino Linotype" w:cs="Tahoma"/>
          <w:bCs/>
          <w:iCs/>
          <w:sz w:val="22"/>
          <w:szCs w:val="22"/>
        </w:rPr>
        <w:lastRenderedPageBreak/>
        <w:t>personales se encuentra prevista desde la Constitución Política de los Estados Unidos Mexicanos, que en su artículo 6</w:t>
      </w:r>
      <w:r w:rsidR="00295DF5">
        <w:rPr>
          <w:rFonts w:ascii="Palatino Linotype" w:hAnsi="Palatino Linotype" w:cs="Tahoma"/>
          <w:bCs/>
          <w:iCs/>
          <w:sz w:val="22"/>
          <w:szCs w:val="22"/>
        </w:rPr>
        <w:t xml:space="preserve">° establece lo siguiente: </w:t>
      </w:r>
    </w:p>
    <w:p w14:paraId="4B836FF4" w14:textId="77777777" w:rsidR="00101161" w:rsidRDefault="00101161" w:rsidP="00B85D47">
      <w:pPr>
        <w:spacing w:line="360" w:lineRule="auto"/>
        <w:jc w:val="both"/>
        <w:rPr>
          <w:rFonts w:ascii="Palatino Linotype" w:hAnsi="Palatino Linotype" w:cs="Tahoma"/>
          <w:bCs/>
          <w:iCs/>
          <w:sz w:val="22"/>
          <w:szCs w:val="22"/>
        </w:rPr>
      </w:pPr>
    </w:p>
    <w:p w14:paraId="200BB949" w14:textId="77777777" w:rsidR="00295DF5" w:rsidRPr="007349E4" w:rsidRDefault="00295DF5" w:rsidP="00295DF5">
      <w:pPr>
        <w:tabs>
          <w:tab w:val="left" w:pos="8364"/>
        </w:tabs>
        <w:spacing w:line="360" w:lineRule="auto"/>
        <w:ind w:left="567" w:right="758"/>
        <w:jc w:val="both"/>
        <w:rPr>
          <w:rFonts w:ascii="Palatino Linotype" w:hAnsi="Palatino Linotype" w:cs="Arial"/>
          <w:i/>
          <w:iCs/>
        </w:rPr>
      </w:pPr>
      <w:r w:rsidRPr="007349E4">
        <w:rPr>
          <w:rFonts w:ascii="Palatino Linotype" w:hAnsi="Palatino Linotype" w:cs="Arial"/>
          <w:i/>
          <w:iCs/>
        </w:rPr>
        <w:t>“</w:t>
      </w:r>
      <w:r w:rsidRPr="007349E4">
        <w:rPr>
          <w:rFonts w:ascii="Palatino Linotype" w:hAnsi="Palatino Linotype" w:cs="Arial"/>
          <w:b/>
          <w:i/>
          <w:iCs/>
        </w:rPr>
        <w:t>Artículo 6.</w:t>
      </w:r>
      <w:r w:rsidRPr="007349E4">
        <w:rPr>
          <w:rFonts w:ascii="Palatino Linotype" w:hAnsi="Palatino Linotype" w:cs="Arial"/>
          <w:i/>
          <w:iCs/>
        </w:rPr>
        <w:t xml:space="preserve"> La manifestación de las ideas no será objeto de ninguna inquisición judicial o administrativa, sino en el caso de que ataque a la moral, los derechos de tercero, provoque algún delito, o perturbe el orden público; el derecho de réplica será ejercido en los términos dispuestos por la ley. El derecho a la información será garantizado por el Estado.</w:t>
      </w:r>
    </w:p>
    <w:p w14:paraId="7CCFEA60" w14:textId="77777777" w:rsidR="00295DF5" w:rsidRPr="007349E4" w:rsidRDefault="00295DF5" w:rsidP="00295DF5">
      <w:pPr>
        <w:tabs>
          <w:tab w:val="left" w:pos="8364"/>
        </w:tabs>
        <w:spacing w:line="360" w:lineRule="auto"/>
        <w:ind w:left="567" w:right="758"/>
        <w:jc w:val="both"/>
        <w:rPr>
          <w:rFonts w:ascii="Palatino Linotype" w:hAnsi="Palatino Linotype" w:cs="Arial"/>
          <w:i/>
          <w:iCs/>
        </w:rPr>
      </w:pPr>
    </w:p>
    <w:p w14:paraId="4F5F624E" w14:textId="77777777" w:rsidR="00295DF5" w:rsidRPr="007349E4" w:rsidRDefault="00295DF5" w:rsidP="00295DF5">
      <w:pPr>
        <w:tabs>
          <w:tab w:val="left" w:pos="8364"/>
        </w:tabs>
        <w:spacing w:line="360" w:lineRule="auto"/>
        <w:ind w:left="567" w:right="758"/>
        <w:jc w:val="both"/>
        <w:rPr>
          <w:rFonts w:ascii="Palatino Linotype" w:hAnsi="Palatino Linotype" w:cs="Arial"/>
          <w:i/>
          <w:iCs/>
        </w:rPr>
      </w:pPr>
      <w:r w:rsidRPr="007349E4">
        <w:rPr>
          <w:rFonts w:ascii="Palatino Linotype" w:hAnsi="Palatino Linotype" w:cs="Arial"/>
          <w:b/>
          <w:i/>
          <w:iCs/>
        </w:rPr>
        <w:t>A.</w:t>
      </w:r>
      <w:r w:rsidRPr="007349E4">
        <w:rPr>
          <w:rFonts w:ascii="Palatino Linotype" w:hAnsi="Palatino Linotype" w:cs="Arial"/>
          <w:i/>
          <w:iCs/>
        </w:rPr>
        <w:t xml:space="preserve"> Para el ejercicio del derecho de acceso a la información, la Federación, los Estados y el Distrito Federal, en el ámbito de sus respectivas competencias, se regirán por los siguientes principios y bases:</w:t>
      </w:r>
    </w:p>
    <w:p w14:paraId="194B26E0" w14:textId="77777777" w:rsidR="00295DF5" w:rsidRPr="007349E4" w:rsidRDefault="00295DF5" w:rsidP="00295DF5">
      <w:pPr>
        <w:tabs>
          <w:tab w:val="center" w:pos="4324"/>
        </w:tabs>
        <w:spacing w:line="360" w:lineRule="auto"/>
        <w:ind w:left="567" w:right="758"/>
        <w:jc w:val="both"/>
        <w:rPr>
          <w:rFonts w:ascii="Palatino Linotype" w:hAnsi="Palatino Linotype" w:cs="Arial"/>
          <w:i/>
          <w:iCs/>
        </w:rPr>
      </w:pPr>
      <w:r w:rsidRPr="007349E4">
        <w:rPr>
          <w:rFonts w:ascii="Palatino Linotype" w:hAnsi="Palatino Linotype" w:cs="Arial"/>
          <w:i/>
          <w:iCs/>
        </w:rPr>
        <w:t>…</w:t>
      </w:r>
    </w:p>
    <w:p w14:paraId="731F1F5C" w14:textId="77777777" w:rsidR="00295DF5" w:rsidRPr="007349E4" w:rsidRDefault="00295DF5" w:rsidP="00295DF5">
      <w:pPr>
        <w:tabs>
          <w:tab w:val="left" w:pos="993"/>
          <w:tab w:val="left" w:pos="8364"/>
        </w:tabs>
        <w:spacing w:line="360" w:lineRule="auto"/>
        <w:ind w:left="567" w:right="758"/>
        <w:jc w:val="both"/>
        <w:rPr>
          <w:rFonts w:ascii="Palatino Linotype" w:hAnsi="Palatino Linotype" w:cs="Arial"/>
          <w:i/>
          <w:iCs/>
        </w:rPr>
      </w:pPr>
      <w:r w:rsidRPr="007349E4">
        <w:rPr>
          <w:rFonts w:ascii="Palatino Linotype" w:hAnsi="Palatino Linotype" w:cs="Arial"/>
          <w:b/>
          <w:bCs/>
          <w:i/>
          <w:iCs/>
        </w:rPr>
        <w:t xml:space="preserve">II. </w:t>
      </w:r>
      <w:r w:rsidRPr="007349E4">
        <w:rPr>
          <w:rFonts w:ascii="Palatino Linotype" w:hAnsi="Palatino Linotype" w:cs="Arial"/>
          <w:b/>
          <w:i/>
          <w:iCs/>
        </w:rPr>
        <w:t>La información que se refiere a la vida privada y los datos personales será protegida en los términos y con las excepciones que fijen las leyes.</w:t>
      </w:r>
    </w:p>
    <w:p w14:paraId="0C031146" w14:textId="77777777" w:rsidR="00295DF5" w:rsidRPr="007349E4" w:rsidRDefault="00295DF5" w:rsidP="00295DF5">
      <w:pPr>
        <w:tabs>
          <w:tab w:val="left" w:pos="993"/>
          <w:tab w:val="left" w:pos="8364"/>
        </w:tabs>
        <w:spacing w:line="360" w:lineRule="auto"/>
        <w:ind w:left="567" w:right="758"/>
        <w:jc w:val="both"/>
        <w:rPr>
          <w:rFonts w:ascii="Palatino Linotype" w:hAnsi="Palatino Linotype" w:cs="Arial"/>
          <w:bCs/>
          <w:i/>
          <w:iCs/>
        </w:rPr>
      </w:pPr>
      <w:r w:rsidRPr="007349E4">
        <w:rPr>
          <w:rFonts w:ascii="Palatino Linotype" w:hAnsi="Palatino Linotype" w:cs="Arial"/>
          <w:bCs/>
          <w:i/>
          <w:iCs/>
        </w:rPr>
        <w:t>…</w:t>
      </w:r>
    </w:p>
    <w:p w14:paraId="6CBA5FDA" w14:textId="77777777" w:rsidR="00295DF5" w:rsidRPr="007349E4" w:rsidRDefault="00295DF5" w:rsidP="00295DF5">
      <w:pPr>
        <w:tabs>
          <w:tab w:val="left" w:pos="993"/>
          <w:tab w:val="left" w:pos="8364"/>
        </w:tabs>
        <w:spacing w:line="360" w:lineRule="auto"/>
        <w:ind w:left="567" w:right="758"/>
        <w:jc w:val="both"/>
        <w:rPr>
          <w:rFonts w:ascii="Palatino Linotype" w:hAnsi="Palatino Linotype" w:cs="Arial"/>
          <w:i/>
          <w:iCs/>
        </w:rPr>
      </w:pPr>
      <w:r w:rsidRPr="007349E4">
        <w:rPr>
          <w:rFonts w:ascii="Palatino Linotype" w:hAnsi="Palatino Linotype" w:cs="Arial"/>
          <w:b/>
          <w:i/>
          <w:iCs/>
        </w:rPr>
        <w:t>Artículo 16.</w:t>
      </w:r>
      <w:r w:rsidRPr="007349E4">
        <w:rPr>
          <w:rFonts w:ascii="Palatino Linotype" w:hAnsi="Palatino Linotype" w:cs="Arial"/>
          <w:i/>
          <w:iCs/>
        </w:rPr>
        <w:t xml:space="preserve"> …</w:t>
      </w:r>
    </w:p>
    <w:p w14:paraId="44FC1B97" w14:textId="77777777" w:rsidR="00295DF5" w:rsidRPr="007349E4" w:rsidRDefault="00295DF5" w:rsidP="00295DF5">
      <w:pPr>
        <w:tabs>
          <w:tab w:val="left" w:pos="993"/>
          <w:tab w:val="left" w:pos="8364"/>
        </w:tabs>
        <w:spacing w:line="360" w:lineRule="auto"/>
        <w:ind w:left="567" w:right="758"/>
        <w:jc w:val="both"/>
        <w:rPr>
          <w:rFonts w:ascii="Palatino Linotype" w:hAnsi="Palatino Linotype" w:cs="Arial"/>
          <w:i/>
          <w:iCs/>
        </w:rPr>
      </w:pPr>
    </w:p>
    <w:p w14:paraId="16BB5131" w14:textId="77777777" w:rsidR="00295DF5" w:rsidRPr="007349E4" w:rsidRDefault="00295DF5" w:rsidP="00295DF5">
      <w:pPr>
        <w:tabs>
          <w:tab w:val="left" w:pos="993"/>
          <w:tab w:val="left" w:pos="8364"/>
        </w:tabs>
        <w:spacing w:line="360" w:lineRule="auto"/>
        <w:ind w:left="567" w:right="758"/>
        <w:jc w:val="both"/>
        <w:rPr>
          <w:rFonts w:ascii="Palatino Linotype" w:hAnsi="Palatino Linotype" w:cs="Arial"/>
          <w:i/>
          <w:iCs/>
        </w:rPr>
      </w:pPr>
      <w:r w:rsidRPr="007349E4">
        <w:rPr>
          <w:rFonts w:ascii="Palatino Linotype" w:hAnsi="Palatino Linotype" w:cs="Arial"/>
          <w:b/>
          <w:i/>
          <w:iCs/>
        </w:rPr>
        <w:t>Toda persona tiene derecho a la protección de sus datos personales</w:t>
      </w:r>
      <w:r w:rsidRPr="007349E4">
        <w:rPr>
          <w:rFonts w:ascii="Palatino Linotype" w:hAnsi="Palatino Linotype" w:cs="Arial"/>
          <w:i/>
          <w:iCs/>
        </w:rPr>
        <w:t>,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2B267668" w14:textId="77777777" w:rsidR="00295DF5" w:rsidRPr="007349E4" w:rsidRDefault="00295DF5" w:rsidP="00295DF5">
      <w:pPr>
        <w:tabs>
          <w:tab w:val="left" w:pos="993"/>
          <w:tab w:val="left" w:pos="8364"/>
        </w:tabs>
        <w:spacing w:line="360" w:lineRule="auto"/>
        <w:ind w:left="567" w:right="758"/>
        <w:jc w:val="both"/>
        <w:rPr>
          <w:rFonts w:ascii="Palatino Linotype" w:hAnsi="Palatino Linotype" w:cs="Arial"/>
          <w:i/>
          <w:iCs/>
        </w:rPr>
      </w:pPr>
      <w:r w:rsidRPr="007349E4">
        <w:rPr>
          <w:rFonts w:ascii="Palatino Linotype" w:hAnsi="Palatino Linotype" w:cs="Arial"/>
          <w:i/>
          <w:iCs/>
        </w:rPr>
        <w:t>…”</w:t>
      </w:r>
    </w:p>
    <w:p w14:paraId="505B5E6A" w14:textId="515FA096" w:rsidR="00295DF5" w:rsidRDefault="00295DF5" w:rsidP="00B85D47">
      <w:pPr>
        <w:spacing w:line="360" w:lineRule="auto"/>
        <w:jc w:val="both"/>
        <w:rPr>
          <w:rFonts w:ascii="Palatino Linotype" w:hAnsi="Palatino Linotype" w:cs="Tahoma"/>
          <w:bCs/>
          <w:iCs/>
          <w:sz w:val="22"/>
          <w:szCs w:val="22"/>
        </w:rPr>
      </w:pPr>
    </w:p>
    <w:p w14:paraId="5CA086FD" w14:textId="3E9C1982" w:rsidR="00295DF5" w:rsidRDefault="00295DF5" w:rsidP="00B85D47">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De la misma manera, el artículo 5°</w:t>
      </w:r>
      <w:r w:rsidR="00A312A2">
        <w:rPr>
          <w:rFonts w:ascii="Palatino Linotype" w:hAnsi="Palatino Linotype" w:cs="Tahoma"/>
          <w:bCs/>
          <w:iCs/>
          <w:sz w:val="22"/>
          <w:szCs w:val="22"/>
        </w:rPr>
        <w:t xml:space="preserve"> párrafo primero, vigésimo tercero, vigésimo noveno y trigésimo de la Constitución Política del Estado Libre y Soberano de México precisa lo siguiente: </w:t>
      </w:r>
    </w:p>
    <w:p w14:paraId="058B6A25" w14:textId="5073BFB8" w:rsidR="00A312A2" w:rsidRDefault="00A312A2" w:rsidP="00B85D47">
      <w:pPr>
        <w:spacing w:line="360" w:lineRule="auto"/>
        <w:jc w:val="both"/>
        <w:rPr>
          <w:rFonts w:ascii="Palatino Linotype" w:hAnsi="Palatino Linotype" w:cs="Tahoma"/>
          <w:bCs/>
          <w:iCs/>
          <w:sz w:val="22"/>
          <w:szCs w:val="22"/>
        </w:rPr>
      </w:pPr>
    </w:p>
    <w:p w14:paraId="5DF8B0B5" w14:textId="77777777" w:rsidR="00A312A2" w:rsidRPr="007349E4" w:rsidRDefault="00A312A2" w:rsidP="00A312A2">
      <w:pPr>
        <w:tabs>
          <w:tab w:val="left" w:pos="993"/>
          <w:tab w:val="left" w:pos="8364"/>
        </w:tabs>
        <w:spacing w:line="360" w:lineRule="auto"/>
        <w:ind w:left="567" w:right="758"/>
        <w:jc w:val="both"/>
        <w:rPr>
          <w:rFonts w:ascii="Palatino Linotype" w:hAnsi="Palatino Linotype" w:cs="Arial"/>
          <w:i/>
          <w:iCs/>
        </w:rPr>
      </w:pPr>
      <w:r w:rsidRPr="007349E4">
        <w:rPr>
          <w:rFonts w:ascii="Palatino Linotype" w:hAnsi="Palatino Linotype" w:cs="Arial"/>
          <w:b/>
          <w:bCs/>
          <w:i/>
          <w:iCs/>
        </w:rPr>
        <w:lastRenderedPageBreak/>
        <w:t>“Artículo 5.-</w:t>
      </w:r>
      <w:r w:rsidRPr="007349E4">
        <w:t xml:space="preserve"> </w:t>
      </w:r>
      <w:r w:rsidRPr="007349E4">
        <w:rPr>
          <w:rFonts w:ascii="Palatino Linotype" w:hAnsi="Palatino Linotype" w:cs="Arial"/>
          <w:i/>
          <w:iCs/>
        </w:rPr>
        <w:t>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28A00A30" w14:textId="77777777" w:rsidR="00A312A2" w:rsidRPr="007349E4" w:rsidRDefault="00A312A2" w:rsidP="00A312A2">
      <w:pPr>
        <w:tabs>
          <w:tab w:val="left" w:pos="993"/>
          <w:tab w:val="left" w:pos="8364"/>
        </w:tabs>
        <w:spacing w:line="360" w:lineRule="auto"/>
        <w:ind w:left="567" w:right="758"/>
        <w:jc w:val="both"/>
        <w:rPr>
          <w:rFonts w:ascii="Palatino Linotype" w:hAnsi="Palatino Linotype" w:cs="Arial"/>
          <w:i/>
          <w:iCs/>
        </w:rPr>
      </w:pPr>
      <w:r w:rsidRPr="007349E4">
        <w:rPr>
          <w:rFonts w:ascii="Palatino Linotype" w:hAnsi="Palatino Linotype" w:cs="Arial"/>
          <w:i/>
          <w:iCs/>
        </w:rPr>
        <w:t>…</w:t>
      </w:r>
    </w:p>
    <w:p w14:paraId="1EB3A5A3" w14:textId="77777777" w:rsidR="00A312A2" w:rsidRPr="007349E4" w:rsidRDefault="00A312A2" w:rsidP="00A312A2">
      <w:pPr>
        <w:tabs>
          <w:tab w:val="left" w:pos="993"/>
          <w:tab w:val="left" w:pos="8364"/>
        </w:tabs>
        <w:spacing w:line="360" w:lineRule="auto"/>
        <w:ind w:left="567" w:right="758"/>
        <w:jc w:val="both"/>
        <w:rPr>
          <w:rFonts w:ascii="Palatino Linotype" w:hAnsi="Palatino Linotype" w:cs="Arial"/>
          <w:i/>
          <w:iCs/>
        </w:rPr>
      </w:pPr>
      <w:r w:rsidRPr="007349E4">
        <w:rPr>
          <w:rFonts w:ascii="Palatino Linotype" w:hAnsi="Palatino Linotype" w:cs="Arial"/>
          <w:i/>
          <w:iCs/>
        </w:rPr>
        <w:t>La manifestación de las ideas no será objeto de ninguna inquisición judicial o administrativa, sino en el caso de que ataque a la moral, la vida privada o los derechos de tercero, provoque algún delito, o perturbe el orden público; el derecho de réplica será ejercido en los términos dispuestos por la ley.</w:t>
      </w:r>
    </w:p>
    <w:p w14:paraId="6CE61BA7" w14:textId="77777777" w:rsidR="00A312A2" w:rsidRPr="007349E4" w:rsidRDefault="00A312A2" w:rsidP="00A312A2">
      <w:pPr>
        <w:tabs>
          <w:tab w:val="left" w:pos="993"/>
          <w:tab w:val="left" w:pos="8364"/>
        </w:tabs>
        <w:spacing w:line="360" w:lineRule="auto"/>
        <w:ind w:left="567" w:right="758"/>
        <w:jc w:val="both"/>
        <w:rPr>
          <w:rFonts w:ascii="Palatino Linotype" w:hAnsi="Palatino Linotype" w:cs="Arial"/>
          <w:i/>
          <w:iCs/>
        </w:rPr>
      </w:pPr>
      <w:r w:rsidRPr="007349E4">
        <w:rPr>
          <w:rFonts w:ascii="Palatino Linotype" w:hAnsi="Palatino Linotype" w:cs="Arial"/>
          <w:i/>
          <w:iCs/>
        </w:rPr>
        <w:t>…</w:t>
      </w:r>
    </w:p>
    <w:p w14:paraId="52BFD3C5" w14:textId="77777777" w:rsidR="00A312A2" w:rsidRPr="007349E4" w:rsidRDefault="00A312A2" w:rsidP="00A312A2">
      <w:pPr>
        <w:tabs>
          <w:tab w:val="left" w:pos="993"/>
          <w:tab w:val="left" w:pos="8364"/>
        </w:tabs>
        <w:spacing w:line="360" w:lineRule="auto"/>
        <w:ind w:left="567" w:right="758"/>
        <w:jc w:val="both"/>
        <w:rPr>
          <w:rFonts w:ascii="Palatino Linotype" w:hAnsi="Palatino Linotype" w:cs="Arial"/>
          <w:i/>
          <w:iCs/>
        </w:rPr>
      </w:pPr>
      <w:r w:rsidRPr="007349E4">
        <w:rPr>
          <w:rFonts w:ascii="Palatino Linotype" w:hAnsi="Palatino Linotype" w:cs="Arial"/>
          <w:i/>
          <w:iC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42C2162" w14:textId="77777777" w:rsidR="00A312A2" w:rsidRPr="007349E4" w:rsidRDefault="00A312A2" w:rsidP="00A312A2">
      <w:pPr>
        <w:tabs>
          <w:tab w:val="left" w:pos="993"/>
          <w:tab w:val="left" w:pos="8364"/>
        </w:tabs>
        <w:spacing w:line="360" w:lineRule="auto"/>
        <w:ind w:left="567" w:right="758"/>
        <w:jc w:val="both"/>
        <w:rPr>
          <w:rFonts w:ascii="Palatino Linotype" w:hAnsi="Palatino Linotype" w:cs="Arial"/>
          <w:i/>
          <w:iCs/>
        </w:rPr>
      </w:pPr>
    </w:p>
    <w:p w14:paraId="4C0966E5" w14:textId="77777777" w:rsidR="00A312A2" w:rsidRPr="007349E4" w:rsidRDefault="00A312A2" w:rsidP="00A312A2">
      <w:pPr>
        <w:tabs>
          <w:tab w:val="left" w:pos="993"/>
          <w:tab w:val="left" w:pos="8364"/>
        </w:tabs>
        <w:spacing w:line="360" w:lineRule="auto"/>
        <w:ind w:left="567" w:right="758"/>
        <w:jc w:val="both"/>
        <w:rPr>
          <w:rFonts w:ascii="Palatino Linotype" w:hAnsi="Palatino Linotype" w:cs="Arial"/>
          <w:i/>
          <w:iCs/>
        </w:rPr>
      </w:pPr>
      <w:r w:rsidRPr="007349E4">
        <w:rPr>
          <w:rFonts w:ascii="Palatino Linotype" w:hAnsi="Palatino Linotype" w:cs="Arial"/>
          <w:i/>
          <w:iCs/>
        </w:rPr>
        <w:t>Este derecho se regirá por los principios y bases siguientes:</w:t>
      </w:r>
    </w:p>
    <w:p w14:paraId="1FBD452C" w14:textId="77777777" w:rsidR="00A312A2" w:rsidRPr="007349E4" w:rsidRDefault="00A312A2" w:rsidP="00A312A2">
      <w:pPr>
        <w:tabs>
          <w:tab w:val="left" w:pos="993"/>
          <w:tab w:val="left" w:pos="8364"/>
        </w:tabs>
        <w:spacing w:line="360" w:lineRule="auto"/>
        <w:ind w:left="567" w:right="758"/>
        <w:jc w:val="both"/>
        <w:rPr>
          <w:rFonts w:ascii="Palatino Linotype" w:hAnsi="Palatino Linotype" w:cs="Arial"/>
          <w:i/>
          <w:iCs/>
        </w:rPr>
      </w:pPr>
      <w:r w:rsidRPr="007349E4">
        <w:rPr>
          <w:rFonts w:ascii="Palatino Linotype" w:hAnsi="Palatino Linotype" w:cs="Arial"/>
          <w:i/>
          <w:iCs/>
        </w:rPr>
        <w:t>…</w:t>
      </w:r>
    </w:p>
    <w:p w14:paraId="3B1364A1" w14:textId="77777777" w:rsidR="00A312A2" w:rsidRPr="007349E4" w:rsidRDefault="00A312A2" w:rsidP="00A312A2">
      <w:pPr>
        <w:tabs>
          <w:tab w:val="left" w:pos="993"/>
          <w:tab w:val="left" w:pos="8364"/>
        </w:tabs>
        <w:spacing w:line="360" w:lineRule="auto"/>
        <w:ind w:left="567" w:right="758"/>
        <w:jc w:val="both"/>
        <w:rPr>
          <w:rFonts w:ascii="Palatino Linotype" w:hAnsi="Palatino Linotype" w:cs="Arial"/>
          <w:i/>
          <w:iCs/>
        </w:rPr>
      </w:pPr>
      <w:r w:rsidRPr="007349E4">
        <w:rPr>
          <w:rFonts w:ascii="Palatino Linotype" w:hAnsi="Palatino Linotype" w:cs="Arial"/>
          <w:i/>
          <w:iC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72083E71" w14:textId="77777777" w:rsidR="00A312A2" w:rsidRPr="007349E4" w:rsidRDefault="00A312A2" w:rsidP="00A312A2">
      <w:pPr>
        <w:tabs>
          <w:tab w:val="left" w:pos="993"/>
          <w:tab w:val="left" w:pos="8364"/>
        </w:tabs>
        <w:spacing w:line="360" w:lineRule="auto"/>
        <w:ind w:left="567" w:right="758"/>
        <w:jc w:val="both"/>
        <w:rPr>
          <w:rFonts w:ascii="Palatino Linotype" w:hAnsi="Palatino Linotype" w:cs="Arial"/>
          <w:i/>
          <w:iCs/>
        </w:rPr>
      </w:pPr>
      <w:r w:rsidRPr="007349E4">
        <w:rPr>
          <w:rFonts w:ascii="Palatino Linotype" w:hAnsi="Palatino Linotype" w:cs="Arial"/>
          <w:i/>
          <w:iCs/>
        </w:rPr>
        <w:t>…”</w:t>
      </w:r>
    </w:p>
    <w:p w14:paraId="4150599B" w14:textId="77777777" w:rsidR="00A312A2" w:rsidRPr="007349E4" w:rsidRDefault="00A312A2" w:rsidP="00A312A2">
      <w:pPr>
        <w:spacing w:line="360" w:lineRule="auto"/>
        <w:ind w:right="-93"/>
        <w:jc w:val="both"/>
        <w:rPr>
          <w:rFonts w:ascii="Palatino Linotype" w:hAnsi="Palatino Linotype" w:cs="Tahoma"/>
          <w:bCs/>
          <w:sz w:val="22"/>
          <w:szCs w:val="22"/>
        </w:rPr>
      </w:pPr>
    </w:p>
    <w:p w14:paraId="1D7DC8F7" w14:textId="0C6AC56D" w:rsidR="009E3C1C" w:rsidRPr="007349E4" w:rsidRDefault="009E3C1C" w:rsidP="009E3C1C">
      <w:pPr>
        <w:spacing w:line="360" w:lineRule="auto"/>
        <w:ind w:right="-93"/>
        <w:jc w:val="both"/>
        <w:rPr>
          <w:rFonts w:ascii="Palatino Linotype" w:hAnsi="Palatino Linotype" w:cs="Tahoma"/>
          <w:bCs/>
          <w:sz w:val="22"/>
          <w:szCs w:val="22"/>
        </w:rPr>
      </w:pPr>
      <w:r w:rsidRPr="007349E4">
        <w:rPr>
          <w:rFonts w:ascii="Palatino Linotype" w:hAnsi="Palatino Linotype" w:cs="Tahoma"/>
          <w:bCs/>
          <w:sz w:val="22"/>
          <w:szCs w:val="22"/>
        </w:rPr>
        <w:t>De las normas transcritas, se desprende que la información que se refiere al ámbito privado de las personas, así como los datos personales, debe estar protegida, en los términos y con las excepciones a los principios de tratamiento de datos que por razones de orden público fije la ley, por lo que toda persona tiene derecho a la protección de sus datos personales.</w:t>
      </w:r>
    </w:p>
    <w:p w14:paraId="7D935C5B" w14:textId="77777777" w:rsidR="009E3C1C" w:rsidRPr="007349E4" w:rsidRDefault="009E3C1C" w:rsidP="009E3C1C">
      <w:pPr>
        <w:spacing w:line="360" w:lineRule="auto"/>
        <w:ind w:right="-93"/>
        <w:jc w:val="both"/>
        <w:rPr>
          <w:rFonts w:ascii="Palatino Linotype" w:hAnsi="Palatino Linotype" w:cs="Tahoma"/>
          <w:bCs/>
          <w:sz w:val="22"/>
          <w:szCs w:val="22"/>
        </w:rPr>
      </w:pPr>
      <w:r w:rsidRPr="007349E4">
        <w:rPr>
          <w:rFonts w:ascii="Palatino Linotype" w:hAnsi="Palatino Linotype" w:cs="Tahoma"/>
          <w:bCs/>
          <w:sz w:val="22"/>
          <w:szCs w:val="22"/>
        </w:rPr>
        <w:lastRenderedPageBreak/>
        <w:t>En ese contexto, en el artículo 24, fracción VI, de la Ley General de Transparencia y Acceso a la Información Pública, relacionado con el 24, fracción XIV, de la Ley de Transparencia y Acceso a la Información Pública del Estado de México y Municipios, se señala que los sujetos obligados serán los responsables de proteger, resguardar y asegurar los datos personales en su posesión.</w:t>
      </w:r>
    </w:p>
    <w:p w14:paraId="194B0AD8" w14:textId="77777777" w:rsidR="009E3C1C" w:rsidRPr="007349E4" w:rsidRDefault="009E3C1C" w:rsidP="009E3C1C">
      <w:pPr>
        <w:spacing w:line="360" w:lineRule="auto"/>
        <w:ind w:right="-93"/>
        <w:jc w:val="both"/>
        <w:rPr>
          <w:rFonts w:ascii="Palatino Linotype" w:hAnsi="Palatino Linotype" w:cs="Tahoma"/>
          <w:bCs/>
          <w:sz w:val="22"/>
          <w:szCs w:val="22"/>
        </w:rPr>
      </w:pPr>
    </w:p>
    <w:p w14:paraId="6EEBB6A4" w14:textId="77777777" w:rsidR="009E3C1C" w:rsidRPr="007349E4" w:rsidRDefault="009E3C1C" w:rsidP="009E3C1C">
      <w:pPr>
        <w:spacing w:line="360" w:lineRule="auto"/>
        <w:ind w:right="-93"/>
        <w:jc w:val="both"/>
        <w:rPr>
          <w:rFonts w:ascii="Palatino Linotype" w:hAnsi="Palatino Linotype" w:cs="Tahoma"/>
          <w:bCs/>
          <w:sz w:val="22"/>
          <w:szCs w:val="22"/>
        </w:rPr>
      </w:pPr>
      <w:r w:rsidRPr="007349E4">
        <w:rPr>
          <w:rFonts w:ascii="Palatino Linotype" w:hAnsi="Palatino Linotype" w:cs="Tahoma"/>
          <w:bCs/>
          <w:sz w:val="22"/>
          <w:szCs w:val="22"/>
        </w:rPr>
        <w:t>En concordancia de lo anterior, el artículo 116 y 12</w:t>
      </w:r>
      <w:r>
        <w:rPr>
          <w:rFonts w:ascii="Palatino Linotype" w:hAnsi="Palatino Linotype" w:cs="Tahoma"/>
          <w:bCs/>
          <w:sz w:val="22"/>
          <w:szCs w:val="22"/>
        </w:rPr>
        <w:t>0</w:t>
      </w:r>
      <w:r w:rsidRPr="007349E4">
        <w:rPr>
          <w:rFonts w:ascii="Palatino Linotype" w:hAnsi="Palatino Linotype" w:cs="Tahoma"/>
          <w:bCs/>
          <w:sz w:val="22"/>
          <w:szCs w:val="22"/>
        </w:rPr>
        <w:t xml:space="preserve"> de la L</w:t>
      </w:r>
      <w:r>
        <w:rPr>
          <w:rFonts w:ascii="Palatino Linotype" w:hAnsi="Palatino Linotype" w:cs="Tahoma"/>
          <w:bCs/>
          <w:sz w:val="22"/>
          <w:szCs w:val="22"/>
        </w:rPr>
        <w:t xml:space="preserve">ey General de Transparencia, </w:t>
      </w:r>
      <w:r w:rsidRPr="007349E4">
        <w:rPr>
          <w:rFonts w:ascii="Palatino Linotype" w:hAnsi="Palatino Linotype" w:cs="Tahoma"/>
          <w:bCs/>
          <w:sz w:val="22"/>
          <w:szCs w:val="22"/>
        </w:rPr>
        <w:t>prevé:</w:t>
      </w:r>
    </w:p>
    <w:p w14:paraId="63CA97EE" w14:textId="77777777" w:rsidR="009E3C1C" w:rsidRPr="007349E4" w:rsidRDefault="009E3C1C" w:rsidP="009E3C1C">
      <w:pPr>
        <w:spacing w:line="360" w:lineRule="auto"/>
        <w:ind w:right="-93"/>
        <w:jc w:val="both"/>
        <w:rPr>
          <w:rFonts w:ascii="Palatino Linotype" w:hAnsi="Palatino Linotype" w:cs="Tahoma"/>
          <w:bCs/>
          <w:sz w:val="22"/>
          <w:szCs w:val="22"/>
        </w:rPr>
      </w:pPr>
    </w:p>
    <w:p w14:paraId="6E336418" w14:textId="77777777" w:rsidR="009E3C1C" w:rsidRPr="007349E4" w:rsidRDefault="009E3C1C" w:rsidP="009E3C1C">
      <w:pPr>
        <w:spacing w:line="360" w:lineRule="auto"/>
        <w:ind w:left="567" w:right="567"/>
        <w:jc w:val="both"/>
        <w:rPr>
          <w:rFonts w:ascii="Palatino Linotype" w:hAnsi="Palatino Linotype" w:cs="Arial"/>
          <w:i/>
          <w:iCs/>
        </w:rPr>
      </w:pPr>
      <w:r w:rsidRPr="007349E4">
        <w:rPr>
          <w:rFonts w:ascii="Palatino Linotype" w:hAnsi="Palatino Linotype" w:cs="Arial"/>
          <w:b/>
          <w:bCs/>
          <w:i/>
          <w:iCs/>
        </w:rPr>
        <w:t>“Artículo 116.</w:t>
      </w:r>
      <w:r w:rsidRPr="007349E4">
        <w:rPr>
          <w:rFonts w:ascii="Palatino Linotype" w:hAnsi="Palatino Linotype" w:cs="Arial"/>
          <w:i/>
          <w:iCs/>
        </w:rPr>
        <w:t xml:space="preserve"> Se considera información confidencial la que contiene datos personales concernientes a una persona identificada o identificable.</w:t>
      </w:r>
    </w:p>
    <w:p w14:paraId="4493D65E" w14:textId="77777777" w:rsidR="009E3C1C" w:rsidRPr="007349E4" w:rsidRDefault="009E3C1C" w:rsidP="009E3C1C">
      <w:pPr>
        <w:spacing w:line="360" w:lineRule="auto"/>
        <w:ind w:left="567" w:right="567"/>
        <w:jc w:val="both"/>
        <w:rPr>
          <w:rFonts w:ascii="Palatino Linotype" w:hAnsi="Palatino Linotype" w:cs="Arial"/>
          <w:i/>
          <w:iCs/>
        </w:rPr>
      </w:pPr>
      <w:r w:rsidRPr="007349E4">
        <w:rPr>
          <w:rFonts w:ascii="Palatino Linotype" w:hAnsi="Palatino Linotype" w:cs="Arial"/>
          <w:i/>
          <w:iCs/>
        </w:rPr>
        <w:t>…</w:t>
      </w:r>
    </w:p>
    <w:p w14:paraId="7693B27B" w14:textId="77777777" w:rsidR="009E3C1C" w:rsidRPr="007349E4" w:rsidRDefault="009E3C1C" w:rsidP="009E3C1C">
      <w:pPr>
        <w:spacing w:line="360" w:lineRule="auto"/>
        <w:ind w:left="567" w:right="567"/>
        <w:jc w:val="both"/>
        <w:rPr>
          <w:rFonts w:ascii="Palatino Linotype" w:hAnsi="Palatino Linotype" w:cs="Arial"/>
          <w:i/>
          <w:iCs/>
        </w:rPr>
      </w:pPr>
      <w:r w:rsidRPr="007349E4">
        <w:rPr>
          <w:rFonts w:ascii="Palatino Linotype" w:hAnsi="Palatino Linotype" w:cs="Arial"/>
          <w:b/>
          <w:bCs/>
          <w:i/>
          <w:iCs/>
        </w:rPr>
        <w:t>Artículo 120.</w:t>
      </w:r>
      <w:r w:rsidRPr="007349E4">
        <w:rPr>
          <w:rFonts w:ascii="Palatino Linotype" w:hAnsi="Palatino Linotype" w:cs="Arial"/>
          <w:i/>
          <w:iCs/>
        </w:rPr>
        <w:t xml:space="preserve"> Para que los sujetos obligados puedan permitir el acceso a información confidencial requieren obtener el consentimiento de los particulares titulares de la información. </w:t>
      </w:r>
    </w:p>
    <w:p w14:paraId="1B330CD3" w14:textId="77777777" w:rsidR="009E3C1C" w:rsidRPr="007349E4" w:rsidRDefault="009E3C1C" w:rsidP="009E3C1C">
      <w:pPr>
        <w:spacing w:line="360" w:lineRule="auto"/>
        <w:ind w:left="567" w:right="567"/>
        <w:jc w:val="both"/>
        <w:rPr>
          <w:rFonts w:ascii="Palatino Linotype" w:hAnsi="Palatino Linotype" w:cs="Arial"/>
          <w:i/>
          <w:iCs/>
        </w:rPr>
      </w:pPr>
    </w:p>
    <w:p w14:paraId="107FC31C" w14:textId="77777777" w:rsidR="009E3C1C" w:rsidRPr="007349E4" w:rsidRDefault="009E3C1C" w:rsidP="009E3C1C">
      <w:pPr>
        <w:spacing w:line="360" w:lineRule="auto"/>
        <w:ind w:left="567" w:right="567"/>
        <w:jc w:val="both"/>
        <w:rPr>
          <w:rFonts w:ascii="Palatino Linotype" w:hAnsi="Palatino Linotype" w:cs="Arial"/>
          <w:i/>
          <w:iCs/>
        </w:rPr>
      </w:pPr>
      <w:r w:rsidRPr="007349E4">
        <w:rPr>
          <w:rFonts w:ascii="Palatino Linotype" w:hAnsi="Palatino Linotype" w:cs="Arial"/>
          <w:i/>
          <w:iCs/>
        </w:rPr>
        <w:t xml:space="preserve">No se requerirá el consentimiento del titular de la información confidencial cuando: </w:t>
      </w:r>
    </w:p>
    <w:p w14:paraId="106CD574" w14:textId="77777777" w:rsidR="009E3C1C" w:rsidRPr="007349E4" w:rsidRDefault="009E3C1C" w:rsidP="009E3C1C">
      <w:pPr>
        <w:spacing w:line="360" w:lineRule="auto"/>
        <w:ind w:left="567" w:right="567"/>
        <w:jc w:val="both"/>
        <w:rPr>
          <w:rFonts w:ascii="Palatino Linotype" w:hAnsi="Palatino Linotype" w:cs="Arial"/>
          <w:i/>
          <w:iCs/>
        </w:rPr>
      </w:pPr>
    </w:p>
    <w:p w14:paraId="3A45732C" w14:textId="77777777" w:rsidR="009E3C1C" w:rsidRPr="007349E4" w:rsidRDefault="009E3C1C" w:rsidP="009E3C1C">
      <w:pPr>
        <w:spacing w:line="360" w:lineRule="auto"/>
        <w:ind w:left="567" w:right="567"/>
        <w:jc w:val="both"/>
        <w:rPr>
          <w:rFonts w:ascii="Palatino Linotype" w:hAnsi="Palatino Linotype" w:cs="Arial"/>
          <w:i/>
          <w:iCs/>
        </w:rPr>
      </w:pPr>
      <w:r w:rsidRPr="007349E4">
        <w:rPr>
          <w:rFonts w:ascii="Palatino Linotype" w:hAnsi="Palatino Linotype" w:cs="Arial"/>
          <w:i/>
          <w:iCs/>
        </w:rPr>
        <w:t xml:space="preserve">I. La información se encuentre en registros públicos o fuentes de acceso público; </w:t>
      </w:r>
    </w:p>
    <w:p w14:paraId="15602306" w14:textId="77777777" w:rsidR="009E3C1C" w:rsidRPr="007349E4" w:rsidRDefault="009E3C1C" w:rsidP="009E3C1C">
      <w:pPr>
        <w:spacing w:line="360" w:lineRule="auto"/>
        <w:ind w:left="567" w:right="567"/>
        <w:jc w:val="both"/>
        <w:rPr>
          <w:rFonts w:ascii="Palatino Linotype" w:hAnsi="Palatino Linotype" w:cs="Arial"/>
          <w:i/>
          <w:iCs/>
        </w:rPr>
      </w:pPr>
      <w:r w:rsidRPr="007349E4">
        <w:rPr>
          <w:rFonts w:ascii="Palatino Linotype" w:hAnsi="Palatino Linotype" w:cs="Arial"/>
          <w:i/>
          <w:iCs/>
        </w:rPr>
        <w:t xml:space="preserve">II. Por ley tenga el carácter de pública; </w:t>
      </w:r>
    </w:p>
    <w:p w14:paraId="242C4DF6" w14:textId="77777777" w:rsidR="009E3C1C" w:rsidRPr="007349E4" w:rsidRDefault="009E3C1C" w:rsidP="009E3C1C">
      <w:pPr>
        <w:spacing w:line="360" w:lineRule="auto"/>
        <w:ind w:left="567" w:right="567"/>
        <w:jc w:val="both"/>
        <w:rPr>
          <w:rFonts w:ascii="Palatino Linotype" w:hAnsi="Palatino Linotype" w:cs="Arial"/>
          <w:i/>
          <w:iCs/>
        </w:rPr>
      </w:pPr>
      <w:r w:rsidRPr="007349E4">
        <w:rPr>
          <w:rFonts w:ascii="Palatino Linotype" w:hAnsi="Palatino Linotype" w:cs="Arial"/>
          <w:i/>
          <w:iCs/>
        </w:rPr>
        <w:t xml:space="preserve">III. Exista una orden judicial; </w:t>
      </w:r>
    </w:p>
    <w:p w14:paraId="52B7935C" w14:textId="77777777" w:rsidR="009E3C1C" w:rsidRPr="007349E4" w:rsidRDefault="009E3C1C" w:rsidP="009E3C1C">
      <w:pPr>
        <w:spacing w:line="360" w:lineRule="auto"/>
        <w:ind w:left="567" w:right="567"/>
        <w:jc w:val="both"/>
        <w:rPr>
          <w:rFonts w:ascii="Palatino Linotype" w:hAnsi="Palatino Linotype" w:cs="Arial"/>
          <w:i/>
          <w:iCs/>
        </w:rPr>
      </w:pPr>
      <w:r w:rsidRPr="007349E4">
        <w:rPr>
          <w:rFonts w:ascii="Palatino Linotype" w:hAnsi="Palatino Linotype" w:cs="Arial"/>
          <w:i/>
          <w:iCs/>
        </w:rPr>
        <w:t xml:space="preserve">IV. Por razones de seguridad nacional y salubridad general, o para proteger los derechos de terceros, se requiera su publicación, o </w:t>
      </w:r>
    </w:p>
    <w:p w14:paraId="679D04B7" w14:textId="77777777" w:rsidR="009E3C1C" w:rsidRPr="007349E4" w:rsidRDefault="009E3C1C" w:rsidP="009E3C1C">
      <w:pPr>
        <w:spacing w:line="360" w:lineRule="auto"/>
        <w:ind w:left="567" w:right="567"/>
        <w:jc w:val="both"/>
        <w:rPr>
          <w:rFonts w:ascii="Palatino Linotype" w:hAnsi="Palatino Linotype" w:cs="Arial"/>
          <w:i/>
          <w:iCs/>
        </w:rPr>
      </w:pPr>
      <w:r w:rsidRPr="007349E4">
        <w:rPr>
          <w:rFonts w:ascii="Palatino Linotype" w:hAnsi="Palatino Linotype" w:cs="Arial"/>
          <w:i/>
          <w:iCs/>
        </w:rPr>
        <w:t>V. Cuando se transmita entre sujetos obligados y entre éstos y los sujetos de derecho internacional, en términos de los tratados y los acuerdos interinstitucionales, siempre y cuando la información se utilice para el ejercicio de facultades propias de los mismos.</w:t>
      </w:r>
    </w:p>
    <w:p w14:paraId="0DCAC796" w14:textId="77777777" w:rsidR="009E3C1C" w:rsidRPr="007349E4" w:rsidRDefault="009E3C1C" w:rsidP="009E3C1C">
      <w:pPr>
        <w:spacing w:line="360" w:lineRule="auto"/>
        <w:ind w:left="567" w:right="567"/>
        <w:jc w:val="both"/>
        <w:rPr>
          <w:rFonts w:ascii="Palatino Linotype" w:hAnsi="Palatino Linotype" w:cs="Arial"/>
          <w:i/>
          <w:iCs/>
        </w:rPr>
      </w:pPr>
      <w:r w:rsidRPr="007349E4">
        <w:rPr>
          <w:rFonts w:ascii="Palatino Linotype" w:hAnsi="Palatino Linotype" w:cs="Arial"/>
          <w:i/>
          <w:iCs/>
        </w:rPr>
        <w:t>…”</w:t>
      </w:r>
    </w:p>
    <w:p w14:paraId="37577692" w14:textId="77777777" w:rsidR="009E3C1C" w:rsidRPr="007349E4" w:rsidRDefault="009E3C1C" w:rsidP="009E3C1C">
      <w:pPr>
        <w:spacing w:line="360" w:lineRule="auto"/>
        <w:ind w:right="-93"/>
        <w:jc w:val="both"/>
        <w:rPr>
          <w:rFonts w:ascii="Palatino Linotype" w:hAnsi="Palatino Linotype" w:cs="Tahoma"/>
          <w:bCs/>
          <w:sz w:val="22"/>
          <w:szCs w:val="22"/>
        </w:rPr>
      </w:pPr>
    </w:p>
    <w:p w14:paraId="316C97E8" w14:textId="77777777" w:rsidR="009E3C1C" w:rsidRPr="007349E4" w:rsidRDefault="009E3C1C" w:rsidP="009E3C1C">
      <w:pPr>
        <w:spacing w:line="360" w:lineRule="auto"/>
        <w:ind w:right="-93"/>
        <w:jc w:val="both"/>
        <w:rPr>
          <w:rFonts w:ascii="Palatino Linotype" w:hAnsi="Palatino Linotype" w:cs="Tahoma"/>
          <w:bCs/>
          <w:sz w:val="22"/>
          <w:szCs w:val="22"/>
        </w:rPr>
      </w:pPr>
      <w:r w:rsidRPr="007349E4">
        <w:rPr>
          <w:rFonts w:ascii="Palatino Linotype" w:hAnsi="Palatino Linotype" w:cs="Tahoma"/>
          <w:bCs/>
          <w:sz w:val="22"/>
          <w:szCs w:val="22"/>
        </w:rPr>
        <w:t>Situación que retoma de manera similar la Ley Estatal de Transparencia, en los artículos 143, fracción I, 147 y 148, que señalan:</w:t>
      </w:r>
    </w:p>
    <w:p w14:paraId="2E0C6318" w14:textId="77777777" w:rsidR="009E3C1C" w:rsidRPr="007349E4" w:rsidRDefault="009E3C1C" w:rsidP="009E3C1C">
      <w:pPr>
        <w:spacing w:line="360" w:lineRule="auto"/>
        <w:ind w:right="-93"/>
        <w:jc w:val="both"/>
        <w:rPr>
          <w:rFonts w:ascii="Palatino Linotype" w:hAnsi="Palatino Linotype" w:cs="Tahoma"/>
          <w:bCs/>
          <w:sz w:val="22"/>
          <w:szCs w:val="22"/>
        </w:rPr>
      </w:pPr>
    </w:p>
    <w:p w14:paraId="2C4251F5" w14:textId="77777777" w:rsidR="009E3C1C" w:rsidRPr="007349E4" w:rsidRDefault="009E3C1C" w:rsidP="009E3C1C">
      <w:pPr>
        <w:spacing w:line="360" w:lineRule="auto"/>
        <w:ind w:left="567" w:right="567"/>
        <w:jc w:val="both"/>
        <w:rPr>
          <w:rFonts w:ascii="Palatino Linotype" w:hAnsi="Palatino Linotype" w:cs="Arial"/>
          <w:b/>
          <w:bCs/>
          <w:i/>
          <w:iCs/>
        </w:rPr>
      </w:pPr>
      <w:r w:rsidRPr="007349E4">
        <w:rPr>
          <w:rFonts w:ascii="Palatino Linotype" w:hAnsi="Palatino Linotype" w:cs="Arial"/>
          <w:b/>
          <w:bCs/>
          <w:i/>
          <w:iCs/>
        </w:rPr>
        <w:lastRenderedPageBreak/>
        <w:t xml:space="preserve">“Artículo 143. </w:t>
      </w:r>
      <w:r w:rsidRPr="007349E4">
        <w:rPr>
          <w:rFonts w:ascii="Palatino Linotype" w:hAnsi="Palatino Linotype" w:cs="Arial"/>
          <w:i/>
          <w:iCs/>
        </w:rPr>
        <w:t>Para los efectos de esta Ley se considera información confidencial, la clasificada como tal, de manera permanente, por su naturaleza, cuando:</w:t>
      </w:r>
      <w:r w:rsidRPr="007349E4">
        <w:rPr>
          <w:rFonts w:ascii="Palatino Linotype" w:hAnsi="Palatino Linotype" w:cs="Arial"/>
          <w:b/>
          <w:bCs/>
          <w:i/>
          <w:iCs/>
        </w:rPr>
        <w:t xml:space="preserve"> </w:t>
      </w:r>
    </w:p>
    <w:p w14:paraId="074EED5D" w14:textId="77777777" w:rsidR="009E3C1C" w:rsidRPr="007349E4" w:rsidRDefault="009E3C1C" w:rsidP="009E3C1C">
      <w:pPr>
        <w:spacing w:line="360" w:lineRule="auto"/>
        <w:ind w:left="567" w:right="567"/>
        <w:jc w:val="both"/>
        <w:rPr>
          <w:rFonts w:ascii="Palatino Linotype" w:hAnsi="Palatino Linotype" w:cs="Arial"/>
          <w:b/>
          <w:bCs/>
          <w:i/>
          <w:iCs/>
        </w:rPr>
      </w:pPr>
    </w:p>
    <w:p w14:paraId="79F4B597" w14:textId="77777777" w:rsidR="009E3C1C" w:rsidRPr="007349E4" w:rsidRDefault="009E3C1C" w:rsidP="009E3C1C">
      <w:pPr>
        <w:spacing w:line="360" w:lineRule="auto"/>
        <w:ind w:left="567" w:right="567"/>
        <w:jc w:val="both"/>
        <w:rPr>
          <w:rFonts w:ascii="Palatino Linotype" w:hAnsi="Palatino Linotype" w:cs="Arial"/>
          <w:i/>
          <w:iCs/>
        </w:rPr>
      </w:pPr>
      <w:r w:rsidRPr="007349E4">
        <w:rPr>
          <w:rFonts w:ascii="Palatino Linotype" w:hAnsi="Palatino Linotype" w:cs="Arial"/>
          <w:i/>
          <w:iCs/>
        </w:rPr>
        <w:t>I. Se refiera a la información privada y los datos personales concernientes a una persona física o jurídica colectiva identificada o identificable;</w:t>
      </w:r>
    </w:p>
    <w:p w14:paraId="3BE75386" w14:textId="77777777" w:rsidR="009E3C1C" w:rsidRPr="007349E4" w:rsidRDefault="009E3C1C" w:rsidP="009E3C1C">
      <w:pPr>
        <w:spacing w:line="360" w:lineRule="auto"/>
        <w:ind w:left="567" w:right="567"/>
        <w:jc w:val="both"/>
        <w:rPr>
          <w:rFonts w:ascii="Palatino Linotype" w:hAnsi="Palatino Linotype" w:cs="Arial"/>
          <w:i/>
          <w:iCs/>
        </w:rPr>
      </w:pPr>
      <w:r w:rsidRPr="007349E4">
        <w:rPr>
          <w:rFonts w:ascii="Palatino Linotype" w:hAnsi="Palatino Linotype" w:cs="Arial"/>
          <w:i/>
          <w:iCs/>
        </w:rPr>
        <w:t>…</w:t>
      </w:r>
    </w:p>
    <w:p w14:paraId="347C0449" w14:textId="77777777" w:rsidR="009E3C1C" w:rsidRPr="007349E4" w:rsidRDefault="009E3C1C" w:rsidP="009E3C1C">
      <w:pPr>
        <w:spacing w:line="360" w:lineRule="auto"/>
        <w:ind w:left="567" w:right="567"/>
        <w:jc w:val="both"/>
        <w:rPr>
          <w:rFonts w:ascii="Palatino Linotype" w:hAnsi="Palatino Linotype" w:cs="Arial"/>
          <w:i/>
          <w:iCs/>
        </w:rPr>
      </w:pPr>
      <w:r w:rsidRPr="007349E4">
        <w:rPr>
          <w:rFonts w:ascii="Palatino Linotype" w:hAnsi="Palatino Linotype" w:cs="Arial"/>
          <w:b/>
          <w:bCs/>
          <w:i/>
          <w:iCs/>
        </w:rPr>
        <w:t>Artículo 147.</w:t>
      </w:r>
      <w:r w:rsidRPr="007349E4">
        <w:rPr>
          <w:rFonts w:ascii="Palatino Linotype" w:hAnsi="Palatino Linotype" w:cs="Arial"/>
          <w:i/>
          <w:iCs/>
        </w:rPr>
        <w:t xml:space="preserve"> Para que los sujetos obligados puedan permitir el acceso a información confidencial requieren obtener el consentimiento de los particulares titulares de la información. </w:t>
      </w:r>
    </w:p>
    <w:p w14:paraId="14BD3EBC" w14:textId="77777777" w:rsidR="009E3C1C" w:rsidRPr="007349E4" w:rsidRDefault="009E3C1C" w:rsidP="009E3C1C">
      <w:pPr>
        <w:spacing w:line="360" w:lineRule="auto"/>
        <w:ind w:left="567" w:right="567"/>
        <w:jc w:val="both"/>
        <w:rPr>
          <w:rFonts w:ascii="Palatino Linotype" w:hAnsi="Palatino Linotype" w:cs="Arial"/>
          <w:i/>
          <w:iCs/>
        </w:rPr>
      </w:pPr>
    </w:p>
    <w:p w14:paraId="3B1C8073" w14:textId="77777777" w:rsidR="009E3C1C" w:rsidRPr="007349E4" w:rsidRDefault="009E3C1C" w:rsidP="009E3C1C">
      <w:pPr>
        <w:spacing w:line="360" w:lineRule="auto"/>
        <w:ind w:left="567" w:right="567"/>
        <w:jc w:val="both"/>
        <w:rPr>
          <w:rFonts w:ascii="Palatino Linotype" w:hAnsi="Palatino Linotype" w:cs="Arial"/>
          <w:i/>
          <w:iCs/>
        </w:rPr>
      </w:pPr>
      <w:r w:rsidRPr="007349E4">
        <w:rPr>
          <w:rFonts w:ascii="Palatino Linotype" w:hAnsi="Palatino Linotype" w:cs="Arial"/>
          <w:b/>
          <w:bCs/>
          <w:i/>
          <w:iCs/>
        </w:rPr>
        <w:t xml:space="preserve">Artículo 148. </w:t>
      </w:r>
      <w:r w:rsidRPr="007349E4">
        <w:rPr>
          <w:rFonts w:ascii="Palatino Linotype" w:hAnsi="Palatino Linotype" w:cs="Arial"/>
          <w:i/>
          <w:iCs/>
        </w:rPr>
        <w:t xml:space="preserve">No se requerirá el consentimiento del titular de la información confidencial cuando: </w:t>
      </w:r>
    </w:p>
    <w:p w14:paraId="4F788090" w14:textId="77777777" w:rsidR="009E3C1C" w:rsidRPr="007349E4" w:rsidRDefault="009E3C1C" w:rsidP="009E3C1C">
      <w:pPr>
        <w:spacing w:line="360" w:lineRule="auto"/>
        <w:ind w:left="567" w:right="567"/>
        <w:jc w:val="both"/>
        <w:rPr>
          <w:rFonts w:ascii="Palatino Linotype" w:hAnsi="Palatino Linotype" w:cs="Arial"/>
          <w:i/>
          <w:iCs/>
        </w:rPr>
      </w:pPr>
    </w:p>
    <w:p w14:paraId="5CE8E469" w14:textId="77777777" w:rsidR="009E3C1C" w:rsidRPr="007349E4" w:rsidRDefault="009E3C1C" w:rsidP="009E3C1C">
      <w:pPr>
        <w:spacing w:line="360" w:lineRule="auto"/>
        <w:ind w:left="567" w:right="567"/>
        <w:jc w:val="both"/>
        <w:rPr>
          <w:rFonts w:ascii="Palatino Linotype" w:hAnsi="Palatino Linotype" w:cs="Arial"/>
          <w:i/>
          <w:iCs/>
        </w:rPr>
      </w:pPr>
      <w:r w:rsidRPr="007349E4">
        <w:rPr>
          <w:rFonts w:ascii="Palatino Linotype" w:hAnsi="Palatino Linotype" w:cs="Arial"/>
          <w:i/>
          <w:iCs/>
        </w:rPr>
        <w:t xml:space="preserve">I. La información se encuentre en registros públicos o fuentes de acceso público; </w:t>
      </w:r>
    </w:p>
    <w:p w14:paraId="6D8F70A6" w14:textId="77777777" w:rsidR="009E3C1C" w:rsidRPr="007349E4" w:rsidRDefault="009E3C1C" w:rsidP="009E3C1C">
      <w:pPr>
        <w:spacing w:line="360" w:lineRule="auto"/>
        <w:ind w:left="567" w:right="567"/>
        <w:jc w:val="both"/>
        <w:rPr>
          <w:rFonts w:ascii="Palatino Linotype" w:hAnsi="Palatino Linotype" w:cs="Arial"/>
          <w:i/>
          <w:iCs/>
        </w:rPr>
      </w:pPr>
      <w:r w:rsidRPr="007349E4">
        <w:rPr>
          <w:rFonts w:ascii="Palatino Linotype" w:hAnsi="Palatino Linotype" w:cs="Arial"/>
          <w:i/>
          <w:iCs/>
        </w:rPr>
        <w:t xml:space="preserve">II. Por Ley tenga el carácter de pública; </w:t>
      </w:r>
    </w:p>
    <w:p w14:paraId="32E18EB6" w14:textId="77777777" w:rsidR="009E3C1C" w:rsidRPr="007349E4" w:rsidRDefault="009E3C1C" w:rsidP="009E3C1C">
      <w:pPr>
        <w:spacing w:line="360" w:lineRule="auto"/>
        <w:ind w:left="567" w:right="567"/>
        <w:jc w:val="both"/>
        <w:rPr>
          <w:rFonts w:ascii="Palatino Linotype" w:hAnsi="Palatino Linotype" w:cs="Arial"/>
          <w:i/>
          <w:iCs/>
        </w:rPr>
      </w:pPr>
      <w:r w:rsidRPr="007349E4">
        <w:rPr>
          <w:rFonts w:ascii="Palatino Linotype" w:hAnsi="Palatino Linotype" w:cs="Arial"/>
          <w:i/>
          <w:iCs/>
        </w:rPr>
        <w:t xml:space="preserve">III. Exista una orden judicial; </w:t>
      </w:r>
    </w:p>
    <w:p w14:paraId="122CA015" w14:textId="77777777" w:rsidR="009E3C1C" w:rsidRPr="007349E4" w:rsidRDefault="009E3C1C" w:rsidP="009E3C1C">
      <w:pPr>
        <w:spacing w:line="360" w:lineRule="auto"/>
        <w:ind w:left="567" w:right="567"/>
        <w:jc w:val="both"/>
        <w:rPr>
          <w:rFonts w:ascii="Palatino Linotype" w:hAnsi="Palatino Linotype" w:cs="Arial"/>
          <w:i/>
          <w:iCs/>
        </w:rPr>
      </w:pPr>
      <w:r w:rsidRPr="007349E4">
        <w:rPr>
          <w:rFonts w:ascii="Palatino Linotype" w:hAnsi="Palatino Linotype" w:cs="Arial"/>
          <w:i/>
          <w:iCs/>
        </w:rPr>
        <w:t xml:space="preserve">IV. Por razones de seguridad pública, o para proteger los derechos de terceros, se requiera su publicación; o </w:t>
      </w:r>
    </w:p>
    <w:p w14:paraId="5505EF70" w14:textId="77777777" w:rsidR="009E3C1C" w:rsidRPr="007349E4" w:rsidRDefault="009E3C1C" w:rsidP="009E3C1C">
      <w:pPr>
        <w:spacing w:line="360" w:lineRule="auto"/>
        <w:ind w:left="567" w:right="567"/>
        <w:jc w:val="both"/>
        <w:rPr>
          <w:rFonts w:ascii="Palatino Linotype" w:hAnsi="Palatino Linotype" w:cs="Arial"/>
          <w:i/>
          <w:iCs/>
        </w:rPr>
      </w:pPr>
      <w:r w:rsidRPr="007349E4">
        <w:rPr>
          <w:rFonts w:ascii="Palatino Linotype" w:hAnsi="Palatino Linotype" w:cs="Arial"/>
          <w:i/>
          <w:iCs/>
        </w:rPr>
        <w:t>V. Cuando se transmita entre sujetos obligados y entre éstos y los sujetos de derecho internacional, en términos de los tratados y los acuerdos interinstitucionales, siempre y cuando la información se utilice para el ejercicio de facultades propias de los mismos.</w:t>
      </w:r>
    </w:p>
    <w:p w14:paraId="5117B62D" w14:textId="7DDB92B2" w:rsidR="009E3C1C" w:rsidRDefault="009E3C1C" w:rsidP="009E3C1C">
      <w:pPr>
        <w:spacing w:line="360" w:lineRule="auto"/>
        <w:ind w:left="567" w:right="567"/>
        <w:jc w:val="both"/>
        <w:rPr>
          <w:rFonts w:ascii="Palatino Linotype" w:hAnsi="Palatino Linotype" w:cs="Arial"/>
          <w:i/>
          <w:iCs/>
        </w:rPr>
      </w:pPr>
      <w:r w:rsidRPr="007349E4">
        <w:rPr>
          <w:rFonts w:ascii="Palatino Linotype" w:hAnsi="Palatino Linotype" w:cs="Arial"/>
          <w:i/>
          <w:iCs/>
        </w:rPr>
        <w:t>…”</w:t>
      </w:r>
    </w:p>
    <w:p w14:paraId="6B97C34D" w14:textId="77777777" w:rsidR="009E3C1C" w:rsidRPr="009E3C1C" w:rsidRDefault="009E3C1C" w:rsidP="009E3C1C">
      <w:pPr>
        <w:spacing w:line="360" w:lineRule="auto"/>
        <w:ind w:right="567"/>
        <w:jc w:val="both"/>
        <w:rPr>
          <w:rFonts w:ascii="Palatino Linotype" w:hAnsi="Palatino Linotype" w:cs="Arial"/>
          <w:i/>
          <w:iCs/>
        </w:rPr>
      </w:pPr>
    </w:p>
    <w:p w14:paraId="15B4C6F9" w14:textId="093C17B7" w:rsidR="009E3C1C" w:rsidRPr="007349E4" w:rsidRDefault="009E3C1C" w:rsidP="009E3C1C">
      <w:pPr>
        <w:spacing w:line="360" w:lineRule="auto"/>
        <w:ind w:right="-93"/>
        <w:jc w:val="both"/>
        <w:rPr>
          <w:rFonts w:ascii="Palatino Linotype" w:hAnsi="Palatino Linotype" w:cs="Tahoma"/>
          <w:bCs/>
          <w:sz w:val="22"/>
          <w:szCs w:val="22"/>
          <w:lang w:val="es-ES"/>
        </w:rPr>
      </w:pPr>
      <w:r w:rsidRPr="007349E4">
        <w:rPr>
          <w:rFonts w:ascii="Palatino Linotype" w:hAnsi="Palatino Linotype" w:cs="Tahoma"/>
          <w:bCs/>
          <w:sz w:val="22"/>
          <w:szCs w:val="22"/>
          <w:lang w:val="es-ES"/>
        </w:rPr>
        <w:t>Confo</w:t>
      </w:r>
      <w:r>
        <w:rPr>
          <w:rFonts w:ascii="Palatino Linotype" w:hAnsi="Palatino Linotype" w:cs="Tahoma"/>
          <w:bCs/>
          <w:sz w:val="22"/>
          <w:szCs w:val="22"/>
          <w:lang w:val="es-ES"/>
        </w:rPr>
        <w:t xml:space="preserve">rme a lo anterior, se advierte que </w:t>
      </w:r>
      <w:r w:rsidRPr="007349E4">
        <w:rPr>
          <w:rFonts w:ascii="Palatino Linotype" w:hAnsi="Palatino Linotype" w:cs="Tahoma"/>
          <w:bCs/>
          <w:sz w:val="22"/>
          <w:szCs w:val="22"/>
          <w:lang w:val="es-ES"/>
        </w:rPr>
        <w:t xml:space="preserve">la información confidencial, es aquella que refiera a información de la vida privada o que contenga datos personales concernientes a una persona identificada o identificable, misma que no estará sujeta a temporalidad alguna y sólo podrán tener acceso a ella los titulares de </w:t>
      </w:r>
      <w:r w:rsidR="007B0DFC" w:rsidRPr="007349E4">
        <w:rPr>
          <w:rFonts w:ascii="Palatino Linotype" w:hAnsi="Palatino Linotype" w:cs="Tahoma"/>
          <w:bCs/>
          <w:sz w:val="22"/>
          <w:szCs w:val="22"/>
          <w:lang w:val="es-ES"/>
        </w:rPr>
        <w:t>esta</w:t>
      </w:r>
      <w:r w:rsidRPr="007349E4">
        <w:rPr>
          <w:rFonts w:ascii="Palatino Linotype" w:hAnsi="Palatino Linotype" w:cs="Tahoma"/>
          <w:bCs/>
          <w:sz w:val="22"/>
          <w:szCs w:val="22"/>
          <w:lang w:val="es-ES"/>
        </w:rPr>
        <w:t>, sus representantes y los servidores públicos facultados para ello.</w:t>
      </w:r>
    </w:p>
    <w:p w14:paraId="53420424" w14:textId="77777777" w:rsidR="009E3C1C" w:rsidRPr="007349E4" w:rsidRDefault="009E3C1C" w:rsidP="009E3C1C">
      <w:pPr>
        <w:spacing w:line="360" w:lineRule="auto"/>
        <w:ind w:right="-93"/>
        <w:jc w:val="both"/>
        <w:rPr>
          <w:rFonts w:ascii="Palatino Linotype" w:hAnsi="Palatino Linotype" w:cs="Tahoma"/>
          <w:bCs/>
          <w:sz w:val="22"/>
          <w:szCs w:val="22"/>
          <w:lang w:val="es-ES"/>
        </w:rPr>
      </w:pPr>
    </w:p>
    <w:p w14:paraId="26A5B012" w14:textId="77777777" w:rsidR="009E3C1C" w:rsidRPr="007349E4" w:rsidRDefault="009E3C1C" w:rsidP="009E3C1C">
      <w:pPr>
        <w:spacing w:line="360" w:lineRule="auto"/>
        <w:ind w:right="-93"/>
        <w:jc w:val="both"/>
        <w:rPr>
          <w:rFonts w:ascii="Palatino Linotype" w:hAnsi="Palatino Linotype" w:cs="Tahoma"/>
          <w:bCs/>
          <w:sz w:val="22"/>
          <w:szCs w:val="22"/>
          <w:lang w:val="es-ES"/>
        </w:rPr>
      </w:pPr>
      <w:r w:rsidRPr="007349E4">
        <w:rPr>
          <w:rFonts w:ascii="Palatino Linotype" w:hAnsi="Palatino Linotype" w:cs="Tahoma"/>
          <w:bCs/>
          <w:sz w:val="22"/>
          <w:szCs w:val="22"/>
          <w:lang w:val="es-ES"/>
        </w:rPr>
        <w:t xml:space="preserve">De igual forma, para que los sujetos obligados puedan permitir el acceso a información confidencial, requieren obtener el consentimiento de los particulares titulares de la </w:t>
      </w:r>
      <w:r w:rsidRPr="007349E4">
        <w:rPr>
          <w:rFonts w:ascii="Palatino Linotype" w:hAnsi="Palatino Linotype" w:cs="Tahoma"/>
          <w:bCs/>
          <w:sz w:val="22"/>
          <w:szCs w:val="22"/>
          <w:lang w:val="es-ES"/>
        </w:rPr>
        <w:lastRenderedPageBreak/>
        <w:t>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3D6077F5" w14:textId="77777777" w:rsidR="009E3C1C" w:rsidRPr="007349E4" w:rsidRDefault="009E3C1C" w:rsidP="009E3C1C">
      <w:pPr>
        <w:spacing w:line="360" w:lineRule="auto"/>
        <w:ind w:right="-93"/>
        <w:jc w:val="both"/>
        <w:rPr>
          <w:rFonts w:ascii="Palatino Linotype" w:hAnsi="Palatino Linotype" w:cs="Tahoma"/>
          <w:bCs/>
          <w:sz w:val="22"/>
          <w:szCs w:val="22"/>
          <w:lang w:val="es-ES"/>
        </w:rPr>
      </w:pPr>
    </w:p>
    <w:p w14:paraId="38E6CE8B" w14:textId="287C7DBA" w:rsidR="009E3C1C" w:rsidRPr="007349E4" w:rsidRDefault="009E3C1C" w:rsidP="009E3C1C">
      <w:pPr>
        <w:spacing w:line="360" w:lineRule="auto"/>
        <w:ind w:right="-93"/>
        <w:jc w:val="both"/>
        <w:rPr>
          <w:rFonts w:ascii="Palatino Linotype" w:hAnsi="Palatino Linotype" w:cs="Tahoma"/>
          <w:bCs/>
          <w:sz w:val="22"/>
          <w:szCs w:val="22"/>
          <w:lang w:val="es-ES"/>
        </w:rPr>
      </w:pPr>
      <w:r>
        <w:rPr>
          <w:rFonts w:ascii="Palatino Linotype" w:hAnsi="Palatino Linotype" w:cs="Tahoma"/>
          <w:bCs/>
          <w:sz w:val="22"/>
          <w:szCs w:val="22"/>
          <w:lang w:val="es-ES"/>
        </w:rPr>
        <w:t>Además,</w:t>
      </w:r>
      <w:r w:rsidRPr="007349E4">
        <w:rPr>
          <w:rFonts w:ascii="Palatino Linotype" w:hAnsi="Palatino Linotype" w:cs="Tahoma"/>
          <w:bCs/>
          <w:sz w:val="22"/>
          <w:szCs w:val="22"/>
          <w:lang w:val="es-ES"/>
        </w:rPr>
        <w:t xml:space="preserve"> los sujetos obligados serán responsables de los datos personales y, en relación con </w:t>
      </w:r>
      <w:r w:rsidR="005A383E">
        <w:rPr>
          <w:rFonts w:ascii="Palatino Linotype" w:hAnsi="Palatino Linotype" w:cs="Tahoma"/>
          <w:bCs/>
          <w:sz w:val="22"/>
          <w:szCs w:val="22"/>
          <w:lang w:val="es-ES"/>
        </w:rPr>
        <w:t>e</w:t>
      </w:r>
      <w:r w:rsidRPr="007349E4">
        <w:rPr>
          <w:rFonts w:ascii="Palatino Linotype" w:hAnsi="Palatino Linotype" w:cs="Tahoma"/>
          <w:bCs/>
          <w:sz w:val="22"/>
          <w:szCs w:val="22"/>
          <w:lang w:val="es-ES"/>
        </w:rPr>
        <w:t xml:space="preserve">stos, deberán cumplir, con las obligaciones establecidas en las leyes de la materia y en la </w:t>
      </w:r>
      <w:r w:rsidRPr="007349E4">
        <w:rPr>
          <w:rFonts w:ascii="Palatino Linotype" w:hAnsi="Palatino Linotype" w:cs="Tahoma"/>
          <w:bCs/>
          <w:iCs/>
          <w:sz w:val="22"/>
          <w:szCs w:val="22"/>
          <w:lang w:val="es-ES"/>
        </w:rPr>
        <w:t>Ley General de Transparencia y Acceso a la Información Pública</w:t>
      </w:r>
      <w:r w:rsidRPr="007349E4">
        <w:rPr>
          <w:rFonts w:ascii="Palatino Linotype" w:hAnsi="Palatino Linotype" w:cs="Tahoma"/>
          <w:bCs/>
          <w:sz w:val="22"/>
          <w:szCs w:val="22"/>
          <w:lang w:val="es-ES"/>
        </w:rPr>
        <w:t>.</w:t>
      </w:r>
    </w:p>
    <w:p w14:paraId="098E6A7D" w14:textId="77777777" w:rsidR="009E3C1C" w:rsidRPr="007349E4" w:rsidRDefault="009E3C1C" w:rsidP="009E3C1C">
      <w:pPr>
        <w:spacing w:line="360" w:lineRule="auto"/>
        <w:ind w:right="-93"/>
        <w:jc w:val="both"/>
        <w:rPr>
          <w:rFonts w:ascii="Palatino Linotype" w:hAnsi="Palatino Linotype" w:cs="Tahoma"/>
          <w:b/>
          <w:sz w:val="22"/>
          <w:szCs w:val="22"/>
        </w:rPr>
      </w:pPr>
    </w:p>
    <w:p w14:paraId="3797F588" w14:textId="77777777" w:rsidR="009E3C1C" w:rsidRPr="007349E4" w:rsidRDefault="009E3C1C" w:rsidP="009E3C1C">
      <w:pPr>
        <w:spacing w:line="360" w:lineRule="auto"/>
        <w:ind w:right="-93"/>
        <w:jc w:val="both"/>
        <w:rPr>
          <w:rFonts w:ascii="Palatino Linotype" w:hAnsi="Palatino Linotype" w:cs="Tahoma"/>
          <w:bCs/>
          <w:sz w:val="22"/>
          <w:szCs w:val="22"/>
          <w:lang w:val="es-ES"/>
        </w:rPr>
      </w:pPr>
      <w:r w:rsidRPr="007349E4">
        <w:rPr>
          <w:rFonts w:ascii="Palatino Linotype" w:hAnsi="Palatino Linotype" w:cs="Tahoma"/>
          <w:bCs/>
          <w:sz w:val="22"/>
          <w:szCs w:val="22"/>
          <w:lang w:val="es-ES"/>
        </w:rPr>
        <w:t>En términos de lo expuesto, la documentación y aquellos datos que se consideren confidenciales conforme a lo dispuesto en la fracción I, del artículo 143 de la Ley de Transparencia y Acceso a la Información Pública del Estado de México y Municipios, serán una limitante del derecho de acceso a la información, siempre y cuando:</w:t>
      </w:r>
    </w:p>
    <w:p w14:paraId="5BB33E1E" w14:textId="77777777" w:rsidR="009E3C1C" w:rsidRPr="007349E4" w:rsidRDefault="009E3C1C" w:rsidP="009E3C1C">
      <w:pPr>
        <w:spacing w:line="360" w:lineRule="auto"/>
        <w:ind w:right="-93"/>
        <w:jc w:val="both"/>
        <w:rPr>
          <w:rFonts w:ascii="Palatino Linotype" w:hAnsi="Palatino Linotype" w:cs="Tahoma"/>
          <w:bCs/>
          <w:sz w:val="22"/>
          <w:szCs w:val="22"/>
          <w:lang w:val="es-ES"/>
        </w:rPr>
      </w:pPr>
    </w:p>
    <w:p w14:paraId="0662EB54" w14:textId="28323F46" w:rsidR="009E3C1C" w:rsidRPr="007349E4" w:rsidRDefault="009E3C1C" w:rsidP="005A383E">
      <w:pPr>
        <w:numPr>
          <w:ilvl w:val="0"/>
          <w:numId w:val="5"/>
        </w:numPr>
        <w:spacing w:line="360" w:lineRule="auto"/>
        <w:ind w:right="539"/>
        <w:jc w:val="both"/>
        <w:rPr>
          <w:rFonts w:ascii="Palatino Linotype" w:hAnsi="Palatino Linotype" w:cs="Tahoma"/>
          <w:bCs/>
          <w:sz w:val="22"/>
          <w:szCs w:val="22"/>
          <w:lang w:val="es-ES"/>
        </w:rPr>
      </w:pPr>
      <w:r w:rsidRPr="007349E4">
        <w:rPr>
          <w:rFonts w:ascii="Palatino Linotype" w:hAnsi="Palatino Linotype" w:cs="Tahoma"/>
          <w:bCs/>
          <w:sz w:val="22"/>
          <w:szCs w:val="22"/>
          <w:lang w:val="es-ES"/>
        </w:rPr>
        <w:t xml:space="preserve">Se trate de datos personales, esto es, información concerniente a una persona física y que </w:t>
      </w:r>
      <w:r w:rsidR="008567B7">
        <w:rPr>
          <w:rFonts w:ascii="Palatino Linotype" w:hAnsi="Palatino Linotype" w:cs="Tahoma"/>
          <w:bCs/>
          <w:sz w:val="22"/>
          <w:szCs w:val="22"/>
          <w:lang w:val="es-ES"/>
        </w:rPr>
        <w:t>e</w:t>
      </w:r>
      <w:r w:rsidRPr="007349E4">
        <w:rPr>
          <w:rFonts w:ascii="Palatino Linotype" w:hAnsi="Palatino Linotype" w:cs="Tahoma"/>
          <w:bCs/>
          <w:sz w:val="22"/>
          <w:szCs w:val="22"/>
          <w:lang w:val="es-ES"/>
        </w:rPr>
        <w:t xml:space="preserve">sta sea identificada o identificable o bien, sea aquella que refiera aspectos de la vida privada o íntima de las personas. </w:t>
      </w:r>
    </w:p>
    <w:p w14:paraId="1BEAB49C" w14:textId="77777777" w:rsidR="009E3C1C" w:rsidRPr="007349E4" w:rsidRDefault="009E3C1C" w:rsidP="005A383E">
      <w:pPr>
        <w:spacing w:line="360" w:lineRule="auto"/>
        <w:ind w:right="539"/>
        <w:jc w:val="both"/>
        <w:rPr>
          <w:rFonts w:ascii="Palatino Linotype" w:hAnsi="Palatino Linotype" w:cs="Tahoma"/>
          <w:bCs/>
          <w:sz w:val="22"/>
          <w:szCs w:val="22"/>
          <w:lang w:val="es-ES"/>
        </w:rPr>
      </w:pPr>
    </w:p>
    <w:p w14:paraId="161F75E7" w14:textId="77777777" w:rsidR="009E3C1C" w:rsidRPr="007349E4" w:rsidRDefault="009E3C1C" w:rsidP="005A383E">
      <w:pPr>
        <w:numPr>
          <w:ilvl w:val="0"/>
          <w:numId w:val="5"/>
        </w:numPr>
        <w:spacing w:line="360" w:lineRule="auto"/>
        <w:ind w:right="539"/>
        <w:jc w:val="both"/>
        <w:rPr>
          <w:rFonts w:ascii="Palatino Linotype" w:hAnsi="Palatino Linotype" w:cs="Tahoma"/>
          <w:bCs/>
          <w:sz w:val="22"/>
          <w:szCs w:val="22"/>
          <w:lang w:val="es-ES"/>
        </w:rPr>
      </w:pPr>
      <w:r w:rsidRPr="007349E4">
        <w:rPr>
          <w:rFonts w:ascii="Palatino Linotype" w:hAnsi="Palatino Linotype" w:cs="Tahoma"/>
          <w:bCs/>
          <w:sz w:val="22"/>
          <w:szCs w:val="22"/>
          <w:lang w:val="es-ES"/>
        </w:rPr>
        <w:t xml:space="preserve">Para la difusión de los datos, se requiera el consentimiento del titular. </w:t>
      </w:r>
    </w:p>
    <w:p w14:paraId="4FFADF5B" w14:textId="77777777" w:rsidR="009E3C1C" w:rsidRPr="007349E4" w:rsidRDefault="009E3C1C" w:rsidP="009E3C1C">
      <w:pPr>
        <w:spacing w:line="360" w:lineRule="auto"/>
        <w:jc w:val="both"/>
        <w:rPr>
          <w:rFonts w:ascii="Palatino Linotype" w:hAnsi="Palatino Linotype" w:cs="Tahoma"/>
          <w:bCs/>
          <w:sz w:val="22"/>
          <w:szCs w:val="22"/>
        </w:rPr>
      </w:pPr>
    </w:p>
    <w:p w14:paraId="665787FD" w14:textId="77777777" w:rsidR="009E3C1C" w:rsidRDefault="009E3C1C" w:rsidP="009E3C1C">
      <w:pPr>
        <w:spacing w:line="360" w:lineRule="auto"/>
        <w:jc w:val="both"/>
        <w:rPr>
          <w:rFonts w:ascii="Palatino Linotype" w:hAnsi="Palatino Linotype" w:cs="Tahoma"/>
          <w:iCs/>
          <w:sz w:val="22"/>
          <w:szCs w:val="22"/>
          <w:lang w:val="es-ES"/>
        </w:rPr>
      </w:pPr>
      <w:r w:rsidRPr="007349E4">
        <w:rPr>
          <w:rFonts w:ascii="Palatino Linotype" w:hAnsi="Palatino Linotype" w:cs="Tahoma"/>
          <w:iCs/>
          <w:sz w:val="22"/>
          <w:szCs w:val="22"/>
          <w:lang w:val="es-ES"/>
        </w:rPr>
        <w:t xml:space="preserve">En ese orden de ideas, el artículo </w:t>
      </w:r>
      <w:r>
        <w:rPr>
          <w:rFonts w:ascii="Palatino Linotype" w:hAnsi="Palatino Linotype" w:cs="Tahoma"/>
          <w:iCs/>
          <w:sz w:val="22"/>
          <w:szCs w:val="22"/>
          <w:lang w:val="es-ES"/>
        </w:rPr>
        <w:t>4°, fraccio</w:t>
      </w:r>
      <w:r w:rsidRPr="007349E4">
        <w:rPr>
          <w:rFonts w:ascii="Palatino Linotype" w:hAnsi="Palatino Linotype" w:cs="Tahoma"/>
          <w:iCs/>
          <w:sz w:val="22"/>
          <w:szCs w:val="22"/>
          <w:lang w:val="es-ES"/>
        </w:rPr>
        <w:t>n</w:t>
      </w:r>
      <w:r>
        <w:rPr>
          <w:rFonts w:ascii="Palatino Linotype" w:hAnsi="Palatino Linotype" w:cs="Tahoma"/>
          <w:iCs/>
          <w:sz w:val="22"/>
          <w:szCs w:val="22"/>
          <w:lang w:val="es-ES"/>
        </w:rPr>
        <w:t>es</w:t>
      </w:r>
      <w:r w:rsidRPr="007349E4">
        <w:rPr>
          <w:rFonts w:ascii="Palatino Linotype" w:hAnsi="Palatino Linotype" w:cs="Tahoma"/>
          <w:iCs/>
          <w:sz w:val="22"/>
          <w:szCs w:val="22"/>
          <w:lang w:val="es-ES"/>
        </w:rPr>
        <w:t xml:space="preserve"> IX</w:t>
      </w:r>
      <w:r>
        <w:rPr>
          <w:rFonts w:ascii="Palatino Linotype" w:hAnsi="Palatino Linotype" w:cs="Tahoma"/>
          <w:iCs/>
          <w:sz w:val="22"/>
          <w:szCs w:val="22"/>
          <w:lang w:val="es-ES"/>
        </w:rPr>
        <w:t xml:space="preserve"> y X</w:t>
      </w:r>
      <w:r w:rsidRPr="007349E4">
        <w:rPr>
          <w:rFonts w:ascii="Palatino Linotype" w:hAnsi="Palatino Linotype" w:cs="Tahoma"/>
          <w:iCs/>
          <w:sz w:val="22"/>
          <w:szCs w:val="22"/>
          <w:lang w:val="es-ES"/>
        </w:rPr>
        <w:t xml:space="preserve">, de la Ley General de Protección de Datos Personales en Posesión de Sujetos Obligados y </w:t>
      </w:r>
      <w:r>
        <w:rPr>
          <w:rFonts w:ascii="Palatino Linotype" w:hAnsi="Palatino Linotype" w:cs="Tahoma"/>
          <w:iCs/>
          <w:sz w:val="22"/>
          <w:szCs w:val="22"/>
          <w:lang w:val="es-ES"/>
        </w:rPr>
        <w:t>4°, fraccio</w:t>
      </w:r>
      <w:r w:rsidRPr="007349E4">
        <w:rPr>
          <w:rFonts w:ascii="Palatino Linotype" w:hAnsi="Palatino Linotype" w:cs="Tahoma"/>
          <w:iCs/>
          <w:sz w:val="22"/>
          <w:szCs w:val="22"/>
          <w:lang w:val="es-ES"/>
        </w:rPr>
        <w:t>n</w:t>
      </w:r>
      <w:r>
        <w:rPr>
          <w:rFonts w:ascii="Palatino Linotype" w:hAnsi="Palatino Linotype" w:cs="Tahoma"/>
          <w:iCs/>
          <w:sz w:val="22"/>
          <w:szCs w:val="22"/>
          <w:lang w:val="es-ES"/>
        </w:rPr>
        <w:t>es</w:t>
      </w:r>
      <w:r w:rsidRPr="007349E4">
        <w:rPr>
          <w:rFonts w:ascii="Palatino Linotype" w:hAnsi="Palatino Linotype" w:cs="Tahoma"/>
          <w:iCs/>
          <w:sz w:val="22"/>
          <w:szCs w:val="22"/>
          <w:lang w:val="es-ES"/>
        </w:rPr>
        <w:t xml:space="preserve"> XI</w:t>
      </w:r>
      <w:r>
        <w:rPr>
          <w:rFonts w:ascii="Palatino Linotype" w:hAnsi="Palatino Linotype" w:cs="Tahoma"/>
          <w:iCs/>
          <w:sz w:val="22"/>
          <w:szCs w:val="22"/>
          <w:lang w:val="es-ES"/>
        </w:rPr>
        <w:t xml:space="preserve"> y XII</w:t>
      </w:r>
      <w:r w:rsidRPr="007349E4">
        <w:rPr>
          <w:rFonts w:ascii="Palatino Linotype" w:hAnsi="Palatino Linotype" w:cs="Tahoma"/>
          <w:iCs/>
          <w:sz w:val="22"/>
          <w:szCs w:val="22"/>
          <w:lang w:val="es-ES"/>
        </w:rPr>
        <w:t>, de la Ley de Protección de Datos Personales en Posesión de Sujetos Obligados del Estado de México y Municipios, establ</w:t>
      </w:r>
      <w:r>
        <w:rPr>
          <w:rFonts w:ascii="Palatino Linotype" w:hAnsi="Palatino Linotype" w:cs="Tahoma"/>
          <w:iCs/>
          <w:sz w:val="22"/>
          <w:szCs w:val="22"/>
          <w:lang w:val="es-ES"/>
        </w:rPr>
        <w:t>ecen lo siguiente:</w:t>
      </w:r>
    </w:p>
    <w:p w14:paraId="4708DE42" w14:textId="77777777" w:rsidR="009E3C1C" w:rsidRDefault="009E3C1C" w:rsidP="009E3C1C">
      <w:pPr>
        <w:spacing w:line="360" w:lineRule="auto"/>
        <w:jc w:val="both"/>
        <w:rPr>
          <w:rFonts w:ascii="Palatino Linotype" w:hAnsi="Palatino Linotype" w:cs="Tahoma"/>
          <w:iCs/>
          <w:sz w:val="22"/>
          <w:szCs w:val="22"/>
          <w:lang w:val="es-ES"/>
        </w:rPr>
      </w:pPr>
    </w:p>
    <w:p w14:paraId="3A4372A7" w14:textId="2AB22D3C" w:rsidR="009E3C1C" w:rsidRDefault="009E3C1C" w:rsidP="009E3C1C">
      <w:pPr>
        <w:pStyle w:val="Prrafodelista"/>
        <w:numPr>
          <w:ilvl w:val="0"/>
          <w:numId w:val="6"/>
        </w:numPr>
        <w:spacing w:line="360" w:lineRule="auto"/>
        <w:jc w:val="both"/>
        <w:rPr>
          <w:rFonts w:ascii="Palatino Linotype" w:hAnsi="Palatino Linotype" w:cs="Tahoma"/>
          <w:iCs/>
          <w:szCs w:val="22"/>
          <w:lang w:val="es-ES"/>
        </w:rPr>
      </w:pPr>
      <w:r w:rsidRPr="00036C74">
        <w:rPr>
          <w:rFonts w:ascii="Palatino Linotype" w:hAnsi="Palatino Linotype" w:cs="Tahoma"/>
          <w:b/>
          <w:iCs/>
          <w:szCs w:val="22"/>
          <w:lang w:val="es-ES"/>
        </w:rPr>
        <w:lastRenderedPageBreak/>
        <w:t>Datos Personales:</w:t>
      </w:r>
      <w:r>
        <w:rPr>
          <w:rFonts w:ascii="Palatino Linotype" w:hAnsi="Palatino Linotype" w:cs="Tahoma"/>
          <w:b/>
          <w:iCs/>
          <w:szCs w:val="22"/>
          <w:lang w:val="es-ES"/>
        </w:rPr>
        <w:t xml:space="preserve"> </w:t>
      </w:r>
      <w:r w:rsidRPr="00036C74">
        <w:rPr>
          <w:rFonts w:ascii="Palatino Linotype" w:hAnsi="Palatino Linotype" w:cs="Tahoma"/>
          <w:iCs/>
          <w:szCs w:val="22"/>
          <w:lang w:val="es-ES"/>
        </w:rPr>
        <w:t>Son cualquier información concerniente a una persona físic</w:t>
      </w:r>
      <w:r>
        <w:rPr>
          <w:rFonts w:ascii="Palatino Linotype" w:hAnsi="Palatino Linotype" w:cs="Tahoma"/>
          <w:iCs/>
          <w:szCs w:val="22"/>
          <w:lang w:val="es-ES"/>
        </w:rPr>
        <w:t>a identificada o identificable, y</w:t>
      </w:r>
      <w:r w:rsidR="008567B7">
        <w:rPr>
          <w:rFonts w:ascii="Palatino Linotype" w:hAnsi="Palatino Linotype" w:cs="Tahoma"/>
          <w:iCs/>
          <w:szCs w:val="22"/>
          <w:lang w:val="es-ES"/>
        </w:rPr>
        <w:t>;</w:t>
      </w:r>
    </w:p>
    <w:p w14:paraId="489240FE" w14:textId="77777777" w:rsidR="009E3C1C" w:rsidRDefault="009E3C1C" w:rsidP="009E3C1C">
      <w:pPr>
        <w:pStyle w:val="Prrafodelista"/>
        <w:spacing w:line="360" w:lineRule="auto"/>
        <w:jc w:val="both"/>
        <w:rPr>
          <w:rFonts w:ascii="Palatino Linotype" w:hAnsi="Palatino Linotype" w:cs="Tahoma"/>
          <w:iCs/>
          <w:szCs w:val="22"/>
          <w:lang w:val="es-ES"/>
        </w:rPr>
      </w:pPr>
    </w:p>
    <w:p w14:paraId="2DD41F53" w14:textId="77777777" w:rsidR="009E3C1C" w:rsidRPr="00036C74" w:rsidRDefault="009E3C1C" w:rsidP="009E3C1C">
      <w:pPr>
        <w:pStyle w:val="Prrafodelista"/>
        <w:numPr>
          <w:ilvl w:val="0"/>
          <w:numId w:val="6"/>
        </w:numPr>
        <w:spacing w:line="360" w:lineRule="auto"/>
        <w:jc w:val="both"/>
        <w:rPr>
          <w:rFonts w:ascii="Palatino Linotype" w:hAnsi="Palatino Linotype" w:cs="Tahoma"/>
          <w:iCs/>
          <w:szCs w:val="22"/>
          <w:lang w:val="es-ES"/>
        </w:rPr>
      </w:pPr>
      <w:r w:rsidRPr="003B6D2C">
        <w:rPr>
          <w:rFonts w:ascii="Palatino Linotype" w:hAnsi="Palatino Linotype" w:cs="Tahoma"/>
          <w:b/>
          <w:iCs/>
          <w:szCs w:val="22"/>
          <w:lang w:val="es-ES"/>
        </w:rPr>
        <w:t>Datos Personales Sensibles:</w:t>
      </w:r>
      <w:r>
        <w:rPr>
          <w:rFonts w:ascii="Palatino Linotype" w:hAnsi="Palatino Linotype" w:cs="Tahoma"/>
          <w:iCs/>
          <w:szCs w:val="22"/>
          <w:lang w:val="es-ES"/>
        </w:rPr>
        <w:t xml:space="preserve"> S</w:t>
      </w:r>
      <w:r w:rsidRPr="00036C74">
        <w:rPr>
          <w:rFonts w:ascii="Palatino Linotype" w:hAnsi="Palatino Linotype" w:cs="Tahoma"/>
          <w:iCs/>
          <w:szCs w:val="22"/>
          <w:lang w:val="es-ES"/>
        </w:rPr>
        <w:t xml:space="preserve">on aquellos que refieran a la </w:t>
      </w:r>
      <w:r>
        <w:rPr>
          <w:rFonts w:ascii="Palatino Linotype" w:hAnsi="Palatino Linotype" w:cs="Tahoma"/>
          <w:iCs/>
          <w:szCs w:val="22"/>
          <w:lang w:val="es-ES"/>
        </w:rPr>
        <w:t>esfera más íntima de su titular y cuya utilización indebida pueda dar origen a discriminación o un riesgo grave para su titular, entre los cuales se encuentran aquellos que puedan revelar aspectos como origen racial o étnico, estado de salud, información genética, creencias religiosas, filosóficas y morales, opiniones políticas y preferencia sexual.</w:t>
      </w:r>
    </w:p>
    <w:p w14:paraId="3DC27ED5" w14:textId="77777777" w:rsidR="009E3C1C" w:rsidRDefault="009E3C1C" w:rsidP="009E3C1C">
      <w:pPr>
        <w:spacing w:line="360" w:lineRule="auto"/>
        <w:jc w:val="both"/>
        <w:rPr>
          <w:rFonts w:ascii="Palatino Linotype" w:hAnsi="Palatino Linotype" w:cs="Tahoma"/>
          <w:iCs/>
          <w:sz w:val="22"/>
          <w:szCs w:val="22"/>
          <w:lang w:val="es-ES"/>
        </w:rPr>
      </w:pPr>
    </w:p>
    <w:p w14:paraId="69887663" w14:textId="38F1F900" w:rsidR="009E3C1C" w:rsidRDefault="009E3C1C" w:rsidP="009E3C1C">
      <w:pPr>
        <w:spacing w:line="360" w:lineRule="auto"/>
        <w:jc w:val="both"/>
        <w:rPr>
          <w:rFonts w:ascii="Palatino Linotype" w:hAnsi="Palatino Linotype" w:cs="Tahoma"/>
          <w:bCs/>
          <w:iCs/>
          <w:sz w:val="22"/>
          <w:szCs w:val="22"/>
        </w:rPr>
      </w:pPr>
      <w:r w:rsidRPr="00174747">
        <w:rPr>
          <w:rFonts w:ascii="Palatino Linotype" w:hAnsi="Palatino Linotype" w:cs="Tahoma"/>
          <w:iCs/>
          <w:sz w:val="22"/>
          <w:szCs w:val="22"/>
          <w:lang w:val="es-ES"/>
        </w:rPr>
        <w:t xml:space="preserve">En ese contexto, </w:t>
      </w:r>
      <w:r>
        <w:rPr>
          <w:rFonts w:ascii="Palatino Linotype" w:hAnsi="Palatino Linotype" w:cs="Tahoma"/>
          <w:bCs/>
          <w:iCs/>
          <w:sz w:val="22"/>
          <w:szCs w:val="22"/>
        </w:rPr>
        <w:t>Davara, Isabel; Barco, Gregorio, Barco; y Cervantes, Alexis (2019</w:t>
      </w:r>
      <w:r w:rsidRPr="00174747">
        <w:rPr>
          <w:rFonts w:ascii="Palatino Linotype" w:hAnsi="Palatino Linotype" w:cs="Tahoma"/>
          <w:bCs/>
          <w:iCs/>
          <w:sz w:val="22"/>
          <w:szCs w:val="22"/>
        </w:rPr>
        <w:t xml:space="preserve">), en </w:t>
      </w:r>
      <w:r>
        <w:rPr>
          <w:rFonts w:ascii="Palatino Linotype" w:hAnsi="Palatino Linotype" w:cs="Tahoma"/>
          <w:bCs/>
          <w:iCs/>
          <w:sz w:val="22"/>
          <w:szCs w:val="22"/>
        </w:rPr>
        <w:t>el</w:t>
      </w:r>
      <w:r w:rsidRPr="00174747">
        <w:rPr>
          <w:rFonts w:ascii="Palatino Linotype" w:hAnsi="Palatino Linotype" w:cs="Tahoma"/>
          <w:bCs/>
          <w:iCs/>
          <w:sz w:val="22"/>
          <w:szCs w:val="22"/>
        </w:rPr>
        <w:t xml:space="preserve"> “</w:t>
      </w:r>
      <w:r>
        <w:rPr>
          <w:rFonts w:ascii="Palatino Linotype" w:hAnsi="Palatino Linotype" w:cs="Tahoma"/>
          <w:bCs/>
          <w:iCs/>
          <w:sz w:val="22"/>
          <w:szCs w:val="22"/>
        </w:rPr>
        <w:t>Diccionario de Protección de Datos Personales Conceptos Fundamentales</w:t>
      </w:r>
      <w:r w:rsidRPr="00174747">
        <w:rPr>
          <w:rFonts w:ascii="Palatino Linotype" w:hAnsi="Palatino Linotype" w:cs="Tahoma"/>
          <w:bCs/>
          <w:iCs/>
          <w:sz w:val="22"/>
          <w:szCs w:val="22"/>
        </w:rPr>
        <w:t xml:space="preserve">” (p. </w:t>
      </w:r>
      <w:r>
        <w:rPr>
          <w:rFonts w:ascii="Palatino Linotype" w:hAnsi="Palatino Linotype" w:cs="Tahoma"/>
          <w:bCs/>
          <w:iCs/>
          <w:sz w:val="22"/>
          <w:szCs w:val="22"/>
        </w:rPr>
        <w:t>226</w:t>
      </w:r>
      <w:r w:rsidRPr="00174747">
        <w:rPr>
          <w:rFonts w:ascii="Palatino Linotype" w:hAnsi="Palatino Linotype" w:cs="Tahoma"/>
          <w:bCs/>
          <w:iCs/>
          <w:sz w:val="22"/>
          <w:szCs w:val="22"/>
        </w:rPr>
        <w:t xml:space="preserve">), </w:t>
      </w:r>
      <w:r>
        <w:rPr>
          <w:rFonts w:ascii="Palatino Linotype" w:hAnsi="Palatino Linotype" w:cs="Tahoma"/>
          <w:bCs/>
          <w:iCs/>
          <w:sz w:val="22"/>
          <w:szCs w:val="22"/>
        </w:rPr>
        <w:t>precisan que los datos relativos a la salud</w:t>
      </w:r>
      <w:r w:rsidR="005E46DC">
        <w:rPr>
          <w:rFonts w:ascii="Palatino Linotype" w:hAnsi="Palatino Linotype" w:cs="Tahoma"/>
          <w:bCs/>
          <w:iCs/>
          <w:sz w:val="22"/>
          <w:szCs w:val="22"/>
        </w:rPr>
        <w:t xml:space="preserve"> </w:t>
      </w:r>
      <w:r>
        <w:rPr>
          <w:rFonts w:ascii="Palatino Linotype" w:hAnsi="Palatino Linotype" w:cs="Tahoma"/>
          <w:bCs/>
          <w:iCs/>
          <w:sz w:val="22"/>
          <w:szCs w:val="22"/>
        </w:rPr>
        <w:t>son datos personales de carácter sensible, en tanto a que refieren al estado de salud física o mental de un individuo, y que se conforma entre otros, por lo siguientes:</w:t>
      </w:r>
    </w:p>
    <w:p w14:paraId="333298F8" w14:textId="77777777" w:rsidR="009E3C1C" w:rsidRDefault="009E3C1C" w:rsidP="009E3C1C">
      <w:pPr>
        <w:spacing w:line="360" w:lineRule="auto"/>
        <w:jc w:val="both"/>
        <w:rPr>
          <w:rFonts w:ascii="Palatino Linotype" w:hAnsi="Palatino Linotype" w:cs="Tahoma"/>
          <w:bCs/>
          <w:iCs/>
          <w:sz w:val="22"/>
          <w:szCs w:val="22"/>
        </w:rPr>
      </w:pPr>
    </w:p>
    <w:p w14:paraId="3723363D" w14:textId="77777777" w:rsidR="009E3C1C" w:rsidRPr="001A6606" w:rsidRDefault="009E3C1C" w:rsidP="009E3C1C">
      <w:pPr>
        <w:pStyle w:val="Prrafodelista"/>
        <w:numPr>
          <w:ilvl w:val="0"/>
          <w:numId w:val="7"/>
        </w:numPr>
        <w:spacing w:line="360" w:lineRule="auto"/>
        <w:jc w:val="both"/>
        <w:rPr>
          <w:rFonts w:ascii="Palatino Linotype" w:hAnsi="Palatino Linotype" w:cs="Tahoma"/>
          <w:b/>
          <w:bCs/>
          <w:iCs/>
          <w:szCs w:val="22"/>
        </w:rPr>
      </w:pPr>
      <w:r>
        <w:rPr>
          <w:rFonts w:ascii="Palatino Linotype" w:hAnsi="Palatino Linotype" w:cs="Tahoma"/>
          <w:bCs/>
          <w:iCs/>
          <w:szCs w:val="22"/>
        </w:rPr>
        <w:t>Números, símbolos o datos asignados a una persona física identificable que la identifique de manera unívoca a efectos sanitarios;</w:t>
      </w:r>
    </w:p>
    <w:p w14:paraId="5CE49B53" w14:textId="77777777" w:rsidR="009E3C1C" w:rsidRPr="00E618C7" w:rsidRDefault="009E3C1C" w:rsidP="009E3C1C">
      <w:pPr>
        <w:pStyle w:val="Prrafodelista"/>
        <w:spacing w:line="360" w:lineRule="auto"/>
        <w:jc w:val="both"/>
        <w:rPr>
          <w:rFonts w:ascii="Palatino Linotype" w:hAnsi="Palatino Linotype" w:cs="Tahoma"/>
          <w:b/>
          <w:bCs/>
          <w:iCs/>
          <w:szCs w:val="22"/>
        </w:rPr>
      </w:pPr>
    </w:p>
    <w:p w14:paraId="49279ED6" w14:textId="77777777" w:rsidR="009E3C1C" w:rsidRPr="001A6606" w:rsidRDefault="009E3C1C" w:rsidP="009E3C1C">
      <w:pPr>
        <w:pStyle w:val="Prrafodelista"/>
        <w:numPr>
          <w:ilvl w:val="0"/>
          <w:numId w:val="7"/>
        </w:numPr>
        <w:spacing w:line="360" w:lineRule="auto"/>
        <w:jc w:val="both"/>
        <w:rPr>
          <w:rFonts w:ascii="Palatino Linotype" w:hAnsi="Palatino Linotype" w:cs="Tahoma"/>
          <w:b/>
          <w:bCs/>
          <w:iCs/>
          <w:szCs w:val="22"/>
        </w:rPr>
      </w:pPr>
      <w:r>
        <w:rPr>
          <w:rFonts w:ascii="Palatino Linotype" w:hAnsi="Palatino Linotype" w:cs="Tahoma"/>
          <w:bCs/>
          <w:iCs/>
          <w:szCs w:val="22"/>
        </w:rPr>
        <w:t>La información obtenida de pruebas o exámenes de una parte del cuerpo o sustancia corporal, y</w:t>
      </w:r>
    </w:p>
    <w:p w14:paraId="10054FDC" w14:textId="77777777" w:rsidR="009E3C1C" w:rsidRPr="001A6606" w:rsidRDefault="009E3C1C" w:rsidP="009E3C1C">
      <w:pPr>
        <w:pStyle w:val="Prrafodelista"/>
        <w:rPr>
          <w:rFonts w:ascii="Palatino Linotype" w:hAnsi="Palatino Linotype" w:cs="Tahoma"/>
          <w:b/>
          <w:bCs/>
          <w:iCs/>
          <w:szCs w:val="22"/>
        </w:rPr>
      </w:pPr>
    </w:p>
    <w:p w14:paraId="36D575C7" w14:textId="77777777" w:rsidR="009E3C1C" w:rsidRPr="00276BBF" w:rsidRDefault="009E3C1C" w:rsidP="009E3C1C">
      <w:pPr>
        <w:pStyle w:val="Prrafodelista"/>
        <w:numPr>
          <w:ilvl w:val="0"/>
          <w:numId w:val="7"/>
        </w:numPr>
        <w:spacing w:line="360" w:lineRule="auto"/>
        <w:jc w:val="both"/>
        <w:rPr>
          <w:rFonts w:ascii="Palatino Linotype" w:hAnsi="Palatino Linotype" w:cs="Tahoma"/>
          <w:b/>
          <w:bCs/>
          <w:iCs/>
          <w:szCs w:val="22"/>
        </w:rPr>
      </w:pPr>
      <w:r>
        <w:rPr>
          <w:rFonts w:ascii="Palatino Linotype" w:hAnsi="Palatino Linotype" w:cs="Tahoma"/>
          <w:bCs/>
          <w:iCs/>
          <w:szCs w:val="22"/>
        </w:rPr>
        <w:t>La información relativa a una enfermedad, una discapacidad, el riesgo de padecer enfermedades, el historial médico, el tratamiento clínico o el estado fisiológico o biomédico del interesado.</w:t>
      </w:r>
    </w:p>
    <w:p w14:paraId="36141861" w14:textId="77777777" w:rsidR="009E3C1C" w:rsidRPr="00E618C7" w:rsidRDefault="009E3C1C" w:rsidP="009E3C1C">
      <w:pPr>
        <w:pStyle w:val="Prrafodelista"/>
        <w:spacing w:line="360" w:lineRule="auto"/>
        <w:jc w:val="both"/>
        <w:rPr>
          <w:rFonts w:ascii="Palatino Linotype" w:hAnsi="Palatino Linotype" w:cs="Tahoma"/>
          <w:b/>
          <w:bCs/>
          <w:iCs/>
          <w:szCs w:val="22"/>
        </w:rPr>
      </w:pPr>
    </w:p>
    <w:p w14:paraId="3BF806D9" w14:textId="70AC2041" w:rsidR="009E3C1C" w:rsidRDefault="009E3C1C" w:rsidP="009E3C1C">
      <w:pPr>
        <w:spacing w:line="360" w:lineRule="auto"/>
        <w:jc w:val="both"/>
        <w:rPr>
          <w:rFonts w:ascii="Palatino Linotype" w:hAnsi="Palatino Linotype" w:cs="Tahoma"/>
          <w:bCs/>
          <w:iCs/>
          <w:sz w:val="22"/>
          <w:szCs w:val="22"/>
          <w:lang w:val="es-ES"/>
        </w:rPr>
      </w:pPr>
      <w:r>
        <w:rPr>
          <w:rFonts w:ascii="Palatino Linotype" w:hAnsi="Palatino Linotype" w:cs="Tahoma"/>
          <w:iCs/>
          <w:sz w:val="22"/>
          <w:szCs w:val="22"/>
          <w:lang w:val="es-ES"/>
        </w:rPr>
        <w:t>Situación que toma relevancia, p</w:t>
      </w:r>
      <w:r w:rsidR="008B0AFE">
        <w:rPr>
          <w:rFonts w:ascii="Palatino Linotype" w:hAnsi="Palatino Linotype" w:cs="Tahoma"/>
          <w:iCs/>
          <w:sz w:val="22"/>
          <w:szCs w:val="22"/>
          <w:lang w:val="es-ES"/>
        </w:rPr>
        <w:t>u</w:t>
      </w:r>
      <w:r>
        <w:rPr>
          <w:rFonts w:ascii="Palatino Linotype" w:hAnsi="Palatino Linotype" w:cs="Tahoma"/>
          <w:iCs/>
          <w:sz w:val="22"/>
          <w:szCs w:val="22"/>
          <w:lang w:val="es-ES"/>
        </w:rPr>
        <w:t xml:space="preserve">es </w:t>
      </w:r>
      <w:r w:rsidRPr="007349E4">
        <w:rPr>
          <w:rFonts w:ascii="Palatino Linotype" w:hAnsi="Palatino Linotype" w:cs="Tahoma"/>
          <w:bCs/>
          <w:iCs/>
          <w:sz w:val="22"/>
          <w:szCs w:val="22"/>
          <w:lang w:val="es-ES"/>
        </w:rPr>
        <w:t>el apartado ¿Qué son los datos personales?, de la página oficial de este Instituto</w:t>
      </w:r>
      <w:r w:rsidRPr="00D877CF">
        <w:rPr>
          <w:rFonts w:ascii="Palatino Linotype" w:hAnsi="Palatino Linotype" w:cs="Tahoma"/>
          <w:bCs/>
          <w:iCs/>
          <w:lang w:val="es-ES"/>
        </w:rPr>
        <w:t xml:space="preserve"> (consultada en la liga </w:t>
      </w:r>
      <w:hyperlink r:id="rId8" w:history="1">
        <w:r w:rsidRPr="00D877CF">
          <w:rPr>
            <w:rFonts w:ascii="Palatino Linotype" w:hAnsi="Palatino Linotype" w:cs="Tahoma"/>
            <w:bCs/>
            <w:iCs/>
            <w:color w:val="0563C1" w:themeColor="hyperlink"/>
            <w:u w:val="single"/>
            <w:lang w:val="es-ES"/>
          </w:rPr>
          <w:t>https://www.infoem.org.mx/es/contenido/datos-</w:t>
        </w:r>
        <w:r w:rsidRPr="00D877CF">
          <w:rPr>
            <w:rFonts w:ascii="Palatino Linotype" w:hAnsi="Palatino Linotype" w:cs="Tahoma"/>
            <w:bCs/>
            <w:iCs/>
            <w:color w:val="0563C1" w:themeColor="hyperlink"/>
            <w:u w:val="single"/>
            <w:lang w:val="es-ES"/>
          </w:rPr>
          <w:lastRenderedPageBreak/>
          <w:t>personales</w:t>
        </w:r>
      </w:hyperlink>
      <w:r w:rsidRPr="00D877CF">
        <w:rPr>
          <w:rFonts w:ascii="Palatino Linotype" w:hAnsi="Palatino Linotype" w:cs="Tahoma"/>
          <w:bCs/>
          <w:iCs/>
          <w:lang w:val="es-ES"/>
        </w:rPr>
        <w:t>, el veint</w:t>
      </w:r>
      <w:r w:rsidR="00D877CF">
        <w:rPr>
          <w:rFonts w:ascii="Palatino Linotype" w:hAnsi="Palatino Linotype" w:cs="Tahoma"/>
          <w:bCs/>
          <w:iCs/>
          <w:lang w:val="es-ES"/>
        </w:rPr>
        <w:t>e</w:t>
      </w:r>
      <w:r w:rsidRPr="00D877CF">
        <w:rPr>
          <w:rFonts w:ascii="Palatino Linotype" w:hAnsi="Palatino Linotype" w:cs="Tahoma"/>
          <w:bCs/>
          <w:iCs/>
          <w:lang w:val="es-ES"/>
        </w:rPr>
        <w:t xml:space="preserve"> de </w:t>
      </w:r>
      <w:r w:rsidR="00D877CF">
        <w:rPr>
          <w:rFonts w:ascii="Palatino Linotype" w:hAnsi="Palatino Linotype" w:cs="Tahoma"/>
          <w:bCs/>
          <w:iCs/>
          <w:lang w:val="es-ES"/>
        </w:rPr>
        <w:t>abril</w:t>
      </w:r>
      <w:r w:rsidRPr="00D877CF">
        <w:rPr>
          <w:rFonts w:ascii="Palatino Linotype" w:hAnsi="Palatino Linotype" w:cs="Tahoma"/>
          <w:bCs/>
          <w:iCs/>
          <w:lang w:val="es-ES"/>
        </w:rPr>
        <w:t xml:space="preserve"> de dos mil veintidós, a las doce horas)</w:t>
      </w:r>
      <w:r w:rsidRPr="007349E4">
        <w:rPr>
          <w:rFonts w:ascii="Palatino Linotype" w:hAnsi="Palatino Linotype" w:cs="Tahoma"/>
          <w:bCs/>
          <w:iCs/>
          <w:sz w:val="22"/>
          <w:szCs w:val="22"/>
          <w:lang w:val="es-ES"/>
        </w:rPr>
        <w:t xml:space="preserve">, </w:t>
      </w:r>
      <w:r>
        <w:rPr>
          <w:rFonts w:ascii="Palatino Linotype" w:hAnsi="Palatino Linotype" w:cs="Tahoma"/>
          <w:bCs/>
          <w:iCs/>
          <w:sz w:val="22"/>
          <w:szCs w:val="22"/>
          <w:lang w:val="es-ES"/>
        </w:rPr>
        <w:t>reafirma</w:t>
      </w:r>
      <w:r w:rsidRPr="007349E4">
        <w:rPr>
          <w:rFonts w:ascii="Palatino Linotype" w:hAnsi="Palatino Linotype" w:cs="Tahoma"/>
          <w:bCs/>
          <w:iCs/>
          <w:sz w:val="22"/>
          <w:szCs w:val="22"/>
          <w:lang w:val="es-ES"/>
        </w:rPr>
        <w:t xml:space="preserve"> como una categoría de datos personales</w:t>
      </w:r>
      <w:r>
        <w:rPr>
          <w:rFonts w:ascii="Palatino Linotype" w:hAnsi="Palatino Linotype" w:cs="Tahoma"/>
          <w:bCs/>
          <w:iCs/>
          <w:sz w:val="22"/>
          <w:szCs w:val="22"/>
          <w:lang w:val="es-ES"/>
        </w:rPr>
        <w:t xml:space="preserve"> sensibles los concernientes a la salud de una persona, los cuales se conforman de a</w:t>
      </w:r>
      <w:r w:rsidRPr="00731F60">
        <w:rPr>
          <w:rFonts w:ascii="Palatino Linotype" w:hAnsi="Palatino Linotype" w:cs="Tahoma"/>
          <w:bCs/>
          <w:iCs/>
          <w:sz w:val="22"/>
          <w:szCs w:val="22"/>
          <w:lang w:val="es-ES"/>
        </w:rPr>
        <w:t xml:space="preserve">quellos datos relacionados con </w:t>
      </w:r>
      <w:r>
        <w:rPr>
          <w:rFonts w:ascii="Palatino Linotype" w:hAnsi="Palatino Linotype" w:cs="Tahoma"/>
          <w:bCs/>
          <w:iCs/>
          <w:sz w:val="22"/>
          <w:szCs w:val="22"/>
          <w:lang w:val="es-ES"/>
        </w:rPr>
        <w:t>el</w:t>
      </w:r>
      <w:r w:rsidRPr="00731F60">
        <w:rPr>
          <w:rFonts w:ascii="Palatino Linotype" w:hAnsi="Palatino Linotype" w:cs="Tahoma"/>
          <w:bCs/>
          <w:iCs/>
          <w:sz w:val="22"/>
          <w:szCs w:val="22"/>
          <w:lang w:val="es-ES"/>
        </w:rPr>
        <w:t xml:space="preserve"> estado físico o mental, cualquier atención médica, expediente clínico, diagnósticos, padecimientos, vacunas, intervenciones quirúrgicas, incapacidades médicas, discapacidades, uso de aparatos oftalmológicos, ortopédicos, auditivos o prótesis, consumo de sustancias tóxicas y estupefacientes, sintomatologías o análogos.</w:t>
      </w:r>
    </w:p>
    <w:p w14:paraId="352B82DB" w14:textId="77777777" w:rsidR="009E3C1C" w:rsidRPr="007349E4" w:rsidRDefault="009E3C1C" w:rsidP="009E3C1C">
      <w:pPr>
        <w:spacing w:line="360" w:lineRule="auto"/>
        <w:jc w:val="both"/>
        <w:rPr>
          <w:rFonts w:ascii="Palatino Linotype" w:hAnsi="Palatino Linotype" w:cs="Tahoma"/>
          <w:b/>
          <w:bCs/>
          <w:iCs/>
          <w:sz w:val="22"/>
          <w:szCs w:val="22"/>
          <w:lang w:val="es-ES"/>
        </w:rPr>
      </w:pPr>
    </w:p>
    <w:p w14:paraId="6147E519" w14:textId="115ABD1A" w:rsidR="009E3C1C" w:rsidRDefault="009E3C1C" w:rsidP="009E3C1C">
      <w:pPr>
        <w:tabs>
          <w:tab w:val="left" w:pos="3962"/>
        </w:tabs>
        <w:spacing w:line="360" w:lineRule="auto"/>
        <w:jc w:val="both"/>
        <w:rPr>
          <w:rFonts w:ascii="Palatino Linotype" w:hAnsi="Palatino Linotype" w:cs="Tahoma"/>
          <w:bCs/>
          <w:iCs/>
          <w:sz w:val="22"/>
          <w:szCs w:val="22"/>
          <w:lang w:val="es-ES"/>
        </w:rPr>
      </w:pPr>
      <w:r>
        <w:rPr>
          <w:rFonts w:ascii="Palatino Linotype" w:hAnsi="Palatino Linotype" w:cs="Tahoma"/>
          <w:bCs/>
          <w:iCs/>
          <w:sz w:val="22"/>
          <w:szCs w:val="22"/>
          <w:lang w:val="es-ES"/>
        </w:rPr>
        <w:t>Como se logra observar cualquier información o dato que se relacione con el estado de salud de una persona, se considera un dato personal sensible, pues da cuenta del estado de salud físico o mental del titular, lo cual está íntimamente relacionado con su vida privada.</w:t>
      </w:r>
    </w:p>
    <w:p w14:paraId="1E2CCC3F" w14:textId="77777777" w:rsidR="009E3C1C" w:rsidRDefault="009E3C1C" w:rsidP="009E3C1C">
      <w:pPr>
        <w:tabs>
          <w:tab w:val="left" w:pos="3962"/>
        </w:tabs>
        <w:spacing w:line="360" w:lineRule="auto"/>
        <w:jc w:val="both"/>
        <w:rPr>
          <w:rFonts w:ascii="Palatino Linotype" w:hAnsi="Palatino Linotype" w:cs="Tahoma"/>
          <w:bCs/>
          <w:iCs/>
          <w:sz w:val="22"/>
          <w:szCs w:val="22"/>
          <w:lang w:val="es-ES"/>
        </w:rPr>
      </w:pPr>
    </w:p>
    <w:p w14:paraId="35AD25C8" w14:textId="34769B1A" w:rsidR="009E3C1C" w:rsidRDefault="009E3C1C" w:rsidP="009E3C1C">
      <w:pPr>
        <w:tabs>
          <w:tab w:val="left" w:pos="3962"/>
        </w:tabs>
        <w:spacing w:line="360" w:lineRule="auto"/>
        <w:jc w:val="both"/>
        <w:rPr>
          <w:rFonts w:ascii="Palatino Linotype" w:hAnsi="Palatino Linotype" w:cs="Tahoma"/>
          <w:bCs/>
          <w:iCs/>
          <w:sz w:val="22"/>
          <w:szCs w:val="22"/>
          <w:lang w:val="es-ES"/>
        </w:rPr>
      </w:pPr>
      <w:r>
        <w:rPr>
          <w:rFonts w:ascii="Palatino Linotype" w:hAnsi="Palatino Linotype" w:cs="Tahoma"/>
          <w:bCs/>
          <w:iCs/>
          <w:sz w:val="22"/>
          <w:szCs w:val="22"/>
          <w:lang w:val="es-ES"/>
        </w:rPr>
        <w:t xml:space="preserve">En el presente caso, se considera que </w:t>
      </w:r>
      <w:r w:rsidR="009F6498">
        <w:rPr>
          <w:rFonts w:ascii="Palatino Linotype" w:hAnsi="Palatino Linotype" w:cs="Tahoma"/>
          <w:bCs/>
          <w:iCs/>
          <w:sz w:val="22"/>
          <w:szCs w:val="22"/>
          <w:lang w:val="es-ES"/>
        </w:rPr>
        <w:t xml:space="preserve">permitir el acceso a la prueba diagnóstica Covid-19 del Presidente Municipal, </w:t>
      </w:r>
      <w:r w:rsidR="0075006B">
        <w:rPr>
          <w:rFonts w:ascii="Palatino Linotype" w:hAnsi="Palatino Linotype" w:cs="Tahoma"/>
          <w:bCs/>
          <w:iCs/>
          <w:sz w:val="22"/>
          <w:szCs w:val="22"/>
          <w:lang w:val="es-ES"/>
        </w:rPr>
        <w:t xml:space="preserve">refiere a la esfera privada e íntima de este. </w:t>
      </w:r>
    </w:p>
    <w:p w14:paraId="4528F688" w14:textId="77777777" w:rsidR="0075006B" w:rsidRDefault="0075006B" w:rsidP="009E3C1C">
      <w:pPr>
        <w:tabs>
          <w:tab w:val="left" w:pos="3962"/>
        </w:tabs>
        <w:spacing w:line="360" w:lineRule="auto"/>
        <w:jc w:val="both"/>
        <w:rPr>
          <w:rFonts w:ascii="Palatino Linotype" w:hAnsi="Palatino Linotype" w:cs="Tahoma"/>
          <w:bCs/>
          <w:iCs/>
          <w:sz w:val="22"/>
          <w:szCs w:val="22"/>
          <w:lang w:val="es-ES"/>
        </w:rPr>
      </w:pPr>
    </w:p>
    <w:p w14:paraId="4E8F437F" w14:textId="77777777" w:rsidR="009E3C1C" w:rsidRPr="00295A3D" w:rsidRDefault="009E3C1C" w:rsidP="009E3C1C">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 xml:space="preserve">Sobre el tema, </w:t>
      </w:r>
      <w:r w:rsidRPr="00295A3D">
        <w:rPr>
          <w:rFonts w:ascii="Palatino Linotype" w:eastAsia="Calibri" w:hAnsi="Palatino Linotype" w:cs="Tahoma"/>
          <w:bCs/>
          <w:sz w:val="22"/>
          <w:szCs w:val="22"/>
          <w:lang w:val="es-ES" w:eastAsia="en-US"/>
        </w:rPr>
        <w:t>el artículo 12 de la Declaración Universal de los Derechos Humanos</w:t>
      </w:r>
      <w:r w:rsidRPr="00295A3D">
        <w:rPr>
          <w:rFonts w:ascii="Palatino Linotype" w:eastAsia="Calibri" w:hAnsi="Palatino Linotype" w:cs="Tahoma"/>
          <w:bCs/>
          <w:i/>
          <w:sz w:val="22"/>
          <w:szCs w:val="22"/>
          <w:lang w:val="es-ES" w:eastAsia="en-US"/>
        </w:rPr>
        <w:t xml:space="preserve"> </w:t>
      </w:r>
      <w:r w:rsidRPr="00295A3D">
        <w:rPr>
          <w:rFonts w:ascii="Palatino Linotype" w:eastAsia="Calibri" w:hAnsi="Palatino Linotype" w:cs="Tahoma"/>
          <w:bCs/>
          <w:sz w:val="22"/>
          <w:szCs w:val="22"/>
          <w:lang w:val="es-ES" w:eastAsia="en-US"/>
        </w:rPr>
        <w:t>prevé que nadie será objeto d</w:t>
      </w:r>
      <w:r w:rsidRPr="0075006B">
        <w:rPr>
          <w:rFonts w:ascii="Palatino Linotype" w:eastAsia="Calibri" w:hAnsi="Palatino Linotype" w:cs="Tahoma"/>
          <w:bCs/>
          <w:sz w:val="22"/>
          <w:szCs w:val="22"/>
          <w:lang w:val="es-ES" w:eastAsia="en-US"/>
        </w:rPr>
        <w:t>e injerencias arbitrarias en su vida privada, su familia, su domicilio o su correspondencia</w:t>
      </w:r>
      <w:r w:rsidRPr="00295A3D">
        <w:rPr>
          <w:rFonts w:ascii="Palatino Linotype" w:eastAsia="Calibri" w:hAnsi="Palatino Linotype" w:cs="Tahoma"/>
          <w:bCs/>
          <w:sz w:val="22"/>
          <w:szCs w:val="22"/>
          <w:lang w:val="es-ES" w:eastAsia="en-US"/>
        </w:rPr>
        <w:t>, ni de ataques a su honra o a su reputación. Toda persona tiene derecho a la protección de la ley contra tales injerencias o ataques.</w:t>
      </w:r>
    </w:p>
    <w:p w14:paraId="691D30CE" w14:textId="77777777" w:rsidR="009E3C1C" w:rsidRPr="00295A3D" w:rsidRDefault="009E3C1C" w:rsidP="009E3C1C">
      <w:pPr>
        <w:spacing w:line="360" w:lineRule="auto"/>
        <w:jc w:val="both"/>
        <w:rPr>
          <w:rFonts w:ascii="Palatino Linotype" w:eastAsia="Calibri" w:hAnsi="Palatino Linotype" w:cs="Tahoma"/>
          <w:bCs/>
          <w:sz w:val="22"/>
          <w:szCs w:val="22"/>
          <w:lang w:val="es-ES" w:eastAsia="en-US"/>
        </w:rPr>
      </w:pPr>
    </w:p>
    <w:p w14:paraId="1FE64E97" w14:textId="77777777" w:rsidR="009E3C1C" w:rsidRPr="00295A3D" w:rsidRDefault="009E3C1C" w:rsidP="009E3C1C">
      <w:pPr>
        <w:spacing w:line="360" w:lineRule="auto"/>
        <w:jc w:val="both"/>
        <w:rPr>
          <w:rFonts w:ascii="Palatino Linotype" w:eastAsia="Calibri" w:hAnsi="Palatino Linotype" w:cs="Tahoma"/>
          <w:bCs/>
          <w:sz w:val="22"/>
          <w:szCs w:val="22"/>
          <w:lang w:val="es-ES" w:eastAsia="en-US"/>
        </w:rPr>
      </w:pPr>
      <w:r w:rsidRPr="00295A3D">
        <w:rPr>
          <w:rFonts w:ascii="Palatino Linotype" w:eastAsia="Calibri" w:hAnsi="Palatino Linotype" w:cs="Tahoma"/>
          <w:bCs/>
          <w:sz w:val="22"/>
          <w:szCs w:val="22"/>
          <w:lang w:val="es-ES" w:eastAsia="en-US"/>
        </w:rPr>
        <w:t>De igual manera, la Convención Americana sobre los Derechos Humanos, en su artículo 11, establece que toda persona tiene derecho al respeto de su honra y al reconocimiento de su dignidad; que nadie puede ser objeto de injerencias arbitrarias o abusivas en su vida privada, en la de su familia, en su domicilio o en su correspondencia, ni de ataques ilegales a su honra o reputación; y que toda persona tiene derecho a la protección de la ley contra esas injerencias o esos ataques.</w:t>
      </w:r>
    </w:p>
    <w:p w14:paraId="6161C514" w14:textId="77777777" w:rsidR="009E3C1C" w:rsidRPr="00295A3D" w:rsidRDefault="009E3C1C" w:rsidP="009E3C1C">
      <w:pPr>
        <w:spacing w:line="360" w:lineRule="auto"/>
        <w:jc w:val="both"/>
        <w:rPr>
          <w:rFonts w:ascii="Palatino Linotype" w:hAnsi="Palatino Linotype" w:cs="Tahoma"/>
          <w:sz w:val="22"/>
          <w:szCs w:val="22"/>
          <w:lang w:val="es-ES"/>
        </w:rPr>
      </w:pPr>
    </w:p>
    <w:p w14:paraId="7ED28261" w14:textId="77777777" w:rsidR="009E3C1C" w:rsidRPr="00295A3D" w:rsidRDefault="009E3C1C" w:rsidP="009E3C1C">
      <w:pPr>
        <w:spacing w:line="360" w:lineRule="auto"/>
        <w:jc w:val="both"/>
        <w:rPr>
          <w:rFonts w:ascii="Palatino Linotype" w:eastAsia="Calibri" w:hAnsi="Palatino Linotype" w:cs="Tahoma"/>
          <w:bCs/>
          <w:sz w:val="22"/>
          <w:szCs w:val="22"/>
          <w:lang w:val="es-ES" w:eastAsia="en-US"/>
        </w:rPr>
      </w:pPr>
      <w:r w:rsidRPr="00295A3D">
        <w:rPr>
          <w:rFonts w:ascii="Palatino Linotype" w:eastAsia="Calibri" w:hAnsi="Palatino Linotype" w:cs="Tahoma"/>
          <w:bCs/>
          <w:sz w:val="22"/>
          <w:szCs w:val="22"/>
          <w:lang w:val="es-ES" w:eastAsia="en-US"/>
        </w:rPr>
        <w:lastRenderedPageBreak/>
        <w:t>Finalmente, el artículo 17 del Pacto Internacional de los Derechos Civiles y Políticos señala que nadie será objeto de injerencias arbitrarias o ilegales en su vida privada, su familia, su domicilio o su correspondencia, ni de ataques ilegales a su honra y reputación; y que toda persona tiene derecho a la protección de la ley contra esas injerencias o esos ataques.</w:t>
      </w:r>
    </w:p>
    <w:p w14:paraId="03A2CFCD" w14:textId="77777777" w:rsidR="009E3C1C" w:rsidRPr="00295A3D" w:rsidRDefault="009E3C1C" w:rsidP="009E3C1C">
      <w:pPr>
        <w:tabs>
          <w:tab w:val="left" w:pos="2475"/>
        </w:tabs>
        <w:spacing w:line="360" w:lineRule="auto"/>
        <w:jc w:val="both"/>
        <w:rPr>
          <w:rFonts w:ascii="Palatino Linotype" w:hAnsi="Palatino Linotype" w:cs="Tahoma"/>
          <w:sz w:val="22"/>
          <w:szCs w:val="22"/>
          <w:lang w:val="es-ES"/>
        </w:rPr>
      </w:pPr>
    </w:p>
    <w:p w14:paraId="180AA7A5" w14:textId="77777777" w:rsidR="009E3C1C" w:rsidRPr="00295A3D" w:rsidRDefault="009E3C1C" w:rsidP="009E3C1C">
      <w:pPr>
        <w:spacing w:line="360" w:lineRule="auto"/>
        <w:ind w:right="-93"/>
        <w:jc w:val="both"/>
        <w:rPr>
          <w:rFonts w:ascii="Palatino Linotype" w:eastAsia="Calibri" w:hAnsi="Palatino Linotype" w:cs="Tahoma"/>
          <w:bCs/>
          <w:sz w:val="22"/>
          <w:szCs w:val="22"/>
          <w:lang w:val="es-ES" w:eastAsia="en-US"/>
        </w:rPr>
      </w:pPr>
      <w:r w:rsidRPr="00295A3D">
        <w:rPr>
          <w:rFonts w:ascii="Palatino Linotype" w:eastAsia="Calibri" w:hAnsi="Palatino Linotype" w:cs="Tahoma"/>
          <w:bCs/>
          <w:sz w:val="22"/>
          <w:szCs w:val="22"/>
          <w:lang w:eastAsia="en-US"/>
        </w:rPr>
        <w:t>Abona a lo anterior,</w:t>
      </w:r>
      <w:r w:rsidRPr="00295A3D">
        <w:rPr>
          <w:rFonts w:ascii="Palatino Linotype" w:eastAsia="Calibri" w:hAnsi="Palatino Linotype" w:cs="Tahoma"/>
          <w:bCs/>
          <w:sz w:val="22"/>
          <w:szCs w:val="22"/>
          <w:lang w:val="es-ES" w:eastAsia="en-US"/>
        </w:rPr>
        <w:t xml:space="preserve"> lo previsto en la tesis aislada número 1a. CCXIV/2009, emitida por la Primera Sala de la Suprema Corte de Justicia de la Nación, publicada </w:t>
      </w:r>
      <w:r w:rsidRPr="00295A3D">
        <w:rPr>
          <w:rFonts w:ascii="Palatino Linotype" w:eastAsia="Calibri" w:hAnsi="Palatino Linotype" w:cs="Tahoma"/>
          <w:bCs/>
          <w:iCs/>
          <w:sz w:val="22"/>
          <w:szCs w:val="22"/>
          <w:lang w:val="es-ES" w:eastAsia="en-US"/>
        </w:rPr>
        <w:t>en la Gaceta del Semanario Judicial de la Federación, Tomo XXX, de diciembre de 2009, página 277, de la Novena Época, materia constitucional,</w:t>
      </w:r>
      <w:r w:rsidRPr="00295A3D">
        <w:rPr>
          <w:rFonts w:ascii="Palatino Linotype" w:eastAsia="Calibri" w:hAnsi="Palatino Linotype" w:cs="Tahoma"/>
          <w:bCs/>
          <w:sz w:val="22"/>
          <w:szCs w:val="22"/>
          <w:lang w:val="es-ES" w:eastAsia="en-US"/>
        </w:rPr>
        <w:t xml:space="preserve"> que establece lo siguiente:</w:t>
      </w:r>
    </w:p>
    <w:p w14:paraId="6BCE12F2" w14:textId="77777777" w:rsidR="009E3C1C" w:rsidRPr="00295A3D" w:rsidRDefault="009E3C1C" w:rsidP="009E3C1C">
      <w:pPr>
        <w:spacing w:line="360" w:lineRule="auto"/>
        <w:ind w:right="-93"/>
        <w:jc w:val="both"/>
        <w:rPr>
          <w:rFonts w:ascii="Palatino Linotype" w:eastAsia="Calibri" w:hAnsi="Palatino Linotype" w:cs="Tahoma"/>
          <w:bCs/>
          <w:sz w:val="22"/>
          <w:szCs w:val="22"/>
          <w:lang w:val="es-ES" w:eastAsia="en-US"/>
        </w:rPr>
      </w:pPr>
    </w:p>
    <w:p w14:paraId="5BB9BBFB" w14:textId="77777777" w:rsidR="009E3C1C" w:rsidRPr="00295A3D" w:rsidRDefault="009E3C1C" w:rsidP="009E3C1C">
      <w:pPr>
        <w:spacing w:line="360" w:lineRule="auto"/>
        <w:ind w:left="567" w:right="567"/>
        <w:jc w:val="both"/>
        <w:rPr>
          <w:rFonts w:ascii="Palatino Linotype" w:eastAsia="Calibri" w:hAnsi="Palatino Linotype" w:cs="Tahoma"/>
          <w:bCs/>
          <w:i/>
          <w:lang w:val="es-ES" w:eastAsia="en-US"/>
        </w:rPr>
      </w:pPr>
      <w:r w:rsidRPr="00295A3D">
        <w:rPr>
          <w:rFonts w:ascii="Palatino Linotype" w:eastAsia="Calibri" w:hAnsi="Palatino Linotype" w:cs="Tahoma"/>
          <w:bCs/>
          <w:i/>
          <w:lang w:val="es-ES" w:eastAsia="en-US"/>
        </w:rPr>
        <w:t>“</w:t>
      </w:r>
      <w:r w:rsidRPr="00295A3D">
        <w:rPr>
          <w:rFonts w:ascii="Palatino Linotype" w:eastAsia="Calibri" w:hAnsi="Palatino Linotype" w:cs="Tahoma"/>
          <w:b/>
          <w:bCs/>
          <w:i/>
          <w:lang w:val="es-ES" w:eastAsia="en-US"/>
        </w:rPr>
        <w:t xml:space="preserve">DERECHO A LA VIDA PRIVADA. SU CONTENIDO GENERAL Y LA IMPORTANCIA DE NO DESCONTEXTUALIZAR LAS REFERENCIAS A LA MISMA. </w:t>
      </w:r>
      <w:r w:rsidRPr="00295A3D">
        <w:rPr>
          <w:rFonts w:ascii="Palatino Linotype" w:eastAsia="Calibri" w:hAnsi="Palatino Linotype" w:cs="Tahoma"/>
          <w:bCs/>
          <w:i/>
          <w:lang w:val="es-ES" w:eastAsia="en-US"/>
        </w:rPr>
        <w:t xml:space="preserve">La Suprema Corte de Justicia de la Nación se ha referido en varias tesis a los rasgos característicos de la noción de lo ‘privado’. Así, lo ha relacionado con: lo que no constituye vida pública; el ámbito reservado frente a la acción y el conocimiento de los demás; lo que se desea compartir únicamente con aquellos que uno elige; las actividades de las personas en la esfera particular, relacionadas con el hogar y la familia; o aquello que las personas no desempeñan con el carácter de servidores públicos. Por otro lado, el derecho a la vida privada (o intimidad) está reconocido y protegido en declaraciones y tratados de derechos humanos que forman parte del orden jurídico mexicano, como la Declaración Universal de los Derechos Humanos (artículo 12), el Pacto Internacional de Derechos Civiles y Políticos (artículo 17), la Convención Americana sobre Derechos Humanos (artículo 11) y la Convención sobre los Derechos del Niño (artículo 16). Al interpretar estas disposiciones, los organismos internacionales han destacado que la noción de vida privada atañe a la esfera de la vida en la que las personas pueden expresar libremente su identidad, ya sea en sus relaciones con los demás o en lo individual, y han destacado su vinculación con un amplio abanico de otros derechos, como la inviolabilidad de la correspondencia y de las comunicaciones en general, la inviolabilidad del domicilio, las garantías respecto de los registros personales y corporales, las relacionadas con la recopilación y registro de información personal en bancos de datos y otros dispositivos; el derecho a una vivienda adecuada, a la salud y a la igualdad; los derechos reproductivos, o la protección en caso de desalojos forzados. </w:t>
      </w:r>
      <w:r w:rsidRPr="00295A3D">
        <w:rPr>
          <w:rFonts w:ascii="Palatino Linotype" w:eastAsia="Calibri" w:hAnsi="Palatino Linotype" w:cs="Tahoma"/>
          <w:bCs/>
          <w:i/>
          <w:lang w:val="es-ES" w:eastAsia="en-US"/>
        </w:rPr>
        <w:lastRenderedPageBreak/>
        <w:t xml:space="preserve">Las afirmaciones contenidas en las resoluciones nacionales e internacionales son útiles en la medida en que no se tomen de manera descontextualizada, emerjan de un análisis cuidadoso de los diferentes escenarios jurídicos en los que la idea de privacidad entra en juego y no se pretenda derivar de ellas un concepto mecánico de vida privada, de referentes fijos e inmutables. Lo único que estas resoluciones permiten reconstruir, en términos abstractos, es la imagen general que evoca la idea de privacidad en nuestro contexto cultural. </w:t>
      </w:r>
      <w:r w:rsidRPr="00295A3D">
        <w:rPr>
          <w:rFonts w:ascii="Palatino Linotype" w:eastAsia="Calibri" w:hAnsi="Palatino Linotype" w:cs="Tahoma"/>
          <w:b/>
          <w:bCs/>
          <w:i/>
          <w:lang w:val="es-ES" w:eastAsia="en-US"/>
        </w:rPr>
        <w:t>Según esta noción, las personas tienen derecho a gozar de un ámbito de proyección de su existencia que quede reservado de la invasión y la mirada de los demás, que les concierna sólo a ellos y les provea de condiciones adecuadas para el despliegue de su individualidad -para el desarrollo de su autonomía y su libertad-.</w:t>
      </w:r>
      <w:r w:rsidRPr="00295A3D">
        <w:rPr>
          <w:rFonts w:ascii="Palatino Linotype" w:eastAsia="Calibri" w:hAnsi="Palatino Linotype" w:cs="Tahoma"/>
          <w:bCs/>
          <w:i/>
          <w:lang w:val="es-ES" w:eastAsia="en-US"/>
        </w:rPr>
        <w:t xml:space="preserve"> A un nivel más concreto, la misma idea puede describirse apelando al derecho de las personas a mantener fuera del conocimiento de los demás (o, a veces, dentro del círculo de sus personas más próximas) ciertas manifestaciones o dimensiones de su existencia (conducta, datos, información, objetos) y al correspondiente derecho a que los demás no las invadan sin su consentimiento. </w:t>
      </w:r>
      <w:r w:rsidRPr="00295A3D">
        <w:rPr>
          <w:rFonts w:ascii="Palatino Linotype" w:eastAsia="Calibri" w:hAnsi="Palatino Linotype" w:cs="Tahoma"/>
          <w:b/>
          <w:bCs/>
          <w:i/>
          <w:lang w:val="es-ES" w:eastAsia="en-US"/>
        </w:rPr>
        <w:t>En un sentido amplio, entonces, la protección constitucional de la vida privada implica poder conducir parte de la vida de uno protegido de la mirada y las injerencias de los demás</w:t>
      </w:r>
      <w:r w:rsidRPr="00295A3D">
        <w:rPr>
          <w:rFonts w:ascii="Palatino Linotype" w:eastAsia="Calibri" w:hAnsi="Palatino Linotype" w:cs="Tahoma"/>
          <w:bCs/>
          <w:i/>
          <w:lang w:val="es-ES" w:eastAsia="en-US"/>
        </w:rPr>
        <w:t>, y guarda conexiones de variado tipo con pretensiones más concretas que los textos constitucionales actuales reconocen a veces como derechos conexos: el derecho de poder tomar libremente ciertas decisiones atinentes al propio plan de vida, el derecho a ver protegidas ciertas manifestaciones de integridad física y moral, el derecho al honor o reputación, el derecho a no ser presentado bajo una falsa apariencia, el derecho a impedir la divulgación de ciertos hechos o la publicación no autorizada de cierto tipo de fotografías, la protección contra el espionaje, la protección contra el uso abusivo de las comunicaciones privadas, o la protección contra la divulgación de informaciones comunicadas o recibidas confidencialmente por un particular.”</w:t>
      </w:r>
    </w:p>
    <w:p w14:paraId="7F6D85F0" w14:textId="77777777" w:rsidR="009E3C1C" w:rsidRPr="00295A3D" w:rsidRDefault="009E3C1C" w:rsidP="009E3C1C">
      <w:pPr>
        <w:spacing w:line="360" w:lineRule="auto"/>
        <w:ind w:right="-93"/>
        <w:jc w:val="both"/>
        <w:rPr>
          <w:rFonts w:ascii="Palatino Linotype" w:eastAsia="Calibri" w:hAnsi="Palatino Linotype" w:cs="Tahoma"/>
          <w:bCs/>
          <w:sz w:val="22"/>
          <w:szCs w:val="22"/>
          <w:lang w:val="es-ES" w:eastAsia="en-US"/>
        </w:rPr>
      </w:pPr>
    </w:p>
    <w:p w14:paraId="27B84EC3" w14:textId="77777777" w:rsidR="009E3C1C" w:rsidRPr="00295A3D" w:rsidRDefault="009E3C1C" w:rsidP="009E3C1C">
      <w:pPr>
        <w:spacing w:line="360" w:lineRule="auto"/>
        <w:ind w:right="-93"/>
        <w:jc w:val="both"/>
        <w:rPr>
          <w:rFonts w:ascii="Palatino Linotype" w:eastAsia="Calibri" w:hAnsi="Palatino Linotype" w:cs="Tahoma"/>
          <w:b/>
          <w:bCs/>
          <w:sz w:val="22"/>
          <w:szCs w:val="22"/>
          <w:lang w:val="es-ES" w:eastAsia="en-US"/>
        </w:rPr>
      </w:pPr>
      <w:r w:rsidRPr="00295A3D">
        <w:rPr>
          <w:rFonts w:ascii="Palatino Linotype" w:eastAsia="Calibri" w:hAnsi="Palatino Linotype" w:cs="Tahoma"/>
          <w:bCs/>
          <w:sz w:val="22"/>
          <w:szCs w:val="22"/>
          <w:lang w:val="es-ES" w:eastAsia="en-US"/>
        </w:rPr>
        <w:t xml:space="preserve">De conformidad con lo señalado, se colige que </w:t>
      </w:r>
      <w:r w:rsidRPr="0075006B">
        <w:rPr>
          <w:rFonts w:ascii="Palatino Linotype" w:eastAsia="Calibri" w:hAnsi="Palatino Linotype" w:cs="Tahoma"/>
          <w:sz w:val="22"/>
          <w:szCs w:val="22"/>
          <w:lang w:val="es-ES" w:eastAsia="en-US"/>
        </w:rPr>
        <w:t>las actividades que realicen los particulares, dentro del ámbito privado, o dentro de la esfera particular, es información que debe protegerse, como lo es, la información relacionada con la salud, es decir aquellos que den cuenta de su estado físico y mental; aunado a que dichos datos, son considerados como sensibles.</w:t>
      </w:r>
    </w:p>
    <w:p w14:paraId="081766CB" w14:textId="77777777" w:rsidR="009E3C1C" w:rsidRDefault="009E3C1C" w:rsidP="009E3C1C">
      <w:pPr>
        <w:tabs>
          <w:tab w:val="left" w:pos="3962"/>
        </w:tabs>
        <w:spacing w:line="360" w:lineRule="auto"/>
        <w:jc w:val="both"/>
        <w:rPr>
          <w:rFonts w:ascii="Palatino Linotype" w:hAnsi="Palatino Linotype" w:cs="Tahoma"/>
          <w:bCs/>
          <w:iCs/>
          <w:sz w:val="22"/>
          <w:szCs w:val="22"/>
          <w:lang w:val="es-ES"/>
        </w:rPr>
      </w:pPr>
    </w:p>
    <w:p w14:paraId="04CF26B5" w14:textId="31D08869" w:rsidR="009E3C1C" w:rsidRDefault="009E3C1C" w:rsidP="009E3C1C">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lastRenderedPageBreak/>
        <w:t>Conforme a lo anterior,</w:t>
      </w:r>
      <w:r w:rsidR="00A403D7">
        <w:rPr>
          <w:rFonts w:ascii="Palatino Linotype" w:eastAsia="Calibri" w:hAnsi="Palatino Linotype" w:cs="Tahoma"/>
          <w:bCs/>
          <w:sz w:val="22"/>
          <w:szCs w:val="22"/>
          <w:lang w:eastAsia="en-US"/>
        </w:rPr>
        <w:t xml:space="preserve"> permitir el acceso a los resultado</w:t>
      </w:r>
      <w:r w:rsidR="009F3C1C">
        <w:rPr>
          <w:rFonts w:ascii="Palatino Linotype" w:eastAsia="Calibri" w:hAnsi="Palatino Linotype" w:cs="Tahoma"/>
          <w:bCs/>
          <w:sz w:val="22"/>
          <w:szCs w:val="22"/>
          <w:lang w:eastAsia="en-US"/>
        </w:rPr>
        <w:t>s</w:t>
      </w:r>
      <w:r w:rsidR="00A403D7">
        <w:rPr>
          <w:rFonts w:ascii="Palatino Linotype" w:eastAsia="Calibri" w:hAnsi="Palatino Linotype" w:cs="Tahoma"/>
          <w:bCs/>
          <w:sz w:val="22"/>
          <w:szCs w:val="22"/>
          <w:lang w:eastAsia="en-US"/>
        </w:rPr>
        <w:t xml:space="preserve"> derivados de la prueba diagnóstica de Covid-19 del Presidente Municipal</w:t>
      </w:r>
      <w:r>
        <w:rPr>
          <w:rFonts w:ascii="Palatino Linotype" w:eastAsia="Calibri" w:hAnsi="Palatino Linotype" w:cs="Tahoma"/>
          <w:bCs/>
          <w:sz w:val="22"/>
          <w:szCs w:val="22"/>
          <w:lang w:eastAsia="en-US"/>
        </w:rPr>
        <w:t>, podría dar cuenta del estado de</w:t>
      </w:r>
      <w:r w:rsidR="00A403D7">
        <w:rPr>
          <w:rFonts w:ascii="Palatino Linotype" w:eastAsia="Calibri" w:hAnsi="Palatino Linotype" w:cs="Tahoma"/>
          <w:bCs/>
          <w:sz w:val="22"/>
          <w:szCs w:val="22"/>
          <w:lang w:eastAsia="en-US"/>
        </w:rPr>
        <w:t xml:space="preserve"> su salud</w:t>
      </w:r>
      <w:r>
        <w:rPr>
          <w:rFonts w:ascii="Palatino Linotype" w:eastAsia="Calibri" w:hAnsi="Palatino Linotype" w:cs="Tahoma"/>
          <w:bCs/>
          <w:sz w:val="22"/>
          <w:szCs w:val="22"/>
          <w:lang w:eastAsia="en-US"/>
        </w:rPr>
        <w:t>, lo cual pertenece al ámbito privado de e</w:t>
      </w:r>
      <w:r w:rsidR="00A403D7">
        <w:rPr>
          <w:rFonts w:ascii="Palatino Linotype" w:eastAsia="Calibri" w:hAnsi="Palatino Linotype" w:cs="Tahoma"/>
          <w:bCs/>
          <w:sz w:val="22"/>
          <w:szCs w:val="22"/>
          <w:lang w:eastAsia="en-US"/>
        </w:rPr>
        <w:t xml:space="preserve">ste servidor público. </w:t>
      </w:r>
    </w:p>
    <w:p w14:paraId="1A0CA0A2" w14:textId="77777777" w:rsidR="009E3C1C" w:rsidRDefault="009E3C1C" w:rsidP="009E3C1C">
      <w:pPr>
        <w:spacing w:line="360" w:lineRule="auto"/>
        <w:ind w:right="-93"/>
        <w:jc w:val="both"/>
        <w:rPr>
          <w:rFonts w:ascii="Palatino Linotype" w:eastAsia="Calibri" w:hAnsi="Palatino Linotype" w:cs="Tahoma"/>
          <w:bCs/>
          <w:sz w:val="22"/>
          <w:szCs w:val="22"/>
          <w:lang w:eastAsia="en-US"/>
        </w:rPr>
      </w:pPr>
    </w:p>
    <w:p w14:paraId="717B2723" w14:textId="77777777" w:rsidR="009E3C1C" w:rsidRPr="00C25532" w:rsidRDefault="009E3C1C" w:rsidP="009E3C1C">
      <w:pPr>
        <w:spacing w:line="360" w:lineRule="auto"/>
        <w:ind w:right="-93"/>
        <w:jc w:val="both"/>
        <w:rPr>
          <w:rFonts w:ascii="Palatino Linotype" w:eastAsia="Calibri" w:hAnsi="Palatino Linotype" w:cs="Tahoma"/>
          <w:bCs/>
          <w:sz w:val="22"/>
          <w:szCs w:val="22"/>
          <w:lang w:eastAsia="en-US"/>
        </w:rPr>
      </w:pPr>
      <w:r w:rsidRPr="00C25532">
        <w:rPr>
          <w:rFonts w:ascii="Palatino Linotype" w:eastAsia="Calibri" w:hAnsi="Palatino Linotype" w:cs="Tahoma"/>
          <w:bCs/>
          <w:sz w:val="22"/>
          <w:szCs w:val="22"/>
          <w:lang w:eastAsia="en-US"/>
        </w:rPr>
        <w:t>En ese contexto, se trae a colación la tesis aislada número 2a. LXIII/2008, emitida por la Segunda Sala de la Suprema Corte de Justicia de la Nación, publicada en la Gaceta del Semanario Judicial de la Federación, Tomo XXVII, de mayo de 2008, página 229, de la Novena Época, materia constitucional, misma que a la letra señala:</w:t>
      </w:r>
    </w:p>
    <w:p w14:paraId="1C996413" w14:textId="77777777" w:rsidR="009E3C1C" w:rsidRPr="00C25532" w:rsidRDefault="009E3C1C" w:rsidP="009E3C1C">
      <w:pPr>
        <w:spacing w:line="360" w:lineRule="auto"/>
        <w:ind w:right="-93"/>
        <w:jc w:val="both"/>
        <w:rPr>
          <w:rFonts w:ascii="Palatino Linotype" w:eastAsia="Calibri" w:hAnsi="Palatino Linotype" w:cs="Tahoma"/>
          <w:b/>
          <w:bCs/>
          <w:sz w:val="22"/>
          <w:szCs w:val="22"/>
          <w:lang w:eastAsia="en-US"/>
        </w:rPr>
      </w:pPr>
    </w:p>
    <w:p w14:paraId="43A0F835" w14:textId="77777777" w:rsidR="009E3C1C" w:rsidRPr="00C25532" w:rsidRDefault="009E3C1C" w:rsidP="009E3C1C">
      <w:pPr>
        <w:spacing w:line="360" w:lineRule="auto"/>
        <w:ind w:left="567" w:right="567"/>
        <w:jc w:val="both"/>
        <w:rPr>
          <w:rFonts w:ascii="Palatino Linotype" w:eastAsia="Calibri" w:hAnsi="Palatino Linotype" w:cs="Tahoma"/>
          <w:bCs/>
          <w:i/>
          <w:lang w:val="es-ES" w:eastAsia="en-US"/>
        </w:rPr>
      </w:pPr>
      <w:r w:rsidRPr="00C25532">
        <w:rPr>
          <w:rFonts w:ascii="Palatino Linotype" w:eastAsia="Calibri" w:hAnsi="Palatino Linotype" w:cs="Tahoma"/>
          <w:b/>
          <w:bCs/>
          <w:i/>
          <w:lang w:val="es-ES" w:eastAsia="en-US"/>
        </w:rPr>
        <w:t xml:space="preserve">“DERECHO A LA PRIVACIDAD O INTIMIDAD. ESTÁ PROTEGIDO POR EL ARTÍCULO 16, PRIMER PÁRRAFO, DE LA CONSTITUCIÓN POLÍTICA DE LOS ESTADOS UNIDOS MEXICANOS. </w:t>
      </w:r>
      <w:r w:rsidRPr="00C25532">
        <w:rPr>
          <w:rFonts w:ascii="Palatino Linotype" w:eastAsia="Calibri" w:hAnsi="Palatino Linotype" w:cs="Tahoma"/>
          <w:bCs/>
          <w:i/>
          <w:lang w:val="es-ES" w:eastAsia="en-US"/>
        </w:rPr>
        <w:t>Dicho numeral establece, en general, la garantía de seguridad jurídica de todo gobernado a no ser molestado en su persona, familia, papeles o posesiones, sino cuando medie mandato de autoridad competente debidamente fundado y motivado, de lo que deriva la inviolabilidad del domicilio, cuya finalidad primordial es el respeto a un ámbito de la vida privada personal y familiar que debe quedar excluido del conocimiento ajeno y de las intromisiones de los demás, con la limitante que la Constitución Política de los Estados Unidos Mexicanos establece para las autoridades. En un sentido amplio, la referida garantía puede extenderse a una protección que va más allá del aseguramiento del domicilio como espacio físico en que se desenvuelve normalmente la privacidad o la intimidad, de lo cual deriva el reconocimiento en el artículo 16, primer párrafo, constitucional, de un derecho a la intimidad o vida privada de los gobernados que abarca las intromisiones o molestias que por cualquier medio puedan realizarse en ese ámbito reservado de la vida.”</w:t>
      </w:r>
    </w:p>
    <w:p w14:paraId="115ED1CA" w14:textId="77777777" w:rsidR="009E3C1C" w:rsidRPr="00C25532" w:rsidRDefault="009E3C1C" w:rsidP="009E3C1C">
      <w:pPr>
        <w:spacing w:line="360" w:lineRule="auto"/>
        <w:ind w:right="-93"/>
        <w:jc w:val="both"/>
        <w:rPr>
          <w:rFonts w:ascii="Palatino Linotype" w:eastAsia="Calibri" w:hAnsi="Palatino Linotype" w:cs="Tahoma"/>
          <w:bCs/>
          <w:sz w:val="22"/>
          <w:szCs w:val="22"/>
          <w:lang w:eastAsia="en-US"/>
        </w:rPr>
      </w:pPr>
    </w:p>
    <w:p w14:paraId="7DA2DF43" w14:textId="77777777" w:rsidR="009E3C1C" w:rsidRPr="00C25532" w:rsidRDefault="009E3C1C" w:rsidP="009E3C1C">
      <w:pPr>
        <w:spacing w:line="360" w:lineRule="auto"/>
        <w:ind w:right="-93"/>
        <w:jc w:val="both"/>
        <w:rPr>
          <w:rFonts w:ascii="Palatino Linotype" w:eastAsia="Calibri" w:hAnsi="Palatino Linotype" w:cs="Tahoma"/>
          <w:bCs/>
          <w:sz w:val="22"/>
          <w:szCs w:val="22"/>
          <w:lang w:eastAsia="en-US"/>
        </w:rPr>
      </w:pPr>
      <w:r w:rsidRPr="00C25532">
        <w:rPr>
          <w:rFonts w:ascii="Palatino Linotype" w:eastAsia="Calibri" w:hAnsi="Palatino Linotype" w:cs="Tahoma"/>
          <w:bCs/>
          <w:sz w:val="22"/>
          <w:szCs w:val="22"/>
          <w:lang w:eastAsia="en-US"/>
        </w:rPr>
        <w:t xml:space="preserve">Conforme a dicha tesis aislada, la garantía de seguridad jurídica de los individuos a no ser molestados en su persona, familia, papeles o posesiones, salvo cuando medie mandato de autoridad competente </w:t>
      </w:r>
      <w:r w:rsidRPr="005B1B5F">
        <w:rPr>
          <w:rFonts w:ascii="Palatino Linotype" w:eastAsia="Calibri" w:hAnsi="Palatino Linotype" w:cs="Tahoma"/>
          <w:bCs/>
          <w:sz w:val="22"/>
          <w:szCs w:val="22"/>
          <w:lang w:eastAsia="en-US"/>
        </w:rPr>
        <w:t>debidamente fundado y motivado, de lo que deriva la inviolabilidad del domicilio, y cuya finalidad primordial es el respeto a un</w:t>
      </w:r>
      <w:r w:rsidRPr="00C25532">
        <w:rPr>
          <w:rFonts w:ascii="Palatino Linotype" w:eastAsia="Calibri" w:hAnsi="Palatino Linotype" w:cs="Tahoma"/>
          <w:bCs/>
          <w:sz w:val="22"/>
          <w:szCs w:val="22"/>
          <w:lang w:eastAsia="en-US"/>
        </w:rPr>
        <w:t xml:space="preserve"> ámbito de la vida privada personal y </w:t>
      </w:r>
      <w:r w:rsidRPr="00C25532">
        <w:rPr>
          <w:rFonts w:ascii="Palatino Linotype" w:eastAsia="Calibri" w:hAnsi="Palatino Linotype" w:cs="Tahoma"/>
          <w:bCs/>
          <w:sz w:val="22"/>
          <w:szCs w:val="22"/>
          <w:lang w:eastAsia="en-US"/>
        </w:rPr>
        <w:lastRenderedPageBreak/>
        <w:t xml:space="preserve">familiar que debe quedar excluido del conocimiento ajeno y de las intromisiones de los demás, con la limitante prevista en la Constitución Política de los Estados Unidos Mexicanos. </w:t>
      </w:r>
    </w:p>
    <w:p w14:paraId="6C5C05F9" w14:textId="77777777" w:rsidR="009E3C1C" w:rsidRPr="00C25532" w:rsidRDefault="009E3C1C" w:rsidP="009E3C1C">
      <w:pPr>
        <w:spacing w:line="360" w:lineRule="auto"/>
        <w:ind w:right="-93"/>
        <w:jc w:val="both"/>
        <w:rPr>
          <w:rFonts w:ascii="Palatino Linotype" w:eastAsia="Calibri" w:hAnsi="Palatino Linotype" w:cs="Tahoma"/>
          <w:bCs/>
          <w:sz w:val="22"/>
          <w:szCs w:val="22"/>
          <w:lang w:eastAsia="en-US"/>
        </w:rPr>
      </w:pPr>
    </w:p>
    <w:p w14:paraId="215E0C62" w14:textId="77777777" w:rsidR="009E3C1C" w:rsidRPr="00C25532" w:rsidRDefault="009E3C1C" w:rsidP="009E3C1C">
      <w:pPr>
        <w:spacing w:line="360" w:lineRule="auto"/>
        <w:ind w:right="-93"/>
        <w:jc w:val="both"/>
        <w:rPr>
          <w:rFonts w:ascii="Palatino Linotype" w:eastAsia="Calibri" w:hAnsi="Palatino Linotype" w:cs="Tahoma"/>
          <w:bCs/>
          <w:sz w:val="22"/>
          <w:szCs w:val="22"/>
          <w:lang w:eastAsia="en-US"/>
        </w:rPr>
      </w:pPr>
      <w:r w:rsidRPr="00C25532">
        <w:rPr>
          <w:rFonts w:ascii="Palatino Linotype" w:eastAsia="Calibri" w:hAnsi="Palatino Linotype" w:cs="Tahoma"/>
          <w:bCs/>
          <w:sz w:val="22"/>
          <w:szCs w:val="22"/>
          <w:lang w:eastAsia="en-US"/>
        </w:rPr>
        <w:t xml:space="preserve">Así, en un sentido amplio, dicha garantía puede extenderse a una protección más allá del aseguramiento del domicilio como espacio físico en que se desenvuelve normalmente la privacidad o la intimidad, por lo que en el artículo 16, primer párrafo, constitucional, se da el reconocimiento de un derecho a la privacidad de las personas que implica no ser sujeto de intromisiones o molestias en el ámbito reservado de su vida o intimidad. </w:t>
      </w:r>
    </w:p>
    <w:p w14:paraId="300DC6DF" w14:textId="77777777" w:rsidR="009E3C1C" w:rsidRDefault="009E3C1C" w:rsidP="009E3C1C">
      <w:pPr>
        <w:spacing w:line="360" w:lineRule="auto"/>
        <w:ind w:right="-93"/>
        <w:jc w:val="both"/>
        <w:rPr>
          <w:rFonts w:ascii="Palatino Linotype" w:eastAsia="Calibri" w:hAnsi="Palatino Linotype" w:cs="Tahoma"/>
          <w:bCs/>
          <w:sz w:val="22"/>
          <w:szCs w:val="22"/>
          <w:lang w:eastAsia="en-US"/>
        </w:rPr>
      </w:pPr>
    </w:p>
    <w:p w14:paraId="48362C14" w14:textId="46A9CBCF" w:rsidR="009E3C1C" w:rsidRPr="00C25532" w:rsidRDefault="009E3C1C" w:rsidP="009E3C1C">
      <w:pPr>
        <w:spacing w:line="360" w:lineRule="auto"/>
        <w:ind w:right="-93"/>
        <w:jc w:val="both"/>
        <w:rPr>
          <w:rFonts w:ascii="Palatino Linotype" w:eastAsia="Calibri" w:hAnsi="Palatino Linotype" w:cs="Tahoma"/>
          <w:bCs/>
          <w:sz w:val="22"/>
          <w:szCs w:val="22"/>
          <w:lang w:eastAsia="en-US"/>
        </w:rPr>
      </w:pPr>
      <w:r w:rsidRPr="00C25532">
        <w:rPr>
          <w:rFonts w:ascii="Palatino Linotype" w:eastAsia="Calibri" w:hAnsi="Palatino Linotype" w:cs="Tahoma"/>
          <w:bCs/>
          <w:sz w:val="22"/>
          <w:szCs w:val="22"/>
          <w:lang w:eastAsia="en-US"/>
        </w:rPr>
        <w:t xml:space="preserve">Por lo tanto, se considera que </w:t>
      </w:r>
      <w:r w:rsidR="004E55A0">
        <w:rPr>
          <w:rFonts w:ascii="Palatino Linotype" w:eastAsia="Calibri" w:hAnsi="Palatino Linotype" w:cs="Tahoma"/>
          <w:bCs/>
          <w:sz w:val="22"/>
          <w:szCs w:val="22"/>
          <w:lang w:eastAsia="en-US"/>
        </w:rPr>
        <w:t xml:space="preserve">permitir el acceso a los resultados de la prueba diagnóstica de Covid-19, </w:t>
      </w:r>
      <w:r w:rsidRPr="00C25532">
        <w:rPr>
          <w:rFonts w:ascii="Palatino Linotype" w:eastAsia="Calibri" w:hAnsi="Palatino Linotype" w:cs="Tahoma"/>
          <w:bCs/>
          <w:sz w:val="22"/>
          <w:szCs w:val="22"/>
          <w:lang w:eastAsia="en-US"/>
        </w:rPr>
        <w:t xml:space="preserve">implicaría revelar un aspecto de la vida privada </w:t>
      </w:r>
      <w:r>
        <w:rPr>
          <w:rFonts w:ascii="Palatino Linotype" w:eastAsia="Calibri" w:hAnsi="Palatino Linotype" w:cs="Tahoma"/>
          <w:bCs/>
          <w:sz w:val="22"/>
          <w:szCs w:val="22"/>
          <w:lang w:eastAsia="en-US"/>
        </w:rPr>
        <w:t>del Presidente Municipal</w:t>
      </w:r>
      <w:r w:rsidRPr="00C25532">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pues</w:t>
      </w:r>
      <w:r w:rsidRPr="00C25532">
        <w:rPr>
          <w:rFonts w:ascii="Palatino Linotype" w:eastAsia="Calibri" w:hAnsi="Palatino Linotype" w:cs="Tahoma"/>
          <w:bCs/>
          <w:sz w:val="22"/>
          <w:szCs w:val="22"/>
          <w:lang w:eastAsia="en-US"/>
        </w:rPr>
        <w:t xml:space="preserve"> reflejaría </w:t>
      </w:r>
      <w:r>
        <w:rPr>
          <w:rFonts w:ascii="Palatino Linotype" w:eastAsia="Calibri" w:hAnsi="Palatino Linotype" w:cs="Tahoma"/>
          <w:bCs/>
          <w:sz w:val="22"/>
          <w:szCs w:val="22"/>
          <w:lang w:eastAsia="en-US"/>
        </w:rPr>
        <w:t>el estado de salud de este</w:t>
      </w:r>
      <w:r w:rsidRPr="00C25532">
        <w:rPr>
          <w:rFonts w:ascii="Palatino Linotype" w:eastAsia="Calibri" w:hAnsi="Palatino Linotype" w:cs="Tahoma"/>
          <w:bCs/>
          <w:sz w:val="22"/>
          <w:szCs w:val="22"/>
          <w:lang w:eastAsia="en-US"/>
        </w:rPr>
        <w:t xml:space="preserve">, </w:t>
      </w:r>
      <w:r w:rsidR="00071154">
        <w:rPr>
          <w:rFonts w:ascii="Palatino Linotype" w:eastAsia="Calibri" w:hAnsi="Palatino Linotype" w:cs="Tahoma"/>
          <w:bCs/>
          <w:sz w:val="22"/>
          <w:szCs w:val="22"/>
          <w:lang w:eastAsia="en-US"/>
        </w:rPr>
        <w:t>lo que afecta</w:t>
      </w:r>
      <w:r w:rsidRPr="00C25532">
        <w:rPr>
          <w:rFonts w:ascii="Palatino Linotype" w:eastAsia="Calibri" w:hAnsi="Palatino Linotype" w:cs="Tahoma"/>
          <w:bCs/>
          <w:sz w:val="22"/>
          <w:szCs w:val="22"/>
          <w:lang w:eastAsia="en-US"/>
        </w:rPr>
        <w:t xml:space="preserve"> su intimidad.</w:t>
      </w:r>
      <w:r w:rsidR="004E55A0">
        <w:rPr>
          <w:rFonts w:ascii="Palatino Linotype" w:eastAsia="Calibri" w:hAnsi="Palatino Linotype" w:cs="Tahoma"/>
          <w:bCs/>
          <w:sz w:val="22"/>
          <w:szCs w:val="22"/>
          <w:lang w:eastAsia="en-US"/>
        </w:rPr>
        <w:t xml:space="preserve"> </w:t>
      </w:r>
      <w:r w:rsidRPr="00C25532">
        <w:rPr>
          <w:rFonts w:ascii="Palatino Linotype" w:eastAsia="Calibri" w:hAnsi="Palatino Linotype" w:cs="Tahoma"/>
          <w:bCs/>
          <w:sz w:val="22"/>
          <w:szCs w:val="22"/>
          <w:lang w:eastAsia="en-US"/>
        </w:rPr>
        <w:t xml:space="preserve">Lo anterior, </w:t>
      </w:r>
      <w:r w:rsidRPr="00732B2C">
        <w:rPr>
          <w:rFonts w:ascii="Palatino Linotype" w:eastAsia="Calibri" w:hAnsi="Palatino Linotype" w:cs="Tahoma"/>
          <w:bCs/>
          <w:sz w:val="22"/>
          <w:szCs w:val="22"/>
          <w:lang w:eastAsia="en-US"/>
        </w:rPr>
        <w:t xml:space="preserve">toda vez que dar a </w:t>
      </w:r>
      <w:r w:rsidRPr="00FD4DEA">
        <w:rPr>
          <w:rFonts w:ascii="Palatino Linotype" w:eastAsia="Calibri" w:hAnsi="Palatino Linotype" w:cs="Tahoma"/>
          <w:b/>
          <w:sz w:val="22"/>
          <w:szCs w:val="22"/>
          <w:lang w:eastAsia="en-US"/>
        </w:rPr>
        <w:t xml:space="preserve">conocer </w:t>
      </w:r>
      <w:r w:rsidR="004E55A0" w:rsidRPr="00FD4DEA">
        <w:rPr>
          <w:rFonts w:ascii="Palatino Linotype" w:eastAsia="Calibri" w:hAnsi="Palatino Linotype" w:cs="Tahoma"/>
          <w:b/>
          <w:sz w:val="22"/>
          <w:szCs w:val="22"/>
          <w:lang w:eastAsia="en-US"/>
        </w:rPr>
        <w:t xml:space="preserve">los resultados de esta, constituye información confidencial que afecta su esfera privada, dado que vulneraría la protección de su intimidad, </w:t>
      </w:r>
      <w:r w:rsidRPr="00FD4DEA">
        <w:rPr>
          <w:rFonts w:ascii="Palatino Linotype" w:eastAsia="Calibri" w:hAnsi="Palatino Linotype" w:cs="Tahoma"/>
          <w:b/>
          <w:sz w:val="22"/>
          <w:szCs w:val="22"/>
          <w:lang w:eastAsia="en-US"/>
        </w:rPr>
        <w:t>al tratarse de información que da cuenta de la salud física o mental de una persona</w:t>
      </w:r>
      <w:r w:rsidR="00FD4DEA" w:rsidRPr="00FD4DEA">
        <w:rPr>
          <w:rFonts w:ascii="Palatino Linotype" w:eastAsia="Calibri" w:hAnsi="Palatino Linotype" w:cs="Tahoma"/>
          <w:b/>
          <w:sz w:val="22"/>
          <w:szCs w:val="22"/>
          <w:lang w:eastAsia="en-US"/>
        </w:rPr>
        <w:t>, además de que, el realizar una prueba diagnóstica no es un requisito establecido para asistir a un evento</w:t>
      </w:r>
      <w:r w:rsidR="00FD4DEA">
        <w:rPr>
          <w:rFonts w:ascii="Palatino Linotype" w:eastAsia="Calibri" w:hAnsi="Palatino Linotype" w:cs="Tahoma"/>
          <w:bCs/>
          <w:sz w:val="22"/>
          <w:szCs w:val="22"/>
          <w:lang w:eastAsia="en-US"/>
        </w:rPr>
        <w:t xml:space="preserve">. </w:t>
      </w:r>
    </w:p>
    <w:p w14:paraId="6145D866" w14:textId="77777777" w:rsidR="009E3C1C" w:rsidRPr="00C25532" w:rsidRDefault="009E3C1C" w:rsidP="009E3C1C">
      <w:pPr>
        <w:spacing w:line="360" w:lineRule="auto"/>
        <w:ind w:right="-93"/>
        <w:jc w:val="both"/>
        <w:rPr>
          <w:rFonts w:ascii="Palatino Linotype" w:eastAsia="Calibri" w:hAnsi="Palatino Linotype" w:cs="Tahoma"/>
          <w:bCs/>
          <w:sz w:val="22"/>
          <w:szCs w:val="22"/>
          <w:lang w:eastAsia="en-US"/>
        </w:rPr>
      </w:pPr>
    </w:p>
    <w:p w14:paraId="6EABE54A" w14:textId="59D45BDC" w:rsidR="009E3C1C" w:rsidRPr="00551CE7" w:rsidRDefault="009E3C1C" w:rsidP="009E3C1C">
      <w:pPr>
        <w:tabs>
          <w:tab w:val="left" w:pos="3962"/>
        </w:tabs>
        <w:spacing w:line="360" w:lineRule="auto"/>
        <w:jc w:val="both"/>
        <w:rPr>
          <w:rFonts w:ascii="Palatino Linotype" w:hAnsi="Palatino Linotype" w:cs="Tahoma"/>
          <w:bCs/>
          <w:iCs/>
          <w:sz w:val="22"/>
          <w:szCs w:val="22"/>
          <w:lang w:val="es-ES"/>
        </w:rPr>
      </w:pPr>
      <w:r w:rsidRPr="00327ADE">
        <w:rPr>
          <w:rFonts w:ascii="Palatino Linotype" w:hAnsi="Palatino Linotype" w:cs="Tahoma"/>
          <w:bCs/>
          <w:iCs/>
          <w:sz w:val="22"/>
          <w:szCs w:val="22"/>
          <w:lang w:val="es-ES"/>
        </w:rPr>
        <w:t>De tales circunstancias, se considera que la información referente al estado de salud</w:t>
      </w:r>
      <w:r w:rsidR="00CC4747">
        <w:rPr>
          <w:rFonts w:ascii="Palatino Linotype" w:hAnsi="Palatino Linotype" w:cs="Tahoma"/>
          <w:bCs/>
          <w:iCs/>
          <w:sz w:val="22"/>
          <w:szCs w:val="22"/>
          <w:lang w:val="es-ES"/>
        </w:rPr>
        <w:t xml:space="preserve"> </w:t>
      </w:r>
      <w:r w:rsidRPr="00327ADE">
        <w:rPr>
          <w:rFonts w:ascii="Palatino Linotype" w:hAnsi="Palatino Linotype" w:cs="Tahoma"/>
          <w:bCs/>
          <w:iCs/>
          <w:sz w:val="22"/>
          <w:szCs w:val="22"/>
          <w:lang w:val="es-ES"/>
        </w:rPr>
        <w:t>es de carácter confidencial, en términos del artículo 143, fracción I, de la Ley de Transparencia y Acceso a la Información Pública de</w:t>
      </w:r>
      <w:r>
        <w:rPr>
          <w:rFonts w:ascii="Palatino Linotype" w:hAnsi="Palatino Linotype" w:cs="Tahoma"/>
          <w:bCs/>
          <w:iCs/>
          <w:sz w:val="22"/>
          <w:szCs w:val="22"/>
          <w:lang w:val="es-ES"/>
        </w:rPr>
        <w:t>l Estado de México y Municipios</w:t>
      </w:r>
      <w:r w:rsidR="00551CE7">
        <w:rPr>
          <w:rFonts w:ascii="Palatino Linotype" w:hAnsi="Palatino Linotype" w:cs="Tahoma"/>
          <w:bCs/>
          <w:iCs/>
          <w:sz w:val="22"/>
          <w:szCs w:val="22"/>
          <w:lang w:val="es-ES"/>
        </w:rPr>
        <w:t xml:space="preserve">, ya que resulta </w:t>
      </w:r>
      <w:r>
        <w:rPr>
          <w:rFonts w:ascii="Palatino Linotype" w:eastAsia="Calibri" w:hAnsi="Palatino Linotype" w:cs="Tahoma"/>
          <w:bCs/>
          <w:sz w:val="22"/>
          <w:szCs w:val="22"/>
          <w:lang w:eastAsia="en-US"/>
        </w:rPr>
        <w:t>evidente que e</w:t>
      </w:r>
      <w:r w:rsidR="00EC5890">
        <w:rPr>
          <w:rFonts w:ascii="Palatino Linotype" w:eastAsia="Calibri" w:hAnsi="Palatino Linotype" w:cs="Tahoma"/>
          <w:bCs/>
          <w:sz w:val="22"/>
          <w:szCs w:val="22"/>
          <w:lang w:eastAsia="en-US"/>
        </w:rPr>
        <w:t>n este caso,</w:t>
      </w:r>
      <w:r>
        <w:rPr>
          <w:rFonts w:ascii="Palatino Linotype" w:eastAsia="Calibri" w:hAnsi="Palatino Linotype" w:cs="Tahoma"/>
          <w:bCs/>
          <w:sz w:val="22"/>
          <w:szCs w:val="22"/>
          <w:lang w:eastAsia="en-US"/>
        </w:rPr>
        <w:t xml:space="preserve"> se está en la presencia de datos personales confidenciales</w:t>
      </w:r>
      <w:r w:rsidR="00071154">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 xml:space="preserve">de carácter sensible, </w:t>
      </w:r>
      <w:r w:rsidR="00551CE7">
        <w:rPr>
          <w:rFonts w:ascii="Palatino Linotype" w:eastAsia="Calibri" w:hAnsi="Palatino Linotype" w:cs="Tahoma"/>
          <w:bCs/>
          <w:sz w:val="22"/>
          <w:szCs w:val="22"/>
          <w:lang w:eastAsia="en-US"/>
        </w:rPr>
        <w:t>y p</w:t>
      </w:r>
      <w:r>
        <w:rPr>
          <w:rFonts w:ascii="Palatino Linotype" w:eastAsia="Calibri" w:hAnsi="Palatino Linotype" w:cs="Tahoma"/>
          <w:bCs/>
          <w:sz w:val="22"/>
          <w:szCs w:val="22"/>
          <w:lang w:eastAsia="en-US"/>
        </w:rPr>
        <w:t xml:space="preserve">roporcionar información </w:t>
      </w:r>
      <w:r w:rsidR="00551CE7">
        <w:rPr>
          <w:rFonts w:ascii="Palatino Linotype" w:eastAsia="Calibri" w:hAnsi="Palatino Linotype" w:cs="Tahoma"/>
          <w:bCs/>
          <w:sz w:val="22"/>
          <w:szCs w:val="22"/>
          <w:lang w:eastAsia="en-US"/>
        </w:rPr>
        <w:t>del estado de salud del Presidente Municipal</w:t>
      </w:r>
      <w:r>
        <w:rPr>
          <w:rFonts w:ascii="Palatino Linotype" w:eastAsia="Calibri" w:hAnsi="Palatino Linotype" w:cs="Tahoma"/>
          <w:bCs/>
          <w:sz w:val="22"/>
          <w:szCs w:val="22"/>
          <w:lang w:eastAsia="en-US"/>
        </w:rPr>
        <w:t xml:space="preserve">, tendría por consecuencia revelar aspectos relacionados con su estado de salud, por lo que dicha información se considera de carácter confidencial. </w:t>
      </w:r>
    </w:p>
    <w:p w14:paraId="55B97106" w14:textId="226D32FB" w:rsidR="009E3C1C" w:rsidRDefault="009E3C1C" w:rsidP="009E3C1C">
      <w:pPr>
        <w:tabs>
          <w:tab w:val="left" w:pos="3962"/>
        </w:tabs>
        <w:spacing w:line="360" w:lineRule="auto"/>
        <w:jc w:val="both"/>
        <w:rPr>
          <w:rFonts w:ascii="Palatino Linotype" w:eastAsia="Calibri" w:hAnsi="Palatino Linotype" w:cs="Tahoma"/>
          <w:bCs/>
          <w:sz w:val="22"/>
          <w:szCs w:val="22"/>
          <w:lang w:eastAsia="en-US"/>
        </w:rPr>
      </w:pPr>
    </w:p>
    <w:p w14:paraId="2B468120" w14:textId="1A02E0AC" w:rsidR="009E3C1C" w:rsidRPr="001552E2" w:rsidRDefault="00773E45" w:rsidP="009E3C1C">
      <w:pPr>
        <w:tabs>
          <w:tab w:val="left" w:pos="3962"/>
        </w:tabs>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Ahora bien, por lo anterior, </w:t>
      </w:r>
      <w:r w:rsidR="00AF721D">
        <w:rPr>
          <w:rFonts w:ascii="Palatino Linotype" w:eastAsia="Calibri" w:hAnsi="Palatino Linotype" w:cs="Tahoma"/>
          <w:bCs/>
          <w:sz w:val="22"/>
          <w:szCs w:val="22"/>
          <w:lang w:eastAsia="en-US"/>
        </w:rPr>
        <w:t>esta Ponencia determina que de ser el caso de que</w:t>
      </w:r>
      <w:r w:rsidR="00F22608">
        <w:rPr>
          <w:rFonts w:ascii="Palatino Linotype" w:eastAsia="Calibri" w:hAnsi="Palatino Linotype" w:cs="Tahoma"/>
          <w:bCs/>
          <w:sz w:val="22"/>
          <w:szCs w:val="22"/>
          <w:lang w:eastAsia="en-US"/>
        </w:rPr>
        <w:t xml:space="preserve"> el documento que d</w:t>
      </w:r>
      <w:r w:rsidR="00AB5007">
        <w:rPr>
          <w:rFonts w:ascii="Palatino Linotype" w:eastAsia="Calibri" w:hAnsi="Palatino Linotype" w:cs="Tahoma"/>
          <w:bCs/>
          <w:sz w:val="22"/>
          <w:szCs w:val="22"/>
          <w:lang w:eastAsia="en-US"/>
        </w:rPr>
        <w:t>é</w:t>
      </w:r>
      <w:r w:rsidR="00F22608">
        <w:rPr>
          <w:rFonts w:ascii="Palatino Linotype" w:eastAsia="Calibri" w:hAnsi="Palatino Linotype" w:cs="Tahoma"/>
          <w:bCs/>
          <w:sz w:val="22"/>
          <w:szCs w:val="22"/>
          <w:lang w:eastAsia="en-US"/>
        </w:rPr>
        <w:t xml:space="preserve"> cuenta de</w:t>
      </w:r>
      <w:r w:rsidR="00AF721D">
        <w:rPr>
          <w:rFonts w:ascii="Palatino Linotype" w:eastAsia="Calibri" w:hAnsi="Palatino Linotype" w:cs="Tahoma"/>
          <w:bCs/>
          <w:sz w:val="22"/>
          <w:szCs w:val="22"/>
          <w:lang w:eastAsia="en-US"/>
        </w:rPr>
        <w:t xml:space="preserve"> los resultados de la prueba diagnóstica obrara en los archivos del Sujeto </w:t>
      </w:r>
      <w:r w:rsidR="00AF721D">
        <w:rPr>
          <w:rFonts w:ascii="Palatino Linotype" w:eastAsia="Calibri" w:hAnsi="Palatino Linotype" w:cs="Tahoma"/>
          <w:bCs/>
          <w:sz w:val="22"/>
          <w:szCs w:val="22"/>
          <w:lang w:eastAsia="en-US"/>
        </w:rPr>
        <w:lastRenderedPageBreak/>
        <w:t xml:space="preserve">Obligado, resulta </w:t>
      </w:r>
      <w:r w:rsidR="00D32CF7">
        <w:rPr>
          <w:rFonts w:ascii="Palatino Linotype" w:eastAsia="Calibri" w:hAnsi="Palatino Linotype" w:cs="Tahoma"/>
          <w:bCs/>
          <w:sz w:val="22"/>
          <w:szCs w:val="22"/>
          <w:lang w:eastAsia="en-US"/>
        </w:rPr>
        <w:t>procedente la clasificación de este documento, situación por la que</w:t>
      </w:r>
      <w:r w:rsidR="009E3C1C" w:rsidRPr="0038442A">
        <w:rPr>
          <w:rFonts w:ascii="Palatino Linotype" w:eastAsia="Calibri" w:hAnsi="Palatino Linotype" w:cs="Tahoma"/>
          <w:bCs/>
          <w:sz w:val="22"/>
          <w:szCs w:val="22"/>
          <w:lang w:eastAsia="en-US"/>
        </w:rPr>
        <w:t xml:space="preserve">, debe traerse a colación lo dispuesto en </w:t>
      </w:r>
      <w:r w:rsidR="009E3C1C">
        <w:rPr>
          <w:rFonts w:ascii="Palatino Linotype" w:eastAsia="Calibri" w:hAnsi="Palatino Linotype" w:cs="Tahoma"/>
          <w:bCs/>
          <w:sz w:val="22"/>
          <w:szCs w:val="22"/>
          <w:lang w:eastAsia="en-US"/>
        </w:rPr>
        <w:t>el artículo 168 de la Ley de Transparencia y Acceso a la Información Pública del Estado de México y Municipios, que precisa que</w:t>
      </w:r>
      <w:r w:rsidR="009E3C1C" w:rsidRPr="001552E2">
        <w:rPr>
          <w:rFonts w:ascii="Arial" w:eastAsiaTheme="minorHAnsi" w:hAnsi="Arial" w:cs="Arial"/>
          <w:sz w:val="24"/>
          <w:szCs w:val="24"/>
          <w:lang w:eastAsia="es-MX"/>
        </w:rPr>
        <w:t xml:space="preserve"> </w:t>
      </w:r>
      <w:r w:rsidR="009E3C1C" w:rsidRPr="001552E2">
        <w:rPr>
          <w:rFonts w:ascii="Palatino Linotype" w:eastAsia="Calibri" w:hAnsi="Palatino Linotype" w:cs="Tahoma"/>
          <w:bCs/>
          <w:sz w:val="22"/>
          <w:szCs w:val="22"/>
          <w:lang w:eastAsia="en-US"/>
        </w:rPr>
        <w:t>en caso de que los sujetos obligados consideren que los documentos o la información requerida deban ser clasificados, el área deberá remitir la solicitud, así como un escrito en el que funde y motive dicha situación al Comité de Transparencia, mismo que deberá resolver para:</w:t>
      </w:r>
    </w:p>
    <w:p w14:paraId="4AD47DBE" w14:textId="77777777" w:rsidR="009E3C1C" w:rsidRPr="001552E2" w:rsidRDefault="009E3C1C" w:rsidP="009E3C1C">
      <w:pPr>
        <w:tabs>
          <w:tab w:val="left" w:pos="3962"/>
        </w:tabs>
        <w:spacing w:line="360" w:lineRule="auto"/>
        <w:jc w:val="both"/>
        <w:rPr>
          <w:rFonts w:ascii="Palatino Linotype" w:eastAsia="Calibri" w:hAnsi="Palatino Linotype" w:cs="Tahoma"/>
          <w:bCs/>
          <w:sz w:val="22"/>
          <w:szCs w:val="22"/>
          <w:lang w:eastAsia="en-US"/>
        </w:rPr>
      </w:pPr>
    </w:p>
    <w:p w14:paraId="54E8C90D" w14:textId="77777777" w:rsidR="009E3C1C" w:rsidRPr="001552E2" w:rsidRDefault="009E3C1C" w:rsidP="009E3C1C">
      <w:pPr>
        <w:pStyle w:val="Prrafodelista"/>
        <w:numPr>
          <w:ilvl w:val="0"/>
          <w:numId w:val="8"/>
        </w:numPr>
        <w:tabs>
          <w:tab w:val="left" w:pos="3962"/>
        </w:tabs>
        <w:spacing w:line="360" w:lineRule="auto"/>
        <w:jc w:val="both"/>
        <w:rPr>
          <w:rFonts w:ascii="Palatino Linotype" w:eastAsia="Calibri" w:hAnsi="Palatino Linotype" w:cs="Tahoma"/>
          <w:bCs/>
          <w:szCs w:val="22"/>
          <w:lang w:eastAsia="en-US"/>
        </w:rPr>
      </w:pPr>
      <w:r w:rsidRPr="001552E2">
        <w:rPr>
          <w:rFonts w:ascii="Palatino Linotype" w:eastAsia="Calibri" w:hAnsi="Palatino Linotype" w:cs="Tahoma"/>
          <w:bCs/>
          <w:szCs w:val="22"/>
          <w:lang w:eastAsia="en-US"/>
        </w:rPr>
        <w:t>Confirmar la clasificación;</w:t>
      </w:r>
    </w:p>
    <w:p w14:paraId="1E8E0327" w14:textId="77777777" w:rsidR="009E3C1C" w:rsidRPr="001552E2" w:rsidRDefault="009E3C1C" w:rsidP="009E3C1C">
      <w:pPr>
        <w:pStyle w:val="Prrafodelista"/>
        <w:numPr>
          <w:ilvl w:val="0"/>
          <w:numId w:val="8"/>
        </w:numPr>
        <w:tabs>
          <w:tab w:val="left" w:pos="3962"/>
        </w:tabs>
        <w:spacing w:line="360" w:lineRule="auto"/>
        <w:jc w:val="both"/>
        <w:rPr>
          <w:rFonts w:ascii="Palatino Linotype" w:eastAsia="Calibri" w:hAnsi="Palatino Linotype" w:cs="Tahoma"/>
          <w:bCs/>
          <w:szCs w:val="22"/>
          <w:lang w:eastAsia="en-US"/>
        </w:rPr>
      </w:pPr>
      <w:r w:rsidRPr="001552E2">
        <w:rPr>
          <w:rFonts w:ascii="Palatino Linotype" w:eastAsia="Calibri" w:hAnsi="Palatino Linotype" w:cs="Tahoma"/>
          <w:bCs/>
          <w:szCs w:val="22"/>
          <w:lang w:eastAsia="en-US"/>
        </w:rPr>
        <w:t>Modificar la clasificación y, otorgar total o parcialmente el acceso a la información, o</w:t>
      </w:r>
    </w:p>
    <w:p w14:paraId="469FB591" w14:textId="77777777" w:rsidR="009E3C1C" w:rsidRPr="001552E2" w:rsidRDefault="009E3C1C" w:rsidP="009E3C1C">
      <w:pPr>
        <w:pStyle w:val="Prrafodelista"/>
        <w:numPr>
          <w:ilvl w:val="0"/>
          <w:numId w:val="8"/>
        </w:numPr>
        <w:tabs>
          <w:tab w:val="left" w:pos="3962"/>
        </w:tabs>
        <w:spacing w:line="360" w:lineRule="auto"/>
        <w:jc w:val="both"/>
        <w:rPr>
          <w:rFonts w:ascii="Palatino Linotype" w:eastAsia="Calibri" w:hAnsi="Palatino Linotype" w:cs="Tahoma"/>
          <w:bCs/>
          <w:szCs w:val="22"/>
          <w:lang w:eastAsia="en-US"/>
        </w:rPr>
      </w:pPr>
      <w:r w:rsidRPr="001552E2">
        <w:rPr>
          <w:rFonts w:ascii="Palatino Linotype" w:eastAsia="Calibri" w:hAnsi="Palatino Linotype" w:cs="Tahoma"/>
          <w:bCs/>
          <w:szCs w:val="22"/>
          <w:lang w:eastAsia="en-US"/>
        </w:rPr>
        <w:t>Revocar la clasificación y conceder el acceso a la información.</w:t>
      </w:r>
    </w:p>
    <w:p w14:paraId="78056852" w14:textId="77777777" w:rsidR="009E3C1C" w:rsidRPr="001552E2" w:rsidRDefault="009E3C1C" w:rsidP="009E3C1C">
      <w:pPr>
        <w:tabs>
          <w:tab w:val="left" w:pos="3962"/>
        </w:tabs>
        <w:spacing w:line="360" w:lineRule="auto"/>
        <w:jc w:val="both"/>
        <w:rPr>
          <w:rFonts w:ascii="Palatino Linotype" w:eastAsia="Calibri" w:hAnsi="Palatino Linotype" w:cs="Tahoma"/>
          <w:bCs/>
          <w:sz w:val="22"/>
          <w:szCs w:val="22"/>
          <w:lang w:eastAsia="en-US"/>
        </w:rPr>
      </w:pPr>
    </w:p>
    <w:p w14:paraId="027FFA2B" w14:textId="77777777" w:rsidR="009E3C1C" w:rsidRPr="001552E2" w:rsidRDefault="009E3C1C" w:rsidP="009E3C1C">
      <w:pPr>
        <w:tabs>
          <w:tab w:val="left" w:pos="3962"/>
        </w:tabs>
        <w:spacing w:line="360" w:lineRule="auto"/>
        <w:jc w:val="both"/>
        <w:rPr>
          <w:rFonts w:ascii="Palatino Linotype" w:eastAsia="Calibri" w:hAnsi="Palatino Linotype" w:cs="Tahoma"/>
          <w:bCs/>
          <w:sz w:val="22"/>
          <w:szCs w:val="22"/>
          <w:lang w:eastAsia="en-US"/>
        </w:rPr>
      </w:pPr>
      <w:r w:rsidRPr="001552E2">
        <w:rPr>
          <w:rFonts w:ascii="Palatino Linotype" w:eastAsia="Calibri" w:hAnsi="Palatino Linotype" w:cs="Tahoma"/>
          <w:bCs/>
          <w:sz w:val="22"/>
          <w:szCs w:val="22"/>
          <w:lang w:eastAsia="en-US"/>
        </w:rPr>
        <w:t xml:space="preserve">Para motivar la confirmación de la clasificación de la información, se deberán señalar las razones, motivos o circunstancias especiales que llevaron al sujeto obligado a concluir que el caso particular se ajusta al supuesto previsto por la norma legal invocada como fundamento, lo que en el presente caso sucedió. </w:t>
      </w:r>
    </w:p>
    <w:p w14:paraId="02ACF826" w14:textId="77777777" w:rsidR="009E3C1C" w:rsidRPr="001552E2" w:rsidRDefault="009E3C1C" w:rsidP="009E3C1C">
      <w:pPr>
        <w:tabs>
          <w:tab w:val="left" w:pos="3962"/>
        </w:tabs>
        <w:spacing w:line="360" w:lineRule="auto"/>
        <w:jc w:val="both"/>
        <w:rPr>
          <w:rFonts w:ascii="Palatino Linotype" w:eastAsia="Calibri" w:hAnsi="Palatino Linotype" w:cs="Tahoma"/>
          <w:bCs/>
          <w:sz w:val="22"/>
          <w:szCs w:val="22"/>
          <w:lang w:val="es-ES" w:eastAsia="en-US"/>
        </w:rPr>
      </w:pPr>
    </w:p>
    <w:p w14:paraId="40B889F2" w14:textId="2F3B4A0D" w:rsidR="009E3C1C" w:rsidRPr="001552E2" w:rsidRDefault="009E3C1C" w:rsidP="009E3C1C">
      <w:pPr>
        <w:tabs>
          <w:tab w:val="left" w:pos="3962"/>
        </w:tabs>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 xml:space="preserve">Conforme a lo anterior, se considera que para atender el requerimiento de información, el Sujeto Obligado deberá seguir el procedimiento establecido en el artículo 168 de la Ley </w:t>
      </w:r>
      <w:r w:rsidRPr="00FB0F48">
        <w:rPr>
          <w:rFonts w:ascii="Palatino Linotype" w:eastAsia="Calibri" w:hAnsi="Palatino Linotype" w:cs="Tahoma"/>
          <w:bCs/>
          <w:sz w:val="22"/>
          <w:szCs w:val="22"/>
          <w:lang w:eastAsia="en-US"/>
        </w:rPr>
        <w:t>de Transparencia y Acceso a la Información Pública del Estado de México y Municipios</w:t>
      </w:r>
      <w:r>
        <w:rPr>
          <w:rFonts w:ascii="Palatino Linotype" w:eastAsia="Calibri" w:hAnsi="Palatino Linotype" w:cs="Tahoma"/>
          <w:bCs/>
          <w:sz w:val="22"/>
          <w:szCs w:val="22"/>
          <w:lang w:eastAsia="en-US"/>
        </w:rPr>
        <w:t xml:space="preserve"> y proporcionar el Acuerdo emitido por el Comité de Transparencia, donde confirm</w:t>
      </w:r>
      <w:r w:rsidR="00AB5007">
        <w:rPr>
          <w:rFonts w:ascii="Palatino Linotype" w:eastAsia="Calibri" w:hAnsi="Palatino Linotype" w:cs="Tahoma"/>
          <w:bCs/>
          <w:sz w:val="22"/>
          <w:szCs w:val="22"/>
          <w:lang w:eastAsia="en-US"/>
        </w:rPr>
        <w:t>e</w:t>
      </w:r>
      <w:r w:rsidR="001E51C4">
        <w:rPr>
          <w:rFonts w:ascii="Palatino Linotype" w:eastAsia="Calibri" w:hAnsi="Palatino Linotype" w:cs="Tahoma"/>
          <w:bCs/>
          <w:sz w:val="22"/>
          <w:szCs w:val="22"/>
          <w:lang w:eastAsia="en-US"/>
        </w:rPr>
        <w:t xml:space="preserve">, de ser el caso, </w:t>
      </w:r>
      <w:r>
        <w:rPr>
          <w:rFonts w:ascii="Palatino Linotype" w:eastAsia="Calibri" w:hAnsi="Palatino Linotype" w:cs="Tahoma"/>
          <w:bCs/>
          <w:sz w:val="22"/>
          <w:szCs w:val="22"/>
          <w:lang w:eastAsia="en-US"/>
        </w:rPr>
        <w:t xml:space="preserve">la clasificación </w:t>
      </w:r>
      <w:r w:rsidR="001E51C4">
        <w:rPr>
          <w:rFonts w:ascii="Palatino Linotype" w:eastAsia="Calibri" w:hAnsi="Palatino Linotype" w:cs="Tahoma"/>
          <w:bCs/>
          <w:sz w:val="22"/>
          <w:szCs w:val="22"/>
          <w:lang w:eastAsia="en-US"/>
        </w:rPr>
        <w:t>del documento que d</w:t>
      </w:r>
      <w:r w:rsidR="00AB5007">
        <w:rPr>
          <w:rFonts w:ascii="Palatino Linotype" w:eastAsia="Calibri" w:hAnsi="Palatino Linotype" w:cs="Tahoma"/>
          <w:bCs/>
          <w:sz w:val="22"/>
          <w:szCs w:val="22"/>
          <w:lang w:eastAsia="en-US"/>
        </w:rPr>
        <w:t>é</w:t>
      </w:r>
      <w:r w:rsidR="001E51C4">
        <w:rPr>
          <w:rFonts w:ascii="Palatino Linotype" w:eastAsia="Calibri" w:hAnsi="Palatino Linotype" w:cs="Tahoma"/>
          <w:bCs/>
          <w:sz w:val="22"/>
          <w:szCs w:val="22"/>
          <w:lang w:eastAsia="en-US"/>
        </w:rPr>
        <w:t xml:space="preserve"> cuenta de los resultados de la prueba diagnóstica Covd-19 del Presidente Municipal. </w:t>
      </w:r>
    </w:p>
    <w:p w14:paraId="0290E5F9" w14:textId="77777777" w:rsidR="009E3C1C" w:rsidRDefault="009E3C1C" w:rsidP="009E3C1C">
      <w:pPr>
        <w:tabs>
          <w:tab w:val="left" w:pos="3962"/>
        </w:tabs>
        <w:spacing w:line="360" w:lineRule="auto"/>
        <w:jc w:val="both"/>
        <w:rPr>
          <w:rFonts w:ascii="Palatino Linotype" w:eastAsia="Calibri" w:hAnsi="Palatino Linotype" w:cs="Tahoma"/>
          <w:bCs/>
          <w:sz w:val="22"/>
          <w:szCs w:val="22"/>
          <w:lang w:eastAsia="en-US"/>
        </w:rPr>
      </w:pPr>
    </w:p>
    <w:p w14:paraId="0BD34439" w14:textId="77777777" w:rsidR="009E3C1C" w:rsidRPr="0050069E" w:rsidRDefault="009E3C1C" w:rsidP="009E3C1C">
      <w:pPr>
        <w:spacing w:line="360" w:lineRule="auto"/>
        <w:jc w:val="both"/>
        <w:rPr>
          <w:rFonts w:ascii="Palatino Linotype" w:hAnsi="Palatino Linotype" w:cs="Tahoma"/>
          <w:color w:val="000000" w:themeColor="text1"/>
          <w:sz w:val="22"/>
          <w:szCs w:val="22"/>
        </w:rPr>
      </w:pPr>
      <w:r w:rsidRPr="0050069E">
        <w:rPr>
          <w:rFonts w:ascii="Palatino Linotype" w:hAnsi="Palatino Linotype"/>
          <w:color w:val="000000" w:themeColor="text1"/>
          <w:sz w:val="22"/>
          <w:szCs w:val="22"/>
          <w:lang w:val="es-ES"/>
        </w:rPr>
        <w:t>Finalmente, no pasa desapercibido, que el ahora Recurrente, requirió que se diera vista al Órgano Interno de Control o Contraloría, a efecto de que se iniciara un procedimiento de responsabilidades en contra de los servidores públicos que atendieron la solicitud de información; a</w:t>
      </w:r>
      <w:r w:rsidRPr="0050069E">
        <w:rPr>
          <w:rFonts w:ascii="Palatino Linotype" w:hAnsi="Palatino Linotype" w:cs="Tahoma"/>
          <w:color w:val="000000" w:themeColor="text1"/>
          <w:sz w:val="22"/>
          <w:szCs w:val="22"/>
        </w:rPr>
        <w:t xml:space="preserve">l respecto, en el artículo 36, fracción X, de la Ley de Transparencia y Acceso a la </w:t>
      </w:r>
      <w:r w:rsidRPr="0050069E">
        <w:rPr>
          <w:rFonts w:ascii="Palatino Linotype" w:hAnsi="Palatino Linotype" w:cs="Tahoma"/>
          <w:color w:val="000000" w:themeColor="text1"/>
          <w:sz w:val="22"/>
          <w:szCs w:val="22"/>
        </w:rPr>
        <w:lastRenderedPageBreak/>
        <w:t>Información Pública del Estado de México y Municipios, se establece que es atribución de este Instituto hacer del conocimiento del Órgano Interno de Control o equivalente de cada Sujeto Obligado las infracciones a esta Ley.</w:t>
      </w:r>
    </w:p>
    <w:p w14:paraId="42ECEC1E" w14:textId="77777777" w:rsidR="009E3C1C" w:rsidRPr="0050069E" w:rsidRDefault="009E3C1C" w:rsidP="009E3C1C">
      <w:pPr>
        <w:spacing w:line="360" w:lineRule="auto"/>
        <w:ind w:right="-93"/>
        <w:jc w:val="both"/>
        <w:rPr>
          <w:rFonts w:ascii="Palatino Linotype" w:hAnsi="Palatino Linotype" w:cs="Tahoma"/>
          <w:color w:val="000000" w:themeColor="text1"/>
          <w:sz w:val="22"/>
          <w:szCs w:val="22"/>
        </w:rPr>
      </w:pPr>
    </w:p>
    <w:p w14:paraId="162B0838" w14:textId="77777777" w:rsidR="009E3C1C" w:rsidRPr="0050069E" w:rsidRDefault="009E3C1C" w:rsidP="009E3C1C">
      <w:pPr>
        <w:spacing w:line="360" w:lineRule="auto"/>
        <w:ind w:right="-93"/>
        <w:jc w:val="both"/>
        <w:rPr>
          <w:rFonts w:ascii="Palatino Linotype" w:eastAsia="Calibri" w:hAnsi="Palatino Linotype" w:cs="Tahoma"/>
          <w:bCs/>
          <w:color w:val="000000" w:themeColor="text1"/>
          <w:sz w:val="22"/>
          <w:szCs w:val="22"/>
          <w:lang w:eastAsia="en-US"/>
        </w:rPr>
      </w:pPr>
      <w:r w:rsidRPr="0050069E">
        <w:rPr>
          <w:rFonts w:ascii="Palatino Linotype" w:eastAsia="Calibri" w:hAnsi="Palatino Linotype" w:cs="Tahoma"/>
          <w:bCs/>
          <w:color w:val="000000" w:themeColor="text1"/>
          <w:sz w:val="22"/>
          <w:szCs w:val="22"/>
          <w:lang w:eastAsia="en-US"/>
        </w:rPr>
        <w:t xml:space="preserve">En ese sentido, de conformidad con lo previsto en el artículo 222, fracción III, de dicho ordenamiento, son causas de sanción por incumplimiento de las obligaciones establecida en la Ley de la materia, entre otras conductas, el actuar con negligencia, dolo o mala fe en la </w:t>
      </w:r>
      <w:r>
        <w:rPr>
          <w:rFonts w:ascii="Palatino Linotype" w:eastAsia="Calibri" w:hAnsi="Palatino Linotype" w:cs="Tahoma"/>
          <w:bCs/>
          <w:color w:val="000000" w:themeColor="text1"/>
          <w:sz w:val="22"/>
          <w:szCs w:val="22"/>
          <w:lang w:eastAsia="en-US"/>
        </w:rPr>
        <w:t>clasificación y desclasificación de la información</w:t>
      </w:r>
      <w:r w:rsidRPr="0050069E">
        <w:rPr>
          <w:rFonts w:ascii="Palatino Linotype" w:eastAsia="Calibri" w:hAnsi="Palatino Linotype" w:cs="Tahoma"/>
          <w:bCs/>
          <w:color w:val="000000" w:themeColor="text1"/>
          <w:sz w:val="22"/>
          <w:szCs w:val="22"/>
          <w:lang w:eastAsia="en-US"/>
        </w:rPr>
        <w:t>.</w:t>
      </w:r>
    </w:p>
    <w:p w14:paraId="0BE701EC" w14:textId="77777777" w:rsidR="009E3C1C" w:rsidRPr="0050069E" w:rsidRDefault="009E3C1C" w:rsidP="009E3C1C">
      <w:pPr>
        <w:spacing w:line="360" w:lineRule="auto"/>
        <w:ind w:right="-93"/>
        <w:jc w:val="both"/>
        <w:rPr>
          <w:rFonts w:ascii="Palatino Linotype" w:eastAsia="Calibri" w:hAnsi="Palatino Linotype" w:cs="Tahoma"/>
          <w:bCs/>
          <w:color w:val="000000" w:themeColor="text1"/>
          <w:sz w:val="22"/>
          <w:szCs w:val="22"/>
          <w:lang w:eastAsia="en-US"/>
        </w:rPr>
      </w:pPr>
    </w:p>
    <w:p w14:paraId="38416957" w14:textId="77777777" w:rsidR="009E3C1C" w:rsidRPr="0050069E" w:rsidRDefault="009E3C1C" w:rsidP="009E3C1C">
      <w:pPr>
        <w:spacing w:line="360" w:lineRule="auto"/>
        <w:ind w:right="-93"/>
        <w:jc w:val="both"/>
        <w:rPr>
          <w:rFonts w:ascii="Palatino Linotype" w:eastAsia="Calibri" w:hAnsi="Palatino Linotype" w:cs="Tahoma"/>
          <w:bCs/>
          <w:color w:val="000000" w:themeColor="text1"/>
          <w:sz w:val="22"/>
          <w:szCs w:val="22"/>
          <w:lang w:eastAsia="en-US"/>
        </w:rPr>
      </w:pPr>
      <w:r w:rsidRPr="0050069E">
        <w:rPr>
          <w:rFonts w:ascii="Palatino Linotype" w:eastAsia="Calibri" w:hAnsi="Palatino Linotype" w:cs="Tahoma"/>
          <w:bCs/>
          <w:color w:val="000000" w:themeColor="text1"/>
          <w:sz w:val="22"/>
          <w:szCs w:val="22"/>
          <w:lang w:eastAsia="en-U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14:paraId="407307B2" w14:textId="77777777" w:rsidR="009E3C1C" w:rsidRPr="0050069E" w:rsidRDefault="009E3C1C" w:rsidP="009E3C1C">
      <w:pPr>
        <w:spacing w:line="360" w:lineRule="auto"/>
        <w:jc w:val="both"/>
        <w:rPr>
          <w:rFonts w:ascii="Palatino Linotype" w:hAnsi="Palatino Linotype"/>
          <w:color w:val="000000" w:themeColor="text1"/>
          <w:sz w:val="22"/>
          <w:szCs w:val="22"/>
          <w:lang w:val="es-ES"/>
        </w:rPr>
      </w:pPr>
    </w:p>
    <w:p w14:paraId="17FB1062" w14:textId="72C70313" w:rsidR="009E3C1C" w:rsidRPr="0050069E" w:rsidRDefault="009E3C1C" w:rsidP="009E3C1C">
      <w:pPr>
        <w:spacing w:line="360" w:lineRule="auto"/>
        <w:jc w:val="both"/>
        <w:rPr>
          <w:rFonts w:ascii="Palatino Linotype" w:hAnsi="Palatino Linotype"/>
          <w:color w:val="000000" w:themeColor="text1"/>
          <w:sz w:val="22"/>
          <w:szCs w:val="22"/>
          <w:lang w:val="es-ES"/>
        </w:rPr>
      </w:pPr>
      <w:r w:rsidRPr="0050069E">
        <w:rPr>
          <w:rFonts w:ascii="Palatino Linotype" w:hAnsi="Palatino Linotype"/>
          <w:color w:val="000000" w:themeColor="text1"/>
          <w:sz w:val="22"/>
          <w:szCs w:val="22"/>
          <w:lang w:val="es-ES"/>
        </w:rPr>
        <w:t xml:space="preserve">En el presente caso, este Instituto no cuenta con elementos necesarios para indicar que el actuar del Sujeto Obligado actuó con negligencia, dolo o mala fe </w:t>
      </w:r>
      <w:r>
        <w:rPr>
          <w:rFonts w:ascii="Palatino Linotype" w:hAnsi="Palatino Linotype"/>
          <w:color w:val="000000" w:themeColor="text1"/>
          <w:sz w:val="22"/>
          <w:szCs w:val="22"/>
          <w:lang w:val="es-ES"/>
        </w:rPr>
        <w:t>al clasificar la información</w:t>
      </w:r>
      <w:r w:rsidRPr="0050069E">
        <w:rPr>
          <w:rFonts w:ascii="Palatino Linotype" w:hAnsi="Palatino Linotype"/>
          <w:color w:val="000000" w:themeColor="text1"/>
          <w:sz w:val="22"/>
          <w:szCs w:val="22"/>
          <w:lang w:val="es-ES"/>
        </w:rPr>
        <w:t xml:space="preserve">, pues </w:t>
      </w:r>
      <w:r>
        <w:rPr>
          <w:rFonts w:ascii="Palatino Linotype" w:hAnsi="Palatino Linotype"/>
          <w:color w:val="000000" w:themeColor="text1"/>
          <w:sz w:val="22"/>
          <w:szCs w:val="22"/>
          <w:lang w:val="es-ES"/>
        </w:rPr>
        <w:t>su actuar fue tendiente a proteger los datos personales de una persona, lo cual es correcto</w:t>
      </w:r>
      <w:r w:rsidRPr="0050069E">
        <w:rPr>
          <w:rFonts w:ascii="Palatino Linotype" w:hAnsi="Palatino Linotype"/>
          <w:color w:val="000000" w:themeColor="text1"/>
          <w:sz w:val="22"/>
          <w:szCs w:val="22"/>
          <w:lang w:val="es-ES"/>
        </w:rPr>
        <w:t xml:space="preserve">; por lo que, no resulta procedente dar vista a la contraloría en el presente asunto. Sin embargo, se dejan a salvo los derechos del Particular, para que dé así requerirlo, presente la queja o denuncia, ante </w:t>
      </w:r>
      <w:r>
        <w:rPr>
          <w:rFonts w:ascii="Palatino Linotype" w:hAnsi="Palatino Linotype"/>
          <w:color w:val="000000" w:themeColor="text1"/>
          <w:sz w:val="22"/>
          <w:szCs w:val="22"/>
          <w:lang w:val="es-ES"/>
        </w:rPr>
        <w:t xml:space="preserve">el Órgano Interno de Control del </w:t>
      </w:r>
      <w:r w:rsidR="001E51C4">
        <w:rPr>
          <w:rFonts w:ascii="Palatino Linotype" w:hAnsi="Palatino Linotype"/>
          <w:color w:val="000000" w:themeColor="text1"/>
          <w:sz w:val="22"/>
          <w:szCs w:val="22"/>
        </w:rPr>
        <w:t xml:space="preserve">Ayuntamiento de Metepec. </w:t>
      </w:r>
    </w:p>
    <w:p w14:paraId="5EFF8FAC" w14:textId="65174C92" w:rsidR="00034858" w:rsidRPr="00B53A4C" w:rsidRDefault="00034858" w:rsidP="00B53A4C">
      <w:pPr>
        <w:spacing w:line="360" w:lineRule="auto"/>
        <w:jc w:val="both"/>
        <w:rPr>
          <w:rFonts w:ascii="Palatino Linotype" w:hAnsi="Palatino Linotype" w:cs="Tahoma"/>
          <w:bCs/>
          <w:iCs/>
          <w:sz w:val="24"/>
          <w:szCs w:val="22"/>
        </w:rPr>
      </w:pPr>
    </w:p>
    <w:p w14:paraId="06BB510F" w14:textId="2E3C5E9D" w:rsidR="00B7691F" w:rsidRDefault="00B7691F" w:rsidP="00C56F24">
      <w:pPr>
        <w:tabs>
          <w:tab w:val="left" w:pos="993"/>
        </w:tabs>
        <w:spacing w:line="360" w:lineRule="auto"/>
        <w:ind w:right="-28"/>
        <w:jc w:val="both"/>
        <w:rPr>
          <w:rFonts w:ascii="Palatino Linotype" w:hAnsi="Palatino Linotype" w:cs="Tahoma"/>
          <w:b/>
          <w:sz w:val="22"/>
          <w:szCs w:val="22"/>
        </w:rPr>
      </w:pPr>
      <w:r>
        <w:rPr>
          <w:rFonts w:ascii="Palatino Linotype" w:hAnsi="Palatino Linotype" w:cs="Tahoma"/>
          <w:b/>
          <w:sz w:val="22"/>
          <w:szCs w:val="22"/>
        </w:rPr>
        <w:t>S</w:t>
      </w:r>
      <w:r w:rsidR="00B53A4C">
        <w:rPr>
          <w:rFonts w:ascii="Palatino Linotype" w:hAnsi="Palatino Linotype" w:cs="Tahoma"/>
          <w:b/>
          <w:sz w:val="22"/>
          <w:szCs w:val="22"/>
        </w:rPr>
        <w:t>EXTO.</w:t>
      </w:r>
      <w:r>
        <w:rPr>
          <w:rFonts w:ascii="Palatino Linotype" w:hAnsi="Palatino Linotype" w:cs="Tahoma"/>
          <w:b/>
          <w:sz w:val="22"/>
          <w:szCs w:val="22"/>
        </w:rPr>
        <w:t xml:space="preserve"> Decisión. </w:t>
      </w:r>
    </w:p>
    <w:p w14:paraId="2AE29357" w14:textId="77777777" w:rsidR="00B7691F" w:rsidRDefault="00B7691F" w:rsidP="00C56F24">
      <w:pPr>
        <w:tabs>
          <w:tab w:val="left" w:pos="993"/>
        </w:tabs>
        <w:spacing w:line="360" w:lineRule="auto"/>
        <w:ind w:right="-28"/>
        <w:jc w:val="both"/>
        <w:rPr>
          <w:rFonts w:ascii="Palatino Linotype" w:hAnsi="Palatino Linotype" w:cs="Tahoma"/>
          <w:b/>
          <w:sz w:val="22"/>
          <w:szCs w:val="22"/>
        </w:rPr>
      </w:pPr>
    </w:p>
    <w:p w14:paraId="697550C0" w14:textId="49E164E4" w:rsidR="00DD05D6" w:rsidRDefault="00B7691F" w:rsidP="00C56F24">
      <w:pPr>
        <w:tabs>
          <w:tab w:val="left" w:pos="993"/>
        </w:tabs>
        <w:spacing w:line="360" w:lineRule="auto"/>
        <w:ind w:right="-28"/>
        <w:jc w:val="both"/>
        <w:rPr>
          <w:rFonts w:ascii="Palatino Linotype" w:hAnsi="Palatino Linotype" w:cs="Tahoma"/>
          <w:sz w:val="22"/>
          <w:szCs w:val="22"/>
        </w:rPr>
      </w:pPr>
      <w:r>
        <w:rPr>
          <w:rFonts w:ascii="Palatino Linotype" w:hAnsi="Palatino Linotype" w:cs="Tahoma"/>
          <w:sz w:val="22"/>
          <w:szCs w:val="22"/>
        </w:rPr>
        <w:t xml:space="preserve">De acuerdo con lo expuesto y, con fundamento en el artículo 186, fracción III, de la Ley de Transparencia y Acceso a la Información Pública del Estado de México y Municipios, este Instituto considera procedente </w:t>
      </w:r>
      <w:r>
        <w:rPr>
          <w:rFonts w:ascii="Palatino Linotype" w:hAnsi="Palatino Linotype" w:cs="Tahoma"/>
          <w:b/>
          <w:sz w:val="22"/>
          <w:szCs w:val="22"/>
        </w:rPr>
        <w:t xml:space="preserve">REVOCAR </w:t>
      </w:r>
      <w:r>
        <w:rPr>
          <w:rFonts w:ascii="Palatino Linotype" w:hAnsi="Palatino Linotype" w:cs="Tahoma"/>
          <w:sz w:val="22"/>
          <w:szCs w:val="22"/>
        </w:rPr>
        <w:t xml:space="preserve">la respuesta del Ayuntamiento de Metepec y </w:t>
      </w:r>
      <w:r>
        <w:rPr>
          <w:rFonts w:ascii="Palatino Linotype" w:hAnsi="Palatino Linotype" w:cs="Tahoma"/>
          <w:b/>
          <w:sz w:val="22"/>
          <w:szCs w:val="22"/>
        </w:rPr>
        <w:lastRenderedPageBreak/>
        <w:t xml:space="preserve">ORDENAR </w:t>
      </w:r>
      <w:r>
        <w:rPr>
          <w:rFonts w:ascii="Palatino Linotype" w:hAnsi="Palatino Linotype" w:cs="Tahoma"/>
          <w:sz w:val="22"/>
          <w:szCs w:val="22"/>
        </w:rPr>
        <w:t xml:space="preserve">que remita a través del Sistema de Acceso a la Información Mexiquense (SAIMEX), lo siguiente: </w:t>
      </w:r>
    </w:p>
    <w:p w14:paraId="58A864FC" w14:textId="77777777" w:rsidR="00B7691F" w:rsidRDefault="00B7691F" w:rsidP="00C56F24">
      <w:pPr>
        <w:tabs>
          <w:tab w:val="left" w:pos="993"/>
        </w:tabs>
        <w:spacing w:line="360" w:lineRule="auto"/>
        <w:ind w:right="-28"/>
        <w:jc w:val="both"/>
        <w:rPr>
          <w:rFonts w:ascii="Palatino Linotype" w:hAnsi="Palatino Linotype" w:cs="Tahoma"/>
          <w:sz w:val="22"/>
          <w:szCs w:val="22"/>
        </w:rPr>
      </w:pPr>
    </w:p>
    <w:p w14:paraId="4F370B9C" w14:textId="74795401" w:rsidR="00B7691F" w:rsidRPr="00B7691F" w:rsidRDefault="003262DF" w:rsidP="00B7691F">
      <w:pPr>
        <w:pStyle w:val="Prrafodelista"/>
        <w:numPr>
          <w:ilvl w:val="0"/>
          <w:numId w:val="2"/>
        </w:numPr>
        <w:tabs>
          <w:tab w:val="left" w:pos="993"/>
        </w:tabs>
        <w:spacing w:line="360" w:lineRule="auto"/>
        <w:ind w:right="-28"/>
        <w:jc w:val="both"/>
        <w:rPr>
          <w:rFonts w:ascii="Palatino Linotype" w:hAnsi="Palatino Linotype" w:cs="Tahoma"/>
          <w:bCs/>
          <w:iCs/>
          <w:szCs w:val="22"/>
        </w:rPr>
      </w:pPr>
      <w:r>
        <w:rPr>
          <w:rFonts w:ascii="Palatino Linotype" w:hAnsi="Palatino Linotype" w:cs="Tahoma"/>
          <w:b/>
          <w:bCs/>
          <w:iCs/>
          <w:szCs w:val="22"/>
        </w:rPr>
        <w:t>El Acuerdo emitido por el Comité de Transparencia, en donde de manera fundada y motivada, confirme la clasificación, de ser el caso, del documento que de cuenta de los resultados de la prueba diagnóstica Covid-19 del Presidente Municipal de Metepec</w:t>
      </w:r>
      <w:r w:rsidR="00DF68C8">
        <w:rPr>
          <w:rFonts w:ascii="Palatino Linotype" w:hAnsi="Palatino Linotype" w:cs="Tahoma"/>
          <w:b/>
          <w:bCs/>
          <w:iCs/>
          <w:szCs w:val="22"/>
        </w:rPr>
        <w:t xml:space="preserve"> realizada para asistir al evento “Caravana de Día de Reyes”</w:t>
      </w:r>
      <w:r>
        <w:rPr>
          <w:rFonts w:ascii="Palatino Linotype" w:hAnsi="Palatino Linotype" w:cs="Tahoma"/>
          <w:b/>
          <w:bCs/>
          <w:iCs/>
          <w:szCs w:val="22"/>
        </w:rPr>
        <w:t>, de conformidad con los artículos 49, fracción II</w:t>
      </w:r>
      <w:r w:rsidR="005C6A78">
        <w:rPr>
          <w:rFonts w:ascii="Palatino Linotype" w:hAnsi="Palatino Linotype" w:cs="Tahoma"/>
          <w:b/>
          <w:bCs/>
          <w:iCs/>
          <w:szCs w:val="22"/>
        </w:rPr>
        <w:t xml:space="preserve">, 143, fracción I y 149 de la Ley de Transparencia y Acceso a la Información Pública del Estado de México y Municipios. </w:t>
      </w:r>
    </w:p>
    <w:p w14:paraId="0CED5A45" w14:textId="77777777" w:rsidR="00C56F24" w:rsidRDefault="00C56F24" w:rsidP="00C56F24">
      <w:pPr>
        <w:tabs>
          <w:tab w:val="left" w:pos="993"/>
        </w:tabs>
        <w:spacing w:line="360" w:lineRule="auto"/>
        <w:ind w:right="-28"/>
        <w:jc w:val="both"/>
        <w:rPr>
          <w:rFonts w:ascii="Palatino Linotype" w:hAnsi="Palatino Linotype" w:cs="Tahoma"/>
          <w:bCs/>
          <w:iCs/>
          <w:sz w:val="22"/>
          <w:szCs w:val="22"/>
        </w:rPr>
      </w:pPr>
    </w:p>
    <w:p w14:paraId="783291FB" w14:textId="3B246965" w:rsidR="002274B9" w:rsidRDefault="00DC754F" w:rsidP="002274B9">
      <w:pPr>
        <w:tabs>
          <w:tab w:val="left" w:pos="993"/>
        </w:tabs>
        <w:spacing w:line="360" w:lineRule="auto"/>
        <w:ind w:right="-28"/>
        <w:jc w:val="both"/>
        <w:rPr>
          <w:rFonts w:ascii="Palatino Linotype" w:hAnsi="Palatino Linotype" w:cs="Tahoma"/>
          <w:bCs/>
          <w:iCs/>
          <w:sz w:val="22"/>
          <w:szCs w:val="22"/>
        </w:rPr>
      </w:pPr>
      <w:r>
        <w:rPr>
          <w:rFonts w:ascii="Palatino Linotype" w:hAnsi="Palatino Linotype" w:cs="Tahoma"/>
          <w:bCs/>
          <w:iCs/>
          <w:sz w:val="22"/>
          <w:szCs w:val="22"/>
        </w:rPr>
        <w:t>Para el caso de que no se cuente con el documento que de cuenta de los resultados de la prueba diagnóstica Covid-19 del Presidente Municipal,</w:t>
      </w:r>
      <w:r w:rsidR="00DF68C8">
        <w:rPr>
          <w:rFonts w:ascii="Palatino Linotype" w:hAnsi="Palatino Linotype" w:cs="Tahoma"/>
          <w:bCs/>
          <w:iCs/>
          <w:sz w:val="22"/>
          <w:szCs w:val="22"/>
        </w:rPr>
        <w:t xml:space="preserve"> el Sujeto Obligado deberá hacerlo del conocimiento del ahora recurrente, de manera clara y precisa. </w:t>
      </w:r>
    </w:p>
    <w:p w14:paraId="7EEC158A" w14:textId="77777777" w:rsidR="00DF68C8" w:rsidRPr="00DC754F" w:rsidRDefault="00DF68C8" w:rsidP="002274B9">
      <w:pPr>
        <w:tabs>
          <w:tab w:val="left" w:pos="993"/>
        </w:tabs>
        <w:spacing w:line="360" w:lineRule="auto"/>
        <w:ind w:right="-28"/>
        <w:jc w:val="both"/>
        <w:rPr>
          <w:rFonts w:ascii="Palatino Linotype" w:hAnsi="Palatino Linotype" w:cs="Tahoma"/>
          <w:bCs/>
          <w:iCs/>
          <w:sz w:val="22"/>
          <w:szCs w:val="22"/>
        </w:rPr>
      </w:pPr>
    </w:p>
    <w:p w14:paraId="1FD5F139" w14:textId="54172878" w:rsidR="00801872" w:rsidRPr="00C938B6" w:rsidRDefault="006F32E9" w:rsidP="005B031E">
      <w:pPr>
        <w:autoSpaceDE w:val="0"/>
        <w:autoSpaceDN w:val="0"/>
        <w:adjustRightInd w:val="0"/>
        <w:spacing w:line="360" w:lineRule="auto"/>
        <w:jc w:val="both"/>
        <w:rPr>
          <w:rFonts w:ascii="Palatino Linotype" w:eastAsia="Calibri" w:hAnsi="Palatino Linotype" w:cs="Tahoma"/>
          <w:b/>
          <w:bCs/>
          <w:iCs/>
          <w:sz w:val="22"/>
          <w:szCs w:val="22"/>
          <w:lang w:val="es-ES" w:eastAsia="en-US"/>
        </w:rPr>
      </w:pPr>
      <w:r>
        <w:rPr>
          <w:rFonts w:ascii="Palatino Linotype" w:eastAsia="Calibri" w:hAnsi="Palatino Linotype" w:cs="Tahoma"/>
          <w:b/>
          <w:bCs/>
          <w:iCs/>
          <w:sz w:val="22"/>
          <w:szCs w:val="22"/>
          <w:lang w:val="es-ES" w:eastAsia="en-US"/>
        </w:rPr>
        <w:t>Términos de la Resolución</w:t>
      </w:r>
      <w:r w:rsidR="00D51254">
        <w:rPr>
          <w:rFonts w:ascii="Palatino Linotype" w:eastAsia="Calibri" w:hAnsi="Palatino Linotype" w:cs="Tahoma"/>
          <w:b/>
          <w:bCs/>
          <w:iCs/>
          <w:sz w:val="22"/>
          <w:szCs w:val="22"/>
          <w:lang w:val="es-ES" w:eastAsia="en-US"/>
        </w:rPr>
        <w:t xml:space="preserve"> para el Recurrente</w:t>
      </w:r>
      <w:r>
        <w:rPr>
          <w:rFonts w:ascii="Palatino Linotype" w:eastAsia="Calibri" w:hAnsi="Palatino Linotype" w:cs="Tahoma"/>
          <w:b/>
          <w:bCs/>
          <w:iCs/>
          <w:sz w:val="22"/>
          <w:szCs w:val="22"/>
          <w:lang w:val="es-ES" w:eastAsia="en-US"/>
        </w:rPr>
        <w:t xml:space="preserve">. </w:t>
      </w:r>
    </w:p>
    <w:p w14:paraId="6D93DF56" w14:textId="77777777" w:rsidR="00801872" w:rsidRPr="00C938B6" w:rsidRDefault="00801872" w:rsidP="005B031E">
      <w:pPr>
        <w:autoSpaceDE w:val="0"/>
        <w:autoSpaceDN w:val="0"/>
        <w:adjustRightInd w:val="0"/>
        <w:spacing w:line="360" w:lineRule="auto"/>
        <w:jc w:val="both"/>
        <w:rPr>
          <w:rFonts w:ascii="Palatino Linotype" w:eastAsia="Calibri" w:hAnsi="Palatino Linotype" w:cs="Tahoma"/>
          <w:b/>
          <w:bCs/>
          <w:iCs/>
          <w:sz w:val="22"/>
          <w:szCs w:val="22"/>
          <w:lang w:val="es-ES" w:eastAsia="en-US"/>
        </w:rPr>
      </w:pPr>
    </w:p>
    <w:p w14:paraId="21C432CA" w14:textId="2F4FE6A8" w:rsidR="001123D1" w:rsidRDefault="00065B2F" w:rsidP="005B031E">
      <w:pPr>
        <w:widowControl w:val="0"/>
        <w:spacing w:line="360" w:lineRule="auto"/>
        <w:jc w:val="both"/>
        <w:rPr>
          <w:rFonts w:ascii="Palatino Linotype" w:eastAsia="Calibri" w:hAnsi="Palatino Linotype" w:cs="Tahoma"/>
          <w:bCs/>
          <w:iCs/>
          <w:sz w:val="22"/>
          <w:szCs w:val="22"/>
          <w:lang w:val="es-ES" w:eastAsia="en-US"/>
        </w:rPr>
      </w:pPr>
      <w:r w:rsidRPr="00CB4A69">
        <w:rPr>
          <w:rFonts w:ascii="Palatino Linotype" w:eastAsia="Calibri" w:hAnsi="Palatino Linotype" w:cs="Tahoma"/>
          <w:bCs/>
          <w:iCs/>
          <w:sz w:val="22"/>
          <w:szCs w:val="22"/>
          <w:lang w:val="es-ES" w:eastAsia="en-US"/>
        </w:rPr>
        <w:t xml:space="preserve">Se </w:t>
      </w:r>
      <w:r w:rsidR="00801872" w:rsidRPr="00CB4A69">
        <w:rPr>
          <w:rFonts w:ascii="Palatino Linotype" w:eastAsia="Calibri" w:hAnsi="Palatino Linotype" w:cs="Tahoma"/>
          <w:bCs/>
          <w:iCs/>
          <w:sz w:val="22"/>
          <w:szCs w:val="22"/>
          <w:lang w:val="es-ES" w:eastAsia="en-US"/>
        </w:rPr>
        <w:t xml:space="preserve">hace </w:t>
      </w:r>
      <w:r w:rsidR="006F32E9" w:rsidRPr="00CB4A69">
        <w:rPr>
          <w:rFonts w:ascii="Palatino Linotype" w:eastAsia="Calibri" w:hAnsi="Palatino Linotype" w:cs="Tahoma"/>
          <w:bCs/>
          <w:iCs/>
          <w:sz w:val="22"/>
          <w:szCs w:val="22"/>
          <w:lang w:val="es-ES" w:eastAsia="en-US"/>
        </w:rPr>
        <w:t xml:space="preserve">del conocimiento al Particular </w:t>
      </w:r>
      <w:r w:rsidR="00801872" w:rsidRPr="00CB4A69">
        <w:rPr>
          <w:rFonts w:ascii="Palatino Linotype" w:eastAsia="Calibri" w:hAnsi="Palatino Linotype" w:cs="Tahoma"/>
          <w:bCs/>
          <w:iCs/>
          <w:sz w:val="22"/>
          <w:szCs w:val="22"/>
          <w:lang w:val="es-ES" w:eastAsia="en-US"/>
        </w:rPr>
        <w:t>que en el prese</w:t>
      </w:r>
      <w:r w:rsidRPr="00CB4A69">
        <w:rPr>
          <w:rFonts w:ascii="Palatino Linotype" w:eastAsia="Calibri" w:hAnsi="Palatino Linotype" w:cs="Tahoma"/>
          <w:bCs/>
          <w:iCs/>
          <w:sz w:val="22"/>
          <w:szCs w:val="22"/>
          <w:lang w:val="es-ES" w:eastAsia="en-US"/>
        </w:rPr>
        <w:t>nte caso</w:t>
      </w:r>
      <w:r w:rsidR="002274B9">
        <w:rPr>
          <w:rFonts w:ascii="Palatino Linotype" w:eastAsia="Calibri" w:hAnsi="Palatino Linotype" w:cs="Tahoma"/>
          <w:bCs/>
          <w:iCs/>
          <w:sz w:val="22"/>
          <w:szCs w:val="22"/>
          <w:lang w:val="es-ES" w:eastAsia="en-US"/>
        </w:rPr>
        <w:t>,</w:t>
      </w:r>
      <w:r w:rsidR="00C56F24">
        <w:rPr>
          <w:rFonts w:ascii="Palatino Linotype" w:eastAsia="Calibri" w:hAnsi="Palatino Linotype" w:cs="Tahoma"/>
          <w:bCs/>
          <w:iCs/>
          <w:sz w:val="22"/>
          <w:szCs w:val="22"/>
          <w:lang w:val="es-ES" w:eastAsia="en-US"/>
        </w:rPr>
        <w:t xml:space="preserve"> </w:t>
      </w:r>
      <w:r w:rsidRPr="00CB4A69">
        <w:rPr>
          <w:rFonts w:ascii="Palatino Linotype" w:eastAsia="Calibri" w:hAnsi="Palatino Linotype" w:cs="Tahoma"/>
          <w:bCs/>
          <w:iCs/>
          <w:sz w:val="22"/>
          <w:szCs w:val="22"/>
          <w:lang w:val="es-ES" w:eastAsia="en-US"/>
        </w:rPr>
        <w:t xml:space="preserve">se le </w:t>
      </w:r>
      <w:r w:rsidR="00D51254" w:rsidRPr="00CB4A69">
        <w:rPr>
          <w:rFonts w:ascii="Palatino Linotype" w:eastAsia="Calibri" w:hAnsi="Palatino Linotype" w:cs="Tahoma"/>
          <w:bCs/>
          <w:iCs/>
          <w:sz w:val="22"/>
          <w:szCs w:val="22"/>
          <w:lang w:val="es-ES" w:eastAsia="en-US"/>
        </w:rPr>
        <w:t xml:space="preserve">concede </w:t>
      </w:r>
      <w:r w:rsidR="00FD0EC7">
        <w:rPr>
          <w:rFonts w:ascii="Palatino Linotype" w:eastAsia="Calibri" w:hAnsi="Palatino Linotype" w:cs="Tahoma"/>
          <w:bCs/>
          <w:iCs/>
          <w:sz w:val="22"/>
          <w:szCs w:val="22"/>
          <w:lang w:val="es-ES" w:eastAsia="en-US"/>
        </w:rPr>
        <w:t xml:space="preserve">parcialmente </w:t>
      </w:r>
      <w:r w:rsidRPr="00CB4A69">
        <w:rPr>
          <w:rFonts w:ascii="Palatino Linotype" w:eastAsia="Calibri" w:hAnsi="Palatino Linotype" w:cs="Tahoma"/>
          <w:bCs/>
          <w:iCs/>
          <w:sz w:val="22"/>
          <w:szCs w:val="22"/>
          <w:lang w:val="es-ES" w:eastAsia="en-US"/>
        </w:rPr>
        <w:t>la razón</w:t>
      </w:r>
      <w:r w:rsidR="00FD0EC7">
        <w:rPr>
          <w:rFonts w:ascii="Palatino Linotype" w:eastAsia="Calibri" w:hAnsi="Palatino Linotype" w:cs="Tahoma"/>
          <w:bCs/>
          <w:iCs/>
          <w:sz w:val="22"/>
          <w:szCs w:val="22"/>
          <w:lang w:val="es-ES" w:eastAsia="en-US"/>
        </w:rPr>
        <w:t xml:space="preserve">, toda vez que si bien es cierto, lo requerido por el Solicitante constituye </w:t>
      </w:r>
      <w:r w:rsidR="00C0716E">
        <w:rPr>
          <w:rFonts w:ascii="Palatino Linotype" w:eastAsia="Calibri" w:hAnsi="Palatino Linotype" w:cs="Tahoma"/>
          <w:bCs/>
          <w:iCs/>
          <w:sz w:val="22"/>
          <w:szCs w:val="22"/>
          <w:lang w:val="es-ES" w:eastAsia="en-US"/>
        </w:rPr>
        <w:t xml:space="preserve">el derecho de acceso a la información, también lo es que </w:t>
      </w:r>
      <w:r w:rsidR="00B94BA0">
        <w:rPr>
          <w:rFonts w:ascii="Palatino Linotype" w:eastAsia="Calibri" w:hAnsi="Palatino Linotype" w:cs="Tahoma"/>
          <w:bCs/>
          <w:iCs/>
          <w:sz w:val="22"/>
          <w:szCs w:val="22"/>
          <w:lang w:val="es-ES" w:eastAsia="en-US"/>
        </w:rPr>
        <w:t>el documento que da cuenta a lo requerido</w:t>
      </w:r>
      <w:r w:rsidR="00C0716E">
        <w:rPr>
          <w:rFonts w:ascii="Palatino Linotype" w:eastAsia="Calibri" w:hAnsi="Palatino Linotype" w:cs="Tahoma"/>
          <w:bCs/>
          <w:iCs/>
          <w:sz w:val="22"/>
          <w:szCs w:val="22"/>
          <w:lang w:val="es-ES" w:eastAsia="en-US"/>
        </w:rPr>
        <w:t xml:space="preserve"> debe ser clasificad</w:t>
      </w:r>
      <w:r w:rsidR="00B94BA0">
        <w:rPr>
          <w:rFonts w:ascii="Palatino Linotype" w:eastAsia="Calibri" w:hAnsi="Palatino Linotype" w:cs="Tahoma"/>
          <w:bCs/>
          <w:iCs/>
          <w:sz w:val="22"/>
          <w:szCs w:val="22"/>
          <w:lang w:val="es-ES" w:eastAsia="en-US"/>
        </w:rPr>
        <w:t>o</w:t>
      </w:r>
      <w:r w:rsidR="00C0716E">
        <w:rPr>
          <w:rFonts w:ascii="Palatino Linotype" w:eastAsia="Calibri" w:hAnsi="Palatino Linotype" w:cs="Tahoma"/>
          <w:bCs/>
          <w:iCs/>
          <w:sz w:val="22"/>
          <w:szCs w:val="22"/>
          <w:lang w:val="es-ES" w:eastAsia="en-US"/>
        </w:rPr>
        <w:t xml:space="preserve"> en términos del artículo 143</w:t>
      </w:r>
      <w:r w:rsidR="00B94BA0">
        <w:rPr>
          <w:rFonts w:ascii="Palatino Linotype" w:eastAsia="Calibri" w:hAnsi="Palatino Linotype" w:cs="Tahoma"/>
          <w:bCs/>
          <w:iCs/>
          <w:sz w:val="22"/>
          <w:szCs w:val="22"/>
          <w:lang w:val="es-ES" w:eastAsia="en-US"/>
        </w:rPr>
        <w:t xml:space="preserve">, fracción I de la Ley de Transparencia y Acceso a la Información Pública del Estado de México y Municipios. </w:t>
      </w:r>
    </w:p>
    <w:p w14:paraId="75A1C452" w14:textId="77777777" w:rsidR="00E52694" w:rsidRPr="00CB4A69" w:rsidRDefault="00E52694" w:rsidP="005B031E">
      <w:pPr>
        <w:widowControl w:val="0"/>
        <w:spacing w:line="360" w:lineRule="auto"/>
        <w:jc w:val="both"/>
        <w:rPr>
          <w:rFonts w:ascii="Palatino Linotype" w:eastAsia="Calibri" w:hAnsi="Palatino Linotype" w:cs="Tahoma"/>
          <w:bCs/>
          <w:iCs/>
          <w:sz w:val="22"/>
          <w:szCs w:val="22"/>
          <w:lang w:val="es-ES" w:eastAsia="en-US"/>
        </w:rPr>
      </w:pPr>
    </w:p>
    <w:p w14:paraId="790DD6D1" w14:textId="044D359B" w:rsidR="00C76706" w:rsidRDefault="00F171E4" w:rsidP="005B031E">
      <w:pPr>
        <w:spacing w:line="360" w:lineRule="auto"/>
        <w:jc w:val="both"/>
        <w:rPr>
          <w:rFonts w:ascii="Palatino Linotype" w:eastAsia="Calibri" w:hAnsi="Palatino Linotype" w:cs="Tahoma"/>
          <w:bCs/>
          <w:iCs/>
          <w:sz w:val="22"/>
          <w:szCs w:val="22"/>
          <w:lang w:eastAsia="en-US"/>
        </w:rPr>
      </w:pPr>
      <w:r>
        <w:rPr>
          <w:rFonts w:ascii="Palatino Linotype" w:eastAsia="Calibri" w:hAnsi="Palatino Linotype" w:cs="Tahoma"/>
          <w:bCs/>
          <w:iCs/>
          <w:sz w:val="22"/>
          <w:szCs w:val="22"/>
          <w:lang w:eastAsia="en-US"/>
        </w:rPr>
        <w:t>Por último</w:t>
      </w:r>
      <w:r w:rsidR="007A067A" w:rsidRPr="00CB4A69">
        <w:rPr>
          <w:rFonts w:ascii="Palatino Linotype" w:eastAsia="Calibri" w:hAnsi="Palatino Linotype" w:cs="Tahoma"/>
          <w:bCs/>
          <w:iCs/>
          <w:sz w:val="22"/>
          <w:szCs w:val="22"/>
          <w:lang w:eastAsia="en-US"/>
        </w:rPr>
        <w:t xml:space="preserve">, es imprescindible mencionar que la labor de este Instituto </w:t>
      </w:r>
      <w:r w:rsidR="00D51254" w:rsidRPr="00CB4A69">
        <w:rPr>
          <w:rFonts w:ascii="Palatino Linotype" w:eastAsia="Calibri" w:hAnsi="Palatino Linotype" w:cs="Tahoma"/>
          <w:bCs/>
          <w:iCs/>
          <w:sz w:val="22"/>
          <w:szCs w:val="22"/>
          <w:lang w:eastAsia="en-US"/>
        </w:rPr>
        <w:t>es</w:t>
      </w:r>
      <w:r w:rsidR="007A067A" w:rsidRPr="00CB4A69">
        <w:rPr>
          <w:rFonts w:ascii="Palatino Linotype" w:eastAsia="Calibri" w:hAnsi="Palatino Linotype" w:cs="Tahoma"/>
          <w:bCs/>
          <w:iCs/>
          <w:sz w:val="22"/>
          <w:szCs w:val="22"/>
          <w:lang w:eastAsia="en-US"/>
        </w:rPr>
        <w:t xml:space="preserve"> apoyar a la población </w:t>
      </w:r>
      <w:r w:rsidR="00D51254" w:rsidRPr="00CB4A69">
        <w:rPr>
          <w:rFonts w:ascii="Palatino Linotype" w:eastAsia="Calibri" w:hAnsi="Palatino Linotype" w:cs="Tahoma"/>
          <w:bCs/>
          <w:iCs/>
          <w:sz w:val="22"/>
          <w:szCs w:val="22"/>
          <w:lang w:eastAsia="en-US"/>
        </w:rPr>
        <w:t>para que</w:t>
      </w:r>
      <w:r w:rsidR="007A067A" w:rsidRPr="00CB4A69">
        <w:rPr>
          <w:rFonts w:ascii="Palatino Linotype" w:eastAsia="Calibri" w:hAnsi="Palatino Linotype" w:cs="Tahoma"/>
          <w:bCs/>
          <w:iCs/>
          <w:sz w:val="22"/>
          <w:szCs w:val="22"/>
          <w:lang w:eastAsia="en-US"/>
        </w:rPr>
        <w:t xml:space="preserve"> </w:t>
      </w:r>
      <w:r w:rsidR="00D51254" w:rsidRPr="00CB4A69">
        <w:rPr>
          <w:rFonts w:ascii="Palatino Linotype" w:eastAsia="Calibri" w:hAnsi="Palatino Linotype" w:cs="Tahoma"/>
          <w:bCs/>
          <w:iCs/>
          <w:sz w:val="22"/>
          <w:szCs w:val="22"/>
          <w:lang w:eastAsia="en-US"/>
        </w:rPr>
        <w:t xml:space="preserve">acceda </w:t>
      </w:r>
      <w:r w:rsidR="007A067A" w:rsidRPr="00CB4A69">
        <w:rPr>
          <w:rFonts w:ascii="Palatino Linotype" w:eastAsia="Calibri" w:hAnsi="Palatino Linotype" w:cs="Tahoma"/>
          <w:bCs/>
          <w:iCs/>
          <w:sz w:val="22"/>
          <w:szCs w:val="22"/>
          <w:lang w:eastAsia="en-US"/>
        </w:rPr>
        <w:t>a la información pública que se encuentre en posesión de los sujetos obligados y garantizar la protección de los datos personales.</w:t>
      </w:r>
      <w:r w:rsidR="007A067A" w:rsidRPr="007A067A">
        <w:rPr>
          <w:rFonts w:ascii="Palatino Linotype" w:eastAsia="Calibri" w:hAnsi="Palatino Linotype" w:cs="Tahoma"/>
          <w:bCs/>
          <w:iCs/>
          <w:sz w:val="22"/>
          <w:szCs w:val="22"/>
          <w:lang w:eastAsia="en-US"/>
        </w:rPr>
        <w:t xml:space="preserve"> </w:t>
      </w:r>
    </w:p>
    <w:p w14:paraId="2376EF9A" w14:textId="77777777" w:rsidR="001A46AA" w:rsidRPr="00C938B6" w:rsidRDefault="001A46AA" w:rsidP="009B31D1">
      <w:pPr>
        <w:autoSpaceDE w:val="0"/>
        <w:autoSpaceDN w:val="0"/>
        <w:adjustRightInd w:val="0"/>
        <w:spacing w:line="360" w:lineRule="auto"/>
        <w:contextualSpacing/>
        <w:jc w:val="both"/>
        <w:rPr>
          <w:rFonts w:ascii="Palatino Linotype" w:eastAsia="Calibri" w:hAnsi="Palatino Linotype" w:cs="Tahoma"/>
          <w:bCs/>
          <w:iCs/>
          <w:sz w:val="22"/>
          <w:szCs w:val="22"/>
          <w:lang w:val="es-ES"/>
        </w:rPr>
      </w:pPr>
    </w:p>
    <w:p w14:paraId="1867F41F" w14:textId="2750769A" w:rsidR="00F74C6D" w:rsidRPr="00F51F15" w:rsidRDefault="00C76706" w:rsidP="00F51F15">
      <w:pPr>
        <w:autoSpaceDE w:val="0"/>
        <w:autoSpaceDN w:val="0"/>
        <w:adjustRightInd w:val="0"/>
        <w:spacing w:line="360" w:lineRule="auto"/>
        <w:jc w:val="both"/>
        <w:rPr>
          <w:rFonts w:ascii="Palatino Linotype" w:eastAsia="Calibri" w:hAnsi="Palatino Linotype" w:cs="Tahoma"/>
          <w:bCs/>
          <w:iCs/>
          <w:sz w:val="22"/>
          <w:szCs w:val="22"/>
          <w:lang w:eastAsia="en-US"/>
        </w:rPr>
      </w:pPr>
      <w:r w:rsidRPr="00C938B6">
        <w:rPr>
          <w:rFonts w:ascii="Palatino Linotype" w:eastAsia="Calibri" w:hAnsi="Palatino Linotype" w:cs="Tahoma"/>
          <w:bCs/>
          <w:iCs/>
          <w:sz w:val="22"/>
          <w:szCs w:val="22"/>
          <w:lang w:eastAsia="en-US"/>
        </w:rPr>
        <w:t>Por lo expuesto y fundado, este Pleno:</w:t>
      </w:r>
    </w:p>
    <w:p w14:paraId="21497BEA" w14:textId="6F0A0AFD" w:rsidR="00744C4C" w:rsidRDefault="00801872" w:rsidP="005B031E">
      <w:pPr>
        <w:spacing w:line="360" w:lineRule="auto"/>
        <w:ind w:right="-28"/>
        <w:jc w:val="center"/>
        <w:rPr>
          <w:rFonts w:ascii="Palatino Linotype" w:eastAsia="Calibri" w:hAnsi="Palatino Linotype" w:cs="Tahoma"/>
          <w:b/>
          <w:bCs/>
          <w:sz w:val="22"/>
          <w:szCs w:val="22"/>
        </w:rPr>
      </w:pPr>
      <w:r w:rsidRPr="00C938B6">
        <w:rPr>
          <w:rFonts w:ascii="Palatino Linotype" w:eastAsia="Calibri" w:hAnsi="Palatino Linotype" w:cs="Tahoma"/>
          <w:b/>
          <w:bCs/>
          <w:sz w:val="22"/>
          <w:szCs w:val="22"/>
        </w:rPr>
        <w:lastRenderedPageBreak/>
        <w:t>R E S U E L V E:</w:t>
      </w:r>
    </w:p>
    <w:p w14:paraId="50A40932" w14:textId="77777777" w:rsidR="005B031E" w:rsidRPr="007B4B27" w:rsidRDefault="005B031E" w:rsidP="007B4B27">
      <w:pPr>
        <w:spacing w:line="360" w:lineRule="auto"/>
        <w:ind w:right="-28"/>
        <w:jc w:val="both"/>
        <w:rPr>
          <w:rFonts w:ascii="Palatino Linotype" w:eastAsia="Calibri" w:hAnsi="Palatino Linotype" w:cs="Tahoma"/>
          <w:b/>
          <w:bCs/>
          <w:sz w:val="22"/>
          <w:szCs w:val="22"/>
        </w:rPr>
      </w:pPr>
    </w:p>
    <w:p w14:paraId="43E22F80" w14:textId="56C1A50E" w:rsidR="002274B9" w:rsidRPr="007B4B27" w:rsidRDefault="002274B9" w:rsidP="007B4B27">
      <w:pPr>
        <w:widowControl w:val="0"/>
        <w:spacing w:line="360" w:lineRule="auto"/>
        <w:jc w:val="both"/>
        <w:rPr>
          <w:rFonts w:ascii="Palatino Linotype" w:hAnsi="Palatino Linotype" w:cs="Tahoma"/>
          <w:bCs/>
          <w:sz w:val="22"/>
          <w:szCs w:val="22"/>
        </w:rPr>
      </w:pPr>
      <w:bookmarkStart w:id="7" w:name="_Hlk92790075"/>
      <w:r w:rsidRPr="007B4B27">
        <w:rPr>
          <w:rFonts w:ascii="Palatino Linotype" w:hAnsi="Palatino Linotype" w:cs="Tahoma"/>
          <w:b/>
          <w:bCs/>
          <w:sz w:val="22"/>
          <w:szCs w:val="22"/>
        </w:rPr>
        <w:t xml:space="preserve">PRIMERO. </w:t>
      </w:r>
      <w:r w:rsidRPr="007B4B27">
        <w:rPr>
          <w:rFonts w:ascii="Palatino Linotype" w:hAnsi="Palatino Linotype" w:cs="Tahoma"/>
          <w:sz w:val="22"/>
          <w:szCs w:val="22"/>
        </w:rPr>
        <w:t xml:space="preserve">Se </w:t>
      </w:r>
      <w:r w:rsidR="007B4B27">
        <w:rPr>
          <w:rFonts w:ascii="Palatino Linotype" w:hAnsi="Palatino Linotype" w:cs="Tahoma"/>
          <w:b/>
          <w:bCs/>
          <w:sz w:val="22"/>
          <w:szCs w:val="22"/>
        </w:rPr>
        <w:t>REVOCA</w:t>
      </w:r>
      <w:r w:rsidRPr="007B4B27">
        <w:rPr>
          <w:rFonts w:ascii="Palatino Linotype" w:hAnsi="Palatino Linotype" w:cs="Tahoma"/>
          <w:b/>
          <w:bCs/>
          <w:sz w:val="22"/>
          <w:szCs w:val="22"/>
        </w:rPr>
        <w:t xml:space="preserve"> </w:t>
      </w:r>
      <w:r w:rsidR="007B4B27">
        <w:rPr>
          <w:rFonts w:ascii="Palatino Linotype" w:hAnsi="Palatino Linotype" w:cs="Tahoma"/>
          <w:sz w:val="22"/>
          <w:szCs w:val="22"/>
        </w:rPr>
        <w:t xml:space="preserve">la respuesta entregada </w:t>
      </w:r>
      <w:r w:rsidRPr="007B4B27">
        <w:rPr>
          <w:rFonts w:ascii="Palatino Linotype" w:hAnsi="Palatino Linotype" w:cs="Tahoma"/>
          <w:sz w:val="22"/>
          <w:szCs w:val="22"/>
        </w:rPr>
        <w:t xml:space="preserve">por el </w:t>
      </w:r>
      <w:r w:rsidR="007B4B27">
        <w:rPr>
          <w:rFonts w:ascii="Palatino Linotype" w:hAnsi="Palatino Linotype" w:cs="Tahoma"/>
          <w:sz w:val="22"/>
          <w:szCs w:val="22"/>
        </w:rPr>
        <w:t>Ayuntamiento de Metepec a la solicitud</w:t>
      </w:r>
      <w:r w:rsidRPr="007B4B27">
        <w:rPr>
          <w:rFonts w:ascii="Palatino Linotype" w:hAnsi="Palatino Linotype" w:cs="Tahoma"/>
          <w:sz w:val="22"/>
          <w:szCs w:val="22"/>
        </w:rPr>
        <w:t xml:space="preserve"> de información </w:t>
      </w:r>
      <w:r w:rsidR="007B4B27">
        <w:rPr>
          <w:rFonts w:ascii="Palatino Linotype" w:hAnsi="Palatino Linotype"/>
          <w:b/>
          <w:bCs/>
          <w:sz w:val="22"/>
          <w:szCs w:val="22"/>
        </w:rPr>
        <w:t>0</w:t>
      </w:r>
      <w:r w:rsidR="00626157">
        <w:rPr>
          <w:rFonts w:ascii="Palatino Linotype" w:hAnsi="Palatino Linotype"/>
          <w:b/>
          <w:bCs/>
          <w:sz w:val="22"/>
          <w:szCs w:val="22"/>
        </w:rPr>
        <w:t>0483</w:t>
      </w:r>
      <w:r w:rsidRPr="007B4B27">
        <w:rPr>
          <w:rFonts w:ascii="Palatino Linotype" w:hAnsi="Palatino Linotype"/>
          <w:b/>
          <w:bCs/>
          <w:sz w:val="22"/>
          <w:szCs w:val="22"/>
        </w:rPr>
        <w:t>/</w:t>
      </w:r>
      <w:r w:rsidR="00626157">
        <w:rPr>
          <w:rFonts w:ascii="Palatino Linotype" w:hAnsi="Palatino Linotype"/>
          <w:b/>
          <w:bCs/>
          <w:sz w:val="22"/>
          <w:szCs w:val="22"/>
        </w:rPr>
        <w:t>METEPEC</w:t>
      </w:r>
      <w:r w:rsidRPr="007B4B27">
        <w:rPr>
          <w:rFonts w:ascii="Palatino Linotype" w:hAnsi="Palatino Linotype"/>
          <w:b/>
          <w:bCs/>
          <w:sz w:val="22"/>
          <w:szCs w:val="22"/>
        </w:rPr>
        <w:t xml:space="preserve">/IP/2022 </w:t>
      </w:r>
      <w:r w:rsidRPr="007B4B27">
        <w:rPr>
          <w:rFonts w:ascii="Palatino Linotype" w:eastAsia="Calibri" w:hAnsi="Palatino Linotype" w:cs="Tahoma"/>
          <w:sz w:val="22"/>
          <w:szCs w:val="22"/>
        </w:rPr>
        <w:t xml:space="preserve">por resultar </w:t>
      </w:r>
      <w:r w:rsidR="00626157">
        <w:rPr>
          <w:rFonts w:ascii="Palatino Linotype" w:eastAsia="Calibri" w:hAnsi="Palatino Linotype" w:cs="Tahoma"/>
          <w:b/>
          <w:bCs/>
          <w:sz w:val="22"/>
          <w:szCs w:val="22"/>
        </w:rPr>
        <w:t xml:space="preserve">PARCIALMENTE </w:t>
      </w:r>
      <w:r w:rsidRPr="007B4B27">
        <w:rPr>
          <w:rFonts w:ascii="Palatino Linotype" w:eastAsia="Calibri" w:hAnsi="Palatino Linotype" w:cs="Tahoma"/>
          <w:b/>
          <w:bCs/>
          <w:sz w:val="22"/>
          <w:szCs w:val="22"/>
        </w:rPr>
        <w:t>FUNDADOS</w:t>
      </w:r>
      <w:r w:rsidRPr="007B4B27">
        <w:rPr>
          <w:rFonts w:ascii="Palatino Linotype" w:eastAsia="Calibri" w:hAnsi="Palatino Linotype" w:cs="Tahoma"/>
          <w:bCs/>
          <w:sz w:val="22"/>
          <w:szCs w:val="22"/>
        </w:rPr>
        <w:t xml:space="preserve"> los motivos de inconformidad</w:t>
      </w:r>
      <w:r w:rsidR="007B4B27" w:rsidRPr="007B4B27">
        <w:rPr>
          <w:rFonts w:ascii="Palatino Linotype" w:eastAsia="Calibri" w:hAnsi="Palatino Linotype" w:cs="Tahoma"/>
          <w:bCs/>
          <w:sz w:val="22"/>
          <w:szCs w:val="22"/>
        </w:rPr>
        <w:t xml:space="preserve"> vertidos por el Recurrente, en </w:t>
      </w:r>
      <w:r w:rsidRPr="007B4B27">
        <w:rPr>
          <w:rFonts w:ascii="Palatino Linotype" w:eastAsia="Calibri" w:hAnsi="Palatino Linotype" w:cs="Tahoma"/>
          <w:bCs/>
          <w:sz w:val="22"/>
          <w:szCs w:val="22"/>
        </w:rPr>
        <w:t xml:space="preserve">términos de los Considerandos </w:t>
      </w:r>
      <w:r w:rsidRPr="007B0DFC">
        <w:rPr>
          <w:rFonts w:ascii="Palatino Linotype" w:eastAsia="Calibri" w:hAnsi="Palatino Linotype" w:cs="Tahoma"/>
          <w:bCs/>
          <w:sz w:val="22"/>
          <w:szCs w:val="22"/>
        </w:rPr>
        <w:t>QUINTO y S</w:t>
      </w:r>
      <w:r w:rsidR="00626157" w:rsidRPr="007B0DFC">
        <w:rPr>
          <w:rFonts w:ascii="Palatino Linotype" w:eastAsia="Calibri" w:hAnsi="Palatino Linotype" w:cs="Tahoma"/>
          <w:bCs/>
          <w:sz w:val="22"/>
          <w:szCs w:val="22"/>
        </w:rPr>
        <w:t>EXTO</w:t>
      </w:r>
      <w:r w:rsidRPr="007B4B27">
        <w:rPr>
          <w:rFonts w:ascii="Palatino Linotype" w:eastAsia="Calibri" w:hAnsi="Palatino Linotype" w:cs="Tahoma"/>
          <w:b/>
          <w:sz w:val="22"/>
          <w:szCs w:val="22"/>
        </w:rPr>
        <w:t xml:space="preserve"> </w:t>
      </w:r>
      <w:r w:rsidRPr="007B4B27">
        <w:rPr>
          <w:rFonts w:ascii="Palatino Linotype" w:eastAsia="Calibri" w:hAnsi="Palatino Linotype" w:cs="Tahoma"/>
          <w:bCs/>
          <w:sz w:val="22"/>
          <w:szCs w:val="22"/>
        </w:rPr>
        <w:t>de la presente Resolución.</w:t>
      </w:r>
    </w:p>
    <w:p w14:paraId="57450C5A" w14:textId="77777777" w:rsidR="002274B9" w:rsidRPr="007B4B27" w:rsidRDefault="002274B9" w:rsidP="007B4B27">
      <w:pPr>
        <w:spacing w:line="360" w:lineRule="auto"/>
        <w:jc w:val="both"/>
        <w:rPr>
          <w:rFonts w:ascii="Palatino Linotype" w:hAnsi="Palatino Linotype" w:cs="Tahoma"/>
          <w:b/>
          <w:bCs/>
          <w:sz w:val="22"/>
          <w:szCs w:val="22"/>
        </w:rPr>
      </w:pPr>
    </w:p>
    <w:p w14:paraId="0EF7C425" w14:textId="50CB76F1" w:rsidR="002274B9" w:rsidRPr="007B4B27" w:rsidRDefault="002274B9" w:rsidP="007B4B27">
      <w:pPr>
        <w:spacing w:line="360" w:lineRule="auto"/>
        <w:ind w:right="-93"/>
        <w:jc w:val="both"/>
        <w:rPr>
          <w:rFonts w:ascii="Palatino Linotype" w:hAnsi="Palatino Linotype" w:cs="Tahoma"/>
          <w:sz w:val="22"/>
          <w:szCs w:val="22"/>
          <w:lang w:val="es-ES"/>
        </w:rPr>
      </w:pPr>
      <w:r w:rsidRPr="007B4B27">
        <w:rPr>
          <w:rFonts w:ascii="Palatino Linotype" w:eastAsia="Calibri" w:hAnsi="Palatino Linotype" w:cs="Tahoma"/>
          <w:b/>
          <w:bCs/>
          <w:sz w:val="22"/>
          <w:szCs w:val="22"/>
        </w:rPr>
        <w:t>SEGUNDO.</w:t>
      </w:r>
      <w:r w:rsidRPr="007B4B27">
        <w:rPr>
          <w:rFonts w:ascii="Palatino Linotype" w:eastAsia="Calibri" w:hAnsi="Palatino Linotype" w:cs="Tahoma"/>
          <w:sz w:val="22"/>
          <w:szCs w:val="22"/>
          <w:lang w:eastAsia="es-MX"/>
        </w:rPr>
        <w:t xml:space="preserve"> Se </w:t>
      </w:r>
      <w:r w:rsidRPr="007B4B27">
        <w:rPr>
          <w:rFonts w:ascii="Palatino Linotype" w:eastAsia="Calibri" w:hAnsi="Palatino Linotype" w:cs="Tahoma"/>
          <w:b/>
          <w:sz w:val="22"/>
          <w:szCs w:val="22"/>
          <w:lang w:eastAsia="es-MX"/>
        </w:rPr>
        <w:t xml:space="preserve">ORDENA </w:t>
      </w:r>
      <w:r w:rsidRPr="007B4B27">
        <w:rPr>
          <w:rFonts w:ascii="Palatino Linotype" w:eastAsia="Calibri" w:hAnsi="Palatino Linotype" w:cs="Tahoma"/>
          <w:sz w:val="22"/>
          <w:szCs w:val="22"/>
          <w:lang w:eastAsia="es-MX"/>
        </w:rPr>
        <w:t xml:space="preserve">al </w:t>
      </w:r>
      <w:r w:rsidR="007B4B27">
        <w:rPr>
          <w:rFonts w:ascii="Palatino Linotype" w:hAnsi="Palatino Linotype" w:cs="Tahoma"/>
          <w:sz w:val="22"/>
          <w:szCs w:val="22"/>
        </w:rPr>
        <w:t>Ayuntamiento de Metepec</w:t>
      </w:r>
      <w:r w:rsidRPr="007B4B27">
        <w:rPr>
          <w:rFonts w:ascii="Palatino Linotype" w:hAnsi="Palatino Linotype" w:cs="Tahoma"/>
          <w:sz w:val="22"/>
          <w:szCs w:val="22"/>
        </w:rPr>
        <w:t xml:space="preserve">, entregue a través del </w:t>
      </w:r>
      <w:r w:rsidRPr="007B4B27">
        <w:rPr>
          <w:rFonts w:ascii="Palatino Linotype" w:hAnsi="Palatino Linotype" w:cs="Tahoma"/>
          <w:sz w:val="22"/>
          <w:szCs w:val="22"/>
          <w:lang w:val="es-ES"/>
        </w:rPr>
        <w:t xml:space="preserve">Sistema de Acceso a la Información Mexiquense (SAIMEX), lo siguiente: </w:t>
      </w:r>
    </w:p>
    <w:p w14:paraId="522C850D" w14:textId="77777777" w:rsidR="002274B9" w:rsidRPr="007B4B27" w:rsidRDefault="002274B9" w:rsidP="007B4B27">
      <w:pPr>
        <w:spacing w:line="360" w:lineRule="auto"/>
        <w:ind w:right="-93"/>
        <w:jc w:val="both"/>
        <w:rPr>
          <w:rFonts w:ascii="Palatino Linotype" w:hAnsi="Palatino Linotype" w:cs="Tahoma"/>
          <w:sz w:val="22"/>
          <w:szCs w:val="22"/>
          <w:lang w:val="es-ES"/>
        </w:rPr>
      </w:pPr>
    </w:p>
    <w:p w14:paraId="6B2AC42F" w14:textId="2183755C" w:rsidR="00B42832" w:rsidRPr="00B7691F" w:rsidRDefault="00B42832" w:rsidP="00B42832">
      <w:pPr>
        <w:pStyle w:val="Prrafodelista"/>
        <w:numPr>
          <w:ilvl w:val="0"/>
          <w:numId w:val="2"/>
        </w:numPr>
        <w:tabs>
          <w:tab w:val="left" w:pos="993"/>
        </w:tabs>
        <w:spacing w:line="360" w:lineRule="auto"/>
        <w:ind w:right="-28"/>
        <w:jc w:val="both"/>
        <w:rPr>
          <w:rFonts w:ascii="Palatino Linotype" w:hAnsi="Palatino Linotype" w:cs="Tahoma"/>
          <w:bCs/>
          <w:iCs/>
          <w:szCs w:val="22"/>
        </w:rPr>
      </w:pPr>
      <w:r>
        <w:rPr>
          <w:rFonts w:ascii="Palatino Linotype" w:hAnsi="Palatino Linotype" w:cs="Tahoma"/>
          <w:b/>
          <w:bCs/>
          <w:iCs/>
          <w:szCs w:val="22"/>
        </w:rPr>
        <w:t xml:space="preserve">El Acuerdo emitido por el Comité de Transparencia, en donde de manera fundada y motivada, confirme la clasificación, de ser el caso, del documento que </w:t>
      </w:r>
      <w:r w:rsidR="00871596">
        <w:rPr>
          <w:rFonts w:ascii="Palatino Linotype" w:hAnsi="Palatino Linotype" w:cs="Tahoma"/>
          <w:b/>
          <w:bCs/>
          <w:iCs/>
          <w:szCs w:val="22"/>
        </w:rPr>
        <w:t>dé</w:t>
      </w:r>
      <w:r>
        <w:rPr>
          <w:rFonts w:ascii="Palatino Linotype" w:hAnsi="Palatino Linotype" w:cs="Tahoma"/>
          <w:b/>
          <w:bCs/>
          <w:iCs/>
          <w:szCs w:val="22"/>
        </w:rPr>
        <w:t xml:space="preserve"> cuenta de los resultados de la prueba diagnóstica Covid-19 del Presidente Municipal de Metepec realizada para asistir al evento “Caravana de Día de Reyes”, de conformidad con los artículos 49, fracción II, 143, fracción I y 149 de la Ley de Transparencia y Acceso a la Información Pública del Estado de México y Municipios. </w:t>
      </w:r>
    </w:p>
    <w:p w14:paraId="04A7E343" w14:textId="77777777" w:rsidR="002274B9" w:rsidRPr="007B4B27" w:rsidRDefault="002274B9" w:rsidP="007B4B27">
      <w:pPr>
        <w:spacing w:line="360" w:lineRule="auto"/>
        <w:jc w:val="both"/>
        <w:rPr>
          <w:rFonts w:ascii="Palatino Linotype" w:eastAsiaTheme="minorHAnsi" w:hAnsi="Palatino Linotype" w:cstheme="minorBidi"/>
          <w:color w:val="000000" w:themeColor="text1"/>
          <w:sz w:val="22"/>
          <w:szCs w:val="22"/>
          <w:lang w:eastAsia="en-US"/>
        </w:rPr>
      </w:pPr>
    </w:p>
    <w:p w14:paraId="72D45352" w14:textId="0B349206" w:rsidR="00B42832" w:rsidRDefault="00B42832" w:rsidP="00B42832">
      <w:pPr>
        <w:tabs>
          <w:tab w:val="left" w:pos="993"/>
        </w:tabs>
        <w:spacing w:line="360" w:lineRule="auto"/>
        <w:ind w:right="-28"/>
        <w:jc w:val="both"/>
        <w:rPr>
          <w:rFonts w:ascii="Palatino Linotype" w:hAnsi="Palatino Linotype" w:cs="Tahoma"/>
          <w:bCs/>
          <w:iCs/>
          <w:sz w:val="22"/>
          <w:szCs w:val="22"/>
        </w:rPr>
      </w:pPr>
      <w:r>
        <w:rPr>
          <w:rFonts w:ascii="Palatino Linotype" w:hAnsi="Palatino Linotype" w:cs="Tahoma"/>
          <w:bCs/>
          <w:iCs/>
          <w:sz w:val="22"/>
          <w:szCs w:val="22"/>
        </w:rPr>
        <w:t xml:space="preserve">Para el caso de que no se cuente con el documento que dé cuenta de los resultados de la prueba diagnóstica Covid-19 del Presidente Municipal, el Sujeto Obligado deberá hacerlo del conocimiento del ahora recurrente, de manera clara y precisa. </w:t>
      </w:r>
    </w:p>
    <w:p w14:paraId="5C5D9713" w14:textId="77777777" w:rsidR="002274B9" w:rsidRPr="007B4B27" w:rsidRDefault="002274B9" w:rsidP="007B4B27">
      <w:pPr>
        <w:spacing w:line="360" w:lineRule="auto"/>
        <w:jc w:val="both"/>
        <w:rPr>
          <w:rFonts w:ascii="Palatino Linotype" w:hAnsi="Palatino Linotype" w:cs="Tahoma"/>
          <w:iCs/>
          <w:sz w:val="22"/>
          <w:szCs w:val="22"/>
        </w:rPr>
      </w:pPr>
    </w:p>
    <w:bookmarkEnd w:id="7"/>
    <w:p w14:paraId="33104E7E" w14:textId="77777777" w:rsidR="00B42832" w:rsidRPr="00E70AC4" w:rsidRDefault="00B42832" w:rsidP="00B42832">
      <w:pPr>
        <w:spacing w:line="360" w:lineRule="auto"/>
        <w:jc w:val="both"/>
        <w:rPr>
          <w:rFonts w:ascii="Palatino Linotype" w:hAnsi="Palatino Linotype" w:cs="Tahoma"/>
          <w:i/>
          <w:sz w:val="22"/>
          <w:szCs w:val="22"/>
        </w:rPr>
      </w:pPr>
      <w:r w:rsidRPr="00E70AC4">
        <w:rPr>
          <w:rFonts w:ascii="Palatino Linotype" w:eastAsia="Calibri" w:hAnsi="Palatino Linotype" w:cs="Tahoma"/>
          <w:b/>
          <w:bCs/>
          <w:sz w:val="22"/>
          <w:szCs w:val="22"/>
          <w:lang w:eastAsia="en-US"/>
        </w:rPr>
        <w:t>TERCERO.</w:t>
      </w:r>
      <w:r w:rsidRPr="00E70AC4">
        <w:rPr>
          <w:rFonts w:ascii="Palatino Linotype" w:hAnsi="Palatino Linotype" w:cs="Tahoma"/>
          <w:color w:val="000000" w:themeColor="text1"/>
          <w:sz w:val="22"/>
          <w:szCs w:val="22"/>
        </w:rPr>
        <w:t xml:space="preserve"> </w:t>
      </w:r>
      <w:r w:rsidRPr="00E70AC4">
        <w:rPr>
          <w:rFonts w:ascii="Palatino Linotype" w:hAnsi="Palatino Linotype" w:cs="Tahoma"/>
          <w:b/>
          <w:sz w:val="22"/>
          <w:szCs w:val="22"/>
        </w:rPr>
        <w:t xml:space="preserve">NOTIFÍQUESE </w:t>
      </w:r>
      <w:r w:rsidRPr="00E70AC4">
        <w:rPr>
          <w:rFonts w:ascii="Palatino Linotype" w:hAnsi="Palatino Linotype" w:cs="Tahoma"/>
          <w:sz w:val="22"/>
          <w:szCs w:val="22"/>
        </w:rPr>
        <w:t xml:space="preserve">la presente resolución al Titular de la Unidad de Transparencia del </w:t>
      </w:r>
      <w:r w:rsidRPr="001263E7">
        <w:rPr>
          <w:rFonts w:ascii="Palatino Linotype" w:hAnsi="Palatino Linotype" w:cs="Tahoma"/>
          <w:sz w:val="22"/>
          <w:szCs w:val="22"/>
        </w:rPr>
        <w:t>Sistema Municipal para el Desarrollo Integral de la Familia de Metepec</w:t>
      </w:r>
      <w:r w:rsidRPr="00E70AC4">
        <w:rPr>
          <w:rFonts w:ascii="Palatino Linotype" w:hAnsi="Palatino Linotype" w:cs="Tahoma"/>
          <w:sz w:val="22"/>
          <w:szCs w:val="22"/>
        </w:rPr>
        <w:t xml:space="preserve">, para que conforme al artículo 186, último párrafo, 189, segundo párrafo y 194 de la Ley de la materia, dé cumplimiento a lo ordenado dentro del plazo de </w:t>
      </w:r>
      <w:r>
        <w:rPr>
          <w:rFonts w:ascii="Palatino Linotype" w:hAnsi="Palatino Linotype" w:cs="Tahoma"/>
          <w:sz w:val="22"/>
          <w:szCs w:val="22"/>
        </w:rPr>
        <w:t>diez</w:t>
      </w:r>
      <w:r w:rsidRPr="00E70AC4">
        <w:rPr>
          <w:rFonts w:ascii="Palatino Linotype" w:hAnsi="Palatino Linotype" w:cs="Tahoma"/>
          <w:sz w:val="22"/>
          <w:szCs w:val="22"/>
        </w:rPr>
        <w:t xml:space="preserve"> días hábiles, e informe a este Instituto en un plazo de tres días hábiles siguientes sobre el cumplimiento dado a la presente.</w:t>
      </w:r>
    </w:p>
    <w:p w14:paraId="139FF8AA" w14:textId="77777777" w:rsidR="00B42832" w:rsidRPr="00E70AC4" w:rsidRDefault="00B42832" w:rsidP="00B42832">
      <w:pPr>
        <w:spacing w:line="360" w:lineRule="auto"/>
        <w:jc w:val="both"/>
        <w:rPr>
          <w:rFonts w:ascii="Palatino Linotype" w:eastAsia="Calibri" w:hAnsi="Palatino Linotype" w:cs="Tahoma"/>
          <w:sz w:val="22"/>
          <w:szCs w:val="22"/>
          <w:lang w:eastAsia="es-MX"/>
        </w:rPr>
      </w:pPr>
    </w:p>
    <w:p w14:paraId="7B1350C5" w14:textId="77777777" w:rsidR="00B42832" w:rsidRPr="00E70AC4" w:rsidRDefault="00B42832" w:rsidP="00B42832">
      <w:pPr>
        <w:spacing w:line="360" w:lineRule="auto"/>
        <w:jc w:val="both"/>
        <w:rPr>
          <w:rFonts w:ascii="Palatino Linotype" w:eastAsia="Calibri" w:hAnsi="Palatino Linotype" w:cs="Tahoma"/>
          <w:iCs/>
          <w:color w:val="000000"/>
          <w:sz w:val="22"/>
          <w:szCs w:val="22"/>
          <w:lang w:eastAsia="en-US"/>
        </w:rPr>
      </w:pPr>
      <w:r w:rsidRPr="00E70AC4">
        <w:rPr>
          <w:rFonts w:ascii="Palatino Linotype" w:eastAsia="Calibri" w:hAnsi="Palatino Linotype" w:cs="Tahoma"/>
          <w:iCs/>
          <w:color w:val="000000"/>
          <w:sz w:val="22"/>
          <w:szCs w:val="22"/>
          <w:lang w:eastAsia="en-US"/>
        </w:rPr>
        <w:lastRenderedPageBreak/>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F0E8C8E" w14:textId="77777777" w:rsidR="00B42832" w:rsidRPr="00E70AC4" w:rsidRDefault="00B42832" w:rsidP="00B42832">
      <w:pPr>
        <w:spacing w:line="360" w:lineRule="auto"/>
        <w:jc w:val="both"/>
        <w:rPr>
          <w:rFonts w:ascii="Palatino Linotype" w:eastAsia="Calibri" w:hAnsi="Palatino Linotype" w:cs="Tahoma"/>
          <w:sz w:val="22"/>
          <w:szCs w:val="22"/>
          <w:lang w:eastAsia="es-MX"/>
        </w:rPr>
      </w:pPr>
    </w:p>
    <w:p w14:paraId="5C32E825" w14:textId="77777777" w:rsidR="00B42832" w:rsidRPr="001263E7" w:rsidRDefault="00B42832" w:rsidP="00B42832">
      <w:pPr>
        <w:spacing w:line="360" w:lineRule="auto"/>
        <w:ind w:right="-93"/>
        <w:jc w:val="both"/>
        <w:rPr>
          <w:rFonts w:ascii="Palatino Linotype" w:hAnsi="Palatino Linotype" w:cs="Tahoma"/>
          <w:sz w:val="22"/>
          <w:szCs w:val="22"/>
        </w:rPr>
      </w:pPr>
      <w:r w:rsidRPr="001263E7">
        <w:rPr>
          <w:rFonts w:ascii="Palatino Linotype" w:eastAsia="Calibri" w:hAnsi="Palatino Linotype" w:cs="Tahoma"/>
          <w:b/>
          <w:sz w:val="22"/>
          <w:szCs w:val="22"/>
          <w:lang w:eastAsia="es-MX"/>
        </w:rPr>
        <w:t>CUARTO</w:t>
      </w:r>
      <w:r w:rsidRPr="001263E7">
        <w:rPr>
          <w:rFonts w:ascii="Palatino Linotype" w:eastAsia="Calibri" w:hAnsi="Palatino Linotype" w:cs="Tahoma"/>
          <w:b/>
          <w:bCs/>
          <w:sz w:val="22"/>
          <w:szCs w:val="22"/>
          <w:lang w:eastAsia="en-US"/>
        </w:rPr>
        <w:t>.</w:t>
      </w:r>
      <w:r w:rsidRPr="001263E7">
        <w:rPr>
          <w:rFonts w:ascii="Palatino Linotype" w:eastAsia="Calibri" w:hAnsi="Palatino Linotype" w:cs="Tahoma"/>
          <w:sz w:val="22"/>
          <w:szCs w:val="22"/>
          <w:lang w:eastAsia="es-MX"/>
        </w:rPr>
        <w:t xml:space="preserve"> </w:t>
      </w:r>
      <w:r w:rsidRPr="001263E7">
        <w:rPr>
          <w:rFonts w:ascii="Palatino Linotype" w:hAnsi="Palatino Linotype" w:cs="Tahoma"/>
          <w:b/>
          <w:sz w:val="22"/>
          <w:szCs w:val="22"/>
        </w:rPr>
        <w:t>NOTIFÍQUESE</w:t>
      </w:r>
      <w:r w:rsidRPr="001263E7">
        <w:rPr>
          <w:rFonts w:ascii="Palatino Linotype" w:hAnsi="Palatino Linotype" w:cs="Tahoma"/>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 o, promover Recurso de Inconformidad, en términos de los artículos 159 y 160, fracción II, de la Ley General de Transparencia y Acceso a la Información Pública.</w:t>
      </w:r>
    </w:p>
    <w:p w14:paraId="4BA8B42E" w14:textId="77777777" w:rsidR="00496E1B" w:rsidRPr="007B4B27" w:rsidRDefault="00496E1B" w:rsidP="007B4B27">
      <w:pPr>
        <w:spacing w:line="360" w:lineRule="auto"/>
        <w:jc w:val="both"/>
        <w:rPr>
          <w:rFonts w:ascii="Palatino Linotype" w:eastAsia="Calibri" w:hAnsi="Palatino Linotype" w:cs="Tahoma"/>
          <w:bCs/>
          <w:sz w:val="22"/>
          <w:szCs w:val="22"/>
          <w:lang w:val="es-ES_tradnl" w:eastAsia="en-US"/>
        </w:rPr>
      </w:pPr>
    </w:p>
    <w:p w14:paraId="6D10F8F2" w14:textId="24D1EC63" w:rsidR="00541D73" w:rsidRDefault="00801872" w:rsidP="00871596">
      <w:pPr>
        <w:spacing w:line="360" w:lineRule="auto"/>
        <w:jc w:val="both"/>
        <w:rPr>
          <w:rFonts w:ascii="Palatino Linotype" w:hAnsi="Palatino Linotype" w:cs="Tahoma"/>
          <w:sz w:val="22"/>
          <w:szCs w:val="22"/>
          <w:lang w:eastAsia="es-MX"/>
        </w:rPr>
      </w:pPr>
      <w:r w:rsidRPr="004D1E66">
        <w:rPr>
          <w:rFonts w:ascii="Palatino Linotype" w:hAnsi="Palatino Linotype" w:cs="Tahoma"/>
          <w:sz w:val="22"/>
          <w:szCs w:val="22"/>
          <w:lang w:eastAsia="es-MX"/>
        </w:rPr>
        <w:t xml:space="preserve">ASÍ, </w:t>
      </w:r>
      <w:r w:rsidRPr="007B4B27">
        <w:rPr>
          <w:rFonts w:ascii="Palatino Linotype" w:hAnsi="Palatino Linotype" w:cs="Tahoma"/>
          <w:sz w:val="22"/>
          <w:szCs w:val="22"/>
          <w:lang w:eastAsia="es-MX"/>
        </w:rPr>
        <w:t>POR UNANIMIDAD DE</w:t>
      </w:r>
      <w:r w:rsidRPr="004D1E66">
        <w:rPr>
          <w:rFonts w:ascii="Palatino Linotype" w:hAnsi="Palatino Linotype" w:cs="Tahoma"/>
          <w:sz w:val="22"/>
          <w:szCs w:val="22"/>
          <w:lang w:eastAsia="es-MX"/>
        </w:rPr>
        <w:t xml:space="preserve"> VOTOS, LO RESOLVIERON Y FIRMAN LOS COMISIONADOS DEL INSTITUTO DE TRANSPARENCIA, ACCESO A LA INFORMACIÓN PÚBLICA Y PROTECCIÓN DE DATOS PERSONALES DEL ESTADO DE MÉXICO Y MUNICIPIOS, </w:t>
      </w:r>
      <w:r w:rsidR="00DD525B" w:rsidRPr="004D1E66">
        <w:rPr>
          <w:rFonts w:ascii="Palatino Linotype" w:hAnsi="Palatino Linotype" w:cs="Tahoma"/>
          <w:bCs/>
          <w:sz w:val="22"/>
          <w:szCs w:val="22"/>
          <w:lang w:eastAsia="es-MX"/>
        </w:rPr>
        <w:t>CONFORMADO POR LOS COMISIONADOS JOSÉ MARTÍNEZ VILCHIS, MARÍA DEL ROSARIO MEJÍA AYALA, SHARON CRISTINA MORALES MARTÍNEZ, LUIS GUSTAVO PARRA NORIEGA Y GUADALUPE RAMÍREZ PEÑA</w:t>
      </w:r>
      <w:r w:rsidRPr="004D1E66">
        <w:rPr>
          <w:rFonts w:ascii="Palatino Linotype" w:hAnsi="Palatino Linotype" w:cs="Tahoma"/>
          <w:sz w:val="22"/>
          <w:szCs w:val="22"/>
          <w:lang w:eastAsia="es-MX"/>
        </w:rPr>
        <w:t xml:space="preserve">, EN </w:t>
      </w:r>
      <w:r w:rsidR="00890B8A" w:rsidRPr="004D1E66">
        <w:rPr>
          <w:rFonts w:ascii="Palatino Linotype" w:hAnsi="Palatino Linotype" w:cs="Tahoma"/>
          <w:sz w:val="22"/>
          <w:szCs w:val="22"/>
          <w:lang w:eastAsia="es-MX"/>
        </w:rPr>
        <w:t xml:space="preserve">LA DÉCIMO </w:t>
      </w:r>
      <w:r w:rsidR="00871596">
        <w:rPr>
          <w:rFonts w:ascii="Palatino Linotype" w:hAnsi="Palatino Linotype" w:cs="Tahoma"/>
          <w:sz w:val="22"/>
          <w:szCs w:val="22"/>
          <w:lang w:eastAsia="es-MX"/>
        </w:rPr>
        <w:t xml:space="preserve">QUINTA </w:t>
      </w:r>
      <w:r w:rsidR="00806CF4" w:rsidRPr="004D1E66">
        <w:rPr>
          <w:rFonts w:ascii="Palatino Linotype" w:hAnsi="Palatino Linotype" w:cs="Tahoma"/>
          <w:sz w:val="22"/>
          <w:szCs w:val="22"/>
          <w:lang w:eastAsia="es-MX"/>
        </w:rPr>
        <w:t>SESIÓN ORDINARIA</w:t>
      </w:r>
      <w:r w:rsidR="00890B8A" w:rsidRPr="004D1E66">
        <w:rPr>
          <w:rFonts w:ascii="Palatino Linotype" w:hAnsi="Palatino Linotype" w:cs="Tahoma"/>
          <w:sz w:val="22"/>
          <w:szCs w:val="22"/>
          <w:lang w:eastAsia="es-MX"/>
        </w:rPr>
        <w:t>,</w:t>
      </w:r>
      <w:r w:rsidRPr="004D1E66">
        <w:rPr>
          <w:rFonts w:ascii="Palatino Linotype" w:hAnsi="Palatino Linotype" w:cs="Tahoma"/>
          <w:sz w:val="22"/>
          <w:szCs w:val="22"/>
          <w:lang w:eastAsia="es-MX"/>
        </w:rPr>
        <w:t xml:space="preserve"> CELEBRADA EL </w:t>
      </w:r>
      <w:r w:rsidR="007A2C76" w:rsidRPr="004D1E66">
        <w:rPr>
          <w:rFonts w:ascii="Palatino Linotype" w:hAnsi="Palatino Linotype" w:cs="Tahoma"/>
          <w:bCs/>
          <w:sz w:val="22"/>
          <w:szCs w:val="22"/>
          <w:lang w:eastAsia="es-MX"/>
        </w:rPr>
        <w:t>VEINT</w:t>
      </w:r>
      <w:r w:rsidR="00871596">
        <w:rPr>
          <w:rFonts w:ascii="Palatino Linotype" w:hAnsi="Palatino Linotype" w:cs="Tahoma"/>
          <w:bCs/>
          <w:sz w:val="22"/>
          <w:szCs w:val="22"/>
          <w:lang w:eastAsia="es-MX"/>
        </w:rPr>
        <w:t xml:space="preserve">ISIETE </w:t>
      </w:r>
      <w:r w:rsidR="007A2C76" w:rsidRPr="004D1E66">
        <w:rPr>
          <w:rFonts w:ascii="Palatino Linotype" w:hAnsi="Palatino Linotype" w:cs="Tahoma"/>
          <w:bCs/>
          <w:sz w:val="22"/>
          <w:szCs w:val="22"/>
          <w:lang w:eastAsia="es-MX"/>
        </w:rPr>
        <w:t>DE ABRIL</w:t>
      </w:r>
      <w:r w:rsidR="00890B8A" w:rsidRPr="004D1E66">
        <w:rPr>
          <w:rFonts w:ascii="Palatino Linotype" w:hAnsi="Palatino Linotype" w:cs="Tahoma"/>
          <w:bCs/>
          <w:sz w:val="22"/>
          <w:szCs w:val="22"/>
          <w:lang w:eastAsia="es-MX"/>
        </w:rPr>
        <w:t xml:space="preserve"> DE DOS MIL VEINTIDÓS</w:t>
      </w:r>
      <w:r w:rsidRPr="004D1E66">
        <w:rPr>
          <w:rFonts w:ascii="Palatino Linotype" w:hAnsi="Palatino Linotype" w:cs="Tahoma"/>
          <w:sz w:val="22"/>
          <w:szCs w:val="22"/>
          <w:lang w:eastAsia="es-MX"/>
        </w:rPr>
        <w:t>, ANTE EL SECRETARIO TÉCNICO DEL PLENO, ALEXIS TAPIA RAMÍREZ.</w:t>
      </w:r>
    </w:p>
    <w:p w14:paraId="7D8279D4" w14:textId="1188B99F" w:rsidR="002B09F4" w:rsidRDefault="002B09F4">
      <w:pPr>
        <w:spacing w:after="160" w:line="259" w:lineRule="auto"/>
        <w:rPr>
          <w:rFonts w:ascii="Palatino Linotype" w:hAnsi="Palatino Linotype" w:cs="Tahoma"/>
          <w:sz w:val="22"/>
          <w:szCs w:val="22"/>
          <w:lang w:eastAsia="es-MX"/>
        </w:rPr>
      </w:pPr>
      <w:r>
        <w:rPr>
          <w:rFonts w:ascii="Palatino Linotype" w:hAnsi="Palatino Linotype" w:cs="Tahoma"/>
          <w:sz w:val="22"/>
          <w:szCs w:val="22"/>
          <w:lang w:eastAsia="es-MX"/>
        </w:rPr>
        <w:br w:type="page"/>
      </w:r>
    </w:p>
    <w:p w14:paraId="4545C920" w14:textId="77777777" w:rsidR="002B09F4" w:rsidRPr="00871596" w:rsidRDefault="002B09F4" w:rsidP="00871596">
      <w:pPr>
        <w:spacing w:line="360" w:lineRule="auto"/>
        <w:jc w:val="both"/>
        <w:rPr>
          <w:rFonts w:ascii="Palatino Linotype" w:hAnsi="Palatino Linotype" w:cs="Tahoma"/>
          <w:sz w:val="22"/>
          <w:szCs w:val="22"/>
          <w:lang w:eastAsia="es-MX"/>
        </w:rPr>
      </w:pPr>
    </w:p>
    <w:sectPr w:rsidR="002B09F4" w:rsidRPr="00871596" w:rsidSect="00043737">
      <w:headerReference w:type="even" r:id="rId9"/>
      <w:headerReference w:type="default" r:id="rId10"/>
      <w:footerReference w:type="default" r:id="rId11"/>
      <w:headerReference w:type="first" r:id="rId12"/>
      <w:footerReference w:type="first" r:id="rId13"/>
      <w:pgSz w:w="12240" w:h="15840"/>
      <w:pgMar w:top="80" w:right="1608" w:bottom="1134" w:left="1588" w:header="454"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257E5" w14:textId="77777777" w:rsidR="00004CF3" w:rsidRDefault="00004CF3" w:rsidP="00801872">
      <w:r>
        <w:separator/>
      </w:r>
    </w:p>
  </w:endnote>
  <w:endnote w:type="continuationSeparator" w:id="0">
    <w:p w14:paraId="25F44373" w14:textId="77777777" w:rsidR="00004CF3" w:rsidRDefault="00004CF3" w:rsidP="00801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0A694AEC" w14:textId="77777777" w:rsidR="00140A32" w:rsidRPr="00C13895" w:rsidRDefault="00140A32">
            <w:pPr>
              <w:pStyle w:val="Piedepgina"/>
              <w:jc w:val="right"/>
              <w:rPr>
                <w:sz w:val="26"/>
                <w:szCs w:val="26"/>
              </w:rPr>
            </w:pPr>
          </w:p>
          <w:p w14:paraId="046BF6F6" w14:textId="77777777" w:rsidR="00140A32" w:rsidRDefault="00140A3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74C6D">
              <w:rPr>
                <w:b/>
                <w:bCs/>
                <w:noProof/>
              </w:rPr>
              <w:t>11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74C6D">
              <w:rPr>
                <w:b/>
                <w:bCs/>
                <w:noProof/>
              </w:rPr>
              <w:t>24</w:t>
            </w:r>
            <w:r>
              <w:rPr>
                <w:b/>
                <w:bCs/>
                <w:sz w:val="24"/>
                <w:szCs w:val="24"/>
              </w:rPr>
              <w:fldChar w:fldCharType="end"/>
            </w:r>
          </w:p>
        </w:sdtContent>
      </w:sdt>
    </w:sdtContent>
  </w:sdt>
  <w:p w14:paraId="3CEDE9D3" w14:textId="77777777" w:rsidR="00140A32" w:rsidRDefault="00140A3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3AB6FCB5" w14:textId="77777777" w:rsidR="00140A32" w:rsidRDefault="00140A32">
            <w:pPr>
              <w:pStyle w:val="Piedepgina"/>
              <w:jc w:val="right"/>
            </w:pPr>
          </w:p>
          <w:p w14:paraId="1909745D" w14:textId="77777777" w:rsidR="00140A32" w:rsidRDefault="00140A32">
            <w:pPr>
              <w:pStyle w:val="Piedepgina"/>
              <w:jc w:val="right"/>
            </w:pPr>
          </w:p>
          <w:p w14:paraId="1AC1C7A3" w14:textId="77777777" w:rsidR="00140A32" w:rsidRDefault="00140A32">
            <w:pPr>
              <w:pStyle w:val="Piedepgina"/>
              <w:jc w:val="right"/>
            </w:pPr>
          </w:p>
          <w:p w14:paraId="1714865E" w14:textId="77777777" w:rsidR="00140A32" w:rsidRDefault="00140A3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74C6D">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74C6D">
              <w:rPr>
                <w:b/>
                <w:bCs/>
                <w:noProof/>
              </w:rPr>
              <w:t>24</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78975" w14:textId="77777777" w:rsidR="00004CF3" w:rsidRDefault="00004CF3" w:rsidP="00801872">
      <w:r>
        <w:separator/>
      </w:r>
    </w:p>
  </w:footnote>
  <w:footnote w:type="continuationSeparator" w:id="0">
    <w:p w14:paraId="5615DEFD" w14:textId="77777777" w:rsidR="00004CF3" w:rsidRDefault="00004CF3" w:rsidP="008018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F2E5E" w14:textId="77777777" w:rsidR="00140A32" w:rsidRDefault="002B09F4">
    <w:pPr>
      <w:pStyle w:val="Encabezado"/>
    </w:pPr>
    <w:r>
      <w:rPr>
        <w:noProof/>
        <w:lang w:eastAsia="es-MX"/>
      </w:rPr>
      <w:pict w14:anchorId="62B826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2" o:spid="_x0000_s1027" type="#_x0000_t75" alt="marcaaguaINFOEM" style="position:absolute;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agua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13F9D" w14:textId="0AEF3FF8" w:rsidR="00140A32" w:rsidRPr="009E6858" w:rsidRDefault="002B09F4" w:rsidP="00070F27">
    <w:pPr>
      <w:tabs>
        <w:tab w:val="left" w:pos="3416"/>
      </w:tabs>
      <w:rPr>
        <w:sz w:val="22"/>
        <w:szCs w:val="22"/>
      </w:rPr>
    </w:pPr>
    <w:r>
      <w:rPr>
        <w:noProof/>
        <w:sz w:val="14"/>
        <w:lang w:eastAsia="es-MX"/>
      </w:rPr>
      <w:pict w14:anchorId="0BDCAE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3" o:spid="_x0000_s1026" type="#_x0000_t75" alt="marcaaguaINFOEM" style="position:absolute;margin-left:-91.4pt;margin-top:-135pt;width:663.5pt;height:12in;z-index:-251656192;mso-wrap-edited:f;mso-width-percent:0;mso-height-percent:0;mso-position-horizontal-relative:margin;mso-position-vertical-relative:margin;mso-width-percent:0;mso-height-percent:0" o:allowincell="f">
          <v:imagedata r:id="rId1" o:title="marcaaguaINFOEM"/>
          <w10:wrap anchorx="margin" anchory="margin"/>
        </v:shape>
      </w:pict>
    </w:r>
  </w:p>
  <w:tbl>
    <w:tblPr>
      <w:tblW w:w="10170" w:type="dxa"/>
      <w:tblLayout w:type="fixed"/>
      <w:tblLook w:val="04A0" w:firstRow="1" w:lastRow="0" w:firstColumn="1" w:lastColumn="0" w:noHBand="0" w:noVBand="1"/>
    </w:tblPr>
    <w:tblGrid>
      <w:gridCol w:w="2977"/>
      <w:gridCol w:w="7193"/>
    </w:tblGrid>
    <w:tr w:rsidR="00140A32" w:rsidRPr="005C106F" w14:paraId="63E08C3E" w14:textId="77777777" w:rsidTr="00070F27">
      <w:trPr>
        <w:trHeight w:val="70"/>
      </w:trPr>
      <w:tc>
        <w:tcPr>
          <w:tcW w:w="2977" w:type="dxa"/>
          <w:shd w:val="clear" w:color="auto" w:fill="auto"/>
        </w:tcPr>
        <w:p w14:paraId="08521BB7" w14:textId="77777777" w:rsidR="00140A32" w:rsidRPr="005C106F" w:rsidRDefault="00140A32" w:rsidP="00070F27">
          <w:pPr>
            <w:tabs>
              <w:tab w:val="right" w:pos="4273"/>
            </w:tabs>
            <w:rPr>
              <w:rFonts w:ascii="Garamond" w:eastAsia="Calibri" w:hAnsi="Garamond"/>
              <w:sz w:val="16"/>
              <w:szCs w:val="16"/>
            </w:rPr>
          </w:pPr>
        </w:p>
      </w:tc>
      <w:tc>
        <w:tcPr>
          <w:tcW w:w="7193" w:type="dxa"/>
          <w:shd w:val="clear" w:color="auto" w:fill="auto"/>
        </w:tcPr>
        <w:p w14:paraId="4C6F44B5" w14:textId="0FD5EF6D" w:rsidR="00140A32" w:rsidRDefault="00140A32"/>
        <w:tbl>
          <w:tblPr>
            <w:tblStyle w:val="Tablaconcuadrcula"/>
            <w:tblW w:w="6090" w:type="dxa"/>
            <w:tblInd w:w="8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3686"/>
          </w:tblGrid>
          <w:tr w:rsidR="00140A32" w14:paraId="1009EACB" w14:textId="77777777" w:rsidTr="00400954">
            <w:trPr>
              <w:trHeight w:val="329"/>
            </w:trPr>
            <w:tc>
              <w:tcPr>
                <w:tcW w:w="2404" w:type="dxa"/>
                <w:vAlign w:val="bottom"/>
              </w:tcPr>
              <w:p w14:paraId="50FDFF5D" w14:textId="69731127" w:rsidR="00140A32" w:rsidRPr="008B41A2" w:rsidRDefault="00140A32" w:rsidP="00A430C1">
                <w:pPr>
                  <w:tabs>
                    <w:tab w:val="right" w:pos="8838"/>
                  </w:tabs>
                  <w:ind w:right="-105"/>
                  <w:rPr>
                    <w:rFonts w:ascii="Palatino Linotype" w:eastAsia="Calibri" w:hAnsi="Palatino Linotype" w:cs="Tahoma"/>
                    <w:b/>
                    <w:sz w:val="22"/>
                    <w:szCs w:val="22"/>
                    <w:lang w:val="es-MX"/>
                  </w:rPr>
                </w:pPr>
                <w:bookmarkStart w:id="8" w:name="_Hlk93421933"/>
                <w:r w:rsidRPr="008B41A2">
                  <w:rPr>
                    <w:rFonts w:ascii="Palatino Linotype" w:eastAsia="Calibri" w:hAnsi="Palatino Linotype" w:cs="Tahoma"/>
                    <w:b/>
                    <w:sz w:val="22"/>
                    <w:szCs w:val="22"/>
                    <w:lang w:val="es-MX"/>
                  </w:rPr>
                  <w:t>Recurso de Revisión:</w:t>
                </w:r>
              </w:p>
            </w:tc>
            <w:tc>
              <w:tcPr>
                <w:tcW w:w="3686" w:type="dxa"/>
              </w:tcPr>
              <w:p w14:paraId="4EA7A24B" w14:textId="7CC6D9FB" w:rsidR="00140A32" w:rsidRPr="00A430C1" w:rsidRDefault="00140A32" w:rsidP="009D337B">
                <w:pPr>
                  <w:tabs>
                    <w:tab w:val="left" w:pos="2294"/>
                    <w:tab w:val="right" w:pos="8838"/>
                  </w:tabs>
                  <w:ind w:right="731"/>
                  <w:jc w:val="both"/>
                  <w:rPr>
                    <w:rFonts w:ascii="Palatino Linotype" w:eastAsia="Calibri" w:hAnsi="Palatino Linotype" w:cs="Tahoma"/>
                    <w:bCs/>
                    <w:sz w:val="22"/>
                    <w:szCs w:val="22"/>
                    <w:lang w:val="es-MX"/>
                  </w:rPr>
                </w:pPr>
                <w:r>
                  <w:rPr>
                    <w:rFonts w:ascii="Palatino Linotype" w:eastAsia="Calibri" w:hAnsi="Palatino Linotype" w:cs="Tahoma"/>
                    <w:bCs/>
                    <w:sz w:val="22"/>
                    <w:szCs w:val="22"/>
                    <w:lang w:val="es-MX"/>
                  </w:rPr>
                  <w:t>02</w:t>
                </w:r>
                <w:r w:rsidR="003A4A1F">
                  <w:rPr>
                    <w:rFonts w:ascii="Palatino Linotype" w:eastAsia="Calibri" w:hAnsi="Palatino Linotype" w:cs="Tahoma"/>
                    <w:bCs/>
                    <w:sz w:val="22"/>
                    <w:szCs w:val="22"/>
                    <w:lang w:val="es-MX"/>
                  </w:rPr>
                  <w:t>136</w:t>
                </w:r>
                <w:r w:rsidRPr="00801872">
                  <w:rPr>
                    <w:rFonts w:ascii="Palatino Linotype" w:eastAsia="Calibri" w:hAnsi="Palatino Linotype" w:cs="Tahoma"/>
                    <w:bCs/>
                    <w:sz w:val="22"/>
                    <w:szCs w:val="22"/>
                    <w:lang w:val="es-MX"/>
                  </w:rPr>
                  <w:t>/INFOEM/IP/RR/202</w:t>
                </w:r>
                <w:r>
                  <w:rPr>
                    <w:rFonts w:ascii="Palatino Linotype" w:eastAsia="Calibri" w:hAnsi="Palatino Linotype" w:cs="Tahoma"/>
                    <w:bCs/>
                    <w:sz w:val="22"/>
                    <w:szCs w:val="22"/>
                    <w:lang w:val="es-MX"/>
                  </w:rPr>
                  <w:t>2</w:t>
                </w:r>
              </w:p>
            </w:tc>
          </w:tr>
          <w:tr w:rsidR="00140A32" w14:paraId="12CFD000" w14:textId="77777777" w:rsidTr="00400954">
            <w:trPr>
              <w:trHeight w:val="244"/>
            </w:trPr>
            <w:tc>
              <w:tcPr>
                <w:tcW w:w="2404" w:type="dxa"/>
              </w:tcPr>
              <w:p w14:paraId="67813586" w14:textId="77777777" w:rsidR="00140A32" w:rsidRPr="008B41A2" w:rsidRDefault="00140A32" w:rsidP="00A430C1">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Sujeto Obligado:</w:t>
                </w:r>
              </w:p>
            </w:tc>
            <w:tc>
              <w:tcPr>
                <w:tcW w:w="3686" w:type="dxa"/>
              </w:tcPr>
              <w:p w14:paraId="62EF5654" w14:textId="22D54F9B" w:rsidR="00140A32" w:rsidRPr="00801872" w:rsidRDefault="00140A32" w:rsidP="009D337B">
                <w:pPr>
                  <w:tabs>
                    <w:tab w:val="right" w:pos="8838"/>
                  </w:tabs>
                  <w:ind w:right="731"/>
                  <w:jc w:val="both"/>
                  <w:rPr>
                    <w:rFonts w:ascii="Palatino Linotype" w:eastAsia="Calibri" w:hAnsi="Palatino Linotype" w:cs="Tahoma"/>
                    <w:sz w:val="22"/>
                    <w:szCs w:val="22"/>
                    <w:lang w:val="es-MX"/>
                  </w:rPr>
                </w:pPr>
                <w:r>
                  <w:rPr>
                    <w:rFonts w:ascii="Palatino Linotype" w:eastAsia="Calibri" w:hAnsi="Palatino Linotype" w:cs="Tahoma"/>
                    <w:bCs/>
                    <w:sz w:val="22"/>
                    <w:szCs w:val="22"/>
                    <w:lang w:val="es-MX"/>
                  </w:rPr>
                  <w:t>Ayuntamiento de Metepec</w:t>
                </w:r>
              </w:p>
            </w:tc>
          </w:tr>
          <w:tr w:rsidR="00140A32" w14:paraId="364C666C" w14:textId="3B5932FE" w:rsidTr="00400954">
            <w:trPr>
              <w:trHeight w:val="244"/>
            </w:trPr>
            <w:tc>
              <w:tcPr>
                <w:tcW w:w="2404" w:type="dxa"/>
              </w:tcPr>
              <w:p w14:paraId="496B50AA" w14:textId="77777777" w:rsidR="00140A32" w:rsidRPr="008B41A2" w:rsidRDefault="00140A32" w:rsidP="00A430C1">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Comisionado Ponente:</w:t>
                </w:r>
              </w:p>
            </w:tc>
            <w:tc>
              <w:tcPr>
                <w:tcW w:w="3686" w:type="dxa"/>
              </w:tcPr>
              <w:p w14:paraId="35025A3B" w14:textId="77777777" w:rsidR="00140A32" w:rsidRPr="008B41A2" w:rsidRDefault="00140A32" w:rsidP="00400954">
                <w:pPr>
                  <w:tabs>
                    <w:tab w:val="right" w:pos="8838"/>
                  </w:tabs>
                  <w:ind w:right="731"/>
                  <w:jc w:val="both"/>
                  <w:rPr>
                    <w:rFonts w:ascii="Palatino Linotype" w:eastAsia="Calibri" w:hAnsi="Palatino Linotype" w:cs="Tahoma"/>
                    <w:b/>
                    <w:sz w:val="22"/>
                    <w:szCs w:val="22"/>
                    <w:lang w:val="es-MX"/>
                  </w:rPr>
                </w:pPr>
                <w:r w:rsidRPr="008B41A2">
                  <w:rPr>
                    <w:rFonts w:ascii="Palatino Linotype" w:eastAsia="Calibri" w:hAnsi="Palatino Linotype" w:cs="Tahoma"/>
                    <w:sz w:val="22"/>
                    <w:szCs w:val="22"/>
                    <w:lang w:val="es-MX"/>
                  </w:rPr>
                  <w:t>Luis Gustavo Parra Noriega</w:t>
                </w:r>
              </w:p>
            </w:tc>
          </w:tr>
          <w:bookmarkEnd w:id="8"/>
        </w:tbl>
        <w:p w14:paraId="2C0200AC" w14:textId="77777777" w:rsidR="00140A32" w:rsidRPr="005C106F" w:rsidRDefault="00140A32" w:rsidP="00070F27">
          <w:pPr>
            <w:tabs>
              <w:tab w:val="right" w:pos="8838"/>
            </w:tabs>
            <w:ind w:left="-28"/>
            <w:rPr>
              <w:rFonts w:ascii="Arial" w:eastAsia="Calibri" w:hAnsi="Arial" w:cs="Arial"/>
              <w:b/>
            </w:rPr>
          </w:pPr>
        </w:p>
      </w:tc>
    </w:tr>
  </w:tbl>
  <w:p w14:paraId="3871047C" w14:textId="77777777" w:rsidR="00140A32" w:rsidRPr="009E6858" w:rsidRDefault="00140A32" w:rsidP="00070F27">
    <w:pPr>
      <w:tabs>
        <w:tab w:val="left" w:pos="3416"/>
      </w:tabs>
      <w:rPr>
        <w:sz w:val="22"/>
        <w:szCs w:val="22"/>
      </w:rPr>
    </w:pPr>
  </w:p>
  <w:p w14:paraId="62C5DA58" w14:textId="140B8139" w:rsidR="00140A32" w:rsidRDefault="00140A32" w:rsidP="00400954">
    <w:pPr>
      <w:pStyle w:val="Encabezado"/>
      <w:tabs>
        <w:tab w:val="clear" w:pos="4419"/>
        <w:tab w:val="clear" w:pos="8838"/>
        <w:tab w:val="left" w:pos="1425"/>
      </w:tabs>
      <w:rPr>
        <w:sz w:val="14"/>
      </w:rPr>
    </w:pPr>
    <w:r>
      <w:rPr>
        <w:sz w:val="14"/>
      </w:rPr>
      <w:tab/>
    </w:r>
  </w:p>
  <w:p w14:paraId="5B563EE1" w14:textId="77777777" w:rsidR="00140A32" w:rsidRPr="00443C6B" w:rsidRDefault="00140A32" w:rsidP="00070F27">
    <w:pPr>
      <w:pStyle w:val="Encabezado"/>
      <w:rPr>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670" w:type="dxa"/>
      <w:tblInd w:w="33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92"/>
      <w:gridCol w:w="3178"/>
    </w:tblGrid>
    <w:tr w:rsidR="00140A32" w:rsidRPr="00264223" w14:paraId="6494D751" w14:textId="77777777" w:rsidTr="00AE3905">
      <w:trPr>
        <w:trHeight w:val="284"/>
      </w:trPr>
      <w:tc>
        <w:tcPr>
          <w:tcW w:w="2492" w:type="dxa"/>
        </w:tcPr>
        <w:p w14:paraId="64B4D5CB" w14:textId="77777777" w:rsidR="00140A32" w:rsidRPr="00D3618F" w:rsidRDefault="00140A32" w:rsidP="00070F27">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Recurso de Revisión:</w:t>
          </w:r>
        </w:p>
      </w:tc>
      <w:tc>
        <w:tcPr>
          <w:tcW w:w="3178" w:type="dxa"/>
        </w:tcPr>
        <w:p w14:paraId="087AA83D" w14:textId="2ECE401E" w:rsidR="00140A32" w:rsidRPr="005F75E4" w:rsidRDefault="00140A32" w:rsidP="005F75E4">
          <w:pPr>
            <w:tabs>
              <w:tab w:val="right" w:pos="8838"/>
            </w:tabs>
            <w:ind w:left="-28"/>
            <w:jc w:val="both"/>
            <w:rPr>
              <w:rFonts w:ascii="Palatino Linotype" w:eastAsia="Calibri" w:hAnsi="Palatino Linotype" w:cs="Tahoma"/>
              <w:bCs/>
              <w:sz w:val="22"/>
              <w:szCs w:val="22"/>
              <w:lang w:val="es-MX" w:eastAsia="en-US"/>
            </w:rPr>
          </w:pPr>
          <w:r>
            <w:rPr>
              <w:rFonts w:ascii="Palatino Linotype" w:eastAsia="Calibri" w:hAnsi="Palatino Linotype" w:cs="Tahoma"/>
              <w:bCs/>
              <w:sz w:val="22"/>
              <w:szCs w:val="22"/>
              <w:lang w:val="es-MX" w:eastAsia="en-US"/>
            </w:rPr>
            <w:t>02</w:t>
          </w:r>
          <w:r w:rsidR="000D390C">
            <w:rPr>
              <w:rFonts w:ascii="Palatino Linotype" w:eastAsia="Calibri" w:hAnsi="Palatino Linotype" w:cs="Tahoma"/>
              <w:bCs/>
              <w:sz w:val="22"/>
              <w:szCs w:val="22"/>
              <w:lang w:val="es-MX" w:eastAsia="en-US"/>
            </w:rPr>
            <w:t>136</w:t>
          </w:r>
          <w:r>
            <w:rPr>
              <w:rFonts w:ascii="Palatino Linotype" w:eastAsia="Calibri" w:hAnsi="Palatino Linotype" w:cs="Tahoma"/>
              <w:bCs/>
              <w:sz w:val="22"/>
              <w:szCs w:val="22"/>
              <w:lang w:val="es-MX" w:eastAsia="en-US"/>
            </w:rPr>
            <w:t>/INFOEM/IP/RR/2022</w:t>
          </w:r>
        </w:p>
      </w:tc>
    </w:tr>
    <w:tr w:rsidR="00140A32" w:rsidRPr="00264223" w14:paraId="250F2B47" w14:textId="77777777" w:rsidTr="00AE3905">
      <w:trPr>
        <w:trHeight w:val="104"/>
      </w:trPr>
      <w:tc>
        <w:tcPr>
          <w:tcW w:w="2492" w:type="dxa"/>
        </w:tcPr>
        <w:p w14:paraId="3D15303E" w14:textId="7B36D01C" w:rsidR="00140A32" w:rsidRPr="00D3618F" w:rsidRDefault="00140A32" w:rsidP="00070F27">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Recurrente:</w:t>
          </w:r>
        </w:p>
      </w:tc>
      <w:tc>
        <w:tcPr>
          <w:tcW w:w="3178" w:type="dxa"/>
        </w:tcPr>
        <w:p w14:paraId="70E890FD" w14:textId="3792431E" w:rsidR="00140A32" w:rsidRPr="00EE2A06" w:rsidRDefault="00140A32" w:rsidP="00AA77D7">
          <w:pPr>
            <w:tabs>
              <w:tab w:val="right" w:pos="8838"/>
            </w:tabs>
            <w:ind w:left="-28" w:right="318"/>
            <w:jc w:val="both"/>
            <w:rPr>
              <w:rFonts w:ascii="Palatino Linotype" w:eastAsia="Calibri" w:hAnsi="Palatino Linotype" w:cs="Tahoma"/>
              <w:sz w:val="22"/>
              <w:szCs w:val="22"/>
              <w:lang w:val="es-MX" w:eastAsia="en-US"/>
            </w:rPr>
          </w:pPr>
        </w:p>
      </w:tc>
    </w:tr>
    <w:tr w:rsidR="00140A32" w:rsidRPr="00264223" w14:paraId="180767EA" w14:textId="77777777" w:rsidTr="00AE3905">
      <w:trPr>
        <w:trHeight w:val="234"/>
      </w:trPr>
      <w:tc>
        <w:tcPr>
          <w:tcW w:w="2492" w:type="dxa"/>
        </w:tcPr>
        <w:p w14:paraId="51FC15E3" w14:textId="77777777" w:rsidR="00140A32" w:rsidRPr="00D3618F" w:rsidRDefault="00140A32" w:rsidP="00070F27">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Sujeto Obligado:</w:t>
          </w:r>
        </w:p>
      </w:tc>
      <w:tc>
        <w:tcPr>
          <w:tcW w:w="3178" w:type="dxa"/>
        </w:tcPr>
        <w:p w14:paraId="4EE0902A" w14:textId="3D8D3473" w:rsidR="00140A32" w:rsidRPr="00801872" w:rsidRDefault="00140A32" w:rsidP="003F7CE8">
          <w:pPr>
            <w:tabs>
              <w:tab w:val="right" w:pos="8838"/>
            </w:tabs>
            <w:jc w:val="both"/>
            <w:rPr>
              <w:rFonts w:ascii="Palatino Linotype" w:eastAsia="Calibri" w:hAnsi="Palatino Linotype" w:cs="Tahoma"/>
              <w:sz w:val="22"/>
              <w:szCs w:val="22"/>
              <w:lang w:val="es-MX" w:eastAsia="en-US"/>
            </w:rPr>
          </w:pPr>
          <w:r>
            <w:rPr>
              <w:rFonts w:ascii="Palatino Linotype" w:eastAsia="Calibri" w:hAnsi="Palatino Linotype" w:cs="Tahoma"/>
              <w:bCs/>
              <w:sz w:val="22"/>
              <w:szCs w:val="22"/>
              <w:lang w:val="es-MX" w:eastAsia="en-US"/>
            </w:rPr>
            <w:t xml:space="preserve">Ayuntamiento de Metepec </w:t>
          </w:r>
        </w:p>
      </w:tc>
    </w:tr>
    <w:tr w:rsidR="00140A32" w:rsidRPr="00264223" w14:paraId="0CF1E97B" w14:textId="77777777" w:rsidTr="00AE3905">
      <w:trPr>
        <w:trHeight w:val="234"/>
      </w:trPr>
      <w:tc>
        <w:tcPr>
          <w:tcW w:w="2492" w:type="dxa"/>
        </w:tcPr>
        <w:p w14:paraId="6F2A2883" w14:textId="77777777" w:rsidR="00140A32" w:rsidRPr="00D3618F" w:rsidRDefault="00140A32" w:rsidP="00070F27">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Comisionado Ponente:</w:t>
          </w:r>
        </w:p>
      </w:tc>
      <w:tc>
        <w:tcPr>
          <w:tcW w:w="3178" w:type="dxa"/>
        </w:tcPr>
        <w:p w14:paraId="3F6125BF" w14:textId="77777777" w:rsidR="00140A32" w:rsidRPr="00D3618F" w:rsidRDefault="00140A32" w:rsidP="00070F27">
          <w:pPr>
            <w:tabs>
              <w:tab w:val="right" w:pos="8838"/>
            </w:tabs>
            <w:ind w:left="-28"/>
            <w:rPr>
              <w:rFonts w:ascii="Palatino Linotype" w:eastAsia="Calibri" w:hAnsi="Palatino Linotype" w:cs="Tahoma"/>
              <w:sz w:val="22"/>
              <w:szCs w:val="22"/>
              <w:lang w:val="es-MX" w:eastAsia="en-US"/>
            </w:rPr>
          </w:pPr>
          <w:r w:rsidRPr="00D3618F">
            <w:rPr>
              <w:rFonts w:ascii="Palatino Linotype" w:eastAsia="Calibri" w:hAnsi="Palatino Linotype" w:cs="Tahoma"/>
              <w:sz w:val="22"/>
              <w:szCs w:val="22"/>
              <w:lang w:val="es-MX" w:eastAsia="en-US"/>
            </w:rPr>
            <w:t>Luis Gustavo Parra Noriega</w:t>
          </w:r>
        </w:p>
      </w:tc>
    </w:tr>
  </w:tbl>
  <w:p w14:paraId="3796C609" w14:textId="553B8185" w:rsidR="00140A32" w:rsidRDefault="002B09F4" w:rsidP="00AA77D7">
    <w:pPr>
      <w:tabs>
        <w:tab w:val="left" w:pos="1860"/>
      </w:tabs>
    </w:pPr>
    <w:r>
      <w:rPr>
        <w:noProof/>
        <w:lang w:eastAsia="es-MX"/>
      </w:rPr>
      <w:pict w14:anchorId="1F251A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1" o:spid="_x0000_s1025" type="#_x0000_t75" alt="marcaaguaINFOEM" style="position:absolute;margin-left:-92.55pt;margin-top:-120.95pt;width:663.5pt;height:12in;z-index:-251655168;mso-wrap-edited:f;mso-width-percent:0;mso-height-percent:0;mso-position-horizontal-relative:margin;mso-position-vertical-relative:margin;mso-width-percent:0;mso-height-percent:0" o:allowincell="f">
          <v:imagedata r:id="rId1" o:title="marcaaguaINFOEM"/>
          <w10:wrap anchorx="margin" anchory="margin"/>
        </v:shape>
      </w:pict>
    </w:r>
    <w:r w:rsidR="00140A32">
      <w:tab/>
    </w:r>
  </w:p>
  <w:p w14:paraId="3B80ADB1" w14:textId="52942715" w:rsidR="00140A32" w:rsidRDefault="00140A32" w:rsidP="00AA77D7">
    <w:pPr>
      <w:tabs>
        <w:tab w:val="left" w:pos="18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07168"/>
    <w:multiLevelType w:val="hybridMultilevel"/>
    <w:tmpl w:val="1B8AC8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6E63118"/>
    <w:multiLevelType w:val="hybridMultilevel"/>
    <w:tmpl w:val="CDD4E74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E2B1400"/>
    <w:multiLevelType w:val="hybridMultilevel"/>
    <w:tmpl w:val="11CE74C8"/>
    <w:lvl w:ilvl="0" w:tplc="7480C6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0971E89"/>
    <w:multiLevelType w:val="hybridMultilevel"/>
    <w:tmpl w:val="617074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7F74274"/>
    <w:multiLevelType w:val="hybridMultilevel"/>
    <w:tmpl w:val="404C0BF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6E772129"/>
    <w:multiLevelType w:val="hybridMultilevel"/>
    <w:tmpl w:val="4D7021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11E6D92"/>
    <w:multiLevelType w:val="hybridMultilevel"/>
    <w:tmpl w:val="AAB2DA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124615037">
    <w:abstractNumId w:val="6"/>
  </w:num>
  <w:num w:numId="2" w16cid:durableId="865290686">
    <w:abstractNumId w:val="0"/>
  </w:num>
  <w:num w:numId="3" w16cid:durableId="1813789185">
    <w:abstractNumId w:val="1"/>
  </w:num>
  <w:num w:numId="4" w16cid:durableId="22480421">
    <w:abstractNumId w:val="5"/>
  </w:num>
  <w:num w:numId="5" w16cid:durableId="977146428">
    <w:abstractNumId w:val="3"/>
    <w:lvlOverride w:ilvl="0">
      <w:startOverride w:val="1"/>
    </w:lvlOverride>
    <w:lvlOverride w:ilvl="1"/>
    <w:lvlOverride w:ilvl="2"/>
    <w:lvlOverride w:ilvl="3"/>
    <w:lvlOverride w:ilvl="4"/>
    <w:lvlOverride w:ilvl="5"/>
    <w:lvlOverride w:ilvl="6"/>
    <w:lvlOverride w:ilvl="7"/>
    <w:lvlOverride w:ilvl="8"/>
  </w:num>
  <w:num w:numId="6" w16cid:durableId="936838009">
    <w:abstractNumId w:val="7"/>
  </w:num>
  <w:num w:numId="7" w16cid:durableId="1427537874">
    <w:abstractNumId w:val="4"/>
  </w:num>
  <w:num w:numId="8" w16cid:durableId="1782725655">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872"/>
    <w:rsid w:val="000023D1"/>
    <w:rsid w:val="00003D5C"/>
    <w:rsid w:val="00004CF3"/>
    <w:rsid w:val="00007871"/>
    <w:rsid w:val="000078E2"/>
    <w:rsid w:val="000211BE"/>
    <w:rsid w:val="000224B6"/>
    <w:rsid w:val="00023EA0"/>
    <w:rsid w:val="000263B7"/>
    <w:rsid w:val="0003087D"/>
    <w:rsid w:val="00032420"/>
    <w:rsid w:val="00032931"/>
    <w:rsid w:val="0003468A"/>
    <w:rsid w:val="00034858"/>
    <w:rsid w:val="00034A73"/>
    <w:rsid w:val="00034FC0"/>
    <w:rsid w:val="00037074"/>
    <w:rsid w:val="00040A3B"/>
    <w:rsid w:val="00041B90"/>
    <w:rsid w:val="00041F6E"/>
    <w:rsid w:val="00042D61"/>
    <w:rsid w:val="00043632"/>
    <w:rsid w:val="00043737"/>
    <w:rsid w:val="00046C7A"/>
    <w:rsid w:val="00047D58"/>
    <w:rsid w:val="00047D91"/>
    <w:rsid w:val="00054396"/>
    <w:rsid w:val="00054533"/>
    <w:rsid w:val="00055232"/>
    <w:rsid w:val="0005530B"/>
    <w:rsid w:val="00057A35"/>
    <w:rsid w:val="00057AC6"/>
    <w:rsid w:val="00060A3D"/>
    <w:rsid w:val="00060B7A"/>
    <w:rsid w:val="00061D19"/>
    <w:rsid w:val="00065B2F"/>
    <w:rsid w:val="00066918"/>
    <w:rsid w:val="00070F27"/>
    <w:rsid w:val="00071154"/>
    <w:rsid w:val="00071E37"/>
    <w:rsid w:val="00074739"/>
    <w:rsid w:val="00075A4B"/>
    <w:rsid w:val="00076441"/>
    <w:rsid w:val="000802BA"/>
    <w:rsid w:val="000839BD"/>
    <w:rsid w:val="00090851"/>
    <w:rsid w:val="00091ECE"/>
    <w:rsid w:val="00092205"/>
    <w:rsid w:val="00093804"/>
    <w:rsid w:val="00095672"/>
    <w:rsid w:val="00097F48"/>
    <w:rsid w:val="000A09CB"/>
    <w:rsid w:val="000A1E6F"/>
    <w:rsid w:val="000A63E9"/>
    <w:rsid w:val="000A7A91"/>
    <w:rsid w:val="000B0E6E"/>
    <w:rsid w:val="000B1FB0"/>
    <w:rsid w:val="000B5C29"/>
    <w:rsid w:val="000C0945"/>
    <w:rsid w:val="000C1535"/>
    <w:rsid w:val="000C51D5"/>
    <w:rsid w:val="000C694A"/>
    <w:rsid w:val="000C7D00"/>
    <w:rsid w:val="000C7E1F"/>
    <w:rsid w:val="000D258C"/>
    <w:rsid w:val="000D2CB0"/>
    <w:rsid w:val="000D390C"/>
    <w:rsid w:val="000D496C"/>
    <w:rsid w:val="000D6A69"/>
    <w:rsid w:val="000D7F96"/>
    <w:rsid w:val="000E13BA"/>
    <w:rsid w:val="000E4178"/>
    <w:rsid w:val="000E6359"/>
    <w:rsid w:val="000F0ADC"/>
    <w:rsid w:val="000F0DC8"/>
    <w:rsid w:val="000F35A3"/>
    <w:rsid w:val="000F36E2"/>
    <w:rsid w:val="000F5D2B"/>
    <w:rsid w:val="000F746A"/>
    <w:rsid w:val="00100900"/>
    <w:rsid w:val="00101161"/>
    <w:rsid w:val="00101862"/>
    <w:rsid w:val="00101876"/>
    <w:rsid w:val="0010299B"/>
    <w:rsid w:val="00103A09"/>
    <w:rsid w:val="00103F66"/>
    <w:rsid w:val="00104170"/>
    <w:rsid w:val="001055DC"/>
    <w:rsid w:val="00106268"/>
    <w:rsid w:val="00106C3E"/>
    <w:rsid w:val="001123D1"/>
    <w:rsid w:val="001136DA"/>
    <w:rsid w:val="00114CDB"/>
    <w:rsid w:val="00115137"/>
    <w:rsid w:val="00123313"/>
    <w:rsid w:val="0012402D"/>
    <w:rsid w:val="00124953"/>
    <w:rsid w:val="001259B3"/>
    <w:rsid w:val="0012616F"/>
    <w:rsid w:val="00127A9F"/>
    <w:rsid w:val="00130EE0"/>
    <w:rsid w:val="001336FA"/>
    <w:rsid w:val="00133737"/>
    <w:rsid w:val="001339AD"/>
    <w:rsid w:val="00136299"/>
    <w:rsid w:val="00136D8F"/>
    <w:rsid w:val="00140A32"/>
    <w:rsid w:val="00143754"/>
    <w:rsid w:val="001439DF"/>
    <w:rsid w:val="00144470"/>
    <w:rsid w:val="00151C07"/>
    <w:rsid w:val="00151C93"/>
    <w:rsid w:val="00152001"/>
    <w:rsid w:val="00152591"/>
    <w:rsid w:val="001543EA"/>
    <w:rsid w:val="0015698B"/>
    <w:rsid w:val="00157168"/>
    <w:rsid w:val="00165179"/>
    <w:rsid w:val="00166532"/>
    <w:rsid w:val="00167AD6"/>
    <w:rsid w:val="00171E9B"/>
    <w:rsid w:val="001722C1"/>
    <w:rsid w:val="0017321F"/>
    <w:rsid w:val="001760E8"/>
    <w:rsid w:val="001776FA"/>
    <w:rsid w:val="001777D0"/>
    <w:rsid w:val="00180244"/>
    <w:rsid w:val="001815DC"/>
    <w:rsid w:val="001832A8"/>
    <w:rsid w:val="0018600B"/>
    <w:rsid w:val="0018607C"/>
    <w:rsid w:val="001871A0"/>
    <w:rsid w:val="00195818"/>
    <w:rsid w:val="001963C6"/>
    <w:rsid w:val="001A46AA"/>
    <w:rsid w:val="001A6682"/>
    <w:rsid w:val="001B04D6"/>
    <w:rsid w:val="001B1857"/>
    <w:rsid w:val="001B1DD5"/>
    <w:rsid w:val="001B452F"/>
    <w:rsid w:val="001C2B17"/>
    <w:rsid w:val="001C3DCD"/>
    <w:rsid w:val="001D1806"/>
    <w:rsid w:val="001D2966"/>
    <w:rsid w:val="001D29A5"/>
    <w:rsid w:val="001D488C"/>
    <w:rsid w:val="001D62DD"/>
    <w:rsid w:val="001E10B4"/>
    <w:rsid w:val="001E2932"/>
    <w:rsid w:val="001E3977"/>
    <w:rsid w:val="001E4A02"/>
    <w:rsid w:val="001E51C4"/>
    <w:rsid w:val="001E5682"/>
    <w:rsid w:val="001E78FC"/>
    <w:rsid w:val="001F0290"/>
    <w:rsid w:val="001F1645"/>
    <w:rsid w:val="001F3EEC"/>
    <w:rsid w:val="001F446E"/>
    <w:rsid w:val="001F4A4B"/>
    <w:rsid w:val="001F518D"/>
    <w:rsid w:val="001F71DD"/>
    <w:rsid w:val="00200A1F"/>
    <w:rsid w:val="0020156E"/>
    <w:rsid w:val="0020503E"/>
    <w:rsid w:val="0020582E"/>
    <w:rsid w:val="00207963"/>
    <w:rsid w:val="00207C9C"/>
    <w:rsid w:val="0021170A"/>
    <w:rsid w:val="00213F13"/>
    <w:rsid w:val="002151CA"/>
    <w:rsid w:val="0021559A"/>
    <w:rsid w:val="00217267"/>
    <w:rsid w:val="00222ECE"/>
    <w:rsid w:val="002265A6"/>
    <w:rsid w:val="00227026"/>
    <w:rsid w:val="002270E8"/>
    <w:rsid w:val="002274B9"/>
    <w:rsid w:val="00231EC1"/>
    <w:rsid w:val="002338DE"/>
    <w:rsid w:val="00236402"/>
    <w:rsid w:val="00236BC8"/>
    <w:rsid w:val="0024085F"/>
    <w:rsid w:val="00250463"/>
    <w:rsid w:val="0025185F"/>
    <w:rsid w:val="00252C23"/>
    <w:rsid w:val="00253D2D"/>
    <w:rsid w:val="00256BB9"/>
    <w:rsid w:val="002575C1"/>
    <w:rsid w:val="00257B79"/>
    <w:rsid w:val="00257F48"/>
    <w:rsid w:val="0026002B"/>
    <w:rsid w:val="002604AE"/>
    <w:rsid w:val="00262576"/>
    <w:rsid w:val="002626A9"/>
    <w:rsid w:val="00262BB3"/>
    <w:rsid w:val="00263609"/>
    <w:rsid w:val="00263DD2"/>
    <w:rsid w:val="002672E7"/>
    <w:rsid w:val="002744FF"/>
    <w:rsid w:val="002768B1"/>
    <w:rsid w:val="002814EE"/>
    <w:rsid w:val="002825A6"/>
    <w:rsid w:val="0028369B"/>
    <w:rsid w:val="00283F78"/>
    <w:rsid w:val="002859A3"/>
    <w:rsid w:val="00291DBF"/>
    <w:rsid w:val="00294619"/>
    <w:rsid w:val="00294D17"/>
    <w:rsid w:val="00295DF5"/>
    <w:rsid w:val="002A010F"/>
    <w:rsid w:val="002A22BA"/>
    <w:rsid w:val="002A2A73"/>
    <w:rsid w:val="002A3055"/>
    <w:rsid w:val="002A44F6"/>
    <w:rsid w:val="002A4677"/>
    <w:rsid w:val="002A4971"/>
    <w:rsid w:val="002A4AA3"/>
    <w:rsid w:val="002A4B69"/>
    <w:rsid w:val="002A4D09"/>
    <w:rsid w:val="002A5FA0"/>
    <w:rsid w:val="002A612E"/>
    <w:rsid w:val="002A7463"/>
    <w:rsid w:val="002B09F4"/>
    <w:rsid w:val="002B3241"/>
    <w:rsid w:val="002B3570"/>
    <w:rsid w:val="002B39DC"/>
    <w:rsid w:val="002B5281"/>
    <w:rsid w:val="002B68C1"/>
    <w:rsid w:val="002B6B16"/>
    <w:rsid w:val="002B79C6"/>
    <w:rsid w:val="002B79F0"/>
    <w:rsid w:val="002B7B9D"/>
    <w:rsid w:val="002C0252"/>
    <w:rsid w:val="002C2919"/>
    <w:rsid w:val="002C5040"/>
    <w:rsid w:val="002C7AD5"/>
    <w:rsid w:val="002D1075"/>
    <w:rsid w:val="002D111E"/>
    <w:rsid w:val="002D21BD"/>
    <w:rsid w:val="002D2674"/>
    <w:rsid w:val="002D28EB"/>
    <w:rsid w:val="002D2E77"/>
    <w:rsid w:val="002D46B4"/>
    <w:rsid w:val="002D4B8C"/>
    <w:rsid w:val="002D6AAD"/>
    <w:rsid w:val="002D78E7"/>
    <w:rsid w:val="002D7CEF"/>
    <w:rsid w:val="002E3355"/>
    <w:rsid w:val="002E49FA"/>
    <w:rsid w:val="002E7D75"/>
    <w:rsid w:val="002E7EB1"/>
    <w:rsid w:val="002F01C5"/>
    <w:rsid w:val="002F0AA9"/>
    <w:rsid w:val="002F1443"/>
    <w:rsid w:val="002F692C"/>
    <w:rsid w:val="002F6C59"/>
    <w:rsid w:val="00300F47"/>
    <w:rsid w:val="003023B2"/>
    <w:rsid w:val="0030378D"/>
    <w:rsid w:val="003066DC"/>
    <w:rsid w:val="00307F2A"/>
    <w:rsid w:val="00307F50"/>
    <w:rsid w:val="003102BE"/>
    <w:rsid w:val="00310817"/>
    <w:rsid w:val="00313671"/>
    <w:rsid w:val="00313CA1"/>
    <w:rsid w:val="00314F6A"/>
    <w:rsid w:val="0031635A"/>
    <w:rsid w:val="003227E1"/>
    <w:rsid w:val="00322DEE"/>
    <w:rsid w:val="00325726"/>
    <w:rsid w:val="003262DF"/>
    <w:rsid w:val="00332413"/>
    <w:rsid w:val="00332D94"/>
    <w:rsid w:val="00333301"/>
    <w:rsid w:val="00334510"/>
    <w:rsid w:val="00335C12"/>
    <w:rsid w:val="003368BF"/>
    <w:rsid w:val="00340AB9"/>
    <w:rsid w:val="003439D9"/>
    <w:rsid w:val="00343F89"/>
    <w:rsid w:val="00347BEF"/>
    <w:rsid w:val="00353C38"/>
    <w:rsid w:val="00354324"/>
    <w:rsid w:val="00360711"/>
    <w:rsid w:val="00361A99"/>
    <w:rsid w:val="00364717"/>
    <w:rsid w:val="00364D96"/>
    <w:rsid w:val="00364DD6"/>
    <w:rsid w:val="003674EC"/>
    <w:rsid w:val="003828D1"/>
    <w:rsid w:val="0038465D"/>
    <w:rsid w:val="00384B58"/>
    <w:rsid w:val="00385054"/>
    <w:rsid w:val="00387923"/>
    <w:rsid w:val="00387FD0"/>
    <w:rsid w:val="003908AC"/>
    <w:rsid w:val="00392AF8"/>
    <w:rsid w:val="003931DD"/>
    <w:rsid w:val="00395453"/>
    <w:rsid w:val="00395BA7"/>
    <w:rsid w:val="003974EF"/>
    <w:rsid w:val="0039798B"/>
    <w:rsid w:val="00397A89"/>
    <w:rsid w:val="003A46CC"/>
    <w:rsid w:val="003A4A1F"/>
    <w:rsid w:val="003B28BE"/>
    <w:rsid w:val="003B2D7E"/>
    <w:rsid w:val="003B40EE"/>
    <w:rsid w:val="003B55AB"/>
    <w:rsid w:val="003B7DEF"/>
    <w:rsid w:val="003C1112"/>
    <w:rsid w:val="003C1F5C"/>
    <w:rsid w:val="003C2065"/>
    <w:rsid w:val="003C4FD2"/>
    <w:rsid w:val="003C6705"/>
    <w:rsid w:val="003D0A75"/>
    <w:rsid w:val="003D3585"/>
    <w:rsid w:val="003E229F"/>
    <w:rsid w:val="003E3611"/>
    <w:rsid w:val="003E3B5D"/>
    <w:rsid w:val="003F0073"/>
    <w:rsid w:val="003F0487"/>
    <w:rsid w:val="003F6E48"/>
    <w:rsid w:val="003F7CE8"/>
    <w:rsid w:val="00400954"/>
    <w:rsid w:val="00400EDE"/>
    <w:rsid w:val="00401B5E"/>
    <w:rsid w:val="0040451E"/>
    <w:rsid w:val="004045E6"/>
    <w:rsid w:val="0040592C"/>
    <w:rsid w:val="00406CE5"/>
    <w:rsid w:val="0040787E"/>
    <w:rsid w:val="0041020E"/>
    <w:rsid w:val="00410C7D"/>
    <w:rsid w:val="004125C3"/>
    <w:rsid w:val="004127BB"/>
    <w:rsid w:val="00412FE1"/>
    <w:rsid w:val="00414AA4"/>
    <w:rsid w:val="00415325"/>
    <w:rsid w:val="00415DF9"/>
    <w:rsid w:val="00416ADD"/>
    <w:rsid w:val="0041719A"/>
    <w:rsid w:val="004216C7"/>
    <w:rsid w:val="004308D3"/>
    <w:rsid w:val="0043227B"/>
    <w:rsid w:val="0043272C"/>
    <w:rsid w:val="0043375F"/>
    <w:rsid w:val="00434568"/>
    <w:rsid w:val="00436852"/>
    <w:rsid w:val="00437B8E"/>
    <w:rsid w:val="00441DDC"/>
    <w:rsid w:val="00443F7A"/>
    <w:rsid w:val="0045005B"/>
    <w:rsid w:val="004501CC"/>
    <w:rsid w:val="00452FA8"/>
    <w:rsid w:val="00453FBD"/>
    <w:rsid w:val="00454420"/>
    <w:rsid w:val="00454DD9"/>
    <w:rsid w:val="00457045"/>
    <w:rsid w:val="0046315A"/>
    <w:rsid w:val="004633DE"/>
    <w:rsid w:val="00472058"/>
    <w:rsid w:val="00473C88"/>
    <w:rsid w:val="00473E60"/>
    <w:rsid w:val="00474006"/>
    <w:rsid w:val="00474F5D"/>
    <w:rsid w:val="00475478"/>
    <w:rsid w:val="00475C22"/>
    <w:rsid w:val="00480A29"/>
    <w:rsid w:val="00484EC6"/>
    <w:rsid w:val="0048547F"/>
    <w:rsid w:val="004859E4"/>
    <w:rsid w:val="00491CCB"/>
    <w:rsid w:val="00492A84"/>
    <w:rsid w:val="00496E1B"/>
    <w:rsid w:val="004A5A0A"/>
    <w:rsid w:val="004A619B"/>
    <w:rsid w:val="004A73F8"/>
    <w:rsid w:val="004B0362"/>
    <w:rsid w:val="004B243A"/>
    <w:rsid w:val="004B2D5E"/>
    <w:rsid w:val="004B4133"/>
    <w:rsid w:val="004B614B"/>
    <w:rsid w:val="004C3001"/>
    <w:rsid w:val="004C4061"/>
    <w:rsid w:val="004C636D"/>
    <w:rsid w:val="004C6B90"/>
    <w:rsid w:val="004C7278"/>
    <w:rsid w:val="004C744A"/>
    <w:rsid w:val="004D1E66"/>
    <w:rsid w:val="004D1F97"/>
    <w:rsid w:val="004D38DD"/>
    <w:rsid w:val="004D470B"/>
    <w:rsid w:val="004D528F"/>
    <w:rsid w:val="004D7A1F"/>
    <w:rsid w:val="004D7FB1"/>
    <w:rsid w:val="004E0CF0"/>
    <w:rsid w:val="004E1524"/>
    <w:rsid w:val="004E2001"/>
    <w:rsid w:val="004E23E3"/>
    <w:rsid w:val="004E2B9E"/>
    <w:rsid w:val="004E3309"/>
    <w:rsid w:val="004E3842"/>
    <w:rsid w:val="004E3C43"/>
    <w:rsid w:val="004E409E"/>
    <w:rsid w:val="004E483B"/>
    <w:rsid w:val="004E55A0"/>
    <w:rsid w:val="004E645A"/>
    <w:rsid w:val="004F0117"/>
    <w:rsid w:val="004F2EA4"/>
    <w:rsid w:val="004F445C"/>
    <w:rsid w:val="004F4D0E"/>
    <w:rsid w:val="004F7078"/>
    <w:rsid w:val="004F7859"/>
    <w:rsid w:val="0050408F"/>
    <w:rsid w:val="0050442C"/>
    <w:rsid w:val="00505A87"/>
    <w:rsid w:val="00507782"/>
    <w:rsid w:val="0051029E"/>
    <w:rsid w:val="005120CA"/>
    <w:rsid w:val="00513443"/>
    <w:rsid w:val="00515D69"/>
    <w:rsid w:val="00517B36"/>
    <w:rsid w:val="005206AC"/>
    <w:rsid w:val="00520C7D"/>
    <w:rsid w:val="00520D13"/>
    <w:rsid w:val="00521B40"/>
    <w:rsid w:val="00527F3B"/>
    <w:rsid w:val="00533AE8"/>
    <w:rsid w:val="00534BBF"/>
    <w:rsid w:val="00536E4B"/>
    <w:rsid w:val="00541D73"/>
    <w:rsid w:val="00545FA5"/>
    <w:rsid w:val="0055004A"/>
    <w:rsid w:val="0055145B"/>
    <w:rsid w:val="00551CE7"/>
    <w:rsid w:val="00552731"/>
    <w:rsid w:val="005540EA"/>
    <w:rsid w:val="00554430"/>
    <w:rsid w:val="005557C5"/>
    <w:rsid w:val="00555D34"/>
    <w:rsid w:val="005572CF"/>
    <w:rsid w:val="00560193"/>
    <w:rsid w:val="0056116A"/>
    <w:rsid w:val="0057008D"/>
    <w:rsid w:val="00570BD3"/>
    <w:rsid w:val="00574420"/>
    <w:rsid w:val="005806C9"/>
    <w:rsid w:val="0058261F"/>
    <w:rsid w:val="00582FC8"/>
    <w:rsid w:val="005838DD"/>
    <w:rsid w:val="00584958"/>
    <w:rsid w:val="00584DB3"/>
    <w:rsid w:val="005862CF"/>
    <w:rsid w:val="00591B24"/>
    <w:rsid w:val="00593467"/>
    <w:rsid w:val="00593B21"/>
    <w:rsid w:val="00596B0C"/>
    <w:rsid w:val="005A383E"/>
    <w:rsid w:val="005A45B6"/>
    <w:rsid w:val="005A67B9"/>
    <w:rsid w:val="005B031E"/>
    <w:rsid w:val="005B1B5F"/>
    <w:rsid w:val="005B2FFC"/>
    <w:rsid w:val="005B4342"/>
    <w:rsid w:val="005B4FC7"/>
    <w:rsid w:val="005B677C"/>
    <w:rsid w:val="005C072A"/>
    <w:rsid w:val="005C14E2"/>
    <w:rsid w:val="005C43E6"/>
    <w:rsid w:val="005C6A78"/>
    <w:rsid w:val="005C6F18"/>
    <w:rsid w:val="005D03A9"/>
    <w:rsid w:val="005D1708"/>
    <w:rsid w:val="005D3C1D"/>
    <w:rsid w:val="005D5478"/>
    <w:rsid w:val="005E1243"/>
    <w:rsid w:val="005E35ED"/>
    <w:rsid w:val="005E46DC"/>
    <w:rsid w:val="005E4CA2"/>
    <w:rsid w:val="005F208E"/>
    <w:rsid w:val="005F389E"/>
    <w:rsid w:val="005F4093"/>
    <w:rsid w:val="005F5E7B"/>
    <w:rsid w:val="005F6804"/>
    <w:rsid w:val="005F75E4"/>
    <w:rsid w:val="005F78F2"/>
    <w:rsid w:val="00601767"/>
    <w:rsid w:val="00601F4E"/>
    <w:rsid w:val="00602761"/>
    <w:rsid w:val="00605E63"/>
    <w:rsid w:val="00607C93"/>
    <w:rsid w:val="006112BF"/>
    <w:rsid w:val="0061170B"/>
    <w:rsid w:val="006118BD"/>
    <w:rsid w:val="00611F72"/>
    <w:rsid w:val="00612F2F"/>
    <w:rsid w:val="00616F2D"/>
    <w:rsid w:val="006255F2"/>
    <w:rsid w:val="00626157"/>
    <w:rsid w:val="00630696"/>
    <w:rsid w:val="006323DB"/>
    <w:rsid w:val="00632D53"/>
    <w:rsid w:val="00633947"/>
    <w:rsid w:val="00635C76"/>
    <w:rsid w:val="00636A83"/>
    <w:rsid w:val="00637370"/>
    <w:rsid w:val="00637D8F"/>
    <w:rsid w:val="006401A9"/>
    <w:rsid w:val="00640B63"/>
    <w:rsid w:val="00642623"/>
    <w:rsid w:val="0064316D"/>
    <w:rsid w:val="0064629D"/>
    <w:rsid w:val="00651AF5"/>
    <w:rsid w:val="006555F8"/>
    <w:rsid w:val="00655632"/>
    <w:rsid w:val="006563FF"/>
    <w:rsid w:val="006568A7"/>
    <w:rsid w:val="0065749C"/>
    <w:rsid w:val="006604F4"/>
    <w:rsid w:val="0066341D"/>
    <w:rsid w:val="00664123"/>
    <w:rsid w:val="006651E2"/>
    <w:rsid w:val="00665DF6"/>
    <w:rsid w:val="006710BF"/>
    <w:rsid w:val="00674438"/>
    <w:rsid w:val="00680812"/>
    <w:rsid w:val="00682AE0"/>
    <w:rsid w:val="0069308A"/>
    <w:rsid w:val="006932E1"/>
    <w:rsid w:val="006A0FE5"/>
    <w:rsid w:val="006A32E0"/>
    <w:rsid w:val="006A6D99"/>
    <w:rsid w:val="006A7AE8"/>
    <w:rsid w:val="006B2E9E"/>
    <w:rsid w:val="006B4589"/>
    <w:rsid w:val="006B6131"/>
    <w:rsid w:val="006B7002"/>
    <w:rsid w:val="006C6994"/>
    <w:rsid w:val="006C75AC"/>
    <w:rsid w:val="006C7CE3"/>
    <w:rsid w:val="006D04BE"/>
    <w:rsid w:val="006D081D"/>
    <w:rsid w:val="006D3306"/>
    <w:rsid w:val="006D4984"/>
    <w:rsid w:val="006D653D"/>
    <w:rsid w:val="006D6B40"/>
    <w:rsid w:val="006E0866"/>
    <w:rsid w:val="006E1B6B"/>
    <w:rsid w:val="006E1B9D"/>
    <w:rsid w:val="006E20B5"/>
    <w:rsid w:val="006E33C1"/>
    <w:rsid w:val="006E53E6"/>
    <w:rsid w:val="006E6CDA"/>
    <w:rsid w:val="006E788D"/>
    <w:rsid w:val="006F0DB1"/>
    <w:rsid w:val="006F2858"/>
    <w:rsid w:val="006F32E9"/>
    <w:rsid w:val="006F5046"/>
    <w:rsid w:val="006F586A"/>
    <w:rsid w:val="006F5D67"/>
    <w:rsid w:val="006F67DB"/>
    <w:rsid w:val="006F6808"/>
    <w:rsid w:val="006F7217"/>
    <w:rsid w:val="007005D2"/>
    <w:rsid w:val="00702059"/>
    <w:rsid w:val="00706BEF"/>
    <w:rsid w:val="00710F3D"/>
    <w:rsid w:val="00712124"/>
    <w:rsid w:val="00713AAD"/>
    <w:rsid w:val="00713E52"/>
    <w:rsid w:val="007215D5"/>
    <w:rsid w:val="00723D2B"/>
    <w:rsid w:val="00726B5E"/>
    <w:rsid w:val="00732B2C"/>
    <w:rsid w:val="00733729"/>
    <w:rsid w:val="00734B04"/>
    <w:rsid w:val="00742675"/>
    <w:rsid w:val="00742B69"/>
    <w:rsid w:val="007432EF"/>
    <w:rsid w:val="00744C4C"/>
    <w:rsid w:val="00745D33"/>
    <w:rsid w:val="0075006B"/>
    <w:rsid w:val="0075193E"/>
    <w:rsid w:val="007520D0"/>
    <w:rsid w:val="00752420"/>
    <w:rsid w:val="00752B10"/>
    <w:rsid w:val="007531AC"/>
    <w:rsid w:val="00756DFF"/>
    <w:rsid w:val="00757C25"/>
    <w:rsid w:val="007614A8"/>
    <w:rsid w:val="00762458"/>
    <w:rsid w:val="00772848"/>
    <w:rsid w:val="00773E45"/>
    <w:rsid w:val="0077787E"/>
    <w:rsid w:val="0078241B"/>
    <w:rsid w:val="007837A4"/>
    <w:rsid w:val="0078436E"/>
    <w:rsid w:val="0078477A"/>
    <w:rsid w:val="00785E75"/>
    <w:rsid w:val="00787658"/>
    <w:rsid w:val="007921D3"/>
    <w:rsid w:val="007949B9"/>
    <w:rsid w:val="0079752A"/>
    <w:rsid w:val="007A067A"/>
    <w:rsid w:val="007A2C76"/>
    <w:rsid w:val="007A6FB5"/>
    <w:rsid w:val="007A71FC"/>
    <w:rsid w:val="007A73E5"/>
    <w:rsid w:val="007A7DD2"/>
    <w:rsid w:val="007B0DFC"/>
    <w:rsid w:val="007B28BD"/>
    <w:rsid w:val="007B4AD4"/>
    <w:rsid w:val="007B4B27"/>
    <w:rsid w:val="007B513B"/>
    <w:rsid w:val="007B7157"/>
    <w:rsid w:val="007C01EA"/>
    <w:rsid w:val="007C5D03"/>
    <w:rsid w:val="007D1414"/>
    <w:rsid w:val="007D5B26"/>
    <w:rsid w:val="007D7F2E"/>
    <w:rsid w:val="007E541F"/>
    <w:rsid w:val="007E6FD1"/>
    <w:rsid w:val="007E7DE8"/>
    <w:rsid w:val="007F11D1"/>
    <w:rsid w:val="007F2A46"/>
    <w:rsid w:val="007F48DB"/>
    <w:rsid w:val="007F4ADF"/>
    <w:rsid w:val="007F5DCD"/>
    <w:rsid w:val="007F7671"/>
    <w:rsid w:val="0080119B"/>
    <w:rsid w:val="00801872"/>
    <w:rsid w:val="008042B5"/>
    <w:rsid w:val="0080681C"/>
    <w:rsid w:val="00806CF4"/>
    <w:rsid w:val="00807740"/>
    <w:rsid w:val="00810646"/>
    <w:rsid w:val="00814441"/>
    <w:rsid w:val="00814D4C"/>
    <w:rsid w:val="00814DEC"/>
    <w:rsid w:val="008156DF"/>
    <w:rsid w:val="00817DCF"/>
    <w:rsid w:val="008201CC"/>
    <w:rsid w:val="00821876"/>
    <w:rsid w:val="00821CCF"/>
    <w:rsid w:val="00822030"/>
    <w:rsid w:val="00822C33"/>
    <w:rsid w:val="008268AE"/>
    <w:rsid w:val="00830132"/>
    <w:rsid w:val="0083097F"/>
    <w:rsid w:val="008317C0"/>
    <w:rsid w:val="008347A8"/>
    <w:rsid w:val="00834C1B"/>
    <w:rsid w:val="008364C0"/>
    <w:rsid w:val="00836DC9"/>
    <w:rsid w:val="0084056B"/>
    <w:rsid w:val="00841F54"/>
    <w:rsid w:val="00842265"/>
    <w:rsid w:val="00842E34"/>
    <w:rsid w:val="008438C2"/>
    <w:rsid w:val="008450D2"/>
    <w:rsid w:val="00847210"/>
    <w:rsid w:val="0085017F"/>
    <w:rsid w:val="008515D6"/>
    <w:rsid w:val="008522A1"/>
    <w:rsid w:val="00853CD1"/>
    <w:rsid w:val="008567B7"/>
    <w:rsid w:val="00863EDC"/>
    <w:rsid w:val="008648CC"/>
    <w:rsid w:val="008669F2"/>
    <w:rsid w:val="00866E63"/>
    <w:rsid w:val="00867038"/>
    <w:rsid w:val="0086736C"/>
    <w:rsid w:val="00867749"/>
    <w:rsid w:val="00871596"/>
    <w:rsid w:val="0087243C"/>
    <w:rsid w:val="00872DAC"/>
    <w:rsid w:val="008730C4"/>
    <w:rsid w:val="008733CC"/>
    <w:rsid w:val="0087388E"/>
    <w:rsid w:val="00875ADB"/>
    <w:rsid w:val="008804AB"/>
    <w:rsid w:val="00881057"/>
    <w:rsid w:val="00881ABA"/>
    <w:rsid w:val="00886180"/>
    <w:rsid w:val="00890B8A"/>
    <w:rsid w:val="00891332"/>
    <w:rsid w:val="00891512"/>
    <w:rsid w:val="00893F88"/>
    <w:rsid w:val="008955E5"/>
    <w:rsid w:val="00895613"/>
    <w:rsid w:val="00897F88"/>
    <w:rsid w:val="008A09FA"/>
    <w:rsid w:val="008A0B39"/>
    <w:rsid w:val="008A21BB"/>
    <w:rsid w:val="008A4F1E"/>
    <w:rsid w:val="008A6272"/>
    <w:rsid w:val="008A79F0"/>
    <w:rsid w:val="008B06A2"/>
    <w:rsid w:val="008B0AFE"/>
    <w:rsid w:val="008B0BC7"/>
    <w:rsid w:val="008B0C71"/>
    <w:rsid w:val="008B6C61"/>
    <w:rsid w:val="008B6E12"/>
    <w:rsid w:val="008B7284"/>
    <w:rsid w:val="008B758A"/>
    <w:rsid w:val="008C21C5"/>
    <w:rsid w:val="008C226B"/>
    <w:rsid w:val="008C24E4"/>
    <w:rsid w:val="008C4347"/>
    <w:rsid w:val="008C4680"/>
    <w:rsid w:val="008C5511"/>
    <w:rsid w:val="008C74A0"/>
    <w:rsid w:val="008D265E"/>
    <w:rsid w:val="008D44CD"/>
    <w:rsid w:val="008D5F0D"/>
    <w:rsid w:val="008E3718"/>
    <w:rsid w:val="008E4C53"/>
    <w:rsid w:val="008E58C1"/>
    <w:rsid w:val="008E5FE9"/>
    <w:rsid w:val="008E7201"/>
    <w:rsid w:val="008F00D4"/>
    <w:rsid w:val="008F0397"/>
    <w:rsid w:val="008F06DB"/>
    <w:rsid w:val="008F1800"/>
    <w:rsid w:val="008F49ED"/>
    <w:rsid w:val="008F5350"/>
    <w:rsid w:val="008F7A12"/>
    <w:rsid w:val="008F7EB2"/>
    <w:rsid w:val="00901D31"/>
    <w:rsid w:val="00902436"/>
    <w:rsid w:val="00903B3F"/>
    <w:rsid w:val="00907F3A"/>
    <w:rsid w:val="009140D7"/>
    <w:rsid w:val="009159EA"/>
    <w:rsid w:val="00915A78"/>
    <w:rsid w:val="00922FAF"/>
    <w:rsid w:val="0092455B"/>
    <w:rsid w:val="00924FD2"/>
    <w:rsid w:val="009272F8"/>
    <w:rsid w:val="009303DA"/>
    <w:rsid w:val="009305CC"/>
    <w:rsid w:val="00932541"/>
    <w:rsid w:val="00935AAF"/>
    <w:rsid w:val="00940BF3"/>
    <w:rsid w:val="009425DC"/>
    <w:rsid w:val="00942CBB"/>
    <w:rsid w:val="00944AD3"/>
    <w:rsid w:val="009458FB"/>
    <w:rsid w:val="009467D0"/>
    <w:rsid w:val="00946F87"/>
    <w:rsid w:val="0094775E"/>
    <w:rsid w:val="00952104"/>
    <w:rsid w:val="00952F65"/>
    <w:rsid w:val="00954192"/>
    <w:rsid w:val="00954260"/>
    <w:rsid w:val="009601F6"/>
    <w:rsid w:val="00960BD4"/>
    <w:rsid w:val="00962F6C"/>
    <w:rsid w:val="00964AF8"/>
    <w:rsid w:val="009656F3"/>
    <w:rsid w:val="00966BA4"/>
    <w:rsid w:val="009712BE"/>
    <w:rsid w:val="00971A9B"/>
    <w:rsid w:val="00974045"/>
    <w:rsid w:val="00975D8C"/>
    <w:rsid w:val="009777B5"/>
    <w:rsid w:val="009827B4"/>
    <w:rsid w:val="0098507A"/>
    <w:rsid w:val="009864B7"/>
    <w:rsid w:val="00993F66"/>
    <w:rsid w:val="00995B1A"/>
    <w:rsid w:val="009A14B1"/>
    <w:rsid w:val="009A166C"/>
    <w:rsid w:val="009A36B3"/>
    <w:rsid w:val="009A4479"/>
    <w:rsid w:val="009A4CAF"/>
    <w:rsid w:val="009A5841"/>
    <w:rsid w:val="009A6228"/>
    <w:rsid w:val="009A7B33"/>
    <w:rsid w:val="009B0B6B"/>
    <w:rsid w:val="009B15E4"/>
    <w:rsid w:val="009B2653"/>
    <w:rsid w:val="009B31D1"/>
    <w:rsid w:val="009B4A6C"/>
    <w:rsid w:val="009B59BD"/>
    <w:rsid w:val="009B60E5"/>
    <w:rsid w:val="009B6560"/>
    <w:rsid w:val="009C0796"/>
    <w:rsid w:val="009C0F0F"/>
    <w:rsid w:val="009C181C"/>
    <w:rsid w:val="009C390B"/>
    <w:rsid w:val="009C406A"/>
    <w:rsid w:val="009C412D"/>
    <w:rsid w:val="009C5B26"/>
    <w:rsid w:val="009C7628"/>
    <w:rsid w:val="009D337B"/>
    <w:rsid w:val="009D4E62"/>
    <w:rsid w:val="009D5845"/>
    <w:rsid w:val="009D65EC"/>
    <w:rsid w:val="009D746E"/>
    <w:rsid w:val="009E23B1"/>
    <w:rsid w:val="009E3BE1"/>
    <w:rsid w:val="009E3C1C"/>
    <w:rsid w:val="009E4515"/>
    <w:rsid w:val="009E5A4B"/>
    <w:rsid w:val="009E5D0D"/>
    <w:rsid w:val="009F3C1C"/>
    <w:rsid w:val="009F646C"/>
    <w:rsid w:val="009F6498"/>
    <w:rsid w:val="009F70D4"/>
    <w:rsid w:val="00A00570"/>
    <w:rsid w:val="00A00A39"/>
    <w:rsid w:val="00A02D95"/>
    <w:rsid w:val="00A02DF7"/>
    <w:rsid w:val="00A038D1"/>
    <w:rsid w:val="00A07F4C"/>
    <w:rsid w:val="00A12AC7"/>
    <w:rsid w:val="00A1364F"/>
    <w:rsid w:val="00A142F2"/>
    <w:rsid w:val="00A14307"/>
    <w:rsid w:val="00A20203"/>
    <w:rsid w:val="00A22FA2"/>
    <w:rsid w:val="00A23855"/>
    <w:rsid w:val="00A23AD4"/>
    <w:rsid w:val="00A24D72"/>
    <w:rsid w:val="00A25582"/>
    <w:rsid w:val="00A25E7F"/>
    <w:rsid w:val="00A26009"/>
    <w:rsid w:val="00A26524"/>
    <w:rsid w:val="00A271E6"/>
    <w:rsid w:val="00A27DAA"/>
    <w:rsid w:val="00A306BA"/>
    <w:rsid w:val="00A31099"/>
    <w:rsid w:val="00A312A2"/>
    <w:rsid w:val="00A318F4"/>
    <w:rsid w:val="00A31C1A"/>
    <w:rsid w:val="00A33AA3"/>
    <w:rsid w:val="00A33D14"/>
    <w:rsid w:val="00A35674"/>
    <w:rsid w:val="00A37CB6"/>
    <w:rsid w:val="00A37DC1"/>
    <w:rsid w:val="00A40009"/>
    <w:rsid w:val="00A403D7"/>
    <w:rsid w:val="00A430C1"/>
    <w:rsid w:val="00A43354"/>
    <w:rsid w:val="00A45AFF"/>
    <w:rsid w:val="00A45E86"/>
    <w:rsid w:val="00A4683B"/>
    <w:rsid w:val="00A53033"/>
    <w:rsid w:val="00A57DD1"/>
    <w:rsid w:val="00A60C77"/>
    <w:rsid w:val="00A615FF"/>
    <w:rsid w:val="00A62D9A"/>
    <w:rsid w:val="00A641A1"/>
    <w:rsid w:val="00A649D5"/>
    <w:rsid w:val="00A6693A"/>
    <w:rsid w:val="00A7000E"/>
    <w:rsid w:val="00A71509"/>
    <w:rsid w:val="00A72BDE"/>
    <w:rsid w:val="00A74365"/>
    <w:rsid w:val="00A766F1"/>
    <w:rsid w:val="00A76D2C"/>
    <w:rsid w:val="00A81EBA"/>
    <w:rsid w:val="00A82268"/>
    <w:rsid w:val="00A82CA5"/>
    <w:rsid w:val="00A83032"/>
    <w:rsid w:val="00A833DE"/>
    <w:rsid w:val="00A845D9"/>
    <w:rsid w:val="00A864DD"/>
    <w:rsid w:val="00A867DE"/>
    <w:rsid w:val="00A86E2C"/>
    <w:rsid w:val="00A87A2A"/>
    <w:rsid w:val="00A90F97"/>
    <w:rsid w:val="00A9388D"/>
    <w:rsid w:val="00A9630F"/>
    <w:rsid w:val="00A972E1"/>
    <w:rsid w:val="00A97534"/>
    <w:rsid w:val="00AA68C9"/>
    <w:rsid w:val="00AA77D7"/>
    <w:rsid w:val="00AA7871"/>
    <w:rsid w:val="00AB01B4"/>
    <w:rsid w:val="00AB159D"/>
    <w:rsid w:val="00AB2836"/>
    <w:rsid w:val="00AB4806"/>
    <w:rsid w:val="00AB5007"/>
    <w:rsid w:val="00AB55EF"/>
    <w:rsid w:val="00AB5C2F"/>
    <w:rsid w:val="00AB617A"/>
    <w:rsid w:val="00AB7047"/>
    <w:rsid w:val="00AC3A84"/>
    <w:rsid w:val="00AC542D"/>
    <w:rsid w:val="00AC612B"/>
    <w:rsid w:val="00AC68FD"/>
    <w:rsid w:val="00AC75F1"/>
    <w:rsid w:val="00AD028B"/>
    <w:rsid w:val="00AD17D8"/>
    <w:rsid w:val="00AD2504"/>
    <w:rsid w:val="00AD394D"/>
    <w:rsid w:val="00AD5E5F"/>
    <w:rsid w:val="00AD62F4"/>
    <w:rsid w:val="00AD69E9"/>
    <w:rsid w:val="00AE0BAF"/>
    <w:rsid w:val="00AE141E"/>
    <w:rsid w:val="00AE2430"/>
    <w:rsid w:val="00AE3168"/>
    <w:rsid w:val="00AE3905"/>
    <w:rsid w:val="00AE4943"/>
    <w:rsid w:val="00AE7237"/>
    <w:rsid w:val="00AE7C1B"/>
    <w:rsid w:val="00AF2849"/>
    <w:rsid w:val="00AF4CD9"/>
    <w:rsid w:val="00AF721D"/>
    <w:rsid w:val="00B02A6C"/>
    <w:rsid w:val="00B0383E"/>
    <w:rsid w:val="00B05067"/>
    <w:rsid w:val="00B05A7E"/>
    <w:rsid w:val="00B06594"/>
    <w:rsid w:val="00B06E3B"/>
    <w:rsid w:val="00B1014C"/>
    <w:rsid w:val="00B11030"/>
    <w:rsid w:val="00B114C4"/>
    <w:rsid w:val="00B11582"/>
    <w:rsid w:val="00B1301A"/>
    <w:rsid w:val="00B15A0A"/>
    <w:rsid w:val="00B168C9"/>
    <w:rsid w:val="00B20B5E"/>
    <w:rsid w:val="00B23FA9"/>
    <w:rsid w:val="00B23FD5"/>
    <w:rsid w:val="00B3410E"/>
    <w:rsid w:val="00B3560D"/>
    <w:rsid w:val="00B36E9E"/>
    <w:rsid w:val="00B37345"/>
    <w:rsid w:val="00B37587"/>
    <w:rsid w:val="00B37A1B"/>
    <w:rsid w:val="00B37ADD"/>
    <w:rsid w:val="00B37E21"/>
    <w:rsid w:val="00B42832"/>
    <w:rsid w:val="00B437F1"/>
    <w:rsid w:val="00B440EC"/>
    <w:rsid w:val="00B45F84"/>
    <w:rsid w:val="00B46984"/>
    <w:rsid w:val="00B53A4C"/>
    <w:rsid w:val="00B574E7"/>
    <w:rsid w:val="00B607D3"/>
    <w:rsid w:val="00B611C3"/>
    <w:rsid w:val="00B611ED"/>
    <w:rsid w:val="00B61959"/>
    <w:rsid w:val="00B63FC5"/>
    <w:rsid w:val="00B643CC"/>
    <w:rsid w:val="00B7074B"/>
    <w:rsid w:val="00B71516"/>
    <w:rsid w:val="00B746ED"/>
    <w:rsid w:val="00B7524C"/>
    <w:rsid w:val="00B7691F"/>
    <w:rsid w:val="00B7697F"/>
    <w:rsid w:val="00B7758C"/>
    <w:rsid w:val="00B77DFD"/>
    <w:rsid w:val="00B81D90"/>
    <w:rsid w:val="00B823C2"/>
    <w:rsid w:val="00B84EF4"/>
    <w:rsid w:val="00B8547A"/>
    <w:rsid w:val="00B85D47"/>
    <w:rsid w:val="00B862EA"/>
    <w:rsid w:val="00B90BDC"/>
    <w:rsid w:val="00B923AD"/>
    <w:rsid w:val="00B94BA0"/>
    <w:rsid w:val="00BA0934"/>
    <w:rsid w:val="00BA1B3A"/>
    <w:rsid w:val="00BA2A4D"/>
    <w:rsid w:val="00BA452F"/>
    <w:rsid w:val="00BA740A"/>
    <w:rsid w:val="00BB18D7"/>
    <w:rsid w:val="00BB1D38"/>
    <w:rsid w:val="00BB2E57"/>
    <w:rsid w:val="00BB32FB"/>
    <w:rsid w:val="00BB7253"/>
    <w:rsid w:val="00BC32F4"/>
    <w:rsid w:val="00BC39B8"/>
    <w:rsid w:val="00BC6D54"/>
    <w:rsid w:val="00BD0E92"/>
    <w:rsid w:val="00BD4CA7"/>
    <w:rsid w:val="00BD71FF"/>
    <w:rsid w:val="00BE33CF"/>
    <w:rsid w:val="00BE3B1A"/>
    <w:rsid w:val="00BE73E6"/>
    <w:rsid w:val="00BE76CB"/>
    <w:rsid w:val="00BF0A51"/>
    <w:rsid w:val="00BF0BF6"/>
    <w:rsid w:val="00BF1A3C"/>
    <w:rsid w:val="00BF5B8D"/>
    <w:rsid w:val="00BF6A07"/>
    <w:rsid w:val="00BF6AC0"/>
    <w:rsid w:val="00C0116F"/>
    <w:rsid w:val="00C0312B"/>
    <w:rsid w:val="00C04561"/>
    <w:rsid w:val="00C05955"/>
    <w:rsid w:val="00C060AB"/>
    <w:rsid w:val="00C0716E"/>
    <w:rsid w:val="00C104D7"/>
    <w:rsid w:val="00C119E2"/>
    <w:rsid w:val="00C15DDB"/>
    <w:rsid w:val="00C206D3"/>
    <w:rsid w:val="00C22BF7"/>
    <w:rsid w:val="00C23326"/>
    <w:rsid w:val="00C240E1"/>
    <w:rsid w:val="00C33D34"/>
    <w:rsid w:val="00C34C6B"/>
    <w:rsid w:val="00C366B4"/>
    <w:rsid w:val="00C44163"/>
    <w:rsid w:val="00C44663"/>
    <w:rsid w:val="00C44C00"/>
    <w:rsid w:val="00C4539D"/>
    <w:rsid w:val="00C456D2"/>
    <w:rsid w:val="00C4595F"/>
    <w:rsid w:val="00C4609B"/>
    <w:rsid w:val="00C466DF"/>
    <w:rsid w:val="00C477ED"/>
    <w:rsid w:val="00C520AD"/>
    <w:rsid w:val="00C5531A"/>
    <w:rsid w:val="00C55496"/>
    <w:rsid w:val="00C56118"/>
    <w:rsid w:val="00C5666E"/>
    <w:rsid w:val="00C56F24"/>
    <w:rsid w:val="00C611D0"/>
    <w:rsid w:val="00C64BA3"/>
    <w:rsid w:val="00C71402"/>
    <w:rsid w:val="00C730BB"/>
    <w:rsid w:val="00C74FFA"/>
    <w:rsid w:val="00C758CF"/>
    <w:rsid w:val="00C76706"/>
    <w:rsid w:val="00C80AE8"/>
    <w:rsid w:val="00C825FA"/>
    <w:rsid w:val="00C835DC"/>
    <w:rsid w:val="00C86EF4"/>
    <w:rsid w:val="00C87853"/>
    <w:rsid w:val="00C911E9"/>
    <w:rsid w:val="00C9128A"/>
    <w:rsid w:val="00C91429"/>
    <w:rsid w:val="00C91D7C"/>
    <w:rsid w:val="00C938B6"/>
    <w:rsid w:val="00C93B9C"/>
    <w:rsid w:val="00C95F50"/>
    <w:rsid w:val="00C96572"/>
    <w:rsid w:val="00CA0034"/>
    <w:rsid w:val="00CA09F7"/>
    <w:rsid w:val="00CA25E1"/>
    <w:rsid w:val="00CA3168"/>
    <w:rsid w:val="00CA794E"/>
    <w:rsid w:val="00CB046A"/>
    <w:rsid w:val="00CB0B0D"/>
    <w:rsid w:val="00CB348A"/>
    <w:rsid w:val="00CB4A69"/>
    <w:rsid w:val="00CB6FC8"/>
    <w:rsid w:val="00CC2446"/>
    <w:rsid w:val="00CC29AB"/>
    <w:rsid w:val="00CC2C72"/>
    <w:rsid w:val="00CC2C90"/>
    <w:rsid w:val="00CC2DAE"/>
    <w:rsid w:val="00CC3581"/>
    <w:rsid w:val="00CC38A7"/>
    <w:rsid w:val="00CC4747"/>
    <w:rsid w:val="00CC4E00"/>
    <w:rsid w:val="00CC5B7A"/>
    <w:rsid w:val="00CC5D88"/>
    <w:rsid w:val="00CC68B4"/>
    <w:rsid w:val="00CC7082"/>
    <w:rsid w:val="00CD1B19"/>
    <w:rsid w:val="00CD21AC"/>
    <w:rsid w:val="00CD4005"/>
    <w:rsid w:val="00CD54F1"/>
    <w:rsid w:val="00CD64A4"/>
    <w:rsid w:val="00CE2B5C"/>
    <w:rsid w:val="00CE5080"/>
    <w:rsid w:val="00CE5594"/>
    <w:rsid w:val="00CE6339"/>
    <w:rsid w:val="00CE6C6E"/>
    <w:rsid w:val="00CF1155"/>
    <w:rsid w:val="00CF1624"/>
    <w:rsid w:val="00CF23FA"/>
    <w:rsid w:val="00CF7248"/>
    <w:rsid w:val="00CF73A0"/>
    <w:rsid w:val="00CF7A82"/>
    <w:rsid w:val="00CF7B15"/>
    <w:rsid w:val="00D037F1"/>
    <w:rsid w:val="00D04110"/>
    <w:rsid w:val="00D04134"/>
    <w:rsid w:val="00D04ACD"/>
    <w:rsid w:val="00D04DDC"/>
    <w:rsid w:val="00D072E8"/>
    <w:rsid w:val="00D105E1"/>
    <w:rsid w:val="00D13C1A"/>
    <w:rsid w:val="00D145CA"/>
    <w:rsid w:val="00D15E72"/>
    <w:rsid w:val="00D16C0D"/>
    <w:rsid w:val="00D2208D"/>
    <w:rsid w:val="00D22279"/>
    <w:rsid w:val="00D22825"/>
    <w:rsid w:val="00D22C02"/>
    <w:rsid w:val="00D22ED4"/>
    <w:rsid w:val="00D24EFE"/>
    <w:rsid w:val="00D25A94"/>
    <w:rsid w:val="00D26D01"/>
    <w:rsid w:val="00D26D02"/>
    <w:rsid w:val="00D30983"/>
    <w:rsid w:val="00D32CF7"/>
    <w:rsid w:val="00D33A2E"/>
    <w:rsid w:val="00D35AAA"/>
    <w:rsid w:val="00D36E27"/>
    <w:rsid w:val="00D42A57"/>
    <w:rsid w:val="00D43323"/>
    <w:rsid w:val="00D43E9A"/>
    <w:rsid w:val="00D4426D"/>
    <w:rsid w:val="00D4431F"/>
    <w:rsid w:val="00D44C54"/>
    <w:rsid w:val="00D44FA0"/>
    <w:rsid w:val="00D468D2"/>
    <w:rsid w:val="00D47385"/>
    <w:rsid w:val="00D51254"/>
    <w:rsid w:val="00D522B4"/>
    <w:rsid w:val="00D539E9"/>
    <w:rsid w:val="00D53D30"/>
    <w:rsid w:val="00D53EC9"/>
    <w:rsid w:val="00D54923"/>
    <w:rsid w:val="00D55777"/>
    <w:rsid w:val="00D55F96"/>
    <w:rsid w:val="00D566BE"/>
    <w:rsid w:val="00D60B25"/>
    <w:rsid w:val="00D61A1B"/>
    <w:rsid w:val="00D61D4A"/>
    <w:rsid w:val="00D62084"/>
    <w:rsid w:val="00D6351B"/>
    <w:rsid w:val="00D6396E"/>
    <w:rsid w:val="00D65BE7"/>
    <w:rsid w:val="00D66C66"/>
    <w:rsid w:val="00D724C5"/>
    <w:rsid w:val="00D74237"/>
    <w:rsid w:val="00D75401"/>
    <w:rsid w:val="00D76513"/>
    <w:rsid w:val="00D76CAE"/>
    <w:rsid w:val="00D76D0D"/>
    <w:rsid w:val="00D846AF"/>
    <w:rsid w:val="00D85021"/>
    <w:rsid w:val="00D86332"/>
    <w:rsid w:val="00D866C1"/>
    <w:rsid w:val="00D867F3"/>
    <w:rsid w:val="00D8742C"/>
    <w:rsid w:val="00D877CF"/>
    <w:rsid w:val="00D8782D"/>
    <w:rsid w:val="00D91C92"/>
    <w:rsid w:val="00D95FE9"/>
    <w:rsid w:val="00D97859"/>
    <w:rsid w:val="00D97EFE"/>
    <w:rsid w:val="00DA0388"/>
    <w:rsid w:val="00DA0863"/>
    <w:rsid w:val="00DA0CD4"/>
    <w:rsid w:val="00DA6724"/>
    <w:rsid w:val="00DB088F"/>
    <w:rsid w:val="00DB13A1"/>
    <w:rsid w:val="00DB6D2A"/>
    <w:rsid w:val="00DB6E41"/>
    <w:rsid w:val="00DB799F"/>
    <w:rsid w:val="00DC027C"/>
    <w:rsid w:val="00DC1799"/>
    <w:rsid w:val="00DC1F5A"/>
    <w:rsid w:val="00DC7066"/>
    <w:rsid w:val="00DC754F"/>
    <w:rsid w:val="00DD05D6"/>
    <w:rsid w:val="00DD0C57"/>
    <w:rsid w:val="00DD121D"/>
    <w:rsid w:val="00DD39B3"/>
    <w:rsid w:val="00DD525B"/>
    <w:rsid w:val="00DD7A49"/>
    <w:rsid w:val="00DE02EE"/>
    <w:rsid w:val="00DE0616"/>
    <w:rsid w:val="00DE07FD"/>
    <w:rsid w:val="00DE7710"/>
    <w:rsid w:val="00DF17F3"/>
    <w:rsid w:val="00DF1B80"/>
    <w:rsid w:val="00DF3E09"/>
    <w:rsid w:val="00DF5229"/>
    <w:rsid w:val="00DF60AA"/>
    <w:rsid w:val="00DF68C8"/>
    <w:rsid w:val="00DF7CA4"/>
    <w:rsid w:val="00E015DA"/>
    <w:rsid w:val="00E043BF"/>
    <w:rsid w:val="00E06923"/>
    <w:rsid w:val="00E07083"/>
    <w:rsid w:val="00E129F4"/>
    <w:rsid w:val="00E12FB7"/>
    <w:rsid w:val="00E130BC"/>
    <w:rsid w:val="00E14121"/>
    <w:rsid w:val="00E15DE7"/>
    <w:rsid w:val="00E167A6"/>
    <w:rsid w:val="00E16ABD"/>
    <w:rsid w:val="00E1706E"/>
    <w:rsid w:val="00E24AA2"/>
    <w:rsid w:val="00E268B2"/>
    <w:rsid w:val="00E27D36"/>
    <w:rsid w:val="00E30382"/>
    <w:rsid w:val="00E3049A"/>
    <w:rsid w:val="00E308F6"/>
    <w:rsid w:val="00E30D7F"/>
    <w:rsid w:val="00E33357"/>
    <w:rsid w:val="00E34209"/>
    <w:rsid w:val="00E346C4"/>
    <w:rsid w:val="00E36B4D"/>
    <w:rsid w:val="00E375D3"/>
    <w:rsid w:val="00E41243"/>
    <w:rsid w:val="00E4182F"/>
    <w:rsid w:val="00E41906"/>
    <w:rsid w:val="00E41E78"/>
    <w:rsid w:val="00E43F24"/>
    <w:rsid w:val="00E458BF"/>
    <w:rsid w:val="00E45DD2"/>
    <w:rsid w:val="00E46A1A"/>
    <w:rsid w:val="00E46F64"/>
    <w:rsid w:val="00E50BC4"/>
    <w:rsid w:val="00E50EE2"/>
    <w:rsid w:val="00E52694"/>
    <w:rsid w:val="00E53E0E"/>
    <w:rsid w:val="00E553BD"/>
    <w:rsid w:val="00E609EE"/>
    <w:rsid w:val="00E62DBE"/>
    <w:rsid w:val="00E64745"/>
    <w:rsid w:val="00E6475B"/>
    <w:rsid w:val="00E647CA"/>
    <w:rsid w:val="00E670D1"/>
    <w:rsid w:val="00E70719"/>
    <w:rsid w:val="00E70BEC"/>
    <w:rsid w:val="00E72B1E"/>
    <w:rsid w:val="00E757CE"/>
    <w:rsid w:val="00E7723B"/>
    <w:rsid w:val="00E80038"/>
    <w:rsid w:val="00E84BD6"/>
    <w:rsid w:val="00E85A61"/>
    <w:rsid w:val="00E85AAD"/>
    <w:rsid w:val="00E85BA8"/>
    <w:rsid w:val="00E934C1"/>
    <w:rsid w:val="00E9492A"/>
    <w:rsid w:val="00E94DC8"/>
    <w:rsid w:val="00E95088"/>
    <w:rsid w:val="00E97A1A"/>
    <w:rsid w:val="00EA3335"/>
    <w:rsid w:val="00EA38AD"/>
    <w:rsid w:val="00EA55DD"/>
    <w:rsid w:val="00EA770A"/>
    <w:rsid w:val="00EB1307"/>
    <w:rsid w:val="00EB190F"/>
    <w:rsid w:val="00EC4DCE"/>
    <w:rsid w:val="00EC5890"/>
    <w:rsid w:val="00EC59A5"/>
    <w:rsid w:val="00EC6AA2"/>
    <w:rsid w:val="00EC7BCA"/>
    <w:rsid w:val="00ED04B6"/>
    <w:rsid w:val="00ED2117"/>
    <w:rsid w:val="00ED303F"/>
    <w:rsid w:val="00ED312E"/>
    <w:rsid w:val="00ED3D56"/>
    <w:rsid w:val="00ED5A16"/>
    <w:rsid w:val="00ED7481"/>
    <w:rsid w:val="00EE0C53"/>
    <w:rsid w:val="00EE6571"/>
    <w:rsid w:val="00EF0063"/>
    <w:rsid w:val="00EF0DBE"/>
    <w:rsid w:val="00EF215C"/>
    <w:rsid w:val="00EF29F1"/>
    <w:rsid w:val="00EF3B94"/>
    <w:rsid w:val="00EF5F04"/>
    <w:rsid w:val="00EF7978"/>
    <w:rsid w:val="00F071A2"/>
    <w:rsid w:val="00F07617"/>
    <w:rsid w:val="00F10C35"/>
    <w:rsid w:val="00F11251"/>
    <w:rsid w:val="00F12E6F"/>
    <w:rsid w:val="00F16D08"/>
    <w:rsid w:val="00F16DED"/>
    <w:rsid w:val="00F171E4"/>
    <w:rsid w:val="00F2000B"/>
    <w:rsid w:val="00F2173B"/>
    <w:rsid w:val="00F22608"/>
    <w:rsid w:val="00F259A0"/>
    <w:rsid w:val="00F25EDF"/>
    <w:rsid w:val="00F3173E"/>
    <w:rsid w:val="00F318CD"/>
    <w:rsid w:val="00F3376C"/>
    <w:rsid w:val="00F33E24"/>
    <w:rsid w:val="00F373B4"/>
    <w:rsid w:val="00F406A7"/>
    <w:rsid w:val="00F428AC"/>
    <w:rsid w:val="00F473C4"/>
    <w:rsid w:val="00F5017D"/>
    <w:rsid w:val="00F51CC0"/>
    <w:rsid w:val="00F51F15"/>
    <w:rsid w:val="00F525A7"/>
    <w:rsid w:val="00F55F11"/>
    <w:rsid w:val="00F57421"/>
    <w:rsid w:val="00F60C66"/>
    <w:rsid w:val="00F73018"/>
    <w:rsid w:val="00F73288"/>
    <w:rsid w:val="00F74C6D"/>
    <w:rsid w:val="00F77E08"/>
    <w:rsid w:val="00F77EF2"/>
    <w:rsid w:val="00F80DD7"/>
    <w:rsid w:val="00F822DE"/>
    <w:rsid w:val="00F84618"/>
    <w:rsid w:val="00F86B3D"/>
    <w:rsid w:val="00F9219A"/>
    <w:rsid w:val="00F94C20"/>
    <w:rsid w:val="00F95640"/>
    <w:rsid w:val="00FA457E"/>
    <w:rsid w:val="00FA4909"/>
    <w:rsid w:val="00FA575A"/>
    <w:rsid w:val="00FA77E0"/>
    <w:rsid w:val="00FB38BD"/>
    <w:rsid w:val="00FB4D0B"/>
    <w:rsid w:val="00FB5336"/>
    <w:rsid w:val="00FB68E4"/>
    <w:rsid w:val="00FC2B0D"/>
    <w:rsid w:val="00FC2E20"/>
    <w:rsid w:val="00FC5646"/>
    <w:rsid w:val="00FC70C1"/>
    <w:rsid w:val="00FD0EC7"/>
    <w:rsid w:val="00FD358E"/>
    <w:rsid w:val="00FD4868"/>
    <w:rsid w:val="00FD4DEA"/>
    <w:rsid w:val="00FD50FD"/>
    <w:rsid w:val="00FD724E"/>
    <w:rsid w:val="00FD72BC"/>
    <w:rsid w:val="00FD7E80"/>
    <w:rsid w:val="00FE0B3B"/>
    <w:rsid w:val="00FE3404"/>
    <w:rsid w:val="00FE46FC"/>
    <w:rsid w:val="00FE49AD"/>
    <w:rsid w:val="00FE7BF5"/>
    <w:rsid w:val="00FF0936"/>
    <w:rsid w:val="00FF104C"/>
    <w:rsid w:val="00FF11CA"/>
    <w:rsid w:val="00FF3C90"/>
    <w:rsid w:val="00FF40B7"/>
    <w:rsid w:val="00FF4EE8"/>
    <w:rsid w:val="00FF5EEE"/>
    <w:rsid w:val="00FF631D"/>
    <w:rsid w:val="00FF74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BC3FC6"/>
  <w15:chartTrackingRefBased/>
  <w15:docId w15:val="{A3B55E22-F7CE-4246-82E3-1E962B5DD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872"/>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01872"/>
    <w:pPr>
      <w:tabs>
        <w:tab w:val="center" w:pos="4419"/>
        <w:tab w:val="right" w:pos="8838"/>
      </w:tabs>
    </w:pPr>
  </w:style>
  <w:style w:type="character" w:customStyle="1" w:styleId="EncabezadoCar">
    <w:name w:val="Encabezado Car"/>
    <w:basedOn w:val="Fuentedeprrafopredeter"/>
    <w:link w:val="Encabezado"/>
    <w:uiPriority w:val="99"/>
    <w:rsid w:val="00801872"/>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801872"/>
    <w:pPr>
      <w:tabs>
        <w:tab w:val="center" w:pos="4419"/>
        <w:tab w:val="right" w:pos="8838"/>
      </w:tabs>
    </w:pPr>
  </w:style>
  <w:style w:type="character" w:customStyle="1" w:styleId="PiedepginaCar">
    <w:name w:val="Pie de página Car"/>
    <w:basedOn w:val="Fuentedeprrafopredeter"/>
    <w:link w:val="Piedepgina"/>
    <w:uiPriority w:val="99"/>
    <w:rsid w:val="00801872"/>
    <w:rPr>
      <w:rFonts w:ascii="Times New Roman" w:eastAsia="Times New Roman" w:hAnsi="Times New Roman" w:cs="Times New Roman"/>
      <w:sz w:val="20"/>
      <w:szCs w:val="20"/>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0187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80187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801872"/>
    <w:rPr>
      <w:color w:val="0563C1" w:themeColor="hyperlink"/>
      <w:u w:val="single"/>
    </w:rPr>
  </w:style>
  <w:style w:type="table" w:styleId="Tablaconcuadrcula">
    <w:name w:val="Table Grid"/>
    <w:basedOn w:val="Tablanormal"/>
    <w:uiPriority w:val="59"/>
    <w:rsid w:val="0080187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BE73E6"/>
    <w:rPr>
      <w:sz w:val="16"/>
      <w:szCs w:val="16"/>
    </w:rPr>
  </w:style>
  <w:style w:type="paragraph" w:styleId="Textocomentario">
    <w:name w:val="annotation text"/>
    <w:basedOn w:val="Normal"/>
    <w:link w:val="TextocomentarioCar"/>
    <w:uiPriority w:val="99"/>
    <w:semiHidden/>
    <w:unhideWhenUsed/>
    <w:rsid w:val="00BE73E6"/>
  </w:style>
  <w:style w:type="character" w:customStyle="1" w:styleId="TextocomentarioCar">
    <w:name w:val="Texto comentario Car"/>
    <w:basedOn w:val="Fuentedeprrafopredeter"/>
    <w:link w:val="Textocomentario"/>
    <w:uiPriority w:val="99"/>
    <w:semiHidden/>
    <w:rsid w:val="00BE73E6"/>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BE73E6"/>
    <w:rPr>
      <w:b/>
      <w:bCs/>
    </w:rPr>
  </w:style>
  <w:style w:type="character" w:customStyle="1" w:styleId="AsuntodelcomentarioCar">
    <w:name w:val="Asunto del comentario Car"/>
    <w:basedOn w:val="TextocomentarioCar"/>
    <w:link w:val="Asuntodelcomentario"/>
    <w:uiPriority w:val="99"/>
    <w:semiHidden/>
    <w:rsid w:val="00BE73E6"/>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BE73E6"/>
    <w:rPr>
      <w:sz w:val="18"/>
      <w:szCs w:val="18"/>
    </w:rPr>
  </w:style>
  <w:style w:type="character" w:customStyle="1" w:styleId="TextodegloboCar">
    <w:name w:val="Texto de globo Car"/>
    <w:basedOn w:val="Fuentedeprrafopredeter"/>
    <w:link w:val="Textodeglobo"/>
    <w:uiPriority w:val="99"/>
    <w:semiHidden/>
    <w:rsid w:val="00BE73E6"/>
    <w:rPr>
      <w:rFonts w:ascii="Times New Roman" w:eastAsia="Times New Roman" w:hAnsi="Times New Roman" w:cs="Times New Roman"/>
      <w:sz w:val="18"/>
      <w:szCs w:val="18"/>
      <w:lang w:eastAsia="es-ES"/>
    </w:rPr>
  </w:style>
  <w:style w:type="character" w:customStyle="1" w:styleId="Mencinsinresolver1">
    <w:name w:val="Mención sin resolver1"/>
    <w:basedOn w:val="Fuentedeprrafopredeter"/>
    <w:uiPriority w:val="99"/>
    <w:semiHidden/>
    <w:unhideWhenUsed/>
    <w:rsid w:val="00B15A0A"/>
    <w:rPr>
      <w:color w:val="605E5C"/>
      <w:shd w:val="clear" w:color="auto" w:fill="E1DFDD"/>
    </w:rPr>
  </w:style>
  <w:style w:type="character" w:styleId="Hipervnculovisitado">
    <w:name w:val="FollowedHyperlink"/>
    <w:basedOn w:val="Fuentedeprrafopredeter"/>
    <w:uiPriority w:val="99"/>
    <w:semiHidden/>
    <w:unhideWhenUsed/>
    <w:rsid w:val="00674438"/>
    <w:rPr>
      <w:color w:val="954F72" w:themeColor="followedHyperlink"/>
      <w:u w:val="single"/>
    </w:rPr>
  </w:style>
  <w:style w:type="paragraph" w:styleId="Revisin">
    <w:name w:val="Revision"/>
    <w:hidden/>
    <w:uiPriority w:val="99"/>
    <w:semiHidden/>
    <w:rsid w:val="00867749"/>
    <w:pPr>
      <w:spacing w:after="0" w:line="240" w:lineRule="auto"/>
    </w:pPr>
    <w:rPr>
      <w:rFonts w:ascii="Times New Roman" w:eastAsia="Times New Roman" w:hAnsi="Times New Roman" w:cs="Times New Roman"/>
      <w:sz w:val="20"/>
      <w:szCs w:val="20"/>
      <w:lang w:eastAsia="es-ES"/>
    </w:rPr>
  </w:style>
  <w:style w:type="character" w:customStyle="1" w:styleId="Mencinsinresolver2">
    <w:name w:val="Mención sin resolver2"/>
    <w:basedOn w:val="Fuentedeprrafopredeter"/>
    <w:uiPriority w:val="99"/>
    <w:semiHidden/>
    <w:unhideWhenUsed/>
    <w:rsid w:val="00F473C4"/>
    <w:rPr>
      <w:color w:val="605E5C"/>
      <w:shd w:val="clear" w:color="auto" w:fill="E1DFDD"/>
    </w:rPr>
  </w:style>
  <w:style w:type="character" w:customStyle="1" w:styleId="normaltextrun">
    <w:name w:val="normaltextrun"/>
    <w:basedOn w:val="Fuentedeprrafopredeter"/>
    <w:rsid w:val="007F5DCD"/>
  </w:style>
  <w:style w:type="character" w:customStyle="1" w:styleId="eop">
    <w:name w:val="eop"/>
    <w:basedOn w:val="Fuentedeprrafopredeter"/>
    <w:rsid w:val="007F5DCD"/>
  </w:style>
  <w:style w:type="character" w:customStyle="1" w:styleId="Mencinsinresolver3">
    <w:name w:val="Mención sin resolver3"/>
    <w:basedOn w:val="Fuentedeprrafopredeter"/>
    <w:uiPriority w:val="99"/>
    <w:semiHidden/>
    <w:unhideWhenUsed/>
    <w:rsid w:val="003E36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246">
      <w:bodyDiv w:val="1"/>
      <w:marLeft w:val="0"/>
      <w:marRight w:val="0"/>
      <w:marTop w:val="0"/>
      <w:marBottom w:val="0"/>
      <w:divBdr>
        <w:top w:val="none" w:sz="0" w:space="0" w:color="auto"/>
        <w:left w:val="none" w:sz="0" w:space="0" w:color="auto"/>
        <w:bottom w:val="none" w:sz="0" w:space="0" w:color="auto"/>
        <w:right w:val="none" w:sz="0" w:space="0" w:color="auto"/>
      </w:divBdr>
    </w:div>
    <w:div w:id="54015614">
      <w:bodyDiv w:val="1"/>
      <w:marLeft w:val="0"/>
      <w:marRight w:val="0"/>
      <w:marTop w:val="0"/>
      <w:marBottom w:val="0"/>
      <w:divBdr>
        <w:top w:val="none" w:sz="0" w:space="0" w:color="auto"/>
        <w:left w:val="none" w:sz="0" w:space="0" w:color="auto"/>
        <w:bottom w:val="none" w:sz="0" w:space="0" w:color="auto"/>
        <w:right w:val="none" w:sz="0" w:space="0" w:color="auto"/>
      </w:divBdr>
    </w:div>
    <w:div w:id="65078574">
      <w:bodyDiv w:val="1"/>
      <w:marLeft w:val="0"/>
      <w:marRight w:val="0"/>
      <w:marTop w:val="0"/>
      <w:marBottom w:val="0"/>
      <w:divBdr>
        <w:top w:val="none" w:sz="0" w:space="0" w:color="auto"/>
        <w:left w:val="none" w:sz="0" w:space="0" w:color="auto"/>
        <w:bottom w:val="none" w:sz="0" w:space="0" w:color="auto"/>
        <w:right w:val="none" w:sz="0" w:space="0" w:color="auto"/>
      </w:divBdr>
    </w:div>
    <w:div w:id="107815361">
      <w:bodyDiv w:val="1"/>
      <w:marLeft w:val="0"/>
      <w:marRight w:val="0"/>
      <w:marTop w:val="0"/>
      <w:marBottom w:val="0"/>
      <w:divBdr>
        <w:top w:val="none" w:sz="0" w:space="0" w:color="auto"/>
        <w:left w:val="none" w:sz="0" w:space="0" w:color="auto"/>
        <w:bottom w:val="none" w:sz="0" w:space="0" w:color="auto"/>
        <w:right w:val="none" w:sz="0" w:space="0" w:color="auto"/>
      </w:divBdr>
    </w:div>
    <w:div w:id="202182145">
      <w:bodyDiv w:val="1"/>
      <w:marLeft w:val="0"/>
      <w:marRight w:val="0"/>
      <w:marTop w:val="0"/>
      <w:marBottom w:val="0"/>
      <w:divBdr>
        <w:top w:val="none" w:sz="0" w:space="0" w:color="auto"/>
        <w:left w:val="none" w:sz="0" w:space="0" w:color="auto"/>
        <w:bottom w:val="none" w:sz="0" w:space="0" w:color="auto"/>
        <w:right w:val="none" w:sz="0" w:space="0" w:color="auto"/>
      </w:divBdr>
    </w:div>
    <w:div w:id="296957461">
      <w:bodyDiv w:val="1"/>
      <w:marLeft w:val="0"/>
      <w:marRight w:val="0"/>
      <w:marTop w:val="0"/>
      <w:marBottom w:val="0"/>
      <w:divBdr>
        <w:top w:val="none" w:sz="0" w:space="0" w:color="auto"/>
        <w:left w:val="none" w:sz="0" w:space="0" w:color="auto"/>
        <w:bottom w:val="none" w:sz="0" w:space="0" w:color="auto"/>
        <w:right w:val="none" w:sz="0" w:space="0" w:color="auto"/>
      </w:divBdr>
    </w:div>
    <w:div w:id="360203408">
      <w:bodyDiv w:val="1"/>
      <w:marLeft w:val="0"/>
      <w:marRight w:val="0"/>
      <w:marTop w:val="0"/>
      <w:marBottom w:val="0"/>
      <w:divBdr>
        <w:top w:val="none" w:sz="0" w:space="0" w:color="auto"/>
        <w:left w:val="none" w:sz="0" w:space="0" w:color="auto"/>
        <w:bottom w:val="none" w:sz="0" w:space="0" w:color="auto"/>
        <w:right w:val="none" w:sz="0" w:space="0" w:color="auto"/>
      </w:divBdr>
    </w:div>
    <w:div w:id="361133144">
      <w:bodyDiv w:val="1"/>
      <w:marLeft w:val="0"/>
      <w:marRight w:val="0"/>
      <w:marTop w:val="0"/>
      <w:marBottom w:val="0"/>
      <w:divBdr>
        <w:top w:val="none" w:sz="0" w:space="0" w:color="auto"/>
        <w:left w:val="none" w:sz="0" w:space="0" w:color="auto"/>
        <w:bottom w:val="none" w:sz="0" w:space="0" w:color="auto"/>
        <w:right w:val="none" w:sz="0" w:space="0" w:color="auto"/>
      </w:divBdr>
    </w:div>
    <w:div w:id="458032911">
      <w:bodyDiv w:val="1"/>
      <w:marLeft w:val="0"/>
      <w:marRight w:val="0"/>
      <w:marTop w:val="0"/>
      <w:marBottom w:val="0"/>
      <w:divBdr>
        <w:top w:val="none" w:sz="0" w:space="0" w:color="auto"/>
        <w:left w:val="none" w:sz="0" w:space="0" w:color="auto"/>
        <w:bottom w:val="none" w:sz="0" w:space="0" w:color="auto"/>
        <w:right w:val="none" w:sz="0" w:space="0" w:color="auto"/>
      </w:divBdr>
    </w:div>
    <w:div w:id="574390220">
      <w:bodyDiv w:val="1"/>
      <w:marLeft w:val="0"/>
      <w:marRight w:val="0"/>
      <w:marTop w:val="0"/>
      <w:marBottom w:val="0"/>
      <w:divBdr>
        <w:top w:val="none" w:sz="0" w:space="0" w:color="auto"/>
        <w:left w:val="none" w:sz="0" w:space="0" w:color="auto"/>
        <w:bottom w:val="none" w:sz="0" w:space="0" w:color="auto"/>
        <w:right w:val="none" w:sz="0" w:space="0" w:color="auto"/>
      </w:divBdr>
    </w:div>
    <w:div w:id="612059298">
      <w:bodyDiv w:val="1"/>
      <w:marLeft w:val="0"/>
      <w:marRight w:val="0"/>
      <w:marTop w:val="0"/>
      <w:marBottom w:val="0"/>
      <w:divBdr>
        <w:top w:val="none" w:sz="0" w:space="0" w:color="auto"/>
        <w:left w:val="none" w:sz="0" w:space="0" w:color="auto"/>
        <w:bottom w:val="none" w:sz="0" w:space="0" w:color="auto"/>
        <w:right w:val="none" w:sz="0" w:space="0" w:color="auto"/>
      </w:divBdr>
    </w:div>
    <w:div w:id="632175059">
      <w:bodyDiv w:val="1"/>
      <w:marLeft w:val="0"/>
      <w:marRight w:val="0"/>
      <w:marTop w:val="0"/>
      <w:marBottom w:val="0"/>
      <w:divBdr>
        <w:top w:val="none" w:sz="0" w:space="0" w:color="auto"/>
        <w:left w:val="none" w:sz="0" w:space="0" w:color="auto"/>
        <w:bottom w:val="none" w:sz="0" w:space="0" w:color="auto"/>
        <w:right w:val="none" w:sz="0" w:space="0" w:color="auto"/>
      </w:divBdr>
    </w:div>
    <w:div w:id="846403432">
      <w:bodyDiv w:val="1"/>
      <w:marLeft w:val="0"/>
      <w:marRight w:val="0"/>
      <w:marTop w:val="0"/>
      <w:marBottom w:val="0"/>
      <w:divBdr>
        <w:top w:val="none" w:sz="0" w:space="0" w:color="auto"/>
        <w:left w:val="none" w:sz="0" w:space="0" w:color="auto"/>
        <w:bottom w:val="none" w:sz="0" w:space="0" w:color="auto"/>
        <w:right w:val="none" w:sz="0" w:space="0" w:color="auto"/>
      </w:divBdr>
    </w:div>
    <w:div w:id="860361524">
      <w:bodyDiv w:val="1"/>
      <w:marLeft w:val="0"/>
      <w:marRight w:val="0"/>
      <w:marTop w:val="0"/>
      <w:marBottom w:val="0"/>
      <w:divBdr>
        <w:top w:val="none" w:sz="0" w:space="0" w:color="auto"/>
        <w:left w:val="none" w:sz="0" w:space="0" w:color="auto"/>
        <w:bottom w:val="none" w:sz="0" w:space="0" w:color="auto"/>
        <w:right w:val="none" w:sz="0" w:space="0" w:color="auto"/>
      </w:divBdr>
    </w:div>
    <w:div w:id="911475214">
      <w:bodyDiv w:val="1"/>
      <w:marLeft w:val="0"/>
      <w:marRight w:val="0"/>
      <w:marTop w:val="0"/>
      <w:marBottom w:val="0"/>
      <w:divBdr>
        <w:top w:val="none" w:sz="0" w:space="0" w:color="auto"/>
        <w:left w:val="none" w:sz="0" w:space="0" w:color="auto"/>
        <w:bottom w:val="none" w:sz="0" w:space="0" w:color="auto"/>
        <w:right w:val="none" w:sz="0" w:space="0" w:color="auto"/>
      </w:divBdr>
    </w:div>
    <w:div w:id="1034385739">
      <w:bodyDiv w:val="1"/>
      <w:marLeft w:val="0"/>
      <w:marRight w:val="0"/>
      <w:marTop w:val="0"/>
      <w:marBottom w:val="0"/>
      <w:divBdr>
        <w:top w:val="none" w:sz="0" w:space="0" w:color="auto"/>
        <w:left w:val="none" w:sz="0" w:space="0" w:color="auto"/>
        <w:bottom w:val="none" w:sz="0" w:space="0" w:color="auto"/>
        <w:right w:val="none" w:sz="0" w:space="0" w:color="auto"/>
      </w:divBdr>
    </w:div>
    <w:div w:id="1164122109">
      <w:bodyDiv w:val="1"/>
      <w:marLeft w:val="0"/>
      <w:marRight w:val="0"/>
      <w:marTop w:val="0"/>
      <w:marBottom w:val="0"/>
      <w:divBdr>
        <w:top w:val="none" w:sz="0" w:space="0" w:color="auto"/>
        <w:left w:val="none" w:sz="0" w:space="0" w:color="auto"/>
        <w:bottom w:val="none" w:sz="0" w:space="0" w:color="auto"/>
        <w:right w:val="none" w:sz="0" w:space="0" w:color="auto"/>
      </w:divBdr>
    </w:div>
    <w:div w:id="1357585263">
      <w:bodyDiv w:val="1"/>
      <w:marLeft w:val="0"/>
      <w:marRight w:val="0"/>
      <w:marTop w:val="0"/>
      <w:marBottom w:val="0"/>
      <w:divBdr>
        <w:top w:val="none" w:sz="0" w:space="0" w:color="auto"/>
        <w:left w:val="none" w:sz="0" w:space="0" w:color="auto"/>
        <w:bottom w:val="none" w:sz="0" w:space="0" w:color="auto"/>
        <w:right w:val="none" w:sz="0" w:space="0" w:color="auto"/>
      </w:divBdr>
    </w:div>
    <w:div w:id="1375425428">
      <w:bodyDiv w:val="1"/>
      <w:marLeft w:val="0"/>
      <w:marRight w:val="0"/>
      <w:marTop w:val="0"/>
      <w:marBottom w:val="0"/>
      <w:divBdr>
        <w:top w:val="none" w:sz="0" w:space="0" w:color="auto"/>
        <w:left w:val="none" w:sz="0" w:space="0" w:color="auto"/>
        <w:bottom w:val="none" w:sz="0" w:space="0" w:color="auto"/>
        <w:right w:val="none" w:sz="0" w:space="0" w:color="auto"/>
      </w:divBdr>
    </w:div>
    <w:div w:id="1497570727">
      <w:bodyDiv w:val="1"/>
      <w:marLeft w:val="0"/>
      <w:marRight w:val="0"/>
      <w:marTop w:val="0"/>
      <w:marBottom w:val="0"/>
      <w:divBdr>
        <w:top w:val="none" w:sz="0" w:space="0" w:color="auto"/>
        <w:left w:val="none" w:sz="0" w:space="0" w:color="auto"/>
        <w:bottom w:val="none" w:sz="0" w:space="0" w:color="auto"/>
        <w:right w:val="none" w:sz="0" w:space="0" w:color="auto"/>
      </w:divBdr>
    </w:div>
    <w:div w:id="1595287252">
      <w:bodyDiv w:val="1"/>
      <w:marLeft w:val="0"/>
      <w:marRight w:val="0"/>
      <w:marTop w:val="0"/>
      <w:marBottom w:val="0"/>
      <w:divBdr>
        <w:top w:val="none" w:sz="0" w:space="0" w:color="auto"/>
        <w:left w:val="none" w:sz="0" w:space="0" w:color="auto"/>
        <w:bottom w:val="none" w:sz="0" w:space="0" w:color="auto"/>
        <w:right w:val="none" w:sz="0" w:space="0" w:color="auto"/>
      </w:divBdr>
    </w:div>
    <w:div w:id="1647320954">
      <w:bodyDiv w:val="1"/>
      <w:marLeft w:val="0"/>
      <w:marRight w:val="0"/>
      <w:marTop w:val="0"/>
      <w:marBottom w:val="0"/>
      <w:divBdr>
        <w:top w:val="none" w:sz="0" w:space="0" w:color="auto"/>
        <w:left w:val="none" w:sz="0" w:space="0" w:color="auto"/>
        <w:bottom w:val="none" w:sz="0" w:space="0" w:color="auto"/>
        <w:right w:val="none" w:sz="0" w:space="0" w:color="auto"/>
      </w:divBdr>
      <w:divsChild>
        <w:div w:id="1690330538">
          <w:marLeft w:val="0"/>
          <w:marRight w:val="0"/>
          <w:marTop w:val="0"/>
          <w:marBottom w:val="0"/>
          <w:divBdr>
            <w:top w:val="none" w:sz="0" w:space="0" w:color="auto"/>
            <w:left w:val="none" w:sz="0" w:space="0" w:color="auto"/>
            <w:bottom w:val="none" w:sz="0" w:space="0" w:color="auto"/>
            <w:right w:val="none" w:sz="0" w:space="0" w:color="auto"/>
          </w:divBdr>
        </w:div>
      </w:divsChild>
    </w:div>
    <w:div w:id="1761675960">
      <w:bodyDiv w:val="1"/>
      <w:marLeft w:val="0"/>
      <w:marRight w:val="0"/>
      <w:marTop w:val="0"/>
      <w:marBottom w:val="0"/>
      <w:divBdr>
        <w:top w:val="none" w:sz="0" w:space="0" w:color="auto"/>
        <w:left w:val="none" w:sz="0" w:space="0" w:color="auto"/>
        <w:bottom w:val="none" w:sz="0" w:space="0" w:color="auto"/>
        <w:right w:val="none" w:sz="0" w:space="0" w:color="auto"/>
      </w:divBdr>
    </w:div>
    <w:div w:id="1774200214">
      <w:bodyDiv w:val="1"/>
      <w:marLeft w:val="0"/>
      <w:marRight w:val="0"/>
      <w:marTop w:val="0"/>
      <w:marBottom w:val="0"/>
      <w:divBdr>
        <w:top w:val="none" w:sz="0" w:space="0" w:color="auto"/>
        <w:left w:val="none" w:sz="0" w:space="0" w:color="auto"/>
        <w:bottom w:val="none" w:sz="0" w:space="0" w:color="auto"/>
        <w:right w:val="none" w:sz="0" w:space="0" w:color="auto"/>
      </w:divBdr>
    </w:div>
    <w:div w:id="1789079934">
      <w:bodyDiv w:val="1"/>
      <w:marLeft w:val="0"/>
      <w:marRight w:val="0"/>
      <w:marTop w:val="0"/>
      <w:marBottom w:val="0"/>
      <w:divBdr>
        <w:top w:val="none" w:sz="0" w:space="0" w:color="auto"/>
        <w:left w:val="none" w:sz="0" w:space="0" w:color="auto"/>
        <w:bottom w:val="none" w:sz="0" w:space="0" w:color="auto"/>
        <w:right w:val="none" w:sz="0" w:space="0" w:color="auto"/>
      </w:divBdr>
    </w:div>
    <w:div w:id="1808082209">
      <w:bodyDiv w:val="1"/>
      <w:marLeft w:val="0"/>
      <w:marRight w:val="0"/>
      <w:marTop w:val="0"/>
      <w:marBottom w:val="0"/>
      <w:divBdr>
        <w:top w:val="none" w:sz="0" w:space="0" w:color="auto"/>
        <w:left w:val="none" w:sz="0" w:space="0" w:color="auto"/>
        <w:bottom w:val="none" w:sz="0" w:space="0" w:color="auto"/>
        <w:right w:val="none" w:sz="0" w:space="0" w:color="auto"/>
      </w:divBdr>
    </w:div>
    <w:div w:id="1849829723">
      <w:bodyDiv w:val="1"/>
      <w:marLeft w:val="0"/>
      <w:marRight w:val="0"/>
      <w:marTop w:val="0"/>
      <w:marBottom w:val="0"/>
      <w:divBdr>
        <w:top w:val="none" w:sz="0" w:space="0" w:color="auto"/>
        <w:left w:val="none" w:sz="0" w:space="0" w:color="auto"/>
        <w:bottom w:val="none" w:sz="0" w:space="0" w:color="auto"/>
        <w:right w:val="none" w:sz="0" w:space="0" w:color="auto"/>
      </w:divBdr>
    </w:div>
    <w:div w:id="1853954809">
      <w:bodyDiv w:val="1"/>
      <w:marLeft w:val="0"/>
      <w:marRight w:val="0"/>
      <w:marTop w:val="0"/>
      <w:marBottom w:val="0"/>
      <w:divBdr>
        <w:top w:val="none" w:sz="0" w:space="0" w:color="auto"/>
        <w:left w:val="none" w:sz="0" w:space="0" w:color="auto"/>
        <w:bottom w:val="none" w:sz="0" w:space="0" w:color="auto"/>
        <w:right w:val="none" w:sz="0" w:space="0" w:color="auto"/>
      </w:divBdr>
    </w:div>
    <w:div w:id="1904020892">
      <w:bodyDiv w:val="1"/>
      <w:marLeft w:val="0"/>
      <w:marRight w:val="0"/>
      <w:marTop w:val="0"/>
      <w:marBottom w:val="0"/>
      <w:divBdr>
        <w:top w:val="none" w:sz="0" w:space="0" w:color="auto"/>
        <w:left w:val="none" w:sz="0" w:space="0" w:color="auto"/>
        <w:bottom w:val="none" w:sz="0" w:space="0" w:color="auto"/>
        <w:right w:val="none" w:sz="0" w:space="0" w:color="auto"/>
      </w:divBdr>
    </w:div>
    <w:div w:id="1931425725">
      <w:bodyDiv w:val="1"/>
      <w:marLeft w:val="0"/>
      <w:marRight w:val="0"/>
      <w:marTop w:val="0"/>
      <w:marBottom w:val="0"/>
      <w:divBdr>
        <w:top w:val="none" w:sz="0" w:space="0" w:color="auto"/>
        <w:left w:val="none" w:sz="0" w:space="0" w:color="auto"/>
        <w:bottom w:val="none" w:sz="0" w:space="0" w:color="auto"/>
        <w:right w:val="none" w:sz="0" w:space="0" w:color="auto"/>
      </w:divBdr>
    </w:div>
    <w:div w:id="1961838235">
      <w:bodyDiv w:val="1"/>
      <w:marLeft w:val="0"/>
      <w:marRight w:val="0"/>
      <w:marTop w:val="0"/>
      <w:marBottom w:val="0"/>
      <w:divBdr>
        <w:top w:val="none" w:sz="0" w:space="0" w:color="auto"/>
        <w:left w:val="none" w:sz="0" w:space="0" w:color="auto"/>
        <w:bottom w:val="none" w:sz="0" w:space="0" w:color="auto"/>
        <w:right w:val="none" w:sz="0" w:space="0" w:color="auto"/>
      </w:divBdr>
    </w:div>
    <w:div w:id="1975325715">
      <w:bodyDiv w:val="1"/>
      <w:marLeft w:val="0"/>
      <w:marRight w:val="0"/>
      <w:marTop w:val="0"/>
      <w:marBottom w:val="0"/>
      <w:divBdr>
        <w:top w:val="none" w:sz="0" w:space="0" w:color="auto"/>
        <w:left w:val="none" w:sz="0" w:space="0" w:color="auto"/>
        <w:bottom w:val="none" w:sz="0" w:space="0" w:color="auto"/>
        <w:right w:val="none" w:sz="0" w:space="0" w:color="auto"/>
      </w:divBdr>
    </w:div>
    <w:div w:id="2004700200">
      <w:bodyDiv w:val="1"/>
      <w:marLeft w:val="0"/>
      <w:marRight w:val="0"/>
      <w:marTop w:val="0"/>
      <w:marBottom w:val="0"/>
      <w:divBdr>
        <w:top w:val="none" w:sz="0" w:space="0" w:color="auto"/>
        <w:left w:val="none" w:sz="0" w:space="0" w:color="auto"/>
        <w:bottom w:val="none" w:sz="0" w:space="0" w:color="auto"/>
        <w:right w:val="none" w:sz="0" w:space="0" w:color="auto"/>
      </w:divBdr>
    </w:div>
    <w:div w:id="2010984947">
      <w:bodyDiv w:val="1"/>
      <w:marLeft w:val="0"/>
      <w:marRight w:val="0"/>
      <w:marTop w:val="0"/>
      <w:marBottom w:val="0"/>
      <w:divBdr>
        <w:top w:val="none" w:sz="0" w:space="0" w:color="auto"/>
        <w:left w:val="none" w:sz="0" w:space="0" w:color="auto"/>
        <w:bottom w:val="none" w:sz="0" w:space="0" w:color="auto"/>
        <w:right w:val="none" w:sz="0" w:space="0" w:color="auto"/>
      </w:divBdr>
    </w:div>
    <w:div w:id="2060863721">
      <w:bodyDiv w:val="1"/>
      <w:marLeft w:val="0"/>
      <w:marRight w:val="0"/>
      <w:marTop w:val="0"/>
      <w:marBottom w:val="0"/>
      <w:divBdr>
        <w:top w:val="none" w:sz="0" w:space="0" w:color="auto"/>
        <w:left w:val="none" w:sz="0" w:space="0" w:color="auto"/>
        <w:bottom w:val="none" w:sz="0" w:space="0" w:color="auto"/>
        <w:right w:val="none" w:sz="0" w:space="0" w:color="auto"/>
      </w:divBdr>
    </w:div>
    <w:div w:id="213047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em.org.mx/es/contenido/datos-personal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B494F5-1F55-4BD8-8A5C-911C72811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28</Pages>
  <Words>7644</Words>
  <Characters>42046</Characters>
  <Application>Microsoft Office Word</Application>
  <DocSecurity>0</DocSecurity>
  <Lines>350</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Oswaldo Hernández</cp:lastModifiedBy>
  <cp:revision>5</cp:revision>
  <cp:lastPrinted>2022-01-12T15:44:00Z</cp:lastPrinted>
  <dcterms:created xsi:type="dcterms:W3CDTF">2022-04-21T18:42:00Z</dcterms:created>
  <dcterms:modified xsi:type="dcterms:W3CDTF">2022-04-28T23:59:00Z</dcterms:modified>
</cp:coreProperties>
</file>