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AA2EAE" w14:textId="67F049FB" w:rsidR="002F2510" w:rsidRPr="00667998" w:rsidRDefault="002F2510" w:rsidP="002F2510">
      <w:pPr>
        <w:shd w:val="clear" w:color="auto" w:fill="FFFFFF"/>
        <w:spacing w:after="0" w:line="360" w:lineRule="auto"/>
        <w:jc w:val="both"/>
        <w:rPr>
          <w:rFonts w:ascii="Palatino Linotype" w:eastAsia="Times New Roman" w:hAnsi="Palatino Linotype" w:cs="Arial"/>
          <w:color w:val="000000"/>
          <w:sz w:val="24"/>
          <w:szCs w:val="24"/>
          <w:lang w:eastAsia="es-MX"/>
        </w:rPr>
      </w:pPr>
      <w:r>
        <w:rPr>
          <w:rFonts w:ascii="Palatino Linotype" w:eastAsia="Times New Roman" w:hAnsi="Palatino Linotype" w:cs="Arial"/>
          <w:color w:val="000000"/>
          <w:sz w:val="24"/>
          <w:szCs w:val="24"/>
          <w:lang w:eastAsia="es-MX"/>
        </w:rPr>
        <w:t xml:space="preserve">                                                                                                                                                                                                                                                                                                                                                                                                                                                                                                                                                                                                                                                                                                                                                                                                                                                                                                                                                                                                                                                                                                                        </w:t>
      </w:r>
      <w:r w:rsidRPr="00667998">
        <w:rPr>
          <w:rFonts w:ascii="Palatino Linotype" w:eastAsia="Times New Roman" w:hAnsi="Palatino Linotype" w:cs="Arial"/>
          <w:color w:val="000000"/>
          <w:sz w:val="24"/>
          <w:szCs w:val="24"/>
          <w:lang w:eastAsia="es-MX"/>
        </w:rPr>
        <w:t xml:space="preserve">Resolución del Pleno del Instituto de Transparencia, Acceso a la Información Pública y Protección de Datos Personales del Estado de México y Municipios, con domicilio en Metepec, Estado de México, a </w:t>
      </w:r>
      <w:r w:rsidR="00B41487">
        <w:rPr>
          <w:rFonts w:ascii="Palatino Linotype" w:eastAsia="Times New Roman" w:hAnsi="Palatino Linotype" w:cs="Arial"/>
          <w:color w:val="000000"/>
          <w:sz w:val="24"/>
          <w:szCs w:val="24"/>
          <w:lang w:eastAsia="es-MX"/>
        </w:rPr>
        <w:t>veinti</w:t>
      </w:r>
      <w:r w:rsidR="00ED53C9">
        <w:rPr>
          <w:rFonts w:ascii="Palatino Linotype" w:eastAsia="Times New Roman" w:hAnsi="Palatino Linotype" w:cs="Arial"/>
          <w:color w:val="000000"/>
          <w:sz w:val="24"/>
          <w:szCs w:val="24"/>
          <w:lang w:eastAsia="es-MX"/>
        </w:rPr>
        <w:t>uno</w:t>
      </w:r>
      <w:r>
        <w:rPr>
          <w:rFonts w:ascii="Palatino Linotype" w:eastAsia="Times New Roman" w:hAnsi="Palatino Linotype" w:cs="Arial"/>
          <w:color w:val="000000"/>
          <w:sz w:val="24"/>
          <w:szCs w:val="24"/>
          <w:lang w:eastAsia="es-MX"/>
        </w:rPr>
        <w:t xml:space="preserve"> de </w:t>
      </w:r>
      <w:r w:rsidR="00B41487">
        <w:rPr>
          <w:rFonts w:ascii="Palatino Linotype" w:eastAsia="Times New Roman" w:hAnsi="Palatino Linotype" w:cs="Arial"/>
          <w:color w:val="000000"/>
          <w:sz w:val="24"/>
          <w:szCs w:val="24"/>
          <w:lang w:eastAsia="es-MX"/>
        </w:rPr>
        <w:t>juni</w:t>
      </w:r>
      <w:r>
        <w:rPr>
          <w:rFonts w:ascii="Palatino Linotype" w:eastAsia="Times New Roman" w:hAnsi="Palatino Linotype" w:cs="Arial"/>
          <w:color w:val="000000"/>
          <w:sz w:val="24"/>
          <w:szCs w:val="24"/>
          <w:lang w:eastAsia="es-MX"/>
        </w:rPr>
        <w:t>o</w:t>
      </w:r>
      <w:r w:rsidRPr="00667998">
        <w:rPr>
          <w:rFonts w:ascii="Palatino Linotype" w:eastAsia="Times New Roman" w:hAnsi="Palatino Linotype" w:cs="Arial"/>
          <w:color w:val="000000"/>
          <w:sz w:val="24"/>
          <w:szCs w:val="24"/>
          <w:lang w:eastAsia="es-MX"/>
        </w:rPr>
        <w:t xml:space="preserve"> de dos mil veint</w:t>
      </w:r>
      <w:r>
        <w:rPr>
          <w:rFonts w:ascii="Palatino Linotype" w:eastAsia="Times New Roman" w:hAnsi="Palatino Linotype" w:cs="Arial"/>
          <w:color w:val="000000"/>
          <w:sz w:val="24"/>
          <w:szCs w:val="24"/>
          <w:lang w:eastAsia="es-MX"/>
        </w:rPr>
        <w:t>idós</w:t>
      </w:r>
      <w:r w:rsidRPr="00667998">
        <w:rPr>
          <w:rFonts w:ascii="Palatino Linotype" w:eastAsia="Times New Roman" w:hAnsi="Palatino Linotype" w:cs="Arial"/>
          <w:color w:val="000000"/>
          <w:sz w:val="24"/>
          <w:szCs w:val="24"/>
          <w:lang w:eastAsia="es-MX"/>
        </w:rPr>
        <w:t>.</w:t>
      </w:r>
    </w:p>
    <w:p w14:paraId="60CD8C32" w14:textId="77777777" w:rsidR="002F2510" w:rsidRPr="00667998" w:rsidRDefault="002F2510" w:rsidP="002F2510">
      <w:pPr>
        <w:shd w:val="clear" w:color="auto" w:fill="FFFFFF"/>
        <w:spacing w:after="0" w:line="360" w:lineRule="auto"/>
        <w:jc w:val="both"/>
        <w:rPr>
          <w:rFonts w:ascii="Palatino Linotype" w:eastAsia="Times New Roman" w:hAnsi="Palatino Linotype" w:cs="Arial"/>
          <w:color w:val="000000"/>
          <w:sz w:val="2"/>
          <w:szCs w:val="24"/>
          <w:lang w:eastAsia="es-MX"/>
        </w:rPr>
      </w:pPr>
    </w:p>
    <w:p w14:paraId="488842D7" w14:textId="77777777" w:rsidR="002F2510" w:rsidRPr="00114247" w:rsidRDefault="002F2510" w:rsidP="002F2510">
      <w:pPr>
        <w:tabs>
          <w:tab w:val="left" w:pos="1701"/>
        </w:tabs>
        <w:spacing w:after="0" w:line="360" w:lineRule="auto"/>
        <w:jc w:val="both"/>
        <w:rPr>
          <w:rFonts w:ascii="Palatino Linotype" w:hAnsi="Palatino Linotype" w:cs="Arial"/>
          <w:b/>
        </w:rPr>
      </w:pPr>
    </w:p>
    <w:p w14:paraId="2E79026E" w14:textId="0A036FC8" w:rsidR="002F2510" w:rsidRPr="00667998" w:rsidRDefault="002F2510" w:rsidP="002F2510">
      <w:pPr>
        <w:tabs>
          <w:tab w:val="left" w:pos="1701"/>
        </w:tabs>
        <w:spacing w:after="0" w:line="360" w:lineRule="auto"/>
        <w:jc w:val="both"/>
        <w:rPr>
          <w:rFonts w:ascii="Palatino Linotype" w:hAnsi="Palatino Linotype" w:cs="Arial"/>
          <w:sz w:val="24"/>
        </w:rPr>
      </w:pPr>
      <w:r w:rsidRPr="00667998">
        <w:rPr>
          <w:rFonts w:ascii="Palatino Linotype" w:hAnsi="Palatino Linotype" w:cs="Arial"/>
          <w:b/>
          <w:sz w:val="24"/>
        </w:rPr>
        <w:t>VISTO</w:t>
      </w:r>
      <w:r w:rsidRPr="00667998">
        <w:rPr>
          <w:rFonts w:ascii="Palatino Linotype" w:hAnsi="Palatino Linotype" w:cs="Arial"/>
          <w:sz w:val="24"/>
        </w:rPr>
        <w:t xml:space="preserve"> el expediente electrónico formado con motivo del recurso de revisión número </w:t>
      </w:r>
      <w:r>
        <w:rPr>
          <w:rFonts w:ascii="Palatino Linotype" w:hAnsi="Palatino Linotype" w:cs="Arial"/>
          <w:b/>
          <w:bCs/>
          <w:sz w:val="24"/>
          <w:lang w:eastAsia="es-MX"/>
        </w:rPr>
        <w:t>05</w:t>
      </w:r>
      <w:r w:rsidR="00B41487">
        <w:rPr>
          <w:rFonts w:ascii="Palatino Linotype" w:hAnsi="Palatino Linotype" w:cs="Arial"/>
          <w:b/>
          <w:bCs/>
          <w:sz w:val="24"/>
          <w:lang w:eastAsia="es-MX"/>
        </w:rPr>
        <w:t>570</w:t>
      </w:r>
      <w:r w:rsidRPr="00667998">
        <w:rPr>
          <w:rFonts w:ascii="Palatino Linotype" w:hAnsi="Palatino Linotype" w:cs="Arial"/>
          <w:b/>
          <w:bCs/>
          <w:sz w:val="24"/>
          <w:lang w:eastAsia="es-MX"/>
        </w:rPr>
        <w:t>/INFOEM/IP/RR/20</w:t>
      </w:r>
      <w:r>
        <w:rPr>
          <w:rFonts w:ascii="Palatino Linotype" w:hAnsi="Palatino Linotype" w:cs="Arial"/>
          <w:b/>
          <w:bCs/>
          <w:sz w:val="24"/>
          <w:lang w:eastAsia="es-MX"/>
        </w:rPr>
        <w:t>22</w:t>
      </w:r>
      <w:r w:rsidRPr="00667998">
        <w:rPr>
          <w:rFonts w:ascii="Palatino Linotype" w:hAnsi="Palatino Linotype" w:cs="Arial"/>
          <w:sz w:val="24"/>
        </w:rPr>
        <w:t xml:space="preserve">, </w:t>
      </w:r>
      <w:r w:rsidRPr="00667998">
        <w:rPr>
          <w:rFonts w:ascii="Palatino Linotype" w:hAnsi="Palatino Linotype" w:cs="Arial"/>
          <w:sz w:val="24"/>
          <w:szCs w:val="24"/>
        </w:rPr>
        <w:t xml:space="preserve">interpuesto </w:t>
      </w:r>
      <w:r w:rsidRPr="000254F0">
        <w:rPr>
          <w:rFonts w:ascii="Palatino Linotype" w:hAnsi="Palatino Linotype" w:cs="Arial"/>
          <w:bCs/>
          <w:sz w:val="24"/>
          <w:szCs w:val="24"/>
        </w:rPr>
        <w:t>por</w:t>
      </w:r>
      <w:r>
        <w:rPr>
          <w:rFonts w:ascii="Palatino Linotype" w:hAnsi="Palatino Linotype" w:cs="Arial"/>
          <w:b/>
          <w:bCs/>
          <w:sz w:val="24"/>
          <w:szCs w:val="24"/>
        </w:rPr>
        <w:t xml:space="preserve"> </w:t>
      </w:r>
      <w:r w:rsidR="00BE5890">
        <w:rPr>
          <w:rFonts w:ascii="Palatino Linotype" w:hAnsi="Palatino Linotype" w:cs="Arial"/>
          <w:b/>
          <w:bCs/>
          <w:sz w:val="24"/>
          <w:szCs w:val="24"/>
        </w:rPr>
        <w:t>XXXXXXXXXXXXXX</w:t>
      </w:r>
      <w:r>
        <w:rPr>
          <w:rFonts w:ascii="Palatino Linotype" w:hAnsi="Palatino Linotype" w:cs="Arial"/>
          <w:b/>
          <w:bCs/>
          <w:sz w:val="24"/>
          <w:szCs w:val="24"/>
        </w:rPr>
        <w:t>,</w:t>
      </w:r>
      <w:r>
        <w:rPr>
          <w:rFonts w:ascii="Palatino Linotype" w:hAnsi="Palatino Linotype" w:cs="Arial"/>
          <w:b/>
          <w:sz w:val="24"/>
          <w:szCs w:val="24"/>
        </w:rPr>
        <w:t xml:space="preserve"> </w:t>
      </w:r>
      <w:r w:rsidRPr="00667998">
        <w:rPr>
          <w:rFonts w:ascii="Palatino Linotype" w:hAnsi="Palatino Linotype" w:cs="Arial"/>
          <w:sz w:val="24"/>
          <w:szCs w:val="24"/>
        </w:rPr>
        <w:t xml:space="preserve">en lo sucesivo </w:t>
      </w:r>
      <w:r>
        <w:rPr>
          <w:rFonts w:ascii="Palatino Linotype" w:hAnsi="Palatino Linotype" w:cs="Arial"/>
          <w:b/>
          <w:bCs/>
          <w:sz w:val="24"/>
          <w:szCs w:val="24"/>
        </w:rPr>
        <w:t xml:space="preserve">la </w:t>
      </w:r>
      <w:r w:rsidRPr="00667998">
        <w:rPr>
          <w:rFonts w:ascii="Palatino Linotype" w:hAnsi="Palatino Linotype" w:cs="Arial"/>
          <w:b/>
          <w:sz w:val="24"/>
          <w:szCs w:val="24"/>
        </w:rPr>
        <w:t>Recurrente</w:t>
      </w:r>
      <w:r w:rsidRPr="00667998">
        <w:rPr>
          <w:rFonts w:ascii="Palatino Linotype" w:hAnsi="Palatino Linotype" w:cs="Arial"/>
          <w:sz w:val="24"/>
          <w:szCs w:val="24"/>
        </w:rPr>
        <w:t xml:space="preserve">, en contra de la respuesta del </w:t>
      </w:r>
      <w:r>
        <w:rPr>
          <w:rFonts w:ascii="Palatino Linotype" w:hAnsi="Palatino Linotype" w:cs="Arial"/>
          <w:b/>
          <w:sz w:val="24"/>
          <w:szCs w:val="24"/>
        </w:rPr>
        <w:t xml:space="preserve">Ayuntamiento de </w:t>
      </w:r>
      <w:r w:rsidR="00B41487">
        <w:rPr>
          <w:rFonts w:ascii="Palatino Linotype" w:hAnsi="Palatino Linotype" w:cs="Arial"/>
          <w:b/>
          <w:sz w:val="24"/>
          <w:szCs w:val="24"/>
        </w:rPr>
        <w:t>Toluca</w:t>
      </w:r>
      <w:r w:rsidRPr="00667998">
        <w:rPr>
          <w:rFonts w:ascii="Palatino Linotype" w:hAnsi="Palatino Linotype" w:cs="Arial"/>
          <w:sz w:val="24"/>
          <w:szCs w:val="24"/>
        </w:rPr>
        <w:t>, en lo subsecuente</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el </w:t>
      </w:r>
      <w:r w:rsidRPr="00667998">
        <w:rPr>
          <w:rFonts w:ascii="Palatino Linotype" w:hAnsi="Palatino Linotype" w:cs="Arial"/>
          <w:b/>
          <w:sz w:val="24"/>
          <w:szCs w:val="24"/>
        </w:rPr>
        <w:t>Sujeto Obligado</w:t>
      </w:r>
      <w:r w:rsidRPr="00667998">
        <w:rPr>
          <w:rFonts w:ascii="Palatino Linotype" w:hAnsi="Palatino Linotype" w:cs="Arial"/>
          <w:sz w:val="24"/>
          <w:szCs w:val="24"/>
        </w:rPr>
        <w:t>,</w:t>
      </w:r>
      <w:r w:rsidRPr="00667998">
        <w:rPr>
          <w:rFonts w:ascii="Palatino Linotype" w:hAnsi="Palatino Linotype" w:cs="Arial"/>
          <w:b/>
          <w:sz w:val="24"/>
          <w:szCs w:val="24"/>
        </w:rPr>
        <w:t xml:space="preserve"> </w:t>
      </w:r>
      <w:r w:rsidRPr="00667998">
        <w:rPr>
          <w:rFonts w:ascii="Palatino Linotype" w:hAnsi="Palatino Linotype" w:cs="Arial"/>
          <w:sz w:val="24"/>
          <w:szCs w:val="24"/>
        </w:rPr>
        <w:t>se procede a</w:t>
      </w:r>
      <w:r w:rsidRPr="00667998">
        <w:rPr>
          <w:rFonts w:ascii="Palatino Linotype" w:hAnsi="Palatino Linotype" w:cs="Arial"/>
          <w:sz w:val="24"/>
        </w:rPr>
        <w:t xml:space="preserve"> dictar la presente resolución.</w:t>
      </w:r>
    </w:p>
    <w:p w14:paraId="735F0502" w14:textId="77777777" w:rsidR="002F2510" w:rsidRPr="004A1460" w:rsidRDefault="002F2510" w:rsidP="002F2510">
      <w:pPr>
        <w:tabs>
          <w:tab w:val="left" w:pos="1701"/>
        </w:tabs>
        <w:spacing w:after="0" w:line="360" w:lineRule="auto"/>
        <w:jc w:val="both"/>
        <w:rPr>
          <w:rFonts w:ascii="Palatino Linotype" w:hAnsi="Palatino Linotype" w:cs="Arial"/>
          <w:sz w:val="24"/>
        </w:rPr>
      </w:pPr>
    </w:p>
    <w:p w14:paraId="1F500FC5" w14:textId="77777777" w:rsidR="002F2510" w:rsidRPr="00667998" w:rsidRDefault="002F2510" w:rsidP="002F2510">
      <w:pPr>
        <w:spacing w:after="0" w:line="360" w:lineRule="auto"/>
        <w:jc w:val="center"/>
        <w:rPr>
          <w:rFonts w:ascii="Palatino Linotype" w:hAnsi="Palatino Linotype"/>
          <w:b/>
          <w:sz w:val="28"/>
        </w:rPr>
      </w:pPr>
      <w:r w:rsidRPr="00667998">
        <w:rPr>
          <w:rFonts w:ascii="Palatino Linotype" w:hAnsi="Palatino Linotype"/>
          <w:b/>
          <w:sz w:val="28"/>
        </w:rPr>
        <w:t>A N T E C E D E N T E S   D E L   A S U N T O</w:t>
      </w:r>
    </w:p>
    <w:p w14:paraId="5D79BDB9" w14:textId="77777777" w:rsidR="002F2510" w:rsidRPr="00667998" w:rsidRDefault="002F2510" w:rsidP="002F2510">
      <w:pPr>
        <w:spacing w:after="0" w:line="360" w:lineRule="auto"/>
        <w:jc w:val="center"/>
        <w:rPr>
          <w:rFonts w:ascii="Palatino Linotype" w:hAnsi="Palatino Linotype"/>
          <w:b/>
          <w:sz w:val="24"/>
        </w:rPr>
      </w:pPr>
    </w:p>
    <w:p w14:paraId="22705526" w14:textId="77777777" w:rsidR="002F2510" w:rsidRPr="00667998" w:rsidRDefault="002F2510" w:rsidP="002F2510">
      <w:pPr>
        <w:spacing w:after="0" w:line="360" w:lineRule="auto"/>
        <w:jc w:val="both"/>
        <w:rPr>
          <w:rFonts w:ascii="Palatino Linotype" w:hAnsi="Palatino Linotype"/>
        </w:rPr>
      </w:pPr>
      <w:r w:rsidRPr="00667998">
        <w:rPr>
          <w:rFonts w:ascii="Palatino Linotype" w:hAnsi="Palatino Linotype" w:cs="Arial"/>
          <w:b/>
          <w:sz w:val="28"/>
        </w:rPr>
        <w:t>PRIMERO.</w:t>
      </w:r>
      <w:r w:rsidRPr="00667998">
        <w:rPr>
          <w:rFonts w:ascii="Palatino Linotype" w:hAnsi="Palatino Linotype" w:cs="Arial"/>
        </w:rPr>
        <w:t xml:space="preserve"> </w:t>
      </w:r>
      <w:r w:rsidRPr="00667998">
        <w:rPr>
          <w:rFonts w:ascii="Palatino Linotype" w:hAnsi="Palatino Linotype"/>
          <w:b/>
          <w:sz w:val="28"/>
          <w:szCs w:val="28"/>
        </w:rPr>
        <w:t>De la Solicitud de Información.</w:t>
      </w:r>
    </w:p>
    <w:p w14:paraId="4A7F5EB5" w14:textId="295CA5E1" w:rsidR="002F2510"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rPr>
        <w:t xml:space="preserve">En fecha </w:t>
      </w:r>
      <w:r w:rsidR="00311EA2">
        <w:rPr>
          <w:rFonts w:ascii="Palatino Linotype" w:hAnsi="Palatino Linotype" w:cs="Arial"/>
          <w:sz w:val="24"/>
        </w:rPr>
        <w:t>catorce</w:t>
      </w:r>
      <w:r>
        <w:rPr>
          <w:rFonts w:ascii="Palatino Linotype" w:hAnsi="Palatino Linotype" w:cs="Arial"/>
          <w:sz w:val="24"/>
        </w:rPr>
        <w:t xml:space="preserve"> </w:t>
      </w:r>
      <w:r w:rsidRPr="00667998">
        <w:rPr>
          <w:rFonts w:ascii="Palatino Linotype" w:hAnsi="Palatino Linotype" w:cs="Arial"/>
          <w:sz w:val="24"/>
        </w:rPr>
        <w:t xml:space="preserve">de </w:t>
      </w:r>
      <w:r w:rsidR="00311EA2">
        <w:rPr>
          <w:rFonts w:ascii="Palatino Linotype" w:hAnsi="Palatino Linotype" w:cs="Arial"/>
          <w:sz w:val="24"/>
        </w:rPr>
        <w:t>marz</w:t>
      </w:r>
      <w:r>
        <w:rPr>
          <w:rFonts w:ascii="Palatino Linotype" w:hAnsi="Palatino Linotype" w:cs="Arial"/>
          <w:sz w:val="24"/>
        </w:rPr>
        <w:t>o</w:t>
      </w:r>
      <w:r w:rsidRPr="00667998">
        <w:rPr>
          <w:rFonts w:ascii="Palatino Linotype" w:hAnsi="Palatino Linotype" w:cs="Arial"/>
          <w:sz w:val="24"/>
        </w:rPr>
        <w:t xml:space="preserve"> de dos mil ve</w:t>
      </w:r>
      <w:r>
        <w:rPr>
          <w:rFonts w:ascii="Palatino Linotype" w:hAnsi="Palatino Linotype" w:cs="Arial"/>
          <w:sz w:val="24"/>
        </w:rPr>
        <w:t>intidós</w:t>
      </w:r>
      <w:r w:rsidRPr="00667998">
        <w:rPr>
          <w:rFonts w:ascii="Palatino Linotype" w:hAnsi="Palatino Linotype" w:cs="Arial"/>
          <w:sz w:val="24"/>
        </w:rPr>
        <w:t xml:space="preserve">, </w:t>
      </w:r>
      <w:r>
        <w:rPr>
          <w:rFonts w:ascii="Palatino Linotype" w:hAnsi="Palatino Linotype" w:cs="Arial"/>
          <w:sz w:val="24"/>
        </w:rPr>
        <w:t xml:space="preserve">la </w:t>
      </w:r>
      <w:r w:rsidRPr="00667998">
        <w:rPr>
          <w:rFonts w:ascii="Palatino Linotype" w:hAnsi="Palatino Linotype" w:cs="Arial"/>
          <w:b/>
          <w:sz w:val="24"/>
        </w:rPr>
        <w:t>Recurrente</w:t>
      </w:r>
      <w:r w:rsidRPr="00667998">
        <w:rPr>
          <w:rFonts w:ascii="Palatino Linotype" w:hAnsi="Palatino Linotype" w:cs="Arial"/>
          <w:sz w:val="24"/>
        </w:rPr>
        <w:t xml:space="preserve">, presentó a través </w:t>
      </w:r>
      <w:r w:rsidR="00311EA2">
        <w:rPr>
          <w:rFonts w:ascii="Palatino Linotype" w:hAnsi="Palatino Linotype" w:cs="Arial"/>
          <w:sz w:val="24"/>
        </w:rPr>
        <w:t>d</w:t>
      </w:r>
      <w:r w:rsidR="00EF0DD4" w:rsidRPr="00717D41">
        <w:rPr>
          <w:rFonts w:ascii="Palatino Linotype" w:hAnsi="Palatino Linotype" w:cs="Arial"/>
          <w:sz w:val="24"/>
          <w:szCs w:val="24"/>
        </w:rPr>
        <w:t>el Sistema de Acce</w:t>
      </w:r>
      <w:r w:rsidR="00EF0DD4">
        <w:rPr>
          <w:rFonts w:ascii="Palatino Linotype" w:hAnsi="Palatino Linotype" w:cs="Arial"/>
          <w:sz w:val="24"/>
          <w:szCs w:val="24"/>
        </w:rPr>
        <w:t>so a la Información Mexiquense (</w:t>
      </w:r>
      <w:r w:rsidR="00EF0DD4" w:rsidRPr="00717D41">
        <w:rPr>
          <w:rFonts w:ascii="Palatino Linotype" w:hAnsi="Palatino Linotype" w:cs="Arial"/>
          <w:b/>
          <w:sz w:val="24"/>
          <w:szCs w:val="24"/>
        </w:rPr>
        <w:t>SAIMEX</w:t>
      </w:r>
      <w:r w:rsidR="00EF0DD4">
        <w:rPr>
          <w:rFonts w:ascii="Palatino Linotype" w:hAnsi="Palatino Linotype" w:cs="Arial"/>
          <w:b/>
          <w:sz w:val="24"/>
          <w:szCs w:val="24"/>
        </w:rPr>
        <w:t>)</w:t>
      </w:r>
      <w:r w:rsidR="00EF0DD4" w:rsidRPr="00717D41">
        <w:rPr>
          <w:rFonts w:ascii="Palatino Linotype" w:hAnsi="Palatino Linotype" w:cs="Arial"/>
          <w:sz w:val="24"/>
          <w:szCs w:val="24"/>
        </w:rPr>
        <w:t>,</w:t>
      </w:r>
      <w:r w:rsidR="00EF0DD4">
        <w:rPr>
          <w:rFonts w:ascii="Palatino Linotype" w:hAnsi="Palatino Linotype" w:cs="Arial"/>
          <w:sz w:val="24"/>
          <w:szCs w:val="24"/>
        </w:rPr>
        <w:t xml:space="preserve"> </w:t>
      </w:r>
      <w:r w:rsidRPr="00667998">
        <w:rPr>
          <w:rFonts w:ascii="Palatino Linotype" w:hAnsi="Palatino Linotype" w:cs="Arial"/>
          <w:sz w:val="24"/>
        </w:rPr>
        <w:t xml:space="preserve">ante el </w:t>
      </w:r>
      <w:r w:rsidRPr="00667998">
        <w:rPr>
          <w:rFonts w:ascii="Palatino Linotype" w:hAnsi="Palatino Linotype" w:cs="Arial"/>
          <w:b/>
          <w:sz w:val="24"/>
        </w:rPr>
        <w:t>Sujeto Obligado</w:t>
      </w:r>
      <w:r w:rsidRPr="00667998">
        <w:rPr>
          <w:rFonts w:ascii="Palatino Linotype" w:hAnsi="Palatino Linotype" w:cs="Arial"/>
          <w:sz w:val="24"/>
        </w:rPr>
        <w:t xml:space="preserve">, la solicitud de acceso a la información pública, a la que se le asignó el número de expediente </w:t>
      </w:r>
      <w:r w:rsidR="00311EA2" w:rsidRPr="00311EA2">
        <w:rPr>
          <w:rFonts w:ascii="Palatino Linotype" w:hAnsi="Palatino Linotype" w:cs="Arial"/>
          <w:b/>
          <w:sz w:val="24"/>
        </w:rPr>
        <w:t>00670/TOLUCA/IP/2022</w:t>
      </w:r>
      <w:r w:rsidRPr="00667998">
        <w:rPr>
          <w:rFonts w:ascii="Palatino Linotype" w:hAnsi="Palatino Linotype" w:cs="Arial"/>
          <w:sz w:val="24"/>
        </w:rPr>
        <w:t>, mediante la cual solicitó lo siguiente:</w:t>
      </w:r>
    </w:p>
    <w:p w14:paraId="13611FAC" w14:textId="77777777" w:rsidR="002F2510" w:rsidRPr="00667998" w:rsidRDefault="002F2510" w:rsidP="002F2510">
      <w:pPr>
        <w:spacing w:after="0" w:line="360" w:lineRule="auto"/>
        <w:jc w:val="both"/>
        <w:rPr>
          <w:rFonts w:ascii="Palatino Linotype" w:hAnsi="Palatino Linotype" w:cs="Arial"/>
          <w:sz w:val="24"/>
        </w:rPr>
      </w:pPr>
    </w:p>
    <w:p w14:paraId="1008BBC4" w14:textId="4CDA38A2" w:rsidR="002F2510" w:rsidRDefault="002F2510" w:rsidP="002F2510">
      <w:pPr>
        <w:spacing w:line="360" w:lineRule="auto"/>
        <w:ind w:left="567"/>
        <w:jc w:val="both"/>
        <w:rPr>
          <w:rFonts w:ascii="Palatino Linotype" w:hAnsi="Palatino Linotype" w:cs="Arial"/>
          <w:i/>
          <w:sz w:val="24"/>
        </w:rPr>
      </w:pPr>
      <w:bookmarkStart w:id="0" w:name="_Hlk82038186"/>
      <w:r w:rsidRPr="00667998">
        <w:rPr>
          <w:rFonts w:ascii="Palatino Linotype" w:hAnsi="Palatino Linotype" w:cs="Arial"/>
          <w:i/>
          <w:sz w:val="24"/>
        </w:rPr>
        <w:t>“</w:t>
      </w:r>
      <w:r w:rsidR="00311EA2" w:rsidRPr="00311EA2">
        <w:rPr>
          <w:rFonts w:ascii="Palatino Linotype" w:hAnsi="Palatino Linotype" w:cs="Arial"/>
          <w:i/>
          <w:sz w:val="24"/>
        </w:rPr>
        <w:t>¿Cuantos monumentos se han limpiado y en donde están ubicados?</w:t>
      </w:r>
      <w:r w:rsidRPr="00667998">
        <w:rPr>
          <w:rFonts w:ascii="Palatino Linotype" w:hAnsi="Palatino Linotype" w:cs="Arial"/>
          <w:i/>
          <w:sz w:val="24"/>
        </w:rPr>
        <w:t>” (Sic).</w:t>
      </w:r>
    </w:p>
    <w:bookmarkEnd w:id="0"/>
    <w:p w14:paraId="3A17FD1C" w14:textId="77777777" w:rsidR="00EF0DD4" w:rsidRDefault="00EF0DD4" w:rsidP="002F2510">
      <w:pPr>
        <w:spacing w:after="0" w:line="360" w:lineRule="auto"/>
        <w:jc w:val="both"/>
        <w:rPr>
          <w:rFonts w:ascii="Palatino Linotype" w:hAnsi="Palatino Linotype" w:cs="Arial"/>
          <w:b/>
          <w:sz w:val="24"/>
        </w:rPr>
      </w:pPr>
    </w:p>
    <w:p w14:paraId="4555E9C6" w14:textId="77777777" w:rsidR="002F2510" w:rsidRDefault="002F2510" w:rsidP="002F2510">
      <w:pPr>
        <w:spacing w:after="0" w:line="360" w:lineRule="auto"/>
        <w:jc w:val="both"/>
        <w:rPr>
          <w:rFonts w:ascii="Palatino Linotype" w:hAnsi="Palatino Linotype" w:cs="Arial"/>
          <w:b/>
          <w:sz w:val="24"/>
        </w:rPr>
      </w:pPr>
      <w:r w:rsidRPr="00667998">
        <w:rPr>
          <w:rFonts w:ascii="Palatino Linotype" w:hAnsi="Palatino Linotype" w:cs="Arial"/>
          <w:b/>
          <w:sz w:val="24"/>
        </w:rPr>
        <w:t xml:space="preserve">MODALIDAD DE ENTREGA: </w:t>
      </w:r>
      <w:r w:rsidRPr="00667998">
        <w:rPr>
          <w:rFonts w:ascii="Palatino Linotype" w:hAnsi="Palatino Linotype" w:cs="Arial"/>
          <w:sz w:val="24"/>
        </w:rPr>
        <w:t>A través del Sistema de Acceso a la Información Mexiquense</w:t>
      </w:r>
      <w:r w:rsidRPr="00667998">
        <w:rPr>
          <w:rFonts w:ascii="Palatino Linotype" w:hAnsi="Palatino Linotype" w:cs="Arial"/>
          <w:b/>
          <w:sz w:val="24"/>
        </w:rPr>
        <w:t xml:space="preserve"> </w:t>
      </w:r>
      <w:r>
        <w:rPr>
          <w:rFonts w:ascii="Palatino Linotype" w:hAnsi="Palatino Linotype" w:cs="Arial"/>
          <w:b/>
          <w:sz w:val="24"/>
        </w:rPr>
        <w:t>(</w:t>
      </w:r>
      <w:r w:rsidRPr="00667998">
        <w:rPr>
          <w:rFonts w:ascii="Palatino Linotype" w:hAnsi="Palatino Linotype" w:cs="Arial"/>
          <w:b/>
          <w:sz w:val="24"/>
        </w:rPr>
        <w:t>SAIMEX</w:t>
      </w:r>
      <w:r>
        <w:rPr>
          <w:rFonts w:ascii="Palatino Linotype" w:hAnsi="Palatino Linotype" w:cs="Arial"/>
          <w:b/>
          <w:sz w:val="24"/>
        </w:rPr>
        <w:t>)</w:t>
      </w:r>
      <w:r w:rsidRPr="00667998">
        <w:rPr>
          <w:rFonts w:ascii="Palatino Linotype" w:hAnsi="Palatino Linotype" w:cs="Arial"/>
          <w:b/>
          <w:sz w:val="24"/>
        </w:rPr>
        <w:t>.</w:t>
      </w:r>
    </w:p>
    <w:p w14:paraId="0BF6192A" w14:textId="77777777" w:rsidR="002F2510" w:rsidRDefault="002F2510" w:rsidP="002F2510">
      <w:pPr>
        <w:spacing w:after="0" w:line="360" w:lineRule="auto"/>
        <w:jc w:val="both"/>
        <w:rPr>
          <w:rFonts w:ascii="Palatino Linotype" w:hAnsi="Palatino Linotype" w:cs="Arial"/>
          <w:b/>
          <w:sz w:val="24"/>
        </w:rPr>
      </w:pPr>
    </w:p>
    <w:p w14:paraId="7F075E3E" w14:textId="77777777" w:rsidR="002F2510" w:rsidRDefault="002F2510" w:rsidP="002F2510">
      <w:pPr>
        <w:spacing w:after="0" w:line="360" w:lineRule="auto"/>
        <w:jc w:val="both"/>
        <w:rPr>
          <w:rFonts w:ascii="Palatino Linotype" w:hAnsi="Palatino Linotype" w:cs="Arial"/>
          <w:b/>
          <w:sz w:val="28"/>
        </w:rPr>
      </w:pPr>
    </w:p>
    <w:p w14:paraId="58B759F2" w14:textId="77777777" w:rsidR="002F2510" w:rsidRDefault="002F2510" w:rsidP="002F2510">
      <w:pPr>
        <w:spacing w:after="0" w:line="360" w:lineRule="auto"/>
        <w:jc w:val="both"/>
        <w:rPr>
          <w:rFonts w:ascii="Palatino Linotype" w:hAnsi="Palatino Linotype" w:cs="Arial"/>
          <w:b/>
          <w:sz w:val="28"/>
        </w:rPr>
      </w:pPr>
      <w:r>
        <w:rPr>
          <w:rFonts w:ascii="Palatino Linotype" w:hAnsi="Palatino Linotype" w:cs="Arial"/>
          <w:b/>
          <w:sz w:val="28"/>
        </w:rPr>
        <w:t>SEGUND</w:t>
      </w:r>
      <w:r w:rsidRPr="004E2A95">
        <w:rPr>
          <w:rFonts w:ascii="Palatino Linotype" w:hAnsi="Palatino Linotype" w:cs="Arial"/>
          <w:b/>
          <w:sz w:val="28"/>
        </w:rPr>
        <w:t xml:space="preserve">O. </w:t>
      </w:r>
      <w:r w:rsidRPr="00165D6E">
        <w:rPr>
          <w:rFonts w:ascii="Palatino Linotype" w:hAnsi="Palatino Linotype" w:cs="Arial"/>
          <w:b/>
          <w:sz w:val="28"/>
          <w:szCs w:val="20"/>
        </w:rPr>
        <w:t>De la</w:t>
      </w:r>
      <w:r>
        <w:rPr>
          <w:rFonts w:ascii="Palatino Linotype" w:hAnsi="Palatino Linotype" w:cs="Arial"/>
          <w:b/>
          <w:sz w:val="28"/>
          <w:szCs w:val="20"/>
        </w:rPr>
        <w:t xml:space="preserve"> </w:t>
      </w:r>
      <w:r w:rsidRPr="00165D6E">
        <w:rPr>
          <w:rFonts w:ascii="Palatino Linotype" w:hAnsi="Palatino Linotype" w:cs="Arial"/>
          <w:b/>
          <w:sz w:val="28"/>
          <w:szCs w:val="20"/>
        </w:rPr>
        <w:t>respuesta</w:t>
      </w:r>
      <w:r>
        <w:rPr>
          <w:rFonts w:ascii="Palatino Linotype" w:hAnsi="Palatino Linotype" w:cs="Arial"/>
          <w:b/>
          <w:sz w:val="28"/>
          <w:szCs w:val="20"/>
        </w:rPr>
        <w:t xml:space="preserve"> del Sujeto Obligado</w:t>
      </w:r>
      <w:r w:rsidRPr="00165D6E">
        <w:rPr>
          <w:rFonts w:ascii="Palatino Linotype" w:hAnsi="Palatino Linotype" w:cs="Arial"/>
          <w:b/>
          <w:sz w:val="28"/>
          <w:szCs w:val="20"/>
        </w:rPr>
        <w:t>.</w:t>
      </w:r>
    </w:p>
    <w:p w14:paraId="0D0288A3" w14:textId="77777777" w:rsidR="002F2510" w:rsidRDefault="002F2510" w:rsidP="002F2510">
      <w:pPr>
        <w:pStyle w:val="Sinespaciado"/>
        <w:spacing w:line="360" w:lineRule="auto"/>
        <w:jc w:val="both"/>
        <w:rPr>
          <w:rFonts w:ascii="Palatino Linotype" w:hAnsi="Palatino Linotype" w:cs="Arial"/>
        </w:rPr>
      </w:pPr>
      <w:r w:rsidRPr="00D67FC4">
        <w:rPr>
          <w:rFonts w:ascii="Palatino Linotype" w:hAnsi="Palatino Linotype"/>
        </w:rPr>
        <w:t xml:space="preserve">De las constancias que obran en </w:t>
      </w:r>
      <w:r>
        <w:rPr>
          <w:rFonts w:ascii="Palatino Linotype" w:hAnsi="Palatino Linotype"/>
        </w:rPr>
        <w:t>el</w:t>
      </w:r>
      <w:r w:rsidRPr="00D67FC4">
        <w:rPr>
          <w:rFonts w:ascii="Palatino Linotype" w:hAnsi="Palatino Linotype"/>
        </w:rPr>
        <w:t xml:space="preserve"> expediente electrónico, </w:t>
      </w:r>
      <w:r>
        <w:rPr>
          <w:rFonts w:ascii="Palatino Linotype" w:hAnsi="Palatino Linotype"/>
        </w:rPr>
        <w:t xml:space="preserve">se advierte </w:t>
      </w:r>
      <w:r w:rsidRPr="00D67FC4">
        <w:rPr>
          <w:rFonts w:ascii="Palatino Linotype" w:hAnsi="Palatino Linotype"/>
        </w:rPr>
        <w:t xml:space="preserve">que el </w:t>
      </w:r>
      <w:r>
        <w:rPr>
          <w:rFonts w:ascii="Palatino Linotype" w:hAnsi="Palatino Linotype" w:cs="Arial"/>
        </w:rPr>
        <w:t xml:space="preserve">día </w:t>
      </w:r>
      <w:r w:rsidR="00AA5083">
        <w:rPr>
          <w:rFonts w:ascii="Palatino Linotype" w:hAnsi="Palatino Linotype" w:cs="Arial"/>
        </w:rPr>
        <w:t>onc</w:t>
      </w:r>
      <w:r>
        <w:rPr>
          <w:rFonts w:ascii="Palatino Linotype" w:hAnsi="Palatino Linotype" w:cs="Arial"/>
        </w:rPr>
        <w:t xml:space="preserve">e de febrero de dos mil veintidós </w:t>
      </w:r>
      <w:r w:rsidRPr="00667998">
        <w:rPr>
          <w:rFonts w:ascii="Palatino Linotype" w:hAnsi="Palatino Linotype" w:cs="Arial"/>
        </w:rPr>
        <w:t xml:space="preserve">el </w:t>
      </w:r>
      <w:r w:rsidRPr="00667998">
        <w:rPr>
          <w:rFonts w:ascii="Palatino Linotype" w:hAnsi="Palatino Linotype" w:cs="Arial"/>
          <w:b/>
        </w:rPr>
        <w:t>Sujeto Obligado</w:t>
      </w:r>
      <w:r w:rsidRPr="00667998">
        <w:rPr>
          <w:rFonts w:ascii="Palatino Linotype" w:hAnsi="Palatino Linotype" w:cs="Arial"/>
        </w:rPr>
        <w:t xml:space="preserve"> </w:t>
      </w:r>
      <w:r>
        <w:rPr>
          <w:rFonts w:ascii="Palatino Linotype" w:hAnsi="Palatino Linotype" w:cs="Arial"/>
        </w:rPr>
        <w:t xml:space="preserve">dio respuesta a la solicitud de información en los siguientes términos: </w:t>
      </w:r>
    </w:p>
    <w:p w14:paraId="35408206" w14:textId="77777777" w:rsidR="002F2510" w:rsidRPr="00E818A5" w:rsidRDefault="002F2510" w:rsidP="002F2510">
      <w:pPr>
        <w:spacing w:after="0" w:line="360" w:lineRule="auto"/>
        <w:jc w:val="both"/>
        <w:rPr>
          <w:rFonts w:ascii="Palatino Linotype" w:hAnsi="Palatino Linotype" w:cs="Arial"/>
          <w:sz w:val="24"/>
        </w:rPr>
      </w:pPr>
    </w:p>
    <w:p w14:paraId="7CCA3848" w14:textId="77777777" w:rsidR="000E228B" w:rsidRPr="000E228B" w:rsidRDefault="002F2510" w:rsidP="000E228B">
      <w:pPr>
        <w:spacing w:after="0" w:line="240" w:lineRule="auto"/>
        <w:ind w:left="567" w:right="567"/>
        <w:jc w:val="both"/>
        <w:rPr>
          <w:rFonts w:ascii="Palatino Linotype" w:hAnsi="Palatino Linotype" w:cs="Arial"/>
          <w:i/>
        </w:rPr>
      </w:pPr>
      <w:r>
        <w:rPr>
          <w:rFonts w:ascii="Palatino Linotype" w:hAnsi="Palatino Linotype" w:cs="Arial"/>
          <w:i/>
        </w:rPr>
        <w:t>“</w:t>
      </w:r>
      <w:r w:rsidR="000E228B" w:rsidRPr="000E228B">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74DE28CD" w14:textId="77777777" w:rsidR="000E228B" w:rsidRPr="000E228B" w:rsidRDefault="000E228B" w:rsidP="000E228B">
      <w:pPr>
        <w:spacing w:after="0" w:line="240" w:lineRule="auto"/>
        <w:ind w:left="567" w:right="567"/>
        <w:jc w:val="both"/>
        <w:rPr>
          <w:rFonts w:ascii="Palatino Linotype" w:hAnsi="Palatino Linotype" w:cs="Arial"/>
          <w:i/>
        </w:rPr>
      </w:pPr>
      <w:r w:rsidRPr="000E228B">
        <w:rPr>
          <w:rFonts w:ascii="Palatino Linotype" w:hAnsi="Palatino Linotype" w:cs="Arial"/>
          <w:i/>
        </w:rPr>
        <w:t>En atención a la solicitud de información número 00670/TOLUCA/IP/2022, me permito adjuntar al presente la respuesta correspondiente. Sin más por el momento, le envío un cordial saludo.</w:t>
      </w:r>
    </w:p>
    <w:p w14:paraId="09D02A0D" w14:textId="77777777" w:rsidR="000E228B" w:rsidRPr="000E228B" w:rsidRDefault="000E228B" w:rsidP="000E228B">
      <w:pPr>
        <w:spacing w:after="0" w:line="240" w:lineRule="auto"/>
        <w:ind w:left="567" w:right="567"/>
        <w:jc w:val="both"/>
        <w:rPr>
          <w:rFonts w:ascii="Palatino Linotype" w:hAnsi="Palatino Linotype" w:cs="Arial"/>
          <w:i/>
        </w:rPr>
      </w:pPr>
      <w:r w:rsidRPr="000E228B">
        <w:rPr>
          <w:rFonts w:ascii="Palatino Linotype" w:hAnsi="Palatino Linotype" w:cs="Arial"/>
          <w:i/>
        </w:rPr>
        <w:t>ATENTAMENTE</w:t>
      </w:r>
    </w:p>
    <w:p w14:paraId="49B83E5C" w14:textId="551C0298" w:rsidR="002F2510" w:rsidRDefault="000E228B" w:rsidP="000E228B">
      <w:pPr>
        <w:spacing w:after="0" w:line="240" w:lineRule="auto"/>
        <w:ind w:left="567" w:right="567"/>
        <w:jc w:val="both"/>
        <w:rPr>
          <w:rFonts w:ascii="Palatino Linotype" w:hAnsi="Palatino Linotype" w:cs="Arial"/>
          <w:i/>
        </w:rPr>
      </w:pPr>
      <w:r w:rsidRPr="000E228B">
        <w:rPr>
          <w:rFonts w:ascii="Palatino Linotype" w:hAnsi="Palatino Linotype" w:cs="Arial"/>
          <w:i/>
        </w:rPr>
        <w:t xml:space="preserve">Lic. Norma Sofía Pérez Martínez </w:t>
      </w:r>
      <w:r w:rsidR="002F2510" w:rsidRPr="00667998">
        <w:rPr>
          <w:rFonts w:ascii="Palatino Linotype" w:hAnsi="Palatino Linotype" w:cs="Arial"/>
          <w:i/>
        </w:rPr>
        <w:t>“(Sic).</w:t>
      </w:r>
    </w:p>
    <w:p w14:paraId="3C3D3A32" w14:textId="77777777" w:rsidR="002F2510" w:rsidRPr="00515DC5" w:rsidRDefault="002F2510" w:rsidP="002F2510">
      <w:pPr>
        <w:spacing w:after="0" w:line="240" w:lineRule="auto"/>
        <w:ind w:right="567"/>
        <w:jc w:val="both"/>
        <w:rPr>
          <w:rFonts w:ascii="Palatino Linotype" w:hAnsi="Palatino Linotype" w:cs="Arial"/>
          <w:i/>
          <w:sz w:val="24"/>
        </w:rPr>
      </w:pPr>
    </w:p>
    <w:p w14:paraId="13EE63C9" w14:textId="77777777" w:rsidR="002F2510" w:rsidRDefault="002F2510" w:rsidP="002F2510">
      <w:pPr>
        <w:spacing w:after="0" w:line="240" w:lineRule="auto"/>
        <w:ind w:right="567"/>
        <w:jc w:val="both"/>
        <w:rPr>
          <w:rFonts w:ascii="Palatino Linotype" w:hAnsi="Palatino Linotype" w:cs="Arial"/>
        </w:rPr>
      </w:pPr>
    </w:p>
    <w:p w14:paraId="3B76E4C5" w14:textId="430CF5B4" w:rsidR="002F2510" w:rsidRDefault="002F2510" w:rsidP="00FF09CB">
      <w:pPr>
        <w:spacing w:after="0" w:line="360" w:lineRule="auto"/>
        <w:jc w:val="both"/>
        <w:rPr>
          <w:rFonts w:ascii="Palatino Linotype" w:hAnsi="Palatino Linotype" w:cs="Arial"/>
          <w:sz w:val="24"/>
          <w:szCs w:val="24"/>
        </w:rPr>
      </w:pPr>
      <w:r>
        <w:rPr>
          <w:rFonts w:ascii="Palatino Linotype" w:hAnsi="Palatino Linotype" w:cs="Arial"/>
          <w:sz w:val="24"/>
          <w:szCs w:val="24"/>
        </w:rPr>
        <w:t>El Sujeto Obligado a</w:t>
      </w:r>
      <w:r w:rsidRPr="006F3258">
        <w:rPr>
          <w:rFonts w:ascii="Palatino Linotype" w:hAnsi="Palatino Linotype" w:cs="Arial"/>
          <w:sz w:val="24"/>
          <w:szCs w:val="24"/>
        </w:rPr>
        <w:t>djunt</w:t>
      </w:r>
      <w:r>
        <w:rPr>
          <w:rFonts w:ascii="Palatino Linotype" w:hAnsi="Palatino Linotype" w:cs="Arial"/>
          <w:sz w:val="24"/>
          <w:szCs w:val="24"/>
        </w:rPr>
        <w:t>ó</w:t>
      </w:r>
      <w:r w:rsidRPr="006F3258">
        <w:rPr>
          <w:rFonts w:ascii="Palatino Linotype" w:hAnsi="Palatino Linotype" w:cs="Arial"/>
          <w:sz w:val="24"/>
          <w:szCs w:val="24"/>
        </w:rPr>
        <w:t xml:space="preserve"> </w:t>
      </w:r>
      <w:bookmarkStart w:id="1" w:name="_Hlk82038214"/>
      <w:r w:rsidR="00AA5083">
        <w:rPr>
          <w:rFonts w:ascii="Palatino Linotype" w:hAnsi="Palatino Linotype" w:cs="Arial"/>
          <w:sz w:val="24"/>
          <w:szCs w:val="24"/>
        </w:rPr>
        <w:t>el</w:t>
      </w:r>
      <w:r w:rsidR="00AA5083" w:rsidRPr="006F3258">
        <w:rPr>
          <w:rFonts w:ascii="Palatino Linotype" w:hAnsi="Palatino Linotype" w:cs="Arial"/>
          <w:sz w:val="24"/>
          <w:szCs w:val="24"/>
        </w:rPr>
        <w:t xml:space="preserve"> archivo electrónico denominado</w:t>
      </w:r>
      <w:r w:rsidRPr="006F3258">
        <w:rPr>
          <w:rFonts w:ascii="Palatino Linotype" w:hAnsi="Palatino Linotype" w:cs="Arial"/>
          <w:sz w:val="24"/>
          <w:szCs w:val="24"/>
        </w:rPr>
        <w:t xml:space="preserve"> </w:t>
      </w:r>
      <w:bookmarkEnd w:id="1"/>
      <w:r>
        <w:rPr>
          <w:rFonts w:ascii="Palatino Linotype" w:hAnsi="Palatino Linotype" w:cs="Arial"/>
          <w:sz w:val="24"/>
          <w:szCs w:val="24"/>
        </w:rPr>
        <w:t>“</w:t>
      </w:r>
      <w:proofErr w:type="spellStart"/>
      <w:r w:rsidR="00FF09CB" w:rsidRPr="00FF09CB">
        <w:rPr>
          <w:rFonts w:ascii="Palatino Linotype" w:hAnsi="Palatino Linotype" w:cs="Arial"/>
          <w:i/>
          <w:sz w:val="24"/>
          <w:szCs w:val="24"/>
        </w:rPr>
        <w:t>Saimex</w:t>
      </w:r>
      <w:proofErr w:type="spellEnd"/>
      <w:r w:rsidR="00FF09CB" w:rsidRPr="00FF09CB">
        <w:rPr>
          <w:rFonts w:ascii="Palatino Linotype" w:hAnsi="Palatino Linotype" w:cs="Arial"/>
          <w:i/>
          <w:sz w:val="24"/>
          <w:szCs w:val="24"/>
        </w:rPr>
        <w:t xml:space="preserve"> 00670.pdf</w:t>
      </w:r>
      <w:r w:rsidR="00FF09CB">
        <w:rPr>
          <w:rFonts w:ascii="Palatino Linotype" w:hAnsi="Palatino Linotype" w:cs="Arial"/>
          <w:i/>
          <w:sz w:val="24"/>
          <w:szCs w:val="24"/>
        </w:rPr>
        <w:t>” y “</w:t>
      </w:r>
      <w:r w:rsidR="00FF09CB" w:rsidRPr="00FF09CB">
        <w:rPr>
          <w:rFonts w:ascii="Palatino Linotype" w:hAnsi="Palatino Linotype" w:cs="Arial"/>
          <w:i/>
          <w:sz w:val="24"/>
          <w:szCs w:val="24"/>
        </w:rPr>
        <w:t>Anexo Servicios Públicos 00670.pdf</w:t>
      </w:r>
      <w:r w:rsidRPr="006F3258">
        <w:rPr>
          <w:rFonts w:ascii="Palatino Linotype" w:hAnsi="Palatino Linotype" w:cs="Arial"/>
          <w:i/>
          <w:sz w:val="24"/>
          <w:szCs w:val="24"/>
        </w:rPr>
        <w:t>”</w:t>
      </w:r>
      <w:r w:rsidRPr="006F3258">
        <w:rPr>
          <w:rFonts w:ascii="Palatino Linotype" w:hAnsi="Palatino Linotype" w:cs="Arial"/>
          <w:sz w:val="24"/>
          <w:szCs w:val="24"/>
        </w:rPr>
        <w:t>; mismo</w:t>
      </w:r>
      <w:r w:rsidR="00FF09CB">
        <w:rPr>
          <w:rFonts w:ascii="Palatino Linotype" w:hAnsi="Palatino Linotype" w:cs="Arial"/>
          <w:sz w:val="24"/>
          <w:szCs w:val="24"/>
        </w:rPr>
        <w:t>s</w:t>
      </w:r>
      <w:r w:rsidRPr="006F3258">
        <w:rPr>
          <w:rFonts w:ascii="Palatino Linotype" w:hAnsi="Palatino Linotype" w:cs="Arial"/>
          <w:sz w:val="24"/>
          <w:szCs w:val="24"/>
        </w:rPr>
        <w:t xml:space="preserve"> que no se reproduce</w:t>
      </w:r>
      <w:r w:rsidR="000E228B">
        <w:rPr>
          <w:rFonts w:ascii="Palatino Linotype" w:hAnsi="Palatino Linotype" w:cs="Arial"/>
          <w:sz w:val="24"/>
          <w:szCs w:val="24"/>
        </w:rPr>
        <w:t>n</w:t>
      </w:r>
      <w:r w:rsidRPr="006F3258">
        <w:rPr>
          <w:rFonts w:ascii="Palatino Linotype" w:hAnsi="Palatino Linotype" w:cs="Arial"/>
          <w:sz w:val="24"/>
          <w:szCs w:val="24"/>
        </w:rPr>
        <w:t xml:space="preserve"> por ser del conocimiento de las partes, sin embargo, será materia de estudio en el </w:t>
      </w:r>
      <w:r w:rsidRPr="006F3258">
        <w:rPr>
          <w:rFonts w:ascii="Palatino Linotype" w:hAnsi="Palatino Linotype" w:cs="Arial"/>
          <w:b/>
          <w:sz w:val="24"/>
          <w:szCs w:val="24"/>
        </w:rPr>
        <w:t>CONSIDERADO</w:t>
      </w:r>
      <w:r w:rsidRPr="006F3258">
        <w:rPr>
          <w:rFonts w:ascii="Palatino Linotype" w:hAnsi="Palatino Linotype" w:cs="Arial"/>
          <w:sz w:val="24"/>
          <w:szCs w:val="24"/>
        </w:rPr>
        <w:t xml:space="preserve"> respectivo.</w:t>
      </w:r>
    </w:p>
    <w:p w14:paraId="5B332FBC" w14:textId="77777777" w:rsidR="002F2510" w:rsidRDefault="002F2510" w:rsidP="002F2510">
      <w:pPr>
        <w:spacing w:after="0" w:line="360" w:lineRule="auto"/>
        <w:jc w:val="both"/>
        <w:rPr>
          <w:rFonts w:ascii="Palatino Linotype" w:hAnsi="Palatino Linotype" w:cs="Arial"/>
          <w:b/>
          <w:sz w:val="28"/>
        </w:rPr>
      </w:pPr>
    </w:p>
    <w:p w14:paraId="55BB14CA" w14:textId="77777777" w:rsidR="002F2510" w:rsidRPr="00667998" w:rsidRDefault="002F2510" w:rsidP="002F2510">
      <w:pPr>
        <w:spacing w:after="0" w:line="360" w:lineRule="auto"/>
        <w:jc w:val="both"/>
        <w:rPr>
          <w:rFonts w:ascii="Palatino Linotype" w:hAnsi="Palatino Linotype" w:cs="Arial"/>
          <w:b/>
          <w:sz w:val="28"/>
        </w:rPr>
      </w:pPr>
      <w:r>
        <w:rPr>
          <w:rFonts w:ascii="Palatino Linotype" w:hAnsi="Palatino Linotype" w:cs="Arial"/>
          <w:b/>
          <w:sz w:val="28"/>
        </w:rPr>
        <w:t>TERCER</w:t>
      </w:r>
      <w:r w:rsidRPr="00667998">
        <w:rPr>
          <w:rFonts w:ascii="Palatino Linotype" w:hAnsi="Palatino Linotype" w:cs="Arial"/>
          <w:b/>
          <w:sz w:val="28"/>
        </w:rPr>
        <w:t xml:space="preserve">O. </w:t>
      </w:r>
      <w:r w:rsidRPr="00667998">
        <w:rPr>
          <w:rFonts w:ascii="Palatino Linotype" w:hAnsi="Palatino Linotype"/>
          <w:b/>
          <w:sz w:val="28"/>
        </w:rPr>
        <w:t>Del recurso de revisión.</w:t>
      </w:r>
    </w:p>
    <w:p w14:paraId="05196CE4" w14:textId="41E797D6" w:rsidR="002F2510"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szCs w:val="24"/>
        </w:rPr>
        <w:t>Inconforme con la respuesta notificada por el</w:t>
      </w:r>
      <w:r w:rsidRPr="00667998">
        <w:rPr>
          <w:rFonts w:ascii="Palatino Linotype" w:hAnsi="Palatino Linotype" w:cs="Arial"/>
          <w:b/>
          <w:sz w:val="24"/>
          <w:szCs w:val="24"/>
        </w:rPr>
        <w:t xml:space="preserve"> Sujeto Obligado</w:t>
      </w:r>
      <w:r w:rsidRPr="00667998">
        <w:rPr>
          <w:rFonts w:ascii="Palatino Linotype" w:hAnsi="Palatino Linotype" w:cs="Arial"/>
          <w:sz w:val="24"/>
          <w:szCs w:val="24"/>
        </w:rPr>
        <w:t xml:space="preserve">, </w:t>
      </w:r>
      <w:r>
        <w:rPr>
          <w:rFonts w:ascii="Palatino Linotype" w:hAnsi="Palatino Linotype" w:cs="Arial"/>
          <w:sz w:val="24"/>
          <w:szCs w:val="24"/>
        </w:rPr>
        <w:t xml:space="preserve">la </w:t>
      </w:r>
      <w:r w:rsidRPr="00667998">
        <w:rPr>
          <w:rFonts w:ascii="Palatino Linotype" w:hAnsi="Palatino Linotype" w:cs="Arial"/>
          <w:b/>
          <w:sz w:val="24"/>
          <w:szCs w:val="24"/>
        </w:rPr>
        <w:t xml:space="preserve">Recurrente </w:t>
      </w:r>
      <w:r w:rsidRPr="00667998">
        <w:rPr>
          <w:rFonts w:ascii="Palatino Linotype" w:hAnsi="Palatino Linotype" w:cs="Arial"/>
          <w:sz w:val="24"/>
          <w:szCs w:val="24"/>
        </w:rPr>
        <w:t>interpuso el presente recurso de revisión, en fecha</w:t>
      </w:r>
      <w:r>
        <w:rPr>
          <w:rFonts w:ascii="Palatino Linotype" w:hAnsi="Palatino Linotype" w:cs="Arial"/>
          <w:sz w:val="24"/>
          <w:szCs w:val="24"/>
        </w:rPr>
        <w:t xml:space="preserve"> </w:t>
      </w:r>
      <w:r w:rsidR="00AA5083">
        <w:rPr>
          <w:rFonts w:ascii="Palatino Linotype" w:hAnsi="Palatino Linotype" w:cs="Arial"/>
          <w:sz w:val="24"/>
          <w:szCs w:val="24"/>
        </w:rPr>
        <w:t>tres</w:t>
      </w:r>
      <w:r>
        <w:rPr>
          <w:rFonts w:ascii="Palatino Linotype" w:hAnsi="Palatino Linotype" w:cs="Arial"/>
          <w:sz w:val="24"/>
          <w:szCs w:val="24"/>
        </w:rPr>
        <w:t xml:space="preserve"> de </w:t>
      </w:r>
      <w:r w:rsidR="00AA5083">
        <w:rPr>
          <w:rFonts w:ascii="Palatino Linotype" w:hAnsi="Palatino Linotype" w:cs="Arial"/>
          <w:sz w:val="24"/>
          <w:szCs w:val="24"/>
        </w:rPr>
        <w:t>marz</w:t>
      </w:r>
      <w:r>
        <w:rPr>
          <w:rFonts w:ascii="Palatino Linotype" w:hAnsi="Palatino Linotype" w:cs="Arial"/>
          <w:sz w:val="24"/>
          <w:szCs w:val="24"/>
        </w:rPr>
        <w:t>o</w:t>
      </w:r>
      <w:r w:rsidRPr="00667998">
        <w:rPr>
          <w:rFonts w:ascii="Palatino Linotype" w:hAnsi="Palatino Linotype" w:cs="Arial"/>
          <w:sz w:val="24"/>
          <w:szCs w:val="24"/>
        </w:rPr>
        <w:t xml:space="preserve"> de dos mil </w:t>
      </w:r>
      <w:r>
        <w:rPr>
          <w:rFonts w:ascii="Palatino Linotype" w:hAnsi="Palatino Linotype" w:cs="Arial"/>
          <w:sz w:val="24"/>
          <w:szCs w:val="24"/>
        </w:rPr>
        <w:t>veintidós</w:t>
      </w:r>
      <w:r w:rsidRPr="00667998">
        <w:rPr>
          <w:rFonts w:ascii="Palatino Linotype" w:hAnsi="Palatino Linotype" w:cs="Arial"/>
          <w:sz w:val="24"/>
          <w:szCs w:val="24"/>
        </w:rPr>
        <w:t>, el cual fue registrado</w:t>
      </w:r>
      <w:r w:rsidRPr="00667998">
        <w:rPr>
          <w:rFonts w:ascii="Palatino Linotype" w:hAnsi="Palatino Linotype" w:cs="Arial"/>
          <w:b/>
          <w:sz w:val="24"/>
          <w:szCs w:val="24"/>
        </w:rPr>
        <w:t xml:space="preserve"> </w:t>
      </w:r>
      <w:r w:rsidRPr="00667998">
        <w:rPr>
          <w:rFonts w:ascii="Palatino Linotype" w:hAnsi="Palatino Linotype" w:cs="Arial"/>
          <w:sz w:val="24"/>
          <w:szCs w:val="24"/>
        </w:rPr>
        <w:t xml:space="preserve">en el sistema electrónico con el expediente número </w:t>
      </w:r>
      <w:r>
        <w:rPr>
          <w:rFonts w:ascii="Palatino Linotype" w:hAnsi="Palatino Linotype" w:cs="Arial"/>
          <w:b/>
          <w:bCs/>
          <w:sz w:val="24"/>
          <w:szCs w:val="24"/>
          <w:lang w:eastAsia="es-MX"/>
        </w:rPr>
        <w:t>0</w:t>
      </w:r>
      <w:r w:rsidR="00ED53C9">
        <w:rPr>
          <w:rFonts w:ascii="Palatino Linotype" w:hAnsi="Palatino Linotype" w:cs="Arial"/>
          <w:b/>
          <w:bCs/>
          <w:sz w:val="24"/>
          <w:szCs w:val="24"/>
          <w:lang w:eastAsia="es-MX"/>
        </w:rPr>
        <w:t>5</w:t>
      </w:r>
      <w:r>
        <w:rPr>
          <w:rFonts w:ascii="Palatino Linotype" w:hAnsi="Palatino Linotype" w:cs="Arial"/>
          <w:b/>
          <w:bCs/>
          <w:sz w:val="24"/>
          <w:szCs w:val="24"/>
          <w:lang w:eastAsia="es-MX"/>
        </w:rPr>
        <w:t>5</w:t>
      </w:r>
      <w:r w:rsidR="00ED53C9">
        <w:rPr>
          <w:rFonts w:ascii="Palatino Linotype" w:hAnsi="Palatino Linotype" w:cs="Arial"/>
          <w:b/>
          <w:bCs/>
          <w:sz w:val="24"/>
          <w:szCs w:val="24"/>
          <w:lang w:eastAsia="es-MX"/>
        </w:rPr>
        <w:t>70</w:t>
      </w:r>
      <w:r w:rsidRPr="00667998">
        <w:rPr>
          <w:rFonts w:ascii="Palatino Linotype" w:hAnsi="Palatino Linotype" w:cs="Arial"/>
          <w:b/>
          <w:bCs/>
          <w:sz w:val="24"/>
          <w:szCs w:val="24"/>
          <w:lang w:eastAsia="es-MX"/>
        </w:rPr>
        <w:t>/INFOEM/IP/RR/20</w:t>
      </w:r>
      <w:r>
        <w:rPr>
          <w:rFonts w:ascii="Palatino Linotype" w:hAnsi="Palatino Linotype" w:cs="Arial"/>
          <w:b/>
          <w:bCs/>
          <w:sz w:val="24"/>
          <w:szCs w:val="24"/>
          <w:lang w:eastAsia="es-MX"/>
        </w:rPr>
        <w:t>22</w:t>
      </w:r>
      <w:r w:rsidRPr="00667998">
        <w:rPr>
          <w:rFonts w:ascii="Palatino Linotype" w:hAnsi="Palatino Linotype" w:cs="Arial"/>
          <w:sz w:val="24"/>
          <w:szCs w:val="24"/>
        </w:rPr>
        <w:t xml:space="preserve">, en el cual </w:t>
      </w:r>
      <w:r w:rsidRPr="00667998">
        <w:rPr>
          <w:rFonts w:ascii="Palatino Linotype" w:hAnsi="Palatino Linotype" w:cs="Arial"/>
          <w:sz w:val="24"/>
        </w:rPr>
        <w:t>arguye, las siguientes manifestaciones:</w:t>
      </w:r>
    </w:p>
    <w:p w14:paraId="3B7322B2" w14:textId="77777777" w:rsidR="002F2510" w:rsidRDefault="002F2510" w:rsidP="002F2510">
      <w:pPr>
        <w:spacing w:after="0" w:line="360" w:lineRule="auto"/>
        <w:jc w:val="both"/>
        <w:rPr>
          <w:rFonts w:ascii="Palatino Linotype" w:hAnsi="Palatino Linotype" w:cs="Arial"/>
          <w:sz w:val="24"/>
        </w:rPr>
      </w:pPr>
    </w:p>
    <w:p w14:paraId="4B06E586" w14:textId="77777777" w:rsidR="002F2510" w:rsidRPr="00667998" w:rsidRDefault="002F2510" w:rsidP="002F2510">
      <w:pPr>
        <w:pStyle w:val="Prrafodelista"/>
        <w:numPr>
          <w:ilvl w:val="0"/>
          <w:numId w:val="1"/>
        </w:numPr>
        <w:jc w:val="both"/>
        <w:rPr>
          <w:rFonts w:ascii="Palatino Linotype" w:hAnsi="Palatino Linotype" w:cs="Arial"/>
          <w:b/>
        </w:rPr>
      </w:pPr>
      <w:r w:rsidRPr="00667998">
        <w:rPr>
          <w:rFonts w:ascii="Palatino Linotype" w:hAnsi="Palatino Linotype" w:cs="Arial"/>
          <w:b/>
        </w:rPr>
        <w:lastRenderedPageBreak/>
        <w:t>Acto Impugnado:</w:t>
      </w:r>
    </w:p>
    <w:p w14:paraId="62A01DDE" w14:textId="79BC24ED" w:rsidR="002F2510" w:rsidRDefault="002F2510" w:rsidP="002F2510">
      <w:pPr>
        <w:tabs>
          <w:tab w:val="left" w:pos="8364"/>
        </w:tabs>
        <w:spacing w:after="0" w:line="240" w:lineRule="auto"/>
        <w:ind w:left="851" w:right="851"/>
        <w:jc w:val="both"/>
        <w:rPr>
          <w:rFonts w:ascii="Palatino Linotype" w:hAnsi="Palatino Linotype" w:cs="Arial"/>
          <w:i/>
        </w:rPr>
      </w:pPr>
      <w:r w:rsidRPr="00667998">
        <w:rPr>
          <w:rFonts w:ascii="Palatino Linotype" w:hAnsi="Palatino Linotype" w:cs="Arial"/>
          <w:i/>
        </w:rPr>
        <w:t>“</w:t>
      </w:r>
      <w:r w:rsidR="00104D32" w:rsidRPr="00104D32">
        <w:rPr>
          <w:rFonts w:ascii="Palatino Linotype" w:hAnsi="Palatino Linotype" w:cs="Arial"/>
          <w:i/>
        </w:rPr>
        <w:t>LA RESPUESTA PROPORCIONADA</w:t>
      </w:r>
      <w:r w:rsidRPr="00667998">
        <w:rPr>
          <w:rFonts w:ascii="Palatino Linotype" w:hAnsi="Palatino Linotype" w:cs="Arial"/>
          <w:i/>
        </w:rPr>
        <w:t>” [Sic].</w:t>
      </w:r>
    </w:p>
    <w:p w14:paraId="33A6C5D6" w14:textId="77777777" w:rsidR="002F2510" w:rsidRDefault="002F2510" w:rsidP="002F2510">
      <w:pPr>
        <w:spacing w:after="0" w:line="240" w:lineRule="auto"/>
        <w:ind w:left="851" w:right="851"/>
        <w:jc w:val="both"/>
        <w:rPr>
          <w:rFonts w:ascii="Palatino Linotype" w:hAnsi="Palatino Linotype" w:cs="Arial"/>
          <w:i/>
          <w:sz w:val="24"/>
        </w:rPr>
      </w:pPr>
    </w:p>
    <w:p w14:paraId="200063B5" w14:textId="77777777" w:rsidR="002F2510" w:rsidRPr="00FD749E" w:rsidRDefault="002F2510" w:rsidP="002F2510">
      <w:pPr>
        <w:spacing w:after="0" w:line="240" w:lineRule="auto"/>
        <w:ind w:left="851" w:right="851"/>
        <w:jc w:val="both"/>
        <w:rPr>
          <w:rFonts w:ascii="Palatino Linotype" w:hAnsi="Palatino Linotype" w:cs="Arial"/>
          <w:i/>
          <w:sz w:val="24"/>
        </w:rPr>
      </w:pPr>
    </w:p>
    <w:p w14:paraId="49FDDCBD" w14:textId="77777777" w:rsidR="002F2510" w:rsidRPr="00667998" w:rsidRDefault="002F2510" w:rsidP="002F2510">
      <w:pPr>
        <w:pStyle w:val="Prrafodelista"/>
        <w:numPr>
          <w:ilvl w:val="0"/>
          <w:numId w:val="1"/>
        </w:numPr>
        <w:jc w:val="both"/>
        <w:rPr>
          <w:rFonts w:ascii="Palatino Linotype" w:hAnsi="Palatino Linotype" w:cs="Arial"/>
        </w:rPr>
      </w:pPr>
      <w:r w:rsidRPr="00667998">
        <w:rPr>
          <w:rFonts w:ascii="Palatino Linotype" w:hAnsi="Palatino Linotype" w:cs="Arial"/>
          <w:b/>
        </w:rPr>
        <w:t>Razones o Motivos de Inconformidad</w:t>
      </w:r>
      <w:r w:rsidRPr="00667998">
        <w:rPr>
          <w:rFonts w:ascii="Palatino Linotype" w:hAnsi="Palatino Linotype" w:cs="Arial"/>
        </w:rPr>
        <w:t xml:space="preserve">: </w:t>
      </w:r>
    </w:p>
    <w:p w14:paraId="2B0A0B2A" w14:textId="504AD128" w:rsidR="002F2510" w:rsidRPr="00104D32" w:rsidRDefault="00104D32" w:rsidP="00104D32">
      <w:pPr>
        <w:pStyle w:val="Sinespaciado"/>
        <w:spacing w:line="360" w:lineRule="auto"/>
        <w:ind w:left="709" w:right="567"/>
        <w:jc w:val="both"/>
        <w:rPr>
          <w:rFonts w:ascii="Palatino Linotype" w:hAnsi="Palatino Linotype"/>
          <w:i/>
          <w:iCs/>
          <w:sz w:val="22"/>
          <w:szCs w:val="22"/>
        </w:rPr>
      </w:pPr>
      <w:r>
        <w:rPr>
          <w:rFonts w:ascii="Palatino Linotype" w:hAnsi="Palatino Linotype"/>
          <w:i/>
          <w:iCs/>
          <w:sz w:val="22"/>
          <w:szCs w:val="22"/>
        </w:rPr>
        <w:t>“</w:t>
      </w:r>
      <w:r w:rsidRPr="00104D32">
        <w:rPr>
          <w:rFonts w:ascii="Palatino Linotype" w:hAnsi="Palatino Linotype"/>
          <w:i/>
          <w:iCs/>
          <w:sz w:val="22"/>
          <w:szCs w:val="22"/>
        </w:rPr>
        <w:t>SE CONTRADICEN LA RESPUESTA, PRIMERO LA TITULAR DE LA UNIDAD DE TRANSPARENCIA NORMA PEREZ ME DICE QUE NO TIENE LA INFORMACION Y DESPUES ANEXAN UN DOCUMENTO CON INFORMACION DE SERVICIOS PUBLICOS EN DONDE ENLISTA LOS MONUMENTOS. PONGANSE DE ACUERDO</w:t>
      </w:r>
      <w:r>
        <w:rPr>
          <w:rFonts w:ascii="Palatino Linotype" w:hAnsi="Palatino Linotype"/>
          <w:i/>
          <w:iCs/>
          <w:sz w:val="22"/>
          <w:szCs w:val="22"/>
        </w:rPr>
        <w:t>”</w:t>
      </w:r>
      <w:r w:rsidRPr="00104D32">
        <w:rPr>
          <w:rFonts w:ascii="Palatino Linotype" w:hAnsi="Palatino Linotype" w:cs="Arial"/>
          <w:i/>
        </w:rPr>
        <w:t xml:space="preserve"> </w:t>
      </w:r>
      <w:r w:rsidRPr="00667998">
        <w:rPr>
          <w:rFonts w:ascii="Palatino Linotype" w:hAnsi="Palatino Linotype" w:cs="Arial"/>
          <w:i/>
        </w:rPr>
        <w:t>[Sic].</w:t>
      </w:r>
    </w:p>
    <w:p w14:paraId="3B5B0F31" w14:textId="77777777" w:rsidR="002F2510" w:rsidRDefault="002F2510" w:rsidP="002F2510">
      <w:pPr>
        <w:spacing w:after="0" w:line="360" w:lineRule="auto"/>
        <w:jc w:val="both"/>
        <w:rPr>
          <w:rFonts w:ascii="Palatino Linotype" w:hAnsi="Palatino Linotype" w:cs="Arial"/>
          <w:bCs/>
          <w:sz w:val="24"/>
        </w:rPr>
      </w:pPr>
    </w:p>
    <w:p w14:paraId="7CB3DD7B" w14:textId="77777777" w:rsidR="002F2510" w:rsidRPr="00667998" w:rsidRDefault="002F2510" w:rsidP="002F2510">
      <w:pPr>
        <w:spacing w:after="0" w:line="360" w:lineRule="auto"/>
        <w:jc w:val="both"/>
        <w:rPr>
          <w:rFonts w:ascii="Palatino Linotype" w:hAnsi="Palatino Linotype" w:cs="Arial"/>
          <w:b/>
          <w:sz w:val="24"/>
          <w:szCs w:val="24"/>
        </w:rPr>
      </w:pPr>
      <w:r>
        <w:rPr>
          <w:rFonts w:ascii="Palatino Linotype" w:hAnsi="Palatino Linotype" w:cs="Arial"/>
          <w:b/>
          <w:sz w:val="28"/>
        </w:rPr>
        <w:t>CUAR</w:t>
      </w:r>
      <w:r w:rsidRPr="00667998">
        <w:rPr>
          <w:rFonts w:ascii="Palatino Linotype" w:hAnsi="Palatino Linotype" w:cs="Arial"/>
          <w:b/>
          <w:sz w:val="28"/>
        </w:rPr>
        <w:t>TO</w:t>
      </w:r>
      <w:r w:rsidRPr="00667998">
        <w:rPr>
          <w:rFonts w:ascii="Palatino Linotype" w:hAnsi="Palatino Linotype" w:cs="Arial"/>
          <w:b/>
          <w:sz w:val="24"/>
          <w:szCs w:val="24"/>
        </w:rPr>
        <w:t xml:space="preserve">. </w:t>
      </w:r>
      <w:r w:rsidRPr="00667998">
        <w:rPr>
          <w:rFonts w:ascii="Palatino Linotype" w:hAnsi="Palatino Linotype" w:cs="Arial"/>
          <w:b/>
          <w:sz w:val="28"/>
          <w:szCs w:val="28"/>
        </w:rPr>
        <w:t>Del turno del recurso de revisión.</w:t>
      </w:r>
    </w:p>
    <w:p w14:paraId="1B44B51E" w14:textId="732CDB81" w:rsidR="002F2510" w:rsidRPr="00667998" w:rsidRDefault="002F2510" w:rsidP="002F251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El medio de impugnación le fue turnado al Comisionad</w:t>
      </w:r>
      <w:r>
        <w:rPr>
          <w:rFonts w:ascii="Palatino Linotype" w:hAnsi="Palatino Linotype" w:cs="Arial"/>
          <w:sz w:val="24"/>
          <w:szCs w:val="24"/>
        </w:rPr>
        <w:t>o</w:t>
      </w:r>
      <w:r w:rsidRPr="00667998">
        <w:rPr>
          <w:rFonts w:ascii="Palatino Linotype" w:hAnsi="Palatino Linotype" w:cs="Arial"/>
          <w:sz w:val="24"/>
          <w:szCs w:val="24"/>
        </w:rPr>
        <w:t xml:space="preserve"> President</w:t>
      </w:r>
      <w:r>
        <w:rPr>
          <w:rFonts w:ascii="Palatino Linotype" w:hAnsi="Palatino Linotype" w:cs="Arial"/>
          <w:sz w:val="24"/>
          <w:szCs w:val="24"/>
        </w:rPr>
        <w:t>e</w:t>
      </w:r>
      <w:r w:rsidRPr="00667998">
        <w:rPr>
          <w:rFonts w:ascii="Palatino Linotype" w:hAnsi="Palatino Linotype" w:cs="Arial"/>
          <w:sz w:val="24"/>
          <w:szCs w:val="24"/>
        </w:rPr>
        <w:t xml:space="preserve"> </w:t>
      </w:r>
      <w:r>
        <w:rPr>
          <w:rFonts w:ascii="Palatino Linotype" w:hAnsi="Palatino Linotype" w:cs="Arial"/>
          <w:b/>
          <w:sz w:val="24"/>
          <w:szCs w:val="24"/>
        </w:rPr>
        <w:t>José</w:t>
      </w:r>
      <w:r w:rsidRPr="00667998">
        <w:rPr>
          <w:rFonts w:ascii="Palatino Linotype" w:hAnsi="Palatino Linotype" w:cs="Arial"/>
          <w:b/>
          <w:sz w:val="24"/>
          <w:szCs w:val="24"/>
        </w:rPr>
        <w:t xml:space="preserve"> Martínez </w:t>
      </w:r>
      <w:r>
        <w:rPr>
          <w:rFonts w:ascii="Palatino Linotype" w:hAnsi="Palatino Linotype" w:cs="Arial"/>
          <w:b/>
          <w:sz w:val="24"/>
          <w:szCs w:val="24"/>
        </w:rPr>
        <w:t>Vilchis</w:t>
      </w:r>
      <w:r w:rsidRPr="00667998">
        <w:rPr>
          <w:rFonts w:ascii="Palatino Linotype" w:hAnsi="Palatino Linotype" w:cs="Arial"/>
          <w:sz w:val="24"/>
          <w:szCs w:val="24"/>
        </w:rPr>
        <w:t xml:space="preserve">, por medio del sistema electrónico en términos del arábigo 185, fracción I, de la Ley de Transparencia y Acceso a la información Pública del Estado de México y Municipios, del cual recayó el acuerdo de admisión en fecha </w:t>
      </w:r>
      <w:r w:rsidR="001E55D9">
        <w:rPr>
          <w:rFonts w:ascii="Palatino Linotype" w:hAnsi="Palatino Linotype" w:cs="Arial"/>
          <w:sz w:val="24"/>
          <w:szCs w:val="24"/>
        </w:rPr>
        <w:t>dieciocho</w:t>
      </w:r>
      <w:r w:rsidRPr="00141144">
        <w:rPr>
          <w:rFonts w:ascii="Palatino Linotype" w:hAnsi="Palatino Linotype" w:cs="Arial"/>
          <w:sz w:val="24"/>
          <w:szCs w:val="24"/>
        </w:rPr>
        <w:t xml:space="preserve"> de </w:t>
      </w:r>
      <w:r w:rsidR="001E55D9">
        <w:rPr>
          <w:rFonts w:ascii="Palatino Linotype" w:hAnsi="Palatino Linotype" w:cs="Arial"/>
          <w:sz w:val="24"/>
          <w:szCs w:val="24"/>
        </w:rPr>
        <w:t>abril</w:t>
      </w:r>
      <w:r w:rsidRPr="00141144">
        <w:rPr>
          <w:rFonts w:ascii="Palatino Linotype" w:hAnsi="Palatino Linotype" w:cs="Arial"/>
          <w:sz w:val="24"/>
          <w:szCs w:val="24"/>
        </w:rPr>
        <w:t xml:space="preserve"> del año dos mil veinti</w:t>
      </w:r>
      <w:r>
        <w:rPr>
          <w:rFonts w:ascii="Palatino Linotype" w:hAnsi="Palatino Linotype" w:cs="Arial"/>
          <w:sz w:val="24"/>
          <w:szCs w:val="24"/>
        </w:rPr>
        <w:t>dós</w:t>
      </w:r>
      <w:r w:rsidRPr="00141144">
        <w:rPr>
          <w:rFonts w:ascii="Palatino Linotype" w:hAnsi="Palatino Linotype" w:cs="Arial"/>
          <w:sz w:val="24"/>
          <w:szCs w:val="24"/>
        </w:rPr>
        <w:t>,</w:t>
      </w:r>
      <w:r w:rsidRPr="00667998">
        <w:rPr>
          <w:rFonts w:ascii="Palatino Linotype" w:hAnsi="Palatino Linotype" w:cs="Arial"/>
          <w:sz w:val="24"/>
          <w:szCs w:val="24"/>
        </w:rPr>
        <w:t xml:space="preserve"> determinándose en él, un plazo de siete días para que las partes manifestaran lo que a su derecho corresponda en términos del numeral ya citado.</w:t>
      </w:r>
    </w:p>
    <w:p w14:paraId="35E4F613" w14:textId="77777777" w:rsidR="002F2510" w:rsidRPr="00667998" w:rsidRDefault="002F2510" w:rsidP="002F2510">
      <w:pPr>
        <w:spacing w:after="0" w:line="360" w:lineRule="auto"/>
        <w:jc w:val="both"/>
        <w:rPr>
          <w:rFonts w:ascii="Palatino Linotype" w:hAnsi="Palatino Linotype" w:cs="Arial"/>
          <w:sz w:val="24"/>
          <w:szCs w:val="24"/>
        </w:rPr>
      </w:pPr>
    </w:p>
    <w:p w14:paraId="2BC0F6E5" w14:textId="77777777" w:rsidR="002F2510" w:rsidRPr="00667998" w:rsidRDefault="002F2510" w:rsidP="002F2510">
      <w:pPr>
        <w:spacing w:after="0" w:line="360" w:lineRule="auto"/>
        <w:jc w:val="both"/>
        <w:rPr>
          <w:rFonts w:ascii="Palatino Linotype" w:hAnsi="Palatino Linotype" w:cs="Arial"/>
          <w:b/>
          <w:sz w:val="28"/>
          <w:szCs w:val="28"/>
        </w:rPr>
      </w:pPr>
      <w:r>
        <w:rPr>
          <w:rFonts w:ascii="Palatino Linotype" w:hAnsi="Palatino Linotype" w:cs="Arial"/>
          <w:b/>
          <w:sz w:val="28"/>
        </w:rPr>
        <w:t>QUIN</w:t>
      </w:r>
      <w:r w:rsidRPr="00667998">
        <w:rPr>
          <w:rFonts w:ascii="Palatino Linotype" w:hAnsi="Palatino Linotype" w:cs="Arial"/>
          <w:b/>
          <w:sz w:val="28"/>
        </w:rPr>
        <w:t xml:space="preserve">TO. </w:t>
      </w:r>
      <w:r w:rsidRPr="00667998">
        <w:rPr>
          <w:rFonts w:ascii="Palatino Linotype" w:hAnsi="Palatino Linotype" w:cs="Arial"/>
          <w:b/>
          <w:sz w:val="28"/>
          <w:szCs w:val="28"/>
        </w:rPr>
        <w:t>De la etapa de instrucción.</w:t>
      </w:r>
    </w:p>
    <w:p w14:paraId="24CC6751" w14:textId="61BCF26E" w:rsidR="002F2510" w:rsidRDefault="002F2510" w:rsidP="002F2510">
      <w:pPr>
        <w:spacing w:after="0" w:line="360" w:lineRule="auto"/>
        <w:jc w:val="both"/>
        <w:rPr>
          <w:rFonts w:ascii="Palatino Linotype" w:hAnsi="Palatino Linotype" w:cs="Arial"/>
          <w:sz w:val="24"/>
          <w:szCs w:val="24"/>
        </w:rPr>
      </w:pPr>
      <w:r w:rsidRPr="00667998">
        <w:rPr>
          <w:rFonts w:ascii="Palatino Linotype" w:hAnsi="Palatino Linotype" w:cs="Arial"/>
          <w:sz w:val="24"/>
          <w:szCs w:val="24"/>
        </w:rPr>
        <w:t xml:space="preserve">De las constancias que obran en el expediente electrónico del </w:t>
      </w:r>
      <w:r w:rsidRPr="00667998">
        <w:rPr>
          <w:rFonts w:ascii="Palatino Linotype" w:hAnsi="Palatino Linotype" w:cs="Arial"/>
          <w:sz w:val="24"/>
        </w:rPr>
        <w:t>Sistema de Acceso a la Información Mexiquense</w:t>
      </w:r>
      <w:r w:rsidRPr="00667998">
        <w:rPr>
          <w:rFonts w:ascii="Palatino Linotype" w:hAnsi="Palatino Linotype" w:cs="Arial"/>
          <w:sz w:val="24"/>
          <w:szCs w:val="24"/>
        </w:rPr>
        <w:t xml:space="preserve"> </w:t>
      </w:r>
      <w:r>
        <w:rPr>
          <w:rFonts w:ascii="Palatino Linotype" w:hAnsi="Palatino Linotype" w:cs="Arial"/>
          <w:sz w:val="24"/>
          <w:szCs w:val="24"/>
        </w:rPr>
        <w:t>(</w:t>
      </w:r>
      <w:r w:rsidRPr="00667998">
        <w:rPr>
          <w:rFonts w:ascii="Palatino Linotype" w:hAnsi="Palatino Linotype" w:cs="Arial"/>
          <w:sz w:val="24"/>
          <w:szCs w:val="24"/>
        </w:rPr>
        <w:t>SAIMEX</w:t>
      </w:r>
      <w:r>
        <w:rPr>
          <w:rFonts w:ascii="Palatino Linotype" w:hAnsi="Palatino Linotype" w:cs="Arial"/>
          <w:sz w:val="24"/>
          <w:szCs w:val="24"/>
        </w:rPr>
        <w:t>)</w:t>
      </w:r>
      <w:r w:rsidRPr="00667998">
        <w:rPr>
          <w:rFonts w:ascii="Palatino Linotype" w:hAnsi="Palatino Linotype" w:cs="Arial"/>
          <w:sz w:val="24"/>
          <w:szCs w:val="24"/>
        </w:rPr>
        <w:t>, se advierte que</w:t>
      </w:r>
      <w:r>
        <w:rPr>
          <w:rFonts w:ascii="Palatino Linotype" w:hAnsi="Palatino Linotype" w:cs="Arial"/>
          <w:sz w:val="24"/>
          <w:szCs w:val="24"/>
        </w:rPr>
        <w:t xml:space="preserve"> el Sujeto Obligado </w:t>
      </w:r>
      <w:r w:rsidR="00713A6C">
        <w:rPr>
          <w:rFonts w:ascii="Palatino Linotype" w:hAnsi="Palatino Linotype" w:cs="Arial"/>
          <w:sz w:val="24"/>
          <w:szCs w:val="24"/>
        </w:rPr>
        <w:t>rindi</w:t>
      </w:r>
      <w:r>
        <w:rPr>
          <w:rFonts w:ascii="Palatino Linotype" w:hAnsi="Palatino Linotype" w:cs="Arial"/>
          <w:sz w:val="24"/>
          <w:szCs w:val="24"/>
        </w:rPr>
        <w:t>ó su informe justificado</w:t>
      </w:r>
      <w:r w:rsidR="00713A6C">
        <w:rPr>
          <w:rFonts w:ascii="Palatino Linotype" w:hAnsi="Palatino Linotype" w:cs="Arial"/>
          <w:sz w:val="24"/>
          <w:szCs w:val="24"/>
        </w:rPr>
        <w:t xml:space="preserve"> a través de un archivo electrónico denominado “</w:t>
      </w:r>
      <w:r w:rsidR="00713A6C" w:rsidRPr="00713A6C">
        <w:rPr>
          <w:rFonts w:ascii="Palatino Linotype" w:hAnsi="Palatino Linotype" w:cs="Arial"/>
          <w:sz w:val="24"/>
          <w:szCs w:val="24"/>
        </w:rPr>
        <w:t>RR 5570_2022.pdf</w:t>
      </w:r>
      <w:r w:rsidR="00713A6C">
        <w:rPr>
          <w:rFonts w:ascii="Palatino Linotype" w:hAnsi="Palatino Linotype" w:cs="Arial"/>
          <w:sz w:val="24"/>
          <w:szCs w:val="24"/>
        </w:rPr>
        <w:t xml:space="preserve">”, el día veintisiete de abril de dos mil veintidós, el cual fue puesto a la vista de la Recurrente, el día veintiocho de abril de dos mil veintidós, a través del cual ratifica su </w:t>
      </w:r>
      <w:r w:rsidR="00713A6C">
        <w:rPr>
          <w:rFonts w:ascii="Palatino Linotype" w:hAnsi="Palatino Linotype" w:cs="Arial"/>
          <w:sz w:val="24"/>
          <w:szCs w:val="24"/>
        </w:rPr>
        <w:lastRenderedPageBreak/>
        <w:t>respuesta primigenia</w:t>
      </w:r>
      <w:r>
        <w:rPr>
          <w:rFonts w:ascii="Palatino Linotype" w:hAnsi="Palatino Linotype" w:cs="Arial"/>
          <w:sz w:val="24"/>
          <w:szCs w:val="24"/>
        </w:rPr>
        <w:t>. Asimismo,</w:t>
      </w:r>
      <w:r w:rsidRPr="004C7BAD">
        <w:rPr>
          <w:rFonts w:ascii="Palatino Linotype" w:hAnsi="Palatino Linotype" w:cs="Arial"/>
          <w:sz w:val="24"/>
          <w:szCs w:val="24"/>
        </w:rPr>
        <w:t xml:space="preserve"> se advierte</w:t>
      </w:r>
      <w:r>
        <w:rPr>
          <w:rFonts w:ascii="Palatino Linotype" w:hAnsi="Palatino Linotype" w:cs="Arial"/>
          <w:sz w:val="24"/>
          <w:szCs w:val="24"/>
        </w:rPr>
        <w:t xml:space="preserve"> que la recurrente no realizó manifestación alguna.</w:t>
      </w:r>
    </w:p>
    <w:p w14:paraId="5EAD2D83" w14:textId="77777777" w:rsidR="00EF0DD4" w:rsidRDefault="00EF0DD4" w:rsidP="002F2510">
      <w:pPr>
        <w:spacing w:after="0" w:line="360" w:lineRule="auto"/>
        <w:jc w:val="both"/>
        <w:rPr>
          <w:rFonts w:ascii="Palatino Linotype" w:hAnsi="Palatino Linotype" w:cs="Arial"/>
          <w:b/>
          <w:sz w:val="28"/>
        </w:rPr>
      </w:pPr>
    </w:p>
    <w:p w14:paraId="34B7D22F" w14:textId="77777777" w:rsidR="002F2510" w:rsidRPr="00C220D0" w:rsidRDefault="002F2510" w:rsidP="002F2510">
      <w:pPr>
        <w:spacing w:after="0" w:line="360" w:lineRule="auto"/>
        <w:jc w:val="both"/>
        <w:rPr>
          <w:rFonts w:ascii="Palatino Linotype" w:hAnsi="Palatino Linotype" w:cs="Arial"/>
          <w:b/>
          <w:sz w:val="28"/>
          <w:szCs w:val="28"/>
        </w:rPr>
      </w:pPr>
      <w:r>
        <w:rPr>
          <w:rFonts w:ascii="Palatino Linotype" w:hAnsi="Palatino Linotype" w:cs="Arial"/>
          <w:b/>
          <w:sz w:val="28"/>
        </w:rPr>
        <w:t>SEXTO</w:t>
      </w:r>
      <w:r w:rsidRPr="00667998">
        <w:rPr>
          <w:rFonts w:ascii="Palatino Linotype" w:hAnsi="Palatino Linotype" w:cs="Arial"/>
          <w:b/>
          <w:sz w:val="28"/>
        </w:rPr>
        <w:t xml:space="preserve">. </w:t>
      </w:r>
      <w:r w:rsidRPr="00667998">
        <w:rPr>
          <w:rFonts w:ascii="Palatino Linotype" w:hAnsi="Palatino Linotype" w:cs="Arial"/>
          <w:b/>
          <w:sz w:val="28"/>
          <w:szCs w:val="28"/>
        </w:rPr>
        <w:t>De</w:t>
      </w:r>
      <w:r>
        <w:rPr>
          <w:rFonts w:ascii="Palatino Linotype" w:hAnsi="Palatino Linotype" w:cs="Arial"/>
          <w:b/>
          <w:sz w:val="28"/>
          <w:szCs w:val="28"/>
        </w:rPr>
        <w:t>l cierre de</w:t>
      </w:r>
      <w:r w:rsidRPr="00667998">
        <w:rPr>
          <w:rFonts w:ascii="Palatino Linotype" w:hAnsi="Palatino Linotype" w:cs="Arial"/>
          <w:b/>
          <w:sz w:val="28"/>
          <w:szCs w:val="28"/>
        </w:rPr>
        <w:t xml:space="preserve"> la etapa de instrucción.</w:t>
      </w:r>
    </w:p>
    <w:p w14:paraId="0B071584" w14:textId="750F4D53" w:rsidR="002F2510" w:rsidRDefault="002F2510" w:rsidP="002F251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1979E0">
        <w:rPr>
          <w:rFonts w:ascii="Palatino Linotype" w:hAnsi="Palatino Linotype" w:cs="Arial"/>
          <w:sz w:val="24"/>
          <w:szCs w:val="24"/>
        </w:rPr>
        <w:t>cuatro</w:t>
      </w:r>
      <w:r>
        <w:rPr>
          <w:rFonts w:ascii="Palatino Linotype" w:hAnsi="Palatino Linotype" w:cs="Arial"/>
          <w:sz w:val="24"/>
          <w:szCs w:val="24"/>
        </w:rPr>
        <w:t xml:space="preserve"> de </w:t>
      </w:r>
      <w:r w:rsidR="001979E0">
        <w:rPr>
          <w:rFonts w:ascii="Palatino Linotype" w:hAnsi="Palatino Linotype" w:cs="Arial"/>
          <w:sz w:val="24"/>
          <w:szCs w:val="24"/>
        </w:rPr>
        <w:t>may</w:t>
      </w:r>
      <w:r>
        <w:rPr>
          <w:rFonts w:ascii="Palatino Linotype" w:hAnsi="Palatino Linotype" w:cs="Arial"/>
          <w:sz w:val="24"/>
          <w:szCs w:val="24"/>
        </w:rPr>
        <w:t>o de dos mil veintidós</w:t>
      </w:r>
      <w:r w:rsidRPr="00667998">
        <w:rPr>
          <w:rFonts w:ascii="Palatino Linotype" w:hAnsi="Palatino Linotype" w:cs="Arial"/>
          <w:sz w:val="24"/>
          <w:szCs w:val="24"/>
        </w:rPr>
        <w:t>, se decretó el cierre de la misma del expediente electrónico formado con motivo de la interposición del presente recurso de revisión, a fin de que la Comisionada Ponente presentara el proyecto de resolución correspondiente.</w:t>
      </w:r>
    </w:p>
    <w:p w14:paraId="29D12486" w14:textId="77777777" w:rsidR="002F2510" w:rsidRDefault="002F2510" w:rsidP="002F2510">
      <w:pPr>
        <w:spacing w:after="0" w:line="360" w:lineRule="auto"/>
        <w:jc w:val="both"/>
        <w:rPr>
          <w:rFonts w:ascii="Palatino Linotype" w:hAnsi="Palatino Linotype" w:cs="Arial"/>
          <w:sz w:val="24"/>
          <w:szCs w:val="24"/>
        </w:rPr>
      </w:pPr>
    </w:p>
    <w:p w14:paraId="5772EBAA" w14:textId="77777777" w:rsidR="002F2510" w:rsidRPr="00C220D0" w:rsidRDefault="002F2510" w:rsidP="002F2510">
      <w:pPr>
        <w:pStyle w:val="Sinespaciado"/>
        <w:spacing w:line="360" w:lineRule="auto"/>
        <w:jc w:val="both"/>
        <w:rPr>
          <w:rFonts w:ascii="Palatino Linotype" w:hAnsi="Palatino Linotype" w:cs="Arial"/>
          <w:b/>
          <w:sz w:val="28"/>
          <w:szCs w:val="28"/>
        </w:rPr>
      </w:pPr>
      <w:r>
        <w:rPr>
          <w:rFonts w:ascii="Palatino Linotype" w:hAnsi="Palatino Linotype" w:cs="Arial"/>
          <w:b/>
          <w:sz w:val="28"/>
        </w:rPr>
        <w:t>SÉPTIM</w:t>
      </w:r>
      <w:r w:rsidRPr="00667998">
        <w:rPr>
          <w:rFonts w:ascii="Palatino Linotype" w:hAnsi="Palatino Linotype" w:cs="Arial"/>
          <w:b/>
          <w:sz w:val="28"/>
        </w:rPr>
        <w:t xml:space="preserve">O. </w:t>
      </w:r>
      <w:r w:rsidRPr="00667998">
        <w:rPr>
          <w:rFonts w:ascii="Palatino Linotype" w:hAnsi="Palatino Linotype" w:cs="Arial"/>
          <w:b/>
          <w:sz w:val="28"/>
          <w:szCs w:val="28"/>
        </w:rPr>
        <w:t>De</w:t>
      </w:r>
      <w:r>
        <w:rPr>
          <w:rFonts w:ascii="Palatino Linotype" w:hAnsi="Palatino Linotype" w:cs="Arial"/>
          <w:b/>
          <w:sz w:val="28"/>
          <w:szCs w:val="28"/>
        </w:rPr>
        <w:t xml:space="preserve"> </w:t>
      </w:r>
      <w:r w:rsidRPr="00667998">
        <w:rPr>
          <w:rFonts w:ascii="Palatino Linotype" w:hAnsi="Palatino Linotype" w:cs="Arial"/>
          <w:b/>
          <w:sz w:val="28"/>
          <w:szCs w:val="28"/>
        </w:rPr>
        <w:t xml:space="preserve">la </w:t>
      </w:r>
      <w:r>
        <w:rPr>
          <w:rFonts w:ascii="Palatino Linotype" w:hAnsi="Palatino Linotype" w:cs="Arial"/>
          <w:b/>
          <w:sz w:val="28"/>
          <w:szCs w:val="28"/>
        </w:rPr>
        <w:t>ampliación del término para resolver</w:t>
      </w:r>
      <w:r w:rsidRPr="00667998">
        <w:rPr>
          <w:rFonts w:ascii="Palatino Linotype" w:hAnsi="Palatino Linotype" w:cs="Arial"/>
          <w:b/>
          <w:sz w:val="28"/>
          <w:szCs w:val="28"/>
        </w:rPr>
        <w:t>.</w:t>
      </w:r>
    </w:p>
    <w:p w14:paraId="6EC7C16E" w14:textId="0E87090B" w:rsidR="002F2510" w:rsidRPr="00667998" w:rsidRDefault="002F2510" w:rsidP="002F2510">
      <w:pPr>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667998">
        <w:rPr>
          <w:rFonts w:ascii="Palatino Linotype" w:hAnsi="Palatino Linotype" w:cs="Arial"/>
          <w:sz w:val="24"/>
          <w:szCs w:val="24"/>
        </w:rPr>
        <w:t xml:space="preserve">n fecha </w:t>
      </w:r>
      <w:r w:rsidR="00B31FBC">
        <w:rPr>
          <w:rFonts w:ascii="Palatino Linotype" w:hAnsi="Palatino Linotype" w:cs="Arial"/>
          <w:sz w:val="24"/>
          <w:szCs w:val="24"/>
        </w:rPr>
        <w:t>treinta y uno</w:t>
      </w:r>
      <w:r>
        <w:rPr>
          <w:rFonts w:ascii="Palatino Linotype" w:hAnsi="Palatino Linotype" w:cs="Arial"/>
          <w:sz w:val="24"/>
          <w:szCs w:val="24"/>
        </w:rPr>
        <w:t xml:space="preserve"> de </w:t>
      </w:r>
      <w:r w:rsidR="00B31FBC">
        <w:rPr>
          <w:rFonts w:ascii="Palatino Linotype" w:hAnsi="Palatino Linotype" w:cs="Arial"/>
          <w:sz w:val="24"/>
          <w:szCs w:val="24"/>
        </w:rPr>
        <w:t>mayo</w:t>
      </w:r>
      <w:r w:rsidRPr="00667998">
        <w:rPr>
          <w:rFonts w:ascii="Palatino Linotype" w:hAnsi="Palatino Linotype" w:cs="Arial"/>
          <w:sz w:val="24"/>
          <w:szCs w:val="24"/>
        </w:rPr>
        <w:t xml:space="preserve"> del año </w:t>
      </w:r>
      <w:r>
        <w:rPr>
          <w:rFonts w:ascii="Palatino Linotype" w:hAnsi="Palatino Linotype" w:cs="Arial"/>
          <w:sz w:val="24"/>
          <w:szCs w:val="24"/>
        </w:rPr>
        <w:t>dos mil veintidós</w:t>
      </w:r>
      <w:r w:rsidRPr="00667998">
        <w:rPr>
          <w:rFonts w:ascii="Palatino Linotype" w:hAnsi="Palatino Linotype" w:cs="Arial"/>
          <w:sz w:val="24"/>
          <w:szCs w:val="24"/>
        </w:rPr>
        <w:t>, se amplió el plazo para dictar resolución, en términos del artículo 181, de la Ley de Transparencia y Acceso a la Información Pública del Estado de México y Municipios.</w:t>
      </w:r>
    </w:p>
    <w:p w14:paraId="00548FA7" w14:textId="77777777" w:rsidR="002F2510" w:rsidRDefault="002F2510" w:rsidP="002F2510">
      <w:pPr>
        <w:spacing w:after="0" w:line="360" w:lineRule="auto"/>
        <w:jc w:val="center"/>
        <w:rPr>
          <w:rFonts w:ascii="Palatino Linotype" w:hAnsi="Palatino Linotype" w:cs="Arial"/>
          <w:b/>
          <w:sz w:val="28"/>
        </w:rPr>
      </w:pPr>
    </w:p>
    <w:p w14:paraId="4717A25B" w14:textId="77777777" w:rsidR="002F2510" w:rsidRPr="00667998" w:rsidRDefault="002F2510" w:rsidP="002F2510">
      <w:pPr>
        <w:spacing w:after="0" w:line="360" w:lineRule="auto"/>
        <w:jc w:val="center"/>
        <w:rPr>
          <w:rFonts w:ascii="Palatino Linotype" w:hAnsi="Palatino Linotype" w:cs="Arial"/>
          <w:b/>
          <w:sz w:val="28"/>
        </w:rPr>
      </w:pPr>
      <w:r w:rsidRPr="00667998">
        <w:rPr>
          <w:rFonts w:ascii="Palatino Linotype" w:hAnsi="Palatino Linotype" w:cs="Arial"/>
          <w:b/>
          <w:sz w:val="28"/>
        </w:rPr>
        <w:t xml:space="preserve">C O N S I D E R A N D O </w:t>
      </w:r>
    </w:p>
    <w:p w14:paraId="70BC48BC" w14:textId="77777777" w:rsidR="002F2510" w:rsidRPr="00C220D0" w:rsidRDefault="002F2510" w:rsidP="002F2510">
      <w:pPr>
        <w:pStyle w:val="Sinespaciado"/>
        <w:rPr>
          <w:rFonts w:ascii="Palatino Linotype" w:hAnsi="Palatino Linotype"/>
        </w:rPr>
      </w:pPr>
    </w:p>
    <w:p w14:paraId="023F4E0F" w14:textId="77777777" w:rsidR="002F2510" w:rsidRPr="00667998" w:rsidRDefault="002F2510" w:rsidP="002F2510">
      <w:pPr>
        <w:spacing w:after="0" w:line="360" w:lineRule="auto"/>
        <w:jc w:val="both"/>
        <w:rPr>
          <w:rFonts w:ascii="Palatino Linotype" w:hAnsi="Palatino Linotype" w:cs="Arial"/>
          <w:sz w:val="24"/>
        </w:rPr>
      </w:pPr>
      <w:r w:rsidRPr="00667998">
        <w:rPr>
          <w:rFonts w:ascii="Palatino Linotype" w:hAnsi="Palatino Linotype" w:cs="Arial"/>
          <w:b/>
          <w:sz w:val="28"/>
        </w:rPr>
        <w:t>PRIMERO.</w:t>
      </w:r>
      <w:r w:rsidRPr="00667998">
        <w:rPr>
          <w:rFonts w:ascii="Palatino Linotype" w:hAnsi="Palatino Linotype" w:cs="Arial"/>
          <w:b/>
        </w:rPr>
        <w:t xml:space="preserve"> </w:t>
      </w:r>
      <w:r w:rsidRPr="00667998">
        <w:rPr>
          <w:rFonts w:ascii="Palatino Linotype" w:hAnsi="Palatino Linotype" w:cs="Arial"/>
          <w:b/>
          <w:sz w:val="28"/>
          <w:szCs w:val="28"/>
        </w:rPr>
        <w:t>De la competencia</w:t>
      </w:r>
      <w:r w:rsidRPr="00667998">
        <w:rPr>
          <w:rFonts w:ascii="Palatino Linotype" w:hAnsi="Palatino Linotype" w:cs="Arial"/>
          <w:sz w:val="28"/>
          <w:szCs w:val="28"/>
        </w:rPr>
        <w:t>.</w:t>
      </w:r>
    </w:p>
    <w:p w14:paraId="51A24F5E" w14:textId="77777777" w:rsidR="002F2510" w:rsidRPr="00667998" w:rsidRDefault="002F2510" w:rsidP="002F2510">
      <w:pPr>
        <w:pStyle w:val="Sinespaciado"/>
        <w:spacing w:line="360" w:lineRule="auto"/>
        <w:jc w:val="both"/>
        <w:rPr>
          <w:rFonts w:ascii="Palatino Linotype" w:hAnsi="Palatino Linotype"/>
        </w:rPr>
      </w:pPr>
      <w:r w:rsidRPr="00667998">
        <w:rPr>
          <w:rFonts w:ascii="Palatino Linotype" w:hAnsi="Palatino Linotype"/>
        </w:rPr>
        <w:t xml:space="preserve">Este Instituto de Transparencia, Acceso a la Información Pública y Protección de Datos Personales del Estado de México y Municipios es competente para conocer y resolver el presente recurso de revisión, de conformidad con los artículos: </w:t>
      </w:r>
      <w:r w:rsidRPr="00584F17">
        <w:rPr>
          <w:rFonts w:ascii="Palatino Linotype" w:hAnsi="Palatino Linotype"/>
        </w:rPr>
        <w:t xml:space="preserve">6, apartado A, fracción IV de la Constitución Política de los Estados Unidos Mexicanos; 5, párrafos trigésimo, trigésimo primero y trigésimo segundo, fracciones IV y V, de la Constitución Política del Estado Libre y Soberano de México; artículos 1, 2 fracción II, 13, 29, 36 fracciones I y II, 176, 178, 179, 181 párrafo tercero y 185 de la Ley de Transparencia y Acceso a la </w:t>
      </w:r>
      <w:r w:rsidRPr="00584F17">
        <w:rPr>
          <w:rFonts w:ascii="Palatino Linotype" w:hAnsi="Palatino Linotype"/>
        </w:rPr>
        <w:lastRenderedPageBreak/>
        <w:t>Información Pública del Estado de México y Municipios; y 10, 7, 9 fracciones I y XXIV, y 11 del Reglamento Interior del Instituto de Transparencia, Acceso a la Información Pública y Protección de Datos Personales del Estado de México y Municipios.</w:t>
      </w:r>
    </w:p>
    <w:p w14:paraId="5ACBB2A6"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p>
    <w:p w14:paraId="5391718E"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b/>
        </w:rPr>
      </w:pPr>
      <w:r w:rsidRPr="00667998">
        <w:rPr>
          <w:rFonts w:ascii="Palatino Linotype" w:hAnsi="Palatino Linotype" w:cs="Arial"/>
          <w:b/>
          <w:sz w:val="28"/>
        </w:rPr>
        <w:t>SEGUNDO</w:t>
      </w:r>
      <w:r w:rsidRPr="00667998">
        <w:rPr>
          <w:rFonts w:ascii="Palatino Linotype" w:hAnsi="Palatino Linotype" w:cs="Arial"/>
          <w:b/>
        </w:rPr>
        <w:t xml:space="preserve">. </w:t>
      </w:r>
      <w:r w:rsidRPr="00667998">
        <w:rPr>
          <w:rFonts w:ascii="Palatino Linotype" w:hAnsi="Palatino Linotype" w:cs="Arial"/>
          <w:b/>
          <w:sz w:val="28"/>
          <w:szCs w:val="28"/>
        </w:rPr>
        <w:t>Sobre los alcances del recurso de revisión.</w:t>
      </w:r>
      <w:r w:rsidRPr="00667998">
        <w:rPr>
          <w:rFonts w:ascii="Palatino Linotype" w:hAnsi="Palatino Linotype" w:cs="Arial"/>
          <w:b/>
        </w:rPr>
        <w:t xml:space="preserve"> </w:t>
      </w:r>
    </w:p>
    <w:p w14:paraId="0DBE39F8" w14:textId="77777777" w:rsidR="002F2510" w:rsidRDefault="002F2510" w:rsidP="002F251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Anterior a todo debe destacarse que el recurso de revisión tiene el fin y alcance que señalan los numerales 176, 179 fracción V,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55C2895A"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rPr>
      </w:pPr>
    </w:p>
    <w:p w14:paraId="1683CF50" w14:textId="14221AD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r w:rsidRPr="00B75999">
        <w:rPr>
          <w:rFonts w:ascii="Palatino Linotype" w:hAnsi="Palatino Linotype" w:cs="Arial"/>
          <w:b/>
          <w:sz w:val="28"/>
        </w:rPr>
        <w:t>TERCERO.</w:t>
      </w:r>
      <w:r w:rsidRPr="00667998">
        <w:rPr>
          <w:rFonts w:ascii="Palatino Linotype" w:hAnsi="Palatino Linotype" w:cs="Arial"/>
          <w:b/>
          <w:sz w:val="28"/>
        </w:rPr>
        <w:t xml:space="preserve"> </w:t>
      </w:r>
      <w:r>
        <w:rPr>
          <w:rFonts w:ascii="Palatino Linotype" w:hAnsi="Palatino Linotype" w:cs="Arial"/>
          <w:b/>
          <w:sz w:val="28"/>
        </w:rPr>
        <w:t>De las causas de improcedencia.</w:t>
      </w:r>
    </w:p>
    <w:p w14:paraId="59B4E8C8"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 xml:space="preserve">En el procedimiento de acceso a la información y de los medios de impugnación de la materia, se advierten diversos supuestos de </w:t>
      </w:r>
      <w:proofErr w:type="spellStart"/>
      <w:r w:rsidRPr="00667998">
        <w:rPr>
          <w:rFonts w:ascii="Palatino Linotype" w:hAnsi="Palatino Linotype" w:cs="Arial"/>
        </w:rPr>
        <w:t>procedibilidad</w:t>
      </w:r>
      <w:proofErr w:type="spellEnd"/>
      <w:r w:rsidRPr="00667998">
        <w:rPr>
          <w:rFonts w:ascii="Palatino Linotype" w:hAnsi="Palatino Linotype" w:cs="Arial"/>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0C532DC1"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rPr>
      </w:pPr>
    </w:p>
    <w:p w14:paraId="6E0F0A92"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52156B7D"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1AC97C58"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lastRenderedPageBreak/>
        <w:t xml:space="preserve">De lo anterior, el estudio de las causas de improcedencia que se hagan valer por las partes o que se advierta de oficio por este </w:t>
      </w:r>
      <w:proofErr w:type="spellStart"/>
      <w:r w:rsidRPr="00667998">
        <w:rPr>
          <w:rFonts w:ascii="Palatino Linotype" w:hAnsi="Palatino Linotype" w:cs="Arial"/>
        </w:rPr>
        <w:t>Resolutor</w:t>
      </w:r>
      <w:proofErr w:type="spellEnd"/>
      <w:r w:rsidRPr="00667998">
        <w:rPr>
          <w:rFonts w:ascii="Palatino Linotype" w:hAnsi="Palatino Linotype" w:cs="Arial"/>
        </w:rPr>
        <w:t xml:space="preserve"> debe ser objeto de análisis previo al estudio de fondo del asunto, ya que el estudio de los presupuestos procesales sobre el inicio o trámite de un proceso genera eficacia jurídica de las resoluciones, más aún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667998">
        <w:rPr>
          <w:rStyle w:val="Refdenotaalpie"/>
          <w:rFonts w:ascii="Palatino Linotype" w:hAnsi="Palatino Linotype" w:cs="Arial"/>
        </w:rPr>
        <w:footnoteReference w:id="1"/>
      </w:r>
      <w:r w:rsidRPr="00667998">
        <w:rPr>
          <w:rFonts w:ascii="Palatino Linotype" w:hAnsi="Palatino Linotype" w:cs="Arial"/>
        </w:rPr>
        <w:t>.</w:t>
      </w:r>
    </w:p>
    <w:p w14:paraId="3EB3FEF4"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rPr>
      </w:pPr>
    </w:p>
    <w:p w14:paraId="1A48BF51"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73E056BF" w14:textId="77777777" w:rsidR="00EF0DD4" w:rsidRDefault="00EF0DD4" w:rsidP="002F2510">
      <w:pPr>
        <w:pStyle w:val="Prrafodelista"/>
        <w:autoSpaceDE w:val="0"/>
        <w:autoSpaceDN w:val="0"/>
        <w:adjustRightInd w:val="0"/>
        <w:spacing w:line="360" w:lineRule="auto"/>
        <w:ind w:left="0"/>
        <w:jc w:val="both"/>
        <w:rPr>
          <w:rFonts w:ascii="Palatino Linotype" w:hAnsi="Palatino Linotype" w:cs="Arial"/>
        </w:rPr>
      </w:pPr>
    </w:p>
    <w:p w14:paraId="006CD2CE" w14:textId="77777777" w:rsidR="002F2510" w:rsidRDefault="002F2510" w:rsidP="002F2510">
      <w:pPr>
        <w:pStyle w:val="Prrafodelista"/>
        <w:autoSpaceDE w:val="0"/>
        <w:autoSpaceDN w:val="0"/>
        <w:adjustRightInd w:val="0"/>
        <w:spacing w:line="360" w:lineRule="auto"/>
        <w:ind w:left="0"/>
        <w:jc w:val="both"/>
        <w:rPr>
          <w:rFonts w:ascii="Palatino Linotype" w:hAnsi="Palatino Linotype" w:cs="Arial"/>
          <w:b/>
          <w:sz w:val="28"/>
        </w:rPr>
      </w:pPr>
      <w:r w:rsidRPr="00667998">
        <w:rPr>
          <w:rFonts w:ascii="Palatino Linotype" w:hAnsi="Palatino Linotype" w:cs="Arial"/>
        </w:rPr>
        <w:lastRenderedPageBreak/>
        <w:t xml:space="preserve">Así las cosas, </w:t>
      </w:r>
      <w:r>
        <w:rPr>
          <w:rFonts w:ascii="Palatino Linotype" w:hAnsi="Palatino Linotype" w:cs="Arial"/>
        </w:rPr>
        <w:t xml:space="preserve">en la especie, no se actualiza ninguna causa de improcedencia de las referidas en el artículo 191 de la Ley de Transparencia y Acceso a la Información Pública del Estado de México y Municipios, encontrándose actualizados todos los supuestos procesales para atender el fondo del asunto, en los términos del considerando posterior. </w:t>
      </w:r>
    </w:p>
    <w:p w14:paraId="69DFCE39" w14:textId="77777777" w:rsidR="002F2510" w:rsidRPr="00ED250C" w:rsidRDefault="002F2510" w:rsidP="002F2510">
      <w:pPr>
        <w:pStyle w:val="Prrafodelista"/>
        <w:autoSpaceDE w:val="0"/>
        <w:autoSpaceDN w:val="0"/>
        <w:adjustRightInd w:val="0"/>
        <w:spacing w:line="360" w:lineRule="auto"/>
        <w:ind w:left="0"/>
        <w:jc w:val="both"/>
        <w:rPr>
          <w:rFonts w:ascii="Palatino Linotype" w:hAnsi="Palatino Linotype" w:cs="Arial"/>
          <w:b/>
        </w:rPr>
      </w:pPr>
    </w:p>
    <w:p w14:paraId="49F7530C" w14:textId="13DBD236" w:rsidR="002F2510" w:rsidRDefault="004B49B4" w:rsidP="002F2510">
      <w:pPr>
        <w:pStyle w:val="Prrafodelista"/>
        <w:autoSpaceDE w:val="0"/>
        <w:autoSpaceDN w:val="0"/>
        <w:adjustRightInd w:val="0"/>
        <w:spacing w:line="360" w:lineRule="auto"/>
        <w:ind w:left="0"/>
        <w:jc w:val="both"/>
        <w:rPr>
          <w:rFonts w:ascii="Palatino Linotype" w:hAnsi="Palatino Linotype" w:cs="Arial"/>
          <w:b/>
          <w:sz w:val="28"/>
        </w:rPr>
      </w:pPr>
      <w:r>
        <w:rPr>
          <w:rFonts w:ascii="Palatino Linotype" w:hAnsi="Palatino Linotype" w:cs="Arial"/>
          <w:b/>
          <w:sz w:val="28"/>
        </w:rPr>
        <w:t>CUAR</w:t>
      </w:r>
      <w:r w:rsidR="002F2510">
        <w:rPr>
          <w:rFonts w:ascii="Palatino Linotype" w:hAnsi="Palatino Linotype" w:cs="Arial"/>
          <w:b/>
          <w:sz w:val="28"/>
        </w:rPr>
        <w:t>T</w:t>
      </w:r>
      <w:r w:rsidR="002F2510" w:rsidRPr="00667998">
        <w:rPr>
          <w:rFonts w:ascii="Palatino Linotype" w:hAnsi="Palatino Linotype" w:cs="Arial"/>
          <w:b/>
          <w:sz w:val="28"/>
        </w:rPr>
        <w:t>O. Estudio y resolución del asunto.</w:t>
      </w:r>
    </w:p>
    <w:p w14:paraId="3039DFB5" w14:textId="77777777" w:rsidR="002F2510" w:rsidRPr="00667998" w:rsidRDefault="002F2510" w:rsidP="002F2510">
      <w:pPr>
        <w:pStyle w:val="Prrafodelista"/>
        <w:autoSpaceDE w:val="0"/>
        <w:autoSpaceDN w:val="0"/>
        <w:adjustRightInd w:val="0"/>
        <w:spacing w:line="360" w:lineRule="auto"/>
        <w:ind w:left="0"/>
        <w:jc w:val="both"/>
        <w:rPr>
          <w:rFonts w:ascii="Palatino Linotype" w:hAnsi="Palatino Linotype" w:cs="Arial"/>
        </w:rPr>
      </w:pPr>
      <w:r w:rsidRPr="00667998">
        <w:rPr>
          <w:rFonts w:ascii="Palatino Linotype" w:hAnsi="Palatino Linotype" w:cs="Arial"/>
        </w:rPr>
        <w:t>Ahora bien, se procede al análisis del presente recurso, así como el contenido íntegro de las actuaciones que obran en el expediente electrónico, para así estar en posibilidad este Órgano Colegiado de dictar el fallo correspondiente conforme a derecho, tomando en consideración los elementos aportados por las partes y apegándose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3747EF42" w14:textId="77777777" w:rsidR="002F2510" w:rsidRPr="00667998" w:rsidRDefault="002F2510" w:rsidP="002F2510">
      <w:pPr>
        <w:tabs>
          <w:tab w:val="left" w:pos="709"/>
        </w:tabs>
        <w:spacing w:after="0" w:line="360" w:lineRule="auto"/>
        <w:jc w:val="both"/>
        <w:rPr>
          <w:rFonts w:ascii="Palatino Linotype" w:hAnsi="Palatino Linotype" w:cs="Arial"/>
          <w:sz w:val="24"/>
          <w:szCs w:val="24"/>
        </w:rPr>
      </w:pPr>
    </w:p>
    <w:p w14:paraId="5DB27BE9" w14:textId="77690D6F" w:rsidR="002F2510" w:rsidRDefault="002F2510" w:rsidP="002F2510">
      <w:pPr>
        <w:spacing w:after="0" w:line="360" w:lineRule="auto"/>
        <w:jc w:val="both"/>
        <w:rPr>
          <w:rFonts w:ascii="Palatino Linotype" w:hAnsi="Palatino Linotype"/>
          <w:sz w:val="24"/>
          <w:szCs w:val="24"/>
        </w:rPr>
      </w:pPr>
      <w:r w:rsidRPr="00BE7582">
        <w:rPr>
          <w:rFonts w:ascii="Palatino Linotype" w:hAnsi="Palatino Linotype"/>
          <w:sz w:val="24"/>
          <w:szCs w:val="24"/>
        </w:rPr>
        <w:t xml:space="preserve">Con el propósito de resolver el presente medio de impugnación, es </w:t>
      </w:r>
      <w:r>
        <w:rPr>
          <w:rFonts w:ascii="Palatino Linotype" w:hAnsi="Palatino Linotype"/>
          <w:sz w:val="24"/>
          <w:szCs w:val="24"/>
        </w:rPr>
        <w:t xml:space="preserve">conveniente recordar que la </w:t>
      </w:r>
      <w:r w:rsidRPr="00BE7582">
        <w:rPr>
          <w:rFonts w:ascii="Palatino Linotype" w:hAnsi="Palatino Linotype"/>
          <w:sz w:val="24"/>
          <w:szCs w:val="24"/>
        </w:rPr>
        <w:t xml:space="preserve">Recurrente solicitó al Sujeto Obligado que se le proporcionara vía </w:t>
      </w:r>
      <w:r w:rsidRPr="00667998">
        <w:rPr>
          <w:rFonts w:ascii="Palatino Linotype" w:hAnsi="Palatino Linotype" w:cs="Arial"/>
          <w:sz w:val="24"/>
        </w:rPr>
        <w:t>Sistema de Acceso a la Información Mexiquense</w:t>
      </w:r>
      <w:r w:rsidRPr="00BE7582">
        <w:rPr>
          <w:rFonts w:ascii="Palatino Linotype" w:hAnsi="Palatino Linotype"/>
          <w:sz w:val="24"/>
          <w:szCs w:val="24"/>
        </w:rPr>
        <w:t xml:space="preserve"> </w:t>
      </w:r>
      <w:r>
        <w:rPr>
          <w:rFonts w:ascii="Palatino Linotype" w:hAnsi="Palatino Linotype"/>
          <w:sz w:val="24"/>
          <w:szCs w:val="24"/>
        </w:rPr>
        <w:t>(</w:t>
      </w:r>
      <w:r w:rsidRPr="00BE7582">
        <w:rPr>
          <w:rFonts w:ascii="Palatino Linotype" w:hAnsi="Palatino Linotype"/>
          <w:sz w:val="24"/>
          <w:szCs w:val="24"/>
        </w:rPr>
        <w:t>SAIMEX</w:t>
      </w:r>
      <w:r>
        <w:rPr>
          <w:rFonts w:ascii="Palatino Linotype" w:hAnsi="Palatino Linotype"/>
          <w:sz w:val="24"/>
          <w:szCs w:val="24"/>
        </w:rPr>
        <w:t>)</w:t>
      </w:r>
      <w:r w:rsidRPr="00BE7582">
        <w:rPr>
          <w:rFonts w:ascii="Palatino Linotype" w:hAnsi="Palatino Linotype"/>
          <w:sz w:val="24"/>
          <w:szCs w:val="24"/>
        </w:rPr>
        <w:t>, lo siguiente:</w:t>
      </w:r>
    </w:p>
    <w:p w14:paraId="234877AE" w14:textId="77777777" w:rsidR="002F2510" w:rsidRDefault="002F2510" w:rsidP="002F2510">
      <w:pPr>
        <w:spacing w:after="0" w:line="360" w:lineRule="auto"/>
        <w:jc w:val="both"/>
        <w:rPr>
          <w:rFonts w:ascii="Palatino Linotype" w:hAnsi="Palatino Linotype"/>
          <w:sz w:val="24"/>
          <w:szCs w:val="24"/>
        </w:rPr>
      </w:pPr>
    </w:p>
    <w:p w14:paraId="2E24267A" w14:textId="1324FA00" w:rsidR="002F2510" w:rsidRDefault="00000D2F" w:rsidP="009460CA">
      <w:pPr>
        <w:pStyle w:val="Prrafodelista"/>
        <w:numPr>
          <w:ilvl w:val="0"/>
          <w:numId w:val="2"/>
        </w:numPr>
        <w:spacing w:line="360" w:lineRule="auto"/>
        <w:jc w:val="both"/>
        <w:rPr>
          <w:rFonts w:ascii="Palatino Linotype" w:hAnsi="Palatino Linotype"/>
        </w:rPr>
      </w:pPr>
      <w:r w:rsidRPr="006E71E8">
        <w:rPr>
          <w:rFonts w:ascii="Palatino Linotype" w:hAnsi="Palatino Linotype"/>
        </w:rPr>
        <w:t>¿Cuántos monumentos se han limpiado y en donde están ubicados?</w:t>
      </w:r>
    </w:p>
    <w:p w14:paraId="3BE4EF1C" w14:textId="77777777" w:rsidR="002F2510" w:rsidRDefault="002F2510" w:rsidP="002F2510">
      <w:pPr>
        <w:spacing w:after="0" w:line="360" w:lineRule="auto"/>
        <w:jc w:val="both"/>
        <w:rPr>
          <w:rFonts w:ascii="Palatino Linotype" w:hAnsi="Palatino Linotype"/>
          <w:sz w:val="24"/>
          <w:szCs w:val="24"/>
        </w:rPr>
      </w:pPr>
    </w:p>
    <w:p w14:paraId="0CE49191" w14:textId="0E927F6E" w:rsidR="002F2510" w:rsidRDefault="002F2510" w:rsidP="00EC6E66">
      <w:pPr>
        <w:spacing w:after="0" w:line="360" w:lineRule="auto"/>
        <w:jc w:val="both"/>
        <w:rPr>
          <w:rFonts w:ascii="Palatino Linotype" w:eastAsia="Arial Unicode MS" w:hAnsi="Palatino Linotype" w:cs="Arial"/>
          <w:sz w:val="24"/>
          <w:szCs w:val="24"/>
        </w:rPr>
      </w:pPr>
      <w:bookmarkStart w:id="2" w:name="_Hlk97247639"/>
      <w:bookmarkStart w:id="3" w:name="_Hlk82038749"/>
      <w:bookmarkStart w:id="4" w:name="_Hlk82011256"/>
      <w:r>
        <w:rPr>
          <w:rFonts w:ascii="Palatino Linotype" w:eastAsia="Arial Unicode MS" w:hAnsi="Palatino Linotype" w:cs="Arial"/>
          <w:sz w:val="24"/>
          <w:szCs w:val="24"/>
        </w:rPr>
        <w:t>E</w:t>
      </w:r>
      <w:r w:rsidRPr="00CF4795">
        <w:rPr>
          <w:rFonts w:ascii="Palatino Linotype" w:eastAsia="Arial Unicode MS" w:hAnsi="Palatino Linotype" w:cs="Arial"/>
          <w:sz w:val="24"/>
          <w:szCs w:val="24"/>
        </w:rPr>
        <w:t xml:space="preserve">n atención al requerimiento de información planteado, </w:t>
      </w:r>
      <w:r>
        <w:rPr>
          <w:rFonts w:ascii="Palatino Linotype" w:eastAsia="Arial Unicode MS" w:hAnsi="Palatino Linotype" w:cs="Arial"/>
          <w:bCs/>
          <w:sz w:val="24"/>
          <w:szCs w:val="24"/>
        </w:rPr>
        <w:t>el S</w:t>
      </w:r>
      <w:r w:rsidRPr="00CF4795">
        <w:rPr>
          <w:rFonts w:ascii="Palatino Linotype" w:eastAsia="Arial Unicode MS" w:hAnsi="Palatino Linotype" w:cs="Arial"/>
          <w:bCs/>
          <w:sz w:val="24"/>
          <w:szCs w:val="24"/>
        </w:rPr>
        <w:t xml:space="preserve">ujeto </w:t>
      </w:r>
      <w:r>
        <w:rPr>
          <w:rFonts w:ascii="Palatino Linotype" w:eastAsia="Arial Unicode MS" w:hAnsi="Palatino Linotype" w:cs="Arial"/>
          <w:bCs/>
          <w:sz w:val="24"/>
          <w:szCs w:val="24"/>
        </w:rPr>
        <w:t>O</w:t>
      </w:r>
      <w:r w:rsidRPr="00CF4795">
        <w:rPr>
          <w:rFonts w:ascii="Palatino Linotype" w:eastAsia="Arial Unicode MS" w:hAnsi="Palatino Linotype" w:cs="Arial"/>
          <w:bCs/>
          <w:sz w:val="24"/>
          <w:szCs w:val="24"/>
        </w:rPr>
        <w:t>bligado</w:t>
      </w:r>
      <w:r>
        <w:rPr>
          <w:rFonts w:ascii="Palatino Linotype" w:eastAsia="Arial Unicode MS" w:hAnsi="Palatino Linotype" w:cs="Arial"/>
          <w:bCs/>
          <w:sz w:val="24"/>
          <w:szCs w:val="24"/>
        </w:rPr>
        <w:t xml:space="preserve"> adjuntó </w:t>
      </w:r>
      <w:r w:rsidR="00EC6E66">
        <w:rPr>
          <w:rFonts w:ascii="Palatino Linotype" w:eastAsia="Arial Unicode MS" w:hAnsi="Palatino Linotype" w:cs="Arial"/>
          <w:bCs/>
          <w:sz w:val="24"/>
          <w:szCs w:val="24"/>
        </w:rPr>
        <w:t>los</w:t>
      </w:r>
      <w:r>
        <w:rPr>
          <w:rFonts w:ascii="Palatino Linotype" w:eastAsia="Arial Unicode MS" w:hAnsi="Palatino Linotype" w:cs="Arial"/>
          <w:bCs/>
          <w:sz w:val="24"/>
          <w:szCs w:val="24"/>
        </w:rPr>
        <w:t xml:space="preserve"> </w:t>
      </w:r>
      <w:r w:rsidR="009460CA">
        <w:rPr>
          <w:rFonts w:ascii="Palatino Linotype" w:eastAsia="Arial Unicode MS" w:hAnsi="Palatino Linotype" w:cs="Arial"/>
          <w:bCs/>
          <w:sz w:val="24"/>
          <w:szCs w:val="24"/>
        </w:rPr>
        <w:t>archivo</w:t>
      </w:r>
      <w:r w:rsidR="00EC6E66">
        <w:rPr>
          <w:rFonts w:ascii="Palatino Linotype" w:eastAsia="Arial Unicode MS" w:hAnsi="Palatino Linotype" w:cs="Arial"/>
          <w:bCs/>
          <w:sz w:val="24"/>
          <w:szCs w:val="24"/>
        </w:rPr>
        <w:t>s</w:t>
      </w:r>
      <w:r w:rsidR="009460CA">
        <w:rPr>
          <w:rFonts w:ascii="Palatino Linotype" w:eastAsia="Arial Unicode MS" w:hAnsi="Palatino Linotype" w:cs="Arial"/>
          <w:bCs/>
          <w:sz w:val="24"/>
          <w:szCs w:val="24"/>
        </w:rPr>
        <w:t xml:space="preserve"> electrónico</w:t>
      </w:r>
      <w:r w:rsidR="00EC6E66">
        <w:rPr>
          <w:rFonts w:ascii="Palatino Linotype" w:eastAsia="Arial Unicode MS" w:hAnsi="Palatino Linotype" w:cs="Arial"/>
          <w:bCs/>
          <w:sz w:val="24"/>
          <w:szCs w:val="24"/>
        </w:rPr>
        <w:t>s</w:t>
      </w:r>
      <w:r>
        <w:rPr>
          <w:rFonts w:ascii="Palatino Linotype" w:eastAsia="Arial Unicode MS" w:hAnsi="Palatino Linotype" w:cs="Arial"/>
          <w:bCs/>
          <w:sz w:val="24"/>
          <w:szCs w:val="24"/>
        </w:rPr>
        <w:t xml:space="preserve"> denominado</w:t>
      </w:r>
      <w:r w:rsidR="00EC6E66">
        <w:rPr>
          <w:rFonts w:ascii="Palatino Linotype" w:eastAsia="Arial Unicode MS" w:hAnsi="Palatino Linotype" w:cs="Arial"/>
          <w:bCs/>
          <w:sz w:val="24"/>
          <w:szCs w:val="24"/>
        </w:rPr>
        <w:t>s</w:t>
      </w:r>
      <w:r>
        <w:rPr>
          <w:rFonts w:ascii="Palatino Linotype" w:eastAsia="Arial Unicode MS" w:hAnsi="Palatino Linotype" w:cs="Arial"/>
          <w:sz w:val="24"/>
          <w:szCs w:val="24"/>
        </w:rPr>
        <w:t xml:space="preserve"> </w:t>
      </w:r>
      <w:r>
        <w:rPr>
          <w:rFonts w:ascii="Palatino Linotype" w:hAnsi="Palatino Linotype" w:cs="Arial"/>
          <w:sz w:val="24"/>
          <w:szCs w:val="24"/>
        </w:rPr>
        <w:t>“</w:t>
      </w:r>
      <w:proofErr w:type="spellStart"/>
      <w:r w:rsidR="00EC6E66" w:rsidRPr="00EC6E66">
        <w:rPr>
          <w:rFonts w:ascii="Palatino Linotype" w:hAnsi="Palatino Linotype" w:cs="Arial"/>
          <w:i/>
          <w:sz w:val="24"/>
          <w:szCs w:val="24"/>
        </w:rPr>
        <w:t>Saimex</w:t>
      </w:r>
      <w:proofErr w:type="spellEnd"/>
      <w:r w:rsidR="00EC6E66" w:rsidRPr="00EC6E66">
        <w:rPr>
          <w:rFonts w:ascii="Palatino Linotype" w:hAnsi="Palatino Linotype" w:cs="Arial"/>
          <w:i/>
          <w:sz w:val="24"/>
          <w:szCs w:val="24"/>
        </w:rPr>
        <w:t xml:space="preserve"> 00670.pdf</w:t>
      </w:r>
      <w:r w:rsidR="00EC6E66">
        <w:rPr>
          <w:rFonts w:ascii="Palatino Linotype" w:hAnsi="Palatino Linotype" w:cs="Arial"/>
          <w:i/>
          <w:sz w:val="24"/>
          <w:szCs w:val="24"/>
        </w:rPr>
        <w:t>” y “</w:t>
      </w:r>
      <w:r w:rsidR="00EC6E66" w:rsidRPr="00EC6E66">
        <w:rPr>
          <w:rFonts w:ascii="Palatino Linotype" w:hAnsi="Palatino Linotype" w:cs="Arial"/>
          <w:i/>
          <w:sz w:val="24"/>
          <w:szCs w:val="24"/>
        </w:rPr>
        <w:t>Anexo Servicios Públicos 00670.pdf</w:t>
      </w:r>
      <w:r w:rsidRPr="006F3258">
        <w:rPr>
          <w:rFonts w:ascii="Palatino Linotype" w:hAnsi="Palatino Linotype" w:cs="Arial"/>
          <w:i/>
          <w:sz w:val="24"/>
          <w:szCs w:val="24"/>
        </w:rPr>
        <w:t>”</w:t>
      </w:r>
      <w:r w:rsidRPr="006F3258">
        <w:rPr>
          <w:rFonts w:ascii="Palatino Linotype" w:hAnsi="Palatino Linotype" w:cs="Arial"/>
          <w:sz w:val="24"/>
          <w:szCs w:val="24"/>
        </w:rPr>
        <w:t>;</w:t>
      </w:r>
      <w:r>
        <w:rPr>
          <w:rFonts w:ascii="Palatino Linotype" w:eastAsia="Arial Unicode MS" w:hAnsi="Palatino Linotype" w:cs="Arial"/>
          <w:sz w:val="24"/>
          <w:szCs w:val="24"/>
        </w:rPr>
        <w:t xml:space="preserve"> mismo</w:t>
      </w:r>
      <w:r w:rsidR="009460CA">
        <w:rPr>
          <w:rFonts w:ascii="Palatino Linotype" w:eastAsia="Arial Unicode MS" w:hAnsi="Palatino Linotype" w:cs="Arial"/>
          <w:sz w:val="24"/>
          <w:szCs w:val="24"/>
        </w:rPr>
        <w:t xml:space="preserve"> </w:t>
      </w:r>
      <w:r>
        <w:rPr>
          <w:rFonts w:ascii="Palatino Linotype" w:eastAsia="Arial Unicode MS" w:hAnsi="Palatino Linotype" w:cs="Arial"/>
          <w:sz w:val="24"/>
          <w:szCs w:val="24"/>
        </w:rPr>
        <w:t>que se describe a continuación:</w:t>
      </w:r>
    </w:p>
    <w:p w14:paraId="1FF2BE46" w14:textId="49279616" w:rsidR="002F2510" w:rsidRDefault="00EC6E66" w:rsidP="009460CA">
      <w:pPr>
        <w:pStyle w:val="Prrafodelista"/>
        <w:numPr>
          <w:ilvl w:val="0"/>
          <w:numId w:val="3"/>
        </w:numPr>
        <w:spacing w:line="360" w:lineRule="auto"/>
        <w:jc w:val="both"/>
        <w:rPr>
          <w:rFonts w:ascii="Palatino Linotype" w:eastAsia="Arial Unicode MS" w:hAnsi="Palatino Linotype" w:cs="Arial"/>
        </w:rPr>
      </w:pPr>
      <w:proofErr w:type="spellStart"/>
      <w:r w:rsidRPr="00EC6E66">
        <w:rPr>
          <w:rFonts w:ascii="Palatino Linotype" w:hAnsi="Palatino Linotype" w:cs="Arial"/>
          <w:b/>
          <w:bCs/>
        </w:rPr>
        <w:lastRenderedPageBreak/>
        <w:t>Saimex</w:t>
      </w:r>
      <w:proofErr w:type="spellEnd"/>
      <w:r w:rsidRPr="00EC6E66">
        <w:rPr>
          <w:rFonts w:ascii="Palatino Linotype" w:hAnsi="Palatino Linotype" w:cs="Arial"/>
          <w:b/>
          <w:bCs/>
        </w:rPr>
        <w:t xml:space="preserve"> 00670.pdf</w:t>
      </w:r>
      <w:r w:rsidR="002F2510" w:rsidRPr="009460CA">
        <w:rPr>
          <w:rFonts w:ascii="Palatino Linotype" w:eastAsia="Arial Unicode MS" w:hAnsi="Palatino Linotype" w:cs="Arial"/>
          <w:b/>
          <w:bCs/>
        </w:rPr>
        <w:t>:</w:t>
      </w:r>
      <w:r w:rsidR="002F2510" w:rsidRPr="009460CA">
        <w:rPr>
          <w:rFonts w:ascii="Palatino Linotype" w:eastAsia="Arial Unicode MS" w:hAnsi="Palatino Linotype" w:cs="Arial"/>
        </w:rPr>
        <w:t xml:space="preserve"> Documento consistente en </w:t>
      </w:r>
      <w:r>
        <w:rPr>
          <w:rFonts w:ascii="Palatino Linotype" w:eastAsia="Arial Unicode MS" w:hAnsi="Palatino Linotype" w:cs="Arial"/>
        </w:rPr>
        <w:t>dos</w:t>
      </w:r>
      <w:r w:rsidR="002F2510" w:rsidRPr="009460CA">
        <w:rPr>
          <w:rFonts w:ascii="Palatino Linotype" w:eastAsia="Arial Unicode MS" w:hAnsi="Palatino Linotype" w:cs="Arial"/>
        </w:rPr>
        <w:t xml:space="preserve"> (</w:t>
      </w:r>
      <w:r>
        <w:rPr>
          <w:rFonts w:ascii="Palatino Linotype" w:eastAsia="Arial Unicode MS" w:hAnsi="Palatino Linotype" w:cs="Arial"/>
        </w:rPr>
        <w:t>2</w:t>
      </w:r>
      <w:r w:rsidR="002F2510" w:rsidRPr="009460CA">
        <w:rPr>
          <w:rFonts w:ascii="Palatino Linotype" w:eastAsia="Arial Unicode MS" w:hAnsi="Palatino Linotype" w:cs="Arial"/>
        </w:rPr>
        <w:t>) foja</w:t>
      </w:r>
      <w:r>
        <w:rPr>
          <w:rFonts w:ascii="Palatino Linotype" w:eastAsia="Arial Unicode MS" w:hAnsi="Palatino Linotype" w:cs="Arial"/>
        </w:rPr>
        <w:t>s</w:t>
      </w:r>
      <w:r w:rsidR="002F2510" w:rsidRPr="009460CA">
        <w:rPr>
          <w:rFonts w:ascii="Palatino Linotype" w:eastAsia="Arial Unicode MS" w:hAnsi="Palatino Linotype" w:cs="Arial"/>
        </w:rPr>
        <w:t xml:space="preserve">, el cual contiene oficio de fecha </w:t>
      </w:r>
      <w:r>
        <w:rPr>
          <w:rFonts w:ascii="Palatino Linotype" w:eastAsia="Arial Unicode MS" w:hAnsi="Palatino Linotype" w:cs="Arial"/>
        </w:rPr>
        <w:t>cinco</w:t>
      </w:r>
      <w:r w:rsidR="002F2510" w:rsidRPr="009460CA">
        <w:rPr>
          <w:rFonts w:ascii="Palatino Linotype" w:eastAsia="Arial Unicode MS" w:hAnsi="Palatino Linotype" w:cs="Arial"/>
        </w:rPr>
        <w:t xml:space="preserve"> de </w:t>
      </w:r>
      <w:r>
        <w:rPr>
          <w:rFonts w:ascii="Palatino Linotype" w:eastAsia="Arial Unicode MS" w:hAnsi="Palatino Linotype" w:cs="Arial"/>
        </w:rPr>
        <w:t>abril</w:t>
      </w:r>
      <w:r w:rsidR="002F2510" w:rsidRPr="009460CA">
        <w:rPr>
          <w:rFonts w:ascii="Palatino Linotype" w:eastAsia="Arial Unicode MS" w:hAnsi="Palatino Linotype" w:cs="Arial"/>
        </w:rPr>
        <w:t xml:space="preserve"> de dos mil veintidós por medio del cual el Titular de la Unidad de Transparencia</w:t>
      </w:r>
      <w:r w:rsidR="009460CA" w:rsidRPr="009460CA">
        <w:rPr>
          <w:rFonts w:ascii="Palatino Linotype" w:eastAsia="Arial Unicode MS" w:hAnsi="Palatino Linotype" w:cs="Arial"/>
        </w:rPr>
        <w:t xml:space="preserve"> y Acceso a la Información Pública</w:t>
      </w:r>
      <w:r w:rsidR="002F2510" w:rsidRPr="009460CA">
        <w:rPr>
          <w:rFonts w:ascii="Palatino Linotype" w:eastAsia="Arial Unicode MS" w:hAnsi="Palatino Linotype" w:cs="Arial"/>
        </w:rPr>
        <w:t>, hace del conocimiento a</w:t>
      </w:r>
      <w:r>
        <w:rPr>
          <w:rFonts w:ascii="Palatino Linotype" w:eastAsia="Arial Unicode MS" w:hAnsi="Palatino Linotype" w:cs="Arial"/>
        </w:rPr>
        <w:t xml:space="preserve"> </w:t>
      </w:r>
      <w:r w:rsidR="002F2510" w:rsidRPr="009460CA">
        <w:rPr>
          <w:rFonts w:ascii="Palatino Linotype" w:eastAsia="Arial Unicode MS" w:hAnsi="Palatino Linotype" w:cs="Arial"/>
        </w:rPr>
        <w:t>l</w:t>
      </w:r>
      <w:r>
        <w:rPr>
          <w:rFonts w:ascii="Palatino Linotype" w:eastAsia="Arial Unicode MS" w:hAnsi="Palatino Linotype" w:cs="Arial"/>
        </w:rPr>
        <w:t>a</w:t>
      </w:r>
      <w:r w:rsidR="002F2510" w:rsidRPr="009460CA">
        <w:rPr>
          <w:rFonts w:ascii="Palatino Linotype" w:eastAsia="Arial Unicode MS" w:hAnsi="Palatino Linotype" w:cs="Arial"/>
        </w:rPr>
        <w:t xml:space="preserve"> solicitante que </w:t>
      </w:r>
      <w:r w:rsidR="00203B9A">
        <w:rPr>
          <w:rFonts w:ascii="Palatino Linotype" w:eastAsia="Arial Unicode MS" w:hAnsi="Palatino Linotype" w:cs="Arial"/>
        </w:rPr>
        <w:t xml:space="preserve">el Director General de Servicios Públicos y Servidor Público Habilitado informó que  </w:t>
      </w:r>
      <w:r w:rsidR="00203B9A" w:rsidRPr="009460CA">
        <w:rPr>
          <w:rFonts w:ascii="Palatino Linotype" w:eastAsia="Arial Unicode MS" w:hAnsi="Palatino Linotype" w:cs="Arial"/>
        </w:rPr>
        <w:t xml:space="preserve">después de una búsqueda exhaustiva y </w:t>
      </w:r>
      <w:r w:rsidR="00203B9A">
        <w:rPr>
          <w:rFonts w:ascii="Palatino Linotype" w:eastAsia="Arial Unicode MS" w:hAnsi="Palatino Linotype" w:cs="Arial"/>
        </w:rPr>
        <w:t>minuciosa</w:t>
      </w:r>
      <w:r w:rsidR="009460CA" w:rsidRPr="009460CA">
        <w:rPr>
          <w:rFonts w:ascii="Palatino Linotype" w:eastAsia="Arial Unicode MS" w:hAnsi="Palatino Linotype" w:cs="Arial"/>
        </w:rPr>
        <w:t xml:space="preserve">, </w:t>
      </w:r>
      <w:r w:rsidR="00F317A0">
        <w:rPr>
          <w:rFonts w:ascii="Palatino Linotype" w:eastAsia="Arial Unicode MS" w:hAnsi="Palatino Linotype" w:cs="Arial"/>
        </w:rPr>
        <w:t>en el periodo del 03 de</w:t>
      </w:r>
      <w:r w:rsidR="001A7732">
        <w:rPr>
          <w:rFonts w:ascii="Palatino Linotype" w:eastAsia="Arial Unicode MS" w:hAnsi="Palatino Linotype" w:cs="Arial"/>
        </w:rPr>
        <w:t xml:space="preserve"> enero al 22 de marzo del presente año, se han limpiado 30 monumentos</w:t>
      </w:r>
      <w:r w:rsidR="009460CA" w:rsidRPr="009460CA">
        <w:rPr>
          <w:rFonts w:ascii="Palatino Linotype" w:eastAsia="Arial Unicode MS" w:hAnsi="Palatino Linotype" w:cs="Arial"/>
        </w:rPr>
        <w:t>,</w:t>
      </w:r>
      <w:r w:rsidR="001A7732">
        <w:rPr>
          <w:rFonts w:ascii="Palatino Linotype" w:eastAsia="Arial Unicode MS" w:hAnsi="Palatino Linotype" w:cs="Arial"/>
        </w:rPr>
        <w:t xml:space="preserve"> anexando </w:t>
      </w:r>
      <w:r w:rsidR="009B0D7C">
        <w:rPr>
          <w:rFonts w:ascii="Palatino Linotype" w:eastAsia="Arial Unicode MS" w:hAnsi="Palatino Linotype" w:cs="Arial"/>
        </w:rPr>
        <w:t xml:space="preserve">el listado de la </w:t>
      </w:r>
      <w:r w:rsidR="001A7732">
        <w:rPr>
          <w:rFonts w:ascii="Palatino Linotype" w:eastAsia="Arial Unicode MS" w:hAnsi="Palatino Linotype" w:cs="Arial"/>
        </w:rPr>
        <w:t>ubicación de los mismos,</w:t>
      </w:r>
      <w:r w:rsidR="009460CA">
        <w:rPr>
          <w:rFonts w:ascii="Palatino Linotype" w:eastAsia="Arial Unicode MS" w:hAnsi="Palatino Linotype" w:cs="Arial"/>
        </w:rPr>
        <w:t xml:space="preserve"> </w:t>
      </w:r>
      <w:r w:rsidR="009B0D7C">
        <w:rPr>
          <w:rFonts w:ascii="Palatino Linotype" w:eastAsia="Arial Unicode MS" w:hAnsi="Palatino Linotype" w:cs="Arial"/>
        </w:rPr>
        <w:t>la cual se advierte en el archivo electrónico denominado “</w:t>
      </w:r>
      <w:r w:rsidR="009B0D7C" w:rsidRPr="00EC6E66">
        <w:rPr>
          <w:rFonts w:ascii="Palatino Linotype" w:hAnsi="Palatino Linotype" w:cs="Arial"/>
          <w:i/>
        </w:rPr>
        <w:t>Anexo Servicios Públicos 00670.pdf</w:t>
      </w:r>
      <w:r w:rsidR="009B0D7C">
        <w:rPr>
          <w:rFonts w:ascii="Palatino Linotype" w:hAnsi="Palatino Linotype" w:cs="Arial"/>
          <w:i/>
        </w:rPr>
        <w:t>”</w:t>
      </w:r>
      <w:r w:rsidR="009B0D7C">
        <w:rPr>
          <w:rFonts w:ascii="Palatino Linotype" w:eastAsia="Arial Unicode MS" w:hAnsi="Palatino Linotype" w:cs="Arial"/>
        </w:rPr>
        <w:t xml:space="preserve"> </w:t>
      </w:r>
      <w:r w:rsidR="009460CA">
        <w:rPr>
          <w:rFonts w:ascii="Palatino Linotype" w:eastAsia="Arial Unicode MS" w:hAnsi="Palatino Linotype" w:cs="Arial"/>
        </w:rPr>
        <w:t xml:space="preserve">tal y como se </w:t>
      </w:r>
      <w:r w:rsidR="009B0D7C">
        <w:rPr>
          <w:rFonts w:ascii="Palatino Linotype" w:eastAsia="Arial Unicode MS" w:hAnsi="Palatino Linotype" w:cs="Arial"/>
        </w:rPr>
        <w:t>muestra</w:t>
      </w:r>
      <w:r w:rsidR="009460CA">
        <w:rPr>
          <w:rFonts w:ascii="Palatino Linotype" w:eastAsia="Arial Unicode MS" w:hAnsi="Palatino Linotype" w:cs="Arial"/>
        </w:rPr>
        <w:t xml:space="preserve"> a continuación:</w:t>
      </w:r>
    </w:p>
    <w:p w14:paraId="44DFC1A4" w14:textId="2096642C" w:rsidR="001A7732" w:rsidRPr="001A7732" w:rsidRDefault="001A7732" w:rsidP="001A7732">
      <w:pPr>
        <w:spacing w:line="360" w:lineRule="auto"/>
        <w:jc w:val="center"/>
        <w:rPr>
          <w:rFonts w:ascii="Palatino Linotype" w:eastAsia="Arial Unicode MS" w:hAnsi="Palatino Linotype" w:cs="Arial"/>
        </w:rPr>
      </w:pPr>
      <w:r w:rsidRPr="0065213F">
        <w:rPr>
          <w:rFonts w:ascii="Palatino Linotype" w:hAnsi="Palatino Linotype" w:cs="Arial"/>
          <w:noProof/>
          <w:sz w:val="24"/>
          <w:szCs w:val="24"/>
          <w:lang w:eastAsia="es-MX"/>
        </w:rPr>
        <mc:AlternateContent>
          <mc:Choice Requires="wps">
            <w:drawing>
              <wp:anchor distT="0" distB="0" distL="114300" distR="114300" simplePos="0" relativeHeight="251659264" behindDoc="0" locked="0" layoutInCell="1" allowOverlap="1" wp14:anchorId="52475F4E" wp14:editId="7A6F6088">
                <wp:simplePos x="0" y="0"/>
                <wp:positionH relativeFrom="column">
                  <wp:posOffset>1015365</wp:posOffset>
                </wp:positionH>
                <wp:positionV relativeFrom="paragraph">
                  <wp:posOffset>135890</wp:posOffset>
                </wp:positionV>
                <wp:extent cx="3876675" cy="4448175"/>
                <wp:effectExtent l="19050" t="19050" r="28575" b="28575"/>
                <wp:wrapNone/>
                <wp:docPr id="6" name="Rectángulo 6"/>
                <wp:cNvGraphicFramePr/>
                <a:graphic xmlns:a="http://schemas.openxmlformats.org/drawingml/2006/main">
                  <a:graphicData uri="http://schemas.microsoft.com/office/word/2010/wordprocessingShape">
                    <wps:wsp>
                      <wps:cNvSpPr/>
                      <wps:spPr>
                        <a:xfrm>
                          <a:off x="0" y="0"/>
                          <a:ext cx="3876675" cy="4448175"/>
                        </a:xfrm>
                        <a:prstGeom prst="rect">
                          <a:avLst/>
                        </a:prstGeom>
                        <a:noFill/>
                        <a:ln w="381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58548B38" id="Rectángulo 6" o:spid="_x0000_s1026" style="position:absolute;margin-left:79.95pt;margin-top:10.7pt;width:305.25pt;height:35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" filled="f" strokecolor="red" strokeweight="3pt"/>
            </w:pict>
          </mc:Fallback>
        </mc:AlternateContent>
      </w:r>
      <w:r>
        <w:rPr>
          <w:noProof/>
        </w:rPr>
        <w:t xml:space="preserve"> </w:t>
      </w:r>
      <w:bookmarkStart w:id="5" w:name="_GoBack"/>
      <w:r>
        <w:rPr>
          <w:noProof/>
          <w:lang w:eastAsia="es-MX"/>
        </w:rPr>
        <w:drawing>
          <wp:inline distT="0" distB="0" distL="0" distR="0" wp14:anchorId="3C889814" wp14:editId="48D00429">
            <wp:extent cx="4076700" cy="4485715"/>
            <wp:effectExtent l="95250" t="114300" r="95250" b="105410"/>
            <wp:docPr id="2" name="Imagen 2" descr="Interfaz de usuario gráfic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nterfaz de usuario gráfica, Texto&#10;&#10;Descripción generada automáticamente"/>
                    <pic:cNvPicPr/>
                  </pic:nvPicPr>
                  <pic:blipFill rotWithShape="1">
                    <a:blip r:embed="rId7"/>
                    <a:srcRect l="33048" t="27205" r="33579" b="5363"/>
                    <a:stretch/>
                  </pic:blipFill>
                  <pic:spPr bwMode="auto">
                    <a:xfrm>
                      <a:off x="0" y="0"/>
                      <a:ext cx="4102415" cy="4514010"/>
                    </a:xfrm>
                    <a:prstGeom prst="rect">
                      <a:avLst/>
                    </a:prstGeom>
                    <a:ln>
                      <a:noFill/>
                    </a:ln>
                    <a:effectLst>
                      <a:outerShdw blurRad="63500" sx="102000" sy="102000" algn="ctr" rotWithShape="0">
                        <a:prstClr val="black">
                          <a:alpha val="40000"/>
                        </a:prstClr>
                      </a:outerShdw>
                    </a:effectLst>
                    <a:extLst>
                      <a:ext uri="{53640926-AAD7-44D8-BBD7-CCE9431645EC}">
                        <a14:shadowObscured xmlns:a14="http://schemas.microsoft.com/office/drawing/2010/main"/>
                      </a:ext>
                    </a:extLst>
                  </pic:spPr>
                </pic:pic>
              </a:graphicData>
            </a:graphic>
          </wp:inline>
        </w:drawing>
      </w:r>
      <w:bookmarkEnd w:id="5"/>
    </w:p>
    <w:p w14:paraId="3EEFED25" w14:textId="77777777" w:rsidR="009B0D7C" w:rsidRPr="009B0D7C" w:rsidRDefault="009B0D7C" w:rsidP="009B0D7C">
      <w:pPr>
        <w:spacing w:line="360" w:lineRule="auto"/>
        <w:ind w:left="360"/>
        <w:jc w:val="both"/>
        <w:rPr>
          <w:rFonts w:ascii="Palatino Linotype" w:eastAsia="Arial Unicode MS" w:hAnsi="Palatino Linotype" w:cs="Arial"/>
        </w:rPr>
      </w:pPr>
    </w:p>
    <w:bookmarkEnd w:id="2"/>
    <w:p w14:paraId="63D4D50A" w14:textId="77777777" w:rsidR="002F2510" w:rsidRDefault="002F2510" w:rsidP="002F2510">
      <w:pPr>
        <w:pStyle w:val="Sinespaciado"/>
        <w:spacing w:line="360" w:lineRule="auto"/>
        <w:jc w:val="both"/>
        <w:rPr>
          <w:rFonts w:ascii="Palatino Linotype" w:hAnsi="Palatino Linotype"/>
        </w:rPr>
      </w:pPr>
      <w:r>
        <w:rPr>
          <w:rFonts w:ascii="Palatino Linotype" w:hAnsi="Palatino Linotype"/>
        </w:rPr>
        <w:t>Asimismo</w:t>
      </w:r>
      <w:r w:rsidRPr="00B759E7">
        <w:rPr>
          <w:rFonts w:ascii="Palatino Linotype" w:hAnsi="Palatino Linotype"/>
        </w:rPr>
        <w:t xml:space="preserve">, es de recalcar que toda vez que existe un pronunciamiento por parte del </w:t>
      </w:r>
      <w:r w:rsidRPr="0066181B">
        <w:rPr>
          <w:rFonts w:ascii="Palatino Linotype" w:hAnsi="Palatino Linotype"/>
        </w:rPr>
        <w:t>Sujeto Obligado</w:t>
      </w:r>
      <w:r>
        <w:rPr>
          <w:rFonts w:ascii="Palatino Linotype" w:hAnsi="Palatino Linotype"/>
        </w:rPr>
        <w:t xml:space="preserve"> respecto al estado que guarda la información solicitada por la </w:t>
      </w:r>
      <w:r w:rsidRPr="0066181B">
        <w:rPr>
          <w:rFonts w:ascii="Palatino Linotype" w:hAnsi="Palatino Linotype"/>
        </w:rPr>
        <w:t>Recurrente</w:t>
      </w:r>
      <w:r w:rsidRPr="00B759E7">
        <w:rPr>
          <w:rFonts w:ascii="Palatino Linotype" w:hAnsi="Palatino Linotype"/>
        </w:rPr>
        <w:t>, este Órgano Garante estima conveniente señalar que no está facultado para manifestarse sobre la veracidad de la información proporcionada, ya que no existe precepto legal alguna en la Ley de la Materia que permita, vía recurso de revisión, que se pronuncia al respecto. Por analogía, sirve de apoyo a lo anterior el Criterio 31-10 emitido por el entonces Instituto Federal de Accesos a la Información y Protección de Datos, que a la letra establece</w:t>
      </w:r>
      <w:r>
        <w:rPr>
          <w:rFonts w:ascii="Palatino Linotype" w:hAnsi="Palatino Linotype"/>
        </w:rPr>
        <w:t xml:space="preserve"> lo siguiente:</w:t>
      </w:r>
    </w:p>
    <w:p w14:paraId="76FDC21D" w14:textId="77777777" w:rsidR="002F2510" w:rsidRPr="00B759E7" w:rsidRDefault="002F2510" w:rsidP="002F2510">
      <w:pPr>
        <w:pStyle w:val="Sinespaciado"/>
        <w:spacing w:line="360" w:lineRule="auto"/>
        <w:jc w:val="both"/>
        <w:rPr>
          <w:rFonts w:ascii="Palatino Linotype" w:hAnsi="Palatino Linotype"/>
        </w:rPr>
      </w:pPr>
    </w:p>
    <w:p w14:paraId="000CB871" w14:textId="77777777" w:rsidR="002F2510" w:rsidRPr="00307C48" w:rsidRDefault="002F2510" w:rsidP="002F2510">
      <w:pPr>
        <w:pStyle w:val="Sinespaciado"/>
        <w:ind w:left="567" w:right="567"/>
        <w:jc w:val="both"/>
        <w:rPr>
          <w:rFonts w:ascii="Palatino Linotype" w:hAnsi="Palatino Linotype"/>
          <w:i/>
          <w:sz w:val="22"/>
        </w:rPr>
      </w:pPr>
      <w:r w:rsidRPr="00307C48">
        <w:rPr>
          <w:rFonts w:ascii="Palatino Linotype" w:hAnsi="Palatino Linotype"/>
          <w:i/>
          <w:sz w:val="22"/>
        </w:rPr>
        <w:t>“</w:t>
      </w:r>
      <w:r w:rsidRPr="00307C48">
        <w:rPr>
          <w:rFonts w:ascii="Palatino Linotype" w:hAnsi="Palatino Linotype"/>
          <w:b/>
          <w:i/>
          <w:sz w:val="22"/>
          <w:u w:val="single"/>
        </w:rPr>
        <w:t>El Instituto Federal de Acceso a la Información y Protección de Datos no cuenta con facultades para pronunciarse respecto de la veracidad de los documentos proporcionados por los sujetos obligados.</w:t>
      </w:r>
      <w:r w:rsidRPr="00307C48">
        <w:rPr>
          <w:rFonts w:ascii="Palatino Linotype" w:hAnsi="Palatino Linotype"/>
          <w:i/>
          <w:sz w:val="22"/>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Accesos a la Información Pública Gubernamental no se prevé una causal que permita al Instituto Federal de Acceso a la Información y Protección de Datos conocer, vía recurso de revisión, al respecto.”</w:t>
      </w:r>
    </w:p>
    <w:p w14:paraId="030C7BBB" w14:textId="77777777" w:rsidR="002F2510" w:rsidRDefault="002F2510" w:rsidP="002F2510">
      <w:pPr>
        <w:spacing w:after="0" w:line="360" w:lineRule="auto"/>
        <w:rPr>
          <w:rFonts w:ascii="Palatino Linotype" w:eastAsia="Arial Unicode MS" w:hAnsi="Palatino Linotype" w:cs="Arial"/>
          <w:sz w:val="24"/>
          <w:szCs w:val="24"/>
        </w:rPr>
      </w:pPr>
    </w:p>
    <w:p w14:paraId="10F35CA6" w14:textId="1562E001" w:rsidR="002F2510" w:rsidRPr="00481D99" w:rsidRDefault="002F2510" w:rsidP="002F2510">
      <w:pPr>
        <w:spacing w:after="0" w:line="360" w:lineRule="auto"/>
        <w:ind w:right="141"/>
        <w:jc w:val="both"/>
        <w:rPr>
          <w:rFonts w:ascii="Palatino Linotype" w:hAnsi="Palatino Linotype" w:cs="Arial"/>
          <w:bCs/>
          <w:sz w:val="24"/>
          <w:szCs w:val="24"/>
        </w:rPr>
      </w:pPr>
      <w:r>
        <w:rPr>
          <w:rFonts w:ascii="Palatino Linotype" w:hAnsi="Palatino Linotype" w:cs="Arial"/>
          <w:bCs/>
          <w:sz w:val="24"/>
          <w:szCs w:val="24"/>
        </w:rPr>
        <w:t>D</w:t>
      </w:r>
      <w:r w:rsidRPr="00481D99">
        <w:rPr>
          <w:rFonts w:ascii="Palatino Linotype" w:hAnsi="Palatino Linotype" w:cs="Arial"/>
          <w:bCs/>
          <w:sz w:val="24"/>
          <w:szCs w:val="24"/>
        </w:rPr>
        <w:t xml:space="preserve">erivado de la respuesta emitida por </w:t>
      </w:r>
      <w:r w:rsidRPr="0066170C">
        <w:rPr>
          <w:rFonts w:ascii="Palatino Linotype" w:hAnsi="Palatino Linotype" w:cs="Arial"/>
          <w:bCs/>
          <w:sz w:val="24"/>
          <w:szCs w:val="24"/>
        </w:rPr>
        <w:t>el</w:t>
      </w:r>
      <w:r w:rsidRPr="00481D99">
        <w:rPr>
          <w:rFonts w:ascii="Palatino Linotype" w:hAnsi="Palatino Linotype" w:cs="Arial"/>
          <w:b/>
          <w:bCs/>
          <w:sz w:val="24"/>
          <w:szCs w:val="24"/>
        </w:rPr>
        <w:t xml:space="preserve"> Sujeto Obligado</w:t>
      </w:r>
      <w:r w:rsidRPr="00481D99">
        <w:rPr>
          <w:rFonts w:ascii="Palatino Linotype" w:hAnsi="Palatino Linotype" w:cs="Arial"/>
          <w:bCs/>
          <w:sz w:val="24"/>
          <w:szCs w:val="24"/>
        </w:rPr>
        <w:t xml:space="preserve">, </w:t>
      </w:r>
      <w:r w:rsidRPr="00611EFB">
        <w:rPr>
          <w:rFonts w:ascii="Palatino Linotype" w:hAnsi="Palatino Linotype" w:cs="Arial"/>
          <w:b/>
          <w:sz w:val="24"/>
          <w:szCs w:val="24"/>
        </w:rPr>
        <w:t xml:space="preserve">la </w:t>
      </w:r>
      <w:r w:rsidRPr="00481D99">
        <w:rPr>
          <w:rFonts w:ascii="Palatino Linotype" w:hAnsi="Palatino Linotype" w:cs="Arial"/>
          <w:b/>
          <w:bCs/>
          <w:sz w:val="24"/>
          <w:szCs w:val="24"/>
        </w:rPr>
        <w:t>Recurrente</w:t>
      </w:r>
      <w:r w:rsidRPr="00481D99">
        <w:rPr>
          <w:rFonts w:ascii="Palatino Linotype" w:hAnsi="Palatino Linotype" w:cs="Arial"/>
          <w:bCs/>
          <w:sz w:val="24"/>
          <w:szCs w:val="24"/>
        </w:rPr>
        <w:t xml:space="preserve">, interpuso el presente recurso de revisión, señalando sustancialmente </w:t>
      </w:r>
      <w:r>
        <w:rPr>
          <w:rFonts w:ascii="Palatino Linotype" w:hAnsi="Palatino Linotype" w:cs="Arial"/>
          <w:bCs/>
          <w:sz w:val="24"/>
          <w:szCs w:val="24"/>
        </w:rPr>
        <w:t>en su medio de impugnación</w:t>
      </w:r>
      <w:r w:rsidRPr="00481D99">
        <w:rPr>
          <w:rFonts w:ascii="Palatino Linotype" w:hAnsi="Palatino Linotype" w:cs="Arial"/>
          <w:bCs/>
          <w:sz w:val="24"/>
          <w:szCs w:val="24"/>
        </w:rPr>
        <w:t>, lo siguiente:</w:t>
      </w:r>
    </w:p>
    <w:p w14:paraId="633617C6" w14:textId="1A8D1AA6" w:rsidR="00205952" w:rsidRDefault="00205952" w:rsidP="002F2510">
      <w:pPr>
        <w:spacing w:after="0" w:line="360" w:lineRule="auto"/>
        <w:ind w:left="567" w:right="567"/>
        <w:jc w:val="both"/>
        <w:rPr>
          <w:rFonts w:ascii="Palatino Linotype" w:eastAsia="Arial Unicode MS" w:hAnsi="Palatino Linotype" w:cs="Arial"/>
          <w:sz w:val="24"/>
          <w:szCs w:val="24"/>
        </w:rPr>
      </w:pPr>
    </w:p>
    <w:p w14:paraId="32440781" w14:textId="76E0B85A" w:rsidR="00060745" w:rsidRDefault="00060745" w:rsidP="002F2510">
      <w:pPr>
        <w:spacing w:after="0" w:line="360" w:lineRule="auto"/>
        <w:ind w:left="567" w:right="567"/>
        <w:jc w:val="both"/>
        <w:rPr>
          <w:rFonts w:ascii="Palatino Linotype" w:eastAsia="Arial Unicode MS" w:hAnsi="Palatino Linotype" w:cs="Arial"/>
          <w:sz w:val="24"/>
          <w:szCs w:val="24"/>
        </w:rPr>
      </w:pPr>
    </w:p>
    <w:p w14:paraId="260D4264" w14:textId="77777777" w:rsidR="00060745" w:rsidRDefault="00060745" w:rsidP="002F2510">
      <w:pPr>
        <w:spacing w:after="0" w:line="360" w:lineRule="auto"/>
        <w:ind w:left="567" w:right="567"/>
        <w:jc w:val="both"/>
        <w:rPr>
          <w:rFonts w:ascii="Palatino Linotype" w:eastAsia="Arial Unicode MS" w:hAnsi="Palatino Linotype" w:cs="Arial"/>
          <w:sz w:val="24"/>
          <w:szCs w:val="24"/>
        </w:rPr>
      </w:pPr>
    </w:p>
    <w:p w14:paraId="2D3AFBEA" w14:textId="1E5E1660" w:rsidR="002F2510" w:rsidRDefault="002F2510" w:rsidP="002F2510">
      <w:pPr>
        <w:spacing w:after="0" w:line="360" w:lineRule="auto"/>
        <w:ind w:left="567" w:right="567"/>
        <w:jc w:val="both"/>
        <w:rPr>
          <w:rFonts w:ascii="Palatino Linotype" w:hAnsi="Palatino Linotype" w:cs="Arial"/>
          <w:i/>
          <w:sz w:val="24"/>
        </w:rPr>
      </w:pPr>
      <w:r w:rsidRPr="00611EFB">
        <w:rPr>
          <w:rFonts w:ascii="Palatino Linotype" w:eastAsia="Arial Unicode MS" w:hAnsi="Palatino Linotype" w:cs="Arial"/>
          <w:sz w:val="24"/>
          <w:szCs w:val="24"/>
        </w:rPr>
        <w:t>“</w:t>
      </w:r>
      <w:r w:rsidR="00060745" w:rsidRPr="00060745">
        <w:rPr>
          <w:rFonts w:ascii="Palatino Linotype" w:eastAsia="Arial Unicode MS" w:hAnsi="Palatino Linotype" w:cs="Arial"/>
          <w:i/>
          <w:sz w:val="24"/>
          <w:szCs w:val="24"/>
        </w:rPr>
        <w:t>SE CONTRADICEN LA RESPUESTA, PRIMERO LA TITULAR DE LA UNIDAD DE TRANSPARENCIA NORMA PEREZ ME DICE QUE NO TIENE LA INFORMACION Y DESPUES ANEXAN UN DOCUMENTO CON INFORMACION DE SERVICIOS PUBLICOS EN DONDE ENLISTA LOS MONUMENTOS. PONGANSE DE ACUERDO</w:t>
      </w:r>
      <w:r w:rsidRPr="0013154D">
        <w:rPr>
          <w:rFonts w:ascii="Palatino Linotype" w:hAnsi="Palatino Linotype" w:cs="Arial"/>
          <w:i/>
          <w:sz w:val="24"/>
        </w:rPr>
        <w:t>”</w:t>
      </w:r>
      <w:r w:rsidRPr="00667998">
        <w:rPr>
          <w:rFonts w:ascii="Palatino Linotype" w:hAnsi="Palatino Linotype" w:cs="Arial"/>
          <w:i/>
          <w:sz w:val="24"/>
        </w:rPr>
        <w:t xml:space="preserve"> (Sic)</w:t>
      </w:r>
      <w:r>
        <w:rPr>
          <w:rFonts w:ascii="Palatino Linotype" w:hAnsi="Palatino Linotype" w:cs="Arial"/>
          <w:i/>
          <w:sz w:val="24"/>
        </w:rPr>
        <w:t>.</w:t>
      </w:r>
    </w:p>
    <w:p w14:paraId="4ADF005F" w14:textId="77777777" w:rsidR="002F2510" w:rsidRDefault="002F2510" w:rsidP="002F2510">
      <w:pPr>
        <w:spacing w:after="0" w:line="360" w:lineRule="auto"/>
        <w:jc w:val="both"/>
        <w:rPr>
          <w:rFonts w:ascii="Palatino Linotype" w:hAnsi="Palatino Linotype"/>
          <w:sz w:val="24"/>
          <w:szCs w:val="24"/>
        </w:rPr>
      </w:pPr>
    </w:p>
    <w:p w14:paraId="681E1779" w14:textId="77777777" w:rsidR="002F2510" w:rsidRPr="00667998" w:rsidRDefault="002F2510" w:rsidP="002F2510">
      <w:pPr>
        <w:spacing w:after="0" w:line="360" w:lineRule="auto"/>
        <w:jc w:val="both"/>
        <w:rPr>
          <w:rFonts w:ascii="Palatino Linotype" w:eastAsia="Times New Roman" w:hAnsi="Palatino Linotype"/>
          <w:sz w:val="24"/>
          <w:lang w:eastAsia="es-MX"/>
        </w:rPr>
      </w:pPr>
      <w:r>
        <w:rPr>
          <w:rFonts w:ascii="Palatino Linotype" w:hAnsi="Palatino Linotype" w:cs="Arial"/>
          <w:sz w:val="24"/>
          <w:szCs w:val="24"/>
        </w:rPr>
        <w:t>Ahora bien, e</w:t>
      </w:r>
      <w:r w:rsidRPr="00667998">
        <w:rPr>
          <w:rFonts w:ascii="Palatino Linotype" w:hAnsi="Palatino Linotype" w:cs="Arial"/>
          <w:sz w:val="24"/>
          <w:szCs w:val="24"/>
        </w:rPr>
        <w:t xml:space="preserve">s de precisar que, aunque la solicitud de información y la respuesta estén dirigidas y atendidas por un </w:t>
      </w:r>
      <w:r w:rsidRPr="00667998">
        <w:rPr>
          <w:rFonts w:ascii="Palatino Linotype" w:hAnsi="Palatino Linotype" w:cs="Arial"/>
          <w:b/>
          <w:sz w:val="24"/>
          <w:szCs w:val="24"/>
        </w:rPr>
        <w:t>Sujeto Obligado</w:t>
      </w:r>
      <w:r w:rsidRPr="00667998">
        <w:rPr>
          <w:rFonts w:ascii="Palatino Linotype" w:hAnsi="Palatino Linotype" w:cs="Arial"/>
          <w:sz w:val="24"/>
          <w:szCs w:val="24"/>
        </w:rPr>
        <w:t xml:space="preserve">, lo cierto es que también tienen diversas Unidades Administrativas y cada área cuenta con un </w:t>
      </w:r>
      <w:r w:rsidRPr="00667998">
        <w:rPr>
          <w:rFonts w:ascii="Palatino Linotype" w:hAnsi="Palatino Linotype" w:cs="Arial"/>
          <w:b/>
          <w:sz w:val="24"/>
          <w:szCs w:val="24"/>
        </w:rPr>
        <w:t>Servidor Público Habilitado</w:t>
      </w:r>
      <w:r w:rsidRPr="00667998">
        <w:rPr>
          <w:rFonts w:ascii="Palatino Linotype" w:hAnsi="Palatino Linotype" w:cs="Arial"/>
          <w:sz w:val="24"/>
          <w:szCs w:val="24"/>
        </w:rPr>
        <w:t>, que es la persona encargada de apoyar, gestionar y entregar la información o datos personales que se ubiquen en la misma, a sus respectivas unidades de transparencia; respecto de las solicitudes presentadas y aportar en primera instancia el fundamento y motivación de la clasificación de la información al Titular de la Unidad de Transparencia de los Sujetos Obligados, lo anterior de conformidad con los artícu</w:t>
      </w:r>
      <w:r>
        <w:rPr>
          <w:rFonts w:ascii="Palatino Linotype" w:hAnsi="Palatino Linotype" w:cs="Arial"/>
          <w:sz w:val="24"/>
          <w:szCs w:val="24"/>
        </w:rPr>
        <w:t xml:space="preserve">los 3 fracción XXXIX, 58 y 59, </w:t>
      </w:r>
      <w:r w:rsidRPr="00667998">
        <w:rPr>
          <w:rFonts w:ascii="Palatino Linotype" w:hAnsi="Palatino Linotype" w:cs="Arial"/>
          <w:sz w:val="24"/>
          <w:szCs w:val="24"/>
        </w:rPr>
        <w:t>de la Ley en la materia, que estipulan lo siguiente:</w:t>
      </w:r>
    </w:p>
    <w:p w14:paraId="65776A6D" w14:textId="77777777" w:rsidR="002F2510" w:rsidRPr="009A2D76" w:rsidRDefault="002F2510" w:rsidP="002F2510">
      <w:pPr>
        <w:pStyle w:val="Sinespaciado"/>
        <w:rPr>
          <w:rFonts w:ascii="Palatino Linotype" w:hAnsi="Palatino Linotype"/>
        </w:rPr>
      </w:pPr>
    </w:p>
    <w:p w14:paraId="313ABFE6"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3.</w:t>
      </w:r>
      <w:r w:rsidRPr="00667998">
        <w:rPr>
          <w:rFonts w:ascii="Palatino Linotype" w:hAnsi="Palatino Linotype" w:cs="Arial"/>
          <w:i/>
          <w:szCs w:val="24"/>
        </w:rPr>
        <w:t xml:space="preserve"> Para los efectos de la presente Ley se entenderá por:</w:t>
      </w:r>
    </w:p>
    <w:p w14:paraId="35E0AE66"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078F62B7"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 xml:space="preserve">XXXIX. Servidor público habilitado: </w:t>
      </w:r>
      <w:r w:rsidRPr="00667998">
        <w:rPr>
          <w:rFonts w:ascii="Palatino Linotype" w:hAnsi="Palatino Linotype" w:cs="Arial"/>
          <w:i/>
          <w:szCs w:val="24"/>
        </w:rPr>
        <w:t>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14:paraId="22CAA9EC" w14:textId="77777777" w:rsidR="002F2510" w:rsidRPr="009A2D76"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w:t>
      </w:r>
    </w:p>
    <w:p w14:paraId="53E5995A" w14:textId="77777777" w:rsidR="002F2510" w:rsidRDefault="002F2510" w:rsidP="002F2510">
      <w:pPr>
        <w:autoSpaceDE w:val="0"/>
        <w:autoSpaceDN w:val="0"/>
        <w:adjustRightInd w:val="0"/>
        <w:spacing w:after="0" w:line="240" w:lineRule="auto"/>
        <w:ind w:left="567" w:right="567"/>
        <w:jc w:val="both"/>
        <w:rPr>
          <w:rFonts w:ascii="Palatino Linotype" w:hAnsi="Palatino Linotype" w:cs="Arial"/>
          <w:b/>
          <w:i/>
          <w:szCs w:val="24"/>
        </w:rPr>
      </w:pPr>
    </w:p>
    <w:p w14:paraId="2A38EAA3"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t>Artículo 58.</w:t>
      </w:r>
      <w:r w:rsidRPr="00667998">
        <w:rPr>
          <w:rFonts w:ascii="Palatino Linotype" w:hAnsi="Palatino Linotype" w:cs="Arial"/>
          <w:i/>
          <w:szCs w:val="24"/>
        </w:rPr>
        <w:t xml:space="preserve"> Los servidores públicos habilitados serán designados por el titular del sujeto obligado a propuesta del responsable de la Unidad de Transparencia.</w:t>
      </w:r>
    </w:p>
    <w:p w14:paraId="648E39FE"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p>
    <w:p w14:paraId="3F53A9C1"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b/>
          <w:i/>
          <w:szCs w:val="24"/>
        </w:rPr>
        <w:lastRenderedPageBreak/>
        <w:t>Artículo 59.</w:t>
      </w:r>
      <w:r w:rsidRPr="00667998">
        <w:rPr>
          <w:rFonts w:ascii="Palatino Linotype" w:hAnsi="Palatino Linotype" w:cs="Arial"/>
          <w:i/>
          <w:szCs w:val="24"/>
        </w:rPr>
        <w:t xml:space="preserve"> </w:t>
      </w:r>
      <w:r w:rsidRPr="00667998">
        <w:rPr>
          <w:rFonts w:ascii="Palatino Linotype" w:hAnsi="Palatino Linotype" w:cs="Arial"/>
          <w:b/>
          <w:i/>
          <w:szCs w:val="24"/>
          <w:u w:val="single"/>
        </w:rPr>
        <w:t>Los servidores públicos habilitados</w:t>
      </w:r>
      <w:r w:rsidRPr="00667998">
        <w:rPr>
          <w:rFonts w:ascii="Palatino Linotype" w:hAnsi="Palatino Linotype" w:cs="Arial"/>
          <w:i/>
          <w:szCs w:val="24"/>
        </w:rPr>
        <w:t xml:space="preserve"> tendrán las funciones siguientes:</w:t>
      </w:r>
    </w:p>
    <w:p w14:paraId="07A41AD9" w14:textId="77777777" w:rsidR="002F2510" w:rsidRPr="00667998" w:rsidRDefault="002F2510" w:rsidP="002F2510">
      <w:pPr>
        <w:autoSpaceDE w:val="0"/>
        <w:autoSpaceDN w:val="0"/>
        <w:adjustRightInd w:val="0"/>
        <w:spacing w:after="0" w:line="240" w:lineRule="auto"/>
        <w:ind w:left="567" w:right="567"/>
        <w:jc w:val="both"/>
        <w:rPr>
          <w:rFonts w:ascii="Palatino Linotype" w:hAnsi="Palatino Linotype" w:cs="Arial"/>
          <w:i/>
          <w:szCs w:val="24"/>
        </w:rPr>
      </w:pPr>
      <w:r w:rsidRPr="00667998">
        <w:rPr>
          <w:rFonts w:ascii="Palatino Linotype" w:hAnsi="Palatino Linotype" w:cs="Arial"/>
          <w:i/>
          <w:szCs w:val="24"/>
        </w:rPr>
        <w:t xml:space="preserve">I. </w:t>
      </w:r>
      <w:r w:rsidRPr="00667998">
        <w:rPr>
          <w:rFonts w:ascii="Palatino Linotype" w:hAnsi="Palatino Linotype" w:cs="Arial"/>
          <w:b/>
          <w:i/>
          <w:szCs w:val="24"/>
          <w:u w:val="single"/>
        </w:rPr>
        <w:t>Localizar la información que le solicite la Unidad de Transparencia</w:t>
      </w:r>
      <w:r w:rsidRPr="00667998">
        <w:rPr>
          <w:rFonts w:ascii="Palatino Linotype" w:hAnsi="Palatino Linotype" w:cs="Arial"/>
          <w:i/>
          <w:szCs w:val="24"/>
        </w:rPr>
        <w:t>;</w:t>
      </w:r>
    </w:p>
    <w:p w14:paraId="3DA6A01E"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 xml:space="preserve">II. </w:t>
      </w:r>
      <w:r w:rsidRPr="00667998">
        <w:rPr>
          <w:rFonts w:ascii="Palatino Linotype" w:hAnsi="Palatino Linotype" w:cs="Arial"/>
          <w:b/>
          <w:i/>
          <w:szCs w:val="24"/>
          <w:u w:val="single"/>
        </w:rPr>
        <w:t>Proporcionar la información que obre en los archivos y que le sea solicitada por la Unidad de Transparencia</w:t>
      </w:r>
      <w:r w:rsidRPr="00667998">
        <w:rPr>
          <w:rFonts w:ascii="Palatino Linotype" w:hAnsi="Palatino Linotype" w:cs="Arial"/>
          <w:i/>
          <w:szCs w:val="24"/>
        </w:rPr>
        <w:t>;</w:t>
      </w:r>
    </w:p>
    <w:p w14:paraId="3C597BF6"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III. Apoyar a la Unidad de Transparencia en lo que esta le solicite para el cumplimiento de sus funciones;</w:t>
      </w:r>
    </w:p>
    <w:p w14:paraId="4FF556C5"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IV. Proporcionar a la Unidad de Transparencia, las modificaciones a la información pública de oficio que obre en su poder;</w:t>
      </w:r>
    </w:p>
    <w:p w14:paraId="120EAB92"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 Integrar y presentar al responsable de la Unidad de Transparencia la propuesta de clasificación de información, la cual tendrá los fundamentos y argumentos en que se basa dicha propuesta;</w:t>
      </w:r>
    </w:p>
    <w:p w14:paraId="57D8B802"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 Verificar, una vez analizado el contenido de la información, que no se encuentre en los supuestos de información clasificada; y</w:t>
      </w:r>
    </w:p>
    <w:p w14:paraId="301818DE"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Cs w:val="24"/>
        </w:rPr>
      </w:pPr>
      <w:r w:rsidRPr="00667998">
        <w:rPr>
          <w:rFonts w:ascii="Palatino Linotype" w:hAnsi="Palatino Linotype" w:cs="Arial"/>
          <w:i/>
          <w:szCs w:val="24"/>
        </w:rPr>
        <w:t>VII. Dar cuenta a la Unidad de Transparencia del vencimiento de los plazos de reserva.</w:t>
      </w:r>
    </w:p>
    <w:p w14:paraId="277EC4F5" w14:textId="77777777" w:rsidR="002F2510" w:rsidRPr="00667998" w:rsidRDefault="002F2510" w:rsidP="002F2510">
      <w:pPr>
        <w:autoSpaceDE w:val="0"/>
        <w:autoSpaceDN w:val="0"/>
        <w:adjustRightInd w:val="0"/>
        <w:spacing w:after="0" w:line="240" w:lineRule="auto"/>
        <w:ind w:left="567" w:right="708"/>
        <w:jc w:val="both"/>
        <w:rPr>
          <w:rFonts w:ascii="Palatino Linotype" w:hAnsi="Palatino Linotype" w:cs="Arial"/>
          <w:i/>
          <w:sz w:val="24"/>
          <w:szCs w:val="24"/>
        </w:rPr>
      </w:pPr>
    </w:p>
    <w:p w14:paraId="28AB739B" w14:textId="77777777" w:rsidR="00EF0DD4" w:rsidRDefault="00EF0DD4" w:rsidP="002F2510">
      <w:pPr>
        <w:pStyle w:val="Sinespaciado"/>
        <w:spacing w:line="360" w:lineRule="auto"/>
        <w:jc w:val="both"/>
        <w:rPr>
          <w:rFonts w:ascii="Palatino Linotype" w:hAnsi="Palatino Linotype"/>
        </w:rPr>
      </w:pPr>
    </w:p>
    <w:p w14:paraId="547EC498" w14:textId="1006CDDC" w:rsidR="002F2510" w:rsidRDefault="002F2510" w:rsidP="002F2510">
      <w:pPr>
        <w:pStyle w:val="Sinespaciado"/>
        <w:spacing w:line="360" w:lineRule="auto"/>
        <w:jc w:val="both"/>
        <w:rPr>
          <w:rFonts w:ascii="Palatino Linotype" w:hAnsi="Palatino Linotype"/>
        </w:rPr>
      </w:pPr>
      <w:r>
        <w:rPr>
          <w:rFonts w:ascii="Palatino Linotype" w:hAnsi="Palatino Linotype"/>
        </w:rPr>
        <w:t xml:space="preserve">Cabe señalar que el Sujeto Obligado turno la solicitud de información al área que de acuerdo a sus funciones es la encargada de llevar el tema relacionado con los </w:t>
      </w:r>
      <w:r w:rsidR="00205952">
        <w:rPr>
          <w:rFonts w:ascii="Palatino Linotype" w:hAnsi="Palatino Linotype"/>
        </w:rPr>
        <w:t>egres</w:t>
      </w:r>
      <w:r>
        <w:rPr>
          <w:rFonts w:ascii="Palatino Linotype" w:hAnsi="Palatino Linotype"/>
        </w:rPr>
        <w:t>os del municipio, por ser el Servidor Público Habilitado que cuenta con la información y quien se pronunció al respecto, informando</w:t>
      </w:r>
      <w:r w:rsidR="00060745">
        <w:rPr>
          <w:rFonts w:ascii="Palatino Linotype" w:hAnsi="Palatino Linotype"/>
        </w:rPr>
        <w:t xml:space="preserve"> que  </w:t>
      </w:r>
      <w:r w:rsidR="00060745">
        <w:rPr>
          <w:rFonts w:ascii="Palatino Linotype" w:eastAsia="Arial Unicode MS" w:hAnsi="Palatino Linotype" w:cs="Arial"/>
        </w:rPr>
        <w:t>en el periodo del 03 de enero al 22 de marzo del presente año, se han limpiado 30 monumentos</w:t>
      </w:r>
      <w:r w:rsidR="00060745" w:rsidRPr="009460CA">
        <w:rPr>
          <w:rFonts w:ascii="Palatino Linotype" w:eastAsia="Arial Unicode MS" w:hAnsi="Palatino Linotype" w:cs="Arial"/>
        </w:rPr>
        <w:t>,</w:t>
      </w:r>
      <w:r w:rsidR="00060745">
        <w:rPr>
          <w:rFonts w:ascii="Palatino Linotype" w:eastAsia="Arial Unicode MS" w:hAnsi="Palatino Linotype" w:cs="Arial"/>
        </w:rPr>
        <w:t xml:space="preserve"> anexando ubicación de los mismos</w:t>
      </w:r>
      <w:r>
        <w:rPr>
          <w:rFonts w:ascii="Palatino Linotype" w:hAnsi="Palatino Linotype"/>
        </w:rPr>
        <w:t>, tal y como lo requirió la</w:t>
      </w:r>
      <w:r w:rsidR="00060745">
        <w:rPr>
          <w:rFonts w:ascii="Palatino Linotype" w:hAnsi="Palatino Linotype"/>
        </w:rPr>
        <w:t xml:space="preserve"> </w:t>
      </w:r>
      <w:r>
        <w:rPr>
          <w:rFonts w:ascii="Palatino Linotype" w:hAnsi="Palatino Linotype"/>
        </w:rPr>
        <w:t xml:space="preserve">Recurrente; y como se advierten las atribuciones del Tesorero, en </w:t>
      </w:r>
      <w:r w:rsidR="00205952">
        <w:rPr>
          <w:rFonts w:ascii="Palatino Linotype" w:hAnsi="Palatino Linotype"/>
        </w:rPr>
        <w:t>el</w:t>
      </w:r>
      <w:r>
        <w:rPr>
          <w:rFonts w:ascii="Palatino Linotype" w:hAnsi="Palatino Linotype"/>
        </w:rPr>
        <w:t xml:space="preserve"> artículo </w:t>
      </w:r>
      <w:r w:rsidR="00205952">
        <w:rPr>
          <w:rFonts w:ascii="Palatino Linotype" w:hAnsi="Palatino Linotype"/>
        </w:rPr>
        <w:t>3</w:t>
      </w:r>
      <w:r w:rsidR="00CB3A61">
        <w:rPr>
          <w:rFonts w:ascii="Palatino Linotype" w:hAnsi="Palatino Linotype"/>
        </w:rPr>
        <w:t>.52</w:t>
      </w:r>
      <w:r>
        <w:rPr>
          <w:rFonts w:ascii="Palatino Linotype" w:hAnsi="Palatino Linotype"/>
        </w:rPr>
        <w:t xml:space="preserve"> del </w:t>
      </w:r>
      <w:r w:rsidR="00205952">
        <w:rPr>
          <w:rFonts w:ascii="Palatino Linotype" w:hAnsi="Palatino Linotype"/>
        </w:rPr>
        <w:t xml:space="preserve">Código Reglamentario del Municipio de </w:t>
      </w:r>
      <w:r w:rsidR="00CB3A61">
        <w:rPr>
          <w:rFonts w:ascii="Palatino Linotype" w:hAnsi="Palatino Linotype"/>
        </w:rPr>
        <w:t>Toluca</w:t>
      </w:r>
      <w:r>
        <w:rPr>
          <w:rFonts w:ascii="Palatino Linotype" w:hAnsi="Palatino Linotype"/>
        </w:rPr>
        <w:t>, mismo que establece lo siguiente:</w:t>
      </w:r>
    </w:p>
    <w:p w14:paraId="1E48D968" w14:textId="77777777" w:rsidR="002F2510" w:rsidRDefault="002F2510" w:rsidP="002F2510">
      <w:pPr>
        <w:pStyle w:val="Sinespaciado"/>
      </w:pPr>
    </w:p>
    <w:p w14:paraId="501A380E"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b/>
          <w:bCs/>
          <w:i/>
          <w:iCs/>
        </w:rPr>
        <w:t>Artículo 3.52</w:t>
      </w:r>
      <w:r w:rsidRPr="00CB3A61">
        <w:rPr>
          <w:rFonts w:ascii="Palatino Linotype" w:hAnsi="Palatino Linotype"/>
          <w:i/>
          <w:iCs/>
        </w:rPr>
        <w:t xml:space="preserve">. La o el titular de la </w:t>
      </w:r>
      <w:r w:rsidRPr="009046B9">
        <w:rPr>
          <w:rFonts w:ascii="Palatino Linotype" w:hAnsi="Palatino Linotype"/>
          <w:b/>
          <w:bCs/>
          <w:i/>
          <w:iCs/>
        </w:rPr>
        <w:t>Dirección General de Servicios Públicos</w:t>
      </w:r>
      <w:r w:rsidRPr="00CB3A61">
        <w:rPr>
          <w:rFonts w:ascii="Palatino Linotype" w:hAnsi="Palatino Linotype"/>
          <w:i/>
          <w:iCs/>
        </w:rPr>
        <w:t xml:space="preserve"> tendrá las siguientes atribuciones: </w:t>
      </w:r>
    </w:p>
    <w:p w14:paraId="2ECE9F67"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I. Dirigir, coordinar, administrar y planear la prestación de los servicios públicos cuidando que la prestación de estos tenga el menor impacto negativo para el medio ambiente; </w:t>
      </w:r>
    </w:p>
    <w:p w14:paraId="685663B5"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II. Derogada; </w:t>
      </w:r>
    </w:p>
    <w:p w14:paraId="78E5993D"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lastRenderedPageBreak/>
        <w:t xml:space="preserve">III. Instruir el mantenimiento y reparación de las luminarias, focos, fotoceldas, contactos, arbotantes, bases y cualquier parte integrante del sistema de alumbrado público municipal; </w:t>
      </w:r>
    </w:p>
    <w:p w14:paraId="50A99741"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IV. Proponer y coordinar la planeación estratégica del alumbrado público en el municipio con las instancias federales, estatales y del sector privado; </w:t>
      </w:r>
    </w:p>
    <w:p w14:paraId="7EBBC52E"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V. Derogada; </w:t>
      </w:r>
    </w:p>
    <w:p w14:paraId="02C43C50"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VI. Promover la organización y participación ciudadana en los trabajos y acciones colectivas que contribuyan a mejorar el alumbrado público, los parques, jardines y panteones; </w:t>
      </w:r>
    </w:p>
    <w:p w14:paraId="6CD234BA"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VII. Coordinar, supervisar y dar mantenimiento a la instalación de arbotantes con sistema electrónico que generen la iluminación en calles, calzadas, edificios públicos y lugares de uso común; </w:t>
      </w:r>
    </w:p>
    <w:p w14:paraId="778C54AC"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VIII. Evaluar y supervisar los proyectos e instalaciones de alumbrado público que realicen los titulares de fraccionamientos o conjuntos urbanos, y emitir en su caso, el visto bueno cuando hagan entrega de los mismos al Ayuntamiento; </w:t>
      </w:r>
    </w:p>
    <w:p w14:paraId="5DCD2882"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IX. Proponer e instrumentar programas, en coordinación con las autoridades federales y estatales competentes, para mantener y ampliar la red de la infraestructura urbana municipal; </w:t>
      </w:r>
    </w:p>
    <w:p w14:paraId="37114676"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 Supervisar permanentemente las redes e instalaciones de alumbrado público, así como su mantenimiento y buen estado y apoyar las acciones necesarias para dotar de alumbrado público a las poblaciones rurales del municipio; </w:t>
      </w:r>
    </w:p>
    <w:p w14:paraId="32C1C58B" w14:textId="77777777" w:rsidR="00CB3A61" w:rsidRDefault="00CB3A61" w:rsidP="00695184">
      <w:pPr>
        <w:pStyle w:val="Sinespaciado"/>
        <w:ind w:left="708" w:right="567" w:hanging="141"/>
        <w:jc w:val="both"/>
        <w:rPr>
          <w:rFonts w:ascii="Palatino Linotype" w:hAnsi="Palatino Linotype"/>
          <w:i/>
          <w:iCs/>
        </w:rPr>
      </w:pPr>
      <w:r w:rsidRPr="00695184">
        <w:rPr>
          <w:rFonts w:ascii="Palatino Linotype" w:hAnsi="Palatino Linotype"/>
          <w:b/>
          <w:bCs/>
          <w:i/>
          <w:iCs/>
        </w:rPr>
        <w:t>XI. Dirigir, coordinar y administrar el mantenimiento de las instalaciones y el equipo necesario para la prestación de los servicios públicos municipales que tiene a su cargo</w:t>
      </w:r>
      <w:r w:rsidRPr="00CB3A61">
        <w:rPr>
          <w:rFonts w:ascii="Palatino Linotype" w:hAnsi="Palatino Linotype"/>
          <w:i/>
          <w:iCs/>
        </w:rPr>
        <w:t xml:space="preserve">; </w:t>
      </w:r>
    </w:p>
    <w:p w14:paraId="560CE276"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XII. Coordinar la administración, mantenimiento y protección de los panteones a cargo del Ayuntamiento; </w:t>
      </w:r>
    </w:p>
    <w:p w14:paraId="304C9592"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XIII. Verificar el control de inhumaciones, exhumaciones, así como los refrendos por el uso de las fosas en el Panteón General y el Cementerio Municipal; </w:t>
      </w:r>
    </w:p>
    <w:p w14:paraId="46C706E9" w14:textId="77777777" w:rsidR="00695184"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XIV. Derogada; </w:t>
      </w:r>
    </w:p>
    <w:p w14:paraId="3E95C367" w14:textId="77F9D756"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XV. Capacitar a las y los delegados, subdelegados y presidentes de los consejos de participación ciudadana responsables de la administración sectorial de los panteones, en relación a la normatividad, organización y funcionamiento de los mismos; </w:t>
      </w:r>
    </w:p>
    <w:p w14:paraId="596FADC2"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XVI. Solicitar y revisar el informe mensual de las y los delegados y subdelegados que realizan la función de administrador de panteones y de las y los Presidentes de los consejos de participación ciudadana encargados de los panteones de administración sectorial; </w:t>
      </w:r>
    </w:p>
    <w:p w14:paraId="100F3C08" w14:textId="77777777" w:rsidR="00695184" w:rsidRDefault="00CB3A61" w:rsidP="00CB3A61">
      <w:pPr>
        <w:pStyle w:val="Sinespaciado"/>
        <w:ind w:left="567" w:right="567"/>
        <w:jc w:val="both"/>
        <w:rPr>
          <w:rFonts w:ascii="Palatino Linotype" w:hAnsi="Palatino Linotype"/>
          <w:i/>
          <w:iCs/>
        </w:rPr>
      </w:pPr>
      <w:r w:rsidRPr="00CB3A61">
        <w:rPr>
          <w:rFonts w:ascii="Palatino Linotype" w:hAnsi="Palatino Linotype"/>
          <w:i/>
          <w:iCs/>
        </w:rPr>
        <w:lastRenderedPageBreak/>
        <w:t xml:space="preserve">XVII. Establecer y dirigir el Sistema Municipal de Inhumaciones; </w:t>
      </w:r>
    </w:p>
    <w:p w14:paraId="23A23B67" w14:textId="5C60FE78"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XVIII. Llevar a cabo la recuperación de fosas y criptas, a través del procedimiento administrativo común que prevé el Código de Procedimientos Administrativos del Estado; </w:t>
      </w:r>
    </w:p>
    <w:p w14:paraId="73448941" w14:textId="2752841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XIX. Coordinar los servicios de limpia, recolección, transporte, transferencia y disposición final de residuos sólidos; </w:t>
      </w:r>
    </w:p>
    <w:p w14:paraId="67516521"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XX. Coordinar el transporte y depósito de residuos sólidos urbanos y de manejo especial a los sitios de disposición final que establezca el Ayuntamiento; promoviendo su reutilización; </w:t>
      </w:r>
    </w:p>
    <w:p w14:paraId="26A8FDE7"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XXI. Proponer acciones para la creación y manejo de centros de trasferencia y rellenos sanitarios; </w:t>
      </w:r>
    </w:p>
    <w:p w14:paraId="679DE33E"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XXII. Realizar la recolección de residuos sólidos urbanos y de manejo especial, que estarán debidamente separados en orgánicos e inorgánicos, de las casas habitación, en vías y sitios públicos, así como de edificios de uso particular; </w:t>
      </w:r>
    </w:p>
    <w:p w14:paraId="0567E0D0"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XXIII. Coordinar la poda, derribo, extracción o remoción de árboles de la vegetación urbana del municipio; </w:t>
      </w:r>
    </w:p>
    <w:p w14:paraId="0BF8D4F4" w14:textId="77777777" w:rsid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 xml:space="preserve">XXIV. Imponer medidas preventivas o provisionales de seguridad para la poda y retiro de árboles en bienes de dominio público; </w:t>
      </w:r>
    </w:p>
    <w:p w14:paraId="15F995A8" w14:textId="77777777" w:rsidR="00CB3A61" w:rsidRDefault="00CB3A61" w:rsidP="00CB3A61">
      <w:pPr>
        <w:pStyle w:val="Sinespaciado"/>
        <w:ind w:left="567" w:right="567"/>
        <w:jc w:val="both"/>
        <w:rPr>
          <w:rFonts w:ascii="Palatino Linotype" w:hAnsi="Palatino Linotype"/>
          <w:i/>
          <w:iCs/>
        </w:rPr>
      </w:pPr>
      <w:r w:rsidRPr="00695184">
        <w:rPr>
          <w:rFonts w:ascii="Palatino Linotype" w:hAnsi="Palatino Linotype"/>
          <w:b/>
          <w:bCs/>
          <w:i/>
          <w:iCs/>
        </w:rPr>
        <w:t>XXV. Coordinar y vigilar las acciones de instalación, conservación y mantenimiento de la infraestructura urbana municipal</w:t>
      </w:r>
      <w:r w:rsidRPr="00CB3A61">
        <w:rPr>
          <w:rFonts w:ascii="Palatino Linotype" w:hAnsi="Palatino Linotype"/>
          <w:i/>
          <w:iCs/>
        </w:rPr>
        <w:t xml:space="preserve">; y </w:t>
      </w:r>
    </w:p>
    <w:p w14:paraId="46574D8C" w14:textId="640E5C58" w:rsidR="002F2510" w:rsidRPr="00CB3A61" w:rsidRDefault="00CB3A61" w:rsidP="00CB3A61">
      <w:pPr>
        <w:pStyle w:val="Sinespaciado"/>
        <w:ind w:left="567" w:right="567"/>
        <w:jc w:val="both"/>
        <w:rPr>
          <w:rFonts w:ascii="Palatino Linotype" w:hAnsi="Palatino Linotype"/>
          <w:i/>
          <w:iCs/>
        </w:rPr>
      </w:pPr>
      <w:r w:rsidRPr="00CB3A61">
        <w:rPr>
          <w:rFonts w:ascii="Palatino Linotype" w:hAnsi="Palatino Linotype"/>
          <w:i/>
          <w:iCs/>
        </w:rPr>
        <w:t>XXVI. Las demás que le confieran otros ordenamientos jurídicos, el H. Ayuntamiento y el presidente municipal.</w:t>
      </w:r>
    </w:p>
    <w:p w14:paraId="1E46BE0A" w14:textId="77777777" w:rsidR="008359F3" w:rsidRPr="00CB3A61" w:rsidRDefault="008359F3" w:rsidP="00CB3A61">
      <w:pPr>
        <w:pStyle w:val="Sinespaciado"/>
        <w:spacing w:line="360" w:lineRule="auto"/>
        <w:jc w:val="both"/>
        <w:rPr>
          <w:rFonts w:ascii="Palatino Linotype" w:hAnsi="Palatino Linotype"/>
          <w:i/>
          <w:iCs/>
          <w:lang w:eastAsia="es-MX"/>
        </w:rPr>
      </w:pPr>
    </w:p>
    <w:p w14:paraId="1AF558BB" w14:textId="77777777" w:rsidR="002F2510" w:rsidRPr="00667998" w:rsidRDefault="002F2510" w:rsidP="002F2510">
      <w:pPr>
        <w:pStyle w:val="Sinespaciado"/>
        <w:spacing w:line="360" w:lineRule="auto"/>
        <w:jc w:val="both"/>
        <w:rPr>
          <w:rFonts w:ascii="Palatino Linotype" w:hAnsi="Palatino Linotype"/>
          <w:lang w:eastAsia="es-MX"/>
        </w:rPr>
      </w:pPr>
      <w:r w:rsidRPr="00667998">
        <w:rPr>
          <w:rFonts w:ascii="Palatino Linotype" w:hAnsi="Palatino Linotype"/>
          <w:lang w:eastAsia="es-MX"/>
        </w:rPr>
        <w:t>En otras palabras, cumplió con lo que para tal efecto dispone el artículo 162 de la Ley de Transparencia y Acceso a la Información Pública del Estado de México y Municipios, que índica:</w:t>
      </w:r>
    </w:p>
    <w:p w14:paraId="5159C244" w14:textId="77777777" w:rsidR="002F2510" w:rsidRPr="00A2119F" w:rsidRDefault="002F2510" w:rsidP="002F2510">
      <w:pPr>
        <w:spacing w:after="0" w:line="360" w:lineRule="auto"/>
        <w:jc w:val="both"/>
        <w:rPr>
          <w:rFonts w:ascii="Palatino Linotype" w:eastAsia="Times New Roman" w:hAnsi="Palatino Linotype"/>
          <w:sz w:val="24"/>
          <w:lang w:eastAsia="es-MX"/>
        </w:rPr>
      </w:pPr>
    </w:p>
    <w:p w14:paraId="7B7E9DB7" w14:textId="77777777" w:rsidR="002F2510" w:rsidRPr="00667998" w:rsidRDefault="002F2510" w:rsidP="002F2510">
      <w:pPr>
        <w:spacing w:after="0" w:line="240" w:lineRule="auto"/>
        <w:ind w:left="567"/>
        <w:jc w:val="both"/>
        <w:rPr>
          <w:rFonts w:ascii="Palatino Linotype" w:eastAsia="Times New Roman" w:hAnsi="Palatino Linotype"/>
          <w:i/>
          <w:szCs w:val="20"/>
          <w:lang w:eastAsia="es-MX"/>
        </w:rPr>
      </w:pPr>
      <w:r w:rsidRPr="00667998">
        <w:rPr>
          <w:rFonts w:ascii="Palatino Linotype" w:eastAsia="Times New Roman" w:hAnsi="Palatino Linotype"/>
          <w:i/>
          <w:szCs w:val="20"/>
          <w:lang w:eastAsia="es-MX"/>
        </w:rPr>
        <w:t>“</w:t>
      </w:r>
      <w:r w:rsidRPr="00667998">
        <w:rPr>
          <w:rFonts w:ascii="Palatino Linotype" w:eastAsia="Times New Roman" w:hAnsi="Palatino Linotype"/>
          <w:b/>
          <w:bCs/>
          <w:i/>
          <w:szCs w:val="20"/>
          <w:lang w:eastAsia="es-MX"/>
        </w:rPr>
        <w:t xml:space="preserve">Artículo 162. </w:t>
      </w:r>
      <w:r w:rsidRPr="00667998">
        <w:rPr>
          <w:rFonts w:ascii="Palatino Linotype" w:eastAsia="Times New Roman" w:hAnsi="Palatino Linotype"/>
          <w:i/>
          <w:szCs w:val="20"/>
          <w:u w:val="single"/>
          <w:lang w:eastAsia="es-MX"/>
        </w:rPr>
        <w:t>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r w:rsidRPr="00667998">
        <w:rPr>
          <w:rFonts w:ascii="Palatino Linotype" w:eastAsia="Times New Roman" w:hAnsi="Palatino Linotype"/>
          <w:i/>
          <w:szCs w:val="20"/>
          <w:lang w:eastAsia="es-MX"/>
        </w:rPr>
        <w:t>”</w:t>
      </w:r>
    </w:p>
    <w:p w14:paraId="43756EB7" w14:textId="77777777" w:rsidR="002F2510" w:rsidRDefault="002F2510" w:rsidP="002F2510">
      <w:pPr>
        <w:spacing w:after="0" w:line="360" w:lineRule="auto"/>
        <w:jc w:val="both"/>
        <w:rPr>
          <w:rFonts w:ascii="Palatino Linotype" w:hAnsi="Palatino Linotype"/>
          <w:sz w:val="24"/>
        </w:rPr>
      </w:pPr>
    </w:p>
    <w:p w14:paraId="0B25386D" w14:textId="77777777" w:rsidR="00EF0DD4" w:rsidRDefault="00EF0DD4" w:rsidP="002F2510">
      <w:pPr>
        <w:spacing w:after="0" w:line="360" w:lineRule="auto"/>
        <w:jc w:val="both"/>
        <w:rPr>
          <w:rFonts w:ascii="Palatino Linotype" w:hAnsi="Palatino Linotype"/>
          <w:sz w:val="24"/>
        </w:rPr>
      </w:pPr>
    </w:p>
    <w:p w14:paraId="2DF26E30" w14:textId="77777777" w:rsidR="002F2510" w:rsidRPr="00667998" w:rsidRDefault="002F2510" w:rsidP="002F2510">
      <w:pPr>
        <w:spacing w:after="0" w:line="360" w:lineRule="auto"/>
        <w:jc w:val="both"/>
        <w:rPr>
          <w:rFonts w:ascii="Palatino Linotype" w:hAnsi="Palatino Linotype"/>
          <w:sz w:val="24"/>
        </w:rPr>
      </w:pPr>
      <w:r w:rsidRPr="00667998">
        <w:rPr>
          <w:rFonts w:ascii="Palatino Linotype" w:hAnsi="Palatino Linotype"/>
          <w:sz w:val="24"/>
        </w:rPr>
        <w:lastRenderedPageBreak/>
        <w:t>Aunado a lo que establece la Ley de Transparencia y Acceso a la Información Pública del Estado de México y Municipios que establece:</w:t>
      </w:r>
    </w:p>
    <w:p w14:paraId="4879F0F1" w14:textId="77777777" w:rsidR="002F2510" w:rsidRPr="00667998" w:rsidRDefault="002F2510" w:rsidP="002F2510">
      <w:pPr>
        <w:spacing w:after="0" w:line="360" w:lineRule="auto"/>
        <w:jc w:val="both"/>
        <w:rPr>
          <w:rFonts w:ascii="Palatino Linotype" w:hAnsi="Palatino Linotype"/>
          <w:sz w:val="24"/>
        </w:rPr>
      </w:pPr>
    </w:p>
    <w:p w14:paraId="091D2EA9"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3.</w:t>
      </w:r>
      <w:r w:rsidRPr="00667998">
        <w:rPr>
          <w:rFonts w:ascii="Palatino Linotype" w:hAnsi="Palatino Linotype"/>
          <w:i/>
          <w:sz w:val="22"/>
          <w:szCs w:val="22"/>
        </w:rPr>
        <w:t xml:space="preserve"> Para los efectos de la presente Ley se entenderá por:</w:t>
      </w:r>
    </w:p>
    <w:p w14:paraId="3F93CC75"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XI.</w:t>
      </w:r>
      <w:r w:rsidRPr="00667998">
        <w:rPr>
          <w:rFonts w:ascii="Palatino Linotype" w:hAnsi="Palatino Linotype"/>
          <w:i/>
          <w:sz w:val="22"/>
          <w:szCs w:val="22"/>
        </w:rPr>
        <w:t xml:space="preserve"> </w:t>
      </w:r>
      <w:r w:rsidRPr="00667998">
        <w:rPr>
          <w:rFonts w:ascii="Palatino Linotype" w:hAnsi="Palatino Linotype"/>
          <w:b/>
          <w:i/>
          <w:sz w:val="22"/>
          <w:szCs w:val="22"/>
        </w:rPr>
        <w:t>Documento:</w:t>
      </w:r>
      <w:r w:rsidRPr="00667998">
        <w:rPr>
          <w:rFonts w:ascii="Palatino Linotype" w:hAnsi="Palatino Linotype"/>
          <w:i/>
          <w:sz w:val="22"/>
          <w:szCs w:val="22"/>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24176DC9"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b/>
          <w:i/>
          <w:sz w:val="22"/>
          <w:szCs w:val="22"/>
        </w:rPr>
      </w:pPr>
    </w:p>
    <w:p w14:paraId="31DB8439"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4.</w:t>
      </w:r>
      <w:r w:rsidRPr="00667998">
        <w:rPr>
          <w:rFonts w:ascii="Palatino Linotype" w:hAnsi="Palatino Linotype"/>
          <w:i/>
          <w:sz w:val="22"/>
          <w:szCs w:val="22"/>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D6C4E21"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4EFE3682"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p>
    <w:p w14:paraId="097DEFFF"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i/>
          <w:sz w:val="22"/>
          <w:szCs w:val="22"/>
        </w:rPr>
        <w:t>Los sujetos obligados deben poner en práctica, políticas y programas de acceso a la información que se apeguen a criterios de publicidad, veracidad, oportunidad, precisión y suficiencia en beneficio de los solicitantes.</w:t>
      </w:r>
    </w:p>
    <w:p w14:paraId="3F6CCA26"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b/>
          <w:i/>
          <w:sz w:val="22"/>
          <w:szCs w:val="22"/>
        </w:rPr>
      </w:pPr>
    </w:p>
    <w:p w14:paraId="4B93FCB4"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i/>
          <w:sz w:val="22"/>
          <w:szCs w:val="22"/>
        </w:rPr>
      </w:pPr>
      <w:r w:rsidRPr="00667998">
        <w:rPr>
          <w:rFonts w:ascii="Palatino Linotype" w:hAnsi="Palatino Linotype"/>
          <w:b/>
          <w:i/>
          <w:sz w:val="22"/>
          <w:szCs w:val="22"/>
        </w:rPr>
        <w:t>Artículo 12.</w:t>
      </w:r>
      <w:r w:rsidRPr="00667998">
        <w:rPr>
          <w:rFonts w:ascii="Palatino Linotype" w:hAnsi="Palatino Linotype"/>
          <w:i/>
          <w:sz w:val="22"/>
          <w:szCs w:val="22"/>
        </w:rPr>
        <w:t xml:space="preserve"> Quienes generen, recopilen, administren, manejen, procesen, archiven o conserven información pública serán responsables de la misma en los términos de las disposiciones jurídicas aplicables.</w:t>
      </w:r>
    </w:p>
    <w:p w14:paraId="07526A9F" w14:textId="77777777" w:rsidR="002F2510" w:rsidRPr="00667998" w:rsidRDefault="002F2510" w:rsidP="002F2510">
      <w:pPr>
        <w:pStyle w:val="Prrafodelista"/>
        <w:widowControl w:val="0"/>
        <w:autoSpaceDE w:val="0"/>
        <w:autoSpaceDN w:val="0"/>
        <w:adjustRightInd w:val="0"/>
        <w:ind w:left="567" w:right="616"/>
        <w:jc w:val="both"/>
        <w:rPr>
          <w:rFonts w:ascii="Palatino Linotype" w:hAnsi="Palatino Linotype"/>
          <w:b/>
          <w:i/>
          <w:sz w:val="22"/>
          <w:szCs w:val="22"/>
        </w:rPr>
      </w:pPr>
      <w:r w:rsidRPr="00667998">
        <w:rPr>
          <w:rFonts w:ascii="Palatino Linotype" w:hAnsi="Palatino Linotype"/>
          <w:i/>
          <w:sz w:val="22"/>
          <w:szCs w:val="22"/>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667998">
        <w:rPr>
          <w:rFonts w:ascii="Palatino Linotype" w:hAnsi="Palatino Linotype"/>
          <w:b/>
          <w:i/>
          <w:sz w:val="22"/>
          <w:szCs w:val="22"/>
        </w:rPr>
        <w:t xml:space="preserve">” </w:t>
      </w:r>
      <w:r w:rsidRPr="00667998">
        <w:rPr>
          <w:rFonts w:ascii="Palatino Linotype" w:hAnsi="Palatino Linotype"/>
          <w:i/>
          <w:sz w:val="22"/>
          <w:szCs w:val="22"/>
        </w:rPr>
        <w:t>(sic)</w:t>
      </w:r>
    </w:p>
    <w:p w14:paraId="7FD11872" w14:textId="77777777" w:rsidR="002F2510" w:rsidRDefault="002F2510" w:rsidP="002F2510">
      <w:pPr>
        <w:pStyle w:val="Sinespaciado"/>
      </w:pPr>
    </w:p>
    <w:p w14:paraId="62DA6614" w14:textId="77777777" w:rsidR="00ED53C9" w:rsidRDefault="00ED53C9" w:rsidP="002F2510">
      <w:pPr>
        <w:spacing w:after="0" w:line="360" w:lineRule="auto"/>
        <w:jc w:val="both"/>
        <w:rPr>
          <w:rFonts w:ascii="Palatino Linotype" w:hAnsi="Palatino Linotype" w:cs="Arial"/>
          <w:sz w:val="24"/>
        </w:rPr>
      </w:pPr>
    </w:p>
    <w:p w14:paraId="13A3C095" w14:textId="6B84DB35" w:rsidR="002F2510" w:rsidRPr="00667998"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rPr>
        <w:t>En efecto, de los artículos mencionados, se desprende que la información pública es la contenida en los documentos que los Sujetos Obligados generan en ejercicio de sus atribuciones, siendo así que dichos documentos se constituyen por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siendo que dichos documentos pueden estar en cualquier medio, sea escrito, impreso, sonoro, visual, electrónico, informático u holográfico; y el derecho de acceso a la información es la facultad que tiene toda persona para acceder a la información pública generada o en poder de los Sujetos Obligados conforme a la Ley de la materia.</w:t>
      </w:r>
    </w:p>
    <w:p w14:paraId="0C1FCEA7" w14:textId="77777777" w:rsidR="002F2510" w:rsidRPr="00667998" w:rsidRDefault="002F2510" w:rsidP="002F2510">
      <w:pPr>
        <w:spacing w:after="0" w:line="360" w:lineRule="auto"/>
        <w:jc w:val="both"/>
        <w:rPr>
          <w:rFonts w:ascii="Palatino Linotype" w:hAnsi="Palatino Linotype" w:cs="Arial"/>
          <w:sz w:val="24"/>
        </w:rPr>
      </w:pPr>
    </w:p>
    <w:p w14:paraId="3B478AD3" w14:textId="77777777" w:rsidR="002F2510" w:rsidRPr="005029C5" w:rsidRDefault="002F2510" w:rsidP="002F2510">
      <w:pPr>
        <w:pStyle w:val="Textoindependiente2"/>
        <w:spacing w:after="0" w:line="360" w:lineRule="auto"/>
        <w:jc w:val="both"/>
        <w:rPr>
          <w:rFonts w:ascii="Palatino Linotype" w:eastAsia="Calibri" w:hAnsi="Palatino Linotype" w:cs="Arial"/>
          <w:sz w:val="24"/>
          <w:szCs w:val="24"/>
        </w:rPr>
      </w:pPr>
      <w:r w:rsidRPr="005029C5">
        <w:rPr>
          <w:rFonts w:ascii="Palatino Linotype" w:eastAsia="Calibri" w:hAnsi="Palatino Linotype" w:cs="Arial"/>
          <w:sz w:val="24"/>
          <w:szCs w:val="24"/>
        </w:rPr>
        <w:t>Así también, se dispone que</w:t>
      </w:r>
      <w:r w:rsidRPr="005029C5">
        <w:rPr>
          <w:rFonts w:ascii="Palatino Linotype" w:hAnsi="Palatino Linotype"/>
          <w:sz w:val="24"/>
          <w:szCs w:val="24"/>
        </w:rPr>
        <w:t xml:space="preserve"> </w:t>
      </w:r>
      <w:r w:rsidRPr="005029C5">
        <w:rPr>
          <w:rFonts w:ascii="Palatino Linotype" w:eastAsia="Calibri" w:hAnsi="Palatino Linotype" w:cs="Arial"/>
          <w:sz w:val="24"/>
          <w:szCs w:val="24"/>
        </w:rPr>
        <w:t>toda la información generada, obtenida, adquirida, transformada, administrada o en posesión de los Sujetos Obligados es pública y accesible de manera permanente a cualquier persona, y que éstos sólo proporcionarán la información que generen en ejercicio de sus atribuciones, por lo que la obligación de proporcionar información no comprende el procesamiento de la misma, ni el presentarla conforme al interés del solicitante, por lo que los Sujetos Obligados no están constreñidos a generarla, resumirla, efectuar cálculos o practicar investigaciones.</w:t>
      </w:r>
    </w:p>
    <w:p w14:paraId="42A5964C" w14:textId="77777777" w:rsidR="002F2510" w:rsidRDefault="002F2510" w:rsidP="002F2510">
      <w:pPr>
        <w:spacing w:after="0" w:line="360" w:lineRule="auto"/>
        <w:jc w:val="both"/>
        <w:rPr>
          <w:rFonts w:ascii="Palatino Linotype" w:hAnsi="Palatino Linotype" w:cs="Arial"/>
          <w:sz w:val="24"/>
        </w:rPr>
      </w:pPr>
    </w:p>
    <w:p w14:paraId="6583ACB0" w14:textId="77777777" w:rsidR="002F2510" w:rsidRPr="00667998" w:rsidRDefault="002F2510" w:rsidP="002F2510">
      <w:pPr>
        <w:spacing w:after="0" w:line="360" w:lineRule="auto"/>
        <w:jc w:val="both"/>
        <w:rPr>
          <w:rFonts w:ascii="Palatino Linotype" w:hAnsi="Palatino Linotype" w:cs="Arial"/>
          <w:sz w:val="24"/>
        </w:rPr>
      </w:pPr>
      <w:r w:rsidRPr="00667998">
        <w:rPr>
          <w:rFonts w:ascii="Palatino Linotype" w:hAnsi="Palatino Linotype" w:cs="Arial"/>
          <w:sz w:val="24"/>
        </w:rPr>
        <w:lastRenderedPageBreak/>
        <w:t xml:space="preserve">En este contexto, </w:t>
      </w:r>
      <w:r w:rsidRPr="00667998">
        <w:rPr>
          <w:rFonts w:ascii="Palatino Linotype" w:hAnsi="Palatino Linotype" w:cs="Arial"/>
          <w:sz w:val="24"/>
          <w:lang w:eastAsia="es-MX"/>
        </w:rPr>
        <w:t xml:space="preserve">el </w:t>
      </w:r>
      <w:r w:rsidRPr="00667998">
        <w:rPr>
          <w:rFonts w:ascii="Palatino Linotype" w:hAnsi="Palatino Linotype" w:cs="Arial"/>
          <w:b/>
          <w:sz w:val="24"/>
          <w:lang w:eastAsia="es-MX"/>
        </w:rPr>
        <w:t>Sujeto Obligado</w:t>
      </w:r>
      <w:r w:rsidRPr="00667998">
        <w:rPr>
          <w:rFonts w:ascii="Palatino Linotype" w:hAnsi="Palatino Linotype" w:cs="Arial"/>
          <w:sz w:val="24"/>
        </w:rPr>
        <w:t xml:space="preserve"> no está obligado a generar documento </w:t>
      </w:r>
      <w:r w:rsidRPr="00667998">
        <w:rPr>
          <w:rFonts w:ascii="Palatino Linotype" w:hAnsi="Palatino Linotype" w:cs="Arial"/>
          <w:b/>
          <w:i/>
          <w:sz w:val="24"/>
        </w:rPr>
        <w:t>ad hoc</w:t>
      </w:r>
      <w:r w:rsidRPr="00667998">
        <w:rPr>
          <w:rFonts w:ascii="Palatino Linotype" w:hAnsi="Palatino Linotype" w:cs="Arial"/>
          <w:sz w:val="24"/>
        </w:rPr>
        <w:t xml:space="preserve"> para para satisfacer el derecho de acceso, situación que no está permitida dentro de la materia de acceso a la información.</w:t>
      </w:r>
    </w:p>
    <w:p w14:paraId="0784B5EE" w14:textId="77777777" w:rsidR="002F2510" w:rsidRDefault="002F2510" w:rsidP="002F2510">
      <w:pPr>
        <w:spacing w:after="0" w:line="360" w:lineRule="auto"/>
        <w:jc w:val="both"/>
        <w:rPr>
          <w:rFonts w:ascii="Palatino Linotype" w:hAnsi="Palatino Linotype" w:cs="Arial"/>
          <w:color w:val="000000"/>
          <w:sz w:val="24"/>
        </w:rPr>
      </w:pPr>
    </w:p>
    <w:p w14:paraId="094424B6" w14:textId="77777777" w:rsidR="002F2510" w:rsidRDefault="002F2510" w:rsidP="002F2510">
      <w:pPr>
        <w:spacing w:after="0" w:line="360" w:lineRule="auto"/>
        <w:jc w:val="both"/>
        <w:rPr>
          <w:rFonts w:ascii="Palatino Linotype" w:hAnsi="Palatino Linotype"/>
          <w:b/>
          <w:bCs/>
          <w:color w:val="000000"/>
          <w:sz w:val="24"/>
        </w:rPr>
      </w:pPr>
      <w:r w:rsidRPr="00667998">
        <w:rPr>
          <w:rFonts w:ascii="Palatino Linotype" w:hAnsi="Palatino Linotype" w:cs="Arial"/>
          <w:color w:val="000000"/>
          <w:sz w:val="24"/>
        </w:rPr>
        <w:t xml:space="preserve">Como apoyo a lo anterior, es aplicable el Criterio 03-17, emitido por </w:t>
      </w:r>
      <w:r w:rsidRPr="00667998">
        <w:rPr>
          <w:rFonts w:ascii="Palatino Linotype" w:eastAsia="Arial Unicode MS" w:hAnsi="Palatino Linotype" w:cs="Arial"/>
          <w:color w:val="000000"/>
          <w:sz w:val="24"/>
        </w:rPr>
        <w:t>el Instituto Nacional de Transparencia, Acceso a la Información y Protección de Datos Personales,</w:t>
      </w:r>
      <w:r w:rsidRPr="00667998">
        <w:rPr>
          <w:rFonts w:ascii="Palatino Linotype" w:hAnsi="Palatino Linotype"/>
          <w:bCs/>
          <w:color w:val="000000"/>
          <w:sz w:val="24"/>
        </w:rPr>
        <w:t xml:space="preserve"> que dice:</w:t>
      </w:r>
      <w:r w:rsidRPr="00667998">
        <w:rPr>
          <w:rFonts w:ascii="Palatino Linotype" w:hAnsi="Palatino Linotype"/>
          <w:b/>
          <w:bCs/>
          <w:color w:val="000000"/>
          <w:sz w:val="24"/>
        </w:rPr>
        <w:t xml:space="preserve"> </w:t>
      </w:r>
    </w:p>
    <w:p w14:paraId="164104E7" w14:textId="77777777" w:rsidR="002F2510" w:rsidRPr="00667998" w:rsidRDefault="002F2510" w:rsidP="002F2510">
      <w:pPr>
        <w:spacing w:after="0" w:line="360" w:lineRule="auto"/>
      </w:pPr>
    </w:p>
    <w:p w14:paraId="5765E0E4" w14:textId="77777777" w:rsidR="002F2510" w:rsidRPr="00667998" w:rsidRDefault="002F2510" w:rsidP="002F2510">
      <w:pPr>
        <w:spacing w:after="0" w:line="360" w:lineRule="auto"/>
        <w:ind w:left="851" w:right="850"/>
        <w:jc w:val="both"/>
        <w:rPr>
          <w:rFonts w:ascii="Palatino Linotype" w:hAnsi="Palatino Linotype" w:cs="Arial"/>
          <w:color w:val="000000"/>
          <w:sz w:val="2"/>
        </w:rPr>
      </w:pPr>
    </w:p>
    <w:p w14:paraId="7A7175E6" w14:textId="77777777" w:rsidR="002F2510" w:rsidRPr="00667998" w:rsidRDefault="002F2510" w:rsidP="002F2510">
      <w:pPr>
        <w:spacing w:after="0" w:line="360" w:lineRule="auto"/>
        <w:ind w:left="567" w:right="567"/>
        <w:jc w:val="both"/>
        <w:rPr>
          <w:rFonts w:ascii="Palatino Linotype" w:hAnsi="Palatino Linotype" w:cs="Arial"/>
          <w:i/>
          <w:color w:val="000000"/>
        </w:rPr>
      </w:pPr>
      <w:r w:rsidRPr="00667998">
        <w:rPr>
          <w:rFonts w:ascii="Palatino Linotype" w:hAnsi="Palatino Linotype" w:cs="Arial"/>
          <w:i/>
          <w:color w:val="000000"/>
        </w:rPr>
        <w:t>“</w:t>
      </w:r>
      <w:r w:rsidRPr="00667998">
        <w:rPr>
          <w:rFonts w:ascii="Palatino Linotype" w:hAnsi="Palatino Linotype" w:cs="Arial"/>
          <w:b/>
          <w:i/>
          <w:color w:val="000000"/>
        </w:rPr>
        <w:t>No existe obligación de elaborar documentos ad hoc para atender las solicitudes de acceso a la información.</w:t>
      </w:r>
      <w:r w:rsidRPr="00667998">
        <w:rPr>
          <w:rFonts w:ascii="Palatino Linotype" w:hAnsi="Palatino Linotype" w:cs="Arial"/>
          <w:i/>
          <w:color w:val="000000"/>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6DC4E80C" w14:textId="77777777" w:rsidR="002F2510" w:rsidRPr="00667998" w:rsidRDefault="002F2510" w:rsidP="002F2510">
      <w:pPr>
        <w:spacing w:after="0"/>
        <w:ind w:left="567" w:right="567"/>
        <w:jc w:val="both"/>
        <w:rPr>
          <w:rFonts w:ascii="Palatino Linotype" w:hAnsi="Palatino Linotype" w:cs="Arial"/>
          <w:i/>
          <w:color w:val="000000"/>
          <w:sz w:val="2"/>
        </w:rPr>
      </w:pPr>
    </w:p>
    <w:p w14:paraId="3606F8FD" w14:textId="77777777" w:rsidR="002F2510" w:rsidRPr="00667998" w:rsidRDefault="002F2510" w:rsidP="002F2510">
      <w:pPr>
        <w:spacing w:after="0"/>
        <w:ind w:left="567" w:right="567"/>
        <w:jc w:val="both"/>
        <w:rPr>
          <w:rFonts w:ascii="Palatino Linotype" w:hAnsi="Palatino Linotype" w:cs="Arial"/>
          <w:i/>
          <w:color w:val="000000"/>
        </w:rPr>
      </w:pPr>
    </w:p>
    <w:p w14:paraId="448AD9A7" w14:textId="77777777" w:rsidR="002F2510" w:rsidRPr="00667998"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t xml:space="preserve">Resoluciones: </w:t>
      </w:r>
    </w:p>
    <w:p w14:paraId="1DCCAA0C" w14:textId="77777777" w:rsidR="002F2510" w:rsidRPr="00667998"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0050/16. Instituto Nacional para la Evaluación de la Educación. 13 julio de 2016. Por unanimidad. Comisionado Ponente: Francisco Javier Acuña Llamas.</w:t>
      </w:r>
    </w:p>
    <w:p w14:paraId="4FA441AF" w14:textId="77777777" w:rsidR="002F2510" w:rsidRPr="00667998"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0310/16. Instituto Nacional de Transparencia, Acceso a la Información y Protección de Datos Personales. 10 de agosto de 2016. Por unanimidad. Comisionada Ponente. Areli Cano Guadiana. </w:t>
      </w:r>
    </w:p>
    <w:p w14:paraId="6B78C0AC" w14:textId="77777777" w:rsidR="002F2510" w:rsidRPr="004609A9" w:rsidRDefault="002F2510" w:rsidP="002F2510">
      <w:pPr>
        <w:spacing w:after="0"/>
        <w:ind w:left="567" w:right="567"/>
        <w:jc w:val="both"/>
        <w:rPr>
          <w:rFonts w:ascii="Palatino Linotype" w:hAnsi="Palatino Linotype" w:cs="Arial"/>
          <w:i/>
          <w:color w:val="000000"/>
        </w:rPr>
      </w:pPr>
      <w:r w:rsidRPr="00667998">
        <w:rPr>
          <w:rFonts w:ascii="Palatino Linotype" w:hAnsi="Palatino Linotype" w:cs="Arial"/>
          <w:i/>
          <w:color w:val="000000"/>
        </w:rPr>
        <w:sym w:font="Symbol" w:char="F0B7"/>
      </w:r>
      <w:r w:rsidRPr="00667998">
        <w:rPr>
          <w:rFonts w:ascii="Palatino Linotype" w:hAnsi="Palatino Linotype" w:cs="Arial"/>
          <w:i/>
          <w:color w:val="000000"/>
        </w:rPr>
        <w:t xml:space="preserve"> RRA 1889/16. Secretaría de Hacienda y Crédito Público. 05 de octubre de 2016. Por unanimidad. Comisionada Ponente. Ximena Puente de la Mora.”</w:t>
      </w:r>
    </w:p>
    <w:p w14:paraId="1284681E" w14:textId="77777777" w:rsidR="002F2510" w:rsidRDefault="002F2510" w:rsidP="002F2510">
      <w:pPr>
        <w:spacing w:after="0" w:line="360" w:lineRule="auto"/>
        <w:jc w:val="both"/>
        <w:rPr>
          <w:rFonts w:ascii="Palatino Linotype" w:hAnsi="Palatino Linotype" w:cs="Arial"/>
          <w:sz w:val="24"/>
        </w:rPr>
      </w:pPr>
    </w:p>
    <w:p w14:paraId="1ABA2417" w14:textId="77777777" w:rsidR="00ED53C9" w:rsidRDefault="00ED53C9" w:rsidP="002F2510">
      <w:pPr>
        <w:spacing w:after="0" w:line="360" w:lineRule="auto"/>
        <w:jc w:val="both"/>
        <w:rPr>
          <w:rFonts w:ascii="Palatino Linotype" w:hAnsi="Palatino Linotype" w:cs="Arial"/>
          <w:sz w:val="24"/>
        </w:rPr>
      </w:pPr>
    </w:p>
    <w:p w14:paraId="7AB4B444" w14:textId="77777777" w:rsidR="00ED53C9" w:rsidRDefault="00ED53C9" w:rsidP="002F2510">
      <w:pPr>
        <w:spacing w:after="0" w:line="360" w:lineRule="auto"/>
        <w:jc w:val="both"/>
        <w:rPr>
          <w:rFonts w:ascii="Palatino Linotype" w:hAnsi="Palatino Linotype" w:cs="Arial"/>
          <w:sz w:val="24"/>
        </w:rPr>
      </w:pPr>
    </w:p>
    <w:p w14:paraId="2BB3F45A" w14:textId="180A374C" w:rsidR="002F2510" w:rsidRPr="00AC5BF2" w:rsidRDefault="002F2510" w:rsidP="002F2510">
      <w:pPr>
        <w:spacing w:after="0" w:line="360" w:lineRule="auto"/>
        <w:jc w:val="both"/>
        <w:rPr>
          <w:rFonts w:ascii="Palatino Linotype" w:hAnsi="Palatino Linotype" w:cs="Arial"/>
          <w:sz w:val="24"/>
          <w:szCs w:val="24"/>
        </w:rPr>
      </w:pPr>
      <w:r w:rsidRPr="00AC5BF2">
        <w:rPr>
          <w:rFonts w:ascii="Palatino Linotype" w:hAnsi="Palatino Linotype" w:cs="Arial"/>
          <w:sz w:val="24"/>
          <w:szCs w:val="24"/>
        </w:rPr>
        <w:t xml:space="preserve">Así, </w:t>
      </w:r>
      <w:r w:rsidRPr="00AC5BF2">
        <w:rPr>
          <w:rFonts w:ascii="Palatino Linotype" w:hAnsi="Palatino Linotype" w:cs="Arial"/>
          <w:sz w:val="24"/>
        </w:rPr>
        <w:t>en mérito de lo expuesto en líneas anteriores</w:t>
      </w:r>
      <w:r w:rsidRPr="00AC5BF2">
        <w:rPr>
          <w:rFonts w:ascii="Palatino Linotype" w:hAnsi="Palatino Linotype" w:cs="Arial"/>
          <w:sz w:val="24"/>
          <w:szCs w:val="24"/>
        </w:rPr>
        <w:t xml:space="preserve"> </w:t>
      </w:r>
      <w:r w:rsidRPr="00AC5BF2">
        <w:rPr>
          <w:rFonts w:ascii="Palatino Linotype" w:hAnsi="Palatino Linotype"/>
          <w:noProof/>
          <w:sz w:val="24"/>
          <w:szCs w:val="24"/>
          <w:lang w:eastAsia="es-MX"/>
        </w:rPr>
        <w:t>resulta</w:t>
      </w:r>
      <w:r>
        <w:rPr>
          <w:rFonts w:ascii="Palatino Linotype" w:hAnsi="Palatino Linotype"/>
          <w:noProof/>
          <w:sz w:val="24"/>
          <w:szCs w:val="24"/>
          <w:lang w:eastAsia="es-MX"/>
        </w:rPr>
        <w:t>n</w:t>
      </w:r>
      <w:r w:rsidRPr="00AC5BF2">
        <w:rPr>
          <w:rFonts w:ascii="Palatino Linotype" w:hAnsi="Palatino Linotype"/>
          <w:noProof/>
          <w:sz w:val="24"/>
          <w:szCs w:val="24"/>
          <w:lang w:eastAsia="es-MX"/>
        </w:rPr>
        <w:t xml:space="preserve"> </w:t>
      </w:r>
      <w:r w:rsidRPr="00AC5BF2">
        <w:rPr>
          <w:rFonts w:ascii="Palatino Linotype" w:hAnsi="Palatino Linotype"/>
          <w:b/>
          <w:noProof/>
          <w:sz w:val="24"/>
          <w:szCs w:val="24"/>
          <w:lang w:eastAsia="es-MX"/>
        </w:rPr>
        <w:t>infundadas</w:t>
      </w:r>
      <w:r w:rsidRPr="00AC5BF2">
        <w:rPr>
          <w:rFonts w:ascii="Palatino Linotype" w:hAnsi="Palatino Linotype"/>
          <w:noProof/>
          <w:sz w:val="24"/>
          <w:szCs w:val="24"/>
          <w:lang w:eastAsia="es-MX"/>
        </w:rPr>
        <w:t xml:space="preserve"> las razones o motivos de inconformidad que arguye </w:t>
      </w:r>
      <w:r>
        <w:rPr>
          <w:rFonts w:ascii="Palatino Linotype" w:hAnsi="Palatino Linotype"/>
          <w:noProof/>
          <w:sz w:val="24"/>
          <w:szCs w:val="24"/>
          <w:lang w:eastAsia="es-MX"/>
        </w:rPr>
        <w:t>la</w:t>
      </w:r>
      <w:r w:rsidRPr="00AC5BF2">
        <w:rPr>
          <w:rFonts w:ascii="Palatino Linotype" w:hAnsi="Palatino Linotype"/>
          <w:b/>
          <w:noProof/>
          <w:sz w:val="24"/>
          <w:szCs w:val="24"/>
          <w:lang w:eastAsia="es-MX"/>
        </w:rPr>
        <w:t xml:space="preserve"> Recurrente</w:t>
      </w:r>
      <w:r w:rsidRPr="00AC5BF2">
        <w:rPr>
          <w:rFonts w:ascii="Palatino Linotype" w:hAnsi="Palatino Linotype"/>
          <w:noProof/>
          <w:sz w:val="24"/>
          <w:szCs w:val="24"/>
          <w:lang w:eastAsia="es-MX"/>
        </w:rPr>
        <w:t xml:space="preserve">, </w:t>
      </w:r>
      <w:r w:rsidRPr="00AC5BF2">
        <w:rPr>
          <w:rFonts w:ascii="Palatino Linotype" w:hAnsi="Palatino Linotype" w:cs="Arial"/>
          <w:sz w:val="24"/>
        </w:rPr>
        <w:t xml:space="preserve">por ello con fundamento en el artículo 186, fracción II, de la Ley de </w:t>
      </w:r>
      <w:r w:rsidRPr="00AC5BF2">
        <w:rPr>
          <w:rFonts w:ascii="Palatino Linotype" w:hAnsi="Palatino Linotype" w:cs="Arial"/>
          <w:sz w:val="24"/>
          <w:szCs w:val="24"/>
        </w:rPr>
        <w:t xml:space="preserve">Transparencia y Acceso a la Información Pública del Estado de México y Municipios, se </w:t>
      </w:r>
      <w:r w:rsidRPr="00AC5BF2">
        <w:rPr>
          <w:rFonts w:ascii="Palatino Linotype" w:hAnsi="Palatino Linotype" w:cs="Arial"/>
          <w:b/>
          <w:sz w:val="24"/>
          <w:szCs w:val="24"/>
        </w:rPr>
        <w:t>CONFIRMA</w:t>
      </w:r>
      <w:r w:rsidRPr="00AC5BF2">
        <w:rPr>
          <w:rFonts w:ascii="Palatino Linotype" w:hAnsi="Palatino Linotype" w:cs="Arial"/>
          <w:sz w:val="24"/>
          <w:szCs w:val="24"/>
        </w:rPr>
        <w:t xml:space="preserve"> la respuesta a la solicitud de información pública </w:t>
      </w:r>
      <w:r w:rsidR="00B47E83" w:rsidRPr="00B47E83">
        <w:rPr>
          <w:rFonts w:ascii="Palatino Linotype" w:hAnsi="Palatino Linotype" w:cs="Arial"/>
          <w:b/>
          <w:sz w:val="24"/>
        </w:rPr>
        <w:t>00670/TOLUCA/IP/2022</w:t>
      </w:r>
      <w:r w:rsidRPr="0044693A">
        <w:rPr>
          <w:rFonts w:ascii="Palatino Linotype" w:hAnsi="Palatino Linotype" w:cs="Arial"/>
          <w:sz w:val="24"/>
        </w:rPr>
        <w:t>,</w:t>
      </w:r>
      <w:r>
        <w:rPr>
          <w:rFonts w:ascii="Palatino Linotype" w:hAnsi="Palatino Linotype" w:cs="Arial"/>
          <w:b/>
          <w:sz w:val="24"/>
        </w:rPr>
        <w:t xml:space="preserve"> </w:t>
      </w:r>
      <w:r w:rsidRPr="00AC5BF2">
        <w:rPr>
          <w:rFonts w:ascii="Palatino Linotype" w:hAnsi="Palatino Linotype" w:cs="Arial"/>
          <w:bCs/>
          <w:sz w:val="24"/>
          <w:szCs w:val="24"/>
        </w:rPr>
        <w:t>que han sido materia del presente fallo</w:t>
      </w:r>
      <w:r w:rsidRPr="00AC5BF2">
        <w:rPr>
          <w:rFonts w:ascii="Palatino Linotype" w:hAnsi="Palatino Linotype" w:cs="Arial"/>
          <w:sz w:val="24"/>
          <w:szCs w:val="24"/>
        </w:rPr>
        <w:t>.</w:t>
      </w:r>
    </w:p>
    <w:p w14:paraId="31B1E5C8" w14:textId="77777777" w:rsidR="002F2510" w:rsidRDefault="002F2510" w:rsidP="002F2510">
      <w:pPr>
        <w:pStyle w:val="Sinespaciado"/>
        <w:spacing w:line="360" w:lineRule="auto"/>
        <w:jc w:val="both"/>
        <w:rPr>
          <w:rFonts w:ascii="Palatino Linotype" w:hAnsi="Palatino Linotype"/>
        </w:rPr>
      </w:pPr>
    </w:p>
    <w:p w14:paraId="10C8EF45" w14:textId="77777777" w:rsidR="002F2510" w:rsidRDefault="002F2510" w:rsidP="002F2510">
      <w:pPr>
        <w:pStyle w:val="Sinespaciado"/>
        <w:spacing w:line="360" w:lineRule="auto"/>
        <w:jc w:val="both"/>
        <w:rPr>
          <w:rFonts w:ascii="Palatino Linotype" w:hAnsi="Palatino Linotype"/>
        </w:rPr>
      </w:pPr>
      <w:r w:rsidRPr="00B527BB">
        <w:rPr>
          <w:rFonts w:ascii="Palatino Linotype" w:hAnsi="Palatino Linotype"/>
        </w:rPr>
        <w:t>Por lo antes expuesto y fundado es de resolverse y,</w:t>
      </w:r>
    </w:p>
    <w:p w14:paraId="078FD3BB" w14:textId="77777777" w:rsidR="002F2510" w:rsidRDefault="002F2510" w:rsidP="002F2510">
      <w:pPr>
        <w:pStyle w:val="Sinespaciado"/>
        <w:spacing w:line="360" w:lineRule="auto"/>
        <w:jc w:val="both"/>
        <w:rPr>
          <w:rFonts w:ascii="Palatino Linotype" w:hAnsi="Palatino Linotype"/>
        </w:rPr>
      </w:pPr>
    </w:p>
    <w:p w14:paraId="33BA601C" w14:textId="77777777" w:rsidR="002F2510" w:rsidRPr="00350442" w:rsidRDefault="002F2510" w:rsidP="002F2510">
      <w:pPr>
        <w:pStyle w:val="Sinespaciado"/>
        <w:spacing w:line="360" w:lineRule="auto"/>
        <w:jc w:val="center"/>
        <w:rPr>
          <w:rFonts w:ascii="Palatino Linotype" w:hAnsi="Palatino Linotype"/>
          <w:b/>
          <w:bCs/>
          <w:spacing w:val="60"/>
          <w:sz w:val="28"/>
          <w:szCs w:val="28"/>
          <w:lang w:val="es-ES_tradnl"/>
        </w:rPr>
      </w:pPr>
      <w:r w:rsidRPr="00350442">
        <w:rPr>
          <w:rFonts w:ascii="Palatino Linotype" w:hAnsi="Palatino Linotype"/>
          <w:b/>
          <w:bCs/>
          <w:spacing w:val="60"/>
          <w:sz w:val="28"/>
          <w:szCs w:val="28"/>
          <w:lang w:val="es-ES_tradnl"/>
        </w:rPr>
        <w:t>SE    RESUELVE</w:t>
      </w:r>
    </w:p>
    <w:p w14:paraId="1005EE56" w14:textId="77777777" w:rsidR="002F2510" w:rsidRPr="00A2119F" w:rsidRDefault="002F2510" w:rsidP="002F2510">
      <w:pPr>
        <w:tabs>
          <w:tab w:val="left" w:pos="8647"/>
        </w:tabs>
        <w:spacing w:after="0" w:line="360" w:lineRule="auto"/>
        <w:jc w:val="both"/>
        <w:rPr>
          <w:rFonts w:ascii="Palatino Linotype" w:hAnsi="Palatino Linotype" w:cs="Arial"/>
          <w:b/>
          <w:sz w:val="24"/>
        </w:rPr>
      </w:pPr>
    </w:p>
    <w:p w14:paraId="4E951CC1" w14:textId="33C49A21" w:rsidR="002F2510" w:rsidRPr="00682995" w:rsidRDefault="002F2510" w:rsidP="002F2510">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PRIMERO</w:t>
      </w:r>
      <w:r w:rsidRPr="00631AAA">
        <w:rPr>
          <w:rFonts w:ascii="Palatino Linotype" w:hAnsi="Palatino Linotype" w:cs="Arial"/>
          <w:b/>
        </w:rPr>
        <w:t xml:space="preserve">. </w:t>
      </w:r>
      <w:r w:rsidRPr="00682995">
        <w:rPr>
          <w:rFonts w:ascii="Palatino Linotype" w:hAnsi="Palatino Linotype" w:cs="Arial"/>
          <w:sz w:val="24"/>
          <w:szCs w:val="24"/>
        </w:rPr>
        <w:t xml:space="preserve">Se </w:t>
      </w:r>
      <w:r w:rsidRPr="00682995">
        <w:rPr>
          <w:rFonts w:ascii="Palatino Linotype" w:hAnsi="Palatino Linotype" w:cs="Arial"/>
          <w:b/>
          <w:sz w:val="24"/>
          <w:szCs w:val="24"/>
        </w:rPr>
        <w:t>CONFIRMA</w:t>
      </w:r>
      <w:r w:rsidRPr="00682995">
        <w:rPr>
          <w:rFonts w:ascii="Palatino Linotype" w:hAnsi="Palatino Linotype" w:cs="Arial"/>
          <w:sz w:val="24"/>
          <w:szCs w:val="24"/>
        </w:rPr>
        <w:t xml:space="preserve"> la respuesta del </w:t>
      </w:r>
      <w:r w:rsidRPr="00682995">
        <w:rPr>
          <w:rFonts w:ascii="Palatino Linotype" w:hAnsi="Palatino Linotype" w:cs="Arial"/>
          <w:b/>
          <w:sz w:val="24"/>
          <w:szCs w:val="24"/>
        </w:rPr>
        <w:t xml:space="preserve">Sujeto Obligado </w:t>
      </w:r>
      <w:r w:rsidRPr="00682995">
        <w:rPr>
          <w:rFonts w:ascii="Palatino Linotype" w:hAnsi="Palatino Linotype" w:cs="Arial"/>
          <w:bCs/>
          <w:sz w:val="24"/>
          <w:szCs w:val="24"/>
        </w:rPr>
        <w:t xml:space="preserve">a la solicitud de información </w:t>
      </w:r>
      <w:r w:rsidR="00B47E83" w:rsidRPr="00B47E83">
        <w:rPr>
          <w:rFonts w:ascii="Palatino Linotype" w:hAnsi="Palatino Linotype" w:cs="Arial"/>
          <w:b/>
          <w:sz w:val="24"/>
        </w:rPr>
        <w:t>00670/TOLUCA/IP/2022</w:t>
      </w:r>
      <w:r w:rsidRPr="00682995">
        <w:rPr>
          <w:rFonts w:ascii="Palatino Linotype" w:hAnsi="Palatino Linotype" w:cs="Arial"/>
          <w:sz w:val="24"/>
          <w:szCs w:val="24"/>
        </w:rPr>
        <w:t>,</w:t>
      </w:r>
      <w:r w:rsidRPr="00682995">
        <w:rPr>
          <w:rFonts w:ascii="Palatino Linotype" w:hAnsi="Palatino Linotype" w:cs="Arial"/>
          <w:bCs/>
          <w:sz w:val="24"/>
          <w:szCs w:val="24"/>
        </w:rPr>
        <w:t xml:space="preserve"> </w:t>
      </w:r>
      <w:r w:rsidRPr="00682995">
        <w:rPr>
          <w:rFonts w:ascii="Palatino Linotype" w:hAnsi="Palatino Linotype" w:cs="Arial"/>
          <w:sz w:val="24"/>
          <w:szCs w:val="24"/>
          <w:lang w:val="es-ES_tradnl"/>
        </w:rPr>
        <w:t xml:space="preserve">por resultar </w:t>
      </w:r>
      <w:r w:rsidRPr="00682995">
        <w:rPr>
          <w:rFonts w:ascii="Palatino Linotype" w:hAnsi="Palatino Linotype" w:cs="Arial"/>
          <w:sz w:val="24"/>
          <w:szCs w:val="24"/>
        </w:rPr>
        <w:t xml:space="preserve">infundadas las razones o motivos de inconformidad hechos valer por </w:t>
      </w:r>
      <w:r>
        <w:rPr>
          <w:rFonts w:ascii="Palatino Linotype" w:hAnsi="Palatino Linotype" w:cs="Arial"/>
          <w:b/>
          <w:sz w:val="24"/>
          <w:szCs w:val="24"/>
        </w:rPr>
        <w:t>la</w:t>
      </w:r>
      <w:r>
        <w:rPr>
          <w:rFonts w:ascii="Palatino Linotype" w:hAnsi="Palatino Linotype" w:cs="Arial"/>
          <w:sz w:val="24"/>
          <w:szCs w:val="24"/>
        </w:rPr>
        <w:t xml:space="preserve"> </w:t>
      </w:r>
      <w:r w:rsidRPr="00682995">
        <w:rPr>
          <w:rFonts w:ascii="Palatino Linotype" w:hAnsi="Palatino Linotype" w:cs="Arial"/>
          <w:b/>
          <w:sz w:val="24"/>
          <w:szCs w:val="24"/>
        </w:rPr>
        <w:t>Recurrente</w:t>
      </w:r>
      <w:r w:rsidRPr="00682995">
        <w:rPr>
          <w:rFonts w:ascii="Palatino Linotype" w:hAnsi="Palatino Linotype" w:cs="Arial"/>
          <w:sz w:val="24"/>
          <w:szCs w:val="24"/>
        </w:rPr>
        <w:t xml:space="preserve">, en términos del Considerando </w:t>
      </w:r>
      <w:r w:rsidR="00B47E83">
        <w:rPr>
          <w:rFonts w:ascii="Palatino Linotype" w:hAnsi="Palatino Linotype" w:cs="Arial"/>
          <w:b/>
          <w:sz w:val="24"/>
          <w:szCs w:val="24"/>
        </w:rPr>
        <w:t>CUAR</w:t>
      </w:r>
      <w:r>
        <w:rPr>
          <w:rFonts w:ascii="Palatino Linotype" w:hAnsi="Palatino Linotype" w:cs="Arial"/>
          <w:b/>
          <w:sz w:val="24"/>
          <w:szCs w:val="24"/>
        </w:rPr>
        <w:t>T</w:t>
      </w:r>
      <w:r w:rsidRPr="00682995">
        <w:rPr>
          <w:rFonts w:ascii="Palatino Linotype" w:hAnsi="Palatino Linotype" w:cs="Arial"/>
          <w:b/>
          <w:sz w:val="24"/>
          <w:szCs w:val="24"/>
        </w:rPr>
        <w:t xml:space="preserve">O </w:t>
      </w:r>
      <w:r w:rsidRPr="00682995">
        <w:rPr>
          <w:rFonts w:ascii="Palatino Linotype" w:hAnsi="Palatino Linotype" w:cs="Arial"/>
          <w:sz w:val="24"/>
          <w:szCs w:val="24"/>
        </w:rPr>
        <w:t>de esta resolución.</w:t>
      </w:r>
    </w:p>
    <w:p w14:paraId="497CE4D7" w14:textId="77777777" w:rsidR="002F2510" w:rsidRDefault="002F2510" w:rsidP="002F2510">
      <w:pPr>
        <w:tabs>
          <w:tab w:val="left" w:pos="8647"/>
        </w:tabs>
        <w:spacing w:after="0" w:line="360" w:lineRule="auto"/>
        <w:jc w:val="both"/>
        <w:rPr>
          <w:rFonts w:ascii="Palatino Linotype" w:hAnsi="Palatino Linotype" w:cs="Arial"/>
          <w:b/>
          <w:sz w:val="28"/>
        </w:rPr>
      </w:pPr>
    </w:p>
    <w:p w14:paraId="7D95C1E1" w14:textId="77777777" w:rsidR="002F2510" w:rsidRPr="00682995" w:rsidRDefault="002F2510" w:rsidP="002F2510">
      <w:pPr>
        <w:tabs>
          <w:tab w:val="left" w:pos="8647"/>
        </w:tabs>
        <w:spacing w:after="0" w:line="360" w:lineRule="auto"/>
        <w:jc w:val="both"/>
        <w:rPr>
          <w:rFonts w:ascii="Palatino Linotype" w:hAnsi="Palatino Linotype" w:cs="Arial"/>
          <w:sz w:val="24"/>
          <w:szCs w:val="24"/>
        </w:rPr>
      </w:pPr>
      <w:r w:rsidRPr="00631AAA">
        <w:rPr>
          <w:rFonts w:ascii="Palatino Linotype" w:hAnsi="Palatino Linotype" w:cs="Arial"/>
          <w:b/>
          <w:sz w:val="28"/>
        </w:rPr>
        <w:t>SEGUNDO</w:t>
      </w:r>
      <w:r w:rsidRPr="00631AAA">
        <w:rPr>
          <w:rFonts w:ascii="Palatino Linotype" w:hAnsi="Palatino Linotype" w:cs="Arial"/>
          <w:b/>
        </w:rPr>
        <w:t>.</w:t>
      </w:r>
      <w:r w:rsidRPr="00631AAA">
        <w:rPr>
          <w:rFonts w:ascii="Palatino Linotype" w:hAnsi="Palatino Linotype" w:cs="Arial"/>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la presente resolución</w:t>
      </w:r>
      <w:r>
        <w:rPr>
          <w:rFonts w:ascii="Palatino Linotype" w:hAnsi="Palatino Linotype" w:cs="Arial"/>
          <w:sz w:val="24"/>
          <w:szCs w:val="24"/>
        </w:rPr>
        <w:t>,</w:t>
      </w:r>
      <w:r w:rsidRPr="00682995">
        <w:rPr>
          <w:rFonts w:ascii="Palatino Linotype" w:hAnsi="Palatino Linotype" w:cs="Arial"/>
          <w:bCs/>
          <w:sz w:val="24"/>
          <w:szCs w:val="24"/>
          <w:lang w:eastAsia="es-MX"/>
        </w:rPr>
        <w:t xml:space="preserve"> vía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sidRPr="00682995">
        <w:rPr>
          <w:rFonts w:ascii="Palatino Linotype" w:hAnsi="Palatino Linotype" w:cs="Arial"/>
          <w:sz w:val="24"/>
          <w:szCs w:val="24"/>
        </w:rPr>
        <w:t xml:space="preserve">, al Titular de la Unidad de Transparencia del </w:t>
      </w:r>
      <w:r w:rsidRPr="00682995">
        <w:rPr>
          <w:rFonts w:ascii="Palatino Linotype" w:hAnsi="Palatino Linotype" w:cs="Arial"/>
          <w:b/>
          <w:sz w:val="24"/>
          <w:szCs w:val="24"/>
        </w:rPr>
        <w:t>Sujeto Obligado</w:t>
      </w:r>
      <w:r w:rsidRPr="00682995">
        <w:rPr>
          <w:rFonts w:ascii="Palatino Linotype" w:hAnsi="Palatino Linotype" w:cs="Arial"/>
          <w:sz w:val="24"/>
          <w:szCs w:val="24"/>
        </w:rPr>
        <w:t>.</w:t>
      </w:r>
    </w:p>
    <w:p w14:paraId="753BC953" w14:textId="77777777" w:rsidR="002F2510" w:rsidRPr="001551D5" w:rsidRDefault="002F2510" w:rsidP="002F2510">
      <w:pPr>
        <w:spacing w:after="0" w:line="360" w:lineRule="auto"/>
        <w:jc w:val="both"/>
        <w:rPr>
          <w:rFonts w:ascii="Palatino Linotype" w:hAnsi="Palatino Linotype" w:cs="Arial"/>
          <w:b/>
        </w:rPr>
      </w:pPr>
    </w:p>
    <w:p w14:paraId="11A76745" w14:textId="77777777" w:rsidR="002F2510" w:rsidRPr="00682995" w:rsidRDefault="002F2510" w:rsidP="002F2510">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8"/>
        </w:rPr>
        <w:t>TERCER</w:t>
      </w:r>
      <w:r w:rsidRPr="00631AAA">
        <w:rPr>
          <w:rFonts w:ascii="Palatino Linotype" w:hAnsi="Palatino Linotype" w:cs="Arial"/>
          <w:b/>
          <w:sz w:val="28"/>
        </w:rPr>
        <w:t>O</w:t>
      </w:r>
      <w:r w:rsidRPr="00631AAA">
        <w:rPr>
          <w:rFonts w:ascii="Palatino Linotype" w:hAnsi="Palatino Linotype" w:cs="Arial"/>
          <w:b/>
        </w:rPr>
        <w:t>.</w:t>
      </w:r>
      <w:r>
        <w:rPr>
          <w:rFonts w:ascii="Palatino Linotype" w:hAnsi="Palatino Linotype" w:cs="Arial"/>
          <w:b/>
        </w:rPr>
        <w:t xml:space="preserve"> </w:t>
      </w:r>
      <w:r w:rsidRPr="00682995">
        <w:rPr>
          <w:rFonts w:ascii="Palatino Linotype" w:hAnsi="Palatino Linotype" w:cs="Arial"/>
          <w:b/>
          <w:sz w:val="24"/>
          <w:szCs w:val="24"/>
        </w:rPr>
        <w:t>NOTIFÍQUESE</w:t>
      </w:r>
      <w:r w:rsidRPr="00682995">
        <w:rPr>
          <w:rFonts w:ascii="Palatino Linotype" w:hAnsi="Palatino Linotype" w:cs="Arial"/>
          <w:sz w:val="24"/>
          <w:szCs w:val="24"/>
        </w:rPr>
        <w:t xml:space="preserve"> a</w:t>
      </w:r>
      <w:r>
        <w:rPr>
          <w:rFonts w:ascii="Palatino Linotype" w:hAnsi="Palatino Linotype" w:cs="Arial"/>
          <w:sz w:val="24"/>
          <w:szCs w:val="24"/>
        </w:rPr>
        <w:t xml:space="preserve"> </w:t>
      </w:r>
      <w:r w:rsidRPr="00682995">
        <w:rPr>
          <w:rFonts w:ascii="Palatino Linotype" w:hAnsi="Palatino Linotype" w:cs="Arial"/>
          <w:sz w:val="24"/>
          <w:szCs w:val="24"/>
        </w:rPr>
        <w:t>l</w:t>
      </w:r>
      <w:r>
        <w:rPr>
          <w:rFonts w:ascii="Palatino Linotype" w:hAnsi="Palatino Linotype" w:cs="Arial"/>
          <w:sz w:val="24"/>
          <w:szCs w:val="24"/>
        </w:rPr>
        <w:t>a</w:t>
      </w:r>
      <w:r w:rsidRPr="00682995">
        <w:rPr>
          <w:rFonts w:ascii="Palatino Linotype" w:hAnsi="Palatino Linotype" w:cs="Arial"/>
          <w:b/>
          <w:sz w:val="24"/>
          <w:szCs w:val="24"/>
        </w:rPr>
        <w:t xml:space="preserve"> Recurrente</w:t>
      </w:r>
      <w:r w:rsidRPr="00682995">
        <w:rPr>
          <w:rFonts w:ascii="Palatino Linotype" w:hAnsi="Palatino Linotype" w:cs="Arial"/>
          <w:sz w:val="24"/>
          <w:szCs w:val="24"/>
        </w:rPr>
        <w:t xml:space="preserve"> la presente resolución</w:t>
      </w:r>
      <w:r>
        <w:rPr>
          <w:rFonts w:ascii="Palatino Linotype" w:hAnsi="Palatino Linotype" w:cs="Arial"/>
          <w:sz w:val="24"/>
          <w:szCs w:val="24"/>
        </w:rPr>
        <w:t xml:space="preserve"> a través del</w:t>
      </w:r>
      <w:r w:rsidRPr="00682995">
        <w:rPr>
          <w:rFonts w:ascii="Palatino Linotype" w:hAnsi="Palatino Linotype" w:cs="Arial"/>
          <w:bCs/>
          <w:sz w:val="24"/>
          <w:szCs w:val="24"/>
          <w:lang w:eastAsia="es-MX"/>
        </w:rPr>
        <w:t xml:space="preserve"> Sistema de Acceso a la Información Mexiquense</w:t>
      </w:r>
      <w:r w:rsidRPr="00682995">
        <w:rPr>
          <w:rFonts w:ascii="Palatino Linotype" w:hAnsi="Palatino Linotype" w:cs="Arial"/>
          <w:sz w:val="24"/>
          <w:szCs w:val="24"/>
        </w:rPr>
        <w:t xml:space="preserve"> </w:t>
      </w:r>
      <w:r w:rsidRPr="00682995">
        <w:rPr>
          <w:rFonts w:ascii="Palatino Linotype" w:hAnsi="Palatino Linotype" w:cs="Arial"/>
          <w:b/>
          <w:sz w:val="24"/>
          <w:szCs w:val="24"/>
        </w:rPr>
        <w:t>(SAIMEX)</w:t>
      </w:r>
      <w:r>
        <w:rPr>
          <w:rFonts w:ascii="Palatino Linotype" w:hAnsi="Palatino Linotype" w:cs="Arial"/>
          <w:b/>
          <w:sz w:val="24"/>
          <w:szCs w:val="24"/>
        </w:rPr>
        <w:t xml:space="preserve">, </w:t>
      </w:r>
      <w:r w:rsidRPr="00682995">
        <w:rPr>
          <w:rFonts w:ascii="Palatino Linotype" w:hAnsi="Palatino Linotype" w:cs="Arial"/>
          <w:sz w:val="24"/>
          <w:szCs w:val="24"/>
        </w:rPr>
        <w:t xml:space="preserve">y hágase del conocimiento, que de conformidad con lo establecido en el artículo 196, de la Ley de Transparencia y </w:t>
      </w:r>
      <w:r w:rsidRPr="00682995">
        <w:rPr>
          <w:rFonts w:ascii="Palatino Linotype" w:hAnsi="Palatino Linotype" w:cs="Arial"/>
          <w:sz w:val="24"/>
          <w:szCs w:val="24"/>
        </w:rPr>
        <w:lastRenderedPageBreak/>
        <w:t>Acceso a la Información Pública del Estado de México y Municipios, podrá promover el Juicio de Amparo en los términos de las leyes aplicables.</w:t>
      </w:r>
    </w:p>
    <w:bookmarkEnd w:id="3"/>
    <w:bookmarkEnd w:id="4"/>
    <w:p w14:paraId="5E318E1E" w14:textId="77777777" w:rsidR="002F2510" w:rsidRDefault="002F2510" w:rsidP="002F2510">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p>
    <w:p w14:paraId="2E25FCC0" w14:textId="1D39CB16" w:rsidR="00EF0DD4" w:rsidRDefault="002F2510" w:rsidP="00EF0DD4">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ASÍ LO RESUELVE</w:t>
      </w:r>
      <w:r w:rsidRPr="00667998">
        <w:rPr>
          <w:rFonts w:ascii="Palatino Linotype" w:eastAsiaTheme="minorEastAsia" w:hAnsi="Palatino Linotype"/>
          <w:color w:val="000000" w:themeColor="text1"/>
          <w:sz w:val="24"/>
          <w:szCs w:val="24"/>
          <w:lang w:val="es-ES_tradnl" w:eastAsia="es-ES"/>
        </w:rPr>
        <w:t xml:space="preserve">, POR UNANIMIDAD DE VOTOS, EL PLENO DEL INSTITUTO DE TRANSPARENCIA, ACCESO A LA INFORMACIÓN PÚBLICA Y PROTECCIÓN DE DATOS PERSONALES DEL ESTADO DE MÉXICO Y MUNICIPIOS, CONFORMADO POR LOS COMISIONADOS </w:t>
      </w:r>
      <w:r w:rsidRPr="0063173B">
        <w:rPr>
          <w:rFonts w:ascii="Palatino Linotype" w:eastAsiaTheme="minorEastAsia" w:hAnsi="Palatino Linotype"/>
          <w:color w:val="000000" w:themeColor="text1"/>
          <w:sz w:val="24"/>
          <w:szCs w:val="24"/>
          <w:lang w:val="es-ES_tradnl" w:eastAsia="es-ES"/>
        </w:rPr>
        <w:t>JOSÉ MARTÍNEZ VILCHIS</w:t>
      </w:r>
      <w:r w:rsidRPr="00667998">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MARÍA DEL ROSARIO MEJÍA AYALA, SHARON CRISTINA MORALES MARTÍNEZ, LUIS GUSTAVO PARRA NORIEGA</w:t>
      </w:r>
      <w:r w:rsidRPr="00667998">
        <w:rPr>
          <w:rFonts w:ascii="Palatino Linotype" w:eastAsiaTheme="minorEastAsia" w:hAnsi="Palatino Linotype"/>
          <w:color w:val="000000" w:themeColor="text1"/>
          <w:sz w:val="24"/>
          <w:szCs w:val="24"/>
          <w:lang w:val="es-ES_tradnl" w:eastAsia="es-ES"/>
        </w:rPr>
        <w:t xml:space="preserve"> Y </w:t>
      </w:r>
      <w:r>
        <w:rPr>
          <w:rFonts w:ascii="Palatino Linotype" w:eastAsiaTheme="minorEastAsia" w:hAnsi="Palatino Linotype"/>
          <w:color w:val="000000" w:themeColor="text1"/>
          <w:sz w:val="24"/>
          <w:szCs w:val="24"/>
          <w:lang w:val="es-ES_tradnl" w:eastAsia="es-ES"/>
        </w:rPr>
        <w:t>GUADALUPE RAMIREZ PEÑA</w:t>
      </w:r>
      <w:r w:rsidRPr="00667998">
        <w:rPr>
          <w:rFonts w:ascii="Palatino Linotype" w:eastAsiaTheme="minorEastAsia" w:hAnsi="Palatino Linotype"/>
          <w:color w:val="000000" w:themeColor="text1"/>
          <w:sz w:val="24"/>
          <w:szCs w:val="24"/>
          <w:lang w:val="es-ES_tradnl" w:eastAsia="es-ES"/>
        </w:rPr>
        <w:t xml:space="preserve">; EN LA </w:t>
      </w:r>
      <w:r w:rsidR="00B47E83">
        <w:rPr>
          <w:rFonts w:ascii="Palatino Linotype" w:eastAsiaTheme="minorEastAsia" w:hAnsi="Palatino Linotype"/>
          <w:color w:val="000000" w:themeColor="text1"/>
          <w:sz w:val="24"/>
          <w:szCs w:val="24"/>
          <w:lang w:val="es-ES_tradnl" w:eastAsia="es-ES"/>
        </w:rPr>
        <w:t>VIG</w:t>
      </w:r>
      <w:r>
        <w:rPr>
          <w:rFonts w:ascii="Palatino Linotype" w:eastAsiaTheme="minorEastAsia" w:hAnsi="Palatino Linotype"/>
          <w:color w:val="000000" w:themeColor="text1"/>
          <w:sz w:val="24"/>
          <w:szCs w:val="24"/>
          <w:lang w:val="es-ES_tradnl" w:eastAsia="es-ES"/>
        </w:rPr>
        <w:t>É</w:t>
      </w:r>
      <w:r w:rsidR="00B47E83">
        <w:rPr>
          <w:rFonts w:ascii="Palatino Linotype" w:eastAsiaTheme="minorEastAsia" w:hAnsi="Palatino Linotype"/>
          <w:color w:val="000000" w:themeColor="text1"/>
          <w:sz w:val="24"/>
          <w:szCs w:val="24"/>
          <w:lang w:val="es-ES_tradnl" w:eastAsia="es-ES"/>
        </w:rPr>
        <w:t>S</w:t>
      </w:r>
      <w:r>
        <w:rPr>
          <w:rFonts w:ascii="Palatino Linotype" w:eastAsiaTheme="minorEastAsia" w:hAnsi="Palatino Linotype"/>
          <w:color w:val="000000" w:themeColor="text1"/>
          <w:sz w:val="24"/>
          <w:szCs w:val="24"/>
          <w:lang w:val="es-ES_tradnl" w:eastAsia="es-ES"/>
        </w:rPr>
        <w:t xml:space="preserve">IMA </w:t>
      </w:r>
      <w:r w:rsidR="004704DD">
        <w:rPr>
          <w:rFonts w:ascii="Palatino Linotype" w:eastAsiaTheme="minorEastAsia" w:hAnsi="Palatino Linotype"/>
          <w:color w:val="000000" w:themeColor="text1"/>
          <w:sz w:val="24"/>
          <w:szCs w:val="24"/>
          <w:lang w:val="es-ES_tradnl" w:eastAsia="es-ES"/>
        </w:rPr>
        <w:t>TERCER</w:t>
      </w:r>
      <w:r>
        <w:rPr>
          <w:rFonts w:ascii="Palatino Linotype" w:eastAsiaTheme="minorEastAsia" w:hAnsi="Palatino Linotype"/>
          <w:color w:val="000000" w:themeColor="text1"/>
          <w:sz w:val="24"/>
          <w:szCs w:val="24"/>
          <w:lang w:val="es-ES_tradnl" w:eastAsia="es-ES"/>
        </w:rPr>
        <w:t xml:space="preserve">A </w:t>
      </w:r>
      <w:r w:rsidRPr="00CC689C">
        <w:rPr>
          <w:rFonts w:ascii="Palatino Linotype" w:eastAsiaTheme="minorEastAsia" w:hAnsi="Palatino Linotype"/>
          <w:color w:val="000000" w:themeColor="text1"/>
          <w:sz w:val="24"/>
          <w:szCs w:val="24"/>
          <w:lang w:val="es-ES_tradnl" w:eastAsia="es-ES"/>
        </w:rPr>
        <w:t>SESIÓN</w:t>
      </w:r>
      <w:r w:rsidRPr="00667998">
        <w:rPr>
          <w:rFonts w:ascii="Palatino Linotype" w:eastAsiaTheme="minorEastAsia" w:hAnsi="Palatino Linotype"/>
          <w:color w:val="000000" w:themeColor="text1"/>
          <w:sz w:val="24"/>
          <w:szCs w:val="24"/>
          <w:lang w:val="es-ES_tradnl" w:eastAsia="es-ES"/>
        </w:rPr>
        <w:t xml:space="preserve"> ORDINARIA CELEBRADA EL </w:t>
      </w:r>
      <w:r w:rsidR="00B47E83">
        <w:rPr>
          <w:rFonts w:ascii="Palatino Linotype" w:eastAsiaTheme="minorEastAsia" w:hAnsi="Palatino Linotype"/>
          <w:color w:val="000000" w:themeColor="text1"/>
          <w:sz w:val="24"/>
          <w:szCs w:val="24"/>
          <w:lang w:val="es-ES_tradnl" w:eastAsia="es-ES"/>
        </w:rPr>
        <w:t>VEINTI</w:t>
      </w:r>
      <w:r w:rsidR="00ED53C9">
        <w:rPr>
          <w:rFonts w:ascii="Palatino Linotype" w:eastAsiaTheme="minorEastAsia" w:hAnsi="Palatino Linotype"/>
          <w:color w:val="000000" w:themeColor="text1"/>
          <w:sz w:val="24"/>
          <w:szCs w:val="24"/>
          <w:lang w:val="es-ES_tradnl" w:eastAsia="es-ES"/>
        </w:rPr>
        <w:t>UNO</w:t>
      </w:r>
      <w:r>
        <w:rPr>
          <w:rFonts w:ascii="Palatino Linotype" w:eastAsiaTheme="minorEastAsia" w:hAnsi="Palatino Linotype"/>
          <w:color w:val="000000" w:themeColor="text1"/>
          <w:sz w:val="24"/>
          <w:szCs w:val="24"/>
          <w:lang w:val="es-ES_tradnl" w:eastAsia="es-ES"/>
        </w:rPr>
        <w:t xml:space="preserve"> DE </w:t>
      </w:r>
      <w:r w:rsidR="00B47E83">
        <w:rPr>
          <w:rFonts w:ascii="Palatino Linotype" w:eastAsiaTheme="minorEastAsia" w:hAnsi="Palatino Linotype"/>
          <w:color w:val="000000" w:themeColor="text1"/>
          <w:sz w:val="24"/>
          <w:szCs w:val="24"/>
          <w:lang w:val="es-ES_tradnl" w:eastAsia="es-ES"/>
        </w:rPr>
        <w:t>JUNI</w:t>
      </w:r>
      <w:r>
        <w:rPr>
          <w:rFonts w:ascii="Palatino Linotype" w:eastAsiaTheme="minorEastAsia" w:hAnsi="Palatino Linotype"/>
          <w:color w:val="000000" w:themeColor="text1"/>
          <w:sz w:val="24"/>
          <w:szCs w:val="24"/>
          <w:lang w:val="es-ES_tradnl" w:eastAsia="es-ES"/>
        </w:rPr>
        <w:t xml:space="preserve">O </w:t>
      </w:r>
      <w:r w:rsidRPr="00667998">
        <w:rPr>
          <w:rFonts w:ascii="Palatino Linotype" w:eastAsiaTheme="minorEastAsia" w:hAnsi="Palatino Linotype"/>
          <w:color w:val="000000" w:themeColor="text1"/>
          <w:sz w:val="24"/>
          <w:szCs w:val="24"/>
          <w:lang w:val="es-ES_tradnl" w:eastAsia="es-ES"/>
        </w:rPr>
        <w:t>DE DOS MIL VEINT</w:t>
      </w:r>
      <w:r>
        <w:rPr>
          <w:rFonts w:ascii="Palatino Linotype" w:eastAsiaTheme="minorEastAsia" w:hAnsi="Palatino Linotype"/>
          <w:color w:val="000000" w:themeColor="text1"/>
          <w:sz w:val="24"/>
          <w:szCs w:val="24"/>
          <w:lang w:val="es-ES_tradnl" w:eastAsia="es-ES"/>
        </w:rPr>
        <w:t>IDÓS</w:t>
      </w:r>
      <w:r w:rsidRPr="00667998">
        <w:rPr>
          <w:rFonts w:ascii="Palatino Linotype" w:eastAsiaTheme="minorEastAsia" w:hAnsi="Palatino Linotype"/>
          <w:color w:val="000000" w:themeColor="text1"/>
          <w:sz w:val="24"/>
          <w:szCs w:val="24"/>
          <w:lang w:val="es-ES_tradnl" w:eastAsia="es-ES"/>
        </w:rPr>
        <w:t>, ANTE EL SECRETARIO TÉCNICO DEL PLENO ALEXIS TAPIA RAMÍREZ.--</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sidR="00EF0DD4">
        <w:rPr>
          <w:rFonts w:ascii="Palatino Linotype" w:eastAsiaTheme="minorEastAsia" w:hAnsi="Palatino Linotype"/>
          <w:color w:val="000000" w:themeColor="text1"/>
          <w:sz w:val="24"/>
          <w:szCs w:val="24"/>
          <w:lang w:val="es-ES_tradnl" w:eastAsia="es-ES"/>
        </w:rPr>
        <w:t>-------------------------------------------------------------------------------------------------------------------</w:t>
      </w:r>
      <w:r w:rsidR="00EF0DD4" w:rsidRPr="001202EC">
        <w:rPr>
          <w:rFonts w:ascii="Palatino Linotype" w:eastAsiaTheme="minorEastAsia" w:hAnsi="Palatino Linotype"/>
          <w:color w:val="000000" w:themeColor="text1"/>
          <w:sz w:val="24"/>
          <w:szCs w:val="24"/>
          <w:lang w:val="es-ES_tradnl" w:eastAsia="es-ES"/>
        </w:rPr>
        <w:t xml:space="preserve"> </w:t>
      </w:r>
    </w:p>
    <w:p w14:paraId="308D7B44" w14:textId="77777777" w:rsidR="00ED53C9" w:rsidRDefault="00EF0DD4" w:rsidP="00ED53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00ED53C9">
        <w:rPr>
          <w:rFonts w:ascii="Palatino Linotype" w:eastAsiaTheme="minorEastAsia" w:hAnsi="Palatino Linotype"/>
          <w:color w:val="000000" w:themeColor="text1"/>
          <w:sz w:val="24"/>
          <w:szCs w:val="24"/>
          <w:lang w:val="es-ES_tradnl" w:eastAsia="es-ES"/>
        </w:rPr>
        <w:t>-------------------------------------------------------------------------------------------------------------------</w:t>
      </w:r>
      <w:r w:rsidR="00ED53C9" w:rsidRPr="001202EC">
        <w:rPr>
          <w:rFonts w:ascii="Palatino Linotype" w:eastAsiaTheme="minorEastAsia" w:hAnsi="Palatino Linotype"/>
          <w:color w:val="000000" w:themeColor="text1"/>
          <w:sz w:val="24"/>
          <w:szCs w:val="24"/>
          <w:lang w:val="es-ES_tradnl" w:eastAsia="es-ES"/>
        </w:rPr>
        <w:t xml:space="preserve"> </w:t>
      </w:r>
      <w:r w:rsidR="00ED53C9">
        <w:rPr>
          <w:rFonts w:ascii="Palatino Linotype" w:eastAsiaTheme="minorEastAsia" w:hAnsi="Palatino Linotype"/>
          <w:color w:val="000000" w:themeColor="text1"/>
          <w:sz w:val="24"/>
          <w:szCs w:val="24"/>
          <w:lang w:val="es-ES_tradnl" w:eastAsia="es-ES"/>
        </w:rPr>
        <w:t>-------------------------------------------------------------------------------------------------------------------</w:t>
      </w:r>
      <w:r w:rsidR="00ED53C9" w:rsidRPr="001202EC">
        <w:rPr>
          <w:rFonts w:ascii="Palatino Linotype" w:eastAsiaTheme="minorEastAsia" w:hAnsi="Palatino Linotype"/>
          <w:color w:val="000000" w:themeColor="text1"/>
          <w:sz w:val="24"/>
          <w:szCs w:val="24"/>
          <w:lang w:val="es-ES_tradnl" w:eastAsia="es-ES"/>
        </w:rPr>
        <w:t xml:space="preserve"> </w:t>
      </w:r>
    </w:p>
    <w:p w14:paraId="3EBE9CD8" w14:textId="77777777" w:rsidR="00ED53C9" w:rsidRDefault="00ED53C9" w:rsidP="00ED53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4E8A20C5" w14:textId="77777777" w:rsidR="00ED53C9" w:rsidRDefault="00ED53C9" w:rsidP="00ED53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2417F1C5" w14:textId="77777777" w:rsidR="00ED53C9" w:rsidRDefault="00ED53C9" w:rsidP="00ED53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184AE84E" w14:textId="77777777" w:rsidR="00ED53C9" w:rsidRDefault="00ED53C9" w:rsidP="00ED53C9">
      <w:pPr>
        <w:pStyle w:val="Textoindependiente"/>
        <w:spacing w:after="0" w:line="360" w:lineRule="auto"/>
        <w:jc w:val="both"/>
        <w:rPr>
          <w:rFonts w:ascii="Palatino Linotype" w:eastAsiaTheme="minorEastAsia" w:hAnsi="Palatino Linotype"/>
          <w:color w:val="000000" w:themeColor="text1"/>
          <w:sz w:val="24"/>
          <w:szCs w:val="24"/>
          <w:lang w:val="es-ES_tradnl" w:eastAsia="es-ES"/>
        </w:rPr>
      </w:pP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r>
        <w:rPr>
          <w:rFonts w:ascii="Palatino Linotype" w:eastAsiaTheme="minorEastAsia" w:hAnsi="Palatino Linotype"/>
          <w:color w:val="000000" w:themeColor="text1"/>
          <w:sz w:val="24"/>
          <w:szCs w:val="24"/>
          <w:lang w:val="es-ES_tradnl" w:eastAsia="es-ES"/>
        </w:rPr>
        <w:t>-------------------------------------------------------------------------------------------------------------------</w:t>
      </w:r>
      <w:r w:rsidRPr="001202EC">
        <w:rPr>
          <w:rFonts w:ascii="Palatino Linotype" w:eastAsiaTheme="minorEastAsia" w:hAnsi="Palatino Linotype"/>
          <w:color w:val="000000" w:themeColor="text1"/>
          <w:sz w:val="24"/>
          <w:szCs w:val="24"/>
          <w:lang w:val="es-ES_tradnl" w:eastAsia="es-ES"/>
        </w:rPr>
        <w:t xml:space="preserve"> </w:t>
      </w:r>
    </w:p>
    <w:p w14:paraId="7050E1D2" w14:textId="77777777" w:rsidR="002F2510" w:rsidRDefault="002F2510" w:rsidP="002F2510">
      <w:pPr>
        <w:spacing w:after="0" w:line="240" w:lineRule="auto"/>
        <w:rPr>
          <w:rFonts w:ascii="Palatino Linotype" w:hAnsi="Palatino Linotype"/>
          <w:sz w:val="16"/>
          <w:szCs w:val="18"/>
        </w:rPr>
      </w:pPr>
    </w:p>
    <w:p w14:paraId="69F42335" w14:textId="77777777" w:rsidR="002F2510" w:rsidRPr="00EB66ED" w:rsidRDefault="002F2510" w:rsidP="002F2510">
      <w:pPr>
        <w:spacing w:after="0" w:line="240" w:lineRule="auto"/>
        <w:rPr>
          <w:rFonts w:ascii="Palatino Linotype" w:hAnsi="Palatino Linotype"/>
          <w:sz w:val="16"/>
          <w:szCs w:val="18"/>
        </w:rPr>
      </w:pPr>
      <w:r>
        <w:rPr>
          <w:rFonts w:ascii="Palatino Linotype" w:hAnsi="Palatino Linotype"/>
          <w:sz w:val="16"/>
          <w:szCs w:val="18"/>
        </w:rPr>
        <w:t>JMV</w:t>
      </w:r>
      <w:r w:rsidRPr="00667998">
        <w:rPr>
          <w:rFonts w:ascii="Palatino Linotype" w:hAnsi="Palatino Linotype"/>
          <w:sz w:val="16"/>
          <w:szCs w:val="18"/>
        </w:rPr>
        <w:t>/</w:t>
      </w:r>
      <w:r>
        <w:rPr>
          <w:rFonts w:ascii="Palatino Linotype" w:hAnsi="Palatino Linotype"/>
          <w:sz w:val="16"/>
          <w:szCs w:val="18"/>
        </w:rPr>
        <w:t>CCR</w:t>
      </w:r>
      <w:r w:rsidRPr="00667998">
        <w:rPr>
          <w:rFonts w:ascii="Palatino Linotype" w:hAnsi="Palatino Linotype"/>
          <w:sz w:val="16"/>
          <w:szCs w:val="18"/>
        </w:rPr>
        <w:t>/</w:t>
      </w:r>
      <w:proofErr w:type="spellStart"/>
      <w:r>
        <w:rPr>
          <w:rFonts w:ascii="Palatino Linotype" w:hAnsi="Palatino Linotype"/>
          <w:sz w:val="16"/>
          <w:szCs w:val="18"/>
        </w:rPr>
        <w:t>bpac</w:t>
      </w:r>
      <w:proofErr w:type="spellEnd"/>
    </w:p>
    <w:p w14:paraId="55F7AB01" w14:textId="77777777" w:rsidR="002F2510" w:rsidRDefault="002F2510" w:rsidP="002F2510"/>
    <w:p w14:paraId="19681DC8" w14:textId="77777777" w:rsidR="002F2510" w:rsidRDefault="002F2510" w:rsidP="002F2510"/>
    <w:p w14:paraId="4A4B4205" w14:textId="77777777" w:rsidR="002F2510" w:rsidRDefault="002F2510" w:rsidP="002F2510"/>
    <w:p w14:paraId="443094C8" w14:textId="77777777" w:rsidR="002F2510" w:rsidRDefault="002F2510" w:rsidP="002F2510"/>
    <w:p w14:paraId="16C883C4" w14:textId="77777777" w:rsidR="002F2510" w:rsidRDefault="002F2510" w:rsidP="002F2510"/>
    <w:p w14:paraId="2573B824" w14:textId="77777777" w:rsidR="002F2510" w:rsidRDefault="002F2510" w:rsidP="002F2510"/>
    <w:p w14:paraId="636C10EC" w14:textId="77777777" w:rsidR="002F2510" w:rsidRDefault="002F2510" w:rsidP="002F2510"/>
    <w:p w14:paraId="43D21164" w14:textId="77777777" w:rsidR="002F2510" w:rsidRDefault="002F2510" w:rsidP="002F2510"/>
    <w:p w14:paraId="6CF1F321" w14:textId="77777777" w:rsidR="002F2510" w:rsidRDefault="002F2510" w:rsidP="002F2510"/>
    <w:p w14:paraId="190935F9" w14:textId="77777777" w:rsidR="002F2510" w:rsidRDefault="002F2510" w:rsidP="002F2510"/>
    <w:p w14:paraId="11684409" w14:textId="77777777" w:rsidR="002F2510" w:rsidRDefault="002F2510" w:rsidP="002F2510"/>
    <w:p w14:paraId="6806D80C" w14:textId="77777777" w:rsidR="002F2510" w:rsidRDefault="002F2510" w:rsidP="002F2510"/>
    <w:p w14:paraId="699B28D6" w14:textId="77777777" w:rsidR="002F2510" w:rsidRDefault="002F2510" w:rsidP="002F2510"/>
    <w:p w14:paraId="007A89D7" w14:textId="77777777" w:rsidR="002F2510" w:rsidRDefault="002F2510" w:rsidP="002F2510"/>
    <w:p w14:paraId="7806A663" w14:textId="77777777" w:rsidR="002F2510" w:rsidRDefault="002F2510" w:rsidP="002F2510"/>
    <w:p w14:paraId="322A2764" w14:textId="77777777" w:rsidR="002F2510" w:rsidRDefault="002F2510" w:rsidP="002F2510"/>
    <w:p w14:paraId="1635FD46" w14:textId="77777777" w:rsidR="002F2510" w:rsidRDefault="002F2510" w:rsidP="002F2510"/>
    <w:p w14:paraId="30422705" w14:textId="77777777" w:rsidR="002F2510" w:rsidRDefault="002F2510" w:rsidP="002F2510"/>
    <w:p w14:paraId="74DFB451" w14:textId="77777777" w:rsidR="00171EF6" w:rsidRDefault="00171EF6"/>
    <w:sectPr w:rsidR="00171EF6" w:rsidSect="00955817">
      <w:headerReference w:type="even" r:id="rId8"/>
      <w:headerReference w:type="default" r:id="rId9"/>
      <w:footerReference w:type="default" r:id="rId10"/>
      <w:headerReference w:type="first" r:id="rId11"/>
      <w:footerReference w:type="first" r:id="rId12"/>
      <w:pgSz w:w="12240" w:h="15840"/>
      <w:pgMar w:top="1418" w:right="1325"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05A4D2" w14:textId="77777777" w:rsidR="00154E33" w:rsidRDefault="00154E33" w:rsidP="002F2510">
      <w:pPr>
        <w:spacing w:after="0" w:line="240" w:lineRule="auto"/>
      </w:pPr>
      <w:r>
        <w:separator/>
      </w:r>
    </w:p>
  </w:endnote>
  <w:endnote w:type="continuationSeparator" w:id="0">
    <w:p w14:paraId="48442F68" w14:textId="77777777" w:rsidR="00154E33" w:rsidRDefault="00154E33" w:rsidP="002F25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DE46FB" w14:textId="63AD0EE8" w:rsidR="00955817" w:rsidRPr="000B69FA" w:rsidRDefault="001740AD"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5890">
      <w:rPr>
        <w:rFonts w:ascii="Palatino Linotype" w:hAnsi="Palatino Linotype"/>
        <w:bCs/>
        <w:noProof/>
        <w:sz w:val="20"/>
      </w:rPr>
      <w:t>19</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5890">
      <w:rPr>
        <w:rFonts w:ascii="Palatino Linotype" w:hAnsi="Palatino Linotype"/>
        <w:bCs/>
        <w:noProof/>
        <w:sz w:val="20"/>
      </w:rPr>
      <w:t>19</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D4F7B" w14:textId="58F500CB" w:rsidR="00955817" w:rsidRPr="000B69FA" w:rsidRDefault="001740AD" w:rsidP="0095581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BE5890">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BE5890">
      <w:rPr>
        <w:rFonts w:ascii="Palatino Linotype" w:hAnsi="Palatino Linotype"/>
        <w:bCs/>
        <w:noProof/>
        <w:sz w:val="20"/>
      </w:rPr>
      <w:t>19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A980E0" w14:textId="77777777" w:rsidR="00154E33" w:rsidRDefault="00154E33" w:rsidP="002F2510">
      <w:pPr>
        <w:spacing w:after="0" w:line="240" w:lineRule="auto"/>
      </w:pPr>
      <w:r>
        <w:separator/>
      </w:r>
    </w:p>
  </w:footnote>
  <w:footnote w:type="continuationSeparator" w:id="0">
    <w:p w14:paraId="00CDDE9F" w14:textId="77777777" w:rsidR="00154E33" w:rsidRDefault="00154E33" w:rsidP="002F2510">
      <w:pPr>
        <w:spacing w:after="0" w:line="240" w:lineRule="auto"/>
      </w:pPr>
      <w:r>
        <w:continuationSeparator/>
      </w:r>
    </w:p>
  </w:footnote>
  <w:footnote w:id="1">
    <w:p w14:paraId="41E60050" w14:textId="77777777" w:rsidR="002F2510" w:rsidRPr="00481AAF" w:rsidRDefault="002F2510" w:rsidP="002F2510">
      <w:pPr>
        <w:spacing w:after="0" w:line="240" w:lineRule="auto"/>
        <w:jc w:val="both"/>
        <w:rPr>
          <w:rFonts w:ascii="Palatino Linotype" w:eastAsia="Times New Roman" w:hAnsi="Palatino Linotype"/>
          <w:b/>
          <w:bCs/>
          <w:i/>
          <w:sz w:val="20"/>
          <w:szCs w:val="20"/>
          <w:lang w:eastAsia="es-MX"/>
        </w:rPr>
      </w:pPr>
      <w:r>
        <w:rPr>
          <w:rStyle w:val="Refdenotaalpie"/>
        </w:rPr>
        <w:footnoteRef/>
      </w:r>
      <w:r>
        <w:t xml:space="preserve"> </w:t>
      </w:r>
      <w:r w:rsidRPr="00946E1F">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w:t>
      </w:r>
      <w:r w:rsidRPr="00481AAF">
        <w:rPr>
          <w:rFonts w:ascii="Palatino Linotype" w:hAnsi="Palatino Linotype"/>
          <w:b/>
          <w:bCs/>
          <w:i/>
          <w:sz w:val="20"/>
          <w:szCs w:val="20"/>
        </w:rPr>
        <w:t>DERECHOS HUMANOS.</w:t>
      </w:r>
    </w:p>
    <w:p w14:paraId="2FA6DF72" w14:textId="77777777" w:rsidR="002F2510" w:rsidRPr="00946E1F" w:rsidRDefault="002F2510" w:rsidP="002F2510">
      <w:pPr>
        <w:spacing w:after="0" w:line="240" w:lineRule="auto"/>
        <w:jc w:val="both"/>
        <w:rPr>
          <w:rFonts w:ascii="Palatino Linotype" w:hAnsi="Palatino Linotype"/>
          <w:i/>
          <w:sz w:val="20"/>
          <w:szCs w:val="20"/>
        </w:rPr>
      </w:pPr>
      <w:r w:rsidRPr="00481AAF">
        <w:rPr>
          <w:rFonts w:ascii="Palatino Linotype" w:hAnsi="Palatino Linotype"/>
          <w:i/>
          <w:sz w:val="20"/>
          <w:szCs w:val="20"/>
        </w:rPr>
        <w:t>Del examen de compatibilidad de los artículos</w:t>
      </w:r>
      <w:r w:rsidRPr="00481AAF">
        <w:rPr>
          <w:rStyle w:val="apple-converted-space"/>
          <w:rFonts w:ascii="Palatino Linotype" w:hAnsi="Palatino Linotype"/>
          <w:i/>
          <w:sz w:val="20"/>
          <w:szCs w:val="20"/>
        </w:rPr>
        <w:t> </w:t>
      </w:r>
      <w:hyperlink r:id="rId1" w:history="1">
        <w:r w:rsidRPr="00481AAF">
          <w:rPr>
            <w:rStyle w:val="Hipervnculo"/>
            <w:rFonts w:ascii="Palatino Linotype" w:hAnsi="Palatino Linotype"/>
            <w:i/>
            <w:sz w:val="20"/>
            <w:szCs w:val="20"/>
          </w:rPr>
          <w:t>73 y 74 de la Ley de Amparo</w:t>
        </w:r>
      </w:hyperlink>
      <w:r w:rsidRPr="00481AAF">
        <w:rPr>
          <w:rStyle w:val="apple-converted-space"/>
          <w:rFonts w:ascii="Palatino Linotype" w:hAnsi="Palatino Linotype"/>
          <w:i/>
          <w:sz w:val="20"/>
          <w:szCs w:val="20"/>
        </w:rPr>
        <w:t> </w:t>
      </w:r>
      <w:r w:rsidRPr="00481AAF">
        <w:rPr>
          <w:rFonts w:ascii="Palatino Linotype" w:hAnsi="Palatino Linotype"/>
          <w:i/>
          <w:sz w:val="20"/>
          <w:szCs w:val="20"/>
        </w:rPr>
        <w:t>con el artículo</w:t>
      </w:r>
      <w:r w:rsidRPr="00481AAF">
        <w:rPr>
          <w:rStyle w:val="apple-converted-space"/>
          <w:rFonts w:ascii="Palatino Linotype" w:hAnsi="Palatino Linotype"/>
          <w:i/>
          <w:sz w:val="20"/>
          <w:szCs w:val="20"/>
        </w:rPr>
        <w:t> </w:t>
      </w:r>
      <w:hyperlink r:id="rId2" w:history="1">
        <w:r w:rsidRPr="00481AAF">
          <w:rPr>
            <w:rStyle w:val="Hipervnculo"/>
            <w:rFonts w:ascii="Palatino Linotype" w:hAnsi="Palatino Linotype"/>
            <w:i/>
            <w:sz w:val="20"/>
            <w:szCs w:val="20"/>
          </w:rPr>
          <w:t>25.1 de la Convención Americana sobre Derechos Humanos</w:t>
        </w:r>
      </w:hyperlink>
      <w:r w:rsidRPr="00481AAF">
        <w:rPr>
          <w:rStyle w:val="apple-converted-space"/>
          <w:rFonts w:ascii="Palatino Linotype" w:hAnsi="Palatino Linotype"/>
          <w:i/>
          <w:sz w:val="20"/>
          <w:szCs w:val="20"/>
        </w:rPr>
        <w:t> </w:t>
      </w:r>
      <w:r w:rsidRPr="00481AAF">
        <w:rPr>
          <w:rFonts w:ascii="Palatino Linotype" w:hAnsi="Palatino Linotype"/>
          <w:b/>
          <w:i/>
          <w:sz w:val="20"/>
          <w:szCs w:val="20"/>
          <w:u w:val="single"/>
        </w:rPr>
        <w:t xml:space="preserve">no se advierte que el derecho interno desatienda los estándares que pretenden proteger los derechos humanos en dicho tratado, por regular causas de improcedencia y sobreseimiento que impiden abordar el estudio de fondo del asunto en el juicio </w:t>
      </w:r>
      <w:r w:rsidRPr="00946E1F">
        <w:rPr>
          <w:rFonts w:ascii="Palatino Linotype" w:hAnsi="Palatino Linotype"/>
          <w:b/>
          <w:i/>
          <w:sz w:val="20"/>
          <w:szCs w:val="20"/>
          <w:u w:val="single"/>
        </w:rPr>
        <w:t>de amparo,</w:t>
      </w:r>
      <w:r w:rsidRPr="00946E1F">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946E1F">
        <w:rPr>
          <w:rFonts w:ascii="Palatino Linotype" w:hAnsi="Palatino Linotype"/>
          <w:i/>
          <w:sz w:val="20"/>
          <w:szCs w:val="20"/>
        </w:rPr>
        <w:t>concesoria</w:t>
      </w:r>
      <w:proofErr w:type="spellEnd"/>
      <w:r w:rsidRPr="00946E1F">
        <w:rPr>
          <w:rFonts w:ascii="Palatino Linotype" w:hAnsi="Palatino Linotype"/>
          <w:i/>
          <w:sz w:val="20"/>
          <w:szCs w:val="20"/>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094D63" w14:textId="77777777" w:rsidR="00D21B73" w:rsidRDefault="00154E33">
    <w:pPr>
      <w:pStyle w:val="Encabezado"/>
    </w:pPr>
    <w:r>
      <w:rPr>
        <w:noProof/>
      </w:rPr>
      <w:pict w14:anchorId="5F6001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4" o:spid="_x0000_s2049" type="#_x0000_t75" style="position:absolute;margin-left:0;margin-top:0;width:736.5pt;height:960pt;z-index:-251659776;mso-position-horizontal:center;mso-position-horizontal-relative:margin;mso-position-vertical:center;mso-position-vertical-relative:margin" o:allowincell="f">
          <v:imagedata r:id="rId1" o:title="HOJA RESOLUCIÓN"/>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516ADB" w14:textId="77777777" w:rsidR="00955817" w:rsidRDefault="00154E33">
    <w:pPr>
      <w:pStyle w:val="Encabezado"/>
    </w:pPr>
    <w:r>
      <w:rPr>
        <w:noProof/>
      </w:rPr>
      <w:pict w14:anchorId="0126E98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5" o:spid="_x0000_s2050" type="#_x0000_t75" style="position:absolute;margin-left:-92.15pt;margin-top:-128.35pt;width:736.5pt;height:960pt;z-index:-251658752;mso-position-horizontal-relative:margin;mso-position-vertical-relative:margin" o:allowincell="f">
          <v:imagedata r:id="rId1" o:title="HOJA RESOLUCIÓN"/>
          <w10:wrap anchorx="margin" anchory="margin"/>
        </v:shape>
      </w:pict>
    </w:r>
  </w:p>
  <w:tbl>
    <w:tblPr>
      <w:tblW w:w="10065" w:type="dxa"/>
      <w:tblInd w:w="-851" w:type="dxa"/>
      <w:tblCellMar>
        <w:left w:w="70" w:type="dxa"/>
        <w:right w:w="70" w:type="dxa"/>
      </w:tblCellMar>
      <w:tblLook w:val="04A0" w:firstRow="1" w:lastRow="0" w:firstColumn="1" w:lastColumn="0" w:noHBand="0" w:noVBand="1"/>
    </w:tblPr>
    <w:tblGrid>
      <w:gridCol w:w="5949"/>
      <w:gridCol w:w="4116"/>
    </w:tblGrid>
    <w:tr w:rsidR="00955817" w14:paraId="185BFA23" w14:textId="77777777" w:rsidTr="003901C4">
      <w:trPr>
        <w:trHeight w:val="227"/>
      </w:trPr>
      <w:tc>
        <w:tcPr>
          <w:tcW w:w="5949" w:type="dxa"/>
          <w:hideMark/>
        </w:tcPr>
        <w:p w14:paraId="5D7D3005"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116" w:type="dxa"/>
          <w:hideMark/>
        </w:tcPr>
        <w:p w14:paraId="26A80F34" w14:textId="3FCBB5B3" w:rsidR="00955817" w:rsidRPr="00B4142F" w:rsidRDefault="001740AD" w:rsidP="002F2510">
          <w:pPr>
            <w:spacing w:after="120" w:line="256" w:lineRule="auto"/>
            <w:ind w:left="639" w:right="214"/>
            <w:jc w:val="right"/>
            <w:rPr>
              <w:rFonts w:ascii="Palatino Linotype" w:hAnsi="Palatino Linotype" w:cs="Arial"/>
              <w:szCs w:val="20"/>
            </w:rPr>
          </w:pPr>
          <w:r>
            <w:rPr>
              <w:rFonts w:ascii="Palatino Linotype" w:hAnsi="Palatino Linotype" w:cs="Arial"/>
              <w:bCs/>
              <w:sz w:val="24"/>
              <w:lang w:eastAsia="es-MX"/>
            </w:rPr>
            <w:t>05</w:t>
          </w:r>
          <w:r w:rsidR="00B41487">
            <w:rPr>
              <w:rFonts w:ascii="Palatino Linotype" w:hAnsi="Palatino Linotype" w:cs="Arial"/>
              <w:bCs/>
              <w:sz w:val="24"/>
              <w:lang w:eastAsia="es-MX"/>
            </w:rPr>
            <w:t>570</w:t>
          </w:r>
          <w:r>
            <w:rPr>
              <w:rFonts w:ascii="Palatino Linotype" w:hAnsi="Palatino Linotype" w:cs="Arial"/>
              <w:bCs/>
              <w:sz w:val="24"/>
              <w:lang w:eastAsia="es-MX"/>
            </w:rPr>
            <w:t>/INFOEM/IP/RR/2022</w:t>
          </w:r>
        </w:p>
      </w:tc>
    </w:tr>
    <w:tr w:rsidR="00955817" w14:paraId="7EE50A28" w14:textId="77777777" w:rsidTr="003901C4">
      <w:trPr>
        <w:trHeight w:val="242"/>
      </w:trPr>
      <w:tc>
        <w:tcPr>
          <w:tcW w:w="5949" w:type="dxa"/>
          <w:hideMark/>
        </w:tcPr>
        <w:p w14:paraId="1B97C5B1"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116" w:type="dxa"/>
          <w:hideMark/>
        </w:tcPr>
        <w:p w14:paraId="2887DAE3" w14:textId="32C8E451" w:rsidR="00955817" w:rsidRPr="00F06FED" w:rsidRDefault="002F2510" w:rsidP="00EB0851">
          <w:pPr>
            <w:spacing w:after="120" w:line="256" w:lineRule="auto"/>
            <w:ind w:right="214"/>
            <w:jc w:val="right"/>
            <w:rPr>
              <w:rFonts w:ascii="Palatino Linotype" w:hAnsi="Palatino Linotype" w:cs="Arial"/>
            </w:rPr>
          </w:pPr>
          <w:r w:rsidRPr="00F07553">
            <w:rPr>
              <w:rFonts w:ascii="Palatino Linotype" w:hAnsi="Palatino Linotype" w:cs="Arial"/>
              <w:szCs w:val="20"/>
            </w:rPr>
            <w:t xml:space="preserve">Ayuntamiento de </w:t>
          </w:r>
          <w:r w:rsidR="00B41487">
            <w:rPr>
              <w:rFonts w:ascii="Palatino Linotype" w:hAnsi="Palatino Linotype" w:cs="Arial"/>
              <w:szCs w:val="20"/>
            </w:rPr>
            <w:t>Toluca</w:t>
          </w:r>
        </w:p>
      </w:tc>
    </w:tr>
    <w:tr w:rsidR="00955817" w14:paraId="4F3BCC7F" w14:textId="77777777" w:rsidTr="003901C4">
      <w:trPr>
        <w:trHeight w:val="342"/>
      </w:trPr>
      <w:tc>
        <w:tcPr>
          <w:tcW w:w="5949" w:type="dxa"/>
          <w:hideMark/>
        </w:tcPr>
        <w:p w14:paraId="33C39C9D" w14:textId="77777777" w:rsidR="00955817" w:rsidRDefault="001740AD"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116" w:type="dxa"/>
          <w:hideMark/>
        </w:tcPr>
        <w:p w14:paraId="725C0514" w14:textId="77777777" w:rsidR="00955817" w:rsidRDefault="001740AD" w:rsidP="00955817">
          <w:pPr>
            <w:spacing w:after="120" w:line="256" w:lineRule="auto"/>
            <w:ind w:left="497" w:right="214" w:firstLine="142"/>
            <w:jc w:val="right"/>
            <w:rPr>
              <w:rFonts w:ascii="Palatino Linotype" w:hAnsi="Palatino Linotype" w:cs="Arial"/>
              <w:szCs w:val="20"/>
            </w:rPr>
          </w:pPr>
          <w:r>
            <w:rPr>
              <w:rFonts w:ascii="Palatino Linotype" w:hAnsi="Palatino Linotype" w:cs="Arial"/>
              <w:szCs w:val="20"/>
            </w:rPr>
            <w:t>José Martínez Vilchis</w:t>
          </w:r>
        </w:p>
      </w:tc>
    </w:tr>
  </w:tbl>
  <w:p w14:paraId="44210445" w14:textId="77777777" w:rsidR="00955817" w:rsidRDefault="00154E33">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10065" w:type="dxa"/>
      <w:tblInd w:w="-851" w:type="dxa"/>
      <w:tblLayout w:type="fixed"/>
      <w:tblCellMar>
        <w:left w:w="70" w:type="dxa"/>
        <w:right w:w="70" w:type="dxa"/>
      </w:tblCellMar>
      <w:tblLook w:val="04A0" w:firstRow="1" w:lastRow="0" w:firstColumn="1" w:lastColumn="0" w:noHBand="0" w:noVBand="1"/>
    </w:tblPr>
    <w:tblGrid>
      <w:gridCol w:w="6091"/>
      <w:gridCol w:w="3974"/>
    </w:tblGrid>
    <w:tr w:rsidR="00955817" w14:paraId="2F1802A3" w14:textId="77777777" w:rsidTr="003901C4">
      <w:trPr>
        <w:trHeight w:val="227"/>
      </w:trPr>
      <w:tc>
        <w:tcPr>
          <w:tcW w:w="6091" w:type="dxa"/>
          <w:hideMark/>
        </w:tcPr>
        <w:p w14:paraId="5E79E8CB"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3974" w:type="dxa"/>
          <w:hideMark/>
        </w:tcPr>
        <w:p w14:paraId="05E4A198" w14:textId="444D9964" w:rsidR="00955817" w:rsidRPr="00B4142F" w:rsidRDefault="001740AD" w:rsidP="002F2510">
          <w:pPr>
            <w:spacing w:after="120" w:line="256" w:lineRule="auto"/>
            <w:ind w:right="214"/>
            <w:jc w:val="right"/>
            <w:rPr>
              <w:rFonts w:ascii="Palatino Linotype" w:hAnsi="Palatino Linotype" w:cs="Arial"/>
              <w:szCs w:val="20"/>
            </w:rPr>
          </w:pPr>
          <w:r>
            <w:rPr>
              <w:rFonts w:ascii="Palatino Linotype" w:hAnsi="Palatino Linotype" w:cs="Arial"/>
              <w:bCs/>
              <w:sz w:val="24"/>
              <w:lang w:eastAsia="es-MX"/>
            </w:rPr>
            <w:t>05</w:t>
          </w:r>
          <w:r w:rsidR="00B41487">
            <w:rPr>
              <w:rFonts w:ascii="Palatino Linotype" w:hAnsi="Palatino Linotype" w:cs="Arial"/>
              <w:bCs/>
              <w:sz w:val="24"/>
              <w:lang w:eastAsia="es-MX"/>
            </w:rPr>
            <w:t>570</w:t>
          </w:r>
          <w:r>
            <w:rPr>
              <w:rFonts w:ascii="Palatino Linotype" w:hAnsi="Palatino Linotype" w:cs="Arial"/>
              <w:bCs/>
              <w:sz w:val="24"/>
              <w:lang w:eastAsia="es-MX"/>
            </w:rPr>
            <w:t>/INFOEM/IP/RR/2022</w:t>
          </w:r>
        </w:p>
      </w:tc>
    </w:tr>
    <w:tr w:rsidR="00955817" w14:paraId="5C63DFAE" w14:textId="77777777" w:rsidTr="003901C4">
      <w:trPr>
        <w:trHeight w:val="196"/>
      </w:trPr>
      <w:tc>
        <w:tcPr>
          <w:tcW w:w="6091" w:type="dxa"/>
          <w:hideMark/>
        </w:tcPr>
        <w:p w14:paraId="4729E674"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3974" w:type="dxa"/>
          <w:hideMark/>
        </w:tcPr>
        <w:p w14:paraId="2D7AD5AB" w14:textId="31C72602" w:rsidR="00955817" w:rsidRPr="00F06FED" w:rsidRDefault="00BE5890" w:rsidP="00D21B73">
          <w:pPr>
            <w:spacing w:after="120" w:line="256" w:lineRule="auto"/>
            <w:ind w:right="214"/>
            <w:jc w:val="right"/>
            <w:rPr>
              <w:rFonts w:ascii="Palatino Linotype" w:hAnsi="Palatino Linotype" w:cs="Arial"/>
            </w:rPr>
          </w:pPr>
          <w:r>
            <w:rPr>
              <w:rFonts w:ascii="Palatino Linotype" w:hAnsi="Palatino Linotype" w:cs="Arial"/>
            </w:rPr>
            <w:t>XXXXXXXXXXXXX</w:t>
          </w:r>
        </w:p>
      </w:tc>
    </w:tr>
    <w:tr w:rsidR="00955817" w14:paraId="77BA6F2D" w14:textId="77777777" w:rsidTr="003901C4">
      <w:trPr>
        <w:trHeight w:val="242"/>
      </w:trPr>
      <w:tc>
        <w:tcPr>
          <w:tcW w:w="6091" w:type="dxa"/>
          <w:hideMark/>
        </w:tcPr>
        <w:p w14:paraId="7E88F8E3" w14:textId="77777777" w:rsidR="00955817" w:rsidRDefault="001740AD" w:rsidP="0095581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3974" w:type="dxa"/>
          <w:hideMark/>
        </w:tcPr>
        <w:p w14:paraId="67C12522" w14:textId="19E6ED7B" w:rsidR="00955817" w:rsidRDefault="001740AD" w:rsidP="00EB0851">
          <w:pPr>
            <w:spacing w:after="120" w:line="256" w:lineRule="auto"/>
            <w:ind w:right="214"/>
            <w:jc w:val="right"/>
            <w:rPr>
              <w:rFonts w:ascii="Palatino Linotype" w:hAnsi="Palatino Linotype" w:cs="Arial"/>
              <w:szCs w:val="20"/>
            </w:rPr>
          </w:pPr>
          <w:r w:rsidRPr="00F07553">
            <w:rPr>
              <w:rFonts w:ascii="Palatino Linotype" w:hAnsi="Palatino Linotype" w:cs="Arial"/>
              <w:szCs w:val="20"/>
            </w:rPr>
            <w:t xml:space="preserve">Ayuntamiento de </w:t>
          </w:r>
          <w:r w:rsidR="00B41487">
            <w:rPr>
              <w:rFonts w:ascii="Palatino Linotype" w:hAnsi="Palatino Linotype" w:cs="Arial"/>
              <w:szCs w:val="20"/>
            </w:rPr>
            <w:t>Toluca</w:t>
          </w:r>
        </w:p>
      </w:tc>
    </w:tr>
    <w:tr w:rsidR="00955817" w14:paraId="676A53BD" w14:textId="77777777" w:rsidTr="003901C4">
      <w:trPr>
        <w:trHeight w:val="342"/>
      </w:trPr>
      <w:tc>
        <w:tcPr>
          <w:tcW w:w="6091" w:type="dxa"/>
          <w:hideMark/>
        </w:tcPr>
        <w:p w14:paraId="46480BC8" w14:textId="77777777" w:rsidR="00955817" w:rsidRDefault="001740AD" w:rsidP="0095581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3974" w:type="dxa"/>
          <w:hideMark/>
        </w:tcPr>
        <w:p w14:paraId="54F8CA00" w14:textId="77777777" w:rsidR="00955817" w:rsidRDefault="001740AD" w:rsidP="00D21B73">
          <w:pPr>
            <w:spacing w:after="120" w:line="256" w:lineRule="auto"/>
            <w:ind w:right="214"/>
            <w:jc w:val="right"/>
            <w:rPr>
              <w:rFonts w:ascii="Palatino Linotype" w:hAnsi="Palatino Linotype" w:cs="Arial"/>
              <w:szCs w:val="20"/>
            </w:rPr>
          </w:pPr>
          <w:r>
            <w:rPr>
              <w:rFonts w:ascii="Palatino Linotype" w:hAnsi="Palatino Linotype" w:cs="Arial"/>
              <w:szCs w:val="20"/>
            </w:rPr>
            <w:t>José Martínez Vilchis</w:t>
          </w:r>
        </w:p>
      </w:tc>
    </w:tr>
  </w:tbl>
  <w:p w14:paraId="751B6F85" w14:textId="77777777" w:rsidR="00955817" w:rsidRDefault="00154E33">
    <w:pPr>
      <w:pStyle w:val="Encabezado"/>
    </w:pPr>
    <w:r>
      <w:rPr>
        <w:noProof/>
      </w:rPr>
      <w:pict w14:anchorId="4CD928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90034453" o:spid="_x0000_s2051" type="#_x0000_t75" style="position:absolute;margin-left:-85.4pt;margin-top:-135.95pt;width:736.5pt;height:960pt;z-index:-251657728;mso-position-horizontal-relative:margin;mso-position-vertical-relative:margin" o:allowincell="f">
          <v:imagedata r:id="rId1" o:title="HOJA RESOLUCIÓN"/>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C40441"/>
    <w:multiLevelType w:val="hybridMultilevel"/>
    <w:tmpl w:val="5016B824"/>
    <w:lvl w:ilvl="0" w:tplc="41083E3E">
      <w:start w:val="12"/>
      <w:numFmt w:val="bullet"/>
      <w:lvlText w:val=""/>
      <w:lvlJc w:val="left"/>
      <w:pPr>
        <w:ind w:left="720" w:hanging="360"/>
      </w:pPr>
      <w:rPr>
        <w:rFonts w:ascii="Symbol" w:eastAsiaTheme="minorHAnsi" w:hAnsi="Symbol" w:cs="Arial" w:hint="default"/>
        <w:i/>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38985675"/>
    <w:multiLevelType w:val="hybridMultilevel"/>
    <w:tmpl w:val="E92E28C4"/>
    <w:lvl w:ilvl="0" w:tplc="721633D0">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1BB28D3"/>
    <w:multiLevelType w:val="hybridMultilevel"/>
    <w:tmpl w:val="382AF2F8"/>
    <w:lvl w:ilvl="0" w:tplc="6F208A8A">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2510"/>
    <w:rsid w:val="00000D2F"/>
    <w:rsid w:val="00060745"/>
    <w:rsid w:val="000E228B"/>
    <w:rsid w:val="00104D32"/>
    <w:rsid w:val="00154E33"/>
    <w:rsid w:val="00171D62"/>
    <w:rsid w:val="00171EF6"/>
    <w:rsid w:val="001740AD"/>
    <w:rsid w:val="00192D6F"/>
    <w:rsid w:val="001979E0"/>
    <w:rsid w:val="001A7732"/>
    <w:rsid w:val="001E55D9"/>
    <w:rsid w:val="00203B9A"/>
    <w:rsid w:val="00205952"/>
    <w:rsid w:val="00235F2F"/>
    <w:rsid w:val="002C6E22"/>
    <w:rsid w:val="002F2510"/>
    <w:rsid w:val="00311EA2"/>
    <w:rsid w:val="00387A29"/>
    <w:rsid w:val="004704DD"/>
    <w:rsid w:val="004B49B4"/>
    <w:rsid w:val="00695184"/>
    <w:rsid w:val="006E71E8"/>
    <w:rsid w:val="00713A6C"/>
    <w:rsid w:val="008359F3"/>
    <w:rsid w:val="008A682E"/>
    <w:rsid w:val="009046B9"/>
    <w:rsid w:val="009301D7"/>
    <w:rsid w:val="00940AA2"/>
    <w:rsid w:val="009460CA"/>
    <w:rsid w:val="009B0D7C"/>
    <w:rsid w:val="00AA5083"/>
    <w:rsid w:val="00B31FBC"/>
    <w:rsid w:val="00B41487"/>
    <w:rsid w:val="00B46AA7"/>
    <w:rsid w:val="00B47E83"/>
    <w:rsid w:val="00B635AB"/>
    <w:rsid w:val="00B87214"/>
    <w:rsid w:val="00BE5890"/>
    <w:rsid w:val="00CB3A61"/>
    <w:rsid w:val="00EC6E66"/>
    <w:rsid w:val="00ED53C9"/>
    <w:rsid w:val="00EE2010"/>
    <w:rsid w:val="00EF0DD4"/>
    <w:rsid w:val="00F317A0"/>
    <w:rsid w:val="00F57845"/>
    <w:rsid w:val="00FD2F9A"/>
    <w:rsid w:val="00FF09C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8B49D3B"/>
  <w15:chartTrackingRefBased/>
  <w15:docId w15:val="{F202F5EA-BD52-45F7-8EC4-EF8DE9DA6B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251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25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2F251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2F251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2F251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2F251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2F251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2F251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2F2510"/>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2F2510"/>
    <w:rPr>
      <w:color w:val="0563C1" w:themeColor="hyperlink"/>
      <w:u w:val="single"/>
    </w:rPr>
  </w:style>
  <w:style w:type="paragraph" w:styleId="Sinespaciado">
    <w:name w:val="No Spacing"/>
    <w:aliases w:val="Francesa,INAI"/>
    <w:link w:val="SinespaciadoCar"/>
    <w:uiPriority w:val="1"/>
    <w:qFormat/>
    <w:rsid w:val="002F2510"/>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2F2510"/>
    <w:rPr>
      <w:rFonts w:ascii="Times New Roman" w:eastAsia="Times New Roman" w:hAnsi="Times New Roman" w:cs="Times New Roman"/>
      <w:sz w:val="24"/>
      <w:szCs w:val="24"/>
      <w:lang w:eastAsia="es-ES"/>
    </w:rPr>
  </w:style>
  <w:style w:type="paragraph" w:styleId="Textoindependiente">
    <w:name w:val="Body Text"/>
    <w:basedOn w:val="Normal"/>
    <w:link w:val="TextoindependienteCar"/>
    <w:uiPriority w:val="99"/>
    <w:unhideWhenUsed/>
    <w:rsid w:val="002F2510"/>
    <w:pPr>
      <w:spacing w:after="120"/>
    </w:pPr>
  </w:style>
  <w:style w:type="character" w:customStyle="1" w:styleId="TextoindependienteCar">
    <w:name w:val="Texto independiente Car"/>
    <w:basedOn w:val="Fuentedeprrafopredeter"/>
    <w:link w:val="Textoindependiente"/>
    <w:uiPriority w:val="99"/>
    <w:rsid w:val="002F2510"/>
  </w:style>
  <w:style w:type="paragraph" w:styleId="Textoindependiente2">
    <w:name w:val="Body Text 2"/>
    <w:basedOn w:val="Normal"/>
    <w:link w:val="Textoindependiente2Car"/>
    <w:uiPriority w:val="99"/>
    <w:semiHidden/>
    <w:unhideWhenUsed/>
    <w:rsid w:val="002F2510"/>
    <w:pPr>
      <w:spacing w:after="120" w:line="480" w:lineRule="auto"/>
    </w:pPr>
  </w:style>
  <w:style w:type="character" w:customStyle="1" w:styleId="Textoindependiente2Car">
    <w:name w:val="Texto independiente 2 Car"/>
    <w:basedOn w:val="Fuentedeprrafopredeter"/>
    <w:link w:val="Textoindependiente2"/>
    <w:uiPriority w:val="99"/>
    <w:semiHidden/>
    <w:rsid w:val="002F25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590430">
      <w:bodyDiv w:val="1"/>
      <w:marLeft w:val="0"/>
      <w:marRight w:val="0"/>
      <w:marTop w:val="0"/>
      <w:marBottom w:val="0"/>
      <w:divBdr>
        <w:top w:val="none" w:sz="0" w:space="0" w:color="auto"/>
        <w:left w:val="none" w:sz="0" w:space="0" w:color="auto"/>
        <w:bottom w:val="none" w:sz="0" w:space="0" w:color="auto"/>
        <w:right w:val="none" w:sz="0" w:space="0" w:color="auto"/>
      </w:divBdr>
    </w:div>
    <w:div w:id="115217198">
      <w:bodyDiv w:val="1"/>
      <w:marLeft w:val="0"/>
      <w:marRight w:val="0"/>
      <w:marTop w:val="0"/>
      <w:marBottom w:val="0"/>
      <w:divBdr>
        <w:top w:val="none" w:sz="0" w:space="0" w:color="auto"/>
        <w:left w:val="none" w:sz="0" w:space="0" w:color="auto"/>
        <w:bottom w:val="none" w:sz="0" w:space="0" w:color="auto"/>
        <w:right w:val="none" w:sz="0" w:space="0" w:color="auto"/>
      </w:divBdr>
    </w:div>
    <w:div w:id="537397046">
      <w:bodyDiv w:val="1"/>
      <w:marLeft w:val="0"/>
      <w:marRight w:val="0"/>
      <w:marTop w:val="0"/>
      <w:marBottom w:val="0"/>
      <w:divBdr>
        <w:top w:val="none" w:sz="0" w:space="0" w:color="auto"/>
        <w:left w:val="none" w:sz="0" w:space="0" w:color="auto"/>
        <w:bottom w:val="none" w:sz="0" w:space="0" w:color="auto"/>
        <w:right w:val="none" w:sz="0" w:space="0" w:color="auto"/>
      </w:divBdr>
    </w:div>
    <w:div w:id="560674977">
      <w:bodyDiv w:val="1"/>
      <w:marLeft w:val="0"/>
      <w:marRight w:val="0"/>
      <w:marTop w:val="0"/>
      <w:marBottom w:val="0"/>
      <w:divBdr>
        <w:top w:val="none" w:sz="0" w:space="0" w:color="auto"/>
        <w:left w:val="none" w:sz="0" w:space="0" w:color="auto"/>
        <w:bottom w:val="none" w:sz="0" w:space="0" w:color="auto"/>
        <w:right w:val="none" w:sz="0" w:space="0" w:color="auto"/>
      </w:divBdr>
    </w:div>
    <w:div w:id="1282885003">
      <w:bodyDiv w:val="1"/>
      <w:marLeft w:val="0"/>
      <w:marRight w:val="0"/>
      <w:marTop w:val="0"/>
      <w:marBottom w:val="0"/>
      <w:divBdr>
        <w:top w:val="none" w:sz="0" w:space="0" w:color="auto"/>
        <w:left w:val="none" w:sz="0" w:space="0" w:color="auto"/>
        <w:bottom w:val="none" w:sz="0" w:space="0" w:color="auto"/>
        <w:right w:val="none" w:sz="0" w:space="0" w:color="auto"/>
      </w:divBdr>
    </w:div>
    <w:div w:id="1417244638">
      <w:bodyDiv w:val="1"/>
      <w:marLeft w:val="0"/>
      <w:marRight w:val="0"/>
      <w:marTop w:val="0"/>
      <w:marBottom w:val="0"/>
      <w:divBdr>
        <w:top w:val="none" w:sz="0" w:space="0" w:color="auto"/>
        <w:left w:val="none" w:sz="0" w:space="0" w:color="auto"/>
        <w:bottom w:val="none" w:sz="0" w:space="0" w:color="auto"/>
        <w:right w:val="none" w:sz="0" w:space="0" w:color="auto"/>
      </w:divBdr>
    </w:div>
    <w:div w:id="1449854981">
      <w:bodyDiv w:val="1"/>
      <w:marLeft w:val="0"/>
      <w:marRight w:val="0"/>
      <w:marTop w:val="0"/>
      <w:marBottom w:val="0"/>
      <w:divBdr>
        <w:top w:val="none" w:sz="0" w:space="0" w:color="auto"/>
        <w:left w:val="none" w:sz="0" w:space="0" w:color="auto"/>
        <w:bottom w:val="none" w:sz="0" w:space="0" w:color="auto"/>
        <w:right w:val="none" w:sz="0" w:space="0" w:color="auto"/>
      </w:divBdr>
      <w:divsChild>
        <w:div w:id="200633904">
          <w:marLeft w:val="0"/>
          <w:marRight w:val="0"/>
          <w:marTop w:val="0"/>
          <w:marBottom w:val="0"/>
          <w:divBdr>
            <w:top w:val="none" w:sz="0" w:space="0" w:color="auto"/>
            <w:left w:val="none" w:sz="0" w:space="0" w:color="auto"/>
            <w:bottom w:val="none" w:sz="0" w:space="0" w:color="auto"/>
            <w:right w:val="none" w:sz="0" w:space="0" w:color="auto"/>
          </w:divBdr>
        </w:div>
      </w:divsChild>
    </w:div>
    <w:div w:id="1694918830">
      <w:bodyDiv w:val="1"/>
      <w:marLeft w:val="0"/>
      <w:marRight w:val="0"/>
      <w:marTop w:val="0"/>
      <w:marBottom w:val="0"/>
      <w:divBdr>
        <w:top w:val="none" w:sz="0" w:space="0" w:color="auto"/>
        <w:left w:val="none" w:sz="0" w:space="0" w:color="auto"/>
        <w:bottom w:val="none" w:sz="0" w:space="0" w:color="auto"/>
        <w:right w:val="none" w:sz="0" w:space="0" w:color="auto"/>
      </w:divBdr>
    </w:div>
    <w:div w:id="2015300170">
      <w:bodyDiv w:val="1"/>
      <w:marLeft w:val="0"/>
      <w:marRight w:val="0"/>
      <w:marTop w:val="0"/>
      <w:marBottom w:val="0"/>
      <w:divBdr>
        <w:top w:val="none" w:sz="0" w:space="0" w:color="auto"/>
        <w:left w:val="none" w:sz="0" w:space="0" w:color="auto"/>
        <w:bottom w:val="none" w:sz="0" w:space="0" w:color="auto"/>
        <w:right w:val="none" w:sz="0" w:space="0" w:color="auto"/>
      </w:divBdr>
      <w:divsChild>
        <w:div w:id="511602972">
          <w:marLeft w:val="0"/>
          <w:marRight w:val="0"/>
          <w:marTop w:val="0"/>
          <w:marBottom w:val="0"/>
          <w:divBdr>
            <w:top w:val="none" w:sz="0" w:space="0" w:color="auto"/>
            <w:left w:val="none" w:sz="0" w:space="0" w:color="auto"/>
            <w:bottom w:val="none" w:sz="0" w:space="0" w:color="auto"/>
            <w:right w:val="none" w:sz="0" w:space="0" w:color="auto"/>
          </w:divBdr>
        </w:div>
      </w:divsChild>
    </w:div>
    <w:div w:id="2068918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19</Pages>
  <Words>4510</Words>
  <Characters>24811</Characters>
  <Application>Microsoft Office Word</Application>
  <DocSecurity>0</DocSecurity>
  <Lines>206</Lines>
  <Paragraphs>58</Paragraphs>
  <ScaleCrop>false</ScaleCrop>
  <HeadingPairs>
    <vt:vector size="2" baseType="variant">
      <vt:variant>
        <vt:lpstr>Título</vt:lpstr>
      </vt:variant>
      <vt:variant>
        <vt:i4>1</vt:i4>
      </vt:variant>
    </vt:vector>
  </HeadingPairs>
  <TitlesOfParts>
    <vt:vector size="1" baseType="lpstr">
      <vt:lpstr/>
    </vt:vector>
  </TitlesOfParts>
  <Company>INFOEM</Company>
  <LinksUpToDate>false</LinksUpToDate>
  <CharactersWithSpaces>29263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libni</cp:lastModifiedBy>
  <cp:revision>6</cp:revision>
  <dcterms:created xsi:type="dcterms:W3CDTF">2022-06-14T17:42:00Z</dcterms:created>
  <dcterms:modified xsi:type="dcterms:W3CDTF">2022-06-30T03:23:00Z</dcterms:modified>
</cp:coreProperties>
</file>