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de noviembre de dos mil veintidós. </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VISTO</w:t>
      </w:r>
      <w:r w:rsidRPr="00AF6A1B">
        <w:rPr>
          <w:rFonts w:ascii="Palatino Linotype" w:eastAsia="Palatino Linotype" w:hAnsi="Palatino Linotype" w:cs="Palatino Linotype"/>
        </w:rPr>
        <w:t xml:space="preserve"> el expediente formado con motivo del recurso de revisión </w:t>
      </w:r>
      <w:r w:rsidRPr="00AF6A1B">
        <w:rPr>
          <w:rFonts w:ascii="Palatino Linotype" w:eastAsia="Palatino Linotype" w:hAnsi="Palatino Linotype" w:cs="Palatino Linotype"/>
          <w:b/>
        </w:rPr>
        <w:t>12219/INFOEM/IP/RR/2022</w:t>
      </w:r>
      <w:r w:rsidRPr="00AF6A1B">
        <w:rPr>
          <w:rFonts w:ascii="Palatino Linotype" w:eastAsia="Palatino Linotype" w:hAnsi="Palatino Linotype" w:cs="Palatino Linotype"/>
        </w:rPr>
        <w:t xml:space="preserve">, interpuesto por </w:t>
      </w:r>
      <w:r w:rsidR="00310DDD">
        <w:rPr>
          <w:rFonts w:ascii="Palatino Linotype" w:eastAsia="Palatino Linotype" w:hAnsi="Palatino Linotype" w:cs="Palatino Linotype"/>
          <w:b/>
        </w:rPr>
        <w:t xml:space="preserve">XXXX </w:t>
      </w:r>
      <w:proofErr w:type="spellStart"/>
      <w:r w:rsidR="00310DDD">
        <w:rPr>
          <w:rFonts w:ascii="Palatino Linotype" w:eastAsia="Palatino Linotype" w:hAnsi="Palatino Linotype" w:cs="Palatino Linotype"/>
          <w:b/>
        </w:rPr>
        <w:t>XXXX</w:t>
      </w:r>
      <w:proofErr w:type="spellEnd"/>
      <w:r w:rsidR="00310DDD">
        <w:rPr>
          <w:rFonts w:ascii="Palatino Linotype" w:eastAsia="Palatino Linotype" w:hAnsi="Palatino Linotype" w:cs="Palatino Linotype"/>
          <w:b/>
        </w:rPr>
        <w:t xml:space="preserve"> XXXXXX</w:t>
      </w:r>
      <w:bookmarkStart w:id="0" w:name="_GoBack"/>
      <w:bookmarkEnd w:id="0"/>
      <w:r w:rsidRPr="00AF6A1B">
        <w:rPr>
          <w:rFonts w:ascii="Palatino Linotype" w:eastAsia="Palatino Linotype" w:hAnsi="Palatino Linotype" w:cs="Palatino Linotype"/>
        </w:rPr>
        <w:t>, en lo sucesivo</w:t>
      </w:r>
      <w:r w:rsidRPr="00AF6A1B">
        <w:rPr>
          <w:rFonts w:ascii="Palatino Linotype" w:eastAsia="Palatino Linotype" w:hAnsi="Palatino Linotype" w:cs="Palatino Linotype"/>
          <w:b/>
        </w:rPr>
        <w:t xml:space="preserve"> </w:t>
      </w:r>
      <w:r w:rsidRPr="00AF6A1B">
        <w:rPr>
          <w:rFonts w:ascii="Palatino Linotype" w:eastAsia="Palatino Linotype" w:hAnsi="Palatino Linotype" w:cs="Palatino Linotype"/>
        </w:rPr>
        <w:t xml:space="preserve">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xml:space="preserve"> en contra de la respuesta a su solicitud por parte de la </w:t>
      </w:r>
      <w:r w:rsidRPr="00AF6A1B">
        <w:rPr>
          <w:rFonts w:ascii="Palatino Linotype" w:eastAsia="Palatino Linotype" w:hAnsi="Palatino Linotype" w:cs="Palatino Linotype"/>
          <w:b/>
        </w:rPr>
        <w:t xml:space="preserve">Ayuntamiento de </w:t>
      </w:r>
      <w:proofErr w:type="spellStart"/>
      <w:r w:rsidRPr="00AF6A1B">
        <w:rPr>
          <w:rFonts w:ascii="Palatino Linotype" w:eastAsia="Palatino Linotype" w:hAnsi="Palatino Linotype" w:cs="Palatino Linotype"/>
          <w:b/>
        </w:rPr>
        <w:t>Mexicaltzingo</w:t>
      </w:r>
      <w:proofErr w:type="spellEnd"/>
      <w:r w:rsidRPr="00AF6A1B">
        <w:rPr>
          <w:rFonts w:ascii="Palatino Linotype" w:eastAsia="Palatino Linotype" w:hAnsi="Palatino Linotype" w:cs="Palatino Linotype"/>
          <w:b/>
        </w:rPr>
        <w:t xml:space="preserve">, </w:t>
      </w:r>
      <w:r w:rsidRPr="00AF6A1B">
        <w:rPr>
          <w:rFonts w:ascii="Palatino Linotype" w:eastAsia="Palatino Linotype" w:hAnsi="Palatino Linotype" w:cs="Palatino Linotype"/>
        </w:rPr>
        <w:t xml:space="preserve">en lo sucesivo 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 xml:space="preserve">se procede a dictar la presente resolución con base en los siguientes: </w:t>
      </w:r>
    </w:p>
    <w:p w:rsidR="00EF0737" w:rsidRPr="00AF6A1B" w:rsidRDefault="005C6A87">
      <w:pPr>
        <w:spacing w:before="240" w:after="240" w:line="360" w:lineRule="auto"/>
        <w:jc w:val="center"/>
        <w:rPr>
          <w:rFonts w:ascii="Palatino Linotype" w:eastAsia="Palatino Linotype" w:hAnsi="Palatino Linotype" w:cs="Palatino Linotype"/>
          <w:b/>
        </w:rPr>
      </w:pPr>
      <w:r w:rsidRPr="00AF6A1B">
        <w:rPr>
          <w:rFonts w:ascii="Palatino Linotype" w:eastAsia="Palatino Linotype" w:hAnsi="Palatino Linotype" w:cs="Palatino Linotype"/>
          <w:b/>
        </w:rPr>
        <w:t>I. A N T E C E D E N T E 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1. Solicitud de acceso a la información.</w:t>
      </w:r>
      <w:r w:rsidRPr="00AF6A1B">
        <w:rPr>
          <w:rFonts w:ascii="Palatino Linotype" w:eastAsia="Palatino Linotype" w:hAnsi="Palatino Linotype" w:cs="Palatino Linotype"/>
        </w:rPr>
        <w:t xml:space="preserve"> Con fecha </w:t>
      </w:r>
      <w:r w:rsidRPr="00AF6A1B">
        <w:rPr>
          <w:rFonts w:ascii="Palatino Linotype" w:eastAsia="Palatino Linotype" w:hAnsi="Palatino Linotype" w:cs="Palatino Linotype"/>
          <w:b/>
        </w:rPr>
        <w:t>uno de junio dos mil veintidós,</w:t>
      </w:r>
      <w:r w:rsidRPr="00AF6A1B">
        <w:rPr>
          <w:rFonts w:ascii="Palatino Linotype" w:eastAsia="Palatino Linotype" w:hAnsi="Palatino Linotype" w:cs="Palatino Linotype"/>
        </w:rPr>
        <w:t xml:space="preserve"> la parte </w:t>
      </w:r>
      <w:r w:rsidRPr="00AF6A1B">
        <w:rPr>
          <w:rFonts w:ascii="Palatino Linotype" w:eastAsia="Palatino Linotype" w:hAnsi="Palatino Linotype" w:cs="Palatino Linotype"/>
          <w:b/>
        </w:rPr>
        <w:t xml:space="preserve">Recurrente </w:t>
      </w:r>
      <w:r w:rsidRPr="00AF6A1B">
        <w:rPr>
          <w:rFonts w:ascii="Palatino Linotype" w:eastAsia="Palatino Linotype" w:hAnsi="Palatino Linotype" w:cs="Palatino Linotype"/>
        </w:rPr>
        <w:t xml:space="preserve">presentó, a través del Sistema de Acceso a la Información Mexiquense, en lo subsecuente el </w:t>
      </w:r>
      <w:r w:rsidRPr="00AF6A1B">
        <w:rPr>
          <w:rFonts w:ascii="Palatino Linotype" w:eastAsia="Palatino Linotype" w:hAnsi="Palatino Linotype" w:cs="Palatino Linotype"/>
          <w:b/>
        </w:rPr>
        <w:t>SAIMEX,</w:t>
      </w:r>
      <w:r w:rsidRPr="00AF6A1B">
        <w:rPr>
          <w:rFonts w:ascii="Palatino Linotype" w:eastAsia="Palatino Linotype" w:hAnsi="Palatino Linotype" w:cs="Palatino Linotype"/>
        </w:rPr>
        <w:t xml:space="preserve"> ante 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la solicitud de acceso a la información pública, a la que se le asignó el número</w:t>
      </w:r>
      <w:r w:rsidRPr="00AF6A1B">
        <w:rPr>
          <w:rFonts w:ascii="Palatino Linotype" w:eastAsia="Palatino Linotype" w:hAnsi="Palatino Linotype" w:cs="Palatino Linotype"/>
          <w:b/>
        </w:rPr>
        <w:t xml:space="preserve"> 00054/MEXICAL/IP/2022, </w:t>
      </w:r>
      <w:r w:rsidRPr="00AF6A1B">
        <w:rPr>
          <w:rFonts w:ascii="Palatino Linotype" w:eastAsia="Palatino Linotype" w:hAnsi="Palatino Linotype" w:cs="Palatino Linotype"/>
        </w:rPr>
        <w:t xml:space="preserve">mediante la cual requirió la información siguiente: </w:t>
      </w:r>
    </w:p>
    <w:p w:rsidR="00EF0737" w:rsidRPr="00AF6A1B" w:rsidRDefault="005C6A87">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AF6A1B">
        <w:rPr>
          <w:rFonts w:ascii="Palatino Linotype" w:eastAsia="Palatino Linotype" w:hAnsi="Palatino Linotype" w:cs="Palatino Linotype"/>
          <w:i/>
          <w:sz w:val="22"/>
          <w:szCs w:val="22"/>
        </w:rPr>
        <w:t>“Se adjunta la solicitud en PDF</w:t>
      </w:r>
      <w:r w:rsidRPr="00AF6A1B">
        <w:rPr>
          <w:rFonts w:ascii="Palatino Linotype" w:eastAsia="Palatino Linotype" w:hAnsi="Palatino Linotype" w:cs="Palatino Linotype"/>
          <w:b/>
          <w:i/>
          <w:sz w:val="22"/>
          <w:szCs w:val="22"/>
        </w:rPr>
        <w:t>”</w:t>
      </w:r>
      <w:r w:rsidRPr="00AF6A1B">
        <w:rPr>
          <w:rFonts w:ascii="Palatino Linotype" w:eastAsia="Palatino Linotype" w:hAnsi="Palatino Linotype" w:cs="Palatino Linotype"/>
          <w:i/>
          <w:sz w:val="22"/>
          <w:szCs w:val="22"/>
        </w:rPr>
        <w:t xml:space="preserve"> (sic) </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xml:space="preserve"> adjuntó el archivo “</w:t>
      </w:r>
      <w:r w:rsidRPr="00AF6A1B">
        <w:rPr>
          <w:rFonts w:ascii="Palatino Linotype" w:eastAsia="Palatino Linotype" w:hAnsi="Palatino Linotype" w:cs="Palatino Linotype"/>
          <w:i/>
        </w:rPr>
        <w:t>SAI Mexicaltzingo.pdf</w:t>
      </w:r>
      <w:r w:rsidRPr="00AF6A1B">
        <w:rPr>
          <w:rFonts w:ascii="Palatino Linotype" w:eastAsia="Palatino Linotype" w:hAnsi="Palatino Linotype" w:cs="Palatino Linotype"/>
        </w:rPr>
        <w:t>”, cuyo contenido es el siguiente:</w:t>
      </w:r>
    </w:p>
    <w:p w:rsidR="00821152" w:rsidRPr="00AF6A1B" w:rsidRDefault="00821152">
      <w:pPr>
        <w:spacing w:before="240" w:after="240"/>
        <w:ind w:left="851" w:right="900"/>
        <w:jc w:val="both"/>
        <w:rPr>
          <w:rFonts w:ascii="Palatino Linotype" w:eastAsia="Palatino Linotype" w:hAnsi="Palatino Linotype" w:cs="Palatino Linotype"/>
        </w:rPr>
      </w:pPr>
    </w:p>
    <w:p w:rsidR="00821152" w:rsidRPr="00AF6A1B" w:rsidRDefault="00821152">
      <w:pPr>
        <w:spacing w:before="240" w:after="240"/>
        <w:ind w:left="851" w:right="900"/>
        <w:jc w:val="both"/>
        <w:rPr>
          <w:rFonts w:ascii="Palatino Linotype" w:eastAsia="Palatino Linotype" w:hAnsi="Palatino Linotype" w:cs="Palatino Linotype"/>
        </w:rPr>
      </w:pPr>
    </w:p>
    <w:p w:rsidR="00EF0737" w:rsidRPr="00AF6A1B" w:rsidRDefault="005C6A87">
      <w:pPr>
        <w:spacing w:before="240" w:after="240"/>
        <w:ind w:left="851" w:right="900"/>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rPr>
        <w:lastRenderedPageBreak/>
        <w:t>“</w:t>
      </w:r>
      <w:r w:rsidRPr="00AF6A1B">
        <w:rPr>
          <w:rFonts w:ascii="Palatino Linotype" w:eastAsia="Palatino Linotype" w:hAnsi="Palatino Linotype" w:cs="Palatino Linotype"/>
          <w:b/>
          <w:i/>
          <w:sz w:val="22"/>
          <w:szCs w:val="22"/>
        </w:rPr>
        <w:t>...</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SOLICITUD DE ACCESO A LA INFORMACIÓN</w:t>
      </w:r>
      <w:r w:rsidRPr="00AF6A1B">
        <w:rPr>
          <w:rFonts w:ascii="Palatino Linotype" w:eastAsia="Palatino Linotype" w:hAnsi="Palatino Linotype" w:cs="Palatino Linotype"/>
          <w:i/>
          <w:sz w:val="22"/>
          <w:szCs w:val="22"/>
        </w:rPr>
        <w:t xml:space="preserve">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Por medio de la presente, solicito una base de datos (en formato abierto como </w:t>
      </w:r>
      <w:proofErr w:type="spellStart"/>
      <w:r w:rsidRPr="00AF6A1B">
        <w:rPr>
          <w:rFonts w:ascii="Palatino Linotype" w:eastAsia="Palatino Linotype" w:hAnsi="Palatino Linotype" w:cs="Palatino Linotype"/>
          <w:i/>
          <w:sz w:val="22"/>
          <w:szCs w:val="22"/>
        </w:rPr>
        <w:t>xls</w:t>
      </w:r>
      <w:proofErr w:type="spellEnd"/>
      <w:r w:rsidRPr="00AF6A1B">
        <w:rPr>
          <w:rFonts w:ascii="Palatino Linotype" w:eastAsia="Palatino Linotype" w:hAnsi="Palatino Linotype" w:cs="Palatino Linotype"/>
          <w:i/>
          <w:sz w:val="22"/>
          <w:szCs w:val="22"/>
        </w:rPr>
        <w:t xml:space="preserve"> o </w:t>
      </w:r>
      <w:proofErr w:type="spellStart"/>
      <w:r w:rsidRPr="00AF6A1B">
        <w:rPr>
          <w:rFonts w:ascii="Palatino Linotype" w:eastAsia="Palatino Linotype" w:hAnsi="Palatino Linotype" w:cs="Palatino Linotype"/>
          <w:i/>
          <w:sz w:val="22"/>
          <w:szCs w:val="22"/>
        </w:rPr>
        <w:t>cvs</w:t>
      </w:r>
      <w:proofErr w:type="spellEnd"/>
      <w:r w:rsidRPr="00AF6A1B">
        <w:rPr>
          <w:rFonts w:ascii="Palatino Linotype" w:eastAsia="Palatino Linotype" w:hAnsi="Palatino Linotype" w:cs="Palatino Linotype"/>
          <w:i/>
          <w:sz w:val="22"/>
          <w:szCs w:val="22"/>
        </w:rPr>
        <w:t>.) con la siguiente información de incidencia delictiva o reporte de incidentes, eventos o cualquier registro o documento con el que cuente el sujeto obligado que contenga la siguiente información:</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 HORA DEL INCIDENTE O EVENTO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FECHA (</w:t>
      </w:r>
      <w:proofErr w:type="spellStart"/>
      <w:r w:rsidRPr="00AF6A1B">
        <w:rPr>
          <w:rFonts w:ascii="Palatino Linotype" w:eastAsia="Palatino Linotype" w:hAnsi="Palatino Linotype" w:cs="Palatino Linotype"/>
          <w:i/>
          <w:sz w:val="22"/>
          <w:szCs w:val="22"/>
        </w:rPr>
        <w:t>dd</w:t>
      </w:r>
      <w:proofErr w:type="spellEnd"/>
      <w:r w:rsidRPr="00AF6A1B">
        <w:rPr>
          <w:rFonts w:ascii="Palatino Linotype" w:eastAsia="Palatino Linotype" w:hAnsi="Palatino Linotype" w:cs="Palatino Linotype"/>
          <w:i/>
          <w:sz w:val="22"/>
          <w:szCs w:val="22"/>
        </w:rPr>
        <w:t>/mm/</w:t>
      </w:r>
      <w:proofErr w:type="spellStart"/>
      <w:r w:rsidRPr="00AF6A1B">
        <w:rPr>
          <w:rFonts w:ascii="Palatino Linotype" w:eastAsia="Palatino Linotype" w:hAnsi="Palatino Linotype" w:cs="Palatino Linotype"/>
          <w:i/>
          <w:sz w:val="22"/>
          <w:szCs w:val="22"/>
        </w:rPr>
        <w:t>aaaa</w:t>
      </w:r>
      <w:proofErr w:type="spellEnd"/>
      <w:r w:rsidRPr="00AF6A1B">
        <w:rPr>
          <w:rFonts w:ascii="Palatino Linotype" w:eastAsia="Palatino Linotype" w:hAnsi="Palatino Linotype" w:cs="Palatino Linotype"/>
          <w:i/>
          <w:sz w:val="22"/>
          <w:szCs w:val="22"/>
        </w:rPr>
        <w:t xml:space="preserve">) DEL INCIDENTE O EVENTO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LUGAR DEL INCIDENTE O EVENTO</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UBICACIÓN DEL INCIDENTE O EVENTO</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LAS COORDENADAS GEOGRÁFICAS DEL INCIDENTE O EVENTO. ESTABLECIDAS EN LA SECCIÓN “LUGAR DE LA INTERVENCIÓN” DEL INFORME POLICIAL HOMOLOGADO PARA 1) HECHOS PROBABLEMENTE DELICTIVOS O PARA 2) JUSTICIA CÍVICA SEGÚN CORRESPONDA AL TIPO DE INCIDENTE</w:t>
      </w:r>
      <w:r w:rsidRPr="00AF6A1B">
        <w:rPr>
          <w:rFonts w:ascii="Palatino Linotype" w:eastAsia="Palatino Linotype" w:hAnsi="Palatino Linotype" w:cs="Palatino Linotype"/>
          <w:i/>
          <w:sz w:val="22"/>
          <w:szCs w:val="22"/>
        </w:rPr>
        <w:t xml:space="preserve">.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Requiero se proporcione la información correspondiente al periodo del 1 de enero de 2018 a la fecha de la presente solicitud.</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w:t>
      </w:r>
      <w:proofErr w:type="gramStart"/>
      <w:r w:rsidRPr="00AF6A1B">
        <w:rPr>
          <w:rFonts w:ascii="Palatino Linotype" w:eastAsia="Palatino Linotype" w:hAnsi="Palatino Linotype" w:cs="Palatino Linotype"/>
          <w:i/>
          <w:sz w:val="22"/>
          <w:szCs w:val="22"/>
        </w:rPr>
        <w:t>en</w:t>
      </w:r>
      <w:proofErr w:type="gramEnd"/>
      <w:r w:rsidRPr="00AF6A1B">
        <w:rPr>
          <w:rFonts w:ascii="Palatino Linotype" w:eastAsia="Palatino Linotype" w:hAnsi="Palatino Linotype" w:cs="Palatino Linotype"/>
          <w:i/>
          <w:sz w:val="22"/>
          <w:szCs w:val="22"/>
        </w:rPr>
        <w:t xml:space="preserve">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lastRenderedPageBreak/>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9">
        <w:r w:rsidRPr="00AF6A1B">
          <w:rPr>
            <w:rFonts w:ascii="Palatino Linotype" w:eastAsia="Palatino Linotype" w:hAnsi="Palatino Linotype" w:cs="Palatino Linotype"/>
            <w:i/>
            <w:sz w:val="22"/>
            <w:szCs w:val="22"/>
            <w:u w:val="single"/>
          </w:rPr>
          <w:t>https://datos.cdmx.gob.mx/dataset/?groups=justicia-y-seguridad</w:t>
        </w:r>
      </w:hyperlink>
      <w:r w:rsidRPr="00AF6A1B">
        <w:rPr>
          <w:rFonts w:ascii="Palatino Linotype" w:eastAsia="Palatino Linotype" w:hAnsi="Palatino Linotype" w:cs="Palatino Linotype"/>
          <w:i/>
          <w:sz w:val="22"/>
          <w:szCs w:val="22"/>
        </w:rPr>
        <w:t xml:space="preserve">.   </w:t>
      </w:r>
    </w:p>
    <w:p w:rsidR="00EF0737" w:rsidRPr="00AF6A1B" w:rsidRDefault="005C6A87">
      <w:pPr>
        <w:spacing w:before="240" w:after="240"/>
        <w:ind w:left="851" w:right="900"/>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DATOS QUE FACILITEN LA BÚSQUEDA Y EVENTUAL LOCALIZACIÓN DE LA INFORMACIÓN</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Solicito se remita la solicitud a todas las áreas competentes al interior del sujeto obligado, en particular a: Dirección de Seguridad Pública, Protección Civil y Bomberos</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Fundamento mi solicitud en </w:t>
      </w:r>
      <w:proofErr w:type="gramStart"/>
      <w:r w:rsidRPr="00AF6A1B">
        <w:rPr>
          <w:rFonts w:ascii="Palatino Linotype" w:eastAsia="Palatino Linotype" w:hAnsi="Palatino Linotype" w:cs="Palatino Linotype"/>
          <w:i/>
          <w:sz w:val="22"/>
          <w:szCs w:val="22"/>
        </w:rPr>
        <w:t>la funciones</w:t>
      </w:r>
      <w:proofErr w:type="gramEnd"/>
      <w:r w:rsidRPr="00AF6A1B">
        <w:rPr>
          <w:rFonts w:ascii="Palatino Linotype" w:eastAsia="Palatino Linotype" w:hAnsi="Palatino Linotype" w:cs="Palatino Linotype"/>
          <w:i/>
          <w:sz w:val="22"/>
          <w:szCs w:val="22"/>
        </w:rPr>
        <w:t xml:space="preserve"> y atribuciones del sujeto obligado, así como las particulares de las áreas señaladas: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Bando Municipal 2011. </w:t>
      </w:r>
    </w:p>
    <w:p w:rsidR="00EF0737" w:rsidRPr="00AF6A1B" w:rsidRDefault="005C6A87">
      <w:pPr>
        <w:spacing w:before="240" w:after="240"/>
        <w:ind w:left="851" w:right="900"/>
        <w:jc w:val="both"/>
        <w:rPr>
          <w:rFonts w:ascii="Palatino Linotype" w:eastAsia="Palatino Linotype" w:hAnsi="Palatino Linotype" w:cs="Palatino Linotype"/>
          <w:i/>
          <w:sz w:val="20"/>
          <w:szCs w:val="20"/>
        </w:rPr>
      </w:pPr>
      <w:r w:rsidRPr="00AF6A1B">
        <w:rPr>
          <w:rFonts w:ascii="Palatino Linotype" w:eastAsia="Palatino Linotype" w:hAnsi="Palatino Linotype" w:cs="Palatino Linotype"/>
          <w:i/>
          <w:sz w:val="22"/>
          <w:szCs w:val="22"/>
        </w:rPr>
        <w:t>Artículo 58.- La Oficialía Mediadora-Conciliadora, además de las funciones determinadas por el artículo 150 de la Ley Orgánica Municipal del Estado de México, tendrá las siguientes atribuciones: VII. Dar cuenta al presidente municipal, a través de la Dirección Jurídica Consultiva de las personas detenidas por infracciones a ordenamientos municipales que hayan cumplido con la sanción impuesta, expidiendo oportunamente la boleta de libertad;</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Ley General del Sistema Nacional de Seguridad Pública, artículos 5, fracción X, 41 fracciones I y II, y 43.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Ley Nacional del Registro de Detenciones, artículos 18, 20 y 21 </w:t>
      </w:r>
      <w:proofErr w:type="gramStart"/>
      <w:r w:rsidRPr="00AF6A1B">
        <w:rPr>
          <w:rFonts w:ascii="Palatino Linotype" w:eastAsia="Palatino Linotype" w:hAnsi="Palatino Linotype" w:cs="Palatino Linotype"/>
          <w:i/>
          <w:sz w:val="22"/>
          <w:szCs w:val="22"/>
        </w:rPr>
        <w:t>párrafo</w:t>
      </w:r>
      <w:proofErr w:type="gramEnd"/>
      <w:r w:rsidRPr="00AF6A1B">
        <w:rPr>
          <w:rFonts w:ascii="Palatino Linotype" w:eastAsia="Palatino Linotype" w:hAnsi="Palatino Linotype" w:cs="Palatino Linotype"/>
          <w:i/>
          <w:sz w:val="22"/>
          <w:szCs w:val="22"/>
        </w:rPr>
        <w:t xml:space="preserve"> I.</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Código Nacional de Procedimientos Penales, artículos 51 y 132 fracción XIV.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lastRenderedPageBreak/>
        <w:t xml:space="preserve">Acuerdo por el que se emiten los Lineamientos para el llenado, entrega, recepción, registro, resguardo y consulta del Informe Policial Homologado. Publicado el 20/02/2020.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MEDIO PARA RECIBIR NOTIFICACIONES</w:t>
      </w:r>
      <w:r w:rsidRPr="00AF6A1B">
        <w:rPr>
          <w:rFonts w:ascii="Palatino Linotype" w:eastAsia="Palatino Linotype" w:hAnsi="Palatino Linotype" w:cs="Palatino Linotype"/>
          <w:i/>
          <w:sz w:val="22"/>
          <w:szCs w:val="22"/>
        </w:rPr>
        <w:t xml:space="preserve">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Correo Electrónico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FORMATO PARA RECIBIR LA INFORMACIÓN SOLICITADA</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Cualquier otro medio incluido los electrónicos: </w:t>
      </w:r>
    </w:p>
    <w:p w:rsidR="00EF0737" w:rsidRPr="00AF6A1B" w:rsidRDefault="005C6A87">
      <w:pPr>
        <w:numPr>
          <w:ilvl w:val="0"/>
          <w:numId w:val="4"/>
        </w:numPr>
        <w:pBdr>
          <w:top w:val="nil"/>
          <w:left w:val="nil"/>
          <w:bottom w:val="nil"/>
          <w:right w:val="nil"/>
          <w:between w:val="nil"/>
        </w:pBdr>
        <w:spacing w:before="240"/>
        <w:ind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Correo electrónico</w:t>
      </w:r>
    </w:p>
    <w:p w:rsidR="00EF0737" w:rsidRPr="00AF6A1B" w:rsidRDefault="005C6A87">
      <w:pPr>
        <w:numPr>
          <w:ilvl w:val="0"/>
          <w:numId w:val="4"/>
        </w:numPr>
        <w:pBdr>
          <w:top w:val="nil"/>
          <w:left w:val="nil"/>
          <w:bottom w:val="nil"/>
          <w:right w:val="nil"/>
          <w:between w:val="nil"/>
        </w:pBdr>
        <w:ind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Sistema de Solicitudes de la Plataforma Nacional de Transparencia, o bien,</w:t>
      </w:r>
    </w:p>
    <w:p w:rsidR="00EF0737" w:rsidRPr="00AF6A1B" w:rsidRDefault="005C6A87">
      <w:pPr>
        <w:numPr>
          <w:ilvl w:val="0"/>
          <w:numId w:val="4"/>
        </w:numPr>
        <w:pBdr>
          <w:top w:val="nil"/>
          <w:left w:val="nil"/>
          <w:bottom w:val="nil"/>
          <w:right w:val="nil"/>
          <w:between w:val="nil"/>
        </w:pBdr>
        <w:spacing w:after="240"/>
        <w:ind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mecanismo de almacenamiento y sincronización de archivos como Google Drive o </w:t>
      </w:r>
      <w:proofErr w:type="spellStart"/>
      <w:r w:rsidRPr="00AF6A1B">
        <w:rPr>
          <w:rFonts w:ascii="Palatino Linotype" w:eastAsia="Palatino Linotype" w:hAnsi="Palatino Linotype" w:cs="Palatino Linotype"/>
          <w:i/>
          <w:sz w:val="22"/>
          <w:szCs w:val="22"/>
        </w:rPr>
        <w:t>We</w:t>
      </w:r>
      <w:proofErr w:type="spellEnd"/>
      <w:r w:rsidRPr="00AF6A1B">
        <w:rPr>
          <w:rFonts w:ascii="Palatino Linotype" w:eastAsia="Palatino Linotype" w:hAnsi="Palatino Linotype" w:cs="Palatino Linotype"/>
          <w:i/>
          <w:sz w:val="22"/>
          <w:szCs w:val="22"/>
        </w:rPr>
        <w:t xml:space="preserve"> Transfer.” sic</w:t>
      </w:r>
    </w:p>
    <w:p w:rsidR="00EF0737" w:rsidRPr="00AF6A1B" w:rsidRDefault="005C6A87">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AF6A1B">
        <w:rPr>
          <w:rFonts w:ascii="Palatino Linotype" w:eastAsia="Palatino Linotype" w:hAnsi="Palatino Linotype" w:cs="Palatino Linotype"/>
          <w:b/>
        </w:rPr>
        <w:t>Modalidad de Entrega:</w:t>
      </w:r>
      <w:r w:rsidRPr="00AF6A1B">
        <w:rPr>
          <w:rFonts w:ascii="Palatino Linotype" w:eastAsia="Palatino Linotype" w:hAnsi="Palatino Linotype" w:cs="Palatino Linotype"/>
        </w:rPr>
        <w:t xml:space="preserve"> A través de SAIMEX, correo electrónico, Sistema de solicitudes de la Plataforma Nacional de Transparencia, o mecanismo de almacenamiento y sincronización de archivos.</w:t>
      </w:r>
    </w:p>
    <w:p w:rsidR="00EF0737" w:rsidRPr="00AF6A1B" w:rsidRDefault="005C6A87">
      <w:pPr>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b/>
        </w:rPr>
        <w:t xml:space="preserve">2. Respuesta. </w:t>
      </w:r>
      <w:r w:rsidRPr="00AF6A1B">
        <w:rPr>
          <w:rFonts w:ascii="Palatino Linotype" w:eastAsia="Palatino Linotype" w:hAnsi="Palatino Linotype" w:cs="Palatino Linotype"/>
        </w:rPr>
        <w:t>Con fecha</w:t>
      </w:r>
      <w:r w:rsidRPr="00AF6A1B">
        <w:rPr>
          <w:rFonts w:ascii="Palatino Linotype" w:eastAsia="Palatino Linotype" w:hAnsi="Palatino Linotype" w:cs="Palatino Linotype"/>
          <w:b/>
        </w:rPr>
        <w:t xml:space="preserve"> veintitrés de junio de dos mil veintidós</w:t>
      </w:r>
      <w:r w:rsidRPr="00AF6A1B">
        <w:rPr>
          <w:rFonts w:ascii="Palatino Linotype" w:eastAsia="Palatino Linotype" w:hAnsi="Palatino Linotype" w:cs="Palatino Linotype"/>
        </w:rPr>
        <w:t xml:space="preserve">, 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EF0737" w:rsidRPr="00AF6A1B" w:rsidRDefault="005C6A87">
      <w:pPr>
        <w:spacing w:before="240" w:after="24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i/>
          <w:sz w:val="22"/>
          <w:szCs w:val="22"/>
        </w:rPr>
        <w:t>“…Se remite información que da atención a la solicitud, así mismo referente a la información de las anualidades 2018, 2019 y parte del 2020 no se encontró documentación dentro del archivo que obra en esta Dirección de Seguridad Pública, se remite información tal cual obra, con base en el artículo 12 […</w:t>
      </w:r>
      <w:proofErr w:type="gramStart"/>
      <w:r w:rsidRPr="00AF6A1B">
        <w:rPr>
          <w:rFonts w:ascii="Palatino Linotype" w:eastAsia="Palatino Linotype" w:hAnsi="Palatino Linotype" w:cs="Palatino Linotype"/>
          <w:i/>
          <w:sz w:val="22"/>
          <w:szCs w:val="22"/>
        </w:rPr>
        <w:t>]de</w:t>
      </w:r>
      <w:proofErr w:type="gramEnd"/>
      <w:r w:rsidRPr="00AF6A1B">
        <w:rPr>
          <w:rFonts w:ascii="Palatino Linotype" w:eastAsia="Palatino Linotype" w:hAnsi="Palatino Linotype" w:cs="Palatino Linotype"/>
          <w:i/>
          <w:sz w:val="22"/>
          <w:szCs w:val="22"/>
        </w:rPr>
        <w:t xml:space="preserve"> la Ley de Transparencia y Acceso a la Información Pública del Estado de México y Municipios…” (</w:t>
      </w:r>
      <w:proofErr w:type="gramStart"/>
      <w:r w:rsidRPr="00AF6A1B">
        <w:rPr>
          <w:rFonts w:ascii="Palatino Linotype" w:eastAsia="Palatino Linotype" w:hAnsi="Palatino Linotype" w:cs="Palatino Linotype"/>
          <w:i/>
          <w:sz w:val="22"/>
          <w:szCs w:val="22"/>
        </w:rPr>
        <w:t>sic</w:t>
      </w:r>
      <w:proofErr w:type="gramEnd"/>
      <w:r w:rsidRPr="00AF6A1B">
        <w:rPr>
          <w:rFonts w:ascii="Palatino Linotype" w:eastAsia="Palatino Linotype" w:hAnsi="Palatino Linotype" w:cs="Palatino Linotype"/>
          <w:i/>
          <w:sz w:val="22"/>
          <w:szCs w:val="22"/>
        </w:rPr>
        <w:t>)</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adjuntó los siguientes archivos:</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i/>
        </w:rPr>
        <w:t xml:space="preserve">- 2020_13-08-2020-132356.pdf, </w:t>
      </w:r>
      <w:r w:rsidRPr="00AF6A1B">
        <w:rPr>
          <w:rFonts w:ascii="Palatino Linotype" w:eastAsia="Palatino Linotype" w:hAnsi="Palatino Linotype" w:cs="Palatino Linotype"/>
        </w:rPr>
        <w:t>que contiene la bitácora de llamadas de la Protección Civil y Bomberos, de noviembre de 2020, con los siguientes datos: fecha, hora, tipo, reporte, unidad, avanzada, arribo, verificación, canalización, detenidos, número consecutivo de llamada.</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i/>
        </w:rPr>
        <w:t xml:space="preserve">- 2020 2_13-08-2020-135101.pdf, </w:t>
      </w:r>
      <w:r w:rsidRPr="00AF6A1B">
        <w:rPr>
          <w:rFonts w:ascii="Palatino Linotype" w:eastAsia="Palatino Linotype" w:hAnsi="Palatino Linotype" w:cs="Palatino Linotype"/>
        </w:rPr>
        <w:t>que contiene la bitácora de llamadas de la Dirección de Seguridad Pública Protección Civil y Bomberos, de diciembre de 2020, con los siguientes datos: fecha, hora, tipo, reporte, unidad, avanzada, arribo, verificación, canalización, detenidos, número consecutivo de llamada.</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i/>
        </w:rPr>
        <w:t xml:space="preserve">- 2021_13-08-2020-134809.pdf, </w:t>
      </w:r>
      <w:r w:rsidRPr="00AF6A1B">
        <w:rPr>
          <w:rFonts w:ascii="Palatino Linotype" w:eastAsia="Palatino Linotype" w:hAnsi="Palatino Linotype" w:cs="Palatino Linotype"/>
        </w:rPr>
        <w:t>que contiene la bitácora de llamadas de la Dirección de Seguridad Pública Protección Civil y Bomberos, de enero a diciembre de 2021, con los siguientes datos: fecha, hora, tipo, reporte, unidad, avanzada, arribo, verificación, canalización, detenidos, número consecutivo de llamada.</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i/>
        </w:rPr>
        <w:t>- 2022_13-08-2020-133217.pdf</w:t>
      </w:r>
      <w:r w:rsidRPr="00AF6A1B">
        <w:rPr>
          <w:rFonts w:ascii="Palatino Linotype" w:eastAsia="Palatino Linotype" w:hAnsi="Palatino Linotype" w:cs="Palatino Linotype"/>
        </w:rPr>
        <w:t>, que contiene la bitácora de llamadas de la Dirección de Seguridad Pública, de enero a mayo de 2022, con los siguientes datos: fecha, hora, tipo, reporte, unidad, avanzada, arribo, verificación, canalización, detenidos, número consecutivo de llamada.</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b/>
        </w:rPr>
        <w:t xml:space="preserve">3. Interposición del recurso de revisión. </w:t>
      </w:r>
      <w:r w:rsidRPr="00AF6A1B">
        <w:rPr>
          <w:rFonts w:ascii="Palatino Linotype" w:eastAsia="Palatino Linotype" w:hAnsi="Palatino Linotype" w:cs="Palatino Linotype"/>
        </w:rPr>
        <w:t xml:space="preserve">Inconforme con los términos de la respuesta emitida por parte del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el </w:t>
      </w:r>
      <w:r w:rsidRPr="00AF6A1B">
        <w:rPr>
          <w:rFonts w:ascii="Palatino Linotype" w:eastAsia="Palatino Linotype" w:hAnsi="Palatino Linotype" w:cs="Palatino Linotype"/>
          <w:b/>
        </w:rPr>
        <w:t>veintiocho de junio de dos mil veintidós,</w:t>
      </w:r>
      <w:r w:rsidRPr="00AF6A1B">
        <w:rPr>
          <w:rFonts w:ascii="Palatino Linotype" w:eastAsia="Palatino Linotype" w:hAnsi="Palatino Linotype" w:cs="Palatino Linotype"/>
        </w:rPr>
        <w:t xml:space="preserve"> 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xml:space="preserve"> interpuso el recurso de revisión a través de </w:t>
      </w:r>
      <w:r w:rsidRPr="00AF6A1B">
        <w:rPr>
          <w:rFonts w:ascii="Palatino Linotype" w:eastAsia="Palatino Linotype" w:hAnsi="Palatino Linotype" w:cs="Palatino Linotype"/>
          <w:b/>
        </w:rPr>
        <w:t xml:space="preserve">SAIMEX, </w:t>
      </w:r>
      <w:r w:rsidRPr="00AF6A1B">
        <w:rPr>
          <w:rFonts w:ascii="Palatino Linotype" w:eastAsia="Palatino Linotype" w:hAnsi="Palatino Linotype" w:cs="Palatino Linotype"/>
        </w:rPr>
        <w:t>en donde se manifestó de la siguiente manera:</w:t>
      </w:r>
    </w:p>
    <w:p w:rsidR="00EF0737" w:rsidRPr="00AF6A1B" w:rsidRDefault="005C6A87">
      <w:pPr>
        <w:tabs>
          <w:tab w:val="left" w:pos="2745"/>
        </w:tabs>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b/>
        </w:rPr>
        <w:t xml:space="preserve">Acto impugnado: </w:t>
      </w:r>
    </w:p>
    <w:p w:rsidR="00EF0737" w:rsidRPr="00AF6A1B" w:rsidRDefault="005C6A87">
      <w:pPr>
        <w:tabs>
          <w:tab w:val="left" w:pos="2745"/>
        </w:tabs>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“Entrega parcial de la información” (sic)</w:t>
      </w:r>
    </w:p>
    <w:p w:rsidR="00EF0737" w:rsidRPr="00AF6A1B" w:rsidRDefault="005C6A87">
      <w:pPr>
        <w:spacing w:line="360" w:lineRule="auto"/>
        <w:jc w:val="both"/>
        <w:rPr>
          <w:rFonts w:ascii="Palatino Linotype" w:eastAsia="Palatino Linotype" w:hAnsi="Palatino Linotype" w:cs="Palatino Linotype"/>
        </w:rPr>
      </w:pPr>
      <w:bookmarkStart w:id="3" w:name="_heading=h.30j0zll" w:colFirst="0" w:colLast="0"/>
      <w:bookmarkEnd w:id="3"/>
      <w:r w:rsidRPr="00AF6A1B">
        <w:rPr>
          <w:rFonts w:ascii="Palatino Linotype" w:eastAsia="Palatino Linotype" w:hAnsi="Palatino Linotype" w:cs="Palatino Linotype"/>
          <w:b/>
        </w:rPr>
        <w:t>Y Razones o motivos de inconformidad</w:t>
      </w:r>
      <w:r w:rsidRPr="00AF6A1B">
        <w:rPr>
          <w:rFonts w:ascii="Palatino Linotype" w:eastAsia="Palatino Linotype" w:hAnsi="Palatino Linotype" w:cs="Palatino Linotype"/>
        </w:rPr>
        <w:t xml:space="preserve">: </w:t>
      </w:r>
    </w:p>
    <w:p w:rsidR="00EF0737" w:rsidRPr="00AF6A1B" w:rsidRDefault="005C6A87">
      <w:pPr>
        <w:tabs>
          <w:tab w:val="left" w:pos="2745"/>
        </w:tabs>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“Interpongo este recurso de revisión debido a que la respuesta entregada por el Sujeto Obligado me parece inadecuada por las siguientes razones: yo solicité una base de datos en formato XLSX o CSV y me enviaron una tabla, llenada a mano, en formato PDF; no se agotó el principio de exhaustividad, pues dicha tabla solo hace referencia a los incidentes registrados mediante el sistema de atención telefónica a la ciudadanía, sin hacer referencia a otras fuentes mencionadas en mi solicitud, como la información sistematizada, proveniente del Informe Policial Homologado; en el mismo sentido del punto anterior, la tabla enviada solo incluye información sobre incidentes registrados durante una temporalidad menor a la solicitada, particularizados por fecha, hora y otros elementos ajenos a mi solicitud, omitiendo así la información sobre si el incidente se cometió con o sin violencia, así como la georreferencia por medio de coordenadas o dirección precisa. Sostengo que el SO cuenta con la obligación normativa de generar la información solicitada, pues desde el 2010, entre las obligaciones a las entidades de Seguridad Pública se encuentra la de </w:t>
      </w:r>
      <w:proofErr w:type="spellStart"/>
      <w:r w:rsidRPr="00AF6A1B">
        <w:rPr>
          <w:rFonts w:ascii="Palatino Linotype" w:eastAsia="Palatino Linotype" w:hAnsi="Palatino Linotype" w:cs="Palatino Linotype"/>
          <w:i/>
          <w:sz w:val="22"/>
          <w:szCs w:val="22"/>
        </w:rPr>
        <w:t>requisitar</w:t>
      </w:r>
      <w:proofErr w:type="spellEnd"/>
      <w:r w:rsidRPr="00AF6A1B">
        <w:rPr>
          <w:rFonts w:ascii="Palatino Linotype" w:eastAsia="Palatino Linotype" w:hAnsi="Palatino Linotype" w:cs="Palatino Linotype"/>
          <w:i/>
          <w:sz w:val="22"/>
          <w:szCs w:val="22"/>
        </w:rPr>
        <w:t xml:space="preserve">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w:t>
      </w:r>
      <w:proofErr w:type="spellStart"/>
      <w:r w:rsidRPr="00AF6A1B">
        <w:rPr>
          <w:rFonts w:ascii="Palatino Linotype" w:eastAsia="Palatino Linotype" w:hAnsi="Palatino Linotype" w:cs="Palatino Linotype"/>
          <w:i/>
          <w:sz w:val="22"/>
          <w:szCs w:val="22"/>
        </w:rPr>
        <w:t>Mexicalitzingo</w:t>
      </w:r>
      <w:proofErr w:type="spellEnd"/>
      <w:r w:rsidRPr="00AF6A1B">
        <w:rPr>
          <w:rFonts w:ascii="Palatino Linotype" w:eastAsia="Palatino Linotype" w:hAnsi="Palatino Linotype" w:cs="Palatino Linotype"/>
          <w:i/>
          <w:sz w:val="22"/>
          <w:szCs w:val="22"/>
        </w:rPr>
        <w:t>,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pues es su obligación generarla, sistematizarla y almacenarla.” (</w:t>
      </w:r>
      <w:proofErr w:type="gramStart"/>
      <w:r w:rsidRPr="00AF6A1B">
        <w:rPr>
          <w:rFonts w:ascii="Palatino Linotype" w:eastAsia="Palatino Linotype" w:hAnsi="Palatino Linotype" w:cs="Palatino Linotype"/>
          <w:i/>
          <w:sz w:val="22"/>
          <w:szCs w:val="22"/>
        </w:rPr>
        <w:t>sic</w:t>
      </w:r>
      <w:proofErr w:type="gramEnd"/>
      <w:r w:rsidRPr="00AF6A1B">
        <w:rPr>
          <w:rFonts w:ascii="Palatino Linotype" w:eastAsia="Palatino Linotype" w:hAnsi="Palatino Linotype" w:cs="Palatino Linotype"/>
          <w:i/>
          <w:sz w:val="22"/>
          <w:szCs w:val="22"/>
        </w:rPr>
        <w:t>)</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b/>
        </w:rPr>
        <w:t xml:space="preserve">Anexos: </w:t>
      </w:r>
      <w:r w:rsidRPr="00AF6A1B">
        <w:rPr>
          <w:rFonts w:ascii="Palatino Linotype" w:eastAsia="Palatino Linotype" w:hAnsi="Palatino Linotype" w:cs="Palatino Linotype"/>
        </w:rPr>
        <w:t xml:space="preserve">La parte </w:t>
      </w:r>
      <w:r w:rsidRPr="00AF6A1B">
        <w:rPr>
          <w:rFonts w:ascii="Palatino Linotype" w:eastAsia="Palatino Linotype" w:hAnsi="Palatino Linotype" w:cs="Palatino Linotype"/>
          <w:b/>
        </w:rPr>
        <w:t xml:space="preserve">Recurrente </w:t>
      </w:r>
      <w:r w:rsidRPr="00AF6A1B">
        <w:rPr>
          <w:rFonts w:ascii="Palatino Linotype" w:eastAsia="Palatino Linotype" w:hAnsi="Palatino Linotype" w:cs="Palatino Linotype"/>
        </w:rPr>
        <w:t>no adjuntó archivos.</w:t>
      </w:r>
    </w:p>
    <w:p w:rsidR="00EF0737" w:rsidRPr="00AF6A1B" w:rsidRDefault="005C6A87">
      <w:pPr>
        <w:spacing w:before="240" w:after="240" w:line="360" w:lineRule="auto"/>
        <w:ind w:right="51"/>
        <w:jc w:val="both"/>
        <w:rPr>
          <w:rFonts w:ascii="Palatino Linotype" w:eastAsia="Palatino Linotype" w:hAnsi="Palatino Linotype" w:cs="Palatino Linotype"/>
        </w:rPr>
      </w:pPr>
      <w:r w:rsidRPr="00AF6A1B">
        <w:rPr>
          <w:rFonts w:ascii="Palatino Linotype" w:eastAsia="Palatino Linotype" w:hAnsi="Palatino Linotype" w:cs="Palatino Linotype"/>
          <w:b/>
        </w:rPr>
        <w:t xml:space="preserve">4. Turno. </w:t>
      </w:r>
      <w:r w:rsidRPr="00AF6A1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F6A1B">
        <w:rPr>
          <w:rFonts w:ascii="Palatino Linotype" w:eastAsia="Palatino Linotype" w:hAnsi="Palatino Linotype" w:cs="Palatino Linotype"/>
          <w:b/>
        </w:rPr>
        <w:t xml:space="preserve">Guadalupe Ramírez Peña, </w:t>
      </w:r>
      <w:r w:rsidRPr="00AF6A1B">
        <w:rPr>
          <w:rFonts w:ascii="Palatino Linotype" w:eastAsia="Palatino Linotype" w:hAnsi="Palatino Linotype" w:cs="Palatino Linotype"/>
        </w:rPr>
        <w:t xml:space="preserve">a efecto de que analizara sobre su admisión o su </w:t>
      </w:r>
      <w:proofErr w:type="spellStart"/>
      <w:r w:rsidRPr="00AF6A1B">
        <w:rPr>
          <w:rFonts w:ascii="Palatino Linotype" w:eastAsia="Palatino Linotype" w:hAnsi="Palatino Linotype" w:cs="Palatino Linotype"/>
        </w:rPr>
        <w:t>desechamiento</w:t>
      </w:r>
      <w:proofErr w:type="spellEnd"/>
      <w:r w:rsidRPr="00AF6A1B">
        <w:rPr>
          <w:rFonts w:ascii="Palatino Linotype" w:eastAsia="Palatino Linotype" w:hAnsi="Palatino Linotype" w:cs="Palatino Linotype"/>
        </w:rPr>
        <w:t>.</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5. Admisión del Recurso de revisión.</w:t>
      </w:r>
      <w:r w:rsidRPr="00AF6A1B">
        <w:rPr>
          <w:rFonts w:ascii="Palatino Linotype" w:eastAsia="Palatino Linotype" w:hAnsi="Palatino Linotype" w:cs="Palatino Linotype"/>
        </w:rPr>
        <w:t xml:space="preserve"> Con fecha</w:t>
      </w:r>
      <w:r w:rsidRPr="00AF6A1B">
        <w:rPr>
          <w:rFonts w:ascii="Palatino Linotype" w:eastAsia="Palatino Linotype" w:hAnsi="Palatino Linotype" w:cs="Palatino Linotype"/>
          <w:b/>
        </w:rPr>
        <w:t xml:space="preserve"> uno de julio de dos mil veintidós, </w:t>
      </w:r>
      <w:r w:rsidRPr="00AF6A1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presentara su informe justificado.</w:t>
      </w:r>
    </w:p>
    <w:p w:rsidR="00EF0737" w:rsidRPr="00AF6A1B" w:rsidRDefault="005C6A87">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AF6A1B">
        <w:rPr>
          <w:rFonts w:ascii="Palatino Linotype" w:eastAsia="Palatino Linotype" w:hAnsi="Palatino Linotype" w:cs="Palatino Linotype"/>
          <w:b/>
        </w:rPr>
        <w:t>6. Manifestaciones</w:t>
      </w:r>
      <w:r w:rsidRPr="00AF6A1B">
        <w:rPr>
          <w:rFonts w:ascii="Palatino Linotype" w:eastAsia="Palatino Linotype" w:hAnsi="Palatino Linotype" w:cs="Palatino Linotype"/>
        </w:rPr>
        <w:t xml:space="preserve">. En fecha </w:t>
      </w:r>
      <w:r w:rsidRPr="00AF6A1B">
        <w:rPr>
          <w:rFonts w:ascii="Palatino Linotype" w:eastAsia="Palatino Linotype" w:hAnsi="Palatino Linotype" w:cs="Palatino Linotype"/>
          <w:b/>
        </w:rPr>
        <w:t xml:space="preserve">once de julio de dos mil veintidós, </w:t>
      </w:r>
      <w:r w:rsidRPr="00AF6A1B">
        <w:rPr>
          <w:rFonts w:ascii="Palatino Linotype" w:eastAsia="Palatino Linotype" w:hAnsi="Palatino Linotype" w:cs="Palatino Linotype"/>
        </w:rPr>
        <w:t xml:space="preserve">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remitió, a través del SAIMEX, los siguientes documentos: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Oficio número PMM/OC/011/2022, de fecha once de julio de dos mil veintidós, signado por el Oficial Calificador del Ayuntamiento, mediante el cual informa que dentro de los archivos de concentración por parte de la Oficialía Calificadora se tienen los datos solicitados a partir de la fecha 9 de marzo de 2020, ya que a partir de esa fecha se implementó en el municipio el Informe Policial Homologado para faltas administrativas, en el cual se contemplan cada uno de los datos solicitados, en tal virtud, a partir de dicha fecha se entrega en formato digital la tabla en formato Excel con la información requerida.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Oficio número CDOCC/245/2022 de fecha veintidós de junio de dos mil veintidós, signado por el Coordinador de las Oficialías Calificadoras y Conciliadoras, mediante el cual, con relación a los motivos de inconformidad aducidos por la persona solicitante, reitera que no es competencia de los Oficiales Calificadores la entrega, recepción, registro, resguardo y consulta del Informe policial homologado, IPH, conforme a lo establecido en los artículos 150, fracción II, incisos b), c), d), e), f), g) y h), de la Ley Orgánica Municipal del Estado de México y 33 del Reglamento de las Oficialías Calificadoras y Mediadora-Conciliadora del Municipio de Cuautitlán Izcalli, siendo estos muy puntuales y específicos en las facultades y atribuciones de los Oficiales Calificadores, apreciándose que estos no se encuentran obligados para la entrega, recepción, registro, resguardo y consulta del  Informe policial homologado.</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 Relación en formato Excel, que contiene información estadística de las faltas administrativas registradas del nueve de marzo de dos mil veinte al tres de julio de dos mil veintidós, con los siguientes datos: número consecutivo, tipo de evento, hora, fecha, ubicación y coordenadas geográficas. </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Una vez analizados los documentos, únicamente se hizo del conocimiento de 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xml:space="preserve"> el Oficio número CDOCC/245/2022, en virtud de que las coordenadas geográficas contenidas en la relación de faltas administrativas es información susceptible de ser clasificada como confidencial, por las razones que más adelante se expondrán.</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7. Ampliación del término para resolver</w:t>
      </w:r>
      <w:r w:rsidRPr="00AF6A1B">
        <w:rPr>
          <w:rFonts w:ascii="Palatino Linotype" w:eastAsia="Palatino Linotype" w:hAnsi="Palatino Linotype" w:cs="Palatino Linotype"/>
        </w:rPr>
        <w:t xml:space="preserve">. En fecha </w:t>
      </w:r>
      <w:r w:rsidRPr="00AF6A1B">
        <w:rPr>
          <w:rFonts w:ascii="Palatino Linotype" w:eastAsia="Palatino Linotype" w:hAnsi="Palatino Linotype" w:cs="Palatino Linotype"/>
          <w:b/>
        </w:rPr>
        <w:t>diecisiete de noviembre de dos mil veintidós</w:t>
      </w:r>
      <w:r w:rsidRPr="00AF6A1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F0737" w:rsidRPr="00AF6A1B" w:rsidRDefault="005C6A87">
      <w:pPr>
        <w:spacing w:before="240" w:after="240" w:line="360" w:lineRule="auto"/>
        <w:jc w:val="both"/>
        <w:rPr>
          <w:rFonts w:ascii="Palatino Linotype" w:eastAsia="Palatino Linotype" w:hAnsi="Palatino Linotype" w:cs="Palatino Linotype"/>
          <w:strike/>
        </w:rPr>
      </w:pPr>
      <w:r w:rsidRPr="00AF6A1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EF0737" w:rsidRPr="00AF6A1B" w:rsidRDefault="005C6A87">
      <w:pPr>
        <w:numPr>
          <w:ilvl w:val="0"/>
          <w:numId w:val="3"/>
        </w:num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EF0737" w:rsidRPr="00AF6A1B" w:rsidRDefault="005C6A87">
      <w:pPr>
        <w:numPr>
          <w:ilvl w:val="0"/>
          <w:numId w:val="3"/>
        </w:num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Actividad Procesal del interesado. Acciones u omisiones del interesado.</w:t>
      </w:r>
    </w:p>
    <w:p w:rsidR="00EF0737" w:rsidRPr="00AF6A1B" w:rsidRDefault="005C6A87">
      <w:pPr>
        <w:numPr>
          <w:ilvl w:val="0"/>
          <w:numId w:val="3"/>
        </w:num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Conducta de la Autoridad: Las Acciones u omisiones realizadas en el procedimiento. Así como si la autoridad actuó con la debida diligencia.</w:t>
      </w:r>
    </w:p>
    <w:p w:rsidR="00EF0737" w:rsidRPr="00AF6A1B" w:rsidRDefault="005C6A87">
      <w:pPr>
        <w:spacing w:before="240" w:after="240" w:line="360" w:lineRule="auto"/>
        <w:ind w:left="567"/>
        <w:jc w:val="both"/>
        <w:rPr>
          <w:rFonts w:ascii="Palatino Linotype" w:eastAsia="Palatino Linotype" w:hAnsi="Palatino Linotype" w:cs="Palatino Linotype"/>
        </w:rPr>
      </w:pPr>
      <w:r w:rsidRPr="00AF6A1B">
        <w:rPr>
          <w:rFonts w:ascii="Palatino Linotype" w:eastAsia="Palatino Linotype" w:hAnsi="Palatino Linotype" w:cs="Palatino Linotype"/>
        </w:rPr>
        <w:t>d) La afectación generada en la situación jurídica de la persona involucrada en el proceso: Violación a sus derechos humanos.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F0737" w:rsidRPr="00AF6A1B" w:rsidRDefault="005C6A87">
      <w:pPr>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rPr>
        <w:t>Argumento que encuentra sustento en la jurisprudencia P</w:t>
      </w:r>
      <w:proofErr w:type="gramStart"/>
      <w:r w:rsidRPr="00AF6A1B">
        <w:rPr>
          <w:rFonts w:ascii="Palatino Linotype" w:eastAsia="Palatino Linotype" w:hAnsi="Palatino Linotype" w:cs="Palatino Linotype"/>
        </w:rPr>
        <w:t>./</w:t>
      </w:r>
      <w:proofErr w:type="gramEnd"/>
      <w:r w:rsidRPr="00AF6A1B">
        <w:rPr>
          <w:rFonts w:ascii="Palatino Linotype" w:eastAsia="Palatino Linotype" w:hAnsi="Palatino Linotype" w:cs="Palatino Linotype"/>
        </w:rPr>
        <w:t xml:space="preserve">J. 32/92 emitida por el Pleno de la Suprema Corte de Justicia de la Nación de rubro </w:t>
      </w:r>
      <w:r w:rsidRPr="00AF6A1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F6A1B">
        <w:rPr>
          <w:rFonts w:ascii="Palatino Linotype" w:eastAsia="Palatino Linotype" w:hAnsi="Palatino Linotype" w:cs="Palatino Linotype"/>
        </w:rPr>
        <w:t>, visible en la Gaceta del Seminario Judicial de la Federación con el registro digital 205635.</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EF0737" w:rsidRPr="00AF6A1B" w:rsidRDefault="005C6A87">
      <w:pPr>
        <w:spacing w:before="240" w:after="240"/>
        <w:ind w:left="851" w:right="902"/>
        <w:jc w:val="both"/>
        <w:rPr>
          <w:rFonts w:ascii="Palatino Linotype" w:eastAsia="Palatino Linotype" w:hAnsi="Palatino Linotype" w:cs="Palatino Linotype"/>
          <w:sz w:val="22"/>
          <w:szCs w:val="22"/>
        </w:rPr>
      </w:pPr>
      <w:r w:rsidRPr="00AF6A1B">
        <w:rPr>
          <w:rFonts w:ascii="Palatino Linotype" w:eastAsia="Palatino Linotype" w:hAnsi="Palatino Linotype" w:cs="Palatino Linotype"/>
        </w:rPr>
        <w:t xml:space="preserve"> </w:t>
      </w: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PLAZO RAZONABLE PARA RESOLVER. DIMENSIÓN Y EFECTOS DE ESTE CONCEPTO CUANDO SE ADUCE EXCESIVA CARGA DE TRABAJO</w:t>
      </w: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sz w:val="22"/>
          <w:szCs w:val="22"/>
        </w:rPr>
        <w:t xml:space="preserve"> consultable en el Seminario Judicial de la Federación y su gaceta, con el registro digital 2002351.</w:t>
      </w:r>
    </w:p>
    <w:p w:rsidR="00EF0737" w:rsidRPr="00AF6A1B" w:rsidRDefault="005C6A87">
      <w:pPr>
        <w:spacing w:before="240" w:after="240"/>
        <w:ind w:left="851" w:right="902"/>
        <w:jc w:val="both"/>
        <w:rPr>
          <w:rFonts w:ascii="Palatino Linotype" w:eastAsia="Palatino Linotype" w:hAnsi="Palatino Linotype" w:cs="Palatino Linotype"/>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sz w:val="22"/>
          <w:szCs w:val="22"/>
        </w:rPr>
        <w:t>, visible en el Seminario Judicial de la Federación y su gaceta, con el registro digital 2002350.</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 xml:space="preserve">8. Cierre de instrucción. </w:t>
      </w:r>
      <w:r w:rsidRPr="00AF6A1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F6A1B">
        <w:rPr>
          <w:rFonts w:ascii="Palatino Linotype" w:eastAsia="Palatino Linotype" w:hAnsi="Palatino Linotype" w:cs="Palatino Linotype"/>
          <w:b/>
        </w:rPr>
        <w:t>veinticuatro de noviembre de dos mil veintidós</w:t>
      </w:r>
      <w:r w:rsidRPr="00AF6A1B">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EF0737" w:rsidRPr="00AF6A1B" w:rsidRDefault="005C6A87">
      <w:pPr>
        <w:widowControl w:val="0"/>
        <w:spacing w:before="240" w:after="240" w:line="360" w:lineRule="auto"/>
        <w:jc w:val="center"/>
        <w:rPr>
          <w:rFonts w:ascii="Palatino Linotype" w:eastAsia="Palatino Linotype" w:hAnsi="Palatino Linotype" w:cs="Palatino Linotype"/>
          <w:b/>
        </w:rPr>
      </w:pPr>
      <w:r w:rsidRPr="00AF6A1B">
        <w:rPr>
          <w:rFonts w:ascii="Palatino Linotype" w:eastAsia="Palatino Linotype" w:hAnsi="Palatino Linotype" w:cs="Palatino Linotype"/>
          <w:b/>
        </w:rPr>
        <w:t>II. C O N S I D E R A N D O 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Primero. Competencia.</w:t>
      </w:r>
      <w:r w:rsidRPr="00AF6A1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F0737" w:rsidRPr="00AF6A1B" w:rsidRDefault="005C6A87">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AF6A1B">
        <w:rPr>
          <w:rFonts w:ascii="Palatino Linotype" w:eastAsia="Palatino Linotype" w:hAnsi="Palatino Linotype" w:cs="Palatino Linotype"/>
          <w:b/>
        </w:rPr>
        <w:t xml:space="preserve">Segundo. Oportunidad y </w:t>
      </w:r>
      <w:proofErr w:type="spellStart"/>
      <w:r w:rsidRPr="00AF6A1B">
        <w:rPr>
          <w:rFonts w:ascii="Palatino Linotype" w:eastAsia="Palatino Linotype" w:hAnsi="Palatino Linotype" w:cs="Palatino Linotype"/>
          <w:b/>
        </w:rPr>
        <w:t>Procedibilidad</w:t>
      </w:r>
      <w:proofErr w:type="spellEnd"/>
      <w:r w:rsidRPr="00AF6A1B">
        <w:rPr>
          <w:rFonts w:ascii="Palatino Linotype" w:eastAsia="Palatino Linotype" w:hAnsi="Palatino Linotype" w:cs="Palatino Linotype"/>
          <w:b/>
        </w:rPr>
        <w:t xml:space="preserve"> del Recurso de Revisión</w:t>
      </w:r>
      <w:r w:rsidRPr="00AF6A1B">
        <w:rPr>
          <w:rFonts w:ascii="Palatino Linotype" w:eastAsia="Palatino Linotype" w:hAnsi="Palatino Linotype" w:cs="Palatino Linotype"/>
        </w:rPr>
        <w:t xml:space="preserve">. Previo al estudio del fondo del asunto, se procede a analizar los requisitos de oportunidad y </w:t>
      </w:r>
      <w:proofErr w:type="spellStart"/>
      <w:r w:rsidRPr="00AF6A1B">
        <w:rPr>
          <w:rFonts w:ascii="Palatino Linotype" w:eastAsia="Palatino Linotype" w:hAnsi="Palatino Linotype" w:cs="Palatino Linotype"/>
        </w:rPr>
        <w:t>procedibilidad</w:t>
      </w:r>
      <w:proofErr w:type="spellEnd"/>
      <w:r w:rsidRPr="00AF6A1B">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 xml:space="preserve">remitió la respuesta a la solicitud de información el día </w:t>
      </w:r>
      <w:r w:rsidRPr="00AF6A1B">
        <w:rPr>
          <w:rFonts w:ascii="Palatino Linotype" w:eastAsia="Palatino Linotype" w:hAnsi="Palatino Linotype" w:cs="Palatino Linotype"/>
          <w:b/>
        </w:rPr>
        <w:t xml:space="preserve">veintitrés de junio de dos mil veintidós, </w:t>
      </w:r>
      <w:r w:rsidRPr="00AF6A1B">
        <w:rPr>
          <w:rFonts w:ascii="Palatino Linotype" w:eastAsia="Palatino Linotype" w:hAnsi="Palatino Linotype" w:cs="Palatino Linotype"/>
        </w:rPr>
        <w:t xml:space="preserve">mientras que el recurso de revisión interpuesto por 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xml:space="preserve">, se tuvo por presentado el día </w:t>
      </w:r>
      <w:r w:rsidRPr="00AF6A1B">
        <w:rPr>
          <w:rFonts w:ascii="Palatino Linotype" w:eastAsia="Palatino Linotype" w:hAnsi="Palatino Linotype" w:cs="Palatino Linotype"/>
          <w:b/>
        </w:rPr>
        <w:t>veintiocho de junio de dos mil veintidós</w:t>
      </w:r>
      <w:r w:rsidRPr="00AF6A1B">
        <w:rPr>
          <w:rFonts w:ascii="Palatino Linotype" w:eastAsia="Palatino Linotype" w:hAnsi="Palatino Linotype" w:cs="Palatino Linotype"/>
        </w:rPr>
        <w:t>, esto es, al tercer día en que tuvo conocimiento de la respuesta impugnada.</w:t>
      </w:r>
    </w:p>
    <w:p w:rsidR="00EF0737" w:rsidRPr="00AF6A1B" w:rsidRDefault="005C6A87">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AF6A1B">
        <w:rPr>
          <w:rFonts w:ascii="Palatino Linotype" w:eastAsia="Palatino Linotype" w:hAnsi="Palatino Linotype" w:cs="Palatino Linotype"/>
        </w:rPr>
        <w:t xml:space="preserve">Al mismo tiempo, por cuanto hace a la </w:t>
      </w:r>
      <w:proofErr w:type="spellStart"/>
      <w:r w:rsidRPr="00AF6A1B">
        <w:rPr>
          <w:rFonts w:ascii="Palatino Linotype" w:eastAsia="Palatino Linotype" w:hAnsi="Palatino Linotype" w:cs="Palatino Linotype"/>
        </w:rPr>
        <w:t>procedibilidad</w:t>
      </w:r>
      <w:proofErr w:type="spellEnd"/>
      <w:r w:rsidRPr="00AF6A1B">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Finalmente, se advierte que resulta procedente la interposición del recurso, según lo manifestado por 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xml:space="preserve"> en sus motivos de inconformidad, de acuerdo al artículo 179, fracciones V y VI del ordenamiento legal citado, que a la letra dice: </w:t>
      </w:r>
    </w:p>
    <w:p w:rsidR="00EF0737" w:rsidRPr="00AF6A1B" w:rsidRDefault="005C6A87">
      <w:pPr>
        <w:spacing w:before="120" w:after="120"/>
        <w:ind w:left="993"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Artículo 179.</w:t>
      </w:r>
      <w:r w:rsidRPr="00AF6A1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EF0737" w:rsidRPr="00AF6A1B" w:rsidRDefault="005C6A87">
      <w:pPr>
        <w:spacing w:before="120" w:after="120"/>
        <w:ind w:left="1134"/>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spacing w:before="120" w:after="120"/>
        <w:ind w:left="1134"/>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 xml:space="preserve">V. </w:t>
      </w:r>
      <w:r w:rsidRPr="00AF6A1B">
        <w:rPr>
          <w:rFonts w:ascii="Palatino Linotype" w:eastAsia="Palatino Linotype" w:hAnsi="Palatino Linotype" w:cs="Palatino Linotype"/>
          <w:i/>
          <w:sz w:val="22"/>
          <w:szCs w:val="22"/>
        </w:rPr>
        <w:t>La entrega de información incompleta</w:t>
      </w:r>
      <w:r w:rsidRPr="00AF6A1B">
        <w:rPr>
          <w:rFonts w:ascii="Palatino Linotype" w:eastAsia="Palatino Linotype" w:hAnsi="Palatino Linotype" w:cs="Palatino Linotype"/>
          <w:b/>
          <w:i/>
          <w:sz w:val="22"/>
          <w:szCs w:val="22"/>
        </w:rPr>
        <w:t>;</w:t>
      </w:r>
    </w:p>
    <w:p w:rsidR="00EF0737" w:rsidRPr="00AF6A1B" w:rsidRDefault="005C6A87">
      <w:pPr>
        <w:spacing w:before="120" w:after="120"/>
        <w:ind w:left="1134"/>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 xml:space="preserve">VI. </w:t>
      </w:r>
      <w:r w:rsidRPr="00AF6A1B">
        <w:rPr>
          <w:rFonts w:ascii="Palatino Linotype" w:eastAsia="Palatino Linotype" w:hAnsi="Palatino Linotype" w:cs="Palatino Linotype"/>
          <w:i/>
          <w:sz w:val="22"/>
          <w:szCs w:val="22"/>
        </w:rPr>
        <w:t>La entrega de información que no corresponda con lo solicitado</w:t>
      </w:r>
      <w:r w:rsidRPr="00AF6A1B">
        <w:rPr>
          <w:rFonts w:ascii="Palatino Linotype" w:eastAsia="Palatino Linotype" w:hAnsi="Palatino Linotype" w:cs="Palatino Linotype"/>
          <w:b/>
          <w:i/>
          <w:sz w:val="22"/>
          <w:szCs w:val="22"/>
        </w:rPr>
        <w:t>;”</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 xml:space="preserve">Tercero. Materia de la revisión. </w:t>
      </w:r>
      <w:r w:rsidRPr="00AF6A1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F6A1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F6A1B">
        <w:rPr>
          <w:rFonts w:ascii="Palatino Linotype" w:eastAsia="Palatino Linotype" w:hAnsi="Palatino Linotype" w:cs="Palatino Linotype"/>
        </w:rPr>
        <w:t xml:space="preserve">de 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o en su defecto, en caso de ser procedente, ordenar la entrega de información oportuna.</w:t>
      </w:r>
    </w:p>
    <w:p w:rsidR="00EF0737" w:rsidRPr="00AF6A1B" w:rsidRDefault="005C6A87">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AF6A1B">
        <w:rPr>
          <w:rFonts w:ascii="Palatino Linotype" w:eastAsia="Palatino Linotype" w:hAnsi="Palatino Linotype" w:cs="Palatino Linotype"/>
          <w:b/>
        </w:rPr>
        <w:t xml:space="preserve">Cuarto. Estudio del asunto. </w:t>
      </w:r>
      <w:r w:rsidRPr="00AF6A1B">
        <w:rPr>
          <w:rFonts w:ascii="Palatino Linotype" w:eastAsia="Palatino Linotype" w:hAnsi="Palatino Linotype" w:cs="Palatino Linotype"/>
        </w:rPr>
        <w:t xml:space="preserve">Es conveniente analizar si la respuesta del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Artículo 4</w:t>
      </w:r>
      <w:r w:rsidRPr="00AF6A1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F6A1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F6A1B">
        <w:rPr>
          <w:rFonts w:ascii="Palatino Linotype" w:eastAsia="Palatino Linotype" w:hAnsi="Palatino Linotype" w:cs="Palatino Linotype"/>
          <w:i/>
          <w:sz w:val="22"/>
          <w:szCs w:val="22"/>
        </w:rPr>
        <w:t>.”(Sic)</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12.-</w:t>
      </w:r>
      <w:r w:rsidRPr="00AF6A1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EF0737" w:rsidRPr="00AF6A1B" w:rsidRDefault="005C6A87">
      <w:pPr>
        <w:spacing w:before="240" w:after="240" w:line="360" w:lineRule="auto"/>
        <w:ind w:right="-93"/>
        <w:jc w:val="both"/>
        <w:rPr>
          <w:rFonts w:ascii="Palatino Linotype" w:eastAsia="Palatino Linotype" w:hAnsi="Palatino Linotype" w:cs="Palatino Linotype"/>
        </w:rPr>
      </w:pPr>
      <w:r w:rsidRPr="00AF6A1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EF0737" w:rsidRPr="00AF6A1B" w:rsidRDefault="005C6A87">
      <w:pPr>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AF6A1B">
        <w:rPr>
          <w:rFonts w:ascii="Palatino Linotype" w:eastAsia="Palatino Linotype" w:hAnsi="Palatino Linotype" w:cs="Palatino Linotype"/>
          <w:b/>
        </w:rPr>
        <w:t xml:space="preserve">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No existe obligación de elaborar documentos ad hoc para atender las solicitudes de acceso a la información.</w:t>
      </w:r>
      <w:r w:rsidRPr="00AF6A1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EF0737" w:rsidRPr="00AF6A1B" w:rsidRDefault="005C6A87">
      <w:pPr>
        <w:spacing w:before="120" w:after="12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F0737" w:rsidRPr="00AF6A1B" w:rsidRDefault="005C6A87">
      <w:pPr>
        <w:spacing w:before="120" w:after="12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EF0737" w:rsidRPr="00AF6A1B" w:rsidRDefault="005C6A87">
      <w:pPr>
        <w:spacing w:before="120" w:after="12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 xml:space="preserve">Artículo 3. </w:t>
      </w:r>
      <w:r w:rsidRPr="00AF6A1B">
        <w:rPr>
          <w:rFonts w:ascii="Palatino Linotype" w:eastAsia="Palatino Linotype" w:hAnsi="Palatino Linotype" w:cs="Palatino Linotype"/>
          <w:i/>
          <w:sz w:val="22"/>
          <w:szCs w:val="22"/>
        </w:rPr>
        <w:t>Para los efectos de la presente Ley se entenderá por:</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XI. Documento:</w:t>
      </w:r>
      <w:r w:rsidRPr="00AF6A1B">
        <w:rPr>
          <w:rFonts w:ascii="Palatino Linotype" w:eastAsia="Palatino Linotype" w:hAnsi="Palatino Linotype" w:cs="Palatino Linotype"/>
          <w:i/>
          <w:sz w:val="22"/>
          <w:szCs w:val="22"/>
        </w:rPr>
        <w:t xml:space="preserve"> Los expedientes, reportes, estudios, actas</w:t>
      </w:r>
      <w:r w:rsidRPr="00AF6A1B">
        <w:rPr>
          <w:rFonts w:ascii="Palatino Linotype" w:eastAsia="Palatino Linotype" w:hAnsi="Palatino Linotype" w:cs="Palatino Linotype"/>
          <w:b/>
          <w:i/>
          <w:sz w:val="22"/>
          <w:szCs w:val="22"/>
        </w:rPr>
        <w:t>,</w:t>
      </w:r>
      <w:r w:rsidRPr="00AF6A1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sz w:val="22"/>
          <w:szCs w:val="22"/>
        </w:rPr>
        <w:t>“</w:t>
      </w:r>
      <w:r w:rsidRPr="00AF6A1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F6A1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EF0737" w:rsidRPr="00AF6A1B" w:rsidRDefault="005C6A87">
      <w:pPr>
        <w:spacing w:before="120" w:after="120"/>
        <w:ind w:left="1134"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EF0737" w:rsidRPr="00AF6A1B" w:rsidRDefault="005C6A87">
      <w:pPr>
        <w:spacing w:before="120" w:after="120"/>
        <w:ind w:left="1134"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EF0737" w:rsidRPr="00AF6A1B" w:rsidRDefault="005C6A87">
      <w:pPr>
        <w:spacing w:before="240" w:after="240" w:line="360" w:lineRule="auto"/>
        <w:ind w:right="51"/>
        <w:jc w:val="both"/>
        <w:rPr>
          <w:rFonts w:ascii="Palatino Linotype" w:eastAsia="Palatino Linotype" w:hAnsi="Palatino Linotype" w:cs="Palatino Linotype"/>
          <w:b/>
        </w:rPr>
      </w:pPr>
      <w:r w:rsidRPr="00AF6A1B">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al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le proporcione, información consistente en lo siguiente:</w:t>
      </w:r>
    </w:p>
    <w:p w:rsidR="00EF0737" w:rsidRPr="00AF6A1B" w:rsidRDefault="005C6A87">
      <w:pPr>
        <w:spacing w:before="240" w:after="240" w:line="360" w:lineRule="auto"/>
        <w:ind w:left="284" w:right="51"/>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Base de datos en formato abierto como </w:t>
      </w:r>
      <w:proofErr w:type="spellStart"/>
      <w:r w:rsidRPr="00AF6A1B">
        <w:rPr>
          <w:rFonts w:ascii="Palatino Linotype" w:eastAsia="Palatino Linotype" w:hAnsi="Palatino Linotype" w:cs="Palatino Linotype"/>
        </w:rPr>
        <w:t>xlx</w:t>
      </w:r>
      <w:proofErr w:type="spellEnd"/>
      <w:r w:rsidRPr="00AF6A1B">
        <w:rPr>
          <w:rFonts w:ascii="Palatino Linotype" w:eastAsia="Palatino Linotype" w:hAnsi="Palatino Linotype" w:cs="Palatino Linotype"/>
        </w:rPr>
        <w:t xml:space="preserve"> o </w:t>
      </w:r>
      <w:proofErr w:type="spellStart"/>
      <w:r w:rsidRPr="00AF6A1B">
        <w:rPr>
          <w:rFonts w:ascii="Palatino Linotype" w:eastAsia="Palatino Linotype" w:hAnsi="Palatino Linotype" w:cs="Palatino Linotype"/>
        </w:rPr>
        <w:t>cvs</w:t>
      </w:r>
      <w:proofErr w:type="spellEnd"/>
      <w:r w:rsidRPr="00AF6A1B">
        <w:rPr>
          <w:rFonts w:ascii="Palatino Linotype" w:eastAsia="Palatino Linotype" w:hAnsi="Palatino Linotype" w:cs="Palatino Linotype"/>
        </w:rPr>
        <w:t>, del periodo comprendido del 01 de enero de 2018 al 01 de junio de 2022, con la siguiente información desglosada y particularizada:</w:t>
      </w:r>
    </w:p>
    <w:p w:rsidR="00EF0737" w:rsidRPr="00AF6A1B" w:rsidRDefault="005C6A87">
      <w:pPr>
        <w:spacing w:before="120" w:after="120" w:line="276" w:lineRule="auto"/>
        <w:ind w:left="567" w:right="902"/>
        <w:jc w:val="both"/>
        <w:rPr>
          <w:rFonts w:ascii="Palatino Linotype" w:eastAsia="Palatino Linotype" w:hAnsi="Palatino Linotype" w:cs="Palatino Linotype"/>
        </w:rPr>
      </w:pPr>
      <w:r w:rsidRPr="00AF6A1B">
        <w:rPr>
          <w:rFonts w:ascii="Palatino Linotype" w:eastAsia="Palatino Linotype" w:hAnsi="Palatino Linotype" w:cs="Palatino Linotype"/>
        </w:rPr>
        <w:t>1. Tipo de incidente o evento (es decir hechos presuntamente constitutivos de delito y/o falta administrativa, o situación reportada, cualquiera que esta sea, especificando si el hecho fue con o sin violencia).</w:t>
      </w:r>
    </w:p>
    <w:p w:rsidR="00EF0737" w:rsidRPr="00AF6A1B" w:rsidRDefault="005C6A87">
      <w:pPr>
        <w:spacing w:before="120" w:after="120" w:line="276" w:lineRule="auto"/>
        <w:ind w:left="567" w:right="902"/>
        <w:jc w:val="both"/>
        <w:rPr>
          <w:rFonts w:ascii="Palatino Linotype" w:eastAsia="Palatino Linotype" w:hAnsi="Palatino Linotype" w:cs="Palatino Linotype"/>
        </w:rPr>
      </w:pPr>
      <w:r w:rsidRPr="00AF6A1B">
        <w:rPr>
          <w:rFonts w:ascii="Palatino Linotype" w:eastAsia="Palatino Linotype" w:hAnsi="Palatino Linotype" w:cs="Palatino Linotype"/>
        </w:rPr>
        <w:t>2. Hora del incidente o evento.</w:t>
      </w:r>
    </w:p>
    <w:p w:rsidR="00EF0737" w:rsidRPr="00AF6A1B" w:rsidRDefault="005C6A87">
      <w:pPr>
        <w:spacing w:before="120" w:after="120" w:line="276" w:lineRule="auto"/>
        <w:ind w:left="567" w:right="902"/>
        <w:jc w:val="both"/>
        <w:rPr>
          <w:rFonts w:ascii="Palatino Linotype" w:eastAsia="Palatino Linotype" w:hAnsi="Palatino Linotype" w:cs="Palatino Linotype"/>
        </w:rPr>
      </w:pPr>
      <w:r w:rsidRPr="00AF6A1B">
        <w:rPr>
          <w:rFonts w:ascii="Palatino Linotype" w:eastAsia="Palatino Linotype" w:hAnsi="Palatino Linotype" w:cs="Palatino Linotype"/>
        </w:rPr>
        <w:t>3. Fecha (</w:t>
      </w:r>
      <w:proofErr w:type="spellStart"/>
      <w:r w:rsidRPr="00AF6A1B">
        <w:rPr>
          <w:rFonts w:ascii="Palatino Linotype" w:eastAsia="Palatino Linotype" w:hAnsi="Palatino Linotype" w:cs="Palatino Linotype"/>
        </w:rPr>
        <w:t>dd</w:t>
      </w:r>
      <w:proofErr w:type="spellEnd"/>
      <w:r w:rsidRPr="00AF6A1B">
        <w:rPr>
          <w:rFonts w:ascii="Palatino Linotype" w:eastAsia="Palatino Linotype" w:hAnsi="Palatino Linotype" w:cs="Palatino Linotype"/>
        </w:rPr>
        <w:t>/mm/</w:t>
      </w:r>
      <w:proofErr w:type="spellStart"/>
      <w:r w:rsidRPr="00AF6A1B">
        <w:rPr>
          <w:rFonts w:ascii="Palatino Linotype" w:eastAsia="Palatino Linotype" w:hAnsi="Palatino Linotype" w:cs="Palatino Linotype"/>
        </w:rPr>
        <w:t>aaaa</w:t>
      </w:r>
      <w:proofErr w:type="spellEnd"/>
      <w:r w:rsidRPr="00AF6A1B">
        <w:rPr>
          <w:rFonts w:ascii="Palatino Linotype" w:eastAsia="Palatino Linotype" w:hAnsi="Palatino Linotype" w:cs="Palatino Linotype"/>
        </w:rPr>
        <w:t>) del incidente o evento.</w:t>
      </w:r>
    </w:p>
    <w:p w:rsidR="00EF0737" w:rsidRPr="00AF6A1B" w:rsidRDefault="005C6A87">
      <w:pPr>
        <w:spacing w:before="120" w:after="120" w:line="276" w:lineRule="auto"/>
        <w:ind w:left="567" w:right="902"/>
        <w:jc w:val="both"/>
        <w:rPr>
          <w:rFonts w:ascii="Palatino Linotype" w:eastAsia="Palatino Linotype" w:hAnsi="Palatino Linotype" w:cs="Palatino Linotype"/>
        </w:rPr>
      </w:pPr>
      <w:r w:rsidRPr="00AF6A1B">
        <w:rPr>
          <w:rFonts w:ascii="Palatino Linotype" w:eastAsia="Palatino Linotype" w:hAnsi="Palatino Linotype" w:cs="Palatino Linotype"/>
        </w:rPr>
        <w:t>4. Lugar del incidente o evento.</w:t>
      </w:r>
    </w:p>
    <w:p w:rsidR="00EF0737" w:rsidRPr="00AF6A1B" w:rsidRDefault="005C6A87">
      <w:pPr>
        <w:spacing w:before="120" w:after="120" w:line="276" w:lineRule="auto"/>
        <w:ind w:left="567" w:right="902"/>
        <w:jc w:val="both"/>
        <w:rPr>
          <w:rFonts w:ascii="Palatino Linotype" w:eastAsia="Palatino Linotype" w:hAnsi="Palatino Linotype" w:cs="Palatino Linotype"/>
        </w:rPr>
      </w:pPr>
      <w:r w:rsidRPr="00AF6A1B">
        <w:rPr>
          <w:rFonts w:ascii="Palatino Linotype" w:eastAsia="Palatino Linotype" w:hAnsi="Palatino Linotype" w:cs="Palatino Linotype"/>
        </w:rPr>
        <w:t>5. Ubicación del incidente o evento.</w:t>
      </w:r>
    </w:p>
    <w:p w:rsidR="00EF0737" w:rsidRPr="00AF6A1B" w:rsidRDefault="005C6A87">
      <w:pPr>
        <w:spacing w:before="120" w:after="120" w:line="276" w:lineRule="auto"/>
        <w:ind w:left="567" w:right="902"/>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6. Coordenadas geográficas del incidente o evento, establecidas en la sección “lugar de la intervención” del informe policial homologado para: </w:t>
      </w:r>
    </w:p>
    <w:p w:rsidR="00EF0737" w:rsidRPr="00AF6A1B" w:rsidRDefault="005C6A87">
      <w:pPr>
        <w:spacing w:before="120" w:after="120" w:line="276" w:lineRule="auto"/>
        <w:ind w:left="851" w:right="902"/>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a) Hechos probablemente delictivos, o para </w:t>
      </w:r>
    </w:p>
    <w:p w:rsidR="00EF0737" w:rsidRPr="00AF6A1B" w:rsidRDefault="005C6A87">
      <w:pPr>
        <w:spacing w:before="120" w:after="120" w:line="276" w:lineRule="auto"/>
        <w:ind w:left="851" w:right="902"/>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b) Justicia cívica según corresponda al tipo de incidente. </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respuesta, 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 xml:space="preserve">a través de la Unidad de Transparencia </w:t>
      </w:r>
      <w:r w:rsidRPr="00AF6A1B">
        <w:rPr>
          <w:rFonts w:ascii="Palatino Linotype" w:eastAsia="Palatino Linotype" w:hAnsi="Palatino Linotype" w:cs="Palatino Linotype"/>
          <w:b/>
        </w:rPr>
        <w:t xml:space="preserve"> </w:t>
      </w:r>
      <w:r w:rsidRPr="00AF6A1B">
        <w:rPr>
          <w:rFonts w:ascii="Palatino Linotype" w:eastAsia="Palatino Linotype" w:hAnsi="Palatino Linotype" w:cs="Palatino Linotype"/>
        </w:rPr>
        <w:t>proporcionó a la persona solicitante las bitácoras de llamadas de la Dirección de Seguridad Pública, Protección Civil y Bomberos, generadas desde el mes de noviembre de 2020 al mes de mayo de 2022, documentos que contienen los siguientes datos: fecha, hora, tipo, reporte, unidad, avanzada, arribo, verificación, canalización, detenidos, número consecutivo de llamada.</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en lo medular, que la respuesta entregada le parecía inadecuada, en virtud de que solicitó una base de datos en formato XLC o CVS., sin embargo, se le envió una tabla llenada a mano en formato PDF, tabla que solo hace referencia a los incidentes registrados mediante el sistema de atención telefónica a la ciudadanía, sin hacer referencia a otras fuentes mencionadas en la solicitud, como la información sistematizada, proveniente del Informe Policial Homologado, asimismo, que solo incluye información sobre incidentes registrados durante una temporalidad menor a la solicitada, que particulariza la información por fecha, hora y otros elementos ajenos a la solicitud, omitiendo la información sobre si el incidente se cometió con o sin violencia, así como la georreferencia por medio de coordenadas o dirección precisa</w:t>
      </w:r>
      <w:r w:rsidRPr="00AF6A1B">
        <w:rPr>
          <w:rFonts w:ascii="Palatino Linotype" w:eastAsia="Palatino Linotype" w:hAnsi="Palatino Linotype" w:cs="Palatino Linotype"/>
          <w:sz w:val="28"/>
          <w:szCs w:val="28"/>
        </w:rPr>
        <w:t>.</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Una vez admitido el presente recurso de revisión, en términos del artículo 185 fracción II</w:t>
      </w:r>
      <w:r w:rsidRPr="00AF6A1B">
        <w:rPr>
          <w:rFonts w:ascii="Palatino Linotype" w:eastAsia="Palatino Linotype" w:hAnsi="Palatino Linotype" w:cs="Palatino Linotype"/>
          <w:vertAlign w:val="superscript"/>
        </w:rPr>
        <w:footnoteReference w:id="1"/>
      </w:r>
      <w:r w:rsidRPr="00AF6A1B">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tal sentido, 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a través del Oficial Calificador del Ayuntamiento, informó que dentro de los archivos de concentración por parte de la Oficialía Calificadora se tienen los datos solicitados a partir de la fecha 9 de marzo de 2020, ya que a partir de esa fecha se implementó en el municipio el Informe Policial Homologado para faltas administrativas, en el cual se contemplan cada uno de los datos solicitados, en tal virtud, entregó en formato digital la tabla en formato Excel con la información requerida, a partir de la fecha señalada.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Como se mencionó en los antecedentes del presente recurso, el documento referido por el Oficial Calificador, si bien contiene información estadística relacionada con de las faltas administrativas registradas del nueve de marzo de dos mil veinte al tres de julio de dos mil veintidós, esta no se hizo del conocimiento de la parte </w:t>
      </w:r>
      <w:r w:rsidRPr="00AF6A1B">
        <w:rPr>
          <w:rFonts w:ascii="Palatino Linotype" w:eastAsia="Palatino Linotype" w:hAnsi="Palatino Linotype" w:cs="Palatino Linotype"/>
          <w:b/>
        </w:rPr>
        <w:t xml:space="preserve">Recurrente, </w:t>
      </w:r>
      <w:r w:rsidRPr="00AF6A1B">
        <w:rPr>
          <w:rFonts w:ascii="Palatino Linotype" w:eastAsia="Palatino Linotype" w:hAnsi="Palatino Linotype" w:cs="Palatino Linotype"/>
        </w:rPr>
        <w:t>al contener las coordenadas geográficas, información que por su naturaleza es susceptible de ser clasificada como confidencial, por las razones que más adelante se expondrán.</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Con base en lo precedente, se determina que la información proporcionada por 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en su respuesta, no cumple con lo establecido por los artículos 4, 12, y 24 último párrafo, de la Ley de Transparencia y Acceso a la Información Pública del Estado de México y Municipios; de ahí que, los motivos de inconformidad acontecen fundados para revocar la respuesta del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en razón de las consideraciones de derecho que a continuación se exponen:</w:t>
      </w:r>
    </w:p>
    <w:p w:rsidR="00EF0737" w:rsidRPr="00AF6A1B" w:rsidRDefault="005C6A87">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b/>
        </w:rPr>
        <w:t>Naturaleza de la información solicitada.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Al respecto, es oportuno traer a colación los artículos 5, fracciones II, XVII, 7, fracción IX, 19, fracción I, 39, inciso b), fracción VI y XI, 117 y 118 de la Ley General del Sistema Nacional de Seguridad Pública; que disponen lo siguiente: </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5</w:t>
      </w:r>
      <w:r w:rsidRPr="00AF6A1B">
        <w:rPr>
          <w:rFonts w:ascii="Palatino Linotype" w:eastAsia="Palatino Linotype" w:hAnsi="Palatino Linotype" w:cs="Palatino Linotype"/>
          <w:i/>
          <w:sz w:val="22"/>
          <w:szCs w:val="22"/>
        </w:rPr>
        <w:t>.- Para los efectos de esta Ley, se entenderá por:</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 Bases de Datos</w:t>
      </w:r>
      <w:r w:rsidRPr="00AF6A1B">
        <w:rPr>
          <w:rFonts w:ascii="Palatino Linotype" w:eastAsia="Palatino Linotype" w:hAnsi="Palatino Linotype" w:cs="Palatino Linotype"/>
          <w:i/>
          <w:sz w:val="22"/>
          <w:szCs w:val="22"/>
        </w:rPr>
        <w:t>: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XVII. Sistema Nacional de Información</w:t>
      </w:r>
      <w:r w:rsidRPr="00AF6A1B">
        <w:rPr>
          <w:rFonts w:ascii="Palatino Linotype" w:eastAsia="Palatino Linotype" w:hAnsi="Palatino Linotype" w:cs="Palatino Linotype"/>
          <w:i/>
          <w:sz w:val="22"/>
          <w:szCs w:val="22"/>
        </w:rPr>
        <w:t>: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7.-</w:t>
      </w:r>
      <w:r w:rsidRPr="00AF6A1B">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w:t>
      </w:r>
      <w:r w:rsidRPr="00AF6A1B">
        <w:rPr>
          <w:rFonts w:ascii="Palatino Linotype" w:eastAsia="Palatino Linotype" w:hAnsi="Palatino Linotype" w:cs="Palatino Linotype"/>
          <w:b/>
          <w:i/>
          <w:sz w:val="22"/>
          <w:szCs w:val="22"/>
        </w:rPr>
        <w:t>los Municipios</w:t>
      </w:r>
      <w:r w:rsidRPr="00AF6A1B">
        <w:rPr>
          <w:rFonts w:ascii="Palatino Linotype" w:eastAsia="Palatino Linotype" w:hAnsi="Palatino Linotype" w:cs="Palatino Linotype"/>
          <w:i/>
          <w:sz w:val="22"/>
          <w:szCs w:val="22"/>
        </w:rPr>
        <w:t>, en el ámbito de su competencia y en los términos de esta Ley, deberán coordinarse para:</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IX</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 xml:space="preserve">Generar, compartir, intercambiar, ingresar, almacenar y proveer información, archivos y contenidos a las Bases de Datos que integran el Sistema Nacional de Información, de conformidad con lo dispuesto en la legislación en la materia. </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19.-</w:t>
      </w:r>
      <w:r w:rsidRPr="00AF6A1B">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xml:space="preserve"> Determinar los criterios técnicos y de homologación de las Bases de Datos que conforman el Sistema Nacional de Información;</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Artículo 39.- La concurrencia de facultades entre la Federación, las entidades federativas y los Municipios, quedará distribuida conforme a lo siguiente:</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B. Corresponde a la Federación, a las entidades federativas y a los Municipios, en el ámbito de sus respectivas competencias:</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w:t>
      </w:r>
      <w:r w:rsidRPr="00AF6A1B">
        <w:rPr>
          <w:rFonts w:ascii="Palatino Linotype" w:eastAsia="Palatino Linotype" w:hAnsi="Palatino Linotype" w:cs="Palatino Linotype"/>
          <w:i/>
          <w:sz w:val="22"/>
          <w:szCs w:val="22"/>
        </w:rPr>
        <w:t>. Designar a un responsable del control, suministro y adecuado manejo de la información a que se refiere esta Ley;</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 xml:space="preserve">XI. Integrar y consultar la información relativa a la operación y Desarrollo Policial para el registro y seguimiento en el Sistema Nacional de Información; </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“Artículo 117</w:t>
      </w:r>
      <w:r w:rsidRPr="00AF6A1B">
        <w:rPr>
          <w:rFonts w:ascii="Palatino Linotype" w:eastAsia="Palatino Linotype" w:hAnsi="Palatino Linotype" w:cs="Palatino Linotype"/>
          <w:i/>
          <w:sz w:val="22"/>
          <w:szCs w:val="22"/>
        </w:rPr>
        <w:t xml:space="preserve">.- La Federación, las entidades federativas y </w:t>
      </w:r>
      <w:r w:rsidRPr="00AF6A1B">
        <w:rPr>
          <w:rFonts w:ascii="Palatino Linotype" w:eastAsia="Palatino Linotype" w:hAnsi="Palatino Linotype" w:cs="Palatino Linotype"/>
          <w:b/>
          <w:i/>
          <w:sz w:val="22"/>
          <w:szCs w:val="22"/>
        </w:rPr>
        <w:t>los Municipios serán responsables de integrar y actualizar el Sistema Nacional de Información, con la información que generen las Instituciones de Procuración de Justicia e Instituciones Policiales,</w:t>
      </w:r>
      <w:r w:rsidRPr="00AF6A1B">
        <w:rPr>
          <w:rFonts w:ascii="Palatino Linotype" w:eastAsia="Palatino Linotype" w:hAnsi="Palatino Linotype" w:cs="Palatino Linotype"/>
          <w:i/>
          <w:sz w:val="22"/>
          <w:szCs w:val="22"/>
        </w:rPr>
        <w:t xml:space="preserve"> que coadyuve a salvaguardar la integridad y derechos de las personas, así como preservar las libertades, el orden y la paz públicos, </w:t>
      </w:r>
      <w:r w:rsidRPr="00AF6A1B">
        <w:rPr>
          <w:rFonts w:ascii="Palatino Linotype" w:eastAsia="Palatino Linotype" w:hAnsi="Palatino Linotype" w:cs="Palatino Linotype"/>
          <w:b/>
          <w:i/>
          <w:sz w:val="22"/>
          <w:szCs w:val="22"/>
        </w:rPr>
        <w:t>mediante la prevención, persecución y sanción de las infracciones y delitos</w:t>
      </w:r>
      <w:r w:rsidRPr="00AF6A1B">
        <w:rPr>
          <w:rFonts w:ascii="Palatino Linotype" w:eastAsia="Palatino Linotype" w:hAnsi="Palatino Linotype" w:cs="Palatino Linotype"/>
          <w:i/>
          <w:sz w:val="22"/>
          <w:szCs w:val="22"/>
        </w:rPr>
        <w:t>, así como la reinserción social.</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118.-</w:t>
      </w:r>
      <w:r w:rsidRPr="00AF6A1B">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referencia la ley de la materia.”</w:t>
      </w:r>
    </w:p>
    <w:p w:rsidR="00EF0737" w:rsidRPr="00AF6A1B" w:rsidRDefault="005C6A87">
      <w:pPr>
        <w:tabs>
          <w:tab w:val="left" w:pos="7938"/>
        </w:tabs>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Por su parte, la Ley de Seguridad del Estado de México, publicada en el Periódico Oficial “Gaceta del Gobierno” del Estado de México, el diecinueve de octubre de dos mil once, mediante el Decreto 360, en su parte conducente establece lo siguiente:</w:t>
      </w:r>
    </w:p>
    <w:p w:rsidR="00EF0737" w:rsidRPr="00AF6A1B" w:rsidRDefault="005C6A87">
      <w:pPr>
        <w:tabs>
          <w:tab w:val="left" w:pos="7938"/>
        </w:tabs>
        <w:spacing w:before="240" w:after="240" w:line="360" w:lineRule="auto"/>
        <w:jc w:val="both"/>
        <w:rPr>
          <w:rFonts w:ascii="Palatino Linotype" w:eastAsia="Palatino Linotype" w:hAnsi="Palatino Linotype" w:cs="Palatino Linotype"/>
        </w:rPr>
      </w:pPr>
      <w:r w:rsidRPr="00AF6A1B">
        <w:rPr>
          <w:noProof/>
        </w:rPr>
        <mc:AlternateContent>
          <mc:Choice Requires="wpg">
            <w:drawing>
              <wp:anchor distT="0" distB="0" distL="114300" distR="114300" simplePos="0" relativeHeight="251658240" behindDoc="0" locked="0" layoutInCell="1" hidden="0" allowOverlap="1" wp14:anchorId="218A3521" wp14:editId="4E24E770">
                <wp:simplePos x="0" y="0"/>
                <wp:positionH relativeFrom="column">
                  <wp:posOffset>101601</wp:posOffset>
                </wp:positionH>
                <wp:positionV relativeFrom="paragraph">
                  <wp:posOffset>25400</wp:posOffset>
                </wp:positionV>
                <wp:extent cx="5530850" cy="1463675"/>
                <wp:effectExtent l="0" t="0" r="0" b="0"/>
                <wp:wrapNone/>
                <wp:docPr id="94" name="Conector recto de flecha 94"/>
                <wp:cNvGraphicFramePr/>
                <a:graphic xmlns:a="http://schemas.openxmlformats.org/drawingml/2006/main">
                  <a:graphicData uri="http://schemas.microsoft.com/office/word/2010/wordprocessingShape">
                    <wps:wsp>
                      <wps:cNvCnPr/>
                      <wps:spPr>
                        <a:xfrm>
                          <a:off x="2593275" y="3060863"/>
                          <a:ext cx="5505450" cy="1438275"/>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25400</wp:posOffset>
                </wp:positionV>
                <wp:extent cx="5530850" cy="1463675"/>
                <wp:effectExtent b="0" l="0" r="0" t="0"/>
                <wp:wrapNone/>
                <wp:docPr id="9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530850" cy="1463675"/>
                        </a:xfrm>
                        <a:prstGeom prst="rect"/>
                        <a:ln/>
                      </pic:spPr>
                    </pic:pic>
                  </a:graphicData>
                </a:graphic>
              </wp:anchor>
            </w:drawing>
          </mc:Fallback>
        </mc:AlternateContent>
      </w:r>
    </w:p>
    <w:p w:rsidR="00EF0737" w:rsidRPr="00AF6A1B" w:rsidRDefault="005C6A87">
      <w:pPr>
        <w:tabs>
          <w:tab w:val="left" w:pos="7938"/>
        </w:tabs>
        <w:spacing w:before="240" w:after="240" w:line="360" w:lineRule="auto"/>
        <w:jc w:val="center"/>
        <w:rPr>
          <w:rFonts w:ascii="Palatino Linotype" w:eastAsia="Palatino Linotype" w:hAnsi="Palatino Linotype" w:cs="Palatino Linotype"/>
          <w:b/>
        </w:rPr>
      </w:pPr>
      <w:r w:rsidRPr="00AF6A1B">
        <w:rPr>
          <w:rFonts w:ascii="Palatino Linotype" w:eastAsia="Palatino Linotype" w:hAnsi="Palatino Linotype" w:cs="Palatino Linotype"/>
          <w:i/>
          <w:noProof/>
        </w:rPr>
        <w:drawing>
          <wp:inline distT="0" distB="0" distL="0" distR="0" wp14:anchorId="78CF9338" wp14:editId="4E4FBBE3">
            <wp:extent cx="5468886" cy="5301148"/>
            <wp:effectExtent l="0" t="0" r="0" b="0"/>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468886" cy="5301148"/>
                    </a:xfrm>
                    <a:prstGeom prst="rect">
                      <a:avLst/>
                    </a:prstGeom>
                    <a:ln/>
                  </pic:spPr>
                </pic:pic>
              </a:graphicData>
            </a:graphic>
          </wp:inline>
        </w:drawing>
      </w:r>
    </w:p>
    <w:p w:rsidR="00EF0737" w:rsidRPr="00AF6A1B" w:rsidRDefault="005C6A87">
      <w:pPr>
        <w:tabs>
          <w:tab w:val="left" w:pos="7938"/>
        </w:tabs>
        <w:spacing w:before="240" w:after="240" w:line="360" w:lineRule="auto"/>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rPr>
        <w:t>Por otra parte, los numerales 125, fracción VIII y 142 de la Ley Orgánica Municipal del Estado de México, señalan lo siguiente:</w:t>
      </w:r>
      <w:r w:rsidRPr="00AF6A1B">
        <w:rPr>
          <w:rFonts w:ascii="Palatino Linotype" w:eastAsia="Palatino Linotype" w:hAnsi="Palatino Linotype" w:cs="Palatino Linotype"/>
          <w:b/>
          <w:i/>
          <w:sz w:val="22"/>
          <w:szCs w:val="22"/>
        </w:rPr>
        <w:t xml:space="preserve"> </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125</w:t>
      </w:r>
      <w:r w:rsidRPr="00AF6A1B">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VIII</w:t>
      </w:r>
      <w:r w:rsidRPr="00AF6A1B">
        <w:rPr>
          <w:rFonts w:ascii="Palatino Linotype" w:eastAsia="Palatino Linotype" w:hAnsi="Palatino Linotype" w:cs="Palatino Linotype"/>
          <w:i/>
          <w:sz w:val="22"/>
          <w:szCs w:val="22"/>
        </w:rPr>
        <w:t>. Seguridad pública y tránsito;</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142</w:t>
      </w:r>
      <w:r w:rsidRPr="00AF6A1B">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En cada municipio se deberán integrar cuerpos de seguridad pública, de bomberos y, en su caso, de tránsito, estos servidores públicos preferentemente serán vecinos del municipio, de los cuales el presidente municipal será el jefe inmediato.”</w:t>
      </w:r>
    </w:p>
    <w:p w:rsidR="00EF0737" w:rsidRPr="00AF6A1B" w:rsidRDefault="005C6A87">
      <w:pPr>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AF6A1B">
        <w:rPr>
          <w:rFonts w:ascii="Palatino Linotype" w:eastAsia="Palatino Linotype" w:hAnsi="Palatino Linotype" w:cs="Palatino Linotype"/>
          <w:b/>
        </w:rPr>
        <w:t xml:space="preserve">máxime que, desde la entrada en vigor de la Ley de Seguridad del Estado de México </w:t>
      </w:r>
      <w:r w:rsidRPr="00AF6A1B">
        <w:rPr>
          <w:rFonts w:ascii="Palatino Linotype" w:eastAsia="Palatino Linotype" w:hAnsi="Palatino Linotype" w:cs="Palatino Linotype"/>
          <w:b/>
          <w:i/>
        </w:rPr>
        <w:t>-</w:t>
      </w:r>
      <w:r w:rsidRPr="00AF6A1B">
        <w:rPr>
          <w:rFonts w:ascii="Palatino Linotype" w:eastAsia="Palatino Linotype" w:hAnsi="Palatino Linotype" w:cs="Palatino Linotype"/>
          <w:b/>
          <w:sz w:val="22"/>
          <w:szCs w:val="22"/>
        </w:rPr>
        <w:t>el 20 de octubre de 2011</w:t>
      </w:r>
      <w:r w:rsidRPr="00AF6A1B">
        <w:rPr>
          <w:rFonts w:ascii="Palatino Linotype" w:eastAsia="Palatino Linotype" w:hAnsi="Palatino Linotype" w:cs="Palatino Linotype"/>
          <w:b/>
          <w:i/>
        </w:rPr>
        <w:t xml:space="preserve">- </w:t>
      </w:r>
      <w:r w:rsidRPr="00AF6A1B">
        <w:rPr>
          <w:rFonts w:ascii="Palatino Linotype" w:eastAsia="Palatino Linotype" w:hAnsi="Palatino Linotype" w:cs="Palatino Linotype"/>
          <w:b/>
        </w:rPr>
        <w:t xml:space="preserve">se desprende la atribución expresa para que, el Director de Seguridad Pública Municipal, </w:t>
      </w:r>
      <w:r w:rsidRPr="00AF6A1B">
        <w:rPr>
          <w:rFonts w:ascii="Palatino Linotype" w:eastAsia="Palatino Linotype" w:hAnsi="Palatino Linotype" w:cs="Palatino Linotype"/>
        </w:rPr>
        <w:t xml:space="preserve"> entre otras cosas, </w:t>
      </w:r>
      <w:r w:rsidRPr="00AF6A1B">
        <w:rPr>
          <w:rFonts w:ascii="Palatino Linotype" w:eastAsia="Palatino Linotype" w:hAnsi="Palatino Linotype" w:cs="Palatino Linotype"/>
          <w:b/>
        </w:rPr>
        <w:t xml:space="preserve">genere estadística delictiva. </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Así las cosas,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EF0737" w:rsidRPr="00AF6A1B" w:rsidRDefault="005C6A87">
      <w:pPr>
        <w:spacing w:before="240" w:after="24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24</w:t>
      </w:r>
      <w:r w:rsidRPr="00AF6A1B">
        <w:rPr>
          <w:rFonts w:ascii="Palatino Linotype" w:eastAsia="Palatino Linotype" w:hAnsi="Palatino Linotype" w:cs="Palatino Linotype"/>
          <w:i/>
          <w:sz w:val="22"/>
          <w:szCs w:val="22"/>
        </w:rPr>
        <w:t>. Para el cumplimiento de los objetivos de esta Ley, los sujetos obligados deberán cumplir con las siguientes obligaciones, según corresponda, de acuerdo a su naturaleza:</w:t>
      </w:r>
    </w:p>
    <w:p w:rsidR="00EF0737" w:rsidRPr="00AF6A1B" w:rsidRDefault="005C6A87">
      <w:pPr>
        <w:spacing w:before="240" w:after="24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240" w:after="24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XII</w:t>
      </w:r>
      <w:r w:rsidRPr="00AF6A1B">
        <w:rPr>
          <w:rFonts w:ascii="Palatino Linotype" w:eastAsia="Palatino Linotype" w:hAnsi="Palatino Linotype" w:cs="Palatino Linotype"/>
          <w:i/>
          <w:sz w:val="22"/>
          <w:szCs w:val="22"/>
        </w:rPr>
        <w:t>. Publicar y mantener actualizada la información relativa a las obligaciones generales de transparencia previstas en la presente Ley o determinadas así por el Instituto, y en general aquella que sea de interés público;</w:t>
      </w:r>
    </w:p>
    <w:p w:rsidR="00EF0737" w:rsidRPr="00AF6A1B" w:rsidRDefault="005C6A87">
      <w:pPr>
        <w:spacing w:before="240" w:after="24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92.</w:t>
      </w:r>
      <w:r w:rsidRPr="00AF6A1B">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F0737" w:rsidRPr="00AF6A1B" w:rsidRDefault="005C6A87">
      <w:pPr>
        <w:spacing w:before="240" w:after="24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240" w:after="24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XXXIV.</w:t>
      </w:r>
      <w:r w:rsidRPr="00AF6A1B">
        <w:rPr>
          <w:rFonts w:ascii="Palatino Linotype" w:eastAsia="Palatino Linotype" w:hAnsi="Palatino Linotype" w:cs="Palatino Linotype"/>
          <w:i/>
          <w:sz w:val="22"/>
          <w:szCs w:val="22"/>
        </w:rPr>
        <w:t xml:space="preserve"> Las estadísticas que generen en cumplimiento de sus facultades, competencias o funciones con la mayor desagregación posible.”</w:t>
      </w:r>
    </w:p>
    <w:p w:rsidR="00EF0737" w:rsidRPr="00AF6A1B" w:rsidRDefault="005C6A87">
      <w:pPr>
        <w:spacing w:before="240" w:after="240" w:line="360" w:lineRule="auto"/>
        <w:jc w:val="both"/>
        <w:rPr>
          <w:rFonts w:ascii="Palatino Linotype" w:eastAsia="Palatino Linotype" w:hAnsi="Palatino Linotype" w:cs="Palatino Linotype"/>
          <w:sz w:val="22"/>
          <w:szCs w:val="22"/>
        </w:rPr>
      </w:pPr>
      <w:r w:rsidRPr="00AF6A1B">
        <w:rPr>
          <w:rFonts w:ascii="Palatino Linotype" w:eastAsia="Palatino Linotype" w:hAnsi="Palatino Linotype" w:cs="Palatino Linotype"/>
        </w:rPr>
        <w:t>De forma complementaria, resulta de nuestro particular interés el criterio 11/09 emitido por el hoy Instituto Nacional de Transparencia, Acceso a la Información y Protección de Datos Personales, que a la letra dispone lo siguiente</w:t>
      </w:r>
      <w:r w:rsidRPr="00AF6A1B">
        <w:rPr>
          <w:rFonts w:ascii="Palatino Linotype" w:eastAsia="Palatino Linotype" w:hAnsi="Palatino Linotype" w:cs="Palatino Linotype"/>
          <w:sz w:val="22"/>
          <w:szCs w:val="22"/>
        </w:rPr>
        <w:t>:</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“LA INFORMACIÓN ESTADÍSTICA ES DE NATURALEZA PÚBLICA, INDEPENDIENTEMENTE DE LA MATERIA CON LA QUE SE ENCUENTRE VINCULADA. </w:t>
      </w:r>
      <w:r w:rsidRPr="00AF6A1B">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Así las cosas, se trae al estudio los Lineamientos para el Llenado, Entrega, Recepción, Registro, Resguardo y Consulta del Informe Policial Homologado</w:t>
      </w:r>
      <w:r w:rsidRPr="00AF6A1B">
        <w:rPr>
          <w:rFonts w:ascii="Palatino Linotype" w:eastAsia="Palatino Linotype" w:hAnsi="Palatino Linotype" w:cs="Palatino Linotype"/>
          <w:vertAlign w:val="superscript"/>
        </w:rPr>
        <w:footnoteReference w:id="2"/>
      </w:r>
      <w:r w:rsidRPr="00AF6A1B">
        <w:rPr>
          <w:rFonts w:ascii="Palatino Linotype" w:eastAsia="Palatino Linotype" w:hAnsi="Palatino Linotype" w:cs="Palatino Linotype"/>
        </w:rPr>
        <w:t>, que en su parte conducente señalan lo siguiente:</w:t>
      </w:r>
    </w:p>
    <w:p w:rsidR="00EF0737" w:rsidRPr="00AF6A1B" w:rsidRDefault="005C6A87">
      <w:pPr>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“PRIMERO. OBJETO Y ÁMBITO DE APLICACIÓN.</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El Informe Policial Homologado es el medio a través del cual </w:t>
      </w:r>
      <w:r w:rsidRPr="00AF6A1B">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AF6A1B">
        <w:rPr>
          <w:rFonts w:ascii="Palatino Linotype" w:eastAsia="Palatino Linotype" w:hAnsi="Palatino Linotype" w:cs="Palatino Linotype"/>
          <w:i/>
          <w:sz w:val="22"/>
          <w:szCs w:val="22"/>
        </w:rPr>
        <w:t>, a las autoridades competentes.</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El Informe Policial Homologado tiene como objeto </w:t>
      </w:r>
      <w:proofErr w:type="spellStart"/>
      <w:r w:rsidRPr="00AF6A1B">
        <w:rPr>
          <w:rFonts w:ascii="Palatino Linotype" w:eastAsia="Palatino Linotype" w:hAnsi="Palatino Linotype" w:cs="Palatino Linotype"/>
          <w:i/>
          <w:sz w:val="22"/>
          <w:szCs w:val="22"/>
        </w:rPr>
        <w:t>eficientar</w:t>
      </w:r>
      <w:proofErr w:type="spellEnd"/>
      <w:r w:rsidRPr="00AF6A1B">
        <w:rPr>
          <w:rFonts w:ascii="Palatino Linotype" w:eastAsia="Palatino Linotype" w:hAnsi="Palatino Linotype" w:cs="Palatino Linotype"/>
          <w:i/>
          <w:sz w:val="22"/>
          <w:szCs w:val="22"/>
        </w:rPr>
        <w:t xml:space="preserve"> las puestas a disposición, garantizar el debido proceso, y fomentar el uso de la información para acciones de inteligencia.</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Los presentes Lineamientos tienen como objeto señalar los criterios respecto a lo siguiente:</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w:t>
      </w:r>
      <w:r w:rsidRPr="00AF6A1B">
        <w:rPr>
          <w:rFonts w:ascii="Palatino Linotype" w:eastAsia="Palatino Linotype" w:hAnsi="Palatino Linotype" w:cs="Palatino Linotype"/>
          <w:i/>
          <w:sz w:val="22"/>
          <w:szCs w:val="22"/>
        </w:rPr>
        <w:t xml:space="preserve">   Resguardo de la base de datos del IPH en el Sistema Nacional de Información en Seguridad Pública;</w:t>
      </w:r>
    </w:p>
    <w:p w:rsidR="00EF0737" w:rsidRPr="00AF6A1B" w:rsidRDefault="005C6A87">
      <w:pPr>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SEGUNDO. GLOSARIO DE TÉRMINOS.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 IPH</w:t>
      </w:r>
      <w:r w:rsidRPr="00AF6A1B">
        <w:rPr>
          <w:rFonts w:ascii="Palatino Linotype" w:eastAsia="Palatino Linotype" w:hAnsi="Palatino Linotype" w:cs="Palatino Linotype"/>
          <w:i/>
          <w:sz w:val="22"/>
          <w:szCs w:val="22"/>
        </w:rPr>
        <w:t>: El Informe Policial Homologado de hechos probablemente delictivos o de infracciones administrativas, mismo que puede ser en versión impresa o electrónica.</w:t>
      </w:r>
    </w:p>
    <w:p w:rsidR="00EF0737" w:rsidRPr="00AF6A1B" w:rsidRDefault="005C6A87">
      <w:pPr>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DÉCIMO TERCERO. ENTREGA Y RECEPCIÓN DEL IPH.</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AF6A1B">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AF6A1B">
        <w:rPr>
          <w:rFonts w:ascii="Palatino Linotype" w:eastAsia="Palatino Linotype" w:hAnsi="Palatino Linotype" w:cs="Palatino Linotype"/>
          <w:i/>
          <w:sz w:val="22"/>
          <w:szCs w:val="22"/>
        </w:rPr>
        <w:t>, según se trate de un hecho probablemente delictivo o una infracción administrativa.</w:t>
      </w:r>
    </w:p>
    <w:p w:rsidR="00EF0737" w:rsidRPr="00AF6A1B" w:rsidRDefault="005C6A87">
      <w:pPr>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00EF0737" w:rsidRPr="00AF6A1B" w:rsidRDefault="005C6A87">
      <w:pPr>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spacing w:before="120" w:after="120"/>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DÉCIMO CUARTO. REGISTRO DE LA INFORMACIÓN EN LA BASE DE DATOS DEL IPH.</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El registro de la información en la base de datos se llevará a cabo conforme a lo siguiente:</w:t>
      </w:r>
    </w:p>
    <w:p w:rsidR="00EF0737" w:rsidRPr="00AF6A1B" w:rsidRDefault="005C6A87">
      <w:pPr>
        <w:numPr>
          <w:ilvl w:val="0"/>
          <w:numId w:val="2"/>
        </w:numPr>
        <w:pBdr>
          <w:top w:val="nil"/>
          <w:left w:val="nil"/>
          <w:bottom w:val="nil"/>
          <w:right w:val="nil"/>
          <w:between w:val="nil"/>
        </w:pBdr>
        <w:tabs>
          <w:tab w:val="left" w:pos="1418"/>
        </w:tabs>
        <w:spacing w:before="120" w:after="120"/>
        <w:ind w:left="1134" w:right="902" w:firstLine="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AF6A1B">
        <w:rPr>
          <w:rFonts w:ascii="Palatino Linotype" w:eastAsia="Palatino Linotype" w:hAnsi="Palatino Linotype" w:cs="Palatino Linotype"/>
          <w:i/>
          <w:sz w:val="22"/>
          <w:szCs w:val="22"/>
        </w:rPr>
        <w:t>;</w:t>
      </w:r>
    </w:p>
    <w:p w:rsidR="00EF0737" w:rsidRPr="00AF6A1B" w:rsidRDefault="005C6A87">
      <w:pPr>
        <w:tabs>
          <w:tab w:val="left" w:pos="141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El suministro de la información se realizará con apego a los datos contenidos en el IPH;</w:t>
      </w:r>
    </w:p>
    <w:p w:rsidR="00EF0737" w:rsidRPr="00AF6A1B" w:rsidRDefault="005C6A87">
      <w:pPr>
        <w:tabs>
          <w:tab w:val="left" w:pos="141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w:t>
      </w:r>
      <w:r w:rsidRPr="00AF6A1B">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rsidR="00EF0737" w:rsidRPr="00AF6A1B" w:rsidRDefault="005C6A87">
      <w:pPr>
        <w:tabs>
          <w:tab w:val="left" w:pos="141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IV. </w:t>
      </w:r>
      <w:r w:rsidRPr="00AF6A1B">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rsidR="00EF0737" w:rsidRPr="00AF6A1B" w:rsidRDefault="005C6A87">
      <w:pPr>
        <w:spacing w:before="240" w:after="240" w:line="360" w:lineRule="auto"/>
        <w:jc w:val="both"/>
        <w:rPr>
          <w:rFonts w:ascii="Palatino Linotype" w:eastAsia="Palatino Linotype" w:hAnsi="Palatino Linotype" w:cs="Palatino Linotype"/>
          <w:b/>
          <w:u w:val="single"/>
        </w:rPr>
      </w:pPr>
      <w:r w:rsidRPr="00AF6A1B">
        <w:rPr>
          <w:rFonts w:ascii="Palatino Linotype" w:eastAsia="Palatino Linotype" w:hAnsi="Palatino Linotype" w:cs="Palatino Linotype"/>
        </w:rPr>
        <w:t xml:space="preserve">De lo anterior, se deduce que del informe policial homologado, tiene por objeto que las Instituciones policiales, entre ellas las municipales, documenten la información relacionada con la puesta a disposición de personas y/u objetos derivados de su intervención, para con ello, deben hacer más eficiente el debido proceso y fomentar el uso de la información para acciones de inteligencia; </w:t>
      </w:r>
      <w:r w:rsidRPr="00AF6A1B">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r w:rsidRPr="00AF6A1B">
        <w:rPr>
          <w:rFonts w:ascii="Palatino Linotype" w:eastAsia="Palatino Linotype" w:hAnsi="Palatino Linotype" w:cs="Palatino Linotype"/>
        </w:rPr>
        <w:t xml:space="preserve">Es importante dejar de lado que no se están solicitando estos documentos, </w:t>
      </w:r>
      <w:r w:rsidRPr="00AF6A1B">
        <w:rPr>
          <w:rFonts w:ascii="Palatino Linotype" w:eastAsia="Palatino Linotype" w:hAnsi="Palatino Linotype" w:cs="Palatino Linotype"/>
          <w:b/>
          <w:u w:val="single"/>
        </w:rPr>
        <w:t>sino información estadística únicamente.</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AF6A1B">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AF6A1B">
        <w:rPr>
          <w:rFonts w:ascii="Palatino Linotype" w:eastAsia="Palatino Linotype" w:hAnsi="Palatino Linotype" w:cs="Palatino Linotype"/>
        </w:rPr>
        <w:t xml:space="preserve">, pues es evidente que existen diversos tipos de delitos que se pueden configurar sin que se genere el informe en comento, de manera enunciativa más no limitativa, en el caso de la </w:t>
      </w:r>
      <w:r w:rsidRPr="00AF6A1B">
        <w:rPr>
          <w:rFonts w:ascii="Palatino Linotype" w:eastAsia="Palatino Linotype" w:hAnsi="Palatino Linotype" w:cs="Palatino Linotype"/>
          <w:b/>
        </w:rPr>
        <w:t>extorsión</w:t>
      </w:r>
      <w:r w:rsidRPr="00AF6A1B">
        <w:rPr>
          <w:rFonts w:ascii="Palatino Linotype" w:eastAsia="Palatino Linotype" w:hAnsi="Palatino Linotype" w:cs="Palatino Linotype"/>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AF6A1B">
        <w:rPr>
          <w:rFonts w:ascii="Palatino Linotype" w:eastAsia="Palatino Linotype" w:hAnsi="Palatino Linotype" w:cs="Palatino Linotype"/>
          <w:b/>
        </w:rPr>
        <w:t>es tema de conocimiento público, que muchas de esas llamadas provienen de centros penitenciarios establecidos en diversas Entidades Federativas,</w:t>
      </w:r>
      <w:r w:rsidRPr="00AF6A1B">
        <w:rPr>
          <w:rFonts w:ascii="Palatino Linotype" w:eastAsia="Palatino Linotype" w:hAnsi="Palatino Linotype" w:cs="Palatino Linotype"/>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AF6A1B">
        <w:rPr>
          <w:rFonts w:ascii="Palatino Linotype" w:eastAsia="Palatino Linotype" w:hAnsi="Palatino Linotype" w:cs="Palatino Linotype"/>
          <w:b/>
        </w:rPr>
        <w:t>es preciso reiterar que el particular solicitó información estadística de la incidencia delictiva,</w:t>
      </w:r>
      <w:r w:rsidRPr="00AF6A1B">
        <w:rPr>
          <w:rFonts w:ascii="Palatino Linotype" w:eastAsia="Palatino Linotype" w:hAnsi="Palatino Linotype" w:cs="Palatino Linotype"/>
        </w:rPr>
        <w:t xml:space="preserve"> lo cual, </w:t>
      </w:r>
      <w:r w:rsidRPr="00AF6A1B">
        <w:rPr>
          <w:rFonts w:ascii="Palatino Linotype" w:eastAsia="Palatino Linotype" w:hAnsi="Palatino Linotype" w:cs="Palatino Linotype"/>
          <w:b/>
        </w:rPr>
        <w:t>corresponde únicamente al número de hechos y/o actos de los que se tuvo conocimiento,</w:t>
      </w:r>
      <w:r w:rsidRPr="00AF6A1B">
        <w:rPr>
          <w:rFonts w:ascii="Palatino Linotype" w:eastAsia="Palatino Linotype" w:hAnsi="Palatino Linotype" w:cs="Palatino Linotype"/>
        </w:rPr>
        <w:t xml:space="preserve"> y, con base en ello, 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no se encuentra constreñido para buscar en el expediente formado si existe o no, el informe policial homologado, esto, en virtud del artículo 12 de la Ley de Transparencia y Acceso a la Información Pública del Estado de México y Municipios, referido en páginas anteriores.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Asimismo, respecto de las faltas administrativas, es oportuno referir que de conformidad con los Lineamientos para la integración, captura, revisión y envío del Informe Policial Homologado, IPH, previsto en la Ley General del Sistema Nacional de Seguridad Pública, publicados en el Diario Oficial de la Federación el ocho de julio de dos mil diez, el Informe Policial Homologado, fue definido como un informe que resume un evento, es decir, un hecho presuntamente constitutivo de delito y/o falta administrativa, así como los hallazgos de una actuación policial, siendo importante mencionar que tanto los hechos probablemente delictivos o de infracciones administrativas se registraban en el mismo formato </w:t>
      </w:r>
      <w:proofErr w:type="spellStart"/>
      <w:r w:rsidRPr="00AF6A1B">
        <w:rPr>
          <w:rFonts w:ascii="Palatino Linotype" w:eastAsia="Palatino Linotype" w:hAnsi="Palatino Linotype" w:cs="Palatino Linotype"/>
        </w:rPr>
        <w:t>preimpreso</w:t>
      </w:r>
      <w:proofErr w:type="spellEnd"/>
      <w:r w:rsidRPr="00AF6A1B">
        <w:rPr>
          <w:rFonts w:ascii="Palatino Linotype" w:eastAsia="Palatino Linotype" w:hAnsi="Palatino Linotype" w:cs="Palatino Linotype"/>
        </w:rPr>
        <w:t xml:space="preserve"> del IPH, siendo hasta el ocho de julio de dos mil diecinueve que el Consejo Nacional de Seguridad Pública aprobó, mediante el Acuerdo 05/XLIV/19, el nuevo formato del Informe Policial Homologado IPH, debiendo actualizarse los lineamientos, instrumentos y protocolos vinculados al IPH, mismos que entrarán en vigor en 60 días hábiles a partir de su publicación en el Diario Oficial de la Federación.</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Así, en seguimiento al Acuerdo 05/XLIV/19, el Centro Nacional de Información del Secretariado Ejecutivo del Sistema Nacional de Seguridad Pública, actualizó los Lineamientos vinculados al Informe Policial Homologado IPH, publicándose en consecuencia, los Lineamientos para el llenado, entrega, recepción, registro, resguardo y consulta del Informe Policial Homologado, el veintiuno de febrero de dos mil veinte en el Diario Oficial de la Federación, mismos que incluyeron dos formatos, uno para reportar las puestas a disposición por hechos posiblemente constitutivos de delito, y, un segundo instrumento para faltas administrativas o Justicia Cívica. En paralelo, el treinta de marzo de dos mil veinte se coordinó con la Plataforma México, la actualización del portal de captura para el nuevo Informe Policial Homologado IPH, y se liberaron los materiales de capacitación respectivos.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 otras palabras, las instituciones de seguridad pública registraban ambos tipos de eventos (hecho presuntamente constitutivo de delito y/o falta administrativa) en un mismo formato de Informe Policial Homologado IPH, en cumplimiento de los Lineamientos para la integración, captura, revisión y envío del Informe Policial Homologado publicados el 8 de julio de 2010, no obstante, a partir de la publicación de los Lineamientos para el llenado, entrega, recepción, registro, resguardo y consulta del Informe Policial Homologado el 21 de febrero de 2010, mismos que derogaron los primeros, las instituciones de seguridad pública contaron con un plazo máximo de 60 días hábiles, para implementar dichos Lineamientos, así como la aplicación del nuevo formato del Informe Policial Homologado, en sus dos variantes: hechos posiblemente constitutivos de delito y faltas administrativas o Justicia Cívica, siendo posible capturar la información en la Plataforma México, en dichos términos a partir del 30 de marzo de 2020.</w:t>
      </w:r>
    </w:p>
    <w:p w:rsidR="00EF0737" w:rsidRPr="00AF6A1B" w:rsidRDefault="005C6A87">
      <w:pPr>
        <w:spacing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esta tesitura, es claro que el nivel de desagregación que requiere la persona solicitante, confiere al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a practicar una investigación dentro de todos los expedientes formados en razón de una denuncia por hechos y/o actos posiblemente constitutivos de delito, o por faltas o infracciones administrativas, para con ello, precisar si se encuentra o no, el informe de policía homologado, determinar el tipo de evento y subtipo de evento,  y en consecuencia, realizar un pronunciamiento</w:t>
      </w:r>
      <w:r w:rsidRPr="00AF6A1B">
        <w:rPr>
          <w:rFonts w:ascii="Palatino Linotype" w:eastAsia="Palatino Linotype" w:hAnsi="Palatino Linotype" w:cs="Palatino Linotype"/>
          <w:i/>
        </w:rPr>
        <w:t xml:space="preserve"> ad hoc</w:t>
      </w:r>
      <w:r w:rsidRPr="00AF6A1B">
        <w:rPr>
          <w:rFonts w:ascii="Palatino Linotype" w:eastAsia="Palatino Linotype" w:hAnsi="Palatino Linotype" w:cs="Palatino Linotype"/>
        </w:rPr>
        <w:t xml:space="preserve"> a los intereses de este último, situación que como fue precisado, va en contra del criterio número 03/17 emitido por el Pleno del Instituto Nacional de Transparencia, Acceso a la Información y Protección de Datos Personales, citado con antelación.</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Por tales circunstancias para el caso en particular, este Instituto no encuentra sustento legal que permita ordenar la entrega de la información conforme los intereses de la persona solicitante.</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 esta tesitura, en aras del principio de máxima publicidad, se estima procedente ordenar, previa búsqueda exhaustiva y razonable, la entrega de la información estadística al mayor grado de desagregación posible, conforme al considerando siguiente.</w:t>
      </w:r>
    </w:p>
    <w:p w:rsidR="00EF0737" w:rsidRPr="00AF6A1B" w:rsidRDefault="005C6A87">
      <w:pPr>
        <w:spacing w:before="240" w:after="240" w:line="360" w:lineRule="auto"/>
        <w:jc w:val="both"/>
        <w:rPr>
          <w:rFonts w:ascii="Palatino Linotype" w:eastAsia="Palatino Linotype" w:hAnsi="Palatino Linotype" w:cs="Palatino Linotype"/>
          <w:sz w:val="22"/>
          <w:szCs w:val="22"/>
        </w:rPr>
      </w:pPr>
      <w:r w:rsidRPr="00AF6A1B">
        <w:rPr>
          <w:rFonts w:ascii="Palatino Linotype" w:eastAsia="Palatino Linotype" w:hAnsi="Palatino Linotype" w:cs="Palatino Linotype"/>
        </w:rPr>
        <w:t xml:space="preserve">Sin contrariar lo anterior, toda vez que el particular en su solicitud señaló que requería la información, con las </w:t>
      </w:r>
      <w:r w:rsidRPr="00AF6A1B">
        <w:rPr>
          <w:rFonts w:ascii="Palatino Linotype" w:eastAsia="Palatino Linotype" w:hAnsi="Palatino Linotype" w:cs="Palatino Linotype"/>
          <w:i/>
        </w:rPr>
        <w:t>coordenadas geográficas</w:t>
      </w:r>
      <w:r w:rsidRPr="00AF6A1B">
        <w:rPr>
          <w:rFonts w:ascii="Palatino Linotype" w:eastAsia="Palatino Linotype" w:hAnsi="Palatino Linotype" w:cs="Palatino Linotype"/>
        </w:rPr>
        <w:t>, establecidas en el lugar de la intervención, por lo que es ineludible traer de nueva cuenta la Ley General del Sistema Nacional de Seguridad Pública, en la cual se establece en su artículo 43 lo que debe contener el informe policial homologado como se muestra a continuación:</w:t>
      </w:r>
      <w:r w:rsidRPr="00AF6A1B">
        <w:rPr>
          <w:rFonts w:ascii="Palatino Linotype" w:eastAsia="Palatino Linotype" w:hAnsi="Palatino Linotype" w:cs="Palatino Linotype"/>
          <w:sz w:val="22"/>
          <w:szCs w:val="22"/>
        </w:rPr>
        <w:t xml:space="preserve">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43.-</w:t>
      </w:r>
      <w:r w:rsidRPr="00AF6A1B">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xml:space="preserve"> El área que lo emite;</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El usuario capturista;</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w:t>
      </w:r>
      <w:r w:rsidRPr="00AF6A1B">
        <w:rPr>
          <w:rFonts w:ascii="Palatino Linotype" w:eastAsia="Palatino Linotype" w:hAnsi="Palatino Linotype" w:cs="Palatino Linotype"/>
          <w:i/>
          <w:sz w:val="22"/>
          <w:szCs w:val="22"/>
        </w:rPr>
        <w:t xml:space="preserve"> Los Datos Generales de registro;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IV</w:t>
      </w:r>
      <w:r w:rsidRPr="00AF6A1B">
        <w:rPr>
          <w:rFonts w:ascii="Palatino Linotype" w:eastAsia="Palatino Linotype" w:hAnsi="Palatino Linotype" w:cs="Palatino Linotype"/>
          <w:i/>
          <w:sz w:val="22"/>
          <w:szCs w:val="22"/>
        </w:rPr>
        <w:t>. Motivo, que se clasifica en;</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w:t>
      </w:r>
      <w:r w:rsidRPr="00AF6A1B">
        <w:rPr>
          <w:rFonts w:ascii="Palatino Linotype" w:eastAsia="Palatino Linotype" w:hAnsi="Palatino Linotype" w:cs="Palatino Linotype"/>
          <w:i/>
          <w:sz w:val="22"/>
          <w:szCs w:val="22"/>
        </w:rPr>
        <w:t xml:space="preserve"> Tipo de evento, y</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b)</w:t>
      </w:r>
      <w:r w:rsidRPr="00AF6A1B">
        <w:rPr>
          <w:rFonts w:ascii="Palatino Linotype" w:eastAsia="Palatino Linotype" w:hAnsi="Palatino Linotype" w:cs="Palatino Linotype"/>
          <w:i/>
          <w:sz w:val="22"/>
          <w:szCs w:val="22"/>
        </w:rPr>
        <w:t xml:space="preserve"> Subtipo de evento.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 La ubicación del evento y en su caso, los caminos</w:t>
      </w:r>
      <w:r w:rsidRPr="00AF6A1B">
        <w:rPr>
          <w:rFonts w:ascii="Palatino Linotype" w:eastAsia="Palatino Linotype" w:hAnsi="Palatino Linotype" w:cs="Palatino Linotype"/>
          <w:i/>
          <w:sz w:val="22"/>
          <w:szCs w:val="22"/>
        </w:rPr>
        <w:t>;</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w:t>
      </w:r>
      <w:r w:rsidRPr="00AF6A1B">
        <w:rPr>
          <w:rFonts w:ascii="Palatino Linotype" w:eastAsia="Palatino Linotype" w:hAnsi="Palatino Linotype" w:cs="Palatino Linotype"/>
          <w:i/>
          <w:sz w:val="22"/>
          <w:szCs w:val="22"/>
        </w:rPr>
        <w:t xml:space="preserve"> La descripción de hechos, que deberá detallar modo, tiempo y lugar, entre otros datos.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VII.</w:t>
      </w:r>
      <w:r w:rsidRPr="00AF6A1B">
        <w:rPr>
          <w:rFonts w:ascii="Palatino Linotype" w:eastAsia="Palatino Linotype" w:hAnsi="Palatino Linotype" w:cs="Palatino Linotype"/>
          <w:i/>
          <w:sz w:val="22"/>
          <w:szCs w:val="22"/>
        </w:rPr>
        <w:t xml:space="preserve"> Entrevistas realizadas, y</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VIII.</w:t>
      </w:r>
      <w:r w:rsidRPr="00AF6A1B">
        <w:rPr>
          <w:rFonts w:ascii="Palatino Linotype" w:eastAsia="Palatino Linotype" w:hAnsi="Palatino Linotype" w:cs="Palatino Linotype"/>
          <w:i/>
          <w:sz w:val="22"/>
          <w:szCs w:val="22"/>
        </w:rPr>
        <w:t xml:space="preserve"> En caso de detenciones:</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w:t>
      </w:r>
      <w:r w:rsidRPr="00AF6A1B">
        <w:rPr>
          <w:rFonts w:ascii="Palatino Linotype" w:eastAsia="Palatino Linotype" w:hAnsi="Palatino Linotype" w:cs="Palatino Linotype"/>
          <w:i/>
          <w:sz w:val="22"/>
          <w:szCs w:val="22"/>
        </w:rPr>
        <w:t xml:space="preserve"> Señalar los motivos de la detención;</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b)</w:t>
      </w:r>
      <w:r w:rsidRPr="00AF6A1B">
        <w:rPr>
          <w:rFonts w:ascii="Palatino Linotype" w:eastAsia="Palatino Linotype" w:hAnsi="Palatino Linotype" w:cs="Palatino Linotype"/>
          <w:i/>
          <w:sz w:val="22"/>
          <w:szCs w:val="22"/>
        </w:rPr>
        <w:t xml:space="preserve"> Descripción de la persona;</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c)</w:t>
      </w:r>
      <w:r w:rsidRPr="00AF6A1B">
        <w:rPr>
          <w:rFonts w:ascii="Palatino Linotype" w:eastAsia="Palatino Linotype" w:hAnsi="Palatino Linotype" w:cs="Palatino Linotype"/>
          <w:i/>
          <w:sz w:val="22"/>
          <w:szCs w:val="22"/>
        </w:rPr>
        <w:t xml:space="preserve"> El nombre del detenido y apodo, en su caso;</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d)</w:t>
      </w:r>
      <w:r w:rsidRPr="00AF6A1B">
        <w:rPr>
          <w:rFonts w:ascii="Palatino Linotype" w:eastAsia="Palatino Linotype" w:hAnsi="Palatino Linotype" w:cs="Palatino Linotype"/>
          <w:i/>
          <w:sz w:val="22"/>
          <w:szCs w:val="22"/>
        </w:rPr>
        <w:t xml:space="preserve"> Descripción de estado físico aparente;</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e)</w:t>
      </w:r>
      <w:r w:rsidRPr="00AF6A1B">
        <w:rPr>
          <w:rFonts w:ascii="Palatino Linotype" w:eastAsia="Palatino Linotype" w:hAnsi="Palatino Linotype" w:cs="Palatino Linotype"/>
          <w:i/>
          <w:sz w:val="22"/>
          <w:szCs w:val="22"/>
        </w:rPr>
        <w:t xml:space="preserve"> Objetos que le fueron encontrados;</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f)</w:t>
      </w:r>
      <w:r w:rsidRPr="00AF6A1B">
        <w:rPr>
          <w:rFonts w:ascii="Palatino Linotype" w:eastAsia="Palatino Linotype" w:hAnsi="Palatino Linotype" w:cs="Palatino Linotype"/>
          <w:i/>
          <w:sz w:val="22"/>
          <w:szCs w:val="22"/>
        </w:rPr>
        <w:t xml:space="preserve"> Autoridad a la que fue puesto a disposición, y</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g)</w:t>
      </w:r>
      <w:r w:rsidRPr="00AF6A1B">
        <w:rPr>
          <w:rFonts w:ascii="Palatino Linotype" w:eastAsia="Palatino Linotype" w:hAnsi="Palatino Linotype" w:cs="Palatino Linotype"/>
          <w:i/>
          <w:sz w:val="22"/>
          <w:szCs w:val="22"/>
        </w:rPr>
        <w:t xml:space="preserve"> Lugar en el que fue puesto a disposición.</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Por su parte el Lineamiento Décimo primero de los Lineamientos para el Llenado, Entrega, Recepción, Registro, Resguardo y Consulta del Informe Policial Homologado, dispone lo siguiente:</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DÉCIMO PRIMERO. LLENADO DEL IPH</w:t>
      </w:r>
      <w:r w:rsidRPr="00AF6A1B">
        <w:rPr>
          <w:rFonts w:ascii="Palatino Linotype" w:eastAsia="Palatino Linotype" w:hAnsi="Palatino Linotype" w:cs="Palatino Linotype"/>
          <w:i/>
          <w:sz w:val="22"/>
          <w:szCs w:val="22"/>
        </w:rPr>
        <w:t>.</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Los integrantes de las </w:t>
      </w:r>
      <w:r w:rsidRPr="00AF6A1B">
        <w:rPr>
          <w:rFonts w:ascii="Palatino Linotype" w:eastAsia="Palatino Linotype" w:hAnsi="Palatino Linotype" w:cs="Palatino Linotype"/>
          <w:b/>
          <w:i/>
          <w:sz w:val="22"/>
          <w:szCs w:val="22"/>
        </w:rPr>
        <w:t>instituciones policiales de los tres órdenes de gobierno</w:t>
      </w:r>
      <w:r w:rsidRPr="00AF6A1B">
        <w:rPr>
          <w:rFonts w:ascii="Palatino Linotype" w:eastAsia="Palatino Linotype" w:hAnsi="Palatino Linotype" w:cs="Palatino Linotype"/>
          <w:i/>
          <w:sz w:val="22"/>
          <w:szCs w:val="22"/>
        </w:rPr>
        <w:t xml:space="preserve"> deberán registrar en el IPH la información relacionada con las puestas a disposición de personas y/o de objetos derivados de su intervención.</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El IPH para </w:t>
      </w:r>
      <w:r w:rsidRPr="00AF6A1B">
        <w:rPr>
          <w:rFonts w:ascii="Palatino Linotype" w:eastAsia="Palatino Linotype" w:hAnsi="Palatino Linotype" w:cs="Palatino Linotype"/>
          <w:b/>
          <w:i/>
          <w:sz w:val="22"/>
          <w:szCs w:val="22"/>
        </w:rPr>
        <w:t>hechos probablemente delictivos</w:t>
      </w:r>
      <w:r w:rsidRPr="00AF6A1B">
        <w:rPr>
          <w:rFonts w:ascii="Palatino Linotype" w:eastAsia="Palatino Linotype" w:hAnsi="Palatino Linotype" w:cs="Palatino Linotype"/>
          <w:i/>
          <w:sz w:val="22"/>
          <w:szCs w:val="22"/>
        </w:rPr>
        <w:t xml:space="preserve"> contendrá al menos los siguientes datos: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xml:space="preserve">     El Número de Referencia o el Número de folio asignado;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Los datos del o los integrantes de la institución policial que lo emite;</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w:t>
      </w:r>
      <w:r w:rsidRPr="00AF6A1B">
        <w:rPr>
          <w:rFonts w:ascii="Palatino Linotype" w:eastAsia="Palatino Linotype" w:hAnsi="Palatino Linotype" w:cs="Palatino Linotype"/>
          <w:i/>
          <w:sz w:val="22"/>
          <w:szCs w:val="22"/>
        </w:rPr>
        <w:t xml:space="preserve">    Los datos de la autoridad competente que lo recibe;</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IV.</w:t>
      </w:r>
      <w:r w:rsidRPr="00AF6A1B">
        <w:rPr>
          <w:rFonts w:ascii="Palatino Linotype" w:eastAsia="Palatino Linotype" w:hAnsi="Palatino Linotype" w:cs="Palatino Linotype"/>
          <w:i/>
          <w:sz w:val="22"/>
          <w:szCs w:val="22"/>
        </w:rPr>
        <w:t xml:space="preserve">   Los datos generales de la intervención o actuación;</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w:t>
      </w:r>
      <w:r w:rsidRPr="00AF6A1B">
        <w:rPr>
          <w:rFonts w:ascii="Palatino Linotype" w:eastAsia="Palatino Linotype" w:hAnsi="Palatino Linotype" w:cs="Palatino Linotype"/>
          <w:i/>
          <w:sz w:val="22"/>
          <w:szCs w:val="22"/>
        </w:rPr>
        <w:t xml:space="preserve">    El motivo de la intervención o actuación;</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La ubicación del o los lugares de la intervención o actuación</w:t>
      </w:r>
      <w:r w:rsidRPr="00AF6A1B">
        <w:rPr>
          <w:rFonts w:ascii="Palatino Linotype" w:eastAsia="Palatino Linotype" w:hAnsi="Palatino Linotype" w:cs="Palatino Linotype"/>
          <w:i/>
          <w:sz w:val="22"/>
          <w:szCs w:val="22"/>
        </w:rPr>
        <w:t>;</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VII</w:t>
      </w:r>
      <w:r w:rsidRPr="00AF6A1B">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VIII</w:t>
      </w:r>
      <w:r w:rsidRPr="00AF6A1B">
        <w:rPr>
          <w:rFonts w:ascii="Palatino Linotype" w:eastAsia="Palatino Linotype" w:hAnsi="Palatino Linotype" w:cs="Palatino Linotype"/>
          <w:i/>
          <w:sz w:val="22"/>
          <w:szCs w:val="22"/>
        </w:rPr>
        <w:t>.  En caso de personas detenidas:</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w:t>
      </w:r>
      <w:r w:rsidRPr="00AF6A1B">
        <w:rPr>
          <w:rFonts w:ascii="Palatino Linotype" w:eastAsia="Palatino Linotype" w:hAnsi="Palatino Linotype" w:cs="Palatino Linotype"/>
          <w:i/>
          <w:sz w:val="22"/>
          <w:szCs w:val="22"/>
        </w:rPr>
        <w:t xml:space="preserve"> El Número del Registro Nacional de Detenciones;</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b)</w:t>
      </w:r>
      <w:r w:rsidRPr="00AF6A1B">
        <w:rPr>
          <w:rFonts w:ascii="Palatino Linotype" w:eastAsia="Palatino Linotype" w:hAnsi="Palatino Linotype" w:cs="Palatino Linotype"/>
          <w:i/>
          <w:sz w:val="22"/>
          <w:szCs w:val="22"/>
        </w:rPr>
        <w:t xml:space="preserve"> Los motivos de la detención;</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c) </w:t>
      </w:r>
      <w:r w:rsidRPr="00AF6A1B">
        <w:rPr>
          <w:rFonts w:ascii="Palatino Linotype" w:eastAsia="Palatino Linotype" w:hAnsi="Palatino Linotype" w:cs="Palatino Linotype"/>
          <w:i/>
          <w:sz w:val="22"/>
          <w:szCs w:val="22"/>
        </w:rPr>
        <w:t>Los datos generales de la persona;</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d) </w:t>
      </w:r>
      <w:r w:rsidRPr="00AF6A1B">
        <w:rPr>
          <w:rFonts w:ascii="Palatino Linotype" w:eastAsia="Palatino Linotype" w:hAnsi="Palatino Linotype" w:cs="Palatino Linotype"/>
          <w:i/>
          <w:sz w:val="22"/>
          <w:szCs w:val="22"/>
        </w:rPr>
        <w:t>La descripción de la persona, incluyendo su estado físico aparente;</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e) </w:t>
      </w:r>
      <w:r w:rsidRPr="00AF6A1B">
        <w:rPr>
          <w:rFonts w:ascii="Palatino Linotype" w:eastAsia="Palatino Linotype" w:hAnsi="Palatino Linotype" w:cs="Palatino Linotype"/>
          <w:i/>
          <w:sz w:val="22"/>
          <w:szCs w:val="22"/>
        </w:rPr>
        <w:t>Las armas de fuego y/o los objetos que le fueron recolectados y/o asegurados, y</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f)</w:t>
      </w:r>
      <w:r w:rsidRPr="00AF6A1B">
        <w:rPr>
          <w:rFonts w:ascii="Palatino Linotype" w:eastAsia="Palatino Linotype" w:hAnsi="Palatino Linotype" w:cs="Palatino Linotype"/>
          <w:i/>
          <w:sz w:val="22"/>
          <w:szCs w:val="22"/>
        </w:rPr>
        <w:t xml:space="preserve"> El lugar al que es puesta a disposición la persona;</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IX</w:t>
      </w:r>
      <w:r w:rsidRPr="00AF6A1B">
        <w:rPr>
          <w:rFonts w:ascii="Palatino Linotype" w:eastAsia="Palatino Linotype" w:hAnsi="Palatino Linotype" w:cs="Palatino Linotype"/>
          <w:i/>
          <w:sz w:val="22"/>
          <w:szCs w:val="22"/>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w:t>
      </w:r>
      <w:r w:rsidRPr="00AF6A1B">
        <w:rPr>
          <w:rFonts w:ascii="Palatino Linotype" w:eastAsia="Palatino Linotype" w:hAnsi="Palatino Linotype" w:cs="Palatino Linotype"/>
          <w:i/>
          <w:sz w:val="22"/>
          <w:szCs w:val="22"/>
        </w:rPr>
        <w:t>. En caso de inspección de vehículo, los datos generales sobre sus características;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XI.</w:t>
      </w:r>
      <w:r w:rsidRPr="00AF6A1B">
        <w:rPr>
          <w:rFonts w:ascii="Palatino Linotype" w:eastAsia="Palatino Linotype" w:hAnsi="Palatino Linotype" w:cs="Palatino Linotype"/>
          <w:i/>
          <w:sz w:val="22"/>
          <w:szCs w:val="22"/>
        </w:rPr>
        <w:t xml:space="preserve"> En caso de recolección y/o aseguramiento de armas de fuego u objetos, los datos generales sobre sus características y apariencias;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XII. </w:t>
      </w:r>
      <w:r w:rsidRPr="00AF6A1B">
        <w:rPr>
          <w:rFonts w:ascii="Palatino Linotype" w:eastAsia="Palatino Linotype" w:hAnsi="Palatino Linotype" w:cs="Palatino Linotype"/>
          <w:i/>
          <w:sz w:val="22"/>
          <w:szCs w:val="22"/>
        </w:rPr>
        <w:t>En caso de preservar el lugar de la intervención o actuación, los datos generales sobre su entrega-recepción, y</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XIII</w:t>
      </w:r>
      <w:r w:rsidRPr="00AF6A1B">
        <w:rPr>
          <w:rFonts w:ascii="Palatino Linotype" w:eastAsia="Palatino Linotype" w:hAnsi="Palatino Linotype" w:cs="Palatino Linotype"/>
          <w:i/>
          <w:sz w:val="22"/>
          <w:szCs w:val="22"/>
        </w:rPr>
        <w:t>. En caso de entrevistas, los datos generales de la persona entrevistada y el relato de la misma.</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El IPH para </w:t>
      </w:r>
      <w:r w:rsidRPr="00AF6A1B">
        <w:rPr>
          <w:rFonts w:ascii="Palatino Linotype" w:eastAsia="Palatino Linotype" w:hAnsi="Palatino Linotype" w:cs="Palatino Linotype"/>
          <w:b/>
          <w:i/>
          <w:sz w:val="22"/>
          <w:szCs w:val="22"/>
        </w:rPr>
        <w:t>infracciones administrativas</w:t>
      </w:r>
      <w:r w:rsidRPr="00AF6A1B">
        <w:rPr>
          <w:rFonts w:ascii="Palatino Linotype" w:eastAsia="Palatino Linotype" w:hAnsi="Palatino Linotype" w:cs="Palatino Linotype"/>
          <w:i/>
          <w:sz w:val="22"/>
          <w:szCs w:val="22"/>
        </w:rPr>
        <w:t xml:space="preserve"> contendrá al menos los siguientes datos: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xml:space="preserve"> El Número de Referencia o el Número de folio asignado;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II. </w:t>
      </w:r>
      <w:r w:rsidRPr="00AF6A1B">
        <w:rPr>
          <w:rFonts w:ascii="Palatino Linotype" w:eastAsia="Palatino Linotype" w:hAnsi="Palatino Linotype" w:cs="Palatino Linotype"/>
          <w:i/>
          <w:sz w:val="22"/>
          <w:szCs w:val="22"/>
        </w:rPr>
        <w:t>Los datos del o los integrantes de la institución policial que lo emite;</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III. </w:t>
      </w:r>
      <w:r w:rsidRPr="00AF6A1B">
        <w:rPr>
          <w:rFonts w:ascii="Palatino Linotype" w:eastAsia="Palatino Linotype" w:hAnsi="Palatino Linotype" w:cs="Palatino Linotype"/>
          <w:i/>
          <w:sz w:val="22"/>
          <w:szCs w:val="22"/>
        </w:rPr>
        <w:t>Los datos de la autoridad competente que lo recibe;</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IV. </w:t>
      </w:r>
      <w:r w:rsidRPr="00AF6A1B">
        <w:rPr>
          <w:rFonts w:ascii="Palatino Linotype" w:eastAsia="Palatino Linotype" w:hAnsi="Palatino Linotype" w:cs="Palatino Linotype"/>
          <w:i/>
          <w:sz w:val="22"/>
          <w:szCs w:val="22"/>
        </w:rPr>
        <w:t>Los datos generales de la intervención o actuación;</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w:t>
      </w:r>
      <w:r w:rsidRPr="00AF6A1B">
        <w:rPr>
          <w:rFonts w:ascii="Palatino Linotype" w:eastAsia="Palatino Linotype" w:hAnsi="Palatino Linotype" w:cs="Palatino Linotype"/>
          <w:i/>
          <w:sz w:val="22"/>
          <w:szCs w:val="22"/>
        </w:rPr>
        <w:t>. El motivo de la intervención o actuación;</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La ubicación del o los lugares de la intervención o actuación</w:t>
      </w:r>
      <w:r w:rsidRPr="00AF6A1B">
        <w:rPr>
          <w:rFonts w:ascii="Palatino Linotype" w:eastAsia="Palatino Linotype" w:hAnsi="Palatino Linotype" w:cs="Palatino Linotype"/>
          <w:i/>
          <w:sz w:val="22"/>
          <w:szCs w:val="22"/>
        </w:rPr>
        <w:t>;</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VII</w:t>
      </w:r>
      <w:r w:rsidRPr="00AF6A1B">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VIII</w:t>
      </w:r>
      <w:r w:rsidRPr="00AF6A1B">
        <w:rPr>
          <w:rFonts w:ascii="Palatino Linotype" w:eastAsia="Palatino Linotype" w:hAnsi="Palatino Linotype" w:cs="Palatino Linotype"/>
          <w:i/>
          <w:sz w:val="22"/>
          <w:szCs w:val="22"/>
        </w:rPr>
        <w:t>. En caso de personas arrestadas:</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w:t>
      </w:r>
      <w:r w:rsidRPr="00AF6A1B">
        <w:rPr>
          <w:rFonts w:ascii="Palatino Linotype" w:eastAsia="Palatino Linotype" w:hAnsi="Palatino Linotype" w:cs="Palatino Linotype"/>
          <w:i/>
          <w:sz w:val="22"/>
          <w:szCs w:val="22"/>
        </w:rPr>
        <w:t xml:space="preserve">   El Número del Registro Nacional de Detenciones;</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b)</w:t>
      </w:r>
      <w:r w:rsidRPr="00AF6A1B">
        <w:rPr>
          <w:rFonts w:ascii="Palatino Linotype" w:eastAsia="Palatino Linotype" w:hAnsi="Palatino Linotype" w:cs="Palatino Linotype"/>
          <w:i/>
          <w:sz w:val="22"/>
          <w:szCs w:val="22"/>
        </w:rPr>
        <w:t xml:space="preserve">   Los motivos de la detención;</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c)  </w:t>
      </w:r>
      <w:r w:rsidRPr="00AF6A1B">
        <w:rPr>
          <w:rFonts w:ascii="Palatino Linotype" w:eastAsia="Palatino Linotype" w:hAnsi="Palatino Linotype" w:cs="Palatino Linotype"/>
          <w:i/>
          <w:sz w:val="22"/>
          <w:szCs w:val="22"/>
        </w:rPr>
        <w:t xml:space="preserve"> Los datos generales de la persona;</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d)   </w:t>
      </w:r>
      <w:r w:rsidRPr="00AF6A1B">
        <w:rPr>
          <w:rFonts w:ascii="Palatino Linotype" w:eastAsia="Palatino Linotype" w:hAnsi="Palatino Linotype" w:cs="Palatino Linotype"/>
          <w:i/>
          <w:sz w:val="22"/>
          <w:szCs w:val="22"/>
        </w:rPr>
        <w:t>La descripción de la persona, incluyendo su estado físico aparente, y</w:t>
      </w:r>
    </w:p>
    <w:p w:rsidR="00EF0737" w:rsidRPr="00AF6A1B" w:rsidRDefault="005C6A87">
      <w:pPr>
        <w:spacing w:before="120" w:after="120"/>
        <w:ind w:left="1418"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e)   </w:t>
      </w:r>
      <w:r w:rsidRPr="00AF6A1B">
        <w:rPr>
          <w:rFonts w:ascii="Palatino Linotype" w:eastAsia="Palatino Linotype" w:hAnsi="Palatino Linotype" w:cs="Palatino Linotype"/>
          <w:i/>
          <w:sz w:val="22"/>
          <w:szCs w:val="22"/>
        </w:rPr>
        <w:t>El lugar en el que es puesta a disposición la persona, y</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IX.</w:t>
      </w:r>
      <w:r w:rsidRPr="00AF6A1B">
        <w:rPr>
          <w:rFonts w:ascii="Palatino Linotype" w:eastAsia="Palatino Linotype" w:hAnsi="Palatino Linotype" w:cs="Palatino Linotype"/>
          <w:i/>
          <w:sz w:val="22"/>
          <w:szCs w:val="22"/>
        </w:rPr>
        <w:t xml:space="preserve"> En caso de involucramiento de vehículo, los datos generales sobre sus características.</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No se exigirá la totalidad del llenado y entrega de los Anexos cuando el caso no lo amerite.”</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De lo anterior, no se advierte la obligación de que el informe policial homologado deba contener de manera forzosa las coordenadas geográficas, sino solamente la ubicación del evento, el cual puede ser solventado con la dirección, por lo que la información se debe proporcionar con el mayor grado de desagregación posible, ya que al nivel que solicita el Particular, confiere al Sujeto Obligado a practicar una investigación, por lo que el derecho de acceso a la información pública se satisface en aquellos casos en que se entregue el soporte documental en el que conste la información solicitada, sin necesidad de elaborar documentos </w:t>
      </w:r>
      <w:r w:rsidRPr="00AF6A1B">
        <w:rPr>
          <w:rFonts w:ascii="Palatino Linotype" w:eastAsia="Palatino Linotype" w:hAnsi="Palatino Linotype" w:cs="Palatino Linotype"/>
          <w:i/>
        </w:rPr>
        <w:t>ad hoc</w:t>
      </w:r>
      <w:r w:rsidRPr="00AF6A1B">
        <w:rPr>
          <w:rFonts w:ascii="Palatino Linotype" w:eastAsia="Palatino Linotype" w:hAnsi="Palatino Linotype" w:cs="Palatino Linotype"/>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previamente citado.</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 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xml:space="preserve">. Además, en el caso de que las coordenadas permitan 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w:t>
      </w:r>
    </w:p>
    <w:p w:rsidR="00EF0737" w:rsidRPr="00AF6A1B" w:rsidRDefault="005C6A87">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6A1B">
        <w:rPr>
          <w:rFonts w:ascii="Palatino Linotype" w:eastAsia="Palatino Linotype" w:hAnsi="Palatino Linotype" w:cs="Palatino Linotype"/>
          <w:b/>
        </w:rPr>
        <w:t>De las atribuciones del Sujeto Obligado.</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Como obra en las constancias del expediente electrónico, la Unidad de Transparencia, en observancia de lo previsto en de lo previsto en los artículos 53</w:t>
      </w:r>
      <w:r w:rsidRPr="00AF6A1B">
        <w:rPr>
          <w:rFonts w:ascii="Palatino Linotype" w:eastAsia="Palatino Linotype" w:hAnsi="Palatino Linotype" w:cs="Palatino Linotype"/>
          <w:vertAlign w:val="superscript"/>
        </w:rPr>
        <w:footnoteReference w:id="3"/>
      </w:r>
      <w:r w:rsidRPr="00AF6A1B">
        <w:rPr>
          <w:rFonts w:ascii="Palatino Linotype" w:eastAsia="Palatino Linotype" w:hAnsi="Palatino Linotype" w:cs="Palatino Linotype"/>
        </w:rPr>
        <w:t xml:space="preserve"> fracciones II y IV y  162</w:t>
      </w:r>
      <w:r w:rsidRPr="00AF6A1B">
        <w:rPr>
          <w:rFonts w:ascii="Palatino Linotype" w:eastAsia="Palatino Linotype" w:hAnsi="Palatino Linotype" w:cs="Palatino Linotype"/>
          <w:vertAlign w:val="superscript"/>
        </w:rPr>
        <w:footnoteReference w:id="4"/>
      </w:r>
      <w:r w:rsidRPr="00AF6A1B">
        <w:rPr>
          <w:rFonts w:ascii="Palatino Linotype" w:eastAsia="Palatino Linotype" w:hAnsi="Palatino Linotype" w:cs="Palatino Linotype"/>
        </w:rPr>
        <w:t xml:space="preserve"> de la Ley de la Materia, la Unidad de Transparencia turnó la solicitud de información a la Dirección de Seguridad Pública y a la Oficialía Calificadora, cuyas atribuciones, en lo conducente, se describen en los artículos 144 y 288 del Bando Municipal, a saber:</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144.-</w:t>
      </w:r>
      <w:r w:rsidRPr="00AF6A1B">
        <w:rPr>
          <w:rFonts w:ascii="Palatino Linotype" w:eastAsia="Palatino Linotype" w:hAnsi="Palatino Linotype" w:cs="Palatino Linotype"/>
          <w:i/>
          <w:sz w:val="22"/>
          <w:szCs w:val="22"/>
        </w:rPr>
        <w:t xml:space="preserve"> En materia de Seguridad Pública, la Presidenta Municipal a través de </w:t>
      </w:r>
      <w:r w:rsidRPr="00AF6A1B">
        <w:rPr>
          <w:rFonts w:ascii="Palatino Linotype" w:eastAsia="Palatino Linotype" w:hAnsi="Palatino Linotype" w:cs="Palatino Linotype"/>
          <w:b/>
          <w:i/>
          <w:sz w:val="22"/>
          <w:szCs w:val="22"/>
        </w:rPr>
        <w:t>la Dirección de Seguridad Pública y la Coordinación de Protección Civil y Bomberos</w:t>
      </w:r>
      <w:r w:rsidRPr="00AF6A1B">
        <w:rPr>
          <w:rFonts w:ascii="Palatino Linotype" w:eastAsia="Palatino Linotype" w:hAnsi="Palatino Linotype" w:cs="Palatino Linotype"/>
          <w:i/>
          <w:sz w:val="22"/>
          <w:szCs w:val="22"/>
        </w:rPr>
        <w:t xml:space="preserve"> ejercerá, entre otras, las siguientes atribuciones: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xml:space="preserve"> Suscribir convenios de coordinación y colaboración con el Gobierno del Estado de México, a través de la Secretaría de Seguridad Ciudadana y con otros municipios, para </w:t>
      </w:r>
      <w:r w:rsidRPr="00AF6A1B">
        <w:rPr>
          <w:rFonts w:ascii="Palatino Linotype" w:eastAsia="Palatino Linotype" w:hAnsi="Palatino Linotype" w:cs="Palatino Linotype"/>
          <w:b/>
          <w:i/>
          <w:sz w:val="22"/>
          <w:szCs w:val="22"/>
        </w:rPr>
        <w:t>implementar mecanismos de prevención en la comisión de delitos y proteger a las personas, propiedades, posesiones y derechos,</w:t>
      </w:r>
      <w:r w:rsidRPr="00AF6A1B">
        <w:rPr>
          <w:rFonts w:ascii="Palatino Linotype" w:eastAsia="Palatino Linotype" w:hAnsi="Palatino Linotype" w:cs="Palatino Linotype"/>
          <w:i/>
          <w:sz w:val="22"/>
          <w:szCs w:val="22"/>
        </w:rPr>
        <w:t xml:space="preserve"> en el marco de la coordinación y atribuciones que correspondan al Municipio;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 xml:space="preserve">Detener a los presuntos responsables en los casos de delito flagrante, poniéndolos inmediatamente a disposición del Ministerio Público </w:t>
      </w:r>
      <w:r w:rsidRPr="00AF6A1B">
        <w:rPr>
          <w:rFonts w:ascii="Palatino Linotype" w:eastAsia="Palatino Linotype" w:hAnsi="Palatino Linotype" w:cs="Palatino Linotype"/>
          <w:i/>
          <w:sz w:val="22"/>
          <w:szCs w:val="22"/>
        </w:rPr>
        <w:t>y en caso de faltas administrativas estos se remitirán a la Oficialía Mediadora, Conciliadora y Calificadora según sea el caso;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w:t>
      </w:r>
      <w:r w:rsidRPr="00AF6A1B">
        <w:rPr>
          <w:rFonts w:ascii="Palatino Linotype" w:eastAsia="Palatino Linotype" w:hAnsi="Palatino Linotype" w:cs="Palatino Linotype"/>
          <w:i/>
          <w:sz w:val="22"/>
          <w:szCs w:val="22"/>
        </w:rPr>
        <w:t xml:space="preserve"> Auxiliar en el ejercicio de sus funciones al Ministerio Público, a las autoridades judiciales y administrativas cuando sea requerida para ello;</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288</w:t>
      </w:r>
      <w:r w:rsidRPr="00AF6A1B">
        <w:rPr>
          <w:rFonts w:ascii="Palatino Linotype" w:eastAsia="Palatino Linotype" w:hAnsi="Palatino Linotype" w:cs="Palatino Linotype"/>
          <w:i/>
          <w:sz w:val="22"/>
          <w:szCs w:val="22"/>
        </w:rPr>
        <w:t xml:space="preserve">.- La </w:t>
      </w:r>
      <w:r w:rsidRPr="00AF6A1B">
        <w:rPr>
          <w:rFonts w:ascii="Palatino Linotype" w:eastAsia="Palatino Linotype" w:hAnsi="Palatino Linotype" w:cs="Palatino Linotype"/>
          <w:b/>
          <w:i/>
          <w:sz w:val="22"/>
          <w:szCs w:val="22"/>
        </w:rPr>
        <w:t>Oficialía Calificadora</w:t>
      </w:r>
      <w:r w:rsidRPr="00AF6A1B">
        <w:rPr>
          <w:rFonts w:ascii="Palatino Linotype" w:eastAsia="Palatino Linotype" w:hAnsi="Palatino Linotype" w:cs="Palatino Linotype"/>
          <w:i/>
          <w:sz w:val="22"/>
          <w:szCs w:val="22"/>
        </w:rPr>
        <w:t xml:space="preserve"> ejercerá las atribuciones que le confiere y que cuenta con autonomía plena para cumplir las atribuciones de la Ley Orgánica Municipal, su Reglamento y demás Ordenamientos Municipales en su materia, entre las que están:</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Conocer, calificar e imponer las sanciones administrativas municipales</w:t>
      </w:r>
      <w:r w:rsidRPr="00AF6A1B">
        <w:rPr>
          <w:rFonts w:ascii="Palatino Linotype" w:eastAsia="Palatino Linotype" w:hAnsi="Palatino Linotype" w:cs="Palatino Linotype"/>
          <w:i/>
          <w:sz w:val="22"/>
          <w:szCs w:val="22"/>
        </w:rPr>
        <w:t xml:space="preserve"> que procedan por faltas o infracciones al Bando Municipal, reglamentos y demás disposiciones de carácter general contenidas en los ordenamientos expedidos por los ayuntamientos y aquellas que deriven con motivo de la aplicación del Libro Octavo del Código Administrativo, excepto las de carácter fiscal;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Apoyar a la autoridad municipal que corresponda, en la conservación del orden público y en la verificación de daños que, en su caso, se causen a los bienes propiedad del Municipio, haciéndolo saber a quien corresponda;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 xml:space="preserve">Dar cuenta a la Presidenta Municipal de las personas detenidas por infracciones a ordenamientos municipales </w:t>
      </w:r>
      <w:r w:rsidRPr="00AF6A1B">
        <w:rPr>
          <w:rFonts w:ascii="Palatino Linotype" w:eastAsia="Palatino Linotype" w:hAnsi="Palatino Linotype" w:cs="Palatino Linotype"/>
          <w:i/>
          <w:sz w:val="22"/>
          <w:szCs w:val="22"/>
        </w:rPr>
        <w:t xml:space="preserve">que hayan cumplido con la sanción impuesta por dicho servidor público o por quien hubiese recibido de éste la delegación de tales atribuciones, expidiendo oportunamente la boleta de libertad;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VII.</w:t>
      </w:r>
      <w:r w:rsidRPr="00AF6A1B">
        <w:rPr>
          <w:rFonts w:ascii="Palatino Linotype" w:eastAsia="Palatino Linotype" w:hAnsi="Palatino Linotype" w:cs="Palatino Linotype"/>
          <w:i/>
          <w:sz w:val="22"/>
          <w:szCs w:val="22"/>
        </w:rPr>
        <w:t xml:space="preserve"> Conocer, mediar, conciliar y ser árbitro en los accidentes ocasionados con motivo del tránsito vehicular, cuando exista conflicto de intereses, siempre que se trate de daños materiales a propiedad privada y en su caso lesiones a las que se refiere la fracción I del artículo 237 del Código Penal del Estado de México.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442AA8" w:rsidRPr="00AF6A1B" w:rsidRDefault="005C6A87" w:rsidP="00442AA8">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 tal sentido,</w:t>
      </w:r>
      <w:r w:rsidR="00442AA8" w:rsidRPr="00AF6A1B">
        <w:rPr>
          <w:rFonts w:ascii="Palatino Linotype" w:eastAsia="Palatino Linotype" w:hAnsi="Palatino Linotype" w:cs="Palatino Linotype"/>
        </w:rPr>
        <w:t xml:space="preserve"> el Oficial Calificador indicó que contaba con la información solicitada a partir del 09 de marzo de 2020, al implementarse a partir de dicha fecha el Informe Policial Homologado, IPH para faltas administrativas, remitiendo, en la etapa de manifestaciones, una relación en formato Excel que contiene información estadística de las faltas administrativas registradas del nueve de marzo de dos mil veinte al tres de julio de dos mil veintidós, con los siguientes datos: número consecutivo, tipo de evento, hora, fecha, ubicación y coordenadas geográficas.</w:t>
      </w:r>
    </w:p>
    <w:p w:rsidR="00442AA8" w:rsidRPr="00AF6A1B" w:rsidRDefault="00442AA8" w:rsidP="00442AA8">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Siendo imprescindible mencionar que si bien es cierto que se localizó en el marco normativo aplicable la obligación de generar información relacionada con faltas administrativas a través del Informe Policial Homologado, desde que este se implementó,  también lo es que no se advirtió fuente obligacional que constriña a las Instituciones policiales o de seguridad pública a generar estadísticas de dicha información, por lo que el pronunciamiento emitido por 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a través  del Oficial Calificador, como servidor público habilitado competente para generar, administrar o poseer la información de mérito, debe considerarse como suficiente respecto de la temporalidad de la cual localizó información, máxime que puntualizó que la búsqueda de los documentos se realizó incluso en el archivo de concentración, por lo que es evidente que antes del 09 de marzo de 2020 no se generó información estadística de faltas administrativas.</w:t>
      </w:r>
    </w:p>
    <w:p w:rsidR="00442AA8" w:rsidRPr="00AF6A1B" w:rsidRDefault="00442AA8" w:rsidP="00442AA8">
      <w:pPr>
        <w:autoSpaceDE w:val="0"/>
        <w:autoSpaceDN w:val="0"/>
        <w:adjustRightInd w:val="0"/>
        <w:spacing w:before="240" w:after="360" w:line="360" w:lineRule="auto"/>
        <w:ind w:right="18"/>
        <w:jc w:val="both"/>
        <w:rPr>
          <w:rFonts w:ascii="Palatino Linotype" w:hAnsi="Palatino Linotype" w:cs="Arial"/>
          <w:bCs/>
          <w:szCs w:val="22"/>
        </w:rPr>
      </w:pPr>
      <w:bookmarkStart w:id="8" w:name="_Hlk102515581"/>
      <w:r w:rsidRPr="00AF6A1B">
        <w:rPr>
          <w:rFonts w:ascii="Palatino Linotype" w:hAnsi="Palatino Linotype" w:cs="Arial"/>
          <w:szCs w:val="28"/>
        </w:rPr>
        <w:t xml:space="preserve">En tal sentido, al haber existido </w:t>
      </w:r>
      <w:r w:rsidRPr="00AF6A1B">
        <w:rPr>
          <w:rFonts w:ascii="Palatino Linotype" w:hAnsi="Palatino Linotype" w:cs="Arial"/>
          <w:bCs/>
          <w:szCs w:val="22"/>
        </w:rPr>
        <w:t xml:space="preserve">un pronunciamiento por parte del </w:t>
      </w:r>
      <w:r w:rsidRPr="00AF6A1B">
        <w:rPr>
          <w:rFonts w:ascii="Palatino Linotype" w:hAnsi="Palatino Linotype" w:cs="Arial"/>
          <w:b/>
          <w:szCs w:val="22"/>
        </w:rPr>
        <w:t>Sujeto Obligado</w:t>
      </w:r>
      <w:r w:rsidRPr="00AF6A1B">
        <w:rPr>
          <w:rFonts w:ascii="Palatino Linotype" w:hAnsi="Palatino Linotype" w:cs="Arial"/>
          <w:bCs/>
          <w:szCs w:val="22"/>
        </w:rPr>
        <w:t xml:space="preserve"> a través del área competente, este Organismo Garante no está facultado para manifestarse sobre la veracidad de lo expresado por parte de este, pues no existe precepto legal alguno en la Ley de la materia que lo faculte para ello.</w:t>
      </w:r>
    </w:p>
    <w:p w:rsidR="00442AA8" w:rsidRPr="00AF6A1B" w:rsidRDefault="00442AA8" w:rsidP="00442AA8">
      <w:pPr>
        <w:autoSpaceDE w:val="0"/>
        <w:autoSpaceDN w:val="0"/>
        <w:adjustRightInd w:val="0"/>
        <w:spacing w:before="240" w:after="360" w:line="360" w:lineRule="auto"/>
        <w:ind w:right="18"/>
        <w:jc w:val="both"/>
        <w:rPr>
          <w:rFonts w:ascii="Palatino Linotype" w:hAnsi="Palatino Linotype"/>
        </w:rPr>
      </w:pPr>
      <w:r w:rsidRPr="00AF6A1B">
        <w:rPr>
          <w:rFonts w:ascii="Palatino Linotype" w:hAnsi="Palatino Linotype" w:cs="Arial"/>
          <w:bCs/>
          <w:szCs w:val="22"/>
        </w:rPr>
        <w:t>L</w:t>
      </w:r>
      <w:r w:rsidRPr="00AF6A1B">
        <w:rPr>
          <w:rFonts w:ascii="Palatino Linotype" w:hAnsi="Palatino Linotype" w:cs="Arial"/>
        </w:rPr>
        <w:t>o anterior se sustenta con lo plasmado en el criterio</w:t>
      </w:r>
      <w:r w:rsidRPr="00AF6A1B">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442AA8" w:rsidRPr="00AF6A1B" w:rsidRDefault="00442AA8" w:rsidP="00442AA8">
      <w:pPr>
        <w:spacing w:before="240" w:after="240"/>
        <w:ind w:left="993" w:right="1041"/>
        <w:jc w:val="both"/>
        <w:rPr>
          <w:rFonts w:ascii="Palatino Linotype" w:hAnsi="Palatino Linotype"/>
          <w:i/>
          <w:sz w:val="22"/>
          <w:szCs w:val="22"/>
        </w:rPr>
      </w:pPr>
      <w:r w:rsidRPr="00AF6A1B">
        <w:rPr>
          <w:rFonts w:ascii="Palatino Linotype" w:hAnsi="Palatino Linotype"/>
          <w:i/>
          <w:sz w:val="22"/>
          <w:szCs w:val="22"/>
        </w:rPr>
        <w:t>“</w:t>
      </w:r>
      <w:r w:rsidRPr="00AF6A1B">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AF6A1B">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8"/>
    <w:p w:rsidR="00442AA8" w:rsidRPr="00AF6A1B" w:rsidRDefault="00442AA8" w:rsidP="00442AA8">
      <w:pPr>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rPr>
        <w:t xml:space="preserve">No obstante, si bien, la información remitida se relaciona con lo solicitado, es de recordar que la misma no se hizo del conocimiento de la parte </w:t>
      </w:r>
      <w:r w:rsidRPr="00AF6A1B">
        <w:rPr>
          <w:rFonts w:ascii="Palatino Linotype" w:eastAsia="Palatino Linotype" w:hAnsi="Palatino Linotype" w:cs="Palatino Linotype"/>
          <w:b/>
        </w:rPr>
        <w:t xml:space="preserve">Recurrente, </w:t>
      </w:r>
      <w:r w:rsidRPr="00AF6A1B">
        <w:rPr>
          <w:rFonts w:ascii="Palatino Linotype" w:eastAsia="Palatino Linotype" w:hAnsi="Palatino Linotype" w:cs="Palatino Linotype"/>
        </w:rPr>
        <w:t xml:space="preserve"> en virtud de que las coordenadas geográficas, al relacionarse con lugares específicos de la posible comisión de un delito, que pudieran vincularse con un domicilio particular, es información que actualiza la causal de confidencialidad, por tratarse de datos personales ya que se hace identificable la vivienda de una o varias personas con la posible comisión de un delito, por lo que debieron protegerse a través de la versión pública que para tal efecto elaborara el </w:t>
      </w:r>
      <w:r w:rsidRPr="00AF6A1B">
        <w:rPr>
          <w:rFonts w:ascii="Palatino Linotype" w:eastAsia="Palatino Linotype" w:hAnsi="Palatino Linotype" w:cs="Palatino Linotype"/>
          <w:b/>
        </w:rPr>
        <w:t>Sujeto Obligado.</w:t>
      </w:r>
    </w:p>
    <w:p w:rsidR="00442AA8" w:rsidRPr="00AF6A1B" w:rsidRDefault="00442AA8" w:rsidP="00442AA8">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tal sentido, se estima dable ordenar al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haga entrega nuevamente de dicho soporte documental remitido en informe justificado en versión pública, conforme al considerando siguiente.</w:t>
      </w:r>
    </w:p>
    <w:p w:rsidR="00EF0737" w:rsidRPr="00AF6A1B" w:rsidRDefault="00442AA8">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Por otro lado, </w:t>
      </w:r>
      <w:r w:rsidR="005C6A87" w:rsidRPr="00AF6A1B">
        <w:rPr>
          <w:rFonts w:ascii="Palatino Linotype" w:eastAsia="Palatino Linotype" w:hAnsi="Palatino Linotype" w:cs="Palatino Linotype"/>
        </w:rPr>
        <w:t xml:space="preserve">la Dirección de Seguridad Pública, </w:t>
      </w:r>
      <w:r w:rsidRPr="00AF6A1B">
        <w:rPr>
          <w:rFonts w:ascii="Palatino Linotype" w:eastAsia="Palatino Linotype" w:hAnsi="Palatino Linotype" w:cs="Palatino Linotype"/>
        </w:rPr>
        <w:t xml:space="preserve">como se advierte, </w:t>
      </w:r>
      <w:r w:rsidR="005C6A87" w:rsidRPr="00AF6A1B">
        <w:rPr>
          <w:rFonts w:ascii="Palatino Linotype" w:eastAsia="Palatino Linotype" w:hAnsi="Palatino Linotype" w:cs="Palatino Linotype"/>
        </w:rPr>
        <w:t>es competente para generar administrar o poseer información relacionada con hechos constitutivos de delito, no obstante, en atención a la solicitud proporcionó las bitácoras de llamadas de noviembre de 2020 a mayo de 2022, en las que contienen los siguientes datos: fecha, hora, tipo, reporte, unidad, avanzada, arribo, verificación, canalización, detenidos, número consecutivo de llamada.</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tal sentido, de conformidad con el estudio que antecede, se colige que dicha información no corresponde con lo solicitado, siendo que el interés dela persona solicitante versa sobre información estadística relacionada con la incidencia delictiva, siendo de suma importancia mencionar que el reporte de las llamadas de emergencia, no necesariamente se relacionó o derivó en un informe de hechos presuntamente constitutivos de delito, sin pasar por alto que conforme a lo precisado en líneas anteriores, 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se encuentra constreñido a generar información estadística delictiva, por lo tanto, la información remitida resulta ser insuficiente para tener por atendido el derecho de acceso de la persona solicitante.</w:t>
      </w:r>
    </w:p>
    <w:p w:rsidR="00EF0737" w:rsidRPr="00AF6A1B" w:rsidRDefault="006F387E">
      <w:pPr>
        <w:spacing w:before="240" w:after="240" w:line="360" w:lineRule="auto"/>
        <w:ind w:right="51"/>
        <w:jc w:val="both"/>
        <w:rPr>
          <w:rFonts w:ascii="Palatino Linotype" w:eastAsia="Palatino Linotype" w:hAnsi="Palatino Linotype" w:cs="Palatino Linotype"/>
        </w:rPr>
      </w:pPr>
      <w:r w:rsidRPr="00AF6A1B">
        <w:rPr>
          <w:rFonts w:ascii="Palatino Linotype" w:eastAsia="Palatino Linotype" w:hAnsi="Palatino Linotype" w:cs="Palatino Linotype"/>
        </w:rPr>
        <w:t>Por otro lado,</w:t>
      </w:r>
      <w:r w:rsidR="005C6A87" w:rsidRPr="00AF6A1B">
        <w:rPr>
          <w:rFonts w:ascii="Palatino Linotype" w:eastAsia="Palatino Linotype" w:hAnsi="Palatino Linotype" w:cs="Palatino Linotype"/>
        </w:rPr>
        <w:t xml:space="preserve"> atendiendo al periodo del cual se solicita la información, es preciso señalar que, de conformidad con el artículo 91, fracción VI</w:t>
      </w:r>
      <w:r w:rsidR="005C6A87" w:rsidRPr="00AF6A1B">
        <w:rPr>
          <w:rFonts w:ascii="Palatino Linotype" w:eastAsia="Palatino Linotype" w:hAnsi="Palatino Linotype" w:cs="Palatino Linotype"/>
          <w:vertAlign w:val="superscript"/>
        </w:rPr>
        <w:footnoteReference w:id="5"/>
      </w:r>
      <w:r w:rsidR="005C6A87" w:rsidRPr="00AF6A1B">
        <w:rPr>
          <w:rFonts w:ascii="Palatino Linotype" w:eastAsia="Palatino Linotype" w:hAnsi="Palatino Linotype" w:cs="Palatino Linotype"/>
        </w:rPr>
        <w:t xml:space="preserve"> de la Ley Orgánica Municipal, la Secretaría del Ayuntamiento tiene a su cargo el archivo general del ayuntamiento.</w:t>
      </w:r>
    </w:p>
    <w:p w:rsidR="00EF0737" w:rsidRPr="00AF6A1B" w:rsidRDefault="005C6A87">
      <w:pPr>
        <w:spacing w:before="240" w:after="240" w:line="360" w:lineRule="auto"/>
        <w:ind w:right="51"/>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el mismo sentido, el Bando Municipal, en el artículo 72, fracción VI, contempla como atribución de la Secretaría del Ayuntamiento la de tener a su cargo el archivo general del Ayuntamiento, sin embargo, no obra constancia de que </w:t>
      </w:r>
      <w:r w:rsidR="006F387E" w:rsidRPr="00AF6A1B">
        <w:rPr>
          <w:rFonts w:ascii="Palatino Linotype" w:eastAsia="Palatino Linotype" w:hAnsi="Palatino Linotype" w:cs="Palatino Linotype"/>
        </w:rPr>
        <w:t xml:space="preserve">el servidor </w:t>
      </w:r>
      <w:r w:rsidRPr="00AF6A1B">
        <w:rPr>
          <w:rFonts w:ascii="Palatino Linotype" w:eastAsia="Palatino Linotype" w:hAnsi="Palatino Linotype" w:cs="Palatino Linotype"/>
        </w:rPr>
        <w:t xml:space="preserve"> público habilitado competente de la</w:t>
      </w:r>
      <w:r w:rsidR="006F387E" w:rsidRPr="00AF6A1B">
        <w:rPr>
          <w:rFonts w:ascii="Palatino Linotype" w:eastAsia="Palatino Linotype" w:hAnsi="Palatino Linotype" w:cs="Palatino Linotype"/>
        </w:rPr>
        <w:t xml:space="preserve"> Dirección de Seguridad Pública, c</w:t>
      </w:r>
      <w:r w:rsidR="006F387E" w:rsidRPr="00AF6A1B">
        <w:rPr>
          <w:rStyle w:val="selectable-text"/>
          <w:rFonts w:ascii="Palatino Linotype" w:hAnsi="Palatino Linotype"/>
        </w:rPr>
        <w:t>omo dependencia responsable de la información que se genera, administra o posee en ejercicio de las atribuciones conferidas a área</w:t>
      </w:r>
      <w:r w:rsidR="006F387E" w:rsidRPr="00AF6A1B">
        <w:rPr>
          <w:rFonts w:ascii="Palatino Linotype" w:eastAsia="Palatino Linotype" w:hAnsi="Palatino Linotype" w:cs="Palatino Linotype"/>
        </w:rPr>
        <w:t>, hubiera</w:t>
      </w:r>
      <w:r w:rsidRPr="00AF6A1B">
        <w:rPr>
          <w:rFonts w:ascii="Palatino Linotype" w:eastAsia="Palatino Linotype" w:hAnsi="Palatino Linotype" w:cs="Palatino Linotype"/>
        </w:rPr>
        <w:t xml:space="preserve"> efectuado la búsqueda de la información en el archivo general que resguarda  la Secretaría del Ayuntamiento.</w:t>
      </w:r>
    </w:p>
    <w:p w:rsidR="00EF0737" w:rsidRPr="00AF6A1B" w:rsidRDefault="005C6A87">
      <w:pPr>
        <w:spacing w:before="240" w:after="36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este orden de ideas, se estima dable ordenar se efectúe la búsqueda exhaustiva y razonable del soporte documental en la totalidad de los archivos que administra o posee 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a través de la Secretaría del Ayuntamiento y la Dirección de Seguridad Pública, respecto de los documentos en los que obre la información solicitada que hubiera generado a partir del ejercicio 2018, a efecto de dar cumplimiento a la presente resolución.</w:t>
      </w:r>
    </w:p>
    <w:p w:rsidR="00EF0737" w:rsidRPr="00AF6A1B" w:rsidRDefault="005C6A87">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F6A1B">
        <w:rPr>
          <w:rFonts w:ascii="Palatino Linotype" w:eastAsia="Palatino Linotype" w:hAnsi="Palatino Linotype" w:cs="Palatino Linotype"/>
          <w:b/>
        </w:rPr>
        <w:t>De la temporalidad en la conservación de los archivos.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 mérito de lo anterior,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rsidR="00EF0737" w:rsidRPr="00AF6A1B" w:rsidRDefault="005C6A87">
      <w:pPr>
        <w:tabs>
          <w:tab w:val="left" w:pos="7938"/>
        </w:tabs>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Cuarto.</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 Archivo</w:t>
      </w:r>
      <w:r w:rsidRPr="00AF6A1B">
        <w:rPr>
          <w:rFonts w:ascii="Palatino Linotype" w:eastAsia="Palatino Linotype" w:hAnsi="Palatino Linotype" w:cs="Palatino Linotype"/>
          <w:i/>
          <w:sz w:val="22"/>
          <w:szCs w:val="22"/>
        </w:rPr>
        <w:t>: El conjunto orgánico de documentos en cualquier soporte, que son producidos o recibidos por los sujetos obligados o los particulares en el ejercicio de sus atribuciones o en el desarrollo de sus actividades;</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 Archivo de concentración</w:t>
      </w:r>
      <w:r w:rsidRPr="00AF6A1B">
        <w:rPr>
          <w:rFonts w:ascii="Palatino Linotype" w:eastAsia="Palatino Linotype" w:hAnsi="Palatino Linotype" w:cs="Palatino Linotype"/>
          <w:i/>
          <w:sz w:val="22"/>
          <w:szCs w:val="22"/>
        </w:rPr>
        <w:t>: La unidad de la administración de documentos cuya consulta es esporádica y que permanecen en ella hasta su transferencia secundaria o baja documental;</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IV. Archivo histórico</w:t>
      </w:r>
      <w:r w:rsidRPr="00AF6A1B">
        <w:rPr>
          <w:rFonts w:ascii="Palatino Linotype" w:eastAsia="Palatino Linotype" w:hAnsi="Palatino Linotype" w:cs="Palatino Linotype"/>
          <w:i/>
          <w:sz w:val="22"/>
          <w:szCs w:val="22"/>
        </w:rPr>
        <w:t>. La unidad responsable de la administración de los documentos de conservación permanente y que son fuente de acceso público;</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 Archivo de trámite</w:t>
      </w:r>
      <w:r w:rsidRPr="00AF6A1B">
        <w:rPr>
          <w:rFonts w:ascii="Palatino Linotype" w:eastAsia="Palatino Linotype" w:hAnsi="Palatino Linotype" w:cs="Palatino Linotype"/>
          <w:i/>
          <w:sz w:val="22"/>
          <w:szCs w:val="22"/>
        </w:rPr>
        <w:t>: La unidad responsable de la administración de documentos de uso cotidiano y necesario para el ejercicio de las atribuciones de una unidad administrativa, los cuales permanecen en ella hasta su transferencia primaria;</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VIII. Baja documental</w:t>
      </w:r>
      <w:r w:rsidRPr="00AF6A1B">
        <w:rPr>
          <w:rFonts w:ascii="Palatino Linotype" w:eastAsia="Palatino Linotype" w:hAnsi="Palatino Linotype" w:cs="Palatino Linotype"/>
          <w:i/>
          <w:sz w:val="22"/>
          <w:szCs w:val="22"/>
        </w:rPr>
        <w:t>. La eliminación de aquella documentación que haya prescrito en sus valores administrativos, legales, fiscales, contables, y que no contenga valores históricos;</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 Ciclo vital del documento</w:t>
      </w:r>
      <w:r w:rsidRPr="00AF6A1B">
        <w:rPr>
          <w:rFonts w:ascii="Palatino Linotype" w:eastAsia="Palatino Linotype" w:hAnsi="Palatino Linotype" w:cs="Palatino Linotype"/>
          <w:i/>
          <w:sz w:val="22"/>
          <w:szCs w:val="22"/>
        </w:rPr>
        <w:t>: La etapas de los documentos desde su producción o recepción hasta su baja o transferencia a un archivo histórico;</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tabs>
          <w:tab w:val="left" w:pos="7938"/>
        </w:tabs>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XLVIII. Transferencia documental</w:t>
      </w:r>
      <w:r w:rsidRPr="00AF6A1B">
        <w:rPr>
          <w:rFonts w:ascii="Palatino Linotype" w:eastAsia="Palatino Linotype" w:hAnsi="Palatino Linotype" w:cs="Palatino Linotype"/>
          <w:i/>
          <w:sz w:val="22"/>
          <w:szCs w:val="22"/>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Lineamientos para la Valoración, Selección y Baja de los Documentos, Expedientes y Series de Trámite Concluido en los Archivos del Estado de México, que establece lo siguiente:</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Artículo 20.</w:t>
      </w:r>
      <w:r w:rsidRPr="00AF6A1B">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27</w:t>
      </w:r>
      <w:r w:rsidRPr="00AF6A1B">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AF6A1B">
        <w:rPr>
          <w:rFonts w:ascii="Palatino Linotype" w:eastAsia="Palatino Linotype" w:hAnsi="Palatino Linotype" w:cs="Palatino Linotype"/>
          <w:i/>
          <w:sz w:val="22"/>
          <w:szCs w:val="22"/>
        </w:rPr>
        <w:t>precaucional</w:t>
      </w:r>
      <w:proofErr w:type="spellEnd"/>
      <w:r w:rsidRPr="00AF6A1B">
        <w:rPr>
          <w:rFonts w:ascii="Palatino Linotype" w:eastAsia="Palatino Linotype" w:hAnsi="Palatino Linotype" w:cs="Palatino Linotype"/>
          <w:i/>
          <w:sz w:val="22"/>
          <w:szCs w:val="22"/>
        </w:rPr>
        <w:t xml:space="preserve"> de éstos en el Archivo de Concentración.</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Para determinar el plazo de conservación </w:t>
      </w:r>
      <w:proofErr w:type="spellStart"/>
      <w:r w:rsidRPr="00AF6A1B">
        <w:rPr>
          <w:rFonts w:ascii="Palatino Linotype" w:eastAsia="Palatino Linotype" w:hAnsi="Palatino Linotype" w:cs="Palatino Linotype"/>
          <w:i/>
          <w:sz w:val="22"/>
          <w:szCs w:val="22"/>
        </w:rPr>
        <w:t>precaucional</w:t>
      </w:r>
      <w:proofErr w:type="spellEnd"/>
      <w:r w:rsidRPr="00AF6A1B">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6 años para expedientes con información administrativa;</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6 años como mínimo para expedientes con información fiscal y presupuestal contable;</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w:t>
      </w:r>
      <w:r w:rsidRPr="00AF6A1B">
        <w:rPr>
          <w:rFonts w:ascii="Palatino Linotype" w:eastAsia="Palatino Linotype" w:hAnsi="Palatino Linotype" w:cs="Palatino Linotype"/>
          <w:i/>
          <w:sz w:val="22"/>
          <w:szCs w:val="22"/>
        </w:rPr>
        <w:t>. 12 años como mínimo para expedientes con información jurídico-legal, obra pública y activo fijo; y</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IV.</w:t>
      </w:r>
      <w:r w:rsidRPr="00AF6A1B">
        <w:rPr>
          <w:rFonts w:ascii="Palatino Linotype" w:eastAsia="Palatino Linotype" w:hAnsi="Palatino Linotype" w:cs="Palatino Linotype"/>
          <w:i/>
          <w:sz w:val="22"/>
          <w:szCs w:val="22"/>
        </w:rPr>
        <w:t xml:space="preserve"> Cuando en la legislación se establezcan períodos de conservación mayores a los señalados en las fracciones I, II y III, se considerarán los estipulados en dicha legislación para efectos de realización del proceso de selección final.</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V</w:t>
      </w:r>
      <w:r w:rsidRPr="00AF6A1B">
        <w:rPr>
          <w:rFonts w:ascii="Palatino Linotype" w:eastAsia="Palatino Linotype" w:hAnsi="Palatino Linotype" w:cs="Palatino Linotype"/>
          <w:i/>
          <w:sz w:val="22"/>
          <w:szCs w:val="22"/>
        </w:rPr>
        <w:t xml:space="preserve">. Cuando las Unidades Administrativas no indique el plazo de conservación </w:t>
      </w:r>
      <w:proofErr w:type="spellStart"/>
      <w:r w:rsidRPr="00AF6A1B">
        <w:rPr>
          <w:rFonts w:ascii="Palatino Linotype" w:eastAsia="Palatino Linotype" w:hAnsi="Palatino Linotype" w:cs="Palatino Linotype"/>
          <w:i/>
          <w:sz w:val="22"/>
          <w:szCs w:val="22"/>
        </w:rPr>
        <w:t>precaucional</w:t>
      </w:r>
      <w:proofErr w:type="spellEnd"/>
      <w:r w:rsidRPr="00AF6A1B">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En esta tesitura, el Pleno de este Instituto considera que hizo falta agotar la búsqueda exhaustiva y razonable, ya que, por la antigüedad de la información que se solicita, se considera que dichos documentos pudieran obrar en los archivos de las unidades competentes, o bien en el archivo municipal, en razón de sus atribuciones señaladas anteriormente. </w:t>
      </w:r>
    </w:p>
    <w:p w:rsidR="00EF0737" w:rsidRPr="00AF6A1B" w:rsidRDefault="005C6A87">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b/>
        </w:rPr>
        <w:t>Del acuerdo de inexistencia.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Debe apuntarse en este caso en particular que, de actualizarse el supuesto en el que derivado del turno de la solicitud de información a las áreas competentes no se localice el documento alguno con el que se atienda el requerimiento relativo a la incidencia delictiva,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rsidR="00442AA8" w:rsidRPr="00AF6A1B" w:rsidRDefault="00442AA8">
      <w:pPr>
        <w:spacing w:before="240" w:after="240" w:line="360" w:lineRule="auto"/>
        <w:jc w:val="both"/>
        <w:rPr>
          <w:rFonts w:ascii="Palatino Linotype" w:eastAsia="Palatino Linotype" w:hAnsi="Palatino Linotype" w:cs="Palatino Linotype"/>
        </w:rPr>
      </w:pP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Artículo 19.</w:t>
      </w:r>
      <w:r w:rsidRPr="00AF6A1B">
        <w:rPr>
          <w:rFonts w:ascii="Palatino Linotype" w:eastAsia="Palatino Linotype" w:hAnsi="Palatino Linotype" w:cs="Palatino Linotype"/>
          <w:i/>
          <w:sz w:val="22"/>
          <w:szCs w:val="22"/>
        </w:rPr>
        <w:t xml:space="preserve">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AF6A1B">
        <w:rPr>
          <w:rFonts w:ascii="Palatino Linotype" w:eastAsia="Palatino Linotype" w:hAnsi="Palatino Linotype" w:cs="Palatino Linotype"/>
          <w:i/>
          <w:sz w:val="22"/>
          <w:szCs w:val="22"/>
        </w:rPr>
        <w:t>, debidamente fundado y motivado, en el que detalle las razones del por qué no obra en sus archivos.”</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Artículo 49.</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Los Comités de Transparencia</w:t>
      </w:r>
      <w:r w:rsidRPr="00AF6A1B">
        <w:rPr>
          <w:rFonts w:ascii="Palatino Linotype" w:eastAsia="Palatino Linotype" w:hAnsi="Palatino Linotype" w:cs="Palatino Linotype"/>
          <w:i/>
          <w:sz w:val="22"/>
          <w:szCs w:val="22"/>
        </w:rPr>
        <w:t xml:space="preserve"> tendrán las siguientes </w:t>
      </w:r>
      <w:r w:rsidRPr="00AF6A1B">
        <w:rPr>
          <w:rFonts w:ascii="Palatino Linotype" w:eastAsia="Palatino Linotype" w:hAnsi="Palatino Linotype" w:cs="Palatino Linotype"/>
          <w:b/>
          <w:i/>
          <w:sz w:val="22"/>
          <w:szCs w:val="22"/>
        </w:rPr>
        <w:t>atribuciones</w:t>
      </w:r>
      <w:r w:rsidRPr="00AF6A1B">
        <w:rPr>
          <w:rFonts w:ascii="Palatino Linotype" w:eastAsia="Palatino Linotype" w:hAnsi="Palatino Linotype" w:cs="Palatino Linotype"/>
          <w:i/>
          <w:sz w:val="22"/>
          <w:szCs w:val="22"/>
        </w:rPr>
        <w:t>:</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Confirmar, modificar o revocar las determinaciones que en materia de</w:t>
      </w:r>
      <w:r w:rsidRPr="00AF6A1B">
        <w:rPr>
          <w:rFonts w:ascii="Palatino Linotype" w:eastAsia="Palatino Linotype" w:hAnsi="Palatino Linotype" w:cs="Palatino Linotype"/>
          <w:i/>
          <w:sz w:val="22"/>
          <w:szCs w:val="22"/>
        </w:rPr>
        <w:t xml:space="preserve"> ampliación del plazo de respuesta, clasificación de la información y </w:t>
      </w:r>
      <w:r w:rsidRPr="00AF6A1B">
        <w:rPr>
          <w:rFonts w:ascii="Palatino Linotype" w:eastAsia="Palatino Linotype" w:hAnsi="Palatino Linotype" w:cs="Palatino Linotype"/>
          <w:b/>
          <w:i/>
          <w:sz w:val="22"/>
          <w:szCs w:val="22"/>
        </w:rPr>
        <w:t>declaración de inexistencia</w:t>
      </w:r>
      <w:r w:rsidRPr="00AF6A1B">
        <w:rPr>
          <w:rFonts w:ascii="Palatino Linotype" w:eastAsia="Palatino Linotype" w:hAnsi="Palatino Linotype" w:cs="Palatino Linotype"/>
          <w:i/>
          <w:sz w:val="22"/>
          <w:szCs w:val="22"/>
        </w:rPr>
        <w:t xml:space="preserve"> o de incompetencia realicen los titulares de las áreas de los sujetos obligados;</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XIII</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Dictaminar las declaratorias de inexistencia de la información</w:t>
      </w:r>
      <w:r w:rsidRPr="00AF6A1B">
        <w:rPr>
          <w:rFonts w:ascii="Palatino Linotype" w:eastAsia="Palatino Linotype" w:hAnsi="Palatino Linotype" w:cs="Palatino Linotype"/>
          <w:i/>
          <w:sz w:val="22"/>
          <w:szCs w:val="22"/>
        </w:rPr>
        <w:t xml:space="preserve"> que les remitan las unidades administrativas y resolver en consecuencia…”</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Artículo 169</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Cuando la información no se encuentre en los archivos del sujeto obligado, el Comité de Transparencia</w:t>
      </w:r>
      <w:r w:rsidRPr="00AF6A1B">
        <w:rPr>
          <w:rFonts w:ascii="Palatino Linotype" w:eastAsia="Palatino Linotype" w:hAnsi="Palatino Linotype" w:cs="Palatino Linotype"/>
          <w:i/>
          <w:sz w:val="22"/>
          <w:szCs w:val="22"/>
        </w:rPr>
        <w:t xml:space="preserve">: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xml:space="preserve"> Analizará el caso y tomará las medidas necesarias para localizar la información;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Expedirá una resolución que confirme la inexistencia del documento</w:t>
      </w:r>
      <w:r w:rsidRPr="00AF6A1B">
        <w:rPr>
          <w:rFonts w:ascii="Palatino Linotype" w:eastAsia="Palatino Linotype" w:hAnsi="Palatino Linotype" w:cs="Palatino Linotype"/>
          <w:i/>
          <w:sz w:val="22"/>
          <w:szCs w:val="22"/>
        </w:rPr>
        <w:t xml:space="preserve">;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w:t>
      </w:r>
      <w:r w:rsidRPr="00AF6A1B">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IV.</w:t>
      </w:r>
      <w:r w:rsidRPr="00AF6A1B">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Artículo 170.</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AF6A1B">
        <w:rPr>
          <w:rFonts w:ascii="Palatino Linotype" w:eastAsia="Palatino Linotype" w:hAnsi="Palatino Linotype" w:cs="Palatino Linotype"/>
          <w:i/>
          <w:sz w:val="22"/>
          <w:szCs w:val="22"/>
        </w:rPr>
        <w:t xml:space="preserve"> </w:t>
      </w:r>
      <w:r w:rsidRPr="00AF6A1B">
        <w:rPr>
          <w:rFonts w:ascii="Palatino Linotype" w:eastAsia="Palatino Linotype" w:hAnsi="Palatino Linotype" w:cs="Palatino Linotype"/>
          <w:b/>
          <w:i/>
          <w:sz w:val="22"/>
          <w:szCs w:val="22"/>
        </w:rPr>
        <w:t>que permitan al solicitante tener la certeza de que se utilizó un criterio de búsqueda exhaustivo</w:t>
      </w:r>
      <w:r w:rsidRPr="00AF6A1B">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xml:space="preserve"> y comprobar la inexistencia de la información.</w:t>
      </w:r>
    </w:p>
    <w:p w:rsidR="00EF0737" w:rsidRPr="00AF6A1B" w:rsidRDefault="005C6A87">
      <w:pPr>
        <w:spacing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INEXISTENCIA. DECLARATORIA DE LA. ALCANCES Y PROCEDIMIENTOS</w:t>
      </w:r>
      <w:r w:rsidRPr="00AF6A1B">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Bajo el entendido de que dicha búsqueda exhaustiva permitirá dos determinaciones: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1ª)</w:t>
      </w:r>
      <w:r w:rsidRPr="00AF6A1B">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2ª)</w:t>
      </w:r>
      <w:r w:rsidRPr="00AF6A1B">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rsidR="00EF0737" w:rsidRPr="00AF6A1B" w:rsidRDefault="005C6A87">
      <w:pPr>
        <w:spacing w:before="240" w:after="240"/>
        <w:ind w:left="851" w:right="900"/>
        <w:jc w:val="both"/>
        <w:rPr>
          <w:rFonts w:ascii="Palatino Linotype" w:eastAsia="Palatino Linotype" w:hAnsi="Palatino Linotype" w:cs="Palatino Linotype"/>
        </w:rPr>
      </w:pPr>
      <w:r w:rsidRPr="00AF6A1B">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INEXISTENCIA, CONCEPTO DE, EN MATERIA DE TRANSPARENCIA</w:t>
      </w:r>
      <w:r w:rsidRPr="00AF6A1B">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AF6A1B">
        <w:rPr>
          <w:rFonts w:ascii="Palatino Linotype" w:eastAsia="Palatino Linotype" w:hAnsi="Palatino Linotype" w:cs="Palatino Linotype"/>
          <w:b/>
          <w:i/>
          <w:sz w:val="22"/>
          <w:szCs w:val="22"/>
        </w:rPr>
        <w:t>supuestos:</w:t>
      </w:r>
      <w:r w:rsidRPr="00AF6A1B">
        <w:rPr>
          <w:rFonts w:ascii="Palatino Linotype" w:eastAsia="Palatino Linotype" w:hAnsi="Palatino Linotype" w:cs="Palatino Linotype"/>
          <w:i/>
          <w:sz w:val="22"/>
          <w:szCs w:val="22"/>
        </w:rPr>
        <w:t xml:space="preserve"> </w:t>
      </w:r>
    </w:p>
    <w:p w:rsidR="00EF0737" w:rsidRPr="00AF6A1B" w:rsidRDefault="005C6A87">
      <w:pPr>
        <w:numPr>
          <w:ilvl w:val="0"/>
          <w:numId w:val="7"/>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EF0737" w:rsidRPr="00AF6A1B" w:rsidRDefault="005C6A87">
      <w:pPr>
        <w:numPr>
          <w:ilvl w:val="0"/>
          <w:numId w:val="7"/>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AF6A1B">
        <w:rPr>
          <w:rFonts w:ascii="Palatino Linotype" w:eastAsia="Palatino Linotype" w:hAnsi="Palatino Linotype" w:cs="Palatino Linotype"/>
          <w:b/>
          <w:i/>
          <w:sz w:val="22"/>
          <w:szCs w:val="22"/>
        </w:rPr>
        <w:t>ninguna</w:t>
      </w:r>
      <w:proofErr w:type="gramEnd"/>
      <w:r w:rsidRPr="00AF6A1B">
        <w:rPr>
          <w:rFonts w:ascii="Palatino Linotype" w:eastAsia="Palatino Linotype" w:hAnsi="Palatino Linotype" w:cs="Palatino Linotype"/>
          <w:b/>
          <w:i/>
          <w:sz w:val="22"/>
          <w:szCs w:val="22"/>
        </w:rPr>
        <w:t xml:space="preserve"> de esas acciones. </w:t>
      </w:r>
    </w:p>
    <w:p w:rsidR="00EF0737" w:rsidRPr="00AF6A1B" w:rsidRDefault="005C6A87">
      <w:pPr>
        <w:spacing w:before="240" w:after="24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AF6A1B">
        <w:rPr>
          <w:rFonts w:ascii="Palatino Linotype" w:eastAsia="Palatino Linotype" w:hAnsi="Palatino Linotype" w:cs="Palatino Linotype"/>
          <w:b/>
        </w:rPr>
        <w:t xml:space="preserve">, </w:t>
      </w:r>
      <w:r w:rsidRPr="00AF6A1B">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de instruir una búsqueda exhaustiva a todas y cada una de las áreas administrativas de las que se compone, que permitirá:</w:t>
      </w:r>
    </w:p>
    <w:p w:rsidR="00EF0737" w:rsidRPr="00AF6A1B" w:rsidRDefault="005C6A87">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De actualizarse esta primera hipótesis, la información debe entregarse al </w:t>
      </w:r>
      <w:r w:rsidRPr="00AF6A1B">
        <w:rPr>
          <w:rFonts w:ascii="Palatino Linotype" w:eastAsia="Palatino Linotype" w:hAnsi="Palatino Linotype" w:cs="Palatino Linotype"/>
          <w:b/>
          <w:i/>
        </w:rPr>
        <w:t xml:space="preserve">Recurrente </w:t>
      </w:r>
      <w:r w:rsidRPr="00AF6A1B">
        <w:rPr>
          <w:rFonts w:ascii="Palatino Linotype" w:eastAsia="Palatino Linotype" w:hAnsi="Palatino Linotype" w:cs="Palatino Linotype"/>
        </w:rPr>
        <w:t>a través del o los documentos fuente.</w:t>
      </w:r>
    </w:p>
    <w:p w:rsidR="00EF0737" w:rsidRPr="00AF6A1B" w:rsidRDefault="005C6A87">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AF6A1B">
        <w:rPr>
          <w:rFonts w:ascii="Palatino Linotype" w:eastAsia="Palatino Linotype" w:hAnsi="Palatino Linotype" w:cs="Palatino Linotype"/>
          <w:b/>
          <w:i/>
        </w:rPr>
        <w:t xml:space="preserve"> </w:t>
      </w:r>
      <w:r w:rsidRPr="00AF6A1B">
        <w:rPr>
          <w:rFonts w:ascii="Palatino Linotype" w:eastAsia="Palatino Linotype" w:hAnsi="Palatino Linotype" w:cs="Palatino Linotype"/>
        </w:rPr>
        <w:t>y a este Pleno.</w:t>
      </w:r>
    </w:p>
    <w:p w:rsidR="00EF0737" w:rsidRPr="00AF6A1B" w:rsidRDefault="005C6A87">
      <w:pPr>
        <w:numPr>
          <w:ilvl w:val="0"/>
          <w:numId w:val="6"/>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AF6A1B">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rsidR="00EF0737" w:rsidRPr="00AF6A1B" w:rsidRDefault="005C6A87">
      <w:pPr>
        <w:numPr>
          <w:ilvl w:val="0"/>
          <w:numId w:val="1"/>
        </w:numPr>
        <w:pBdr>
          <w:top w:val="nil"/>
          <w:left w:val="nil"/>
          <w:bottom w:val="nil"/>
          <w:right w:val="nil"/>
          <w:between w:val="nil"/>
        </w:pBdr>
        <w:spacing w:after="16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b/>
        </w:rPr>
        <w:t>Del formato de entrega de la información solicitada.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Expuesto lo anterior, no escapa de la óptica de este Instituto que la información se requirió en formato abierto, como </w:t>
      </w:r>
      <w:proofErr w:type="spellStart"/>
      <w:r w:rsidRPr="00AF6A1B">
        <w:rPr>
          <w:rFonts w:ascii="Palatino Linotype" w:eastAsia="Palatino Linotype" w:hAnsi="Palatino Linotype" w:cs="Palatino Linotype"/>
        </w:rPr>
        <w:t>xls</w:t>
      </w:r>
      <w:proofErr w:type="spellEnd"/>
      <w:r w:rsidRPr="00AF6A1B">
        <w:rPr>
          <w:rFonts w:ascii="Palatino Linotype" w:eastAsia="Palatino Linotype" w:hAnsi="Palatino Linotype" w:cs="Palatino Linotype"/>
        </w:rPr>
        <w:t xml:space="preserve"> o </w:t>
      </w:r>
      <w:proofErr w:type="spellStart"/>
      <w:r w:rsidRPr="00AF6A1B">
        <w:rPr>
          <w:rFonts w:ascii="Palatino Linotype" w:eastAsia="Palatino Linotype" w:hAnsi="Palatino Linotype" w:cs="Palatino Linotype"/>
        </w:rPr>
        <w:t>cvs</w:t>
      </w:r>
      <w:proofErr w:type="spellEnd"/>
      <w:r w:rsidRPr="00AF6A1B">
        <w:rPr>
          <w:rFonts w:ascii="Palatino Linotype" w:eastAsia="Palatino Linotype" w:hAnsi="Palatino Linotype" w:cs="Palatino Linotype"/>
        </w:rPr>
        <w:t xml:space="preserve">., por lo que resulta importante apuntar que, en términos del artículo 3 fracción XVI de la Ley de Acceso a la Información Pública del Estado de México y Municipios, los datos abiertos son entendidos como </w:t>
      </w:r>
      <w:r w:rsidRPr="00AF6A1B">
        <w:rPr>
          <w:rFonts w:ascii="Palatino Linotype" w:eastAsia="Palatino Linotype" w:hAnsi="Palatino Linotype" w:cs="Palatino Linotype"/>
          <w:i/>
        </w:rPr>
        <w:t xml:space="preserve">el conjunto de características técnicas y de presentación de la información que corresponden a la estructura lógica usada para almacenar datos de forma integral y </w:t>
      </w:r>
      <w:r w:rsidRPr="00AF6A1B">
        <w:rPr>
          <w:rFonts w:ascii="Palatino Linotype" w:eastAsia="Palatino Linotype" w:hAnsi="Palatino Linotype" w:cs="Palatino Linotype"/>
          <w:b/>
          <w:i/>
        </w:rPr>
        <w:t>facilitan su procesamiento digital</w:t>
      </w:r>
      <w:r w:rsidRPr="00AF6A1B">
        <w:rPr>
          <w:rFonts w:ascii="Palatino Linotype" w:eastAsia="Palatino Linotype" w:hAnsi="Palatino Linotype" w:cs="Palatino Linotype"/>
          <w:i/>
        </w:rPr>
        <w:t xml:space="preserve">, cuyas especificaciones están disponibles públicamente y que </w:t>
      </w:r>
      <w:r w:rsidRPr="00AF6A1B">
        <w:rPr>
          <w:rFonts w:ascii="Palatino Linotype" w:eastAsia="Palatino Linotype" w:hAnsi="Palatino Linotype" w:cs="Palatino Linotype"/>
          <w:b/>
          <w:i/>
        </w:rPr>
        <w:t>permiten el acceso sin restricción de uso</w:t>
      </w:r>
      <w:r w:rsidRPr="00AF6A1B">
        <w:rPr>
          <w:rFonts w:ascii="Palatino Linotype" w:eastAsia="Palatino Linotype" w:hAnsi="Palatino Linotype" w:cs="Palatino Linotype"/>
          <w:i/>
        </w:rPr>
        <w:t xml:space="preserve"> por parte de los usuarios</w:t>
      </w:r>
      <w:r w:rsidRPr="00AF6A1B">
        <w:rPr>
          <w:rFonts w:ascii="Palatino Linotype" w:eastAsia="Palatino Linotype" w:hAnsi="Palatino Linotype" w:cs="Palatino Linotype"/>
        </w:rPr>
        <w:t>.</w:t>
      </w:r>
    </w:p>
    <w:p w:rsidR="00EF0737" w:rsidRPr="00AF6A1B" w:rsidRDefault="005C6A87">
      <w:pPr>
        <w:spacing w:before="240" w:after="240" w:line="360" w:lineRule="auto"/>
        <w:ind w:right="51"/>
        <w:jc w:val="both"/>
        <w:rPr>
          <w:rFonts w:ascii="Palatino Linotype" w:eastAsia="Palatino Linotype" w:hAnsi="Palatino Linotype" w:cs="Palatino Linotype"/>
        </w:rPr>
      </w:pPr>
      <w:r w:rsidRPr="00AF6A1B">
        <w:rPr>
          <w:rFonts w:ascii="Palatino Linotype" w:eastAsia="Palatino Linotype" w:hAnsi="Palatino Linotype" w:cs="Palatino Linotype"/>
        </w:rPr>
        <w:t>En el mismo tenor, el Diccionario de Transparencia y Acceso a la Información Pública del Instituto Nacional de Transparencia, Acceso a la Información y protección de Datos Personales, INAI, define el “formato abierto” como se lee a continuación:</w:t>
      </w:r>
    </w:p>
    <w:p w:rsidR="00EF0737" w:rsidRPr="00AF6A1B" w:rsidRDefault="005C6A87">
      <w:pPr>
        <w:spacing w:before="120" w:after="12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“Formato abierto</w:t>
      </w:r>
      <w:r w:rsidRPr="00AF6A1B">
        <w:rPr>
          <w:rFonts w:ascii="Palatino Linotype" w:eastAsia="Palatino Linotype" w:hAnsi="Palatino Linotype" w:cs="Palatino Linotype"/>
          <w:i/>
          <w:sz w:val="22"/>
          <w:szCs w:val="22"/>
        </w:rPr>
        <w:t xml:space="preserve"> </w:t>
      </w:r>
    </w:p>
    <w:p w:rsidR="00EF0737" w:rsidRPr="00AF6A1B" w:rsidRDefault="005C6A87">
      <w:pPr>
        <w:spacing w:before="120" w:after="120"/>
        <w:ind w:left="851" w:right="900"/>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Cuando un sujeto obligado proporciona información pública de manera electrónica </w:t>
      </w:r>
      <w:r w:rsidRPr="00AF6A1B">
        <w:rPr>
          <w:rFonts w:ascii="Palatino Linotype" w:eastAsia="Palatino Linotype" w:hAnsi="Palatino Linotype" w:cs="Palatino Linotype"/>
          <w:b/>
          <w:i/>
          <w:sz w:val="22"/>
          <w:szCs w:val="22"/>
        </w:rPr>
        <w:t>es necesario garantizar su interoperabilidad</w:t>
      </w:r>
      <w:r w:rsidRPr="00AF6A1B">
        <w:rPr>
          <w:rFonts w:ascii="Palatino Linotype" w:eastAsia="Palatino Linotype" w:hAnsi="Palatino Linotype" w:cs="Palatino Linotype"/>
          <w:i/>
          <w:sz w:val="22"/>
          <w:szCs w:val="22"/>
        </w:rPr>
        <w:t xml:space="preserve">. Es decir, </w:t>
      </w:r>
      <w:r w:rsidRPr="00AF6A1B">
        <w:rPr>
          <w:rFonts w:ascii="Palatino Linotype" w:eastAsia="Palatino Linotype" w:hAnsi="Palatino Linotype" w:cs="Palatino Linotype"/>
          <w:b/>
          <w:i/>
          <w:sz w:val="22"/>
          <w:szCs w:val="22"/>
        </w:rPr>
        <w:t xml:space="preserve">que esta información </w:t>
      </w:r>
      <w:r w:rsidRPr="00AF6A1B">
        <w:rPr>
          <w:rFonts w:ascii="Palatino Linotype" w:eastAsia="Palatino Linotype" w:hAnsi="Palatino Linotype" w:cs="Palatino Linotype"/>
          <w:b/>
          <w:i/>
          <w:sz w:val="22"/>
          <w:szCs w:val="22"/>
          <w:u w:val="single"/>
        </w:rPr>
        <w:t>contenga datos en formatos y estándares abiertos para su reproducción y reutilización electrónica</w:t>
      </w:r>
      <w:r w:rsidRPr="00AF6A1B">
        <w:rPr>
          <w:rFonts w:ascii="Palatino Linotype" w:eastAsia="Palatino Linotype" w:hAnsi="Palatino Linotype" w:cs="Palatino Linotype"/>
          <w:b/>
          <w:i/>
          <w:sz w:val="22"/>
          <w:szCs w:val="22"/>
        </w:rPr>
        <w:t>; de manera libre, sin ninguna restricción, obligación o compensación</w:t>
      </w:r>
      <w:r w:rsidRPr="00AF6A1B">
        <w:rPr>
          <w:rFonts w:ascii="Palatino Linotype" w:eastAsia="Palatino Linotype" w:hAnsi="Palatino Linotype" w:cs="Palatino Linotype"/>
          <w:i/>
          <w:sz w:val="22"/>
          <w:szCs w:val="22"/>
        </w:rPr>
        <w:t xml:space="preserve"> (Media </w:t>
      </w:r>
      <w:proofErr w:type="spellStart"/>
      <w:r w:rsidRPr="00AF6A1B">
        <w:rPr>
          <w:rFonts w:ascii="Palatino Linotype" w:eastAsia="Palatino Linotype" w:hAnsi="Palatino Linotype" w:cs="Palatino Linotype"/>
          <w:i/>
          <w:sz w:val="22"/>
          <w:szCs w:val="22"/>
        </w:rPr>
        <w:t>April</w:t>
      </w:r>
      <w:proofErr w:type="spellEnd"/>
      <w:r w:rsidRPr="00AF6A1B">
        <w:rPr>
          <w:rFonts w:ascii="Palatino Linotype" w:eastAsia="Palatino Linotype" w:hAnsi="Palatino Linotype" w:cs="Palatino Linotype"/>
          <w:i/>
          <w:sz w:val="22"/>
          <w:szCs w:val="22"/>
        </w:rPr>
        <w:t xml:space="preserve">, 2017). La información no está en un formato 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rsidR="00EF0737" w:rsidRPr="00AF6A1B" w:rsidRDefault="005C6A87">
      <w:pPr>
        <w:spacing w:before="240" w:after="240" w:line="360" w:lineRule="auto"/>
        <w:ind w:right="51"/>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De igual forma,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rsidR="00821152" w:rsidRPr="00AF6A1B" w:rsidRDefault="00821152">
      <w:pPr>
        <w:spacing w:before="240" w:after="240" w:line="360" w:lineRule="auto"/>
        <w:ind w:right="51"/>
        <w:jc w:val="both"/>
        <w:rPr>
          <w:rFonts w:ascii="Palatino Linotype" w:eastAsia="Palatino Linotype" w:hAnsi="Palatino Linotype" w:cs="Palatino Linotype"/>
        </w:rPr>
      </w:pPr>
    </w:p>
    <w:p w:rsidR="00821152" w:rsidRPr="00AF6A1B" w:rsidRDefault="00821152">
      <w:pPr>
        <w:spacing w:before="240" w:after="240" w:line="360" w:lineRule="auto"/>
        <w:ind w:right="51"/>
        <w:jc w:val="both"/>
        <w:rPr>
          <w:rFonts w:ascii="Palatino Linotype" w:eastAsia="Palatino Linotype" w:hAnsi="Palatino Linotype" w:cs="Palatino Linotype"/>
        </w:rPr>
      </w:pPr>
    </w:p>
    <w:p w:rsidR="00EF0737" w:rsidRPr="00AF6A1B" w:rsidRDefault="005C6A87">
      <w:pPr>
        <w:spacing w:line="276" w:lineRule="auto"/>
        <w:ind w:left="851" w:right="902"/>
        <w:jc w:val="both"/>
        <w:rPr>
          <w:rFonts w:ascii="Palatino Linotype" w:eastAsia="Palatino Linotype" w:hAnsi="Palatino Linotype" w:cs="Palatino Linotype"/>
          <w:b/>
          <w:i/>
          <w:sz w:val="22"/>
          <w:szCs w:val="22"/>
        </w:rPr>
      </w:pPr>
      <w:r w:rsidRPr="00AF6A1B">
        <w:rPr>
          <w:rFonts w:ascii="Palatino Linotype" w:eastAsia="Palatino Linotype" w:hAnsi="Palatino Linotype" w:cs="Palatino Linotype"/>
          <w:b/>
          <w:i/>
          <w:sz w:val="22"/>
          <w:szCs w:val="22"/>
        </w:rPr>
        <w:t>“...</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 Accesibles:</w:t>
      </w:r>
      <w:r w:rsidRPr="00AF6A1B">
        <w:rPr>
          <w:rFonts w:ascii="Palatino Linotype" w:eastAsia="Palatino Linotype" w:hAnsi="Palatino Linotype" w:cs="Palatino Linotype"/>
          <w:i/>
          <w:sz w:val="22"/>
          <w:szCs w:val="22"/>
        </w:rPr>
        <w:t xml:space="preserve"> Los datos están disponibles para la gama más amplia de usuarios, para cualquier propósito; </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b) Integrales</w:t>
      </w:r>
      <w:r w:rsidRPr="00AF6A1B">
        <w:rPr>
          <w:rFonts w:ascii="Palatino Linotype" w:eastAsia="Palatino Linotype" w:hAnsi="Palatino Linotype" w:cs="Palatino Linotype"/>
          <w:i/>
          <w:sz w:val="22"/>
          <w:szCs w:val="22"/>
        </w:rPr>
        <w:t xml:space="preserve">: Contienen el tema que describen a detalle y con los metadatos necesarios; </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c) Gratuitos</w:t>
      </w:r>
      <w:r w:rsidRPr="00AF6A1B">
        <w:rPr>
          <w:rFonts w:ascii="Palatino Linotype" w:eastAsia="Palatino Linotype" w:hAnsi="Palatino Linotype" w:cs="Palatino Linotype"/>
          <w:i/>
          <w:sz w:val="22"/>
          <w:szCs w:val="22"/>
        </w:rPr>
        <w:t xml:space="preserve">: Se obtienen sin entregar a cambio contraprestación alguna; </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d) No discriminatorios</w:t>
      </w:r>
      <w:r w:rsidRPr="00AF6A1B">
        <w:rPr>
          <w:rFonts w:ascii="Palatino Linotype" w:eastAsia="Palatino Linotype" w:hAnsi="Palatino Linotype" w:cs="Palatino Linotype"/>
          <w:i/>
          <w:sz w:val="22"/>
          <w:szCs w:val="22"/>
        </w:rPr>
        <w:t xml:space="preserve">: Los datos están disponibles para cualquier persona, sin necesidad de registro; </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e) Oportunos:</w:t>
      </w:r>
      <w:r w:rsidRPr="00AF6A1B">
        <w:rPr>
          <w:rFonts w:ascii="Palatino Linotype" w:eastAsia="Palatino Linotype" w:hAnsi="Palatino Linotype" w:cs="Palatino Linotype"/>
          <w:i/>
          <w:sz w:val="22"/>
          <w:szCs w:val="22"/>
        </w:rPr>
        <w:t xml:space="preserve"> Son actualizados, periódicamente, conforme se generen; </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f) Permanentes</w:t>
      </w:r>
      <w:r w:rsidRPr="00AF6A1B">
        <w:rPr>
          <w:rFonts w:ascii="Palatino Linotype" w:eastAsia="Palatino Linotype" w:hAnsi="Palatino Linotype" w:cs="Palatino Linotype"/>
          <w:i/>
          <w:sz w:val="22"/>
          <w:szCs w:val="22"/>
        </w:rPr>
        <w:t xml:space="preserve">: Se conservan en el tiempo, para lo cual, las versiones históricas relevantes para uso público se mantendrán disponibles con identificadores adecuados al efecto; </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g) Primarios:</w:t>
      </w:r>
      <w:r w:rsidRPr="00AF6A1B">
        <w:rPr>
          <w:rFonts w:ascii="Palatino Linotype" w:eastAsia="Palatino Linotype" w:hAnsi="Palatino Linotype" w:cs="Palatino Linotype"/>
          <w:i/>
          <w:sz w:val="22"/>
          <w:szCs w:val="22"/>
        </w:rPr>
        <w:t xml:space="preserve"> Provienen de la fuente de origen con el máximo nivel de desagregación posible; </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h) Legibles por máquinas</w:t>
      </w:r>
      <w:r w:rsidRPr="00AF6A1B">
        <w:rPr>
          <w:rFonts w:ascii="Palatino Linotype" w:eastAsia="Palatino Linotype" w:hAnsi="Palatino Linotype" w:cs="Palatino Linotype"/>
          <w:i/>
          <w:sz w:val="22"/>
          <w:szCs w:val="22"/>
        </w:rPr>
        <w:t xml:space="preserve">: Deberán estar estructurados, total o parcialmente, para ser procesados e interpretados por equipos electrónicos de manera automática; </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 En formatos abiertos</w:t>
      </w:r>
      <w:r w:rsidRPr="00AF6A1B">
        <w:rPr>
          <w:rFonts w:ascii="Palatino Linotype" w:eastAsia="Palatino Linotype" w:hAnsi="Palatino Linotype" w:cs="Palatino Linotype"/>
          <w:i/>
          <w:sz w:val="22"/>
          <w:szCs w:val="22"/>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EF0737" w:rsidRPr="00AF6A1B" w:rsidRDefault="005C6A87">
      <w:pPr>
        <w:spacing w:line="276" w:lineRule="auto"/>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j) De libre uso</w:t>
      </w:r>
      <w:r w:rsidRPr="00AF6A1B">
        <w:rPr>
          <w:rFonts w:ascii="Palatino Linotype" w:eastAsia="Palatino Linotype" w:hAnsi="Palatino Linotype" w:cs="Palatino Linotype"/>
          <w:i/>
          <w:sz w:val="22"/>
          <w:szCs w:val="22"/>
        </w:rPr>
        <w:t>: Citan la fuente de origen como único requerimiento para ser utilizados libremente.”</w:t>
      </w:r>
    </w:p>
    <w:p w:rsidR="00EF0737" w:rsidRPr="00AF6A1B" w:rsidRDefault="005C6A8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De lo hasta aquí expuesto, se concluye si bien la persona solicitante requirió la información en datos abiertos en formatos específicos como </w:t>
      </w:r>
      <w:proofErr w:type="spellStart"/>
      <w:r w:rsidRPr="00AF6A1B">
        <w:rPr>
          <w:rFonts w:ascii="Palatino Linotype" w:eastAsia="Palatino Linotype" w:hAnsi="Palatino Linotype" w:cs="Palatino Linotype"/>
        </w:rPr>
        <w:t>xls</w:t>
      </w:r>
      <w:proofErr w:type="spellEnd"/>
      <w:r w:rsidRPr="00AF6A1B">
        <w:rPr>
          <w:rFonts w:ascii="Palatino Linotype" w:eastAsia="Palatino Linotype" w:hAnsi="Palatino Linotype" w:cs="Palatino Linotype"/>
        </w:rPr>
        <w:t xml:space="preserve"> o </w:t>
      </w:r>
      <w:proofErr w:type="spellStart"/>
      <w:r w:rsidRPr="00AF6A1B">
        <w:rPr>
          <w:rFonts w:ascii="Palatino Linotype" w:eastAsia="Palatino Linotype" w:hAnsi="Palatino Linotype" w:cs="Palatino Linotype"/>
        </w:rPr>
        <w:t>cvs</w:t>
      </w:r>
      <w:proofErr w:type="spellEnd"/>
      <w:r w:rsidRPr="00AF6A1B">
        <w:rPr>
          <w:rFonts w:ascii="Palatino Linotype" w:eastAsia="Palatino Linotype" w:hAnsi="Palatino Linotype" w:cs="Palatino Linotype"/>
        </w:rPr>
        <w:t xml:space="preserve">; bastara que 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la entregue en el formato en el que lo generó o que obre en sus archivos que permita su reutilización, derivado de los argumentos expuestos, para tener por satisfecho el Derecho de acceso a la información.</w:t>
      </w:r>
    </w:p>
    <w:p w:rsidR="00821152" w:rsidRPr="00AF6A1B" w:rsidRDefault="0082115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rsidR="00EF0737" w:rsidRPr="00AF6A1B" w:rsidRDefault="005C6A8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b/>
        </w:rPr>
        <w:t>De las coordenadas geográficas.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Para el caso de contar con información relacionada con las coordenadas geográficas de los lugares donde sucedieron los hechos presuntamente delictivos o de faltas administrativas, es pertinente señalar que esta información permite localizar domicilios concretos, que pueden pertenecen a particulares, corresponde a datos personales confidenciales, conforme a los siguientes razonamientos: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Domicilio particular.</w:t>
      </w:r>
      <w:r w:rsidRPr="00AF6A1B">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EF0737" w:rsidRPr="00AF6A1B" w:rsidRDefault="005C6A87">
      <w:pPr>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rPr>
        <w:t>De la misma manera, lo establece el artículo 29 del Código Civil Federal, al precisar que el domicilio de personas físicas</w:t>
      </w:r>
      <w:r w:rsidRPr="00AF6A1B">
        <w:rPr>
          <w:rFonts w:ascii="Palatino Linotype" w:eastAsia="Palatino Linotype" w:hAnsi="Palatino Linotype" w:cs="Palatino Linotype"/>
          <w:b/>
        </w:rPr>
        <w:t xml:space="preserve">, es el lugar donde residen habitualmente, el lugar del centro principal de sus negocios, donde residan o el lugar donde se encuentren. </w:t>
      </w:r>
      <w:r w:rsidRPr="00AF6A1B">
        <w:rPr>
          <w:rFonts w:ascii="Palatino Linotype" w:eastAsia="Palatino Linotype" w:hAnsi="Palatino Linotype" w:cs="Palatino Linotype"/>
        </w:rPr>
        <w:t>Además, respecto al domicilio particular se presume que corresponde al lugar donde reside habitualmente</w:t>
      </w:r>
      <w:r w:rsidRPr="00AF6A1B">
        <w:rPr>
          <w:rFonts w:ascii="Palatino Linotype" w:eastAsia="Palatino Linotype" w:hAnsi="Palatino Linotype" w:cs="Palatino Linotype"/>
          <w:b/>
        </w:rPr>
        <w:t>.</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Así pues, el domicilio y los elementos que puedan identificarlo deben ser considerados como información confidencial, en los términos antes expuestos; así pues, es procedente, ordenar la entrega de la base de datos que fue remitida en informe justificado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rsidR="00EF0737" w:rsidRPr="00AF6A1B" w:rsidRDefault="005C6A87">
      <w:pPr>
        <w:spacing w:before="240" w:after="240" w:line="360" w:lineRule="auto"/>
        <w:ind w:right="49"/>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De lo hasta aquí expuesto, se concluye que los motivos de inconformidad de la parte </w:t>
      </w:r>
      <w:r w:rsidRPr="00AF6A1B">
        <w:rPr>
          <w:rFonts w:ascii="Palatino Linotype" w:eastAsia="Palatino Linotype" w:hAnsi="Palatino Linotype" w:cs="Palatino Linotype"/>
          <w:b/>
        </w:rPr>
        <w:t xml:space="preserve">Recurrente </w:t>
      </w:r>
      <w:r w:rsidRPr="00AF6A1B">
        <w:rPr>
          <w:rFonts w:ascii="Palatino Linotype" w:eastAsia="Palatino Linotype" w:hAnsi="Palatino Linotype" w:cs="Palatino Linotype"/>
        </w:rPr>
        <w:t xml:space="preserve">devienen fundados, siendo procedente </w:t>
      </w:r>
      <w:r w:rsidRPr="00AF6A1B">
        <w:rPr>
          <w:rFonts w:ascii="Palatino Linotype" w:eastAsia="Palatino Linotype" w:hAnsi="Palatino Linotype" w:cs="Palatino Linotype"/>
          <w:i/>
        </w:rPr>
        <w:t>Revocar</w:t>
      </w:r>
      <w:r w:rsidRPr="00AF6A1B">
        <w:rPr>
          <w:rFonts w:ascii="Palatino Linotype" w:eastAsia="Palatino Linotype" w:hAnsi="Palatino Linotype" w:cs="Palatino Linotype"/>
        </w:rPr>
        <w:t xml:space="preserve"> la respuesta proporcionada por el </w:t>
      </w:r>
      <w:r w:rsidRPr="00AF6A1B">
        <w:rPr>
          <w:rFonts w:ascii="Palatino Linotype" w:eastAsia="Palatino Linotype" w:hAnsi="Palatino Linotype" w:cs="Palatino Linotype"/>
          <w:b/>
        </w:rPr>
        <w:t xml:space="preserve">Sujeto Obligado </w:t>
      </w:r>
      <w:r w:rsidRPr="00AF6A1B">
        <w:rPr>
          <w:rFonts w:ascii="Palatino Linotype" w:eastAsia="Palatino Linotype" w:hAnsi="Palatino Linotype" w:cs="Palatino Linotype"/>
        </w:rPr>
        <w:t>en términos del artículo 186 fracción III de la Ley de Transparencia y Acceso a la Información Pública del Estado de México y Municipios.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Quinto. Versión Pública.</w:t>
      </w:r>
      <w:r w:rsidRPr="00AF6A1B">
        <w:rPr>
          <w:rFonts w:ascii="Palatino Linotype" w:eastAsia="Palatino Linotype" w:hAnsi="Palatino Linotype" w:cs="Palatino Linotype"/>
          <w:sz w:val="28"/>
          <w:szCs w:val="28"/>
        </w:rPr>
        <w:t xml:space="preserve"> </w:t>
      </w:r>
      <w:r w:rsidRPr="00AF6A1B">
        <w:rPr>
          <w:rFonts w:ascii="Palatino Linotype" w:eastAsia="Palatino Linotype" w:hAnsi="Palatino Linotype" w:cs="Palatino Linotype"/>
        </w:rPr>
        <w:t>Finalmente, debe señalarse que de ser el caso en que los documentos que vayan a ser entregados por el</w:t>
      </w:r>
      <w:r w:rsidRPr="00AF6A1B">
        <w:rPr>
          <w:rFonts w:ascii="Palatino Linotype" w:eastAsia="Palatino Linotype" w:hAnsi="Palatino Linotype" w:cs="Palatino Linotype"/>
          <w:b/>
        </w:rPr>
        <w:t xml:space="preserve"> </w:t>
      </w:r>
      <w:r w:rsidRPr="00AF6A1B">
        <w:rPr>
          <w:rFonts w:ascii="Palatino Linotype" w:eastAsia="Palatino Linotype" w:hAnsi="Palatino Linotype" w:cs="Palatino Linotype"/>
        </w:rPr>
        <w:t xml:space="preserve">sujeto obligado, para dar cumplimiento a la presente resolución, contengan datos que deban ser clasificados, 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AF6A1B">
        <w:rPr>
          <w:rFonts w:ascii="Palatino Linotype" w:eastAsia="Palatino Linotype" w:hAnsi="Palatino Linotype" w:cs="Palatino Linotype"/>
        </w:rPr>
        <w:t>fracción</w:t>
      </w:r>
      <w:proofErr w:type="gramEnd"/>
      <w:r w:rsidRPr="00AF6A1B">
        <w:rPr>
          <w:rFonts w:ascii="Palatino Linotype" w:eastAsia="Palatino Linotype" w:hAnsi="Palatino Linotype" w:cs="Palatino Linotype"/>
        </w:rPr>
        <w:t xml:space="preserve"> I de la Ley de Transparencia y Acceso a la Información Pública del Estado de México y Municipios que establecen:</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r w:rsidRPr="00AF6A1B">
        <w:rPr>
          <w:rFonts w:ascii="Palatino Linotype" w:eastAsia="Palatino Linotype" w:hAnsi="Palatino Linotype" w:cs="Palatino Linotype"/>
          <w:b/>
          <w:i/>
          <w:sz w:val="22"/>
          <w:szCs w:val="22"/>
        </w:rPr>
        <w:t>Artículo 3</w:t>
      </w:r>
      <w:r w:rsidRPr="00AF6A1B">
        <w:rPr>
          <w:rFonts w:ascii="Palatino Linotype" w:eastAsia="Palatino Linotype" w:hAnsi="Palatino Linotype" w:cs="Palatino Linotype"/>
          <w:i/>
          <w:sz w:val="22"/>
          <w:szCs w:val="22"/>
        </w:rPr>
        <w:t>. Para los efectos de la presente Ley se entenderá por:</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IX. Datos personales</w:t>
      </w:r>
      <w:r w:rsidRPr="00AF6A1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XX. Información clasificada</w:t>
      </w:r>
      <w:r w:rsidRPr="00AF6A1B">
        <w:rPr>
          <w:rFonts w:ascii="Palatino Linotype" w:eastAsia="Palatino Linotype" w:hAnsi="Palatino Linotype" w:cs="Palatino Linotype"/>
          <w:i/>
          <w:sz w:val="22"/>
          <w:szCs w:val="22"/>
        </w:rPr>
        <w:t>: Aquella considerada por la presente Ley como reservada o confidencial;</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 xml:space="preserve">XXI. Información confidencial: </w:t>
      </w:r>
      <w:r w:rsidRPr="00AF6A1B">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XLV. Versión pública:</w:t>
      </w:r>
      <w:r w:rsidRPr="00AF6A1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91.</w:t>
      </w:r>
      <w:r w:rsidRPr="00AF6A1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132.</w:t>
      </w:r>
      <w:r w:rsidRPr="00AF6A1B">
        <w:rPr>
          <w:rFonts w:ascii="Palatino Linotype" w:eastAsia="Palatino Linotype" w:hAnsi="Palatino Linotype" w:cs="Palatino Linotype"/>
          <w:i/>
          <w:sz w:val="22"/>
          <w:szCs w:val="22"/>
        </w:rPr>
        <w:t xml:space="preserve"> La clasificación de la información se llevará a cabo en el momento en que:</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Se reciba una solicitud de acceso a la información;</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Se determine mediante resolución de autoridad competente; 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w:t>
      </w:r>
      <w:r w:rsidRPr="00AF6A1B">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Artículo 143</w:t>
      </w:r>
      <w:r w:rsidRPr="00AF6A1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AF6A1B">
        <w:rPr>
          <w:rFonts w:ascii="Palatino Linotype" w:eastAsia="Palatino Linotype" w:hAnsi="Palatino Linotype" w:cs="Palatino Linotype"/>
          <w:i/>
          <w:sz w:val="22"/>
          <w:szCs w:val="22"/>
        </w:rPr>
        <w:t>jurídico</w:t>
      </w:r>
      <w:proofErr w:type="gramEnd"/>
      <w:r w:rsidRPr="00AF6A1B">
        <w:rPr>
          <w:rFonts w:ascii="Palatino Linotype" w:eastAsia="Palatino Linotype" w:hAnsi="Palatino Linotype" w:cs="Palatino Linotype"/>
          <w:i/>
          <w:sz w:val="22"/>
          <w:szCs w:val="22"/>
        </w:rPr>
        <w:t xml:space="preserve"> colectiva identificada o identificable;</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w:t>
      </w:r>
      <w:r w:rsidRPr="00AF6A1B">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“Quincuagésimo sexto</w:t>
      </w:r>
      <w:r w:rsidRPr="00AF6A1B">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Quincuagésimo séptimo</w:t>
      </w:r>
      <w:r w:rsidRPr="00AF6A1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w:t>
      </w:r>
      <w:r w:rsidRPr="00AF6A1B">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w:t>
      </w:r>
      <w:r w:rsidRPr="00AF6A1B">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EF0737" w:rsidRPr="00AF6A1B" w:rsidRDefault="005C6A87">
      <w:pPr>
        <w:spacing w:before="120" w:after="120"/>
        <w:ind w:left="1134"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III.</w:t>
      </w:r>
      <w:r w:rsidRPr="00AF6A1B">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EF0737" w:rsidRPr="00AF6A1B" w:rsidRDefault="005C6A87">
      <w:pPr>
        <w:spacing w:before="120" w:after="120"/>
        <w:ind w:left="851" w:right="902"/>
        <w:jc w:val="both"/>
        <w:rPr>
          <w:rFonts w:ascii="Palatino Linotype" w:eastAsia="Palatino Linotype" w:hAnsi="Palatino Linotype" w:cs="Palatino Linotype"/>
          <w:i/>
          <w:sz w:val="22"/>
          <w:szCs w:val="22"/>
        </w:rPr>
      </w:pPr>
      <w:r w:rsidRPr="00AF6A1B">
        <w:rPr>
          <w:rFonts w:ascii="Palatino Linotype" w:eastAsia="Palatino Linotype" w:hAnsi="Palatino Linotype" w:cs="Palatino Linotype"/>
          <w:b/>
          <w:i/>
          <w:sz w:val="22"/>
          <w:szCs w:val="22"/>
        </w:rPr>
        <w:t>Quincuagésimo octavo</w:t>
      </w:r>
      <w:r w:rsidRPr="00AF6A1B">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c"/>
        <w:tblW w:w="8828" w:type="dxa"/>
        <w:tblInd w:w="0" w:type="dxa"/>
        <w:tblLayout w:type="fixed"/>
        <w:tblLook w:val="04A0" w:firstRow="1" w:lastRow="0" w:firstColumn="1" w:lastColumn="0" w:noHBand="0" w:noVBand="1"/>
      </w:tblPr>
      <w:tblGrid>
        <w:gridCol w:w="993"/>
        <w:gridCol w:w="3421"/>
        <w:gridCol w:w="968"/>
        <w:gridCol w:w="3446"/>
      </w:tblGrid>
      <w:tr w:rsidR="00AF6A1B" w:rsidRPr="00AF6A1B" w:rsidTr="00EF0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EF0737" w:rsidRPr="00AF6A1B" w:rsidRDefault="005C6A87">
            <w:pPr>
              <w:jc w:val="center"/>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Parcial</w:t>
            </w:r>
          </w:p>
        </w:tc>
        <w:tc>
          <w:tcPr>
            <w:tcW w:w="4414" w:type="dxa"/>
            <w:gridSpan w:val="2"/>
          </w:tcPr>
          <w:p w:rsidR="00EF0737" w:rsidRPr="00AF6A1B" w:rsidRDefault="005C6A87">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Total</w:t>
            </w:r>
          </w:p>
        </w:tc>
      </w:tr>
      <w:tr w:rsidR="00AF6A1B" w:rsidRPr="00AF6A1B" w:rsidTr="00EF0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center"/>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Concepto</w:t>
            </w:r>
          </w:p>
        </w:tc>
        <w:tc>
          <w:tcPr>
            <w:tcW w:w="3421" w:type="dxa"/>
          </w:tcPr>
          <w:p w:rsidR="00EF0737" w:rsidRPr="00AF6A1B" w:rsidRDefault="005C6A8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Dónde</w:t>
            </w:r>
          </w:p>
        </w:tc>
        <w:tc>
          <w:tcPr>
            <w:tcW w:w="968" w:type="dxa"/>
          </w:tcPr>
          <w:p w:rsidR="00EF0737" w:rsidRPr="00AF6A1B" w:rsidRDefault="005C6A8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Concepto</w:t>
            </w:r>
          </w:p>
        </w:tc>
        <w:tc>
          <w:tcPr>
            <w:tcW w:w="3446" w:type="dxa"/>
          </w:tcPr>
          <w:p w:rsidR="00EF0737" w:rsidRPr="00AF6A1B" w:rsidRDefault="005C6A8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Dónde</w:t>
            </w:r>
          </w:p>
        </w:tc>
      </w:tr>
      <w:tr w:rsidR="00AF6A1B" w:rsidRPr="00AF6A1B" w:rsidTr="00EF0737">
        <w:tc>
          <w:tcPr>
            <w:cnfStyle w:val="001000000000" w:firstRow="0" w:lastRow="0" w:firstColumn="1" w:lastColumn="0" w:oddVBand="0" w:evenVBand="0" w:oddHBand="0" w:evenHBand="0" w:firstRowFirstColumn="0" w:firstRowLastColumn="0" w:lastRowFirstColumn="0" w:lastRowLastColumn="0"/>
            <w:tcW w:w="8828" w:type="dxa"/>
            <w:gridSpan w:val="4"/>
          </w:tcPr>
          <w:p w:rsidR="00EF0737" w:rsidRPr="00AF6A1B" w:rsidRDefault="005C6A87">
            <w:pPr>
              <w:jc w:val="center"/>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Sello oficial o logotipo del sujeto obligado</w:t>
            </w:r>
          </w:p>
        </w:tc>
      </w:tr>
      <w:tr w:rsidR="00AF6A1B" w:rsidRPr="00AF6A1B" w:rsidTr="00EF0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Fecha de clasificación</w:t>
            </w:r>
          </w:p>
        </w:tc>
        <w:tc>
          <w:tcPr>
            <w:tcW w:w="3421"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Fecha de clasificación</w:t>
            </w:r>
          </w:p>
        </w:tc>
        <w:tc>
          <w:tcPr>
            <w:tcW w:w="3446"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AF6A1B" w:rsidRPr="00AF6A1B" w:rsidTr="00EF0737">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Área</w:t>
            </w:r>
          </w:p>
        </w:tc>
        <w:tc>
          <w:tcPr>
            <w:tcW w:w="3421"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señalará el nombre del área del cual es titular quien clasifica.</w:t>
            </w:r>
          </w:p>
        </w:tc>
        <w:tc>
          <w:tcPr>
            <w:tcW w:w="968"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Área</w:t>
            </w:r>
          </w:p>
        </w:tc>
        <w:tc>
          <w:tcPr>
            <w:tcW w:w="3446"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señalará el nombre del área de la cual es el titular quien clasifica.</w:t>
            </w:r>
          </w:p>
        </w:tc>
      </w:tr>
      <w:tr w:rsidR="00AF6A1B" w:rsidRPr="00AF6A1B" w:rsidTr="00EF0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Información reservada</w:t>
            </w:r>
          </w:p>
        </w:tc>
        <w:tc>
          <w:tcPr>
            <w:tcW w:w="3421"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AF6A1B">
              <w:rPr>
                <w:rFonts w:ascii="Palatino Linotype" w:eastAsia="Palatino Linotype" w:hAnsi="Palatino Linotype" w:cs="Palatino Linotype"/>
                <w:sz w:val="12"/>
                <w:szCs w:val="12"/>
              </w:rPr>
              <w:t>anotarán</w:t>
            </w:r>
            <w:proofErr w:type="gramEnd"/>
            <w:r w:rsidRPr="00AF6A1B">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Reservado</w:t>
            </w:r>
          </w:p>
        </w:tc>
        <w:tc>
          <w:tcPr>
            <w:tcW w:w="3446"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Leyenda de información RESERVADA.</w:t>
            </w:r>
          </w:p>
        </w:tc>
      </w:tr>
      <w:tr w:rsidR="00AF6A1B" w:rsidRPr="00AF6A1B" w:rsidTr="00EF0737">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Fundamento legal</w:t>
            </w:r>
          </w:p>
        </w:tc>
        <w:tc>
          <w:tcPr>
            <w:tcW w:w="3421"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Periodo de reserva</w:t>
            </w:r>
          </w:p>
        </w:tc>
        <w:tc>
          <w:tcPr>
            <w:tcW w:w="3446"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AF6A1B" w:rsidRPr="00AF6A1B" w:rsidTr="00EF0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Ampliación del periodo de reserva</w:t>
            </w:r>
          </w:p>
        </w:tc>
        <w:tc>
          <w:tcPr>
            <w:tcW w:w="3421"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Fundamento legal</w:t>
            </w:r>
          </w:p>
        </w:tc>
        <w:tc>
          <w:tcPr>
            <w:tcW w:w="3446"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AF6A1B" w:rsidRPr="00AF6A1B" w:rsidTr="00EF0737">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Confidencial</w:t>
            </w:r>
          </w:p>
        </w:tc>
        <w:tc>
          <w:tcPr>
            <w:tcW w:w="3421"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Ampliación del periodo de reserva</w:t>
            </w:r>
          </w:p>
        </w:tc>
        <w:tc>
          <w:tcPr>
            <w:tcW w:w="3446"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AF6A1B" w:rsidRPr="00AF6A1B" w:rsidTr="00EF0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Fundamento legal</w:t>
            </w:r>
          </w:p>
        </w:tc>
        <w:tc>
          <w:tcPr>
            <w:tcW w:w="3421"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Confidencial</w:t>
            </w:r>
          </w:p>
        </w:tc>
        <w:tc>
          <w:tcPr>
            <w:tcW w:w="3446"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Leyenda de información CONFIDENCIAL.</w:t>
            </w:r>
          </w:p>
        </w:tc>
      </w:tr>
      <w:tr w:rsidR="00AF6A1B" w:rsidRPr="00AF6A1B" w:rsidTr="00EF0737">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Rúbrica del titular del área</w:t>
            </w:r>
          </w:p>
        </w:tc>
        <w:tc>
          <w:tcPr>
            <w:tcW w:w="3421"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Rúbrica autógrafa de quien clasifica.</w:t>
            </w:r>
          </w:p>
        </w:tc>
        <w:tc>
          <w:tcPr>
            <w:tcW w:w="968"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Fundamento legal</w:t>
            </w:r>
          </w:p>
        </w:tc>
        <w:tc>
          <w:tcPr>
            <w:tcW w:w="3446"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AF6A1B" w:rsidRPr="00AF6A1B" w:rsidTr="00EF0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Fecha de desclasificación</w:t>
            </w:r>
          </w:p>
        </w:tc>
        <w:tc>
          <w:tcPr>
            <w:tcW w:w="3421"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anotará la fecha en que se desclasifica el documento.</w:t>
            </w:r>
          </w:p>
        </w:tc>
        <w:tc>
          <w:tcPr>
            <w:tcW w:w="968"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Rúbrica del titular del área</w:t>
            </w:r>
          </w:p>
        </w:tc>
        <w:tc>
          <w:tcPr>
            <w:tcW w:w="3446"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Rúbrica autógrafa de quien clasifica.</w:t>
            </w:r>
          </w:p>
        </w:tc>
      </w:tr>
      <w:tr w:rsidR="00AF6A1B" w:rsidRPr="00AF6A1B" w:rsidTr="00EF0737">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5C6A87">
            <w:pPr>
              <w:jc w:val="both"/>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Rúbrica y cargo del servidor público</w:t>
            </w:r>
          </w:p>
        </w:tc>
        <w:tc>
          <w:tcPr>
            <w:tcW w:w="3421"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Rúbrica autógrafa de quien desclasifica.</w:t>
            </w:r>
          </w:p>
        </w:tc>
        <w:tc>
          <w:tcPr>
            <w:tcW w:w="968"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Fecha de desclasificación</w:t>
            </w:r>
          </w:p>
        </w:tc>
        <w:tc>
          <w:tcPr>
            <w:tcW w:w="3446"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Se anotará la fecha en que se desclasifica.</w:t>
            </w:r>
          </w:p>
        </w:tc>
      </w:tr>
      <w:tr w:rsidR="00AF6A1B" w:rsidRPr="00AF6A1B" w:rsidTr="00EF0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EF0737">
            <w:pPr>
              <w:jc w:val="both"/>
              <w:rPr>
                <w:rFonts w:ascii="Palatino Linotype" w:eastAsia="Palatino Linotype" w:hAnsi="Palatino Linotype" w:cs="Palatino Linotype"/>
                <w:sz w:val="12"/>
                <w:szCs w:val="12"/>
              </w:rPr>
            </w:pPr>
          </w:p>
        </w:tc>
        <w:tc>
          <w:tcPr>
            <w:tcW w:w="3421" w:type="dxa"/>
          </w:tcPr>
          <w:p w:rsidR="00EF0737" w:rsidRPr="00AF6A1B" w:rsidRDefault="00EF073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Partes o secciones reservadas o confidenciales</w:t>
            </w:r>
          </w:p>
        </w:tc>
        <w:tc>
          <w:tcPr>
            <w:tcW w:w="3446" w:type="dxa"/>
          </w:tcPr>
          <w:p w:rsidR="00EF0737" w:rsidRPr="00AF6A1B" w:rsidRDefault="005C6A8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 xml:space="preserve">En caso que una vez desclasificado el expediente, </w:t>
            </w:r>
            <w:proofErr w:type="spellStart"/>
            <w:r w:rsidRPr="00AF6A1B">
              <w:rPr>
                <w:rFonts w:ascii="Palatino Linotype" w:eastAsia="Palatino Linotype" w:hAnsi="Palatino Linotype" w:cs="Palatino Linotype"/>
                <w:sz w:val="12"/>
                <w:szCs w:val="12"/>
              </w:rPr>
              <w:t>subsistanpartes</w:t>
            </w:r>
            <w:proofErr w:type="spellEnd"/>
            <w:r w:rsidRPr="00AF6A1B">
              <w:rPr>
                <w:rFonts w:ascii="Palatino Linotype" w:eastAsia="Palatino Linotype" w:hAnsi="Palatino Linotype" w:cs="Palatino Linotype"/>
                <w:sz w:val="12"/>
                <w:szCs w:val="12"/>
              </w:rPr>
              <w:t xml:space="preserve"> o secciones del mismo reservadas o confidenciales, se señalará este hecho.</w:t>
            </w:r>
          </w:p>
        </w:tc>
      </w:tr>
      <w:tr w:rsidR="00AF6A1B" w:rsidRPr="00AF6A1B" w:rsidTr="00EF0737">
        <w:tc>
          <w:tcPr>
            <w:cnfStyle w:val="001000000000" w:firstRow="0" w:lastRow="0" w:firstColumn="1" w:lastColumn="0" w:oddVBand="0" w:evenVBand="0" w:oddHBand="0" w:evenHBand="0" w:firstRowFirstColumn="0" w:firstRowLastColumn="0" w:lastRowFirstColumn="0" w:lastRowLastColumn="0"/>
            <w:tcW w:w="993" w:type="dxa"/>
          </w:tcPr>
          <w:p w:rsidR="00EF0737" w:rsidRPr="00AF6A1B" w:rsidRDefault="00EF0737">
            <w:pPr>
              <w:jc w:val="both"/>
              <w:rPr>
                <w:rFonts w:ascii="Palatino Linotype" w:eastAsia="Palatino Linotype" w:hAnsi="Palatino Linotype" w:cs="Palatino Linotype"/>
                <w:sz w:val="12"/>
                <w:szCs w:val="12"/>
              </w:rPr>
            </w:pPr>
          </w:p>
        </w:tc>
        <w:tc>
          <w:tcPr>
            <w:tcW w:w="3421" w:type="dxa"/>
          </w:tcPr>
          <w:p w:rsidR="00EF0737" w:rsidRPr="00AF6A1B" w:rsidRDefault="00EF073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F6A1B">
              <w:rPr>
                <w:rFonts w:ascii="Palatino Linotype" w:eastAsia="Palatino Linotype" w:hAnsi="Palatino Linotype" w:cs="Palatino Linotype"/>
                <w:b/>
                <w:sz w:val="12"/>
                <w:szCs w:val="12"/>
              </w:rPr>
              <w:t>Rúbrica y cargo del servidor público</w:t>
            </w:r>
          </w:p>
        </w:tc>
        <w:tc>
          <w:tcPr>
            <w:tcW w:w="3446" w:type="dxa"/>
          </w:tcPr>
          <w:p w:rsidR="00EF0737" w:rsidRPr="00AF6A1B" w:rsidRDefault="005C6A8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F6A1B">
              <w:rPr>
                <w:rFonts w:ascii="Palatino Linotype" w:eastAsia="Palatino Linotype" w:hAnsi="Palatino Linotype" w:cs="Palatino Linotype"/>
                <w:sz w:val="12"/>
                <w:szCs w:val="12"/>
              </w:rPr>
              <w:t>Rúbrica autógrafa de quien desclasifica.</w:t>
            </w:r>
          </w:p>
        </w:tc>
      </w:tr>
    </w:tbl>
    <w:p w:rsidR="00EF0737" w:rsidRPr="00AF6A1B" w:rsidRDefault="00EF0737"/>
    <w:p w:rsidR="00EF0737" w:rsidRPr="00AF6A1B" w:rsidRDefault="005C6A87">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AF6A1B">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EF0737" w:rsidRPr="00AF6A1B" w:rsidRDefault="005C6A8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F6A1B">
        <w:rPr>
          <w:rFonts w:ascii="Palatino Linotype" w:eastAsia="Palatino Linotype" w:hAnsi="Palatino Linotype" w:cs="Palatino Linotype"/>
          <w:b/>
        </w:rPr>
        <w:t>III. R E S U E L V E</w:t>
      </w:r>
    </w:p>
    <w:p w:rsidR="00EF0737" w:rsidRPr="00AF6A1B" w:rsidRDefault="005C6A87">
      <w:pPr>
        <w:spacing w:before="240" w:after="240" w:line="360" w:lineRule="auto"/>
        <w:jc w:val="both"/>
        <w:rPr>
          <w:rFonts w:ascii="Palatino Linotype" w:eastAsia="Palatino Linotype" w:hAnsi="Palatino Linotype" w:cs="Palatino Linotype"/>
          <w:b/>
        </w:rPr>
      </w:pPr>
      <w:bookmarkStart w:id="9" w:name="_heading=h.1fob9te" w:colFirst="0" w:colLast="0"/>
      <w:bookmarkEnd w:id="9"/>
      <w:r w:rsidRPr="00AF6A1B">
        <w:rPr>
          <w:rFonts w:ascii="Palatino Linotype" w:eastAsia="Palatino Linotype" w:hAnsi="Palatino Linotype" w:cs="Palatino Linotype"/>
          <w:b/>
        </w:rPr>
        <w:t xml:space="preserve">Primero. </w:t>
      </w:r>
      <w:r w:rsidRPr="00AF6A1B">
        <w:rPr>
          <w:rFonts w:ascii="Palatino Linotype" w:eastAsia="Palatino Linotype" w:hAnsi="Palatino Linotype" w:cs="Palatino Linotype"/>
        </w:rPr>
        <w:t>Resultan</w:t>
      </w:r>
      <w:r w:rsidRPr="00AF6A1B">
        <w:rPr>
          <w:rFonts w:ascii="Palatino Linotype" w:eastAsia="Palatino Linotype" w:hAnsi="Palatino Linotype" w:cs="Palatino Linotype"/>
          <w:b/>
        </w:rPr>
        <w:t xml:space="preserve"> fundados</w:t>
      </w:r>
      <w:r w:rsidRPr="00AF6A1B">
        <w:rPr>
          <w:rFonts w:ascii="Palatino Linotype" w:eastAsia="Palatino Linotype" w:hAnsi="Palatino Linotype" w:cs="Palatino Linotype"/>
        </w:rPr>
        <w:t xml:space="preserve"> los motivos de inconformidad hechos valer por la parte </w:t>
      </w:r>
      <w:r w:rsidRPr="00AF6A1B">
        <w:rPr>
          <w:rFonts w:ascii="Palatino Linotype" w:eastAsia="Palatino Linotype" w:hAnsi="Palatino Linotype" w:cs="Palatino Linotype"/>
          <w:b/>
        </w:rPr>
        <w:t xml:space="preserve">Recurrente </w:t>
      </w:r>
      <w:r w:rsidRPr="00AF6A1B">
        <w:rPr>
          <w:rFonts w:ascii="Palatino Linotype" w:eastAsia="Palatino Linotype" w:hAnsi="Palatino Linotype" w:cs="Palatino Linotype"/>
        </w:rPr>
        <w:t xml:space="preserve">en el recurso de revisión </w:t>
      </w:r>
      <w:r w:rsidRPr="00AF6A1B">
        <w:rPr>
          <w:rFonts w:ascii="Palatino Linotype" w:eastAsia="Palatino Linotype" w:hAnsi="Palatino Linotype" w:cs="Palatino Linotype"/>
          <w:b/>
        </w:rPr>
        <w:t xml:space="preserve">12219/INFOEM/IP/RR/2022, </w:t>
      </w:r>
      <w:r w:rsidRPr="00AF6A1B">
        <w:rPr>
          <w:rFonts w:ascii="Palatino Linotype" w:eastAsia="Palatino Linotype" w:hAnsi="Palatino Linotype" w:cs="Palatino Linotype"/>
        </w:rPr>
        <w:t xml:space="preserve">por lo que, en términos del Considerando </w:t>
      </w:r>
      <w:r w:rsidRPr="00AF6A1B">
        <w:rPr>
          <w:rFonts w:ascii="Palatino Linotype" w:eastAsia="Palatino Linotype" w:hAnsi="Palatino Linotype" w:cs="Palatino Linotype"/>
          <w:b/>
        </w:rPr>
        <w:t>Cuarto</w:t>
      </w:r>
      <w:r w:rsidRPr="00AF6A1B">
        <w:rPr>
          <w:rFonts w:ascii="Palatino Linotype" w:eastAsia="Palatino Linotype" w:hAnsi="Palatino Linotype" w:cs="Palatino Linotype"/>
        </w:rPr>
        <w:t xml:space="preserve"> de la presente resolución, se</w:t>
      </w:r>
      <w:r w:rsidRPr="00AF6A1B">
        <w:rPr>
          <w:rFonts w:ascii="Palatino Linotype" w:eastAsia="Palatino Linotype" w:hAnsi="Palatino Linotype" w:cs="Palatino Linotype"/>
          <w:b/>
        </w:rPr>
        <w:t xml:space="preserve"> Revoca </w:t>
      </w:r>
      <w:r w:rsidRPr="00AF6A1B">
        <w:rPr>
          <w:rFonts w:ascii="Palatino Linotype" w:eastAsia="Palatino Linotype" w:hAnsi="Palatino Linotype" w:cs="Palatino Linotype"/>
        </w:rPr>
        <w:t>la respuesta</w:t>
      </w:r>
      <w:r w:rsidRPr="00AF6A1B">
        <w:rPr>
          <w:rFonts w:ascii="Palatino Linotype" w:eastAsia="Palatino Linotype" w:hAnsi="Palatino Linotype" w:cs="Palatino Linotype"/>
          <w:b/>
        </w:rPr>
        <w:t xml:space="preserve"> </w:t>
      </w:r>
      <w:r w:rsidRPr="00AF6A1B">
        <w:rPr>
          <w:rFonts w:ascii="Palatino Linotype" w:eastAsia="Palatino Linotype" w:hAnsi="Palatino Linotype" w:cs="Palatino Linotype"/>
        </w:rPr>
        <w:t xml:space="preserve">del </w:t>
      </w:r>
      <w:r w:rsidRPr="00AF6A1B">
        <w:rPr>
          <w:rFonts w:ascii="Palatino Linotype" w:eastAsia="Palatino Linotype" w:hAnsi="Palatino Linotype" w:cs="Palatino Linotype"/>
          <w:b/>
        </w:rPr>
        <w:t>Sujeto Obligado.</w:t>
      </w:r>
    </w:p>
    <w:p w:rsidR="00EF0737" w:rsidRPr="00AF6A1B" w:rsidRDefault="005C6A87">
      <w:pPr>
        <w:spacing w:before="240" w:after="240" w:line="360" w:lineRule="auto"/>
        <w:jc w:val="both"/>
        <w:rPr>
          <w:rFonts w:ascii="Palatino Linotype" w:eastAsia="Palatino Linotype" w:hAnsi="Palatino Linotype" w:cs="Palatino Linotype"/>
        </w:rPr>
      </w:pPr>
      <w:bookmarkStart w:id="10" w:name="_heading=h.kelgs2428oa6" w:colFirst="0" w:colLast="0"/>
      <w:bookmarkEnd w:id="10"/>
      <w:r w:rsidRPr="00AF6A1B">
        <w:rPr>
          <w:rFonts w:ascii="Palatino Linotype" w:eastAsia="Palatino Linotype" w:hAnsi="Palatino Linotype" w:cs="Palatino Linotype"/>
          <w:b/>
        </w:rPr>
        <w:t xml:space="preserve">Segundo. </w:t>
      </w:r>
      <w:r w:rsidRPr="00AF6A1B">
        <w:rPr>
          <w:rFonts w:ascii="Palatino Linotype" w:eastAsia="Palatino Linotype" w:hAnsi="Palatino Linotype" w:cs="Palatino Linotype"/>
        </w:rPr>
        <w:t xml:space="preserve">Se </w:t>
      </w:r>
      <w:r w:rsidRPr="00AF6A1B">
        <w:rPr>
          <w:rFonts w:ascii="Palatino Linotype" w:eastAsia="Palatino Linotype" w:hAnsi="Palatino Linotype" w:cs="Palatino Linotype"/>
          <w:b/>
        </w:rPr>
        <w:t>Ordena</w:t>
      </w:r>
      <w:r w:rsidRPr="00AF6A1B">
        <w:rPr>
          <w:rFonts w:ascii="Palatino Linotype" w:eastAsia="Palatino Linotype" w:hAnsi="Palatino Linotype" w:cs="Palatino Linotype"/>
        </w:rPr>
        <w:t xml:space="preserve"> al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en términos de los Considerandos </w:t>
      </w:r>
      <w:r w:rsidRPr="00AF6A1B">
        <w:rPr>
          <w:rFonts w:ascii="Palatino Linotype" w:eastAsia="Palatino Linotype" w:hAnsi="Palatino Linotype" w:cs="Palatino Linotype"/>
          <w:b/>
        </w:rPr>
        <w:t xml:space="preserve">Cuarto </w:t>
      </w:r>
      <w:r w:rsidRPr="00AF6A1B">
        <w:rPr>
          <w:rFonts w:ascii="Palatino Linotype" w:eastAsia="Palatino Linotype" w:hAnsi="Palatino Linotype" w:cs="Palatino Linotype"/>
        </w:rPr>
        <w:t xml:space="preserve">y </w:t>
      </w:r>
      <w:r w:rsidRPr="00AF6A1B">
        <w:rPr>
          <w:rFonts w:ascii="Palatino Linotype" w:eastAsia="Palatino Linotype" w:hAnsi="Palatino Linotype" w:cs="Palatino Linotype"/>
          <w:b/>
        </w:rPr>
        <w:t xml:space="preserve">Quinto </w:t>
      </w:r>
      <w:r w:rsidRPr="00AF6A1B">
        <w:rPr>
          <w:rFonts w:ascii="Palatino Linotype" w:eastAsia="Palatino Linotype" w:hAnsi="Palatino Linotype" w:cs="Palatino Linotype"/>
        </w:rPr>
        <w:t xml:space="preserve">de esta resolución, previa búsqueda exhaustiva y razonable, haga entrega, vía </w:t>
      </w:r>
      <w:r w:rsidRPr="00AF6A1B">
        <w:rPr>
          <w:rFonts w:ascii="Palatino Linotype" w:eastAsia="Palatino Linotype" w:hAnsi="Palatino Linotype" w:cs="Palatino Linotype"/>
          <w:b/>
        </w:rPr>
        <w:t xml:space="preserve">SAIMEX </w:t>
      </w:r>
      <w:r w:rsidRPr="00AF6A1B">
        <w:rPr>
          <w:rFonts w:ascii="Palatino Linotype" w:eastAsia="Palatino Linotype" w:hAnsi="Palatino Linotype" w:cs="Palatino Linotype"/>
        </w:rPr>
        <w:t xml:space="preserve">y </w:t>
      </w:r>
      <w:r w:rsidRPr="00AF6A1B">
        <w:rPr>
          <w:rFonts w:ascii="Palatino Linotype" w:eastAsia="Palatino Linotype" w:hAnsi="Palatino Linotype" w:cs="Palatino Linotype"/>
          <w:b/>
        </w:rPr>
        <w:t>correo electrónico</w:t>
      </w:r>
      <w:r w:rsidRPr="00AF6A1B">
        <w:rPr>
          <w:rFonts w:ascii="Palatino Linotype" w:eastAsia="Palatino Linotype" w:hAnsi="Palatino Linotype" w:cs="Palatino Linotype"/>
        </w:rPr>
        <w:t xml:space="preserve">, en formato abierto </w:t>
      </w:r>
      <w:proofErr w:type="spellStart"/>
      <w:r w:rsidRPr="00AF6A1B">
        <w:rPr>
          <w:rFonts w:ascii="Palatino Linotype" w:eastAsia="Palatino Linotype" w:hAnsi="Palatino Linotype" w:cs="Palatino Linotype"/>
        </w:rPr>
        <w:t>xls</w:t>
      </w:r>
      <w:proofErr w:type="spellEnd"/>
      <w:r w:rsidRPr="00AF6A1B">
        <w:rPr>
          <w:rFonts w:ascii="Palatino Linotype" w:eastAsia="Palatino Linotype" w:hAnsi="Palatino Linotype" w:cs="Palatino Linotype"/>
        </w:rPr>
        <w:t xml:space="preserve">, </w:t>
      </w:r>
      <w:proofErr w:type="spellStart"/>
      <w:r w:rsidRPr="00AF6A1B">
        <w:rPr>
          <w:rFonts w:ascii="Palatino Linotype" w:eastAsia="Palatino Linotype" w:hAnsi="Palatino Linotype" w:cs="Palatino Linotype"/>
        </w:rPr>
        <w:t>cvs</w:t>
      </w:r>
      <w:proofErr w:type="spellEnd"/>
      <w:r w:rsidRPr="00AF6A1B">
        <w:rPr>
          <w:rFonts w:ascii="Palatino Linotype" w:eastAsia="Palatino Linotype" w:hAnsi="Palatino Linotype" w:cs="Palatino Linotype"/>
        </w:rPr>
        <w:t xml:space="preserve"> o aquel en el que haya sido generada, en versión pública de ser necesario, el soporte documental en el que conste lo siguiente:</w:t>
      </w:r>
    </w:p>
    <w:p w:rsidR="00442AA8" w:rsidRPr="00AF6A1B" w:rsidRDefault="005C6A87">
      <w:pPr>
        <w:spacing w:before="240" w:after="240" w:line="360" w:lineRule="auto"/>
        <w:ind w:left="284"/>
        <w:jc w:val="both"/>
        <w:rPr>
          <w:rFonts w:ascii="Palatino Linotype" w:eastAsia="Palatino Linotype" w:hAnsi="Palatino Linotype" w:cs="Palatino Linotype"/>
        </w:rPr>
      </w:pPr>
      <w:r w:rsidRPr="00AF6A1B">
        <w:rPr>
          <w:rFonts w:ascii="Palatino Linotype" w:eastAsia="Palatino Linotype" w:hAnsi="Palatino Linotype" w:cs="Palatino Linotype"/>
        </w:rPr>
        <w:t>1. La estadí</w:t>
      </w:r>
      <w:r w:rsidR="00C02FB5" w:rsidRPr="00AF6A1B">
        <w:rPr>
          <w:rFonts w:ascii="Palatino Linotype" w:eastAsia="Palatino Linotype" w:hAnsi="Palatino Linotype" w:cs="Palatino Linotype"/>
        </w:rPr>
        <w:t>stica de faltas administrativas,</w:t>
      </w:r>
      <w:r w:rsidRPr="00AF6A1B">
        <w:rPr>
          <w:rFonts w:ascii="Palatino Linotype" w:eastAsia="Palatino Linotype" w:hAnsi="Palatino Linotype" w:cs="Palatino Linotype"/>
        </w:rPr>
        <w:t xml:space="preserve"> </w:t>
      </w:r>
      <w:r w:rsidR="00442AA8" w:rsidRPr="00AF6A1B">
        <w:rPr>
          <w:rFonts w:ascii="Palatino Linotype" w:eastAsia="Palatino Linotype" w:hAnsi="Palatino Linotype" w:cs="Palatino Linotype"/>
        </w:rPr>
        <w:t>remitida en informe justificado en una correcta versión pública.</w:t>
      </w:r>
    </w:p>
    <w:p w:rsidR="00EF0737" w:rsidRPr="00AF6A1B" w:rsidRDefault="005C6A87">
      <w:pPr>
        <w:spacing w:before="240" w:after="240" w:line="360" w:lineRule="auto"/>
        <w:ind w:left="284"/>
        <w:jc w:val="both"/>
        <w:rPr>
          <w:rFonts w:ascii="Palatino Linotype" w:eastAsia="Palatino Linotype" w:hAnsi="Palatino Linotype" w:cs="Palatino Linotype"/>
        </w:rPr>
      </w:pPr>
      <w:r w:rsidRPr="00AF6A1B">
        <w:rPr>
          <w:rFonts w:ascii="Palatino Linotype" w:eastAsia="Palatino Linotype" w:hAnsi="Palatino Linotype" w:cs="Palatino Linotype"/>
        </w:rPr>
        <w:t>2. La estadística de incidencia delictiva al mayor grado de desagregación posible, del periodo comprendido del uno de enero de dos mil dieciocho al uno de junio de dos mil veintidós.</w:t>
      </w:r>
    </w:p>
    <w:p w:rsidR="00EF0737" w:rsidRPr="00AF6A1B" w:rsidRDefault="005C6A87">
      <w:pPr>
        <w:spacing w:before="240" w:after="240"/>
        <w:ind w:left="284"/>
        <w:jc w:val="both"/>
        <w:rPr>
          <w:rFonts w:ascii="Palatino Linotype" w:eastAsia="Palatino Linotype" w:hAnsi="Palatino Linotype" w:cs="Palatino Linotype"/>
          <w:b/>
          <w:i/>
          <w:sz w:val="20"/>
          <w:szCs w:val="20"/>
        </w:rPr>
      </w:pPr>
      <w:r w:rsidRPr="00AF6A1B">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AF6A1B">
        <w:rPr>
          <w:rFonts w:ascii="Palatino Linotype" w:eastAsia="Palatino Linotype" w:hAnsi="Palatino Linotype" w:cs="Palatino Linotype"/>
          <w:b/>
          <w:i/>
          <w:sz w:val="20"/>
          <w:szCs w:val="20"/>
        </w:rPr>
        <w:t>Recurrente.</w:t>
      </w:r>
    </w:p>
    <w:p w:rsidR="00EF0737" w:rsidRPr="00AF6A1B" w:rsidRDefault="005C6A87">
      <w:pPr>
        <w:spacing w:before="240" w:after="240"/>
        <w:ind w:left="284" w:right="49"/>
        <w:jc w:val="both"/>
        <w:rPr>
          <w:rFonts w:ascii="Palatino Linotype" w:eastAsia="Palatino Linotype" w:hAnsi="Palatino Linotype" w:cs="Palatino Linotype"/>
          <w:i/>
          <w:sz w:val="20"/>
          <w:szCs w:val="20"/>
        </w:rPr>
      </w:pPr>
      <w:r w:rsidRPr="00AF6A1B">
        <w:rPr>
          <w:rFonts w:ascii="Palatino Linotype" w:eastAsia="Palatino Linotype" w:hAnsi="Palatino Linotype" w:cs="Palatino Linotype"/>
          <w:i/>
          <w:sz w:val="20"/>
          <w:szCs w:val="20"/>
        </w:rPr>
        <w:t xml:space="preserve">En el caso que derivado de la búsqueda exhaustiva y razonable, no se localice la información que se ordena  en el punto 2, el </w:t>
      </w:r>
      <w:r w:rsidRPr="00AF6A1B">
        <w:rPr>
          <w:rFonts w:ascii="Palatino Linotype" w:eastAsia="Palatino Linotype" w:hAnsi="Palatino Linotype" w:cs="Palatino Linotype"/>
          <w:b/>
          <w:i/>
          <w:sz w:val="20"/>
          <w:szCs w:val="20"/>
        </w:rPr>
        <w:t>Sujeto Obligado</w:t>
      </w:r>
      <w:r w:rsidRPr="00AF6A1B">
        <w:rPr>
          <w:rFonts w:ascii="Palatino Linotype" w:eastAsia="Palatino Linotype" w:hAnsi="Palatino Linotype" w:cs="Palatino Linotype"/>
          <w:i/>
          <w:sz w:val="20"/>
          <w:szCs w:val="20"/>
        </w:rPr>
        <w:t xml:space="preserve">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EF0737" w:rsidRPr="00AF6A1B" w:rsidRDefault="005C6A87">
      <w:pPr>
        <w:spacing w:before="240" w:after="240" w:line="360" w:lineRule="auto"/>
        <w:jc w:val="both"/>
        <w:rPr>
          <w:rFonts w:ascii="Palatino Linotype" w:eastAsia="Palatino Linotype" w:hAnsi="Palatino Linotype" w:cs="Palatino Linotype"/>
          <w:b/>
        </w:rPr>
      </w:pPr>
      <w:bookmarkStart w:id="11" w:name="_heading=h.17dp8vu" w:colFirst="0" w:colLast="0"/>
      <w:bookmarkEnd w:id="11"/>
      <w:r w:rsidRPr="00AF6A1B">
        <w:rPr>
          <w:rFonts w:ascii="Palatino Linotype" w:eastAsia="Palatino Linotype" w:hAnsi="Palatino Linotype" w:cs="Palatino Linotype"/>
          <w:b/>
        </w:rPr>
        <w:t xml:space="preserve">Tercero. Notifíquese, </w:t>
      </w:r>
      <w:r w:rsidRPr="00AF6A1B">
        <w:rPr>
          <w:rFonts w:ascii="Palatino Linotype" w:eastAsia="Palatino Linotype" w:hAnsi="Palatino Linotype" w:cs="Palatino Linotype"/>
        </w:rPr>
        <w:t>vía</w:t>
      </w:r>
      <w:r w:rsidRPr="00AF6A1B">
        <w:rPr>
          <w:rFonts w:ascii="Palatino Linotype" w:eastAsia="Palatino Linotype" w:hAnsi="Palatino Linotype" w:cs="Palatino Linotype"/>
          <w:b/>
        </w:rPr>
        <w:t xml:space="preserve"> SAIMEX, </w:t>
      </w:r>
      <w:r w:rsidRPr="00AF6A1B">
        <w:rPr>
          <w:rFonts w:ascii="Palatino Linotype" w:eastAsia="Palatino Linotype" w:hAnsi="Palatino Linotype" w:cs="Palatino Linotype"/>
        </w:rPr>
        <w:t xml:space="preserve">al Responsable de la Unidad de Transparencia del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AF6A1B">
        <w:rPr>
          <w:rFonts w:ascii="Palatino Linotype" w:eastAsia="Palatino Linotype" w:hAnsi="Palatino Linotype" w:cs="Palatino Linotype"/>
          <w:b/>
        </w:rPr>
        <w:t>.</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F6A1B">
        <w:rPr>
          <w:rFonts w:ascii="Palatino Linotype" w:eastAsia="Palatino Linotype" w:hAnsi="Palatino Linotype" w:cs="Palatino Linotype"/>
          <w:b/>
        </w:rPr>
        <w:t>Sujeto Obligado</w:t>
      </w:r>
      <w:r w:rsidRPr="00AF6A1B">
        <w:rPr>
          <w:rFonts w:ascii="Palatino Linotype" w:eastAsia="Palatino Linotype" w:hAnsi="Palatino Linotype" w:cs="Palatino Linotype"/>
        </w:rPr>
        <w:t xml:space="preserve"> de manera fundada y motivada, podrá solicitar una ampliación de plazo para el cumplimiento de la presente resolución.</w:t>
      </w:r>
    </w:p>
    <w:p w:rsidR="00EF0737" w:rsidRPr="00AF6A1B" w:rsidRDefault="005C6A87">
      <w:pPr>
        <w:spacing w:before="240" w:after="240" w:line="360" w:lineRule="auto"/>
        <w:jc w:val="both"/>
        <w:rPr>
          <w:rFonts w:ascii="Palatino Linotype" w:eastAsia="Palatino Linotype" w:hAnsi="Palatino Linotype" w:cs="Palatino Linotype"/>
        </w:rPr>
      </w:pPr>
      <w:r w:rsidRPr="00AF6A1B">
        <w:rPr>
          <w:rFonts w:ascii="Palatino Linotype" w:eastAsia="Palatino Linotype" w:hAnsi="Palatino Linotype" w:cs="Palatino Linotype"/>
          <w:b/>
        </w:rPr>
        <w:t xml:space="preserve">Cuarto.  Notifíquese, </w:t>
      </w:r>
      <w:r w:rsidRPr="00AF6A1B">
        <w:rPr>
          <w:rFonts w:ascii="Palatino Linotype" w:eastAsia="Palatino Linotype" w:hAnsi="Palatino Linotype" w:cs="Palatino Linotype"/>
        </w:rPr>
        <w:t xml:space="preserve">vía </w:t>
      </w:r>
      <w:r w:rsidRPr="00AF6A1B">
        <w:rPr>
          <w:rFonts w:ascii="Palatino Linotype" w:eastAsia="Palatino Linotype" w:hAnsi="Palatino Linotype" w:cs="Palatino Linotype"/>
          <w:b/>
        </w:rPr>
        <w:t xml:space="preserve">SAIMEX </w:t>
      </w:r>
      <w:r w:rsidRPr="00AF6A1B">
        <w:rPr>
          <w:rFonts w:ascii="Palatino Linotype" w:eastAsia="Palatino Linotype" w:hAnsi="Palatino Linotype" w:cs="Palatino Linotype"/>
        </w:rPr>
        <w:t>y</w:t>
      </w:r>
      <w:r w:rsidRPr="00AF6A1B">
        <w:rPr>
          <w:rFonts w:ascii="Palatino Linotype" w:eastAsia="Palatino Linotype" w:hAnsi="Palatino Linotype" w:cs="Palatino Linotype"/>
          <w:b/>
        </w:rPr>
        <w:t xml:space="preserve"> correo electrónico</w:t>
      </w:r>
      <w:r w:rsidRPr="00AF6A1B">
        <w:rPr>
          <w:rFonts w:ascii="Palatino Linotype" w:eastAsia="Palatino Linotype" w:hAnsi="Palatino Linotype" w:cs="Palatino Linotype"/>
        </w:rPr>
        <w:t xml:space="preserve">, a la parte </w:t>
      </w:r>
      <w:r w:rsidRPr="00AF6A1B">
        <w:rPr>
          <w:rFonts w:ascii="Palatino Linotype" w:eastAsia="Palatino Linotype" w:hAnsi="Palatino Linotype" w:cs="Palatino Linotype"/>
          <w:b/>
        </w:rPr>
        <w:t>Recurrente</w:t>
      </w:r>
      <w:r w:rsidRPr="00AF6A1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EF0737" w:rsidRPr="00AF6A1B" w:rsidRDefault="005C6A87">
      <w:pPr>
        <w:spacing w:line="360" w:lineRule="auto"/>
        <w:jc w:val="both"/>
        <w:rPr>
          <w:rFonts w:ascii="Palatino Linotype" w:eastAsia="Palatino Linotype" w:hAnsi="Palatino Linotype" w:cs="Palatino Linotype"/>
        </w:rPr>
      </w:pPr>
      <w:bookmarkStart w:id="12" w:name="_heading=h.4d34og8" w:colFirst="0" w:colLast="0"/>
      <w:bookmarkEnd w:id="12"/>
      <w:r w:rsidRPr="00AF6A1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132723" w:rsidRPr="00AF6A1B">
        <w:rPr>
          <w:rFonts w:ascii="Palatino Linotype" w:eastAsia="Palatino Linotype" w:hAnsi="Palatino Linotype" w:cs="Palatino Linotype"/>
        </w:rPr>
        <w:t xml:space="preserve">AMÍREZ PEÑA; EN LA CUADRAGÉSIMA </w:t>
      </w:r>
      <w:r w:rsidRPr="00AF6A1B">
        <w:rPr>
          <w:rFonts w:ascii="Palatino Linotype" w:eastAsia="Palatino Linotype" w:hAnsi="Palatino Linotype" w:cs="Palatino Linotype"/>
        </w:rPr>
        <w:t>TERCERA SESIÓN ORDINARIA CELEBRADA EL TREINTA DE NOVIEMBRE DE DOS MIL VEINTIDÓS, ANTE EL SECRETARIO TÉCNICO DEL PLENO ALEXIS TAPIA RAMÍREZ.</w:t>
      </w:r>
    </w:p>
    <w:p w:rsidR="00EF0737" w:rsidRPr="00AF6A1B" w:rsidRDefault="00EF0737">
      <w:pPr>
        <w:rPr>
          <w:rFonts w:ascii="Palatino Linotype" w:eastAsia="Palatino Linotype" w:hAnsi="Palatino Linotype" w:cs="Palatino Linotype"/>
        </w:rPr>
      </w:pPr>
    </w:p>
    <w:p w:rsidR="00EF0737" w:rsidRPr="00AF6A1B" w:rsidRDefault="00821152">
      <w:pPr>
        <w:rPr>
          <w:rFonts w:ascii="Palatino Linotype" w:eastAsia="Palatino Linotype" w:hAnsi="Palatino Linotype" w:cs="Palatino Linotype"/>
        </w:rPr>
      </w:pPr>
      <w:r w:rsidRPr="00AF6A1B">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23300</wp:posOffset>
                </wp:positionV>
                <wp:extent cx="5503887" cy="5547946"/>
                <wp:effectExtent l="38100" t="19050" r="59055" b="91440"/>
                <wp:wrapNone/>
                <wp:docPr id="1" name="Conector recto 1"/>
                <wp:cNvGraphicFramePr/>
                <a:graphic xmlns:a="http://schemas.openxmlformats.org/drawingml/2006/main">
                  <a:graphicData uri="http://schemas.microsoft.com/office/word/2010/wordprocessingShape">
                    <wps:wsp>
                      <wps:cNvCnPr/>
                      <wps:spPr>
                        <a:xfrm>
                          <a:off x="0" y="0"/>
                          <a:ext cx="5503887" cy="554794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77616"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pt" to="433.4pt,4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" strokecolor="black [3200]" strokeweight="2pt">
                <v:shadow on="t" color="black" opacity="24903f" origin=",.5" offset="0,.55556mm"/>
                <w10:wrap anchorx="margin"/>
              </v:line>
            </w:pict>
          </mc:Fallback>
        </mc:AlternateContent>
      </w:r>
    </w:p>
    <w:p w:rsidR="00EF0737" w:rsidRPr="00AF6A1B" w:rsidRDefault="00EF0737">
      <w:pPr>
        <w:rPr>
          <w:rFonts w:ascii="Palatino Linotype" w:eastAsia="Palatino Linotype" w:hAnsi="Palatino Linotype" w:cs="Palatino Linotype"/>
        </w:rPr>
      </w:pPr>
    </w:p>
    <w:p w:rsidR="00EF0737" w:rsidRPr="00AF6A1B" w:rsidRDefault="00EF0737">
      <w:pPr>
        <w:rPr>
          <w:rFonts w:ascii="Palatino Linotype" w:eastAsia="Palatino Linotype" w:hAnsi="Palatino Linotype" w:cs="Palatino Linotype"/>
        </w:rPr>
      </w:pPr>
    </w:p>
    <w:p w:rsidR="00EF0737" w:rsidRPr="00AF6A1B" w:rsidRDefault="00EF0737">
      <w:pPr>
        <w:rPr>
          <w:rFonts w:ascii="Palatino Linotype" w:eastAsia="Palatino Linotype" w:hAnsi="Palatino Linotype" w:cs="Palatino Linotype"/>
        </w:rPr>
      </w:pPr>
    </w:p>
    <w:p w:rsidR="00EF0737" w:rsidRPr="00AF6A1B" w:rsidRDefault="00EF0737">
      <w:pPr>
        <w:rPr>
          <w:rFonts w:ascii="Palatino Linotype" w:eastAsia="Palatino Linotype" w:hAnsi="Palatino Linotype" w:cs="Palatino Linotype"/>
        </w:rPr>
      </w:pPr>
    </w:p>
    <w:p w:rsidR="00EF0737" w:rsidRPr="00AF6A1B" w:rsidRDefault="00EF0737">
      <w:pPr>
        <w:rPr>
          <w:rFonts w:ascii="Palatino Linotype" w:eastAsia="Palatino Linotype" w:hAnsi="Palatino Linotype" w:cs="Palatino Linotype"/>
        </w:rPr>
      </w:pPr>
    </w:p>
    <w:p w:rsidR="00EF0737" w:rsidRPr="00AF6A1B" w:rsidRDefault="00EF0737">
      <w:pPr>
        <w:rPr>
          <w:rFonts w:ascii="Palatino Linotype" w:eastAsia="Palatino Linotype" w:hAnsi="Palatino Linotype" w:cs="Palatino Linotype"/>
        </w:rPr>
      </w:pPr>
    </w:p>
    <w:p w:rsidR="00EF0737" w:rsidRPr="00AF6A1B" w:rsidRDefault="00EF0737">
      <w:pPr>
        <w:rPr>
          <w:rFonts w:ascii="Palatino Linotype" w:eastAsia="Palatino Linotype" w:hAnsi="Palatino Linotype" w:cs="Palatino Linotype"/>
        </w:rPr>
      </w:pPr>
    </w:p>
    <w:p w:rsidR="00EF0737" w:rsidRPr="00AF6A1B" w:rsidRDefault="00EF0737">
      <w:pPr>
        <w:rPr>
          <w:rFonts w:ascii="Palatino Linotype" w:eastAsia="Palatino Linotype" w:hAnsi="Palatino Linotype" w:cs="Palatino Linotype"/>
        </w:rPr>
      </w:pPr>
    </w:p>
    <w:p w:rsidR="00EF0737" w:rsidRPr="00AF6A1B" w:rsidRDefault="00EF0737">
      <w:pPr>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bookmarkStart w:id="13" w:name="_heading=h.3rdcrjn" w:colFirst="0" w:colLast="0"/>
      <w:bookmarkEnd w:id="13"/>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bookmarkStart w:id="14" w:name="_heading=h.1t3h5sf" w:colFirst="0" w:colLast="0"/>
      <w:bookmarkEnd w:id="14"/>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p w:rsidR="00EF0737" w:rsidRPr="00AF6A1B" w:rsidRDefault="00EF0737">
      <w:pPr>
        <w:spacing w:line="360" w:lineRule="auto"/>
        <w:jc w:val="both"/>
        <w:rPr>
          <w:rFonts w:ascii="Palatino Linotype" w:eastAsia="Palatino Linotype" w:hAnsi="Palatino Linotype" w:cs="Palatino Linotype"/>
        </w:rPr>
      </w:pPr>
    </w:p>
    <w:sectPr w:rsidR="00EF0737" w:rsidRPr="00AF6A1B">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2D6" w:rsidRDefault="00F912D6">
      <w:r>
        <w:separator/>
      </w:r>
    </w:p>
  </w:endnote>
  <w:endnote w:type="continuationSeparator" w:id="0">
    <w:p w:rsidR="00F912D6" w:rsidRDefault="00F9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0B7" w:rsidRDefault="004440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10DDD">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10DDD">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rsidR="004440B7" w:rsidRDefault="004440B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0B7" w:rsidRDefault="004440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10DD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10DDD">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rsidR="004440B7" w:rsidRDefault="004440B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2D6" w:rsidRDefault="00F912D6">
      <w:r>
        <w:separator/>
      </w:r>
    </w:p>
  </w:footnote>
  <w:footnote w:type="continuationSeparator" w:id="0">
    <w:p w:rsidR="00F912D6" w:rsidRDefault="00F912D6">
      <w:r>
        <w:continuationSeparator/>
      </w:r>
    </w:p>
  </w:footnote>
  <w:footnote w:id="1">
    <w:p w:rsidR="004440B7" w:rsidRDefault="004440B7">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4440B7" w:rsidRDefault="004440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4440B7" w:rsidRDefault="004440B7">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https://www.dof.gob.mx/nota_detalle.php?codigo=5587157&amp;fecha=21/02/2020</w:t>
      </w:r>
    </w:p>
  </w:footnote>
  <w:footnote w:id="3">
    <w:p w:rsidR="004440B7" w:rsidRDefault="004440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440B7" w:rsidRDefault="004440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4440B7" w:rsidRDefault="004440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4">
    <w:p w:rsidR="004440B7" w:rsidRDefault="004440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5">
    <w:p w:rsidR="004440B7" w:rsidRDefault="004440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4440B7" w:rsidRDefault="004440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Tener a su cargo el archivo general del ayuntamiento;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0B7" w:rsidRDefault="004440B7">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-1080120</wp:posOffset>
          </wp:positionH>
          <wp:positionV relativeFrom="paragraph">
            <wp:posOffset>-488298</wp:posOffset>
          </wp:positionV>
          <wp:extent cx="7809865" cy="10165715"/>
          <wp:effectExtent l="0" t="0" r="0" b="0"/>
          <wp:wrapNone/>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4440B7">
      <w:tc>
        <w:tcPr>
          <w:tcW w:w="2489" w:type="dxa"/>
          <w:shd w:val="clear" w:color="auto" w:fill="auto"/>
        </w:tcPr>
        <w:p w:rsidR="004440B7" w:rsidRDefault="00444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4440B7" w:rsidRDefault="004440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12219/INFOEM/IP/RR/2022</w:t>
          </w:r>
        </w:p>
      </w:tc>
    </w:tr>
    <w:tr w:rsidR="004440B7">
      <w:trPr>
        <w:trHeight w:val="228"/>
      </w:trPr>
      <w:tc>
        <w:tcPr>
          <w:tcW w:w="2489" w:type="dxa"/>
          <w:shd w:val="clear" w:color="auto" w:fill="auto"/>
          <w:vAlign w:val="center"/>
        </w:tcPr>
        <w:p w:rsidR="004440B7" w:rsidRDefault="00444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4440B7" w:rsidRDefault="004440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Mexicaltzingo</w:t>
          </w:r>
          <w:proofErr w:type="spellEnd"/>
        </w:p>
      </w:tc>
    </w:tr>
    <w:tr w:rsidR="004440B7">
      <w:tc>
        <w:tcPr>
          <w:tcW w:w="2489" w:type="dxa"/>
          <w:shd w:val="clear" w:color="auto" w:fill="auto"/>
          <w:vAlign w:val="center"/>
        </w:tcPr>
        <w:p w:rsidR="004440B7" w:rsidRDefault="004440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4440B7" w:rsidRDefault="004440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440B7" w:rsidRDefault="004440B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0B7" w:rsidRDefault="004440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-1080126</wp:posOffset>
          </wp:positionH>
          <wp:positionV relativeFrom="paragraph">
            <wp:posOffset>-262869</wp:posOffset>
          </wp:positionV>
          <wp:extent cx="7809865" cy="10165715"/>
          <wp:effectExtent l="0" t="0" r="0" b="0"/>
          <wp:wrapNone/>
          <wp:docPr id="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4440B7">
      <w:tc>
        <w:tcPr>
          <w:tcW w:w="2551" w:type="dxa"/>
          <w:shd w:val="clear" w:color="auto" w:fill="auto"/>
          <w:vAlign w:val="center"/>
        </w:tcPr>
        <w:p w:rsidR="004440B7" w:rsidRDefault="00444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4440B7" w:rsidRDefault="004440B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12219/INFOEM/IP/RR/2022</w:t>
          </w:r>
        </w:p>
      </w:tc>
    </w:tr>
    <w:tr w:rsidR="004440B7">
      <w:trPr>
        <w:trHeight w:val="130"/>
      </w:trPr>
      <w:tc>
        <w:tcPr>
          <w:tcW w:w="2551" w:type="dxa"/>
          <w:shd w:val="clear" w:color="auto" w:fill="auto"/>
          <w:vAlign w:val="center"/>
        </w:tcPr>
        <w:p w:rsidR="004440B7" w:rsidRDefault="00444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4440B7" w:rsidRDefault="00310DDD" w:rsidP="00310DD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w:t>
          </w: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XXXXXX</w:t>
          </w:r>
        </w:p>
      </w:tc>
    </w:tr>
    <w:tr w:rsidR="004440B7">
      <w:trPr>
        <w:trHeight w:val="228"/>
      </w:trPr>
      <w:tc>
        <w:tcPr>
          <w:tcW w:w="2551" w:type="dxa"/>
          <w:shd w:val="clear" w:color="auto" w:fill="auto"/>
          <w:vAlign w:val="center"/>
        </w:tcPr>
        <w:p w:rsidR="004440B7" w:rsidRDefault="00444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4440B7" w:rsidRDefault="004440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Mexicaltzingo</w:t>
          </w:r>
          <w:proofErr w:type="spellEnd"/>
        </w:p>
      </w:tc>
    </w:tr>
    <w:tr w:rsidR="004440B7">
      <w:tc>
        <w:tcPr>
          <w:tcW w:w="2551" w:type="dxa"/>
          <w:shd w:val="clear" w:color="auto" w:fill="auto"/>
          <w:vAlign w:val="center"/>
        </w:tcPr>
        <w:p w:rsidR="004440B7" w:rsidRDefault="00444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4440B7" w:rsidRDefault="004440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440B7" w:rsidRDefault="004440B7">
    <w:pPr>
      <w:pBdr>
        <w:top w:val="nil"/>
        <w:left w:val="nil"/>
        <w:bottom w:val="nil"/>
        <w:right w:val="nil"/>
        <w:between w:val="nil"/>
      </w:pBdr>
      <w:tabs>
        <w:tab w:val="center" w:pos="4252"/>
        <w:tab w:val="right" w:pos="8504"/>
      </w:tabs>
      <w:rPr>
        <w:rFonts w:ascii="Cambria" w:eastAsia="Cambria" w:hAnsi="Cambria" w:cs="Cambria"/>
        <w:color w:val="000000"/>
      </w:rPr>
    </w:pPr>
  </w:p>
  <w:p w:rsidR="004440B7" w:rsidRDefault="004440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20C24"/>
    <w:multiLevelType w:val="multilevel"/>
    <w:tmpl w:val="D47C45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FFC41D6"/>
    <w:multiLevelType w:val="multilevel"/>
    <w:tmpl w:val="E6B098F2"/>
    <w:lvl w:ilvl="0">
      <w:start w:val="1"/>
      <w:numFmt w:val="upperRoman"/>
      <w:pStyle w:val="Listaconvietas3"/>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3B224E42"/>
    <w:multiLevelType w:val="multilevel"/>
    <w:tmpl w:val="FC34014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nsid w:val="4D4E7D37"/>
    <w:multiLevelType w:val="multilevel"/>
    <w:tmpl w:val="067C215A"/>
    <w:lvl w:ilvl="0">
      <w:start w:val="1"/>
      <w:numFmt w:val="decimal"/>
      <w:pStyle w:val="Listaconvietas"/>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569B3F4E"/>
    <w:multiLevelType w:val="multilevel"/>
    <w:tmpl w:val="B058A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BF4E6B"/>
    <w:multiLevelType w:val="multilevel"/>
    <w:tmpl w:val="46967A3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72796808"/>
    <w:multiLevelType w:val="multilevel"/>
    <w:tmpl w:val="AECA1B10"/>
    <w:lvl w:ilvl="0">
      <w:start w:val="1"/>
      <w:numFmt w:val="bullet"/>
      <w:pStyle w:val="Listaconvietas2"/>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37"/>
    <w:rsid w:val="000272A4"/>
    <w:rsid w:val="00113565"/>
    <w:rsid w:val="00132723"/>
    <w:rsid w:val="00163E4A"/>
    <w:rsid w:val="00305C4B"/>
    <w:rsid w:val="00310DDD"/>
    <w:rsid w:val="00442AA8"/>
    <w:rsid w:val="004440B7"/>
    <w:rsid w:val="004E16BC"/>
    <w:rsid w:val="005B187D"/>
    <w:rsid w:val="005C6A87"/>
    <w:rsid w:val="006C63F3"/>
    <w:rsid w:val="006D01BF"/>
    <w:rsid w:val="006F387E"/>
    <w:rsid w:val="007F454B"/>
    <w:rsid w:val="00821152"/>
    <w:rsid w:val="008317AF"/>
    <w:rsid w:val="008B3B49"/>
    <w:rsid w:val="00A30084"/>
    <w:rsid w:val="00AF4022"/>
    <w:rsid w:val="00AF6A1B"/>
    <w:rsid w:val="00BF18E3"/>
    <w:rsid w:val="00C02FB5"/>
    <w:rsid w:val="00C26BF1"/>
    <w:rsid w:val="00C66115"/>
    <w:rsid w:val="00EF0737"/>
    <w:rsid w:val="00F912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3ACFB-23A3-40ED-AD4B-59AC91A5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paragraph" w:styleId="Listaconvietas">
    <w:name w:val="List Bullet"/>
    <w:basedOn w:val="Normal"/>
    <w:uiPriority w:val="99"/>
    <w:unhideWhenUsed/>
    <w:rsid w:val="001119A4"/>
    <w:pPr>
      <w:numPr>
        <w:numId w:val="4"/>
      </w:numPr>
      <w:contextualSpacing/>
    </w:pPr>
  </w:style>
  <w:style w:type="paragraph" w:styleId="Listaconvietas2">
    <w:name w:val="List Bullet 2"/>
    <w:basedOn w:val="Normal"/>
    <w:uiPriority w:val="99"/>
    <w:unhideWhenUsed/>
    <w:rsid w:val="001119A4"/>
    <w:pPr>
      <w:numPr>
        <w:numId w:val="5"/>
      </w:numPr>
      <w:contextualSpacing/>
    </w:pPr>
  </w:style>
  <w:style w:type="table" w:customStyle="1" w:styleId="a9">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character" w:customStyle="1" w:styleId="selectable-text">
    <w:name w:val="selectable-text"/>
    <w:basedOn w:val="Fuentedeprrafopredeter"/>
    <w:rsid w:val="006F3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s://datos.cdmx.gob.mx/dataset/?groups=justicia-y-segurida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zY6fAT7GFAlEzQPwUWERLH99A==">AMUW2mWd/VLdAHfuLysTG3cUzZlWt224V9die9cN1bv9JkLMFk6ZvOfvMSsn8NK2UX5HXcfFLByiznAfTGlNrKPWe5bdnKj5xZpOg9j8fZnTWSjs+w2iLP68Nm4NcXtPGjYt+5wgceqmpK16tDIc6LRvC+eRsd3twz0ovQhdSEKdT+Cks22P+bJqx6gIUEMj5pMDDxOy/OT7Lyrw7EXwjlFsHFQaoBLD7i67K5fijKQFb+C+0EW9uUBMHwU1wAww5wHjZgRrowa6Dx6GkjkD2rz6+UVlUFl30cxWtSlalcWArka6bTHVbP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176274-BA11-45B9-8DFA-B6023722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16618</Words>
  <Characters>91399</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107802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2022-12-02T17:48:00Z</cp:lastPrinted>
  <dcterms:created xsi:type="dcterms:W3CDTF">2022-12-07T19:03:00Z</dcterms:created>
  <dcterms:modified xsi:type="dcterms:W3CDTF">2022-12-07T19:03:00Z</dcterms:modified>
</cp:coreProperties>
</file>