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dieciséis de marzo del dos mil veintidós.</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00359/INFOEM/IP/RR/2022;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XXXXX XXXXXX XXXXXX</w:t>
      </w:r>
      <w:r>
        <w:rPr>
          <w:rFonts w:ascii="Palatino Linotype" w:eastAsia="Palatino Linotype" w:hAnsi="Palatino Linotype" w:cs="Palatino Linotype"/>
        </w:rPr>
        <w:t xml:space="preserve">, en lo sucesivo se le denominara el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 respuesta a su solicitud de i</w:t>
      </w:r>
      <w:bookmarkStart w:id="0" w:name="_GoBack"/>
      <w:bookmarkEnd w:id="0"/>
      <w:r>
        <w:rPr>
          <w:rFonts w:ascii="Palatino Linotype" w:eastAsia="Palatino Linotype" w:hAnsi="Palatino Linotype" w:cs="Palatino Linotype"/>
        </w:rPr>
        <w:t xml:space="preserve">nformación con número de folio </w:t>
      </w:r>
      <w:r>
        <w:rPr>
          <w:rFonts w:ascii="Palatino Linotype" w:eastAsia="Palatino Linotype" w:hAnsi="Palatino Linotype" w:cs="Palatino Linotype"/>
          <w:b/>
        </w:rPr>
        <w:t>00014/DIFTULTITL/IP/2</w:t>
      </w:r>
      <w:r>
        <w:rPr>
          <w:rFonts w:ascii="Palatino Linotype" w:eastAsia="Palatino Linotype" w:hAnsi="Palatino Linotype" w:cs="Palatino Linotype"/>
          <w:b/>
        </w:rPr>
        <w:t xml:space="preserve">021,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Sistema Municipal Para el Desarrollo Integral de la Familia de Tultitlan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275E8E" w:rsidRDefault="00D63560">
      <w:pPr>
        <w:numPr>
          <w:ilvl w:val="0"/>
          <w:numId w:val="6"/>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275E8E" w:rsidRDefault="00D635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w:t>
      </w:r>
      <w:r>
        <w:rPr>
          <w:rFonts w:ascii="Palatino Linotype" w:eastAsia="Palatino Linotype" w:hAnsi="Palatino Linotype" w:cs="Palatino Linotype"/>
          <w:b/>
        </w:rPr>
        <w:t xml:space="preserve">ormación. </w:t>
      </w:r>
      <w:r>
        <w:rPr>
          <w:rFonts w:ascii="Palatino Linotype" w:eastAsia="Palatino Linotype" w:hAnsi="Palatino Linotype" w:cs="Palatino Linotype"/>
        </w:rPr>
        <w:t xml:space="preserve">Con fecha veintiuno de diciembre de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w:t>
      </w:r>
      <w:r>
        <w:rPr>
          <w:rFonts w:ascii="Palatino Linotype" w:eastAsia="Palatino Linotype" w:hAnsi="Palatino Linotype" w:cs="Palatino Linotype"/>
        </w:rPr>
        <w:t>ente:</w:t>
      </w:r>
    </w:p>
    <w:p w:rsidR="00275E8E" w:rsidRDefault="00D63560">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“Buena tarde deseo conocer; Criterios de aceptación para el programa de desayunos fríos (o su equivalente) en Jardines de Niños, aceptación o padrón donde aparezca el Jardín de Niños "Plutarco González" de domicilio de la Pradera S/N, San Pablo de la</w:t>
      </w:r>
      <w:r>
        <w:rPr>
          <w:rFonts w:ascii="Palatino Linotype" w:eastAsia="Palatino Linotype" w:hAnsi="Palatino Linotype" w:cs="Palatino Linotype"/>
          <w:i/>
          <w:sz w:val="22"/>
          <w:szCs w:val="22"/>
        </w:rPr>
        <w:t>s Salinas Tultitlán, estado de México, Clave: 15EJN1434A; estadística de beneficiarios por grado, grupo y sexo (no omito mencionar que no deseo nombres o datos personales sino datos numéricos) del padrón de beneficiarios para dicho Jardín en el ciclo escol</w:t>
      </w:r>
      <w:r>
        <w:rPr>
          <w:rFonts w:ascii="Palatino Linotype" w:eastAsia="Palatino Linotype" w:hAnsi="Palatino Linotype" w:cs="Palatino Linotype"/>
          <w:i/>
          <w:sz w:val="22"/>
          <w:szCs w:val="22"/>
        </w:rPr>
        <w:t xml:space="preserve">ar 2021-2022; Calendario Autorizado y o aprobado según las competencias del Sistema Municipal DIF de Tultitlán para los periodos de entrega de recursos, del Sistema al jardín; y del </w:t>
      </w:r>
      <w:r>
        <w:rPr>
          <w:rFonts w:ascii="Palatino Linotype" w:eastAsia="Palatino Linotype" w:hAnsi="Palatino Linotype" w:cs="Palatino Linotype"/>
          <w:i/>
          <w:sz w:val="22"/>
          <w:szCs w:val="22"/>
        </w:rPr>
        <w:lastRenderedPageBreak/>
        <w:t>Jardín a los Padres; criterios de asignación (en caso de tener); Totales d</w:t>
      </w:r>
      <w:r>
        <w:rPr>
          <w:rFonts w:ascii="Palatino Linotype" w:eastAsia="Palatino Linotype" w:hAnsi="Palatino Linotype" w:cs="Palatino Linotype"/>
          <w:i/>
          <w:sz w:val="22"/>
          <w:szCs w:val="22"/>
        </w:rPr>
        <w:t xml:space="preserve">e: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Raciones y/o desayunos entregados al Jardín por mes,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Comprobación de entrega del Jardín a los Padres de Familia (listados y/o comprobaciones),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y devoluciones (en caso de haber) del Jardín al SMDIF; </w:t>
      </w:r>
      <w:r>
        <w:rPr>
          <w:rFonts w:ascii="Symbol" w:eastAsia="Symbol" w:hAnsi="Symbol" w:cs="Symbol"/>
          <w:i/>
          <w:sz w:val="22"/>
          <w:szCs w:val="22"/>
        </w:rPr>
        <w:t></w:t>
      </w:r>
      <w:r>
        <w:rPr>
          <w:rFonts w:ascii="Palatino Linotype" w:eastAsia="Palatino Linotype" w:hAnsi="Palatino Linotype" w:cs="Palatino Linotype"/>
          <w:i/>
          <w:sz w:val="22"/>
          <w:szCs w:val="22"/>
        </w:rPr>
        <w:t xml:space="preserve"> Costo por desayuno y/o ración y comprobante de </w:t>
      </w:r>
      <w:r>
        <w:rPr>
          <w:rFonts w:ascii="Palatino Linotype" w:eastAsia="Palatino Linotype" w:hAnsi="Palatino Linotype" w:cs="Palatino Linotype"/>
          <w:i/>
          <w:sz w:val="22"/>
          <w:szCs w:val="22"/>
        </w:rPr>
        <w:t>pago por parte del Jardín en el DIF Municipal Los anteriores por mes durante el ciclo 2021-2022 (agosto, septiembre, octubre, noviembre y diciembre 2021) aplicables para el Jardín de Niños en mención” (Sic)</w:t>
      </w:r>
    </w:p>
    <w:p w:rsidR="00275E8E" w:rsidRDefault="00D635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elegida para la entrega de la informaci</w:t>
      </w:r>
      <w:r>
        <w:rPr>
          <w:rFonts w:ascii="Palatino Linotype" w:eastAsia="Palatino Linotype" w:hAnsi="Palatino Linotype" w:cs="Palatino Linotype"/>
          <w:b/>
        </w:rPr>
        <w:t xml:space="preserve">ón: </w:t>
      </w:r>
      <w:r>
        <w:rPr>
          <w:rFonts w:ascii="Palatino Linotype" w:eastAsia="Palatino Linotype" w:hAnsi="Palatino Linotype" w:cs="Palatino Linotype"/>
        </w:rPr>
        <w:t>a través del SAIMEX.</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veinticinco de enero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275E8E" w:rsidRDefault="00D6356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75E8E" w:rsidRDefault="00D6356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w:t>
      </w:r>
      <w:r>
        <w:rPr>
          <w:rFonts w:ascii="Palatino Linotype" w:eastAsia="Palatino Linotype" w:hAnsi="Palatino Linotype" w:cs="Palatino Linotype"/>
          <w:i/>
          <w:color w:val="000000"/>
          <w:sz w:val="22"/>
          <w:szCs w:val="22"/>
        </w:rPr>
        <w:t xml:space="preserve">a respuesta se le envia </w:t>
      </w:r>
    </w:p>
    <w:p w:rsidR="00275E8E" w:rsidRDefault="00D6356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275E8E" w:rsidRDefault="00D63560">
      <w:pPr>
        <w:ind w:left="851" w:right="902"/>
        <w:jc w:val="both"/>
        <w:rPr>
          <w:rFonts w:ascii="Palatino Linotype" w:eastAsia="Palatino Linotype" w:hAnsi="Palatino Linotype" w:cs="Palatino Linotype"/>
          <w:i/>
          <w:color w:val="000000"/>
          <w:sz w:val="22"/>
          <w:szCs w:val="22"/>
        </w:rPr>
      </w:pPr>
      <w:hyperlink r:id="rId8">
        <w:r>
          <w:rPr>
            <w:rFonts w:ascii="Palatino Linotype" w:eastAsia="Palatino Linotype" w:hAnsi="Palatino Linotype" w:cs="Palatino Linotype"/>
            <w:i/>
            <w:color w:val="000000"/>
            <w:sz w:val="22"/>
            <w:szCs w:val="22"/>
          </w:rPr>
          <w:t>Contestacion a la solicitud SAIMEX.PDF</w:t>
        </w:r>
      </w:hyperlink>
      <w:r>
        <w:rPr>
          <w:rFonts w:ascii="Palatino Linotype" w:eastAsia="Palatino Linotype" w:hAnsi="Palatino Linotype" w:cs="Palatino Linotype"/>
          <w:i/>
          <w:color w:val="000000"/>
          <w:sz w:val="22"/>
          <w:szCs w:val="22"/>
        </w:rPr>
        <w:t>” (Sic)</w:t>
      </w:r>
    </w:p>
    <w:p w:rsidR="00275E8E" w:rsidRDefault="00275E8E">
      <w:pPr>
        <w:spacing w:after="240" w:line="360" w:lineRule="auto"/>
        <w:jc w:val="both"/>
        <w:rPr>
          <w:rFonts w:ascii="Palatino Linotype" w:eastAsia="Palatino Linotype" w:hAnsi="Palatino Linotype" w:cs="Palatino Linotype"/>
        </w:rPr>
      </w:pP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Sujeto Obligado adjuntó a su respuesta el archivo electrónico: “</w:t>
      </w:r>
      <w:hyperlink r:id="rId9">
        <w:r>
          <w:rPr>
            <w:rFonts w:ascii="Palatino Linotype" w:eastAsia="Palatino Linotype" w:hAnsi="Palatino Linotype" w:cs="Palatino Linotype"/>
          </w:rPr>
          <w:t>Contestacion a la solicitud SAIMEX.PDF</w:t>
        </w:r>
      </w:hyperlink>
      <w:r>
        <w:rPr>
          <w:rFonts w:ascii="Palatino Linotype" w:eastAsia="Palatino Linotype" w:hAnsi="Palatino Linotype" w:cs="Palatino Linotype"/>
        </w:rPr>
        <w:t xml:space="preserve">”, por medio del cual la Coordinación de Servicios Educativos y Nutricionales del </w:t>
      </w:r>
      <w:r>
        <w:rPr>
          <w:rFonts w:ascii="Palatino Linotype" w:eastAsia="Palatino Linotype" w:hAnsi="Palatino Linotype" w:cs="Palatino Linotype"/>
          <w:b/>
        </w:rPr>
        <w:t>SUJETO OBLIGADO</w:t>
      </w:r>
      <w:r>
        <w:rPr>
          <w:rFonts w:ascii="Palatino Linotype" w:eastAsia="Palatino Linotype" w:hAnsi="Palatino Linotype" w:cs="Palatino Linotype"/>
        </w:rPr>
        <w:t>, informó al solicitante, sobre el programa de</w:t>
      </w:r>
      <w:r>
        <w:rPr>
          <w:rFonts w:ascii="Palatino Linotype" w:eastAsia="Palatino Linotype" w:hAnsi="Palatino Linotype" w:cs="Palatino Linotype"/>
        </w:rPr>
        <w:t xml:space="preserve"> desayunos fríos en el Jardín de Niños "Plutarco González", lo siguiente: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requisitos y criterios de selección, grado, grupo, género y total de niños y niñas, calendario escolar con días hábiles, desayunos entregados por mes, el costo del </w:t>
      </w:r>
      <w:r>
        <w:rPr>
          <w:rFonts w:ascii="Palatino Linotype" w:eastAsia="Palatino Linotype" w:hAnsi="Palatino Linotype" w:cs="Palatino Linotype"/>
        </w:rPr>
        <w:lastRenderedPageBreak/>
        <w:t>desayuno, copi</w:t>
      </w:r>
      <w:r>
        <w:rPr>
          <w:rFonts w:ascii="Palatino Linotype" w:eastAsia="Palatino Linotype" w:hAnsi="Palatino Linotype" w:cs="Palatino Linotype"/>
        </w:rPr>
        <w:t>a de los recibos de entrega y pago de la escuela JN "Plutarco González", de agosto a diciembre.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veintisiete de enero de dos mil veintidós, a través del cual expresó lo siguiente:</w:t>
      </w:r>
    </w:p>
    <w:p w:rsidR="00275E8E" w:rsidRDefault="00D63560">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275E8E" w:rsidRDefault="00D63560">
      <w:pP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incompleta” (Sic)</w:t>
      </w:r>
    </w:p>
    <w:p w:rsidR="00275E8E" w:rsidRDefault="00D635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275E8E" w:rsidRDefault="00D63560">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color w:val="000000"/>
        </w:rPr>
        <w:t>“no se brindo ni explico inform</w:t>
      </w:r>
      <w:r>
        <w:rPr>
          <w:rFonts w:ascii="Palatino Linotype" w:eastAsia="Palatino Linotype" w:hAnsi="Palatino Linotype" w:cs="Palatino Linotype"/>
          <w:i/>
          <w:color w:val="000000"/>
        </w:rPr>
        <w:t>ación solicitada; en especifico: -</w:t>
      </w:r>
      <w:r>
        <w:rPr>
          <w:rFonts w:ascii="Palatino Linotype" w:eastAsia="Palatino Linotype" w:hAnsi="Palatino Linotype" w:cs="Palatino Linotype"/>
          <w:i/>
        </w:rPr>
        <w:t>Calendario Autorizado y o aprobado para los PERIODOS DE ENTREGA DEL DIF AL JARDIN, Y DE JARDIN A LOS PADRES; ya que el calendario escolar corresponde a las clases y no a la actividad de entrega de desayunos o raciones. -CO</w:t>
      </w:r>
      <w:r>
        <w:rPr>
          <w:rFonts w:ascii="Palatino Linotype" w:eastAsia="Palatino Linotype" w:hAnsi="Palatino Linotype" w:cs="Palatino Linotype"/>
          <w:i/>
        </w:rPr>
        <w:t>MPROBACIÓN DE ENTREGA DE LAS RACIONES O DESAYUNOS DEL JARDIN A LOS PADRES Y DEVOLUCIONES; en vista de la carencia de atención,a este segundo punto, solicito si se tiene a bien permitirme solicitar que si no se cuenta con comprobación, pronunciamiento del r</w:t>
      </w:r>
      <w:r>
        <w:rPr>
          <w:rFonts w:ascii="Palatino Linotype" w:eastAsia="Palatino Linotype" w:hAnsi="Palatino Linotype" w:cs="Palatino Linotype"/>
          <w:i/>
        </w:rPr>
        <w:t>esponsable del área y del programa de no corroborar entrega” (Sic)</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número </w:t>
      </w:r>
      <w:r>
        <w:rPr>
          <w:rFonts w:ascii="Palatino Linotype" w:eastAsia="Palatino Linotype" w:hAnsi="Palatino Linotype" w:cs="Palatino Linotype"/>
          <w:b/>
        </w:rPr>
        <w:t xml:space="preserve">00359/INFOEM/IP/RR/2022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turnado por el sistema electrónico del Institut</w:t>
      </w:r>
      <w:r>
        <w:rPr>
          <w:rFonts w:ascii="Palatino Linotype" w:eastAsia="Palatino Linotype" w:hAnsi="Palatino Linotype" w:cs="Palatino Linotype"/>
        </w:rPr>
        <w:t xml:space="preserve">o de Transparencia, Acceso a la Información Pública y Protección de Datos Personales del Estado de México y Municipios, a la </w:t>
      </w:r>
      <w:r>
        <w:rPr>
          <w:rFonts w:ascii="Palatino Linotype" w:eastAsia="Palatino Linotype" w:hAnsi="Palatino Linotype" w:cs="Palatino Linotype"/>
        </w:rPr>
        <w:lastRenderedPageBreak/>
        <w:t xml:space="preserve">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w:t>
      </w:r>
      <w:r>
        <w:rPr>
          <w:rFonts w:ascii="Palatino Linotype" w:eastAsia="Palatino Linotype" w:hAnsi="Palatino Linotype" w:cs="Palatino Linotype"/>
        </w:rPr>
        <w:t xml:space="preserve"> Instituto.</w:t>
      </w:r>
    </w:p>
    <w:p w:rsidR="00275E8E" w:rsidRDefault="00D635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En fecha primero de febrero de dos mil veintidós, la Comisionada ponente, admitió a trámite el recurso de revisión que ahora se resuelve, dando un plazo máximo de siete días hábiles para que las partes manif</w:t>
      </w:r>
      <w:r>
        <w:rPr>
          <w:rFonts w:ascii="Palatino Linotype" w:eastAsia="Palatino Linotype" w:hAnsi="Palatino Linotype" w:cs="Palatino Linotype"/>
        </w:rPr>
        <w:t xml:space="preserve">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275E8E" w:rsidRDefault="00D635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integran el expediente en que se actúa se advierte que el </w:t>
      </w:r>
      <w:r>
        <w:rPr>
          <w:rFonts w:ascii="Palatino Linotype" w:eastAsia="Palatino Linotype" w:hAnsi="Palatino Linotype" w:cs="Palatino Linotype"/>
          <w:b/>
        </w:rPr>
        <w:t>RECURREN</w:t>
      </w:r>
      <w:r>
        <w:rPr>
          <w:rFonts w:ascii="Palatino Linotype" w:eastAsia="Palatino Linotype" w:hAnsi="Palatino Linotype" w:cs="Palatino Linotype"/>
          <w:b/>
        </w:rPr>
        <w:t>TE</w:t>
      </w:r>
      <w:r>
        <w:rPr>
          <w:rFonts w:ascii="Palatino Linotype" w:eastAsia="Palatino Linotype" w:hAnsi="Palatino Linotype" w:cs="Palatino Linotype"/>
        </w:rPr>
        <w:t xml:space="preserve"> fue omiso en ofrecer pruebas y alegatos.</w:t>
      </w:r>
    </w:p>
    <w:p w:rsidR="00275E8E" w:rsidRDefault="00D6356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fechas dos y veinticuatro de febrero, y siete de marzo todas las fechas del año dos mil veintidós, remitió los archivos electrónicos siguiente: “</w:t>
      </w:r>
      <w:hyperlink r:id="rId10">
        <w:r>
          <w:rPr>
            <w:rFonts w:ascii="Palatino Linotype" w:eastAsia="Palatino Linotype" w:hAnsi="Palatino Linotype" w:cs="Palatino Linotype"/>
          </w:rPr>
          <w:t>SAIMEX.pdf</w:t>
        </w:r>
      </w:hyperlink>
      <w:r>
        <w:rPr>
          <w:rFonts w:ascii="Palatino Linotype" w:eastAsia="Palatino Linotype" w:hAnsi="Palatino Linotype" w:cs="Palatino Linotype"/>
        </w:rPr>
        <w:t>”, “</w:t>
      </w:r>
      <w:hyperlink r:id="rId11">
        <w:r>
          <w:rPr>
            <w:rFonts w:ascii="Palatino Linotype" w:eastAsia="Palatino Linotype" w:hAnsi="Palatino Linotype" w:cs="Palatino Linotype"/>
          </w:rPr>
          <w:t>SAIMEX.pdf</w:t>
        </w:r>
      </w:hyperlink>
      <w:r>
        <w:rPr>
          <w:rFonts w:ascii="Palatino Linotype" w:eastAsia="Palatino Linotype" w:hAnsi="Palatino Linotype" w:cs="Palatino Linotype"/>
        </w:rPr>
        <w:t>”, “</w:t>
      </w:r>
      <w:hyperlink r:id="rId12">
        <w:r>
          <w:rPr>
            <w:rFonts w:ascii="Palatino Linotype" w:eastAsia="Palatino Linotype" w:hAnsi="Palatino Linotype" w:cs="Palatino Linotype"/>
          </w:rPr>
          <w:t>SAIMEX (5).pdf</w:t>
        </w:r>
      </w:hyperlink>
      <w:r>
        <w:rPr>
          <w:rFonts w:ascii="Palatino Linotype" w:eastAsia="Palatino Linotype" w:hAnsi="Palatino Linotype" w:cs="Palatino Linotype"/>
        </w:rPr>
        <w:t>” y “</w:t>
      </w:r>
      <w:hyperlink r:id="rId13">
        <w:r>
          <w:rPr>
            <w:rFonts w:ascii="Palatino Linotype" w:eastAsia="Palatino Linotype" w:hAnsi="Palatino Linotype" w:cs="Palatino Linotype"/>
          </w:rPr>
          <w:t>SAIMEX (6).pdf</w:t>
        </w:r>
      </w:hyperlink>
      <w:r>
        <w:rPr>
          <w:rFonts w:ascii="Palatino Linotype" w:eastAsia="Palatino Linotype" w:hAnsi="Palatino Linotype" w:cs="Palatino Linotype"/>
        </w:rPr>
        <w:t xml:space="preserve">”, de los cuales sólo el primero de ellos se puso a la vista del RECURRENTE al contener cada archivo la misma información, </w:t>
      </w:r>
      <w:r>
        <w:rPr>
          <w:rFonts w:ascii="Palatino Linotype" w:eastAsia="Palatino Linotype" w:hAnsi="Palatino Linotype" w:cs="Palatino Linotype"/>
        </w:rPr>
        <w:t>en fecha cuatro de marzo del año en curso, en términos de la fracción III del artículo 185 de la Ley de Transparencia y Acceso a la Información Pública del Estado de México y Municipios; para que en el plazo de tres días manifestara lo que a su derecho con</w:t>
      </w:r>
      <w:r>
        <w:rPr>
          <w:rFonts w:ascii="Palatino Linotype" w:eastAsia="Palatino Linotype" w:hAnsi="Palatino Linotype" w:cs="Palatino Linotype"/>
        </w:rPr>
        <w:t xml:space="preserve">venga respecto de las manifestaciones del </w:t>
      </w:r>
      <w:r>
        <w:rPr>
          <w:rFonts w:ascii="Palatino Linotype" w:eastAsia="Palatino Linotype" w:hAnsi="Palatino Linotype" w:cs="Palatino Linotype"/>
          <w:b/>
        </w:rPr>
        <w:t>SUJETO OBLIGADO</w:t>
      </w:r>
      <w:r>
        <w:rPr>
          <w:rFonts w:ascii="Palatino Linotype" w:eastAsia="Palatino Linotype" w:hAnsi="Palatino Linotype" w:cs="Palatino Linotype"/>
        </w:rPr>
        <w:t>; sin que el recurrente hiciera manifestación alguna.</w:t>
      </w:r>
    </w:p>
    <w:p w:rsidR="00275E8E" w:rsidRDefault="00275E8E">
      <w:pPr>
        <w:spacing w:line="360" w:lineRule="auto"/>
        <w:jc w:val="both"/>
        <w:rPr>
          <w:rFonts w:ascii="Palatino Linotype" w:eastAsia="Palatino Linotype" w:hAnsi="Palatino Linotype" w:cs="Palatino Linotype"/>
          <w:color w:val="FF0000"/>
        </w:rPr>
      </w:pP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Archivo electrónico que contiene  </w:t>
      </w:r>
    </w:p>
    <w:p w:rsidR="00275E8E" w:rsidRDefault="00275E8E">
      <w:pPr>
        <w:spacing w:line="360" w:lineRule="auto"/>
        <w:jc w:val="both"/>
        <w:rPr>
          <w:rFonts w:ascii="Palatino Linotype" w:eastAsia="Palatino Linotype" w:hAnsi="Palatino Linotype" w:cs="Palatino Linotype"/>
        </w:rPr>
      </w:pP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7. Cierre de instrucción. </w:t>
      </w:r>
      <w:r>
        <w:rPr>
          <w:rFonts w:ascii="Palatino Linotype" w:eastAsia="Palatino Linotype" w:hAnsi="Palatino Linotype" w:cs="Palatino Linotype"/>
        </w:rPr>
        <w:t>En fecha diez de marzo del año dos mil veintidós, la Comisionada ponente determinó</w:t>
      </w:r>
      <w:r>
        <w:rPr>
          <w:rFonts w:ascii="Palatino Linotype" w:eastAsia="Palatino Linotype" w:hAnsi="Palatino Linotype" w:cs="Palatino Linotype"/>
        </w:rPr>
        <w:t xml:space="preserve"> el cierre de instrucción en términos de la fracción VI del artículo 185 de la Ley de Transparencia y Acceso a la Información Pública del Estado de México y Municipios.</w:t>
      </w:r>
    </w:p>
    <w:p w:rsidR="00275E8E" w:rsidRDefault="00275E8E">
      <w:pPr>
        <w:spacing w:line="360" w:lineRule="auto"/>
        <w:jc w:val="both"/>
        <w:rPr>
          <w:rFonts w:ascii="Palatino Linotype" w:eastAsia="Palatino Linotype" w:hAnsi="Palatino Linotype" w:cs="Palatino Linotype"/>
        </w:rPr>
      </w:pPr>
    </w:p>
    <w:p w:rsidR="00275E8E" w:rsidRDefault="00D63560">
      <w:pPr>
        <w:numPr>
          <w:ilvl w:val="0"/>
          <w:numId w:val="6"/>
        </w:numPr>
        <w:pBdr>
          <w:top w:val="nil"/>
          <w:left w:val="nil"/>
          <w:bottom w:val="nil"/>
          <w:right w:val="nil"/>
          <w:between w:val="nil"/>
        </w:pBdr>
        <w:spacing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275E8E" w:rsidRDefault="00D6356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w:t>
      </w:r>
      <w:r>
        <w:rPr>
          <w:rFonts w:ascii="Palatino Linotype" w:eastAsia="Palatino Linotype" w:hAnsi="Palatino Linotype" w:cs="Palatino Linotype"/>
          <w:highlight w:val="white"/>
        </w:rPr>
        <w:t>uesto en los artículos 6, apartado A de la Constitución Política de los Estados Unidos Mexicanos; 5, párrafos trigésimo, trigésimo primero y trigésimo segundo, fracciones IV y V de la Constitución Política del Estado Libre y Soberano de México; 1, 2, fracc</w:t>
      </w:r>
      <w:r>
        <w:rPr>
          <w:rFonts w:ascii="Palatino Linotype" w:eastAsia="Palatino Linotype" w:hAnsi="Palatino Linotype" w:cs="Palatino Linotype"/>
          <w:highlight w:val="white"/>
        </w:rPr>
        <w:t xml:space="preserve">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w:t>
      </w:r>
      <w:r>
        <w:rPr>
          <w:rFonts w:ascii="Palatino Linotype" w:eastAsia="Palatino Linotype" w:hAnsi="Palatino Linotype" w:cs="Palatino Linotype"/>
        </w:rPr>
        <w:t xml:space="preserve">Oportunidad y Procedibilidad que debe reunir el recurso de revisión interpuesto, previstos en los artículos 178 y 180 de la Ley de Transparencia y Acceso a la Información Pública del Estado de México y Municipios; en la especie se advierte que el presente </w:t>
      </w:r>
      <w:r>
        <w:rPr>
          <w:rFonts w:ascii="Palatino Linotype" w:eastAsia="Palatino Linotype" w:hAnsi="Palatino Linotype" w:cs="Palatino Linotype"/>
        </w:rPr>
        <w:t xml:space="preserve">medio de impugnación fue interpuesto </w:t>
      </w:r>
      <w:r>
        <w:rPr>
          <w:rFonts w:ascii="Palatino Linotype" w:eastAsia="Palatino Linotype" w:hAnsi="Palatino Linotype" w:cs="Palatino Linotype"/>
        </w:rPr>
        <w:lastRenderedPageBreak/>
        <w:t xml:space="preserve">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veinticinco de enero del año dos mil</w:t>
      </w:r>
      <w:r>
        <w:rPr>
          <w:rFonts w:ascii="Palatino Linotype" w:eastAsia="Palatino Linotype" w:hAnsi="Palatino Linotype" w:cs="Palatino Linotype"/>
        </w:rPr>
        <w:t xml:space="preserve">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veintisiete de enero del mismo año, esto es al segundo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w:t>
      </w:r>
      <w:r>
        <w:rPr>
          <w:rFonts w:ascii="Palatino Linotype" w:eastAsia="Palatino Linotype" w:hAnsi="Palatino Linotype" w:cs="Palatino Linotype"/>
        </w:rPr>
        <w:t>de los márgenes temporales previstos en el citado precepto legal.</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por cuanto hace a la procedibilidad del recurso de revisión, una vez realizado el análisis del formato de interposición del mismo, se concluye la acreditación plena de los elementos </w:t>
      </w:r>
      <w:r>
        <w:rPr>
          <w:rFonts w:ascii="Palatino Linotype" w:eastAsia="Palatino Linotype" w:hAnsi="Palatino Linotype" w:cs="Palatino Linotype"/>
        </w:rPr>
        <w:t xml:space="preserve">formales precisados por el artículo 180 de la Ley de Transparencia y Acceso a la Información Pública del Estado de México y Municipios, en atención a que fue presentado mediante formato visible en el SAIMEX. </w:t>
      </w:r>
    </w:p>
    <w:p w:rsidR="00275E8E" w:rsidRDefault="00D6356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w:t>
      </w:r>
      <w:r>
        <w:rPr>
          <w:rFonts w:ascii="Palatino Linotype" w:eastAsia="Palatino Linotype" w:hAnsi="Palatino Linotype" w:cs="Palatino Linotype"/>
          <w:color w:val="000000"/>
        </w:rPr>
        <w:t xml:space="preserve"> del recurso, según lo ad</w:t>
      </w:r>
      <w:r>
        <w:rPr>
          <w:rFonts w:ascii="Palatino Linotype" w:eastAsia="Palatino Linotype" w:hAnsi="Palatino Linotype" w:cs="Palatino Linotype"/>
        </w:rPr>
        <w:t xml:space="preserve">ucido por el recurrente en sus razones o motivos de inconformidad, de acuerdo al artículo 179, fracción V 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275E8E" w:rsidRDefault="00D63560">
      <w:pPr>
        <w:pBdr>
          <w:top w:val="nil"/>
          <w:left w:val="nil"/>
          <w:bottom w:val="nil"/>
          <w:right w:val="nil"/>
          <w:between w:val="nil"/>
        </w:pBdr>
        <w:spacing w:before="240"/>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w:t>
      </w:r>
      <w:r>
        <w:rPr>
          <w:rFonts w:ascii="Palatino Linotype" w:eastAsia="Palatino Linotype" w:hAnsi="Palatino Linotype" w:cs="Palatino Linotype"/>
          <w:b/>
          <w:i/>
          <w:color w:val="000000"/>
          <w:sz w:val="22"/>
          <w:szCs w:val="22"/>
        </w:rPr>
        <w:t>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275E8E" w:rsidRDefault="00D63560">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275E8E" w:rsidRDefault="00D63560">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incompleta;”…(Sic)</w:t>
      </w:r>
    </w:p>
    <w:p w:rsidR="00275E8E" w:rsidRDefault="00275E8E">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275E8E" w:rsidRDefault="00D63560">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Tercero. Materia de Revisión</w:t>
      </w:r>
      <w:r>
        <w:rPr>
          <w:rFonts w:ascii="Palatino Linotype" w:eastAsia="Palatino Linotype" w:hAnsi="Palatino Linotype" w:cs="Palatino Linotype"/>
          <w:color w:val="000000"/>
        </w:rPr>
        <w:t xml:space="preserve">: Con base en las constancias que obran en el expediente que se actúa, este Instituto tiene la convicción de que la presente resolución tiene como objetivo central determinar si la respuesta como el informe justificado proporcionados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son correctos y suficientes para tener por atendida la solicitud de acceso a la información.</w:t>
      </w:r>
    </w:p>
    <w:p w:rsidR="00275E8E" w:rsidRDefault="00D63560">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color w:val="000000"/>
        </w:rPr>
        <w:t>Del análisis de la solicitud de información pública que motivó el recurso de revisión que ahora se resuelve, se advierte que</w:t>
      </w:r>
      <w:r>
        <w:rPr>
          <w:rFonts w:ascii="Palatino Linotype" w:eastAsia="Palatino Linotype" w:hAnsi="Palatino Linotype" w:cs="Palatino Linotype"/>
          <w:color w:val="000000"/>
        </w:rPr>
        <w:t xml:space="preserve"> el particular requirió al </w:t>
      </w:r>
      <w:r>
        <w:rPr>
          <w:rFonts w:ascii="Palatino Linotype" w:eastAsia="Palatino Linotype" w:hAnsi="Palatino Linotype" w:cs="Palatino Linotype"/>
          <w:b/>
        </w:rPr>
        <w:t>Sistema Municipal Para el Desarrollo Integral de la Familia de Tultitlan</w:t>
      </w:r>
      <w:r>
        <w:rPr>
          <w:rFonts w:ascii="Palatino Linotype" w:eastAsia="Palatino Linotype" w:hAnsi="Palatino Linotype" w:cs="Palatino Linotype"/>
          <w:color w:val="000000"/>
        </w:rPr>
        <w:t>, lo siguiente:</w:t>
      </w:r>
    </w:p>
    <w:p w:rsidR="00275E8E" w:rsidRDefault="00D63560">
      <w:pPr>
        <w:numPr>
          <w:ilvl w:val="0"/>
          <w:numId w:val="1"/>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Criterios de aceptación para el programa de desayunos fríos (o su equivalente) en Jardines de Niños, aceptación o padrón donde aparezca el Jardín de Niños "Plutarco González" de domicilio de la Pradera S/N, San Pablo de las Salinas Tultitlán, estado de Méx</w:t>
      </w:r>
      <w:r>
        <w:rPr>
          <w:rFonts w:ascii="Palatino Linotype" w:eastAsia="Palatino Linotype" w:hAnsi="Palatino Linotype" w:cs="Palatino Linotype"/>
          <w:color w:val="000000"/>
        </w:rPr>
        <w:t xml:space="preserve">ico, Clave: 15EJN1434A; </w:t>
      </w:r>
    </w:p>
    <w:p w:rsidR="00275E8E" w:rsidRDefault="00D63560">
      <w:pPr>
        <w:numPr>
          <w:ilvl w:val="0"/>
          <w:numId w:val="1"/>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Estadística de beneficiarios por grado, grupo y sexo (no omito mencionar que no deseo nombres o datos personales sino datos numéricos) del padrón de beneficiarios para dicho Jardín en el ciclo escolar 2021-2022;</w:t>
      </w:r>
    </w:p>
    <w:p w:rsidR="00275E8E" w:rsidRDefault="00D63560">
      <w:pPr>
        <w:numPr>
          <w:ilvl w:val="0"/>
          <w:numId w:val="1"/>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Calendario Autoriza</w:t>
      </w:r>
      <w:r>
        <w:rPr>
          <w:rFonts w:ascii="Palatino Linotype" w:eastAsia="Palatino Linotype" w:hAnsi="Palatino Linotype" w:cs="Palatino Linotype"/>
          <w:color w:val="000000"/>
        </w:rPr>
        <w:t xml:space="preserve">do y o aprobado según las competencias del Sistema Municipal DIF de Tultitlán para los periodos de entrega de recursos, del Sistema al jardín; y del Jardín a los Padres; Criterios de asignación (en caso de tener); </w:t>
      </w:r>
    </w:p>
    <w:p w:rsidR="00275E8E" w:rsidRDefault="00D63560">
      <w:pPr>
        <w:numPr>
          <w:ilvl w:val="0"/>
          <w:numId w:val="1"/>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Totales de:  Raciones y/o desayunos entre</w:t>
      </w:r>
      <w:r>
        <w:rPr>
          <w:rFonts w:ascii="Palatino Linotype" w:eastAsia="Palatino Linotype" w:hAnsi="Palatino Linotype" w:cs="Palatino Linotype"/>
          <w:color w:val="000000"/>
        </w:rPr>
        <w:t>gados al Jardín por mes;</w:t>
      </w:r>
    </w:p>
    <w:p w:rsidR="00275E8E" w:rsidRDefault="00D63560">
      <w:pPr>
        <w:numPr>
          <w:ilvl w:val="0"/>
          <w:numId w:val="1"/>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Comprobación de entrega del Jardín a los Padres de Familia (listados y/o comprobaciones) y devoluciones (en caso de haber) del Jardín al SMDIF; y</w:t>
      </w:r>
    </w:p>
    <w:p w:rsidR="00275E8E" w:rsidRDefault="00D63560">
      <w:pPr>
        <w:numPr>
          <w:ilvl w:val="0"/>
          <w:numId w:val="1"/>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-Costo por desayuno y/o ración y comprobante de pago por parte del Jardín en el DIF M</w:t>
      </w:r>
      <w:r>
        <w:rPr>
          <w:rFonts w:ascii="Palatino Linotype" w:eastAsia="Palatino Linotype" w:hAnsi="Palatino Linotype" w:cs="Palatino Linotype"/>
          <w:color w:val="000000"/>
        </w:rPr>
        <w:t>unicipal Los anteriores por mes durante el ciclo 2021-2022 (agosto, septiembre, octubre, noviembre y diciembre 2021) aplicables para el Jardín de Niños en mención.</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del archivo electrónico sigui</w:t>
      </w:r>
      <w:r>
        <w:rPr>
          <w:rFonts w:ascii="Palatino Linotype" w:eastAsia="Palatino Linotype" w:hAnsi="Palatino Linotype" w:cs="Palatino Linotype"/>
        </w:rPr>
        <w:t>ente: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Contestacion a la solicitud SAIMEX.PDF</w:t>
        </w:r>
      </w:hyperlink>
      <w:r>
        <w:rPr>
          <w:rFonts w:ascii="Palatino Linotype" w:eastAsia="Palatino Linotype" w:hAnsi="Palatino Linotype" w:cs="Palatino Linotype"/>
        </w:rPr>
        <w:t xml:space="preserve">”, por medio del cual la Coordinación de Servicios Educativos y Nutricionales del </w:t>
      </w:r>
      <w:r>
        <w:rPr>
          <w:rFonts w:ascii="Palatino Linotype" w:eastAsia="Palatino Linotype" w:hAnsi="Palatino Linotype" w:cs="Palatino Linotype"/>
          <w:b/>
        </w:rPr>
        <w:t>SUJETO OBLIGADO</w:t>
      </w:r>
      <w:r>
        <w:rPr>
          <w:rFonts w:ascii="Palatino Linotype" w:eastAsia="Palatino Linotype" w:hAnsi="Palatino Linotype" w:cs="Palatino Linotype"/>
        </w:rPr>
        <w:t>, informó al solicitante</w:t>
      </w:r>
      <w:r>
        <w:rPr>
          <w:rFonts w:ascii="Palatino Linotype" w:eastAsia="Palatino Linotype" w:hAnsi="Palatino Linotype" w:cs="Palatino Linotype"/>
        </w:rPr>
        <w:t>, sobre el programa de desayunos fríos en el Jardín de Niños "Plutarco González", lo siguiente: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requisitos y criterios de selección, grado, grupo, género y total de niños y niñas, calendario escolar con días hábiles, desayunos entregados por mes, el co</w:t>
      </w:r>
      <w:r>
        <w:rPr>
          <w:rFonts w:ascii="Palatino Linotype" w:eastAsia="Palatino Linotype" w:hAnsi="Palatino Linotype" w:cs="Palatino Linotype"/>
        </w:rPr>
        <w:t>sto del desayuno, copia de los recibos de entrega y pago de la escuela JN "Plutarco González", de agosto a diciembre.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el solicitante se inconformó, en lo medular porque la información es incompleta, toda vez que no se brindó ni </w:t>
      </w:r>
      <w:r>
        <w:rPr>
          <w:rFonts w:ascii="Palatino Linotype" w:eastAsia="Palatino Linotype" w:hAnsi="Palatino Linotype" w:cs="Palatino Linotype"/>
        </w:rPr>
        <w:t>explicó:</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calendario Autorizado y o aprobado para los periodos de entrega del DIF al jardín, y de jardín a los padres; ya que el calendario escolar corresponde a las clases y no a la actividad de entrega de desayunos o raciones. </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-La comprobación de ent</w:t>
      </w:r>
      <w:r>
        <w:rPr>
          <w:rFonts w:ascii="Palatino Linotype" w:eastAsia="Palatino Linotype" w:hAnsi="Palatino Linotype" w:cs="Palatino Linotype"/>
        </w:rPr>
        <w:t>rega de las raciones o desayunos del jardín a los padres y devoluciones.</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rindió su informe justificado a través del archivo electrónico, siguiente: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r>
          <w:rPr>
            <w:rFonts w:ascii="Palatino Linotype" w:eastAsia="Palatino Linotype" w:hAnsi="Palatino Linotype" w:cs="Palatino Linotype"/>
          </w:rPr>
          <w:t>SAIMEX.pdf</w:t>
        </w:r>
      </w:hyperlink>
      <w:r>
        <w:rPr>
          <w:rFonts w:ascii="Palatino Linotype" w:eastAsia="Palatino Linotype" w:hAnsi="Palatino Linotype" w:cs="Palatino Linotype"/>
        </w:rPr>
        <w:t xml:space="preserve">”, por cuadruplicado, a través del cual la Coordinación de Servicios Educativos y Nutricionales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los recibos</w:t>
      </w:r>
      <w:r>
        <w:rPr>
          <w:rFonts w:ascii="Palatino Linotype" w:eastAsia="Palatino Linotype" w:hAnsi="Palatino Linotype" w:cs="Palatino Linotype"/>
          <w:b/>
        </w:rPr>
        <w:t xml:space="preserve"> </w:t>
      </w:r>
      <w:r>
        <w:rPr>
          <w:rFonts w:ascii="Palatino Linotype" w:eastAsia="Palatino Linotype" w:hAnsi="Palatino Linotype" w:cs="Palatino Linotype"/>
        </w:rPr>
        <w:t>de suministro de desayuno fríos y raciones vespertinas que el SMDIF, le entrega al JN. Plutarco González con CCT 15EJN1434A de la localidad del Parque San Pablo, los cuales se suministran de acuerdo al calendario escolar 2020-2021, el cual nos estipula los</w:t>
      </w:r>
      <w:r>
        <w:rPr>
          <w:rFonts w:ascii="Palatino Linotype" w:eastAsia="Palatino Linotype" w:hAnsi="Palatino Linotype" w:cs="Palatino Linotype"/>
        </w:rPr>
        <w:t xml:space="preserve"> días hábiles, como lo establece la gaceta de gobierno publicada el 29 de enero del 2021.</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señaló que respecto de la información del jardín a los padres no es competencia de esta Institución.</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Anexando, los recibos que indica y una tabla en donde </w:t>
      </w:r>
      <w:r>
        <w:rPr>
          <w:rFonts w:ascii="Palatino Linotype" w:eastAsia="Palatino Linotype" w:hAnsi="Palatino Linotype" w:cs="Palatino Linotype"/>
        </w:rPr>
        <w:t xml:space="preserve">se observa el folio, beneficiados, fecha de entrega, mes, desayunos entregados, días hábiles y consto del programa del Estado de México, nutrición escolar de desayunos escolares fríos. </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w:t>
      </w:r>
      <w:r>
        <w:rPr>
          <w:rFonts w:ascii="Palatino Linotype" w:eastAsia="Palatino Linotype" w:hAnsi="Palatino Linotype" w:cs="Palatino Linotype"/>
        </w:rPr>
        <w:t xml:space="preserve">iente en que se actúa, así como de la materia sobre la que versa la solicitud de acceso a la información pública, se advierte que los motivos de inconformidad acontecen parcialmente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w:t>
      </w:r>
      <w:r>
        <w:rPr>
          <w:rFonts w:ascii="Palatino Linotype" w:eastAsia="Palatino Linotype" w:hAnsi="Palatino Linotype" w:cs="Palatino Linotype"/>
        </w:rPr>
        <w:t>onsideraciones de derecho que a continuación se exponen:</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w:t>
      </w:r>
      <w:r>
        <w:rPr>
          <w:rFonts w:ascii="Palatino Linotype" w:eastAsia="Palatino Linotype" w:hAnsi="Palatino Linotype" w:cs="Palatino Linotype"/>
        </w:rPr>
        <w:t>parencia y Acceso a la Información Pública del Estado de México y Municipios en su artículo 4, que dice que toda la información generada, obtenida, adquirida, transformada, administrada o en posesión de los sujetos obligados es pública y accesible de maner</w:t>
      </w:r>
      <w:r>
        <w:rPr>
          <w:rFonts w:ascii="Palatino Linotype" w:eastAsia="Palatino Linotype" w:hAnsi="Palatino Linotype" w:cs="Palatino Linotype"/>
        </w:rPr>
        <w:t>a permanente a cualquier persona, privilegiando el principio de máxima publicidad, como así lo establece dicha determinación, que a continuación se trascribe para un mejor entendimiento:</w:t>
      </w:r>
    </w:p>
    <w:p w:rsidR="00275E8E" w:rsidRDefault="00D63560">
      <w:pPr>
        <w:spacing w:before="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75E8E" w:rsidRDefault="00D63560">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w:t>
      </w:r>
      <w:r>
        <w:rPr>
          <w:rFonts w:ascii="Palatino Linotype" w:eastAsia="Palatino Linotype" w:hAnsi="Palatino Linotype" w:cs="Palatino Linotype"/>
          <w:b/>
          <w:i/>
          <w:sz w:val="22"/>
          <w:szCs w:val="22"/>
        </w:rPr>
        <w:t xml:space="preserve">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w:t>
      </w:r>
      <w:r>
        <w:rPr>
          <w:rFonts w:ascii="Palatino Linotype" w:eastAsia="Palatino Linotype" w:hAnsi="Palatino Linotype" w:cs="Palatino Linotype"/>
          <w:i/>
          <w:sz w:val="22"/>
          <w:szCs w:val="22"/>
        </w:rPr>
        <w:t>l Estado mexicano sea parte, en la Ley General, la presente Ley y demás disposiciones de la materia, privilegiando el principio de máxima publicidad de la información. Solo podrá ser clasificada excepcionalmente Ley de Transparencia y Acceso a la Informaci</w:t>
      </w:r>
      <w:r>
        <w:rPr>
          <w:rFonts w:ascii="Palatino Linotype" w:eastAsia="Palatino Linotype" w:hAnsi="Palatino Linotype" w:cs="Palatino Linotype"/>
          <w:i/>
          <w:sz w:val="22"/>
          <w:szCs w:val="22"/>
        </w:rPr>
        <w:t>ón Pública del Estado de México y Municipios 29 como reservada temporalmente por razones de interés público, en los términos de las causas legítimas y estrictamente necesarias previstas por esta Ley.</w:t>
      </w:r>
    </w:p>
    <w:p w:rsidR="00275E8E" w:rsidRDefault="00D63560">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w:t>
      </w:r>
      <w:r>
        <w:rPr>
          <w:rFonts w:ascii="Palatino Linotype" w:eastAsia="Palatino Linotype" w:hAnsi="Palatino Linotype" w:cs="Palatino Linotype"/>
          <w:b/>
          <w:i/>
          <w:sz w:val="22"/>
          <w:szCs w:val="22"/>
        </w:rPr>
        <w:t xml:space="preserve">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275E8E" w:rsidRDefault="00275E8E">
      <w:pPr>
        <w:spacing w:line="360" w:lineRule="auto"/>
        <w:jc w:val="both"/>
        <w:rPr>
          <w:rFonts w:ascii="Palatino Linotype" w:eastAsia="Palatino Linotype" w:hAnsi="Palatino Linotype" w:cs="Palatino Linotype"/>
        </w:rPr>
      </w:pP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que los Sujetos Obligados tiene la obligación o deber de atender las solicit</w:t>
      </w:r>
      <w:r>
        <w:rPr>
          <w:rFonts w:ascii="Palatino Linotype" w:eastAsia="Palatino Linotype" w:hAnsi="Palatino Linotype" w:cs="Palatino Linotype"/>
        </w:rPr>
        <w:t>udes de acceso a la información pública que se les hagan de su conocimiento y proporcionar la información pública que obren en su poder conforme el estado que se encuentra y no hacer un procesamiento de la misma, ni presentarla conforme al interés del soli</w:t>
      </w:r>
      <w:r>
        <w:rPr>
          <w:rFonts w:ascii="Palatino Linotype" w:eastAsia="Palatino Linotype" w:hAnsi="Palatino Linotype" w:cs="Palatino Linotype"/>
        </w:rPr>
        <w:t>citante; como así lo establece el artículo 12 de la Ley de Transparencia y Acceso a la Información Pública del Estado de México y Municipios, que a la letra dice:</w:t>
      </w:r>
    </w:p>
    <w:p w:rsidR="00275E8E" w:rsidRDefault="00275E8E">
      <w:pPr>
        <w:spacing w:line="276" w:lineRule="auto"/>
        <w:jc w:val="both"/>
        <w:rPr>
          <w:rFonts w:ascii="Palatino Linotype" w:eastAsia="Palatino Linotype" w:hAnsi="Palatino Linotype" w:cs="Palatino Linotype"/>
        </w:rPr>
      </w:pPr>
    </w:p>
    <w:p w:rsidR="00275E8E" w:rsidRDefault="00D63560">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w:t>
      </w:r>
      <w:r>
        <w:rPr>
          <w:rFonts w:ascii="Palatino Linotype" w:eastAsia="Palatino Linotype" w:hAnsi="Palatino Linotype" w:cs="Palatino Linotype"/>
          <w:i/>
          <w:sz w:val="22"/>
          <w:szCs w:val="22"/>
        </w:rPr>
        <w:t xml:space="preserve">ven información pública serán responsables de la misma en los términos de las disposiciones jurídicas aplicables. </w:t>
      </w:r>
    </w:p>
    <w:p w:rsidR="00275E8E" w:rsidRDefault="00275E8E">
      <w:pPr>
        <w:spacing w:line="276" w:lineRule="auto"/>
        <w:ind w:left="567" w:right="758"/>
        <w:jc w:val="both"/>
        <w:rPr>
          <w:rFonts w:ascii="Palatino Linotype" w:eastAsia="Palatino Linotype" w:hAnsi="Palatino Linotype" w:cs="Palatino Linotype"/>
          <w:i/>
          <w:sz w:val="22"/>
          <w:szCs w:val="22"/>
        </w:rPr>
      </w:pPr>
    </w:p>
    <w:p w:rsidR="00275E8E" w:rsidRDefault="00D63560">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w:t>
      </w:r>
      <w:r>
        <w:rPr>
          <w:rFonts w:ascii="Palatino Linotype" w:eastAsia="Palatino Linotype" w:hAnsi="Palatino Linotype" w:cs="Palatino Linotype"/>
          <w:b/>
          <w:i/>
          <w:sz w:val="22"/>
          <w:szCs w:val="22"/>
        </w:rPr>
        <w:t>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75E8E" w:rsidRDefault="00275E8E">
      <w:pPr>
        <w:spacing w:line="276" w:lineRule="auto"/>
        <w:ind w:right="-93"/>
        <w:jc w:val="both"/>
        <w:rPr>
          <w:rFonts w:ascii="Palatino Linotype" w:eastAsia="Palatino Linotype" w:hAnsi="Palatino Linotype" w:cs="Palatino Linotype"/>
          <w:color w:val="000000"/>
        </w:rPr>
      </w:pPr>
    </w:p>
    <w:p w:rsidR="00275E8E" w:rsidRDefault="00D6356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w:t>
      </w:r>
      <w:r>
        <w:rPr>
          <w:rFonts w:ascii="Palatino Linotype" w:eastAsia="Palatino Linotype" w:hAnsi="Palatino Linotype" w:cs="Palatino Linotype"/>
          <w:color w:val="000000"/>
        </w:rPr>
        <w:t>decir, que todo sujeto obligado que genere, recopile, administre, procese, archive, posea o conserven, son responsables de la misma teniendo a su vez la obligación de proporcionar la información que se les requiera sin necesidad de resumirla, efectuar proc</w:t>
      </w:r>
      <w:r>
        <w:rPr>
          <w:rFonts w:ascii="Palatino Linotype" w:eastAsia="Palatino Linotype" w:hAnsi="Palatino Linotype" w:cs="Palatino Linotype"/>
          <w:color w:val="000000"/>
        </w:rPr>
        <w:t>edimientos para obtenerla, calcular y practicar investigaciones; en otras palabras, que los Sujetos Obligados sólo se concretaran a proporcionar la información solicitada que tengan en su poder en el estado que se encuentran, sin necesidad de concretarse a</w:t>
      </w:r>
      <w:r>
        <w:rPr>
          <w:rFonts w:ascii="Palatino Linotype" w:eastAsia="Palatino Linotype" w:hAnsi="Palatino Linotype" w:cs="Palatino Linotype"/>
          <w:color w:val="000000"/>
        </w:rPr>
        <w:t>l interés o términos específicos del solicitante.</w:t>
      </w:r>
    </w:p>
    <w:p w:rsidR="00275E8E" w:rsidRDefault="00275E8E">
      <w:pPr>
        <w:spacing w:line="360" w:lineRule="auto"/>
        <w:ind w:right="-93"/>
        <w:jc w:val="both"/>
        <w:rPr>
          <w:rFonts w:ascii="Palatino Linotype" w:eastAsia="Palatino Linotype" w:hAnsi="Palatino Linotype" w:cs="Palatino Linotype"/>
          <w:color w:val="000000"/>
        </w:rPr>
      </w:pPr>
    </w:p>
    <w:p w:rsidR="00275E8E" w:rsidRDefault="00D6356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275E8E" w:rsidRDefault="00D63560">
      <w:pPr>
        <w:spacing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w:t>
      </w:r>
      <w:r>
        <w:rPr>
          <w:rFonts w:ascii="Palatino Linotype" w:eastAsia="Palatino Linotype" w:hAnsi="Palatino Linotype" w:cs="Palatino Linotype"/>
          <w:i/>
          <w:color w:val="000000"/>
          <w:sz w:val="22"/>
          <w:szCs w:val="22"/>
        </w:rPr>
        <w:t>cceso a la Información Pública, señalan que los sujetos obligados deberán otorgar acceso a los documentos que se encuentren en sus archivos o que estén obligados a documentar, de acuerdo con sus facultades, competencias o funciones, conforme a las caracter</w:t>
      </w:r>
      <w:r>
        <w:rPr>
          <w:rFonts w:ascii="Palatino Linotype" w:eastAsia="Palatino Linotype" w:hAnsi="Palatino Linotype" w:cs="Palatino Linotype"/>
          <w:i/>
          <w:color w:val="000000"/>
          <w:sz w:val="22"/>
          <w:szCs w:val="22"/>
        </w:rPr>
        <w:t>ísticas físicas de la información o del lugar donde se encuentre. Por lo anterior, los sujetos obligados deben garantizar el derecho de acceso a la información del particular, proporcionando la información con la que cuentan en el formato en que la misma o</w:t>
      </w:r>
      <w:r>
        <w:rPr>
          <w:rFonts w:ascii="Palatino Linotype" w:eastAsia="Palatino Linotype" w:hAnsi="Palatino Linotype" w:cs="Palatino Linotype"/>
          <w:i/>
          <w:color w:val="000000"/>
          <w:sz w:val="22"/>
          <w:szCs w:val="22"/>
        </w:rPr>
        <w:t>bre en sus archivos; sin necesidad de elaborar documentos ad hoc para atender las solicitudes de información.</w:t>
      </w:r>
    </w:p>
    <w:p w:rsidR="00275E8E" w:rsidRDefault="00D63560">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275E8E" w:rsidRDefault="00D63560">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275E8E" w:rsidRDefault="00D63560">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w:t>
      </w:r>
      <w:r>
        <w:rPr>
          <w:rFonts w:ascii="Palatino Linotype" w:eastAsia="Palatino Linotype" w:hAnsi="Palatino Linotype" w:cs="Palatino Linotype"/>
          <w:i/>
          <w:color w:val="000000"/>
          <w:sz w:val="22"/>
          <w:szCs w:val="22"/>
        </w:rPr>
        <w:t xml:space="preserve">sonales. 10 de agosto de 2016. Por unanimidad. Comisionada Ponente. Areli Cano Guadiana. </w:t>
      </w:r>
    </w:p>
    <w:p w:rsidR="00275E8E" w:rsidRDefault="00D63560">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275E8E" w:rsidRDefault="00D6356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w:t>
      </w:r>
      <w:r>
        <w:rPr>
          <w:rFonts w:ascii="Palatino Linotype" w:eastAsia="Palatino Linotype" w:hAnsi="Palatino Linotype" w:cs="Palatino Linotype"/>
        </w:rPr>
        <w:t xml:space="preserve">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w:t>
      </w:r>
      <w:r>
        <w:rPr>
          <w:rFonts w:ascii="Palatino Linotype" w:eastAsia="Palatino Linotype" w:hAnsi="Palatino Linotype" w:cs="Palatino Linotype"/>
          <w:color w:val="000000"/>
        </w:rPr>
        <w:t xml:space="preserve">uentra a disposición de cualquier persona, lo que implica </w:t>
      </w:r>
      <w:r>
        <w:rPr>
          <w:rFonts w:ascii="Palatino Linotype" w:eastAsia="Palatino Linotype" w:hAnsi="Palatino Linotype" w:cs="Palatino Linotype"/>
          <w:color w:val="000000"/>
        </w:rPr>
        <w:lastRenderedPageBreak/>
        <w:t>que es deber de los Sujetos Obligados, garantizar el Derecho de Acceso a la Información Pública.</w:t>
      </w:r>
    </w:p>
    <w:p w:rsidR="00275E8E" w:rsidRDefault="00D63560">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w:t>
      </w:r>
      <w:r>
        <w:rPr>
          <w:rFonts w:ascii="Palatino Linotype" w:eastAsia="Palatino Linotype" w:hAnsi="Palatino Linotype" w:cs="Palatino Linotype"/>
        </w:rPr>
        <w:t xml:space="preserve"> la seguridad jurídica y física del titular de la información, debiendo tener audacia los Sujetos Obligados para cuidar esta información a través del acuerdo clasificatorio del comité de transparencia y la versión pública que emita el servidor público habi</w:t>
      </w:r>
      <w:r>
        <w:rPr>
          <w:rFonts w:ascii="Palatino Linotype" w:eastAsia="Palatino Linotype" w:hAnsi="Palatino Linotype" w:cs="Palatino Linotype"/>
        </w:rPr>
        <w:t xml:space="preserve">litado de cada Sujeto Obligado; como así se establece en la Ley de Transparencia y Acceso a la Información Pública del Estado de México y Municipios. </w:t>
      </w:r>
    </w:p>
    <w:p w:rsidR="00275E8E" w:rsidRDefault="00275E8E">
      <w:pPr>
        <w:spacing w:line="360" w:lineRule="auto"/>
        <w:ind w:right="49"/>
        <w:jc w:val="both"/>
        <w:rPr>
          <w:rFonts w:ascii="Palatino Linotype" w:eastAsia="Palatino Linotype" w:hAnsi="Palatino Linotype" w:cs="Palatino Linotype"/>
        </w:rPr>
      </w:pPr>
    </w:p>
    <w:p w:rsidR="00275E8E" w:rsidRDefault="00D635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w:t>
      </w:r>
      <w:r>
        <w:rPr>
          <w:rFonts w:ascii="Palatino Linotype" w:eastAsia="Palatino Linotype" w:hAnsi="Palatino Linotype" w:cs="Palatino Linotype"/>
        </w:rPr>
        <w:t xml:space="preserve">conste en un documento en cualquiera de sus formas, a saber: expedientes, reportes, estudios, actas, resoluciones, oficios, correspondencia, acuerdos, directivas, directrices, circulares, contratos, convenios, instructivos, notas, memorandos, estadísticas </w:t>
      </w:r>
      <w:r>
        <w:rPr>
          <w:rFonts w:ascii="Palatino Linotype" w:eastAsia="Palatino Linotype" w:hAnsi="Palatino Linotype" w:cs="Palatino Linotype"/>
        </w:rPr>
        <w:t>o bien, cualquier otro registro que documente el ejercicio de las facultades, funciones y competencias de los Sujetos Obligados; los que, podrán estar en cualquier medio, sea escrito, impreso, sonoro, visual, electrónico, informático u holográfico de confo</w:t>
      </w:r>
      <w:r>
        <w:rPr>
          <w:rFonts w:ascii="Palatino Linotype" w:eastAsia="Palatino Linotype" w:hAnsi="Palatino Linotype" w:cs="Palatino Linotype"/>
        </w:rPr>
        <w:t xml:space="preserve">rmidad con el artículo 3, fracción XI de la Ley de la materia, el cual señala lo siguiente: </w:t>
      </w:r>
    </w:p>
    <w:p w:rsidR="00275E8E" w:rsidRDefault="00D6356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275E8E" w:rsidRDefault="00D6356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75E8E" w:rsidRDefault="00D63560">
      <w:pPr>
        <w:spacing w:before="240" w:after="240"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 (Sic)</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w:t>
      </w:r>
      <w:r>
        <w:rPr>
          <w:rFonts w:ascii="Palatino Linotype" w:eastAsia="Palatino Linotype" w:hAnsi="Palatino Linotype" w:cs="Palatino Linotype"/>
        </w:rPr>
        <w:t>plicable, el Criterio de interpretación en el orden administrativo número 0002-11, emitido por Acuerdo del Pleno del Instituto de Transparencia y Acceso a la Información Pública del Estado de México y Municipios; publicado en el Periódico Oficial del Gobie</w:t>
      </w:r>
      <w:r>
        <w:rPr>
          <w:rFonts w:ascii="Palatino Linotype" w:eastAsia="Palatino Linotype" w:hAnsi="Palatino Linotype" w:cs="Palatino Linotype"/>
        </w:rPr>
        <w:t>rno del Estado Libre y Soberano de México “Gaceta del Gobierno”, el diecinueve de octubre de dos mil once, cuyo rubro y texto refieren lo siguiente:</w:t>
      </w:r>
    </w:p>
    <w:p w:rsidR="00275E8E" w:rsidRDefault="00D63560">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75E8E" w:rsidRDefault="00D6356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w:t>
      </w:r>
      <w:r>
        <w:rPr>
          <w:rFonts w:ascii="Palatino Linotype" w:eastAsia="Palatino Linotype" w:hAnsi="Palatino Linotype" w:cs="Palatino Linotype"/>
          <w:b/>
          <w:i/>
          <w:sz w:val="22"/>
          <w:szCs w:val="22"/>
        </w:rPr>
        <w:t xml:space="preserve">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w:t>
      </w:r>
      <w:r>
        <w:rPr>
          <w:rFonts w:ascii="Palatino Linotype" w:eastAsia="Palatino Linotype" w:hAnsi="Palatino Linotype" w:cs="Palatino Linotype"/>
          <w:i/>
          <w:sz w:val="22"/>
          <w:szCs w:val="22"/>
        </w:rPr>
        <w:t>mentos públicos, administrados, generados o en posesión de los órganos u organismos públicos, en virtud del ejercicio de sus funciones de derecho público, sin importar su fuente, soporte o fecha de elaboración.</w:t>
      </w:r>
    </w:p>
    <w:p w:rsidR="00275E8E" w:rsidRDefault="00D6356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w:t>
      </w:r>
      <w:r>
        <w:rPr>
          <w:rFonts w:ascii="Palatino Linotype" w:eastAsia="Palatino Linotype" w:hAnsi="Palatino Linotype" w:cs="Palatino Linotype"/>
          <w:i/>
          <w:sz w:val="22"/>
          <w:szCs w:val="22"/>
        </w:rPr>
        <w:t xml:space="preserve"> refiere a que se cumplan cualquiera de los siguientes tres supuestos:</w:t>
      </w:r>
    </w:p>
    <w:p w:rsidR="00275E8E" w:rsidRDefault="00D6356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75E8E" w:rsidRDefault="00D63560">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w:t>
      </w:r>
      <w:r>
        <w:rPr>
          <w:rFonts w:ascii="Palatino Linotype" w:eastAsia="Palatino Linotype" w:hAnsi="Palatino Linotype" w:cs="Palatino Linotype"/>
          <w:b/>
          <w:i/>
          <w:sz w:val="22"/>
          <w:szCs w:val="22"/>
        </w:rPr>
        <w:t>formación registrada en cualquier soporte documental, que en ejercicio de las atribuciones conferidas, sea administrada por los Sujetos Obligados, y</w:t>
      </w:r>
    </w:p>
    <w:p w:rsidR="00275E8E" w:rsidRDefault="00D63560">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w:t>
      </w:r>
      <w:r>
        <w:rPr>
          <w:rFonts w:ascii="Palatino Linotype" w:eastAsia="Palatino Linotype" w:hAnsi="Palatino Linotype" w:cs="Palatino Linotype"/>
          <w:b/>
          <w:i/>
          <w:sz w:val="22"/>
          <w:szCs w:val="22"/>
        </w:rPr>
        <w:t>ones conferidas, se encuentre en posesión de los Sujetos Obligados.” (Sic)</w:t>
      </w:r>
    </w:p>
    <w:p w:rsidR="00275E8E" w:rsidRDefault="00D63560">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cumple parcialmente con lo establecido por los artículos 4, 12, 24 primer párrafo y 167 de la Ley de Transparencia y Acceso a la Información Pública del Estado de México y Municipios, de conformidad con los puntos siguiente: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Antes del estudio de fondo, s</w:t>
      </w:r>
      <w:r>
        <w:rPr>
          <w:rFonts w:ascii="Palatino Linotype" w:eastAsia="Palatino Linotype" w:hAnsi="Palatino Linotype" w:cs="Palatino Linotype"/>
        </w:rPr>
        <w:t xml:space="preserve">e debe precisar que del análisis a los motivos de inconformidad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está conforme con parte de la información proporcionada en respuesta, consistente en:</w:t>
      </w:r>
    </w:p>
    <w:p w:rsidR="00275E8E" w:rsidRDefault="00D63560">
      <w:pPr>
        <w:numPr>
          <w:ilvl w:val="0"/>
          <w:numId w:val="3"/>
        </w:numPr>
        <w:pBdr>
          <w:top w:val="nil"/>
          <w:left w:val="nil"/>
          <w:bottom w:val="nil"/>
          <w:right w:val="nil"/>
          <w:between w:val="nil"/>
        </w:pBdr>
        <w:spacing w:before="240" w:after="240" w:line="276" w:lineRule="auto"/>
        <w:ind w:right="1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Criterios de aceptación para el programa de desayunos fríos (o su equivalen</w:t>
      </w:r>
      <w:r>
        <w:rPr>
          <w:rFonts w:ascii="Palatino Linotype" w:eastAsia="Palatino Linotype" w:hAnsi="Palatino Linotype" w:cs="Palatino Linotype"/>
          <w:color w:val="000000"/>
        </w:rPr>
        <w:t xml:space="preserve">te) en Jardines de Niños, aceptación o padrón donde aparezca el Jardín de Niños "Plutarco González" de domicilio de la Pradera S/N, San Pablo de las Salinas Tultitlán, estado de México, Clave: 15EJN1434A; </w:t>
      </w:r>
    </w:p>
    <w:p w:rsidR="00275E8E" w:rsidRDefault="00D63560">
      <w:pPr>
        <w:numPr>
          <w:ilvl w:val="0"/>
          <w:numId w:val="3"/>
        </w:numPr>
        <w:pBdr>
          <w:top w:val="nil"/>
          <w:left w:val="nil"/>
          <w:bottom w:val="nil"/>
          <w:right w:val="nil"/>
          <w:between w:val="nil"/>
        </w:pBdr>
        <w:spacing w:before="240" w:after="240" w:line="276" w:lineRule="auto"/>
        <w:ind w:right="1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Estadística de beneficiarios por grado, grupo y se</w:t>
      </w:r>
      <w:r>
        <w:rPr>
          <w:rFonts w:ascii="Palatino Linotype" w:eastAsia="Palatino Linotype" w:hAnsi="Palatino Linotype" w:cs="Palatino Linotype"/>
          <w:color w:val="000000"/>
        </w:rPr>
        <w:t>xo (no omito mencionar que no deseo nombres o datos personales sino datos numéricos) del padrón de beneficiarios para dicho Jardín en el ciclo escolar 2021-2022;</w:t>
      </w:r>
    </w:p>
    <w:p w:rsidR="00275E8E" w:rsidRDefault="00D63560">
      <w:pPr>
        <w:numPr>
          <w:ilvl w:val="0"/>
          <w:numId w:val="3"/>
        </w:numPr>
        <w:pBdr>
          <w:top w:val="nil"/>
          <w:left w:val="nil"/>
          <w:bottom w:val="nil"/>
          <w:right w:val="nil"/>
          <w:between w:val="nil"/>
        </w:pBdr>
        <w:spacing w:before="240" w:after="240" w:line="276" w:lineRule="auto"/>
        <w:ind w:right="1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Totales de:  Raciones y/o desayunos entregados al Jardín por mes;</w:t>
      </w:r>
    </w:p>
    <w:p w:rsidR="00275E8E" w:rsidRDefault="00D63560">
      <w:pPr>
        <w:numPr>
          <w:ilvl w:val="0"/>
          <w:numId w:val="3"/>
        </w:numPr>
        <w:pBdr>
          <w:top w:val="nil"/>
          <w:left w:val="nil"/>
          <w:bottom w:val="nil"/>
          <w:right w:val="nil"/>
          <w:between w:val="nil"/>
        </w:pBdr>
        <w:spacing w:before="240" w:after="240" w:line="276" w:lineRule="auto"/>
        <w:ind w:right="1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-Costo por desayuno y/o raci</w:t>
      </w:r>
      <w:r>
        <w:rPr>
          <w:rFonts w:ascii="Palatino Linotype" w:eastAsia="Palatino Linotype" w:hAnsi="Palatino Linotype" w:cs="Palatino Linotype"/>
          <w:color w:val="000000"/>
        </w:rPr>
        <w:t xml:space="preserve">ón y comprobante de pago por parte del Jardín en el DIF Municipal Los anteriores por mes durante el ciclo 2021-2022 </w:t>
      </w:r>
      <w:r>
        <w:rPr>
          <w:rFonts w:ascii="Palatino Linotype" w:eastAsia="Palatino Linotype" w:hAnsi="Palatino Linotype" w:cs="Palatino Linotype"/>
          <w:color w:val="000000"/>
        </w:rPr>
        <w:lastRenderedPageBreak/>
        <w:t>(agosto, septiembre, octubre, noviembre y diciembre 2021) aplicables para el Jardín de Niños en mención.</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así de la siguiente información:</w:t>
      </w:r>
    </w:p>
    <w:p w:rsidR="00275E8E" w:rsidRDefault="00D63560">
      <w:pPr>
        <w:numPr>
          <w:ilvl w:val="0"/>
          <w:numId w:val="2"/>
        </w:num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Calendario Autorizado y o aprobado según las competencias del Sistema Municipal DIF de Tultitlán para los periodos de entrega de recursos, del Sistema al jardín; y del Jardín a los Padres; Criterios de asignación (en caso de tener); </w:t>
      </w:r>
    </w:p>
    <w:p w:rsidR="00275E8E" w:rsidRDefault="00D63560">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comprobación de entrega de las raciones o desayunos del jardín a los padres y devoluciones.</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w:t>
      </w:r>
      <w:r>
        <w:rPr>
          <w:rFonts w:ascii="Palatino Linotype" w:eastAsia="Palatino Linotype" w:hAnsi="Palatino Linotype" w:cs="Palatino Linotype"/>
        </w:rPr>
        <w:t xml:space="preserve"> derecho, los mismos deben estimarse atendidos. Sirve de apoyo a lo anterior, por analogía, la Tesis Jurisprudencial Número 3ª./J.7/91, publicada en el Semanario Judicial de la Federación y su Gaceta bajo el número de registro 174,177, que establece lo sig</w:t>
      </w:r>
      <w:r>
        <w:rPr>
          <w:rFonts w:ascii="Palatino Linotype" w:eastAsia="Palatino Linotype" w:hAnsi="Palatino Linotype" w:cs="Palatino Linotype"/>
        </w:rPr>
        <w:t>uiente:</w:t>
      </w:r>
    </w:p>
    <w:p w:rsidR="00275E8E" w:rsidRDefault="00D635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w:t>
      </w:r>
      <w:r>
        <w:rPr>
          <w:rFonts w:ascii="Palatino Linotype" w:eastAsia="Palatino Linotype" w:hAnsi="Palatino Linotype" w:cs="Palatino Linotype"/>
          <w:i/>
          <w:sz w:val="22"/>
          <w:szCs w:val="22"/>
        </w:rPr>
        <w:t xml:space="preserve"> debe declararse firme. Esto es, en el caso referido, no obstante que la materia de la revisión comprende a todos los resolutivos que afectan a la recurrente, deben declararse firmes aquéllos en contra de los cuales no se formuló agravio y dicha declaració</w:t>
      </w:r>
      <w:r>
        <w:rPr>
          <w:rFonts w:ascii="Palatino Linotype" w:eastAsia="Palatino Linotype" w:hAnsi="Palatino Linotype" w:cs="Palatino Linotype"/>
          <w:i/>
          <w:sz w:val="22"/>
          <w:szCs w:val="22"/>
        </w:rPr>
        <w:t>n de firmeza debe reflejarse en la parte considerativa y en los resolutivos debe confirmarse la sentencia recurrida en la parte correspondiente.”(Sic)</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la parte de la solicitud sobre la que no se expresó inconformidad, debe declararse consentida po</w:t>
      </w:r>
      <w:r>
        <w:rPr>
          <w:rFonts w:ascii="Palatino Linotype" w:eastAsia="Palatino Linotype" w:hAnsi="Palatino Linotype" w:cs="Palatino Linotype"/>
        </w:rPr>
        <w:t>r el hoy Recurrente, ya que no pueden producirse efectos jurídicos tendentes a revocar, confirmar o modificar la parte de la respuesta con relación a la parte de la solicitud que no fue motivo de inconformidad ya que se infiere un consentimiento de la recu</w:t>
      </w:r>
      <w:r>
        <w:rPr>
          <w:rFonts w:ascii="Palatino Linotype" w:eastAsia="Palatino Linotype" w:hAnsi="Palatino Linotype" w:cs="Palatino Linotype"/>
        </w:rPr>
        <w:t>rrente ante la falta de impugnación eficaz.</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r>
        <w:rPr>
          <w:rFonts w:ascii="Palatino Linotype" w:eastAsia="Palatino Linotype" w:hAnsi="Palatino Linotype" w:cs="Palatino Linotype"/>
        </w:rPr>
        <w:t>:</w:t>
      </w:r>
    </w:p>
    <w:p w:rsidR="00275E8E" w:rsidRDefault="00D635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w:t>
      </w:r>
      <w:r>
        <w:rPr>
          <w:rFonts w:ascii="Palatino Linotype" w:eastAsia="Palatino Linotype" w:hAnsi="Palatino Linotype" w:cs="Palatino Linotype"/>
          <w:i/>
          <w:sz w:val="22"/>
          <w:szCs w:val="22"/>
        </w:rPr>
        <w:t>ción de inconformidad, tales actuaciones no producen efectos jurídicos tendientes a revocar, confirmar o modificar el acto reclamado en amparo, lo que significa consentimiento del mismo por falta de impugnación eficaz.”(Sic)</w:t>
      </w: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al punto 1 relativo al calendario Autorizado y o aprobado según las competencias del Sistema Municipal DIF de Tultitlán para los periodos de entrega de recursos, del Sistema al jardín, 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en respuesta anexó e</w:t>
      </w:r>
      <w:r>
        <w:rPr>
          <w:rFonts w:ascii="Palatino Linotype" w:eastAsia="Palatino Linotype" w:hAnsi="Palatino Linotype" w:cs="Palatino Linotype"/>
        </w:rPr>
        <w:t xml:space="preserve">l calendario escolar 2021-2022, sin indicar o dar una explicación sobre los periodos de entrega de los desayunos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Jardín de Niños Plutarco González, lo cierto es que en el informe justificado señaló que los desayuno fríos y raciones v</w:t>
      </w:r>
      <w:r>
        <w:rPr>
          <w:rFonts w:ascii="Palatino Linotype" w:eastAsia="Palatino Linotype" w:hAnsi="Palatino Linotype" w:cs="Palatino Linotype"/>
        </w:rPr>
        <w:t xml:space="preserve">espertinas que el SMDIF, le entrega al JN. Plutarco González con CCT 15EJN1434A de la localidad del Parque San Pablo, </w:t>
      </w:r>
      <w:r>
        <w:rPr>
          <w:rFonts w:ascii="Palatino Linotype" w:eastAsia="Palatino Linotype" w:hAnsi="Palatino Linotype" w:cs="Palatino Linotype"/>
          <w:b/>
          <w:u w:val="single"/>
        </w:rPr>
        <w:t xml:space="preserve">son suministrados de acuerdo al calendario escolar, el cual nos estipula los días </w:t>
      </w:r>
      <w:r>
        <w:rPr>
          <w:rFonts w:ascii="Palatino Linotype" w:eastAsia="Palatino Linotype" w:hAnsi="Palatino Linotype" w:cs="Palatino Linotype"/>
          <w:b/>
          <w:u w:val="single"/>
        </w:rPr>
        <w:lastRenderedPageBreak/>
        <w:t>hábiles</w:t>
      </w:r>
      <w:r>
        <w:rPr>
          <w:rFonts w:ascii="Palatino Linotype" w:eastAsia="Palatino Linotype" w:hAnsi="Palatino Linotype" w:cs="Palatino Linotype"/>
        </w:rPr>
        <w:t>, como lo establece la gaceta de gobierno publica</w:t>
      </w:r>
      <w:r>
        <w:rPr>
          <w:rFonts w:ascii="Palatino Linotype" w:eastAsia="Palatino Linotype" w:hAnsi="Palatino Linotype" w:cs="Palatino Linotype"/>
        </w:rPr>
        <w:t>da el 29 de enero del 2021. Anexando la siguiente tabla:</w:t>
      </w:r>
    </w:p>
    <w:p w:rsidR="00275E8E" w:rsidRDefault="00D63560">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429250" cy="2654300"/>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40846" t="24743" r="26794" b="18527"/>
                    <a:stretch>
                      <a:fillRect/>
                    </a:stretch>
                  </pic:blipFill>
                  <pic:spPr>
                    <a:xfrm>
                      <a:off x="0" y="0"/>
                      <a:ext cx="5429250" cy="2654300"/>
                    </a:xfrm>
                    <a:prstGeom prst="rect">
                      <a:avLst/>
                    </a:prstGeom>
                    <a:ln/>
                  </pic:spPr>
                </pic:pic>
              </a:graphicData>
            </a:graphic>
          </wp:inline>
        </w:drawing>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en el calendario que mandó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como corresponde en seguida:</w:t>
      </w:r>
    </w:p>
    <w:p w:rsidR="00275E8E" w:rsidRDefault="00275E8E">
      <w:pPr>
        <w:spacing w:before="240" w:after="240" w:line="360" w:lineRule="auto"/>
        <w:jc w:val="both"/>
      </w:pPr>
    </w:p>
    <w:p w:rsidR="00275E8E" w:rsidRDefault="00D63560">
      <w:pPr>
        <w:spacing w:before="240" w:after="240" w:line="360" w:lineRule="auto"/>
        <w:jc w:val="both"/>
        <w:rPr>
          <w:rFonts w:ascii="Palatino Linotype" w:eastAsia="Palatino Linotype" w:hAnsi="Palatino Linotype" w:cs="Palatino Linotype"/>
          <w:color w:val="FF0000"/>
          <w:highlight w:val="yellow"/>
        </w:rPr>
      </w:pPr>
      <w:r>
        <w:rPr>
          <w:noProof/>
          <w:lang w:val="es-MX" w:eastAsia="es-MX"/>
        </w:rPr>
        <w:lastRenderedPageBreak/>
        <w:drawing>
          <wp:inline distT="0" distB="0" distL="0" distR="0">
            <wp:extent cx="5588000" cy="3136900"/>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31003" t="17904" r="16382" b="16515"/>
                    <a:stretch>
                      <a:fillRect/>
                    </a:stretch>
                  </pic:blipFill>
                  <pic:spPr>
                    <a:xfrm>
                      <a:off x="0" y="0"/>
                      <a:ext cx="5588000" cy="3136900"/>
                    </a:xfrm>
                    <a:prstGeom prst="rect">
                      <a:avLst/>
                    </a:prstGeom>
                    <a:ln/>
                  </pic:spPr>
                </pic:pic>
              </a:graphicData>
            </a:graphic>
          </wp:inline>
        </w:drawing>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Contempla el periodo solicitado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relativo a los meses de agosto, sept</w:t>
      </w:r>
      <w:r>
        <w:rPr>
          <w:rFonts w:ascii="Palatino Linotype" w:eastAsia="Palatino Linotype" w:hAnsi="Palatino Linotype" w:cs="Palatino Linotype"/>
        </w:rPr>
        <w:t xml:space="preserve">iembre, octubre, noviembre y diciembre de 2021. </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Haciendo notar el </w:t>
      </w:r>
      <w:r>
        <w:rPr>
          <w:rFonts w:ascii="Palatino Linotype" w:eastAsia="Palatino Linotype" w:hAnsi="Palatino Linotype" w:cs="Palatino Linotype"/>
          <w:b/>
        </w:rPr>
        <w:t>SUJETO OBLIGADO</w:t>
      </w:r>
      <w:r>
        <w:rPr>
          <w:rFonts w:ascii="Palatino Linotype" w:eastAsia="Palatino Linotype" w:hAnsi="Palatino Linotype" w:cs="Palatino Linotype"/>
        </w:rPr>
        <w:t>, que los días hábiles corresponden a los desayunos entregados a cada niño por mes, es decir, quince días hábiles equivalen a quince desayunos entregados a cada niño.</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Señalad</w:t>
      </w:r>
      <w:r>
        <w:rPr>
          <w:rFonts w:ascii="Palatino Linotype" w:eastAsia="Palatino Linotype" w:hAnsi="Palatino Linotype" w:cs="Palatino Linotype"/>
        </w:rPr>
        <w:t xml:space="preserve">o lo procedente, es pertinente aclarar que el particular requirió la información del ciclo escolar 2021-2022, y de la respuesta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entregó el calendario escolar 2021-2022 y con la aclaración del Sistema Municipal Para el D</w:t>
      </w:r>
      <w:r>
        <w:rPr>
          <w:rFonts w:ascii="Palatino Linotype" w:eastAsia="Palatino Linotype" w:hAnsi="Palatino Linotype" w:cs="Palatino Linotype"/>
        </w:rPr>
        <w:t xml:space="preserve">esarrollo Integral de la Familia de Tultitlán, en informe justificado, se tiene que la entrega de los desayunos escolares fríos al Jardín de Niños Plutarco González, la realiza de acuerdo a los días hábiles señalados en </w:t>
      </w:r>
      <w:r>
        <w:rPr>
          <w:rFonts w:ascii="Palatino Linotype" w:eastAsia="Palatino Linotype" w:hAnsi="Palatino Linotype" w:cs="Palatino Linotype"/>
        </w:rPr>
        <w:lastRenderedPageBreak/>
        <w:t>dicho calendario escolar, que corres</w:t>
      </w:r>
      <w:r>
        <w:rPr>
          <w:rFonts w:ascii="Palatino Linotype" w:eastAsia="Palatino Linotype" w:hAnsi="Palatino Linotype" w:cs="Palatino Linotype"/>
        </w:rPr>
        <w:t xml:space="preserve">ponde un día hábil a un desayuno por niño, colmando con ello el derecho de acceso a la información del particular en cuanto el calendario escolar 2021-2022; máxime,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como en informe justificado entregó las cifras de los d</w:t>
      </w:r>
      <w:r>
        <w:rPr>
          <w:rFonts w:ascii="Palatino Linotype" w:eastAsia="Palatino Linotype" w:hAnsi="Palatino Linotype" w:cs="Palatino Linotype"/>
        </w:rPr>
        <w:t xml:space="preserve">esayunos entregados del periodo comprendido del mes de enero a diciembre del año dos mil veintiuno, lo que contempla la información que tiene el </w:t>
      </w:r>
      <w:r>
        <w:rPr>
          <w:rFonts w:ascii="Palatino Linotype" w:eastAsia="Palatino Linotype" w:hAnsi="Palatino Linotype" w:cs="Palatino Linotype"/>
          <w:b/>
        </w:rPr>
        <w:t>SUJETO OBLIGADO</w:t>
      </w:r>
      <w:r>
        <w:rPr>
          <w:rFonts w:ascii="Palatino Linotype" w:eastAsia="Palatino Linotype" w:hAnsi="Palatino Linotype" w:cs="Palatino Linotype"/>
        </w:rPr>
        <w:t>, a la fecha de la solicitud es decir al veintiuno de diciembre del año dos mil veintiuno, lo qu</w:t>
      </w:r>
      <w:r>
        <w:rPr>
          <w:rFonts w:ascii="Palatino Linotype" w:eastAsia="Palatino Linotype" w:hAnsi="Palatino Linotype" w:cs="Palatino Linotype"/>
        </w:rPr>
        <w:t>e se acredita con la siguientes imágenes que se insertan a continuación de manera ilustrativa:</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Respuesta:</w:t>
      </w:r>
    </w:p>
    <w:p w:rsidR="00275E8E" w:rsidRDefault="00D63560">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530850" cy="27813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39376" t="46067" r="24190" b="20739"/>
                    <a:stretch>
                      <a:fillRect/>
                    </a:stretch>
                  </pic:blipFill>
                  <pic:spPr>
                    <a:xfrm>
                      <a:off x="0" y="0"/>
                      <a:ext cx="5530850" cy="2781300"/>
                    </a:xfrm>
                    <a:prstGeom prst="rect">
                      <a:avLst/>
                    </a:prstGeom>
                    <a:ln/>
                  </pic:spPr>
                </pic:pic>
              </a:graphicData>
            </a:graphic>
          </wp:inline>
        </w:drawing>
      </w:r>
    </w:p>
    <w:p w:rsidR="00275E8E" w:rsidRDefault="00D63560">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Informe Justificado:</w:t>
      </w:r>
    </w:p>
    <w:p w:rsidR="00275E8E" w:rsidRDefault="00D6356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color w:val="000000"/>
          <w:sz w:val="22"/>
          <w:szCs w:val="22"/>
          <w:lang w:val="es-MX" w:eastAsia="es-MX"/>
        </w:rPr>
        <w:lastRenderedPageBreak/>
        <w:drawing>
          <wp:inline distT="0" distB="0" distL="0" distR="0">
            <wp:extent cx="5518150" cy="2546350"/>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36094" t="43050" r="22606" b="12090"/>
                    <a:stretch>
                      <a:fillRect/>
                    </a:stretch>
                  </pic:blipFill>
                  <pic:spPr>
                    <a:xfrm>
                      <a:off x="0" y="0"/>
                      <a:ext cx="5518150" cy="2546350"/>
                    </a:xfrm>
                    <a:prstGeom prst="rect">
                      <a:avLst/>
                    </a:prstGeom>
                    <a:ln/>
                  </pic:spPr>
                </pic:pic>
              </a:graphicData>
            </a:graphic>
          </wp:inline>
        </w:drawing>
      </w:r>
    </w:p>
    <w:p w:rsidR="00275E8E" w:rsidRDefault="00D6356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otro orden de ideas, respecto del motivo de inconformidad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donde señala: </w:t>
      </w:r>
    </w:p>
    <w:p w:rsidR="00275E8E" w:rsidRDefault="00275E8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275E8E" w:rsidRDefault="00D6356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Calendario Autorizado y/o aprobado para los periodos de entrega del Jardín a los padres;  </w:t>
      </w:r>
    </w:p>
    <w:p w:rsidR="00275E8E" w:rsidRDefault="00D6356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comprobación de entrega de las raciones o desayunos del jardín a los padres y devoluciones.</w:t>
      </w:r>
    </w:p>
    <w:p w:rsidR="00275E8E" w:rsidRDefault="00275E8E">
      <w:pPr>
        <w:pBdr>
          <w:top w:val="nil"/>
          <w:left w:val="nil"/>
          <w:bottom w:val="nil"/>
          <w:right w:val="nil"/>
          <w:between w:val="nil"/>
        </w:pBdr>
        <w:ind w:left="708"/>
        <w:rPr>
          <w:rFonts w:ascii="Palatino Linotype" w:eastAsia="Palatino Linotype" w:hAnsi="Palatino Linotype" w:cs="Palatino Linotype"/>
          <w:color w:val="000000"/>
        </w:rPr>
      </w:pPr>
    </w:p>
    <w:p w:rsidR="00275E8E" w:rsidRDefault="00D6356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 bien,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en respuesta omitió pronunciarse al respecto; no obstante a través de su Informe Justificado, señaló que la información del Jardín a los padres no es competencia del Sistema Municipal Para el Desarrollo Integral de la Familia de Tultitlán.</w:t>
      </w:r>
    </w:p>
    <w:p w:rsidR="00275E8E" w:rsidRDefault="00275E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75E8E" w:rsidRDefault="00D63560">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de l</w:t>
      </w:r>
      <w:r>
        <w:rPr>
          <w:rFonts w:ascii="Palatino Linotype" w:eastAsia="Palatino Linotype" w:hAnsi="Palatino Linotype" w:cs="Palatino Linotype"/>
          <w:color w:val="000000"/>
        </w:rPr>
        <w:t>a incompetencia, conviene citar  lo señalado por el artículo 167 de la Ley de la Materia, que indica:</w:t>
      </w:r>
    </w:p>
    <w:p w:rsidR="00275E8E" w:rsidRDefault="00D63560">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167. Cuando las unidades de transparencia determinen la notoria incompetencia por parte de los sujetos obligados, dentro del ámbito de aplicació</w:t>
      </w:r>
      <w:r>
        <w:rPr>
          <w:rFonts w:ascii="Palatino Linotype" w:eastAsia="Palatino Linotype" w:hAnsi="Palatino Linotype" w:cs="Palatino Linotype"/>
          <w:i/>
          <w:sz w:val="22"/>
          <w:szCs w:val="22"/>
        </w:rPr>
        <w:t xml:space="preserve">n, para atender la solicitud de acceso a la información, </w:t>
      </w:r>
      <w:r>
        <w:rPr>
          <w:rFonts w:ascii="Palatino Linotype" w:eastAsia="Palatino Linotype" w:hAnsi="Palatino Linotype" w:cs="Palatino Linotype"/>
          <w:b/>
          <w:i/>
          <w:sz w:val="22"/>
          <w:szCs w:val="22"/>
        </w:rPr>
        <w:t>deberán comunicarlo al solicitante, dentro de los tres días hábiles posteriores a la recepción de la solicitud y, en su caso orientar al solicitante, el o los sujetos obligados competentes.</w:t>
      </w:r>
      <w:r>
        <w:rPr>
          <w:rFonts w:ascii="Palatino Linotype" w:eastAsia="Palatino Linotype" w:hAnsi="Palatino Linotype" w:cs="Palatino Linotype"/>
          <w:i/>
          <w:sz w:val="22"/>
          <w:szCs w:val="22"/>
        </w:rPr>
        <w:t xml:space="preserve"> </w:t>
      </w:r>
    </w:p>
    <w:p w:rsidR="00275E8E" w:rsidRDefault="00D635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los s</w:t>
      </w:r>
      <w:r>
        <w:rPr>
          <w:rFonts w:ascii="Palatino Linotype" w:eastAsia="Palatino Linotype" w:hAnsi="Palatino Linotype" w:cs="Palatino Linotype"/>
          <w:i/>
          <w:sz w:val="22"/>
          <w:szCs w:val="22"/>
        </w:rPr>
        <w:t xml:space="preserve">ujetos obligados son competentes para atender parcialmente la solicitud de acceso a la información, deberá dar respuesta respecto de dicha parte. Respecto de la información sobre la cual es incompetente se procederá conforme lo señala el párrafo anterior. </w:t>
      </w:r>
    </w:p>
    <w:p w:rsidR="00275E8E" w:rsidRDefault="00D635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transcurrido el plazo señalado en el primer párrafo de este artículo, el sujeto obligado no declina la competencia en los términos establecidos, podrá canalizar la solicitud ante el sujeto obligado competente.” (Sic)</w:t>
      </w:r>
    </w:p>
    <w:p w:rsidR="00275E8E" w:rsidRDefault="00275E8E">
      <w:pPr>
        <w:spacing w:line="360" w:lineRule="auto"/>
        <w:ind w:right="49"/>
        <w:jc w:val="both"/>
        <w:rPr>
          <w:rFonts w:ascii="Palatino Linotype" w:eastAsia="Palatino Linotype" w:hAnsi="Palatino Linotype" w:cs="Palatino Linotype"/>
        </w:rPr>
      </w:pP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Precepto legal, que no fue observado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atendiendo a como ha quedado acreditado en el apartado de antecedentes,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declaró incompetente hasta su informe justificado, por lo que dejó de observar lo establecido en el artículo en cita, por lo tanto, </w:t>
      </w:r>
      <w:r>
        <w:rPr>
          <w:rFonts w:ascii="Palatino Linotype" w:eastAsia="Palatino Linotype" w:hAnsi="Palatino Linotype" w:cs="Palatino Linotype"/>
        </w:rPr>
        <w:t>deberá atender el contenido del artículo 49 de la citada ley, que se cita a continuación para mayor referencia:</w:t>
      </w:r>
    </w:p>
    <w:p w:rsidR="00275E8E" w:rsidRDefault="00275E8E">
      <w:pPr>
        <w:ind w:left="567" w:right="567"/>
        <w:jc w:val="both"/>
        <w:rPr>
          <w:rFonts w:ascii="Palatino Linotype" w:eastAsia="Palatino Linotype" w:hAnsi="Palatino Linotype" w:cs="Palatino Linotype"/>
          <w:b/>
          <w:i/>
          <w:sz w:val="22"/>
          <w:szCs w:val="22"/>
        </w:rPr>
      </w:pPr>
    </w:p>
    <w:p w:rsidR="00275E8E" w:rsidRDefault="00D635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w:t>
      </w:r>
      <w:r>
        <w:rPr>
          <w:rFonts w:ascii="Palatino Linotype" w:eastAsia="Palatino Linotype" w:hAnsi="Palatino Linotype" w:cs="Palatino Linotype"/>
          <w:b/>
          <w:i/>
          <w:sz w:val="22"/>
          <w:szCs w:val="22"/>
        </w:rPr>
        <w:t xml:space="preserve">lo 49. </w:t>
      </w:r>
      <w:r>
        <w:rPr>
          <w:rFonts w:ascii="Palatino Linotype" w:eastAsia="Palatino Linotype" w:hAnsi="Palatino Linotype" w:cs="Palatino Linotype"/>
          <w:i/>
          <w:sz w:val="22"/>
          <w:szCs w:val="22"/>
        </w:rPr>
        <w:t>Los Comités de Transparencia tendrán las siguientes atribuciones:</w:t>
      </w:r>
    </w:p>
    <w:p w:rsidR="00275E8E" w:rsidRDefault="00D635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Instituir, coordinar y supervisar en términos de las disposiciones aplicables, las acciones, medidas y procedimientos que coadyuven a asegurar una mayor eficacia en la gestión y at</w:t>
      </w:r>
      <w:r>
        <w:rPr>
          <w:rFonts w:ascii="Palatino Linotype" w:eastAsia="Palatino Linotype" w:hAnsi="Palatino Linotype" w:cs="Palatino Linotype"/>
          <w:i/>
          <w:sz w:val="22"/>
          <w:szCs w:val="22"/>
        </w:rPr>
        <w:t>ención de las solicitudes en materia de acceso a la información;</w:t>
      </w:r>
    </w:p>
    <w:p w:rsidR="00275E8E" w:rsidRDefault="00D63560">
      <w:pPr>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 xml:space="preserve">Confirmar, modificar o revocar las determinaciones que, en materia de ampliación del plazo de respuesta, clasificación de la información y declaración de inexistencia </w:t>
      </w:r>
      <w:r>
        <w:rPr>
          <w:rFonts w:ascii="Palatino Linotype" w:eastAsia="Palatino Linotype" w:hAnsi="Palatino Linotype" w:cs="Palatino Linotype"/>
          <w:b/>
          <w:i/>
          <w:sz w:val="22"/>
          <w:szCs w:val="22"/>
        </w:rPr>
        <w:t xml:space="preserve">o </w:t>
      </w:r>
      <w:r>
        <w:rPr>
          <w:rFonts w:ascii="Palatino Linotype" w:eastAsia="Palatino Linotype" w:hAnsi="Palatino Linotype" w:cs="Palatino Linotype"/>
          <w:b/>
          <w:i/>
          <w:sz w:val="22"/>
          <w:szCs w:val="22"/>
          <w:u w:val="single"/>
        </w:rPr>
        <w:t>de incompetencia r</w:t>
      </w:r>
      <w:r>
        <w:rPr>
          <w:rFonts w:ascii="Palatino Linotype" w:eastAsia="Palatino Linotype" w:hAnsi="Palatino Linotype" w:cs="Palatino Linotype"/>
          <w:b/>
          <w:i/>
          <w:sz w:val="22"/>
          <w:szCs w:val="22"/>
          <w:u w:val="single"/>
        </w:rPr>
        <w:t xml:space="preserve">ealicen los titulares de las áreas de los sujetos obligados…” </w:t>
      </w:r>
      <w:r>
        <w:rPr>
          <w:rFonts w:ascii="Palatino Linotype" w:eastAsia="Palatino Linotype" w:hAnsi="Palatino Linotype" w:cs="Palatino Linotype"/>
          <w:b/>
          <w:i/>
          <w:sz w:val="22"/>
          <w:szCs w:val="22"/>
        </w:rPr>
        <w:t>(Sic)</w:t>
      </w:r>
    </w:p>
    <w:p w:rsidR="00275E8E" w:rsidRDefault="00275E8E">
      <w:pPr>
        <w:ind w:left="567" w:right="567"/>
        <w:jc w:val="right"/>
        <w:rPr>
          <w:rFonts w:ascii="Palatino Linotype" w:eastAsia="Palatino Linotype" w:hAnsi="Palatino Linotype" w:cs="Palatino Linotype"/>
        </w:rPr>
      </w:pPr>
    </w:p>
    <w:p w:rsidR="00275E8E" w:rsidRDefault="00D6356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si bien es cierto que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w:t>
      </w:r>
      <w:r>
        <w:rPr>
          <w:rFonts w:ascii="Palatino Linotype" w:eastAsia="Palatino Linotype" w:hAnsi="Palatino Linotype" w:cs="Palatino Linotype"/>
        </w:rPr>
        <w:t xml:space="preserve">ión pública que obre en sus archivos pudiendo ser de manera </w:t>
      </w:r>
      <w:r>
        <w:rPr>
          <w:rFonts w:ascii="Palatino Linotype" w:eastAsia="Palatino Linotype" w:hAnsi="Palatino Linotype" w:cs="Palatino Linotype"/>
        </w:rPr>
        <w:lastRenderedPageBreak/>
        <w:t>electrónica; más aún si la misma se trata de información pública de oficio la cual se relaciona con aquella que se genere de acuerdo con sus facultades, atribuciones y obligaciones señaladas por l</w:t>
      </w:r>
      <w:r>
        <w:rPr>
          <w:rFonts w:ascii="Palatino Linotype" w:eastAsia="Palatino Linotype" w:hAnsi="Palatino Linotype" w:cs="Palatino Linotype"/>
        </w:rPr>
        <w:t>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w:t>
      </w:r>
      <w:r>
        <w:rPr>
          <w:rFonts w:ascii="Palatino Linotype" w:eastAsia="Palatino Linotype" w:hAnsi="Palatino Linotype" w:cs="Palatino Linotype"/>
        </w:rPr>
        <w:t>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sin embargo, de manera enunciativa mas no limitada quien pudiera tener dicha información es la Secretaría de Educación, ya que el Estado de México, le corresponde garantizar la educación de los mexiquenses en sus tres niveles pree</w:t>
      </w:r>
      <w:r>
        <w:rPr>
          <w:rFonts w:ascii="Palatino Linotype" w:eastAsia="Palatino Linotype" w:hAnsi="Palatino Linotype" w:cs="Palatino Linotype"/>
        </w:rPr>
        <w:t>scolar, primaria, secundaria y media superior, a través de su autoridad educativa en este caso la Secretaría de Educación del Estado de México, conforme al artículo 7 de la Ley de Educación del Estado de México, que señala:</w:t>
      </w:r>
    </w:p>
    <w:p w:rsidR="00275E8E" w:rsidRDefault="00275E8E">
      <w:pPr>
        <w:spacing w:line="360" w:lineRule="auto"/>
        <w:ind w:right="49"/>
        <w:jc w:val="both"/>
        <w:rPr>
          <w:rFonts w:ascii="Palatino Linotype" w:eastAsia="Palatino Linotype" w:hAnsi="Palatino Linotype" w:cs="Palatino Linotype"/>
        </w:rPr>
      </w:pP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 </w:t>
      </w:r>
      <w:r>
        <w:rPr>
          <w:rFonts w:ascii="Palatino Linotype" w:eastAsia="Palatino Linotype" w:hAnsi="Palatino Linotype" w:cs="Palatino Linotype"/>
          <w:b/>
          <w:i/>
          <w:sz w:val="22"/>
          <w:szCs w:val="22"/>
        </w:rPr>
        <w:t xml:space="preserve">El Estado está obligado a prestar servicios educativos de calidad con un enfoque de derechos que garanticen el máximo logro de aprendizaje de los educandos, para que su población pueda cursar </w:t>
      </w:r>
      <w:r>
        <w:rPr>
          <w:rFonts w:ascii="Palatino Linotype" w:eastAsia="Palatino Linotype" w:hAnsi="Palatino Linotype" w:cs="Palatino Linotype"/>
          <w:b/>
          <w:i/>
          <w:sz w:val="22"/>
          <w:szCs w:val="22"/>
          <w:u w:val="single"/>
        </w:rPr>
        <w:t xml:space="preserve">la educación preescolar, </w:t>
      </w:r>
      <w:r>
        <w:rPr>
          <w:rFonts w:ascii="Palatino Linotype" w:eastAsia="Palatino Linotype" w:hAnsi="Palatino Linotype" w:cs="Palatino Linotype"/>
          <w:i/>
          <w:sz w:val="22"/>
          <w:szCs w:val="22"/>
        </w:rPr>
        <w:t>la primaria, la secundaria y la media s</w:t>
      </w:r>
      <w:r>
        <w:rPr>
          <w:rFonts w:ascii="Palatino Linotype" w:eastAsia="Palatino Linotype" w:hAnsi="Palatino Linotype" w:cs="Palatino Linotype"/>
          <w:i/>
          <w:sz w:val="22"/>
          <w:szCs w:val="22"/>
        </w:rPr>
        <w:t>uperior. Estos servicios se prestarán en el marco del federalismo y la concurrencia previstos en la Constitución Política de los Estados Unidos Mexicanos y conforme a la distribución de la función social educativa establecida en la Ley General y la present</w:t>
      </w:r>
      <w:r>
        <w:rPr>
          <w:rFonts w:ascii="Palatino Linotype" w:eastAsia="Palatino Linotype" w:hAnsi="Palatino Linotype" w:cs="Palatino Linotype"/>
          <w:i/>
          <w:sz w:val="22"/>
          <w:szCs w:val="22"/>
        </w:rPr>
        <w:t xml:space="preserve">e Ley, respetando y favoreciendo el desarrollo de la población de la Entidad.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Autoridad Educativa Estatal celebrará convenios de alianza estratégica con la Universidad Autónoma del Estado de México para recibir en las instituciones </w:t>
      </w:r>
      <w:r>
        <w:rPr>
          <w:rFonts w:ascii="Palatino Linotype" w:eastAsia="Palatino Linotype" w:hAnsi="Palatino Linotype" w:cs="Palatino Linotype"/>
          <w:i/>
          <w:sz w:val="22"/>
          <w:szCs w:val="22"/>
        </w:rPr>
        <w:lastRenderedPageBreak/>
        <w:t>educativas de tipo m</w:t>
      </w:r>
      <w:r>
        <w:rPr>
          <w:rFonts w:ascii="Palatino Linotype" w:eastAsia="Palatino Linotype" w:hAnsi="Palatino Linotype" w:cs="Palatino Linotype"/>
          <w:i/>
          <w:sz w:val="22"/>
          <w:szCs w:val="22"/>
        </w:rPr>
        <w:t>edio superior y superior del Gobierno del Estado a los aspirantes que no hayan sido seleccionados en el proceso de admisión a los estudios de bachillerato y de licenciatura, para tales efectos se tendrá en consideración la capacidad disponible y los requis</w:t>
      </w:r>
      <w:r>
        <w:rPr>
          <w:rFonts w:ascii="Palatino Linotype" w:eastAsia="Palatino Linotype" w:hAnsi="Palatino Linotype" w:cs="Palatino Linotype"/>
          <w:i/>
          <w:sz w:val="22"/>
          <w:szCs w:val="22"/>
        </w:rPr>
        <w:t xml:space="preserve">itos administrativos que establezca la institución receptora.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Además, el Estado promoverá y atenderá todos los tipos y modalidades educativos, incluyendo </w:t>
      </w:r>
      <w:r>
        <w:rPr>
          <w:rFonts w:ascii="Palatino Linotype" w:eastAsia="Palatino Linotype" w:hAnsi="Palatino Linotype" w:cs="Palatino Linotype"/>
          <w:b/>
          <w:i/>
          <w:sz w:val="22"/>
          <w:szCs w:val="22"/>
          <w:u w:val="single"/>
        </w:rPr>
        <w:t xml:space="preserve">la educación inicial, </w:t>
      </w:r>
      <w:r>
        <w:rPr>
          <w:rFonts w:ascii="Palatino Linotype" w:eastAsia="Palatino Linotype" w:hAnsi="Palatino Linotype" w:cs="Palatino Linotype"/>
          <w:b/>
          <w:i/>
          <w:sz w:val="22"/>
          <w:szCs w:val="22"/>
        </w:rPr>
        <w:t>especial y superior, apoyará la investigación científica y tecnológica y alenta</w:t>
      </w:r>
      <w:r>
        <w:rPr>
          <w:rFonts w:ascii="Palatino Linotype" w:eastAsia="Palatino Linotype" w:hAnsi="Palatino Linotype" w:cs="Palatino Linotype"/>
          <w:b/>
          <w:i/>
          <w:sz w:val="22"/>
          <w:szCs w:val="22"/>
        </w:rPr>
        <w:t>rá el fortalecimiento y difusión de la cultura</w:t>
      </w:r>
      <w:r>
        <w:rPr>
          <w:rFonts w:ascii="Palatino Linotype" w:eastAsia="Palatino Linotype" w:hAnsi="Palatino Linotype" w:cs="Palatino Linotype"/>
          <w:i/>
          <w:sz w:val="22"/>
          <w:szCs w:val="22"/>
        </w:rPr>
        <w:t>.</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educación que impartan el Estado, sus organismos descentralizados y los particulares con autorización o reconocimiento de validez oficial de estudios es un servicio público.”(Sic)</w:t>
      </w:r>
    </w:p>
    <w:p w:rsidR="00275E8E" w:rsidRDefault="00275E8E">
      <w:pPr>
        <w:ind w:left="567" w:right="616"/>
        <w:jc w:val="both"/>
        <w:rPr>
          <w:rFonts w:ascii="Palatino Linotype" w:eastAsia="Palatino Linotype" w:hAnsi="Palatino Linotype" w:cs="Palatino Linotype"/>
          <w:i/>
          <w:sz w:val="22"/>
          <w:szCs w:val="22"/>
        </w:rPr>
      </w:pPr>
    </w:p>
    <w:p w:rsidR="00275E8E" w:rsidRDefault="00D6356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w:t>
      </w:r>
      <w:r>
        <w:rPr>
          <w:rFonts w:ascii="Palatino Linotype" w:eastAsia="Palatino Linotype" w:hAnsi="Palatino Linotype" w:cs="Palatino Linotype"/>
        </w:rPr>
        <w:t>lo señalado por el artículo 95 y 96 de la Ley de Educación del Estado de México y 3 del Reglamento Interior de la Secretaría de Educación, que señalan al respecto, lo siguiente:</w:t>
      </w:r>
    </w:p>
    <w:p w:rsidR="00275E8E" w:rsidRDefault="00275E8E">
      <w:pPr>
        <w:spacing w:line="360" w:lineRule="auto"/>
        <w:ind w:right="49"/>
        <w:jc w:val="both"/>
        <w:rPr>
          <w:rFonts w:ascii="Palatino Linotype" w:eastAsia="Palatino Linotype" w:hAnsi="Palatino Linotype" w:cs="Palatino Linotype"/>
        </w:rPr>
      </w:pP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95.- </w:t>
      </w:r>
      <w:r>
        <w:rPr>
          <w:rFonts w:ascii="Palatino Linotype" w:eastAsia="Palatino Linotype" w:hAnsi="Palatino Linotype" w:cs="Palatino Linotype"/>
          <w:b/>
          <w:i/>
          <w:sz w:val="22"/>
          <w:szCs w:val="22"/>
          <w:u w:val="single"/>
        </w:rPr>
        <w:t>La educación que imparten el Estado, sus organismos descentral</w:t>
      </w:r>
      <w:r>
        <w:rPr>
          <w:rFonts w:ascii="Palatino Linotype" w:eastAsia="Palatino Linotype" w:hAnsi="Palatino Linotype" w:cs="Palatino Linotype"/>
          <w:b/>
          <w:i/>
          <w:sz w:val="22"/>
          <w:szCs w:val="22"/>
          <w:u w:val="single"/>
        </w:rPr>
        <w:t>izados</w:t>
      </w:r>
      <w:r>
        <w:rPr>
          <w:rFonts w:ascii="Palatino Linotype" w:eastAsia="Palatino Linotype" w:hAnsi="Palatino Linotype" w:cs="Palatino Linotype"/>
          <w:i/>
          <w:sz w:val="22"/>
          <w:szCs w:val="22"/>
        </w:rPr>
        <w:t xml:space="preserve"> y los particulares con autorización o reconocimiento de validez oficial de estudios, </w:t>
      </w:r>
      <w:r>
        <w:rPr>
          <w:rFonts w:ascii="Palatino Linotype" w:eastAsia="Palatino Linotype" w:hAnsi="Palatino Linotype" w:cs="Palatino Linotype"/>
          <w:b/>
          <w:i/>
          <w:sz w:val="22"/>
          <w:szCs w:val="22"/>
        </w:rPr>
        <w:t>comprende los tipos, niveles, modalidades y vertientes siguientes</w:t>
      </w:r>
      <w:r>
        <w:rPr>
          <w:rFonts w:ascii="Palatino Linotype" w:eastAsia="Palatino Linotype" w:hAnsi="Palatino Linotype" w:cs="Palatino Linotype"/>
          <w:i/>
          <w:sz w:val="22"/>
          <w:szCs w:val="22"/>
        </w:rPr>
        <w:t xml:space="preserve">: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Tipos y niveles: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Tipo básico: Está compuesto por los niveles de </w:t>
      </w:r>
      <w:r>
        <w:rPr>
          <w:rFonts w:ascii="Palatino Linotype" w:eastAsia="Palatino Linotype" w:hAnsi="Palatino Linotype" w:cs="Palatino Linotype"/>
          <w:b/>
          <w:i/>
          <w:sz w:val="22"/>
          <w:szCs w:val="22"/>
          <w:u w:val="single"/>
        </w:rPr>
        <w:t>preescola</w:t>
      </w:r>
      <w:r>
        <w:rPr>
          <w:rFonts w:ascii="Palatino Linotype" w:eastAsia="Palatino Linotype" w:hAnsi="Palatino Linotype" w:cs="Palatino Linotype"/>
          <w:b/>
          <w:i/>
          <w:sz w:val="22"/>
          <w:szCs w:val="22"/>
        </w:rPr>
        <w:t xml:space="preserve">r, </w:t>
      </w:r>
      <w:r>
        <w:rPr>
          <w:rFonts w:ascii="Palatino Linotype" w:eastAsia="Palatino Linotype" w:hAnsi="Palatino Linotype" w:cs="Palatino Linotype"/>
          <w:i/>
          <w:sz w:val="22"/>
          <w:szCs w:val="22"/>
        </w:rPr>
        <w:t>primaria, sec</w:t>
      </w:r>
      <w:r>
        <w:rPr>
          <w:rFonts w:ascii="Palatino Linotype" w:eastAsia="Palatino Linotype" w:hAnsi="Palatino Linotype" w:cs="Palatino Linotype"/>
          <w:i/>
          <w:sz w:val="22"/>
          <w:szCs w:val="22"/>
        </w:rPr>
        <w:t xml:space="preserve">undaria y especial.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Tipo medio superior: Comprende el nivel de bachillerato y los demás niveles equivalentes a éste, así como la educación profesional que no requiere bachillerato o sus equivalentes. Se organizará bajo el principio de respeto a la div</w:t>
      </w:r>
      <w:r>
        <w:rPr>
          <w:rFonts w:ascii="Palatino Linotype" w:eastAsia="Palatino Linotype" w:hAnsi="Palatino Linotype" w:cs="Palatino Linotype"/>
          <w:i/>
          <w:sz w:val="22"/>
          <w:szCs w:val="22"/>
        </w:rPr>
        <w:t xml:space="preserve">ersidad, a través del Sistema Nacional de Educación Media Superior, el cual establecerá un marco curricular común a nivel nacional y la revalidación y reconocimiento de estudios entre las opciones que ofrece este tipo educativo;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Tipo superior: Es el </w:t>
      </w:r>
      <w:r>
        <w:rPr>
          <w:rFonts w:ascii="Palatino Linotype" w:eastAsia="Palatino Linotype" w:hAnsi="Palatino Linotype" w:cs="Palatino Linotype"/>
          <w:i/>
          <w:sz w:val="22"/>
          <w:szCs w:val="22"/>
        </w:rPr>
        <w:t>que se imparte después del bachillerato o de sus equivalentes. Está compuesto por la licenciatura, la especialidad, la maestría y el doctorado, así como por opciones terminales previas a la conclusión de la licenciatura. Comprende la educación normal en to</w:t>
      </w:r>
      <w:r>
        <w:rPr>
          <w:rFonts w:ascii="Palatino Linotype" w:eastAsia="Palatino Linotype" w:hAnsi="Palatino Linotype" w:cs="Palatino Linotype"/>
          <w:i/>
          <w:sz w:val="22"/>
          <w:szCs w:val="22"/>
        </w:rPr>
        <w:t xml:space="preserve">dos sus niveles y especialidades.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Modalidades: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Escolarizada;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No escolarizada;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Mixta; y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A distancia.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Vertientes: </w:t>
      </w:r>
    </w:p>
    <w:p w:rsidR="00275E8E" w:rsidRDefault="00D63560">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En preescolar: indígena, especial y general;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En primaria: indígena, especial y general;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En secundaria: telesecundaria, técnica y general;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En la media superior: bachillerato general, bachillerato tecnológico, profesional técnico bachiller y profesional medio; y </w:t>
      </w:r>
    </w:p>
    <w:p w:rsidR="00275E8E" w:rsidRDefault="00D63560">
      <w:pPr>
        <w:ind w:left="567" w:right="616"/>
        <w:jc w:val="both"/>
        <w:rPr>
          <w:rFonts w:ascii="Palatino Linotype" w:eastAsia="Palatino Linotype" w:hAnsi="Palatino Linotype" w:cs="Palatino Linotype"/>
          <w:i/>
          <w:sz w:val="22"/>
          <w:szCs w:val="22"/>
        </w:rPr>
      </w:pPr>
      <w:r>
        <w:t>V</w:t>
      </w:r>
      <w:r>
        <w:rPr>
          <w:rFonts w:ascii="Palatino Linotype" w:eastAsia="Palatino Linotype" w:hAnsi="Palatino Linotype" w:cs="Palatino Linotype"/>
          <w:i/>
          <w:sz w:val="22"/>
          <w:szCs w:val="22"/>
        </w:rPr>
        <w:t>. En la superior: universitaria, normal, tecnológica y sus equivalentes</w:t>
      </w:r>
      <w:r>
        <w:rPr>
          <w:rFonts w:ascii="Palatino Linotype" w:eastAsia="Palatino Linotype" w:hAnsi="Palatino Linotype" w:cs="Palatino Linotype"/>
          <w:i/>
          <w:sz w:val="22"/>
          <w:szCs w:val="22"/>
        </w:rPr>
        <w:t>. Artículo 96.- En el Sistema Educativo quedan comprendidas la educación inicial, la educación especial, la educación para los adultos y la formación para el trabajo.</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 Para el estudio, planeación y despacho de los asuntos de su competencia, la Secretaría contará con las unidades administrativas básicas siguientes</w:t>
      </w:r>
      <w:r>
        <w:rPr>
          <w:rFonts w:ascii="Palatino Linotype" w:eastAsia="Palatino Linotype" w:hAnsi="Palatino Linotype" w:cs="Palatino Linotype"/>
          <w:i/>
          <w:sz w:val="22"/>
          <w:szCs w:val="22"/>
        </w:rPr>
        <w:t>:</w:t>
      </w:r>
    </w:p>
    <w:p w:rsidR="00275E8E" w:rsidRDefault="00D63560">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I. Subsecretaría de Educación Básica;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Subsecretaría de Educación Media Superior; </w:t>
      </w:r>
    </w:p>
    <w:p w:rsidR="00275E8E" w:rsidRDefault="00D6356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Sub</w:t>
      </w:r>
      <w:r>
        <w:rPr>
          <w:rFonts w:ascii="Palatino Linotype" w:eastAsia="Palatino Linotype" w:hAnsi="Palatino Linotype" w:cs="Palatino Linotype"/>
          <w:i/>
          <w:sz w:val="22"/>
          <w:szCs w:val="22"/>
        </w:rPr>
        <w:t>secretaría de Educación Superior y Normal…” (Sic)</w:t>
      </w:r>
    </w:p>
    <w:p w:rsidR="00275E8E" w:rsidRDefault="00275E8E">
      <w:pPr>
        <w:ind w:left="567" w:right="616"/>
        <w:jc w:val="both"/>
        <w:rPr>
          <w:rFonts w:ascii="Palatino Linotype" w:eastAsia="Palatino Linotype" w:hAnsi="Palatino Linotype" w:cs="Palatino Linotype"/>
          <w:i/>
          <w:sz w:val="22"/>
          <w:szCs w:val="22"/>
        </w:rPr>
      </w:pPr>
    </w:p>
    <w:p w:rsidR="00275E8E" w:rsidRDefault="00D6356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 lo cual se acredita, que la Secretaría de Educación del Estado de México, tiene la atribución de generar, poseer y administrar, información de todas las escuelas públicas que se encuentran dentro del t</w:t>
      </w:r>
      <w:r>
        <w:rPr>
          <w:rFonts w:ascii="Palatino Linotype" w:eastAsia="Palatino Linotype" w:hAnsi="Palatino Linotype" w:cs="Palatino Linotype"/>
        </w:rPr>
        <w:t xml:space="preserve">erritorio del Estado de México, que imparten la educación básica, dentro de las cuales ubicamos el nivel preescolar que le corresponde a los Jardines de Niños. </w:t>
      </w:r>
    </w:p>
    <w:p w:rsidR="00275E8E" w:rsidRDefault="00275E8E">
      <w:pPr>
        <w:tabs>
          <w:tab w:val="left" w:pos="0"/>
        </w:tabs>
        <w:spacing w:line="360" w:lineRule="auto"/>
        <w:ind w:right="49"/>
        <w:jc w:val="both"/>
        <w:rPr>
          <w:rFonts w:ascii="Palatino Linotype" w:eastAsia="Palatino Linotype" w:hAnsi="Palatino Linotype" w:cs="Palatino Linotype"/>
          <w:i/>
          <w:sz w:val="22"/>
          <w:szCs w:val="22"/>
        </w:rPr>
      </w:pPr>
    </w:p>
    <w:p w:rsidR="00275E8E" w:rsidRDefault="00D63560">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Máxime,</w:t>
      </w:r>
      <w:r>
        <w:rPr>
          <w:rFonts w:ascii="Helvetica Neue" w:eastAsia="Helvetica Neue" w:hAnsi="Helvetica Neue" w:cs="Helvetica Neue"/>
          <w:color w:val="2F2F2F"/>
          <w:sz w:val="18"/>
          <w:szCs w:val="18"/>
          <w:highlight w:val="white"/>
        </w:rPr>
        <w:t xml:space="preserve"> </w:t>
      </w:r>
      <w:r>
        <w:rPr>
          <w:rFonts w:ascii="Palatino Linotype" w:eastAsia="Palatino Linotype" w:hAnsi="Palatino Linotype" w:cs="Palatino Linotype"/>
        </w:rPr>
        <w:t>que en vigilancia al Padrón de Sujetos Obligados del Estado de México, en su Acuerdo mediante el cual se aprueba el padrón de Sujetos Obligados en materia de Transparencia y Acceso a la Información Pública del Estado de México y Municipios, se advierte que</w:t>
      </w:r>
      <w:r>
        <w:rPr>
          <w:rFonts w:ascii="Palatino Linotype" w:eastAsia="Palatino Linotype" w:hAnsi="Palatino Linotype" w:cs="Palatino Linotype"/>
        </w:rPr>
        <w:t xml:space="preserve"> la Secretaría de Educación, es un Sujeto Obligado diverso, </w:t>
      </w:r>
      <w:r>
        <w:rPr>
          <w:rFonts w:ascii="Palatino Linotype" w:eastAsia="Palatino Linotype" w:hAnsi="Palatino Linotype" w:cs="Palatino Linotype"/>
        </w:rPr>
        <w:lastRenderedPageBreak/>
        <w:t>como se acredita con la siguiente imagen de dicho padrón que se inserta a continuación de manera ilustrativa:</w:t>
      </w:r>
    </w:p>
    <w:p w:rsidR="00275E8E" w:rsidRDefault="00275E8E">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p>
    <w:p w:rsidR="00275E8E" w:rsidRDefault="00D63560">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92750" cy="225425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41978" t="42848" r="27020" b="28183"/>
                    <a:stretch>
                      <a:fillRect/>
                    </a:stretch>
                  </pic:blipFill>
                  <pic:spPr>
                    <a:xfrm>
                      <a:off x="0" y="0"/>
                      <a:ext cx="5492750" cy="225425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2794000</wp:posOffset>
                </wp:positionH>
                <wp:positionV relativeFrom="paragraph">
                  <wp:posOffset>1422400</wp:posOffset>
                </wp:positionV>
                <wp:extent cx="1028700" cy="488950"/>
                <wp:effectExtent l="0" t="0" r="0" b="0"/>
                <wp:wrapNone/>
                <wp:docPr id="48" name=""/>
                <wp:cNvGraphicFramePr/>
                <a:graphic xmlns:a="http://schemas.openxmlformats.org/drawingml/2006/main">
                  <a:graphicData uri="http://schemas.microsoft.com/office/word/2010/wordprocessingShape">
                    <wps:wsp>
                      <wps:cNvSpPr/>
                      <wps:spPr>
                        <a:xfrm>
                          <a:off x="4838000" y="3541875"/>
                          <a:ext cx="1016000" cy="47625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275E8E" w:rsidRDefault="00275E8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2794000</wp:posOffset>
                </wp:positionH>
                <wp:positionV relativeFrom="paragraph">
                  <wp:posOffset>1422400</wp:posOffset>
                </wp:positionV>
                <wp:extent cx="1028700" cy="488950"/>
                <wp:effectExtent b="0" l="0" r="0" t="0"/>
                <wp:wrapNone/>
                <wp:docPr id="48"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1028700" cy="488950"/>
                        </a:xfrm>
                        <a:prstGeom prst="rect"/>
                        <a:ln/>
                      </pic:spPr>
                    </pic:pic>
                  </a:graphicData>
                </a:graphic>
              </wp:anchor>
            </w:drawing>
          </mc:Fallback>
        </mc:AlternateContent>
      </w: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la siguiente imagen del catálogo del subsistema educati</w:t>
      </w:r>
      <w:r>
        <w:rPr>
          <w:rFonts w:ascii="Palatino Linotype" w:eastAsia="Palatino Linotype" w:hAnsi="Palatino Linotype" w:cs="Palatino Linotype"/>
        </w:rPr>
        <w:t xml:space="preserve">vo estatal: </w:t>
      </w:r>
    </w:p>
    <w:p w:rsidR="00275E8E" w:rsidRDefault="00275E8E">
      <w:pPr>
        <w:spacing w:line="360" w:lineRule="auto"/>
        <w:jc w:val="both"/>
      </w:pPr>
    </w:p>
    <w:p w:rsidR="00275E8E" w:rsidRDefault="00D63560">
      <w:pPr>
        <w:spacing w:line="360" w:lineRule="auto"/>
        <w:jc w:val="both"/>
        <w:rPr>
          <w:rFonts w:ascii="Palatino Linotype" w:eastAsia="Palatino Linotype" w:hAnsi="Palatino Linotype" w:cs="Palatino Linotype"/>
        </w:rPr>
      </w:pPr>
      <w:r>
        <w:rPr>
          <w:noProof/>
          <w:lang w:val="es-MX" w:eastAsia="es-MX"/>
        </w:rPr>
        <w:drawing>
          <wp:inline distT="0" distB="0" distL="0" distR="0">
            <wp:extent cx="5536595" cy="1953105"/>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7026" t="26806" r="15482" b="28643"/>
                    <a:stretch>
                      <a:fillRect/>
                    </a:stretch>
                  </pic:blipFill>
                  <pic:spPr>
                    <a:xfrm>
                      <a:off x="0" y="0"/>
                      <a:ext cx="5536595" cy="1953105"/>
                    </a:xfrm>
                    <a:prstGeom prst="rect">
                      <a:avLst/>
                    </a:prstGeom>
                    <a:ln/>
                  </pic:spPr>
                </pic:pic>
              </a:graphicData>
            </a:graphic>
          </wp:inline>
        </w:drawing>
      </w: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se acreditada la incompetencia a cargo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tener en sus archivos la información sobre el Jardín de Niños Plutarco González, </w:t>
      </w:r>
      <w:r>
        <w:rPr>
          <w:rFonts w:ascii="Palatino Linotype" w:eastAsia="Palatino Linotype" w:hAnsi="Palatino Linotype" w:cs="Palatino Linotype"/>
        </w:rPr>
        <w:lastRenderedPageBreak/>
        <w:t>al corresponder a un Sujeto Obligado distinto la obligación de poseer la inform</w:t>
      </w:r>
      <w:r>
        <w:rPr>
          <w:rFonts w:ascii="Palatino Linotype" w:eastAsia="Palatino Linotype" w:hAnsi="Palatino Linotype" w:cs="Palatino Linotype"/>
        </w:rPr>
        <w:t xml:space="preserve">ación, </w:t>
      </w:r>
      <w:r>
        <w:rPr>
          <w:rFonts w:ascii="Palatino Linotype" w:eastAsia="Palatino Linotype" w:hAnsi="Palatino Linotype" w:cs="Palatino Linotype"/>
          <w:color w:val="000000"/>
        </w:rPr>
        <w:t xml:space="preserve">lo anterior con fundamento en el artículo 12 de la Ley de </w:t>
      </w:r>
      <w:r>
        <w:rPr>
          <w:rFonts w:ascii="Palatino Linotype" w:eastAsia="Palatino Linotype" w:hAnsi="Palatino Linotype" w:cs="Palatino Linotype"/>
        </w:rPr>
        <w:t>Transparencia y Acceso a la Información Pública del Estado de México y Municipios, referido, el cual establece la obligación de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de entregar la información pública que se</w:t>
      </w:r>
      <w:r>
        <w:rPr>
          <w:rFonts w:ascii="Palatino Linotype" w:eastAsia="Palatino Linotype" w:hAnsi="Palatino Linotype" w:cs="Palatino Linotype"/>
        </w:rPr>
        <w:t xml:space="preserve"> les requiera y obre en sus archivos.</w:t>
      </w:r>
    </w:p>
    <w:p w:rsidR="00275E8E" w:rsidRDefault="00D63560">
      <w:pPr>
        <w:spacing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rPr>
        <w:t xml:space="preserve">Orden normativo que consagra la obligación de los Sujetos Obligados de hacer entrega de la información que se les requiera y que obre en sus archivos, por lo que </w:t>
      </w:r>
      <w:r>
        <w:rPr>
          <w:rFonts w:ascii="Palatino Linotype" w:eastAsia="Palatino Linotype" w:hAnsi="Palatino Linotype" w:cs="Palatino Linotype"/>
          <w:i/>
        </w:rPr>
        <w:t>“a contrario sensu”</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rPr>
        <w:t>, al no tener la información por no generarla, recopilarla, administrarla o procesarla, nos encontramos ante un hecho negativo, esto es la imposibilidad de hacer entrega de algo que no se tiene.</w:t>
      </w:r>
    </w:p>
    <w:p w:rsidR="00275E8E" w:rsidRDefault="00275E8E">
      <w:pPr>
        <w:spacing w:line="360" w:lineRule="auto"/>
        <w:jc w:val="both"/>
        <w:rPr>
          <w:rFonts w:ascii="Palatino Linotype" w:eastAsia="Palatino Linotype" w:hAnsi="Palatino Linotype" w:cs="Palatino Linotype"/>
        </w:rPr>
      </w:pPr>
    </w:p>
    <w:p w:rsidR="00275E8E" w:rsidRDefault="00D6356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rPr>
        <w:t xml:space="preserve">Por lo tanto, </w:t>
      </w:r>
      <w:r>
        <w:rPr>
          <w:rFonts w:ascii="Palatino Linotype" w:eastAsia="Palatino Linotype" w:hAnsi="Palatino Linotype" w:cs="Palatino Linotype"/>
        </w:rPr>
        <w:t>se le insta al Sujeto Obligado a que en poster</w:t>
      </w:r>
      <w:r>
        <w:rPr>
          <w:rFonts w:ascii="Palatino Linotype" w:eastAsia="Palatino Linotype" w:hAnsi="Palatino Linotype" w:cs="Palatino Linotype"/>
        </w:rPr>
        <w:t xml:space="preserve">iores ocasiones ante la notoria incompetencia atienda los plazos previstos por la Ley de la Materia e informe lo correspondiente al particular. </w:t>
      </w:r>
    </w:p>
    <w:p w:rsidR="00275E8E" w:rsidRDefault="00275E8E">
      <w:pPr>
        <w:spacing w:line="360" w:lineRule="auto"/>
        <w:jc w:val="both"/>
        <w:rPr>
          <w:rFonts w:ascii="Palatino Linotype" w:eastAsia="Palatino Linotype" w:hAnsi="Palatino Linotype" w:cs="Palatino Linotype"/>
        </w:rPr>
      </w:pPr>
    </w:p>
    <w:p w:rsidR="00275E8E" w:rsidRDefault="00D635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w:t>
      </w:r>
      <w:r>
        <w:rPr>
          <w:rFonts w:ascii="Palatino Linotype" w:eastAsia="Palatino Linotype" w:hAnsi="Palatino Linotype" w:cs="Palatino Linotype"/>
        </w:rPr>
        <w:t>do de la Constitución Política del Estado Libre y Soberano de México; 2, fracción II; 29, 36 fracciones I y II; 176, 178, 181, 185 y 186 fracción II de la Ley de Transparencia y Acceso a la Información Pública del Estado de México y Municipios, este Pleno:</w:t>
      </w:r>
    </w:p>
    <w:p w:rsidR="00275E8E" w:rsidRDefault="00275E8E">
      <w:pPr>
        <w:spacing w:line="360" w:lineRule="auto"/>
        <w:jc w:val="both"/>
        <w:rPr>
          <w:rFonts w:ascii="Palatino Linotype" w:eastAsia="Palatino Linotype" w:hAnsi="Palatino Linotype" w:cs="Palatino Linotype"/>
        </w:rPr>
      </w:pPr>
    </w:p>
    <w:p w:rsidR="00275E8E" w:rsidRDefault="00D63560">
      <w:pPr>
        <w:numPr>
          <w:ilvl w:val="0"/>
          <w:numId w:val="6"/>
        </w:numPr>
        <w:pBdr>
          <w:top w:val="nil"/>
          <w:left w:val="nil"/>
          <w:bottom w:val="nil"/>
          <w:right w:val="nil"/>
          <w:between w:val="nil"/>
        </w:pBdr>
        <w:spacing w:after="240" w:line="360" w:lineRule="auto"/>
        <w:ind w:left="720"/>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00359/INFOEM/IP/RR/2022,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75E8E" w:rsidRDefault="00D635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de la presente resolución, haga entrega vía SAIMEX, de lo siguiente:</w:t>
      </w:r>
    </w:p>
    <w:p w:rsidR="00275E8E" w:rsidRDefault="00D63560">
      <w:pPr>
        <w:numPr>
          <w:ilvl w:val="0"/>
          <w:numId w:val="5"/>
        </w:numPr>
        <w:pBdr>
          <w:top w:val="nil"/>
          <w:left w:val="nil"/>
          <w:bottom w:val="nil"/>
          <w:right w:val="nil"/>
          <w:between w:val="nil"/>
        </w:pBdr>
        <w:spacing w:before="240" w:after="240" w:line="360" w:lineRule="auto"/>
        <w:ind w:right="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Acuerdo de incompetencia por cuanto hace </w:t>
      </w:r>
      <w:r>
        <w:rPr>
          <w:rFonts w:ascii="Palatino Linotype" w:eastAsia="Palatino Linotype" w:hAnsi="Palatino Linotype" w:cs="Palatino Linotype"/>
        </w:rPr>
        <w:t xml:space="preserve">a la </w:t>
      </w:r>
      <w:r>
        <w:rPr>
          <w:rFonts w:ascii="Palatino Linotype" w:eastAsia="Palatino Linotype" w:hAnsi="Palatino Linotype" w:cs="Palatino Linotype"/>
          <w:color w:val="000000"/>
        </w:rPr>
        <w:t>información del Jardín de Niños "Plutarco González" consistente en:</w:t>
      </w:r>
    </w:p>
    <w:p w:rsidR="00275E8E" w:rsidRDefault="00D63560">
      <w:pPr>
        <w:numPr>
          <w:ilvl w:val="1"/>
          <w:numId w:val="5"/>
        </w:numPr>
        <w:pBdr>
          <w:top w:val="nil"/>
          <w:left w:val="nil"/>
          <w:bottom w:val="nil"/>
          <w:right w:val="nil"/>
          <w:between w:val="nil"/>
        </w:pBdr>
        <w:spacing w:before="240" w:line="360" w:lineRule="auto"/>
        <w:ind w:right="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Calendario Autorizado y</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o aprobado para los periodos de entrega de las raciones o desayunos del Jardín a los padres;  </w:t>
      </w:r>
    </w:p>
    <w:p w:rsidR="00275E8E" w:rsidRDefault="00D63560">
      <w:pPr>
        <w:numPr>
          <w:ilvl w:val="1"/>
          <w:numId w:val="5"/>
        </w:numPr>
        <w:pBdr>
          <w:top w:val="nil"/>
          <w:left w:val="nil"/>
          <w:bottom w:val="nil"/>
          <w:right w:val="nil"/>
          <w:between w:val="nil"/>
        </w:pBdr>
        <w:spacing w:after="240" w:line="360" w:lineRule="auto"/>
        <w:ind w:right="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comprobación de entrega de las raciones o desayunos del jardín a los padres y devoluciones.</w:t>
      </w:r>
    </w:p>
    <w:p w:rsidR="00275E8E" w:rsidRDefault="00D63560">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w:t>
      </w:r>
      <w:r>
        <w:rPr>
          <w:rFonts w:ascii="Palatino Linotype" w:eastAsia="Palatino Linotype" w:hAnsi="Palatino Linotype" w:cs="Palatino Linotype"/>
          <w:highlight w:val="white"/>
        </w:rPr>
        <w:t>mo párrafo y 189, párrafo segundo de la Ley de Transparencia y Acceso a la Información Pública del Estado de México y Municipios dé cumplimiento a lo ordenado dentro del plazo de diez días hábiles, debiendo informar a este Instituto en un plazo de tres día</w:t>
      </w:r>
      <w:r>
        <w:rPr>
          <w:rFonts w:ascii="Palatino Linotype" w:eastAsia="Palatino Linotype" w:hAnsi="Palatino Linotype" w:cs="Palatino Linotype"/>
          <w:highlight w:val="white"/>
        </w:rPr>
        <w:t>s hábiles siguientes sobre el cumplimiento dado.</w:t>
      </w:r>
    </w:p>
    <w:p w:rsidR="00275E8E" w:rsidRDefault="00275E8E">
      <w:pPr>
        <w:spacing w:line="360" w:lineRule="auto"/>
        <w:jc w:val="both"/>
        <w:rPr>
          <w:rFonts w:ascii="Palatino Linotype" w:eastAsia="Palatino Linotype" w:hAnsi="Palatino Linotype" w:cs="Palatino Linotype"/>
          <w:highlight w:val="white"/>
        </w:rPr>
      </w:pPr>
    </w:p>
    <w:p w:rsidR="00275E8E" w:rsidRDefault="00D63560">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w:t>
      </w:r>
      <w:r>
        <w:rPr>
          <w:rFonts w:ascii="Palatino Linotype" w:eastAsia="Palatino Linotype" w:hAnsi="Palatino Linotype" w:cs="Palatino Linotype"/>
        </w:rPr>
        <w:t>del Estado de México y Municipios, podrá impugnar la presente resolución vía Juicio de Amparo en los términos de las leyes aplicables.</w:t>
      </w:r>
    </w:p>
    <w:p w:rsidR="00275E8E" w:rsidRDefault="00D635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w:t>
      </w:r>
      <w:r>
        <w:rPr>
          <w:rFonts w:ascii="Palatino Linotype" w:eastAsia="Palatino Linotype" w:hAnsi="Palatino Linotype" w:cs="Palatino Linotype"/>
        </w:rPr>
        <w:t xml:space="preserve">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275E8E" w:rsidRDefault="00D63560">
      <w:pPr>
        <w:spacing w:before="240" w:after="240" w:line="360" w:lineRule="auto"/>
        <w:jc w:val="both"/>
        <w:rPr>
          <w:rFonts w:ascii="Palatino Linotype" w:eastAsia="Palatino Linotype" w:hAnsi="Palatino Linotype" w:cs="Palatino Linotype"/>
        </w:rPr>
        <w:sectPr w:rsidR="00275E8E">
          <w:headerReference w:type="default" r:id="rId23"/>
          <w:footerReference w:type="default" r:id="rId24"/>
          <w:headerReference w:type="first" r:id="rId25"/>
          <w:footerReference w:type="first" r:id="rId26"/>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color w:val="222222"/>
          <w:highlight w:val="white"/>
        </w:rPr>
        <w:t>MEJÍA AYALA, SHARON CRISTINA MORALES MARTÍNEZ, LUIS GUSTAVO PARRA NORIEGA Y GUADALUPE RAMÍREZ PEÑA; EN LA DÉCIMA SESIÓN ORDINARIA CELEBRADA EL DIECISÉIS</w:t>
      </w:r>
      <w:r>
        <w:rPr>
          <w:rFonts w:ascii="Palatino Linotype" w:eastAsia="Palatino Linotype" w:hAnsi="Palatino Linotype" w:cs="Palatino Linotype"/>
        </w:rPr>
        <w:t xml:space="preserve"> DE MARZO DEL DOS MIL VEINTIDÓS, ANTE EL SECRETARIO TÉCNICO DEL PLENO ALEXIS TAPIA RAMÍREZ.    </w:t>
      </w: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rsidR="00275E8E" w:rsidRDefault="00275E8E">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spacing w:before="240" w:after="240" w:line="360" w:lineRule="auto"/>
        <w:jc w:val="both"/>
        <w:rPr>
          <w:rFonts w:ascii="Palatino Linotype" w:eastAsia="Palatino Linotype" w:hAnsi="Palatino Linotype" w:cs="Palatino Linotype"/>
        </w:rPr>
      </w:pPr>
    </w:p>
    <w:p w:rsidR="00275E8E" w:rsidRDefault="00275E8E">
      <w:pPr>
        <w:spacing w:before="240" w:after="240" w:line="360" w:lineRule="auto"/>
        <w:jc w:val="both"/>
        <w:rPr>
          <w:rFonts w:ascii="Palatino Linotype" w:eastAsia="Palatino Linotype" w:hAnsi="Palatino Linotype" w:cs="Palatino Linotype"/>
          <w:sz w:val="20"/>
          <w:szCs w:val="20"/>
        </w:rPr>
      </w:pPr>
    </w:p>
    <w:sectPr w:rsidR="00275E8E">
      <w:headerReference w:type="default" r:id="rId27"/>
      <w:footerReference w:type="default" r:id="rId28"/>
      <w:headerReference w:type="first" r:id="rId29"/>
      <w:footerReference w:type="first" r:id="rId30"/>
      <w:pgSz w:w="12240" w:h="15840"/>
      <w:pgMar w:top="1417" w:right="1701" w:bottom="1276"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63560">
      <w:r>
        <w:separator/>
      </w:r>
    </w:p>
  </w:endnote>
  <w:endnote w:type="continuationSeparator" w:id="0">
    <w:p w:rsidR="00000000" w:rsidRDefault="00D6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D63560">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275E8E" w:rsidRDefault="00275E8E">
    <w:pPr>
      <w:pBdr>
        <w:top w:val="nil"/>
        <w:left w:val="nil"/>
        <w:bottom w:val="nil"/>
        <w:right w:val="nil"/>
        <w:between w:val="nil"/>
      </w:pBdr>
      <w:tabs>
        <w:tab w:val="center" w:pos="4419"/>
        <w:tab w:val="right" w:pos="8838"/>
      </w:tabs>
      <w:rPr>
        <w:color w:val="000000"/>
      </w:rPr>
    </w:pPr>
  </w:p>
  <w:p w:rsidR="00275E8E" w:rsidRDefault="00275E8E">
    <w:pPr>
      <w:pBdr>
        <w:top w:val="nil"/>
        <w:left w:val="nil"/>
        <w:bottom w:val="nil"/>
        <w:right w:val="nil"/>
        <w:between w:val="nil"/>
      </w:pBdr>
      <w:tabs>
        <w:tab w:val="center" w:pos="4419"/>
        <w:tab w:val="right" w:pos="8838"/>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D63560">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275E8E" w:rsidRDefault="00275E8E">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D6356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end"/>
    </w:r>
  </w:p>
  <w:p w:rsidR="00275E8E" w:rsidRDefault="00275E8E">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D6356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rsidR="00275E8E" w:rsidRDefault="00275E8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63560">
      <w:r>
        <w:separator/>
      </w:r>
    </w:p>
  </w:footnote>
  <w:footnote w:type="continuationSeparator" w:id="0">
    <w:p w:rsidR="00000000" w:rsidRDefault="00D63560">
      <w:r>
        <w:continuationSeparator/>
      </w:r>
    </w:p>
  </w:footnote>
  <w:footnote w:id="1">
    <w:p w:rsidR="00275E8E" w:rsidRDefault="00D6356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color w:val="000000"/>
          <w:sz w:val="20"/>
          <w:szCs w:val="20"/>
        </w:rPr>
        <w:t xml:space="preserve"> (…)</w:t>
      </w:r>
    </w:p>
  </w:footnote>
  <w:footnote w:id="2">
    <w:p w:rsidR="00275E8E" w:rsidRDefault="00D6356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 w:id="3">
    <w:p w:rsidR="00275E8E" w:rsidRDefault="00D63560">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i/>
          <w:color w:val="000000"/>
          <w:sz w:val="16"/>
          <w:szCs w:val="16"/>
        </w:rPr>
        <w:t>Argumento que parte de la oposición entre dos hechos para concluir del uno lo contrario de lo que ya se sabe del otro.</w:t>
      </w:r>
    </w:p>
    <w:p w:rsidR="00275E8E" w:rsidRDefault="00D63560">
      <w:pPr>
        <w:pBdr>
          <w:top w:val="nil"/>
          <w:left w:val="nil"/>
          <w:bottom w:val="nil"/>
          <w:right w:val="nil"/>
          <w:between w:val="nil"/>
        </w:pBdr>
        <w:jc w:val="both"/>
        <w:rPr>
          <w:color w:val="000000"/>
          <w:sz w:val="16"/>
          <w:szCs w:val="16"/>
        </w:rPr>
      </w:pPr>
      <w:r>
        <w:rPr>
          <w:rFonts w:ascii="Palatino Linotype" w:eastAsia="Palatino Linotype" w:hAnsi="Palatino Linotype" w:cs="Palatino Linotype"/>
          <w:i/>
          <w:color w:val="000000"/>
          <w:sz w:val="16"/>
          <w:szCs w:val="16"/>
        </w:rPr>
        <w:t xml:space="preserve">Respecto de la interpretación de una norma </w:t>
      </w:r>
      <w:r>
        <w:rPr>
          <w:rFonts w:ascii="Palatino Linotype" w:eastAsia="Palatino Linotype" w:hAnsi="Palatino Linotype" w:cs="Palatino Linotype"/>
          <w:i/>
          <w:color w:val="000000"/>
          <w:sz w:val="16"/>
          <w:szCs w:val="16"/>
        </w:rPr>
        <w:t>o de hechos o actos jurídicos (subsunción jurídica de los hechos o aplicación del derecho a hechos concretos), se emplea comúnmente esta forma de razonamiento para deducir una consecuencia, por oposición con algo expuesto anteriormente como principio consa</w:t>
      </w:r>
      <w:r>
        <w:rPr>
          <w:rFonts w:ascii="Palatino Linotype" w:eastAsia="Palatino Linotype" w:hAnsi="Palatino Linotype" w:cs="Palatino Linotype"/>
          <w:i/>
          <w:color w:val="000000"/>
          <w:sz w:val="16"/>
          <w:szCs w:val="16"/>
        </w:rPr>
        <w:t>grado probado.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275E8E">
    <w:pPr>
      <w:widowControl w:val="0"/>
      <w:pBdr>
        <w:top w:val="nil"/>
        <w:left w:val="nil"/>
        <w:bottom w:val="nil"/>
        <w:right w:val="nil"/>
        <w:between w:val="nil"/>
      </w:pBdr>
      <w:spacing w:line="276" w:lineRule="auto"/>
      <w:rPr>
        <w:color w:val="000000"/>
      </w:rPr>
    </w:pPr>
  </w:p>
  <w:tbl>
    <w:tblPr>
      <w:tblStyle w:val="a2"/>
      <w:tblW w:w="5528" w:type="dxa"/>
      <w:tblInd w:w="3261" w:type="dxa"/>
      <w:tblLayout w:type="fixed"/>
      <w:tblLook w:val="0400" w:firstRow="0" w:lastRow="0" w:firstColumn="0" w:lastColumn="0" w:noHBand="0" w:noVBand="1"/>
    </w:tblPr>
    <w:tblGrid>
      <w:gridCol w:w="2551"/>
      <w:gridCol w:w="2977"/>
    </w:tblGrid>
    <w:tr w:rsidR="00275E8E">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00359/INFOEM/IP/RR/2022</w:t>
          </w:r>
        </w:p>
      </w:tc>
    </w:tr>
    <w:tr w:rsidR="00275E8E">
      <w:trPr>
        <w:trHeight w:val="228"/>
      </w:trPr>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Tultitlán.</w:t>
          </w:r>
        </w:p>
      </w:tc>
    </w:tr>
    <w:tr w:rsidR="00275E8E">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275E8E" w:rsidRDefault="00D635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75E8E" w:rsidRDefault="00D63560">
    <w:pPr>
      <w:pBdr>
        <w:top w:val="nil"/>
        <w:left w:val="nil"/>
        <w:bottom w:val="nil"/>
        <w:right w:val="nil"/>
        <w:between w:val="nil"/>
      </w:pBdr>
      <w:tabs>
        <w:tab w:val="center" w:pos="4419"/>
        <w:tab w:val="right" w:pos="8838"/>
        <w:tab w:val="left" w:pos="2326"/>
      </w:tabs>
      <w:rPr>
        <w:color w:val="000000"/>
      </w:rPr>
    </w:pPr>
    <w:r>
      <w:rPr>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D6356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275E8E">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00359/INFOEM/IP/RR/2022. </w:t>
          </w:r>
        </w:p>
      </w:tc>
    </w:tr>
    <w:tr w:rsidR="00275E8E">
      <w:tc>
        <w:tcPr>
          <w:tcW w:w="2551" w:type="dxa"/>
          <w:vAlign w:val="center"/>
        </w:tcPr>
        <w:p w:rsidR="00275E8E" w:rsidRDefault="00D6356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p>
      </w:tc>
    </w:tr>
    <w:tr w:rsidR="00275E8E">
      <w:trPr>
        <w:trHeight w:val="228"/>
      </w:trPr>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Tultitlán.</w:t>
          </w:r>
        </w:p>
      </w:tc>
    </w:tr>
    <w:tr w:rsidR="00275E8E">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275E8E" w:rsidRDefault="00D635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75E8E" w:rsidRDefault="00275E8E">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D6356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simplePos x="0" y="0"/>
          <wp:positionH relativeFrom="column">
            <wp:posOffset>-714373</wp:posOffset>
          </wp:positionH>
          <wp:positionV relativeFrom="paragraph">
            <wp:posOffset>-267333</wp:posOffset>
          </wp:positionV>
          <wp:extent cx="7635600" cy="9943200"/>
          <wp:effectExtent l="0" t="0" r="0" b="0"/>
          <wp:wrapNone/>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275E8E">
      <w:tc>
        <w:tcPr>
          <w:tcW w:w="0" w:type="auto"/>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00189/INFOEM/IP/RR/2022.</w:t>
          </w:r>
        </w:p>
      </w:tc>
    </w:tr>
    <w:tr w:rsidR="00275E8E">
      <w:trPr>
        <w:trHeight w:val="228"/>
      </w:trPr>
      <w:tc>
        <w:tcPr>
          <w:tcW w:w="0" w:type="auto"/>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275E8E">
      <w:tc>
        <w:tcPr>
          <w:tcW w:w="0" w:type="auto"/>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0" w:type="auto"/>
          <w:vAlign w:val="center"/>
        </w:tcPr>
        <w:p w:rsidR="00275E8E" w:rsidRDefault="00D635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75E8E" w:rsidRDefault="00275E8E">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8E" w:rsidRDefault="00D6356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1312" behindDoc="1" locked="0" layoutInCell="1" hidden="0" allowOverlap="1">
          <wp:simplePos x="0" y="0"/>
          <wp:positionH relativeFrom="column">
            <wp:posOffset>-638173</wp:posOffset>
          </wp:positionH>
          <wp:positionV relativeFrom="paragraph">
            <wp:posOffset>-172083</wp:posOffset>
          </wp:positionV>
          <wp:extent cx="7635600" cy="9943200"/>
          <wp:effectExtent l="0" t="0" r="0" b="0"/>
          <wp:wrapNone/>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275E8E">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00189/INFOEM/IP/RR/2022.</w:t>
          </w:r>
        </w:p>
      </w:tc>
    </w:tr>
    <w:tr w:rsidR="00275E8E">
      <w:tc>
        <w:tcPr>
          <w:tcW w:w="2551" w:type="dxa"/>
          <w:vAlign w:val="center"/>
        </w:tcPr>
        <w:p w:rsidR="00275E8E" w:rsidRDefault="00D6356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MVM</w:t>
          </w:r>
        </w:p>
      </w:tc>
    </w:tr>
    <w:tr w:rsidR="00275E8E">
      <w:trPr>
        <w:trHeight w:val="228"/>
      </w:trPr>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275E8E" w:rsidRDefault="00D6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275E8E">
      <w:tc>
        <w:tcPr>
          <w:tcW w:w="2551" w:type="dxa"/>
          <w:vAlign w:val="center"/>
        </w:tcPr>
        <w:p w:rsidR="00275E8E" w:rsidRDefault="00D635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275E8E" w:rsidRDefault="00D635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75E8E" w:rsidRDefault="00275E8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41858"/>
    <w:multiLevelType w:val="multilevel"/>
    <w:tmpl w:val="20EAF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A61256"/>
    <w:multiLevelType w:val="multilevel"/>
    <w:tmpl w:val="5E3C83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E9194C"/>
    <w:multiLevelType w:val="multilevel"/>
    <w:tmpl w:val="6D5004F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DB08C6"/>
    <w:multiLevelType w:val="multilevel"/>
    <w:tmpl w:val="9F82B53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54353C34"/>
    <w:multiLevelType w:val="multilevel"/>
    <w:tmpl w:val="A7C84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606949"/>
    <w:multiLevelType w:val="multilevel"/>
    <w:tmpl w:val="D68A2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8E"/>
    <w:rsid w:val="00275E8E"/>
    <w:rsid w:val="00D635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4C8A2-3EDE-4082-AB79-30D194B0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00502.page" TargetMode="External"/><Relationship Id="rId13" Type="http://schemas.openxmlformats.org/officeDocument/2006/relationships/hyperlink" Target="https://www.saimex.org.mx/saimex/solicitud/downloadAttach/1345027.page"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1345027.page"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20307.page"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320307.pag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saimex.org.mx/saimex/solicitud/downloadAttach/1320307.pag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300502.page" TargetMode="External"/><Relationship Id="rId14" Type="http://schemas.openxmlformats.org/officeDocument/2006/relationships/hyperlink" Target="https://www.saimex.org.mx/saimex/solicitud/downloadAttach/1300502.page"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CaaWU7lJAJhsrk44V9rzVl5Grg==">AMUW2mWYH+pbIbu9mZlRK1GYhmZWfDa53xCax5YHxPT5armsPxAB9BczqlS8wbmI91kSN9u1bvf3wxdFiEmewVSCwUAnDM+2vb99JQ/wt247uQ+X1hgyKexJuFMBrbBui9mY91QRE/8v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6457</Words>
  <Characters>35514</Characters>
  <Application>Microsoft Office Word</Application>
  <DocSecurity>0</DocSecurity>
  <Lines>295</Lines>
  <Paragraphs>83</Paragraphs>
  <ScaleCrop>false</ScaleCrop>
  <Company>HP Inc.</Company>
  <LinksUpToDate>false</LinksUpToDate>
  <CharactersWithSpaces>41888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2</cp:revision>
  <dcterms:created xsi:type="dcterms:W3CDTF">2022-03-10T22:17:00Z</dcterms:created>
  <dcterms:modified xsi:type="dcterms:W3CDTF">2022-04-04T22:32:00Z</dcterms:modified>
</cp:coreProperties>
</file>