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6E09C" w14:textId="77777777" w:rsidR="00A45BA5" w:rsidRPr="00AD2A55" w:rsidRDefault="00A45BA5" w:rsidP="00A45B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Pr="00AE28E7">
        <w:rPr>
          <w:rFonts w:ascii="Palatino Linotype" w:eastAsia="Times New Roman" w:hAnsi="Palatino Linotype" w:cs="Arial"/>
          <w:color w:val="000000"/>
          <w:sz w:val="24"/>
          <w:szCs w:val="24"/>
          <w:lang w:eastAsia="es-MX"/>
        </w:rPr>
        <w:t>veintisiete</w:t>
      </w:r>
      <w:r w:rsidRPr="00377B29">
        <w:rPr>
          <w:rFonts w:ascii="Palatino Linotype" w:eastAsia="Times New Roman" w:hAnsi="Palatino Linotype" w:cs="Arial"/>
          <w:color w:val="000000"/>
          <w:sz w:val="24"/>
          <w:szCs w:val="24"/>
          <w:lang w:eastAsia="es-MX"/>
        </w:rPr>
        <w:t xml:space="preserve"> de abril</w:t>
      </w:r>
      <w:r>
        <w:rPr>
          <w:rFonts w:ascii="Palatino Linotype" w:eastAsia="Times New Roman" w:hAnsi="Palatino Linotype" w:cs="Arial"/>
          <w:color w:val="000000"/>
          <w:sz w:val="24"/>
          <w:szCs w:val="24"/>
          <w:lang w:eastAsia="es-MX"/>
        </w:rPr>
        <w:t xml:space="preserve"> de dos mil veintidós.</w:t>
      </w:r>
    </w:p>
    <w:p w14:paraId="28B37EA4" w14:textId="77777777" w:rsidR="00A45BA5" w:rsidRPr="00AD2A55" w:rsidRDefault="00A45BA5" w:rsidP="00A45BA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90E1560" w14:textId="3F9FED4D" w:rsidR="00A45BA5" w:rsidRPr="00AD2A55" w:rsidRDefault="00A45BA5" w:rsidP="00A45BA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0880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CC5678">
        <w:rPr>
          <w:rFonts w:ascii="Palatino Linotype" w:hAnsi="Palatino Linotype" w:cs="Arial"/>
          <w:b/>
          <w:sz w:val="24"/>
          <w:szCs w:val="24"/>
        </w:rPr>
        <w:t>XXXXX</w:t>
      </w:r>
      <w:r w:rsidR="00322B1D">
        <w:rPr>
          <w:rFonts w:ascii="Palatino Linotype" w:hAnsi="Palatino Linotype" w:cs="Arial"/>
          <w:b/>
          <w:sz w:val="24"/>
          <w:szCs w:val="24"/>
        </w:rPr>
        <w:t>XX</w:t>
      </w:r>
      <w:r w:rsidR="00CC5678">
        <w:rPr>
          <w:rFonts w:ascii="Palatino Linotype" w:hAnsi="Palatino Linotype" w:cs="Arial"/>
          <w:b/>
          <w:sz w:val="24"/>
          <w:szCs w:val="24"/>
        </w:rPr>
        <w:t>XXXX</w:t>
      </w:r>
      <w:r>
        <w:rPr>
          <w:rFonts w:ascii="Palatino Linotype" w:hAnsi="Palatino Linotype" w:cs="Arial"/>
          <w:sz w:val="24"/>
          <w:szCs w:val="24"/>
        </w:rPr>
        <w:t xml:space="preserve">, quien en </w:t>
      </w:r>
      <w:r w:rsidRPr="00AD2A55">
        <w:rPr>
          <w:rFonts w:ascii="Palatino Linotype" w:hAnsi="Palatino Linotype" w:cs="Arial"/>
          <w:sz w:val="24"/>
          <w:szCs w:val="24"/>
        </w:rPr>
        <w:t>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la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Pr="00AD2A55">
        <w:rPr>
          <w:rFonts w:ascii="Palatino Linotype" w:hAnsi="Palatino Linotype" w:cs="Arial"/>
          <w:sz w:val="24"/>
          <w:szCs w:val="24"/>
        </w:rPr>
        <w:t>respuesta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a</w:t>
      </w:r>
      <w:r w:rsidRPr="00AD2A55">
        <w:rPr>
          <w:rFonts w:ascii="Palatino Linotype" w:hAnsi="Palatino Linotype" w:cs="Arial"/>
          <w:sz w:val="24"/>
          <w:szCs w:val="24"/>
        </w:rPr>
        <w:t xml:space="preserve"> </w:t>
      </w:r>
      <w:r w:rsidRPr="00A45BA5">
        <w:rPr>
          <w:rFonts w:ascii="Palatino Linotype" w:hAnsi="Palatino Linotype" w:cs="Arial"/>
          <w:b/>
          <w:sz w:val="24"/>
          <w:szCs w:val="24"/>
        </w:rPr>
        <w:t>Secretaría de Movilidad</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14:paraId="7C56B566" w14:textId="77777777" w:rsidR="00A45BA5" w:rsidRPr="00AD2A55" w:rsidRDefault="00A45BA5" w:rsidP="00A45BA5">
      <w:pPr>
        <w:tabs>
          <w:tab w:val="left" w:pos="6960"/>
        </w:tabs>
        <w:spacing w:after="0" w:line="360" w:lineRule="auto"/>
        <w:jc w:val="both"/>
        <w:rPr>
          <w:rFonts w:ascii="Palatino Linotype" w:hAnsi="Palatino Linotype" w:cs="Arial"/>
          <w:sz w:val="24"/>
          <w:szCs w:val="24"/>
        </w:rPr>
      </w:pPr>
    </w:p>
    <w:p w14:paraId="257A0CBB" w14:textId="77777777" w:rsidR="00A45BA5" w:rsidRPr="007763F3" w:rsidRDefault="00A45BA5" w:rsidP="00A45BA5">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56473361" w14:textId="77777777" w:rsidR="00A45BA5" w:rsidRPr="00D23436" w:rsidRDefault="00A45BA5" w:rsidP="00A45BA5">
      <w:pPr>
        <w:spacing w:after="0" w:line="360" w:lineRule="auto"/>
        <w:rPr>
          <w:rFonts w:ascii="Palatino Linotype" w:hAnsi="Palatino Linotype" w:cs="Arial"/>
          <w:b/>
          <w:sz w:val="24"/>
          <w:szCs w:val="24"/>
        </w:rPr>
      </w:pPr>
    </w:p>
    <w:p w14:paraId="048AFB17" w14:textId="77777777" w:rsidR="00A45BA5" w:rsidRDefault="00A45BA5" w:rsidP="00A45BA5">
      <w:pPr>
        <w:tabs>
          <w:tab w:val="left" w:pos="4962"/>
        </w:tabs>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Con fecha</w:t>
      </w:r>
      <w:r>
        <w:rPr>
          <w:rFonts w:ascii="Palatino Linotype" w:hAnsi="Palatino Linotype" w:cs="Arial"/>
          <w:sz w:val="24"/>
          <w:szCs w:val="24"/>
        </w:rPr>
        <w:t xml:space="preserve"> veintiséis de enero de dos mil veintidós</w:t>
      </w:r>
      <w:r w:rsidRPr="00AD2A55">
        <w:rPr>
          <w:rFonts w:ascii="Palatino Linotype" w:hAnsi="Palatino Linotype" w:cs="Arial"/>
          <w:sz w:val="24"/>
          <w:szCs w:val="24"/>
        </w:rPr>
        <w:t xml:space="preserve">, </w:t>
      </w:r>
      <w:r>
        <w:rPr>
          <w:rFonts w:ascii="Palatino Linotype" w:hAnsi="Palatino Linotype" w:cs="Arial"/>
          <w:sz w:val="24"/>
          <w:szCs w:val="24"/>
        </w:rPr>
        <w:t>la</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Pr>
          <w:rFonts w:ascii="Palatino Linotype" w:hAnsi="Palatino Linotype" w:cs="Arial"/>
          <w:b/>
          <w:sz w:val="24"/>
          <w:szCs w:val="24"/>
        </w:rPr>
        <w:t xml:space="preserve"> </w:t>
      </w:r>
      <w:r w:rsidRPr="00A45BA5">
        <w:rPr>
          <w:rFonts w:ascii="Palatino Linotype" w:hAnsi="Palatino Linotype" w:cs="Arial"/>
          <w:b/>
          <w:sz w:val="24"/>
          <w:szCs w:val="24"/>
        </w:rPr>
        <w:t>00052/SMOV/IP/2022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62CF5594" w14:textId="77777777" w:rsidR="00A45BA5" w:rsidRDefault="00A45BA5" w:rsidP="00A45BA5">
      <w:pPr>
        <w:spacing w:after="0" w:line="360" w:lineRule="auto"/>
        <w:jc w:val="both"/>
        <w:rPr>
          <w:rFonts w:ascii="Palatino Linotype" w:hAnsi="Palatino Linotype" w:cs="Arial"/>
          <w:sz w:val="24"/>
          <w:szCs w:val="24"/>
        </w:rPr>
      </w:pPr>
    </w:p>
    <w:p w14:paraId="4712FFC2" w14:textId="77777777" w:rsidR="00A45BA5" w:rsidRPr="007C106F" w:rsidRDefault="00A45BA5" w:rsidP="00A45BA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A45BA5">
        <w:rPr>
          <w:rFonts w:ascii="Palatino Linotype" w:eastAsia="Times New Roman" w:hAnsi="Palatino Linotype" w:cs="Times New Roman"/>
          <w:i/>
          <w:szCs w:val="24"/>
          <w:lang w:val="es-ES_tradnl" w:eastAsia="es-ES"/>
        </w:rPr>
        <w:t xml:space="preserve">Solicito e conformidad con mi derecho se me entregue las concesiones y autorizaciones que tiene la ASOCIACION DE PROPIETARIOS, OPERADORES Y AUTOTRANSPORTISTAS DE ACATLAN, S.A. DE C.V. y a nombre de quien estas, </w:t>
      </w:r>
      <w:proofErr w:type="spellStart"/>
      <w:r w:rsidRPr="00A45BA5">
        <w:rPr>
          <w:rFonts w:ascii="Palatino Linotype" w:eastAsia="Times New Roman" w:hAnsi="Palatino Linotype" w:cs="Times New Roman"/>
          <w:i/>
          <w:szCs w:val="24"/>
          <w:lang w:val="es-ES_tradnl" w:eastAsia="es-ES"/>
        </w:rPr>
        <w:t>cual</w:t>
      </w:r>
      <w:proofErr w:type="spellEnd"/>
      <w:r w:rsidRPr="00A45BA5">
        <w:rPr>
          <w:rFonts w:ascii="Palatino Linotype" w:eastAsia="Times New Roman" w:hAnsi="Palatino Linotype" w:cs="Times New Roman"/>
          <w:i/>
          <w:szCs w:val="24"/>
          <w:lang w:val="es-ES_tradnl" w:eastAsia="es-ES"/>
        </w:rPr>
        <w:t xml:space="preserve"> es su origen destino de la mismas y las autorizaciones</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3EEA8C05" w14:textId="77777777" w:rsidR="00A45BA5" w:rsidRDefault="00A45BA5" w:rsidP="00A45BA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70A6DCA" w14:textId="77777777" w:rsidR="00A45BA5" w:rsidRDefault="00A45BA5" w:rsidP="00A45BA5">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14:paraId="7622AD48" w14:textId="77777777" w:rsidR="00A45BA5" w:rsidRPr="00A45BA5" w:rsidRDefault="00A45BA5" w:rsidP="00A45BA5">
      <w:pPr>
        <w:tabs>
          <w:tab w:val="left" w:pos="5647"/>
        </w:tabs>
        <w:spacing w:after="0" w:line="360" w:lineRule="auto"/>
        <w:ind w:right="850"/>
        <w:jc w:val="both"/>
        <w:rPr>
          <w:rFonts w:ascii="Palatino Linotype" w:hAnsi="Palatino Linotype"/>
          <w:color w:val="000000"/>
          <w:sz w:val="24"/>
          <w:szCs w:val="24"/>
        </w:rPr>
      </w:pPr>
    </w:p>
    <w:p w14:paraId="2B5E8743" w14:textId="77777777" w:rsidR="00A45BA5" w:rsidRDefault="00A45BA5" w:rsidP="00A45BA5">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del expediente aperturado con motivos del ingreso de la solicitud de información, se advierte que en fecha quince de febrero 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14:paraId="6477E297" w14:textId="77777777" w:rsidR="00A45BA5" w:rsidRDefault="00A45BA5" w:rsidP="00A45BA5">
      <w:pPr>
        <w:spacing w:after="0" w:line="360" w:lineRule="auto"/>
        <w:jc w:val="both"/>
        <w:rPr>
          <w:rFonts w:ascii="Palatino Linotype" w:hAnsi="Palatino Linotype" w:cs="Arial"/>
          <w:sz w:val="24"/>
          <w:szCs w:val="24"/>
        </w:rPr>
      </w:pPr>
    </w:p>
    <w:p w14:paraId="663C9F1C" w14:textId="77777777" w:rsidR="00A45BA5" w:rsidRDefault="00A45BA5" w:rsidP="00A45BA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45BA5">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B0D05C" w14:textId="77777777" w:rsidR="00A45BA5" w:rsidRPr="00A45BA5" w:rsidRDefault="00A45BA5" w:rsidP="00A45BA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20363570" w14:textId="77777777" w:rsidR="00A45BA5" w:rsidRPr="007C106F" w:rsidRDefault="00A45BA5" w:rsidP="00A45BA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A45BA5">
        <w:rPr>
          <w:rFonts w:ascii="Palatino Linotype" w:eastAsia="Times New Roman" w:hAnsi="Palatino Linotype" w:cs="Times New Roman"/>
          <w:i/>
          <w:szCs w:val="24"/>
          <w:lang w:val="es-ES_tradnl" w:eastAsia="es-ES"/>
        </w:rPr>
        <w:t xml:space="preserve">C. Solicitante: En atención a la solicitud de acceso a la información identificada con el número de folio 00052/SMOV/IP/2022, anexo al presente se remiten las respuestas proporcionadas por las áreas involucradas. Con fundamento en los artículos 6 de la Constitución Política de los Estados Unidos Mexicanos, 78 y 143 de la Constitución Política del Estado Libre y Soberano de México; 1, 3, 15, 19 fracción XVI y 32 fracción XVIII de la Ley Orgánica de la Administración Pública, 1.1 fracción VI del Código Administrativo, ambos del Estado de México; 1, 4, 7, 8, 11, 12, 17, 21, 59, 92, 150, 160 y 161 de la Ley de Transparencia y Acceso a la Información Pública del Estado de México y Municipios; 1, 2, 3 fracciones VII y XI; 24 del Reglamento Interior de la Secretaría de Movilidad y en aras de un libre acceso a la información pública gubernamental, doy respuesta a su solicitud con número de folio 00052/SMOV/IP/2022, presentada ante el Instituto de Transparencia, Acceso a la Información Pública y Protección de Datos Personales del Estado de México y Municipios, donde se señala: “Solicito e conformidad con mi derecho se me entregue las concesiones y autorizaciones que tiene la ASOCIACION DE PROPIETARIOS, OPERADORES Y AUTOTRANSPORTISTAS DE ACATLAN, S.A. DE C.V. y a nombre de quien estas, </w:t>
      </w:r>
      <w:proofErr w:type="spellStart"/>
      <w:r w:rsidRPr="00A45BA5">
        <w:rPr>
          <w:rFonts w:ascii="Palatino Linotype" w:eastAsia="Times New Roman" w:hAnsi="Palatino Linotype" w:cs="Times New Roman"/>
          <w:i/>
          <w:szCs w:val="24"/>
          <w:lang w:val="es-ES_tradnl" w:eastAsia="es-ES"/>
        </w:rPr>
        <w:t>cual</w:t>
      </w:r>
      <w:proofErr w:type="spellEnd"/>
      <w:r w:rsidRPr="00A45BA5">
        <w:rPr>
          <w:rFonts w:ascii="Palatino Linotype" w:eastAsia="Times New Roman" w:hAnsi="Palatino Linotype" w:cs="Times New Roman"/>
          <w:i/>
          <w:szCs w:val="24"/>
          <w:lang w:val="es-ES_tradnl" w:eastAsia="es-ES"/>
        </w:rPr>
        <w:t xml:space="preserve"> es su origen destino de la mismas y las autorizaciones” [Sic]. Al respecto, es importante invocar el artículo 143 de la Constitución Política del Estado Libre y Soberano de México, que indica, las autoridades administrativas únicamente pueden hacer lo que la ley expresamente les confiere, ergo, de conformidad con el artículo 24 del Reglamento Interior de la Secretaría de Movilidad, esta Dirección General del Registro Estatal de Transporte Público únicamente tiene atribuciones para integrar y custodiar la información que con motivo del otorgamiento de concesiones y/o permisos se genere para la prestación del servicio de transporte público. En ese contexto, en observancia de las atribuciones y de conformidad con el párrafo segundo del precepto 12 de la Ley de Transparencia y Acceso a la Información Pública del Estado de México y Municipios, que indica: “Los sujetos obligados sólo proporcionarán la información pública que se les requiera y que obre en sus archivos y en el estado en que ésta se encuentre”, hago de su conocimiento que se realizó una búsqueda en los archivos digitales del Registro Estatal de </w:t>
      </w:r>
      <w:r w:rsidRPr="00A45BA5">
        <w:rPr>
          <w:rFonts w:ascii="Palatino Linotype" w:eastAsia="Times New Roman" w:hAnsi="Palatino Linotype" w:cs="Times New Roman"/>
          <w:i/>
          <w:szCs w:val="24"/>
          <w:lang w:val="es-ES_tradnl" w:eastAsia="es-ES"/>
        </w:rPr>
        <w:lastRenderedPageBreak/>
        <w:t xml:space="preserve">Transporte Público, relativa a las concesiones para prestar el servicio de transporte público a favor de la denominada “ASOCIACION DE PROPIETARIOS, OPERADORES Y AUTOTRANSPORTISTAS DE ACATLAN, S.A. DE C.V.”, por lo que se adjunta archivo digital donde se advierte el listado de concesiones localizadas, siendo evidente que estas se encuentran en titularidad de la jurídico colectiva citada. No omito mencionar que el uso de la información proporcionada es responsabilidad del peticionario. Ahora bien, por lo que hace a las autorizaciones que solicita; es indispensable comentar que de una interpretación armónica se alude que se refiere a las autorizaciones de ruta, por lo que en concordancia con lo establecido en el artículo 65 inciso F) del Reglamento de Transporte Público y Servicios Conexos del Estado de México, que indica: “ARTICULO 65.- Para los efectos de este Reglamento se entiende por: … f) Ruta: Dirección de un viaje con origen y destino determinados.” [Sic]; es puntual aseverar que esta Dirección General del Registro Estatal de Transporte Público, no tiene facultades para suscribir documentos y/o dictaminar respecto a la autorización de bases, rutas, derroteros y/o su modificación; siendo actualmente la Subsecretaría de Movilidad a través de sus distintas Direcciones Generales de Movilidad quien de conformidad con el artículos 8 fracción X, XI, 11, 12, 14 fracción IV, XI y 17 fracción II del Reglamento Interior de la Secretaría de Movilidad, publicado en Gaceta del Gobierno del Estado de México, en fecha veintidós de junio de dos mil quince, suscribe los documentos relacionados con las autorizaciones de bases, rutas, lanzaderas y derroteros, modificaciones de alargamientos y enlaces de los mismos, ergo, se tiene impedimento para atender el requerimiento sobre el tema en comento. Sin más por el momento envío un cordial saludo. En respuesta a su solicitud con número de folio 0052/SMOV/IP/2022, que fue presentada a través del Sistema de Acceso a la Información Mexiquense (SAIMEX), la cual a la letra dice: “Solicito e conformidad con mi derecho se me entregue las concesiones y autorizaciones que tiene la ASOCIACION DE PROPIETARIOS, OPERADORES Y AUTOTRANSPORTISTAS DE ACATLAN, S.A. DE C.V. y a nombre de quien estas, </w:t>
      </w:r>
      <w:proofErr w:type="spellStart"/>
      <w:r w:rsidRPr="00A45BA5">
        <w:rPr>
          <w:rFonts w:ascii="Palatino Linotype" w:eastAsia="Times New Roman" w:hAnsi="Palatino Linotype" w:cs="Times New Roman"/>
          <w:i/>
          <w:szCs w:val="24"/>
          <w:lang w:val="es-ES_tradnl" w:eastAsia="es-ES"/>
        </w:rPr>
        <w:t>cual</w:t>
      </w:r>
      <w:proofErr w:type="spellEnd"/>
      <w:r w:rsidRPr="00A45BA5">
        <w:rPr>
          <w:rFonts w:ascii="Palatino Linotype" w:eastAsia="Times New Roman" w:hAnsi="Palatino Linotype" w:cs="Times New Roman"/>
          <w:i/>
          <w:szCs w:val="24"/>
          <w:lang w:val="es-ES_tradnl" w:eastAsia="es-ES"/>
        </w:rPr>
        <w:t xml:space="preserve"> es su origen destino de la mismas y las autorizaciones “…(sic) Al respecto, con fundamento en lo dispuesto en los artículos 6, 8, y 35 fracción V de la Constitución Política de los Estados Unidos Mexicanos, 5 de la Constitución Política del Estado Libre y Soberano, 1, 2 fracción II, 3 fracción VIII, 4, 12 segundo párrafo, 15 y 24 último párrafo de la Ley de Transparencia y Acceso a la Información Pública del Estado de México y Municipios, me permito manifestar lo siguiente: Sobre el particular se envía la respuesta solicitada por usted, de acuerdo a la información emitida por parte de la Delegación Regional de Movilidad Naucalpan, dependiente de esta Dirección General de Movilidad Zona II. Es menester precisar que dicha información que se anexa al presente, fue localizada por la Delegación antes mencionada, en los archivos digitales con los que únicamente cuenta. Sin más por el momento, aprovecho para enviarle un cordial saludo.</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5AACBF43" w14:textId="77777777" w:rsidR="00A45BA5" w:rsidRDefault="00A45BA5" w:rsidP="00A45BA5">
      <w:pPr>
        <w:spacing w:after="0" w:line="360" w:lineRule="auto"/>
        <w:jc w:val="both"/>
        <w:rPr>
          <w:rFonts w:ascii="Palatino Linotype" w:hAnsi="Palatino Linotype" w:cs="Arial"/>
          <w:sz w:val="24"/>
          <w:szCs w:val="24"/>
        </w:rPr>
      </w:pPr>
    </w:p>
    <w:p w14:paraId="3032424F" w14:textId="77777777" w:rsidR="00A45BA5" w:rsidRPr="00B31309" w:rsidRDefault="00A45BA5" w:rsidP="00A45BA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Pr="00A45BA5">
        <w:rPr>
          <w:rFonts w:ascii="Palatino Linotype" w:hAnsi="Palatino Linotype" w:cs="Arial"/>
          <w:sz w:val="24"/>
          <w:szCs w:val="24"/>
        </w:rPr>
        <w:t>SAIMEX 00052-SMOV-IP-2022.pdf</w:t>
      </w:r>
      <w:r>
        <w:rPr>
          <w:rFonts w:ascii="Palatino Linotype" w:hAnsi="Palatino Linotype" w:cs="Arial"/>
          <w:sz w:val="24"/>
          <w:szCs w:val="24"/>
        </w:rPr>
        <w:t xml:space="preserve"> y </w:t>
      </w:r>
      <w:r w:rsidRPr="00A45BA5">
        <w:rPr>
          <w:rFonts w:ascii="Palatino Linotype" w:hAnsi="Palatino Linotype" w:cs="Arial"/>
          <w:sz w:val="24"/>
          <w:szCs w:val="24"/>
        </w:rPr>
        <w:t>EMPRESA ACATLÁN, S.A DE C.V.pdf</w:t>
      </w:r>
      <w:r>
        <w:rPr>
          <w:rFonts w:ascii="Palatino Linotype" w:hAnsi="Palatino Linotype" w:cs="Arial"/>
          <w:sz w:val="24"/>
          <w:szCs w:val="24"/>
        </w:rPr>
        <w:t>”, que en obvio de repeticiones innecesarias, se omite su inserción en este apartado, máxime que serán objeto de estudio en párrafos posteriores.</w:t>
      </w:r>
    </w:p>
    <w:p w14:paraId="1326A9CB" w14:textId="77777777" w:rsidR="00A45BA5" w:rsidRDefault="00A45BA5" w:rsidP="00A45BA5">
      <w:pPr>
        <w:spacing w:after="0" w:line="360" w:lineRule="auto"/>
        <w:jc w:val="both"/>
        <w:rPr>
          <w:rFonts w:ascii="Palatino Linotype" w:eastAsia="Calibri" w:hAnsi="Palatino Linotype" w:cs="Arial"/>
          <w:sz w:val="24"/>
          <w:szCs w:val="24"/>
          <w:lang w:eastAsia="es-ES"/>
        </w:rPr>
      </w:pPr>
    </w:p>
    <w:p w14:paraId="4D4C8319" w14:textId="77777777" w:rsidR="00A45BA5" w:rsidRDefault="00A45BA5" w:rsidP="00A45BA5">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veinticuatro de febrero de dos mil veintidós</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b/>
          <w:bCs/>
          <w:sz w:val="24"/>
          <w:szCs w:val="24"/>
          <w:lang w:eastAsia="es-MX"/>
        </w:rPr>
        <w:t xml:space="preserve"> 0</w:t>
      </w:r>
      <w:r w:rsidR="006315FE">
        <w:rPr>
          <w:rFonts w:ascii="Palatino Linotype" w:hAnsi="Palatino Linotype" w:cs="Arial"/>
          <w:b/>
          <w:bCs/>
          <w:sz w:val="24"/>
          <w:szCs w:val="24"/>
          <w:lang w:eastAsia="es-MX"/>
        </w:rPr>
        <w:t>0880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0B4E3253" w14:textId="77777777" w:rsidR="00A45BA5" w:rsidRDefault="00A45BA5" w:rsidP="00A45BA5">
      <w:pPr>
        <w:spacing w:after="0" w:line="360" w:lineRule="auto"/>
        <w:jc w:val="both"/>
        <w:rPr>
          <w:rFonts w:ascii="Palatino Linotype" w:hAnsi="Palatino Linotype" w:cs="Arial"/>
          <w:sz w:val="24"/>
          <w:szCs w:val="24"/>
        </w:rPr>
      </w:pPr>
    </w:p>
    <w:p w14:paraId="51ED3E44" w14:textId="77777777" w:rsidR="00A45BA5" w:rsidRDefault="00A45BA5" w:rsidP="00A45BA5">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14:paraId="157AA5AD" w14:textId="77777777" w:rsidR="00A45BA5" w:rsidRDefault="00A45BA5" w:rsidP="00A45BA5">
      <w:pPr>
        <w:pStyle w:val="Prrafodelista"/>
        <w:spacing w:line="360" w:lineRule="auto"/>
        <w:ind w:left="0"/>
        <w:jc w:val="both"/>
        <w:rPr>
          <w:rFonts w:ascii="Palatino Linotype" w:hAnsi="Palatino Linotype" w:cs="Arial"/>
        </w:rPr>
      </w:pPr>
    </w:p>
    <w:p w14:paraId="1D3291B3" w14:textId="77777777" w:rsidR="00A45BA5" w:rsidRPr="00775155" w:rsidRDefault="00A45BA5" w:rsidP="00A45BA5">
      <w:pPr>
        <w:pStyle w:val="Prrafodelista"/>
        <w:ind w:left="567" w:right="567"/>
        <w:jc w:val="both"/>
        <w:rPr>
          <w:rFonts w:ascii="Palatino Linotype" w:hAnsi="Palatino Linotype" w:cs="Arial"/>
          <w:i/>
          <w:sz w:val="22"/>
        </w:rPr>
      </w:pPr>
      <w:r>
        <w:rPr>
          <w:rFonts w:ascii="Palatino Linotype" w:hAnsi="Palatino Linotype" w:cs="Arial"/>
          <w:i/>
          <w:sz w:val="22"/>
        </w:rPr>
        <w:t>“</w:t>
      </w:r>
      <w:r w:rsidRPr="00A45BA5">
        <w:rPr>
          <w:rFonts w:ascii="Palatino Linotype" w:hAnsi="Palatino Linotype" w:cs="Arial"/>
          <w:i/>
          <w:sz w:val="22"/>
        </w:rPr>
        <w:t>La autoridad no entrega la información completa solicitada por los que tienen opacidad</w:t>
      </w:r>
      <w:r>
        <w:rPr>
          <w:rFonts w:ascii="Palatino Linotype" w:hAnsi="Palatino Linotype" w:cs="Arial"/>
          <w:i/>
          <w:sz w:val="22"/>
        </w:rPr>
        <w:t>”</w:t>
      </w:r>
    </w:p>
    <w:p w14:paraId="380C4E2E" w14:textId="77777777" w:rsidR="00A45BA5" w:rsidRDefault="00A45BA5" w:rsidP="00A45BA5">
      <w:pPr>
        <w:pStyle w:val="Prrafodelista"/>
        <w:spacing w:line="360" w:lineRule="auto"/>
        <w:ind w:left="0"/>
        <w:jc w:val="both"/>
        <w:rPr>
          <w:rFonts w:ascii="Palatino Linotype" w:hAnsi="Palatino Linotype" w:cs="Arial"/>
          <w:b/>
        </w:rPr>
      </w:pPr>
    </w:p>
    <w:p w14:paraId="4B1FFF7F" w14:textId="77777777" w:rsidR="00A45BA5" w:rsidRDefault="00A45BA5" w:rsidP="00A45BA5">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14:paraId="25997B3D" w14:textId="77777777" w:rsidR="00A45BA5" w:rsidRPr="00A45BA5" w:rsidRDefault="00A45BA5" w:rsidP="00A45BA5">
      <w:pPr>
        <w:pStyle w:val="Prrafodelista"/>
        <w:spacing w:line="360" w:lineRule="auto"/>
        <w:ind w:left="0"/>
        <w:jc w:val="both"/>
        <w:rPr>
          <w:rFonts w:ascii="Palatino Linotype" w:hAnsi="Palatino Linotype" w:cs="Arial"/>
        </w:rPr>
      </w:pPr>
    </w:p>
    <w:p w14:paraId="0C198D4F" w14:textId="77777777" w:rsidR="00A45BA5" w:rsidRDefault="00A45BA5" w:rsidP="00A45BA5">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A45BA5">
        <w:rPr>
          <w:rFonts w:ascii="Palatino Linotype" w:hAnsi="Palatino Linotype"/>
          <w:i/>
          <w:color w:val="000000"/>
        </w:rPr>
        <w:t>Solicite las autorizaciones a nombre de la empresa ASOCIACION DE PROPIETARIOS, OPERADORES Y AUTOTRANSPORTISTAS DE ACATLAN, S.A. DE C.V. las cuales no me hacen la entrega se requieren las autorizaciones y su origen y destino, el documento donde conste la autorización.</w:t>
      </w:r>
      <w:r w:rsidRPr="002C0A1C">
        <w:rPr>
          <w:rFonts w:ascii="Palatino Linotype" w:hAnsi="Palatino Linotype"/>
          <w:i/>
          <w:color w:val="000000"/>
        </w:rPr>
        <w:t>” (sic)</w:t>
      </w:r>
    </w:p>
    <w:p w14:paraId="4B4EC160" w14:textId="77777777" w:rsidR="00A45BA5" w:rsidRDefault="00A45BA5" w:rsidP="00A45BA5">
      <w:pPr>
        <w:spacing w:after="0" w:line="360" w:lineRule="auto"/>
        <w:jc w:val="both"/>
        <w:rPr>
          <w:rFonts w:ascii="Palatino Linotype" w:hAnsi="Palatino Linotype" w:cs="Arial"/>
          <w:b/>
          <w:sz w:val="24"/>
          <w:szCs w:val="24"/>
        </w:rPr>
      </w:pPr>
    </w:p>
    <w:p w14:paraId="275D6A20" w14:textId="77777777" w:rsidR="00A45BA5" w:rsidRDefault="00A45BA5" w:rsidP="00A45BA5">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quince de febrero de dos mil veintidós</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lastRenderedPageBreak/>
        <w:t>SAIMEX</w:t>
      </w:r>
      <w:r w:rsidRPr="00F97922">
        <w:rPr>
          <w:rFonts w:ascii="Palatino Linotype" w:eastAsia="Times New Roman" w:hAnsi="Palatino Linotype" w:cs="Times New Roman"/>
          <w:sz w:val="24"/>
          <w:szCs w:val="24"/>
          <w:lang w:val="es-ES" w:eastAsia="es-ES"/>
        </w:rPr>
        <w:t xml:space="preserve"> a</w:t>
      </w:r>
      <w:r>
        <w:rPr>
          <w:rFonts w:ascii="Palatino Linotype" w:eastAsia="Times New Roman" w:hAnsi="Palatino Linotype" w:cs="Times New Roman"/>
          <w:sz w:val="24"/>
          <w:szCs w:val="24"/>
          <w:lang w:val="es-ES" w:eastAsia="es-ES"/>
        </w:rPr>
        <w:t xml:space="preserve">l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14:paraId="45BD16D4" w14:textId="77777777" w:rsidR="00A45BA5" w:rsidRDefault="00A45BA5" w:rsidP="00A45BA5">
      <w:pPr>
        <w:spacing w:after="0" w:line="360" w:lineRule="auto"/>
        <w:ind w:right="49"/>
        <w:jc w:val="both"/>
        <w:rPr>
          <w:rFonts w:ascii="Palatino Linotype" w:eastAsia="Times New Roman" w:hAnsi="Palatino Linotype" w:cs="Arial"/>
          <w:sz w:val="24"/>
          <w:szCs w:val="24"/>
          <w:lang w:val="es-ES_tradnl" w:eastAsia="es-ES"/>
        </w:rPr>
      </w:pPr>
    </w:p>
    <w:p w14:paraId="0221AE9E" w14:textId="77777777" w:rsidR="00A45BA5" w:rsidRDefault="00A45BA5" w:rsidP="00A45BA5">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Pr>
          <w:rFonts w:ascii="Palatino Linotype" w:eastAsia="Times New Roman" w:hAnsi="Palatino Linotype" w:cs="Arial"/>
          <w:sz w:val="24"/>
          <w:szCs w:val="24"/>
          <w:lang w:val="es-ES" w:eastAsia="es-ES"/>
        </w:rPr>
        <w:t xml:space="preserve"> veintiuno de febrero 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w:t>
      </w:r>
      <w:r>
        <w:rPr>
          <w:rFonts w:ascii="Palatino Linotype" w:eastAsia="Times New Roman" w:hAnsi="Palatino Linotype" w:cs="Arial"/>
          <w:sz w:val="24"/>
          <w:szCs w:val="24"/>
          <w:lang w:val="es-ES" w:eastAsia="es-ES"/>
        </w:rPr>
        <w:t xml:space="preserve">, que se puso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61349094" w14:textId="77777777" w:rsidR="00A45BA5" w:rsidRDefault="00A45BA5" w:rsidP="00A45BA5">
      <w:pPr>
        <w:spacing w:after="0" w:line="360" w:lineRule="auto"/>
        <w:ind w:right="49"/>
        <w:jc w:val="both"/>
        <w:rPr>
          <w:rFonts w:ascii="Palatino Linotype" w:eastAsia="Times New Roman" w:hAnsi="Palatino Linotype" w:cs="Arial"/>
          <w:sz w:val="24"/>
          <w:szCs w:val="24"/>
          <w:lang w:val="es-ES" w:eastAsia="es-ES"/>
        </w:rPr>
      </w:pPr>
    </w:p>
    <w:p w14:paraId="389B6BEA" w14:textId="77777777" w:rsidR="00A45BA5" w:rsidRDefault="00A45BA5" w:rsidP="00A45BA5">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que, el </w:t>
      </w:r>
      <w:r>
        <w:rPr>
          <w:rFonts w:ascii="Palatino Linotype" w:hAnsi="Palatino Linotype" w:cs="Arial"/>
          <w:b/>
          <w:sz w:val="24"/>
          <w:szCs w:val="24"/>
        </w:rPr>
        <w:t>Sujeto Obligado</w:t>
      </w:r>
      <w:r>
        <w:rPr>
          <w:rFonts w:ascii="Palatino Linotype" w:hAnsi="Palatino Linotype" w:cs="Arial"/>
          <w:sz w:val="24"/>
          <w:szCs w:val="24"/>
        </w:rPr>
        <w:t xml:space="preserve"> como el </w:t>
      </w:r>
      <w:r>
        <w:rPr>
          <w:rFonts w:ascii="Palatino Linotype" w:hAnsi="Palatino Linotype" w:cs="Arial"/>
          <w:b/>
          <w:sz w:val="24"/>
          <w:szCs w:val="24"/>
        </w:rPr>
        <w:t xml:space="preserve">Recurrente </w:t>
      </w:r>
      <w:r>
        <w:rPr>
          <w:rFonts w:ascii="Palatino Linotype" w:hAnsi="Palatino Linotype" w:cs="Arial"/>
          <w:sz w:val="24"/>
          <w:szCs w:val="24"/>
        </w:rPr>
        <w:t>rindió su informe justificado por medio de los archivos “</w:t>
      </w:r>
      <w:r w:rsidRPr="00A45BA5">
        <w:rPr>
          <w:rFonts w:ascii="Palatino Linotype" w:hAnsi="Palatino Linotype" w:cs="Arial"/>
          <w:sz w:val="24"/>
          <w:szCs w:val="24"/>
        </w:rPr>
        <w:t>Informe Justificado Recurso 00880.pdf</w:t>
      </w:r>
      <w:r>
        <w:rPr>
          <w:rFonts w:ascii="Palatino Linotype" w:hAnsi="Palatino Linotype" w:cs="Arial"/>
          <w:sz w:val="24"/>
          <w:szCs w:val="24"/>
        </w:rPr>
        <w:t xml:space="preserve">, </w:t>
      </w:r>
      <w:r w:rsidRPr="00A45BA5">
        <w:rPr>
          <w:rFonts w:ascii="Palatino Linotype" w:hAnsi="Palatino Linotype" w:cs="Arial"/>
          <w:sz w:val="24"/>
          <w:szCs w:val="24"/>
        </w:rPr>
        <w:t>ANEXO SAIMEX 00052-SMOV-IP-2022 (concesiones).pdf</w:t>
      </w:r>
      <w:r>
        <w:rPr>
          <w:rFonts w:ascii="Palatino Linotype" w:hAnsi="Palatino Linotype" w:cs="Arial"/>
          <w:sz w:val="24"/>
          <w:szCs w:val="24"/>
        </w:rPr>
        <w:t xml:space="preserve"> y </w:t>
      </w:r>
      <w:r w:rsidRPr="00A45BA5">
        <w:rPr>
          <w:rFonts w:ascii="Palatino Linotype" w:hAnsi="Palatino Linotype" w:cs="Arial"/>
          <w:sz w:val="24"/>
          <w:szCs w:val="24"/>
        </w:rPr>
        <w:t>ANEXO EMPRESA ACATLÁN, S.A DE C.V (autorizaciones).</w:t>
      </w:r>
      <w:proofErr w:type="spellStart"/>
      <w:r w:rsidRPr="00A45BA5">
        <w:rPr>
          <w:rFonts w:ascii="Palatino Linotype" w:hAnsi="Palatino Linotype" w:cs="Arial"/>
          <w:sz w:val="24"/>
          <w:szCs w:val="24"/>
        </w:rPr>
        <w:t>pdf</w:t>
      </w:r>
      <w:proofErr w:type="spellEnd"/>
      <w:r>
        <w:rPr>
          <w:rFonts w:ascii="Palatino Linotype" w:hAnsi="Palatino Linotype" w:cs="Arial"/>
          <w:sz w:val="24"/>
          <w:szCs w:val="24"/>
        </w:rPr>
        <w:t>”, que fueron puestos a la vista de la Recurrente a efecto que presentara las manifestaciones que a sus intereses convinieran, sin que se advierta que haya desahogado la vista en cuestión.</w:t>
      </w:r>
    </w:p>
    <w:p w14:paraId="3D87BAF0" w14:textId="77777777" w:rsidR="00A45BA5" w:rsidRDefault="00A45BA5" w:rsidP="00A45BA5">
      <w:pPr>
        <w:spacing w:after="0" w:line="360" w:lineRule="auto"/>
        <w:jc w:val="both"/>
        <w:rPr>
          <w:rFonts w:ascii="Palatino Linotype" w:hAnsi="Palatino Linotype" w:cs="Arial"/>
          <w:sz w:val="24"/>
          <w:szCs w:val="24"/>
        </w:rPr>
      </w:pPr>
    </w:p>
    <w:p w14:paraId="1B1B553E" w14:textId="77777777" w:rsidR="00A45BA5" w:rsidRDefault="00A45BA5" w:rsidP="00A45BA5">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2A1ED04" w14:textId="77777777" w:rsidR="00A45BA5" w:rsidRDefault="00A45BA5" w:rsidP="00A45BA5">
      <w:pPr>
        <w:spacing w:after="0" w:line="360" w:lineRule="auto"/>
        <w:jc w:val="both"/>
        <w:rPr>
          <w:rFonts w:ascii="Palatino Linotype" w:hAnsi="Palatino Linotype" w:cs="Arial"/>
          <w:sz w:val="24"/>
          <w:szCs w:val="24"/>
        </w:rPr>
      </w:pPr>
    </w:p>
    <w:p w14:paraId="190E5C7E" w14:textId="77777777" w:rsidR="00A45BA5" w:rsidRDefault="00A45BA5" w:rsidP="00A45BA5">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lastRenderedPageBreak/>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 xml:space="preserve"> el p</w:t>
      </w:r>
      <w:r w:rsidRPr="00AC295F">
        <w:rPr>
          <w:rFonts w:ascii="Palatino Linotype" w:hAnsi="Palatino Linotype" w:cs="Arial"/>
          <w:sz w:val="24"/>
          <w:szCs w:val="24"/>
        </w:rPr>
        <w:t>eriodo otorgado a las partes de siete días hábiles para realizar sus manifestaciones en el acuerdo de admisión, y no habiendo prueba pendiente por desahogar, ni que documentos que integrar al expediente electrónico</w:t>
      </w:r>
      <w:r>
        <w:rPr>
          <w:rFonts w:ascii="Palatino Linotype" w:hAnsi="Palatino Linotype" w:cs="Arial"/>
          <w:sz w:val="24"/>
          <w:szCs w:val="24"/>
        </w:rPr>
        <w:t xml:space="preserve">, se decretó el </w:t>
      </w:r>
      <w:r w:rsidRPr="00AC295F">
        <w:rPr>
          <w:rFonts w:ascii="Palatino Linotype" w:hAnsi="Palatino Linotype" w:cs="Arial"/>
          <w:sz w:val="24"/>
          <w:szCs w:val="24"/>
        </w:rPr>
        <w:t>c</w:t>
      </w:r>
      <w:r>
        <w:rPr>
          <w:rFonts w:ascii="Palatino Linotype" w:hAnsi="Palatino Linotype" w:cs="Arial"/>
          <w:sz w:val="24"/>
          <w:szCs w:val="24"/>
        </w:rPr>
        <w:t>ierre de instrucción en fecha once de marzo 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14:paraId="56FEFD6E" w14:textId="77777777" w:rsidR="00A45BA5" w:rsidRDefault="00A45BA5" w:rsidP="00A45BA5">
      <w:pPr>
        <w:spacing w:after="0" w:line="360" w:lineRule="auto"/>
        <w:jc w:val="both"/>
        <w:rPr>
          <w:rFonts w:ascii="Palatino Linotype" w:hAnsi="Palatino Linotype" w:cs="Arial"/>
          <w:sz w:val="24"/>
          <w:szCs w:val="24"/>
        </w:rPr>
      </w:pPr>
    </w:p>
    <w:p w14:paraId="0F4D4386" w14:textId="77777777" w:rsidR="00A45BA5" w:rsidRPr="00F275AF" w:rsidRDefault="00A45BA5" w:rsidP="00A45BA5">
      <w:pPr>
        <w:spacing w:after="0" w:line="360" w:lineRule="auto"/>
        <w:jc w:val="both"/>
        <w:rPr>
          <w:rFonts w:ascii="Palatino Linotype" w:hAnsi="Palatino Linotype" w:cs="Arial"/>
          <w:sz w:val="24"/>
          <w:szCs w:val="24"/>
        </w:rPr>
      </w:pPr>
      <w:r w:rsidRPr="00F275AF">
        <w:rPr>
          <w:rFonts w:ascii="Palatino Linotype" w:hAnsi="Palatino Linotype" w:cs="Arial"/>
          <w:b/>
          <w:sz w:val="28"/>
          <w:szCs w:val="28"/>
        </w:rPr>
        <w:t xml:space="preserve">OCTAVO. </w:t>
      </w:r>
      <w:r w:rsidRPr="00F275AF">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Pr>
          <w:rFonts w:ascii="Palatino Linotype" w:hAnsi="Palatino Linotype" w:cs="Arial"/>
          <w:sz w:val="24"/>
          <w:szCs w:val="24"/>
        </w:rPr>
        <w:t>seis</w:t>
      </w:r>
      <w:r w:rsidRPr="00377B29">
        <w:rPr>
          <w:rFonts w:ascii="Palatino Linotype" w:hAnsi="Palatino Linotype" w:cs="Arial"/>
          <w:sz w:val="24"/>
          <w:szCs w:val="24"/>
        </w:rPr>
        <w:t xml:space="preserve"> de abril de dos</w:t>
      </w:r>
      <w:r w:rsidRPr="00F275AF">
        <w:rPr>
          <w:rFonts w:ascii="Palatino Linotype" w:hAnsi="Palatino Linotype" w:cs="Arial"/>
          <w:sz w:val="24"/>
          <w:szCs w:val="24"/>
        </w:rPr>
        <w:t xml:space="preserve">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2242800" w14:textId="77777777" w:rsidR="00A45BA5" w:rsidRDefault="00A45BA5" w:rsidP="00A45BA5">
      <w:pPr>
        <w:spacing w:after="0" w:line="360" w:lineRule="auto"/>
        <w:jc w:val="both"/>
        <w:rPr>
          <w:rFonts w:ascii="Palatino Linotype" w:hAnsi="Palatino Linotype" w:cs="Arial"/>
          <w:sz w:val="24"/>
          <w:szCs w:val="24"/>
        </w:rPr>
      </w:pPr>
    </w:p>
    <w:p w14:paraId="601F43F1" w14:textId="77777777" w:rsidR="00A45BA5" w:rsidRDefault="00A45BA5" w:rsidP="00A45BA5">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2A7E5A61" w14:textId="77777777" w:rsidR="00A45BA5" w:rsidRPr="0064611F" w:rsidRDefault="00A45BA5" w:rsidP="00A45BA5">
      <w:pPr>
        <w:spacing w:after="0" w:line="360" w:lineRule="auto"/>
        <w:jc w:val="center"/>
        <w:rPr>
          <w:rFonts w:ascii="Palatino Linotype" w:hAnsi="Palatino Linotype" w:cs="Arial"/>
          <w:sz w:val="24"/>
          <w:szCs w:val="24"/>
        </w:rPr>
      </w:pPr>
    </w:p>
    <w:p w14:paraId="4C5E0F4F" w14:textId="77777777" w:rsidR="00A45BA5" w:rsidRPr="00600F1D" w:rsidRDefault="00A45BA5" w:rsidP="00A45B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4F7E1BE5" w14:textId="77777777" w:rsidR="00A45BA5" w:rsidRPr="003E4BCA" w:rsidRDefault="00A45BA5" w:rsidP="00A45B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 xml:space="preserve">trigésimo </w:t>
      </w:r>
      <w:r w:rsidRPr="003E4BCA">
        <w:rPr>
          <w:rFonts w:ascii="Palatino Linotype" w:hAnsi="Palatino Linotype" w:cs="Arial"/>
          <w:sz w:val="24"/>
          <w:szCs w:val="24"/>
        </w:rPr>
        <w:lastRenderedPageBreak/>
        <w:t>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340103FF" w14:textId="77777777" w:rsidR="00A45BA5" w:rsidRDefault="00A45BA5" w:rsidP="00A45BA5">
      <w:pPr>
        <w:spacing w:after="0" w:line="360" w:lineRule="auto"/>
        <w:jc w:val="both"/>
        <w:rPr>
          <w:rFonts w:ascii="Palatino Linotype" w:hAnsi="Palatino Linotype" w:cs="Arial"/>
          <w:sz w:val="24"/>
          <w:szCs w:val="24"/>
        </w:rPr>
      </w:pPr>
    </w:p>
    <w:p w14:paraId="26032561" w14:textId="77777777" w:rsidR="00A45BA5" w:rsidRPr="002F77CC" w:rsidRDefault="00A45BA5" w:rsidP="00A45BA5">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
          <w:sz w:val="28"/>
          <w:szCs w:val="28"/>
        </w:rPr>
        <w:t>SEGUNDO. Del</w:t>
      </w:r>
      <w:r>
        <w:rPr>
          <w:rFonts w:ascii="Palatino Linotype" w:hAnsi="Palatino Linotype" w:cs="Arial"/>
          <w:b/>
          <w:sz w:val="28"/>
          <w:szCs w:val="28"/>
        </w:rPr>
        <w:t xml:space="preserve"> </w:t>
      </w:r>
      <w:r w:rsidRPr="002F77CC">
        <w:rPr>
          <w:rFonts w:ascii="Palatino Linotype" w:hAnsi="Palatino Linotype" w:cs="Arial"/>
          <w:b/>
          <w:sz w:val="28"/>
          <w:szCs w:val="28"/>
        </w:rPr>
        <w:t>alcance del recurso de revisión.</w:t>
      </w:r>
      <w:r w:rsidRPr="002F77CC">
        <w:rPr>
          <w:rFonts w:ascii="Palatino Linotype" w:hAnsi="Palatino Linotype" w:cs="Arial"/>
          <w:bCs/>
          <w:sz w:val="28"/>
          <w:szCs w:val="28"/>
        </w:rPr>
        <w:t xml:space="preserve"> </w:t>
      </w:r>
    </w:p>
    <w:p w14:paraId="61BDC89D" w14:textId="77777777" w:rsidR="00A45BA5" w:rsidRPr="00A26016" w:rsidRDefault="00A45BA5" w:rsidP="00A45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6016">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8C608B9" w14:textId="77777777" w:rsidR="00A45BA5" w:rsidRPr="00A26016" w:rsidRDefault="00A45BA5" w:rsidP="00A45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498B4E" w14:textId="77777777" w:rsidR="00A45BA5" w:rsidRPr="002F77CC" w:rsidRDefault="00A45BA5" w:rsidP="00A45BA5">
      <w:pPr>
        <w:autoSpaceDE w:val="0"/>
        <w:autoSpaceDN w:val="0"/>
        <w:adjustRightInd w:val="0"/>
        <w:spacing w:after="0" w:line="360" w:lineRule="auto"/>
        <w:jc w:val="both"/>
        <w:rPr>
          <w:rFonts w:ascii="Palatino Linotype" w:hAnsi="Palatino Linotype" w:cs="Arial"/>
          <w:b/>
          <w:sz w:val="28"/>
          <w:szCs w:val="28"/>
        </w:rPr>
      </w:pPr>
      <w:r w:rsidRPr="002F77CC">
        <w:rPr>
          <w:rFonts w:ascii="Palatino Linotype" w:hAnsi="Palatino Linotype" w:cs="Arial"/>
          <w:b/>
          <w:sz w:val="28"/>
          <w:szCs w:val="28"/>
        </w:rPr>
        <w:t xml:space="preserve">TERCERO. Del estudio de las causas de improcedencia. </w:t>
      </w:r>
    </w:p>
    <w:p w14:paraId="507210F8" w14:textId="77777777" w:rsidR="00A45BA5" w:rsidRDefault="00A45BA5" w:rsidP="00A45BA5">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2F77CC">
        <w:rPr>
          <w:rFonts w:ascii="Palatino Linotype" w:hAnsi="Palatino Linotype" w:cs="Arial"/>
          <w:sz w:val="24"/>
          <w:szCs w:val="24"/>
        </w:rPr>
        <w:lastRenderedPageBreak/>
        <w:t>la justicia, ya que éste no se coarta por regular causas de improcedencia y sobreseimiento con tales fines.</w:t>
      </w:r>
    </w:p>
    <w:p w14:paraId="4301C7A5" w14:textId="77777777" w:rsidR="00A45BA5" w:rsidRPr="002F77CC" w:rsidRDefault="00A45BA5" w:rsidP="00A45BA5">
      <w:pPr>
        <w:autoSpaceDE w:val="0"/>
        <w:autoSpaceDN w:val="0"/>
        <w:adjustRightInd w:val="0"/>
        <w:spacing w:after="0" w:line="360" w:lineRule="auto"/>
        <w:jc w:val="both"/>
        <w:rPr>
          <w:rFonts w:ascii="Palatino Linotype" w:hAnsi="Palatino Linotype" w:cs="Arial"/>
          <w:sz w:val="24"/>
          <w:szCs w:val="24"/>
        </w:rPr>
      </w:pPr>
    </w:p>
    <w:p w14:paraId="3654DEB5" w14:textId="77777777" w:rsidR="00A45BA5" w:rsidRPr="002F77CC" w:rsidRDefault="00A45BA5" w:rsidP="00A45BA5">
      <w:pPr>
        <w:spacing w:after="0" w:line="240" w:lineRule="auto"/>
        <w:ind w:left="567" w:right="567"/>
        <w:jc w:val="both"/>
        <w:rPr>
          <w:rFonts w:ascii="Palatino Linotype" w:hAnsi="Palatino Linotype" w:cs="Arial"/>
        </w:rPr>
      </w:pPr>
      <w:r w:rsidRPr="002F77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F77CC">
        <w:rPr>
          <w:rFonts w:ascii="Palatino Linotype" w:hAnsi="Palatino Linotype"/>
          <w:i/>
        </w:rPr>
        <w:t xml:space="preserve">Del examen de compatibilidad de los artículos </w:t>
      </w:r>
      <w:hyperlink r:id="rId7" w:history="1">
        <w:r w:rsidRPr="002F77CC">
          <w:rPr>
            <w:rFonts w:ascii="Palatino Linotype" w:eastAsia="Calibri" w:hAnsi="Palatino Linotype"/>
            <w:i/>
            <w:color w:val="0563C1" w:themeColor="hyperlink"/>
            <w:u w:val="single"/>
          </w:rPr>
          <w:t>73 y 74 de la Ley de Amparo</w:t>
        </w:r>
      </w:hyperlink>
      <w:r w:rsidRPr="002F77CC">
        <w:rPr>
          <w:rFonts w:ascii="Palatino Linotype" w:eastAsia="Calibri" w:hAnsi="Palatino Linotype"/>
          <w:i/>
          <w:color w:val="0563C1" w:themeColor="hyperlink"/>
          <w:u w:val="single"/>
        </w:rPr>
        <w:t xml:space="preserve"> </w:t>
      </w:r>
      <w:r w:rsidRPr="002F77CC">
        <w:rPr>
          <w:rFonts w:ascii="Palatino Linotype" w:hAnsi="Palatino Linotype"/>
          <w:i/>
        </w:rPr>
        <w:t xml:space="preserve">con el artículo </w:t>
      </w:r>
      <w:hyperlink r:id="rId8" w:history="1">
        <w:r w:rsidRPr="002F77CC">
          <w:rPr>
            <w:rFonts w:ascii="Palatino Linotype" w:eastAsia="Calibri" w:hAnsi="Palatino Linotype"/>
            <w:i/>
            <w:color w:val="0563C1" w:themeColor="hyperlink"/>
            <w:u w:val="single"/>
          </w:rPr>
          <w:t>25.1 de la Convención Americana sobre Derechos Humanos</w:t>
        </w:r>
      </w:hyperlink>
      <w:r w:rsidRPr="002F77CC">
        <w:rPr>
          <w:rFonts w:ascii="Palatino Linotype" w:hAnsi="Palatino Linotype"/>
          <w:i/>
        </w:rPr>
        <w:t xml:space="preserve"> </w:t>
      </w:r>
      <w:r w:rsidRPr="002F77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F77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F77CC">
        <w:rPr>
          <w:rFonts w:ascii="Palatino Linotype" w:hAnsi="Palatino Linotype"/>
          <w:i/>
        </w:rPr>
        <w:t>concesoria</w:t>
      </w:r>
      <w:proofErr w:type="spellEnd"/>
      <w:r w:rsidRPr="002F77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0F09074" w14:textId="77777777" w:rsidR="00A45BA5" w:rsidRPr="002F77CC" w:rsidRDefault="00A45BA5" w:rsidP="00A45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E2B603" w14:textId="77777777" w:rsidR="00A45BA5" w:rsidRPr="002F77CC" w:rsidRDefault="00A45BA5" w:rsidP="00A45BA5">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Por lo que una vez que se analizó el expediente en estudio se cae en la cuenta de que no se actualiza ninguna de las casuales a continuación transcritas:</w:t>
      </w:r>
    </w:p>
    <w:p w14:paraId="2F6D854E" w14:textId="77777777" w:rsidR="00A45BA5" w:rsidRPr="002F77CC" w:rsidRDefault="00A45BA5" w:rsidP="00A45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79FD09D" w14:textId="77777777" w:rsidR="00A45BA5" w:rsidRPr="002F77CC" w:rsidRDefault="00A45BA5" w:rsidP="00A45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i/>
          <w:lang w:val="es-ES" w:eastAsia="es-ES"/>
        </w:rPr>
        <w:t>“</w:t>
      </w:r>
      <w:r w:rsidRPr="002F77CC">
        <w:rPr>
          <w:rFonts w:ascii="Palatino Linotype" w:eastAsia="Times New Roman" w:hAnsi="Palatino Linotype" w:cs="Arial"/>
          <w:b/>
          <w:i/>
          <w:lang w:val="es-ES" w:eastAsia="es-ES"/>
        </w:rPr>
        <w:t>Artículo 191</w:t>
      </w:r>
      <w:r w:rsidRPr="002F77CC">
        <w:rPr>
          <w:rFonts w:ascii="Palatino Linotype" w:eastAsia="Times New Roman" w:hAnsi="Palatino Linotype" w:cs="Arial"/>
          <w:i/>
          <w:lang w:val="es-ES" w:eastAsia="es-ES"/>
        </w:rPr>
        <w:t xml:space="preserve">. El recurso será desechado por improcedente cuando:  </w:t>
      </w:r>
    </w:p>
    <w:p w14:paraId="6912D141" w14:textId="77777777" w:rsidR="00A45BA5" w:rsidRPr="002F77CC" w:rsidRDefault="00A45BA5" w:rsidP="00A45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w:t>
      </w:r>
      <w:r w:rsidRPr="002F77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11F289A0" w14:textId="77777777" w:rsidR="00A45BA5" w:rsidRPr="002F77CC" w:rsidRDefault="00A45BA5" w:rsidP="00A45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II</w:t>
      </w:r>
      <w:r w:rsidRPr="002F77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20967EE4" w14:textId="77777777" w:rsidR="00A45BA5" w:rsidRPr="002F77CC" w:rsidRDefault="00A45BA5" w:rsidP="00A45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III</w:t>
      </w:r>
      <w:r w:rsidRPr="002F77CC">
        <w:rPr>
          <w:rFonts w:ascii="Palatino Linotype" w:eastAsia="Times New Roman" w:hAnsi="Palatino Linotype" w:cs="Arial"/>
          <w:i/>
          <w:lang w:val="es-ES" w:eastAsia="es-ES"/>
        </w:rPr>
        <w:t xml:space="preserve">. No actualice alguno de los supuestos previstos en la presente Ley;  </w:t>
      </w:r>
    </w:p>
    <w:p w14:paraId="488EBA68" w14:textId="77777777" w:rsidR="00A45BA5" w:rsidRPr="002F77CC" w:rsidRDefault="00A45BA5" w:rsidP="00A45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IV</w:t>
      </w:r>
      <w:r w:rsidRPr="002F77CC">
        <w:rPr>
          <w:rFonts w:ascii="Palatino Linotype" w:eastAsia="Times New Roman" w:hAnsi="Palatino Linotype" w:cs="Arial"/>
          <w:i/>
          <w:lang w:val="es-ES" w:eastAsia="es-ES"/>
        </w:rPr>
        <w:t xml:space="preserve">. No se haya desahogado la prevención en los términos establecidos en la presente Ley;  </w:t>
      </w:r>
    </w:p>
    <w:p w14:paraId="26920FDC" w14:textId="77777777" w:rsidR="00A45BA5" w:rsidRPr="002F77CC" w:rsidRDefault="00A45BA5" w:rsidP="00A45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lastRenderedPageBreak/>
        <w:t>V</w:t>
      </w:r>
      <w:r w:rsidRPr="002F77CC">
        <w:rPr>
          <w:rFonts w:ascii="Palatino Linotype" w:eastAsia="Times New Roman" w:hAnsi="Palatino Linotype" w:cs="Arial"/>
          <w:i/>
          <w:lang w:val="es-ES" w:eastAsia="es-ES"/>
        </w:rPr>
        <w:t xml:space="preserve">. Se impugne la veracidad de la información proporcionada;  </w:t>
      </w:r>
    </w:p>
    <w:p w14:paraId="4C7729DC" w14:textId="77777777" w:rsidR="00A45BA5" w:rsidRPr="002F77CC" w:rsidRDefault="00A45BA5" w:rsidP="00A45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VI</w:t>
      </w:r>
      <w:r w:rsidRPr="002F77CC">
        <w:rPr>
          <w:rFonts w:ascii="Palatino Linotype" w:eastAsia="Times New Roman" w:hAnsi="Palatino Linotype" w:cs="Arial"/>
          <w:i/>
          <w:lang w:val="es-ES" w:eastAsia="es-ES"/>
        </w:rPr>
        <w:t xml:space="preserve">. Se trate de una consulta, o trámite en específico; y  </w:t>
      </w:r>
    </w:p>
    <w:p w14:paraId="128DCCF1" w14:textId="77777777" w:rsidR="00A45BA5" w:rsidRPr="002F77CC" w:rsidRDefault="00A45BA5" w:rsidP="00A45B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VII</w:t>
      </w:r>
      <w:r w:rsidRPr="002F77CC">
        <w:rPr>
          <w:rFonts w:ascii="Palatino Linotype" w:eastAsia="Times New Roman" w:hAnsi="Palatino Linotype" w:cs="Arial"/>
          <w:i/>
          <w:lang w:val="es-ES" w:eastAsia="es-ES"/>
        </w:rPr>
        <w:t>. El recurrente amplíe su solicitud en el recurso de revisión, únicamente respecto de los nuevos contenidos.”</w:t>
      </w:r>
    </w:p>
    <w:p w14:paraId="64FC023B" w14:textId="77777777" w:rsidR="00A45BA5" w:rsidRPr="002F77CC" w:rsidRDefault="00A45BA5" w:rsidP="00A45BA5">
      <w:pPr>
        <w:autoSpaceDE w:val="0"/>
        <w:autoSpaceDN w:val="0"/>
        <w:adjustRightInd w:val="0"/>
        <w:spacing w:after="0" w:line="360" w:lineRule="auto"/>
        <w:jc w:val="both"/>
        <w:rPr>
          <w:rFonts w:ascii="Palatino Linotype" w:hAnsi="Palatino Linotype" w:cs="Arial"/>
          <w:sz w:val="24"/>
          <w:szCs w:val="24"/>
        </w:rPr>
      </w:pPr>
    </w:p>
    <w:p w14:paraId="32EE729E" w14:textId="77777777" w:rsidR="00A45BA5" w:rsidRPr="002F77CC" w:rsidRDefault="00A45BA5" w:rsidP="00A45BA5">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F77CC">
        <w:rPr>
          <w:rFonts w:ascii="Palatino Linotype" w:hAnsi="Palatino Linotype" w:cs="Arial"/>
          <w:b/>
          <w:sz w:val="24"/>
          <w:szCs w:val="24"/>
        </w:rPr>
        <w:t>el recurrente</w:t>
      </w:r>
      <w:r w:rsidRPr="002F77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00AFE16F" w14:textId="77777777" w:rsidR="00A45BA5" w:rsidRDefault="00A45BA5" w:rsidP="00A45BA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667FE1E" w14:textId="77777777" w:rsidR="00A45BA5" w:rsidRPr="004965AA" w:rsidRDefault="00A45BA5" w:rsidP="00A45B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 xml:space="preserve">CUARTO. </w:t>
      </w:r>
      <w:r w:rsidRPr="00AC0A1D">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 xml:space="preserve"> </w:t>
      </w:r>
      <w:r w:rsidRPr="00AC0A1D">
        <w:rPr>
          <w:rFonts w:ascii="Palatino Linotype" w:eastAsia="Times New Roman" w:hAnsi="Palatino Linotype" w:cs="Arial"/>
          <w:b/>
          <w:sz w:val="26"/>
          <w:szCs w:val="26"/>
          <w:lang w:val="es-ES" w:eastAsia="es-ES"/>
        </w:rPr>
        <w:t>l</w:t>
      </w:r>
      <w:r>
        <w:rPr>
          <w:rFonts w:ascii="Palatino Linotype" w:eastAsia="Times New Roman" w:hAnsi="Palatino Linotype" w:cs="Arial"/>
          <w:b/>
          <w:sz w:val="26"/>
          <w:szCs w:val="26"/>
          <w:lang w:val="es-ES" w:eastAsia="es-ES"/>
        </w:rPr>
        <w:t>os</w:t>
      </w:r>
      <w:r w:rsidRPr="00AC0A1D">
        <w:rPr>
          <w:rFonts w:ascii="Palatino Linotype" w:eastAsia="Times New Roman" w:hAnsi="Palatino Linotype" w:cs="Arial"/>
          <w:b/>
          <w:sz w:val="26"/>
          <w:szCs w:val="26"/>
          <w:lang w:val="es-ES" w:eastAsia="es-ES"/>
        </w:rPr>
        <w:t xml:space="preserve"> recurso</w:t>
      </w:r>
      <w:r>
        <w:rPr>
          <w:rFonts w:ascii="Palatino Linotype" w:eastAsia="Times New Roman" w:hAnsi="Palatino Linotype" w:cs="Arial"/>
          <w:b/>
          <w:sz w:val="26"/>
          <w:szCs w:val="26"/>
          <w:lang w:val="es-ES" w:eastAsia="es-ES"/>
        </w:rPr>
        <w:t>s de revisión.</w:t>
      </w:r>
    </w:p>
    <w:p w14:paraId="0E8CB7D8" w14:textId="77777777" w:rsidR="00A45BA5" w:rsidRDefault="00A45BA5" w:rsidP="00A45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e procede al análisis del presente recurso, así como al contenido íntegro de las actuaciones que obran </w:t>
      </w:r>
      <w:r>
        <w:rPr>
          <w:rFonts w:ascii="Palatino Linotype" w:eastAsia="Times New Roman" w:hAnsi="Palatino Linotype" w:cs="Arial"/>
          <w:sz w:val="24"/>
          <w:szCs w:val="24"/>
          <w:lang w:val="es-ES" w:eastAsia="es-ES"/>
        </w:rPr>
        <w:t>en el</w:t>
      </w:r>
      <w:r w:rsidRPr="0064611F">
        <w:rPr>
          <w:rFonts w:ascii="Palatino Linotype" w:eastAsia="Times New Roman" w:hAnsi="Palatino Linotype" w:cs="Arial"/>
          <w:sz w:val="24"/>
          <w:szCs w:val="24"/>
          <w:lang w:val="es-ES" w:eastAsia="es-ES"/>
        </w:rPr>
        <w:t xml:space="preserve">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7758A8C" w14:textId="77777777" w:rsidR="00A45BA5" w:rsidRPr="0064611F" w:rsidRDefault="00A45BA5" w:rsidP="00A45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50F5BA" w14:textId="77777777" w:rsidR="00A45BA5" w:rsidRPr="00A6387F" w:rsidRDefault="00A45BA5" w:rsidP="00A45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 xml:space="preserve">la solicitud de información se puede apreciar que la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de una persona </w:t>
      </w:r>
      <w:r w:rsidR="000153CA">
        <w:rPr>
          <w:rFonts w:ascii="Palatino Linotype" w:eastAsia="Times New Roman" w:hAnsi="Palatino Linotype" w:cs="Arial"/>
          <w:sz w:val="24"/>
          <w:szCs w:val="24"/>
          <w:lang w:val="es-ES" w:eastAsia="es-ES"/>
        </w:rPr>
        <w:t>jurídica</w:t>
      </w:r>
      <w:r>
        <w:rPr>
          <w:rFonts w:ascii="Palatino Linotype" w:eastAsia="Times New Roman" w:hAnsi="Palatino Linotype" w:cs="Arial"/>
          <w:sz w:val="24"/>
          <w:szCs w:val="24"/>
          <w:lang w:val="es-ES" w:eastAsia="es-ES"/>
        </w:rPr>
        <w:t xml:space="preserve"> colectiva</w:t>
      </w:r>
      <w:r w:rsidR="000153CA">
        <w:rPr>
          <w:rFonts w:ascii="Palatino Linotype" w:eastAsia="Times New Roman" w:hAnsi="Palatino Linotype" w:cs="Arial"/>
          <w:sz w:val="24"/>
          <w:szCs w:val="24"/>
          <w:lang w:val="es-ES" w:eastAsia="es-ES"/>
        </w:rPr>
        <w:t xml:space="preserve"> dedicada al autotransporte</w:t>
      </w:r>
      <w:r>
        <w:rPr>
          <w:rFonts w:ascii="Palatino Linotype" w:eastAsia="Times New Roman" w:hAnsi="Palatino Linotype" w:cs="Arial"/>
          <w:sz w:val="24"/>
          <w:szCs w:val="24"/>
          <w:lang w:val="es-ES" w:eastAsia="es-ES"/>
        </w:rPr>
        <w:t>, lo siguiente:</w:t>
      </w:r>
    </w:p>
    <w:p w14:paraId="53EFA461" w14:textId="77777777" w:rsidR="00A45BA5" w:rsidRDefault="00A45BA5" w:rsidP="00A45BA5">
      <w:pPr>
        <w:spacing w:after="0" w:line="360" w:lineRule="auto"/>
        <w:jc w:val="both"/>
        <w:rPr>
          <w:rFonts w:ascii="Palatino Linotype" w:hAnsi="Palatino Linotype" w:cs="Arial"/>
          <w:sz w:val="24"/>
          <w:lang w:val="es-ES"/>
        </w:rPr>
      </w:pPr>
    </w:p>
    <w:p w14:paraId="2B8205D8" w14:textId="77777777" w:rsidR="00A45BA5" w:rsidRDefault="000153CA" w:rsidP="00A45BA5">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Concesiones otorgadas</w:t>
      </w:r>
      <w:r w:rsidR="00A45BA5">
        <w:rPr>
          <w:rFonts w:ascii="Palatino Linotype" w:hAnsi="Palatino Linotype" w:cs="Arial"/>
        </w:rPr>
        <w:t>;</w:t>
      </w:r>
    </w:p>
    <w:p w14:paraId="3626E977" w14:textId="77777777" w:rsidR="00BD797A" w:rsidRDefault="000153CA" w:rsidP="00A45BA5">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Autorizaciones</w:t>
      </w:r>
      <w:r w:rsidR="00BD797A">
        <w:rPr>
          <w:rFonts w:ascii="Palatino Linotype" w:hAnsi="Palatino Linotype" w:cs="Arial"/>
        </w:rPr>
        <w:t xml:space="preserve"> otorgadas;</w:t>
      </w:r>
    </w:p>
    <w:p w14:paraId="0DD74457" w14:textId="77777777" w:rsidR="00A45BA5" w:rsidRDefault="000153CA" w:rsidP="00BD797A">
      <w:pPr>
        <w:pStyle w:val="Prrafodelista"/>
        <w:numPr>
          <w:ilvl w:val="1"/>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nombre de estas</w:t>
      </w:r>
      <w:r w:rsidR="00A45BA5">
        <w:rPr>
          <w:rFonts w:ascii="Palatino Linotype" w:hAnsi="Palatino Linotype" w:cs="Arial"/>
        </w:rPr>
        <w:t>; y</w:t>
      </w:r>
    </w:p>
    <w:p w14:paraId="1665635F" w14:textId="77777777" w:rsidR="00A45BA5" w:rsidRDefault="000153CA" w:rsidP="000153CA">
      <w:pPr>
        <w:pStyle w:val="Prrafodelista"/>
        <w:numPr>
          <w:ilvl w:val="1"/>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Origen y destino </w:t>
      </w:r>
    </w:p>
    <w:p w14:paraId="4AA1FBF8" w14:textId="77777777" w:rsidR="00A45BA5" w:rsidRDefault="00A45BA5" w:rsidP="00A45BA5">
      <w:pPr>
        <w:spacing w:after="0" w:line="360" w:lineRule="auto"/>
        <w:jc w:val="both"/>
        <w:rPr>
          <w:rFonts w:ascii="Palatino Linotype" w:hAnsi="Palatino Linotype" w:cs="Arial"/>
          <w:sz w:val="24"/>
          <w:lang w:val="es-ES"/>
        </w:rPr>
      </w:pPr>
    </w:p>
    <w:p w14:paraId="434C255F" w14:textId="77777777" w:rsidR="00597C93" w:rsidRDefault="00597C93" w:rsidP="000153CA">
      <w:pPr>
        <w:spacing w:after="0" w:line="360" w:lineRule="auto"/>
        <w:jc w:val="both"/>
        <w:rPr>
          <w:rFonts w:ascii="Palatino Linotype" w:hAnsi="Palatino Linotype" w:cs="Arial"/>
          <w:sz w:val="24"/>
        </w:rPr>
      </w:pPr>
      <w:r>
        <w:rPr>
          <w:rFonts w:ascii="Palatino Linotype" w:hAnsi="Palatino Linotype" w:cs="Arial"/>
          <w:sz w:val="24"/>
        </w:rPr>
        <w:t>De conformidad con las constancias que integran el sistema SAIMEX, se acredita que e</w:t>
      </w:r>
      <w:r w:rsidR="00A45BA5">
        <w:rPr>
          <w:rFonts w:ascii="Palatino Linotype" w:hAnsi="Palatino Linotype" w:cs="Arial"/>
          <w:sz w:val="24"/>
        </w:rPr>
        <w:t xml:space="preserve">l </w:t>
      </w:r>
      <w:r w:rsidR="00A45BA5">
        <w:rPr>
          <w:rFonts w:ascii="Palatino Linotype" w:hAnsi="Palatino Linotype" w:cs="Arial"/>
          <w:b/>
          <w:sz w:val="24"/>
        </w:rPr>
        <w:t>Sujeto Obligado</w:t>
      </w:r>
      <w:r w:rsidR="00A45BA5">
        <w:rPr>
          <w:rFonts w:ascii="Palatino Linotype" w:hAnsi="Palatino Linotype" w:cs="Arial"/>
          <w:sz w:val="24"/>
        </w:rPr>
        <w:t xml:space="preserve"> </w:t>
      </w:r>
      <w:r>
        <w:rPr>
          <w:rFonts w:ascii="Palatino Linotype" w:hAnsi="Palatino Linotype" w:cs="Arial"/>
          <w:sz w:val="24"/>
        </w:rPr>
        <w:t>se sirvió en dar respuesta en el apartado respectivo, manifestaciones que objetivamente versan en los términos siguientes:</w:t>
      </w:r>
    </w:p>
    <w:p w14:paraId="5B4283E7" w14:textId="77777777" w:rsidR="00597C93" w:rsidRDefault="00597C93" w:rsidP="000153CA">
      <w:pPr>
        <w:spacing w:after="0" w:line="360" w:lineRule="auto"/>
        <w:jc w:val="both"/>
        <w:rPr>
          <w:rFonts w:ascii="Palatino Linotype" w:hAnsi="Palatino Linotype" w:cs="Arial"/>
          <w:sz w:val="24"/>
        </w:rPr>
      </w:pPr>
    </w:p>
    <w:p w14:paraId="21CB1F51" w14:textId="77777777" w:rsidR="00597C93" w:rsidRPr="00792050" w:rsidRDefault="00597C93" w:rsidP="00792050">
      <w:pPr>
        <w:pStyle w:val="Prrafodelista"/>
        <w:numPr>
          <w:ilvl w:val="0"/>
          <w:numId w:val="6"/>
        </w:numPr>
        <w:jc w:val="both"/>
        <w:rPr>
          <w:rFonts w:ascii="Palatino Linotype" w:hAnsi="Palatino Linotype" w:cs="Arial"/>
          <w:i/>
          <w:sz w:val="22"/>
        </w:rPr>
      </w:pPr>
      <w:r w:rsidRPr="00792050">
        <w:rPr>
          <w:rFonts w:ascii="Palatino Linotype" w:hAnsi="Palatino Linotype" w:cs="Arial"/>
          <w:i/>
          <w:sz w:val="22"/>
        </w:rPr>
        <w:t>“… es importante invocar el artículo 143 de la Constitución Política del Estado Libre y Soberano de México, que indica, las autoridades administrativas únicamente pueden hacer lo que la ley expresamente les confiere,…”</w:t>
      </w:r>
    </w:p>
    <w:p w14:paraId="087D3D92" w14:textId="77777777" w:rsidR="00597C93" w:rsidRPr="00792050" w:rsidRDefault="00597C93" w:rsidP="00792050">
      <w:pPr>
        <w:spacing w:after="0" w:line="240" w:lineRule="auto"/>
        <w:jc w:val="both"/>
        <w:rPr>
          <w:rFonts w:ascii="Palatino Linotype" w:hAnsi="Palatino Linotype" w:cs="Arial"/>
          <w:i/>
        </w:rPr>
      </w:pPr>
    </w:p>
    <w:p w14:paraId="47AFC708" w14:textId="77777777" w:rsidR="00597C93" w:rsidRDefault="00597C93" w:rsidP="00792050">
      <w:pPr>
        <w:pStyle w:val="Prrafodelista"/>
        <w:numPr>
          <w:ilvl w:val="0"/>
          <w:numId w:val="6"/>
        </w:numPr>
        <w:jc w:val="both"/>
        <w:rPr>
          <w:rFonts w:ascii="Palatino Linotype" w:hAnsi="Palatino Linotype" w:cs="Arial"/>
          <w:i/>
          <w:sz w:val="22"/>
        </w:rPr>
      </w:pPr>
      <w:r w:rsidRPr="00792050">
        <w:rPr>
          <w:rFonts w:ascii="Palatino Linotype" w:hAnsi="Palatino Linotype" w:cs="Arial"/>
          <w:i/>
          <w:sz w:val="22"/>
        </w:rPr>
        <w:t xml:space="preserve">“…de conformidad con el artículo 24 del Reglamento Interior de la Secretaría de Movilidad, </w:t>
      </w:r>
      <w:r w:rsidRPr="00792050">
        <w:rPr>
          <w:rFonts w:ascii="Palatino Linotype" w:hAnsi="Palatino Linotype" w:cs="Arial"/>
          <w:i/>
          <w:sz w:val="22"/>
          <w:u w:val="single"/>
        </w:rPr>
        <w:t>esta Dirección General del Registro Estatal de Transporte Público</w:t>
      </w:r>
      <w:r w:rsidRPr="00792050">
        <w:rPr>
          <w:rFonts w:ascii="Palatino Linotype" w:hAnsi="Palatino Linotype" w:cs="Arial"/>
          <w:i/>
          <w:sz w:val="22"/>
        </w:rPr>
        <w:t xml:space="preserve"> </w:t>
      </w:r>
      <w:r w:rsidRPr="00792050">
        <w:rPr>
          <w:rFonts w:ascii="Palatino Linotype" w:hAnsi="Palatino Linotype" w:cs="Arial"/>
          <w:b/>
          <w:i/>
          <w:sz w:val="22"/>
        </w:rPr>
        <w:t>únicamente tiene atribuciones para integrar y custodiar la información que con motivo del otorgamiento de concesiones y/o permisos se genere para la prestación del servicio de transporte público.</w:t>
      </w:r>
      <w:r w:rsidRPr="00792050">
        <w:rPr>
          <w:rFonts w:ascii="Palatino Linotype" w:hAnsi="Palatino Linotype" w:cs="Arial"/>
          <w:i/>
          <w:sz w:val="22"/>
        </w:rPr>
        <w:t xml:space="preserve"> En ese contexto, en observancia de las atribuciones y de conformidad con el párrafo segundo del precepto 12 de la Ley de Transparencia y Acceso a la Información Pública del Estado de México y Municipios, que indica: “Los sujetos obligados sólo proporcionarán la información pública que se les requiera y que obre en sus archivos y en el estado en que ésta se encuentre”, hago de su conocimiento que se realizó una búsqueda en los archivos digitales del Registro Estatal de Transporte Público, relativa a las concesiones para prestar el servicio de transporte público a favor de la denominada “ASOCIACION DE PROPIETARIOS, OPERADORES Y AUTOTRANSPORTISTAS DE ACATLAN, S.A. DE C.V.”, por lo que se adjunta archivo digital donde se advierte el listado de concesiones localizadas, siendo evidente que estas se encuentran en titularidad de la jurídico colectiva citada…”</w:t>
      </w:r>
    </w:p>
    <w:p w14:paraId="3D735233" w14:textId="77777777" w:rsidR="00E55632" w:rsidRPr="00792050" w:rsidRDefault="00E55632" w:rsidP="00E55632">
      <w:pPr>
        <w:pStyle w:val="Prrafodelista"/>
        <w:ind w:left="720"/>
        <w:jc w:val="both"/>
        <w:rPr>
          <w:rFonts w:ascii="Palatino Linotype" w:hAnsi="Palatino Linotype" w:cs="Arial"/>
          <w:i/>
          <w:sz w:val="22"/>
        </w:rPr>
      </w:pPr>
    </w:p>
    <w:p w14:paraId="0C2555A2" w14:textId="77777777" w:rsidR="00597C93" w:rsidRPr="00792050" w:rsidRDefault="00597C93" w:rsidP="00792050">
      <w:pPr>
        <w:pStyle w:val="Prrafodelista"/>
        <w:numPr>
          <w:ilvl w:val="0"/>
          <w:numId w:val="6"/>
        </w:numPr>
        <w:jc w:val="both"/>
        <w:rPr>
          <w:rFonts w:ascii="Palatino Linotype" w:hAnsi="Palatino Linotype" w:cs="Arial"/>
          <w:i/>
          <w:sz w:val="22"/>
        </w:rPr>
      </w:pPr>
      <w:r w:rsidRPr="00792050">
        <w:rPr>
          <w:rFonts w:ascii="Palatino Linotype" w:hAnsi="Palatino Linotype" w:cs="Arial"/>
          <w:i/>
          <w:sz w:val="22"/>
        </w:rPr>
        <w:t xml:space="preserve">“…de acuerdo a la información emitida por parte de la </w:t>
      </w:r>
      <w:r w:rsidRPr="00792050">
        <w:rPr>
          <w:rFonts w:ascii="Palatino Linotype" w:hAnsi="Palatino Linotype" w:cs="Arial"/>
          <w:b/>
          <w:i/>
          <w:sz w:val="22"/>
        </w:rPr>
        <w:t>Delegación Regional de Movilidad Naucalpan, dependiente de esta Dirección General de Movilidad Zona II</w:t>
      </w:r>
      <w:r w:rsidRPr="00792050">
        <w:rPr>
          <w:rFonts w:ascii="Palatino Linotype" w:hAnsi="Palatino Linotype" w:cs="Arial"/>
          <w:i/>
          <w:sz w:val="22"/>
        </w:rPr>
        <w:t xml:space="preserve">. Es menester precisar que dicha información </w:t>
      </w:r>
      <w:r w:rsidRPr="00792050">
        <w:rPr>
          <w:rFonts w:ascii="Palatino Linotype" w:hAnsi="Palatino Linotype" w:cs="Arial"/>
          <w:i/>
          <w:sz w:val="22"/>
          <w:u w:val="single"/>
        </w:rPr>
        <w:t>que se anexa al presente</w:t>
      </w:r>
      <w:r w:rsidRPr="00792050">
        <w:rPr>
          <w:rFonts w:ascii="Palatino Linotype" w:hAnsi="Palatino Linotype" w:cs="Arial"/>
          <w:i/>
          <w:sz w:val="22"/>
        </w:rPr>
        <w:t>, fue localizada por la Delegación antes mencionada, en los archivos digitales con los que únicamente cuenta. Sin más por el momento, aprovecho para enviarle un cordial saludo</w:t>
      </w:r>
      <w:r w:rsidR="00792050" w:rsidRPr="00792050">
        <w:rPr>
          <w:rFonts w:ascii="Palatino Linotype" w:hAnsi="Palatino Linotype" w:cs="Arial"/>
          <w:i/>
          <w:sz w:val="22"/>
        </w:rPr>
        <w:t>…”</w:t>
      </w:r>
    </w:p>
    <w:p w14:paraId="0F52D8EF" w14:textId="77777777" w:rsidR="00597C93" w:rsidRDefault="00597C93" w:rsidP="000153CA">
      <w:pPr>
        <w:spacing w:after="0" w:line="360" w:lineRule="auto"/>
        <w:jc w:val="both"/>
        <w:rPr>
          <w:rFonts w:ascii="Palatino Linotype" w:hAnsi="Palatino Linotype" w:cs="Arial"/>
          <w:sz w:val="24"/>
        </w:rPr>
      </w:pPr>
    </w:p>
    <w:p w14:paraId="7858FB53" w14:textId="77777777" w:rsidR="00A45BA5" w:rsidRDefault="00792050" w:rsidP="000153CA">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Asimismo, el Sujeto Obligado adjuntó a su respuesta los </w:t>
      </w:r>
      <w:r w:rsidR="00A45BA5">
        <w:rPr>
          <w:rFonts w:ascii="Palatino Linotype" w:hAnsi="Palatino Linotype" w:cs="Arial"/>
          <w:sz w:val="24"/>
        </w:rPr>
        <w:t>archivos</w:t>
      </w:r>
      <w:r>
        <w:rPr>
          <w:rFonts w:ascii="Palatino Linotype" w:hAnsi="Palatino Linotype" w:cs="Arial"/>
          <w:sz w:val="24"/>
        </w:rPr>
        <w:t xml:space="preserve"> electrónicos</w:t>
      </w:r>
      <w:r w:rsidR="00A45BA5">
        <w:rPr>
          <w:rFonts w:ascii="Palatino Linotype" w:hAnsi="Palatino Linotype" w:cs="Arial"/>
          <w:sz w:val="24"/>
        </w:rPr>
        <w:t xml:space="preserve"> </w:t>
      </w:r>
      <w:r w:rsidR="00A45BA5">
        <w:rPr>
          <w:rFonts w:ascii="Palatino Linotype" w:hAnsi="Palatino Linotype" w:cs="Arial"/>
          <w:sz w:val="24"/>
          <w:szCs w:val="24"/>
        </w:rPr>
        <w:t>“</w:t>
      </w:r>
      <w:r w:rsidR="000153CA" w:rsidRPr="000153CA">
        <w:rPr>
          <w:rFonts w:ascii="Palatino Linotype" w:hAnsi="Palatino Linotype" w:cs="Arial"/>
          <w:sz w:val="24"/>
          <w:szCs w:val="24"/>
        </w:rPr>
        <w:t>SAIMEX 00052-SMOV-IP-2022.pdf</w:t>
      </w:r>
      <w:r w:rsidR="000153CA">
        <w:rPr>
          <w:rFonts w:ascii="Palatino Linotype" w:hAnsi="Palatino Linotype" w:cs="Arial"/>
          <w:sz w:val="24"/>
          <w:szCs w:val="24"/>
        </w:rPr>
        <w:t xml:space="preserve"> y </w:t>
      </w:r>
      <w:r w:rsidR="000153CA" w:rsidRPr="000153CA">
        <w:rPr>
          <w:rFonts w:ascii="Palatino Linotype" w:hAnsi="Palatino Linotype" w:cs="Arial"/>
          <w:sz w:val="24"/>
          <w:szCs w:val="24"/>
        </w:rPr>
        <w:t>EMPRESA ACATLÁN, S.A DE C.V.pdf</w:t>
      </w:r>
      <w:r w:rsidR="00A45BA5">
        <w:rPr>
          <w:rFonts w:ascii="Palatino Linotype" w:hAnsi="Palatino Linotype" w:cs="Arial"/>
          <w:sz w:val="24"/>
          <w:szCs w:val="24"/>
        </w:rPr>
        <w:t>”, cuyo contenido es el siguiente:</w:t>
      </w:r>
    </w:p>
    <w:p w14:paraId="08AE8954" w14:textId="77777777" w:rsidR="00A45BA5" w:rsidRDefault="00A45BA5" w:rsidP="00A45BA5">
      <w:pPr>
        <w:spacing w:after="0" w:line="360" w:lineRule="auto"/>
        <w:jc w:val="both"/>
        <w:rPr>
          <w:rFonts w:ascii="Palatino Linotype" w:hAnsi="Palatino Linotype" w:cs="Arial"/>
          <w:sz w:val="24"/>
        </w:rPr>
      </w:pPr>
    </w:p>
    <w:p w14:paraId="2AD71DD4" w14:textId="77777777" w:rsidR="00A45BA5" w:rsidRDefault="000153CA" w:rsidP="00C75384">
      <w:pPr>
        <w:pStyle w:val="Prrafodelista"/>
        <w:numPr>
          <w:ilvl w:val="0"/>
          <w:numId w:val="1"/>
        </w:numPr>
        <w:spacing w:line="360" w:lineRule="auto"/>
        <w:jc w:val="both"/>
        <w:rPr>
          <w:rFonts w:ascii="Palatino Linotype" w:hAnsi="Palatino Linotype" w:cs="Arial"/>
        </w:rPr>
      </w:pPr>
      <w:r w:rsidRPr="000153CA">
        <w:rPr>
          <w:rFonts w:ascii="Palatino Linotype" w:hAnsi="Palatino Linotype" w:cs="Arial"/>
          <w:b/>
        </w:rPr>
        <w:t>SAIMEX 00052-SMOV-IP-2022.pdf</w:t>
      </w:r>
      <w:r w:rsidR="00A45BA5" w:rsidRPr="000153CA">
        <w:rPr>
          <w:rFonts w:ascii="Palatino Linotype" w:hAnsi="Palatino Linotype" w:cs="Arial"/>
          <w:b/>
        </w:rPr>
        <w:t>:</w:t>
      </w:r>
      <w:r w:rsidR="00A45BA5" w:rsidRPr="000153CA">
        <w:rPr>
          <w:rFonts w:ascii="Palatino Linotype" w:hAnsi="Palatino Linotype" w:cs="Arial"/>
        </w:rPr>
        <w:t xml:space="preserve"> </w:t>
      </w:r>
      <w:r>
        <w:rPr>
          <w:rFonts w:ascii="Palatino Linotype" w:hAnsi="Palatino Linotype" w:cs="Arial"/>
        </w:rPr>
        <w:t>documento que tiene el registro de 122 (ciento veintidós) concesiones a favor de la empresa peticionada por la Recurrente, a manera ilustrativa se inserta una imagen a continuación:</w:t>
      </w:r>
    </w:p>
    <w:p w14:paraId="19A01E57" w14:textId="77777777" w:rsidR="00597C93" w:rsidRDefault="00597C93" w:rsidP="00597C93">
      <w:pPr>
        <w:pStyle w:val="Prrafodelista"/>
        <w:spacing w:line="360" w:lineRule="auto"/>
        <w:ind w:left="720"/>
        <w:jc w:val="both"/>
        <w:rPr>
          <w:rFonts w:ascii="Palatino Linotype" w:hAnsi="Palatino Linotype" w:cs="Arial"/>
          <w:b/>
        </w:rPr>
      </w:pPr>
    </w:p>
    <w:p w14:paraId="2EB8BEA8" w14:textId="77777777" w:rsidR="00597C93" w:rsidRDefault="00597C93" w:rsidP="00597C93">
      <w:pPr>
        <w:pStyle w:val="Prrafodelista"/>
        <w:spacing w:line="360" w:lineRule="auto"/>
        <w:ind w:left="720"/>
        <w:jc w:val="both"/>
        <w:rPr>
          <w:rFonts w:ascii="Palatino Linotype" w:hAnsi="Palatino Linotype" w:cs="Arial"/>
          <w:b/>
        </w:rPr>
      </w:pPr>
      <w:r>
        <w:rPr>
          <w:rFonts w:ascii="Palatino Linotype" w:hAnsi="Palatino Linotype" w:cs="Arial"/>
          <w:b/>
          <w:noProof/>
          <w:lang w:val="es-MX" w:eastAsia="es-MX"/>
        </w:rPr>
        <w:drawing>
          <wp:inline distT="0" distB="0" distL="0" distR="0" wp14:anchorId="40C4586E" wp14:editId="47814136">
            <wp:extent cx="5760720" cy="30403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3040380"/>
                    </a:xfrm>
                    <a:prstGeom prst="rect">
                      <a:avLst/>
                    </a:prstGeom>
                  </pic:spPr>
                </pic:pic>
              </a:graphicData>
            </a:graphic>
          </wp:inline>
        </w:drawing>
      </w:r>
    </w:p>
    <w:p w14:paraId="0076FEB7" w14:textId="77777777" w:rsidR="00597C93" w:rsidRPr="000153CA" w:rsidRDefault="00597C93" w:rsidP="00597C93">
      <w:pPr>
        <w:pStyle w:val="Prrafodelista"/>
        <w:spacing w:line="360" w:lineRule="auto"/>
        <w:ind w:left="720"/>
        <w:jc w:val="both"/>
        <w:rPr>
          <w:rFonts w:ascii="Palatino Linotype" w:hAnsi="Palatino Linotype" w:cs="Arial"/>
        </w:rPr>
      </w:pPr>
    </w:p>
    <w:p w14:paraId="70165120" w14:textId="77777777" w:rsidR="00A45BA5" w:rsidRDefault="000153CA" w:rsidP="000153CA">
      <w:pPr>
        <w:pStyle w:val="Prrafodelista"/>
        <w:numPr>
          <w:ilvl w:val="0"/>
          <w:numId w:val="1"/>
        </w:numPr>
        <w:spacing w:line="360" w:lineRule="auto"/>
        <w:jc w:val="both"/>
        <w:rPr>
          <w:rFonts w:ascii="Palatino Linotype" w:hAnsi="Palatino Linotype" w:cs="Arial"/>
        </w:rPr>
      </w:pPr>
      <w:r w:rsidRPr="000153CA">
        <w:rPr>
          <w:rFonts w:ascii="Palatino Linotype" w:hAnsi="Palatino Linotype" w:cs="Arial"/>
          <w:b/>
        </w:rPr>
        <w:t>EMPRESA ACATLÁN, S.A DE C.V.pdf</w:t>
      </w:r>
      <w:r w:rsidR="00A45BA5">
        <w:rPr>
          <w:rFonts w:ascii="Palatino Linotype" w:hAnsi="Palatino Linotype" w:cs="Arial"/>
        </w:rPr>
        <w:t xml:space="preserve">: </w:t>
      </w:r>
      <w:r w:rsidR="00597C93">
        <w:rPr>
          <w:rFonts w:ascii="Palatino Linotype" w:hAnsi="Palatino Linotype" w:cs="Arial"/>
        </w:rPr>
        <w:t xml:space="preserve">documento que tiene el registro de 11 (once) autorizaciones a favor de la empresa peticionada por la </w:t>
      </w:r>
      <w:r w:rsidR="00597C93" w:rsidRPr="00597C93">
        <w:rPr>
          <w:rFonts w:ascii="Palatino Linotype" w:hAnsi="Palatino Linotype" w:cs="Arial"/>
          <w:b/>
        </w:rPr>
        <w:t>Recurrente</w:t>
      </w:r>
      <w:r w:rsidR="00597C93">
        <w:rPr>
          <w:rFonts w:ascii="Palatino Linotype" w:hAnsi="Palatino Linotype" w:cs="Arial"/>
        </w:rPr>
        <w:t>, a manera ilustrativa se inserta una imagen a continuación:</w:t>
      </w:r>
    </w:p>
    <w:p w14:paraId="23331DA2" w14:textId="77777777" w:rsidR="00597C93" w:rsidRDefault="00597C93" w:rsidP="00597C93">
      <w:pPr>
        <w:pStyle w:val="Prrafodelista"/>
        <w:spacing w:line="360" w:lineRule="auto"/>
        <w:ind w:left="720"/>
        <w:jc w:val="both"/>
        <w:rPr>
          <w:rFonts w:ascii="Palatino Linotype" w:hAnsi="Palatino Linotype" w:cs="Arial"/>
          <w:b/>
        </w:rPr>
      </w:pPr>
    </w:p>
    <w:p w14:paraId="7B04892B" w14:textId="77777777" w:rsidR="00597C93" w:rsidRDefault="00597C93" w:rsidP="00597C93">
      <w:pPr>
        <w:pStyle w:val="Prrafodelista"/>
        <w:spacing w:line="360" w:lineRule="auto"/>
        <w:ind w:left="720"/>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44AF98DF" wp14:editId="1F887E34">
            <wp:extent cx="5077534" cy="2886478"/>
            <wp:effectExtent l="0" t="0" r="889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0">
                      <a:extLst>
                        <a:ext uri="{28A0092B-C50C-407E-A947-70E740481C1C}">
                          <a14:useLocalDpi xmlns:a14="http://schemas.microsoft.com/office/drawing/2010/main" val="0"/>
                        </a:ext>
                      </a:extLst>
                    </a:blip>
                    <a:stretch>
                      <a:fillRect/>
                    </a:stretch>
                  </pic:blipFill>
                  <pic:spPr>
                    <a:xfrm>
                      <a:off x="0" y="0"/>
                      <a:ext cx="5077534" cy="2886478"/>
                    </a:xfrm>
                    <a:prstGeom prst="rect">
                      <a:avLst/>
                    </a:prstGeom>
                  </pic:spPr>
                </pic:pic>
              </a:graphicData>
            </a:graphic>
          </wp:inline>
        </w:drawing>
      </w:r>
    </w:p>
    <w:p w14:paraId="780F3519" w14:textId="77777777" w:rsidR="00A45BA5" w:rsidRDefault="00A45BA5" w:rsidP="00A45BA5">
      <w:pPr>
        <w:spacing w:after="0" w:line="360" w:lineRule="auto"/>
        <w:jc w:val="both"/>
        <w:rPr>
          <w:rFonts w:ascii="Palatino Linotype" w:hAnsi="Palatino Linotype" w:cs="Arial"/>
          <w:sz w:val="24"/>
          <w:lang w:val="es-ES"/>
        </w:rPr>
      </w:pPr>
    </w:p>
    <w:p w14:paraId="7A74F14C" w14:textId="77777777" w:rsidR="00A45BA5" w:rsidRDefault="00A45BA5" w:rsidP="00A45BA5">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el </w:t>
      </w:r>
      <w:r>
        <w:rPr>
          <w:rFonts w:ascii="Palatino Linotype" w:hAnsi="Palatino Linotype" w:cs="Arial"/>
          <w:b/>
          <w:sz w:val="24"/>
          <w:lang w:val="es-ES"/>
        </w:rPr>
        <w:t>Recurrente</w:t>
      </w:r>
      <w:r>
        <w:rPr>
          <w:rFonts w:ascii="Palatino Linotype" w:hAnsi="Palatino Linotype" w:cs="Arial"/>
          <w:sz w:val="24"/>
          <w:lang w:val="es-ES"/>
        </w:rPr>
        <w:t xml:space="preserve"> interpone recurso de revisión haciendo valer como acto impugnado objetivamente </w:t>
      </w:r>
      <w:r w:rsidRPr="00183B67">
        <w:rPr>
          <w:rFonts w:ascii="Palatino Linotype" w:hAnsi="Palatino Linotype" w:cs="Arial"/>
          <w:i/>
          <w:sz w:val="24"/>
          <w:lang w:val="es-ES"/>
        </w:rPr>
        <w:t>“</w:t>
      </w:r>
      <w:r w:rsidR="00792050">
        <w:rPr>
          <w:rFonts w:ascii="Palatino Linotype" w:hAnsi="Palatino Linotype" w:cs="Arial"/>
          <w:i/>
          <w:sz w:val="24"/>
          <w:lang w:val="es-ES"/>
        </w:rPr>
        <w:t>…</w:t>
      </w:r>
      <w:r w:rsidR="00792050" w:rsidRPr="00792050">
        <w:rPr>
          <w:rFonts w:ascii="Palatino Linotype" w:hAnsi="Palatino Linotype" w:cs="Arial"/>
          <w:i/>
          <w:sz w:val="24"/>
          <w:lang w:val="es-ES"/>
        </w:rPr>
        <w:t>no entrega la información completa solicitada</w:t>
      </w:r>
      <w:r w:rsidR="00792050">
        <w:rPr>
          <w:rFonts w:ascii="Palatino Linotype" w:hAnsi="Palatino Linotype" w:cs="Arial"/>
          <w:i/>
          <w:sz w:val="24"/>
          <w:lang w:val="es-ES"/>
        </w:rPr>
        <w:t>…</w:t>
      </w:r>
      <w:r w:rsidRPr="00183B67">
        <w:rPr>
          <w:rFonts w:ascii="Palatino Linotype" w:hAnsi="Palatino Linotype" w:cs="Arial"/>
          <w:i/>
          <w:sz w:val="24"/>
          <w:lang w:val="es-ES"/>
        </w:rPr>
        <w:t>”</w:t>
      </w:r>
      <w:r>
        <w:rPr>
          <w:rFonts w:ascii="Palatino Linotype" w:hAnsi="Palatino Linotype" w:cs="Arial"/>
          <w:sz w:val="24"/>
          <w:lang w:val="es-ES"/>
        </w:rPr>
        <w:t xml:space="preserve">, </w:t>
      </w:r>
      <w:r w:rsidR="00926226">
        <w:rPr>
          <w:rFonts w:ascii="Palatino Linotype" w:hAnsi="Palatino Linotype" w:cs="Arial"/>
          <w:sz w:val="24"/>
          <w:lang w:val="es-ES"/>
        </w:rPr>
        <w:t xml:space="preserve">y razones o motivos de inconformidad </w:t>
      </w:r>
      <w:r w:rsidR="00926226" w:rsidRPr="00926226">
        <w:rPr>
          <w:rFonts w:ascii="Palatino Linotype" w:hAnsi="Palatino Linotype" w:cs="Arial"/>
          <w:i/>
          <w:sz w:val="24"/>
          <w:lang w:val="es-ES"/>
        </w:rPr>
        <w:t>“Solicite las autorizaciones… las cuales no me hacen la entrega se requieren las autorizaciones y su origen y destino, el documento donde conste la autorización…”</w:t>
      </w:r>
      <w:r w:rsidR="00926226">
        <w:rPr>
          <w:rFonts w:ascii="Palatino Linotype" w:hAnsi="Palatino Linotype" w:cs="Arial"/>
          <w:sz w:val="24"/>
          <w:lang w:val="es-ES"/>
        </w:rPr>
        <w:t>, manifestaciones</w:t>
      </w:r>
      <w:r>
        <w:rPr>
          <w:rFonts w:ascii="Palatino Linotype" w:hAnsi="Palatino Linotype" w:cs="Arial"/>
          <w:sz w:val="24"/>
          <w:lang w:val="es-ES"/>
        </w:rPr>
        <w:t xml:space="preserve"> que resultan fundados de conformidad con la fracción V</w:t>
      </w:r>
      <w:r w:rsidRPr="00C91D37">
        <w:rPr>
          <w:rFonts w:ascii="Palatino Linotype" w:hAnsi="Palatino Linotype" w:cs="Arial"/>
          <w:sz w:val="24"/>
          <w:lang w:val="es-ES"/>
        </w:rPr>
        <w:t xml:space="preserve"> del</w:t>
      </w:r>
      <w:r>
        <w:rPr>
          <w:rFonts w:ascii="Palatino Linotype" w:hAnsi="Palatino Linotype" w:cs="Arial"/>
          <w:sz w:val="24"/>
          <w:lang w:val="es-ES"/>
        </w:rPr>
        <w:t xml:space="preserve"> artículo 179 de la Ley de Transparencia local</w:t>
      </w:r>
      <w:r>
        <w:rPr>
          <w:rStyle w:val="Refdenotaalpie"/>
          <w:rFonts w:ascii="Palatino Linotype" w:hAnsi="Palatino Linotype" w:cs="Arial"/>
          <w:sz w:val="24"/>
          <w:lang w:val="es-ES"/>
        </w:rPr>
        <w:footnoteReference w:id="1"/>
      </w:r>
      <w:r>
        <w:rPr>
          <w:rFonts w:ascii="Palatino Linotype" w:hAnsi="Palatino Linotype" w:cs="Arial"/>
          <w:sz w:val="24"/>
          <w:lang w:val="es-ES"/>
        </w:rPr>
        <w:t>.</w:t>
      </w:r>
    </w:p>
    <w:p w14:paraId="7359DC21" w14:textId="77777777" w:rsidR="00A45BA5" w:rsidRDefault="00A45BA5" w:rsidP="00A45BA5">
      <w:pPr>
        <w:spacing w:after="0" w:line="360" w:lineRule="auto"/>
        <w:jc w:val="both"/>
        <w:rPr>
          <w:rFonts w:ascii="Palatino Linotype" w:hAnsi="Palatino Linotype" w:cs="Arial"/>
          <w:sz w:val="24"/>
          <w:lang w:val="es-ES"/>
        </w:rPr>
      </w:pPr>
    </w:p>
    <w:p w14:paraId="595ED101" w14:textId="77777777" w:rsidR="00A45BA5" w:rsidRPr="00183B67" w:rsidRDefault="00A45BA5" w:rsidP="00A45BA5">
      <w:pPr>
        <w:spacing w:after="0" w:line="360" w:lineRule="auto"/>
        <w:jc w:val="both"/>
        <w:rPr>
          <w:rFonts w:ascii="Palatino Linotype" w:hAnsi="Palatino Linotype" w:cs="Arial"/>
          <w:sz w:val="24"/>
        </w:rPr>
      </w:pPr>
      <w:r w:rsidRPr="00183B67">
        <w:rPr>
          <w:rFonts w:ascii="Palatino Linotype" w:hAnsi="Palatino Linotype" w:cs="Arial"/>
          <w:sz w:val="24"/>
        </w:rPr>
        <w:t xml:space="preserve">Debemos señalar que </w:t>
      </w:r>
      <w:r w:rsidR="00926226">
        <w:rPr>
          <w:rFonts w:ascii="Palatino Linotype" w:hAnsi="Palatino Linotype" w:cs="Arial"/>
          <w:sz w:val="24"/>
        </w:rPr>
        <w:t>la</w:t>
      </w:r>
      <w:r w:rsidRPr="00183B67">
        <w:rPr>
          <w:rFonts w:ascii="Palatino Linotype" w:hAnsi="Palatino Linotype" w:cs="Arial"/>
          <w:sz w:val="24"/>
        </w:rPr>
        <w:t xml:space="preserve"> </w:t>
      </w:r>
      <w:r w:rsidRPr="00183B67">
        <w:rPr>
          <w:rFonts w:ascii="Palatino Linotype" w:hAnsi="Palatino Linotype" w:cs="Arial"/>
          <w:b/>
          <w:sz w:val="24"/>
        </w:rPr>
        <w:t>Recurrente</w:t>
      </w:r>
      <w:r w:rsidRPr="00183B67">
        <w:rPr>
          <w:rFonts w:ascii="Palatino Linotype" w:hAnsi="Palatino Linotype" w:cs="Arial"/>
          <w:sz w:val="24"/>
        </w:rPr>
        <w:t xml:space="preserve"> no se inconforma de la totalidad de la entrega de la información, al señalar </w:t>
      </w:r>
      <w:r w:rsidR="00926226">
        <w:rPr>
          <w:rFonts w:ascii="Palatino Linotype" w:hAnsi="Palatino Linotype" w:cs="Arial"/>
          <w:sz w:val="24"/>
        </w:rPr>
        <w:t>de forma clara y especifica que</w:t>
      </w:r>
      <w:r w:rsidRPr="00183B67">
        <w:rPr>
          <w:rFonts w:ascii="Palatino Linotype" w:hAnsi="Palatino Linotype" w:cs="Arial"/>
          <w:sz w:val="24"/>
        </w:rPr>
        <w:t xml:space="preserve"> </w:t>
      </w:r>
      <w:r w:rsidR="00926226">
        <w:rPr>
          <w:rFonts w:ascii="Palatino Linotype" w:hAnsi="Palatino Linotype" w:cs="Arial"/>
          <w:sz w:val="24"/>
        </w:rPr>
        <w:t>“solicite las autorizaciones las cuales no hacen entrega”</w:t>
      </w:r>
      <w:r w:rsidRPr="00183B67">
        <w:rPr>
          <w:rFonts w:ascii="Palatino Linotype" w:hAnsi="Palatino Linotype" w:cs="Arial"/>
          <w:sz w:val="24"/>
        </w:rPr>
        <w:t xml:space="preserve">, por lo tanto, debido a que no impugna el total de los requerimientos, se debe entender que está conforme con la respuesta dada por el </w:t>
      </w:r>
      <w:r w:rsidRPr="00183B67">
        <w:rPr>
          <w:rFonts w:ascii="Palatino Linotype" w:hAnsi="Palatino Linotype" w:cs="Arial"/>
          <w:b/>
          <w:sz w:val="24"/>
        </w:rPr>
        <w:lastRenderedPageBreak/>
        <w:t>Sujeto Obligado</w:t>
      </w:r>
      <w:r w:rsidRPr="00183B67">
        <w:rPr>
          <w:rFonts w:ascii="Palatino Linotype" w:hAnsi="Palatino Linotype" w:cs="Arial"/>
          <w:sz w:val="24"/>
        </w:rPr>
        <w:t>, en lo que corresponde a</w:t>
      </w:r>
      <w:r w:rsidR="00926226">
        <w:rPr>
          <w:rFonts w:ascii="Palatino Linotype" w:hAnsi="Palatino Linotype" w:cs="Arial"/>
          <w:sz w:val="24"/>
        </w:rPr>
        <w:t>l numeral 1, correspondiente a</w:t>
      </w:r>
      <w:r>
        <w:rPr>
          <w:rFonts w:ascii="Palatino Linotype" w:hAnsi="Palatino Linotype" w:cs="Arial"/>
          <w:sz w:val="24"/>
        </w:rPr>
        <w:t xml:space="preserve"> la</w:t>
      </w:r>
      <w:r w:rsidR="00926226">
        <w:rPr>
          <w:rFonts w:ascii="Palatino Linotype" w:hAnsi="Palatino Linotype" w:cs="Arial"/>
          <w:sz w:val="24"/>
        </w:rPr>
        <w:t>s concesiones de la persona jurídica colectiva</w:t>
      </w:r>
      <w:r w:rsidRPr="00183B67">
        <w:rPr>
          <w:rFonts w:ascii="Palatino Linotype" w:hAnsi="Palatino Linotype" w:cs="Arial"/>
          <w:sz w:val="24"/>
        </w:rPr>
        <w:t xml:space="preserve">, por lo que se considera que </w:t>
      </w:r>
      <w:r w:rsidR="00926226">
        <w:rPr>
          <w:rFonts w:ascii="Palatino Linotype" w:hAnsi="Palatino Linotype" w:cs="Arial"/>
          <w:sz w:val="24"/>
        </w:rPr>
        <w:t>la</w:t>
      </w:r>
      <w:r w:rsidRPr="00183B67">
        <w:rPr>
          <w:rFonts w:ascii="Palatino Linotype" w:hAnsi="Palatino Linotype" w:cs="Arial"/>
          <w:sz w:val="24"/>
        </w:rPr>
        <w:t xml:space="preserve"> </w:t>
      </w:r>
      <w:r w:rsidRPr="00183B67">
        <w:rPr>
          <w:rFonts w:ascii="Palatino Linotype" w:hAnsi="Palatino Linotype" w:cs="Arial"/>
          <w:b/>
          <w:sz w:val="24"/>
        </w:rPr>
        <w:t>Recurrente</w:t>
      </w:r>
      <w:r w:rsidRPr="00183B67">
        <w:rPr>
          <w:rFonts w:ascii="Palatino Linotype" w:hAnsi="Palatino Linotype" w:cs="Arial"/>
          <w:sz w:val="24"/>
        </w:rPr>
        <w:t xml:space="preserve"> consintió parcialmente la respuesta. Lo anterior es así, debido a que cuando </w:t>
      </w:r>
      <w:r w:rsidR="00926226">
        <w:rPr>
          <w:rFonts w:ascii="Palatino Linotype" w:hAnsi="Palatino Linotype" w:cs="Arial"/>
          <w:sz w:val="24"/>
        </w:rPr>
        <w:t>la</w:t>
      </w:r>
      <w:r w:rsidRPr="00183B67">
        <w:rPr>
          <w:rFonts w:ascii="Palatino Linotype" w:hAnsi="Palatino Linotype" w:cs="Arial"/>
          <w:sz w:val="24"/>
        </w:rPr>
        <w:t xml:space="preserve"> </w:t>
      </w:r>
      <w:r w:rsidRPr="00926226">
        <w:rPr>
          <w:rFonts w:ascii="Palatino Linotype" w:hAnsi="Palatino Linotype" w:cs="Arial"/>
          <w:b/>
          <w:sz w:val="24"/>
        </w:rPr>
        <w:t>Recurrente</w:t>
      </w:r>
      <w:r w:rsidRPr="00183B67">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584E650" w14:textId="77777777" w:rsidR="00A45BA5" w:rsidRPr="00183B67" w:rsidRDefault="00A45BA5" w:rsidP="00A45BA5">
      <w:pPr>
        <w:spacing w:after="0" w:line="360" w:lineRule="auto"/>
        <w:jc w:val="both"/>
        <w:rPr>
          <w:rFonts w:ascii="Palatino Linotype" w:hAnsi="Palatino Linotype" w:cs="Arial"/>
          <w:sz w:val="24"/>
        </w:rPr>
      </w:pPr>
    </w:p>
    <w:p w14:paraId="76844175" w14:textId="77777777" w:rsidR="00A45BA5" w:rsidRPr="00183B67" w:rsidRDefault="00A45BA5" w:rsidP="00A45BA5">
      <w:pPr>
        <w:spacing w:after="0" w:line="240" w:lineRule="auto"/>
        <w:ind w:left="567" w:right="567"/>
        <w:jc w:val="both"/>
        <w:rPr>
          <w:rFonts w:ascii="Palatino Linotype" w:hAnsi="Palatino Linotype" w:cs="Arial"/>
          <w:i/>
        </w:rPr>
      </w:pPr>
      <w:r w:rsidRPr="00183B67">
        <w:rPr>
          <w:rFonts w:ascii="Palatino Linotype" w:hAnsi="Palatino Linotype" w:cs="Arial"/>
          <w:i/>
        </w:rPr>
        <w:t>“</w:t>
      </w:r>
      <w:r w:rsidRPr="00183B67">
        <w:rPr>
          <w:rFonts w:ascii="Palatino Linotype" w:hAnsi="Palatino Linotype" w:cs="Arial"/>
          <w:b/>
          <w:i/>
        </w:rPr>
        <w:t>REVISIÓN EN AMPARO. LOS RESOLUTIVOS NO COMBATIDOS DEBEN DECLARARSE FIRMES</w:t>
      </w:r>
      <w:r w:rsidRPr="00183B67">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AD020C3" w14:textId="77777777" w:rsidR="00A45BA5" w:rsidRPr="00183B67" w:rsidRDefault="00A45BA5" w:rsidP="00A45BA5">
      <w:pPr>
        <w:spacing w:after="0" w:line="360" w:lineRule="auto"/>
        <w:jc w:val="both"/>
        <w:rPr>
          <w:rFonts w:ascii="Palatino Linotype" w:hAnsi="Palatino Linotype" w:cs="Arial"/>
          <w:sz w:val="24"/>
        </w:rPr>
      </w:pPr>
    </w:p>
    <w:p w14:paraId="2D85AB0A" w14:textId="77777777" w:rsidR="00A45BA5" w:rsidRPr="00183B67" w:rsidRDefault="00A45BA5" w:rsidP="00A45BA5">
      <w:pPr>
        <w:spacing w:after="0" w:line="360" w:lineRule="auto"/>
        <w:jc w:val="both"/>
        <w:rPr>
          <w:rFonts w:ascii="Palatino Linotype" w:hAnsi="Palatino Linotype" w:cs="Arial"/>
          <w:sz w:val="24"/>
        </w:rPr>
      </w:pPr>
      <w:r w:rsidRPr="00183B67">
        <w:rPr>
          <w:rFonts w:ascii="Palatino Linotype" w:hAnsi="Palatino Linotype" w:cs="Arial"/>
          <w:sz w:val="24"/>
        </w:rPr>
        <w:t xml:space="preserve">Así, la parte de la solicitud sobre la que no se expresó inconformidad, debe declararse consentida por </w:t>
      </w:r>
      <w:r w:rsidR="00A35191">
        <w:rPr>
          <w:rFonts w:ascii="Palatino Linotype" w:hAnsi="Palatino Linotype" w:cs="Arial"/>
          <w:sz w:val="24"/>
        </w:rPr>
        <w:t>la</w:t>
      </w:r>
      <w:r w:rsidRPr="00183B67">
        <w:rPr>
          <w:rFonts w:ascii="Palatino Linotype" w:hAnsi="Palatino Linotype" w:cs="Arial"/>
          <w:sz w:val="24"/>
        </w:rPr>
        <w:t xml:space="preserve"> hoy </w:t>
      </w:r>
      <w:r w:rsidRPr="00183B67">
        <w:rPr>
          <w:rFonts w:ascii="Palatino Linotype" w:hAnsi="Palatino Linotype" w:cs="Arial"/>
          <w:b/>
          <w:sz w:val="24"/>
        </w:rPr>
        <w:t>Recurrente</w:t>
      </w:r>
      <w:r w:rsidRPr="00183B67">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7BFF5C12" w14:textId="77777777" w:rsidR="00A45BA5" w:rsidRDefault="00A45BA5" w:rsidP="00A45BA5">
      <w:pPr>
        <w:spacing w:after="0" w:line="360" w:lineRule="auto"/>
        <w:jc w:val="both"/>
        <w:rPr>
          <w:rFonts w:ascii="Palatino Linotype" w:hAnsi="Palatino Linotype" w:cs="Arial"/>
          <w:sz w:val="24"/>
        </w:rPr>
      </w:pPr>
    </w:p>
    <w:p w14:paraId="0E7C1CA6" w14:textId="77777777" w:rsidR="002E50E2" w:rsidRPr="00183B67" w:rsidRDefault="002E50E2" w:rsidP="00A45BA5">
      <w:pPr>
        <w:spacing w:after="0" w:line="360" w:lineRule="auto"/>
        <w:jc w:val="both"/>
        <w:rPr>
          <w:rFonts w:ascii="Palatino Linotype" w:hAnsi="Palatino Linotype" w:cs="Arial"/>
          <w:sz w:val="24"/>
        </w:rPr>
      </w:pPr>
    </w:p>
    <w:p w14:paraId="4A63B464" w14:textId="77777777" w:rsidR="00A45BA5" w:rsidRPr="00183B67" w:rsidRDefault="00A45BA5" w:rsidP="00A45BA5">
      <w:pPr>
        <w:spacing w:after="0" w:line="240" w:lineRule="auto"/>
        <w:ind w:left="567" w:right="567"/>
        <w:jc w:val="both"/>
        <w:rPr>
          <w:rFonts w:ascii="Palatino Linotype" w:hAnsi="Palatino Linotype" w:cs="Arial"/>
          <w:i/>
        </w:rPr>
      </w:pPr>
      <w:r w:rsidRPr="00183B67">
        <w:rPr>
          <w:rFonts w:ascii="Palatino Linotype" w:hAnsi="Palatino Linotype" w:cs="Arial"/>
          <w:i/>
        </w:rPr>
        <w:lastRenderedPageBreak/>
        <w:t>“</w:t>
      </w:r>
      <w:r w:rsidRPr="00183B67">
        <w:rPr>
          <w:rFonts w:ascii="Palatino Linotype" w:hAnsi="Palatino Linotype" w:cs="Arial"/>
          <w:b/>
          <w:i/>
        </w:rPr>
        <w:t>ACTOS CONSENTIDOS. SON LOS QUE NO SE IMPUGNAN MEDIANTE EL RECURSO IDÓNEO</w:t>
      </w:r>
      <w:r w:rsidRPr="00183B67">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E0C40FC" w14:textId="77777777" w:rsidR="00A45BA5" w:rsidRPr="00183B67" w:rsidRDefault="00A45BA5" w:rsidP="00A45BA5">
      <w:pPr>
        <w:spacing w:after="0" w:line="360" w:lineRule="auto"/>
        <w:jc w:val="both"/>
        <w:rPr>
          <w:rFonts w:ascii="Palatino Linotype" w:hAnsi="Palatino Linotype" w:cs="Arial"/>
          <w:sz w:val="24"/>
        </w:rPr>
      </w:pPr>
    </w:p>
    <w:p w14:paraId="6725E986" w14:textId="77777777" w:rsidR="00A45BA5" w:rsidRDefault="00A45BA5" w:rsidP="00A45BA5">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Acotado lo anterior, podemos sintetizar la </w:t>
      </w:r>
      <w:r w:rsidRPr="00F52363">
        <w:rPr>
          <w:rFonts w:ascii="Palatino Linotype" w:hAnsi="Palatino Linotype" w:cs="Arial"/>
          <w:i/>
          <w:sz w:val="24"/>
          <w:lang w:val="es-ES"/>
        </w:rPr>
        <w:t>Litis</w:t>
      </w:r>
      <w:r>
        <w:rPr>
          <w:rFonts w:ascii="Palatino Linotype" w:hAnsi="Palatino Linotype" w:cs="Arial"/>
          <w:sz w:val="24"/>
          <w:lang w:val="es-ES"/>
        </w:rPr>
        <w:t xml:space="preserve"> en el presente asunto se centra en hacer estudio del marco normativo del </w:t>
      </w:r>
      <w:r w:rsidRPr="00A35191">
        <w:rPr>
          <w:rFonts w:ascii="Palatino Linotype" w:hAnsi="Palatino Linotype" w:cs="Arial"/>
          <w:b/>
          <w:sz w:val="24"/>
          <w:lang w:val="es-ES"/>
        </w:rPr>
        <w:t>Sujeto Obligado</w:t>
      </w:r>
      <w:r>
        <w:rPr>
          <w:rFonts w:ascii="Palatino Linotype" w:hAnsi="Palatino Linotype" w:cs="Arial"/>
          <w:sz w:val="24"/>
          <w:lang w:val="es-ES"/>
        </w:rPr>
        <w:t xml:space="preserve">, a efecto de estar en posibilidades de poder determinar si existe facultad, función y/o atribución que lo constriña a tener en sus archivos </w:t>
      </w:r>
      <w:r w:rsidR="00A35191">
        <w:rPr>
          <w:rFonts w:ascii="Palatino Linotype" w:hAnsi="Palatino Linotype" w:cs="Arial"/>
          <w:sz w:val="24"/>
          <w:lang w:val="es-ES"/>
        </w:rPr>
        <w:t>las autorizaciones</w:t>
      </w:r>
      <w:r>
        <w:rPr>
          <w:rFonts w:ascii="Palatino Linotype" w:hAnsi="Palatino Linotype" w:cs="Arial"/>
          <w:sz w:val="24"/>
          <w:lang w:val="es-ES"/>
        </w:rPr>
        <w:t>.</w:t>
      </w:r>
    </w:p>
    <w:p w14:paraId="347C9BC3" w14:textId="77777777" w:rsidR="00A35191" w:rsidRDefault="00A35191" w:rsidP="00A45BA5">
      <w:pPr>
        <w:spacing w:after="0" w:line="360" w:lineRule="auto"/>
        <w:jc w:val="both"/>
        <w:rPr>
          <w:rFonts w:ascii="Palatino Linotype" w:hAnsi="Palatino Linotype" w:cs="Arial"/>
          <w:sz w:val="24"/>
          <w:lang w:val="es-ES"/>
        </w:rPr>
      </w:pPr>
    </w:p>
    <w:p w14:paraId="2B7058C4" w14:textId="77777777" w:rsidR="00A35191" w:rsidRPr="00A35191" w:rsidRDefault="00A35191" w:rsidP="00A35191">
      <w:pPr>
        <w:spacing w:after="0" w:line="360" w:lineRule="auto"/>
        <w:jc w:val="both"/>
        <w:rPr>
          <w:rFonts w:ascii="Palatino Linotype" w:hAnsi="Palatino Linotype" w:cs="Arial"/>
          <w:sz w:val="24"/>
          <w:szCs w:val="24"/>
        </w:rPr>
      </w:pPr>
      <w:r w:rsidRPr="00A35191">
        <w:rPr>
          <w:rFonts w:ascii="Palatino Linotype" w:hAnsi="Palatino Linotype" w:cs="Arial"/>
          <w:sz w:val="24"/>
          <w:lang w:val="es-ES"/>
        </w:rPr>
        <w:t xml:space="preserve">Interpuesto el recurso, de las constancias que integran el expediente en que se actúa, se advierte que el </w:t>
      </w:r>
      <w:r w:rsidRPr="00A35191">
        <w:rPr>
          <w:rFonts w:ascii="Palatino Linotype" w:hAnsi="Palatino Linotype" w:cs="Arial"/>
          <w:b/>
          <w:sz w:val="24"/>
          <w:lang w:val="es-ES"/>
        </w:rPr>
        <w:t>Sujeto Obligado</w:t>
      </w:r>
      <w:r w:rsidRPr="00A35191">
        <w:rPr>
          <w:rFonts w:ascii="Palatino Linotype" w:hAnsi="Palatino Linotype" w:cs="Arial"/>
          <w:sz w:val="24"/>
          <w:lang w:val="es-ES"/>
        </w:rPr>
        <w:t xml:space="preserve"> rindió su informe justificado, por medio de</w:t>
      </w:r>
      <w:r>
        <w:rPr>
          <w:rFonts w:ascii="Palatino Linotype" w:hAnsi="Palatino Linotype" w:cs="Arial"/>
          <w:sz w:val="24"/>
          <w:lang w:val="es-ES"/>
        </w:rPr>
        <w:t xml:space="preserve"> </w:t>
      </w:r>
      <w:r w:rsidRPr="00A35191">
        <w:rPr>
          <w:rFonts w:ascii="Palatino Linotype" w:hAnsi="Palatino Linotype" w:cs="Arial"/>
          <w:sz w:val="24"/>
          <w:lang w:val="es-ES"/>
        </w:rPr>
        <w:t>l</w:t>
      </w:r>
      <w:r>
        <w:rPr>
          <w:rFonts w:ascii="Palatino Linotype" w:hAnsi="Palatino Linotype" w:cs="Arial"/>
          <w:sz w:val="24"/>
          <w:lang w:val="es-ES"/>
        </w:rPr>
        <w:t>os</w:t>
      </w:r>
      <w:r w:rsidRPr="00A35191">
        <w:rPr>
          <w:rFonts w:ascii="Palatino Linotype" w:hAnsi="Palatino Linotype" w:cs="Arial"/>
          <w:sz w:val="24"/>
          <w:lang w:val="es-ES"/>
        </w:rPr>
        <w:t xml:space="preserve"> archivo</w:t>
      </w:r>
      <w:r>
        <w:rPr>
          <w:rFonts w:ascii="Palatino Linotype" w:hAnsi="Palatino Linotype" w:cs="Arial"/>
          <w:sz w:val="24"/>
          <w:lang w:val="es-ES"/>
        </w:rPr>
        <w:t>s</w:t>
      </w:r>
      <w:r w:rsidRPr="00A35191">
        <w:rPr>
          <w:rFonts w:ascii="Palatino Linotype" w:hAnsi="Palatino Linotype" w:cs="Arial"/>
          <w:sz w:val="24"/>
          <w:lang w:val="es-ES"/>
        </w:rPr>
        <w:t xml:space="preserve"> </w:t>
      </w:r>
      <w:r>
        <w:rPr>
          <w:rFonts w:ascii="Palatino Linotype" w:hAnsi="Palatino Linotype" w:cs="Arial"/>
          <w:sz w:val="24"/>
          <w:szCs w:val="24"/>
        </w:rPr>
        <w:t>“</w:t>
      </w:r>
      <w:r w:rsidRPr="00A45BA5">
        <w:rPr>
          <w:rFonts w:ascii="Palatino Linotype" w:hAnsi="Palatino Linotype" w:cs="Arial"/>
          <w:sz w:val="24"/>
          <w:szCs w:val="24"/>
        </w:rPr>
        <w:t>Informe Justificado Recurso 00880.pdf</w:t>
      </w:r>
      <w:r>
        <w:rPr>
          <w:rFonts w:ascii="Palatino Linotype" w:hAnsi="Palatino Linotype" w:cs="Arial"/>
          <w:sz w:val="24"/>
          <w:szCs w:val="24"/>
        </w:rPr>
        <w:t xml:space="preserve">, </w:t>
      </w:r>
      <w:r w:rsidRPr="00A45BA5">
        <w:rPr>
          <w:rFonts w:ascii="Palatino Linotype" w:hAnsi="Palatino Linotype" w:cs="Arial"/>
          <w:sz w:val="24"/>
          <w:szCs w:val="24"/>
        </w:rPr>
        <w:t>ANEXO SAIMEX 00052-SMOV-IP-2022 (concesiones).pdf</w:t>
      </w:r>
      <w:r>
        <w:rPr>
          <w:rFonts w:ascii="Palatino Linotype" w:hAnsi="Palatino Linotype" w:cs="Arial"/>
          <w:sz w:val="24"/>
          <w:szCs w:val="24"/>
        </w:rPr>
        <w:t xml:space="preserve"> y </w:t>
      </w:r>
      <w:r w:rsidRPr="00A45BA5">
        <w:rPr>
          <w:rFonts w:ascii="Palatino Linotype" w:hAnsi="Palatino Linotype" w:cs="Arial"/>
          <w:sz w:val="24"/>
          <w:szCs w:val="24"/>
        </w:rPr>
        <w:t>ANEXO EMPRESA ACATLÁN, S.A DE C.V (autorizaciones).</w:t>
      </w:r>
      <w:proofErr w:type="spellStart"/>
      <w:r w:rsidRPr="00A45BA5">
        <w:rPr>
          <w:rFonts w:ascii="Palatino Linotype" w:hAnsi="Palatino Linotype" w:cs="Arial"/>
          <w:sz w:val="24"/>
          <w:szCs w:val="24"/>
        </w:rPr>
        <w:t>pdf</w:t>
      </w:r>
      <w:proofErr w:type="spellEnd"/>
      <w:r>
        <w:rPr>
          <w:rFonts w:ascii="Palatino Linotype" w:hAnsi="Palatino Linotype" w:cs="Arial"/>
          <w:sz w:val="24"/>
          <w:szCs w:val="24"/>
        </w:rPr>
        <w:t>”, de los que se desprende el contenido siguiente</w:t>
      </w:r>
      <w:r w:rsidRPr="00A35191">
        <w:rPr>
          <w:rFonts w:ascii="Palatino Linotype" w:hAnsi="Palatino Linotype" w:cs="Arial"/>
          <w:sz w:val="24"/>
          <w:szCs w:val="24"/>
        </w:rPr>
        <w:t>:</w:t>
      </w:r>
    </w:p>
    <w:p w14:paraId="100A1147" w14:textId="77777777" w:rsidR="00A35191" w:rsidRPr="00A35191" w:rsidRDefault="00A35191" w:rsidP="00A35191">
      <w:pPr>
        <w:spacing w:after="0" w:line="360" w:lineRule="auto"/>
        <w:jc w:val="both"/>
        <w:rPr>
          <w:rFonts w:ascii="Palatino Linotype" w:hAnsi="Palatino Linotype" w:cs="Arial"/>
          <w:sz w:val="24"/>
          <w:szCs w:val="24"/>
        </w:rPr>
      </w:pPr>
    </w:p>
    <w:p w14:paraId="6D457B80" w14:textId="77777777" w:rsidR="00A57A21" w:rsidRDefault="00A35191" w:rsidP="00C75384">
      <w:pPr>
        <w:numPr>
          <w:ilvl w:val="0"/>
          <w:numId w:val="1"/>
        </w:numPr>
        <w:spacing w:after="0" w:line="360" w:lineRule="auto"/>
        <w:jc w:val="both"/>
        <w:rPr>
          <w:rFonts w:ascii="Palatino Linotype" w:eastAsia="Times New Roman" w:hAnsi="Palatino Linotype" w:cs="Arial"/>
          <w:sz w:val="24"/>
          <w:szCs w:val="24"/>
          <w:lang w:val="es-ES" w:eastAsia="es-ES"/>
        </w:rPr>
      </w:pPr>
      <w:r w:rsidRPr="00A57A21">
        <w:rPr>
          <w:rFonts w:ascii="Palatino Linotype" w:hAnsi="Palatino Linotype" w:cs="Arial"/>
          <w:b/>
          <w:sz w:val="24"/>
          <w:szCs w:val="24"/>
        </w:rPr>
        <w:t>Informe Justificado Recurso 00880.pdf:</w:t>
      </w:r>
      <w:r w:rsidRPr="00A57A21">
        <w:rPr>
          <w:rFonts w:ascii="Palatino Linotype" w:hAnsi="Palatino Linotype" w:cs="Arial"/>
          <w:sz w:val="24"/>
          <w:szCs w:val="24"/>
        </w:rPr>
        <w:t xml:space="preserve"> </w:t>
      </w:r>
      <w:r w:rsidRPr="00A35191">
        <w:rPr>
          <w:rFonts w:ascii="Palatino Linotype" w:eastAsia="Times New Roman" w:hAnsi="Palatino Linotype" w:cs="Arial"/>
          <w:sz w:val="24"/>
          <w:szCs w:val="24"/>
          <w:lang w:val="es-ES" w:eastAsia="es-ES"/>
        </w:rPr>
        <w:t>Oficio</w:t>
      </w:r>
      <w:r w:rsidR="00A57A21" w:rsidRPr="00A57A21">
        <w:rPr>
          <w:rFonts w:ascii="Palatino Linotype" w:eastAsia="Times New Roman" w:hAnsi="Palatino Linotype" w:cs="Arial"/>
          <w:sz w:val="24"/>
          <w:szCs w:val="24"/>
          <w:lang w:val="es-ES" w:eastAsia="es-ES"/>
        </w:rPr>
        <w:t xml:space="preserve"> número SM/220000000001 008/DIPPE/UT /019/2022</w:t>
      </w:r>
      <w:r w:rsidRPr="00A35191">
        <w:rPr>
          <w:rFonts w:ascii="Palatino Linotype" w:eastAsia="Times New Roman" w:hAnsi="Palatino Linotype" w:cs="Arial"/>
          <w:sz w:val="24"/>
          <w:szCs w:val="24"/>
          <w:lang w:val="es-ES" w:eastAsia="es-ES"/>
        </w:rPr>
        <w:t xml:space="preserve"> de fecha uno de </w:t>
      </w:r>
      <w:r w:rsidR="00A57A21" w:rsidRPr="00A57A21">
        <w:rPr>
          <w:rFonts w:ascii="Palatino Linotype" w:eastAsia="Times New Roman" w:hAnsi="Palatino Linotype" w:cs="Arial"/>
          <w:sz w:val="24"/>
          <w:szCs w:val="24"/>
          <w:lang w:val="es-ES" w:eastAsia="es-ES"/>
        </w:rPr>
        <w:t>marzo</w:t>
      </w:r>
      <w:r w:rsidRPr="00A35191">
        <w:rPr>
          <w:rFonts w:ascii="Palatino Linotype" w:eastAsia="Times New Roman" w:hAnsi="Palatino Linotype" w:cs="Arial"/>
          <w:sz w:val="24"/>
          <w:szCs w:val="24"/>
          <w:lang w:val="es-ES" w:eastAsia="es-ES"/>
        </w:rPr>
        <w:t xml:space="preserve"> de dos mil veintidós, a través del cual </w:t>
      </w:r>
      <w:r w:rsidR="00A57A21" w:rsidRPr="00A57A21">
        <w:rPr>
          <w:rFonts w:ascii="Palatino Linotype" w:eastAsia="Times New Roman" w:hAnsi="Palatino Linotype" w:cs="Arial"/>
          <w:sz w:val="24"/>
          <w:szCs w:val="24"/>
          <w:lang w:val="es-ES" w:eastAsia="es-ES"/>
        </w:rPr>
        <w:t xml:space="preserve">el </w:t>
      </w:r>
      <w:r w:rsidRPr="00A35191">
        <w:rPr>
          <w:rFonts w:ascii="Palatino Linotype" w:eastAsia="Times New Roman" w:hAnsi="Palatino Linotype" w:cs="Arial"/>
          <w:sz w:val="24"/>
          <w:szCs w:val="24"/>
          <w:lang w:val="es-ES" w:eastAsia="es-ES"/>
        </w:rPr>
        <w:t>Titula</w:t>
      </w:r>
      <w:r w:rsidR="00A57A21" w:rsidRPr="00A57A21">
        <w:rPr>
          <w:rFonts w:ascii="Palatino Linotype" w:eastAsia="Times New Roman" w:hAnsi="Palatino Linotype" w:cs="Arial"/>
          <w:sz w:val="24"/>
          <w:szCs w:val="24"/>
          <w:lang w:val="es-ES" w:eastAsia="es-ES"/>
        </w:rPr>
        <w:t xml:space="preserve">r de la Unidad de Transparencia </w:t>
      </w:r>
      <w:r w:rsidRPr="00A35191">
        <w:rPr>
          <w:rFonts w:ascii="Palatino Linotype" w:eastAsia="Times New Roman" w:hAnsi="Palatino Linotype" w:cs="Arial"/>
          <w:sz w:val="24"/>
          <w:szCs w:val="24"/>
          <w:lang w:val="es-ES" w:eastAsia="es-ES"/>
        </w:rPr>
        <w:t xml:space="preserve">del </w:t>
      </w:r>
      <w:r w:rsidRPr="00A35191">
        <w:rPr>
          <w:rFonts w:ascii="Palatino Linotype" w:eastAsia="Times New Roman" w:hAnsi="Palatino Linotype" w:cs="Arial"/>
          <w:b/>
          <w:sz w:val="24"/>
          <w:szCs w:val="24"/>
          <w:lang w:val="es-ES" w:eastAsia="es-ES"/>
        </w:rPr>
        <w:t>Sujeto Obligado</w:t>
      </w:r>
      <w:r w:rsidRPr="00A35191">
        <w:rPr>
          <w:rFonts w:ascii="Palatino Linotype" w:eastAsia="Times New Roman" w:hAnsi="Palatino Linotype" w:cs="Arial"/>
          <w:sz w:val="24"/>
          <w:szCs w:val="24"/>
          <w:lang w:val="es-ES" w:eastAsia="es-ES"/>
        </w:rPr>
        <w:t xml:space="preserve">, </w:t>
      </w:r>
      <w:r w:rsidR="00A57A21" w:rsidRPr="00A57A21">
        <w:rPr>
          <w:rFonts w:ascii="Palatino Linotype" w:eastAsia="Times New Roman" w:hAnsi="Palatino Linotype" w:cs="Arial"/>
          <w:sz w:val="24"/>
          <w:szCs w:val="24"/>
          <w:lang w:val="es-ES" w:eastAsia="es-ES"/>
        </w:rPr>
        <w:t xml:space="preserve">ratifica su respuesta primigenia, </w:t>
      </w:r>
      <w:r w:rsidR="00A57A21">
        <w:rPr>
          <w:rFonts w:ascii="Palatino Linotype" w:eastAsia="Times New Roman" w:hAnsi="Palatino Linotype" w:cs="Arial"/>
          <w:sz w:val="24"/>
          <w:szCs w:val="24"/>
          <w:lang w:val="es-ES" w:eastAsia="es-ES"/>
        </w:rPr>
        <w:t>en los siguientes términos:</w:t>
      </w:r>
    </w:p>
    <w:p w14:paraId="1D9FCBDF" w14:textId="77777777" w:rsidR="00A57A21" w:rsidRDefault="00A57A21" w:rsidP="00A57A21">
      <w:pPr>
        <w:spacing w:after="0" w:line="360" w:lineRule="auto"/>
        <w:ind w:left="720"/>
        <w:jc w:val="both"/>
        <w:rPr>
          <w:rFonts w:ascii="Palatino Linotype" w:hAnsi="Palatino Linotype" w:cs="Arial"/>
          <w:b/>
          <w:sz w:val="24"/>
          <w:szCs w:val="24"/>
        </w:rPr>
      </w:pPr>
    </w:p>
    <w:p w14:paraId="165CF2EB" w14:textId="77777777" w:rsidR="00A35191" w:rsidRPr="00A57A21" w:rsidRDefault="00A57A21" w:rsidP="00A57A21">
      <w:pPr>
        <w:spacing w:after="0" w:line="240" w:lineRule="auto"/>
        <w:ind w:left="720"/>
        <w:jc w:val="both"/>
        <w:rPr>
          <w:rFonts w:ascii="Palatino Linotype" w:eastAsia="Times New Roman" w:hAnsi="Palatino Linotype" w:cs="Arial"/>
          <w:i/>
          <w:szCs w:val="24"/>
          <w:lang w:val="es-ES" w:eastAsia="es-ES"/>
        </w:rPr>
      </w:pPr>
      <w:r w:rsidRPr="00A57A21">
        <w:rPr>
          <w:rFonts w:ascii="Palatino Linotype" w:eastAsia="Times New Roman" w:hAnsi="Palatino Linotype" w:cs="Arial"/>
          <w:i/>
          <w:szCs w:val="24"/>
          <w:lang w:val="es-ES" w:eastAsia="es-ES"/>
        </w:rPr>
        <w:t>“…</w:t>
      </w:r>
      <w:r w:rsidRPr="00C75384">
        <w:rPr>
          <w:rFonts w:ascii="Palatino Linotype" w:eastAsia="Times New Roman" w:hAnsi="Palatino Linotype" w:cs="Arial"/>
          <w:b/>
          <w:i/>
          <w:szCs w:val="24"/>
          <w:lang w:val="es-ES" w:eastAsia="es-ES"/>
        </w:rPr>
        <w:t>esta unidad administrativa en su carácter de SUJETO HABILITADO, puso a la vista del solicitante archivo digital con listado de concesiones encontradas en los archivos digitales del Registro Estatal de Transporte Público que actualmente se encuentran a nombre de la citada empresa…</w:t>
      </w:r>
    </w:p>
    <w:p w14:paraId="06DFF119" w14:textId="77777777" w:rsidR="00A57A21" w:rsidRDefault="00A57A21" w:rsidP="00A57A21">
      <w:pPr>
        <w:spacing w:after="0" w:line="240" w:lineRule="auto"/>
        <w:ind w:left="720"/>
        <w:jc w:val="both"/>
        <w:rPr>
          <w:rFonts w:ascii="Palatino Linotype" w:eastAsia="Times New Roman" w:hAnsi="Palatino Linotype" w:cs="Arial"/>
          <w:i/>
          <w:szCs w:val="24"/>
          <w:lang w:val="es-ES" w:eastAsia="es-ES"/>
        </w:rPr>
      </w:pPr>
    </w:p>
    <w:p w14:paraId="583109BF" w14:textId="77777777" w:rsidR="00C75384" w:rsidRPr="00A57A21" w:rsidRDefault="00C75384" w:rsidP="00A57A21">
      <w:pPr>
        <w:spacing w:after="0" w:line="240" w:lineRule="auto"/>
        <w:ind w:left="720"/>
        <w:jc w:val="both"/>
        <w:rPr>
          <w:rFonts w:ascii="Palatino Linotype" w:eastAsia="Times New Roman" w:hAnsi="Palatino Linotype" w:cs="Arial"/>
          <w:i/>
          <w:szCs w:val="24"/>
          <w:lang w:val="es-ES" w:eastAsia="es-ES"/>
        </w:rPr>
      </w:pPr>
    </w:p>
    <w:p w14:paraId="6C4FD108" w14:textId="77777777" w:rsidR="00A57A21" w:rsidRPr="00A57A21" w:rsidRDefault="00A57A21" w:rsidP="00A57A21">
      <w:pPr>
        <w:spacing w:after="0" w:line="240" w:lineRule="auto"/>
        <w:ind w:left="720"/>
        <w:jc w:val="both"/>
        <w:rPr>
          <w:rFonts w:ascii="Palatino Linotype" w:eastAsia="Times New Roman" w:hAnsi="Palatino Linotype" w:cs="Arial"/>
          <w:i/>
          <w:szCs w:val="24"/>
          <w:lang w:val="es-ES" w:eastAsia="es-ES"/>
        </w:rPr>
      </w:pPr>
      <w:r w:rsidRPr="00A57A21">
        <w:rPr>
          <w:rFonts w:ascii="Palatino Linotype" w:eastAsia="Times New Roman" w:hAnsi="Palatino Linotype" w:cs="Arial"/>
          <w:i/>
          <w:szCs w:val="24"/>
          <w:lang w:val="es-ES" w:eastAsia="es-ES"/>
        </w:rPr>
        <w:lastRenderedPageBreak/>
        <w:t xml:space="preserve">“…Que </w:t>
      </w:r>
      <w:r w:rsidRPr="00C75384">
        <w:rPr>
          <w:rFonts w:ascii="Palatino Linotype" w:eastAsia="Times New Roman" w:hAnsi="Palatino Linotype" w:cs="Arial"/>
          <w:b/>
          <w:i/>
          <w:szCs w:val="24"/>
          <w:lang w:val="es-ES" w:eastAsia="es-ES"/>
        </w:rPr>
        <w:t>las autorizaciones del servicio de transporte público, son complementarias a las concesiones y permisos</w:t>
      </w:r>
      <w:r w:rsidRPr="00A57A21">
        <w:rPr>
          <w:rFonts w:ascii="Palatino Linotype" w:eastAsia="Times New Roman" w:hAnsi="Palatino Linotype" w:cs="Arial"/>
          <w:i/>
          <w:szCs w:val="24"/>
          <w:lang w:val="es-ES" w:eastAsia="es-ES"/>
        </w:rPr>
        <w:t xml:space="preserve">, máxime, </w:t>
      </w:r>
      <w:r w:rsidRPr="00C75384">
        <w:rPr>
          <w:rFonts w:ascii="Palatino Linotype" w:eastAsia="Times New Roman" w:hAnsi="Palatino Linotype" w:cs="Arial"/>
          <w:b/>
          <w:i/>
          <w:szCs w:val="24"/>
          <w:lang w:val="es-ES" w:eastAsia="es-ES"/>
        </w:rPr>
        <w:t>son objeto de autorizarse las rutas</w:t>
      </w:r>
      <w:r w:rsidRPr="00A57A21">
        <w:rPr>
          <w:rFonts w:ascii="Palatino Linotype" w:eastAsia="Times New Roman" w:hAnsi="Palatino Linotype" w:cs="Arial"/>
          <w:i/>
          <w:szCs w:val="24"/>
          <w:lang w:val="es-ES" w:eastAsia="es-ES"/>
        </w:rPr>
        <w:t xml:space="preserve"> y sus modificaciones, cromática, tarifas, bases, sitios y lanzaderas, lo anterior en sustento del Capítulo IV nombrado "DE LAS AUTORIZACIONES” en su artículo 50 y 51 del Reglamento de Transporte Público y Servicios Conexos del Estado de México, además el solicitante preciso su deseo de conocer el origen destino de las autorizaciones, luego entonces, se advierte que su petición de forma específica versa sobre RUTAS, según el concepto descrito en el artículo 65 inciso f; del Reglamento de Transporte Público invocado, que establece: (énfasis añadido) </w:t>
      </w:r>
    </w:p>
    <w:p w14:paraId="4D130848" w14:textId="77777777" w:rsidR="00A57A21" w:rsidRPr="00A57A21" w:rsidRDefault="00A57A21" w:rsidP="00A57A21">
      <w:pPr>
        <w:spacing w:after="0" w:line="240" w:lineRule="auto"/>
        <w:ind w:left="720"/>
        <w:jc w:val="both"/>
        <w:rPr>
          <w:rFonts w:ascii="Palatino Linotype" w:eastAsia="Times New Roman" w:hAnsi="Palatino Linotype" w:cs="Arial"/>
          <w:i/>
          <w:szCs w:val="24"/>
          <w:lang w:val="es-ES" w:eastAsia="es-ES"/>
        </w:rPr>
      </w:pPr>
    </w:p>
    <w:p w14:paraId="6E318D0B" w14:textId="77777777" w:rsidR="00A57A21" w:rsidRPr="00A57A21" w:rsidRDefault="00A57A21" w:rsidP="00A57A21">
      <w:pPr>
        <w:spacing w:after="0" w:line="240" w:lineRule="auto"/>
        <w:ind w:left="720"/>
        <w:jc w:val="both"/>
        <w:rPr>
          <w:rFonts w:ascii="Palatino Linotype" w:eastAsia="Times New Roman" w:hAnsi="Palatino Linotype" w:cs="Arial"/>
          <w:i/>
          <w:szCs w:val="24"/>
          <w:lang w:val="es-ES" w:eastAsia="es-ES"/>
        </w:rPr>
      </w:pPr>
      <w:r w:rsidRPr="00A57A21">
        <w:rPr>
          <w:rFonts w:ascii="Palatino Linotype" w:eastAsia="Times New Roman" w:hAnsi="Palatino Linotype" w:cs="Arial"/>
          <w:i/>
          <w:szCs w:val="24"/>
          <w:lang w:val="es-ES" w:eastAsia="es-ES"/>
        </w:rPr>
        <w:t>ARTÍCULO 65.- Para los efectos de este Reglamento se entiende por:</w:t>
      </w:r>
    </w:p>
    <w:p w14:paraId="7DFCC57F" w14:textId="77777777" w:rsidR="00A57A21" w:rsidRPr="00A57A21" w:rsidRDefault="00A57A21" w:rsidP="00A57A21">
      <w:pPr>
        <w:spacing w:after="0" w:line="240" w:lineRule="auto"/>
        <w:ind w:left="720"/>
        <w:jc w:val="both"/>
        <w:rPr>
          <w:rFonts w:ascii="Palatino Linotype" w:eastAsia="Times New Roman" w:hAnsi="Palatino Linotype" w:cs="Arial"/>
          <w:i/>
          <w:szCs w:val="24"/>
          <w:lang w:val="es-ES" w:eastAsia="es-ES"/>
        </w:rPr>
      </w:pPr>
      <w:r w:rsidRPr="00A57A21">
        <w:rPr>
          <w:rFonts w:ascii="Palatino Linotype" w:eastAsia="Times New Roman" w:hAnsi="Palatino Linotype" w:cs="Arial"/>
          <w:i/>
          <w:szCs w:val="24"/>
          <w:lang w:val="es-ES" w:eastAsia="es-ES"/>
        </w:rPr>
        <w:t>…</w:t>
      </w:r>
    </w:p>
    <w:p w14:paraId="6531858E" w14:textId="77777777" w:rsidR="00A57A21" w:rsidRDefault="00A57A21" w:rsidP="00A57A21">
      <w:pPr>
        <w:spacing w:after="0" w:line="240" w:lineRule="auto"/>
        <w:ind w:left="720"/>
        <w:jc w:val="both"/>
        <w:rPr>
          <w:rFonts w:ascii="Palatino Linotype" w:eastAsia="Times New Roman" w:hAnsi="Palatino Linotype" w:cs="Arial"/>
          <w:i/>
          <w:szCs w:val="24"/>
          <w:lang w:val="es-ES" w:eastAsia="es-ES"/>
        </w:rPr>
      </w:pPr>
      <w:r w:rsidRPr="00A57A21">
        <w:rPr>
          <w:rFonts w:ascii="Palatino Linotype" w:eastAsia="Times New Roman" w:hAnsi="Palatino Linotype" w:cs="Arial"/>
          <w:i/>
          <w:szCs w:val="24"/>
          <w:lang w:val="es-ES" w:eastAsia="es-ES"/>
        </w:rPr>
        <w:t>f; Ruta: Dirección de un viaje con origen y destino determinados…” (sic)</w:t>
      </w:r>
    </w:p>
    <w:p w14:paraId="37DD927F" w14:textId="77777777" w:rsidR="00C75384" w:rsidRDefault="00C75384" w:rsidP="00A57A21">
      <w:pPr>
        <w:spacing w:after="0" w:line="240" w:lineRule="auto"/>
        <w:ind w:left="720"/>
        <w:jc w:val="both"/>
        <w:rPr>
          <w:rFonts w:ascii="Palatino Linotype" w:eastAsia="Times New Roman" w:hAnsi="Palatino Linotype" w:cs="Arial"/>
          <w:i/>
          <w:szCs w:val="24"/>
          <w:lang w:val="es-ES" w:eastAsia="es-ES"/>
        </w:rPr>
      </w:pPr>
    </w:p>
    <w:p w14:paraId="4A49D9EB" w14:textId="77777777" w:rsidR="00C75384" w:rsidRDefault="00C75384" w:rsidP="00A57A21">
      <w:pPr>
        <w:spacing w:after="0" w:line="240" w:lineRule="auto"/>
        <w:ind w:left="720"/>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14:paraId="0E39E6AA" w14:textId="77777777" w:rsidR="00C75384" w:rsidRDefault="00C75384" w:rsidP="00C75384">
      <w:pPr>
        <w:spacing w:after="0" w:line="240" w:lineRule="auto"/>
        <w:ind w:left="720"/>
        <w:jc w:val="both"/>
        <w:rPr>
          <w:rFonts w:ascii="Palatino Linotype" w:eastAsia="Times New Roman" w:hAnsi="Palatino Linotype" w:cs="Arial"/>
          <w:i/>
          <w:szCs w:val="24"/>
          <w:lang w:val="es-ES" w:eastAsia="es-ES"/>
        </w:rPr>
      </w:pPr>
      <w:r w:rsidRPr="00C75384">
        <w:rPr>
          <w:rFonts w:ascii="Palatino Linotype" w:eastAsia="Times New Roman" w:hAnsi="Palatino Linotype" w:cs="Arial"/>
          <w:i/>
          <w:szCs w:val="24"/>
          <w:lang w:val="es-ES" w:eastAsia="es-ES"/>
        </w:rPr>
        <w:t>Lo anterior, tomando en consideración que par una parte que la Dirección General del Registro Estatal de Transporte</w:t>
      </w:r>
      <w:r>
        <w:rPr>
          <w:rFonts w:ascii="Palatino Linotype" w:eastAsia="Times New Roman" w:hAnsi="Palatino Linotype" w:cs="Arial"/>
          <w:i/>
          <w:szCs w:val="24"/>
          <w:lang w:val="es-ES" w:eastAsia="es-ES"/>
        </w:rPr>
        <w:t xml:space="preserve"> </w:t>
      </w:r>
      <w:r w:rsidRPr="00C75384">
        <w:rPr>
          <w:rFonts w:ascii="Palatino Linotype" w:eastAsia="Times New Roman" w:hAnsi="Palatino Linotype" w:cs="Arial"/>
          <w:i/>
          <w:szCs w:val="24"/>
          <w:lang w:val="es-ES" w:eastAsia="es-ES"/>
        </w:rPr>
        <w:t>Público, dentro de sus facultades establecidas en el artículo 24 del Reglamento Interior de la Secretaría de Movilidad</w:t>
      </w:r>
      <w:r>
        <w:rPr>
          <w:rFonts w:ascii="Palatino Linotype" w:eastAsia="Times New Roman" w:hAnsi="Palatino Linotype" w:cs="Arial"/>
          <w:i/>
          <w:szCs w:val="24"/>
          <w:lang w:val="es-ES" w:eastAsia="es-ES"/>
        </w:rPr>
        <w:t xml:space="preserve"> </w:t>
      </w:r>
      <w:r w:rsidRPr="00C75384">
        <w:rPr>
          <w:rFonts w:ascii="Palatino Linotype" w:eastAsia="Times New Roman" w:hAnsi="Palatino Linotype" w:cs="Arial"/>
          <w:i/>
          <w:szCs w:val="24"/>
          <w:lang w:val="es-ES" w:eastAsia="es-ES"/>
        </w:rPr>
        <w:t>del Estado de México, cuenta con las atribuciones de integrar y custodiar la información generada para el</w:t>
      </w:r>
      <w:r>
        <w:rPr>
          <w:rFonts w:ascii="Palatino Linotype" w:eastAsia="Times New Roman" w:hAnsi="Palatino Linotype" w:cs="Arial"/>
          <w:i/>
          <w:szCs w:val="24"/>
          <w:lang w:val="es-ES" w:eastAsia="es-ES"/>
        </w:rPr>
        <w:t xml:space="preserve"> </w:t>
      </w:r>
      <w:r w:rsidRPr="00C75384">
        <w:rPr>
          <w:rFonts w:ascii="Palatino Linotype" w:eastAsia="Times New Roman" w:hAnsi="Palatino Linotype" w:cs="Arial"/>
          <w:i/>
          <w:szCs w:val="24"/>
          <w:lang w:val="es-ES" w:eastAsia="es-ES"/>
        </w:rPr>
        <w:t>otorgamiento de concesiones para la prestación del servicio de transporte público, por lo que puso a disposición del</w:t>
      </w:r>
      <w:r>
        <w:rPr>
          <w:rFonts w:ascii="Palatino Linotype" w:eastAsia="Times New Roman" w:hAnsi="Palatino Linotype" w:cs="Arial"/>
          <w:i/>
          <w:szCs w:val="24"/>
          <w:lang w:val="es-ES" w:eastAsia="es-ES"/>
        </w:rPr>
        <w:t xml:space="preserve"> </w:t>
      </w:r>
      <w:r w:rsidRPr="00C75384">
        <w:rPr>
          <w:rFonts w:ascii="Palatino Linotype" w:eastAsia="Times New Roman" w:hAnsi="Palatino Linotype" w:cs="Arial"/>
          <w:i/>
          <w:szCs w:val="24"/>
          <w:lang w:val="es-ES" w:eastAsia="es-ES"/>
        </w:rPr>
        <w:t>solicitante el listado de concesiones a favor de la empresa ·ASOCIACIÓN DE PROPIETARIOS, OPERADORES Y AUTOTRANSPORTISTAS DE ACATLAN. S.A. DE C.V.</w:t>
      </w:r>
      <w:r>
        <w:rPr>
          <w:rFonts w:ascii="Tahoma" w:eastAsia="Times New Roman" w:hAnsi="Tahoma" w:cs="Tahoma"/>
          <w:i/>
          <w:szCs w:val="24"/>
          <w:lang w:val="es-ES" w:eastAsia="es-ES"/>
        </w:rPr>
        <w:t>”</w:t>
      </w:r>
      <w:r w:rsidRPr="00C75384">
        <w:rPr>
          <w:rFonts w:ascii="Palatino Linotype" w:eastAsia="Times New Roman" w:hAnsi="Palatino Linotype" w:cs="Arial"/>
          <w:i/>
          <w:szCs w:val="24"/>
          <w:lang w:val="es-ES" w:eastAsia="es-ES"/>
        </w:rPr>
        <w:t xml:space="preserve"> {anexo para pronta referencia). </w:t>
      </w:r>
    </w:p>
    <w:p w14:paraId="5E52B683" w14:textId="77777777" w:rsidR="00C75384" w:rsidRPr="00C75384" w:rsidRDefault="00C75384" w:rsidP="00C75384">
      <w:pPr>
        <w:spacing w:after="0" w:line="240" w:lineRule="auto"/>
        <w:ind w:left="720"/>
        <w:jc w:val="both"/>
        <w:rPr>
          <w:rFonts w:ascii="Palatino Linotype" w:eastAsia="Times New Roman" w:hAnsi="Palatino Linotype" w:cs="Arial"/>
          <w:i/>
          <w:szCs w:val="24"/>
          <w:lang w:val="es-ES" w:eastAsia="es-ES"/>
        </w:rPr>
      </w:pPr>
    </w:p>
    <w:p w14:paraId="2630A69E" w14:textId="77777777" w:rsidR="00C75384" w:rsidRPr="00C75384" w:rsidRDefault="00C75384" w:rsidP="00C75384">
      <w:pPr>
        <w:spacing w:after="0" w:line="240" w:lineRule="auto"/>
        <w:ind w:left="720"/>
        <w:jc w:val="both"/>
        <w:rPr>
          <w:rFonts w:ascii="Palatino Linotype" w:eastAsia="Times New Roman" w:hAnsi="Palatino Linotype" w:cs="Arial"/>
          <w:i/>
          <w:szCs w:val="24"/>
          <w:lang w:val="es-ES" w:eastAsia="es-ES"/>
        </w:rPr>
      </w:pPr>
      <w:r w:rsidRPr="00C75384">
        <w:rPr>
          <w:rFonts w:ascii="Palatino Linotype" w:eastAsia="Times New Roman" w:hAnsi="Palatino Linotype" w:cs="Arial"/>
          <w:i/>
          <w:szCs w:val="24"/>
          <w:lang w:val="es-ES" w:eastAsia="es-ES"/>
        </w:rPr>
        <w:t xml:space="preserve">Por otra parte. la Dirección General de Movilidad Zona </w:t>
      </w:r>
      <w:r>
        <w:rPr>
          <w:rFonts w:ascii="Palatino Linotype" w:eastAsia="Times New Roman" w:hAnsi="Palatino Linotype" w:cs="Arial"/>
          <w:i/>
          <w:szCs w:val="24"/>
          <w:lang w:val="es-ES" w:eastAsia="es-ES"/>
        </w:rPr>
        <w:t>II</w:t>
      </w:r>
      <w:r w:rsidRPr="00C75384">
        <w:rPr>
          <w:rFonts w:ascii="Palatino Linotype" w:eastAsia="Times New Roman" w:hAnsi="Palatino Linotype" w:cs="Arial"/>
          <w:i/>
          <w:szCs w:val="24"/>
          <w:lang w:val="es-ES" w:eastAsia="es-ES"/>
        </w:rPr>
        <w:t>, adscrita a la Subsecretaria de Movilidad del Estado de</w:t>
      </w:r>
      <w:r>
        <w:rPr>
          <w:rFonts w:ascii="Palatino Linotype" w:eastAsia="Times New Roman" w:hAnsi="Palatino Linotype" w:cs="Arial"/>
          <w:i/>
          <w:szCs w:val="24"/>
          <w:lang w:val="es-ES" w:eastAsia="es-ES"/>
        </w:rPr>
        <w:t xml:space="preserve"> </w:t>
      </w:r>
      <w:r w:rsidRPr="00C75384">
        <w:rPr>
          <w:rFonts w:ascii="Palatino Linotype" w:eastAsia="Times New Roman" w:hAnsi="Palatino Linotype" w:cs="Arial"/>
          <w:i/>
          <w:szCs w:val="24"/>
          <w:lang w:val="es-ES" w:eastAsia="es-ES"/>
        </w:rPr>
        <w:t>México y unidad administrativa competente para conocer la información relacionada con el objeto de la solicitud de</w:t>
      </w:r>
      <w:r>
        <w:rPr>
          <w:rFonts w:ascii="Palatino Linotype" w:eastAsia="Times New Roman" w:hAnsi="Palatino Linotype" w:cs="Arial"/>
          <w:i/>
          <w:szCs w:val="24"/>
          <w:lang w:val="es-ES" w:eastAsia="es-ES"/>
        </w:rPr>
        <w:t xml:space="preserve"> </w:t>
      </w:r>
      <w:r w:rsidRPr="00C75384">
        <w:rPr>
          <w:rFonts w:ascii="Palatino Linotype" w:eastAsia="Times New Roman" w:hAnsi="Palatino Linotype" w:cs="Arial"/>
          <w:i/>
          <w:szCs w:val="24"/>
          <w:lang w:val="es-ES" w:eastAsia="es-ES"/>
        </w:rPr>
        <w:t>acceso a la información, dentro de las facultades señaladas en los artículo 8, fracción X, y 14 del Reglamento Interior</w:t>
      </w:r>
      <w:r>
        <w:rPr>
          <w:rFonts w:ascii="Palatino Linotype" w:eastAsia="Times New Roman" w:hAnsi="Palatino Linotype" w:cs="Arial"/>
          <w:i/>
          <w:szCs w:val="24"/>
          <w:lang w:val="es-ES" w:eastAsia="es-ES"/>
        </w:rPr>
        <w:t xml:space="preserve"> </w:t>
      </w:r>
      <w:r w:rsidRPr="00C75384">
        <w:rPr>
          <w:rFonts w:ascii="Palatino Linotype" w:eastAsia="Times New Roman" w:hAnsi="Palatino Linotype" w:cs="Arial"/>
          <w:i/>
          <w:szCs w:val="24"/>
          <w:lang w:val="es-ES" w:eastAsia="es-ES"/>
        </w:rPr>
        <w:t>de la Secretaría de Movilidad, remitió el listado de autorizaciones con las que opera la empresa • ASOCIACIÓN DE</w:t>
      </w:r>
      <w:r>
        <w:rPr>
          <w:rFonts w:ascii="Palatino Linotype" w:eastAsia="Times New Roman" w:hAnsi="Palatino Linotype" w:cs="Arial"/>
          <w:i/>
          <w:szCs w:val="24"/>
          <w:lang w:val="es-ES" w:eastAsia="es-ES"/>
        </w:rPr>
        <w:t xml:space="preserve"> </w:t>
      </w:r>
      <w:r w:rsidRPr="00C75384">
        <w:rPr>
          <w:rFonts w:ascii="Palatino Linotype" w:eastAsia="Times New Roman" w:hAnsi="Palatino Linotype" w:cs="Arial"/>
          <w:i/>
          <w:szCs w:val="24"/>
          <w:lang w:val="es-ES" w:eastAsia="es-ES"/>
        </w:rPr>
        <w:t xml:space="preserve">PROPIETARIOS, OPERADORES Y AUTOTRANSPORTISTAS DE ACATLÁN, S.A. DE C.V.", en donde se </w:t>
      </w:r>
      <w:r>
        <w:rPr>
          <w:rFonts w:ascii="Palatino Linotype" w:eastAsia="Times New Roman" w:hAnsi="Palatino Linotype" w:cs="Arial"/>
          <w:i/>
          <w:szCs w:val="24"/>
          <w:lang w:val="es-ES" w:eastAsia="es-ES"/>
        </w:rPr>
        <w:t xml:space="preserve">detalló </w:t>
      </w:r>
      <w:r w:rsidRPr="00C75384">
        <w:rPr>
          <w:rFonts w:ascii="Palatino Linotype" w:eastAsia="Times New Roman" w:hAnsi="Palatino Linotype" w:cs="Arial"/>
          <w:i/>
          <w:szCs w:val="24"/>
          <w:lang w:val="es-ES" w:eastAsia="es-ES"/>
        </w:rPr>
        <w:t xml:space="preserve">puntualmente et origen y destino de </w:t>
      </w:r>
      <w:r w:rsidR="001352D7">
        <w:rPr>
          <w:rFonts w:ascii="Palatino Linotype" w:eastAsia="Times New Roman" w:hAnsi="Palatino Linotype" w:cs="Arial"/>
          <w:i/>
          <w:szCs w:val="24"/>
          <w:lang w:val="es-ES" w:eastAsia="es-ES"/>
        </w:rPr>
        <w:t>l</w:t>
      </w:r>
      <w:r w:rsidRPr="00C75384">
        <w:rPr>
          <w:rFonts w:ascii="Palatino Linotype" w:eastAsia="Times New Roman" w:hAnsi="Palatino Linotype" w:cs="Arial"/>
          <w:i/>
          <w:szCs w:val="24"/>
          <w:lang w:val="es-ES" w:eastAsia="es-ES"/>
        </w:rPr>
        <w:t>os derroteros que tiene autorizados dicha persona moral (anexo para pronta</w:t>
      </w:r>
      <w:r>
        <w:rPr>
          <w:rFonts w:ascii="Palatino Linotype" w:eastAsia="Times New Roman" w:hAnsi="Palatino Linotype" w:cs="Arial"/>
          <w:i/>
          <w:szCs w:val="24"/>
          <w:lang w:val="es-ES" w:eastAsia="es-ES"/>
        </w:rPr>
        <w:t xml:space="preserve"> </w:t>
      </w:r>
      <w:r w:rsidRPr="00C75384">
        <w:rPr>
          <w:rFonts w:ascii="Palatino Linotype" w:eastAsia="Times New Roman" w:hAnsi="Palatino Linotype" w:cs="Arial"/>
          <w:i/>
          <w:szCs w:val="24"/>
          <w:lang w:val="es-ES" w:eastAsia="es-ES"/>
        </w:rPr>
        <w:t xml:space="preserve">referencia). </w:t>
      </w:r>
    </w:p>
    <w:p w14:paraId="3374CBDF" w14:textId="77777777" w:rsidR="00C75384" w:rsidRDefault="00C75384" w:rsidP="00C75384">
      <w:pPr>
        <w:spacing w:after="0" w:line="240" w:lineRule="auto"/>
        <w:ind w:left="720"/>
        <w:jc w:val="both"/>
        <w:rPr>
          <w:rFonts w:ascii="Palatino Linotype" w:eastAsia="Times New Roman" w:hAnsi="Palatino Linotype" w:cs="Arial"/>
          <w:i/>
          <w:szCs w:val="24"/>
          <w:lang w:val="es-ES" w:eastAsia="es-ES"/>
        </w:rPr>
      </w:pPr>
    </w:p>
    <w:p w14:paraId="22BE0700" w14:textId="77777777" w:rsidR="00C75384" w:rsidRDefault="00C75384" w:rsidP="00C75384">
      <w:pPr>
        <w:spacing w:after="0" w:line="240" w:lineRule="auto"/>
        <w:ind w:left="720"/>
        <w:jc w:val="both"/>
        <w:rPr>
          <w:rFonts w:ascii="Palatino Linotype" w:eastAsia="Times New Roman" w:hAnsi="Palatino Linotype" w:cs="Arial"/>
          <w:i/>
          <w:szCs w:val="24"/>
          <w:lang w:val="es-ES" w:eastAsia="es-ES"/>
        </w:rPr>
      </w:pPr>
      <w:r w:rsidRPr="00C75384">
        <w:rPr>
          <w:rFonts w:ascii="Palatino Linotype" w:eastAsia="Times New Roman" w:hAnsi="Palatino Linotype" w:cs="Arial"/>
          <w:i/>
          <w:szCs w:val="24"/>
          <w:lang w:val="es-ES" w:eastAsia="es-ES"/>
        </w:rPr>
        <w:t>Por ello, se colige que este Sujeto Obligado atendió de manera puntual cada uno de los puntos establecidos por el</w:t>
      </w:r>
      <w:r>
        <w:rPr>
          <w:rFonts w:ascii="Palatino Linotype" w:eastAsia="Times New Roman" w:hAnsi="Palatino Linotype" w:cs="Arial"/>
          <w:i/>
          <w:szCs w:val="24"/>
          <w:lang w:val="es-ES" w:eastAsia="es-ES"/>
        </w:rPr>
        <w:t xml:space="preserve"> </w:t>
      </w:r>
      <w:r w:rsidRPr="00C75384">
        <w:rPr>
          <w:rFonts w:ascii="Palatino Linotype" w:eastAsia="Times New Roman" w:hAnsi="Palatino Linotype" w:cs="Arial"/>
          <w:i/>
          <w:szCs w:val="24"/>
          <w:lang w:val="es-ES" w:eastAsia="es-ES"/>
        </w:rPr>
        <w:t>hoy recurrente en su solicitud primigenia, teniendo en cu</w:t>
      </w:r>
      <w:r>
        <w:rPr>
          <w:rFonts w:ascii="Palatino Linotype" w:eastAsia="Times New Roman" w:hAnsi="Palatino Linotype" w:cs="Arial"/>
          <w:i/>
          <w:szCs w:val="24"/>
          <w:lang w:val="es-ES" w:eastAsia="es-ES"/>
        </w:rPr>
        <w:t>enta que inicialmente requirió “</w:t>
      </w:r>
      <w:r w:rsidRPr="00C75384">
        <w:rPr>
          <w:rFonts w:ascii="Palatino Linotype" w:eastAsia="Times New Roman" w:hAnsi="Palatino Linotype" w:cs="Arial"/>
          <w:b/>
          <w:i/>
          <w:szCs w:val="24"/>
          <w:lang w:val="es-ES" w:eastAsia="es-ES"/>
        </w:rPr>
        <w:t>se me entregue las concesiones y autorizaciones que tiene la ASOCIACION DE PROPIETARIOS, OPERADORES Y AUTOTRANSPORTISTAS DE ACATLAN, S.A. DE C.V. ya nombre de quien estas, cuál es su origen destino de la mismas</w:t>
      </w:r>
      <w:r>
        <w:rPr>
          <w:rFonts w:ascii="Palatino Linotype" w:eastAsia="Times New Roman" w:hAnsi="Palatino Linotype" w:cs="Arial"/>
          <w:b/>
          <w:i/>
          <w:szCs w:val="24"/>
          <w:lang w:val="es-ES" w:eastAsia="es-ES"/>
        </w:rPr>
        <w:t xml:space="preserve">” </w:t>
      </w:r>
      <w:r w:rsidRPr="00C75384">
        <w:rPr>
          <w:rFonts w:ascii="Palatino Linotype" w:eastAsia="Times New Roman" w:hAnsi="Palatino Linotype" w:cs="Arial"/>
          <w:i/>
          <w:szCs w:val="24"/>
          <w:lang w:val="es-ES" w:eastAsia="es-ES"/>
        </w:rPr>
        <w:t>(sic).</w:t>
      </w:r>
    </w:p>
    <w:p w14:paraId="6F1F4E6F" w14:textId="77777777" w:rsidR="00C75384" w:rsidRDefault="00C75384" w:rsidP="00C75384">
      <w:pPr>
        <w:spacing w:after="0" w:line="240" w:lineRule="auto"/>
        <w:ind w:left="720"/>
        <w:jc w:val="both"/>
        <w:rPr>
          <w:rFonts w:ascii="Palatino Linotype" w:eastAsia="Times New Roman" w:hAnsi="Palatino Linotype" w:cs="Arial"/>
          <w:i/>
          <w:szCs w:val="24"/>
          <w:lang w:val="es-ES" w:eastAsia="es-ES"/>
        </w:rPr>
      </w:pPr>
    </w:p>
    <w:p w14:paraId="1F10E473" w14:textId="77777777" w:rsidR="00C75384" w:rsidRDefault="00F97A5B" w:rsidP="00C75384">
      <w:pPr>
        <w:spacing w:after="0" w:line="240" w:lineRule="auto"/>
        <w:ind w:left="720"/>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Entendiendo también que</w:t>
      </w:r>
      <w:r w:rsidR="001352D7">
        <w:rPr>
          <w:rFonts w:ascii="Palatino Linotype" w:eastAsia="Times New Roman" w:hAnsi="Palatino Linotype" w:cs="Arial"/>
          <w:i/>
          <w:szCs w:val="24"/>
          <w:lang w:val="es-ES" w:eastAsia="es-ES"/>
        </w:rPr>
        <w:t xml:space="preserve"> por l</w:t>
      </w:r>
      <w:r w:rsidR="00C75384" w:rsidRPr="00C75384">
        <w:rPr>
          <w:rFonts w:ascii="Palatino Linotype" w:eastAsia="Times New Roman" w:hAnsi="Palatino Linotype" w:cs="Arial"/>
          <w:i/>
          <w:szCs w:val="24"/>
          <w:lang w:val="es-ES" w:eastAsia="es-ES"/>
        </w:rPr>
        <w:t xml:space="preserve">o que se refiere al apartado relativo a ·nombre de quien </w:t>
      </w:r>
      <w:r w:rsidR="00C75384">
        <w:rPr>
          <w:rFonts w:ascii="Palatino Linotype" w:eastAsia="Times New Roman" w:hAnsi="Palatino Linotype" w:cs="Arial"/>
          <w:i/>
          <w:szCs w:val="24"/>
          <w:lang w:val="es-ES" w:eastAsia="es-ES"/>
        </w:rPr>
        <w:t>estas</w:t>
      </w:r>
      <w:r w:rsidR="00C75384" w:rsidRPr="00C75384">
        <w:rPr>
          <w:rFonts w:ascii="Palatino Linotype" w:eastAsia="Times New Roman" w:hAnsi="Palatino Linotype" w:cs="Arial"/>
          <w:i/>
          <w:szCs w:val="24"/>
          <w:lang w:val="es-ES" w:eastAsia="es-ES"/>
        </w:rPr>
        <w:t>" (sic), la persona moral</w:t>
      </w:r>
      <w:r w:rsidR="00C75384">
        <w:rPr>
          <w:rFonts w:ascii="Palatino Linotype" w:eastAsia="Times New Roman" w:hAnsi="Palatino Linotype" w:cs="Arial"/>
          <w:i/>
          <w:szCs w:val="24"/>
          <w:lang w:val="es-ES" w:eastAsia="es-ES"/>
        </w:rPr>
        <w:t xml:space="preserve"> </w:t>
      </w:r>
      <w:r w:rsidR="00C75384" w:rsidRPr="00C75384">
        <w:rPr>
          <w:rFonts w:ascii="Palatino Linotype" w:eastAsia="Times New Roman" w:hAnsi="Palatino Linotype" w:cs="Arial"/>
          <w:i/>
          <w:szCs w:val="24"/>
          <w:lang w:val="es-ES" w:eastAsia="es-ES"/>
        </w:rPr>
        <w:t xml:space="preserve">que tiene a su favor las concesiones y autorizaciones requeridas es la </w:t>
      </w:r>
      <w:r w:rsidR="00C75384" w:rsidRPr="00C75384">
        <w:rPr>
          <w:rFonts w:ascii="Palatino Linotype" w:eastAsia="Times New Roman" w:hAnsi="Palatino Linotype" w:cs="Arial"/>
          <w:i/>
          <w:szCs w:val="24"/>
          <w:lang w:val="es-ES" w:eastAsia="es-ES"/>
        </w:rPr>
        <w:lastRenderedPageBreak/>
        <w:t>denominada ·ASOCIACIÓN DE</w:t>
      </w:r>
      <w:r w:rsidR="00C75384">
        <w:rPr>
          <w:rFonts w:ascii="Palatino Linotype" w:eastAsia="Times New Roman" w:hAnsi="Palatino Linotype" w:cs="Arial"/>
          <w:i/>
          <w:szCs w:val="24"/>
          <w:lang w:val="es-ES" w:eastAsia="es-ES"/>
        </w:rPr>
        <w:t xml:space="preserve"> </w:t>
      </w:r>
      <w:r w:rsidR="00C75384" w:rsidRPr="00C75384">
        <w:rPr>
          <w:rFonts w:ascii="Palatino Linotype" w:eastAsia="Times New Roman" w:hAnsi="Palatino Linotype" w:cs="Arial"/>
          <w:i/>
          <w:szCs w:val="24"/>
          <w:lang w:val="es-ES" w:eastAsia="es-ES"/>
        </w:rPr>
        <w:t>PROPIETARIOS, OPERADORES Y AUTOTRANSPORTISTAS DE ACATLAN, S.A. DE C.V.".</w:t>
      </w:r>
    </w:p>
    <w:p w14:paraId="6618C772" w14:textId="77777777" w:rsidR="00A57A21" w:rsidRDefault="00A57A21" w:rsidP="00A57A21">
      <w:pPr>
        <w:spacing w:after="0" w:line="360" w:lineRule="auto"/>
        <w:ind w:left="720"/>
        <w:jc w:val="both"/>
        <w:rPr>
          <w:rFonts w:ascii="Palatino Linotype" w:eastAsia="Times New Roman" w:hAnsi="Palatino Linotype" w:cs="Arial"/>
          <w:sz w:val="24"/>
          <w:szCs w:val="24"/>
          <w:lang w:val="es-ES" w:eastAsia="es-ES"/>
        </w:rPr>
      </w:pPr>
    </w:p>
    <w:p w14:paraId="5FA85F0B" w14:textId="77777777" w:rsidR="00F97A5B" w:rsidRDefault="00F97A5B" w:rsidP="00F97A5B">
      <w:pPr>
        <w:pStyle w:val="Prrafodelista"/>
        <w:numPr>
          <w:ilvl w:val="0"/>
          <w:numId w:val="1"/>
        </w:numPr>
        <w:spacing w:line="360" w:lineRule="auto"/>
        <w:jc w:val="both"/>
        <w:rPr>
          <w:rFonts w:ascii="Palatino Linotype" w:hAnsi="Palatino Linotype" w:cs="Arial"/>
        </w:rPr>
      </w:pPr>
      <w:r w:rsidRPr="00F97A5B">
        <w:rPr>
          <w:rFonts w:ascii="Palatino Linotype" w:hAnsi="Palatino Linotype" w:cs="Arial"/>
          <w:b/>
        </w:rPr>
        <w:t>ANEXO SAIMEX 00052-SMOV-IP-2022 (concesiones).</w:t>
      </w:r>
      <w:proofErr w:type="spellStart"/>
      <w:r w:rsidRPr="00F97A5B">
        <w:rPr>
          <w:rFonts w:ascii="Palatino Linotype" w:hAnsi="Palatino Linotype" w:cs="Arial"/>
          <w:b/>
        </w:rPr>
        <w:t>pdf</w:t>
      </w:r>
      <w:proofErr w:type="spellEnd"/>
      <w:r w:rsidRPr="000153CA">
        <w:rPr>
          <w:rFonts w:ascii="Palatino Linotype" w:hAnsi="Palatino Linotype" w:cs="Arial"/>
          <w:b/>
        </w:rPr>
        <w:t>:</w:t>
      </w:r>
      <w:r w:rsidRPr="000153CA">
        <w:rPr>
          <w:rFonts w:ascii="Palatino Linotype" w:hAnsi="Palatino Linotype" w:cs="Arial"/>
        </w:rPr>
        <w:t xml:space="preserve"> </w:t>
      </w:r>
      <w:r>
        <w:rPr>
          <w:rFonts w:ascii="Palatino Linotype" w:hAnsi="Palatino Linotype" w:cs="Arial"/>
        </w:rPr>
        <w:t>documento que tiene el registro de 122 (ciento veintidós) concesiones a favor de la empresa peticionada por la Recurrente, el cual ya fue descrito en párrafos precedentes.</w:t>
      </w:r>
    </w:p>
    <w:p w14:paraId="595301C9" w14:textId="77777777" w:rsidR="00F97A5B" w:rsidRDefault="00F97A5B" w:rsidP="00F97A5B">
      <w:pPr>
        <w:pStyle w:val="Prrafodelista"/>
        <w:spacing w:line="360" w:lineRule="auto"/>
        <w:ind w:left="720"/>
        <w:jc w:val="both"/>
        <w:rPr>
          <w:rFonts w:ascii="Palatino Linotype" w:hAnsi="Palatino Linotype" w:cs="Arial"/>
          <w:b/>
        </w:rPr>
      </w:pPr>
    </w:p>
    <w:p w14:paraId="60785F39" w14:textId="77777777" w:rsidR="00F97A5B" w:rsidRDefault="00F97A5B" w:rsidP="00F97A5B">
      <w:pPr>
        <w:pStyle w:val="Prrafodelista"/>
        <w:numPr>
          <w:ilvl w:val="0"/>
          <w:numId w:val="1"/>
        </w:numPr>
        <w:spacing w:line="360" w:lineRule="auto"/>
        <w:jc w:val="both"/>
        <w:rPr>
          <w:rFonts w:ascii="Palatino Linotype" w:hAnsi="Palatino Linotype" w:cs="Arial"/>
        </w:rPr>
      </w:pPr>
      <w:r w:rsidRPr="000153CA">
        <w:rPr>
          <w:rFonts w:ascii="Palatino Linotype" w:hAnsi="Palatino Linotype" w:cs="Arial"/>
          <w:b/>
        </w:rPr>
        <w:t>EMPRESA ACATLÁN, S.A DE C.V.pdf</w:t>
      </w:r>
      <w:r>
        <w:rPr>
          <w:rFonts w:ascii="Palatino Linotype" w:hAnsi="Palatino Linotype" w:cs="Arial"/>
        </w:rPr>
        <w:t xml:space="preserve">: documento que tiene el registro de 11 (once) autorizaciones a favor de la empresa peticionada por la </w:t>
      </w:r>
      <w:r w:rsidRPr="00597C93">
        <w:rPr>
          <w:rFonts w:ascii="Palatino Linotype" w:hAnsi="Palatino Linotype" w:cs="Arial"/>
          <w:b/>
        </w:rPr>
        <w:t>Recurrente</w:t>
      </w:r>
      <w:r>
        <w:rPr>
          <w:rFonts w:ascii="Palatino Linotype" w:hAnsi="Palatino Linotype" w:cs="Arial"/>
        </w:rPr>
        <w:t>, el cual ya fue descrito en párrafos precedentes.</w:t>
      </w:r>
    </w:p>
    <w:p w14:paraId="04E9FA6F" w14:textId="77777777" w:rsidR="00F97A5B" w:rsidRDefault="00F97A5B" w:rsidP="00F97A5B">
      <w:pPr>
        <w:pStyle w:val="Prrafodelista"/>
        <w:spacing w:line="360" w:lineRule="auto"/>
        <w:ind w:left="720"/>
        <w:jc w:val="both"/>
        <w:rPr>
          <w:rFonts w:ascii="Palatino Linotype" w:hAnsi="Palatino Linotype" w:cs="Arial"/>
          <w:b/>
        </w:rPr>
      </w:pPr>
    </w:p>
    <w:p w14:paraId="1F3916F2" w14:textId="77777777" w:rsidR="00A35191" w:rsidRPr="00A35191" w:rsidRDefault="00A35191" w:rsidP="00A35191">
      <w:pPr>
        <w:spacing w:after="0" w:line="360" w:lineRule="auto"/>
        <w:jc w:val="both"/>
        <w:rPr>
          <w:rFonts w:ascii="Palatino Linotype" w:hAnsi="Palatino Linotype" w:cs="Arial"/>
          <w:sz w:val="24"/>
          <w:lang w:val="es-ES"/>
        </w:rPr>
      </w:pPr>
      <w:r w:rsidRPr="00A35191">
        <w:rPr>
          <w:rFonts w:ascii="Palatino Linotype" w:hAnsi="Palatino Linotype" w:cs="Arial"/>
          <w:sz w:val="24"/>
          <w:lang w:val="es-ES"/>
        </w:rPr>
        <w:t xml:space="preserve">Hechas las precisiones anteriores, resulta necesario hacer un cuadro comparativo en el cual se señalen los requerimientos de información de los que se adolece el </w:t>
      </w:r>
      <w:r w:rsidRPr="00A35191">
        <w:rPr>
          <w:rFonts w:ascii="Palatino Linotype" w:hAnsi="Palatino Linotype" w:cs="Arial"/>
          <w:b/>
          <w:sz w:val="24"/>
          <w:lang w:val="es-ES"/>
        </w:rPr>
        <w:t>Recurrente</w:t>
      </w:r>
      <w:r w:rsidRPr="00A35191">
        <w:rPr>
          <w:rFonts w:ascii="Palatino Linotype" w:hAnsi="Palatino Linotype" w:cs="Arial"/>
          <w:sz w:val="24"/>
          <w:lang w:val="es-ES"/>
        </w:rPr>
        <w:t>, no le fueron entregados en respuesta, así como la información proporcionada tanto en respuesta como en informe justificado, a efecto de poder determinar se satisfacen dichos requerimientos:</w:t>
      </w:r>
    </w:p>
    <w:p w14:paraId="6C31F23E" w14:textId="77777777" w:rsidR="00A35191" w:rsidRDefault="00A35191" w:rsidP="00A45BA5">
      <w:pPr>
        <w:spacing w:after="0" w:line="360" w:lineRule="auto"/>
        <w:jc w:val="both"/>
        <w:rPr>
          <w:rFonts w:ascii="Palatino Linotype" w:hAnsi="Palatino Linotype" w:cs="Arial"/>
          <w:sz w:val="24"/>
          <w:lang w:val="es-ES"/>
        </w:rPr>
      </w:pPr>
    </w:p>
    <w:tbl>
      <w:tblPr>
        <w:tblStyle w:val="Tablaconcuadrcula"/>
        <w:tblW w:w="0" w:type="auto"/>
        <w:jc w:val="center"/>
        <w:tblLook w:val="04A0" w:firstRow="1" w:lastRow="0" w:firstColumn="1" w:lastColumn="0" w:noHBand="0" w:noVBand="1"/>
      </w:tblPr>
      <w:tblGrid>
        <w:gridCol w:w="554"/>
        <w:gridCol w:w="2648"/>
        <w:gridCol w:w="1590"/>
        <w:gridCol w:w="2648"/>
        <w:gridCol w:w="1622"/>
      </w:tblGrid>
      <w:tr w:rsidR="00BA2A9F" w:rsidRPr="00877BFF" w14:paraId="4FA1B886" w14:textId="77777777" w:rsidTr="001352D7">
        <w:trPr>
          <w:trHeight w:val="530"/>
          <w:jc w:val="center"/>
        </w:trPr>
        <w:tc>
          <w:tcPr>
            <w:tcW w:w="578" w:type="dxa"/>
            <w:shd w:val="clear" w:color="auto" w:fill="ACB9CA" w:themeFill="text2" w:themeFillTint="66"/>
          </w:tcPr>
          <w:p w14:paraId="5327146E" w14:textId="77777777" w:rsidR="00BA2A9F" w:rsidRPr="00877BFF" w:rsidRDefault="00BA2A9F" w:rsidP="00877BFF">
            <w:pPr>
              <w:jc w:val="center"/>
              <w:rPr>
                <w:rFonts w:ascii="Palatino Linotype" w:hAnsi="Palatino Linotype" w:cs="Arial"/>
                <w:b/>
                <w:lang w:val="es-ES"/>
              </w:rPr>
            </w:pPr>
            <w:r w:rsidRPr="00877BFF">
              <w:rPr>
                <w:rFonts w:ascii="Palatino Linotype" w:hAnsi="Palatino Linotype" w:cs="Arial"/>
                <w:b/>
                <w:lang w:val="es-ES"/>
              </w:rPr>
              <w:t>No.</w:t>
            </w:r>
          </w:p>
        </w:tc>
        <w:tc>
          <w:tcPr>
            <w:tcW w:w="2816" w:type="dxa"/>
            <w:shd w:val="clear" w:color="auto" w:fill="ACB9CA" w:themeFill="text2" w:themeFillTint="66"/>
          </w:tcPr>
          <w:p w14:paraId="1D47ACFC" w14:textId="77777777" w:rsidR="00BA2A9F" w:rsidRPr="00877BFF" w:rsidRDefault="00BA2A9F" w:rsidP="00877BFF">
            <w:pPr>
              <w:jc w:val="center"/>
              <w:rPr>
                <w:rFonts w:ascii="Palatino Linotype" w:hAnsi="Palatino Linotype" w:cs="Arial"/>
                <w:b/>
                <w:lang w:val="es-ES"/>
              </w:rPr>
            </w:pPr>
            <w:r w:rsidRPr="00877BFF">
              <w:rPr>
                <w:rFonts w:ascii="Palatino Linotype" w:hAnsi="Palatino Linotype" w:cs="Arial"/>
                <w:b/>
                <w:lang w:val="es-ES"/>
              </w:rPr>
              <w:t>Requerimiento</w:t>
            </w:r>
          </w:p>
        </w:tc>
        <w:tc>
          <w:tcPr>
            <w:tcW w:w="1671" w:type="dxa"/>
            <w:shd w:val="clear" w:color="auto" w:fill="ACB9CA" w:themeFill="text2" w:themeFillTint="66"/>
          </w:tcPr>
          <w:p w14:paraId="61C3FE09" w14:textId="77777777" w:rsidR="00BA2A9F" w:rsidRPr="00877BFF" w:rsidRDefault="00BA2A9F" w:rsidP="00877BFF">
            <w:pPr>
              <w:jc w:val="center"/>
              <w:rPr>
                <w:rFonts w:ascii="Palatino Linotype" w:hAnsi="Palatino Linotype" w:cs="Arial"/>
                <w:b/>
                <w:lang w:val="es-ES"/>
              </w:rPr>
            </w:pPr>
            <w:r w:rsidRPr="00877BFF">
              <w:rPr>
                <w:rFonts w:ascii="Palatino Linotype" w:hAnsi="Palatino Linotype" w:cs="Arial"/>
                <w:b/>
                <w:lang w:val="es-ES"/>
              </w:rPr>
              <w:t>Respuesta</w:t>
            </w:r>
          </w:p>
        </w:tc>
        <w:tc>
          <w:tcPr>
            <w:tcW w:w="2003" w:type="dxa"/>
            <w:shd w:val="clear" w:color="auto" w:fill="ACB9CA" w:themeFill="text2" w:themeFillTint="66"/>
          </w:tcPr>
          <w:p w14:paraId="36F58BD7" w14:textId="77777777" w:rsidR="00BA2A9F" w:rsidRPr="00877BFF" w:rsidRDefault="00BA2A9F" w:rsidP="00877BFF">
            <w:pPr>
              <w:jc w:val="center"/>
              <w:rPr>
                <w:rFonts w:ascii="Palatino Linotype" w:hAnsi="Palatino Linotype" w:cs="Arial"/>
                <w:b/>
                <w:lang w:val="es-ES"/>
              </w:rPr>
            </w:pPr>
            <w:r w:rsidRPr="00877BFF">
              <w:rPr>
                <w:rFonts w:ascii="Palatino Linotype" w:hAnsi="Palatino Linotype" w:cs="Arial"/>
                <w:b/>
                <w:lang w:val="es-ES"/>
              </w:rPr>
              <w:t>Informe justificado</w:t>
            </w:r>
          </w:p>
        </w:tc>
        <w:tc>
          <w:tcPr>
            <w:tcW w:w="1994" w:type="dxa"/>
            <w:shd w:val="clear" w:color="auto" w:fill="ACB9CA" w:themeFill="text2" w:themeFillTint="66"/>
          </w:tcPr>
          <w:p w14:paraId="05029884" w14:textId="77777777" w:rsidR="00BA2A9F" w:rsidRPr="00877BFF" w:rsidRDefault="00BA2A9F" w:rsidP="00877BFF">
            <w:pPr>
              <w:jc w:val="center"/>
              <w:rPr>
                <w:rFonts w:ascii="Palatino Linotype" w:hAnsi="Palatino Linotype" w:cs="Arial"/>
                <w:b/>
                <w:lang w:val="es-ES"/>
              </w:rPr>
            </w:pPr>
            <w:r w:rsidRPr="00877BFF">
              <w:rPr>
                <w:rFonts w:ascii="Palatino Linotype" w:hAnsi="Palatino Linotype" w:cs="Arial"/>
                <w:b/>
                <w:lang w:val="es-ES"/>
              </w:rPr>
              <w:t>Determinación si satisface</w:t>
            </w:r>
          </w:p>
        </w:tc>
      </w:tr>
      <w:tr w:rsidR="001352D7" w:rsidRPr="00877BFF" w14:paraId="2EEB7D32" w14:textId="77777777" w:rsidTr="001352D7">
        <w:trPr>
          <w:trHeight w:val="530"/>
          <w:jc w:val="center"/>
        </w:trPr>
        <w:tc>
          <w:tcPr>
            <w:tcW w:w="578" w:type="dxa"/>
            <w:shd w:val="clear" w:color="auto" w:fill="D5DCE4" w:themeFill="text2" w:themeFillTint="33"/>
          </w:tcPr>
          <w:p w14:paraId="0A30CBD8" w14:textId="77777777" w:rsidR="001352D7" w:rsidRPr="00877BFF" w:rsidRDefault="001352D7" w:rsidP="00877BFF">
            <w:pPr>
              <w:jc w:val="both"/>
              <w:rPr>
                <w:rFonts w:ascii="Palatino Linotype" w:hAnsi="Palatino Linotype" w:cs="Arial"/>
                <w:lang w:val="es-ES"/>
              </w:rPr>
            </w:pPr>
          </w:p>
          <w:p w14:paraId="0D08C4CF" w14:textId="77777777" w:rsidR="001352D7" w:rsidRPr="00877BFF" w:rsidRDefault="001352D7" w:rsidP="00877BFF">
            <w:pPr>
              <w:jc w:val="both"/>
              <w:rPr>
                <w:rFonts w:ascii="Palatino Linotype" w:hAnsi="Palatino Linotype" w:cs="Arial"/>
                <w:lang w:val="es-ES"/>
              </w:rPr>
            </w:pPr>
            <w:r w:rsidRPr="00877BFF">
              <w:rPr>
                <w:rFonts w:ascii="Palatino Linotype" w:hAnsi="Palatino Linotype" w:cs="Arial"/>
                <w:lang w:val="es-ES"/>
              </w:rPr>
              <w:t>2</w:t>
            </w:r>
          </w:p>
        </w:tc>
        <w:tc>
          <w:tcPr>
            <w:tcW w:w="2816" w:type="dxa"/>
            <w:shd w:val="clear" w:color="auto" w:fill="D5DCE4" w:themeFill="text2" w:themeFillTint="33"/>
          </w:tcPr>
          <w:p w14:paraId="2472FA8A" w14:textId="77777777" w:rsidR="001352D7" w:rsidRPr="00877BFF" w:rsidRDefault="001352D7" w:rsidP="00877BFF">
            <w:pPr>
              <w:jc w:val="both"/>
              <w:rPr>
                <w:rFonts w:ascii="Palatino Linotype" w:hAnsi="Palatino Linotype" w:cs="Arial"/>
                <w:lang w:val="es-ES"/>
              </w:rPr>
            </w:pPr>
            <w:r w:rsidRPr="00877BFF">
              <w:rPr>
                <w:rFonts w:ascii="Palatino Linotype" w:hAnsi="Palatino Linotype" w:cs="Arial"/>
                <w:lang w:val="es-ES"/>
              </w:rPr>
              <w:t>autorizaciones que tiene la ASOCIACION DE PROPIETARIOS, OPERADORES Y AUTOTRANSPORTISTAS DE ACATLAN, S.A. DE C.V.</w:t>
            </w:r>
          </w:p>
        </w:tc>
        <w:tc>
          <w:tcPr>
            <w:tcW w:w="1671" w:type="dxa"/>
            <w:shd w:val="clear" w:color="auto" w:fill="D5DCE4" w:themeFill="text2" w:themeFillTint="33"/>
          </w:tcPr>
          <w:p w14:paraId="6A024298" w14:textId="77777777" w:rsidR="001352D7" w:rsidRPr="00877BFF" w:rsidRDefault="001352D7" w:rsidP="00877BFF">
            <w:pPr>
              <w:jc w:val="both"/>
              <w:rPr>
                <w:rFonts w:ascii="Palatino Linotype" w:hAnsi="Palatino Linotype" w:cs="Arial"/>
                <w:lang w:val="es-ES"/>
              </w:rPr>
            </w:pPr>
            <w:r w:rsidRPr="00877BFF">
              <w:rPr>
                <w:rFonts w:ascii="Palatino Linotype" w:hAnsi="Palatino Linotype" w:cs="Arial"/>
              </w:rPr>
              <w:t xml:space="preserve">Remite listado que contiene 11 (once) registros de las autorizaciones, otorgadas a la persona jurídica colectiva peticionada </w:t>
            </w:r>
          </w:p>
        </w:tc>
        <w:tc>
          <w:tcPr>
            <w:tcW w:w="2003" w:type="dxa"/>
            <w:shd w:val="clear" w:color="auto" w:fill="D5DCE4" w:themeFill="text2" w:themeFillTint="33"/>
          </w:tcPr>
          <w:p w14:paraId="73C19F7A" w14:textId="77777777" w:rsidR="001352D7" w:rsidRPr="00877BFF" w:rsidRDefault="001352D7" w:rsidP="001352D7">
            <w:pPr>
              <w:jc w:val="center"/>
              <w:rPr>
                <w:rFonts w:ascii="Palatino Linotype" w:hAnsi="Palatino Linotype" w:cs="Arial"/>
              </w:rPr>
            </w:pPr>
          </w:p>
          <w:p w14:paraId="660FF87D" w14:textId="77777777" w:rsidR="001352D7" w:rsidRPr="00877BFF" w:rsidRDefault="001352D7" w:rsidP="001352D7">
            <w:pPr>
              <w:jc w:val="center"/>
              <w:rPr>
                <w:rFonts w:ascii="Palatino Linotype" w:hAnsi="Palatino Linotype" w:cs="Arial"/>
                <w:lang w:val="es-ES"/>
              </w:rPr>
            </w:pPr>
            <w:r w:rsidRPr="00877BFF">
              <w:rPr>
                <w:rFonts w:ascii="Palatino Linotype" w:hAnsi="Palatino Linotype" w:cs="Arial"/>
              </w:rPr>
              <w:t>ratifica</w:t>
            </w:r>
          </w:p>
        </w:tc>
        <w:tc>
          <w:tcPr>
            <w:tcW w:w="1994" w:type="dxa"/>
            <w:shd w:val="clear" w:color="auto" w:fill="D5DCE4" w:themeFill="text2" w:themeFillTint="33"/>
          </w:tcPr>
          <w:p w14:paraId="0DBCC647" w14:textId="77777777" w:rsidR="001352D7" w:rsidRPr="00877BFF" w:rsidRDefault="001352D7" w:rsidP="00877BFF">
            <w:pPr>
              <w:jc w:val="center"/>
              <w:rPr>
                <w:rFonts w:ascii="Palatino Linotype" w:hAnsi="Palatino Linotype" w:cs="Arial"/>
                <w:lang w:val="es-ES"/>
              </w:rPr>
            </w:pPr>
          </w:p>
          <w:p w14:paraId="1E0F56BB" w14:textId="77777777" w:rsidR="001352D7" w:rsidRPr="00877BFF" w:rsidRDefault="001352D7" w:rsidP="00877BFF">
            <w:pPr>
              <w:jc w:val="center"/>
              <w:rPr>
                <w:rFonts w:ascii="Palatino Linotype" w:hAnsi="Palatino Linotype" w:cs="Arial"/>
                <w:lang w:val="es-ES"/>
              </w:rPr>
            </w:pPr>
            <w:r w:rsidRPr="00877BFF">
              <w:rPr>
                <w:rFonts w:ascii="Palatino Linotype" w:hAnsi="Palatino Linotype" w:cs="Arial"/>
                <w:lang w:val="es-ES"/>
              </w:rPr>
              <w:t>No satisface</w:t>
            </w:r>
          </w:p>
          <w:p w14:paraId="4D7EFB9B" w14:textId="77777777" w:rsidR="001352D7" w:rsidRPr="00877BFF" w:rsidRDefault="001352D7" w:rsidP="00877BFF">
            <w:pPr>
              <w:jc w:val="center"/>
              <w:rPr>
                <w:rFonts w:ascii="Palatino Linotype" w:hAnsi="Palatino Linotype" w:cs="Arial"/>
                <w:lang w:val="es-ES"/>
              </w:rPr>
            </w:pPr>
          </w:p>
          <w:p w14:paraId="1B874194" w14:textId="77777777" w:rsidR="001352D7" w:rsidRPr="00877BFF" w:rsidRDefault="001352D7" w:rsidP="001352D7">
            <w:pPr>
              <w:jc w:val="both"/>
              <w:rPr>
                <w:rFonts w:ascii="Palatino Linotype" w:hAnsi="Palatino Linotype" w:cs="Arial"/>
                <w:lang w:val="es-ES"/>
              </w:rPr>
            </w:pPr>
            <w:r w:rsidRPr="00877BFF">
              <w:rPr>
                <w:rFonts w:ascii="Palatino Linotype" w:hAnsi="Palatino Linotype" w:cs="Arial"/>
                <w:lang w:val="es-ES"/>
              </w:rPr>
              <w:t>Toda vez que únicamente proporciona el listado de las 11 (once) autorizaciones otorgadas</w:t>
            </w:r>
          </w:p>
        </w:tc>
      </w:tr>
      <w:tr w:rsidR="001352D7" w:rsidRPr="00877BFF" w14:paraId="66E19B76" w14:textId="77777777" w:rsidTr="001352D7">
        <w:trPr>
          <w:trHeight w:val="762"/>
          <w:jc w:val="center"/>
        </w:trPr>
        <w:tc>
          <w:tcPr>
            <w:tcW w:w="578" w:type="dxa"/>
            <w:shd w:val="clear" w:color="auto" w:fill="ACB9CA" w:themeFill="text2" w:themeFillTint="66"/>
          </w:tcPr>
          <w:p w14:paraId="1B2EA402" w14:textId="77777777" w:rsidR="001352D7" w:rsidRPr="00877BFF" w:rsidRDefault="001352D7" w:rsidP="00877BFF">
            <w:pPr>
              <w:jc w:val="center"/>
              <w:rPr>
                <w:rFonts w:ascii="Palatino Linotype" w:hAnsi="Palatino Linotype" w:cs="Arial"/>
                <w:lang w:val="es-ES"/>
              </w:rPr>
            </w:pPr>
          </w:p>
          <w:p w14:paraId="6756A715" w14:textId="77777777" w:rsidR="001352D7" w:rsidRPr="00877BFF" w:rsidRDefault="001352D7" w:rsidP="00877BFF">
            <w:pPr>
              <w:jc w:val="center"/>
              <w:rPr>
                <w:rFonts w:ascii="Palatino Linotype" w:hAnsi="Palatino Linotype" w:cs="Arial"/>
                <w:lang w:val="es-ES"/>
              </w:rPr>
            </w:pPr>
            <w:r w:rsidRPr="00877BFF">
              <w:rPr>
                <w:rFonts w:ascii="Palatino Linotype" w:hAnsi="Palatino Linotype" w:cs="Arial"/>
                <w:lang w:val="es-ES"/>
              </w:rPr>
              <w:t>2.1</w:t>
            </w:r>
          </w:p>
        </w:tc>
        <w:tc>
          <w:tcPr>
            <w:tcW w:w="2816" w:type="dxa"/>
            <w:shd w:val="clear" w:color="auto" w:fill="ACB9CA" w:themeFill="text2" w:themeFillTint="66"/>
          </w:tcPr>
          <w:p w14:paraId="0254BFFA" w14:textId="77777777" w:rsidR="001352D7" w:rsidRPr="00877BFF" w:rsidRDefault="001352D7" w:rsidP="00877BFF">
            <w:pPr>
              <w:jc w:val="both"/>
              <w:rPr>
                <w:rFonts w:ascii="Palatino Linotype" w:hAnsi="Palatino Linotype" w:cs="Arial"/>
                <w:lang w:val="es-ES"/>
              </w:rPr>
            </w:pPr>
          </w:p>
          <w:p w14:paraId="08558A27" w14:textId="77777777" w:rsidR="001352D7" w:rsidRPr="00877BFF" w:rsidRDefault="001352D7" w:rsidP="00877BFF">
            <w:pPr>
              <w:jc w:val="both"/>
              <w:rPr>
                <w:rFonts w:ascii="Palatino Linotype" w:hAnsi="Palatino Linotype" w:cs="Arial"/>
                <w:lang w:val="es-ES"/>
              </w:rPr>
            </w:pPr>
            <w:r w:rsidRPr="00877BFF">
              <w:rPr>
                <w:rFonts w:ascii="Palatino Linotype" w:hAnsi="Palatino Linotype" w:cs="Arial"/>
                <w:lang w:val="es-ES"/>
              </w:rPr>
              <w:t>a nombre de quien estas</w:t>
            </w:r>
          </w:p>
        </w:tc>
        <w:tc>
          <w:tcPr>
            <w:tcW w:w="1671" w:type="dxa"/>
            <w:shd w:val="clear" w:color="auto" w:fill="D5DCE4" w:themeFill="text2" w:themeFillTint="33"/>
          </w:tcPr>
          <w:p w14:paraId="54A1B3B7" w14:textId="77777777" w:rsidR="001352D7" w:rsidRPr="00877BFF" w:rsidRDefault="00877BFF" w:rsidP="00877BFF">
            <w:pPr>
              <w:jc w:val="both"/>
              <w:rPr>
                <w:rFonts w:ascii="Palatino Linotype" w:hAnsi="Palatino Linotype" w:cs="Arial"/>
                <w:lang w:val="es-ES"/>
              </w:rPr>
            </w:pPr>
            <w:r w:rsidRPr="00877BFF">
              <w:rPr>
                <w:rFonts w:ascii="Palatino Linotype" w:hAnsi="Palatino Linotype" w:cs="Arial"/>
                <w:lang w:val="es-ES"/>
              </w:rPr>
              <w:t xml:space="preserve">Si bien no se pronuncia, del contenido del archivo se aprecia que la información corresponde a las autorizaciones a favor de la persona jurídica colectiva </w:t>
            </w:r>
            <w:r w:rsidR="00E55632" w:rsidRPr="00877BFF">
              <w:rPr>
                <w:rFonts w:ascii="Palatino Linotype" w:hAnsi="Palatino Linotype" w:cs="Arial"/>
                <w:lang w:val="es-ES"/>
              </w:rPr>
              <w:t>peticionada</w:t>
            </w:r>
          </w:p>
        </w:tc>
        <w:tc>
          <w:tcPr>
            <w:tcW w:w="2003" w:type="dxa"/>
            <w:shd w:val="clear" w:color="auto" w:fill="ACB9CA" w:themeFill="text2" w:themeFillTint="66"/>
          </w:tcPr>
          <w:p w14:paraId="5A785121" w14:textId="77777777" w:rsidR="001352D7" w:rsidRPr="00877BFF" w:rsidRDefault="001352D7" w:rsidP="00877BFF">
            <w:pPr>
              <w:jc w:val="both"/>
              <w:rPr>
                <w:rFonts w:ascii="Palatino Linotype" w:hAnsi="Palatino Linotype" w:cs="Arial"/>
                <w:lang w:val="es-ES"/>
              </w:rPr>
            </w:pPr>
            <w:r w:rsidRPr="00877BFF">
              <w:rPr>
                <w:rFonts w:ascii="Palatino Linotype" w:hAnsi="Palatino Linotype" w:cs="Arial"/>
                <w:lang w:val="es-ES"/>
              </w:rPr>
              <w:t>“…por lo que se refiere al apartado relativo a •nombre de quien estas" (sic), la persona moral que tiene a su favor las concesiones y autorizaciones requeridas es la denominada ASOCIACIÓN DE PROPIETARIOS, OPERADORES Y AUTOTRANSPORTISTAS DE ACATLAN, S.A. DE C.V."</w:t>
            </w:r>
          </w:p>
        </w:tc>
        <w:tc>
          <w:tcPr>
            <w:tcW w:w="1994" w:type="dxa"/>
            <w:shd w:val="clear" w:color="auto" w:fill="ACB9CA" w:themeFill="text2" w:themeFillTint="66"/>
          </w:tcPr>
          <w:p w14:paraId="54CD51DA" w14:textId="77777777" w:rsidR="001352D7" w:rsidRPr="00877BFF" w:rsidRDefault="001352D7" w:rsidP="00877BFF">
            <w:pPr>
              <w:jc w:val="center"/>
              <w:rPr>
                <w:rFonts w:ascii="Palatino Linotype" w:hAnsi="Palatino Linotype" w:cs="Arial"/>
                <w:lang w:val="es-ES"/>
              </w:rPr>
            </w:pPr>
          </w:p>
          <w:p w14:paraId="63CA037E" w14:textId="77777777" w:rsidR="001352D7" w:rsidRPr="00877BFF" w:rsidRDefault="001352D7" w:rsidP="00877BFF">
            <w:pPr>
              <w:jc w:val="center"/>
              <w:rPr>
                <w:rFonts w:ascii="Palatino Linotype" w:hAnsi="Palatino Linotype" w:cs="Arial"/>
                <w:lang w:val="es-ES"/>
              </w:rPr>
            </w:pPr>
            <w:r w:rsidRPr="00877BFF">
              <w:rPr>
                <w:rFonts w:ascii="Palatino Linotype" w:hAnsi="Palatino Linotype" w:cs="Arial"/>
                <w:lang w:val="es-ES"/>
              </w:rPr>
              <w:t>Colmado</w:t>
            </w:r>
          </w:p>
          <w:p w14:paraId="57F4D6CF" w14:textId="77777777" w:rsidR="001352D7" w:rsidRPr="00877BFF" w:rsidRDefault="001352D7" w:rsidP="00877BFF">
            <w:pPr>
              <w:jc w:val="both"/>
              <w:rPr>
                <w:rFonts w:ascii="Palatino Linotype" w:hAnsi="Palatino Linotype" w:cs="Arial"/>
                <w:lang w:val="es-ES"/>
              </w:rPr>
            </w:pPr>
          </w:p>
        </w:tc>
      </w:tr>
      <w:tr w:rsidR="001352D7" w:rsidRPr="00877BFF" w14:paraId="7E70CFA0" w14:textId="77777777" w:rsidTr="001352D7">
        <w:trPr>
          <w:trHeight w:val="762"/>
          <w:jc w:val="center"/>
        </w:trPr>
        <w:tc>
          <w:tcPr>
            <w:tcW w:w="578" w:type="dxa"/>
            <w:shd w:val="clear" w:color="auto" w:fill="ACB9CA" w:themeFill="text2" w:themeFillTint="66"/>
          </w:tcPr>
          <w:p w14:paraId="7815FD04" w14:textId="77777777" w:rsidR="001352D7" w:rsidRPr="00877BFF" w:rsidRDefault="001352D7" w:rsidP="00877BFF">
            <w:pPr>
              <w:jc w:val="center"/>
              <w:rPr>
                <w:rFonts w:ascii="Palatino Linotype" w:hAnsi="Palatino Linotype" w:cs="Arial"/>
                <w:lang w:val="es-ES"/>
              </w:rPr>
            </w:pPr>
            <w:r w:rsidRPr="00877BFF">
              <w:rPr>
                <w:rFonts w:ascii="Palatino Linotype" w:hAnsi="Palatino Linotype" w:cs="Arial"/>
                <w:lang w:val="es-ES"/>
              </w:rPr>
              <w:t>2.2</w:t>
            </w:r>
          </w:p>
        </w:tc>
        <w:tc>
          <w:tcPr>
            <w:tcW w:w="2816" w:type="dxa"/>
            <w:shd w:val="clear" w:color="auto" w:fill="ACB9CA" w:themeFill="text2" w:themeFillTint="66"/>
          </w:tcPr>
          <w:p w14:paraId="7E988C05" w14:textId="77777777" w:rsidR="001352D7" w:rsidRPr="00877BFF" w:rsidRDefault="001352D7" w:rsidP="00877BFF">
            <w:pPr>
              <w:jc w:val="both"/>
              <w:rPr>
                <w:rFonts w:ascii="Palatino Linotype" w:hAnsi="Palatino Linotype" w:cs="Arial"/>
                <w:lang w:val="es-ES"/>
              </w:rPr>
            </w:pPr>
            <w:r w:rsidRPr="00877BFF">
              <w:rPr>
                <w:rFonts w:ascii="Palatino Linotype" w:hAnsi="Palatino Linotype" w:cs="Arial"/>
                <w:lang w:val="es-ES"/>
              </w:rPr>
              <w:t>origen destino de la mismas</w:t>
            </w:r>
          </w:p>
        </w:tc>
        <w:tc>
          <w:tcPr>
            <w:tcW w:w="1671" w:type="dxa"/>
            <w:shd w:val="clear" w:color="auto" w:fill="D5DCE4" w:themeFill="text2" w:themeFillTint="33"/>
          </w:tcPr>
          <w:p w14:paraId="3D40888A" w14:textId="77777777" w:rsidR="001352D7" w:rsidRPr="00877BFF" w:rsidRDefault="001352D7" w:rsidP="001352D7">
            <w:pPr>
              <w:jc w:val="both"/>
              <w:rPr>
                <w:rFonts w:ascii="Palatino Linotype" w:eastAsia="Times New Roman" w:hAnsi="Palatino Linotype" w:cs="Arial"/>
                <w:szCs w:val="24"/>
                <w:lang w:val="es-ES" w:eastAsia="es-ES"/>
              </w:rPr>
            </w:pPr>
            <w:r w:rsidRPr="00877BFF">
              <w:rPr>
                <w:rFonts w:ascii="Palatino Linotype" w:eastAsia="Times New Roman" w:hAnsi="Palatino Linotype" w:cs="Arial"/>
                <w:szCs w:val="24"/>
                <w:lang w:val="es-ES" w:eastAsia="es-ES"/>
              </w:rPr>
              <w:t>El archivo proporcionado Se advierte el origen y destino de los derroteros autorizados (rutas)</w:t>
            </w:r>
          </w:p>
        </w:tc>
        <w:tc>
          <w:tcPr>
            <w:tcW w:w="2003" w:type="dxa"/>
            <w:shd w:val="clear" w:color="auto" w:fill="ACB9CA" w:themeFill="text2" w:themeFillTint="66"/>
          </w:tcPr>
          <w:p w14:paraId="6FC2DF2F" w14:textId="77777777" w:rsidR="001352D7" w:rsidRPr="00877BFF" w:rsidRDefault="001352D7" w:rsidP="001352D7">
            <w:pPr>
              <w:jc w:val="center"/>
              <w:rPr>
                <w:rFonts w:ascii="Palatino Linotype" w:hAnsi="Palatino Linotype" w:cs="Arial"/>
                <w:lang w:val="es-ES"/>
              </w:rPr>
            </w:pPr>
          </w:p>
          <w:p w14:paraId="21F9121A" w14:textId="77777777" w:rsidR="001352D7" w:rsidRPr="00877BFF" w:rsidRDefault="001352D7" w:rsidP="001352D7">
            <w:pPr>
              <w:jc w:val="center"/>
              <w:rPr>
                <w:rFonts w:ascii="Palatino Linotype" w:hAnsi="Palatino Linotype" w:cs="Arial"/>
                <w:lang w:val="es-ES"/>
              </w:rPr>
            </w:pPr>
            <w:r w:rsidRPr="00877BFF">
              <w:rPr>
                <w:rFonts w:ascii="Palatino Linotype" w:hAnsi="Palatino Linotype" w:cs="Arial"/>
                <w:lang w:val="es-ES"/>
              </w:rPr>
              <w:t>ratifica</w:t>
            </w:r>
          </w:p>
        </w:tc>
        <w:tc>
          <w:tcPr>
            <w:tcW w:w="1994" w:type="dxa"/>
            <w:shd w:val="clear" w:color="auto" w:fill="ACB9CA" w:themeFill="text2" w:themeFillTint="66"/>
          </w:tcPr>
          <w:p w14:paraId="6B382504" w14:textId="77777777" w:rsidR="001352D7" w:rsidRPr="00877BFF" w:rsidRDefault="001352D7" w:rsidP="00877BFF">
            <w:pPr>
              <w:jc w:val="center"/>
              <w:rPr>
                <w:rFonts w:ascii="Palatino Linotype" w:hAnsi="Palatino Linotype" w:cs="Arial"/>
                <w:lang w:val="es-ES"/>
              </w:rPr>
            </w:pPr>
          </w:p>
          <w:p w14:paraId="63F105C9" w14:textId="77777777" w:rsidR="001352D7" w:rsidRPr="00877BFF" w:rsidRDefault="001352D7" w:rsidP="001352D7">
            <w:pPr>
              <w:jc w:val="center"/>
              <w:rPr>
                <w:rFonts w:ascii="Palatino Linotype" w:hAnsi="Palatino Linotype" w:cs="Arial"/>
                <w:lang w:val="es-ES"/>
              </w:rPr>
            </w:pPr>
            <w:r w:rsidRPr="00877BFF">
              <w:rPr>
                <w:rFonts w:ascii="Palatino Linotype" w:hAnsi="Palatino Linotype" w:cs="Arial"/>
                <w:lang w:val="es-ES"/>
              </w:rPr>
              <w:t>Colmado</w:t>
            </w:r>
          </w:p>
          <w:p w14:paraId="3077C943" w14:textId="77777777" w:rsidR="001352D7" w:rsidRPr="00877BFF" w:rsidRDefault="001352D7" w:rsidP="00877BFF">
            <w:pPr>
              <w:jc w:val="center"/>
              <w:rPr>
                <w:rFonts w:ascii="Palatino Linotype" w:hAnsi="Palatino Linotype" w:cs="Arial"/>
                <w:lang w:val="es-ES"/>
              </w:rPr>
            </w:pPr>
          </w:p>
        </w:tc>
      </w:tr>
    </w:tbl>
    <w:p w14:paraId="48DA277C" w14:textId="77777777" w:rsidR="00A35191" w:rsidRDefault="00A35191" w:rsidP="00A45BA5">
      <w:pPr>
        <w:spacing w:after="0" w:line="360" w:lineRule="auto"/>
        <w:jc w:val="both"/>
        <w:rPr>
          <w:rFonts w:ascii="Palatino Linotype" w:hAnsi="Palatino Linotype" w:cs="Arial"/>
          <w:sz w:val="24"/>
          <w:lang w:val="es-ES"/>
        </w:rPr>
      </w:pPr>
    </w:p>
    <w:p w14:paraId="74298B59" w14:textId="77777777" w:rsidR="00A45BA5" w:rsidRDefault="00A45BA5" w:rsidP="00A45BA5">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Comenzaremos </w:t>
      </w:r>
      <w:r w:rsidR="00E55632">
        <w:rPr>
          <w:rFonts w:ascii="Palatino Linotype" w:hAnsi="Palatino Linotype" w:cs="Arial"/>
          <w:sz w:val="24"/>
          <w:lang w:val="es-ES"/>
        </w:rPr>
        <w:t xml:space="preserve">señalando que la </w:t>
      </w:r>
      <w:r w:rsidR="00E55632" w:rsidRPr="00E55632">
        <w:rPr>
          <w:rFonts w:ascii="Palatino Linotype" w:hAnsi="Palatino Linotype" w:cs="Arial"/>
          <w:b/>
          <w:sz w:val="24"/>
          <w:lang w:val="es-ES"/>
        </w:rPr>
        <w:t>Recurrente</w:t>
      </w:r>
      <w:r w:rsidR="00E55632">
        <w:rPr>
          <w:rFonts w:ascii="Palatino Linotype" w:hAnsi="Palatino Linotype" w:cs="Arial"/>
          <w:sz w:val="24"/>
          <w:lang w:val="es-ES"/>
        </w:rPr>
        <w:t xml:space="preserve"> peticiona las autorizaciones otorgadas a la persona jurídica colectiva, el </w:t>
      </w:r>
      <w:r w:rsidR="00E55632" w:rsidRPr="00E55632">
        <w:rPr>
          <w:rFonts w:ascii="Palatino Linotype" w:hAnsi="Palatino Linotype" w:cs="Arial"/>
          <w:b/>
          <w:sz w:val="24"/>
          <w:lang w:val="es-ES"/>
        </w:rPr>
        <w:t>Sujeto Obligado</w:t>
      </w:r>
      <w:r w:rsidR="00E55632">
        <w:rPr>
          <w:rFonts w:ascii="Palatino Linotype" w:hAnsi="Palatino Linotype" w:cs="Arial"/>
          <w:sz w:val="24"/>
          <w:lang w:val="es-ES"/>
        </w:rPr>
        <w:t xml:space="preserve"> proporciona únicamente la relación de las 11 (once) autorizaciones otorgadas, sin hacer entrega de las mismas, adoleciéndose la Recurrente, en ese orden de ideas, resulta necesario traer a colación los artículos 50, 51, 52 y 53 del </w:t>
      </w:r>
      <w:r w:rsidR="00E55632" w:rsidRPr="00E55632">
        <w:rPr>
          <w:rFonts w:ascii="Palatino Linotype" w:hAnsi="Palatino Linotype" w:cs="Arial"/>
          <w:sz w:val="24"/>
          <w:lang w:val="es-ES"/>
        </w:rPr>
        <w:t>Reglamento de Transporte Público y Servicios Conexos del Estado de México</w:t>
      </w:r>
      <w:r w:rsidR="00E55632">
        <w:rPr>
          <w:rFonts w:ascii="Palatino Linotype" w:hAnsi="Palatino Linotype" w:cs="Arial"/>
          <w:sz w:val="24"/>
          <w:lang w:val="es-ES"/>
        </w:rPr>
        <w:t>, que disponen:</w:t>
      </w:r>
    </w:p>
    <w:p w14:paraId="78D3C439" w14:textId="77777777" w:rsidR="00E55632" w:rsidRDefault="00E55632" w:rsidP="00A45BA5">
      <w:pPr>
        <w:spacing w:after="0" w:line="360" w:lineRule="auto"/>
        <w:jc w:val="both"/>
        <w:rPr>
          <w:rFonts w:ascii="Palatino Linotype" w:hAnsi="Palatino Linotype" w:cs="Arial"/>
          <w:sz w:val="24"/>
          <w:lang w:val="es-ES"/>
        </w:rPr>
      </w:pPr>
    </w:p>
    <w:p w14:paraId="6F1BB850" w14:textId="77777777" w:rsidR="00E55632" w:rsidRPr="00A80D8E" w:rsidRDefault="002E50E2" w:rsidP="00E55632">
      <w:pPr>
        <w:spacing w:after="0" w:line="240" w:lineRule="auto"/>
        <w:ind w:left="567" w:right="567"/>
        <w:jc w:val="both"/>
        <w:rPr>
          <w:rFonts w:ascii="Palatino Linotype" w:hAnsi="Palatino Linotype" w:cs="Arial"/>
          <w:i/>
          <w:u w:val="single"/>
          <w:lang w:val="es-ES"/>
        </w:rPr>
      </w:pPr>
      <w:r>
        <w:rPr>
          <w:rFonts w:ascii="Palatino Linotype" w:hAnsi="Palatino Linotype" w:cs="Arial"/>
          <w:b/>
          <w:i/>
          <w:lang w:val="es-ES"/>
        </w:rPr>
        <w:t>“</w:t>
      </w:r>
      <w:r w:rsidR="00A80D8E" w:rsidRPr="00A80D8E">
        <w:rPr>
          <w:rFonts w:ascii="Palatino Linotype" w:hAnsi="Palatino Linotype" w:cs="Arial"/>
          <w:b/>
          <w:i/>
          <w:lang w:val="es-ES"/>
        </w:rPr>
        <w:t>ARTÍCULO</w:t>
      </w:r>
      <w:r w:rsidR="00E55632" w:rsidRPr="00A80D8E">
        <w:rPr>
          <w:rFonts w:ascii="Palatino Linotype" w:hAnsi="Palatino Linotype" w:cs="Arial"/>
          <w:b/>
          <w:i/>
          <w:lang w:val="es-ES"/>
        </w:rPr>
        <w:t xml:space="preserve"> 50.-</w:t>
      </w:r>
      <w:r w:rsidR="00E55632" w:rsidRPr="00E55632">
        <w:rPr>
          <w:rFonts w:ascii="Palatino Linotype" w:hAnsi="Palatino Linotype" w:cs="Arial"/>
          <w:i/>
          <w:lang w:val="es-ES"/>
        </w:rPr>
        <w:t xml:space="preserve"> Las autorizaciones serán complementarias de las concesiones y permisos, formarán</w:t>
      </w:r>
      <w:r w:rsidR="00E55632">
        <w:rPr>
          <w:rFonts w:ascii="Palatino Linotype" w:hAnsi="Palatino Linotype" w:cs="Arial"/>
          <w:i/>
          <w:lang w:val="es-ES"/>
        </w:rPr>
        <w:t xml:space="preserve"> </w:t>
      </w:r>
      <w:r w:rsidR="00E55632" w:rsidRPr="00E55632">
        <w:rPr>
          <w:rFonts w:ascii="Palatino Linotype" w:hAnsi="Palatino Linotype" w:cs="Arial"/>
          <w:i/>
          <w:lang w:val="es-ES"/>
        </w:rPr>
        <w:t xml:space="preserve">parte de los mismos, sólo </w:t>
      </w:r>
      <w:r w:rsidR="00E55632" w:rsidRPr="00A80D8E">
        <w:rPr>
          <w:rFonts w:ascii="Palatino Linotype" w:hAnsi="Palatino Linotype" w:cs="Arial"/>
          <w:i/>
          <w:u w:val="single"/>
          <w:lang w:val="es-ES"/>
        </w:rPr>
        <w:t>se expedirán por la misma autoridad que los hubiere otorgado y se inscribirán o anotarán en el Registro relacionándolas con la concesión o permiso que complementen.</w:t>
      </w:r>
    </w:p>
    <w:p w14:paraId="157ACDC6" w14:textId="77777777" w:rsidR="00E55632" w:rsidRPr="00E55632" w:rsidRDefault="00A80D8E" w:rsidP="00E55632">
      <w:pPr>
        <w:spacing w:after="0" w:line="240" w:lineRule="auto"/>
        <w:ind w:left="567" w:right="567"/>
        <w:jc w:val="both"/>
        <w:rPr>
          <w:rFonts w:ascii="Palatino Linotype" w:hAnsi="Palatino Linotype" w:cs="Arial"/>
          <w:i/>
          <w:lang w:val="es-ES"/>
        </w:rPr>
      </w:pPr>
      <w:r w:rsidRPr="00A80D8E">
        <w:rPr>
          <w:rFonts w:ascii="Palatino Linotype" w:hAnsi="Palatino Linotype" w:cs="Arial"/>
          <w:b/>
          <w:i/>
          <w:lang w:val="es-ES"/>
        </w:rPr>
        <w:lastRenderedPageBreak/>
        <w:t>ARTÍCULO</w:t>
      </w:r>
      <w:r w:rsidR="00E55632" w:rsidRPr="00A80D8E">
        <w:rPr>
          <w:rFonts w:ascii="Palatino Linotype" w:hAnsi="Palatino Linotype" w:cs="Arial"/>
          <w:b/>
          <w:i/>
          <w:lang w:val="es-ES"/>
        </w:rPr>
        <w:t xml:space="preserve"> 51.-</w:t>
      </w:r>
      <w:r w:rsidR="00E55632" w:rsidRPr="00E55632">
        <w:rPr>
          <w:rFonts w:ascii="Palatino Linotype" w:hAnsi="Palatino Linotype" w:cs="Arial"/>
          <w:i/>
          <w:lang w:val="es-ES"/>
        </w:rPr>
        <w:t xml:space="preserve"> Serán objeto de autorización:</w:t>
      </w:r>
    </w:p>
    <w:p w14:paraId="2334F062"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A80D8E">
        <w:rPr>
          <w:rFonts w:ascii="Palatino Linotype" w:hAnsi="Palatino Linotype" w:cs="Arial"/>
          <w:i/>
          <w:u w:val="single"/>
          <w:lang w:val="es-ES"/>
        </w:rPr>
        <w:t>I. Las rutas de transporte público</w:t>
      </w:r>
      <w:r w:rsidRPr="00E55632">
        <w:rPr>
          <w:rFonts w:ascii="Palatino Linotype" w:hAnsi="Palatino Linotype" w:cs="Arial"/>
          <w:i/>
          <w:lang w:val="es-ES"/>
        </w:rPr>
        <w:t>.</w:t>
      </w:r>
    </w:p>
    <w:p w14:paraId="40F6B612"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II. La modificación de las rutas del transporte público.</w:t>
      </w:r>
    </w:p>
    <w:p w14:paraId="53B39B8B"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III. La cromática de los vehículos y equipos afectos a los servicios de transporte público, arrastre y</w:t>
      </w:r>
      <w:r>
        <w:rPr>
          <w:rFonts w:ascii="Palatino Linotype" w:hAnsi="Palatino Linotype" w:cs="Arial"/>
          <w:i/>
          <w:lang w:val="es-ES"/>
        </w:rPr>
        <w:t xml:space="preserve"> </w:t>
      </w:r>
      <w:r w:rsidRPr="00E55632">
        <w:rPr>
          <w:rFonts w:ascii="Palatino Linotype" w:hAnsi="Palatino Linotype" w:cs="Arial"/>
          <w:i/>
          <w:lang w:val="es-ES"/>
        </w:rPr>
        <w:t>salvamento.</w:t>
      </w:r>
    </w:p>
    <w:p w14:paraId="2C62F685"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IV. Las tarifas a que se sujetará la operación de los servicios regulados en este Reglamento.</w:t>
      </w:r>
    </w:p>
    <w:p w14:paraId="6B9809AE"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V. Las bases, sitios y lanzaderas.</w:t>
      </w:r>
    </w:p>
    <w:p w14:paraId="42B84F59"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VI. Las que fueren consecuencia de la aprobación por la autoridad de transporte, de los convenios</w:t>
      </w:r>
      <w:r>
        <w:rPr>
          <w:rFonts w:ascii="Palatino Linotype" w:hAnsi="Palatino Linotype" w:cs="Arial"/>
          <w:i/>
          <w:lang w:val="es-ES"/>
        </w:rPr>
        <w:t xml:space="preserve"> </w:t>
      </w:r>
      <w:r w:rsidRPr="00E55632">
        <w:rPr>
          <w:rFonts w:ascii="Palatino Linotype" w:hAnsi="Palatino Linotype" w:cs="Arial"/>
          <w:i/>
          <w:lang w:val="es-ES"/>
        </w:rPr>
        <w:t>que celebren concesionarios diversos en los términos de este Reglamento.</w:t>
      </w:r>
    </w:p>
    <w:p w14:paraId="33C8DBFB" w14:textId="77777777" w:rsid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VII. La construcción, conservación y explotación de serv</w:t>
      </w:r>
      <w:r w:rsidR="00A80D8E">
        <w:rPr>
          <w:rFonts w:ascii="Palatino Linotype" w:hAnsi="Palatino Linotype" w:cs="Arial"/>
          <w:i/>
          <w:lang w:val="es-ES"/>
        </w:rPr>
        <w:t>icios complementarios que coady</w:t>
      </w:r>
      <w:r w:rsidRPr="00E55632">
        <w:rPr>
          <w:rFonts w:ascii="Palatino Linotype" w:hAnsi="Palatino Linotype" w:cs="Arial"/>
          <w:i/>
          <w:lang w:val="es-ES"/>
        </w:rPr>
        <w:t>uven al</w:t>
      </w:r>
      <w:r>
        <w:rPr>
          <w:rFonts w:ascii="Palatino Linotype" w:hAnsi="Palatino Linotype" w:cs="Arial"/>
          <w:i/>
          <w:lang w:val="es-ES"/>
        </w:rPr>
        <w:t xml:space="preserve"> </w:t>
      </w:r>
      <w:r w:rsidRPr="00E55632">
        <w:rPr>
          <w:rFonts w:ascii="Palatino Linotype" w:hAnsi="Palatino Linotype" w:cs="Arial"/>
          <w:i/>
          <w:lang w:val="es-ES"/>
        </w:rPr>
        <w:t>funcionamiento del sistema de transporte masivo, así como la ocupación de espacios para</w:t>
      </w:r>
      <w:r w:rsidR="00A80D8E">
        <w:rPr>
          <w:rFonts w:ascii="Palatino Linotype" w:hAnsi="Palatino Linotype" w:cs="Arial"/>
          <w:i/>
          <w:lang w:val="es-ES"/>
        </w:rPr>
        <w:t xml:space="preserve"> </w:t>
      </w:r>
      <w:r w:rsidRPr="00E55632">
        <w:rPr>
          <w:rFonts w:ascii="Palatino Linotype" w:hAnsi="Palatino Linotype" w:cs="Arial"/>
          <w:i/>
          <w:lang w:val="es-ES"/>
        </w:rPr>
        <w:t>servicios comerciales que se instalen en el interior y en el exterior de las estaciones.</w:t>
      </w:r>
    </w:p>
    <w:p w14:paraId="3BABED12" w14:textId="77777777" w:rsidR="00A80D8E" w:rsidRPr="00E55632" w:rsidRDefault="00A80D8E" w:rsidP="00E55632">
      <w:pPr>
        <w:spacing w:after="0" w:line="240" w:lineRule="auto"/>
        <w:ind w:left="567" w:right="567"/>
        <w:jc w:val="both"/>
        <w:rPr>
          <w:rFonts w:ascii="Palatino Linotype" w:hAnsi="Palatino Linotype" w:cs="Arial"/>
          <w:i/>
          <w:lang w:val="es-ES"/>
        </w:rPr>
      </w:pPr>
    </w:p>
    <w:p w14:paraId="4DB2B0EB" w14:textId="77777777" w:rsidR="00E55632" w:rsidRPr="00E55632" w:rsidRDefault="00A80D8E" w:rsidP="00E55632">
      <w:pPr>
        <w:spacing w:after="0" w:line="240" w:lineRule="auto"/>
        <w:ind w:left="567" w:right="567"/>
        <w:jc w:val="both"/>
        <w:rPr>
          <w:rFonts w:ascii="Palatino Linotype" w:hAnsi="Palatino Linotype" w:cs="Arial"/>
          <w:i/>
          <w:lang w:val="es-ES"/>
        </w:rPr>
      </w:pPr>
      <w:r w:rsidRPr="00A80D8E">
        <w:rPr>
          <w:rFonts w:ascii="Palatino Linotype" w:hAnsi="Palatino Linotype" w:cs="Arial"/>
          <w:b/>
          <w:i/>
          <w:lang w:val="es-ES"/>
        </w:rPr>
        <w:t>ARTÍCULO</w:t>
      </w:r>
      <w:r w:rsidR="00E55632" w:rsidRPr="00A80D8E">
        <w:rPr>
          <w:rFonts w:ascii="Palatino Linotype" w:hAnsi="Palatino Linotype" w:cs="Arial"/>
          <w:b/>
          <w:i/>
          <w:lang w:val="es-ES"/>
        </w:rPr>
        <w:t xml:space="preserve"> 52.-</w:t>
      </w:r>
      <w:r w:rsidR="00E55632" w:rsidRPr="00E55632">
        <w:rPr>
          <w:rFonts w:ascii="Palatino Linotype" w:hAnsi="Palatino Linotype" w:cs="Arial"/>
          <w:i/>
          <w:lang w:val="es-ES"/>
        </w:rPr>
        <w:t xml:space="preserve"> Para la expedición de autorizaciones se observará lo siguiente:</w:t>
      </w:r>
    </w:p>
    <w:p w14:paraId="5B39F7FE"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 xml:space="preserve">I. Las autorizaciones a que se refieren las fracciones I, II y IV, del </w:t>
      </w:r>
      <w:r w:rsidR="00A80D8E" w:rsidRPr="00E55632">
        <w:rPr>
          <w:rFonts w:ascii="Palatino Linotype" w:hAnsi="Palatino Linotype" w:cs="Arial"/>
          <w:i/>
          <w:lang w:val="es-ES"/>
        </w:rPr>
        <w:t>artículo</w:t>
      </w:r>
      <w:r w:rsidRPr="00E55632">
        <w:rPr>
          <w:rFonts w:ascii="Palatino Linotype" w:hAnsi="Palatino Linotype" w:cs="Arial"/>
          <w:i/>
          <w:lang w:val="es-ES"/>
        </w:rPr>
        <w:t xml:space="preserve"> anterior, las expedirá de</w:t>
      </w:r>
      <w:r w:rsidR="00A80D8E">
        <w:rPr>
          <w:rFonts w:ascii="Palatino Linotype" w:hAnsi="Palatino Linotype" w:cs="Arial"/>
          <w:i/>
          <w:lang w:val="es-ES"/>
        </w:rPr>
        <w:t xml:space="preserve"> </w:t>
      </w:r>
      <w:r w:rsidRPr="00E55632">
        <w:rPr>
          <w:rFonts w:ascii="Palatino Linotype" w:hAnsi="Palatino Linotype" w:cs="Arial"/>
          <w:i/>
          <w:lang w:val="es-ES"/>
        </w:rPr>
        <w:t>oficio la autoridad de transporte, en los términos del presente Reglamento.</w:t>
      </w:r>
    </w:p>
    <w:p w14:paraId="59EBB632"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II. Las demás autorizaciones a que se refiere el artículo anterior, se sujetan a solicitud de los</w:t>
      </w:r>
      <w:r w:rsidR="00A80D8E">
        <w:rPr>
          <w:rFonts w:ascii="Palatino Linotype" w:hAnsi="Palatino Linotype" w:cs="Arial"/>
          <w:i/>
          <w:lang w:val="es-ES"/>
        </w:rPr>
        <w:t xml:space="preserve"> </w:t>
      </w:r>
      <w:r w:rsidRPr="00E55632">
        <w:rPr>
          <w:rFonts w:ascii="Palatino Linotype" w:hAnsi="Palatino Linotype" w:cs="Arial"/>
          <w:i/>
          <w:lang w:val="es-ES"/>
        </w:rPr>
        <w:t>interesados, misma que contendrá los siguientes datos:</w:t>
      </w:r>
    </w:p>
    <w:p w14:paraId="42B97DB9"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a) Nombre y domicilio del solicitante.</w:t>
      </w:r>
    </w:p>
    <w:p w14:paraId="6118E8B6"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b) Datos de la concesión o permiso a que se refiera la solicitud.</w:t>
      </w:r>
    </w:p>
    <w:p w14:paraId="13A48B66"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c) Según se trate en la petición, descripción de la cromática que se solicite o en su caso,</w:t>
      </w:r>
      <w:r w:rsidR="00A80D8E">
        <w:rPr>
          <w:rFonts w:ascii="Palatino Linotype" w:hAnsi="Palatino Linotype" w:cs="Arial"/>
          <w:i/>
          <w:lang w:val="es-ES"/>
        </w:rPr>
        <w:t xml:space="preserve"> </w:t>
      </w:r>
      <w:r w:rsidRPr="00E55632">
        <w:rPr>
          <w:rFonts w:ascii="Palatino Linotype" w:hAnsi="Palatino Linotype" w:cs="Arial"/>
          <w:i/>
          <w:lang w:val="es-ES"/>
        </w:rPr>
        <w:t>señalamiento del lugar en que se pretenda ubicar la base, sitio o lanzadera.</w:t>
      </w:r>
    </w:p>
    <w:p w14:paraId="2A849682"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d) Documentos que acrediten la vigencia de la concesión o permiso.</w:t>
      </w:r>
    </w:p>
    <w:p w14:paraId="3B8EB385"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e) En su caso, los documentos que acrediten la factibilidad de uso del lugar señalado para la</w:t>
      </w:r>
      <w:r w:rsidR="00A80D8E">
        <w:rPr>
          <w:rFonts w:ascii="Palatino Linotype" w:hAnsi="Palatino Linotype" w:cs="Arial"/>
          <w:i/>
          <w:lang w:val="es-ES"/>
        </w:rPr>
        <w:t xml:space="preserve"> </w:t>
      </w:r>
      <w:r w:rsidRPr="00E55632">
        <w:rPr>
          <w:rFonts w:ascii="Palatino Linotype" w:hAnsi="Palatino Linotype" w:cs="Arial"/>
          <w:i/>
          <w:lang w:val="es-ES"/>
        </w:rPr>
        <w:t>ubicación de la base, sitio o lanzadera.</w:t>
      </w:r>
    </w:p>
    <w:p w14:paraId="6C89DB4B" w14:textId="77777777" w:rsidR="00E55632" w:rsidRP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III. Revisado por la autoridad el expediente formado con la solicitud correspondiente, si no existe</w:t>
      </w:r>
      <w:r w:rsidR="00A80D8E">
        <w:rPr>
          <w:rFonts w:ascii="Palatino Linotype" w:hAnsi="Palatino Linotype" w:cs="Arial"/>
          <w:i/>
          <w:lang w:val="es-ES"/>
        </w:rPr>
        <w:t xml:space="preserve"> </w:t>
      </w:r>
      <w:r w:rsidRPr="00E55632">
        <w:rPr>
          <w:rFonts w:ascii="Palatino Linotype" w:hAnsi="Palatino Linotype" w:cs="Arial"/>
          <w:i/>
          <w:lang w:val="es-ES"/>
        </w:rPr>
        <w:t>motivo de improcedencia por insatisfacción de requisitos o por perjudicar derechos de terceros,</w:t>
      </w:r>
      <w:r w:rsidR="00A80D8E">
        <w:rPr>
          <w:rFonts w:ascii="Palatino Linotype" w:hAnsi="Palatino Linotype" w:cs="Arial"/>
          <w:i/>
          <w:lang w:val="es-ES"/>
        </w:rPr>
        <w:t xml:space="preserve"> </w:t>
      </w:r>
      <w:r w:rsidRPr="00E55632">
        <w:rPr>
          <w:rFonts w:ascii="Palatino Linotype" w:hAnsi="Palatino Linotype" w:cs="Arial"/>
          <w:i/>
          <w:lang w:val="es-ES"/>
        </w:rPr>
        <w:t>se expedirá la autorización.</w:t>
      </w:r>
    </w:p>
    <w:p w14:paraId="7FAEAE40" w14:textId="77777777" w:rsidR="00E55632" w:rsidRDefault="00E55632" w:rsidP="00E55632">
      <w:pPr>
        <w:spacing w:after="0" w:line="240" w:lineRule="auto"/>
        <w:ind w:left="567" w:right="567"/>
        <w:jc w:val="both"/>
        <w:rPr>
          <w:rFonts w:ascii="Palatino Linotype" w:hAnsi="Palatino Linotype" w:cs="Arial"/>
          <w:i/>
          <w:lang w:val="es-ES"/>
        </w:rPr>
      </w:pPr>
      <w:r w:rsidRPr="00E55632">
        <w:rPr>
          <w:rFonts w:ascii="Palatino Linotype" w:hAnsi="Palatino Linotype" w:cs="Arial"/>
          <w:i/>
          <w:lang w:val="es-ES"/>
        </w:rPr>
        <w:t>IV. En todos los actos administrativos relacionados con las autorizaciones, la autoridad de</w:t>
      </w:r>
      <w:r w:rsidR="00A80D8E">
        <w:rPr>
          <w:rFonts w:ascii="Palatino Linotype" w:hAnsi="Palatino Linotype" w:cs="Arial"/>
          <w:i/>
          <w:lang w:val="es-ES"/>
        </w:rPr>
        <w:t xml:space="preserve"> </w:t>
      </w:r>
      <w:r w:rsidRPr="00E55632">
        <w:rPr>
          <w:rFonts w:ascii="Palatino Linotype" w:hAnsi="Palatino Linotype" w:cs="Arial"/>
          <w:i/>
          <w:lang w:val="es-ES"/>
        </w:rPr>
        <w:t>transporte sólo materializará el acto decisorio hasta en tanto se acredite con los recibos oficiales</w:t>
      </w:r>
      <w:r w:rsidR="00A80D8E">
        <w:rPr>
          <w:rFonts w:ascii="Palatino Linotype" w:hAnsi="Palatino Linotype" w:cs="Arial"/>
          <w:i/>
          <w:lang w:val="es-ES"/>
        </w:rPr>
        <w:t xml:space="preserve"> </w:t>
      </w:r>
      <w:r w:rsidRPr="00E55632">
        <w:rPr>
          <w:rFonts w:ascii="Palatino Linotype" w:hAnsi="Palatino Linotype" w:cs="Arial"/>
          <w:i/>
          <w:lang w:val="es-ES"/>
        </w:rPr>
        <w:t>haber realizado el entero correspondiente o la autoridad fiscal competente, expida el oficio en</w:t>
      </w:r>
      <w:r w:rsidR="00A80D8E">
        <w:rPr>
          <w:rFonts w:ascii="Palatino Linotype" w:hAnsi="Palatino Linotype" w:cs="Arial"/>
          <w:i/>
          <w:lang w:val="es-ES"/>
        </w:rPr>
        <w:t xml:space="preserve"> </w:t>
      </w:r>
      <w:r w:rsidRPr="00E55632">
        <w:rPr>
          <w:rFonts w:ascii="Palatino Linotype" w:hAnsi="Palatino Linotype" w:cs="Arial"/>
          <w:i/>
          <w:lang w:val="es-ES"/>
        </w:rPr>
        <w:t>que conste que los créditos fiscales derivados de tal acto están garantizados en términos de Ley.</w:t>
      </w:r>
    </w:p>
    <w:p w14:paraId="6B5FBD91" w14:textId="77777777" w:rsidR="00A80D8E" w:rsidRPr="00E55632" w:rsidRDefault="00A80D8E" w:rsidP="00E55632">
      <w:pPr>
        <w:spacing w:after="0" w:line="240" w:lineRule="auto"/>
        <w:ind w:left="567" w:right="567"/>
        <w:jc w:val="both"/>
        <w:rPr>
          <w:rFonts w:ascii="Palatino Linotype" w:hAnsi="Palatino Linotype" w:cs="Arial"/>
          <w:i/>
          <w:lang w:val="es-ES"/>
        </w:rPr>
      </w:pPr>
    </w:p>
    <w:p w14:paraId="52F8484E" w14:textId="77777777" w:rsidR="00E55632" w:rsidRDefault="00A80D8E" w:rsidP="00E55632">
      <w:pPr>
        <w:spacing w:after="0" w:line="240" w:lineRule="auto"/>
        <w:ind w:left="567" w:right="567"/>
        <w:jc w:val="both"/>
        <w:rPr>
          <w:rFonts w:ascii="Palatino Linotype" w:hAnsi="Palatino Linotype" w:cs="Arial"/>
          <w:lang w:val="es-ES"/>
        </w:rPr>
      </w:pPr>
      <w:r w:rsidRPr="00A80D8E">
        <w:rPr>
          <w:rFonts w:ascii="Palatino Linotype" w:hAnsi="Palatino Linotype" w:cs="Arial"/>
          <w:b/>
          <w:i/>
          <w:lang w:val="es-ES"/>
        </w:rPr>
        <w:t>ARTÍCULO</w:t>
      </w:r>
      <w:r w:rsidR="00E55632" w:rsidRPr="00A80D8E">
        <w:rPr>
          <w:rFonts w:ascii="Palatino Linotype" w:hAnsi="Palatino Linotype" w:cs="Arial"/>
          <w:b/>
          <w:i/>
          <w:lang w:val="es-ES"/>
        </w:rPr>
        <w:t xml:space="preserve"> 53.-</w:t>
      </w:r>
      <w:r w:rsidR="00E55632" w:rsidRPr="00E55632">
        <w:rPr>
          <w:rFonts w:ascii="Palatino Linotype" w:hAnsi="Palatino Linotype" w:cs="Arial"/>
          <w:i/>
          <w:lang w:val="es-ES"/>
        </w:rPr>
        <w:t xml:space="preserve"> La vigencia de las autorizaciones queda sujeta a la vigencia de las concesiones y</w:t>
      </w:r>
      <w:r>
        <w:rPr>
          <w:rFonts w:ascii="Palatino Linotype" w:hAnsi="Palatino Linotype" w:cs="Arial"/>
          <w:i/>
          <w:lang w:val="es-ES"/>
        </w:rPr>
        <w:t xml:space="preserve"> permisos que complementen.”</w:t>
      </w:r>
    </w:p>
    <w:p w14:paraId="19FAB014" w14:textId="77777777" w:rsidR="00A80D8E" w:rsidRDefault="00A80D8E" w:rsidP="00E55632">
      <w:pPr>
        <w:spacing w:after="0" w:line="240" w:lineRule="auto"/>
        <w:ind w:left="567" w:right="567"/>
        <w:jc w:val="both"/>
        <w:rPr>
          <w:rFonts w:ascii="Palatino Linotype" w:hAnsi="Palatino Linotype" w:cs="Arial"/>
          <w:lang w:val="es-ES"/>
        </w:rPr>
      </w:pPr>
    </w:p>
    <w:p w14:paraId="4141BDA4" w14:textId="77777777" w:rsidR="00A80D8E" w:rsidRPr="00A80D8E" w:rsidRDefault="00A80D8E" w:rsidP="00A80D8E">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14:paraId="12151645" w14:textId="77777777" w:rsidR="00A45BA5" w:rsidRPr="00DA1084" w:rsidRDefault="00A45BA5" w:rsidP="00A45BA5">
      <w:pPr>
        <w:spacing w:after="0" w:line="360" w:lineRule="auto"/>
        <w:jc w:val="both"/>
        <w:rPr>
          <w:rFonts w:ascii="Palatino Linotype" w:hAnsi="Palatino Linotype" w:cs="Arial"/>
          <w:sz w:val="24"/>
          <w:lang w:val="es-ES"/>
        </w:rPr>
      </w:pPr>
    </w:p>
    <w:p w14:paraId="4E0418CD" w14:textId="77777777" w:rsidR="00A45BA5" w:rsidRDefault="00A80D8E" w:rsidP="00A80D8E">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Preceptos legales que establecen los requisitos y supuestos en que se emitirá autorización, lo que en el caso particular, el </w:t>
      </w:r>
      <w:r w:rsidRPr="00A80D8E">
        <w:rPr>
          <w:rFonts w:ascii="Palatino Linotype" w:hAnsi="Palatino Linotype" w:cs="Arial"/>
          <w:b/>
          <w:sz w:val="24"/>
          <w:lang w:val="es-ES"/>
        </w:rPr>
        <w:t>Sujeto Obligado</w:t>
      </w:r>
      <w:r>
        <w:rPr>
          <w:rFonts w:ascii="Palatino Linotype" w:hAnsi="Palatino Linotype" w:cs="Arial"/>
          <w:sz w:val="24"/>
          <w:lang w:val="es-ES"/>
        </w:rPr>
        <w:t xml:space="preserve"> al reconocer haber otorgado 11 (once) autorizaciones, lo cual concatenado con los artículos 18 y 19 de la </w:t>
      </w:r>
      <w:r w:rsidRPr="00A80D8E">
        <w:rPr>
          <w:rFonts w:ascii="Palatino Linotype" w:hAnsi="Palatino Linotype" w:cs="Arial"/>
          <w:sz w:val="24"/>
          <w:lang w:val="es-ES"/>
        </w:rPr>
        <w:t>Ley de Transparencia y Acceso a la Información</w:t>
      </w:r>
      <w:r>
        <w:rPr>
          <w:rFonts w:ascii="Palatino Linotype" w:hAnsi="Palatino Linotype" w:cs="Arial"/>
          <w:sz w:val="24"/>
          <w:lang w:val="es-ES"/>
        </w:rPr>
        <w:t xml:space="preserve"> </w:t>
      </w:r>
      <w:r w:rsidRPr="00A80D8E">
        <w:rPr>
          <w:rFonts w:ascii="Palatino Linotype" w:hAnsi="Palatino Linotype" w:cs="Arial"/>
          <w:sz w:val="24"/>
          <w:lang w:val="es-ES"/>
        </w:rPr>
        <w:t>Pública del Estado de México y Municipios</w:t>
      </w:r>
      <w:r>
        <w:rPr>
          <w:rFonts w:ascii="Palatino Linotype" w:hAnsi="Palatino Linotype" w:cs="Arial"/>
          <w:sz w:val="24"/>
          <w:lang w:val="es-ES"/>
        </w:rPr>
        <w:t xml:space="preserve">, que establecen la obligación de documentar todo acto </w:t>
      </w:r>
      <w:r w:rsidR="0046757B">
        <w:rPr>
          <w:rFonts w:ascii="Palatino Linotype" w:hAnsi="Palatino Linotype" w:cs="Arial"/>
          <w:sz w:val="24"/>
          <w:lang w:val="es-ES"/>
        </w:rPr>
        <w:t>que derive del ejercicio de sus atribuciones, se citan para mayor referencia a continuación:</w:t>
      </w:r>
    </w:p>
    <w:p w14:paraId="0E38521C" w14:textId="77777777" w:rsidR="0046757B" w:rsidRDefault="0046757B" w:rsidP="00A80D8E">
      <w:pPr>
        <w:spacing w:after="0" w:line="360" w:lineRule="auto"/>
        <w:jc w:val="both"/>
        <w:rPr>
          <w:rFonts w:ascii="Palatino Linotype" w:hAnsi="Palatino Linotype" w:cs="Arial"/>
          <w:sz w:val="24"/>
          <w:lang w:val="es-ES"/>
        </w:rPr>
      </w:pPr>
    </w:p>
    <w:p w14:paraId="21B2A349" w14:textId="77777777" w:rsidR="0046757B" w:rsidRDefault="0046757B" w:rsidP="0046757B">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46757B">
        <w:rPr>
          <w:rFonts w:ascii="Palatino Linotype" w:hAnsi="Palatino Linotype" w:cs="Arial"/>
          <w:b/>
          <w:i/>
          <w:lang w:val="es-ES"/>
        </w:rPr>
        <w:t>Artículo 18.</w:t>
      </w:r>
      <w:r w:rsidRPr="0046757B">
        <w:rPr>
          <w:rFonts w:ascii="Palatino Linotype" w:hAnsi="Palatino Linotype" w:cs="Arial"/>
          <w:i/>
          <w:lang w:val="es-ES"/>
        </w:rPr>
        <w:t xml:space="preserve"> Los sujetos obligados </w:t>
      </w:r>
      <w:r w:rsidRPr="0046757B">
        <w:rPr>
          <w:rFonts w:ascii="Palatino Linotype" w:hAnsi="Palatino Linotype" w:cs="Arial"/>
          <w:i/>
          <w:u w:val="single"/>
          <w:lang w:val="es-ES"/>
        </w:rPr>
        <w:t>deberán documentar todo acto que derive del ejercicio de sus facultades,</w:t>
      </w:r>
      <w:r w:rsidRPr="0046757B">
        <w:rPr>
          <w:rFonts w:ascii="Palatino Linotype" w:hAnsi="Palatino Linotype" w:cs="Arial"/>
          <w:i/>
          <w:lang w:val="es-ES"/>
        </w:rPr>
        <w:t xml:space="preserve"> competencias o funciones, considerando desde su origen la eventual publicidad y</w:t>
      </w:r>
      <w:r>
        <w:rPr>
          <w:rFonts w:ascii="Palatino Linotype" w:hAnsi="Palatino Linotype" w:cs="Arial"/>
          <w:i/>
          <w:lang w:val="es-ES"/>
        </w:rPr>
        <w:t xml:space="preserve"> </w:t>
      </w:r>
      <w:r w:rsidRPr="0046757B">
        <w:rPr>
          <w:rFonts w:ascii="Palatino Linotype" w:hAnsi="Palatino Linotype" w:cs="Arial"/>
          <w:i/>
          <w:lang w:val="es-ES"/>
        </w:rPr>
        <w:t>reutilización de la información que generen.</w:t>
      </w:r>
    </w:p>
    <w:p w14:paraId="5D2EFA50" w14:textId="77777777" w:rsidR="0046757B" w:rsidRPr="0046757B" w:rsidRDefault="0046757B" w:rsidP="0046757B">
      <w:pPr>
        <w:spacing w:after="0" w:line="240" w:lineRule="auto"/>
        <w:ind w:left="567" w:right="567"/>
        <w:jc w:val="both"/>
        <w:rPr>
          <w:rFonts w:ascii="Palatino Linotype" w:hAnsi="Palatino Linotype" w:cs="Arial"/>
          <w:i/>
          <w:lang w:val="es-ES"/>
        </w:rPr>
      </w:pPr>
    </w:p>
    <w:p w14:paraId="6E45C43F" w14:textId="77777777" w:rsidR="0046757B" w:rsidRPr="0046757B" w:rsidRDefault="0046757B" w:rsidP="0046757B">
      <w:pPr>
        <w:spacing w:after="0" w:line="240" w:lineRule="auto"/>
        <w:ind w:left="567" w:right="567"/>
        <w:jc w:val="both"/>
        <w:rPr>
          <w:rFonts w:ascii="Palatino Linotype" w:hAnsi="Palatino Linotype" w:cs="Arial"/>
          <w:i/>
          <w:u w:val="single"/>
          <w:lang w:val="es-ES"/>
        </w:rPr>
      </w:pPr>
      <w:r w:rsidRPr="0046757B">
        <w:rPr>
          <w:rFonts w:ascii="Palatino Linotype" w:hAnsi="Palatino Linotype" w:cs="Arial"/>
          <w:b/>
          <w:i/>
          <w:lang w:val="es-ES"/>
        </w:rPr>
        <w:t>Artículo 19.</w:t>
      </w:r>
      <w:r w:rsidRPr="0046757B">
        <w:rPr>
          <w:rFonts w:ascii="Palatino Linotype" w:hAnsi="Palatino Linotype" w:cs="Arial"/>
          <w:i/>
          <w:lang w:val="es-ES"/>
        </w:rPr>
        <w:t xml:space="preserve"> </w:t>
      </w:r>
      <w:r w:rsidRPr="0046757B">
        <w:rPr>
          <w:rFonts w:ascii="Palatino Linotype" w:hAnsi="Palatino Linotype" w:cs="Arial"/>
          <w:i/>
          <w:u w:val="single"/>
          <w:lang w:val="es-ES"/>
        </w:rPr>
        <w:t>Se presume que la información debe existir si se refiere a las facultades, competencias y funciones que los ordenamientos jurídicos aplicables otorgan a los sujetos obligados.</w:t>
      </w:r>
    </w:p>
    <w:p w14:paraId="0586A864" w14:textId="77777777" w:rsidR="0046757B" w:rsidRPr="0046757B" w:rsidRDefault="0046757B" w:rsidP="0046757B">
      <w:pPr>
        <w:spacing w:after="0" w:line="240" w:lineRule="auto"/>
        <w:ind w:left="567" w:right="567"/>
        <w:jc w:val="both"/>
        <w:rPr>
          <w:rFonts w:ascii="Palatino Linotype" w:hAnsi="Palatino Linotype" w:cs="Arial"/>
          <w:i/>
          <w:lang w:val="es-ES"/>
        </w:rPr>
      </w:pPr>
      <w:r w:rsidRPr="0046757B">
        <w:rPr>
          <w:rFonts w:ascii="Palatino Linotype" w:hAnsi="Palatino Linotype" w:cs="Arial"/>
          <w:i/>
          <w:lang w:val="es-ES"/>
        </w:rPr>
        <w:t>En los casos en que ciertas facultades, competencias o funciones no se hayan ejercido, se debe motivar</w:t>
      </w:r>
      <w:r>
        <w:rPr>
          <w:rFonts w:ascii="Palatino Linotype" w:hAnsi="Palatino Linotype" w:cs="Arial"/>
          <w:i/>
          <w:lang w:val="es-ES"/>
        </w:rPr>
        <w:t xml:space="preserve"> </w:t>
      </w:r>
      <w:r w:rsidRPr="0046757B">
        <w:rPr>
          <w:rFonts w:ascii="Palatino Linotype" w:hAnsi="Palatino Linotype" w:cs="Arial"/>
          <w:i/>
          <w:lang w:val="es-ES"/>
        </w:rPr>
        <w:t>la respuesta en función de las causas que motiven tal circunstancia.</w:t>
      </w:r>
    </w:p>
    <w:p w14:paraId="19F6AF6A" w14:textId="77777777" w:rsidR="0046757B" w:rsidRDefault="0046757B" w:rsidP="0046757B">
      <w:pPr>
        <w:spacing w:after="0" w:line="240" w:lineRule="auto"/>
        <w:ind w:left="567" w:right="567"/>
        <w:jc w:val="both"/>
        <w:rPr>
          <w:rFonts w:ascii="Palatino Linotype" w:hAnsi="Palatino Linotype" w:cs="Arial"/>
          <w:lang w:val="es-ES"/>
        </w:rPr>
      </w:pPr>
      <w:r w:rsidRPr="0046757B">
        <w:rPr>
          <w:rFonts w:ascii="Palatino Linotype" w:hAnsi="Palatino Linotype" w:cs="Arial"/>
          <w:i/>
          <w:lang w:val="es-ES"/>
        </w:rPr>
        <w:t>Si el sujeto obligado, en el ejercicio de sus atribuciones, debía generar, poseer o administrar la</w:t>
      </w:r>
      <w:r>
        <w:rPr>
          <w:rFonts w:ascii="Palatino Linotype" w:hAnsi="Palatino Linotype" w:cs="Arial"/>
          <w:i/>
          <w:lang w:val="es-ES"/>
        </w:rPr>
        <w:t xml:space="preserve"> </w:t>
      </w:r>
      <w:r w:rsidRPr="0046757B">
        <w:rPr>
          <w:rFonts w:ascii="Palatino Linotype" w:hAnsi="Palatino Linotype" w:cs="Arial"/>
          <w:i/>
          <w:lang w:val="es-ES"/>
        </w:rPr>
        <w:t>información, pero ésta no se encuentra, el Comité de transparencia deberá emitir un acuerdo de</w:t>
      </w:r>
      <w:r>
        <w:rPr>
          <w:rFonts w:ascii="Palatino Linotype" w:hAnsi="Palatino Linotype" w:cs="Arial"/>
          <w:i/>
          <w:lang w:val="es-ES"/>
        </w:rPr>
        <w:t xml:space="preserve"> </w:t>
      </w:r>
      <w:r w:rsidRPr="0046757B">
        <w:rPr>
          <w:rFonts w:ascii="Palatino Linotype" w:hAnsi="Palatino Linotype" w:cs="Arial"/>
          <w:i/>
          <w:lang w:val="es-ES"/>
        </w:rPr>
        <w:t>inexistencia, debidamente fundado y motivado, en el que detalle las razones del por qué no obra en sus</w:t>
      </w:r>
      <w:r>
        <w:rPr>
          <w:rFonts w:ascii="Palatino Linotype" w:hAnsi="Palatino Linotype" w:cs="Arial"/>
          <w:i/>
          <w:lang w:val="es-ES"/>
        </w:rPr>
        <w:t xml:space="preserve"> archivos.”</w:t>
      </w:r>
    </w:p>
    <w:p w14:paraId="27B439FE" w14:textId="77777777" w:rsidR="0046757B" w:rsidRDefault="0046757B" w:rsidP="0046757B">
      <w:pPr>
        <w:spacing w:after="0" w:line="240" w:lineRule="auto"/>
        <w:ind w:left="567" w:right="567"/>
        <w:jc w:val="right"/>
        <w:rPr>
          <w:rFonts w:ascii="Palatino Linotype" w:hAnsi="Palatino Linotype" w:cs="Arial"/>
          <w:lang w:val="es-ES"/>
        </w:rPr>
      </w:pPr>
    </w:p>
    <w:p w14:paraId="48219FDD" w14:textId="77777777" w:rsidR="0046757B" w:rsidRPr="0046757B" w:rsidRDefault="0046757B" w:rsidP="0046757B">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14:paraId="4CFEABEA" w14:textId="77777777" w:rsidR="0046757B" w:rsidRDefault="0046757B" w:rsidP="00A45BA5">
      <w:pPr>
        <w:spacing w:after="0" w:line="360" w:lineRule="auto"/>
        <w:jc w:val="both"/>
        <w:rPr>
          <w:rFonts w:ascii="Palatino Linotype" w:hAnsi="Palatino Linotype" w:cs="Arial"/>
          <w:sz w:val="24"/>
          <w:lang w:val="es-ES"/>
        </w:rPr>
      </w:pPr>
    </w:p>
    <w:p w14:paraId="6116068C" w14:textId="77777777" w:rsidR="0046757B" w:rsidRDefault="0046757B" w:rsidP="00A45BA5">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En esa virtud, el </w:t>
      </w:r>
      <w:r w:rsidRPr="0046757B">
        <w:rPr>
          <w:rFonts w:ascii="Palatino Linotype" w:hAnsi="Palatino Linotype" w:cs="Arial"/>
          <w:b/>
          <w:sz w:val="24"/>
          <w:lang w:val="es-ES"/>
        </w:rPr>
        <w:t>Sujeto Obligado</w:t>
      </w:r>
      <w:r>
        <w:rPr>
          <w:rFonts w:ascii="Palatino Linotype" w:hAnsi="Palatino Linotype" w:cs="Arial"/>
          <w:sz w:val="24"/>
          <w:lang w:val="es-ES"/>
        </w:rPr>
        <w:t xml:space="preserve"> al reconocer el otorgamiento de las autorizaciones a la persona jurídica colectiva referida, se acredita haber sido generadas, encontrándose obligado a </w:t>
      </w:r>
      <w:r w:rsidR="00A24C09">
        <w:rPr>
          <w:rFonts w:ascii="Palatino Linotype" w:hAnsi="Palatino Linotype" w:cs="Arial"/>
          <w:sz w:val="24"/>
          <w:lang w:val="es-ES"/>
        </w:rPr>
        <w:t>documentar, documentos que son públicos de conformidad con los artículos 4, 12 y 24 último párrafo de la citada Ley de Transparencia local, se citan para mayor referencia:</w:t>
      </w:r>
    </w:p>
    <w:p w14:paraId="25062132" w14:textId="77777777" w:rsidR="00A24C09" w:rsidRDefault="00A24C09" w:rsidP="00A45BA5">
      <w:pPr>
        <w:spacing w:after="0" w:line="360" w:lineRule="auto"/>
        <w:jc w:val="both"/>
        <w:rPr>
          <w:rFonts w:ascii="Palatino Linotype" w:hAnsi="Palatino Linotype" w:cs="Arial"/>
          <w:sz w:val="24"/>
          <w:lang w:val="es-ES"/>
        </w:rPr>
      </w:pPr>
    </w:p>
    <w:p w14:paraId="77344A0F" w14:textId="77777777" w:rsidR="00A24C09" w:rsidRPr="00C55FEC" w:rsidRDefault="00A24C09" w:rsidP="00A24C09">
      <w:pPr>
        <w:spacing w:after="0" w:line="240" w:lineRule="auto"/>
        <w:ind w:left="567" w:right="567"/>
        <w:jc w:val="both"/>
        <w:rPr>
          <w:rFonts w:ascii="Palatino Linotype" w:hAnsi="Palatino Linotype" w:cs="Arial"/>
          <w:i/>
          <w:lang w:val="es-ES"/>
        </w:rPr>
      </w:pPr>
      <w:r>
        <w:rPr>
          <w:rFonts w:ascii="Palatino Linotype" w:hAnsi="Palatino Linotype" w:cs="Arial"/>
          <w:b/>
          <w:i/>
          <w:lang w:val="es-ES"/>
        </w:rPr>
        <w:t>“</w:t>
      </w:r>
      <w:r w:rsidRPr="00C55FEC">
        <w:rPr>
          <w:rFonts w:ascii="Palatino Linotype" w:hAnsi="Palatino Linotype" w:cs="Arial"/>
          <w:b/>
          <w:i/>
          <w:lang w:val="es-ES"/>
        </w:rPr>
        <w:t xml:space="preserve">Artículo 4. </w:t>
      </w:r>
      <w:r w:rsidRPr="00C55FEC">
        <w:rPr>
          <w:rFonts w:ascii="Palatino Linotype" w:hAnsi="Palatino Linotype" w:cs="Arial"/>
          <w:i/>
          <w:lang w:val="es-ES"/>
        </w:rPr>
        <w:t>El derecho humano de acceso a la información pública es la prerrogativa de las personas para buscar, difundir, investigar, recabar, recibir y solicitar información pública, sin necesidad de acreditar personalidad ni interés jurídico.</w:t>
      </w:r>
    </w:p>
    <w:p w14:paraId="2C0A2BEB" w14:textId="77777777" w:rsidR="00A24C09" w:rsidRPr="00C55FEC" w:rsidRDefault="00A24C09" w:rsidP="00A24C09">
      <w:pPr>
        <w:spacing w:after="0" w:line="240" w:lineRule="auto"/>
        <w:ind w:left="567" w:right="567"/>
        <w:jc w:val="both"/>
        <w:rPr>
          <w:rFonts w:ascii="Palatino Linotype" w:hAnsi="Palatino Linotype" w:cs="Arial"/>
          <w:i/>
          <w:lang w:val="es-ES"/>
        </w:rPr>
      </w:pPr>
      <w:r w:rsidRPr="00C55FEC">
        <w:rPr>
          <w:rFonts w:ascii="Palatino Linotype" w:hAnsi="Palatino Linotype" w:cs="Arial"/>
          <w:i/>
          <w:lang w:val="es-ES"/>
        </w:rPr>
        <w:lastRenderedPageBreak/>
        <w:t>Toda la información generada, obtenida, adquirida, transformada, administrada o en posesión de los sujetos obligados es pública y accesible de manera permanente a cualquier persona, en los términos y con</w:t>
      </w:r>
      <w:bookmarkStart w:id="0" w:name="_GoBack"/>
      <w:r w:rsidRPr="00C55FEC">
        <w:rPr>
          <w:rFonts w:ascii="Palatino Linotype" w:hAnsi="Palatino Linotype" w:cs="Arial"/>
          <w:i/>
          <w:lang w:val="es-ES"/>
        </w:rPr>
        <w:t>dic</w:t>
      </w:r>
      <w:bookmarkEnd w:id="0"/>
      <w:r w:rsidRPr="00C55FEC">
        <w:rPr>
          <w:rFonts w:ascii="Palatino Linotype" w:hAnsi="Palatino Linotype" w:cs="Arial"/>
          <w:i/>
          <w:lang w:val="es-ES"/>
        </w:rPr>
        <w:t>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43A3A0" w14:textId="77777777" w:rsidR="00A24C09" w:rsidRPr="00C55FEC" w:rsidRDefault="00A24C09" w:rsidP="00A24C09">
      <w:pPr>
        <w:spacing w:after="0" w:line="240" w:lineRule="auto"/>
        <w:ind w:left="567" w:right="567"/>
        <w:jc w:val="both"/>
        <w:rPr>
          <w:rFonts w:ascii="Palatino Linotype" w:hAnsi="Palatino Linotype" w:cs="Arial"/>
          <w:i/>
          <w:lang w:val="es-ES"/>
        </w:rPr>
      </w:pPr>
    </w:p>
    <w:p w14:paraId="46E8EF04" w14:textId="77777777" w:rsidR="00A24C09" w:rsidRPr="00C55FEC" w:rsidRDefault="00A24C09" w:rsidP="00A24C09">
      <w:pPr>
        <w:spacing w:after="0" w:line="240" w:lineRule="auto"/>
        <w:ind w:left="567" w:right="567"/>
        <w:jc w:val="both"/>
        <w:rPr>
          <w:rFonts w:ascii="Palatino Linotype" w:hAnsi="Palatino Linotype" w:cs="Arial"/>
          <w:i/>
          <w:lang w:val="es-ES"/>
        </w:rPr>
      </w:pPr>
      <w:r w:rsidRPr="00C55FEC">
        <w:rPr>
          <w:rFonts w:ascii="Palatino Linotype" w:hAnsi="Palatino Linotype" w:cs="Arial"/>
          <w:i/>
          <w:lang w:val="es-ES"/>
        </w:rPr>
        <w:t>Los sujetos obligados deben poner en práctica, políticas y programas de acceso a la información que se apeguen a criterios de publicidad, veracidad, oportunidad, precisión y suficiencia en beneficio de los solicitantes.</w:t>
      </w:r>
    </w:p>
    <w:p w14:paraId="712647A3" w14:textId="77777777" w:rsidR="00A24C09" w:rsidRPr="00C55FEC" w:rsidRDefault="00A24C09" w:rsidP="00A24C09">
      <w:pPr>
        <w:spacing w:after="0" w:line="240" w:lineRule="auto"/>
        <w:ind w:left="567" w:right="567"/>
        <w:jc w:val="both"/>
        <w:rPr>
          <w:rFonts w:ascii="Palatino Linotype" w:hAnsi="Palatino Linotype" w:cs="Arial"/>
          <w:i/>
          <w:lang w:val="es-ES"/>
        </w:rPr>
      </w:pPr>
    </w:p>
    <w:p w14:paraId="64973A97" w14:textId="77777777" w:rsidR="00A24C09" w:rsidRPr="00C55FEC" w:rsidRDefault="00A24C09" w:rsidP="00A24C09">
      <w:pPr>
        <w:spacing w:after="0" w:line="240" w:lineRule="auto"/>
        <w:ind w:left="567" w:right="567"/>
        <w:jc w:val="both"/>
        <w:rPr>
          <w:rFonts w:ascii="Palatino Linotype" w:hAnsi="Palatino Linotype" w:cs="Arial"/>
          <w:i/>
          <w:lang w:val="es-ES"/>
        </w:rPr>
      </w:pPr>
      <w:r w:rsidRPr="00C55FEC">
        <w:rPr>
          <w:rFonts w:ascii="Palatino Linotype" w:hAnsi="Palatino Linotype" w:cs="Arial"/>
          <w:b/>
          <w:i/>
          <w:lang w:val="es-ES"/>
        </w:rPr>
        <w:t xml:space="preserve">Artículo 12. </w:t>
      </w:r>
      <w:r w:rsidRPr="00C55FEC">
        <w:rPr>
          <w:rFonts w:ascii="Palatino Linotype" w:hAnsi="Palatino Linotype" w:cs="Arial"/>
          <w:i/>
          <w:lang w:val="es-ES"/>
        </w:rPr>
        <w:t>Quienes generen, recopilen, administren, manejen, procesen, archiven o conserven información pública serán responsables de la misma en los términos de las disposiciones jurídicas aplicables.</w:t>
      </w:r>
    </w:p>
    <w:p w14:paraId="18AF8ECC" w14:textId="77777777" w:rsidR="00A24C09" w:rsidRPr="00C55FEC" w:rsidRDefault="00A24C09" w:rsidP="00A24C09">
      <w:pPr>
        <w:spacing w:after="0" w:line="240" w:lineRule="auto"/>
        <w:ind w:left="567" w:right="567"/>
        <w:jc w:val="both"/>
        <w:rPr>
          <w:rFonts w:ascii="Palatino Linotype" w:hAnsi="Palatino Linotype" w:cs="Arial"/>
          <w:i/>
          <w:lang w:val="es-ES"/>
        </w:rPr>
      </w:pPr>
      <w:r w:rsidRPr="00C55FEC">
        <w:rPr>
          <w:rFonts w:ascii="Palatino Linotype" w:hAnsi="Palatino Linotype" w:cs="Arial"/>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205D6B8" w14:textId="77777777" w:rsidR="00A24C09" w:rsidRDefault="00A24C09" w:rsidP="00A45BA5">
      <w:pPr>
        <w:spacing w:after="0" w:line="360" w:lineRule="auto"/>
        <w:jc w:val="both"/>
        <w:rPr>
          <w:rFonts w:ascii="Palatino Linotype" w:hAnsi="Palatino Linotype" w:cs="Arial"/>
          <w:sz w:val="24"/>
          <w:lang w:val="es-ES"/>
        </w:rPr>
      </w:pPr>
    </w:p>
    <w:p w14:paraId="550B0392" w14:textId="77777777" w:rsidR="00A45BA5" w:rsidRPr="00DA1084" w:rsidRDefault="00A45BA5" w:rsidP="00A45BA5">
      <w:pPr>
        <w:spacing w:after="0" w:line="360" w:lineRule="auto"/>
        <w:jc w:val="both"/>
        <w:rPr>
          <w:rFonts w:ascii="Palatino Linotype" w:hAnsi="Palatino Linotype" w:cs="Arial"/>
          <w:sz w:val="24"/>
          <w:lang w:val="es-ES"/>
        </w:rPr>
      </w:pPr>
      <w:r w:rsidRPr="00DA1084">
        <w:rPr>
          <w:rFonts w:ascii="Palatino Linotype" w:hAnsi="Palatino Linotype" w:cs="Arial"/>
          <w:sz w:val="24"/>
          <w:lang w:val="es-ES"/>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w:t>
      </w:r>
      <w:r w:rsidRPr="00DA1084">
        <w:rPr>
          <w:rFonts w:ascii="Palatino Linotype" w:hAnsi="Palatino Linotype" w:cs="Arial"/>
          <w:sz w:val="24"/>
          <w:lang w:val="es-ES"/>
        </w:rPr>
        <w:lastRenderedPageBreak/>
        <w:t>facultad que tiene toda persona para acceder a la información pública generada o en poder de los Sujetos Obligados conforme a la Ley de la materia.</w:t>
      </w:r>
    </w:p>
    <w:p w14:paraId="2294D0C2" w14:textId="77777777" w:rsidR="00A45BA5" w:rsidRPr="00DA1084" w:rsidRDefault="00A45BA5" w:rsidP="00A45BA5">
      <w:pPr>
        <w:spacing w:after="0" w:line="360" w:lineRule="auto"/>
        <w:jc w:val="both"/>
        <w:rPr>
          <w:rFonts w:ascii="Palatino Linotype" w:hAnsi="Palatino Linotype" w:cs="Arial"/>
          <w:sz w:val="24"/>
          <w:lang w:val="es-ES"/>
        </w:rPr>
      </w:pPr>
    </w:p>
    <w:p w14:paraId="4219585A" w14:textId="77777777" w:rsidR="00A45BA5" w:rsidRPr="00D26B74" w:rsidRDefault="00A45BA5" w:rsidP="00A45BA5">
      <w:pPr>
        <w:spacing w:after="0" w:line="360" w:lineRule="auto"/>
        <w:jc w:val="both"/>
        <w:rPr>
          <w:rFonts w:ascii="Palatino Linotype" w:hAnsi="Palatino Linotype" w:cs="Arial"/>
          <w:sz w:val="24"/>
        </w:rPr>
      </w:pPr>
      <w:r>
        <w:rPr>
          <w:rFonts w:ascii="Palatino Linotype" w:hAnsi="Palatino Linotype" w:cs="Arial"/>
          <w:sz w:val="24"/>
          <w:lang w:val="es-ES"/>
        </w:rPr>
        <w:t xml:space="preserve">Con base en los razonamientos lógico jurídicos previos, es que logramos concluir que el </w:t>
      </w:r>
      <w:r w:rsidRPr="00A24C09">
        <w:rPr>
          <w:rFonts w:ascii="Palatino Linotype" w:hAnsi="Palatino Linotype" w:cs="Arial"/>
          <w:b/>
          <w:sz w:val="24"/>
          <w:lang w:val="es-ES"/>
        </w:rPr>
        <w:t>Sujeto Obligado</w:t>
      </w:r>
      <w:r>
        <w:rPr>
          <w:rFonts w:ascii="Palatino Linotype" w:hAnsi="Palatino Linotype" w:cs="Arial"/>
          <w:sz w:val="24"/>
          <w:lang w:val="es-ES"/>
        </w:rPr>
        <w:t xml:space="preserve"> se encuentra constreñido a contar con </w:t>
      </w:r>
      <w:r w:rsidR="00A24C09">
        <w:rPr>
          <w:rFonts w:ascii="Palatino Linotype" w:hAnsi="Palatino Linotype" w:cs="Arial"/>
          <w:sz w:val="24"/>
          <w:lang w:val="es-ES"/>
        </w:rPr>
        <w:t>las autorizaciones otorgadas a la persona jurídico colectiva peticionada,</w:t>
      </w:r>
      <w:r>
        <w:rPr>
          <w:rFonts w:ascii="Palatino Linotype" w:hAnsi="Palatino Linotype" w:cs="Arial"/>
          <w:sz w:val="24"/>
          <w:lang w:val="es-ES"/>
        </w:rPr>
        <w:t xml:space="preserve"> resultando dable ordenar su entrega, debiendo</w:t>
      </w:r>
      <w:r w:rsidR="00A24C09">
        <w:rPr>
          <w:rFonts w:ascii="Palatino Linotype" w:hAnsi="Palatino Linotype" w:cs="Arial"/>
          <w:sz w:val="24"/>
          <w:lang w:val="es-ES"/>
        </w:rPr>
        <w:t>, en su caso,</w:t>
      </w:r>
      <w:r>
        <w:rPr>
          <w:rFonts w:ascii="Palatino Linotype" w:hAnsi="Palatino Linotype" w:cs="Arial"/>
          <w:sz w:val="24"/>
          <w:lang w:val="es-ES"/>
        </w:rPr>
        <w:t xml:space="preserve"> observar lo relativo a la tutela de los datos de carácter sensible y confidencial, en términos de la </w:t>
      </w:r>
      <w:r w:rsidRPr="00D26B74">
        <w:rPr>
          <w:rFonts w:ascii="Palatino Linotype" w:hAnsi="Palatino Linotype" w:cs="Arial"/>
          <w:sz w:val="24"/>
          <w:lang w:val="es-ES"/>
        </w:rPr>
        <w:t>Ley de Protección de Datos Personales en Posesión de Sujetos Obligados del Estado de México y Municipios</w:t>
      </w:r>
      <w:r>
        <w:rPr>
          <w:rFonts w:ascii="Palatino Linotype" w:hAnsi="Palatino Linotype" w:cs="Arial"/>
          <w:sz w:val="24"/>
          <w:lang w:val="es-ES"/>
        </w:rPr>
        <w:t>.</w:t>
      </w:r>
    </w:p>
    <w:p w14:paraId="615F3F2C" w14:textId="77777777" w:rsidR="00A45BA5" w:rsidRPr="00DA1084" w:rsidRDefault="00A45BA5" w:rsidP="00A45BA5">
      <w:pPr>
        <w:spacing w:after="0" w:line="360" w:lineRule="auto"/>
        <w:jc w:val="both"/>
        <w:rPr>
          <w:rFonts w:ascii="Palatino Linotype" w:hAnsi="Palatino Linotype" w:cs="Arial"/>
          <w:sz w:val="24"/>
          <w:lang w:val="es-ES"/>
        </w:rPr>
      </w:pPr>
    </w:p>
    <w:p w14:paraId="1E0769F5" w14:textId="77777777" w:rsidR="00A45BA5" w:rsidRPr="00470DBC" w:rsidRDefault="00A45BA5" w:rsidP="00A45BA5">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14:paraId="1D788FDB"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353392B6" w14:textId="77777777" w:rsidR="00A45BA5"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69014E7"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307EB205"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470DBC">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14:paraId="078023F7"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59F06C68"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77BBC07"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60E9481C" w14:textId="77777777" w:rsidR="00A45BA5"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00554875">
        <w:rPr>
          <w:rFonts w:ascii="Palatino Linotype" w:hAnsi="Palatino Linotype" w:cs="Arial"/>
          <w:sz w:val="24"/>
          <w:szCs w:val="24"/>
        </w:rPr>
        <w:t xml:space="preserve"> (CURP)</w:t>
      </w:r>
      <w:r w:rsidRPr="00470DBC">
        <w:rPr>
          <w:rFonts w:ascii="Palatino Linotype" w:hAnsi="Palatino Linotype" w:cs="Arial"/>
          <w:sz w:val="24"/>
          <w:szCs w:val="24"/>
        </w:rPr>
        <w:t>.</w:t>
      </w:r>
    </w:p>
    <w:p w14:paraId="708045D7" w14:textId="77777777" w:rsidR="002E50E2" w:rsidRPr="00470DBC" w:rsidRDefault="002E50E2" w:rsidP="00A45BA5">
      <w:pPr>
        <w:tabs>
          <w:tab w:val="left" w:pos="8647"/>
        </w:tabs>
        <w:spacing w:after="0" w:line="360" w:lineRule="auto"/>
        <w:ind w:right="51"/>
        <w:jc w:val="both"/>
        <w:rPr>
          <w:rFonts w:ascii="Palatino Linotype" w:hAnsi="Palatino Linotype" w:cs="Arial"/>
          <w:sz w:val="24"/>
          <w:szCs w:val="24"/>
        </w:rPr>
      </w:pPr>
    </w:p>
    <w:p w14:paraId="040449FC" w14:textId="77777777" w:rsidR="00A45BA5"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3970C35"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44BC27EB"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015433F9"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165A8385" w14:textId="77777777" w:rsidR="00A45BA5" w:rsidRPr="00470DBC" w:rsidRDefault="00A45BA5" w:rsidP="002E50E2">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14:paraId="2974314D" w14:textId="77777777" w:rsidR="00A45BA5" w:rsidRPr="00470DBC" w:rsidRDefault="00A45BA5" w:rsidP="00A45BA5">
      <w:pPr>
        <w:tabs>
          <w:tab w:val="left" w:pos="8647"/>
        </w:tabs>
        <w:spacing w:after="0" w:line="276" w:lineRule="auto"/>
        <w:ind w:left="567" w:right="567"/>
        <w:jc w:val="both"/>
        <w:rPr>
          <w:rFonts w:ascii="Palatino Linotype" w:hAnsi="Palatino Linotype" w:cs="Arial"/>
          <w:bCs/>
          <w:i/>
        </w:rPr>
      </w:pPr>
    </w:p>
    <w:p w14:paraId="69942DDA" w14:textId="77777777" w:rsidR="00A45BA5" w:rsidRPr="00470DBC" w:rsidRDefault="00A45BA5" w:rsidP="00A45BA5">
      <w:pPr>
        <w:tabs>
          <w:tab w:val="left" w:pos="8647"/>
        </w:tabs>
        <w:spacing w:after="0" w:line="276" w:lineRule="auto"/>
        <w:ind w:left="567" w:right="284"/>
        <w:jc w:val="right"/>
        <w:rPr>
          <w:rFonts w:ascii="Palatino Linotype" w:hAnsi="Palatino Linotype" w:cs="Arial"/>
        </w:rPr>
      </w:pPr>
      <w:r w:rsidRPr="00470DBC">
        <w:rPr>
          <w:rFonts w:ascii="Palatino Linotype" w:hAnsi="Palatino Linotype" w:cs="Arial"/>
        </w:rPr>
        <w:t>(Énfasis añadido)</w:t>
      </w:r>
    </w:p>
    <w:p w14:paraId="74AFE257" w14:textId="77777777" w:rsidR="002E50E2" w:rsidRDefault="002E50E2" w:rsidP="00A45BA5">
      <w:pPr>
        <w:tabs>
          <w:tab w:val="left" w:pos="8647"/>
        </w:tabs>
        <w:spacing w:after="0" w:line="360" w:lineRule="auto"/>
        <w:ind w:right="51"/>
        <w:jc w:val="both"/>
        <w:rPr>
          <w:rFonts w:ascii="Palatino Linotype" w:hAnsi="Palatino Linotype" w:cs="Arial"/>
          <w:sz w:val="24"/>
          <w:szCs w:val="24"/>
        </w:rPr>
      </w:pPr>
    </w:p>
    <w:p w14:paraId="1A8B198C"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470DBC">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655FBFBD"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254B9220"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F318EA5"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0B3A328D" w14:textId="77777777" w:rsidR="00A45BA5"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14:paraId="52B20032" w14:textId="77777777" w:rsidR="00A24C09" w:rsidRPr="00470DBC" w:rsidRDefault="00A24C09" w:rsidP="00A45BA5">
      <w:pPr>
        <w:tabs>
          <w:tab w:val="left" w:pos="8647"/>
        </w:tabs>
        <w:spacing w:after="0" w:line="360" w:lineRule="auto"/>
        <w:ind w:right="51"/>
        <w:jc w:val="both"/>
        <w:rPr>
          <w:rFonts w:ascii="Palatino Linotype" w:hAnsi="Palatino Linotype" w:cs="Arial"/>
          <w:sz w:val="24"/>
          <w:szCs w:val="24"/>
        </w:rPr>
      </w:pPr>
    </w:p>
    <w:p w14:paraId="11BE681E" w14:textId="77777777" w:rsidR="00A45BA5" w:rsidRPr="00470DBC" w:rsidRDefault="00A45BA5" w:rsidP="00A45BA5">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470DBC">
        <w:rPr>
          <w:rFonts w:ascii="Palatino Linotype" w:hAnsi="Palatino Linotype" w:cs="Arial"/>
          <w:i/>
        </w:rPr>
        <w:t>requier</w:t>
      </w:r>
      <w:proofErr w:type="spellEnd"/>
      <w:r w:rsidRPr="00470DBC">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14:paraId="50ACF43B" w14:textId="77777777" w:rsidR="00A45BA5" w:rsidRPr="00470DBC" w:rsidRDefault="00A45BA5" w:rsidP="00A45BA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6225128" w14:textId="77777777" w:rsidR="00A45BA5" w:rsidRPr="00470DBC" w:rsidRDefault="00A45BA5" w:rsidP="00A45BA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D901737" w14:textId="77777777" w:rsidR="00A45BA5" w:rsidRPr="00470DBC" w:rsidRDefault="00A45BA5" w:rsidP="00A45BA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BD76ED9"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72C45AD0"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71DCD18C" w14:textId="77777777" w:rsidR="00A45BA5"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F5FEEF5"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5E5EF3A9" w14:textId="77777777" w:rsidR="00A45BA5" w:rsidRPr="00470DBC" w:rsidRDefault="00A45BA5" w:rsidP="00A45BA5">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B67F3F" w14:textId="77777777" w:rsidR="00A45BA5" w:rsidRPr="00470DBC" w:rsidRDefault="00A45BA5" w:rsidP="00A45BA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14:paraId="233C8076" w14:textId="77777777" w:rsidR="00A45BA5" w:rsidRPr="00470DBC" w:rsidRDefault="00A45BA5" w:rsidP="00A45BA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14:paraId="6318E9FC" w14:textId="77777777" w:rsidR="00A45BA5" w:rsidRPr="00470DBC" w:rsidRDefault="00A45BA5" w:rsidP="00A45BA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14:paraId="4DD54E73" w14:textId="77777777" w:rsidR="00A45BA5" w:rsidRPr="00470DBC" w:rsidRDefault="00A45BA5" w:rsidP="00A45BA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lastRenderedPageBreak/>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14:paraId="0B2F6CD2" w14:textId="77777777" w:rsidR="00A45BA5" w:rsidRPr="00470DBC" w:rsidRDefault="00A45BA5" w:rsidP="00A45BA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56E5C01" w14:textId="77777777" w:rsidR="00A45BA5" w:rsidRPr="00470DBC" w:rsidRDefault="00A45BA5" w:rsidP="00A45BA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14:paraId="65CC502D" w14:textId="77777777" w:rsidR="00A45BA5" w:rsidRPr="00470DBC" w:rsidRDefault="00A45BA5" w:rsidP="00A45BA5">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14:paraId="6A2CC8EE" w14:textId="77777777" w:rsidR="00A45BA5" w:rsidRPr="00470DBC" w:rsidRDefault="00A45BA5" w:rsidP="00A45BA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14:paraId="53253298" w14:textId="77777777" w:rsidR="00A45BA5" w:rsidRPr="00470DBC" w:rsidRDefault="00A45BA5" w:rsidP="00A45BA5">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14:paraId="5512CCC8" w14:textId="77777777" w:rsidR="00A45BA5" w:rsidRPr="00470DBC" w:rsidRDefault="00A45BA5" w:rsidP="00A45BA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D46ED25" w14:textId="77777777" w:rsidR="00A45BA5" w:rsidRPr="00470DBC" w:rsidRDefault="00A45BA5" w:rsidP="00A45BA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III …</w:t>
      </w:r>
    </w:p>
    <w:p w14:paraId="35049223" w14:textId="77777777" w:rsidR="00A45BA5" w:rsidRPr="00470DBC" w:rsidRDefault="00A45BA5" w:rsidP="00A45BA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B671F8F" w14:textId="77777777" w:rsidR="00A45BA5" w:rsidRPr="00470DBC" w:rsidRDefault="00A45BA5" w:rsidP="00A45BA5">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14:paraId="0E32786F"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4142F8BD"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14D5043"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4E0CFFDE"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470DBC">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3C0C635" w14:textId="77777777" w:rsidR="00A45BA5" w:rsidRPr="00470DBC" w:rsidRDefault="00A45BA5" w:rsidP="00A45BA5">
      <w:pPr>
        <w:tabs>
          <w:tab w:val="left" w:pos="8647"/>
        </w:tabs>
        <w:spacing w:after="0" w:line="360" w:lineRule="auto"/>
        <w:ind w:right="51"/>
        <w:jc w:val="both"/>
        <w:rPr>
          <w:rFonts w:ascii="Palatino Linotype" w:hAnsi="Palatino Linotype" w:cs="Arial"/>
          <w:sz w:val="24"/>
          <w:szCs w:val="24"/>
        </w:rPr>
      </w:pPr>
    </w:p>
    <w:p w14:paraId="7580C1EE" w14:textId="77777777" w:rsidR="00A45BA5" w:rsidRPr="00470DBC" w:rsidRDefault="00A45BA5" w:rsidP="00A45BA5">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14:paraId="679CD021" w14:textId="77777777" w:rsidR="00A45BA5" w:rsidRDefault="00A45BA5" w:rsidP="00A45BA5">
      <w:pPr>
        <w:spacing w:after="0" w:line="360" w:lineRule="auto"/>
        <w:jc w:val="both"/>
        <w:rPr>
          <w:rFonts w:ascii="Palatino Linotype" w:hAnsi="Palatino Linotype" w:cs="Arial"/>
          <w:sz w:val="24"/>
        </w:rPr>
      </w:pPr>
    </w:p>
    <w:p w14:paraId="05E967D2" w14:textId="77777777" w:rsidR="00A45BA5" w:rsidRPr="00BD4B48" w:rsidRDefault="00A45BA5" w:rsidP="00A45BA5">
      <w:pPr>
        <w:spacing w:after="0" w:line="360" w:lineRule="auto"/>
        <w:jc w:val="both"/>
        <w:rPr>
          <w:rFonts w:ascii="Palatino Linotype" w:hAnsi="Palatino Linotype"/>
          <w:sz w:val="24"/>
          <w:szCs w:val="24"/>
        </w:rPr>
      </w:pPr>
      <w:r w:rsidRPr="005B0FF9">
        <w:rPr>
          <w:rFonts w:ascii="Palatino Linotype" w:hAnsi="Palatino Linotype"/>
          <w:sz w:val="24"/>
          <w:szCs w:val="24"/>
        </w:rPr>
        <w:t xml:space="preserve">En mérito de lo expuesto en líneas anteriores, al resultar fundados los motivos de inconformidad vertidos por el Recurrente, con fundamento en la </w:t>
      </w:r>
      <w:r>
        <w:rPr>
          <w:rFonts w:ascii="Palatino Linotype" w:hAnsi="Palatino Linotype"/>
          <w:sz w:val="24"/>
          <w:szCs w:val="24"/>
        </w:rPr>
        <w:t>segunda</w:t>
      </w:r>
      <w:r w:rsidRPr="005B0FF9">
        <w:rPr>
          <w:rFonts w:ascii="Palatino Linotype" w:hAnsi="Palatino Linotype"/>
          <w:sz w:val="24"/>
          <w:szCs w:val="24"/>
        </w:rPr>
        <w:t xml:space="preserve"> hipótesis del artículo 186 fracción III de la Ley de Transparencia y Acceso a la Información Pública del Estado de México y Municipios</w:t>
      </w:r>
      <w:r w:rsidRPr="00BD4B48">
        <w:rPr>
          <w:rFonts w:ascii="Palatino Linotype" w:hAnsi="Palatino Linotype"/>
          <w:sz w:val="24"/>
          <w:szCs w:val="24"/>
        </w:rPr>
        <w:t xml:space="preserve">, se </w:t>
      </w:r>
      <w:r>
        <w:rPr>
          <w:rFonts w:ascii="Palatino Linotype" w:hAnsi="Palatino Linotype"/>
          <w:b/>
          <w:sz w:val="24"/>
          <w:szCs w:val="24"/>
        </w:rPr>
        <w:t>MODIFICA</w:t>
      </w:r>
      <w:r w:rsidRPr="00BD4B48">
        <w:rPr>
          <w:rFonts w:ascii="Palatino Linotype" w:hAnsi="Palatino Linotype"/>
          <w:b/>
          <w:sz w:val="24"/>
          <w:szCs w:val="24"/>
        </w:rPr>
        <w:t xml:space="preserve"> </w:t>
      </w:r>
      <w:r w:rsidRPr="00BD4B48">
        <w:rPr>
          <w:rFonts w:ascii="Palatino Linotype" w:hAnsi="Palatino Linotype"/>
          <w:sz w:val="24"/>
          <w:szCs w:val="24"/>
        </w:rPr>
        <w:t xml:space="preserve">la respuesta emitida a la solicitud de información </w:t>
      </w:r>
      <w:r w:rsidR="00A24C09" w:rsidRPr="00A24C09">
        <w:rPr>
          <w:rFonts w:ascii="Palatino Linotype" w:eastAsia="Times New Roman" w:hAnsi="Palatino Linotype" w:cs="Times New Roman"/>
          <w:b/>
          <w:bCs/>
          <w:sz w:val="24"/>
          <w:szCs w:val="24"/>
          <w:lang w:val="es-ES" w:eastAsia="es-ES"/>
        </w:rPr>
        <w:t>00052/SMOV/IP/2022</w:t>
      </w:r>
      <w:r w:rsidRPr="00BD4B48">
        <w:rPr>
          <w:rFonts w:ascii="Palatino Linotype" w:hAnsi="Palatino Linotype" w:cs="Arial"/>
          <w:sz w:val="24"/>
          <w:szCs w:val="24"/>
        </w:rPr>
        <w:t xml:space="preserve">, </w:t>
      </w:r>
      <w:r w:rsidRPr="00BD4B48">
        <w:rPr>
          <w:rFonts w:ascii="Palatino Linotype" w:hAnsi="Palatino Linotype"/>
          <w:sz w:val="24"/>
          <w:szCs w:val="24"/>
        </w:rPr>
        <w:t>que ha sido materia del presente fallo.</w:t>
      </w:r>
    </w:p>
    <w:p w14:paraId="664090FE" w14:textId="77777777" w:rsidR="00A45BA5" w:rsidRPr="00470DBC" w:rsidRDefault="00A45BA5" w:rsidP="00A45BA5">
      <w:pPr>
        <w:autoSpaceDE w:val="0"/>
        <w:autoSpaceDN w:val="0"/>
        <w:adjustRightInd w:val="0"/>
        <w:spacing w:after="0" w:line="360" w:lineRule="auto"/>
        <w:jc w:val="both"/>
        <w:rPr>
          <w:rFonts w:ascii="Palatino Linotype" w:hAnsi="Palatino Linotype" w:cs="Arial"/>
          <w:sz w:val="24"/>
          <w:szCs w:val="24"/>
        </w:rPr>
      </w:pPr>
    </w:p>
    <w:p w14:paraId="560758D5" w14:textId="77777777" w:rsidR="00A45BA5" w:rsidRPr="00470DBC" w:rsidRDefault="00A45BA5" w:rsidP="00A45BA5">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14:paraId="72E7C72E" w14:textId="77777777" w:rsidR="00A45BA5" w:rsidRDefault="00A45BA5" w:rsidP="00A45BA5">
      <w:pPr>
        <w:autoSpaceDE w:val="0"/>
        <w:autoSpaceDN w:val="0"/>
        <w:adjustRightInd w:val="0"/>
        <w:spacing w:after="0" w:line="360" w:lineRule="auto"/>
        <w:jc w:val="both"/>
        <w:rPr>
          <w:rFonts w:ascii="Palatino Linotype" w:hAnsi="Palatino Linotype" w:cs="Arial"/>
          <w:sz w:val="24"/>
          <w:szCs w:val="24"/>
        </w:rPr>
      </w:pPr>
    </w:p>
    <w:p w14:paraId="40D12DD1" w14:textId="77777777" w:rsidR="002E50E2" w:rsidRPr="00470DBC" w:rsidRDefault="002E50E2" w:rsidP="00A45BA5">
      <w:pPr>
        <w:autoSpaceDE w:val="0"/>
        <w:autoSpaceDN w:val="0"/>
        <w:adjustRightInd w:val="0"/>
        <w:spacing w:after="0" w:line="360" w:lineRule="auto"/>
        <w:jc w:val="both"/>
        <w:rPr>
          <w:rFonts w:ascii="Palatino Linotype" w:hAnsi="Palatino Linotype" w:cs="Arial"/>
          <w:sz w:val="24"/>
          <w:szCs w:val="24"/>
        </w:rPr>
      </w:pPr>
    </w:p>
    <w:p w14:paraId="33D77960" w14:textId="77777777" w:rsidR="00A45BA5" w:rsidRPr="00470DBC" w:rsidRDefault="00A45BA5" w:rsidP="00A45BA5">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14:paraId="6C583888" w14:textId="77777777" w:rsidR="00A45BA5" w:rsidRPr="005B0FF9" w:rsidRDefault="00A45BA5" w:rsidP="00A45BA5">
      <w:pPr>
        <w:spacing w:after="0" w:line="360" w:lineRule="auto"/>
        <w:ind w:left="426"/>
        <w:jc w:val="center"/>
        <w:rPr>
          <w:rFonts w:ascii="Palatino Linotype" w:eastAsia="Times New Roman" w:hAnsi="Palatino Linotype" w:cs="Times New Roman"/>
          <w:b/>
          <w:color w:val="000000"/>
          <w:sz w:val="24"/>
          <w:szCs w:val="24"/>
          <w:lang w:val="es-ES" w:eastAsia="es-ES"/>
        </w:rPr>
      </w:pPr>
    </w:p>
    <w:p w14:paraId="0F7D9F63" w14:textId="77777777" w:rsidR="00A45BA5" w:rsidRPr="005B0FF9" w:rsidRDefault="00A45BA5" w:rsidP="00A45BA5">
      <w:pPr>
        <w:spacing w:after="0" w:line="360" w:lineRule="auto"/>
        <w:ind w:right="-595"/>
        <w:jc w:val="both"/>
        <w:rPr>
          <w:rFonts w:ascii="Palatino Linotype" w:eastAsia="Times New Roman" w:hAnsi="Palatino Linotype" w:cs="Arial"/>
          <w:b/>
          <w:sz w:val="24"/>
          <w:szCs w:val="24"/>
          <w:lang w:eastAsia="es-ES"/>
        </w:rPr>
      </w:pPr>
      <w:r w:rsidRPr="005B0FF9">
        <w:rPr>
          <w:rFonts w:ascii="Palatino Linotype" w:eastAsia="Times New Roman" w:hAnsi="Palatino Linotype" w:cs="Arial"/>
          <w:b/>
          <w:sz w:val="24"/>
          <w:szCs w:val="24"/>
          <w:lang w:eastAsia="es-ES"/>
        </w:rPr>
        <w:t xml:space="preserve">PRIMERO. </w:t>
      </w:r>
      <w:r w:rsidRPr="005B0FF9">
        <w:rPr>
          <w:rFonts w:ascii="Palatino Linotype" w:eastAsia="Times New Roman" w:hAnsi="Palatino Linotype" w:cs="Arial"/>
          <w:sz w:val="24"/>
          <w:szCs w:val="24"/>
          <w:lang w:eastAsia="es-ES"/>
        </w:rPr>
        <w:t>Se</w:t>
      </w:r>
      <w:r w:rsidRPr="005B0FF9">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MODIFICA</w:t>
      </w:r>
      <w:r w:rsidRPr="005B0FF9">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la</w:t>
      </w:r>
      <w:r w:rsidRPr="005B0FF9">
        <w:rPr>
          <w:rFonts w:ascii="Palatino Linotype" w:eastAsia="Times New Roman" w:hAnsi="Palatino Linotype" w:cs="Arial"/>
          <w:sz w:val="24"/>
          <w:szCs w:val="24"/>
          <w:lang w:eastAsia="es-ES"/>
        </w:rPr>
        <w:t xml:space="preserve"> respuesta del </w:t>
      </w:r>
      <w:r w:rsidRPr="0024565D">
        <w:rPr>
          <w:rFonts w:ascii="Palatino Linotype" w:eastAsia="Times New Roman" w:hAnsi="Palatino Linotype" w:cs="Arial"/>
          <w:b/>
          <w:sz w:val="24"/>
          <w:szCs w:val="24"/>
          <w:lang w:eastAsia="es-ES"/>
        </w:rPr>
        <w:t>Sujeto Obligado</w:t>
      </w:r>
      <w:r w:rsidRPr="005B0FF9">
        <w:rPr>
          <w:rFonts w:ascii="Palatino Linotype" w:eastAsia="Times New Roman" w:hAnsi="Palatino Linotype" w:cs="Arial"/>
          <w:sz w:val="24"/>
          <w:szCs w:val="24"/>
          <w:lang w:eastAsia="es-ES"/>
        </w:rPr>
        <w:t xml:space="preserve"> a la solicitud de acceso a la información pública</w:t>
      </w:r>
      <w:r w:rsidRPr="005B0FF9">
        <w:rPr>
          <w:rFonts w:ascii="Palatino Linotype" w:eastAsia="Times New Roman" w:hAnsi="Palatino Linotype" w:cs="Arial"/>
          <w:b/>
          <w:sz w:val="24"/>
          <w:szCs w:val="24"/>
          <w:lang w:eastAsia="es-ES"/>
        </w:rPr>
        <w:t xml:space="preserve"> </w:t>
      </w:r>
      <w:r w:rsidR="00A24C09" w:rsidRPr="00A24C09">
        <w:rPr>
          <w:rFonts w:ascii="Palatino Linotype" w:hAnsi="Palatino Linotype" w:cs="Arial"/>
          <w:b/>
          <w:sz w:val="24"/>
          <w:szCs w:val="24"/>
        </w:rPr>
        <w:t>00052/SMOV/IP/2022</w:t>
      </w:r>
      <w:r w:rsidRPr="005B0FF9">
        <w:rPr>
          <w:rFonts w:ascii="Palatino Linotype" w:eastAsia="Times New Roman" w:hAnsi="Palatino Linotype" w:cs="Tahoma"/>
          <w:b/>
          <w:sz w:val="24"/>
          <w:szCs w:val="24"/>
          <w:lang w:eastAsia="es-ES"/>
        </w:rPr>
        <w:t xml:space="preserve"> </w:t>
      </w:r>
      <w:r w:rsidRPr="005B0FF9">
        <w:rPr>
          <w:rFonts w:ascii="Palatino Linotype" w:eastAsia="Times New Roman" w:hAnsi="Palatino Linotype" w:cs="Arial"/>
          <w:sz w:val="24"/>
          <w:szCs w:val="24"/>
          <w:lang w:eastAsia="es-ES"/>
        </w:rPr>
        <w:t>por resultar</w:t>
      </w:r>
      <w:r>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Arial"/>
          <w:b/>
          <w:sz w:val="24"/>
          <w:szCs w:val="24"/>
          <w:lang w:eastAsia="es-ES"/>
        </w:rPr>
        <w:t xml:space="preserve">fundados </w:t>
      </w:r>
      <w:r w:rsidRPr="005B0FF9">
        <w:rPr>
          <w:rFonts w:ascii="Palatino Linotype" w:eastAsia="Times New Roman" w:hAnsi="Palatino Linotype" w:cs="Arial"/>
          <w:sz w:val="24"/>
          <w:szCs w:val="24"/>
          <w:lang w:eastAsia="es-ES"/>
        </w:rPr>
        <w:t xml:space="preserve">los motivos de </w:t>
      </w:r>
      <w:r w:rsidRPr="005B0FF9">
        <w:rPr>
          <w:rFonts w:ascii="Palatino Linotype" w:eastAsia="Times New Roman" w:hAnsi="Palatino Linotype" w:cs="Arial"/>
          <w:sz w:val="24"/>
          <w:szCs w:val="24"/>
          <w:lang w:eastAsia="es-ES"/>
        </w:rPr>
        <w:lastRenderedPageBreak/>
        <w:t>inconform</w:t>
      </w:r>
      <w:r>
        <w:rPr>
          <w:rFonts w:ascii="Palatino Linotype" w:eastAsia="Times New Roman" w:hAnsi="Palatino Linotype" w:cs="Arial"/>
          <w:sz w:val="24"/>
          <w:szCs w:val="24"/>
          <w:lang w:eastAsia="es-ES"/>
        </w:rPr>
        <w:t xml:space="preserve">idad vertidos por </w:t>
      </w:r>
      <w:r w:rsidR="00A24C09">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 xml:space="preserve"> </w:t>
      </w:r>
      <w:r w:rsidRPr="0024565D">
        <w:rPr>
          <w:rFonts w:ascii="Palatino Linotype" w:eastAsia="Times New Roman" w:hAnsi="Palatino Linotype" w:cs="Arial"/>
          <w:b/>
          <w:sz w:val="24"/>
          <w:szCs w:val="24"/>
          <w:lang w:eastAsia="es-ES"/>
        </w:rPr>
        <w:t>Recurrente</w:t>
      </w:r>
      <w:r>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Arial"/>
          <w:sz w:val="24"/>
          <w:szCs w:val="24"/>
          <w:lang w:eastAsia="es-ES"/>
        </w:rPr>
        <w:t>en términos del</w:t>
      </w:r>
      <w:r>
        <w:rPr>
          <w:rFonts w:ascii="Palatino Linotype" w:eastAsia="Times New Roman" w:hAnsi="Palatino Linotype" w:cs="Arial"/>
          <w:sz w:val="24"/>
          <w:szCs w:val="24"/>
          <w:lang w:eastAsia="es-ES"/>
        </w:rPr>
        <w:t xml:space="preserve"> c</w:t>
      </w:r>
      <w:r w:rsidRPr="005B0FF9">
        <w:rPr>
          <w:rFonts w:ascii="Palatino Linotype" w:eastAsia="Times New Roman" w:hAnsi="Palatino Linotype" w:cs="Arial"/>
          <w:sz w:val="24"/>
          <w:szCs w:val="24"/>
          <w:lang w:eastAsia="es-ES"/>
        </w:rPr>
        <w:t>onsiderandos</w:t>
      </w:r>
      <w:r w:rsidRPr="005B0FF9">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5B0FF9">
        <w:rPr>
          <w:rFonts w:ascii="Palatino Linotype" w:eastAsia="Times New Roman" w:hAnsi="Palatino Linotype" w:cs="Arial"/>
          <w:b/>
          <w:sz w:val="24"/>
          <w:szCs w:val="24"/>
          <w:lang w:eastAsia="es-ES"/>
        </w:rPr>
        <w:t xml:space="preserve"> </w:t>
      </w:r>
      <w:r w:rsidRPr="005B0FF9">
        <w:rPr>
          <w:rFonts w:ascii="Palatino Linotype" w:eastAsia="Times New Roman" w:hAnsi="Palatino Linotype" w:cs="Arial"/>
          <w:sz w:val="24"/>
          <w:szCs w:val="24"/>
          <w:lang w:eastAsia="es-ES"/>
        </w:rPr>
        <w:t>de la presente Resolución.</w:t>
      </w:r>
    </w:p>
    <w:p w14:paraId="615854AE" w14:textId="77777777" w:rsidR="00A45BA5" w:rsidRPr="005B0FF9" w:rsidRDefault="00A45BA5" w:rsidP="00A45BA5">
      <w:pPr>
        <w:spacing w:after="0" w:line="360" w:lineRule="auto"/>
        <w:ind w:right="-595"/>
        <w:jc w:val="both"/>
        <w:rPr>
          <w:rFonts w:ascii="Palatino Linotype" w:eastAsia="Times New Roman" w:hAnsi="Palatino Linotype" w:cs="Arial"/>
          <w:b/>
          <w:sz w:val="24"/>
          <w:szCs w:val="24"/>
          <w:lang w:eastAsia="es-ES"/>
        </w:rPr>
      </w:pPr>
    </w:p>
    <w:p w14:paraId="14B58E80" w14:textId="77777777" w:rsidR="00A45BA5" w:rsidRPr="005B0FF9" w:rsidRDefault="00A45BA5" w:rsidP="00A45BA5">
      <w:pPr>
        <w:spacing w:after="0" w:line="360" w:lineRule="auto"/>
        <w:ind w:right="-595"/>
        <w:jc w:val="both"/>
        <w:rPr>
          <w:rFonts w:ascii="Palatino Linotype" w:eastAsia="Times New Roman" w:hAnsi="Palatino Linotype" w:cs="Arial"/>
          <w:b/>
          <w:sz w:val="24"/>
          <w:szCs w:val="24"/>
          <w:lang w:eastAsia="es-ES"/>
        </w:rPr>
      </w:pPr>
      <w:r w:rsidRPr="005B0FF9">
        <w:rPr>
          <w:rFonts w:ascii="Palatino Linotype" w:eastAsia="Times New Roman" w:hAnsi="Palatino Linotype" w:cs="Arial"/>
          <w:b/>
          <w:sz w:val="24"/>
          <w:szCs w:val="24"/>
          <w:lang w:eastAsia="es-ES"/>
        </w:rPr>
        <w:t>SEGUNDO.</w:t>
      </w:r>
      <w:r w:rsidRPr="005B0FF9">
        <w:rPr>
          <w:rFonts w:ascii="Palatino Linotype" w:eastAsia="Times New Roman" w:hAnsi="Palatino Linotype" w:cs="Tahoma"/>
          <w:sz w:val="24"/>
          <w:szCs w:val="24"/>
          <w:lang w:eastAsia="es-ES"/>
        </w:rPr>
        <w:t xml:space="preserve"> Se </w:t>
      </w:r>
      <w:r w:rsidRPr="005B0FF9">
        <w:rPr>
          <w:rFonts w:ascii="Palatino Linotype" w:eastAsia="Times New Roman" w:hAnsi="Palatino Linotype" w:cs="Tahoma"/>
          <w:b/>
          <w:sz w:val="24"/>
          <w:szCs w:val="24"/>
          <w:lang w:eastAsia="es-ES"/>
        </w:rPr>
        <w:t xml:space="preserve">ORDENA </w:t>
      </w:r>
      <w:r w:rsidRPr="005B0FF9">
        <w:rPr>
          <w:rFonts w:ascii="Palatino Linotype" w:eastAsia="Times New Roman" w:hAnsi="Palatino Linotype" w:cs="Tahoma"/>
          <w:sz w:val="24"/>
          <w:szCs w:val="24"/>
          <w:lang w:eastAsia="es-ES"/>
        </w:rPr>
        <w:t>al Sujeto Obligado</w:t>
      </w:r>
      <w:r w:rsidRPr="005B0FF9">
        <w:rPr>
          <w:rFonts w:ascii="Palatino Linotype" w:eastAsia="Times New Roman" w:hAnsi="Palatino Linotype" w:cs="Tahoma"/>
          <w:b/>
          <w:sz w:val="24"/>
          <w:szCs w:val="24"/>
          <w:lang w:eastAsia="es-ES"/>
        </w:rPr>
        <w:t xml:space="preserve">, </w:t>
      </w:r>
      <w:r w:rsidRPr="005B0FF9">
        <w:rPr>
          <w:rFonts w:ascii="Palatino Linotype" w:eastAsia="Times New Roman" w:hAnsi="Palatino Linotype" w:cs="Tahoma"/>
          <w:sz w:val="24"/>
          <w:szCs w:val="24"/>
          <w:lang w:eastAsia="es-ES"/>
        </w:rPr>
        <w:t>a efecto de que entregue, vía</w:t>
      </w:r>
      <w:r w:rsidRPr="005B0FF9">
        <w:rPr>
          <w:rFonts w:ascii="Palatino Linotype" w:eastAsia="Times New Roman" w:hAnsi="Palatino Linotype" w:cs="Tahoma"/>
          <w:b/>
          <w:sz w:val="24"/>
          <w:szCs w:val="24"/>
          <w:lang w:eastAsia="es-ES"/>
        </w:rPr>
        <w:t xml:space="preserve"> </w:t>
      </w:r>
      <w:r w:rsidRPr="005B0FF9">
        <w:rPr>
          <w:rFonts w:ascii="Palatino Linotype" w:eastAsia="Calibri" w:hAnsi="Palatino Linotype" w:cs="Tahoma"/>
          <w:bCs/>
          <w:sz w:val="24"/>
          <w:szCs w:val="24"/>
        </w:rPr>
        <w:t>Sistema de Acceso a la Información Mexiquense</w:t>
      </w:r>
      <w:r>
        <w:rPr>
          <w:rFonts w:ascii="Palatino Linotype" w:eastAsia="Calibri" w:hAnsi="Palatino Linotype" w:cs="Tahoma"/>
          <w:bCs/>
          <w:sz w:val="24"/>
          <w:szCs w:val="24"/>
        </w:rPr>
        <w:t xml:space="preserve"> (SAIMEX)</w:t>
      </w:r>
      <w:r w:rsidRPr="005B0FF9">
        <w:rPr>
          <w:rFonts w:ascii="Palatino Linotype" w:eastAsia="Calibri" w:hAnsi="Palatino Linotype" w:cs="Tahoma"/>
          <w:bCs/>
          <w:sz w:val="24"/>
          <w:szCs w:val="24"/>
        </w:rPr>
        <w:t xml:space="preserve">, </w:t>
      </w:r>
      <w:r w:rsidR="00A24C09">
        <w:rPr>
          <w:rFonts w:ascii="Palatino Linotype" w:eastAsia="Calibri" w:hAnsi="Palatino Linotype" w:cs="Tahoma"/>
          <w:bCs/>
          <w:sz w:val="24"/>
          <w:szCs w:val="24"/>
        </w:rPr>
        <w:t xml:space="preserve">de ser procedente </w:t>
      </w:r>
      <w:r w:rsidRPr="005B0FF9">
        <w:rPr>
          <w:rFonts w:ascii="Palatino Linotype" w:eastAsia="Calibri" w:hAnsi="Palatino Linotype" w:cs="Tahoma"/>
          <w:bCs/>
          <w:sz w:val="24"/>
          <w:szCs w:val="24"/>
        </w:rPr>
        <w:t>en versión púb</w:t>
      </w:r>
      <w:r>
        <w:rPr>
          <w:rFonts w:ascii="Palatino Linotype" w:eastAsia="Calibri" w:hAnsi="Palatino Linotype" w:cs="Tahoma"/>
          <w:bCs/>
          <w:sz w:val="24"/>
          <w:szCs w:val="24"/>
        </w:rPr>
        <w:t>l</w:t>
      </w:r>
      <w:r w:rsidRPr="005B0FF9">
        <w:rPr>
          <w:rFonts w:ascii="Palatino Linotype" w:eastAsia="Calibri" w:hAnsi="Palatino Linotype" w:cs="Tahoma"/>
          <w:bCs/>
          <w:sz w:val="24"/>
          <w:szCs w:val="24"/>
        </w:rPr>
        <w:t>ica</w:t>
      </w:r>
      <w:r>
        <w:rPr>
          <w:rFonts w:ascii="Palatino Linotype" w:eastAsia="Calibri" w:hAnsi="Palatino Linotype" w:cs="Tahoma"/>
          <w:bCs/>
          <w:sz w:val="24"/>
          <w:szCs w:val="24"/>
        </w:rPr>
        <w:t xml:space="preserve">, </w:t>
      </w:r>
      <w:r w:rsidRPr="00947DE0">
        <w:rPr>
          <w:rFonts w:ascii="Palatino Linotype" w:eastAsia="Calibri" w:hAnsi="Palatino Linotype" w:cs="Tahoma"/>
          <w:bCs/>
          <w:sz w:val="24"/>
          <w:szCs w:val="24"/>
        </w:rPr>
        <w:t>lo siguiente</w:t>
      </w:r>
      <w:r w:rsidRPr="005B0FF9">
        <w:rPr>
          <w:rFonts w:ascii="Palatino Linotype" w:eastAsia="Calibri" w:hAnsi="Palatino Linotype" w:cs="Tahoma"/>
          <w:bCs/>
          <w:sz w:val="24"/>
          <w:szCs w:val="24"/>
        </w:rPr>
        <w:t xml:space="preserve">: </w:t>
      </w:r>
    </w:p>
    <w:p w14:paraId="14287E93" w14:textId="77777777" w:rsidR="00A45BA5" w:rsidRPr="005B0FF9" w:rsidRDefault="00A45BA5" w:rsidP="00A45BA5">
      <w:pPr>
        <w:spacing w:after="0" w:line="360" w:lineRule="auto"/>
        <w:ind w:right="-595"/>
        <w:jc w:val="both"/>
        <w:rPr>
          <w:rFonts w:ascii="Palatino Linotype" w:eastAsia="Times New Roman" w:hAnsi="Palatino Linotype" w:cs="Times New Roman"/>
          <w:sz w:val="24"/>
          <w:szCs w:val="24"/>
          <w:lang w:eastAsia="es-ES"/>
        </w:rPr>
      </w:pPr>
    </w:p>
    <w:p w14:paraId="708C781C" w14:textId="77777777" w:rsidR="00A45BA5" w:rsidRPr="005B0FF9" w:rsidRDefault="00A24C09" w:rsidP="00A45BA5">
      <w:pPr>
        <w:pStyle w:val="Prrafodelista"/>
        <w:numPr>
          <w:ilvl w:val="0"/>
          <w:numId w:val="4"/>
        </w:numPr>
        <w:autoSpaceDE w:val="0"/>
        <w:autoSpaceDN w:val="0"/>
        <w:adjustRightInd w:val="0"/>
        <w:spacing w:line="360" w:lineRule="auto"/>
        <w:jc w:val="both"/>
        <w:rPr>
          <w:rFonts w:ascii="Palatino Linotype" w:hAnsi="Palatino Linotype"/>
        </w:rPr>
      </w:pPr>
      <w:r>
        <w:rPr>
          <w:rFonts w:ascii="Palatino Linotype" w:hAnsi="Palatino Linotype" w:cs="Arial"/>
        </w:rPr>
        <w:t>Las 11 (once) autorizaciones otorgadas a la persona jurídico colectiva señalada en la solicitud de información</w:t>
      </w:r>
      <w:r w:rsidR="00A45BA5">
        <w:rPr>
          <w:rFonts w:ascii="Palatino Linotype" w:hAnsi="Palatino Linotype" w:cs="Arial"/>
        </w:rPr>
        <w:t>.</w:t>
      </w:r>
    </w:p>
    <w:p w14:paraId="57E8B88A" w14:textId="77777777" w:rsidR="00A45BA5" w:rsidRDefault="00A45BA5" w:rsidP="00A45BA5">
      <w:pPr>
        <w:spacing w:after="0" w:line="360" w:lineRule="auto"/>
        <w:jc w:val="both"/>
        <w:rPr>
          <w:rFonts w:ascii="Palatino Linotype" w:eastAsia="Times New Roman" w:hAnsi="Palatino Linotype" w:cs="Arial"/>
          <w:sz w:val="24"/>
          <w:szCs w:val="24"/>
          <w:lang w:eastAsia="es-ES"/>
        </w:rPr>
      </w:pPr>
    </w:p>
    <w:p w14:paraId="15FC7567" w14:textId="77777777" w:rsidR="00A45BA5" w:rsidRDefault="00A24C09" w:rsidP="00A45BA5">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De ser procedente la versión pública, d</w:t>
      </w:r>
      <w:r w:rsidR="00A45BA5" w:rsidRPr="005B0FF9">
        <w:rPr>
          <w:rFonts w:ascii="Palatino Linotype" w:eastAsia="Times New Roman" w:hAnsi="Palatino Linotype" w:cs="Arial"/>
          <w:sz w:val="24"/>
          <w:szCs w:val="24"/>
          <w:lang w:eastAsia="es-ES"/>
        </w:rPr>
        <w:t>e</w:t>
      </w:r>
      <w:r w:rsidR="00A45BA5">
        <w:rPr>
          <w:rFonts w:ascii="Palatino Linotype" w:eastAsia="Times New Roman" w:hAnsi="Palatino Linotype" w:cs="Arial"/>
          <w:sz w:val="24"/>
          <w:szCs w:val="24"/>
          <w:lang w:eastAsia="es-ES"/>
        </w:rPr>
        <w:t>biendo emitir y hacer entrega d</w:t>
      </w:r>
      <w:r w:rsidR="00A45BA5" w:rsidRPr="005B0FF9">
        <w:rPr>
          <w:rFonts w:ascii="Palatino Linotype" w:eastAsia="Times New Roman" w:hAnsi="Palatino Linotype" w:cs="Arial"/>
          <w:sz w:val="24"/>
          <w:szCs w:val="24"/>
          <w:lang w:eastAsia="es-ES"/>
        </w:rPr>
        <w:t xml:space="preserve">el </w:t>
      </w:r>
      <w:r w:rsidR="00A45BA5" w:rsidRPr="005B0FF9">
        <w:rPr>
          <w:rFonts w:ascii="Palatino Linotype" w:eastAsia="Times New Roman" w:hAnsi="Palatino Linotype" w:cs="Arial"/>
          <w:b/>
          <w:sz w:val="24"/>
          <w:szCs w:val="24"/>
          <w:lang w:eastAsia="es-ES"/>
        </w:rPr>
        <w:t>Acuerdo del Comité de Transparencia</w:t>
      </w:r>
      <w:r w:rsidR="00A45BA5" w:rsidRPr="005B0FF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1130C025" w14:textId="77777777" w:rsidR="00A45BA5" w:rsidRDefault="00A45BA5" w:rsidP="00A45BA5">
      <w:pPr>
        <w:spacing w:after="0" w:line="360" w:lineRule="auto"/>
        <w:jc w:val="both"/>
        <w:rPr>
          <w:rFonts w:ascii="Palatino Linotype" w:eastAsia="Times New Roman" w:hAnsi="Palatino Linotype" w:cs="Arial"/>
          <w:sz w:val="24"/>
          <w:szCs w:val="24"/>
          <w:lang w:eastAsia="es-ES"/>
        </w:rPr>
      </w:pPr>
    </w:p>
    <w:p w14:paraId="1648091C" w14:textId="77777777" w:rsidR="00A45BA5" w:rsidRPr="005B0FF9" w:rsidRDefault="00A45BA5" w:rsidP="00A45BA5">
      <w:pPr>
        <w:spacing w:after="0" w:line="360" w:lineRule="auto"/>
        <w:jc w:val="both"/>
        <w:rPr>
          <w:rFonts w:ascii="Palatino Linotype" w:eastAsia="Times New Roman" w:hAnsi="Palatino Linotype" w:cs="Tahoma"/>
          <w:bCs/>
          <w:sz w:val="24"/>
          <w:szCs w:val="24"/>
          <w:lang w:eastAsia="es-ES"/>
        </w:rPr>
      </w:pPr>
      <w:r w:rsidRPr="005B0FF9">
        <w:rPr>
          <w:rFonts w:ascii="Palatino Linotype" w:eastAsia="Times New Roman" w:hAnsi="Palatino Linotype" w:cs="Arial"/>
          <w:b/>
          <w:sz w:val="28"/>
          <w:szCs w:val="24"/>
          <w:lang w:eastAsia="es-ES"/>
        </w:rPr>
        <w:t>TERCERO</w:t>
      </w:r>
      <w:r w:rsidRPr="005B0FF9">
        <w:rPr>
          <w:rFonts w:ascii="Palatino Linotype" w:eastAsia="Times New Roman" w:hAnsi="Palatino Linotype" w:cs="Arial"/>
          <w:b/>
          <w:sz w:val="24"/>
          <w:szCs w:val="24"/>
          <w:lang w:eastAsia="es-ES"/>
        </w:rPr>
        <w:t>.</w:t>
      </w:r>
      <w:r w:rsidRPr="005B0FF9">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Tahoma"/>
          <w:b/>
          <w:sz w:val="24"/>
          <w:szCs w:val="24"/>
          <w:lang w:eastAsia="es-ES"/>
        </w:rPr>
        <w:t xml:space="preserve">NOTIFÍQUESE </w:t>
      </w:r>
      <w:r w:rsidRPr="005B0FF9">
        <w:rPr>
          <w:rFonts w:ascii="Palatino Linotype" w:eastAsia="Times New Roman" w:hAnsi="Palatino Linotype" w:cs="Tahoma"/>
          <w:sz w:val="24"/>
          <w:szCs w:val="24"/>
          <w:lang w:eastAsia="es-ES"/>
        </w:rPr>
        <w:t xml:space="preserve">la presente Resolución al Titular de la Unidad de Transparencia del </w:t>
      </w:r>
      <w:r w:rsidRPr="005B0FF9">
        <w:rPr>
          <w:rFonts w:ascii="Palatino Linotype" w:eastAsia="Times New Roman" w:hAnsi="Palatino Linotype" w:cs="Tahoma"/>
          <w:b/>
          <w:sz w:val="24"/>
          <w:szCs w:val="24"/>
          <w:lang w:eastAsia="es-ES"/>
        </w:rPr>
        <w:t>Sujeto Obligado</w:t>
      </w:r>
      <w:r w:rsidRPr="005B0FF9">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4923D74" w14:textId="77777777" w:rsidR="00A45BA5" w:rsidRPr="005B0FF9" w:rsidRDefault="00A45BA5" w:rsidP="00A45BA5">
      <w:pPr>
        <w:spacing w:after="0" w:line="360" w:lineRule="auto"/>
        <w:ind w:right="-595"/>
        <w:jc w:val="both"/>
        <w:rPr>
          <w:rFonts w:ascii="Palatino Linotype" w:eastAsia="Times New Roman" w:hAnsi="Palatino Linotype" w:cs="Tahoma"/>
          <w:bCs/>
          <w:sz w:val="24"/>
          <w:szCs w:val="24"/>
          <w:lang w:eastAsia="es-ES"/>
        </w:rPr>
      </w:pPr>
    </w:p>
    <w:p w14:paraId="594C7384" w14:textId="77777777" w:rsidR="00A45BA5" w:rsidRDefault="00A45BA5" w:rsidP="00A45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47DE0">
        <w:rPr>
          <w:rFonts w:ascii="Palatino Linotype" w:eastAsia="Times New Roman" w:hAnsi="Palatino Linotype" w:cs="Arial"/>
          <w:b/>
          <w:sz w:val="28"/>
          <w:szCs w:val="28"/>
          <w:lang w:val="es-ES" w:eastAsia="es-ES"/>
        </w:rPr>
        <w:t>CUARTO.</w:t>
      </w:r>
      <w:r w:rsidRPr="00947DE0">
        <w:rPr>
          <w:rFonts w:ascii="Palatino Linotype" w:eastAsia="Times New Roman" w:hAnsi="Palatino Linotype" w:cs="Arial"/>
          <w:b/>
          <w:sz w:val="24"/>
          <w:szCs w:val="24"/>
          <w:lang w:val="es-ES" w:eastAsia="es-ES"/>
        </w:rPr>
        <w:t xml:space="preserve"> </w:t>
      </w:r>
      <w:r w:rsidRPr="00947DE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947DE0">
        <w:rPr>
          <w:rFonts w:ascii="Palatino Linotype" w:eastAsia="Times New Roman" w:hAnsi="Palatino Linotype" w:cs="Arial"/>
          <w:sz w:val="24"/>
          <w:szCs w:val="24"/>
          <w:lang w:val="es-ES" w:eastAsia="es-ES"/>
        </w:rPr>
        <w:lastRenderedPageBreak/>
        <w:t xml:space="preserve">procedente, el </w:t>
      </w:r>
      <w:r w:rsidRPr="00947DE0">
        <w:rPr>
          <w:rFonts w:ascii="Palatino Linotype" w:eastAsia="Times New Roman" w:hAnsi="Palatino Linotype" w:cs="Arial"/>
          <w:b/>
          <w:sz w:val="24"/>
          <w:szCs w:val="24"/>
          <w:lang w:val="es-ES" w:eastAsia="es-ES"/>
        </w:rPr>
        <w:t>Sujeto Obligado</w:t>
      </w:r>
      <w:r w:rsidRPr="00947DE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64F869C4" w14:textId="77777777" w:rsidR="00A45BA5" w:rsidRPr="00947DE0" w:rsidRDefault="00A45BA5" w:rsidP="00A45B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FE63BD" w14:textId="77777777" w:rsidR="00A45BA5" w:rsidRDefault="00A45BA5" w:rsidP="00A45BA5">
      <w:pPr>
        <w:autoSpaceDE w:val="0"/>
        <w:autoSpaceDN w:val="0"/>
        <w:adjustRightInd w:val="0"/>
        <w:spacing w:after="0" w:line="360" w:lineRule="auto"/>
        <w:jc w:val="both"/>
        <w:rPr>
          <w:rFonts w:ascii="Palatino Linotype" w:hAnsi="Palatino Linotype"/>
          <w:sz w:val="24"/>
          <w:szCs w:val="24"/>
          <w:lang w:eastAsia="es-ES_tradnl"/>
        </w:rPr>
      </w:pPr>
      <w:r w:rsidRPr="00947DE0">
        <w:rPr>
          <w:rFonts w:ascii="Palatino Linotype" w:hAnsi="Palatino Linotype"/>
          <w:b/>
          <w:sz w:val="28"/>
          <w:szCs w:val="28"/>
        </w:rPr>
        <w:t>QUINTO</w:t>
      </w:r>
      <w:r w:rsidRPr="00947DE0">
        <w:rPr>
          <w:rFonts w:ascii="Palatino Linotype" w:hAnsi="Palatino Linotype"/>
          <w:b/>
          <w:sz w:val="24"/>
          <w:szCs w:val="24"/>
        </w:rPr>
        <w:t xml:space="preserve">. </w:t>
      </w:r>
      <w:r w:rsidRPr="00947DE0">
        <w:rPr>
          <w:rFonts w:ascii="Palatino Linotype" w:hAnsi="Palatino Linotype" w:cs="Arial"/>
          <w:b/>
          <w:sz w:val="24"/>
          <w:szCs w:val="24"/>
        </w:rPr>
        <w:t>Notifíquese</w:t>
      </w:r>
      <w:r w:rsidRPr="00947DE0">
        <w:rPr>
          <w:rFonts w:ascii="Palatino Linotype" w:hAnsi="Palatino Linotype" w:cs="Arial"/>
          <w:sz w:val="24"/>
          <w:szCs w:val="24"/>
        </w:rPr>
        <w:t xml:space="preserve"> a través del Sistema de Acceso a la Información Mexiquense (SAIMEX), al </w:t>
      </w:r>
      <w:r w:rsidRPr="00947DE0">
        <w:rPr>
          <w:rFonts w:ascii="Palatino Linotype" w:hAnsi="Palatino Linotype" w:cs="Arial"/>
          <w:b/>
          <w:sz w:val="24"/>
          <w:szCs w:val="24"/>
        </w:rPr>
        <w:t>Recurrente</w:t>
      </w:r>
      <w:r w:rsidRPr="00947DE0">
        <w:rPr>
          <w:rFonts w:ascii="Palatino Linotype" w:hAnsi="Palatino Linotype" w:cs="Arial"/>
          <w:sz w:val="24"/>
          <w:szCs w:val="24"/>
        </w:rPr>
        <w:t xml:space="preserve"> </w:t>
      </w:r>
      <w:r w:rsidRPr="008B36AA">
        <w:rPr>
          <w:rFonts w:ascii="Palatino Linotype" w:hAnsi="Palatino Linotype" w:cs="Arial"/>
          <w:sz w:val="24"/>
          <w:szCs w:val="24"/>
        </w:rPr>
        <w:t>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24513D7" w14:textId="77777777" w:rsidR="00A45BA5" w:rsidRPr="00470DBC" w:rsidRDefault="00A45BA5" w:rsidP="00A45BA5">
      <w:pPr>
        <w:spacing w:after="0" w:line="360" w:lineRule="auto"/>
        <w:jc w:val="both"/>
        <w:rPr>
          <w:rFonts w:ascii="Palatino Linotype" w:hAnsi="Palatino Linotype"/>
          <w:sz w:val="24"/>
          <w:szCs w:val="24"/>
          <w:lang w:eastAsia="es-ES_tradnl"/>
        </w:rPr>
      </w:pPr>
    </w:p>
    <w:p w14:paraId="6F16F233" w14:textId="77777777" w:rsidR="00A45BA5" w:rsidRPr="00C45081" w:rsidRDefault="00A45BA5" w:rsidP="00A45BA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w:t>
      </w:r>
      <w:r>
        <w:rPr>
          <w:rFonts w:ascii="Palatino Linotype" w:hAnsi="Palatino Linotype" w:cs="Arial"/>
          <w:sz w:val="24"/>
          <w:szCs w:val="24"/>
        </w:rPr>
        <w:t xml:space="preserve"> DÉCIMA </w:t>
      </w:r>
      <w:r w:rsidR="00AE28E7">
        <w:rPr>
          <w:rFonts w:ascii="Palatino Linotype" w:hAnsi="Palatino Linotype" w:cs="Arial"/>
          <w:sz w:val="24"/>
          <w:szCs w:val="24"/>
        </w:rPr>
        <w:t>QUINTA</w:t>
      </w:r>
      <w:r>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AE28E7">
        <w:rPr>
          <w:rFonts w:ascii="Palatino Linotype" w:hAnsi="Palatino Linotype" w:cs="Arial"/>
          <w:sz w:val="24"/>
          <w:szCs w:val="24"/>
        </w:rPr>
        <w:t xml:space="preserve">VEINTISIETE DE ABRIL </w:t>
      </w:r>
      <w:r w:rsidRPr="00C45081">
        <w:rPr>
          <w:rFonts w:ascii="Palatino Linotype" w:hAnsi="Palatino Linotype" w:cs="Arial"/>
          <w:sz w:val="24"/>
          <w:szCs w:val="24"/>
        </w:rPr>
        <w:t>DE DOS MIL VEINTI</w:t>
      </w:r>
      <w:r>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14:paraId="5E567939" w14:textId="77777777" w:rsidR="00A45BA5" w:rsidRDefault="00A45BA5" w:rsidP="00A45BA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367572B9" w14:textId="77777777" w:rsidR="00554875" w:rsidRPr="00C45081" w:rsidRDefault="00554875" w:rsidP="0055487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52BEF614" w14:textId="77777777" w:rsidR="00554875" w:rsidRPr="00C45081" w:rsidRDefault="00554875" w:rsidP="0055487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02F33310" w14:textId="77777777" w:rsidR="00554875" w:rsidRPr="00C45081" w:rsidRDefault="00554875" w:rsidP="0055487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46FA9F77" w14:textId="77777777" w:rsidR="00554875" w:rsidRPr="00C45081" w:rsidRDefault="00554875" w:rsidP="0055487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17C469FB" w14:textId="77777777" w:rsidR="00554875" w:rsidRPr="00C45081" w:rsidRDefault="00554875" w:rsidP="0055487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6522932E" w14:textId="77777777" w:rsidR="00A45BA5" w:rsidRPr="005323D1" w:rsidRDefault="00A45BA5" w:rsidP="00A45BA5">
      <w:pPr>
        <w:spacing w:after="0" w:line="360" w:lineRule="auto"/>
        <w:jc w:val="both"/>
        <w:rPr>
          <w:rFonts w:ascii="Palatino Linotype" w:hAnsi="Palatino Linotype" w:cs="Arial"/>
          <w:sz w:val="20"/>
        </w:rPr>
      </w:pPr>
      <w:r>
        <w:rPr>
          <w:rFonts w:ascii="Palatino Linotype" w:hAnsi="Palatino Linotype" w:cs="Arial"/>
          <w:sz w:val="20"/>
        </w:rPr>
        <w:t>CCR/HAP</w:t>
      </w:r>
    </w:p>
    <w:p w14:paraId="7A75331C" w14:textId="77777777" w:rsidR="00A45BA5" w:rsidRDefault="00A45BA5" w:rsidP="00A45BA5">
      <w:pPr>
        <w:spacing w:after="0" w:line="360" w:lineRule="auto"/>
        <w:jc w:val="both"/>
        <w:rPr>
          <w:rFonts w:ascii="Palatino Linotype" w:hAnsi="Palatino Linotype" w:cs="Arial"/>
          <w:sz w:val="24"/>
          <w:szCs w:val="24"/>
        </w:rPr>
      </w:pPr>
    </w:p>
    <w:p w14:paraId="7D36AC7C" w14:textId="77777777" w:rsidR="00A45BA5" w:rsidRDefault="00A45BA5" w:rsidP="00A45BA5">
      <w:pPr>
        <w:spacing w:after="0" w:line="360" w:lineRule="auto"/>
        <w:jc w:val="both"/>
        <w:rPr>
          <w:rFonts w:ascii="Palatino Linotype" w:hAnsi="Palatino Linotype" w:cs="Arial"/>
          <w:sz w:val="24"/>
          <w:szCs w:val="24"/>
        </w:rPr>
      </w:pPr>
    </w:p>
    <w:p w14:paraId="3583FFDE" w14:textId="77777777" w:rsidR="00A45BA5" w:rsidRDefault="00A45BA5" w:rsidP="00A45BA5">
      <w:pPr>
        <w:spacing w:after="0" w:line="360" w:lineRule="auto"/>
        <w:jc w:val="both"/>
        <w:rPr>
          <w:rFonts w:ascii="Palatino Linotype" w:hAnsi="Palatino Linotype" w:cs="Arial"/>
          <w:sz w:val="24"/>
          <w:szCs w:val="24"/>
        </w:rPr>
      </w:pPr>
    </w:p>
    <w:p w14:paraId="23FBB401" w14:textId="77777777" w:rsidR="00A45BA5" w:rsidRDefault="00A45BA5" w:rsidP="00A45BA5">
      <w:pPr>
        <w:spacing w:after="0"/>
      </w:pPr>
    </w:p>
    <w:p w14:paraId="0A35415D" w14:textId="77777777" w:rsidR="00A45BA5" w:rsidRDefault="00A45BA5" w:rsidP="00A45BA5">
      <w:pPr>
        <w:spacing w:after="0"/>
      </w:pPr>
    </w:p>
    <w:p w14:paraId="38194CB3" w14:textId="77777777" w:rsidR="00A45BA5" w:rsidRDefault="00A45BA5" w:rsidP="00A45BA5">
      <w:pPr>
        <w:spacing w:after="0"/>
      </w:pPr>
    </w:p>
    <w:p w14:paraId="3DA0468B" w14:textId="77777777" w:rsidR="00A45BA5" w:rsidRDefault="00A45BA5" w:rsidP="00A45BA5">
      <w:pPr>
        <w:spacing w:after="0"/>
      </w:pPr>
    </w:p>
    <w:p w14:paraId="48BF2254" w14:textId="77777777" w:rsidR="00A45BA5" w:rsidRDefault="00A45BA5" w:rsidP="00A45BA5">
      <w:pPr>
        <w:spacing w:after="0"/>
      </w:pPr>
    </w:p>
    <w:p w14:paraId="6794D691" w14:textId="77777777" w:rsidR="00A45BA5" w:rsidRDefault="00A45BA5" w:rsidP="00A45BA5">
      <w:pPr>
        <w:spacing w:after="0"/>
      </w:pPr>
    </w:p>
    <w:p w14:paraId="53F861A6" w14:textId="77777777" w:rsidR="00A45BA5" w:rsidRDefault="00A45BA5" w:rsidP="00A45BA5">
      <w:pPr>
        <w:spacing w:after="0"/>
      </w:pPr>
    </w:p>
    <w:p w14:paraId="7AC7097F" w14:textId="77777777" w:rsidR="00C75384" w:rsidRDefault="00C75384"/>
    <w:sectPr w:rsidR="00C75384" w:rsidSect="00C7538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9C85E" w14:textId="77777777" w:rsidR="00A40655" w:rsidRDefault="00A40655" w:rsidP="00A45BA5">
      <w:pPr>
        <w:spacing w:after="0" w:line="240" w:lineRule="auto"/>
      </w:pPr>
      <w:r>
        <w:separator/>
      </w:r>
    </w:p>
  </w:endnote>
  <w:endnote w:type="continuationSeparator" w:id="0">
    <w:p w14:paraId="2F0796B2" w14:textId="77777777" w:rsidR="00A40655" w:rsidRDefault="00A40655" w:rsidP="00A4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0318042" w14:textId="77777777" w:rsidR="00877BFF" w:rsidRPr="002D6DD8" w:rsidRDefault="00877BFF" w:rsidP="00C7538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2B1D">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2B1D">
              <w:rPr>
                <w:rFonts w:ascii="Palatino Linotype" w:hAnsi="Palatino Linotype"/>
                <w:bCs/>
                <w:noProof/>
                <w:sz w:val="20"/>
              </w:rPr>
              <w:t>30</w:t>
            </w:r>
            <w:r>
              <w:rPr>
                <w:rFonts w:ascii="Palatino Linotype" w:hAnsi="Palatino Linotype"/>
                <w:bCs/>
                <w:noProof/>
                <w:sz w:val="20"/>
              </w:rPr>
              <w:fldChar w:fldCharType="end"/>
            </w:r>
          </w:p>
        </w:sdtContent>
      </w:sdt>
    </w:sdtContent>
  </w:sdt>
  <w:p w14:paraId="761240BC" w14:textId="77777777" w:rsidR="00877BFF" w:rsidRDefault="00877B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4461B" w14:textId="77777777" w:rsidR="00877BFF" w:rsidRPr="000B69FA" w:rsidRDefault="00877BFF" w:rsidP="00C7538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2B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2B1D">
      <w:rPr>
        <w:rFonts w:ascii="Palatino Linotype" w:hAnsi="Palatino Linotype"/>
        <w:bCs/>
        <w:noProof/>
        <w:sz w:val="20"/>
      </w:rPr>
      <w:t>30</w:t>
    </w:r>
    <w:r>
      <w:rPr>
        <w:rFonts w:ascii="Palatino Linotype" w:hAnsi="Palatino Linotype"/>
        <w:bCs/>
        <w:noProof/>
        <w:sz w:val="20"/>
      </w:rPr>
      <w:fldChar w:fldCharType="end"/>
    </w:r>
  </w:p>
  <w:p w14:paraId="67524496" w14:textId="77777777" w:rsidR="00877BFF" w:rsidRDefault="00877B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D2FFC" w14:textId="77777777" w:rsidR="00A40655" w:rsidRDefault="00A40655" w:rsidP="00A45BA5">
      <w:pPr>
        <w:spacing w:after="0" w:line="240" w:lineRule="auto"/>
      </w:pPr>
      <w:r>
        <w:separator/>
      </w:r>
    </w:p>
  </w:footnote>
  <w:footnote w:type="continuationSeparator" w:id="0">
    <w:p w14:paraId="55DEE74D" w14:textId="77777777" w:rsidR="00A40655" w:rsidRDefault="00A40655" w:rsidP="00A45BA5">
      <w:pPr>
        <w:spacing w:after="0" w:line="240" w:lineRule="auto"/>
      </w:pPr>
      <w:r>
        <w:continuationSeparator/>
      </w:r>
    </w:p>
  </w:footnote>
  <w:footnote w:id="1">
    <w:p w14:paraId="35327E7B" w14:textId="77777777" w:rsidR="00877BFF" w:rsidRPr="00432894" w:rsidRDefault="00877BFF" w:rsidP="00A45BA5">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6D2B0275" w14:textId="77777777" w:rsidR="00877BFF" w:rsidRPr="00432894" w:rsidRDefault="00877BFF" w:rsidP="00A45BA5">
      <w:pPr>
        <w:pStyle w:val="Textonotapie"/>
        <w:jc w:val="both"/>
        <w:rPr>
          <w:rFonts w:ascii="Palatino Linotype" w:hAnsi="Palatino Linotype"/>
          <w:i/>
          <w:sz w:val="18"/>
        </w:rPr>
      </w:pPr>
      <w:r w:rsidRPr="00432894">
        <w:rPr>
          <w:rFonts w:ascii="Palatino Linotype" w:hAnsi="Palatino Linotype"/>
          <w:i/>
          <w:sz w:val="18"/>
        </w:rPr>
        <w:t>(…)</w:t>
      </w:r>
    </w:p>
    <w:p w14:paraId="260A312D" w14:textId="77777777" w:rsidR="00877BFF" w:rsidRPr="00F25C5C" w:rsidRDefault="00877BFF" w:rsidP="00A45BA5">
      <w:pPr>
        <w:pStyle w:val="Textonotapie"/>
        <w:jc w:val="both"/>
        <w:rPr>
          <w:lang w:val="es-MX"/>
        </w:rPr>
      </w:pPr>
      <w:r w:rsidRPr="00183B67">
        <w:rPr>
          <w:rFonts w:ascii="Palatino Linotype" w:hAnsi="Palatino Linotype"/>
          <w:b/>
          <w:i/>
          <w:sz w:val="18"/>
          <w:lang w:val="es-MX"/>
        </w:rPr>
        <w:t xml:space="preserve">V. </w:t>
      </w:r>
      <w:r w:rsidRPr="00183B67">
        <w:rPr>
          <w:rFonts w:ascii="Palatino Linotype" w:hAnsi="Palatino Linotype"/>
          <w:i/>
          <w:sz w:val="18"/>
          <w:lang w:val="es-MX"/>
        </w:rPr>
        <w:t>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77BFF" w14:paraId="55EB4498" w14:textId="77777777" w:rsidTr="00C75384">
      <w:trPr>
        <w:trHeight w:val="227"/>
      </w:trPr>
      <w:tc>
        <w:tcPr>
          <w:tcW w:w="5246" w:type="dxa"/>
          <w:hideMark/>
        </w:tcPr>
        <w:p w14:paraId="34D7F30C" w14:textId="77777777" w:rsidR="00877BFF" w:rsidRPr="00641471" w:rsidRDefault="00877BFF" w:rsidP="00C7538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B93F357" w14:textId="77777777" w:rsidR="00877BFF" w:rsidRPr="00641471" w:rsidRDefault="00877BFF" w:rsidP="00A45BA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0880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877BFF" w14:paraId="0FED7698" w14:textId="77777777" w:rsidTr="00C75384">
      <w:trPr>
        <w:trHeight w:val="242"/>
      </w:trPr>
      <w:tc>
        <w:tcPr>
          <w:tcW w:w="5246" w:type="dxa"/>
          <w:hideMark/>
        </w:tcPr>
        <w:p w14:paraId="3DB35BF4" w14:textId="77777777" w:rsidR="00877BFF" w:rsidRPr="00641471" w:rsidRDefault="00877BFF" w:rsidP="00C7538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4DB663A" w14:textId="77777777" w:rsidR="00877BFF" w:rsidRPr="00641471" w:rsidRDefault="00877BFF" w:rsidP="00C75384">
          <w:pPr>
            <w:spacing w:after="120" w:line="256" w:lineRule="auto"/>
            <w:ind w:left="-486" w:right="214" w:firstLine="284"/>
            <w:jc w:val="right"/>
            <w:rPr>
              <w:rFonts w:ascii="Palatino Linotype" w:hAnsi="Palatino Linotype" w:cs="Arial"/>
              <w:b/>
              <w:szCs w:val="20"/>
            </w:rPr>
          </w:pPr>
          <w:r w:rsidRPr="00A45BA5">
            <w:rPr>
              <w:rFonts w:ascii="Palatino Linotype" w:hAnsi="Palatino Linotype" w:cs="Arial"/>
              <w:b/>
              <w:szCs w:val="20"/>
            </w:rPr>
            <w:t>Secretaría de Movilidad</w:t>
          </w:r>
        </w:p>
      </w:tc>
    </w:tr>
    <w:tr w:rsidR="00877BFF" w14:paraId="52CAC348" w14:textId="77777777" w:rsidTr="00C75384">
      <w:trPr>
        <w:trHeight w:val="342"/>
      </w:trPr>
      <w:tc>
        <w:tcPr>
          <w:tcW w:w="5246" w:type="dxa"/>
          <w:hideMark/>
        </w:tcPr>
        <w:p w14:paraId="23EB6F8D" w14:textId="77777777" w:rsidR="00877BFF" w:rsidRPr="00641471" w:rsidRDefault="00877BFF" w:rsidP="00C7538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A232EE5" w14:textId="77777777" w:rsidR="00877BFF" w:rsidRPr="00641471" w:rsidRDefault="00877BFF" w:rsidP="00C7538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7B294EC" w14:textId="77777777" w:rsidR="00877BFF" w:rsidRPr="00AE046A" w:rsidRDefault="00877BFF" w:rsidP="00C7538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099516" wp14:editId="3DA94A0E">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77BFF" w14:paraId="077F169D" w14:textId="77777777" w:rsidTr="00C75384">
      <w:trPr>
        <w:trHeight w:val="227"/>
      </w:trPr>
      <w:tc>
        <w:tcPr>
          <w:tcW w:w="5104" w:type="dxa"/>
          <w:hideMark/>
        </w:tcPr>
        <w:p w14:paraId="027384C9" w14:textId="77777777" w:rsidR="00877BFF" w:rsidRPr="00641471" w:rsidRDefault="00877BFF" w:rsidP="00C7538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B9D076" w14:textId="77777777" w:rsidR="00877BFF" w:rsidRPr="00641471" w:rsidRDefault="00877BFF" w:rsidP="00A45BA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0880/INFOEM/IP/RR/2022</w:t>
          </w:r>
        </w:p>
      </w:tc>
    </w:tr>
    <w:tr w:rsidR="00877BFF" w14:paraId="023D55E5" w14:textId="77777777" w:rsidTr="00C75384">
      <w:trPr>
        <w:trHeight w:val="242"/>
      </w:trPr>
      <w:tc>
        <w:tcPr>
          <w:tcW w:w="5104" w:type="dxa"/>
          <w:hideMark/>
        </w:tcPr>
        <w:p w14:paraId="3193440D" w14:textId="77777777" w:rsidR="00877BFF" w:rsidRPr="00641471" w:rsidRDefault="00877BFF" w:rsidP="00C7538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9A67758" w14:textId="77777777" w:rsidR="00877BFF" w:rsidRPr="00641471" w:rsidRDefault="00877BFF" w:rsidP="00C75384">
          <w:pPr>
            <w:spacing w:after="120" w:line="256" w:lineRule="auto"/>
            <w:ind w:left="-486" w:right="214" w:firstLine="284"/>
            <w:jc w:val="right"/>
            <w:rPr>
              <w:rFonts w:ascii="Palatino Linotype" w:hAnsi="Palatino Linotype" w:cs="Arial"/>
              <w:b/>
              <w:szCs w:val="20"/>
            </w:rPr>
          </w:pPr>
          <w:r w:rsidRPr="00A45BA5">
            <w:rPr>
              <w:rFonts w:ascii="Palatino Linotype" w:hAnsi="Palatino Linotype" w:cs="Arial"/>
              <w:b/>
              <w:szCs w:val="20"/>
            </w:rPr>
            <w:t>Secretaría de Movilidad</w:t>
          </w:r>
        </w:p>
      </w:tc>
    </w:tr>
    <w:tr w:rsidR="00877BFF" w14:paraId="07FC3AC3" w14:textId="77777777" w:rsidTr="00C75384">
      <w:trPr>
        <w:trHeight w:val="342"/>
      </w:trPr>
      <w:tc>
        <w:tcPr>
          <w:tcW w:w="5104" w:type="dxa"/>
        </w:tcPr>
        <w:p w14:paraId="0614ED77" w14:textId="77777777" w:rsidR="00877BFF" w:rsidRPr="00641471" w:rsidRDefault="00877BFF" w:rsidP="00C7538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BE69558" w14:textId="0A4F1A19" w:rsidR="00877BFF" w:rsidRPr="00641471" w:rsidRDefault="00CC5678" w:rsidP="00C75384">
          <w:pPr>
            <w:spacing w:after="120" w:line="256" w:lineRule="auto"/>
            <w:ind w:left="-486" w:right="214" w:firstLine="567"/>
            <w:jc w:val="right"/>
            <w:rPr>
              <w:rFonts w:ascii="Palatino Linotype" w:hAnsi="Palatino Linotype" w:cs="Arial"/>
              <w:b/>
            </w:rPr>
          </w:pPr>
          <w:r>
            <w:rPr>
              <w:rFonts w:ascii="Palatino Linotype" w:hAnsi="Palatino Linotype" w:cs="Arial"/>
              <w:b/>
            </w:rPr>
            <w:t>XXXXXXXXX</w:t>
          </w:r>
        </w:p>
      </w:tc>
    </w:tr>
    <w:tr w:rsidR="00877BFF" w14:paraId="1D7066E2" w14:textId="77777777" w:rsidTr="00C75384">
      <w:trPr>
        <w:trHeight w:val="342"/>
      </w:trPr>
      <w:tc>
        <w:tcPr>
          <w:tcW w:w="5104" w:type="dxa"/>
        </w:tcPr>
        <w:p w14:paraId="72670176" w14:textId="77777777" w:rsidR="00877BFF" w:rsidRPr="00641471" w:rsidRDefault="00877BFF" w:rsidP="00C7538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4AFF5AA" w14:textId="77777777" w:rsidR="00877BFF" w:rsidRPr="00641471" w:rsidRDefault="00877BFF" w:rsidP="00C7538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C27A3C5" w14:textId="77777777" w:rsidR="00877BFF" w:rsidRPr="00C222C0" w:rsidRDefault="00877BF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28AC57E" wp14:editId="40C73469">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E0FD6"/>
    <w:multiLevelType w:val="hybridMultilevel"/>
    <w:tmpl w:val="731EE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B37864"/>
    <w:multiLevelType w:val="multilevel"/>
    <w:tmpl w:val="E08633AC"/>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A5"/>
    <w:rsid w:val="000153CA"/>
    <w:rsid w:val="001307D0"/>
    <w:rsid w:val="001352D7"/>
    <w:rsid w:val="002E50E2"/>
    <w:rsid w:val="00322B1D"/>
    <w:rsid w:val="0046757B"/>
    <w:rsid w:val="00554875"/>
    <w:rsid w:val="00597C93"/>
    <w:rsid w:val="006315FE"/>
    <w:rsid w:val="00657A57"/>
    <w:rsid w:val="00792050"/>
    <w:rsid w:val="00877BFF"/>
    <w:rsid w:val="00926226"/>
    <w:rsid w:val="00A24C09"/>
    <w:rsid w:val="00A35191"/>
    <w:rsid w:val="00A40655"/>
    <w:rsid w:val="00A45BA5"/>
    <w:rsid w:val="00A57A21"/>
    <w:rsid w:val="00A80D8E"/>
    <w:rsid w:val="00AE28E7"/>
    <w:rsid w:val="00BA2A9F"/>
    <w:rsid w:val="00BD797A"/>
    <w:rsid w:val="00C57852"/>
    <w:rsid w:val="00C75384"/>
    <w:rsid w:val="00CC5678"/>
    <w:rsid w:val="00CF187D"/>
    <w:rsid w:val="00D53E93"/>
    <w:rsid w:val="00DB13C9"/>
    <w:rsid w:val="00DF4157"/>
    <w:rsid w:val="00E55632"/>
    <w:rsid w:val="00F97A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20B93"/>
  <w15:chartTrackingRefBased/>
  <w15:docId w15:val="{F839ED4B-55A7-43EF-A581-6FF6362D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B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5BA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45BA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45BA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45BA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45BA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45BA5"/>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45BA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45BA5"/>
    <w:rPr>
      <w:vertAlign w:val="superscript"/>
    </w:rPr>
  </w:style>
  <w:style w:type="paragraph" w:styleId="Textonotapie">
    <w:name w:val="footnote text"/>
    <w:basedOn w:val="Normal"/>
    <w:link w:val="TextonotapieCar"/>
    <w:uiPriority w:val="99"/>
    <w:semiHidden/>
    <w:unhideWhenUsed/>
    <w:rsid w:val="00A45BA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A45BA5"/>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A4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329066">
      <w:bodyDiv w:val="1"/>
      <w:marLeft w:val="0"/>
      <w:marRight w:val="0"/>
      <w:marTop w:val="0"/>
      <w:marBottom w:val="0"/>
      <w:divBdr>
        <w:top w:val="none" w:sz="0" w:space="0" w:color="auto"/>
        <w:left w:val="none" w:sz="0" w:space="0" w:color="auto"/>
        <w:bottom w:val="none" w:sz="0" w:space="0" w:color="auto"/>
        <w:right w:val="none" w:sz="0" w:space="0" w:color="auto"/>
      </w:divBdr>
    </w:div>
    <w:div w:id="13539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8198</Words>
  <Characters>45090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2022-05-10T02:38:00Z</dcterms:created>
  <dcterms:modified xsi:type="dcterms:W3CDTF">2022-05-13T18:27:00Z</dcterms:modified>
</cp:coreProperties>
</file>