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10559" w14:textId="77777777" w:rsidR="00093823" w:rsidRPr="005E0100" w:rsidRDefault="00093823" w:rsidP="005E0100">
      <w:pPr>
        <w:spacing w:line="360" w:lineRule="auto"/>
        <w:jc w:val="both"/>
        <w:rPr>
          <w:rFonts w:ascii="Palatino Linotype" w:eastAsiaTheme="minorEastAsia" w:hAnsi="Palatino Linotype"/>
          <w:lang w:val="es-ES_tradnl" w:eastAsia="es-ES"/>
        </w:rPr>
      </w:pPr>
      <w:r w:rsidRPr="005E0100">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fecha diecinueve (19) de enero de dos mil veintidós.</w:t>
      </w:r>
    </w:p>
    <w:p w14:paraId="7C36E3F2" w14:textId="77777777" w:rsidR="00093823" w:rsidRPr="005E0100" w:rsidRDefault="00093823" w:rsidP="005E0100">
      <w:pPr>
        <w:spacing w:line="360" w:lineRule="auto"/>
        <w:jc w:val="both"/>
        <w:rPr>
          <w:rFonts w:ascii="Palatino Linotype" w:eastAsiaTheme="minorEastAsia" w:hAnsi="Palatino Linotype"/>
          <w:lang w:val="es-ES_tradnl" w:eastAsia="es-ES"/>
        </w:rPr>
      </w:pPr>
    </w:p>
    <w:p w14:paraId="60D3B918" w14:textId="7BD030D8" w:rsidR="00093823" w:rsidRPr="005E0100" w:rsidRDefault="00093823" w:rsidP="005E0100">
      <w:pPr>
        <w:spacing w:line="360" w:lineRule="auto"/>
        <w:jc w:val="both"/>
        <w:rPr>
          <w:rFonts w:ascii="Palatino Linotype" w:hAnsi="Palatino Linotype"/>
        </w:rPr>
      </w:pPr>
      <w:r w:rsidRPr="005E0100">
        <w:rPr>
          <w:rFonts w:ascii="Palatino Linotype" w:hAnsi="Palatino Linotype"/>
          <w:b/>
        </w:rPr>
        <w:t>VISTO</w:t>
      </w:r>
      <w:r w:rsidRPr="005E0100">
        <w:rPr>
          <w:rFonts w:ascii="Palatino Linotype" w:hAnsi="Palatino Linotype"/>
        </w:rPr>
        <w:t xml:space="preserve"> el expediente electrónico formado con motivo del recurso de revisión </w:t>
      </w:r>
      <w:r w:rsidRPr="005E0100">
        <w:rPr>
          <w:rFonts w:ascii="Palatino Linotype" w:hAnsi="Palatino Linotype"/>
          <w:b/>
        </w:rPr>
        <w:t>05403/INFOEM/IP/RR/2021,</w:t>
      </w:r>
      <w:r w:rsidRPr="005E0100">
        <w:rPr>
          <w:rFonts w:ascii="Palatino Linotype" w:hAnsi="Palatino Linotype" w:cs="Arial"/>
          <w:b/>
          <w:bCs/>
        </w:rPr>
        <w:t xml:space="preserve"> </w:t>
      </w:r>
      <w:r w:rsidRPr="005E0100">
        <w:rPr>
          <w:rFonts w:ascii="Palatino Linotype" w:eastAsiaTheme="minorEastAsia" w:hAnsi="Palatino Linotype"/>
          <w:lang w:val="es-ES_tradnl" w:eastAsia="es-ES"/>
        </w:rPr>
        <w:t xml:space="preserve">promovido </w:t>
      </w:r>
      <w:r w:rsidR="00D366ED">
        <w:rPr>
          <w:rFonts w:ascii="Palatino Linotype" w:eastAsiaTheme="minorEastAsia" w:hAnsi="Palatino Linotype"/>
          <w:b/>
          <w:lang w:val="es-ES_tradnl" w:eastAsia="es-ES"/>
        </w:rPr>
        <w:t>XXXXXXXXXXXXXXXXXX</w:t>
      </w:r>
      <w:bookmarkStart w:id="0" w:name="_GoBack"/>
      <w:bookmarkEnd w:id="0"/>
      <w:r w:rsidRPr="005E0100">
        <w:rPr>
          <w:rFonts w:ascii="Palatino Linotype" w:hAnsi="Palatino Linotype"/>
        </w:rPr>
        <w:t xml:space="preserve">, quien en lo sucesivo se identificará como </w:t>
      </w:r>
      <w:r w:rsidRPr="005E0100">
        <w:rPr>
          <w:rFonts w:ascii="Palatino Linotype" w:hAnsi="Palatino Linotype"/>
          <w:b/>
        </w:rPr>
        <w:t xml:space="preserve">la </w:t>
      </w:r>
      <w:r w:rsidRPr="005E0100">
        <w:rPr>
          <w:rFonts w:ascii="Palatino Linotype" w:hAnsi="Palatino Linotype" w:cs="Arial"/>
          <w:b/>
        </w:rPr>
        <w:t>RECURRENTE</w:t>
      </w:r>
      <w:r w:rsidRPr="005E0100">
        <w:rPr>
          <w:rFonts w:ascii="Palatino Linotype" w:hAnsi="Palatino Linotype" w:cs="Arial"/>
        </w:rPr>
        <w:t xml:space="preserve">, en contra de la respuesta de la </w:t>
      </w:r>
      <w:r w:rsidRPr="005E0100">
        <w:rPr>
          <w:rFonts w:ascii="Palatino Linotype" w:hAnsi="Palatino Linotype" w:cs="Arial"/>
          <w:b/>
        </w:rPr>
        <w:t>Fiscalía General de Justicia del Estado de México,</w:t>
      </w:r>
      <w:r w:rsidRPr="005E0100">
        <w:rPr>
          <w:rFonts w:ascii="Palatino Linotype" w:hAnsi="Palatino Linotype"/>
          <w:b/>
        </w:rPr>
        <w:t xml:space="preserve"> </w:t>
      </w:r>
      <w:r w:rsidRPr="005E0100">
        <w:rPr>
          <w:rFonts w:ascii="Palatino Linotype" w:hAnsi="Palatino Linotype"/>
        </w:rPr>
        <w:t>en lo sucesivo el</w:t>
      </w:r>
      <w:r w:rsidRPr="005E0100">
        <w:rPr>
          <w:rFonts w:ascii="Palatino Linotype" w:hAnsi="Palatino Linotype"/>
          <w:b/>
        </w:rPr>
        <w:t xml:space="preserve"> SUJETO OBLIGADO</w:t>
      </w:r>
      <w:r w:rsidRPr="005E0100">
        <w:rPr>
          <w:rFonts w:ascii="Palatino Linotype" w:hAnsi="Palatino Linotype"/>
        </w:rPr>
        <w:t>, por lo que se procede a dictar la presente resolución, con base en los siguientes:</w:t>
      </w:r>
    </w:p>
    <w:p w14:paraId="3570BA24" w14:textId="77777777" w:rsidR="00093823" w:rsidRPr="005E0100" w:rsidRDefault="00093823" w:rsidP="005E0100">
      <w:pPr>
        <w:spacing w:line="360" w:lineRule="auto"/>
        <w:jc w:val="both"/>
        <w:rPr>
          <w:rFonts w:ascii="Palatino Linotype" w:hAnsi="Palatino Linotype"/>
          <w:b/>
        </w:rPr>
      </w:pPr>
    </w:p>
    <w:p w14:paraId="40A1CA8C" w14:textId="77777777" w:rsidR="00093823" w:rsidRPr="005E0100" w:rsidRDefault="00093823" w:rsidP="005E0100">
      <w:pPr>
        <w:keepNext/>
        <w:keepLines/>
        <w:spacing w:line="360" w:lineRule="auto"/>
        <w:jc w:val="center"/>
        <w:outlineLvl w:val="0"/>
        <w:rPr>
          <w:rFonts w:ascii="Palatino Linotype" w:eastAsiaTheme="majorEastAsia" w:hAnsi="Palatino Linotype" w:cstheme="majorBidi"/>
          <w:b/>
          <w:szCs w:val="32"/>
        </w:rPr>
      </w:pPr>
      <w:bookmarkStart w:id="1" w:name="_Toc92984367"/>
      <w:r w:rsidRPr="005E0100">
        <w:rPr>
          <w:rFonts w:ascii="Palatino Linotype" w:eastAsiaTheme="majorEastAsia" w:hAnsi="Palatino Linotype" w:cstheme="majorBidi"/>
          <w:b/>
          <w:szCs w:val="32"/>
        </w:rPr>
        <w:t>ANTECEDENTES</w:t>
      </w:r>
      <w:bookmarkEnd w:id="1"/>
    </w:p>
    <w:p w14:paraId="19E4440A" w14:textId="77777777" w:rsidR="00093823" w:rsidRPr="005E0100" w:rsidRDefault="00093823" w:rsidP="005E0100">
      <w:pPr>
        <w:spacing w:line="360" w:lineRule="auto"/>
        <w:rPr>
          <w:rFonts w:ascii="Palatino Linotype" w:eastAsiaTheme="minorEastAsia" w:hAnsi="Palatino Linotype"/>
        </w:rPr>
      </w:pPr>
    </w:p>
    <w:p w14:paraId="6512EBAD" w14:textId="77777777" w:rsidR="00093823" w:rsidRPr="005E0100" w:rsidRDefault="00093823" w:rsidP="005E0100">
      <w:pPr>
        <w:numPr>
          <w:ilvl w:val="0"/>
          <w:numId w:val="1"/>
        </w:numPr>
        <w:spacing w:line="360" w:lineRule="auto"/>
        <w:ind w:left="0" w:firstLine="0"/>
        <w:contextualSpacing/>
        <w:jc w:val="both"/>
        <w:rPr>
          <w:rFonts w:ascii="Palatino Linotype" w:hAnsi="Palatino Linotype" w:cs="Arial"/>
          <w:lang w:val="es-ES" w:eastAsia="es-ES"/>
        </w:rPr>
      </w:pPr>
      <w:r w:rsidRPr="005E0100">
        <w:rPr>
          <w:rFonts w:ascii="Palatino Linotype" w:eastAsia="Calibri" w:hAnsi="Palatino Linotype" w:cs="Arial"/>
          <w:lang w:val="es-ES" w:eastAsia="es-ES"/>
        </w:rPr>
        <w:t>El día veinticuatro (24) de</w:t>
      </w:r>
      <w:r w:rsidR="004C687A" w:rsidRPr="005E0100">
        <w:rPr>
          <w:rFonts w:ascii="Palatino Linotype" w:eastAsia="Calibri" w:hAnsi="Palatino Linotype" w:cs="Arial"/>
          <w:lang w:val="es-ES" w:eastAsia="es-ES"/>
        </w:rPr>
        <w:t xml:space="preserve"> septiembre de dos mil veintiuno</w:t>
      </w:r>
      <w:r w:rsidRPr="005E0100">
        <w:rPr>
          <w:rFonts w:ascii="Palatino Linotype" w:eastAsia="Calibri" w:hAnsi="Palatino Linotype" w:cs="Arial"/>
          <w:lang w:val="es-ES" w:eastAsia="es-ES"/>
        </w:rPr>
        <w:t>,</w:t>
      </w:r>
      <w:r w:rsidRPr="005E0100">
        <w:rPr>
          <w:rFonts w:ascii="Palatino Linotype" w:eastAsia="Calibri" w:hAnsi="Palatino Linotype"/>
          <w:lang w:val="es-ES" w:eastAsia="es-ES"/>
        </w:rPr>
        <w:t xml:space="preserve"> </w:t>
      </w:r>
      <w:r w:rsidRPr="005E0100">
        <w:rPr>
          <w:rFonts w:ascii="Palatino Linotype" w:eastAsia="Calibri" w:hAnsi="Palatino Linotype"/>
          <w:b/>
          <w:lang w:val="es-ES" w:eastAsia="es-ES"/>
        </w:rPr>
        <w:t>EL RECURRENTE</w:t>
      </w:r>
      <w:r w:rsidRPr="005E0100">
        <w:rPr>
          <w:rFonts w:ascii="Palatino Linotype" w:eastAsiaTheme="minorEastAsia" w:hAnsi="Palatino Linotype"/>
          <w:b/>
          <w:lang w:val="es-ES_tradnl" w:eastAsia="es-ES"/>
        </w:rPr>
        <w:t>,</w:t>
      </w:r>
      <w:r w:rsidRPr="005E0100">
        <w:rPr>
          <w:rFonts w:ascii="Palatino Linotype" w:eastAsia="Calibri" w:hAnsi="Palatino Linotype" w:cs="Arial"/>
          <w:lang w:val="es-ES" w:eastAsia="es-ES"/>
        </w:rPr>
        <w:t xml:space="preserve"> ante el </w:t>
      </w:r>
      <w:r w:rsidRPr="005E0100">
        <w:rPr>
          <w:rFonts w:ascii="Palatino Linotype" w:eastAsia="Calibri" w:hAnsi="Palatino Linotype" w:cs="Arial"/>
          <w:b/>
          <w:lang w:val="es-ES" w:eastAsia="es-ES"/>
        </w:rPr>
        <w:t>SUJETO OBLIGADO</w:t>
      </w:r>
      <w:r w:rsidRPr="005E0100">
        <w:rPr>
          <w:rFonts w:ascii="Palatino Linotype" w:eastAsia="Calibri" w:hAnsi="Palatino Linotype" w:cs="Arial"/>
          <w:lang w:val="es-ES_tradnl" w:eastAsia="es-ES"/>
        </w:rPr>
        <w:t xml:space="preserve"> vía </w:t>
      </w:r>
      <w:r w:rsidRPr="005E0100">
        <w:rPr>
          <w:rFonts w:ascii="Palatino Linotype" w:eastAsia="Calibri" w:hAnsi="Palatino Linotype" w:cs="Arial"/>
          <w:lang w:val="es-ES" w:eastAsia="es-ES"/>
        </w:rPr>
        <w:t>Sistema de Acceso a la Información Mexiquense (</w:t>
      </w:r>
      <w:r w:rsidRPr="005E0100">
        <w:rPr>
          <w:rFonts w:ascii="Palatino Linotype" w:eastAsia="Calibri" w:hAnsi="Palatino Linotype" w:cs="Arial"/>
          <w:b/>
          <w:lang w:val="es-ES" w:eastAsia="es-ES"/>
        </w:rPr>
        <w:t>SAIMEX)</w:t>
      </w:r>
      <w:r w:rsidRPr="005E0100">
        <w:rPr>
          <w:rFonts w:ascii="Palatino Linotype" w:eastAsia="Calibri" w:hAnsi="Palatino Linotype" w:cs="Arial"/>
          <w:lang w:val="es-ES" w:eastAsia="es-ES"/>
        </w:rPr>
        <w:t xml:space="preserve">, presentó una solicitud de información registrada con el número </w:t>
      </w:r>
      <w:r w:rsidR="00930D22" w:rsidRPr="00930D22">
        <w:rPr>
          <w:rFonts w:ascii="Palatino Linotype" w:hAnsi="Palatino Linotype"/>
          <w:b/>
          <w:bCs/>
        </w:rPr>
        <w:t>00989/FGJ/IP/2021</w:t>
      </w:r>
      <w:r w:rsidRPr="005E0100">
        <w:rPr>
          <w:rFonts w:ascii="Palatino Linotype" w:eastAsiaTheme="minorEastAsia" w:hAnsi="Palatino Linotype"/>
          <w:b/>
          <w:lang w:val="es-ES_tradnl" w:eastAsia="es-ES"/>
        </w:rPr>
        <w:t xml:space="preserve">, </w:t>
      </w:r>
      <w:r w:rsidRPr="005E0100">
        <w:rPr>
          <w:rFonts w:ascii="Palatino Linotype" w:eastAsia="Calibri" w:hAnsi="Palatino Linotype" w:cs="Arial"/>
          <w:lang w:val="es-ES" w:eastAsia="es-ES"/>
        </w:rPr>
        <w:t>mediante la cual solicitó lo siguiente:</w:t>
      </w:r>
    </w:p>
    <w:p w14:paraId="21E846F5" w14:textId="77777777" w:rsidR="00093823" w:rsidRPr="005E0100" w:rsidRDefault="00093823" w:rsidP="005E0100">
      <w:pPr>
        <w:spacing w:line="360" w:lineRule="auto"/>
        <w:contextualSpacing/>
        <w:jc w:val="both"/>
        <w:rPr>
          <w:rFonts w:ascii="Palatino Linotype" w:hAnsi="Palatino Linotype" w:cs="Arial"/>
          <w:lang w:val="es-ES" w:eastAsia="es-ES"/>
        </w:rPr>
      </w:pPr>
    </w:p>
    <w:p w14:paraId="66F6E930" w14:textId="77777777" w:rsidR="00093823" w:rsidRPr="005E0100" w:rsidRDefault="00093823" w:rsidP="005E0100">
      <w:pPr>
        <w:pStyle w:val="Prrafodelista"/>
        <w:spacing w:line="360" w:lineRule="auto"/>
        <w:ind w:left="1069" w:right="567"/>
        <w:jc w:val="both"/>
        <w:rPr>
          <w:rFonts w:ascii="Palatino Linotype" w:hAnsi="Palatino Linotype"/>
          <w:i/>
          <w:color w:val="000000"/>
        </w:rPr>
      </w:pPr>
      <w:r w:rsidRPr="005E0100">
        <w:rPr>
          <w:rFonts w:ascii="Palatino Linotype" w:hAnsi="Palatino Linotype"/>
          <w:i/>
          <w:color w:val="000000"/>
        </w:rPr>
        <w:t xml:space="preserve"> “solicito se me informe de 2014 a 2021 cuantas capacitaciones en materia de transparencia y acceso a la información pública ha impartido la unidad de transparencia a los distintos sujetos habilitados de la procuraduría general de justicia del estado de mexico y de la fiscalía general de justicia del estado de mexico. en caso de no haber realizado capacitaciones solicito que fundada y motivadamente se me informe porque no se han proporcionado capacitaciones en ese tiempo y quienes eran </w:t>
      </w:r>
      <w:r w:rsidRPr="005E0100">
        <w:rPr>
          <w:rFonts w:ascii="Palatino Linotype" w:hAnsi="Palatino Linotype"/>
          <w:i/>
          <w:color w:val="000000"/>
        </w:rPr>
        <w:lastRenderedPageBreak/>
        <w:t xml:space="preserve">los titulares de la unidad de transparencia en los años de 2014 a 2021 solicitando se acompañen sus respuestas con expresión documental que las soporte.” (Sic) </w:t>
      </w:r>
    </w:p>
    <w:p w14:paraId="295CBB84" w14:textId="77777777" w:rsidR="00093823" w:rsidRPr="005E0100" w:rsidRDefault="00093823" w:rsidP="005E0100">
      <w:pPr>
        <w:spacing w:line="360" w:lineRule="auto"/>
        <w:contextualSpacing/>
        <w:jc w:val="both"/>
        <w:rPr>
          <w:rFonts w:ascii="Palatino Linotype" w:eastAsia="Calibri" w:hAnsi="Palatino Linotype"/>
          <w:lang w:val="es-ES" w:eastAsia="es-ES"/>
        </w:rPr>
      </w:pPr>
    </w:p>
    <w:p w14:paraId="65929210" w14:textId="77777777" w:rsidR="001409A5" w:rsidRPr="005E0100" w:rsidRDefault="001409A5" w:rsidP="005E0100">
      <w:pPr>
        <w:numPr>
          <w:ilvl w:val="0"/>
          <w:numId w:val="1"/>
        </w:numPr>
        <w:spacing w:line="360" w:lineRule="auto"/>
        <w:ind w:left="0" w:firstLine="0"/>
        <w:contextualSpacing/>
        <w:jc w:val="both"/>
        <w:rPr>
          <w:rFonts w:ascii="Palatino Linotype" w:eastAsia="Calibri" w:hAnsi="Palatino Linotype"/>
          <w:lang w:val="es-ES" w:eastAsia="es-ES"/>
        </w:rPr>
      </w:pPr>
      <w:r w:rsidRPr="005E0100">
        <w:rPr>
          <w:rFonts w:ascii="Palatino Linotype" w:eastAsia="Calibri" w:hAnsi="Palatino Linotype"/>
          <w:lang w:val="es-ES" w:eastAsia="es-ES"/>
        </w:rPr>
        <w:t>El veintinueve (29) de septiembre de dos mil veintiuno, el Sujeto Obligado manifestó incompetencia parcial en el siguiente sentido:</w:t>
      </w:r>
    </w:p>
    <w:p w14:paraId="42FA6B38" w14:textId="77777777" w:rsidR="001409A5" w:rsidRPr="005E0100" w:rsidRDefault="002F5972" w:rsidP="002F5972">
      <w:pPr>
        <w:tabs>
          <w:tab w:val="left" w:pos="5215"/>
        </w:tabs>
        <w:spacing w:line="360" w:lineRule="auto"/>
        <w:contextualSpacing/>
        <w:jc w:val="both"/>
        <w:rPr>
          <w:rFonts w:ascii="Palatino Linotype" w:eastAsia="Calibri" w:hAnsi="Palatino Linotype"/>
          <w:lang w:val="es-ES" w:eastAsia="es-ES"/>
        </w:rPr>
      </w:pPr>
      <w:r>
        <w:rPr>
          <w:rFonts w:ascii="Palatino Linotype" w:eastAsia="Calibri" w:hAnsi="Palatino Linotype"/>
          <w:lang w:val="es-ES" w:eastAsia="es-ES"/>
        </w:rPr>
        <w:tab/>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1409A5" w:rsidRPr="005E0100" w14:paraId="4C258659" w14:textId="77777777" w:rsidTr="001409A5">
        <w:trPr>
          <w:trHeight w:val="150"/>
          <w:tblCellSpacing w:w="0" w:type="dxa"/>
          <w:jc w:val="center"/>
        </w:trPr>
        <w:tc>
          <w:tcPr>
            <w:tcW w:w="0" w:type="auto"/>
            <w:vAlign w:val="center"/>
            <w:hideMark/>
          </w:tcPr>
          <w:p w14:paraId="1BF02368" w14:textId="77777777" w:rsidR="00E04EB2" w:rsidRPr="005E0100" w:rsidRDefault="001409A5" w:rsidP="005E0100">
            <w:pPr>
              <w:spacing w:line="360" w:lineRule="auto"/>
              <w:ind w:left="1560" w:right="1428"/>
              <w:jc w:val="both"/>
              <w:rPr>
                <w:rFonts w:ascii="Palatino Linotype" w:hAnsi="Palatino Linotype"/>
                <w:i/>
                <w:sz w:val="22"/>
                <w:szCs w:val="22"/>
              </w:rPr>
            </w:pPr>
            <w:r w:rsidRPr="005E0100">
              <w:rPr>
                <w:rFonts w:ascii="Palatino Linotype" w:hAnsi="Palatino Linotype"/>
                <w:i/>
                <w:sz w:val="22"/>
                <w:szCs w:val="22"/>
              </w:rPr>
              <w:t>“</w:t>
            </w:r>
            <w:r w:rsidR="00E04EB2" w:rsidRPr="005E0100">
              <w:rPr>
                <w:rFonts w:ascii="Palatino Linotype" w:hAnsi="Palatino Linotype"/>
                <w:i/>
                <w:sz w:val="22"/>
                <w:szCs w:val="22"/>
              </w:rPr>
              <w:t>…</w:t>
            </w:r>
          </w:p>
          <w:p w14:paraId="668AFB03" w14:textId="77777777" w:rsidR="001409A5" w:rsidRPr="005E0100" w:rsidRDefault="001409A5" w:rsidP="005E0100">
            <w:pPr>
              <w:spacing w:line="360" w:lineRule="auto"/>
              <w:ind w:left="1560" w:right="1428"/>
              <w:jc w:val="both"/>
              <w:rPr>
                <w:rFonts w:ascii="Palatino Linotype" w:hAnsi="Palatino Linotype"/>
                <w:i/>
                <w:sz w:val="22"/>
                <w:szCs w:val="22"/>
              </w:rPr>
            </w:pPr>
            <w:r w:rsidRPr="005E0100">
              <w:rPr>
                <w:rFonts w:ascii="Palatino Linotype" w:hAnsi="Palatino Linotype"/>
                <w:i/>
                <w:sz w:val="22"/>
                <w:szCs w:val="22"/>
              </w:rPr>
              <w:t xml:space="preserve">Toluca de Lerdo, Estado de México; a 28 de septiembre de 2021. Número de oficio: 2025/MAIP/FGJ/2021. C. ADRIANA CAMACHO ROBLES Hago referencia al contenido de su solicitud de información pública, presentada el 24 de septiembre del año 2021, ante el Módulo de Transparencia y Acceso a la Información Pública de la Fiscalía General de Justicia del Estado de México, misma que fue registrada en el Sistema de Acceso a la Información Mexiquense (SAIMEX), bajo el folio 00989/FGJ/IP/2021, en la que pide lo siguiente: “solicito se me informe de 2014 a 2021 cuantas capacitaciones en materia de transparencia y acceso a la información pública ha impartido la unidad de transparencia a los distintos sujetos habilitados de la procuraduría general de justicia del estado de mexico y de la fiscalía general de justicia del estado de mexico. en caso de no haber realizado capacitaciones solicito que fundada y motivadamente se me informe porque no se han proporcionado capacitaciones en ese tiempo” (sic) Al respecto, este órgano público autónomo, con fundamento en los artículos 1, 4, 163 y 167 de la Ley de Transparencia y Acceso a la Información Pública del Estado de México y Municipios, hace de su conocimiento que dentro de las atribuciones de este Sujeto Obligado, establecidas en el artículo 10 de la Ley de la Fiscalía General de Justicia del Estado de México, no se encuentra la de generar o poseer información en relación a las capacitaciones en materia de transparencia y acceso a la información pública. Toda vez que la Unidad de Transparencia de la </w:t>
            </w:r>
            <w:r w:rsidRPr="005E0100">
              <w:rPr>
                <w:rFonts w:ascii="Palatino Linotype" w:hAnsi="Palatino Linotype"/>
                <w:i/>
                <w:sz w:val="22"/>
                <w:szCs w:val="22"/>
              </w:rPr>
              <w:lastRenderedPageBreak/>
              <w:t>Fiscalía General de Justicia del Estado de México, no cuenta con las atribuciones para capacitar, correspondiéndole únicamente la facultad de asesorar a las diversas áreas de este Sujeto Obligado en temas de transparencia y protección de datos personales. No obstante lo anterior, se hace de su conocimiento que de conformidad con el reglamento interno del Instituto de Transparencia, Acceso a la Información Pública y Protección de Datos Personales del (INFOEM), le corresponde a la Dirección General de Capacitación Certificación y Políticas Públicas, Planificar , Elaborar e Implementar los programas de capacitación institucionales a los integrantes de los Sujetos Obligados, personas físicas y jurídico colectivo en materia de transparencia, acceso a la información pública y protección de datos personales, por tal motivo se le orienta para que dirija su solicitud a la Unidad de Transparencia del Instituto de Transparencia, Acceso a la Información Pública y Protección de Datos Personales del Estado de México y Municipios, ubicada en Calle Pino Suárez actualmente Carretera Toluca Ixtapan, número exterior 111, Colonia La Michoacana, Metepec, C.P.52066, con número de teléfono: 722 2261980, extensión 503. Sin otro particular, le reitero la seguridad de mi distinguida consideración. A T E N T A M E N T E YAMILIT LEYVA GUTIÉRREZ TITULAR DE LA UNIDAD DE TRANSPARENCIA YLG/cmh.</w:t>
            </w:r>
          </w:p>
          <w:p w14:paraId="7CCC7EB3" w14:textId="77777777" w:rsidR="00E04EB2" w:rsidRPr="005E0100" w:rsidRDefault="00E04EB2" w:rsidP="005E0100">
            <w:pPr>
              <w:spacing w:line="360" w:lineRule="auto"/>
              <w:ind w:left="1560" w:right="1428"/>
              <w:jc w:val="both"/>
              <w:rPr>
                <w:rFonts w:ascii="Palatino Linotype" w:hAnsi="Palatino Linotype"/>
                <w:i/>
                <w:sz w:val="22"/>
                <w:szCs w:val="22"/>
              </w:rPr>
            </w:pPr>
            <w:r w:rsidRPr="005E0100">
              <w:rPr>
                <w:rFonts w:ascii="Palatino Linotype" w:hAnsi="Palatino Linotype"/>
                <w:i/>
                <w:sz w:val="22"/>
                <w:szCs w:val="22"/>
              </w:rPr>
              <w:t>…”</w:t>
            </w:r>
          </w:p>
        </w:tc>
      </w:tr>
      <w:tr w:rsidR="001409A5" w:rsidRPr="005E0100" w14:paraId="4E320E9F" w14:textId="77777777" w:rsidTr="001409A5">
        <w:trPr>
          <w:tblCellSpacing w:w="0" w:type="dxa"/>
          <w:jc w:val="center"/>
        </w:trPr>
        <w:tc>
          <w:tcPr>
            <w:tcW w:w="0" w:type="auto"/>
            <w:vAlign w:val="center"/>
            <w:hideMark/>
          </w:tcPr>
          <w:p w14:paraId="569FDEC5" w14:textId="77777777" w:rsidR="001409A5" w:rsidRPr="005E0100" w:rsidRDefault="001409A5" w:rsidP="005E0100">
            <w:pPr>
              <w:spacing w:line="360" w:lineRule="auto"/>
              <w:rPr>
                <w:rFonts w:ascii="Palatino Linotype" w:hAnsi="Palatino Linotype"/>
              </w:rPr>
            </w:pPr>
          </w:p>
        </w:tc>
      </w:tr>
    </w:tbl>
    <w:p w14:paraId="7167C88B" w14:textId="77777777" w:rsidR="001409A5" w:rsidRPr="005E0100" w:rsidRDefault="001409A5" w:rsidP="005E0100">
      <w:pPr>
        <w:spacing w:line="360" w:lineRule="auto"/>
        <w:contextualSpacing/>
        <w:jc w:val="both"/>
        <w:rPr>
          <w:rFonts w:ascii="Palatino Linotype" w:eastAsia="Calibri" w:hAnsi="Palatino Linotype"/>
          <w:lang w:val="es-ES" w:eastAsia="es-ES"/>
        </w:rPr>
      </w:pPr>
    </w:p>
    <w:p w14:paraId="35857415" w14:textId="77777777" w:rsidR="006A4656" w:rsidRPr="005E0100" w:rsidRDefault="00D21CCC" w:rsidP="005E0100">
      <w:pPr>
        <w:widowControl w:val="0"/>
        <w:spacing w:line="360" w:lineRule="auto"/>
        <w:ind w:left="851" w:right="822"/>
        <w:jc w:val="both"/>
        <w:textAlignment w:val="center"/>
        <w:rPr>
          <w:rFonts w:ascii="Palatino Linotype" w:eastAsia="MS Mincho" w:hAnsi="Palatino Linotype" w:cs="MinionPro-Regular"/>
          <w:color w:val="000000"/>
          <w:sz w:val="20"/>
          <w:szCs w:val="20"/>
          <w:lang w:eastAsia="es-ES"/>
        </w:rPr>
      </w:pPr>
      <w:hyperlink r:id="rId8" w:tgtFrame="_blank" w:history="1">
        <w:r w:rsidR="001409A5" w:rsidRPr="005E0100">
          <w:rPr>
            <w:rStyle w:val="Hipervnculo"/>
            <w:rFonts w:ascii="Palatino Linotype" w:hAnsi="Palatino Linotype" w:cs="Arial"/>
            <w:b/>
            <w:bCs/>
            <w:color w:val="auto"/>
            <w:sz w:val="22"/>
            <w:szCs w:val="22"/>
          </w:rPr>
          <w:t>ORIENTACIÓN 00989 ADRIANA CAMACHO ROBLES.docx</w:t>
        </w:r>
      </w:hyperlink>
      <w:r w:rsidR="001409A5" w:rsidRPr="005E0100">
        <w:rPr>
          <w:rFonts w:ascii="Palatino Linotype" w:hAnsi="Palatino Linotype"/>
          <w:sz w:val="22"/>
          <w:szCs w:val="22"/>
        </w:rPr>
        <w:t>:</w:t>
      </w:r>
      <w:r w:rsidR="006A4656" w:rsidRPr="005E0100">
        <w:rPr>
          <w:rFonts w:ascii="Palatino Linotype" w:hAnsi="Palatino Linotype"/>
          <w:sz w:val="22"/>
          <w:szCs w:val="22"/>
        </w:rPr>
        <w:t xml:space="preserve"> oficio 2025/MAIP/FGJ/2021, de fecha veintiocho (28) de septiembre de dos mil veintiuno, mediante el cual manifestó “</w:t>
      </w:r>
      <w:r w:rsidR="006A4656" w:rsidRPr="005E0100">
        <w:rPr>
          <w:rFonts w:ascii="Palatino Linotype" w:eastAsia="MS Mincho" w:hAnsi="Palatino Linotype" w:cs="MinionPro-Regular"/>
          <w:i/>
          <w:color w:val="000000"/>
          <w:sz w:val="22"/>
          <w:szCs w:val="22"/>
          <w:lang w:eastAsia="es-ES"/>
        </w:rPr>
        <w:t xml:space="preserve">Al respecto, este órgano público autónomo, con fundamento en los artículos 1, 4, 163 y 167 de la Ley de Transparencia y Acceso a la Información Pública del Estado de México y Municipios, hace de su conocimiento que dentro de las atribuciones de este Sujeto </w:t>
      </w:r>
      <w:r w:rsidR="006A4656" w:rsidRPr="005E0100">
        <w:rPr>
          <w:rFonts w:ascii="Palatino Linotype" w:eastAsia="MS Mincho" w:hAnsi="Palatino Linotype" w:cs="MinionPro-Regular"/>
          <w:i/>
          <w:color w:val="000000"/>
          <w:sz w:val="22"/>
          <w:szCs w:val="22"/>
          <w:lang w:eastAsia="es-ES"/>
        </w:rPr>
        <w:lastRenderedPageBreak/>
        <w:t>Obligado, establecidas en el artículo 10 de la Ley de la Fiscalía General de Justicia del Estado de México, no se encuentra la de generar o poseer información en relación a las capacitaciones en materia de transparencia y acceso a la información pública. Toda vez que la Unidad de Transparencia de la Fiscalía General de Justicia del Estado de México, no cuenta con las atribuciones para capacitar, correspondiéndole únicamente la facultad de asesorar a las diversas áreas de este Sujeto Obligado en temas de transparencia  y protección de datos personales. No obstante lo anterior, se hace de su conocimiento que de conformidad con el reglamento interno del Instituto de Transparencia, Acceso a la Información Pública y Protección de Datos Personales del (INFOEM), le corresponde a la Dirección General de Capacitación Certificación y Políticas Públicas, Planificar , Elaborar e Implementar los programas de capacitación institucionales a los integrantes de los Sujetos Obligados, personas físicas y jurídico colectivo en materia de transparencia, acceso a la información pública y protección de datos personales, por tal motivo se le orienta para que dirija su solicitud a la Unidad de Transparencia del Instituto de Transparencia, Acceso a la Información Pública y Protección de Datos Personales del Estado de México y Municipios, ubicada en Calle Pino Suárez actualmente Carretera Toluca Ixtapan, número exterior 111, Colonia La Michoacana, Metepec, C.P.52066, con número de teléfono: 722 2261980, extensión 503.”</w:t>
      </w:r>
    </w:p>
    <w:p w14:paraId="5BC31F92" w14:textId="77777777" w:rsidR="001409A5" w:rsidRPr="005E0100" w:rsidRDefault="001409A5" w:rsidP="005E0100">
      <w:pPr>
        <w:spacing w:line="360" w:lineRule="auto"/>
        <w:contextualSpacing/>
        <w:jc w:val="both"/>
        <w:rPr>
          <w:rFonts w:ascii="Palatino Linotype" w:eastAsia="Calibri" w:hAnsi="Palatino Linotype"/>
          <w:sz w:val="22"/>
          <w:szCs w:val="22"/>
          <w:lang w:val="es-ES" w:eastAsia="es-ES"/>
        </w:rPr>
      </w:pPr>
    </w:p>
    <w:p w14:paraId="679F0AFD" w14:textId="77777777" w:rsidR="00093823" w:rsidRPr="005E0100" w:rsidRDefault="00093823" w:rsidP="005E0100">
      <w:pPr>
        <w:numPr>
          <w:ilvl w:val="0"/>
          <w:numId w:val="1"/>
        </w:numPr>
        <w:spacing w:line="360" w:lineRule="auto"/>
        <w:ind w:left="0" w:firstLine="0"/>
        <w:contextualSpacing/>
        <w:jc w:val="both"/>
        <w:rPr>
          <w:rFonts w:ascii="Palatino Linotype" w:eastAsia="Calibri" w:hAnsi="Palatino Linotype"/>
          <w:lang w:val="es-ES" w:eastAsia="es-ES"/>
        </w:rPr>
      </w:pPr>
      <w:r w:rsidRPr="005E0100">
        <w:rPr>
          <w:rFonts w:ascii="Palatino Linotype" w:eastAsiaTheme="minorEastAsia" w:hAnsi="Palatino Linotype"/>
          <w:lang w:val="es-ES_tradnl" w:eastAsia="es-ES"/>
        </w:rPr>
        <w:t xml:space="preserve">El </w:t>
      </w:r>
      <w:r w:rsidR="006A4656" w:rsidRPr="005E0100">
        <w:rPr>
          <w:rFonts w:ascii="Palatino Linotype" w:eastAsiaTheme="minorEastAsia" w:hAnsi="Palatino Linotype"/>
          <w:lang w:val="es-ES_tradnl" w:eastAsia="es-ES"/>
        </w:rPr>
        <w:t xml:space="preserve">quince (15) de octubre </w:t>
      </w:r>
      <w:r w:rsidRPr="005E0100">
        <w:rPr>
          <w:rFonts w:ascii="Palatino Linotype" w:eastAsiaTheme="minorEastAsia" w:hAnsi="Palatino Linotype"/>
          <w:lang w:val="es-ES_tradnl" w:eastAsia="es-ES"/>
        </w:rPr>
        <w:t xml:space="preserve"> de dos mil veintiuno, </w:t>
      </w:r>
      <w:r w:rsidRPr="005E0100">
        <w:rPr>
          <w:rFonts w:ascii="Palatino Linotype" w:eastAsia="Calibri" w:hAnsi="Palatino Linotype"/>
          <w:lang w:val="es-ES" w:eastAsia="es-ES"/>
        </w:rPr>
        <w:t xml:space="preserve">el </w:t>
      </w:r>
      <w:r w:rsidRPr="005E0100">
        <w:rPr>
          <w:rFonts w:ascii="Palatino Linotype" w:eastAsia="Calibri" w:hAnsi="Palatino Linotype" w:cs="Arial"/>
          <w:b/>
          <w:lang w:val="es-AR" w:eastAsia="es-ES"/>
        </w:rPr>
        <w:t>SUJETO OBLIGADO</w:t>
      </w:r>
      <w:r w:rsidRPr="005E0100">
        <w:rPr>
          <w:rFonts w:ascii="Palatino Linotype" w:eastAsia="Calibri" w:hAnsi="Palatino Linotype" w:cs="Arial"/>
          <w:b/>
          <w:i/>
          <w:lang w:val="es-AR" w:eastAsia="es-ES"/>
        </w:rPr>
        <w:t xml:space="preserve"> </w:t>
      </w:r>
      <w:r w:rsidRPr="005E0100">
        <w:rPr>
          <w:rFonts w:ascii="Palatino Linotype" w:hAnsi="Palatino Linotype" w:cs="Arial"/>
          <w:lang w:val="es-ES" w:eastAsia="es-ES"/>
        </w:rPr>
        <w:t>dio respuestas a la solicitud de información en los siguientes términos:</w:t>
      </w:r>
    </w:p>
    <w:p w14:paraId="5B757BC7" w14:textId="77777777" w:rsidR="006A4656" w:rsidRPr="005E0100" w:rsidRDefault="006A4656" w:rsidP="005E0100">
      <w:pPr>
        <w:spacing w:line="360" w:lineRule="auto"/>
        <w:ind w:right="567"/>
        <w:jc w:val="both"/>
        <w:rPr>
          <w:rFonts w:ascii="Palatino Linotype" w:hAnsi="Palatino Linotype"/>
          <w:i/>
          <w:color w:val="000000"/>
          <w:sz w:val="22"/>
          <w:szCs w:val="22"/>
        </w:rPr>
      </w:pPr>
    </w:p>
    <w:p w14:paraId="451A6266" w14:textId="77777777" w:rsidR="006A4656" w:rsidRPr="005E0100" w:rsidRDefault="006A4656" w:rsidP="005E0100">
      <w:pPr>
        <w:spacing w:line="360" w:lineRule="auto"/>
        <w:ind w:left="851" w:right="567"/>
        <w:jc w:val="both"/>
        <w:rPr>
          <w:rFonts w:ascii="Palatino Linotype" w:hAnsi="Palatino Linotype"/>
          <w:i/>
          <w:color w:val="000000"/>
          <w:sz w:val="22"/>
          <w:szCs w:val="22"/>
        </w:rPr>
      </w:pPr>
      <w:r w:rsidRPr="005E0100">
        <w:rPr>
          <w:rFonts w:ascii="Palatino Linotype" w:hAnsi="Palatino Linotype"/>
          <w:i/>
          <w:color w:val="000000"/>
          <w:sz w:val="22"/>
          <w:szCs w:val="22"/>
        </w:rPr>
        <w:t>“…</w:t>
      </w:r>
    </w:p>
    <w:p w14:paraId="203DCC7B" w14:textId="77777777" w:rsidR="00093823" w:rsidRPr="005E0100" w:rsidRDefault="006A4656" w:rsidP="005E0100">
      <w:pPr>
        <w:spacing w:line="360" w:lineRule="auto"/>
        <w:ind w:left="851" w:right="567"/>
        <w:jc w:val="both"/>
        <w:rPr>
          <w:rFonts w:ascii="Palatino Linotype" w:hAnsi="Palatino Linotype"/>
          <w:i/>
          <w:color w:val="000000"/>
          <w:sz w:val="22"/>
          <w:szCs w:val="22"/>
        </w:rPr>
      </w:pPr>
      <w:r w:rsidRPr="005E0100">
        <w:rPr>
          <w:rFonts w:ascii="Palatino Linotype" w:hAnsi="Palatino Linotype"/>
          <w:i/>
          <w:color w:val="000000"/>
          <w:sz w:val="22"/>
          <w:szCs w:val="22"/>
        </w:rPr>
        <w:t>Se remite respuesta vía SAIMEX</w:t>
      </w:r>
    </w:p>
    <w:p w14:paraId="7DDA53F6" w14:textId="77777777" w:rsidR="006A4656" w:rsidRPr="005E0100" w:rsidRDefault="006A4656" w:rsidP="005E0100">
      <w:pPr>
        <w:spacing w:line="360" w:lineRule="auto"/>
        <w:ind w:left="851" w:right="567"/>
        <w:jc w:val="both"/>
        <w:rPr>
          <w:rFonts w:ascii="Palatino Linotype" w:hAnsi="Palatino Linotype"/>
          <w:i/>
          <w:sz w:val="22"/>
          <w:szCs w:val="22"/>
        </w:rPr>
      </w:pPr>
      <w:r w:rsidRPr="005E0100">
        <w:rPr>
          <w:rFonts w:ascii="Palatino Linotype" w:hAnsi="Palatino Linotype"/>
          <w:i/>
          <w:color w:val="000000"/>
          <w:sz w:val="22"/>
          <w:szCs w:val="22"/>
        </w:rPr>
        <w:t>…”</w:t>
      </w:r>
    </w:p>
    <w:p w14:paraId="3BD3F6EF" w14:textId="77777777" w:rsidR="00093823" w:rsidRPr="005E0100" w:rsidRDefault="00093823" w:rsidP="005E0100">
      <w:pPr>
        <w:spacing w:line="360" w:lineRule="auto"/>
        <w:ind w:right="567"/>
        <w:jc w:val="both"/>
        <w:rPr>
          <w:rFonts w:ascii="Palatino Linotype" w:hAnsi="Palatino Linotype"/>
        </w:rPr>
      </w:pPr>
    </w:p>
    <w:p w14:paraId="4DB4FE53" w14:textId="77777777" w:rsidR="00C04BDB" w:rsidRPr="005E0100" w:rsidRDefault="00C04BDB" w:rsidP="005E0100">
      <w:pPr>
        <w:spacing w:line="360" w:lineRule="auto"/>
        <w:ind w:right="567"/>
        <w:jc w:val="both"/>
        <w:rPr>
          <w:rFonts w:ascii="Palatino Linotype" w:hAnsi="Palatino Linotype"/>
        </w:rPr>
      </w:pPr>
      <w:r w:rsidRPr="005E0100">
        <w:rPr>
          <w:rFonts w:ascii="Palatino Linotype" w:hAnsi="Palatino Linotype"/>
        </w:rPr>
        <w:t xml:space="preserve">A la respuesta se adjuntó el documento </w:t>
      </w:r>
      <w:hyperlink r:id="rId9" w:tgtFrame="_blank" w:history="1">
        <w:r w:rsidR="006A4656" w:rsidRPr="005E0100">
          <w:rPr>
            <w:rStyle w:val="Hipervnculo"/>
            <w:rFonts w:ascii="Palatino Linotype" w:hAnsi="Palatino Linotype" w:cs="Arial"/>
            <w:b/>
            <w:bCs/>
            <w:color w:val="auto"/>
            <w:sz w:val="22"/>
            <w:szCs w:val="22"/>
          </w:rPr>
          <w:t>Digitalización_2021_10_15_18_31_04_269.pdf</w:t>
        </w:r>
      </w:hyperlink>
      <w:r w:rsidRPr="005E0100">
        <w:rPr>
          <w:rFonts w:ascii="Palatino Linotype" w:hAnsi="Palatino Linotype"/>
          <w:szCs w:val="22"/>
        </w:rPr>
        <w:t xml:space="preserve"> , el cual no se detalla por ser motivo de estudio en páginas posteriores.</w:t>
      </w:r>
    </w:p>
    <w:p w14:paraId="338D8547" w14:textId="77777777" w:rsidR="00093823" w:rsidRPr="005E0100" w:rsidRDefault="00D26A99" w:rsidP="005E0100">
      <w:pPr>
        <w:pStyle w:val="Prrafodelista"/>
        <w:spacing w:line="360" w:lineRule="auto"/>
        <w:ind w:right="567"/>
        <w:jc w:val="both"/>
        <w:rPr>
          <w:rFonts w:ascii="Palatino Linotype" w:hAnsi="Palatino Linotype"/>
          <w:szCs w:val="22"/>
        </w:rPr>
      </w:pPr>
      <w:r w:rsidRPr="005E0100">
        <w:rPr>
          <w:rFonts w:ascii="Palatino Linotype" w:hAnsi="Palatino Linotype"/>
          <w:szCs w:val="22"/>
        </w:rPr>
        <w:t xml:space="preserve"> </w:t>
      </w:r>
    </w:p>
    <w:p w14:paraId="573EC770" w14:textId="77777777" w:rsidR="00093823" w:rsidRPr="005E0100" w:rsidRDefault="00093823" w:rsidP="005E0100">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5E0100">
        <w:rPr>
          <w:rFonts w:ascii="Palatino Linotype" w:eastAsia="Calibri" w:hAnsi="Palatino Linotype" w:cs="Arial"/>
          <w:lang w:val="es-AR" w:eastAsia="es-ES"/>
        </w:rPr>
        <w:t xml:space="preserve">El </w:t>
      </w:r>
      <w:r w:rsidR="00C04BDB" w:rsidRPr="005E0100">
        <w:rPr>
          <w:rFonts w:ascii="Palatino Linotype" w:eastAsia="Calibri" w:hAnsi="Palatino Linotype" w:cs="Arial"/>
          <w:lang w:val="es-AR" w:eastAsia="es-ES"/>
        </w:rPr>
        <w:t xml:space="preserve">cuatro (04) de noviembre </w:t>
      </w:r>
      <w:r w:rsidRPr="005E0100">
        <w:rPr>
          <w:rFonts w:ascii="Palatino Linotype" w:eastAsia="Calibri" w:hAnsi="Palatino Linotype" w:cs="Arial"/>
          <w:lang w:val="es-AR" w:eastAsia="es-ES"/>
        </w:rPr>
        <w:t xml:space="preserve">  de dos mil veintiuno</w:t>
      </w:r>
      <w:r w:rsidRPr="005E0100">
        <w:rPr>
          <w:rFonts w:ascii="Palatino Linotype" w:hAnsi="Palatino Linotype" w:cs="Arial"/>
          <w:lang w:val="es-ES" w:eastAsia="es-ES"/>
        </w:rPr>
        <w:t xml:space="preserve">, </w:t>
      </w:r>
      <w:r w:rsidRPr="005E0100">
        <w:rPr>
          <w:rFonts w:ascii="Palatino Linotype" w:eastAsiaTheme="minorEastAsia" w:hAnsi="Palatino Linotype"/>
          <w:b/>
          <w:lang w:val="es-ES_tradnl" w:eastAsia="es-ES"/>
        </w:rPr>
        <w:t>EL RECURRENTE</w:t>
      </w:r>
      <w:r w:rsidRPr="005E0100">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14:paraId="1E75FAF1" w14:textId="77777777" w:rsidR="00093823" w:rsidRPr="005E0100" w:rsidRDefault="00093823" w:rsidP="005E0100">
      <w:pPr>
        <w:spacing w:line="360" w:lineRule="auto"/>
        <w:ind w:left="567" w:right="567"/>
        <w:contextualSpacing/>
        <w:rPr>
          <w:rFonts w:ascii="Palatino Linotype" w:eastAsiaTheme="minorEastAsia" w:hAnsi="Palatino Linotype" w:cs="Arial"/>
          <w:i/>
          <w:lang w:val="es-ES_tradnl" w:eastAsia="es-ES"/>
        </w:rPr>
      </w:pPr>
    </w:p>
    <w:p w14:paraId="2F28AE91" w14:textId="77777777" w:rsidR="00093823" w:rsidRPr="005E0100" w:rsidRDefault="00093823" w:rsidP="005E0100">
      <w:pPr>
        <w:spacing w:line="360" w:lineRule="auto"/>
        <w:ind w:left="851" w:right="822"/>
        <w:contextualSpacing/>
        <w:jc w:val="both"/>
        <w:rPr>
          <w:rFonts w:ascii="Palatino Linotype" w:eastAsia="Calibri" w:hAnsi="Palatino Linotype" w:cs="Arial"/>
          <w:i/>
          <w:lang w:val="es-ES" w:eastAsia="es-ES"/>
        </w:rPr>
      </w:pPr>
      <w:r w:rsidRPr="005E0100">
        <w:rPr>
          <w:rFonts w:ascii="Palatino Linotype" w:eastAsiaTheme="minorEastAsia" w:hAnsi="Palatino Linotype"/>
          <w:b/>
          <w:lang w:val="es-ES_tradnl" w:eastAsia="es-ES"/>
        </w:rPr>
        <w:t>Acto impugnado</w:t>
      </w:r>
      <w:r w:rsidRPr="005E0100">
        <w:rPr>
          <w:rFonts w:ascii="Palatino Linotype" w:eastAsiaTheme="minorEastAsia" w:hAnsi="Palatino Linotype"/>
          <w:b/>
          <w:i/>
          <w:lang w:val="es-ES_tradnl" w:eastAsia="es-ES"/>
        </w:rPr>
        <w:t>:</w:t>
      </w:r>
      <w:r w:rsidRPr="005E0100">
        <w:rPr>
          <w:rFonts w:ascii="Palatino Linotype" w:hAnsi="Palatino Linotype"/>
          <w:i/>
          <w:color w:val="000000"/>
        </w:rPr>
        <w:t xml:space="preserve"> “</w:t>
      </w:r>
      <w:r w:rsidR="00C04BDB" w:rsidRPr="005E0100">
        <w:rPr>
          <w:rFonts w:ascii="Palatino Linotype" w:hAnsi="Palatino Linotype"/>
          <w:i/>
          <w:color w:val="000000"/>
        </w:rPr>
        <w:t>Respiesta de la Titular de la Unidad de Transparencia en oficio 02131/MAIP/FGJ/2021 del 14/10/2021</w:t>
      </w:r>
      <w:r w:rsidRPr="005E0100">
        <w:rPr>
          <w:rFonts w:ascii="Palatino Linotype" w:hAnsi="Palatino Linotype"/>
          <w:i/>
          <w:color w:val="000000"/>
        </w:rPr>
        <w:t xml:space="preserve">” (Sic); </w:t>
      </w:r>
    </w:p>
    <w:p w14:paraId="46BDC14C" w14:textId="77777777" w:rsidR="00093823" w:rsidRPr="005E0100" w:rsidRDefault="00093823" w:rsidP="005E0100">
      <w:pPr>
        <w:spacing w:line="360" w:lineRule="auto"/>
        <w:ind w:left="851" w:right="822"/>
        <w:contextualSpacing/>
        <w:jc w:val="both"/>
        <w:rPr>
          <w:rFonts w:ascii="Palatino Linotype" w:eastAsia="Calibri" w:hAnsi="Palatino Linotype" w:cs="Arial"/>
          <w:lang w:val="es-ES" w:eastAsia="es-ES"/>
        </w:rPr>
      </w:pPr>
    </w:p>
    <w:p w14:paraId="78AD6B87" w14:textId="77777777" w:rsidR="00093823" w:rsidRPr="005E0100" w:rsidRDefault="00093823" w:rsidP="005E0100">
      <w:pPr>
        <w:spacing w:line="360" w:lineRule="auto"/>
        <w:ind w:left="851" w:right="822"/>
        <w:contextualSpacing/>
        <w:jc w:val="both"/>
        <w:rPr>
          <w:rFonts w:ascii="Palatino Linotype" w:hAnsi="Palatino Linotype"/>
          <w:i/>
          <w:color w:val="000000"/>
        </w:rPr>
      </w:pPr>
      <w:r w:rsidRPr="005E0100">
        <w:rPr>
          <w:rFonts w:ascii="Palatino Linotype" w:eastAsiaTheme="minorEastAsia" w:hAnsi="Palatino Linotype"/>
          <w:b/>
          <w:lang w:val="es-ES_tradnl" w:eastAsia="es-ES"/>
        </w:rPr>
        <w:t>Razones o Motivos de inconformidad:</w:t>
      </w:r>
      <w:r w:rsidRPr="005E0100">
        <w:rPr>
          <w:rFonts w:ascii="Palatino Linotype" w:eastAsiaTheme="majorEastAsia" w:hAnsi="Palatino Linotype" w:cstheme="majorBidi"/>
          <w:b/>
          <w:color w:val="2E74B5" w:themeColor="accent1" w:themeShade="BF"/>
          <w:sz w:val="26"/>
          <w:szCs w:val="26"/>
          <w:lang w:val="es-ES" w:eastAsia="es-ES"/>
        </w:rPr>
        <w:t xml:space="preserve"> </w:t>
      </w:r>
      <w:r w:rsidRPr="005E0100">
        <w:rPr>
          <w:rFonts w:ascii="Palatino Linotype" w:eastAsiaTheme="majorEastAsia" w:hAnsi="Palatino Linotype" w:cstheme="majorBidi"/>
          <w:i/>
          <w:lang w:val="es-ES" w:eastAsia="es-ES"/>
        </w:rPr>
        <w:t>“</w:t>
      </w:r>
      <w:r w:rsidR="00C04BDB" w:rsidRPr="005E0100">
        <w:rPr>
          <w:rFonts w:ascii="Palatino Linotype" w:hAnsi="Palatino Linotype"/>
          <w:i/>
          <w:color w:val="000000"/>
        </w:rPr>
        <w:t xml:space="preserve">Me causa afectaciones la respuesta de la Titular de la Unidad de Transparencia del Sujeto Obligado en su oficio 02131/MAIP/FGJ/2021 del 14/10/2021, dado que ES FALSO que a través del oficio 2025/MAIP/FGJ/2021, hiciera de mi conocimiento que dentro de las atribuciones de la Fiscalía General de Justicia, no se encuentra la de generar o poseer información relacionada con las capacitaciones en materia de transparencia y acceso a la información pública, lo cual se puede comprobar con la revisión de la plataforma SAIMEX donde se verá que NUNCA SE ME NOTIFICO ESE OFICIO, aparte, ES FALSO QUE NO CUENTE CON ATRIBUCIIONES (artículo 10 de su Ley/, ya que el artículo 5 de la Constitución Política del Estado Libre y Soberano de México, y, el 3, fracciones XXX y XLI, 7 y 23, fracciones I y V de la Ley de Transparencia y Acceso a la Información Pública del Estado de México y Municipios, señalan </w:t>
      </w:r>
      <w:r w:rsidR="00C04BDB" w:rsidRPr="005E0100">
        <w:rPr>
          <w:rFonts w:ascii="Palatino Linotype" w:hAnsi="Palatino Linotype"/>
          <w:i/>
          <w:color w:val="000000"/>
        </w:rPr>
        <w:lastRenderedPageBreak/>
        <w:t xml:space="preserve">que dicha Ley es aplicable y obligatoria a ÓRGANOS AUTÓNOMOS (como la Fiscalía a partir del año 2016) y a la PROCURDURÍA GENERAL DE JUSTICIA (anterior al año 2016) y por ello, conforme al artículo 24, fracción III y 49, fracciones V y VI de la Ley de Transparencia y Acceso a la Información Pública del Estado de México y Municipios, ES FALSO QUE NO CUENTEN CON ATRIBUCIONES ya que en esos artículos se menciona que es su responsblidad AL SER ESA TITULAR, MIEMBRO DEL COMITÉ DE TRANPARENCIA y por ello, parte de sus responsabilidades (o atribuciones como se quiera ver) es la de lacapacitación de sus servidores públicos en materia de transparencia y acceso ala información pública, LO CUAL NO QUIERE EXHIBIR YA QUE ES CLARO QUE NO TIENEN EN ESA DEPENDENIA, LA MENOR INTENCIÓN DE CAPACITAR A SU PERSONAL, afectando tanto a la inconforme así como a la ciudadania (AL VIOLETAR DESCARADAMENTE EL PRINCIPIO DE MÁXIMA PÚBLICIDAD y TRANSPARENCIA PROACTIVA) con su constante OPACIDAD para no rendir cuentas. IGUALMENTE DICHA TITUTAR MIENTE ya que NUNCA ME ORIENTO porque NUNCA ME NOTIFICO NADA en el sentido de que dirijiera mi solicitud al sujeto obligado que contara con facultades para ello. IGUALMENTE MIENTE ya que nunca acompañó expresion documental para demostrar que requirió a sujeto hábilitado competente, para que le diera la información relacionada con mi peticion, o en su caso, emitió acuerdo de inexistencia por medio de su Comité de Transparencia, concluyendo entonces que LO ÚNICO QUE SE </w:t>
      </w:r>
      <w:r w:rsidR="00C04BDB" w:rsidRPr="005E0100">
        <w:rPr>
          <w:rFonts w:ascii="Palatino Linotype" w:hAnsi="Palatino Linotype"/>
          <w:i/>
          <w:color w:val="000000"/>
        </w:rPr>
        <w:lastRenderedPageBreak/>
        <w:t>COPRUEBA ES QUE DICHA TITULAR VIOLLENTA LA LEY (artículos 4, 7, 8, párafo segundo, 9, fracciones I, II, III, IV, V, VI, VII, VIII, IX y X, 10, 11, 12, 13, 14, 15, 16, 17, 18, 19, 20, 21, 22, 23, fracción V, 24, fracción III y 49, fracción V y VI de la Ley de Transparencia y Acceso a la Información Pública del Estado de México y Municipios, y, 1.1, 2.1, 3.1, 3.2, 3.3, 4.1, 4.4, 4.9, 4.15, 4.16, 5.5 y 5.8 del Reglamento de la Ley de Transparencia y Acceso a la Información Pública del Estado de México y Municipios) AL NO QUIERER DAR LA INFORMACIÓN QUE SE LE SOLICITA, por lo que pido se le sancione, INICIANDO PROCESO DE RESPONSABILIDAD ADMIINSTRATIVA, DANDOSELE VISTA AL COMISIONADO DE ESE ÓRGANO GARANTE, a la CONTRALORÍA INTERNA DE ESA FISCALÍA o en su caso, al área o unidad competente para ello, por violentar mi derecho de acceso a la información pública.</w:t>
      </w:r>
      <w:r w:rsidRPr="005E0100">
        <w:rPr>
          <w:rFonts w:ascii="Palatino Linotype" w:hAnsi="Palatino Linotype"/>
          <w:i/>
          <w:color w:val="000000"/>
        </w:rPr>
        <w:t>” (Sic).</w:t>
      </w:r>
    </w:p>
    <w:bookmarkEnd w:id="2"/>
    <w:bookmarkEnd w:id="3"/>
    <w:bookmarkEnd w:id="4"/>
    <w:p w14:paraId="300321F7" w14:textId="77777777" w:rsidR="00093823" w:rsidRPr="005E0100" w:rsidRDefault="00093823" w:rsidP="005E0100">
      <w:pPr>
        <w:spacing w:line="360" w:lineRule="auto"/>
        <w:jc w:val="both"/>
        <w:rPr>
          <w:rFonts w:ascii="Palatino Linotype" w:eastAsia="Calibri" w:hAnsi="Palatino Linotype" w:cs="Arial"/>
          <w:lang w:val="es-AR" w:eastAsia="es-ES"/>
        </w:rPr>
      </w:pPr>
    </w:p>
    <w:p w14:paraId="033AC764" w14:textId="77777777" w:rsidR="00093823" w:rsidRPr="005E0100" w:rsidRDefault="00093823" w:rsidP="005E0100">
      <w:pPr>
        <w:numPr>
          <w:ilvl w:val="0"/>
          <w:numId w:val="1"/>
        </w:numPr>
        <w:spacing w:line="360" w:lineRule="auto"/>
        <w:ind w:left="0" w:firstLine="0"/>
        <w:contextualSpacing/>
        <w:jc w:val="both"/>
        <w:rPr>
          <w:rFonts w:ascii="Palatino Linotype" w:eastAsia="Calibri" w:hAnsi="Palatino Linotype" w:cs="Arial"/>
          <w:lang w:val="es-AR" w:eastAsia="es-ES"/>
        </w:rPr>
      </w:pPr>
      <w:r w:rsidRPr="005E0100">
        <w:rPr>
          <w:rFonts w:ascii="Palatino Linotype" w:hAnsi="Palatino Linotype" w:cs="Arial"/>
          <w:lang w:val="es-ES" w:eastAsia="es-ES"/>
        </w:rPr>
        <w:t xml:space="preserve">Se registró el recurso de revisión bajo el número de expediente </w:t>
      </w:r>
      <w:r w:rsidRPr="005E0100">
        <w:rPr>
          <w:rFonts w:ascii="Palatino Linotype" w:eastAsiaTheme="minorEastAsia" w:hAnsi="Palatino Linotype" w:cs="Arial"/>
          <w:bCs/>
          <w:lang w:val="es-ES_tradnl" w:eastAsia="es-ES"/>
        </w:rPr>
        <w:t xml:space="preserve">al rubro indicado, asimismo con fundamento en lo dispuesto por el </w:t>
      </w:r>
      <w:r w:rsidRPr="005E0100">
        <w:rPr>
          <w:rFonts w:ascii="Palatino Linotype" w:eastAsia="Calibri" w:hAnsi="Palatino Linotype" w:cs="Arial"/>
          <w:lang w:val="es-ES" w:eastAsia="es-ES"/>
        </w:rPr>
        <w:t xml:space="preserve">artículo 185 fracción I de la </w:t>
      </w:r>
      <w:r w:rsidRPr="005E0100">
        <w:rPr>
          <w:rFonts w:ascii="Palatino Linotype" w:eastAsia="Calibri" w:hAnsi="Palatino Linotype" w:cs="Arial"/>
          <w:b/>
          <w:lang w:val="es-ES" w:eastAsia="es-ES"/>
        </w:rPr>
        <w:t xml:space="preserve">Ley de Transparencia y Acceso a la Información Pública del Estado de México y Municipios </w:t>
      </w:r>
      <w:r w:rsidRPr="005E0100">
        <w:rPr>
          <w:rFonts w:ascii="Palatino Linotype" w:hAnsi="Palatino Linotype" w:cs="Arial"/>
          <w:lang w:val="es-ES" w:eastAsia="es-ES"/>
        </w:rPr>
        <w:t>se turnó a</w:t>
      </w:r>
      <w:r w:rsidR="00C04BDB" w:rsidRPr="005E0100">
        <w:rPr>
          <w:rFonts w:ascii="Palatino Linotype" w:hAnsi="Palatino Linotype" w:cs="Arial"/>
          <w:lang w:val="es-ES" w:eastAsia="es-ES"/>
        </w:rPr>
        <w:t xml:space="preserve"> </w:t>
      </w:r>
      <w:r w:rsidRPr="005E0100">
        <w:rPr>
          <w:rFonts w:ascii="Palatino Linotype" w:hAnsi="Palatino Linotype" w:cs="Arial"/>
          <w:lang w:val="es-ES" w:eastAsia="es-ES"/>
        </w:rPr>
        <w:t>l</w:t>
      </w:r>
      <w:r w:rsidR="00C04BDB" w:rsidRPr="005E0100">
        <w:rPr>
          <w:rFonts w:ascii="Palatino Linotype" w:hAnsi="Palatino Linotype" w:cs="Arial"/>
          <w:lang w:val="es-ES" w:eastAsia="es-ES"/>
        </w:rPr>
        <w:t xml:space="preserve">a </w:t>
      </w:r>
      <w:r w:rsidR="00C04BDB" w:rsidRPr="005E0100">
        <w:rPr>
          <w:rFonts w:ascii="Palatino Linotype" w:hAnsi="Palatino Linotype" w:cs="Arial"/>
          <w:b/>
          <w:lang w:val="es-ES" w:eastAsia="es-ES"/>
        </w:rPr>
        <w:t>Comisionada</w:t>
      </w:r>
      <w:r w:rsidRPr="005E0100">
        <w:rPr>
          <w:rFonts w:ascii="Palatino Linotype" w:hAnsi="Palatino Linotype" w:cs="Arial"/>
          <w:b/>
          <w:lang w:val="es-ES" w:eastAsia="es-ES"/>
        </w:rPr>
        <w:t xml:space="preserve"> </w:t>
      </w:r>
      <w:r w:rsidR="00C04BDB" w:rsidRPr="005E0100">
        <w:rPr>
          <w:rFonts w:ascii="Palatino Linotype" w:hAnsi="Palatino Linotype" w:cs="Arial"/>
          <w:b/>
          <w:lang w:val="es-ES" w:eastAsia="es-ES"/>
        </w:rPr>
        <w:t>María del Rosario Mejía Ayala</w:t>
      </w:r>
      <w:r w:rsidRPr="005E0100">
        <w:rPr>
          <w:rFonts w:ascii="Palatino Linotype" w:hAnsi="Palatino Linotype" w:cs="Arial"/>
          <w:b/>
          <w:lang w:val="es-ES" w:eastAsia="es-ES"/>
        </w:rPr>
        <w:t xml:space="preserve">, </w:t>
      </w:r>
      <w:r w:rsidRPr="005E0100">
        <w:rPr>
          <w:rFonts w:ascii="Palatino Linotype" w:hAnsi="Palatino Linotype" w:cs="Arial"/>
          <w:lang w:val="es-ES" w:eastAsia="es-ES"/>
        </w:rPr>
        <w:t xml:space="preserve">con el objeto de </w:t>
      </w:r>
      <w:r w:rsidRPr="005E0100">
        <w:rPr>
          <w:rFonts w:ascii="Palatino Linotype" w:hAnsi="Palatino Linotype" w:cs="Arial"/>
          <w:lang w:eastAsia="es-ES"/>
        </w:rPr>
        <w:t xml:space="preserve">su análisis. </w:t>
      </w:r>
    </w:p>
    <w:p w14:paraId="010005D3" w14:textId="77777777" w:rsidR="00093823" w:rsidRPr="005E0100" w:rsidRDefault="00093823" w:rsidP="005E0100">
      <w:pPr>
        <w:spacing w:line="360" w:lineRule="auto"/>
        <w:contextualSpacing/>
        <w:jc w:val="both"/>
        <w:rPr>
          <w:rFonts w:ascii="Palatino Linotype" w:eastAsia="Calibri" w:hAnsi="Palatino Linotype" w:cs="Arial"/>
          <w:lang w:val="es-AR" w:eastAsia="es-ES"/>
        </w:rPr>
      </w:pPr>
    </w:p>
    <w:p w14:paraId="78EC0F7F" w14:textId="77777777" w:rsidR="00093823" w:rsidRPr="005E0100" w:rsidRDefault="00093823" w:rsidP="005E0100">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5E0100">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 </w:t>
      </w:r>
      <w:r w:rsidR="00C04BDB" w:rsidRPr="005E0100">
        <w:rPr>
          <w:rFonts w:ascii="Palatino Linotype" w:eastAsia="Calibri" w:hAnsi="Palatino Linotype" w:cs="Arial"/>
          <w:lang w:val="es-ES" w:eastAsia="es-ES"/>
        </w:rPr>
        <w:t>diez (10) de noviembre</w:t>
      </w:r>
      <w:r w:rsidRPr="005E0100">
        <w:rPr>
          <w:rFonts w:ascii="Palatino Linotype" w:eastAsia="Calibri" w:hAnsi="Palatino Linotype" w:cs="Arial"/>
          <w:lang w:val="es-ES" w:eastAsia="es-ES"/>
        </w:rPr>
        <w:t xml:space="preserve"> de dos mil veintiuno, puso a disposición de las partes el expediente electrónico </w:t>
      </w:r>
      <w:r w:rsidRPr="005E0100">
        <w:rPr>
          <w:rFonts w:ascii="Palatino Linotype" w:eastAsia="Calibri" w:hAnsi="Palatino Linotype" w:cs="Arial"/>
          <w:lang w:val="es-ES_tradnl" w:eastAsia="es-ES"/>
        </w:rPr>
        <w:t xml:space="preserve">vía </w:t>
      </w:r>
      <w:r w:rsidRPr="005E0100">
        <w:rPr>
          <w:rFonts w:ascii="Palatino Linotype" w:eastAsia="Calibri" w:hAnsi="Palatino Linotype" w:cs="Arial"/>
          <w:b/>
          <w:lang w:val="es-ES" w:eastAsia="es-ES"/>
        </w:rPr>
        <w:t xml:space="preserve">SAIMEX </w:t>
      </w:r>
      <w:r w:rsidRPr="005E0100">
        <w:rPr>
          <w:rFonts w:ascii="Palatino Linotype" w:eastAsia="Calibri" w:hAnsi="Palatino Linotype" w:cs="Arial"/>
          <w:lang w:val="es-ES" w:eastAsia="es-ES"/>
        </w:rPr>
        <w:t xml:space="preserve">a efecto de que en un plazo máximo de siete días </w:t>
      </w:r>
      <w:r w:rsidRPr="005E0100">
        <w:rPr>
          <w:rFonts w:ascii="Palatino Linotype" w:eastAsia="Calibri" w:hAnsi="Palatino Linotype" w:cs="Arial"/>
          <w:lang w:val="es-ES" w:eastAsia="es-ES"/>
        </w:rPr>
        <w:lastRenderedPageBreak/>
        <w:t xml:space="preserve">manifestaran lo que a derecho convinieran, ofrecieran pruebas y alegatos según corresponda al caso concreto, de esta forma para que el </w:t>
      </w:r>
      <w:r w:rsidRPr="005E0100">
        <w:rPr>
          <w:rFonts w:ascii="Palatino Linotype" w:eastAsia="Calibri" w:hAnsi="Palatino Linotype" w:cs="Arial"/>
          <w:b/>
          <w:lang w:val="es-ES" w:eastAsia="es-ES"/>
        </w:rPr>
        <w:t>SUJETO OBLIGADO</w:t>
      </w:r>
      <w:r w:rsidRPr="005E0100">
        <w:rPr>
          <w:rFonts w:ascii="Palatino Linotype" w:eastAsia="Calibri" w:hAnsi="Palatino Linotype" w:cs="Arial"/>
          <w:lang w:val="es-ES" w:eastAsia="es-ES"/>
        </w:rPr>
        <w:t xml:space="preserve"> presentara el informe justificado procedente. </w:t>
      </w:r>
      <w:r w:rsidR="00C04BDB" w:rsidRPr="005E0100">
        <w:rPr>
          <w:rFonts w:ascii="Palatino Linotype" w:eastAsia="Calibri" w:hAnsi="Palatino Linotype" w:cs="Arial"/>
          <w:lang w:val="es-ES" w:eastAsia="es-ES"/>
        </w:rPr>
        <w:t>Por su parte, EL RECURRENTE, no realizó manifestaciones que a su derecho conviniera.</w:t>
      </w:r>
    </w:p>
    <w:p w14:paraId="131B738B" w14:textId="77777777" w:rsidR="00C04BDB" w:rsidRPr="005E0100" w:rsidRDefault="00C04BDB" w:rsidP="005E0100">
      <w:pPr>
        <w:spacing w:line="360" w:lineRule="auto"/>
        <w:contextualSpacing/>
        <w:jc w:val="both"/>
        <w:rPr>
          <w:rFonts w:ascii="Palatino Linotype" w:eastAsiaTheme="minorEastAsia" w:hAnsi="Palatino Linotype" w:cstheme="minorBidi"/>
          <w:i/>
          <w:color w:val="000000"/>
          <w:sz w:val="22"/>
          <w:szCs w:val="22"/>
          <w:lang w:val="es-ES_tradnl" w:eastAsia="es-ES"/>
        </w:rPr>
      </w:pPr>
    </w:p>
    <w:p w14:paraId="1F2C5E42" w14:textId="77777777" w:rsidR="00093823" w:rsidRDefault="00093823" w:rsidP="005E0100">
      <w:pPr>
        <w:numPr>
          <w:ilvl w:val="0"/>
          <w:numId w:val="1"/>
        </w:numPr>
        <w:spacing w:line="360" w:lineRule="auto"/>
        <w:ind w:left="0" w:firstLine="0"/>
        <w:contextualSpacing/>
        <w:jc w:val="both"/>
        <w:rPr>
          <w:rFonts w:ascii="Palatino Linotype" w:eastAsia="Calibri" w:hAnsi="Palatino Linotype" w:cs="Arial"/>
          <w:lang w:val="es-ES" w:eastAsia="es-ES"/>
        </w:rPr>
      </w:pPr>
      <w:r w:rsidRPr="005E0100">
        <w:rPr>
          <w:rFonts w:ascii="Palatino Linotype" w:eastAsia="Calibri" w:hAnsi="Palatino Linotype" w:cs="Arial"/>
          <w:lang w:val="es-ES" w:eastAsia="es-ES"/>
        </w:rPr>
        <w:t xml:space="preserve">El día </w:t>
      </w:r>
      <w:r w:rsidR="00C04BDB" w:rsidRPr="005E0100">
        <w:rPr>
          <w:rFonts w:ascii="Palatino Linotype" w:eastAsia="Calibri" w:hAnsi="Palatino Linotype" w:cs="Arial"/>
          <w:lang w:val="es-ES" w:eastAsia="es-ES"/>
        </w:rPr>
        <w:t>veintitrés (23) de noviembre de dos mil veintiuno</w:t>
      </w:r>
      <w:r w:rsidRPr="005E0100">
        <w:rPr>
          <w:rFonts w:ascii="Palatino Linotype" w:eastAsia="Calibri" w:hAnsi="Palatino Linotype" w:cs="Arial"/>
          <w:lang w:val="es-ES" w:eastAsia="es-ES"/>
        </w:rPr>
        <w:t xml:space="preserve">, el </w:t>
      </w:r>
      <w:r w:rsidRPr="005E0100">
        <w:rPr>
          <w:rFonts w:ascii="Palatino Linotype" w:eastAsia="Calibri" w:hAnsi="Palatino Linotype" w:cs="Arial"/>
          <w:b/>
          <w:lang w:val="es-ES" w:eastAsia="es-ES"/>
        </w:rPr>
        <w:t>SUJETO OBLIGADO</w:t>
      </w:r>
      <w:r w:rsidRPr="005E0100">
        <w:rPr>
          <w:rFonts w:ascii="Palatino Linotype" w:eastAsia="Calibri" w:hAnsi="Palatino Linotype" w:cs="Arial"/>
          <w:lang w:val="es-ES" w:eastAsia="es-ES"/>
        </w:rPr>
        <w:t xml:space="preserve"> rindió informe justificado que se puso a la vista el </w:t>
      </w:r>
      <w:r w:rsidR="00C04BDB" w:rsidRPr="005E0100">
        <w:rPr>
          <w:rFonts w:ascii="Palatino Linotype" w:eastAsia="Calibri" w:hAnsi="Palatino Linotype" w:cs="Arial"/>
          <w:lang w:val="es-ES" w:eastAsia="es-ES"/>
        </w:rPr>
        <w:t xml:space="preserve">diez (10) de diciembre </w:t>
      </w:r>
      <w:r w:rsidRPr="005E0100">
        <w:rPr>
          <w:rFonts w:ascii="Palatino Linotype" w:eastAsia="Calibri" w:hAnsi="Palatino Linotype" w:cs="Arial"/>
          <w:lang w:val="es-ES" w:eastAsia="es-ES"/>
        </w:rPr>
        <w:t>de dos mil veintiuno, y que consta de los siguientes documentos:</w:t>
      </w:r>
    </w:p>
    <w:p w14:paraId="0428DDC0" w14:textId="77777777" w:rsidR="005E0100" w:rsidRPr="005E0100" w:rsidRDefault="005E0100" w:rsidP="005E0100">
      <w:pPr>
        <w:spacing w:line="360" w:lineRule="auto"/>
        <w:contextualSpacing/>
        <w:jc w:val="both"/>
        <w:rPr>
          <w:rFonts w:ascii="Palatino Linotype" w:eastAsia="Calibri" w:hAnsi="Palatino Linotype" w:cs="Arial"/>
          <w:lang w:val="es-ES" w:eastAsia="es-ES"/>
        </w:rPr>
      </w:pPr>
    </w:p>
    <w:p w14:paraId="2ECFC513" w14:textId="77777777" w:rsidR="00C04BDB" w:rsidRPr="005E0100" w:rsidRDefault="00D21CCC" w:rsidP="005E0100">
      <w:pPr>
        <w:pStyle w:val="Prrafodelista"/>
        <w:numPr>
          <w:ilvl w:val="0"/>
          <w:numId w:val="7"/>
        </w:numPr>
        <w:spacing w:line="360" w:lineRule="auto"/>
        <w:jc w:val="both"/>
        <w:rPr>
          <w:rFonts w:ascii="Palatino Linotype" w:hAnsi="Palatino Linotype" w:cs="Arial"/>
          <w:b/>
          <w:szCs w:val="22"/>
        </w:rPr>
      </w:pPr>
      <w:hyperlink r:id="rId10" w:history="1">
        <w:r w:rsidR="00C04BDB" w:rsidRPr="005E0100">
          <w:rPr>
            <w:rStyle w:val="Hipervnculo"/>
            <w:rFonts w:ascii="Palatino Linotype" w:hAnsi="Palatino Linotype" w:cs="Arial"/>
            <w:b/>
            <w:bCs/>
            <w:color w:val="auto"/>
            <w:szCs w:val="22"/>
          </w:rPr>
          <w:t>INF JUST SOL 989 RR 5403.pdf</w:t>
        </w:r>
      </w:hyperlink>
      <w:r w:rsidR="00C04BDB" w:rsidRPr="005E0100">
        <w:rPr>
          <w:rFonts w:ascii="Palatino Linotype" w:hAnsi="Palatino Linotype" w:cs="Arial"/>
          <w:b/>
          <w:szCs w:val="22"/>
        </w:rPr>
        <w:t xml:space="preserve">: </w:t>
      </w:r>
      <w:r w:rsidR="00C04BDB" w:rsidRPr="005E0100">
        <w:rPr>
          <w:rFonts w:ascii="Palatino Linotype" w:hAnsi="Palatino Linotype" w:cs="Arial"/>
          <w:szCs w:val="22"/>
        </w:rPr>
        <w:t>Oficio 02348/MAIP/FGJ/2021, de fecha dieciocho (18) de noviembre de dos mil veintiuno</w:t>
      </w:r>
      <w:r w:rsidR="008F484F" w:rsidRPr="005E0100">
        <w:rPr>
          <w:rFonts w:ascii="Palatino Linotype" w:hAnsi="Palatino Linotype" w:cs="Arial"/>
          <w:szCs w:val="22"/>
        </w:rPr>
        <w:t>, suscrito por la Titular de la Unidad de Transparencia, mediante el cual se rinde informe justificado y se confirma la respuesta.</w:t>
      </w:r>
    </w:p>
    <w:p w14:paraId="73C837D3" w14:textId="77777777" w:rsidR="00C04BDB" w:rsidRPr="005E0100" w:rsidRDefault="00C04BDB" w:rsidP="005E0100">
      <w:pPr>
        <w:pStyle w:val="Prrafodelista"/>
        <w:spacing w:line="360" w:lineRule="auto"/>
        <w:jc w:val="both"/>
        <w:rPr>
          <w:rFonts w:ascii="Palatino Linotype" w:hAnsi="Palatino Linotype" w:cs="Arial"/>
          <w:b/>
          <w:szCs w:val="22"/>
        </w:rPr>
      </w:pPr>
    </w:p>
    <w:p w14:paraId="63129642" w14:textId="77777777" w:rsidR="00C04BDB" w:rsidRPr="005E0100" w:rsidRDefault="00D21CCC" w:rsidP="005E0100">
      <w:pPr>
        <w:pStyle w:val="Prrafodelista"/>
        <w:numPr>
          <w:ilvl w:val="0"/>
          <w:numId w:val="7"/>
        </w:numPr>
        <w:spacing w:line="360" w:lineRule="auto"/>
        <w:jc w:val="both"/>
        <w:rPr>
          <w:rFonts w:ascii="Palatino Linotype" w:hAnsi="Palatino Linotype" w:cs="Arial"/>
          <w:b/>
          <w:szCs w:val="22"/>
        </w:rPr>
      </w:pPr>
      <w:hyperlink r:id="rId11" w:history="1">
        <w:r w:rsidR="00C04BDB" w:rsidRPr="005E0100">
          <w:rPr>
            <w:rStyle w:val="Hipervnculo"/>
            <w:rFonts w:ascii="Palatino Linotype" w:hAnsi="Palatino Linotype" w:cs="Arial"/>
            <w:b/>
            <w:bCs/>
            <w:color w:val="auto"/>
            <w:szCs w:val="22"/>
          </w:rPr>
          <w:t>INF JUST SOL 989 RR 5403.pdf</w:t>
        </w:r>
      </w:hyperlink>
      <w:r w:rsidR="00C04BDB" w:rsidRPr="005E0100">
        <w:rPr>
          <w:rFonts w:ascii="Palatino Linotype" w:hAnsi="Palatino Linotype" w:cs="Arial"/>
          <w:b/>
          <w:szCs w:val="22"/>
        </w:rPr>
        <w:t>:</w:t>
      </w:r>
      <w:r w:rsidR="008F484F" w:rsidRPr="005E0100">
        <w:rPr>
          <w:rFonts w:ascii="Palatino Linotype" w:hAnsi="Palatino Linotype" w:cs="Arial"/>
          <w:b/>
          <w:szCs w:val="22"/>
        </w:rPr>
        <w:t xml:space="preserve"> </w:t>
      </w:r>
      <w:r w:rsidR="008F484F" w:rsidRPr="005E0100">
        <w:rPr>
          <w:rFonts w:ascii="Palatino Linotype" w:hAnsi="Palatino Linotype" w:cs="Arial"/>
          <w:szCs w:val="22"/>
        </w:rPr>
        <w:t>oficio 02353/MAIP/FGJ/2021, de dieciocho (18) de noviembre de dos mil veintiuno, suscrito por la Titular de la Unidad de Transparencia mediante el cual manifestó remitir informe justificado.</w:t>
      </w:r>
    </w:p>
    <w:p w14:paraId="5B1B3E83" w14:textId="77777777" w:rsidR="00093823" w:rsidRPr="005E0100" w:rsidRDefault="00093823" w:rsidP="005E0100">
      <w:pPr>
        <w:spacing w:line="360" w:lineRule="auto"/>
        <w:contextualSpacing/>
        <w:jc w:val="both"/>
        <w:rPr>
          <w:rFonts w:ascii="Palatino Linotype" w:eastAsiaTheme="minorEastAsia" w:hAnsi="Palatino Linotype"/>
          <w:b/>
          <w:u w:val="single"/>
          <w:lang w:val="es-ES_tradnl" w:eastAsia="es-ES"/>
        </w:rPr>
      </w:pPr>
    </w:p>
    <w:p w14:paraId="3F3A0DF1" w14:textId="77777777" w:rsidR="00093823" w:rsidRPr="005E0100" w:rsidRDefault="00093823" w:rsidP="005E0100">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5E0100">
        <w:rPr>
          <w:rFonts w:ascii="Palatino Linotype" w:eastAsiaTheme="minorEastAsia" w:hAnsi="Palatino Linotype"/>
          <w:lang w:val="es-ES_tradnl" w:eastAsia="es-ES"/>
        </w:rPr>
        <w:t>El Comisionado Ponente decretó el cierre de instrucción</w:t>
      </w:r>
      <w:r w:rsidRPr="005E0100">
        <w:rPr>
          <w:rFonts w:ascii="Palatino Linotype" w:eastAsiaTheme="minorEastAsia" w:hAnsi="Palatino Linotype" w:cs="Arial"/>
          <w:lang w:val="es-ES_tradnl" w:eastAsia="es-ES"/>
        </w:rPr>
        <w:t xml:space="preserve"> </w:t>
      </w:r>
      <w:r w:rsidRPr="005E0100">
        <w:rPr>
          <w:rFonts w:ascii="Palatino Linotype" w:eastAsiaTheme="minorEastAsia" w:hAnsi="Palatino Linotype"/>
          <w:lang w:val="es-ES_tradnl" w:eastAsia="es-ES"/>
        </w:rPr>
        <w:t xml:space="preserve">mediante el acuerdo de fecha </w:t>
      </w:r>
      <w:r w:rsidR="008F484F" w:rsidRPr="005E0100">
        <w:rPr>
          <w:rFonts w:ascii="Palatino Linotype" w:eastAsiaTheme="minorEastAsia" w:hAnsi="Palatino Linotype"/>
          <w:lang w:val="es-ES_tradnl" w:eastAsia="es-ES"/>
        </w:rPr>
        <w:t xml:space="preserve">doce (12) de enero de dos mil veintidós. </w:t>
      </w:r>
    </w:p>
    <w:p w14:paraId="3135B509" w14:textId="77777777" w:rsidR="008F484F" w:rsidRPr="005E0100" w:rsidRDefault="008F484F" w:rsidP="005E0100">
      <w:pPr>
        <w:spacing w:line="360" w:lineRule="auto"/>
        <w:contextualSpacing/>
        <w:jc w:val="both"/>
        <w:rPr>
          <w:rFonts w:ascii="Palatino Linotype" w:eastAsiaTheme="minorEastAsia" w:hAnsi="Palatino Linotype"/>
          <w:b/>
          <w:u w:val="single"/>
          <w:lang w:val="es-ES_tradnl" w:eastAsia="es-ES"/>
        </w:rPr>
      </w:pPr>
    </w:p>
    <w:p w14:paraId="746EF5FB" w14:textId="77777777" w:rsidR="008F484F" w:rsidRPr="005E0100" w:rsidRDefault="008F484F" w:rsidP="005E0100">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5E0100">
        <w:rPr>
          <w:rFonts w:ascii="Palatino Linotype" w:eastAsiaTheme="minorEastAsia" w:hAnsi="Palatino Linotype"/>
          <w:lang w:val="es-ES_tradnl" w:eastAsia="es-ES"/>
        </w:rPr>
        <w:t xml:space="preserve">El </w:t>
      </w:r>
      <w:r w:rsidR="00606869" w:rsidRPr="005E0100">
        <w:rPr>
          <w:rFonts w:ascii="Palatino Linotype" w:eastAsiaTheme="minorEastAsia" w:hAnsi="Palatino Linotype"/>
          <w:lang w:val="es-ES_tradnl" w:eastAsia="es-ES"/>
        </w:rPr>
        <w:t>catorce</w:t>
      </w:r>
      <w:r w:rsidR="005E0100">
        <w:rPr>
          <w:rFonts w:ascii="Palatino Linotype" w:eastAsiaTheme="minorEastAsia" w:hAnsi="Palatino Linotype"/>
          <w:lang w:val="es-ES_tradnl" w:eastAsia="es-ES"/>
        </w:rPr>
        <w:t xml:space="preserve"> (14</w:t>
      </w:r>
      <w:r w:rsidRPr="005E0100">
        <w:rPr>
          <w:rFonts w:ascii="Palatino Linotype" w:eastAsiaTheme="minorEastAsia" w:hAnsi="Palatino Linotype"/>
          <w:lang w:val="es-ES_tradnl" w:eastAsia="es-ES"/>
        </w:rPr>
        <w:t>) de enero de dos mil veintidós, se notificó el acuerdo mediante el cual se aprobó la ampliación de plazo para resolver el recurso de revisión por un periodo de quince días.</w:t>
      </w:r>
    </w:p>
    <w:p w14:paraId="5FDF849C" w14:textId="77777777" w:rsidR="00093823" w:rsidRPr="005E0100" w:rsidRDefault="00093823" w:rsidP="005E0100">
      <w:pPr>
        <w:spacing w:line="360" w:lineRule="auto"/>
        <w:contextualSpacing/>
        <w:jc w:val="both"/>
        <w:rPr>
          <w:rFonts w:ascii="Palatino Linotype" w:eastAsiaTheme="minorEastAsia" w:hAnsi="Palatino Linotype"/>
          <w:b/>
          <w:u w:val="single"/>
          <w:lang w:val="es-ES_tradnl" w:eastAsia="es-ES"/>
        </w:rPr>
      </w:pPr>
    </w:p>
    <w:p w14:paraId="1CEF3A34" w14:textId="77777777" w:rsidR="00093823" w:rsidRPr="005E0100" w:rsidRDefault="00093823" w:rsidP="005E0100">
      <w:pPr>
        <w:keepNext/>
        <w:keepLines/>
        <w:spacing w:line="360" w:lineRule="auto"/>
        <w:jc w:val="center"/>
        <w:outlineLvl w:val="0"/>
        <w:rPr>
          <w:rFonts w:ascii="Palatino Linotype" w:eastAsiaTheme="majorEastAsia" w:hAnsi="Palatino Linotype" w:cstheme="majorBidi"/>
        </w:rPr>
      </w:pPr>
      <w:bookmarkStart w:id="5" w:name="_Toc92984368"/>
      <w:r w:rsidRPr="005E0100">
        <w:rPr>
          <w:rFonts w:ascii="Palatino Linotype" w:eastAsiaTheme="majorEastAsia" w:hAnsi="Palatino Linotype" w:cstheme="majorBidi"/>
          <w:b/>
        </w:rPr>
        <w:lastRenderedPageBreak/>
        <w:t>CONSIDERANDO</w:t>
      </w:r>
      <w:bookmarkEnd w:id="5"/>
      <w:r w:rsidRPr="005E0100">
        <w:rPr>
          <w:rFonts w:ascii="Palatino Linotype" w:eastAsiaTheme="majorEastAsia" w:hAnsi="Palatino Linotype" w:cstheme="majorBidi"/>
          <w:b/>
        </w:rPr>
        <w:t xml:space="preserve"> </w:t>
      </w:r>
    </w:p>
    <w:p w14:paraId="20989517" w14:textId="77777777" w:rsidR="00093823" w:rsidRPr="005E0100" w:rsidRDefault="00093823" w:rsidP="005E0100">
      <w:pPr>
        <w:spacing w:line="360" w:lineRule="auto"/>
        <w:rPr>
          <w:rFonts w:ascii="Palatino Linotype" w:eastAsiaTheme="minorEastAsia" w:hAnsi="Palatino Linotype"/>
        </w:rPr>
      </w:pPr>
    </w:p>
    <w:p w14:paraId="189C4FAD" w14:textId="77777777" w:rsidR="00093823" w:rsidRPr="005E0100" w:rsidRDefault="00093823" w:rsidP="005E0100">
      <w:pPr>
        <w:keepNext/>
        <w:keepLines/>
        <w:spacing w:line="360" w:lineRule="auto"/>
        <w:outlineLvl w:val="1"/>
        <w:rPr>
          <w:rFonts w:ascii="Palatino Linotype" w:eastAsiaTheme="majorEastAsia" w:hAnsi="Palatino Linotype" w:cstheme="majorBidi"/>
          <w:b/>
          <w:szCs w:val="26"/>
        </w:rPr>
      </w:pPr>
      <w:bookmarkStart w:id="6" w:name="_Toc92984369"/>
      <w:r w:rsidRPr="005E0100">
        <w:rPr>
          <w:rFonts w:ascii="Palatino Linotype" w:eastAsiaTheme="majorEastAsia" w:hAnsi="Palatino Linotype" w:cstheme="majorBidi"/>
          <w:b/>
          <w:szCs w:val="26"/>
        </w:rPr>
        <w:t>PRIMERO. De la competencia</w:t>
      </w:r>
      <w:bookmarkEnd w:id="6"/>
    </w:p>
    <w:p w14:paraId="3FA95BCA" w14:textId="77777777" w:rsidR="00093823" w:rsidRPr="005E0100" w:rsidRDefault="00093823" w:rsidP="005E0100">
      <w:pPr>
        <w:keepNext/>
        <w:keepLines/>
        <w:spacing w:line="360" w:lineRule="auto"/>
        <w:outlineLvl w:val="1"/>
        <w:rPr>
          <w:rFonts w:ascii="Palatino Linotype" w:eastAsiaTheme="majorEastAsia" w:hAnsi="Palatino Linotype" w:cstheme="majorBidi"/>
          <w:b/>
          <w:bCs/>
          <w:spacing w:val="60"/>
          <w:szCs w:val="26"/>
        </w:rPr>
      </w:pPr>
    </w:p>
    <w:p w14:paraId="5F333A35" w14:textId="77777777" w:rsidR="008F484F" w:rsidRPr="005E0100" w:rsidRDefault="008F484F" w:rsidP="005E0100">
      <w:pPr>
        <w:numPr>
          <w:ilvl w:val="0"/>
          <w:numId w:val="1"/>
        </w:numPr>
        <w:spacing w:line="360" w:lineRule="auto"/>
        <w:ind w:left="0" w:firstLine="0"/>
        <w:jc w:val="both"/>
        <w:rPr>
          <w:rFonts w:ascii="Palatino Linotype" w:eastAsia="Calibri" w:hAnsi="Palatino Linotype"/>
          <w:b/>
          <w:lang w:val="es-ES"/>
        </w:rPr>
      </w:pPr>
      <w:r w:rsidRPr="005E0100">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5E0100">
        <w:rPr>
          <w:rFonts w:ascii="Palatino Linotype" w:eastAsia="Calibri" w:hAnsi="Palatino Linotype"/>
          <w:b/>
          <w:lang w:val="es-ES"/>
        </w:rPr>
        <w:t>Constitución Política de los Estados Unidos Mexicanos</w:t>
      </w:r>
      <w:r w:rsidRPr="005E0100">
        <w:rPr>
          <w:rFonts w:ascii="Palatino Linotype" w:eastAsia="Calibri" w:hAnsi="Palatino Linotype"/>
          <w:lang w:val="es-ES"/>
        </w:rPr>
        <w:t xml:space="preserve">; 5, párrafos trigésimo, trigésimo primero y trigésimo segundo, fracciones IV y V, de la </w:t>
      </w:r>
      <w:r w:rsidRPr="005E0100">
        <w:rPr>
          <w:rFonts w:ascii="Palatino Linotype" w:eastAsia="Calibri" w:hAnsi="Palatino Linotype"/>
          <w:b/>
          <w:lang w:val="es-ES"/>
        </w:rPr>
        <w:t>Constitución Política del Estado Libre y Soberano de México</w:t>
      </w:r>
      <w:r w:rsidRPr="005E0100">
        <w:rPr>
          <w:rFonts w:ascii="Palatino Linotype" w:eastAsia="Calibri" w:hAnsi="Palatino Linotype"/>
          <w:lang w:val="es-ES"/>
        </w:rPr>
        <w:t xml:space="preserve">; artículos 1, 2 fracción II, 13, 29, 36 fracciones I y II, 176, 178, 179, 181 párrafo tercero y 185 de la </w:t>
      </w:r>
      <w:r w:rsidRPr="005E0100">
        <w:rPr>
          <w:rFonts w:ascii="Palatino Linotype" w:eastAsia="Calibri" w:hAnsi="Palatino Linotype"/>
          <w:b/>
          <w:lang w:val="es-ES"/>
        </w:rPr>
        <w:t>Ley de Transparencia y Acceso a la Información Pública del Estado de México y Municipios</w:t>
      </w:r>
      <w:r w:rsidRPr="005E0100">
        <w:rPr>
          <w:rFonts w:ascii="Palatino Linotype" w:eastAsia="Calibri" w:hAnsi="Palatino Linotype"/>
          <w:lang w:val="es-ES"/>
        </w:rPr>
        <w:t xml:space="preserve">; y 10, 7, 9 fracciones I y XXIV, y 11 del </w:t>
      </w:r>
      <w:r w:rsidRPr="005E0100">
        <w:rPr>
          <w:rFonts w:ascii="Palatino Linotype" w:eastAsia="Calibri" w:hAnsi="Palatino Linotype"/>
          <w:b/>
          <w:lang w:val="es-ES"/>
        </w:rPr>
        <w:t>Reglamento Interior del Instituto de Transparencia, Acceso a la Información Pública y Protección de Datos Personales del Estado de México y Municipios.</w:t>
      </w:r>
    </w:p>
    <w:p w14:paraId="4B4CFDB0" w14:textId="77777777" w:rsidR="00093823" w:rsidRPr="005E0100" w:rsidRDefault="00093823" w:rsidP="005E0100">
      <w:pPr>
        <w:spacing w:line="360" w:lineRule="auto"/>
        <w:contextualSpacing/>
        <w:jc w:val="both"/>
        <w:rPr>
          <w:rFonts w:ascii="Palatino Linotype" w:eastAsiaTheme="minorEastAsia" w:hAnsi="Palatino Linotype"/>
          <w:lang w:val="es-ES_tradnl" w:eastAsia="es-ES"/>
        </w:rPr>
      </w:pPr>
    </w:p>
    <w:p w14:paraId="63AD1B22" w14:textId="77777777" w:rsidR="00093823" w:rsidRPr="005E0100" w:rsidRDefault="00093823" w:rsidP="005E0100">
      <w:pPr>
        <w:keepNext/>
        <w:keepLines/>
        <w:spacing w:line="360" w:lineRule="auto"/>
        <w:outlineLvl w:val="1"/>
        <w:rPr>
          <w:rFonts w:ascii="Palatino Linotype" w:eastAsiaTheme="majorEastAsia" w:hAnsi="Palatino Linotype" w:cstheme="majorBidi"/>
          <w:b/>
          <w:szCs w:val="26"/>
        </w:rPr>
      </w:pPr>
      <w:bookmarkStart w:id="7" w:name="_Toc92984370"/>
      <w:r w:rsidRPr="005E0100">
        <w:rPr>
          <w:rFonts w:ascii="Palatino Linotype" w:eastAsiaTheme="majorEastAsia" w:hAnsi="Palatino Linotype" w:cstheme="majorBidi"/>
          <w:b/>
          <w:szCs w:val="26"/>
        </w:rPr>
        <w:t>SEGUNDO. De la oportunidad y procedencia.</w:t>
      </w:r>
      <w:bookmarkEnd w:id="7"/>
    </w:p>
    <w:p w14:paraId="02F6CB29" w14:textId="77777777" w:rsidR="00093823" w:rsidRPr="005E0100" w:rsidRDefault="00093823" w:rsidP="005E0100">
      <w:pPr>
        <w:spacing w:line="360" w:lineRule="auto"/>
        <w:rPr>
          <w:rFonts w:ascii="Palatino Linotype" w:eastAsiaTheme="minorEastAsia" w:hAnsi="Palatino Linotype"/>
        </w:rPr>
      </w:pPr>
    </w:p>
    <w:p w14:paraId="50DC9546" w14:textId="77777777" w:rsidR="00093823" w:rsidRPr="005E0100" w:rsidRDefault="00093823" w:rsidP="005E010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E0100">
        <w:rPr>
          <w:rFonts w:ascii="Palatino Linotype" w:eastAsia="Calibri" w:hAnsi="Palatino Linotype" w:cs="Arial"/>
          <w:lang w:val="es-ES_tradnl" w:eastAsia="es-ES"/>
        </w:rPr>
        <w:t xml:space="preserve">El medio de impugnación fue presentado a través del </w:t>
      </w:r>
      <w:r w:rsidRPr="005E0100">
        <w:rPr>
          <w:rFonts w:ascii="Palatino Linotype" w:eastAsia="Calibri" w:hAnsi="Palatino Linotype" w:cs="Arial"/>
          <w:b/>
          <w:lang w:val="es-ES_tradnl" w:eastAsia="es-ES"/>
        </w:rPr>
        <w:t>SAIMEX,</w:t>
      </w:r>
      <w:r w:rsidRPr="005E0100">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5E0100">
        <w:rPr>
          <w:rFonts w:ascii="Palatino Linotype" w:eastAsia="Calibri" w:hAnsi="Palatino Linotype" w:cs="Arial"/>
          <w:b/>
          <w:lang w:val="es-ES_tradnl" w:eastAsia="es-ES"/>
        </w:rPr>
        <w:t>SUJETO OBLIGADO</w:t>
      </w:r>
      <w:r w:rsidRPr="005E0100">
        <w:rPr>
          <w:rFonts w:ascii="Palatino Linotype" w:eastAsia="Calibri" w:hAnsi="Palatino Linotype" w:cs="Arial"/>
          <w:lang w:val="es-ES_tradnl" w:eastAsia="es-ES"/>
        </w:rPr>
        <w:t xml:space="preserve"> entregó respuesta a la solicitud el día </w:t>
      </w:r>
      <w:r w:rsidR="007231CC" w:rsidRPr="005E0100">
        <w:rPr>
          <w:rFonts w:ascii="Palatino Linotype" w:eastAsia="Calibri" w:hAnsi="Palatino Linotype" w:cs="Arial"/>
          <w:lang w:val="es-ES_tradnl" w:eastAsia="es-ES"/>
        </w:rPr>
        <w:t>quince (15) de octubre</w:t>
      </w:r>
      <w:r w:rsidRPr="005E0100">
        <w:rPr>
          <w:rFonts w:ascii="Palatino Linotype" w:eastAsia="Calibri" w:hAnsi="Palatino Linotype" w:cs="Arial"/>
          <w:lang w:val="es-ES_tradnl" w:eastAsia="es-ES"/>
        </w:rPr>
        <w:t xml:space="preserve">  de dos mil veintiuno, </w:t>
      </w:r>
      <w:r w:rsidRPr="005E0100">
        <w:rPr>
          <w:rFonts w:ascii="Palatino Linotype" w:eastAsiaTheme="minorEastAsia" w:hAnsi="Palatino Linotype" w:cs="Arial"/>
          <w:lang w:val="es-ES_tradnl" w:eastAsia="es-ES"/>
        </w:rPr>
        <w:t xml:space="preserve">de tal forma que el plazo para interponer el recurso de revisión transcurrió del </w:t>
      </w:r>
      <w:r w:rsidR="007231CC" w:rsidRPr="005E0100">
        <w:rPr>
          <w:rFonts w:ascii="Palatino Linotype" w:eastAsiaTheme="minorEastAsia" w:hAnsi="Palatino Linotype" w:cs="Arial"/>
          <w:lang w:val="es-ES_tradnl" w:eastAsia="es-ES"/>
        </w:rPr>
        <w:t>dieciocho (18) de octubre</w:t>
      </w:r>
      <w:r w:rsidRPr="005E0100">
        <w:rPr>
          <w:rFonts w:ascii="Palatino Linotype" w:eastAsiaTheme="minorEastAsia" w:hAnsi="Palatino Linotype" w:cs="Arial"/>
          <w:lang w:val="es-ES_tradnl" w:eastAsia="es-ES"/>
        </w:rPr>
        <w:t xml:space="preserve">  al </w:t>
      </w:r>
      <w:r w:rsidR="007231CC" w:rsidRPr="005E0100">
        <w:rPr>
          <w:rFonts w:ascii="Palatino Linotype" w:eastAsiaTheme="minorEastAsia" w:hAnsi="Palatino Linotype" w:cs="Arial"/>
          <w:lang w:val="es-ES_tradnl" w:eastAsia="es-ES"/>
        </w:rPr>
        <w:t xml:space="preserve">ocho (08) de noviembre </w:t>
      </w:r>
      <w:r w:rsidRPr="005E0100">
        <w:rPr>
          <w:rFonts w:ascii="Palatino Linotype" w:eastAsiaTheme="minorEastAsia" w:hAnsi="Palatino Linotype" w:cs="Arial"/>
          <w:lang w:val="es-ES_tradnl" w:eastAsia="es-ES"/>
        </w:rPr>
        <w:t xml:space="preserve">  de dos mil veintiuno; en consecuencia, presentó su inconformidad el </w:t>
      </w:r>
      <w:r w:rsidRPr="005E0100">
        <w:rPr>
          <w:rFonts w:ascii="Palatino Linotype" w:eastAsiaTheme="minorEastAsia" w:hAnsi="Palatino Linotype" w:cs="Arial"/>
          <w:lang w:val="es-ES_tradnl" w:eastAsia="es-ES"/>
        </w:rPr>
        <w:lastRenderedPageBreak/>
        <w:t xml:space="preserve">día </w:t>
      </w:r>
      <w:r w:rsidR="007231CC" w:rsidRPr="005E0100">
        <w:rPr>
          <w:rFonts w:ascii="Palatino Linotype" w:eastAsiaTheme="minorEastAsia" w:hAnsi="Palatino Linotype" w:cs="Arial"/>
          <w:lang w:val="es-ES_tradnl" w:eastAsia="es-ES"/>
        </w:rPr>
        <w:t xml:space="preserve">cuatro (04) de noviembre </w:t>
      </w:r>
      <w:r w:rsidRPr="005E0100">
        <w:rPr>
          <w:rFonts w:ascii="Palatino Linotype" w:eastAsiaTheme="minorEastAsia" w:hAnsi="Palatino Linotype" w:cs="Arial"/>
          <w:lang w:val="es-ES_tradnl" w:eastAsia="es-ES"/>
        </w:rPr>
        <w:t xml:space="preserve"> de dos mil veintiuno, por lo que se encuentra dentro de los márgenes temporales previstos en el artículo 178 de la </w:t>
      </w:r>
      <w:r w:rsidRPr="005E0100">
        <w:rPr>
          <w:rFonts w:ascii="Palatino Linotype" w:eastAsiaTheme="minorEastAsia" w:hAnsi="Palatino Linotype" w:cs="Arial"/>
          <w:b/>
          <w:lang w:val="es-ES_tradnl" w:eastAsia="es-ES"/>
        </w:rPr>
        <w:t xml:space="preserve">Ley de Transparencia y Acceso a la Información Pública del Estado de México y Municipios </w:t>
      </w:r>
      <w:r w:rsidRPr="005E0100">
        <w:rPr>
          <w:rFonts w:ascii="Palatino Linotype" w:eastAsiaTheme="minorEastAsia" w:hAnsi="Palatino Linotype" w:cs="Arial"/>
          <w:lang w:val="es-ES_tradnl" w:eastAsia="es-ES"/>
        </w:rPr>
        <w:t>vigente.</w:t>
      </w:r>
    </w:p>
    <w:p w14:paraId="39576CCF" w14:textId="77777777" w:rsidR="00093823" w:rsidRPr="005E0100" w:rsidRDefault="00093823" w:rsidP="005E0100">
      <w:pPr>
        <w:spacing w:line="360" w:lineRule="auto"/>
        <w:ind w:right="49"/>
        <w:contextualSpacing/>
        <w:jc w:val="both"/>
        <w:rPr>
          <w:rFonts w:ascii="Palatino Linotype" w:eastAsiaTheme="minorEastAsia" w:hAnsi="Palatino Linotype" w:cs="Arial"/>
          <w:lang w:val="es-ES_tradnl" w:eastAsia="es-ES"/>
        </w:rPr>
      </w:pPr>
    </w:p>
    <w:p w14:paraId="69F60B87" w14:textId="77777777" w:rsidR="00093823" w:rsidRPr="005E0100" w:rsidRDefault="00093823" w:rsidP="005E010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E0100">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F251B14" w14:textId="77777777" w:rsidR="00093823" w:rsidRPr="005E0100" w:rsidRDefault="00093823" w:rsidP="005E0100">
      <w:pPr>
        <w:spacing w:line="360" w:lineRule="auto"/>
        <w:ind w:right="49"/>
        <w:contextualSpacing/>
        <w:jc w:val="both"/>
        <w:rPr>
          <w:rFonts w:ascii="Palatino Linotype" w:eastAsiaTheme="minorEastAsia" w:hAnsi="Palatino Linotype"/>
          <w:lang w:val="es-ES_tradnl" w:eastAsia="es-ES"/>
        </w:rPr>
      </w:pPr>
    </w:p>
    <w:p w14:paraId="6D8C8A5B" w14:textId="77777777" w:rsidR="00093823" w:rsidRPr="005E0100" w:rsidRDefault="004C687A" w:rsidP="005E0100">
      <w:pPr>
        <w:keepNext/>
        <w:keepLines/>
        <w:spacing w:line="360" w:lineRule="auto"/>
        <w:outlineLvl w:val="1"/>
        <w:rPr>
          <w:rFonts w:ascii="Palatino Linotype" w:eastAsiaTheme="majorEastAsia" w:hAnsi="Palatino Linotype" w:cstheme="majorBidi"/>
          <w:b/>
          <w:szCs w:val="26"/>
        </w:rPr>
      </w:pPr>
      <w:bookmarkStart w:id="8" w:name="_Toc486525253"/>
      <w:bookmarkStart w:id="9" w:name="_Toc92984371"/>
      <w:r w:rsidRPr="005E0100">
        <w:rPr>
          <w:rFonts w:ascii="Palatino Linotype" w:eastAsiaTheme="majorEastAsia" w:hAnsi="Palatino Linotype" w:cstheme="majorBidi"/>
          <w:b/>
          <w:szCs w:val="26"/>
        </w:rPr>
        <w:t>TERCER</w:t>
      </w:r>
      <w:r w:rsidR="00093823" w:rsidRPr="005E0100">
        <w:rPr>
          <w:rFonts w:ascii="Palatino Linotype" w:eastAsiaTheme="majorEastAsia" w:hAnsi="Palatino Linotype" w:cstheme="majorBidi"/>
          <w:b/>
          <w:szCs w:val="26"/>
        </w:rPr>
        <w:t xml:space="preserve">O. </w:t>
      </w:r>
      <w:bookmarkEnd w:id="8"/>
      <w:r w:rsidR="00093823" w:rsidRPr="005E0100">
        <w:rPr>
          <w:rFonts w:ascii="Palatino Linotype" w:eastAsiaTheme="majorEastAsia" w:hAnsi="Palatino Linotype" w:cstheme="majorBidi"/>
          <w:b/>
          <w:szCs w:val="26"/>
        </w:rPr>
        <w:t>Planteamiento de la Litis.</w:t>
      </w:r>
      <w:bookmarkEnd w:id="9"/>
    </w:p>
    <w:p w14:paraId="43A4B8D3" w14:textId="77777777" w:rsidR="00093823" w:rsidRPr="005E0100" w:rsidRDefault="00093823" w:rsidP="005E0100">
      <w:pPr>
        <w:spacing w:line="360" w:lineRule="auto"/>
        <w:rPr>
          <w:rFonts w:ascii="Palatino Linotype" w:eastAsiaTheme="minorEastAsia" w:hAnsi="Palatino Linotype"/>
        </w:rPr>
      </w:pPr>
    </w:p>
    <w:p w14:paraId="2153428F" w14:textId="77777777" w:rsidR="00093823" w:rsidRPr="005E0100" w:rsidRDefault="00093823" w:rsidP="005E0100">
      <w:pPr>
        <w:pStyle w:val="Prrafodelista"/>
        <w:numPr>
          <w:ilvl w:val="0"/>
          <w:numId w:val="1"/>
        </w:numPr>
        <w:spacing w:line="360" w:lineRule="auto"/>
        <w:ind w:left="0" w:firstLine="0"/>
        <w:jc w:val="both"/>
        <w:rPr>
          <w:rFonts w:ascii="Palatino Linotype" w:eastAsia="MS Gothic" w:hAnsi="Palatino Linotype"/>
          <w:sz w:val="24"/>
        </w:rPr>
      </w:pPr>
      <w:r w:rsidRPr="005E0100">
        <w:rPr>
          <w:rFonts w:ascii="Palatino Linotype" w:eastAsia="MS Gothic" w:hAnsi="Palatino Linotype"/>
          <w:sz w:val="24"/>
        </w:rPr>
        <w:t xml:space="preserve">El particular solicitó </w:t>
      </w:r>
      <w:r w:rsidR="00EF292C" w:rsidRPr="005E0100">
        <w:rPr>
          <w:rFonts w:ascii="Palatino Linotype" w:eastAsia="MS Gothic" w:hAnsi="Palatino Linotype"/>
          <w:sz w:val="24"/>
        </w:rPr>
        <w:t>“</w:t>
      </w:r>
      <w:r w:rsidR="00606869" w:rsidRPr="005E0100">
        <w:rPr>
          <w:rFonts w:ascii="Palatino Linotype" w:hAnsi="Palatino Linotype"/>
          <w:i/>
          <w:color w:val="000000"/>
        </w:rPr>
        <w:t>se me informe de 2014 a 2021 cuantas capacitaciones en materia de transparencia y acceso a la información pública ha impartido la unidad de transparencia a los distintos sujetos habilitados de la procuraduría general de justicia del estado de mexico y de la fiscalía general de justicia del estado de mexico. en caso de no haber realizado capacitaciones solicito que fundada y motivadamente se me informe porque no se han proporcionado capacitaciones en ese tiempo y quienes eran los titulares de la unidad de transparencia en los años de 2014 a 2021 solicitando se acompañen sus respuestas con expresión documental que las soporte.”</w:t>
      </w:r>
    </w:p>
    <w:p w14:paraId="122D1B81" w14:textId="77777777" w:rsidR="00093823" w:rsidRPr="005E0100" w:rsidRDefault="00093823" w:rsidP="005E0100">
      <w:pPr>
        <w:pStyle w:val="Prrafodelista"/>
        <w:spacing w:line="360" w:lineRule="auto"/>
        <w:ind w:left="0"/>
        <w:jc w:val="both"/>
        <w:rPr>
          <w:rFonts w:ascii="Palatino Linotype" w:eastAsia="MS Gothic" w:hAnsi="Palatino Linotype"/>
          <w:sz w:val="24"/>
        </w:rPr>
      </w:pPr>
    </w:p>
    <w:p w14:paraId="6784D623" w14:textId="77777777" w:rsidR="00EF292C" w:rsidRPr="005E0100" w:rsidRDefault="00093823" w:rsidP="005E0100">
      <w:pPr>
        <w:pStyle w:val="Prrafodelista"/>
        <w:numPr>
          <w:ilvl w:val="0"/>
          <w:numId w:val="1"/>
        </w:numPr>
        <w:spacing w:line="360" w:lineRule="auto"/>
        <w:ind w:left="0" w:firstLine="0"/>
        <w:jc w:val="both"/>
        <w:rPr>
          <w:rFonts w:ascii="Palatino Linotype" w:eastAsia="MS Gothic" w:hAnsi="Palatino Linotype"/>
          <w:sz w:val="24"/>
        </w:rPr>
      </w:pPr>
      <w:r w:rsidRPr="005E0100">
        <w:rPr>
          <w:rFonts w:ascii="Palatino Linotype" w:eastAsia="MS Gothic" w:hAnsi="Palatino Linotype"/>
          <w:sz w:val="24"/>
        </w:rPr>
        <w:t xml:space="preserve">El </w:t>
      </w:r>
      <w:r w:rsidRPr="005E0100">
        <w:rPr>
          <w:rFonts w:ascii="Palatino Linotype" w:eastAsia="MS Gothic" w:hAnsi="Palatino Linotype"/>
          <w:b/>
          <w:sz w:val="24"/>
        </w:rPr>
        <w:t>SUJETO OBLIGADO</w:t>
      </w:r>
      <w:r w:rsidRPr="005E0100">
        <w:rPr>
          <w:rFonts w:ascii="Palatino Linotype" w:eastAsia="MS Gothic" w:hAnsi="Palatino Linotype"/>
          <w:sz w:val="24"/>
        </w:rPr>
        <w:t xml:space="preserve"> en respuesta </w:t>
      </w:r>
      <w:r w:rsidR="00EF292C" w:rsidRPr="005E0100">
        <w:rPr>
          <w:rFonts w:ascii="Palatino Linotype" w:eastAsia="MS Gothic" w:hAnsi="Palatino Linotype"/>
          <w:sz w:val="24"/>
        </w:rPr>
        <w:t>manifestó incompetencia parcial para el caso de las capacitaciones; por lo que se refiere a la solicitud del nombre de los titulares de la Unidad de Transparencia del año 2014 al 2021, el sujeto obligado manifestó a través de actas de sesión el nombre de los titulares.</w:t>
      </w:r>
      <w:r w:rsidRPr="005E0100">
        <w:rPr>
          <w:rFonts w:ascii="Palatino Linotype" w:eastAsia="MS Gothic" w:hAnsi="Palatino Linotype"/>
          <w:sz w:val="24"/>
        </w:rPr>
        <w:t xml:space="preserve"> </w:t>
      </w:r>
    </w:p>
    <w:p w14:paraId="6E17F858" w14:textId="77777777" w:rsidR="00EF292C" w:rsidRPr="005E0100" w:rsidRDefault="00EF292C" w:rsidP="005E0100">
      <w:pPr>
        <w:pStyle w:val="Prrafodelista"/>
        <w:spacing w:line="360" w:lineRule="auto"/>
        <w:rPr>
          <w:rFonts w:ascii="Palatino Linotype" w:eastAsia="MS Gothic" w:hAnsi="Palatino Linotype"/>
          <w:sz w:val="24"/>
        </w:rPr>
      </w:pPr>
    </w:p>
    <w:p w14:paraId="289F3CEF" w14:textId="77777777" w:rsidR="00EF292C" w:rsidRPr="005E0100" w:rsidRDefault="00093823" w:rsidP="005E0100">
      <w:pPr>
        <w:pStyle w:val="Prrafodelista"/>
        <w:numPr>
          <w:ilvl w:val="0"/>
          <w:numId w:val="1"/>
        </w:numPr>
        <w:spacing w:line="360" w:lineRule="auto"/>
        <w:ind w:left="0" w:firstLine="0"/>
        <w:jc w:val="both"/>
        <w:rPr>
          <w:rFonts w:ascii="Palatino Linotype" w:eastAsia="MS Gothic" w:hAnsi="Palatino Linotype"/>
          <w:sz w:val="24"/>
        </w:rPr>
      </w:pPr>
      <w:r w:rsidRPr="005E0100">
        <w:rPr>
          <w:rFonts w:ascii="Palatino Linotype" w:eastAsia="MS Gothic" w:hAnsi="Palatino Linotype"/>
          <w:sz w:val="24"/>
        </w:rPr>
        <w:lastRenderedPageBreak/>
        <w:t xml:space="preserve">Derivado de la respuesta, el particular se inconformó mediante el recurso de revisión; manifestó en sus motivos de inconformidad </w:t>
      </w:r>
      <w:r w:rsidR="00EF292C" w:rsidRPr="005E0100">
        <w:rPr>
          <w:rFonts w:ascii="Palatino Linotype" w:eastAsiaTheme="majorEastAsia" w:hAnsi="Palatino Linotype" w:cstheme="majorBidi"/>
          <w:i/>
          <w:lang w:val="es-ES" w:eastAsia="es-ES"/>
        </w:rPr>
        <w:t>“</w:t>
      </w:r>
      <w:r w:rsidR="00EF292C" w:rsidRPr="005E0100">
        <w:rPr>
          <w:rFonts w:ascii="Palatino Linotype" w:hAnsi="Palatino Linotype"/>
          <w:i/>
          <w:color w:val="000000"/>
        </w:rPr>
        <w:t xml:space="preserve">Me causa afectaciones la respuesta de la Titular de la Unidad de Transparencia del Sujeto Obligado en su oficio 02131/MAIP/FGJ/2021 del 14/10/2021, dado que ES FALSO que a través del oficio 2025/MAIP/FGJ/2021, hiciera de mi conocimiento que dentro de las atribuciones de la Fiscalía General de Justicia, no se encuentra la de generar o poseer información relacionada con las capacitaciones en materia de transparencia y acceso a la información pública, lo cual se puede comprobar con la revisión de la plataforma SAIMEX donde se verá que NUNCA SE ME NOTIFICO ESE OFICIO, aparte, ES FALSO QUE NO CUENTE CON ATRIBUCIIONES (artículo 10 de su Ley/, ya que el artículo 5 de la Constitución Política del Estado Libre y Soberano de México, y, el 3, fracciones XXX y XLI, 7 y 23, fracciones I y V de la Ley de Transparencia y Acceso a la Información Pública del Estado de México y Municipios, señalan que dicha Ley es aplicable y obligatoria a ÓRGANOS AUTÓNOMOS (como la Fiscalía a partir del año 2016) y a la PROCURDURÍA GENERAL DE JUSTICIA (anterior al año 2016) y por ello, conforme al artículo 24, fracción III y 49, fracciones V y VI de la Ley de Transparencia y Acceso a la Información Pública del Estado de México y Municipios, ES FALSO QUE NO CUENTEN CON ATRIBUCIONES ya que en esos artículos se menciona que es su responsblidad AL SER ESA TITULAR, MIEMBRO DEL COMITÉ DE TRANPARENCIA y por ello, parte de sus responsabilidades (o atribuciones como se quiera ver) es la de lacapacitación de sus servidores públicos en materia de transparencia y acceso ala información pública, LO CUAL NO QUIERE EXHIBIR YA QUE ES CLARO QUE NO TIENEN EN ESA DEPENDENIA, LA MENOR INTENCIÓN DE CAPACITAR A SU PERSONAL, afectando tanto a la inconforme así como a la ciudadania (AL VIOLETAR DESCARADAMENTE EL PRINCIPIO DE MÁXIMA PÚBLICIDAD y TRANSPARENCIA PROACTIVA) con su constante OPACIDAD para no rendir cuentas. IGUALMENTE DICHA TITUTAR MIENTE ya que NUNCA ME ORIENTO porque NUNCA ME NOTIFICO NADA en el sentido de que dirijiera mi solicitud al sujeto obligado que contara con facultades para ello. IGUALMENTE MIENTE ya que nunca acompañó expresion documental para demostrar que requirió a sujeto hábilitado competente, para que le diera la </w:t>
      </w:r>
      <w:r w:rsidR="00EF292C" w:rsidRPr="005E0100">
        <w:rPr>
          <w:rFonts w:ascii="Palatino Linotype" w:hAnsi="Palatino Linotype"/>
          <w:i/>
          <w:color w:val="000000"/>
        </w:rPr>
        <w:lastRenderedPageBreak/>
        <w:t>información relacionada con mi peticion, o en su caso, emitió acuerdo de inexistencia por medio de su Comité de Transparencia, concluyendo entonces que LO ÚNICO QUE SE COPRUEBA ES QUE DICHA TITULAR VIOLLENTA LA LEY (artículos 4, 7, 8, párafo segundo, 9, fracciones I, II, III, IV, V, VI, VII, VIII, IX y X, 10, 11, 12, 13, 14, 15, 16, 17, 18, 19, 20, 21, 22, 23, fracción V, 24, fracción III y 49, fracción V y VI de la Ley de Transparencia y Acceso a la Información Pública del Estado de México y Municipios, y, 1.1, 2.1, 3.1, 3.2, 3.3, 4.1, 4.4, 4.9, 4.15, 4.16, 5.5 y 5.8 del Reglamento de la Ley de Transparencia y Acceso a la Información Pública del Estado de México y Municipios) AL NO QUIERER DAR LA INFORMACIÓN QUE SE LE SOLICITA, por lo que pido se le sancione, INICIANDO PROCESO DE RESPONSABILIDAD ADMIINSTRATIVA, DANDOSELE VISTA AL COMISIONADO DE ESE ÓRGANO GARANTE, a la CONTRALORÍA INTERNA DE ESA FISCALÍA o en su caso, al área o unidad competente para ello, por violentar mi derecho de acceso a la información pública.” (Sic).</w:t>
      </w:r>
    </w:p>
    <w:p w14:paraId="7FF16520" w14:textId="77777777" w:rsidR="00093823" w:rsidRPr="005E0100" w:rsidRDefault="00093823" w:rsidP="005E0100">
      <w:pPr>
        <w:pStyle w:val="Prrafodelista"/>
        <w:spacing w:line="360" w:lineRule="auto"/>
        <w:ind w:left="0"/>
        <w:jc w:val="both"/>
        <w:rPr>
          <w:rFonts w:ascii="Palatino Linotype" w:eastAsia="MS Gothic" w:hAnsi="Palatino Linotype"/>
          <w:sz w:val="24"/>
        </w:rPr>
      </w:pPr>
    </w:p>
    <w:p w14:paraId="6AC187B1" w14:textId="77777777" w:rsidR="00093823" w:rsidRPr="005E0100" w:rsidRDefault="00093823" w:rsidP="005E0100">
      <w:pPr>
        <w:pStyle w:val="Prrafodelista"/>
        <w:numPr>
          <w:ilvl w:val="0"/>
          <w:numId w:val="1"/>
        </w:numPr>
        <w:spacing w:line="360" w:lineRule="auto"/>
        <w:ind w:left="0" w:firstLine="0"/>
        <w:jc w:val="both"/>
        <w:rPr>
          <w:rFonts w:ascii="Palatino Linotype" w:eastAsia="MS Gothic" w:hAnsi="Palatino Linotype"/>
          <w:sz w:val="24"/>
        </w:rPr>
      </w:pPr>
      <w:r w:rsidRPr="005E0100">
        <w:rPr>
          <w:rFonts w:ascii="Palatino Linotype" w:eastAsia="MS Gothic" w:hAnsi="Palatino Linotype"/>
          <w:sz w:val="24"/>
        </w:rPr>
        <w:t xml:space="preserve">En consecuencia, la Litis del presente asunto corresponde en resolver si el </w:t>
      </w:r>
      <w:r w:rsidRPr="005E0100">
        <w:rPr>
          <w:rFonts w:ascii="Palatino Linotype" w:eastAsia="MS Gothic" w:hAnsi="Palatino Linotype"/>
          <w:b/>
          <w:sz w:val="24"/>
        </w:rPr>
        <w:t>SUJETO OBLIGADO</w:t>
      </w:r>
      <w:r w:rsidRPr="005E0100">
        <w:rPr>
          <w:rFonts w:ascii="Palatino Linotype" w:eastAsia="MS Gothic" w:hAnsi="Palatino Linotype"/>
          <w:sz w:val="24"/>
        </w:rPr>
        <w:t xml:space="preserve"> atendió la solicitud con apego a los principios establecidos en el artículo 11 de la Ley de Transparencia Local, si con la entrega de los documentos en respuesta se garantiza q</w:t>
      </w:r>
      <w:r w:rsidR="00CD293D" w:rsidRPr="005E0100">
        <w:rPr>
          <w:rFonts w:ascii="Palatino Linotype" w:eastAsia="MS Gothic" w:hAnsi="Palatino Linotype"/>
          <w:sz w:val="24"/>
        </w:rPr>
        <w:t>ue la información sea confiable y verificable.</w:t>
      </w:r>
    </w:p>
    <w:p w14:paraId="1D7F6FF0" w14:textId="77777777" w:rsidR="00093823" w:rsidRPr="005E0100" w:rsidRDefault="00093823" w:rsidP="005E0100">
      <w:pPr>
        <w:pStyle w:val="Prrafodelista"/>
        <w:spacing w:line="360" w:lineRule="auto"/>
        <w:ind w:left="0"/>
        <w:jc w:val="both"/>
        <w:rPr>
          <w:rFonts w:ascii="Palatino Linotype" w:eastAsia="MS Gothic" w:hAnsi="Palatino Linotype"/>
          <w:sz w:val="24"/>
        </w:rPr>
      </w:pPr>
    </w:p>
    <w:p w14:paraId="3CF60D79" w14:textId="77777777" w:rsidR="004C687A" w:rsidRPr="005E0100" w:rsidRDefault="00093823" w:rsidP="005E0100">
      <w:pPr>
        <w:pStyle w:val="Prrafodelista"/>
        <w:numPr>
          <w:ilvl w:val="0"/>
          <w:numId w:val="1"/>
        </w:numPr>
        <w:spacing w:line="360" w:lineRule="auto"/>
        <w:ind w:left="0" w:firstLine="0"/>
        <w:jc w:val="both"/>
        <w:rPr>
          <w:rFonts w:ascii="Palatino Linotype" w:eastAsia="MS Gothic" w:hAnsi="Palatino Linotype"/>
          <w:sz w:val="24"/>
        </w:rPr>
      </w:pPr>
      <w:r w:rsidRPr="005E0100">
        <w:rPr>
          <w:rFonts w:ascii="Palatino Linotype" w:eastAsia="MS Gothic" w:hAnsi="Palatino Linotype"/>
          <w:sz w:val="24"/>
        </w:rPr>
        <w:t>Así mismo determinar si se actualizan la causal de procedencia pre</w:t>
      </w:r>
      <w:r w:rsidR="00CD293D" w:rsidRPr="005E0100">
        <w:rPr>
          <w:rFonts w:ascii="Palatino Linotype" w:eastAsia="MS Gothic" w:hAnsi="Palatino Linotype"/>
          <w:sz w:val="24"/>
        </w:rPr>
        <w:t>vistas en las fracciones I y IV</w:t>
      </w:r>
      <w:r w:rsidRPr="005E0100">
        <w:rPr>
          <w:rFonts w:ascii="Palatino Linotype" w:eastAsia="MS Gothic" w:hAnsi="Palatino Linotype"/>
          <w:sz w:val="24"/>
        </w:rPr>
        <w:t xml:space="preserve"> del artículo 179 de la Ley de Transparencia y Acceso a la Información Pública del Estado de México y sus Municipios, que establecen la negativa de la información solicitada </w:t>
      </w:r>
      <w:r w:rsidR="00CD293D" w:rsidRPr="005E0100">
        <w:rPr>
          <w:rFonts w:ascii="Palatino Linotype" w:eastAsia="MS Gothic" w:hAnsi="Palatino Linotype"/>
          <w:sz w:val="24"/>
        </w:rPr>
        <w:t>y la declaración de incompetencia.</w:t>
      </w:r>
      <w:bookmarkStart w:id="10" w:name="_Toc452722829"/>
      <w:bookmarkStart w:id="11" w:name="_Toc454373811"/>
      <w:bookmarkStart w:id="12" w:name="_Toc476675991"/>
    </w:p>
    <w:p w14:paraId="466FB924" w14:textId="77777777" w:rsidR="004C687A" w:rsidRPr="005E0100" w:rsidRDefault="004C687A" w:rsidP="005E0100">
      <w:pPr>
        <w:pStyle w:val="Prrafodelista"/>
        <w:spacing w:line="360" w:lineRule="auto"/>
        <w:rPr>
          <w:rFonts w:ascii="Palatino Linotype" w:eastAsia="MS Gothic" w:hAnsi="Palatino Linotype"/>
          <w:sz w:val="24"/>
        </w:rPr>
      </w:pPr>
    </w:p>
    <w:p w14:paraId="471E8048" w14:textId="77777777" w:rsidR="004C687A" w:rsidRPr="005E0100" w:rsidRDefault="004C687A" w:rsidP="005E0100">
      <w:pPr>
        <w:keepNext/>
        <w:keepLines/>
        <w:spacing w:line="360" w:lineRule="auto"/>
        <w:outlineLvl w:val="0"/>
        <w:rPr>
          <w:rFonts w:ascii="Palatino Linotype" w:eastAsiaTheme="majorEastAsia" w:hAnsi="Palatino Linotype" w:cstheme="majorBidi"/>
          <w:b/>
          <w:szCs w:val="32"/>
        </w:rPr>
      </w:pPr>
      <w:bookmarkStart w:id="13" w:name="_Toc92984372"/>
      <w:r w:rsidRPr="005E0100">
        <w:rPr>
          <w:rFonts w:ascii="Palatino Linotype" w:eastAsiaTheme="majorEastAsia" w:hAnsi="Palatino Linotype" w:cstheme="majorBidi"/>
          <w:b/>
          <w:szCs w:val="32"/>
        </w:rPr>
        <w:lastRenderedPageBreak/>
        <w:t>CUARTO. Del estudio y resolución del asunto.</w:t>
      </w:r>
      <w:bookmarkEnd w:id="13"/>
    </w:p>
    <w:p w14:paraId="782C1AB3" w14:textId="77777777" w:rsidR="004C687A" w:rsidRPr="005E0100" w:rsidRDefault="004C687A" w:rsidP="005E0100">
      <w:pPr>
        <w:keepNext/>
        <w:keepLines/>
        <w:spacing w:line="360" w:lineRule="auto"/>
        <w:outlineLvl w:val="0"/>
        <w:rPr>
          <w:rFonts w:ascii="Palatino Linotype" w:eastAsiaTheme="majorEastAsia" w:hAnsi="Palatino Linotype" w:cstheme="majorBidi"/>
          <w:b/>
          <w:szCs w:val="32"/>
        </w:rPr>
      </w:pPr>
    </w:p>
    <w:p w14:paraId="4F094F58" w14:textId="77777777" w:rsidR="004C687A" w:rsidRPr="005E0100" w:rsidRDefault="004C687A" w:rsidP="005E0100">
      <w:pPr>
        <w:pStyle w:val="Ttulo1"/>
        <w:spacing w:before="0" w:line="360" w:lineRule="auto"/>
        <w:rPr>
          <w:rFonts w:ascii="Palatino Linotype" w:eastAsia="MS Gothic" w:hAnsi="Palatino Linotype"/>
          <w:b/>
          <w:color w:val="auto"/>
          <w:sz w:val="24"/>
          <w:lang w:val="es-ES_tradnl" w:eastAsia="es-ES"/>
        </w:rPr>
      </w:pPr>
      <w:bookmarkStart w:id="14" w:name="_Toc498528948"/>
      <w:bookmarkStart w:id="15" w:name="_Toc71234379"/>
      <w:bookmarkStart w:id="16" w:name="_Toc71239557"/>
      <w:bookmarkStart w:id="17" w:name="_Toc80812776"/>
      <w:bookmarkStart w:id="18" w:name="_Toc83301639"/>
      <w:bookmarkStart w:id="19" w:name="_Toc85650832"/>
      <w:bookmarkStart w:id="20" w:name="_Toc92984373"/>
      <w:r w:rsidRPr="005E0100">
        <w:rPr>
          <w:rFonts w:ascii="Palatino Linotype" w:eastAsia="MS Gothic" w:hAnsi="Palatino Linotype"/>
          <w:b/>
          <w:color w:val="auto"/>
          <w:sz w:val="24"/>
          <w:lang w:val="es-ES_tradnl" w:eastAsia="es-ES"/>
        </w:rPr>
        <w:t>I. De</w:t>
      </w:r>
      <w:bookmarkEnd w:id="14"/>
      <w:r w:rsidRPr="005E0100">
        <w:rPr>
          <w:rFonts w:ascii="Palatino Linotype" w:eastAsia="MS Gothic" w:hAnsi="Palatino Linotype"/>
          <w:b/>
          <w:color w:val="auto"/>
          <w:sz w:val="24"/>
          <w:lang w:val="es-ES_tradnl" w:eastAsia="es-ES"/>
        </w:rPr>
        <w:t>l derecho de acceso a la información.</w:t>
      </w:r>
      <w:bookmarkEnd w:id="15"/>
      <w:bookmarkEnd w:id="16"/>
      <w:bookmarkEnd w:id="17"/>
      <w:bookmarkEnd w:id="18"/>
      <w:bookmarkEnd w:id="19"/>
      <w:bookmarkEnd w:id="20"/>
    </w:p>
    <w:p w14:paraId="3335C8CC" w14:textId="77777777" w:rsidR="004C687A" w:rsidRPr="005E0100" w:rsidRDefault="004C687A" w:rsidP="005E0100">
      <w:pPr>
        <w:pStyle w:val="Prrafodelista"/>
        <w:spacing w:line="360" w:lineRule="auto"/>
        <w:rPr>
          <w:rFonts w:ascii="Palatino Linotype" w:eastAsiaTheme="minorEastAsia" w:hAnsi="Palatino Linotype"/>
          <w:sz w:val="24"/>
          <w:lang w:val="es-ES_tradnl" w:eastAsia="es-ES"/>
        </w:rPr>
      </w:pPr>
    </w:p>
    <w:p w14:paraId="31650E2E" w14:textId="77777777" w:rsidR="00CD293D" w:rsidRPr="005E0100" w:rsidRDefault="00CD293D" w:rsidP="005E0100">
      <w:pPr>
        <w:pStyle w:val="Prrafodelista"/>
        <w:numPr>
          <w:ilvl w:val="0"/>
          <w:numId w:val="1"/>
        </w:numPr>
        <w:spacing w:line="360" w:lineRule="auto"/>
        <w:ind w:left="0" w:firstLine="0"/>
        <w:jc w:val="both"/>
        <w:rPr>
          <w:rFonts w:ascii="Palatino Linotype" w:eastAsia="MS Gothic" w:hAnsi="Palatino Linotype"/>
          <w:sz w:val="24"/>
        </w:rPr>
      </w:pPr>
      <w:r w:rsidRPr="005E0100">
        <w:rPr>
          <w:rFonts w:ascii="Palatino Linotype" w:eastAsiaTheme="minorEastAsia" w:hAnsi="Palatino Linotype"/>
          <w:sz w:val="24"/>
          <w:lang w:val="es-ES_tradnl" w:eastAsia="es-ES"/>
        </w:rPr>
        <w:t>E</w:t>
      </w:r>
      <w:r w:rsidRPr="005E0100">
        <w:rPr>
          <w:rFonts w:ascii="Palatino Linotype" w:hAnsi="Palatino Linotype" w:cs="Arial"/>
          <w:color w:val="000000"/>
          <w:sz w:val="24"/>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5E0100">
        <w:rPr>
          <w:rFonts w:ascii="Palatino Linotype" w:hAnsi="Palatino Linotype" w:cs="Arial"/>
          <w:color w:val="000000"/>
          <w:sz w:val="24"/>
          <w:lang w:val="es-ES_tradnl" w:eastAsia="es-ES"/>
        </w:rPr>
        <w:t xml:space="preserve">. </w:t>
      </w:r>
    </w:p>
    <w:p w14:paraId="0CDDCCE9" w14:textId="77777777" w:rsidR="00CD293D" w:rsidRPr="005E0100" w:rsidRDefault="00CD293D" w:rsidP="005E0100">
      <w:pPr>
        <w:spacing w:line="360" w:lineRule="auto"/>
        <w:ind w:right="49"/>
        <w:contextualSpacing/>
        <w:jc w:val="both"/>
        <w:rPr>
          <w:rFonts w:ascii="Palatino Linotype" w:eastAsiaTheme="minorEastAsia" w:hAnsi="Palatino Linotype"/>
          <w:lang w:val="es-ES_tradnl" w:eastAsia="es-ES"/>
        </w:rPr>
      </w:pPr>
    </w:p>
    <w:p w14:paraId="340AC416" w14:textId="77777777" w:rsidR="00CD293D" w:rsidRPr="005E0100" w:rsidRDefault="00CD293D" w:rsidP="005E010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E0100">
        <w:rPr>
          <w:rFonts w:ascii="Palatino Linotype" w:hAnsi="Palatino Linotype"/>
          <w:lang w:val="es-ES_tradnl" w:eastAsia="es-ES"/>
        </w:rPr>
        <w:t xml:space="preserve">Definiendo el Derecho de Acceso a la Información Pública como: </w:t>
      </w:r>
      <w:r w:rsidRPr="005E0100">
        <w:rPr>
          <w:rFonts w:ascii="Palatino Linotype" w:eastAsiaTheme="minorEastAsia" w:hAnsi="Palatino Linotype"/>
          <w:i/>
          <w:color w:val="000000"/>
          <w:lang w:val="es-ES_tradnl" w:eastAsia="es-ES"/>
        </w:rPr>
        <w:t>La igualdad de oportunidades para recibir, buscar e impartir información</w:t>
      </w:r>
      <w:r w:rsidRPr="005E0100">
        <w:rPr>
          <w:rFonts w:ascii="Palatino Linotype" w:eastAsiaTheme="minorEastAsia" w:hAnsi="Palatino Linotype"/>
          <w:i/>
          <w:vertAlign w:val="superscript"/>
          <w:lang w:val="es-ES_tradnl" w:eastAsia="es-ES"/>
        </w:rPr>
        <w:footnoteReference w:id="1"/>
      </w:r>
      <w:r w:rsidRPr="005E0100">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E0100">
        <w:rPr>
          <w:rFonts w:ascii="Palatino Linotype" w:eastAsiaTheme="minorEastAsia" w:hAnsi="Palatino Linotype"/>
          <w:i/>
          <w:vertAlign w:val="superscript"/>
          <w:lang w:val="es-ES_tradnl" w:eastAsia="es-ES"/>
        </w:rPr>
        <w:footnoteReference w:id="2"/>
      </w:r>
      <w:r w:rsidRPr="005E0100">
        <w:rPr>
          <w:rFonts w:ascii="Palatino Linotype" w:eastAsiaTheme="minorEastAsia" w:hAnsi="Palatino Linotype"/>
          <w:color w:val="000000"/>
          <w:lang w:val="es-ES_tradnl" w:eastAsia="es-ES"/>
        </w:rPr>
        <w:t>que se constituye como una herramienta fundamental para ejercer</w:t>
      </w:r>
      <w:r w:rsidRPr="005E0100">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5E0100">
        <w:rPr>
          <w:rFonts w:ascii="Palatino Linotype" w:eastAsiaTheme="minorEastAsia" w:hAnsi="Palatino Linotype"/>
          <w:i/>
          <w:vertAlign w:val="superscript"/>
          <w:lang w:val="es-ES_tradnl" w:eastAsia="es-ES"/>
        </w:rPr>
        <w:footnoteReference w:id="3"/>
      </w:r>
      <w:r w:rsidRPr="005E0100">
        <w:rPr>
          <w:rFonts w:ascii="Palatino Linotype" w:eastAsiaTheme="minorEastAsia" w:hAnsi="Palatino Linotype"/>
          <w:color w:val="000000"/>
          <w:lang w:val="es-ES_tradnl" w:eastAsia="es-ES"/>
        </w:rPr>
        <w:t>fomentando</w:t>
      </w:r>
      <w:r w:rsidRPr="005E0100">
        <w:rPr>
          <w:rFonts w:ascii="Palatino Linotype" w:eastAsiaTheme="minorEastAsia" w:hAnsi="Palatino Linotype"/>
          <w:i/>
          <w:color w:val="000000"/>
          <w:lang w:val="es-ES_tradnl" w:eastAsia="es-ES"/>
        </w:rPr>
        <w:t xml:space="preserve"> la transparencia de las actividades estatales y </w:t>
      </w:r>
      <w:r w:rsidRPr="005E0100">
        <w:rPr>
          <w:rFonts w:ascii="Palatino Linotype" w:eastAsiaTheme="minorEastAsia" w:hAnsi="Palatino Linotype"/>
          <w:color w:val="000000"/>
          <w:lang w:val="es-ES_tradnl" w:eastAsia="es-ES"/>
        </w:rPr>
        <w:t>promoviendo</w:t>
      </w:r>
      <w:r w:rsidRPr="005E0100">
        <w:rPr>
          <w:rFonts w:ascii="Palatino Linotype" w:eastAsiaTheme="minorEastAsia" w:hAnsi="Palatino Linotype"/>
          <w:i/>
          <w:color w:val="000000"/>
          <w:lang w:val="es-ES_tradnl" w:eastAsia="es-ES"/>
        </w:rPr>
        <w:t xml:space="preserve"> la responsabilidad de los funcionarios sobre su gestión pública,</w:t>
      </w:r>
      <w:r w:rsidRPr="005E0100">
        <w:rPr>
          <w:rFonts w:ascii="Palatino Linotype" w:eastAsiaTheme="minorEastAsia" w:hAnsi="Palatino Linotype"/>
          <w:i/>
          <w:vertAlign w:val="superscript"/>
          <w:lang w:val="es-ES_tradnl" w:eastAsia="es-ES"/>
        </w:rPr>
        <w:footnoteReference w:id="4"/>
      </w:r>
      <w:r w:rsidRPr="005E0100">
        <w:rPr>
          <w:rFonts w:ascii="Palatino Linotype" w:eastAsiaTheme="minorEastAsia" w:hAnsi="Palatino Linotype"/>
          <w:color w:val="000000"/>
          <w:lang w:val="es-ES_tradnl" w:eastAsia="es-ES"/>
        </w:rPr>
        <w:t>que permite</w:t>
      </w:r>
      <w:r w:rsidRPr="005E0100">
        <w:rPr>
          <w:rFonts w:ascii="Palatino Linotype" w:eastAsiaTheme="minorEastAsia" w:hAnsi="Palatino Linotype"/>
          <w:i/>
          <w:color w:val="000000"/>
          <w:lang w:val="es-ES_tradnl" w:eastAsia="es-ES"/>
        </w:rPr>
        <w:t xml:space="preserve"> saber qué están </w:t>
      </w:r>
      <w:r w:rsidRPr="005E0100">
        <w:rPr>
          <w:rFonts w:ascii="Palatino Linotype" w:eastAsiaTheme="minorEastAsia" w:hAnsi="Palatino Linotype"/>
          <w:i/>
          <w:color w:val="000000"/>
          <w:lang w:val="es-ES_tradnl" w:eastAsia="es-ES"/>
        </w:rPr>
        <w:lastRenderedPageBreak/>
        <w:t>haciendo los gobiernos por sus pueblos, sin lo cual la verdad languidecería y la participación en el gobierno permanecería fragmentada.</w:t>
      </w:r>
    </w:p>
    <w:p w14:paraId="1C1157BC" w14:textId="77777777" w:rsidR="00CD293D" w:rsidRPr="005E0100" w:rsidRDefault="00CD293D" w:rsidP="005E0100">
      <w:pPr>
        <w:spacing w:line="360" w:lineRule="auto"/>
        <w:ind w:right="49"/>
        <w:contextualSpacing/>
        <w:jc w:val="both"/>
        <w:rPr>
          <w:rFonts w:ascii="Palatino Linotype" w:eastAsiaTheme="minorEastAsia" w:hAnsi="Palatino Linotype"/>
          <w:lang w:val="es-ES_tradnl" w:eastAsia="es-ES"/>
        </w:rPr>
      </w:pPr>
    </w:p>
    <w:p w14:paraId="605F95AC" w14:textId="77777777" w:rsidR="00CD293D" w:rsidRPr="005E0100" w:rsidRDefault="00CD293D" w:rsidP="005E010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E0100">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4DFDC12C" w14:textId="77777777" w:rsidR="00CD293D" w:rsidRPr="005E0100" w:rsidRDefault="00CD293D" w:rsidP="005E0100">
      <w:pPr>
        <w:spacing w:line="360" w:lineRule="auto"/>
        <w:ind w:right="49"/>
        <w:contextualSpacing/>
        <w:jc w:val="both"/>
        <w:rPr>
          <w:rFonts w:ascii="Palatino Linotype" w:hAnsi="Palatino Linotype"/>
          <w:lang w:val="es-ES_tradnl" w:eastAsia="es-ES"/>
        </w:rPr>
      </w:pPr>
    </w:p>
    <w:p w14:paraId="1AE89F16" w14:textId="77777777" w:rsidR="00CD293D" w:rsidRPr="005E0100" w:rsidRDefault="00CD293D" w:rsidP="005E0100">
      <w:pPr>
        <w:spacing w:line="360" w:lineRule="auto"/>
        <w:ind w:left="567" w:right="567"/>
        <w:contextualSpacing/>
        <w:jc w:val="both"/>
        <w:rPr>
          <w:rFonts w:ascii="Palatino Linotype" w:hAnsi="Palatino Linotype"/>
          <w:i/>
          <w:sz w:val="22"/>
          <w:lang w:val="es-ES_tradnl" w:eastAsia="es-ES"/>
        </w:rPr>
      </w:pPr>
      <w:r w:rsidRPr="005E0100">
        <w:rPr>
          <w:rFonts w:ascii="Palatino Linotype" w:hAnsi="Palatino Linotype"/>
          <w:i/>
          <w:sz w:val="22"/>
          <w:lang w:val="es-ES_tradnl" w:eastAsia="es-ES"/>
        </w:rPr>
        <w:t>“</w:t>
      </w:r>
      <w:r w:rsidRPr="005E0100">
        <w:rPr>
          <w:rFonts w:ascii="Palatino Linotype" w:hAnsi="Palatino Linotype"/>
          <w:b/>
          <w:i/>
          <w:sz w:val="22"/>
          <w:lang w:val="es-ES_tradnl" w:eastAsia="es-ES"/>
        </w:rPr>
        <w:t>Artículo 1.-</w:t>
      </w:r>
      <w:r w:rsidRPr="005E0100">
        <w:rPr>
          <w:rFonts w:ascii="Palatino Linotype" w:hAnsi="Palatino Linotype"/>
          <w:i/>
          <w:sz w:val="22"/>
          <w:lang w:val="es-ES_tradnl" w:eastAsia="es-ES"/>
        </w:rPr>
        <w:t xml:space="preserve"> </w:t>
      </w:r>
    </w:p>
    <w:p w14:paraId="692BCA42" w14:textId="77777777" w:rsidR="00CD293D" w:rsidRPr="005E0100" w:rsidRDefault="00CD293D" w:rsidP="005E0100">
      <w:pPr>
        <w:spacing w:line="360" w:lineRule="auto"/>
        <w:ind w:left="567" w:right="567"/>
        <w:contextualSpacing/>
        <w:jc w:val="both"/>
        <w:rPr>
          <w:rFonts w:ascii="Palatino Linotype" w:hAnsi="Palatino Linotype"/>
          <w:i/>
          <w:sz w:val="22"/>
          <w:lang w:val="es-ES_tradnl" w:eastAsia="es-ES"/>
        </w:rPr>
      </w:pPr>
      <w:r w:rsidRPr="005E0100">
        <w:rPr>
          <w:rFonts w:ascii="Palatino Linotype" w:hAnsi="Palatino Linotype"/>
          <w:i/>
          <w:sz w:val="22"/>
          <w:lang w:val="es-ES_tradnl" w:eastAsia="es-ES"/>
        </w:rPr>
        <w:t>(…)</w:t>
      </w:r>
    </w:p>
    <w:p w14:paraId="4FFB39D1" w14:textId="77777777" w:rsidR="00CD293D" w:rsidRPr="005E0100" w:rsidRDefault="00CD293D" w:rsidP="005E0100">
      <w:pPr>
        <w:spacing w:line="360" w:lineRule="auto"/>
        <w:ind w:left="567" w:right="567"/>
        <w:contextualSpacing/>
        <w:jc w:val="both"/>
        <w:rPr>
          <w:rFonts w:ascii="Palatino Linotype" w:hAnsi="Palatino Linotype"/>
          <w:i/>
          <w:sz w:val="22"/>
        </w:rPr>
      </w:pPr>
      <w:r w:rsidRPr="005E0100">
        <w:rPr>
          <w:rFonts w:ascii="Palatino Linotype" w:hAnsi="Palatino Linotype"/>
          <w:i/>
          <w:sz w:val="22"/>
          <w:lang w:val="es-ES_tradnl" w:eastAsia="es-ES"/>
        </w:rPr>
        <w:t>Todas las</w:t>
      </w:r>
      <w:r w:rsidRPr="005E0100">
        <w:rPr>
          <w:rFonts w:ascii="Palatino Linotype" w:hAnsi="Palatino Linotype"/>
          <w:sz w:val="22"/>
          <w:lang w:val="es-ES_tradnl" w:eastAsia="es-ES"/>
        </w:rPr>
        <w:t xml:space="preserve"> </w:t>
      </w:r>
      <w:r w:rsidRPr="005E0100">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3E5D9B8" w14:textId="77777777" w:rsidR="00CD293D" w:rsidRPr="005E0100" w:rsidRDefault="00CD293D" w:rsidP="005E0100">
      <w:pPr>
        <w:spacing w:line="360" w:lineRule="auto"/>
        <w:ind w:left="567" w:right="567"/>
        <w:contextualSpacing/>
        <w:jc w:val="both"/>
        <w:rPr>
          <w:rFonts w:ascii="Palatino Linotype" w:hAnsi="Palatino Linotype"/>
          <w:sz w:val="22"/>
          <w:lang w:val="es-ES_tradnl" w:eastAsia="es-ES"/>
        </w:rPr>
      </w:pPr>
      <w:r w:rsidRPr="005E0100">
        <w:rPr>
          <w:rFonts w:ascii="Palatino Linotype" w:hAnsi="Palatino Linotype"/>
          <w:i/>
          <w:sz w:val="22"/>
        </w:rPr>
        <w:t>(…)</w:t>
      </w:r>
      <w:r w:rsidRPr="005E0100">
        <w:rPr>
          <w:rFonts w:ascii="Palatino Linotype" w:hAnsi="Palatino Linotype"/>
          <w:sz w:val="22"/>
          <w:lang w:val="es-ES_tradnl" w:eastAsia="es-ES"/>
        </w:rPr>
        <w:t>”.</w:t>
      </w:r>
    </w:p>
    <w:p w14:paraId="53DE5D08" w14:textId="77777777" w:rsidR="00CD293D" w:rsidRPr="005E0100" w:rsidRDefault="00CD293D" w:rsidP="005E0100">
      <w:pPr>
        <w:spacing w:line="360" w:lineRule="auto"/>
        <w:ind w:left="567" w:right="567"/>
        <w:contextualSpacing/>
        <w:jc w:val="both"/>
        <w:rPr>
          <w:rFonts w:ascii="Palatino Linotype" w:hAnsi="Palatino Linotype"/>
          <w:b/>
          <w:sz w:val="22"/>
          <w:lang w:val="es-ES_tradnl" w:eastAsia="es-ES"/>
        </w:rPr>
      </w:pPr>
      <w:r w:rsidRPr="005E0100">
        <w:rPr>
          <w:rFonts w:ascii="Palatino Linotype" w:hAnsi="Palatino Linotype"/>
          <w:b/>
          <w:i/>
          <w:sz w:val="22"/>
        </w:rPr>
        <w:t>(Énfasis Añadido)</w:t>
      </w:r>
    </w:p>
    <w:p w14:paraId="14A3D90C" w14:textId="77777777" w:rsidR="00CD293D" w:rsidRPr="005E0100" w:rsidRDefault="00CD293D" w:rsidP="005E0100">
      <w:pPr>
        <w:spacing w:line="360" w:lineRule="auto"/>
        <w:ind w:right="49"/>
        <w:contextualSpacing/>
        <w:jc w:val="both"/>
        <w:rPr>
          <w:rFonts w:ascii="Palatino Linotype" w:eastAsiaTheme="minorEastAsia" w:hAnsi="Palatino Linotype"/>
          <w:lang w:val="es-ES_tradnl" w:eastAsia="es-ES"/>
        </w:rPr>
      </w:pPr>
    </w:p>
    <w:p w14:paraId="6CCA4C5E" w14:textId="77777777" w:rsidR="00CD293D" w:rsidRPr="005E0100" w:rsidRDefault="00CD293D" w:rsidP="005E010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E0100">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27E09608" w14:textId="77777777" w:rsidR="00CD293D" w:rsidRPr="005E0100" w:rsidRDefault="00CD293D" w:rsidP="005E0100">
      <w:pPr>
        <w:spacing w:line="360" w:lineRule="auto"/>
        <w:ind w:right="49"/>
        <w:contextualSpacing/>
        <w:jc w:val="both"/>
        <w:rPr>
          <w:rFonts w:ascii="Palatino Linotype" w:eastAsiaTheme="minorEastAsia" w:hAnsi="Palatino Linotype"/>
          <w:lang w:val="es-ES_tradnl" w:eastAsia="es-ES"/>
        </w:rPr>
      </w:pPr>
    </w:p>
    <w:p w14:paraId="6DE86953" w14:textId="77777777" w:rsidR="00CD293D" w:rsidRPr="005E0100" w:rsidRDefault="00CD293D" w:rsidP="005E010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E0100">
        <w:rPr>
          <w:rFonts w:ascii="Palatino Linotype" w:eastAsiaTheme="minorEastAsia" w:hAnsi="Palatino Linotype"/>
          <w:lang w:val="es-ES_tradnl" w:eastAsia="es-ES"/>
        </w:rPr>
        <w:t xml:space="preserve">Así, conforme a la Constitución Política de las Estado Unidos Mexicanos </w:t>
      </w:r>
      <w:r w:rsidRPr="005E0100">
        <w:rPr>
          <w:rFonts w:ascii="Palatino Linotype" w:eastAsia="Calibri" w:hAnsi="Palatino Linotype"/>
          <w:lang w:val="es-ES_tradnl" w:eastAsia="es-ES"/>
        </w:rPr>
        <w:t>y la Constitución Política del Estado Libre y Soberano de México respectivamente</w:t>
      </w:r>
      <w:r w:rsidRPr="005E0100">
        <w:rPr>
          <w:rFonts w:ascii="Palatino Linotype" w:eastAsiaTheme="minorEastAsia" w:hAnsi="Palatino Linotype"/>
          <w:lang w:val="es-ES_tradnl" w:eastAsia="es-ES"/>
        </w:rPr>
        <w:t xml:space="preserve">, el cumplimiento de las garantías primarias, entendidas como obligaciones </w:t>
      </w:r>
      <w:r w:rsidRPr="005E0100">
        <w:rPr>
          <w:rFonts w:ascii="Palatino Linotype" w:eastAsiaTheme="minorEastAsia" w:hAnsi="Palatino Linotype"/>
          <w:lang w:val="es-ES_tradnl" w:eastAsia="es-ES"/>
        </w:rPr>
        <w:lastRenderedPageBreak/>
        <w:t>inmediatamente relacionadas con el Derecho de Acceso a la Información Pública, permiten que todas las autoridades, en el ámbito de sus atribuciones lo respeten, protejan y garanticen.</w:t>
      </w:r>
    </w:p>
    <w:p w14:paraId="081D8CBE" w14:textId="77777777" w:rsidR="00CD293D" w:rsidRPr="005E0100" w:rsidRDefault="00CD293D" w:rsidP="005E0100">
      <w:pPr>
        <w:spacing w:line="360" w:lineRule="auto"/>
        <w:ind w:right="49"/>
        <w:contextualSpacing/>
        <w:jc w:val="both"/>
        <w:rPr>
          <w:rFonts w:ascii="Palatino Linotype" w:eastAsiaTheme="minorEastAsia" w:hAnsi="Palatino Linotype"/>
          <w:lang w:val="es-ES_tradnl" w:eastAsia="es-ES"/>
        </w:rPr>
      </w:pPr>
    </w:p>
    <w:p w14:paraId="70AD049A" w14:textId="77777777" w:rsidR="00CD293D" w:rsidRPr="005E0100" w:rsidRDefault="00CD293D" w:rsidP="005E0100">
      <w:pPr>
        <w:spacing w:line="360" w:lineRule="auto"/>
        <w:ind w:left="567" w:right="567"/>
        <w:jc w:val="center"/>
        <w:rPr>
          <w:rFonts w:ascii="Palatino Linotype" w:eastAsiaTheme="minorEastAsia" w:hAnsi="Palatino Linotype" w:cs="Arial"/>
          <w:b/>
          <w:bCs/>
          <w:i/>
          <w:sz w:val="22"/>
          <w:lang w:val="es-ES_tradnl" w:eastAsia="es-ES"/>
        </w:rPr>
      </w:pPr>
      <w:r w:rsidRPr="005E0100">
        <w:rPr>
          <w:rFonts w:ascii="Palatino Linotype" w:eastAsiaTheme="minorEastAsia" w:hAnsi="Palatino Linotype" w:cs="Arial"/>
          <w:b/>
          <w:bCs/>
          <w:i/>
          <w:sz w:val="22"/>
          <w:lang w:val="es-ES_tradnl" w:eastAsia="es-ES"/>
        </w:rPr>
        <w:t>Constitución Política de los Estados Unidos Mexicanos</w:t>
      </w:r>
    </w:p>
    <w:p w14:paraId="38966EE6" w14:textId="77777777" w:rsidR="00CD293D" w:rsidRPr="005E0100" w:rsidRDefault="00CD293D" w:rsidP="005E0100">
      <w:pPr>
        <w:spacing w:line="360" w:lineRule="auto"/>
        <w:ind w:left="567" w:right="567"/>
        <w:jc w:val="both"/>
        <w:rPr>
          <w:rFonts w:ascii="Palatino Linotype" w:eastAsiaTheme="minorEastAsia" w:hAnsi="Palatino Linotype" w:cs="Arial"/>
          <w:b/>
          <w:bCs/>
          <w:i/>
          <w:sz w:val="22"/>
          <w:lang w:val="es-ES_tradnl" w:eastAsia="es-ES"/>
        </w:rPr>
      </w:pPr>
      <w:r w:rsidRPr="005E0100">
        <w:rPr>
          <w:rFonts w:ascii="Palatino Linotype" w:eastAsiaTheme="minorEastAsia" w:hAnsi="Palatino Linotype" w:cs="Arial"/>
          <w:b/>
          <w:bCs/>
          <w:i/>
          <w:sz w:val="22"/>
          <w:lang w:val="es-ES_tradnl" w:eastAsia="es-ES"/>
        </w:rPr>
        <w:t>“Artículo 6.</w:t>
      </w:r>
      <w:r w:rsidRPr="005E0100">
        <w:rPr>
          <w:rFonts w:ascii="Palatino Linotype" w:eastAsiaTheme="minorEastAsia" w:hAnsi="Palatino Linotype" w:cs="Arial"/>
          <w:bCs/>
          <w:i/>
          <w:sz w:val="22"/>
          <w:lang w:val="es-ES_tradnl" w:eastAsia="es-ES"/>
        </w:rPr>
        <w:t xml:space="preserve"> …</w:t>
      </w:r>
    </w:p>
    <w:p w14:paraId="7E293735" w14:textId="77777777" w:rsidR="00CD293D" w:rsidRPr="005E0100" w:rsidRDefault="00CD293D" w:rsidP="005E0100">
      <w:pPr>
        <w:spacing w:line="360" w:lineRule="auto"/>
        <w:ind w:left="567" w:right="567"/>
        <w:jc w:val="both"/>
        <w:rPr>
          <w:rFonts w:ascii="Palatino Linotype" w:eastAsiaTheme="minorEastAsia" w:hAnsi="Palatino Linotype" w:cs="Arial"/>
          <w:bCs/>
          <w:i/>
          <w:sz w:val="22"/>
          <w:lang w:val="es-ES_tradnl" w:eastAsia="es-ES"/>
        </w:rPr>
      </w:pPr>
      <w:r w:rsidRPr="005E0100">
        <w:rPr>
          <w:rFonts w:ascii="Palatino Linotype" w:eastAsiaTheme="minorEastAsia" w:hAnsi="Palatino Linotype" w:cs="Arial"/>
          <w:bCs/>
          <w:i/>
          <w:sz w:val="22"/>
          <w:lang w:val="es-ES_tradnl" w:eastAsia="es-ES"/>
        </w:rPr>
        <w:t>…</w:t>
      </w:r>
    </w:p>
    <w:p w14:paraId="0E37DB4D" w14:textId="77777777" w:rsidR="00CD293D" w:rsidRPr="005E0100" w:rsidRDefault="00CD293D" w:rsidP="005E0100">
      <w:pPr>
        <w:spacing w:line="360" w:lineRule="auto"/>
        <w:ind w:left="567" w:right="567"/>
        <w:jc w:val="both"/>
        <w:rPr>
          <w:rFonts w:ascii="Palatino Linotype" w:eastAsiaTheme="minorEastAsia" w:hAnsi="Palatino Linotype" w:cs="Arial"/>
          <w:bCs/>
          <w:i/>
          <w:sz w:val="22"/>
          <w:lang w:val="es-ES_tradnl" w:eastAsia="es-ES"/>
        </w:rPr>
      </w:pPr>
      <w:r w:rsidRPr="005E0100">
        <w:rPr>
          <w:rFonts w:ascii="Palatino Linotype" w:eastAsiaTheme="minorEastAsia" w:hAnsi="Palatino Linotype" w:cs="Arial"/>
          <w:bCs/>
          <w:i/>
          <w:sz w:val="22"/>
          <w:lang w:val="es-ES_tradnl" w:eastAsia="es-ES"/>
        </w:rPr>
        <w:t>Para efectos de lo dispuesto en el presente artículo se observará lo siguiente:</w:t>
      </w:r>
    </w:p>
    <w:p w14:paraId="0FE4D3F2" w14:textId="77777777" w:rsidR="00CD293D" w:rsidRPr="005E0100" w:rsidRDefault="00CD293D" w:rsidP="005E0100">
      <w:pPr>
        <w:spacing w:line="360" w:lineRule="auto"/>
        <w:ind w:left="567" w:right="567"/>
        <w:jc w:val="both"/>
        <w:rPr>
          <w:rFonts w:ascii="Palatino Linotype" w:eastAsiaTheme="minorEastAsia" w:hAnsi="Palatino Linotype" w:cs="Arial"/>
          <w:b/>
          <w:bCs/>
          <w:i/>
          <w:sz w:val="22"/>
          <w:lang w:val="es-ES_tradnl" w:eastAsia="es-ES"/>
        </w:rPr>
      </w:pPr>
      <w:r w:rsidRPr="005E0100">
        <w:rPr>
          <w:rFonts w:ascii="Palatino Linotype" w:eastAsiaTheme="minorEastAsia" w:hAnsi="Palatino Linotype" w:cs="Arial"/>
          <w:b/>
          <w:bCs/>
          <w:i/>
          <w:sz w:val="22"/>
          <w:lang w:val="es-ES_tradnl" w:eastAsia="es-ES"/>
        </w:rPr>
        <w:t>A</w:t>
      </w:r>
      <w:r w:rsidRPr="005E0100">
        <w:rPr>
          <w:rFonts w:ascii="Palatino Linotype" w:eastAsiaTheme="minorEastAsia" w:hAnsi="Palatino Linotype" w:cs="Arial"/>
          <w:bCs/>
          <w:i/>
          <w:sz w:val="22"/>
          <w:lang w:val="es-ES_tradnl" w:eastAsia="es-ES"/>
        </w:rPr>
        <w:t xml:space="preserve">. </w:t>
      </w:r>
      <w:r w:rsidRPr="005E0100">
        <w:rPr>
          <w:rFonts w:ascii="Palatino Linotype" w:eastAsiaTheme="minorEastAsia" w:hAnsi="Palatino Linotype" w:cs="Arial"/>
          <w:b/>
          <w:bCs/>
          <w:i/>
          <w:sz w:val="22"/>
          <w:lang w:val="es-ES_tradnl" w:eastAsia="es-ES"/>
        </w:rPr>
        <w:t>Para el ejercicio del derecho de acceso a la información</w:t>
      </w:r>
      <w:r w:rsidRPr="005E0100">
        <w:rPr>
          <w:rFonts w:ascii="Palatino Linotype" w:eastAsiaTheme="minorEastAsia" w:hAnsi="Palatino Linotype" w:cs="Arial"/>
          <w:bCs/>
          <w:i/>
          <w:sz w:val="22"/>
          <w:lang w:val="es-ES_tradnl" w:eastAsia="es-ES"/>
        </w:rPr>
        <w:t xml:space="preserve">, la Federación y </w:t>
      </w:r>
      <w:r w:rsidRPr="005E0100">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58A39C84" w14:textId="77777777" w:rsidR="00CD293D" w:rsidRPr="005E0100" w:rsidRDefault="00CD293D" w:rsidP="005E0100">
      <w:pPr>
        <w:spacing w:line="360" w:lineRule="auto"/>
        <w:ind w:left="567" w:right="567"/>
        <w:jc w:val="both"/>
        <w:rPr>
          <w:rFonts w:ascii="Palatino Linotype" w:eastAsiaTheme="minorEastAsia" w:hAnsi="Palatino Linotype" w:cs="Arial"/>
          <w:b/>
          <w:bCs/>
          <w:i/>
          <w:sz w:val="22"/>
          <w:lang w:val="es-ES_tradnl" w:eastAsia="es-ES"/>
        </w:rPr>
      </w:pPr>
    </w:p>
    <w:p w14:paraId="17B8573C" w14:textId="77777777" w:rsidR="00CD293D" w:rsidRPr="005E0100" w:rsidRDefault="00CD293D" w:rsidP="005E0100">
      <w:pPr>
        <w:spacing w:line="360" w:lineRule="auto"/>
        <w:ind w:left="567" w:right="567"/>
        <w:jc w:val="both"/>
        <w:rPr>
          <w:rFonts w:ascii="Palatino Linotype" w:eastAsiaTheme="minorEastAsia" w:hAnsi="Palatino Linotype" w:cs="Arial"/>
          <w:bCs/>
          <w:i/>
          <w:sz w:val="22"/>
          <w:lang w:val="es-ES_tradnl" w:eastAsia="es-ES"/>
        </w:rPr>
      </w:pPr>
      <w:r w:rsidRPr="005E0100">
        <w:rPr>
          <w:rFonts w:ascii="Palatino Linotype" w:eastAsiaTheme="minorEastAsia" w:hAnsi="Palatino Linotype" w:cs="Arial"/>
          <w:b/>
          <w:bCs/>
          <w:i/>
          <w:sz w:val="22"/>
          <w:lang w:val="es-ES_tradnl" w:eastAsia="es-ES"/>
        </w:rPr>
        <w:t xml:space="preserve">I. </w:t>
      </w:r>
      <w:r w:rsidRPr="005E0100">
        <w:rPr>
          <w:rFonts w:ascii="Palatino Linotype" w:eastAsiaTheme="minorEastAsia" w:hAnsi="Palatino Linotype" w:cs="Arial"/>
          <w:b/>
          <w:bCs/>
          <w:i/>
          <w:sz w:val="22"/>
          <w:lang w:val="es-ES_tradnl" w:eastAsia="es-ES"/>
        </w:rPr>
        <w:tab/>
        <w:t>Toda la información en posesión de cualquier</w:t>
      </w:r>
      <w:r w:rsidRPr="005E0100">
        <w:rPr>
          <w:rFonts w:ascii="Palatino Linotype" w:eastAsiaTheme="minorEastAsia" w:hAnsi="Palatino Linotype" w:cs="Arial"/>
          <w:bCs/>
          <w:i/>
          <w:sz w:val="22"/>
          <w:lang w:val="es-ES_tradnl" w:eastAsia="es-ES"/>
        </w:rPr>
        <w:t xml:space="preserve"> </w:t>
      </w:r>
      <w:r w:rsidRPr="005E0100">
        <w:rPr>
          <w:rFonts w:ascii="Palatino Linotype" w:eastAsiaTheme="minorEastAsia" w:hAnsi="Palatino Linotype" w:cs="Arial"/>
          <w:b/>
          <w:bCs/>
          <w:i/>
          <w:sz w:val="22"/>
          <w:lang w:val="es-ES_tradnl" w:eastAsia="es-ES"/>
        </w:rPr>
        <w:t>autoridad</w:t>
      </w:r>
      <w:r w:rsidRPr="005E0100">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E0100">
        <w:rPr>
          <w:rFonts w:ascii="Palatino Linotype" w:eastAsiaTheme="minorEastAsia" w:hAnsi="Palatino Linotype" w:cs="Arial"/>
          <w:b/>
          <w:bCs/>
          <w:i/>
          <w:sz w:val="22"/>
          <w:lang w:val="es-ES_tradnl" w:eastAsia="es-ES"/>
        </w:rPr>
        <w:t>municipal</w:t>
      </w:r>
      <w:r w:rsidRPr="005E0100">
        <w:rPr>
          <w:rFonts w:ascii="Palatino Linotype" w:eastAsiaTheme="minorEastAsia" w:hAnsi="Palatino Linotype" w:cs="Arial"/>
          <w:bCs/>
          <w:i/>
          <w:sz w:val="22"/>
          <w:lang w:val="es-ES_tradnl" w:eastAsia="es-ES"/>
        </w:rPr>
        <w:t xml:space="preserve">, </w:t>
      </w:r>
      <w:r w:rsidRPr="005E0100">
        <w:rPr>
          <w:rFonts w:ascii="Palatino Linotype" w:eastAsiaTheme="minorEastAsia" w:hAnsi="Palatino Linotype" w:cs="Arial"/>
          <w:b/>
          <w:bCs/>
          <w:i/>
          <w:sz w:val="22"/>
          <w:lang w:val="es-ES_tradnl" w:eastAsia="es-ES"/>
        </w:rPr>
        <w:t>es pública</w:t>
      </w:r>
      <w:r w:rsidRPr="005E0100">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5E0100">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5E0100">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15F76620" w14:textId="77777777" w:rsidR="00CD293D" w:rsidRPr="005E0100" w:rsidRDefault="00CD293D" w:rsidP="005E0100">
      <w:pPr>
        <w:pStyle w:val="Prrafodelista"/>
        <w:tabs>
          <w:tab w:val="left" w:pos="567"/>
        </w:tabs>
        <w:spacing w:line="360" w:lineRule="auto"/>
        <w:ind w:left="567" w:right="567"/>
        <w:jc w:val="both"/>
        <w:rPr>
          <w:rFonts w:ascii="Palatino Linotype" w:hAnsi="Palatino Linotype" w:cs="Arial"/>
          <w:b/>
          <w:bCs/>
          <w:i/>
        </w:rPr>
      </w:pPr>
      <w:r w:rsidRPr="005E0100">
        <w:rPr>
          <w:rFonts w:ascii="Palatino Linotype" w:hAnsi="Palatino Linotype" w:cs="Arial"/>
          <w:b/>
          <w:bCs/>
          <w:i/>
        </w:rPr>
        <w:t>(Énfasis añadido)</w:t>
      </w:r>
    </w:p>
    <w:p w14:paraId="4F159E7C" w14:textId="77777777" w:rsidR="00CD293D" w:rsidRPr="005E0100" w:rsidRDefault="00CD293D" w:rsidP="005E0100">
      <w:pPr>
        <w:pStyle w:val="Prrafodelista"/>
        <w:tabs>
          <w:tab w:val="left" w:pos="567"/>
        </w:tabs>
        <w:spacing w:line="360" w:lineRule="auto"/>
        <w:ind w:left="567" w:right="567"/>
        <w:jc w:val="both"/>
        <w:rPr>
          <w:rFonts w:ascii="Palatino Linotype" w:hAnsi="Palatino Linotype" w:cs="Arial"/>
          <w:b/>
          <w:bCs/>
          <w:i/>
        </w:rPr>
      </w:pPr>
    </w:p>
    <w:p w14:paraId="0B6DD21E" w14:textId="77777777" w:rsidR="00CD293D" w:rsidRPr="005E0100" w:rsidRDefault="00CD293D" w:rsidP="005E0100">
      <w:pPr>
        <w:spacing w:line="360" w:lineRule="auto"/>
        <w:ind w:left="567" w:right="567"/>
        <w:jc w:val="center"/>
        <w:rPr>
          <w:rFonts w:ascii="Palatino Linotype" w:eastAsiaTheme="minorEastAsia" w:hAnsi="Palatino Linotype" w:cs="Arial"/>
          <w:b/>
          <w:bCs/>
          <w:i/>
          <w:sz w:val="22"/>
          <w:lang w:val="es-ES_tradnl" w:eastAsia="es-ES"/>
        </w:rPr>
      </w:pPr>
      <w:r w:rsidRPr="005E0100">
        <w:rPr>
          <w:rFonts w:ascii="Palatino Linotype" w:eastAsiaTheme="minorEastAsia" w:hAnsi="Palatino Linotype" w:cs="Arial"/>
          <w:b/>
          <w:bCs/>
          <w:i/>
          <w:sz w:val="22"/>
          <w:lang w:val="es-ES_tradnl" w:eastAsia="es-ES"/>
        </w:rPr>
        <w:t>Constitución Política del Estado Libre y Soberano de México</w:t>
      </w:r>
    </w:p>
    <w:p w14:paraId="0F227EED" w14:textId="77777777" w:rsidR="00CD293D" w:rsidRPr="005E0100" w:rsidRDefault="00CD293D" w:rsidP="005E0100">
      <w:pPr>
        <w:spacing w:line="360" w:lineRule="auto"/>
        <w:ind w:left="567" w:right="567"/>
        <w:jc w:val="both"/>
        <w:rPr>
          <w:rFonts w:ascii="Palatino Linotype" w:eastAsiaTheme="minorEastAsia" w:hAnsi="Palatino Linotype" w:cs="Arial"/>
          <w:bCs/>
          <w:i/>
          <w:sz w:val="22"/>
          <w:lang w:val="es-ES_tradnl" w:eastAsia="es-ES"/>
        </w:rPr>
      </w:pPr>
      <w:r w:rsidRPr="005E0100">
        <w:rPr>
          <w:rFonts w:ascii="Palatino Linotype" w:eastAsiaTheme="minorEastAsia" w:hAnsi="Palatino Linotype" w:cs="Arial"/>
          <w:b/>
          <w:bCs/>
          <w:i/>
          <w:sz w:val="22"/>
          <w:lang w:val="es-ES_tradnl" w:eastAsia="es-ES"/>
        </w:rPr>
        <w:t>“Artículo 5</w:t>
      </w:r>
      <w:r w:rsidRPr="005E0100">
        <w:rPr>
          <w:rFonts w:ascii="Palatino Linotype" w:eastAsiaTheme="minorEastAsia" w:hAnsi="Palatino Linotype" w:cs="Arial"/>
          <w:bCs/>
          <w:i/>
          <w:sz w:val="22"/>
          <w:lang w:val="es-ES_tradnl" w:eastAsia="es-ES"/>
        </w:rPr>
        <w:t>.- …</w:t>
      </w:r>
    </w:p>
    <w:p w14:paraId="396BFC27" w14:textId="77777777" w:rsidR="00CD293D" w:rsidRPr="005E0100" w:rsidRDefault="00CD293D" w:rsidP="005E0100">
      <w:pPr>
        <w:spacing w:line="360" w:lineRule="auto"/>
        <w:ind w:left="567" w:right="567"/>
        <w:jc w:val="both"/>
        <w:rPr>
          <w:rFonts w:ascii="Palatino Linotype" w:eastAsiaTheme="minorEastAsia" w:hAnsi="Palatino Linotype" w:cs="Arial"/>
          <w:bCs/>
          <w:i/>
          <w:sz w:val="22"/>
          <w:lang w:val="es-ES_tradnl" w:eastAsia="es-ES"/>
        </w:rPr>
      </w:pPr>
      <w:r w:rsidRPr="005E0100">
        <w:rPr>
          <w:rFonts w:ascii="Palatino Linotype" w:eastAsiaTheme="minorEastAsia" w:hAnsi="Palatino Linotype" w:cs="Arial"/>
          <w:bCs/>
          <w:i/>
          <w:sz w:val="22"/>
          <w:lang w:val="es-ES_tradnl" w:eastAsia="es-ES"/>
        </w:rPr>
        <w:lastRenderedPageBreak/>
        <w:t>…</w:t>
      </w:r>
    </w:p>
    <w:p w14:paraId="7EB52487" w14:textId="77777777" w:rsidR="00CD293D" w:rsidRPr="005E0100" w:rsidRDefault="00CD293D" w:rsidP="005E0100">
      <w:pPr>
        <w:spacing w:line="360" w:lineRule="auto"/>
        <w:ind w:left="567" w:right="567"/>
        <w:jc w:val="both"/>
        <w:rPr>
          <w:rFonts w:ascii="Palatino Linotype" w:eastAsiaTheme="minorEastAsia" w:hAnsi="Palatino Linotype" w:cs="Arial"/>
          <w:bCs/>
          <w:i/>
          <w:sz w:val="22"/>
          <w:lang w:val="es-ES_tradnl" w:eastAsia="es-ES"/>
        </w:rPr>
      </w:pPr>
      <w:r w:rsidRPr="005E0100">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5E0100">
        <w:rPr>
          <w:rFonts w:ascii="Palatino Linotype" w:eastAsiaTheme="minorEastAsia" w:hAnsi="Palatino Linotype" w:cs="Arial"/>
          <w:bCs/>
          <w:i/>
          <w:sz w:val="22"/>
          <w:lang w:val="es-ES_tradnl" w:eastAsia="es-ES"/>
        </w:rPr>
        <w:t>.</w:t>
      </w:r>
    </w:p>
    <w:p w14:paraId="06475060" w14:textId="77777777" w:rsidR="00CD293D" w:rsidRPr="005E0100" w:rsidRDefault="00CD293D" w:rsidP="005E0100">
      <w:pPr>
        <w:spacing w:line="360" w:lineRule="auto"/>
        <w:ind w:left="567" w:right="567"/>
        <w:jc w:val="both"/>
        <w:rPr>
          <w:rFonts w:ascii="Palatino Linotype" w:eastAsiaTheme="minorEastAsia" w:hAnsi="Palatino Linotype" w:cs="Arial"/>
          <w:bCs/>
          <w:i/>
          <w:sz w:val="22"/>
          <w:lang w:val="es-ES_tradnl" w:eastAsia="es-ES"/>
        </w:rPr>
      </w:pPr>
      <w:r w:rsidRPr="005E0100">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8E313C4" w14:textId="77777777" w:rsidR="00CD293D" w:rsidRPr="005E0100" w:rsidRDefault="00CD293D" w:rsidP="005E0100">
      <w:pPr>
        <w:spacing w:line="360" w:lineRule="auto"/>
        <w:ind w:left="567" w:right="567"/>
        <w:jc w:val="both"/>
        <w:rPr>
          <w:rFonts w:ascii="Palatino Linotype" w:eastAsiaTheme="minorEastAsia" w:hAnsi="Palatino Linotype" w:cs="Arial"/>
          <w:bCs/>
          <w:i/>
          <w:sz w:val="22"/>
          <w:lang w:val="es-ES_tradnl" w:eastAsia="es-ES"/>
        </w:rPr>
      </w:pPr>
      <w:r w:rsidRPr="005E0100">
        <w:rPr>
          <w:rFonts w:ascii="Palatino Linotype" w:eastAsiaTheme="minorEastAsia" w:hAnsi="Palatino Linotype" w:cs="Arial"/>
          <w:b/>
          <w:bCs/>
          <w:i/>
          <w:sz w:val="22"/>
          <w:lang w:val="es-ES_tradnl" w:eastAsia="es-ES"/>
        </w:rPr>
        <w:t>Este derecho se regirá por los principios y bases siguientes</w:t>
      </w:r>
      <w:r w:rsidRPr="005E0100">
        <w:rPr>
          <w:rFonts w:ascii="Palatino Linotype" w:eastAsiaTheme="minorEastAsia" w:hAnsi="Palatino Linotype" w:cs="Arial"/>
          <w:bCs/>
          <w:i/>
          <w:sz w:val="22"/>
          <w:lang w:val="es-ES_tradnl" w:eastAsia="es-ES"/>
        </w:rPr>
        <w:t>:</w:t>
      </w:r>
    </w:p>
    <w:p w14:paraId="3A7A3C71" w14:textId="77777777" w:rsidR="00CD293D" w:rsidRPr="005E0100" w:rsidRDefault="00CD293D" w:rsidP="005E0100">
      <w:pPr>
        <w:spacing w:line="360" w:lineRule="auto"/>
        <w:ind w:left="567" w:right="567"/>
        <w:jc w:val="both"/>
        <w:rPr>
          <w:rFonts w:ascii="Palatino Linotype" w:eastAsiaTheme="minorEastAsia" w:hAnsi="Palatino Linotype" w:cs="Arial"/>
          <w:bCs/>
          <w:i/>
          <w:sz w:val="22"/>
          <w:lang w:val="es-ES_tradnl" w:eastAsia="es-ES"/>
        </w:rPr>
      </w:pPr>
      <w:r w:rsidRPr="005E0100">
        <w:rPr>
          <w:rFonts w:ascii="Palatino Linotype" w:eastAsiaTheme="minorEastAsia" w:hAnsi="Palatino Linotype" w:cs="Arial"/>
          <w:b/>
          <w:bCs/>
          <w:i/>
          <w:sz w:val="22"/>
          <w:lang w:val="es-ES_tradnl" w:eastAsia="es-ES"/>
        </w:rPr>
        <w:t>I. Toda la información en posesión de cualquier autoridad, entidad, órgano y organismos de los</w:t>
      </w:r>
      <w:r w:rsidRPr="005E0100">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5E0100">
        <w:rPr>
          <w:rFonts w:ascii="Palatino Linotype" w:eastAsiaTheme="minorEastAsia" w:hAnsi="Palatino Linotype" w:cs="Arial"/>
          <w:b/>
          <w:bCs/>
          <w:i/>
          <w:sz w:val="22"/>
          <w:lang w:val="es-ES_tradnl" w:eastAsia="es-ES"/>
        </w:rPr>
        <w:t>municipales</w:t>
      </w:r>
      <w:r w:rsidRPr="005E0100">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E0100">
        <w:rPr>
          <w:rFonts w:ascii="Palatino Linotype" w:eastAsiaTheme="minorEastAsia" w:hAnsi="Palatino Linotype" w:cs="Arial"/>
          <w:b/>
          <w:bCs/>
          <w:i/>
          <w:sz w:val="22"/>
          <w:lang w:val="es-ES_tradnl" w:eastAsia="es-ES"/>
        </w:rPr>
        <w:t>es pública</w:t>
      </w:r>
      <w:r w:rsidRPr="005E0100">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5E0100">
        <w:rPr>
          <w:rFonts w:ascii="Palatino Linotype" w:eastAsiaTheme="minorEastAsia" w:hAnsi="Palatino Linotype" w:cs="Arial"/>
          <w:b/>
          <w:bCs/>
          <w:i/>
          <w:sz w:val="22"/>
          <w:lang w:val="es-ES_tradnl" w:eastAsia="es-ES"/>
        </w:rPr>
        <w:t>En la interpretación de este derecho deberá prevalecer el principio de máxima publicidad</w:t>
      </w:r>
      <w:r w:rsidRPr="005E0100">
        <w:rPr>
          <w:rFonts w:ascii="Palatino Linotype" w:eastAsiaTheme="minorEastAsia" w:hAnsi="Palatino Linotype" w:cs="Arial"/>
          <w:bCs/>
          <w:i/>
          <w:sz w:val="22"/>
          <w:lang w:val="es-ES_tradnl" w:eastAsia="es-ES"/>
        </w:rPr>
        <w:t xml:space="preserve">. </w:t>
      </w:r>
      <w:r w:rsidRPr="005E0100">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5E0100">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7E6D86CD" w14:textId="77777777" w:rsidR="00CD293D" w:rsidRPr="005E0100" w:rsidRDefault="00CD293D" w:rsidP="005E0100">
      <w:pPr>
        <w:pStyle w:val="Prrafodelista"/>
        <w:tabs>
          <w:tab w:val="left" w:pos="567"/>
        </w:tabs>
        <w:spacing w:line="360" w:lineRule="auto"/>
        <w:ind w:left="567" w:right="567"/>
        <w:jc w:val="both"/>
        <w:rPr>
          <w:rFonts w:ascii="Palatino Linotype" w:hAnsi="Palatino Linotype" w:cs="Arial"/>
          <w:b/>
          <w:bCs/>
          <w:i/>
        </w:rPr>
      </w:pPr>
      <w:r w:rsidRPr="005E0100">
        <w:rPr>
          <w:rFonts w:ascii="Palatino Linotype" w:hAnsi="Palatino Linotype" w:cs="Arial"/>
          <w:b/>
          <w:bCs/>
          <w:i/>
        </w:rPr>
        <w:t>(Énfasis añadido)</w:t>
      </w:r>
    </w:p>
    <w:p w14:paraId="4AD958D0" w14:textId="77777777" w:rsidR="00CD293D" w:rsidRPr="005E0100" w:rsidRDefault="00CD293D" w:rsidP="005E0100">
      <w:pPr>
        <w:spacing w:line="360" w:lineRule="auto"/>
        <w:ind w:right="49"/>
        <w:contextualSpacing/>
        <w:jc w:val="both"/>
        <w:rPr>
          <w:rFonts w:ascii="Palatino Linotype" w:eastAsiaTheme="minorEastAsia" w:hAnsi="Palatino Linotype"/>
          <w:lang w:val="es-ES_tradnl" w:eastAsia="es-ES"/>
        </w:rPr>
      </w:pPr>
    </w:p>
    <w:p w14:paraId="0F310499" w14:textId="77777777" w:rsidR="00CD293D" w:rsidRPr="005E0100" w:rsidRDefault="00CD293D" w:rsidP="005E010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E0100">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5E0100">
        <w:rPr>
          <w:rFonts w:ascii="Palatino Linotype" w:eastAsiaTheme="minorEastAsia" w:hAnsi="Palatino Linotype" w:cs="Arial"/>
          <w:i/>
          <w:lang w:val="es-ES_tradnl" w:eastAsia="es-ES"/>
        </w:rPr>
        <w:t xml:space="preserve">por los principios de simplicidad, rapidez gratuidad del procedimiento, auxilio y </w:t>
      </w:r>
      <w:r w:rsidRPr="005E0100">
        <w:rPr>
          <w:rFonts w:ascii="Palatino Linotype" w:eastAsiaTheme="minorEastAsia" w:hAnsi="Palatino Linotype" w:cs="Arial"/>
          <w:i/>
          <w:lang w:val="es-ES_tradnl" w:eastAsia="es-ES"/>
        </w:rPr>
        <w:lastRenderedPageBreak/>
        <w:t>orientación a los particulares</w:t>
      </w:r>
      <w:r w:rsidRPr="005E0100">
        <w:rPr>
          <w:rFonts w:ascii="Palatino Linotype" w:eastAsiaTheme="minorEastAsia" w:hAnsi="Palatino Linotype" w:cs="Arial"/>
          <w:lang w:val="es-ES_tradnl" w:eastAsia="es-ES"/>
        </w:rPr>
        <w:t>, contemplando el derecho de las personas con discapacidad y hablantes de lengua indígena.</w:t>
      </w:r>
    </w:p>
    <w:p w14:paraId="668A1DAC" w14:textId="77777777" w:rsidR="00CD293D" w:rsidRPr="005E0100" w:rsidRDefault="00CD293D" w:rsidP="005E0100">
      <w:pPr>
        <w:spacing w:line="360" w:lineRule="auto"/>
        <w:ind w:right="49"/>
        <w:contextualSpacing/>
        <w:jc w:val="both"/>
        <w:rPr>
          <w:rFonts w:ascii="Palatino Linotype" w:eastAsiaTheme="minorEastAsia" w:hAnsi="Palatino Linotype"/>
          <w:lang w:val="es-ES_tradnl" w:eastAsia="es-ES"/>
        </w:rPr>
      </w:pPr>
    </w:p>
    <w:p w14:paraId="5BA1433F" w14:textId="77777777" w:rsidR="00CD293D" w:rsidRPr="005E0100" w:rsidRDefault="00CD293D" w:rsidP="005E010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E0100">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5E0100">
        <w:rPr>
          <w:rFonts w:ascii="Palatino Linotype" w:eastAsiaTheme="minorEastAsia" w:hAnsi="Palatino Linotype" w:cs="Arial"/>
          <w:i/>
          <w:lang w:val="es-ES_tradnl" w:eastAsia="es-ES"/>
        </w:rPr>
        <w:t>solicitudes de acceso a la información</w:t>
      </w:r>
      <w:r w:rsidRPr="005E0100">
        <w:rPr>
          <w:rFonts w:ascii="Palatino Linotype" w:eastAsiaTheme="minorEastAsia" w:hAnsi="Palatino Linotype" w:cs="Arial"/>
          <w:lang w:val="es-ES_tradnl" w:eastAsia="es-ES"/>
        </w:rPr>
        <w:t>.</w:t>
      </w:r>
    </w:p>
    <w:p w14:paraId="549DBA14" w14:textId="77777777" w:rsidR="00CD293D" w:rsidRPr="005E0100" w:rsidRDefault="00CD293D" w:rsidP="005E0100">
      <w:pPr>
        <w:spacing w:line="360" w:lineRule="auto"/>
        <w:ind w:right="49"/>
        <w:contextualSpacing/>
        <w:jc w:val="both"/>
        <w:rPr>
          <w:rFonts w:ascii="Palatino Linotype" w:eastAsiaTheme="minorEastAsia" w:hAnsi="Palatino Linotype"/>
          <w:lang w:val="es-ES_tradnl" w:eastAsia="es-ES"/>
        </w:rPr>
      </w:pPr>
    </w:p>
    <w:p w14:paraId="41F86436" w14:textId="77777777" w:rsidR="00CD293D" w:rsidRPr="005E0100" w:rsidRDefault="00CD293D" w:rsidP="005E010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E0100">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14:paraId="71294860" w14:textId="77777777" w:rsidR="00CD293D" w:rsidRPr="005E0100" w:rsidRDefault="00CD293D" w:rsidP="005E0100">
      <w:pPr>
        <w:pStyle w:val="Prrafodelista"/>
        <w:tabs>
          <w:tab w:val="left" w:pos="426"/>
        </w:tabs>
        <w:spacing w:line="360" w:lineRule="auto"/>
        <w:ind w:left="0" w:right="49"/>
        <w:jc w:val="both"/>
        <w:rPr>
          <w:rFonts w:ascii="Palatino Linotype" w:hAnsi="Palatino Linotype"/>
          <w:sz w:val="24"/>
          <w:lang w:val="es-ES"/>
        </w:rPr>
      </w:pPr>
      <w:bookmarkStart w:id="21" w:name="_Toc80812777"/>
    </w:p>
    <w:p w14:paraId="57CA8622" w14:textId="77777777" w:rsidR="00CD293D" w:rsidRPr="005E0100" w:rsidRDefault="00CD293D" w:rsidP="005E0100">
      <w:pPr>
        <w:pStyle w:val="Ttulo1"/>
        <w:spacing w:before="0" w:line="360" w:lineRule="auto"/>
        <w:rPr>
          <w:rFonts w:ascii="Palatino Linotype" w:hAnsi="Palatino Linotype"/>
          <w:b/>
          <w:color w:val="auto"/>
          <w:sz w:val="24"/>
          <w:szCs w:val="24"/>
        </w:rPr>
      </w:pPr>
      <w:bookmarkStart w:id="22" w:name="_Toc83301641"/>
      <w:bookmarkStart w:id="23" w:name="_Toc85650833"/>
      <w:bookmarkStart w:id="24" w:name="_Toc92984374"/>
      <w:r w:rsidRPr="005E0100">
        <w:rPr>
          <w:rFonts w:ascii="Palatino Linotype" w:hAnsi="Palatino Linotype"/>
          <w:b/>
          <w:color w:val="auto"/>
          <w:sz w:val="24"/>
          <w:szCs w:val="24"/>
        </w:rPr>
        <w:t>II. De la información solicitada</w:t>
      </w:r>
      <w:bookmarkEnd w:id="21"/>
      <w:bookmarkEnd w:id="22"/>
      <w:r w:rsidRPr="005E0100">
        <w:rPr>
          <w:rFonts w:ascii="Palatino Linotype" w:hAnsi="Palatino Linotype"/>
          <w:b/>
          <w:color w:val="auto"/>
          <w:sz w:val="24"/>
          <w:szCs w:val="24"/>
        </w:rPr>
        <w:t xml:space="preserve"> y la respuesta del Sujeto Obligado</w:t>
      </w:r>
      <w:bookmarkEnd w:id="23"/>
      <w:bookmarkEnd w:id="24"/>
    </w:p>
    <w:p w14:paraId="0F88988D" w14:textId="77777777" w:rsidR="00093823" w:rsidRPr="005E0100" w:rsidRDefault="00093823" w:rsidP="005E0100">
      <w:pPr>
        <w:spacing w:line="360" w:lineRule="auto"/>
        <w:jc w:val="both"/>
        <w:rPr>
          <w:rFonts w:ascii="Palatino Linotype" w:eastAsia="MS Mincho" w:hAnsi="Palatino Linotype"/>
          <w:lang w:val="es-ES" w:eastAsia="es-ES"/>
        </w:rPr>
      </w:pPr>
    </w:p>
    <w:p w14:paraId="065116AB" w14:textId="77777777" w:rsidR="0090436C" w:rsidRPr="005E0100" w:rsidRDefault="0090436C" w:rsidP="005E0100">
      <w:pPr>
        <w:pStyle w:val="Prrafodelista"/>
        <w:numPr>
          <w:ilvl w:val="0"/>
          <w:numId w:val="1"/>
        </w:numPr>
        <w:spacing w:line="360" w:lineRule="auto"/>
        <w:ind w:left="0" w:firstLine="0"/>
        <w:jc w:val="both"/>
        <w:rPr>
          <w:rFonts w:ascii="Palatino Linotype" w:eastAsia="MS Gothic" w:hAnsi="Palatino Linotype"/>
          <w:sz w:val="24"/>
        </w:rPr>
      </w:pPr>
      <w:r w:rsidRPr="005E0100">
        <w:rPr>
          <w:rFonts w:ascii="Palatino Linotype" w:eastAsia="MS Gothic" w:hAnsi="Palatino Linotype"/>
          <w:sz w:val="24"/>
        </w:rPr>
        <w:t>El particular solicitó “</w:t>
      </w:r>
      <w:r w:rsidR="004C687A" w:rsidRPr="005E0100">
        <w:rPr>
          <w:rFonts w:ascii="Palatino Linotype" w:eastAsia="MS Gothic" w:hAnsi="Palatino Linotype"/>
          <w:sz w:val="24"/>
        </w:rPr>
        <w:t>…</w:t>
      </w:r>
      <w:r w:rsidRPr="005E0100">
        <w:rPr>
          <w:rFonts w:ascii="Palatino Linotype" w:hAnsi="Palatino Linotype"/>
          <w:i/>
          <w:color w:val="000000"/>
        </w:rPr>
        <w:t>se me informe de 2014 a 2021 cuantas capacitaciones en materia de transparencia y acceso a la información pública ha impartido la unidad de transparencia a los distintos sujetos habilitados de la procuraduría general de justicia del estado de mexico y de la fiscalía general de justicia del estado de mexico. en caso de no haber realizado capacitaciones solicito que fundada y motivadamente se me informe porque no se han proporcionado capacitaciones en ese tiempo y quienes eran los titulares de la unidad de transparencia en los años de 2014 a 2021 solicitando se acompañen sus respuestas con expresión documental que las soporte.”</w:t>
      </w:r>
    </w:p>
    <w:p w14:paraId="6FDF4F7F" w14:textId="77777777" w:rsidR="0090436C" w:rsidRPr="005E0100" w:rsidRDefault="0090436C" w:rsidP="005E0100">
      <w:pPr>
        <w:pStyle w:val="Prrafodelista"/>
        <w:spacing w:line="360" w:lineRule="auto"/>
        <w:ind w:left="0"/>
        <w:jc w:val="both"/>
        <w:rPr>
          <w:rFonts w:ascii="Palatino Linotype" w:eastAsia="MS Gothic" w:hAnsi="Palatino Linotype"/>
          <w:sz w:val="24"/>
        </w:rPr>
      </w:pPr>
    </w:p>
    <w:p w14:paraId="64F9AFE0" w14:textId="77777777" w:rsidR="00AB0B6E" w:rsidRPr="005E0100" w:rsidRDefault="000B5874" w:rsidP="005E0100">
      <w:pPr>
        <w:pStyle w:val="Prrafodelista"/>
        <w:numPr>
          <w:ilvl w:val="0"/>
          <w:numId w:val="1"/>
        </w:numPr>
        <w:spacing w:line="360" w:lineRule="auto"/>
        <w:ind w:left="0" w:firstLine="0"/>
        <w:jc w:val="both"/>
        <w:rPr>
          <w:rFonts w:ascii="Palatino Linotype" w:eastAsia="MS Gothic" w:hAnsi="Palatino Linotype"/>
          <w:sz w:val="24"/>
        </w:rPr>
      </w:pPr>
      <w:r w:rsidRPr="005E0100">
        <w:rPr>
          <w:rFonts w:ascii="Palatino Linotype" w:eastAsia="MS Gothic" w:hAnsi="Palatino Linotype"/>
          <w:sz w:val="24"/>
        </w:rPr>
        <w:lastRenderedPageBreak/>
        <w:t xml:space="preserve">Por lo que se refiere al punto de la solicitud sobre las capacitaciones, </w:t>
      </w:r>
      <w:r w:rsidR="0090436C" w:rsidRPr="005E0100">
        <w:rPr>
          <w:rFonts w:ascii="Palatino Linotype" w:eastAsia="MS Gothic" w:hAnsi="Palatino Linotype"/>
          <w:sz w:val="24"/>
        </w:rPr>
        <w:t xml:space="preserve">El </w:t>
      </w:r>
      <w:r w:rsidR="0090436C" w:rsidRPr="005E0100">
        <w:rPr>
          <w:rFonts w:ascii="Palatino Linotype" w:eastAsia="MS Gothic" w:hAnsi="Palatino Linotype"/>
          <w:b/>
          <w:sz w:val="24"/>
        </w:rPr>
        <w:t>SUJETO OBLIGADO</w:t>
      </w:r>
      <w:r w:rsidRPr="005E0100">
        <w:rPr>
          <w:rFonts w:ascii="Palatino Linotype" w:eastAsia="MS Gothic" w:hAnsi="Palatino Linotype"/>
          <w:sz w:val="24"/>
        </w:rPr>
        <w:t xml:space="preserve"> </w:t>
      </w:r>
      <w:r w:rsidR="0090436C" w:rsidRPr="005E0100">
        <w:rPr>
          <w:rFonts w:ascii="Palatino Linotype" w:eastAsia="MS Gothic" w:hAnsi="Palatino Linotype"/>
          <w:sz w:val="24"/>
        </w:rPr>
        <w:t xml:space="preserve">manifestó </w:t>
      </w:r>
      <w:r w:rsidRPr="005E0100">
        <w:rPr>
          <w:rFonts w:ascii="Palatino Linotype" w:eastAsia="MS Gothic" w:hAnsi="Palatino Linotype"/>
          <w:sz w:val="24"/>
        </w:rPr>
        <w:t xml:space="preserve">en respuesta </w:t>
      </w:r>
      <w:r w:rsidR="0090436C" w:rsidRPr="005E0100">
        <w:rPr>
          <w:rFonts w:ascii="Palatino Linotype" w:eastAsia="MS Gothic" w:hAnsi="Palatino Linotype"/>
          <w:sz w:val="24"/>
        </w:rPr>
        <w:t>incompetencia parcial</w:t>
      </w:r>
      <w:r w:rsidR="00AB0B6E" w:rsidRPr="005E0100">
        <w:rPr>
          <w:rFonts w:ascii="Palatino Linotype" w:eastAsia="MS Gothic" w:hAnsi="Palatino Linotype"/>
          <w:sz w:val="24"/>
        </w:rPr>
        <w:t>, como se advierte en el siguiente documento:</w:t>
      </w:r>
    </w:p>
    <w:p w14:paraId="59DCFE36" w14:textId="77777777" w:rsidR="00AB0B6E" w:rsidRPr="005E0100" w:rsidRDefault="00AB0B6E" w:rsidP="005E0100">
      <w:pPr>
        <w:pStyle w:val="Prrafodelista"/>
        <w:spacing w:line="360" w:lineRule="auto"/>
        <w:rPr>
          <w:rFonts w:ascii="Palatino Linotype" w:eastAsia="MS Gothic" w:hAnsi="Palatino Linotype"/>
          <w:sz w:val="24"/>
        </w:rPr>
      </w:pPr>
    </w:p>
    <w:p w14:paraId="0E1155A8" w14:textId="77777777" w:rsidR="00AB0B6E" w:rsidRPr="005E0100" w:rsidRDefault="00AB0B6E" w:rsidP="005E0100">
      <w:pPr>
        <w:pStyle w:val="Prrafodelista"/>
        <w:spacing w:line="360" w:lineRule="auto"/>
        <w:ind w:left="0"/>
        <w:jc w:val="center"/>
        <w:rPr>
          <w:rFonts w:ascii="Palatino Linotype" w:eastAsia="MS Gothic" w:hAnsi="Palatino Linotype"/>
          <w:sz w:val="24"/>
        </w:rPr>
      </w:pPr>
      <w:r w:rsidRPr="005E0100">
        <w:rPr>
          <w:rFonts w:ascii="Palatino Linotype" w:hAnsi="Palatino Linotype"/>
          <w:noProof/>
          <w:lang w:val="es-ES" w:eastAsia="es-ES"/>
        </w:rPr>
        <w:drawing>
          <wp:inline distT="0" distB="0" distL="0" distR="0" wp14:anchorId="56EAFD5C" wp14:editId="100694F5">
            <wp:extent cx="5369118" cy="211455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864" t="45723" r="23706" b="20354"/>
                    <a:stretch/>
                  </pic:blipFill>
                  <pic:spPr bwMode="auto">
                    <a:xfrm>
                      <a:off x="0" y="0"/>
                      <a:ext cx="5383751" cy="2120313"/>
                    </a:xfrm>
                    <a:prstGeom prst="rect">
                      <a:avLst/>
                    </a:prstGeom>
                    <a:ln>
                      <a:noFill/>
                    </a:ln>
                    <a:extLst>
                      <a:ext uri="{53640926-AAD7-44D8-BBD7-CCE9431645EC}">
                        <a14:shadowObscured xmlns:a14="http://schemas.microsoft.com/office/drawing/2010/main"/>
                      </a:ext>
                    </a:extLst>
                  </pic:spPr>
                </pic:pic>
              </a:graphicData>
            </a:graphic>
          </wp:inline>
        </w:drawing>
      </w:r>
    </w:p>
    <w:p w14:paraId="4A0FC10F" w14:textId="77777777" w:rsidR="00AB0B6E" w:rsidRPr="005E0100" w:rsidRDefault="00AB0B6E" w:rsidP="005E0100">
      <w:pPr>
        <w:pStyle w:val="Prrafodelista"/>
        <w:spacing w:line="360" w:lineRule="auto"/>
        <w:rPr>
          <w:rFonts w:ascii="Palatino Linotype" w:eastAsia="MS Gothic" w:hAnsi="Palatino Linotype"/>
          <w:sz w:val="24"/>
        </w:rPr>
      </w:pPr>
    </w:p>
    <w:p w14:paraId="596E2AAC" w14:textId="77777777" w:rsidR="00AB0B6E" w:rsidRPr="005E0100" w:rsidRDefault="00AB0B6E" w:rsidP="005E0100">
      <w:pPr>
        <w:pStyle w:val="Prrafodelista"/>
        <w:numPr>
          <w:ilvl w:val="0"/>
          <w:numId w:val="1"/>
        </w:numPr>
        <w:spacing w:line="360" w:lineRule="auto"/>
        <w:ind w:left="0" w:firstLine="0"/>
        <w:jc w:val="both"/>
        <w:rPr>
          <w:rFonts w:ascii="Palatino Linotype" w:eastAsia="MS Gothic" w:hAnsi="Palatino Linotype"/>
          <w:sz w:val="24"/>
        </w:rPr>
      </w:pPr>
      <w:r w:rsidRPr="005E0100">
        <w:rPr>
          <w:rFonts w:ascii="Palatino Linotype" w:eastAsia="MS Gothic" w:hAnsi="Palatino Linotype"/>
          <w:sz w:val="24"/>
        </w:rPr>
        <w:t>Asimismo, mediante informe justificado, confirmo su incompetencia sobre las capacitaciones a servidores públicos:</w:t>
      </w:r>
    </w:p>
    <w:p w14:paraId="7267FA99" w14:textId="77777777" w:rsidR="00AB0B6E" w:rsidRPr="005E0100" w:rsidRDefault="00AB0B6E" w:rsidP="005E0100">
      <w:pPr>
        <w:pStyle w:val="Prrafodelista"/>
        <w:spacing w:line="360" w:lineRule="auto"/>
        <w:ind w:left="0"/>
        <w:jc w:val="both"/>
        <w:rPr>
          <w:rFonts w:ascii="Palatino Linotype" w:eastAsia="MS Gothic" w:hAnsi="Palatino Linotype"/>
          <w:sz w:val="24"/>
        </w:rPr>
      </w:pPr>
    </w:p>
    <w:p w14:paraId="1A05B1ED" w14:textId="77777777" w:rsidR="00AB0B6E" w:rsidRPr="005E0100" w:rsidRDefault="00AB0B6E" w:rsidP="005E0100">
      <w:pPr>
        <w:pStyle w:val="Prrafodelista"/>
        <w:spacing w:line="360" w:lineRule="auto"/>
        <w:ind w:left="0"/>
        <w:jc w:val="center"/>
        <w:rPr>
          <w:rFonts w:ascii="Palatino Linotype" w:eastAsia="MS Gothic" w:hAnsi="Palatino Linotype"/>
          <w:sz w:val="24"/>
        </w:rPr>
      </w:pPr>
      <w:r w:rsidRPr="005E0100">
        <w:rPr>
          <w:rFonts w:ascii="Palatino Linotype" w:hAnsi="Palatino Linotype"/>
          <w:noProof/>
          <w:lang w:val="es-ES" w:eastAsia="es-ES"/>
        </w:rPr>
        <w:drawing>
          <wp:inline distT="0" distB="0" distL="0" distR="0" wp14:anchorId="678D2902" wp14:editId="2D6B1FCC">
            <wp:extent cx="4774546" cy="27146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542" t="21829" r="24867" b="28024"/>
                    <a:stretch/>
                  </pic:blipFill>
                  <pic:spPr bwMode="auto">
                    <a:xfrm>
                      <a:off x="0" y="0"/>
                      <a:ext cx="4799554" cy="2728844"/>
                    </a:xfrm>
                    <a:prstGeom prst="rect">
                      <a:avLst/>
                    </a:prstGeom>
                    <a:ln>
                      <a:noFill/>
                    </a:ln>
                    <a:extLst>
                      <a:ext uri="{53640926-AAD7-44D8-BBD7-CCE9431645EC}">
                        <a14:shadowObscured xmlns:a14="http://schemas.microsoft.com/office/drawing/2010/main"/>
                      </a:ext>
                    </a:extLst>
                  </pic:spPr>
                </pic:pic>
              </a:graphicData>
            </a:graphic>
          </wp:inline>
        </w:drawing>
      </w:r>
    </w:p>
    <w:p w14:paraId="67878BC4" w14:textId="77777777" w:rsidR="00AB0B6E" w:rsidRPr="005E0100" w:rsidRDefault="00AB0B6E" w:rsidP="005E0100">
      <w:pPr>
        <w:pStyle w:val="Prrafodelista"/>
        <w:spacing w:line="360" w:lineRule="auto"/>
        <w:rPr>
          <w:rFonts w:ascii="Palatino Linotype" w:eastAsia="MS Gothic" w:hAnsi="Palatino Linotype"/>
          <w:sz w:val="24"/>
        </w:rPr>
      </w:pPr>
    </w:p>
    <w:p w14:paraId="5609C0A8" w14:textId="77777777" w:rsidR="000B5874" w:rsidRPr="005E0100" w:rsidRDefault="000B5874" w:rsidP="005E0100">
      <w:pPr>
        <w:pStyle w:val="Prrafodelista"/>
        <w:numPr>
          <w:ilvl w:val="0"/>
          <w:numId w:val="1"/>
        </w:numPr>
        <w:autoSpaceDE w:val="0"/>
        <w:autoSpaceDN w:val="0"/>
        <w:adjustRightInd w:val="0"/>
        <w:spacing w:line="360" w:lineRule="auto"/>
        <w:ind w:left="0" w:firstLine="0"/>
        <w:jc w:val="both"/>
        <w:rPr>
          <w:rFonts w:ascii="Palatino Linotype" w:hAnsi="Palatino Linotype" w:cs="Arial"/>
          <w:sz w:val="24"/>
        </w:rPr>
      </w:pPr>
      <w:r w:rsidRPr="005E0100">
        <w:rPr>
          <w:rFonts w:ascii="Palatino Linotype" w:hAnsi="Palatino Linotype" w:cs="Arial"/>
          <w:sz w:val="24"/>
        </w:rPr>
        <w:t>Ahora bien, con fundamento en el artículo 50 y 53 de la Ley de Transparencia y Acceso a la Información Pública del Estado de México y Municipios, los Sujetos Obligados contarán con un área responsable para la atención de las solicitudes de información, a la que se le denominará Unidad de Transparencia, la que tiene como funciones, las siguientes:</w:t>
      </w:r>
    </w:p>
    <w:p w14:paraId="4F30E0CB" w14:textId="77777777" w:rsidR="000B5874" w:rsidRPr="005E0100" w:rsidRDefault="000B5874" w:rsidP="005E0100">
      <w:pPr>
        <w:pStyle w:val="Prrafodelista"/>
        <w:autoSpaceDE w:val="0"/>
        <w:autoSpaceDN w:val="0"/>
        <w:adjustRightInd w:val="0"/>
        <w:spacing w:line="360" w:lineRule="auto"/>
        <w:ind w:left="0"/>
        <w:jc w:val="both"/>
        <w:rPr>
          <w:rFonts w:ascii="Palatino Linotype" w:hAnsi="Palatino Linotype" w:cs="Arial"/>
          <w:sz w:val="24"/>
        </w:rPr>
      </w:pPr>
    </w:p>
    <w:p w14:paraId="212CBDF0"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 xml:space="preserve">“Artículo 53. Las Unidades de Transparencia tendrán las siguientes funciones: </w:t>
      </w:r>
    </w:p>
    <w:p w14:paraId="4C7F7322"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p>
    <w:p w14:paraId="5070BC1D"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FED796F"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 xml:space="preserve">II. Recibir, tramitar y dar respuesta a las solicitudes de acceso a la información; </w:t>
      </w:r>
    </w:p>
    <w:p w14:paraId="24584316"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 xml:space="preserve">III. Auxiliar a los particulares en la elaboración de solicitudes de acceso a la información y, en su caso, orientarlos sobre los sujetos obligados competentes conforme a la normatividad aplicable; </w:t>
      </w:r>
    </w:p>
    <w:p w14:paraId="69125976"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 xml:space="preserve">IV. Realizar, con efectividad, los trámites internos necesarios para la atención de las solicitudes de acceso a la información; </w:t>
      </w:r>
    </w:p>
    <w:p w14:paraId="7FFF0617"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 xml:space="preserve">V. Entregar, en su caso, a los particulares la información solicitada; </w:t>
      </w:r>
    </w:p>
    <w:p w14:paraId="759994B7"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 xml:space="preserve">VI. Efectuar las notificaciones a los solicitantes; </w:t>
      </w:r>
    </w:p>
    <w:p w14:paraId="1FEB3422"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 xml:space="preserve">VII. Proponer al Comité de Transparencia, los procedimientos internos que aseguren la mayor eficiencia en la gestión de las solicitudes de acceso a la información, conforme a la normatividad aplicable; </w:t>
      </w:r>
    </w:p>
    <w:p w14:paraId="1D3BB560"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 xml:space="preserve">VIII. Proponer a quien preside el Comité de Transparencia, personal habilitado que sea necesario para recibir y dar trámite a las solicitudes de acceso a la información; </w:t>
      </w:r>
      <w:r w:rsidRPr="005E0100">
        <w:rPr>
          <w:rFonts w:ascii="Palatino Linotype" w:hAnsi="Palatino Linotype"/>
          <w:i/>
        </w:rPr>
        <w:lastRenderedPageBreak/>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16A9E01F"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 xml:space="preserve">X. Presentar ante el Comité, el proyecto de clasificación de información; </w:t>
      </w:r>
    </w:p>
    <w:p w14:paraId="0E07BA3D"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XI. Promover e implementar políticas de transparencia proactiva procurando su accesibilidad;</w:t>
      </w:r>
    </w:p>
    <w:p w14:paraId="598079BF"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b/>
          <w:i/>
          <w:u w:val="single"/>
        </w:rPr>
      </w:pPr>
      <w:r w:rsidRPr="005E0100">
        <w:rPr>
          <w:rFonts w:ascii="Palatino Linotype" w:hAnsi="Palatino Linotype"/>
          <w:b/>
          <w:i/>
          <w:u w:val="single"/>
        </w:rPr>
        <w:t xml:space="preserve">XII. Fomentar la transparencia y accesibilidad al interior del sujeto obligado; </w:t>
      </w:r>
    </w:p>
    <w:p w14:paraId="30CB6815"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 xml:space="preserve">XIII. Hacer del conocimiento de la instancia competente la probable responsabilidad por el incumplimiento de las obligaciones previstas en la presente Ley; y </w:t>
      </w:r>
    </w:p>
    <w:p w14:paraId="0664C35A"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XIV. Las demás que resulten necesarias para facilitar el acceso a la información y aquellas que se desprenden de la presente Ley y demás disposiciones jurídicas aplicables.</w:t>
      </w:r>
    </w:p>
    <w:p w14:paraId="62A6FF60"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i/>
        </w:rPr>
      </w:pPr>
      <w:r w:rsidRPr="005E0100">
        <w:rPr>
          <w:rFonts w:ascii="Palatino Linotype" w:hAnsi="Palatino Linotype"/>
          <w:i/>
        </w:rPr>
        <w:t>…”</w:t>
      </w:r>
    </w:p>
    <w:p w14:paraId="3BA0021B" w14:textId="77777777" w:rsidR="000B5874" w:rsidRPr="005E0100" w:rsidRDefault="000B5874" w:rsidP="005E0100">
      <w:pPr>
        <w:pStyle w:val="Prrafodelista"/>
        <w:autoSpaceDE w:val="0"/>
        <w:autoSpaceDN w:val="0"/>
        <w:adjustRightInd w:val="0"/>
        <w:spacing w:line="360" w:lineRule="auto"/>
        <w:ind w:left="851" w:right="822"/>
        <w:jc w:val="both"/>
        <w:rPr>
          <w:rFonts w:ascii="Palatino Linotype" w:hAnsi="Palatino Linotype" w:cs="Arial"/>
          <w:i/>
          <w:sz w:val="24"/>
        </w:rPr>
      </w:pPr>
      <w:r w:rsidRPr="005E0100">
        <w:rPr>
          <w:rFonts w:ascii="Palatino Linotype" w:hAnsi="Palatino Linotype"/>
          <w:i/>
        </w:rPr>
        <w:t>Énfasis añadido</w:t>
      </w:r>
    </w:p>
    <w:p w14:paraId="047DA5CC" w14:textId="77777777" w:rsidR="000B5874" w:rsidRPr="005E0100" w:rsidRDefault="000B5874" w:rsidP="005E0100">
      <w:pPr>
        <w:pStyle w:val="Prrafodelista"/>
        <w:autoSpaceDE w:val="0"/>
        <w:autoSpaceDN w:val="0"/>
        <w:adjustRightInd w:val="0"/>
        <w:spacing w:line="360" w:lineRule="auto"/>
        <w:ind w:left="0"/>
        <w:jc w:val="both"/>
        <w:rPr>
          <w:rFonts w:ascii="Palatino Linotype" w:hAnsi="Palatino Linotype" w:cs="Arial"/>
          <w:sz w:val="24"/>
        </w:rPr>
      </w:pPr>
    </w:p>
    <w:p w14:paraId="634E2A5F" w14:textId="77777777" w:rsidR="000B5874" w:rsidRPr="005E0100" w:rsidRDefault="000B5874" w:rsidP="005E0100">
      <w:pPr>
        <w:pStyle w:val="Prrafodelista"/>
        <w:numPr>
          <w:ilvl w:val="0"/>
          <w:numId w:val="1"/>
        </w:numPr>
        <w:autoSpaceDE w:val="0"/>
        <w:autoSpaceDN w:val="0"/>
        <w:adjustRightInd w:val="0"/>
        <w:spacing w:line="360" w:lineRule="auto"/>
        <w:ind w:left="0" w:firstLine="0"/>
        <w:jc w:val="both"/>
        <w:rPr>
          <w:rFonts w:ascii="Palatino Linotype" w:hAnsi="Palatino Linotype" w:cs="Arial"/>
          <w:sz w:val="24"/>
        </w:rPr>
      </w:pPr>
      <w:r w:rsidRPr="005E0100">
        <w:rPr>
          <w:rFonts w:ascii="Palatino Linotype" w:hAnsi="Palatino Linotype" w:cs="Arial"/>
          <w:sz w:val="24"/>
        </w:rPr>
        <w:t xml:space="preserve">Como </w:t>
      </w:r>
      <w:r w:rsidR="004C687A" w:rsidRPr="005E0100">
        <w:rPr>
          <w:rFonts w:ascii="Palatino Linotype" w:hAnsi="Palatino Linotype" w:cs="Arial"/>
          <w:sz w:val="24"/>
        </w:rPr>
        <w:t>lo señala el fundamento legal referido en el párrafo anterior</w:t>
      </w:r>
      <w:r w:rsidRPr="005E0100">
        <w:rPr>
          <w:rFonts w:ascii="Palatino Linotype" w:hAnsi="Palatino Linotype" w:cs="Arial"/>
          <w:sz w:val="24"/>
        </w:rPr>
        <w:t xml:space="preserve">, una de las funciones de la Unidad de Transparencia es fomentar la transparencia y accesibilidad al interior del sujeto obligado. </w:t>
      </w:r>
    </w:p>
    <w:p w14:paraId="48BC5F3E" w14:textId="77777777" w:rsidR="000B5874" w:rsidRPr="005E0100" w:rsidRDefault="000B5874" w:rsidP="005E0100">
      <w:pPr>
        <w:pStyle w:val="Prrafodelista"/>
        <w:autoSpaceDE w:val="0"/>
        <w:autoSpaceDN w:val="0"/>
        <w:adjustRightInd w:val="0"/>
        <w:spacing w:line="360" w:lineRule="auto"/>
        <w:ind w:left="0"/>
        <w:jc w:val="both"/>
        <w:rPr>
          <w:rFonts w:ascii="Palatino Linotype" w:hAnsi="Palatino Linotype" w:cs="Arial"/>
          <w:sz w:val="24"/>
        </w:rPr>
      </w:pPr>
    </w:p>
    <w:p w14:paraId="7D9EBA77" w14:textId="77777777" w:rsidR="00211E54" w:rsidRPr="00211E54" w:rsidRDefault="000B5874" w:rsidP="00211E54">
      <w:pPr>
        <w:pStyle w:val="Prrafodelista"/>
        <w:numPr>
          <w:ilvl w:val="0"/>
          <w:numId w:val="1"/>
        </w:numPr>
        <w:autoSpaceDE w:val="0"/>
        <w:autoSpaceDN w:val="0"/>
        <w:adjustRightInd w:val="0"/>
        <w:spacing w:line="360" w:lineRule="auto"/>
        <w:ind w:left="0" w:firstLine="0"/>
        <w:jc w:val="both"/>
        <w:rPr>
          <w:rFonts w:ascii="Palatino Linotype" w:hAnsi="Palatino Linotype" w:cs="Arial"/>
        </w:rPr>
      </w:pPr>
      <w:r w:rsidRPr="005E0100">
        <w:rPr>
          <w:rFonts w:ascii="Palatino Linotype" w:hAnsi="Palatino Linotype" w:cs="Arial"/>
          <w:sz w:val="24"/>
        </w:rPr>
        <w:t xml:space="preserve">Ahora bien, de acuerdo al Diccionario de la Real Academia de la Lengua Española, fomentar significa </w:t>
      </w:r>
      <w:r w:rsidRPr="005E0100">
        <w:rPr>
          <w:rFonts w:ascii="Palatino Linotype" w:eastAsia="Arial Unicode MS" w:hAnsi="Palatino Linotype" w:cs="Arial Unicode MS"/>
          <w:color w:val="000000"/>
          <w:spacing w:val="4"/>
          <w:sz w:val="26"/>
          <w:szCs w:val="26"/>
          <w:shd w:val="clear" w:color="auto" w:fill="FFFFFF"/>
        </w:rPr>
        <w:t> “</w:t>
      </w:r>
      <w:r w:rsidRPr="005E0100">
        <w:rPr>
          <w:rFonts w:ascii="Palatino Linotype" w:hAnsi="Palatino Linotype"/>
          <w:i/>
          <w:szCs w:val="22"/>
        </w:rPr>
        <w:t>Excitar</w:t>
      </w:r>
      <w:r w:rsidRPr="005E0100">
        <w:rPr>
          <w:rFonts w:ascii="Palatino Linotype" w:eastAsia="Arial Unicode MS" w:hAnsi="Palatino Linotype" w:cs="Arial Unicode MS"/>
          <w:i/>
          <w:color w:val="000000"/>
          <w:spacing w:val="4"/>
          <w:szCs w:val="22"/>
          <w:shd w:val="clear" w:color="auto" w:fill="FFFFFF"/>
        </w:rPr>
        <w:t>, </w:t>
      </w:r>
      <w:r w:rsidRPr="005E0100">
        <w:rPr>
          <w:rFonts w:ascii="Palatino Linotype" w:hAnsi="Palatino Linotype"/>
          <w:i/>
          <w:szCs w:val="22"/>
        </w:rPr>
        <w:t>promover</w:t>
      </w:r>
      <w:r w:rsidRPr="005E0100">
        <w:rPr>
          <w:rFonts w:ascii="Palatino Linotype" w:eastAsia="Arial Unicode MS" w:hAnsi="Palatino Linotype" w:cs="Arial Unicode MS"/>
          <w:i/>
          <w:color w:val="000000"/>
          <w:spacing w:val="4"/>
          <w:szCs w:val="22"/>
          <w:shd w:val="clear" w:color="auto" w:fill="FFFFFF"/>
        </w:rPr>
        <w:t>, </w:t>
      </w:r>
      <w:r w:rsidRPr="005E0100">
        <w:rPr>
          <w:rFonts w:ascii="Palatino Linotype" w:hAnsi="Palatino Linotype"/>
          <w:i/>
          <w:szCs w:val="22"/>
        </w:rPr>
        <w:t>impulsar</w:t>
      </w:r>
      <w:r w:rsidRPr="005E0100">
        <w:rPr>
          <w:rFonts w:ascii="Palatino Linotype" w:eastAsia="Arial Unicode MS" w:hAnsi="Palatino Linotype" w:cs="Arial Unicode MS"/>
          <w:i/>
          <w:color w:val="000000"/>
          <w:spacing w:val="4"/>
          <w:szCs w:val="22"/>
          <w:shd w:val="clear" w:color="auto" w:fill="FFFFFF"/>
        </w:rPr>
        <w:t> </w:t>
      </w:r>
      <w:r w:rsidRPr="005E0100">
        <w:rPr>
          <w:rFonts w:ascii="Palatino Linotype" w:hAnsi="Palatino Linotype"/>
          <w:i/>
          <w:szCs w:val="22"/>
        </w:rPr>
        <w:t>o</w:t>
      </w:r>
      <w:r w:rsidRPr="005E0100">
        <w:rPr>
          <w:rFonts w:ascii="Palatino Linotype" w:eastAsia="Arial Unicode MS" w:hAnsi="Palatino Linotype" w:cs="Arial Unicode MS"/>
          <w:i/>
          <w:color w:val="000000"/>
          <w:spacing w:val="4"/>
          <w:szCs w:val="22"/>
          <w:shd w:val="clear" w:color="auto" w:fill="FFFFFF"/>
        </w:rPr>
        <w:t> </w:t>
      </w:r>
      <w:r w:rsidRPr="005E0100">
        <w:rPr>
          <w:rFonts w:ascii="Palatino Linotype" w:hAnsi="Palatino Linotype"/>
          <w:i/>
          <w:szCs w:val="22"/>
        </w:rPr>
        <w:t>proteger</w:t>
      </w:r>
      <w:r w:rsidRPr="005E0100">
        <w:rPr>
          <w:rFonts w:ascii="Palatino Linotype" w:eastAsia="Arial Unicode MS" w:hAnsi="Palatino Linotype" w:cs="Arial Unicode MS"/>
          <w:i/>
          <w:color w:val="000000"/>
          <w:spacing w:val="4"/>
          <w:szCs w:val="22"/>
          <w:shd w:val="clear" w:color="auto" w:fill="FFFFFF"/>
        </w:rPr>
        <w:t> </w:t>
      </w:r>
      <w:r w:rsidRPr="005E0100">
        <w:rPr>
          <w:rFonts w:ascii="Palatino Linotype" w:hAnsi="Palatino Linotype"/>
          <w:i/>
          <w:szCs w:val="22"/>
        </w:rPr>
        <w:t>algo</w:t>
      </w:r>
      <w:r w:rsidRPr="005E0100">
        <w:rPr>
          <w:rFonts w:ascii="Palatino Linotype" w:eastAsia="Arial Unicode MS" w:hAnsi="Palatino Linotype" w:cs="Arial Unicode MS"/>
          <w:color w:val="000000"/>
          <w:spacing w:val="4"/>
          <w:sz w:val="26"/>
          <w:szCs w:val="26"/>
          <w:shd w:val="clear" w:color="auto" w:fill="FFFFFF"/>
        </w:rPr>
        <w:t>”</w:t>
      </w:r>
      <w:r w:rsidRPr="005E0100">
        <w:rPr>
          <w:rStyle w:val="Refdenotaalpie"/>
          <w:rFonts w:ascii="Palatino Linotype" w:eastAsia="Arial Unicode MS" w:hAnsi="Palatino Linotype" w:cs="Arial Unicode MS"/>
          <w:color w:val="000000"/>
          <w:spacing w:val="4"/>
          <w:sz w:val="26"/>
          <w:szCs w:val="26"/>
          <w:shd w:val="clear" w:color="auto" w:fill="FFFFFF"/>
        </w:rPr>
        <w:footnoteReference w:id="5"/>
      </w:r>
      <w:r w:rsidR="00DE1D76" w:rsidRPr="005E0100">
        <w:rPr>
          <w:rFonts w:ascii="Palatino Linotype" w:eastAsia="Arial Unicode MS" w:hAnsi="Palatino Linotype" w:cs="Arial Unicode MS"/>
          <w:color w:val="000000"/>
          <w:spacing w:val="4"/>
          <w:sz w:val="26"/>
          <w:szCs w:val="26"/>
          <w:shd w:val="clear" w:color="auto" w:fill="FFFFFF"/>
        </w:rPr>
        <w:t xml:space="preserve">. </w:t>
      </w:r>
      <w:r w:rsidR="00DE1D76" w:rsidRPr="005E0100">
        <w:rPr>
          <w:rFonts w:ascii="Palatino Linotype" w:eastAsia="Arial Unicode MS" w:hAnsi="Palatino Linotype" w:cs="Arial Unicode MS"/>
          <w:color w:val="000000"/>
          <w:spacing w:val="4"/>
          <w:sz w:val="24"/>
          <w:szCs w:val="26"/>
          <w:shd w:val="clear" w:color="auto" w:fill="FFFFFF"/>
        </w:rPr>
        <w:t xml:space="preserve">Así para promover o impulsar la transparencia dentro del Sujeto Obligado, la Unidad de Transparencia se puede valer de distintos formas </w:t>
      </w:r>
      <w:r w:rsidR="005E0100">
        <w:rPr>
          <w:rFonts w:ascii="Palatino Linotype" w:eastAsia="Arial Unicode MS" w:hAnsi="Palatino Linotype" w:cs="Arial Unicode MS"/>
          <w:color w:val="000000"/>
          <w:spacing w:val="4"/>
          <w:sz w:val="24"/>
          <w:szCs w:val="26"/>
          <w:shd w:val="clear" w:color="auto" w:fill="FFFFFF"/>
        </w:rPr>
        <w:t xml:space="preserve">para </w:t>
      </w:r>
      <w:r w:rsidR="00DE1D76" w:rsidRPr="005E0100">
        <w:rPr>
          <w:rFonts w:ascii="Palatino Linotype" w:eastAsia="Arial Unicode MS" w:hAnsi="Palatino Linotype" w:cs="Arial Unicode MS"/>
          <w:color w:val="000000"/>
          <w:spacing w:val="4"/>
          <w:sz w:val="24"/>
          <w:szCs w:val="26"/>
          <w:shd w:val="clear" w:color="auto" w:fill="FFFFFF"/>
        </w:rPr>
        <w:t>hacerlo, entre las cuales</w:t>
      </w:r>
      <w:r w:rsidR="005E0100">
        <w:rPr>
          <w:rFonts w:ascii="Palatino Linotype" w:eastAsia="Arial Unicode MS" w:hAnsi="Palatino Linotype" w:cs="Arial Unicode MS"/>
          <w:color w:val="000000"/>
          <w:spacing w:val="4"/>
          <w:sz w:val="24"/>
          <w:szCs w:val="26"/>
          <w:shd w:val="clear" w:color="auto" w:fill="FFFFFF"/>
        </w:rPr>
        <w:t>,</w:t>
      </w:r>
      <w:r w:rsidR="00DE1D76" w:rsidRPr="005E0100">
        <w:rPr>
          <w:rFonts w:ascii="Palatino Linotype" w:eastAsia="Arial Unicode MS" w:hAnsi="Palatino Linotype" w:cs="Arial Unicode MS"/>
          <w:color w:val="000000"/>
          <w:spacing w:val="4"/>
          <w:sz w:val="24"/>
          <w:szCs w:val="26"/>
          <w:shd w:val="clear" w:color="auto" w:fill="FFFFFF"/>
        </w:rPr>
        <w:t xml:space="preserve"> se </w:t>
      </w:r>
      <w:r w:rsidR="00DE1D76" w:rsidRPr="005E0100">
        <w:rPr>
          <w:rFonts w:ascii="Palatino Linotype" w:eastAsia="Arial Unicode MS" w:hAnsi="Palatino Linotype" w:cs="Arial Unicode MS"/>
          <w:color w:val="000000"/>
          <w:spacing w:val="4"/>
          <w:sz w:val="24"/>
          <w:szCs w:val="26"/>
          <w:shd w:val="clear" w:color="auto" w:fill="FFFFFF"/>
        </w:rPr>
        <w:lastRenderedPageBreak/>
        <w:t xml:space="preserve">puede considerar  </w:t>
      </w:r>
      <w:r w:rsidR="005E0100">
        <w:rPr>
          <w:rFonts w:ascii="Palatino Linotype" w:eastAsia="Arial Unicode MS" w:hAnsi="Palatino Linotype" w:cs="Arial Unicode MS"/>
          <w:color w:val="000000"/>
          <w:spacing w:val="4"/>
          <w:sz w:val="24"/>
          <w:szCs w:val="26"/>
          <w:shd w:val="clear" w:color="auto" w:fill="FFFFFF"/>
        </w:rPr>
        <w:t xml:space="preserve">que el </w:t>
      </w:r>
      <w:r w:rsidR="00DE1D76" w:rsidRPr="005E0100">
        <w:rPr>
          <w:rFonts w:ascii="Palatino Linotype" w:eastAsia="Arial Unicode MS" w:hAnsi="Palatino Linotype" w:cs="Arial Unicode MS"/>
          <w:color w:val="000000"/>
          <w:spacing w:val="4"/>
          <w:sz w:val="24"/>
          <w:szCs w:val="26"/>
          <w:shd w:val="clear" w:color="auto" w:fill="FFFFFF"/>
        </w:rPr>
        <w:t xml:space="preserve">capacitar </w:t>
      </w:r>
      <w:r w:rsidR="00DE1D76" w:rsidRPr="005E0100">
        <w:rPr>
          <w:rFonts w:ascii="Palatino Linotype" w:eastAsia="Arial Unicode MS" w:hAnsi="Palatino Linotype" w:cs="Arial Unicode MS"/>
          <w:i/>
          <w:color w:val="000000"/>
          <w:spacing w:val="4"/>
          <w:sz w:val="24"/>
          <w:shd w:val="clear" w:color="auto" w:fill="FFFFFF"/>
        </w:rPr>
        <w:t>(</w:t>
      </w:r>
      <w:r w:rsidR="00DE1D76" w:rsidRPr="005E0100">
        <w:rPr>
          <w:rFonts w:ascii="Palatino Linotype" w:hAnsi="Palatino Linotype"/>
          <w:i/>
          <w:sz w:val="24"/>
        </w:rPr>
        <w:t>Hacer</w:t>
      </w:r>
      <w:r w:rsidR="00DE1D76" w:rsidRPr="005E0100">
        <w:rPr>
          <w:rFonts w:ascii="Palatino Linotype" w:eastAsia="Arial Unicode MS" w:hAnsi="Palatino Linotype" w:cs="Arial Unicode MS"/>
          <w:i/>
          <w:color w:val="000000"/>
          <w:spacing w:val="4"/>
          <w:sz w:val="24"/>
          <w:shd w:val="clear" w:color="auto" w:fill="FFFFFF"/>
        </w:rPr>
        <w:t> </w:t>
      </w:r>
      <w:r w:rsidR="00DE1D76" w:rsidRPr="005E0100">
        <w:rPr>
          <w:rFonts w:ascii="Palatino Linotype" w:hAnsi="Palatino Linotype"/>
          <w:i/>
          <w:sz w:val="24"/>
        </w:rPr>
        <w:t>a</w:t>
      </w:r>
      <w:r w:rsidR="00DE1D76" w:rsidRPr="005E0100">
        <w:rPr>
          <w:rFonts w:ascii="Palatino Linotype" w:eastAsia="Arial Unicode MS" w:hAnsi="Palatino Linotype" w:cs="Arial Unicode MS"/>
          <w:i/>
          <w:color w:val="000000"/>
          <w:spacing w:val="4"/>
          <w:sz w:val="24"/>
          <w:shd w:val="clear" w:color="auto" w:fill="FFFFFF"/>
        </w:rPr>
        <w:t> </w:t>
      </w:r>
      <w:r w:rsidR="00DE1D76" w:rsidRPr="005E0100">
        <w:rPr>
          <w:rFonts w:ascii="Palatino Linotype" w:hAnsi="Palatino Linotype"/>
          <w:i/>
          <w:sz w:val="24"/>
        </w:rPr>
        <w:t>alguien</w:t>
      </w:r>
      <w:r w:rsidR="00DE1D76" w:rsidRPr="005E0100">
        <w:rPr>
          <w:rFonts w:ascii="Palatino Linotype" w:eastAsia="Arial Unicode MS" w:hAnsi="Palatino Linotype" w:cs="Arial Unicode MS"/>
          <w:i/>
          <w:color w:val="000000"/>
          <w:spacing w:val="4"/>
          <w:sz w:val="24"/>
          <w:shd w:val="clear" w:color="auto" w:fill="FFFFFF"/>
        </w:rPr>
        <w:t> </w:t>
      </w:r>
      <w:r w:rsidR="00DE1D76" w:rsidRPr="005E0100">
        <w:rPr>
          <w:rFonts w:ascii="Palatino Linotype" w:hAnsi="Palatino Linotype"/>
          <w:i/>
          <w:sz w:val="24"/>
        </w:rPr>
        <w:t>apto</w:t>
      </w:r>
      <w:r w:rsidR="00DE1D76" w:rsidRPr="005E0100">
        <w:rPr>
          <w:rFonts w:ascii="Palatino Linotype" w:eastAsia="Arial Unicode MS" w:hAnsi="Palatino Linotype" w:cs="Arial Unicode MS"/>
          <w:i/>
          <w:color w:val="000000"/>
          <w:spacing w:val="4"/>
          <w:sz w:val="24"/>
          <w:shd w:val="clear" w:color="auto" w:fill="FFFFFF"/>
        </w:rPr>
        <w:t>, </w:t>
      </w:r>
      <w:r w:rsidR="00DE1D76" w:rsidRPr="005E0100">
        <w:rPr>
          <w:rFonts w:ascii="Palatino Linotype" w:hAnsi="Palatino Linotype"/>
          <w:i/>
          <w:sz w:val="24"/>
        </w:rPr>
        <w:t>habilitar</w:t>
      </w:r>
      <w:r w:rsidR="00DE1D76" w:rsidRPr="005E0100">
        <w:rPr>
          <w:rFonts w:ascii="Palatino Linotype" w:eastAsia="Arial Unicode MS" w:hAnsi="Palatino Linotype" w:cs="Arial Unicode MS"/>
          <w:i/>
          <w:color w:val="000000"/>
          <w:spacing w:val="4"/>
          <w:sz w:val="24"/>
          <w:shd w:val="clear" w:color="auto" w:fill="FFFFFF"/>
        </w:rPr>
        <w:t>lo </w:t>
      </w:r>
      <w:r w:rsidR="00DE1D76" w:rsidRPr="005E0100">
        <w:rPr>
          <w:rFonts w:ascii="Palatino Linotype" w:hAnsi="Palatino Linotype"/>
          <w:i/>
          <w:sz w:val="24"/>
        </w:rPr>
        <w:t>para</w:t>
      </w:r>
      <w:r w:rsidR="00DE1D76" w:rsidRPr="005E0100">
        <w:rPr>
          <w:rFonts w:ascii="Palatino Linotype" w:eastAsia="Arial Unicode MS" w:hAnsi="Palatino Linotype" w:cs="Arial Unicode MS"/>
          <w:i/>
          <w:color w:val="000000"/>
          <w:spacing w:val="4"/>
          <w:sz w:val="24"/>
          <w:shd w:val="clear" w:color="auto" w:fill="FFFFFF"/>
        </w:rPr>
        <w:t> </w:t>
      </w:r>
      <w:r w:rsidR="00DE1D76" w:rsidRPr="005E0100">
        <w:rPr>
          <w:rFonts w:ascii="Palatino Linotype" w:hAnsi="Palatino Linotype"/>
          <w:i/>
          <w:sz w:val="24"/>
        </w:rPr>
        <w:t>algo</w:t>
      </w:r>
      <w:r w:rsidR="00DE1D76" w:rsidRPr="005E0100">
        <w:rPr>
          <w:rStyle w:val="Refdenotaalpie"/>
          <w:rFonts w:ascii="Palatino Linotype" w:hAnsi="Palatino Linotype"/>
          <w:i/>
          <w:sz w:val="24"/>
        </w:rPr>
        <w:footnoteReference w:id="6"/>
      </w:r>
      <w:r w:rsidR="00DE1D76" w:rsidRPr="005E0100">
        <w:rPr>
          <w:rFonts w:ascii="Palatino Linotype" w:hAnsi="Palatino Linotype"/>
          <w:i/>
          <w:sz w:val="24"/>
        </w:rPr>
        <w:t xml:space="preserve">) </w:t>
      </w:r>
      <w:r w:rsidR="00DE1D76" w:rsidRPr="005E0100">
        <w:rPr>
          <w:rFonts w:ascii="Palatino Linotype" w:hAnsi="Palatino Linotype"/>
          <w:sz w:val="24"/>
        </w:rPr>
        <w:t>a los servidores p</w:t>
      </w:r>
      <w:r w:rsidR="005E0100">
        <w:rPr>
          <w:rFonts w:ascii="Palatino Linotype" w:hAnsi="Palatino Linotype"/>
          <w:sz w:val="24"/>
        </w:rPr>
        <w:t>úblicos habilitados es una for</w:t>
      </w:r>
      <w:r w:rsidR="00211E54">
        <w:rPr>
          <w:rFonts w:ascii="Palatino Linotype" w:hAnsi="Palatino Linotype"/>
          <w:sz w:val="24"/>
        </w:rPr>
        <w:t xml:space="preserve">ma de fomentar la transparencia. Ahora bien, la capacitación a los servidores públicos puede ser a través de talleres, cursos, asesorías y todo aquello que conlleve </w:t>
      </w:r>
      <w:r w:rsidR="00AE116F">
        <w:rPr>
          <w:rFonts w:ascii="Palatino Linotype" w:hAnsi="Palatino Linotype"/>
          <w:sz w:val="24"/>
        </w:rPr>
        <w:t>fomentar la transparencia al interior del Sujeto Obligado.</w:t>
      </w:r>
    </w:p>
    <w:p w14:paraId="4D646B7A" w14:textId="77777777" w:rsidR="000B5874" w:rsidRPr="005E0100" w:rsidRDefault="000B5874" w:rsidP="005E0100">
      <w:pPr>
        <w:pStyle w:val="Prrafodelista"/>
        <w:autoSpaceDE w:val="0"/>
        <w:autoSpaceDN w:val="0"/>
        <w:adjustRightInd w:val="0"/>
        <w:spacing w:line="360" w:lineRule="auto"/>
        <w:ind w:left="0"/>
        <w:jc w:val="both"/>
        <w:rPr>
          <w:rFonts w:ascii="Palatino Linotype" w:hAnsi="Palatino Linotype" w:cs="Arial"/>
          <w:sz w:val="24"/>
        </w:rPr>
      </w:pPr>
    </w:p>
    <w:p w14:paraId="207C1817" w14:textId="77777777" w:rsidR="000B5874" w:rsidRPr="005E0100" w:rsidRDefault="000B5874" w:rsidP="005E0100">
      <w:pPr>
        <w:pStyle w:val="Prrafodelista"/>
        <w:numPr>
          <w:ilvl w:val="0"/>
          <w:numId w:val="1"/>
        </w:numPr>
        <w:autoSpaceDE w:val="0"/>
        <w:autoSpaceDN w:val="0"/>
        <w:adjustRightInd w:val="0"/>
        <w:spacing w:line="360" w:lineRule="auto"/>
        <w:ind w:left="0" w:firstLine="0"/>
        <w:jc w:val="both"/>
        <w:rPr>
          <w:rFonts w:ascii="Palatino Linotype" w:hAnsi="Palatino Linotype" w:cs="Arial"/>
          <w:sz w:val="24"/>
        </w:rPr>
      </w:pPr>
      <w:r w:rsidRPr="005E0100">
        <w:rPr>
          <w:rFonts w:ascii="Palatino Linotype" w:eastAsia="Arial Unicode MS" w:hAnsi="Palatino Linotype" w:cs="Arial Unicode MS"/>
          <w:color w:val="000000"/>
          <w:spacing w:val="4"/>
          <w:sz w:val="24"/>
          <w:shd w:val="clear" w:color="auto" w:fill="FFFFFF"/>
        </w:rPr>
        <w:t>Por consiguiente,</w:t>
      </w:r>
      <w:r w:rsidR="00983C85" w:rsidRPr="005E0100">
        <w:rPr>
          <w:rFonts w:ascii="Palatino Linotype" w:eastAsia="Arial Unicode MS" w:hAnsi="Palatino Linotype" w:cs="Arial Unicode MS"/>
          <w:color w:val="000000"/>
          <w:spacing w:val="4"/>
          <w:sz w:val="24"/>
          <w:shd w:val="clear" w:color="auto" w:fill="FFFFFF"/>
        </w:rPr>
        <w:t xml:space="preserve"> </w:t>
      </w:r>
      <w:r w:rsidR="00DE1D76" w:rsidRPr="005E0100">
        <w:rPr>
          <w:rFonts w:ascii="Palatino Linotype" w:eastAsia="Arial Unicode MS" w:hAnsi="Palatino Linotype" w:cs="Arial Unicode MS"/>
          <w:color w:val="000000"/>
          <w:spacing w:val="4"/>
          <w:sz w:val="24"/>
          <w:shd w:val="clear" w:color="auto" w:fill="FFFFFF"/>
        </w:rPr>
        <w:t xml:space="preserve">la Unidad </w:t>
      </w:r>
      <w:r w:rsidR="00211E54">
        <w:rPr>
          <w:rFonts w:ascii="Palatino Linotype" w:eastAsia="Arial Unicode MS" w:hAnsi="Palatino Linotype" w:cs="Arial Unicode MS"/>
          <w:color w:val="000000"/>
          <w:spacing w:val="4"/>
          <w:sz w:val="24"/>
          <w:shd w:val="clear" w:color="auto" w:fill="FFFFFF"/>
        </w:rPr>
        <w:t xml:space="preserve">de Transparencia es competente </w:t>
      </w:r>
      <w:r w:rsidR="00DE1D76" w:rsidRPr="005E0100">
        <w:rPr>
          <w:rFonts w:ascii="Palatino Linotype" w:eastAsia="Arial Unicode MS" w:hAnsi="Palatino Linotype" w:cs="Arial Unicode MS"/>
          <w:color w:val="000000"/>
          <w:spacing w:val="4"/>
          <w:sz w:val="24"/>
          <w:shd w:val="clear" w:color="auto" w:fill="FFFFFF"/>
        </w:rPr>
        <w:t xml:space="preserve">para conocer de la información solicitada, pues </w:t>
      </w:r>
      <w:r w:rsidR="00AE116F">
        <w:rPr>
          <w:rFonts w:ascii="Palatino Linotype" w:eastAsia="Arial Unicode MS" w:hAnsi="Palatino Linotype" w:cs="Arial Unicode MS"/>
          <w:color w:val="000000"/>
          <w:spacing w:val="4"/>
          <w:sz w:val="24"/>
          <w:shd w:val="clear" w:color="auto" w:fill="FFFFFF"/>
        </w:rPr>
        <w:t>se encuentra dentro de sus funciones</w:t>
      </w:r>
      <w:r w:rsidR="000A4693" w:rsidRPr="005E0100">
        <w:rPr>
          <w:rFonts w:ascii="Palatino Linotype" w:eastAsia="Arial Unicode MS" w:hAnsi="Palatino Linotype" w:cs="Arial Unicode MS"/>
          <w:color w:val="000000"/>
          <w:spacing w:val="4"/>
          <w:sz w:val="24"/>
          <w:shd w:val="clear" w:color="auto" w:fill="FFFFFF"/>
        </w:rPr>
        <w:t xml:space="preserve">. </w:t>
      </w:r>
      <w:r w:rsidR="00AE116F">
        <w:rPr>
          <w:rFonts w:ascii="Palatino Linotype" w:eastAsia="Arial Unicode MS" w:hAnsi="Palatino Linotype" w:cs="Arial Unicode MS"/>
          <w:color w:val="000000"/>
          <w:spacing w:val="4"/>
          <w:sz w:val="24"/>
          <w:shd w:val="clear" w:color="auto" w:fill="FFFFFF"/>
        </w:rPr>
        <w:t>Asimismo</w:t>
      </w:r>
      <w:r w:rsidR="00DE1D76" w:rsidRPr="005E0100">
        <w:rPr>
          <w:rFonts w:ascii="Palatino Linotype" w:eastAsia="Arial Unicode MS" w:hAnsi="Palatino Linotype" w:cs="Arial Unicode MS"/>
          <w:color w:val="000000"/>
          <w:spacing w:val="4"/>
          <w:sz w:val="24"/>
          <w:shd w:val="clear" w:color="auto" w:fill="FFFFFF"/>
        </w:rPr>
        <w:t xml:space="preserve">, </w:t>
      </w:r>
      <w:r w:rsidRPr="005E0100">
        <w:rPr>
          <w:rFonts w:ascii="Palatino Linotype" w:eastAsia="Arial Unicode MS" w:hAnsi="Palatino Linotype" w:cs="Arial Unicode MS"/>
          <w:color w:val="000000"/>
          <w:spacing w:val="4"/>
          <w:sz w:val="24"/>
          <w:shd w:val="clear" w:color="auto" w:fill="FFFFFF"/>
        </w:rPr>
        <w:t>la Ley de Transparencia</w:t>
      </w:r>
      <w:r w:rsidR="004C687A" w:rsidRPr="005E0100">
        <w:rPr>
          <w:rFonts w:ascii="Palatino Linotype" w:eastAsia="Arial Unicode MS" w:hAnsi="Palatino Linotype" w:cs="Arial Unicode MS"/>
          <w:color w:val="000000"/>
          <w:spacing w:val="4"/>
          <w:sz w:val="24"/>
          <w:shd w:val="clear" w:color="auto" w:fill="FFFFFF"/>
        </w:rPr>
        <w:t xml:space="preserve"> señala</w:t>
      </w:r>
      <w:r w:rsidRPr="005E0100">
        <w:rPr>
          <w:rFonts w:ascii="Palatino Linotype" w:eastAsia="Arial Unicode MS" w:hAnsi="Palatino Linotype" w:cs="Arial Unicode MS"/>
          <w:color w:val="000000"/>
          <w:spacing w:val="4"/>
          <w:sz w:val="24"/>
          <w:shd w:val="clear" w:color="auto" w:fill="FFFFFF"/>
        </w:rPr>
        <w:t xml:space="preserve"> en su artículo 18,</w:t>
      </w:r>
      <w:r w:rsidR="004C687A" w:rsidRPr="005E0100">
        <w:rPr>
          <w:rFonts w:ascii="Palatino Linotype" w:eastAsia="Arial Unicode MS" w:hAnsi="Palatino Linotype" w:cs="Arial Unicode MS"/>
          <w:color w:val="000000"/>
          <w:spacing w:val="4"/>
          <w:sz w:val="24"/>
          <w:shd w:val="clear" w:color="auto" w:fill="FFFFFF"/>
        </w:rPr>
        <w:t xml:space="preserve"> que</w:t>
      </w:r>
      <w:r w:rsidRPr="005E0100">
        <w:rPr>
          <w:rFonts w:ascii="Palatino Linotype" w:eastAsia="Arial Unicode MS" w:hAnsi="Palatino Linotype" w:cs="Arial Unicode MS"/>
          <w:color w:val="000000"/>
          <w:spacing w:val="4"/>
          <w:sz w:val="24"/>
          <w:shd w:val="clear" w:color="auto" w:fill="FFFFFF"/>
        </w:rPr>
        <w:t xml:space="preserve"> los Sujeto Obligados tiene el deber de documentar todo acto que derive del ejercicio de </w:t>
      </w:r>
      <w:r w:rsidRPr="005E0100">
        <w:rPr>
          <w:rFonts w:ascii="Palatino Linotype" w:hAnsi="Palatino Linotype"/>
          <w:sz w:val="24"/>
        </w:rPr>
        <w:t xml:space="preserve">sus facultades, competencias o funciones, considerando desde su origen la eventual publicidad y reutilización de la información que generen, </w:t>
      </w:r>
      <w:r w:rsidR="004C687A" w:rsidRPr="005E0100">
        <w:rPr>
          <w:rFonts w:ascii="Palatino Linotype" w:hAnsi="Palatino Linotype"/>
          <w:sz w:val="24"/>
        </w:rPr>
        <w:t xml:space="preserve">en este caso, cualquier capacitación realizada por la Unidad de Transparencia </w:t>
      </w:r>
      <w:r w:rsidR="00983C85" w:rsidRPr="005E0100">
        <w:rPr>
          <w:rFonts w:ascii="Palatino Linotype" w:hAnsi="Palatino Linotype"/>
          <w:sz w:val="24"/>
        </w:rPr>
        <w:t xml:space="preserve">se debió </w:t>
      </w:r>
      <w:r w:rsidR="00DE1D76" w:rsidRPr="005E0100">
        <w:rPr>
          <w:rFonts w:ascii="Palatino Linotype" w:hAnsi="Palatino Linotype"/>
          <w:sz w:val="24"/>
        </w:rPr>
        <w:t>documentar</w:t>
      </w:r>
      <w:r w:rsidR="00983C85" w:rsidRPr="005E0100">
        <w:rPr>
          <w:rFonts w:ascii="Palatino Linotype" w:hAnsi="Palatino Linotype"/>
          <w:sz w:val="24"/>
        </w:rPr>
        <w:t>.</w:t>
      </w:r>
    </w:p>
    <w:p w14:paraId="53B4EBFE" w14:textId="77777777" w:rsidR="004C687A" w:rsidRPr="005E0100" w:rsidRDefault="004C687A" w:rsidP="005E0100">
      <w:pPr>
        <w:pStyle w:val="Prrafodelista"/>
        <w:spacing w:line="360" w:lineRule="auto"/>
        <w:rPr>
          <w:rFonts w:ascii="Palatino Linotype" w:hAnsi="Palatino Linotype" w:cs="Arial"/>
          <w:sz w:val="24"/>
        </w:rPr>
      </w:pPr>
    </w:p>
    <w:p w14:paraId="5ECE4D9B" w14:textId="77777777" w:rsidR="004C687A" w:rsidRPr="005E0100" w:rsidRDefault="004C687A" w:rsidP="005E0100">
      <w:pPr>
        <w:pStyle w:val="Prrafodelista"/>
        <w:numPr>
          <w:ilvl w:val="0"/>
          <w:numId w:val="1"/>
        </w:numPr>
        <w:autoSpaceDE w:val="0"/>
        <w:autoSpaceDN w:val="0"/>
        <w:adjustRightInd w:val="0"/>
        <w:spacing w:line="360" w:lineRule="auto"/>
        <w:ind w:left="0" w:firstLine="0"/>
        <w:jc w:val="both"/>
        <w:rPr>
          <w:rFonts w:ascii="Palatino Linotype" w:hAnsi="Palatino Linotype" w:cs="Arial"/>
          <w:sz w:val="24"/>
        </w:rPr>
      </w:pPr>
      <w:r w:rsidRPr="005E0100">
        <w:rPr>
          <w:rFonts w:ascii="Palatino Linotype" w:hAnsi="Palatino Linotype" w:cs="Arial"/>
          <w:sz w:val="24"/>
        </w:rPr>
        <w:t>En conclusión, el Sujeto Obligado es competente para realizar capacitaciones a los servidores pú</w:t>
      </w:r>
      <w:r w:rsidR="000A4693" w:rsidRPr="005E0100">
        <w:rPr>
          <w:rFonts w:ascii="Palatino Linotype" w:hAnsi="Palatino Linotype" w:cs="Arial"/>
          <w:sz w:val="24"/>
        </w:rPr>
        <w:t xml:space="preserve">blicos habilitados, por lo que es dable </w:t>
      </w:r>
      <w:r w:rsidRPr="005E0100">
        <w:rPr>
          <w:rFonts w:ascii="Palatino Linotype" w:hAnsi="Palatino Linotype" w:cs="Arial"/>
          <w:sz w:val="24"/>
        </w:rPr>
        <w:t>ordena</w:t>
      </w:r>
      <w:r w:rsidR="000A4693" w:rsidRPr="005E0100">
        <w:rPr>
          <w:rFonts w:ascii="Palatino Linotype" w:hAnsi="Palatino Linotype" w:cs="Arial"/>
          <w:sz w:val="24"/>
        </w:rPr>
        <w:t>r la entrega</w:t>
      </w:r>
      <w:r w:rsidRPr="005E0100">
        <w:rPr>
          <w:rFonts w:ascii="Palatino Linotype" w:hAnsi="Palatino Linotype" w:cs="Arial"/>
          <w:sz w:val="24"/>
        </w:rPr>
        <w:t>, de ser procedente en versión pública, del uno de enero de dos mil catorce al veinticuatro de septiembre de dos mil veintiuno, el documento o documentos donde consten las capacitaciones a los servidores públicos habilitados de la Fiscalía General de Justicia del Estado de México.</w:t>
      </w:r>
    </w:p>
    <w:p w14:paraId="2B842773" w14:textId="77777777" w:rsidR="000B5874" w:rsidRPr="005E0100" w:rsidRDefault="000B5874" w:rsidP="005E0100">
      <w:pPr>
        <w:pStyle w:val="Prrafodelista"/>
        <w:spacing w:line="360" w:lineRule="auto"/>
        <w:ind w:left="0"/>
        <w:jc w:val="both"/>
        <w:rPr>
          <w:rFonts w:ascii="Palatino Linotype" w:eastAsia="MS Gothic" w:hAnsi="Palatino Linotype"/>
          <w:sz w:val="24"/>
        </w:rPr>
      </w:pPr>
    </w:p>
    <w:p w14:paraId="07EA2F16" w14:textId="77777777" w:rsidR="0090436C" w:rsidRPr="005E0100" w:rsidRDefault="00AB0B6E" w:rsidP="005E0100">
      <w:pPr>
        <w:pStyle w:val="Prrafodelista"/>
        <w:numPr>
          <w:ilvl w:val="0"/>
          <w:numId w:val="1"/>
        </w:numPr>
        <w:spacing w:line="360" w:lineRule="auto"/>
        <w:ind w:left="0" w:firstLine="0"/>
        <w:jc w:val="both"/>
        <w:rPr>
          <w:rFonts w:ascii="Palatino Linotype" w:eastAsia="MS Gothic" w:hAnsi="Palatino Linotype"/>
          <w:sz w:val="24"/>
        </w:rPr>
      </w:pPr>
      <w:r w:rsidRPr="005E0100">
        <w:rPr>
          <w:rFonts w:ascii="Palatino Linotype" w:eastAsia="MS Gothic" w:hAnsi="Palatino Linotype"/>
          <w:sz w:val="24"/>
        </w:rPr>
        <w:t xml:space="preserve">Ahora bien, </w:t>
      </w:r>
      <w:r w:rsidR="0090436C" w:rsidRPr="005E0100">
        <w:rPr>
          <w:rFonts w:ascii="Palatino Linotype" w:eastAsia="MS Gothic" w:hAnsi="Palatino Linotype"/>
          <w:sz w:val="24"/>
        </w:rPr>
        <w:t>por lo que se refiere a la solicitud del nombre de los titulares de la Unidad de Transparencia del año 20</w:t>
      </w:r>
      <w:r w:rsidRPr="005E0100">
        <w:rPr>
          <w:rFonts w:ascii="Palatino Linotype" w:eastAsia="MS Gothic" w:hAnsi="Palatino Linotype"/>
          <w:sz w:val="24"/>
        </w:rPr>
        <w:t>14 al 2021, el sujeto obligado señalo lo siguiente:</w:t>
      </w:r>
    </w:p>
    <w:p w14:paraId="3E1D1D55" w14:textId="77777777" w:rsidR="00AB0B6E" w:rsidRPr="005E0100" w:rsidRDefault="00AB0B6E" w:rsidP="005E0100">
      <w:pPr>
        <w:pStyle w:val="Prrafodelista"/>
        <w:spacing w:line="360" w:lineRule="auto"/>
        <w:ind w:left="0"/>
        <w:jc w:val="both"/>
        <w:rPr>
          <w:rFonts w:ascii="Palatino Linotype" w:eastAsia="MS Gothic" w:hAnsi="Palatino Linotype"/>
          <w:sz w:val="24"/>
        </w:rPr>
      </w:pPr>
    </w:p>
    <w:p w14:paraId="7DFB2483" w14:textId="77777777" w:rsidR="0090436C" w:rsidRPr="005E0100" w:rsidRDefault="00AB0B6E" w:rsidP="005E0100">
      <w:pPr>
        <w:pStyle w:val="Prrafodelista"/>
        <w:spacing w:line="360" w:lineRule="auto"/>
        <w:ind w:left="0"/>
        <w:jc w:val="center"/>
        <w:rPr>
          <w:rFonts w:ascii="Palatino Linotype" w:eastAsia="MS Gothic" w:hAnsi="Palatino Linotype"/>
          <w:sz w:val="24"/>
        </w:rPr>
      </w:pPr>
      <w:r w:rsidRPr="005E0100">
        <w:rPr>
          <w:rFonts w:ascii="Palatino Linotype" w:hAnsi="Palatino Linotype"/>
          <w:noProof/>
          <w:lang w:val="es-ES" w:eastAsia="es-ES"/>
        </w:rPr>
        <w:drawing>
          <wp:inline distT="0" distB="0" distL="0" distR="0" wp14:anchorId="01AFA86F" wp14:editId="4ADD5D33">
            <wp:extent cx="4893049" cy="215265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47" t="42577" r="26194" b="18879"/>
                    <a:stretch/>
                  </pic:blipFill>
                  <pic:spPr bwMode="auto">
                    <a:xfrm>
                      <a:off x="0" y="0"/>
                      <a:ext cx="4921374" cy="2165111"/>
                    </a:xfrm>
                    <a:prstGeom prst="rect">
                      <a:avLst/>
                    </a:prstGeom>
                    <a:ln>
                      <a:noFill/>
                    </a:ln>
                    <a:extLst>
                      <a:ext uri="{53640926-AAD7-44D8-BBD7-CCE9431645EC}">
                        <a14:shadowObscured xmlns:a14="http://schemas.microsoft.com/office/drawing/2010/main"/>
                      </a:ext>
                    </a:extLst>
                  </pic:spPr>
                </pic:pic>
              </a:graphicData>
            </a:graphic>
          </wp:inline>
        </w:drawing>
      </w:r>
    </w:p>
    <w:p w14:paraId="26B49F3E" w14:textId="77777777" w:rsidR="004C687A" w:rsidRPr="005E0100" w:rsidRDefault="004C687A" w:rsidP="005E0100">
      <w:pPr>
        <w:pStyle w:val="Prrafodelista"/>
        <w:spacing w:line="360" w:lineRule="auto"/>
        <w:ind w:left="0"/>
        <w:jc w:val="center"/>
        <w:rPr>
          <w:rFonts w:ascii="Palatino Linotype" w:eastAsia="MS Gothic" w:hAnsi="Palatino Linotype"/>
          <w:sz w:val="24"/>
        </w:rPr>
      </w:pPr>
    </w:p>
    <w:p w14:paraId="7A4DC57E" w14:textId="77777777" w:rsidR="00AB0B6E" w:rsidRPr="005E0100" w:rsidRDefault="00AB0B6E" w:rsidP="005E0100">
      <w:pPr>
        <w:pStyle w:val="Prrafodelista"/>
        <w:numPr>
          <w:ilvl w:val="0"/>
          <w:numId w:val="1"/>
        </w:numPr>
        <w:spacing w:line="360" w:lineRule="auto"/>
        <w:ind w:left="0" w:firstLine="0"/>
        <w:jc w:val="both"/>
        <w:rPr>
          <w:rFonts w:ascii="Palatino Linotype" w:eastAsia="MS Gothic" w:hAnsi="Palatino Linotype"/>
          <w:sz w:val="24"/>
        </w:rPr>
      </w:pPr>
      <w:r w:rsidRPr="005E0100">
        <w:rPr>
          <w:rFonts w:ascii="Palatino Linotype" w:eastAsia="MS Gothic" w:hAnsi="Palatino Linotype"/>
          <w:sz w:val="24"/>
        </w:rPr>
        <w:t xml:space="preserve">Cabe señalar, que adjunto los siguiente documentos donde consta el nombre de los servidores públicos señalados como Titulares de </w:t>
      </w:r>
      <w:r w:rsidR="003975D3" w:rsidRPr="005E0100">
        <w:rPr>
          <w:rFonts w:ascii="Palatino Linotype" w:eastAsia="MS Gothic" w:hAnsi="Palatino Linotype"/>
          <w:sz w:val="24"/>
        </w:rPr>
        <w:t>la Unidad de Transparencia:</w:t>
      </w:r>
    </w:p>
    <w:p w14:paraId="149E66EA" w14:textId="77777777" w:rsidR="003975D3" w:rsidRPr="005E0100" w:rsidRDefault="003975D3" w:rsidP="005E0100">
      <w:pPr>
        <w:pStyle w:val="Prrafodelista"/>
        <w:spacing w:line="360" w:lineRule="auto"/>
        <w:ind w:left="0"/>
        <w:jc w:val="both"/>
        <w:rPr>
          <w:rFonts w:ascii="Palatino Linotype" w:eastAsia="MS Gothic" w:hAnsi="Palatino Linotype"/>
          <w:sz w:val="24"/>
        </w:rPr>
      </w:pPr>
    </w:p>
    <w:p w14:paraId="1BDEE777" w14:textId="77777777" w:rsidR="003975D3" w:rsidRPr="005E0100" w:rsidRDefault="003975D3" w:rsidP="005E0100">
      <w:pPr>
        <w:pStyle w:val="Prrafodelista"/>
        <w:spacing w:line="360" w:lineRule="auto"/>
        <w:ind w:left="0"/>
        <w:jc w:val="center"/>
        <w:rPr>
          <w:rFonts w:ascii="Palatino Linotype" w:eastAsia="MS Gothic" w:hAnsi="Palatino Linotype"/>
          <w:sz w:val="24"/>
        </w:rPr>
      </w:pPr>
      <w:r w:rsidRPr="005E0100">
        <w:rPr>
          <w:rFonts w:ascii="Palatino Linotype" w:hAnsi="Palatino Linotype"/>
          <w:noProof/>
          <w:lang w:val="es-ES" w:eastAsia="es-ES"/>
        </w:rPr>
        <mc:AlternateContent>
          <mc:Choice Requires="wps">
            <w:drawing>
              <wp:anchor distT="0" distB="0" distL="114300" distR="114300" simplePos="0" relativeHeight="251660288" behindDoc="0" locked="0" layoutInCell="1" allowOverlap="1" wp14:anchorId="294D542F" wp14:editId="16A353B6">
                <wp:simplePos x="0" y="0"/>
                <wp:positionH relativeFrom="column">
                  <wp:posOffset>515620</wp:posOffset>
                </wp:positionH>
                <wp:positionV relativeFrom="paragraph">
                  <wp:posOffset>1452880</wp:posOffset>
                </wp:positionV>
                <wp:extent cx="4743450" cy="533400"/>
                <wp:effectExtent l="19050" t="19050" r="19050" b="19050"/>
                <wp:wrapNone/>
                <wp:docPr id="8" name="Rectángulo redondeado 8"/>
                <wp:cNvGraphicFramePr/>
                <a:graphic xmlns:a="http://schemas.openxmlformats.org/drawingml/2006/main">
                  <a:graphicData uri="http://schemas.microsoft.com/office/word/2010/wordprocessingShape">
                    <wps:wsp>
                      <wps:cNvSpPr/>
                      <wps:spPr>
                        <a:xfrm>
                          <a:off x="0" y="0"/>
                          <a:ext cx="4743450" cy="5334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62762E" id="Rectángulo redondeado 8" o:spid="_x0000_s1026" style="position:absolute;margin-left:40.6pt;margin-top:114.4pt;width:373.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pYaqwIAAKEFAAAOAAAAZHJzL2Uyb0RvYy54bWysVMluGzEMvRfoPwi6N+Nl3KRGxoGRwEWB&#10;IA2SFDnLGskzgEZUKXnr3/Rb+mOlNEuMNOihqA+yOCQfxcfl8urQGLZT6GuwBR+fjThTVkJZ203B&#10;vz2tPlxw5oOwpTBgVcGPyvOrxft3l3s3VxOowJQKGYFYP9+7glchuHmWeVmpRvgzcMqSUgM2IpCI&#10;m6xEsSf0xmST0ehjtgcsHYJU3tPXm1bJFwlfayXDV629CswUnN4W0onpXMczW1yK+QaFq2rZPUP8&#10;wysaUVsKOkDdiCDYFus/oJpaInjQ4UxCk4HWtVQpB8pmPHqVzWMlnEq5EDneDTT5/wcr73b3yOqy&#10;4FQoKxoq0QOR9uun3WwNMFQl2FKJEthF5Grv/JxcHt09dpKna0z8oLGJ/5QSOyR+jwO/6hCYpI/5&#10;eT7NZ1QGSbrZdJqPUgGyF2+HPnxW0LB4KTjC1pbxPYlbsbv1gcKSfW8XI1pY1cakQhrL9gWfXowJ&#10;OKo8mLqM2iTgZn1tkO0E9cJqNaJfTInQTsxIMpY+xkTb1NItHI2KGMY+KE10UTKTNkJsVDXACimV&#10;DeNWVYlStdFmp8F6jxQ6AUZkTa8csDuA3rIF6bHbN3f20VWlPh+cu9T/5jx4pMhgw+Dc1BbwrcwM&#10;ZdVFbu17klpqIktrKI/UTAjtlHknVzWV8Vb4cC+QxooqT6sifKVDG6BKQXfjrAL88db3aE/dTlrO&#10;9jSmBffftwIVZ+aLpTn4NM7zONdJyGfnExLwVLM+1dhtcw1U/TEtJSfTNdoH0181QvNMG2UZo5JK&#10;WEmxCy4D9sJ1aNcH7SSplstkRrPsRLi1j05G8Mhq7NCnw7NA1/VyoCm4g36kxfxVN7e20dPCchtA&#10;16nVX3jt+KY9kBqn21lx0ZzKyeplsy5+AwAA//8DAFBLAwQUAAYACAAAACEAtDverNwAAAAKAQAA&#10;DwAAAGRycy9kb3ducmV2LnhtbEyPwU7DMAyG70i8Q+RJ3FjaVEJRaTpNQ4gr2+DALWu8tqJxSpNu&#10;5e0xJzja/vT7+6vN4gdxwSn2gQzk6wwEUhNcT62Bt+PzvQYRkyVnh0Bo4BsjbOrbm8qWLlxpj5dD&#10;agWHUCytgS6lsZQyNh16G9dhROLbOUzeJh6nVrrJXjncD1Jl2YP0tif+0NkRdx02n4fZG3Ckzvq1&#10;eIlfHwvNxe6YP+27d2PuVsv2EUTCJf3B8KvP6lCz0ynM5KIYDOhcMWlAKc0VGNBK8+ZkoMiVBllX&#10;8n+F+gcAAP//AwBQSwECLQAUAAYACAAAACEAtoM4kv4AAADhAQAAEwAAAAAAAAAAAAAAAAAAAAAA&#10;W0NvbnRlbnRfVHlwZXNdLnhtbFBLAQItABQABgAIAAAAIQA4/SH/1gAAAJQBAAALAAAAAAAAAAAA&#10;AAAAAC8BAABfcmVscy8ucmVsc1BLAQItABQABgAIAAAAIQC75pYaqwIAAKEFAAAOAAAAAAAAAAAA&#10;AAAAAC4CAABkcnMvZTJvRG9jLnhtbFBLAQItABQABgAIAAAAIQC0O96s3AAAAAoBAAAPAAAAAAAA&#10;AAAAAAAAAAUFAABkcnMvZG93bnJldi54bWxQSwUGAAAAAAQABADzAAAADgYAAAAA&#10;" filled="f" strokecolor="red" strokeweight="3pt">
                <v:stroke joinstyle="miter"/>
              </v:roundrect>
            </w:pict>
          </mc:Fallback>
        </mc:AlternateContent>
      </w:r>
      <w:r w:rsidRPr="005E0100">
        <w:rPr>
          <w:rFonts w:ascii="Palatino Linotype" w:hAnsi="Palatino Linotype"/>
          <w:noProof/>
          <w:lang w:val="es-ES" w:eastAsia="es-ES"/>
        </w:rPr>
        <w:drawing>
          <wp:inline distT="0" distB="0" distL="0" distR="0" wp14:anchorId="12CF2F48" wp14:editId="31559F8B">
            <wp:extent cx="4806012" cy="2838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878" t="25664" r="25697" b="22419"/>
                    <a:stretch/>
                  </pic:blipFill>
                  <pic:spPr bwMode="auto">
                    <a:xfrm>
                      <a:off x="0" y="0"/>
                      <a:ext cx="4832356" cy="2854009"/>
                    </a:xfrm>
                    <a:prstGeom prst="rect">
                      <a:avLst/>
                    </a:prstGeom>
                    <a:ln>
                      <a:noFill/>
                    </a:ln>
                    <a:extLst>
                      <a:ext uri="{53640926-AAD7-44D8-BBD7-CCE9431645EC}">
                        <a14:shadowObscured xmlns:a14="http://schemas.microsoft.com/office/drawing/2010/main"/>
                      </a:ext>
                    </a:extLst>
                  </pic:spPr>
                </pic:pic>
              </a:graphicData>
            </a:graphic>
          </wp:inline>
        </w:drawing>
      </w:r>
    </w:p>
    <w:p w14:paraId="51628C82" w14:textId="77777777" w:rsidR="003975D3" w:rsidRPr="005E0100" w:rsidRDefault="003975D3" w:rsidP="005E0100">
      <w:pPr>
        <w:pStyle w:val="Prrafodelista"/>
        <w:spacing w:line="360" w:lineRule="auto"/>
        <w:ind w:left="0"/>
        <w:jc w:val="center"/>
        <w:rPr>
          <w:rFonts w:ascii="Palatino Linotype" w:eastAsia="MS Gothic" w:hAnsi="Palatino Linotype"/>
          <w:sz w:val="24"/>
        </w:rPr>
      </w:pPr>
      <w:r w:rsidRPr="005E0100">
        <w:rPr>
          <w:rFonts w:ascii="Palatino Linotype" w:hAnsi="Palatino Linotype"/>
          <w:noProof/>
          <w:lang w:val="es-ES" w:eastAsia="es-ES"/>
        </w:rPr>
        <w:lastRenderedPageBreak/>
        <mc:AlternateContent>
          <mc:Choice Requires="wps">
            <w:drawing>
              <wp:anchor distT="0" distB="0" distL="114300" distR="114300" simplePos="0" relativeHeight="251662336" behindDoc="0" locked="0" layoutInCell="1" allowOverlap="1" wp14:anchorId="3CD66ECA" wp14:editId="09650651">
                <wp:simplePos x="0" y="0"/>
                <wp:positionH relativeFrom="margin">
                  <wp:posOffset>372745</wp:posOffset>
                </wp:positionH>
                <wp:positionV relativeFrom="paragraph">
                  <wp:posOffset>1510030</wp:posOffset>
                </wp:positionV>
                <wp:extent cx="4943475" cy="466725"/>
                <wp:effectExtent l="19050" t="19050" r="28575" b="28575"/>
                <wp:wrapNone/>
                <wp:docPr id="10" name="Rectángulo redondeado 10"/>
                <wp:cNvGraphicFramePr/>
                <a:graphic xmlns:a="http://schemas.openxmlformats.org/drawingml/2006/main">
                  <a:graphicData uri="http://schemas.microsoft.com/office/word/2010/wordprocessingShape">
                    <wps:wsp>
                      <wps:cNvSpPr/>
                      <wps:spPr>
                        <a:xfrm>
                          <a:off x="0" y="0"/>
                          <a:ext cx="4943475" cy="4667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F60C54" id="Rectángulo redondeado 10" o:spid="_x0000_s1026" style="position:absolute;margin-left:29.35pt;margin-top:118.9pt;width:389.25pt;height:3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azrgIAAKMFAAAOAAAAZHJzL2Uyb0RvYy54bWysVM1u2zAMvg/YOwi6r3ZSpz9BnSJokWFA&#10;0RVth54VWYoNyKImKXGyt9mz7MVGSbYbdMUOw3yQJZH8SH4ieXW9bxXZCesa0CWdnOSUCM2havSm&#10;pN+eV58uKHGe6Yop0KKkB+Ho9eLjh6vOzMUUalCVsARBtJt3pqS192aeZY7XomXuBIzQKJRgW+bx&#10;aDdZZVmH6K3Kpnl+lnVgK2OBC+fw9jYJ6SLiSym4/yqlE56okmJsPq42ruuwZosrNt9YZuqG92Gw&#10;f4iiZY1GpyPULfOMbG3zB1TbcAsOpD/h0GYgZcNFzAGzmeRvsnmqmRExFyTHmZEm9/9g+f3uwZKm&#10;wrdDejRr8Y0ekbVfP/Vmq4BYUYGuBKuAoAKy1Rk3R6Mn82D7k8NtSH0vbRv+mBTZR4YPI8Ni7wnH&#10;y+KyOC3OZ5RwlBVnZ+fTWQDNXq2Ndf6zgJaETUktbHUVAorsst2d80l/0AseNawapfCezZUmXUlP&#10;LyZ5Hi0cqKYK0iB0drO+UZbsGFbDapXj13s/UsNYlMaQQqIptbjzByWSg0chkTBMZpo8hFIVIyzj&#10;XGg/SaKaVSJ5mx07Gyxi4kojYECWGOWI3QMMmglkwE4M9PrBVMRKH4371P9mPFpEz6D9aNw2Gux7&#10;mSnMqvec9AeSEjWBpTVUBywnC6nPnOGrBp/xjjn/wCw2FtYYDgv/FRepAF8K+h0lNdgf790Hfax3&#10;lFLSYaOW1H3fMisoUV80dsLlpChCZ8dDMTuf4sEeS9bHEr1tbwBff4JjyfC4DfpeDVtpoX3BmbIM&#10;XlHENEffJeXeDocbnwYITiUulsuoht1smL/TT4YH8MBqqNDn/Quzpq9lj11wD0NTs/mbak66wVLD&#10;cutBNrHUX3nt+cZJEAunn1ph1Byfo9brbF38BgAA//8DAFBLAwQUAAYACAAAACEACl6vFN4AAAAK&#10;AQAADwAAAGRycy9kb3ducmV2LnhtbEyPwU7DMBBE70j8g7VI3KiTWJAoZFOhIsSVtnDg5sbbJCJe&#10;h9hpw99jTvS42qeZN9V6sYM40eR7xwjpKgFB3DjTc4vwvn+5K0D4oNnowTEh/JCHdX19VenSuDNv&#10;6bQLrYgh7EuN0IUwllL6piOr/cqNxPF3dJPVIZ5TK82kzzHcDjJLkgdpdc+xodMjbTpqvnazRTCc&#10;HYs39eq/Pxee1WafPm+7D8Tbm+XpEUSgJfzD8Kcf1aGOTgc3s/FiQLgv8kgiZCqPEyJQqDwDcUBQ&#10;aapA1pW8nFD/AgAA//8DAFBLAQItABQABgAIAAAAIQC2gziS/gAAAOEBAAATAAAAAAAAAAAAAAAA&#10;AAAAAABbQ29udGVudF9UeXBlc10ueG1sUEsBAi0AFAAGAAgAAAAhADj9If/WAAAAlAEAAAsAAAAA&#10;AAAAAAAAAAAALwEAAF9yZWxzLy5yZWxzUEsBAi0AFAAGAAgAAAAhAHio1rOuAgAAowUAAA4AAAAA&#10;AAAAAAAAAAAALgIAAGRycy9lMm9Eb2MueG1sUEsBAi0AFAAGAAgAAAAhAAperxTeAAAACgEAAA8A&#10;AAAAAAAAAAAAAAAACAUAAGRycy9kb3ducmV2LnhtbFBLBQYAAAAABAAEAPMAAAATBgAAAAA=&#10;" filled="f" strokecolor="red" strokeweight="3pt">
                <v:stroke joinstyle="miter"/>
                <w10:wrap anchorx="margin"/>
              </v:roundrect>
            </w:pict>
          </mc:Fallback>
        </mc:AlternateContent>
      </w:r>
      <w:r w:rsidRPr="005E0100">
        <w:rPr>
          <w:rFonts w:ascii="Palatino Linotype" w:hAnsi="Palatino Linotype"/>
          <w:noProof/>
          <w:lang w:val="es-ES" w:eastAsia="es-ES"/>
        </w:rPr>
        <w:drawing>
          <wp:inline distT="0" distB="0" distL="0" distR="0" wp14:anchorId="03AFF71E" wp14:editId="10A7FB64">
            <wp:extent cx="5041323" cy="273367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040" t="21829" r="26857" b="32743"/>
                    <a:stretch/>
                  </pic:blipFill>
                  <pic:spPr bwMode="auto">
                    <a:xfrm>
                      <a:off x="0" y="0"/>
                      <a:ext cx="5065452" cy="2746759"/>
                    </a:xfrm>
                    <a:prstGeom prst="rect">
                      <a:avLst/>
                    </a:prstGeom>
                    <a:ln>
                      <a:noFill/>
                    </a:ln>
                    <a:extLst>
                      <a:ext uri="{53640926-AAD7-44D8-BBD7-CCE9431645EC}">
                        <a14:shadowObscured xmlns:a14="http://schemas.microsoft.com/office/drawing/2010/main"/>
                      </a:ext>
                    </a:extLst>
                  </pic:spPr>
                </pic:pic>
              </a:graphicData>
            </a:graphic>
          </wp:inline>
        </w:drawing>
      </w:r>
    </w:p>
    <w:p w14:paraId="4CB52D9E" w14:textId="77777777" w:rsidR="003975D3" w:rsidRPr="005E0100" w:rsidRDefault="003975D3" w:rsidP="005E0100">
      <w:pPr>
        <w:pStyle w:val="Prrafodelista"/>
        <w:spacing w:line="360" w:lineRule="auto"/>
        <w:ind w:left="0"/>
        <w:jc w:val="center"/>
        <w:rPr>
          <w:rFonts w:ascii="Palatino Linotype" w:eastAsia="MS Gothic" w:hAnsi="Palatino Linotype"/>
          <w:sz w:val="24"/>
        </w:rPr>
      </w:pPr>
      <w:r w:rsidRPr="005E0100">
        <w:rPr>
          <w:rFonts w:ascii="Palatino Linotype" w:hAnsi="Palatino Linotype"/>
          <w:noProof/>
          <w:lang w:val="es-ES" w:eastAsia="es-ES"/>
        </w:rPr>
        <w:drawing>
          <wp:inline distT="0" distB="0" distL="0" distR="0" wp14:anchorId="1763D55E" wp14:editId="6BFD26CD">
            <wp:extent cx="4248150" cy="3155329"/>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03" t="27139" r="27521" b="12389"/>
                    <a:stretch/>
                  </pic:blipFill>
                  <pic:spPr bwMode="auto">
                    <a:xfrm>
                      <a:off x="0" y="0"/>
                      <a:ext cx="4268410" cy="3170377"/>
                    </a:xfrm>
                    <a:prstGeom prst="rect">
                      <a:avLst/>
                    </a:prstGeom>
                    <a:ln>
                      <a:noFill/>
                    </a:ln>
                    <a:extLst>
                      <a:ext uri="{53640926-AAD7-44D8-BBD7-CCE9431645EC}">
                        <a14:shadowObscured xmlns:a14="http://schemas.microsoft.com/office/drawing/2010/main"/>
                      </a:ext>
                    </a:extLst>
                  </pic:spPr>
                </pic:pic>
              </a:graphicData>
            </a:graphic>
          </wp:inline>
        </w:drawing>
      </w:r>
    </w:p>
    <w:p w14:paraId="5DA3F0CC" w14:textId="77777777" w:rsidR="003975D3" w:rsidRPr="005E0100" w:rsidRDefault="003975D3" w:rsidP="005E0100">
      <w:pPr>
        <w:pStyle w:val="Prrafodelista"/>
        <w:spacing w:line="360" w:lineRule="auto"/>
        <w:ind w:left="0"/>
        <w:jc w:val="both"/>
        <w:rPr>
          <w:rFonts w:ascii="Palatino Linotype" w:eastAsia="MS Gothic" w:hAnsi="Palatino Linotype"/>
          <w:sz w:val="24"/>
        </w:rPr>
      </w:pPr>
    </w:p>
    <w:p w14:paraId="75599940" w14:textId="77777777" w:rsidR="003975D3" w:rsidRPr="005E0100" w:rsidRDefault="003975D3" w:rsidP="005E0100">
      <w:pPr>
        <w:pStyle w:val="Prrafodelista"/>
        <w:spacing w:line="360" w:lineRule="auto"/>
        <w:ind w:left="0"/>
        <w:jc w:val="both"/>
        <w:rPr>
          <w:rFonts w:ascii="Palatino Linotype" w:eastAsia="MS Gothic" w:hAnsi="Palatino Linotype"/>
          <w:sz w:val="24"/>
        </w:rPr>
      </w:pPr>
    </w:p>
    <w:p w14:paraId="09590F9C" w14:textId="77777777" w:rsidR="004C687A" w:rsidRPr="005E0100" w:rsidRDefault="000B5874" w:rsidP="005E0100">
      <w:pPr>
        <w:pStyle w:val="Prrafodelista"/>
        <w:numPr>
          <w:ilvl w:val="0"/>
          <w:numId w:val="1"/>
        </w:numPr>
        <w:spacing w:line="360" w:lineRule="auto"/>
        <w:ind w:left="0" w:firstLine="0"/>
        <w:jc w:val="both"/>
        <w:rPr>
          <w:rFonts w:ascii="Palatino Linotype" w:eastAsia="MS Gothic" w:hAnsi="Palatino Linotype"/>
          <w:sz w:val="24"/>
        </w:rPr>
      </w:pPr>
      <w:r w:rsidRPr="005E0100">
        <w:rPr>
          <w:rFonts w:ascii="Palatino Linotype" w:eastAsia="MS Gothic" w:hAnsi="Palatino Linotype"/>
          <w:sz w:val="24"/>
        </w:rPr>
        <w:t xml:space="preserve">Derivado de la respuesta del Sujeto Obligado, debemos señalar que el artículo 12 de la Ley de Transparencia y Acceso a la Información Pública del Estado de México </w:t>
      </w:r>
      <w:r w:rsidRPr="005E0100">
        <w:rPr>
          <w:rFonts w:ascii="Palatino Linotype" w:eastAsia="MS Gothic" w:hAnsi="Palatino Linotype"/>
          <w:sz w:val="24"/>
        </w:rPr>
        <w:lastRenderedPageBreak/>
        <w:t xml:space="preserve">y Municipios establece que </w:t>
      </w:r>
      <w:r w:rsidRPr="005E0100">
        <w:rPr>
          <w:rFonts w:ascii="Palatino Linotype" w:hAnsi="Palatino Linotype"/>
          <w:sz w:val="24"/>
        </w:rPr>
        <w:t xml:space="preserve">los sujetos obligados sólo proporcionarán la información pública que se les requiera y que obre en sus archivos y en el estado en que ésta se encuentre. La obligación de proporcionar información </w:t>
      </w:r>
      <w:r w:rsidRPr="005E0100">
        <w:rPr>
          <w:rFonts w:ascii="Palatino Linotype" w:hAnsi="Palatino Linotype"/>
          <w:b/>
          <w:sz w:val="24"/>
        </w:rPr>
        <w:t>no comprende el procesamiento de la misma, ni el presentarla conforme al interés del solicitante</w:t>
      </w:r>
      <w:r w:rsidRPr="005E0100">
        <w:rPr>
          <w:rFonts w:ascii="Palatino Linotype" w:hAnsi="Palatino Linotype"/>
          <w:sz w:val="24"/>
        </w:rPr>
        <w:t xml:space="preserve">; no estarán obligados a </w:t>
      </w:r>
      <w:r w:rsidRPr="005E0100">
        <w:rPr>
          <w:rFonts w:ascii="Palatino Linotype" w:hAnsi="Palatino Linotype"/>
          <w:b/>
          <w:sz w:val="24"/>
        </w:rPr>
        <w:t>generarla, resumirla, efectuar cálculos o practicar investigaciones</w:t>
      </w:r>
      <w:r w:rsidRPr="005E0100">
        <w:rPr>
          <w:rFonts w:ascii="Palatino Linotype" w:hAnsi="Palatino Linotype"/>
          <w:sz w:val="24"/>
        </w:rPr>
        <w:t>.</w:t>
      </w:r>
      <w:r w:rsidRPr="005E0100">
        <w:rPr>
          <w:rFonts w:ascii="Palatino Linotype" w:eastAsia="MS Gothic" w:hAnsi="Palatino Linotype"/>
          <w:sz w:val="24"/>
        </w:rPr>
        <w:t xml:space="preserve"> </w:t>
      </w:r>
    </w:p>
    <w:p w14:paraId="38B881C1" w14:textId="77777777" w:rsidR="004C687A" w:rsidRPr="005E0100" w:rsidRDefault="004C687A" w:rsidP="005E0100">
      <w:pPr>
        <w:pStyle w:val="Prrafodelista"/>
        <w:spacing w:line="360" w:lineRule="auto"/>
        <w:ind w:left="0"/>
        <w:jc w:val="both"/>
        <w:rPr>
          <w:rFonts w:ascii="Palatino Linotype" w:eastAsia="MS Gothic" w:hAnsi="Palatino Linotype"/>
          <w:sz w:val="24"/>
        </w:rPr>
      </w:pPr>
    </w:p>
    <w:p w14:paraId="195697CA" w14:textId="77777777" w:rsidR="000B5874" w:rsidRDefault="003975D3" w:rsidP="005E0100">
      <w:pPr>
        <w:pStyle w:val="Prrafodelista"/>
        <w:numPr>
          <w:ilvl w:val="0"/>
          <w:numId w:val="1"/>
        </w:numPr>
        <w:spacing w:line="360" w:lineRule="auto"/>
        <w:ind w:left="0" w:firstLine="0"/>
        <w:jc w:val="both"/>
        <w:rPr>
          <w:rFonts w:ascii="Palatino Linotype" w:eastAsia="MS Gothic" w:hAnsi="Palatino Linotype"/>
          <w:sz w:val="24"/>
        </w:rPr>
      </w:pPr>
      <w:r w:rsidRPr="005E0100">
        <w:rPr>
          <w:rFonts w:ascii="Palatino Linotype" w:eastAsia="MS Gothic" w:hAnsi="Palatino Linotype"/>
          <w:sz w:val="24"/>
        </w:rPr>
        <w:t xml:space="preserve">En </w:t>
      </w:r>
      <w:r w:rsidR="000B5874" w:rsidRPr="005E0100">
        <w:rPr>
          <w:rFonts w:ascii="Palatino Linotype" w:eastAsia="MS Gothic" w:hAnsi="Palatino Linotype"/>
          <w:sz w:val="24"/>
        </w:rPr>
        <w:t>concordancia con el fundamento legal referido</w:t>
      </w:r>
      <w:r w:rsidRPr="005E0100">
        <w:rPr>
          <w:rFonts w:ascii="Palatino Linotype" w:eastAsia="MS Gothic" w:hAnsi="Palatino Linotype"/>
          <w:sz w:val="24"/>
        </w:rPr>
        <w:t>,</w:t>
      </w:r>
      <w:r w:rsidR="000B5874" w:rsidRPr="005E0100">
        <w:rPr>
          <w:rFonts w:ascii="Palatino Linotype" w:eastAsia="MS Gothic" w:hAnsi="Palatino Linotype"/>
          <w:sz w:val="24"/>
        </w:rPr>
        <w:t xml:space="preserve"> podemos concluir que con la entrega de los documentos en donde consta el nombre de los servidores públicos Titulares de la Unidad de Transparencia de los años solicitados, se </w:t>
      </w:r>
      <w:r w:rsidR="004C687A" w:rsidRPr="005E0100">
        <w:rPr>
          <w:rFonts w:ascii="Palatino Linotype" w:eastAsia="MS Gothic" w:hAnsi="Palatino Linotype"/>
          <w:sz w:val="24"/>
        </w:rPr>
        <w:t>colma el derecho de acceso a la información pública del particular.</w:t>
      </w:r>
    </w:p>
    <w:p w14:paraId="2A09EF95" w14:textId="77777777" w:rsidR="00967C3C" w:rsidRPr="005E0100" w:rsidRDefault="00967C3C" w:rsidP="00967C3C">
      <w:pPr>
        <w:pStyle w:val="Prrafodelista"/>
        <w:spacing w:line="360" w:lineRule="auto"/>
        <w:ind w:left="0"/>
        <w:jc w:val="both"/>
        <w:rPr>
          <w:rFonts w:ascii="Palatino Linotype" w:eastAsia="MS Gothic" w:hAnsi="Palatino Linotype"/>
          <w:sz w:val="24"/>
        </w:rPr>
      </w:pPr>
    </w:p>
    <w:p w14:paraId="5A3900BE" w14:textId="77777777" w:rsidR="00CD7E0B" w:rsidRPr="005E0100" w:rsidRDefault="00CD7E0B" w:rsidP="005E0100">
      <w:pPr>
        <w:pStyle w:val="Ttulo1"/>
        <w:spacing w:before="0" w:line="360" w:lineRule="auto"/>
        <w:rPr>
          <w:rFonts w:ascii="Palatino Linotype" w:hAnsi="Palatino Linotype"/>
          <w:b/>
          <w:color w:val="auto"/>
          <w:sz w:val="24"/>
          <w:szCs w:val="24"/>
          <w:lang w:val="es-ES_tradnl"/>
        </w:rPr>
      </w:pPr>
      <w:bookmarkStart w:id="25" w:name="_Toc83830730"/>
      <w:bookmarkStart w:id="26" w:name="_Toc85125477"/>
      <w:bookmarkStart w:id="27" w:name="_Toc92984375"/>
      <w:r w:rsidRPr="005E0100">
        <w:rPr>
          <w:rFonts w:ascii="Palatino Linotype" w:hAnsi="Palatino Linotype"/>
          <w:b/>
          <w:color w:val="auto"/>
          <w:sz w:val="24"/>
          <w:szCs w:val="24"/>
          <w:lang w:val="es-ES_tradnl"/>
        </w:rPr>
        <w:t>I</w:t>
      </w:r>
      <w:r w:rsidR="004C687A" w:rsidRPr="005E0100">
        <w:rPr>
          <w:rFonts w:ascii="Palatino Linotype" w:hAnsi="Palatino Linotype"/>
          <w:b/>
          <w:color w:val="auto"/>
          <w:sz w:val="24"/>
          <w:szCs w:val="24"/>
          <w:lang w:val="es-ES_tradnl"/>
        </w:rPr>
        <w:t>II</w:t>
      </w:r>
      <w:r w:rsidRPr="005E0100">
        <w:rPr>
          <w:rFonts w:ascii="Palatino Linotype" w:hAnsi="Palatino Linotype"/>
          <w:b/>
          <w:color w:val="auto"/>
          <w:sz w:val="24"/>
          <w:szCs w:val="24"/>
          <w:lang w:val="es-ES_tradnl"/>
        </w:rPr>
        <w:t>. De la conservación de los documentos.</w:t>
      </w:r>
      <w:bookmarkEnd w:id="25"/>
      <w:bookmarkEnd w:id="26"/>
      <w:bookmarkEnd w:id="27"/>
    </w:p>
    <w:p w14:paraId="57DE5C27" w14:textId="77777777" w:rsidR="00CD7E0B" w:rsidRPr="005E0100" w:rsidRDefault="00CD7E0B" w:rsidP="005E0100">
      <w:pPr>
        <w:spacing w:line="360" w:lineRule="auto"/>
        <w:rPr>
          <w:rFonts w:ascii="Palatino Linotype" w:eastAsia="MS Mincho" w:hAnsi="Palatino Linotype"/>
          <w:lang w:val="es-ES_tradnl"/>
        </w:rPr>
      </w:pPr>
    </w:p>
    <w:p w14:paraId="088229ED" w14:textId="77777777" w:rsidR="00CD7E0B" w:rsidRPr="005E0100" w:rsidRDefault="00CD7E0B" w:rsidP="005E0100">
      <w:pPr>
        <w:pStyle w:val="Prrafodelista"/>
        <w:numPr>
          <w:ilvl w:val="0"/>
          <w:numId w:val="9"/>
        </w:numPr>
        <w:tabs>
          <w:tab w:val="left" w:pos="851"/>
        </w:tabs>
        <w:spacing w:line="360" w:lineRule="auto"/>
        <w:ind w:left="0" w:right="49" w:firstLine="0"/>
        <w:jc w:val="both"/>
        <w:rPr>
          <w:rFonts w:ascii="Palatino Linotype" w:hAnsi="Palatino Linotype"/>
          <w:sz w:val="24"/>
          <w:lang w:eastAsia="en-US"/>
        </w:rPr>
      </w:pPr>
      <w:r w:rsidRPr="005E0100">
        <w:rPr>
          <w:rFonts w:ascii="Palatino Linotype" w:hAnsi="Palatino Linotype"/>
          <w:sz w:val="24"/>
        </w:rPr>
        <w:t xml:space="preserve">Por otro lado, el particular solicitó la información del año dos mil catorce al año dos mil veintiuno, al respecto, debemos señalar primeramente que  la Ley de Documentos Administrativos e Históricos del Estado de México establece los </w:t>
      </w:r>
      <w:r w:rsidRPr="005E0100">
        <w:rPr>
          <w:rFonts w:ascii="Palatino Linotype" w:hAnsi="Palatino Linotype"/>
          <w:b/>
          <w:sz w:val="24"/>
        </w:rPr>
        <w:t>sistemas de control y apoyo técnico para la clasificación, catalogación, conservación, reproducción, resguardo y depuración de los documentos con valor histórico</w:t>
      </w:r>
      <w:r w:rsidRPr="005E0100">
        <w:rPr>
          <w:rFonts w:ascii="Palatino Linotype" w:hAnsi="Palatino Linotype"/>
          <w:sz w:val="24"/>
        </w:rPr>
        <w:t>, con señalamiento de las áreas de fumigación, restauración y encuadernación.</w:t>
      </w:r>
    </w:p>
    <w:p w14:paraId="048F0FD7" w14:textId="77777777" w:rsidR="00CD7E0B" w:rsidRPr="005E0100" w:rsidRDefault="00CD7E0B" w:rsidP="005E0100">
      <w:pPr>
        <w:numPr>
          <w:ilvl w:val="0"/>
          <w:numId w:val="9"/>
        </w:numPr>
        <w:tabs>
          <w:tab w:val="left" w:pos="851"/>
        </w:tabs>
        <w:spacing w:line="360" w:lineRule="auto"/>
        <w:ind w:left="0" w:right="49" w:firstLine="0"/>
        <w:contextualSpacing/>
        <w:jc w:val="both"/>
        <w:rPr>
          <w:rFonts w:ascii="Palatino Linotype" w:hAnsi="Palatino Linotype"/>
        </w:rPr>
      </w:pPr>
      <w:r w:rsidRPr="005E0100">
        <w:rPr>
          <w:rFonts w:ascii="Palatino Linotype" w:hAnsi="Palatino Linotype"/>
        </w:rPr>
        <w:t xml:space="preserve">Siendo importante señalar que, conforme lo establecido por el artículo 6 de los </w:t>
      </w:r>
      <w:r w:rsidRPr="005E0100">
        <w:rPr>
          <w:rFonts w:ascii="Palatino Linotype" w:hAnsi="Palatino Linotype"/>
          <w:b/>
        </w:rPr>
        <w:t xml:space="preserve">Lineamientos por los que se establecen las Políticas y Criterios para realizar la Selección de los Documentos y Expedientes de Trámite Concluido existentes en los </w:t>
      </w:r>
      <w:r w:rsidRPr="005E0100">
        <w:rPr>
          <w:rFonts w:ascii="Palatino Linotype" w:hAnsi="Palatino Linotype"/>
          <w:b/>
        </w:rPr>
        <w:lastRenderedPageBreak/>
        <w:t>Archivos de las Unidades Administrativas de los Poderes del Estado y de los Municipios</w:t>
      </w:r>
      <w:r w:rsidRPr="005E0100">
        <w:rPr>
          <w:rFonts w:ascii="Palatino Linotype" w:hAnsi="Palatino Linotype"/>
          <w:vertAlign w:val="superscript"/>
        </w:rPr>
        <w:footnoteReference w:id="7"/>
      </w:r>
      <w:r w:rsidRPr="005E0100">
        <w:rPr>
          <w:rFonts w:ascii="Palatino Linotype" w:hAnsi="Palatino Linotype"/>
        </w:rPr>
        <w:t xml:space="preserve">,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14:paraId="7F5F5B0E" w14:textId="77777777" w:rsidR="00CD7E0B" w:rsidRPr="005E0100" w:rsidRDefault="00CD7E0B" w:rsidP="005E0100">
      <w:pPr>
        <w:spacing w:line="360" w:lineRule="auto"/>
        <w:ind w:left="720"/>
        <w:contextualSpacing/>
        <w:rPr>
          <w:rFonts w:ascii="Palatino Linotype" w:hAnsi="Palatino Linotype"/>
        </w:rPr>
      </w:pPr>
    </w:p>
    <w:p w14:paraId="083531E2" w14:textId="77777777" w:rsidR="00CD7E0B" w:rsidRPr="005E0100" w:rsidRDefault="00CD7E0B" w:rsidP="005E0100">
      <w:pPr>
        <w:numPr>
          <w:ilvl w:val="0"/>
          <w:numId w:val="9"/>
        </w:numPr>
        <w:tabs>
          <w:tab w:val="left" w:pos="851"/>
        </w:tabs>
        <w:spacing w:line="360" w:lineRule="auto"/>
        <w:ind w:left="0" w:right="49" w:firstLine="0"/>
        <w:contextualSpacing/>
        <w:jc w:val="both"/>
        <w:rPr>
          <w:rFonts w:ascii="Palatino Linotype" w:hAnsi="Palatino Linotype"/>
        </w:rPr>
      </w:pPr>
      <w:r w:rsidRPr="005E0100">
        <w:rPr>
          <w:rFonts w:ascii="Palatino Linotype" w:hAnsi="Palatino Linotype" w:cs="Arial"/>
          <w:lang w:val="es-ES_tradnl"/>
        </w:rPr>
        <w:t>Aunado a ello, la Ley de Transparencia y Acceso a la Información Pública del Estado de México y Municipios y los Lineamientos para la Administración de Documentos en el Estado de México</w:t>
      </w:r>
      <w:r w:rsidRPr="005E0100">
        <w:rPr>
          <w:rFonts w:ascii="Palatino Linotype" w:hAnsi="Palatino Linotype" w:cs="Arial"/>
          <w:vertAlign w:val="superscript"/>
          <w:lang w:val="es-ES_tradnl"/>
        </w:rPr>
        <w:footnoteReference w:id="8"/>
      </w:r>
      <w:r w:rsidRPr="005E0100">
        <w:rPr>
          <w:rFonts w:ascii="Palatino Linotype" w:hAnsi="Palatino Linotype" w:cs="Arial"/>
          <w:lang w:val="es-ES_tradnl"/>
        </w:rPr>
        <w:t>, en sus artículo 3, fracción XI, y 4, fracciones VIII, XXXII, XXXIII, XXXVI, XXXVII y LXXIV, respectivamente, establecen de manera literal lo siguiente:</w:t>
      </w:r>
    </w:p>
    <w:p w14:paraId="7BC76013" w14:textId="77777777" w:rsidR="00CD7E0B" w:rsidRPr="005E0100" w:rsidRDefault="00CD7E0B" w:rsidP="005E0100">
      <w:pPr>
        <w:tabs>
          <w:tab w:val="left" w:pos="851"/>
        </w:tabs>
        <w:spacing w:line="360" w:lineRule="auto"/>
        <w:ind w:right="49"/>
        <w:contextualSpacing/>
        <w:jc w:val="both"/>
        <w:rPr>
          <w:rFonts w:ascii="Palatino Linotype" w:hAnsi="Palatino Linotype"/>
        </w:rPr>
      </w:pPr>
    </w:p>
    <w:p w14:paraId="2ABDA2DA" w14:textId="77777777" w:rsidR="00CD7E0B" w:rsidRPr="005E0100" w:rsidRDefault="00CD7E0B" w:rsidP="005E0100">
      <w:pPr>
        <w:spacing w:line="360" w:lineRule="auto"/>
        <w:ind w:left="567" w:right="567"/>
        <w:jc w:val="both"/>
        <w:rPr>
          <w:rFonts w:ascii="Palatino Linotype" w:hAnsi="Palatino Linotype" w:cs="Arial"/>
          <w:b/>
          <w:i/>
          <w:sz w:val="22"/>
          <w:lang w:val="es-ES_tradnl"/>
        </w:rPr>
      </w:pPr>
      <w:r w:rsidRPr="005E0100">
        <w:rPr>
          <w:rFonts w:ascii="Palatino Linotype" w:hAnsi="Palatino Linotype" w:cs="Arial"/>
          <w:b/>
          <w:i/>
          <w:sz w:val="22"/>
          <w:lang w:val="es-ES_tradnl"/>
        </w:rPr>
        <w:t>“Ley de Transparencia y Acceso a la Información Pública del Estado de México y Municipios</w:t>
      </w:r>
    </w:p>
    <w:p w14:paraId="481D590A" w14:textId="77777777" w:rsidR="00CD7E0B" w:rsidRPr="005E0100" w:rsidRDefault="00CD7E0B" w:rsidP="005E0100">
      <w:pPr>
        <w:spacing w:line="360" w:lineRule="auto"/>
        <w:ind w:left="567" w:right="567"/>
        <w:jc w:val="both"/>
        <w:rPr>
          <w:rFonts w:ascii="Palatino Linotype" w:hAnsi="Palatino Linotype" w:cs="Arial"/>
          <w:i/>
          <w:sz w:val="22"/>
          <w:lang w:val="es-ES_tradnl"/>
        </w:rPr>
      </w:pPr>
      <w:r w:rsidRPr="005E0100">
        <w:rPr>
          <w:rFonts w:ascii="Palatino Linotype" w:hAnsi="Palatino Linotype" w:cs="Arial"/>
          <w:b/>
          <w:i/>
          <w:sz w:val="22"/>
          <w:lang w:val="es-ES_tradnl"/>
        </w:rPr>
        <w:t>Artículo 3.</w:t>
      </w:r>
      <w:r w:rsidRPr="005E0100">
        <w:rPr>
          <w:rFonts w:ascii="Palatino Linotype" w:hAnsi="Palatino Linotype" w:cs="Arial"/>
          <w:i/>
          <w:sz w:val="22"/>
          <w:lang w:val="es-ES_tradnl"/>
        </w:rPr>
        <w:t xml:space="preserve"> Para los efectos de la presente Ley se entenderá por:</w:t>
      </w:r>
    </w:p>
    <w:p w14:paraId="28EDB84A" w14:textId="77777777" w:rsidR="00CD7E0B" w:rsidRPr="005E0100" w:rsidRDefault="00CD7E0B" w:rsidP="005E0100">
      <w:pPr>
        <w:spacing w:line="360" w:lineRule="auto"/>
        <w:ind w:left="567" w:right="567"/>
        <w:jc w:val="both"/>
        <w:rPr>
          <w:rFonts w:ascii="Palatino Linotype" w:hAnsi="Palatino Linotype" w:cs="Arial"/>
          <w:i/>
          <w:sz w:val="22"/>
          <w:lang w:val="es-ES_tradnl"/>
        </w:rPr>
      </w:pPr>
      <w:r w:rsidRPr="005E0100">
        <w:rPr>
          <w:rFonts w:ascii="Palatino Linotype" w:hAnsi="Palatino Linotype" w:cs="Arial"/>
          <w:i/>
          <w:sz w:val="22"/>
          <w:lang w:val="es-ES_tradnl"/>
        </w:rPr>
        <w:t>(…)</w:t>
      </w:r>
    </w:p>
    <w:p w14:paraId="42C3B8B0" w14:textId="77777777" w:rsidR="00CD7E0B" w:rsidRPr="005E0100" w:rsidRDefault="00CD7E0B" w:rsidP="005E0100">
      <w:pPr>
        <w:spacing w:line="360" w:lineRule="auto"/>
        <w:ind w:left="567" w:right="567"/>
        <w:jc w:val="both"/>
        <w:rPr>
          <w:rFonts w:ascii="Palatino Linotype" w:hAnsi="Palatino Linotype" w:cs="Arial"/>
          <w:i/>
          <w:sz w:val="22"/>
          <w:lang w:val="es-ES_tradnl"/>
        </w:rPr>
      </w:pPr>
      <w:r w:rsidRPr="005E0100">
        <w:rPr>
          <w:rFonts w:ascii="Palatino Linotype" w:hAnsi="Palatino Linotype" w:cs="Arial"/>
          <w:b/>
          <w:i/>
          <w:sz w:val="22"/>
          <w:lang w:val="es-ES_tradnl"/>
        </w:rPr>
        <w:t>XI.</w:t>
      </w:r>
      <w:r w:rsidRPr="005E0100">
        <w:rPr>
          <w:rFonts w:ascii="Palatino Linotype" w:hAnsi="Palatino Linotype" w:cs="Arial"/>
          <w:i/>
          <w:sz w:val="22"/>
          <w:lang w:val="es-ES_tradnl"/>
        </w:rPr>
        <w:t xml:space="preserve"> </w:t>
      </w:r>
      <w:r w:rsidRPr="005E0100">
        <w:rPr>
          <w:rFonts w:ascii="Palatino Linotype" w:hAnsi="Palatino Linotype" w:cs="Arial"/>
          <w:b/>
          <w:i/>
          <w:sz w:val="22"/>
          <w:lang w:val="es-ES_tradnl"/>
        </w:rPr>
        <w:t>Documento:</w:t>
      </w:r>
      <w:r w:rsidRPr="005E0100">
        <w:rPr>
          <w:rFonts w:ascii="Palatino Linotype" w:hAnsi="Palatino Linotype" w:cs="Arial"/>
          <w:i/>
          <w:sz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5E0100">
        <w:rPr>
          <w:rFonts w:ascii="Palatino Linotype" w:hAnsi="Palatino Linotype" w:cs="Arial"/>
          <w:i/>
          <w:sz w:val="22"/>
          <w:lang w:val="es-ES_tradnl"/>
        </w:rPr>
        <w:lastRenderedPageBreak/>
        <w:t>documentos podrán estar en cualquier medio, sea escrito, impreso, sonoro, visual, electrónico, informático u holográfico;” (Sic)</w:t>
      </w:r>
    </w:p>
    <w:p w14:paraId="69910E8D" w14:textId="77777777" w:rsidR="00CD7E0B" w:rsidRPr="005E0100" w:rsidRDefault="00CD7E0B" w:rsidP="005E0100">
      <w:pPr>
        <w:numPr>
          <w:ilvl w:val="0"/>
          <w:numId w:val="9"/>
        </w:numPr>
        <w:spacing w:line="360" w:lineRule="auto"/>
        <w:ind w:left="0" w:right="49" w:firstLine="0"/>
        <w:contextualSpacing/>
        <w:jc w:val="both"/>
        <w:rPr>
          <w:rFonts w:ascii="Palatino Linotype" w:hAnsi="Palatino Linotype" w:cs="Arial"/>
          <w:color w:val="000000"/>
          <w:lang w:val="es-ES_tradnl"/>
        </w:rPr>
      </w:pPr>
      <w:r w:rsidRPr="005E0100">
        <w:rPr>
          <w:rFonts w:ascii="Palatino Linotype" w:hAnsi="Palatino Linotype" w:cs="Arial"/>
          <w:color w:val="000000"/>
          <w:lang w:val="es-ES_tradnl"/>
        </w:rPr>
        <w:t xml:space="preserve">Ahora bien, es necesario señalar las siguientes definiciones de acuerdo a los lineamientos para la Organización y Conservación de Archivos emitidos por el Instituto Nacional de Acceso a la Información  (INAI), los cuales tienen por objeto </w:t>
      </w:r>
      <w:r w:rsidRPr="005E0100">
        <w:rPr>
          <w:rFonts w:ascii="Palatino Linotype" w:hAnsi="Palatino Linotype" w:cs="CIDFont+F3"/>
          <w:i/>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5E0100">
        <w:rPr>
          <w:rFonts w:ascii="Palatino Linotype" w:hAnsi="Palatino Linotype" w:cs="CIDFont+F3"/>
          <w:i/>
          <w:vertAlign w:val="superscript"/>
        </w:rPr>
        <w:footnoteReference w:id="9"/>
      </w:r>
    </w:p>
    <w:p w14:paraId="7CE83686" w14:textId="77777777" w:rsidR="00CD7E0B" w:rsidRPr="005E0100" w:rsidRDefault="00CD7E0B" w:rsidP="005E0100">
      <w:pPr>
        <w:spacing w:line="360" w:lineRule="auto"/>
        <w:ind w:right="49"/>
        <w:contextualSpacing/>
        <w:jc w:val="both"/>
        <w:rPr>
          <w:rFonts w:ascii="Palatino Linotype" w:hAnsi="Palatino Linotype" w:cs="Arial"/>
          <w:color w:val="000000"/>
          <w:lang w:val="es-ES_tradnl"/>
        </w:rPr>
      </w:pPr>
    </w:p>
    <w:p w14:paraId="7380A3D2" w14:textId="77777777" w:rsidR="00CD7E0B" w:rsidRPr="005E0100" w:rsidRDefault="00CD7E0B" w:rsidP="005E0100">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5E0100">
        <w:rPr>
          <w:rFonts w:ascii="Palatino Linotype" w:hAnsi="Palatino Linotype" w:cs="Arial"/>
          <w:b/>
          <w:bCs/>
          <w:i/>
          <w:color w:val="2F2F2F"/>
          <w:sz w:val="22"/>
          <w:shd w:val="clear" w:color="auto" w:fill="FFFFFF"/>
          <w:lang w:val="es-ES_tradnl"/>
        </w:rPr>
        <w:t>“Cuarto. …</w:t>
      </w:r>
    </w:p>
    <w:p w14:paraId="291993EB" w14:textId="77777777" w:rsidR="00CD7E0B" w:rsidRPr="005E0100" w:rsidRDefault="00CD7E0B" w:rsidP="005E0100">
      <w:pPr>
        <w:spacing w:line="360" w:lineRule="auto"/>
        <w:ind w:left="567" w:right="567"/>
        <w:contextualSpacing/>
        <w:jc w:val="both"/>
        <w:rPr>
          <w:rFonts w:ascii="Palatino Linotype" w:hAnsi="Palatino Linotype" w:cs="Arial"/>
          <w:b/>
          <w:bCs/>
          <w:i/>
          <w:color w:val="2F2F2F"/>
          <w:sz w:val="22"/>
          <w:shd w:val="clear" w:color="auto" w:fill="FFFFFF"/>
          <w:lang w:val="es-ES_tradnl"/>
        </w:rPr>
      </w:pPr>
    </w:p>
    <w:p w14:paraId="554C761C" w14:textId="77777777" w:rsidR="00CD7E0B" w:rsidRPr="005E0100" w:rsidRDefault="00CD7E0B" w:rsidP="005E0100">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5E0100">
        <w:rPr>
          <w:rFonts w:ascii="Palatino Linotype" w:hAnsi="Palatino Linotype" w:cs="Arial"/>
          <w:b/>
          <w:bCs/>
          <w:i/>
          <w:color w:val="2F2F2F"/>
          <w:sz w:val="22"/>
          <w:shd w:val="clear" w:color="auto" w:fill="FFFFFF"/>
          <w:lang w:val="es-ES_tradnl"/>
        </w:rPr>
        <w:t>(…)</w:t>
      </w:r>
    </w:p>
    <w:p w14:paraId="715C04E8" w14:textId="77777777" w:rsidR="00CD7E0B" w:rsidRPr="005E0100" w:rsidRDefault="00CD7E0B" w:rsidP="005E0100">
      <w:pPr>
        <w:spacing w:line="360" w:lineRule="auto"/>
        <w:ind w:left="567" w:right="567"/>
        <w:contextualSpacing/>
        <w:jc w:val="both"/>
        <w:rPr>
          <w:rFonts w:ascii="Palatino Linotype" w:hAnsi="Palatino Linotype" w:cs="Arial"/>
          <w:b/>
          <w:bCs/>
          <w:i/>
          <w:color w:val="2F2F2F"/>
          <w:sz w:val="22"/>
          <w:shd w:val="clear" w:color="auto" w:fill="FFFFFF"/>
          <w:lang w:val="es-ES_tradnl"/>
        </w:rPr>
      </w:pPr>
    </w:p>
    <w:p w14:paraId="72353855" w14:textId="77777777" w:rsidR="00CD7E0B" w:rsidRPr="005E0100" w:rsidRDefault="00CD7E0B" w:rsidP="005E0100">
      <w:pPr>
        <w:spacing w:line="360" w:lineRule="auto"/>
        <w:ind w:left="567" w:right="567"/>
        <w:contextualSpacing/>
        <w:jc w:val="both"/>
        <w:rPr>
          <w:rFonts w:ascii="Palatino Linotype" w:hAnsi="Palatino Linotype" w:cs="Arial"/>
          <w:i/>
          <w:color w:val="2F2F2F"/>
          <w:sz w:val="22"/>
          <w:shd w:val="clear" w:color="auto" w:fill="FFFFFF"/>
          <w:lang w:val="es-ES_tradnl"/>
        </w:rPr>
      </w:pPr>
      <w:r w:rsidRPr="005E0100">
        <w:rPr>
          <w:rFonts w:ascii="Palatino Linotype" w:hAnsi="Palatino Linotype" w:cs="Arial"/>
          <w:b/>
          <w:bCs/>
          <w:i/>
          <w:color w:val="2F2F2F"/>
          <w:sz w:val="22"/>
          <w:shd w:val="clear" w:color="auto" w:fill="FFFFFF"/>
          <w:lang w:val="es-ES_tradnl"/>
        </w:rPr>
        <w:t>II. Archivo:</w:t>
      </w:r>
      <w:r w:rsidRPr="005E0100">
        <w:rPr>
          <w:rFonts w:ascii="Palatino Linotype" w:hAnsi="Palatino Linotype" w:cs="Arial"/>
          <w:i/>
          <w:color w:val="2F2F2F"/>
          <w:sz w:val="22"/>
          <w:shd w:val="clear" w:color="auto" w:fill="FFFFFF"/>
          <w:lang w:val="es-ES_tradnl"/>
        </w:rPr>
        <w:t> El conjunto orgánico de documentos en cualquier soporte, que son producidos o recibidos por los sujetos obligados o los particulares en el ejercicio de sus atribuciones o en el desarrollo de sus actividades;</w:t>
      </w:r>
    </w:p>
    <w:p w14:paraId="7EBEFF0C" w14:textId="77777777" w:rsidR="00CD7E0B" w:rsidRPr="005E0100" w:rsidRDefault="00CD7E0B" w:rsidP="005E0100">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004B7E67" w14:textId="77777777" w:rsidR="00CD7E0B" w:rsidRPr="005E0100" w:rsidRDefault="00CD7E0B" w:rsidP="005E0100">
      <w:pPr>
        <w:spacing w:line="360" w:lineRule="auto"/>
        <w:ind w:left="567" w:right="567"/>
        <w:contextualSpacing/>
        <w:jc w:val="both"/>
        <w:rPr>
          <w:rFonts w:ascii="Palatino Linotype" w:hAnsi="Palatino Linotype" w:cs="Arial"/>
          <w:i/>
          <w:color w:val="2F2F2F"/>
          <w:sz w:val="22"/>
          <w:shd w:val="clear" w:color="auto" w:fill="FFFFFF"/>
          <w:lang w:val="es-ES_tradnl"/>
        </w:rPr>
      </w:pPr>
      <w:r w:rsidRPr="005E0100">
        <w:rPr>
          <w:rFonts w:ascii="Palatino Linotype" w:hAnsi="Palatino Linotype" w:cs="Arial"/>
          <w:b/>
          <w:bCs/>
          <w:i/>
          <w:color w:val="2F2F2F"/>
          <w:sz w:val="22"/>
          <w:shd w:val="clear" w:color="auto" w:fill="FFFFFF"/>
          <w:lang w:val="es-ES_tradnl"/>
        </w:rPr>
        <w:t>III. Archivo de concentración: </w:t>
      </w:r>
      <w:r w:rsidRPr="005E0100">
        <w:rPr>
          <w:rFonts w:ascii="Palatino Linotype" w:hAnsi="Palatino Linotype" w:cs="Arial"/>
          <w:i/>
          <w:color w:val="2F2F2F"/>
          <w:sz w:val="22"/>
          <w:shd w:val="clear" w:color="auto" w:fill="FFFFFF"/>
          <w:lang w:val="es-ES_tradnl"/>
        </w:rPr>
        <w:t>La unidad responsable de la administración de documentos cuya consulta es esporádica y que permanecen en ella hasta su transferencia secundaria o baja documental;</w:t>
      </w:r>
    </w:p>
    <w:p w14:paraId="6B3CDF73" w14:textId="77777777" w:rsidR="00CD7E0B" w:rsidRPr="005E0100" w:rsidRDefault="00CD7E0B" w:rsidP="005E0100">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19553B2A" w14:textId="77777777" w:rsidR="00CD7E0B" w:rsidRPr="005E0100" w:rsidRDefault="00CD7E0B" w:rsidP="005E0100">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5E0100">
        <w:rPr>
          <w:rFonts w:ascii="Palatino Linotype" w:hAnsi="Palatino Linotype" w:cs="Arial"/>
          <w:b/>
          <w:bCs/>
          <w:i/>
          <w:color w:val="2F2F2F"/>
          <w:sz w:val="22"/>
          <w:shd w:val="clear" w:color="auto" w:fill="FFFFFF"/>
          <w:lang w:val="es-ES_tradnl"/>
        </w:rPr>
        <w:t>(…)</w:t>
      </w:r>
    </w:p>
    <w:p w14:paraId="75CB69D6" w14:textId="77777777" w:rsidR="00CD7E0B" w:rsidRPr="005E0100" w:rsidRDefault="00CD7E0B" w:rsidP="005E0100">
      <w:pPr>
        <w:spacing w:line="360" w:lineRule="auto"/>
        <w:ind w:left="567" w:right="567"/>
        <w:contextualSpacing/>
        <w:jc w:val="both"/>
        <w:rPr>
          <w:rFonts w:ascii="Palatino Linotype" w:hAnsi="Palatino Linotype" w:cs="Arial"/>
          <w:b/>
          <w:bCs/>
          <w:i/>
          <w:color w:val="2F2F2F"/>
          <w:sz w:val="22"/>
          <w:shd w:val="clear" w:color="auto" w:fill="FFFFFF"/>
          <w:lang w:val="es-ES_tradnl"/>
        </w:rPr>
      </w:pPr>
    </w:p>
    <w:p w14:paraId="17A81DB2" w14:textId="77777777" w:rsidR="00CD7E0B" w:rsidRPr="005E0100" w:rsidRDefault="00CD7E0B" w:rsidP="005E0100">
      <w:pPr>
        <w:spacing w:line="360" w:lineRule="auto"/>
        <w:ind w:left="567" w:right="567"/>
        <w:contextualSpacing/>
        <w:jc w:val="both"/>
        <w:rPr>
          <w:rFonts w:ascii="Palatino Linotype" w:hAnsi="Palatino Linotype" w:cs="Arial"/>
          <w:i/>
          <w:color w:val="2F2F2F"/>
          <w:sz w:val="22"/>
          <w:shd w:val="clear" w:color="auto" w:fill="FFFFFF"/>
          <w:lang w:val="es-ES_tradnl"/>
        </w:rPr>
      </w:pPr>
      <w:r w:rsidRPr="005E0100">
        <w:rPr>
          <w:rFonts w:ascii="Palatino Linotype" w:hAnsi="Palatino Linotype" w:cs="Arial"/>
          <w:b/>
          <w:bCs/>
          <w:i/>
          <w:color w:val="2F2F2F"/>
          <w:sz w:val="22"/>
          <w:shd w:val="clear" w:color="auto" w:fill="FFFFFF"/>
          <w:lang w:val="es-ES_tradnl"/>
        </w:rPr>
        <w:t>V. Archivo de trámite: </w:t>
      </w:r>
      <w:r w:rsidRPr="005E0100">
        <w:rPr>
          <w:rFonts w:ascii="Palatino Linotype" w:hAnsi="Palatino Linotype" w:cs="Arial"/>
          <w:i/>
          <w:color w:val="2F2F2F"/>
          <w:sz w:val="22"/>
          <w:shd w:val="clear" w:color="auto" w:fill="FFFFFF"/>
          <w:lang w:val="es-ES_tradnl"/>
        </w:rPr>
        <w:t>La unidad responsable de la administración de documentos de uso cotidiano y necesario para el ejercicio de las atribuciones de una unidad administrativa, los cuales permanecen en ella hasta su transferencia primaria;</w:t>
      </w:r>
    </w:p>
    <w:p w14:paraId="2787FF52" w14:textId="77777777" w:rsidR="00CD7E0B" w:rsidRPr="005E0100" w:rsidRDefault="00CD7E0B" w:rsidP="005E0100">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275AB579" w14:textId="77777777" w:rsidR="00CD7E0B" w:rsidRPr="005E0100" w:rsidRDefault="00CD7E0B" w:rsidP="005E0100">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5E0100">
        <w:rPr>
          <w:rFonts w:ascii="Palatino Linotype" w:hAnsi="Palatino Linotype" w:cs="Arial"/>
          <w:b/>
          <w:bCs/>
          <w:i/>
          <w:color w:val="2F2F2F"/>
          <w:sz w:val="22"/>
          <w:shd w:val="clear" w:color="auto" w:fill="FFFFFF"/>
          <w:lang w:val="es-ES_tradnl"/>
        </w:rPr>
        <w:t>(…)</w:t>
      </w:r>
    </w:p>
    <w:p w14:paraId="5DF09DC6" w14:textId="77777777" w:rsidR="00CD7E0B" w:rsidRPr="005E0100" w:rsidRDefault="00CD7E0B" w:rsidP="005E0100">
      <w:pPr>
        <w:spacing w:line="360" w:lineRule="auto"/>
        <w:ind w:left="567" w:right="567"/>
        <w:contextualSpacing/>
        <w:jc w:val="both"/>
        <w:rPr>
          <w:rFonts w:ascii="Palatino Linotype" w:hAnsi="Palatino Linotype" w:cs="Arial"/>
          <w:b/>
          <w:bCs/>
          <w:i/>
          <w:color w:val="2F2F2F"/>
          <w:sz w:val="22"/>
          <w:shd w:val="clear" w:color="auto" w:fill="FFFFFF"/>
          <w:lang w:val="es-ES_tradnl"/>
        </w:rPr>
      </w:pPr>
    </w:p>
    <w:p w14:paraId="72E1A552" w14:textId="77777777" w:rsidR="00CD7E0B" w:rsidRPr="005E0100" w:rsidRDefault="00CD7E0B" w:rsidP="005E0100">
      <w:pPr>
        <w:spacing w:line="360" w:lineRule="auto"/>
        <w:ind w:left="567" w:right="567"/>
        <w:contextualSpacing/>
        <w:jc w:val="both"/>
        <w:rPr>
          <w:rFonts w:ascii="Palatino Linotype" w:hAnsi="Palatino Linotype" w:cs="Arial"/>
          <w:i/>
          <w:color w:val="2F2F2F"/>
          <w:sz w:val="22"/>
          <w:shd w:val="clear" w:color="auto" w:fill="FFFFFF"/>
          <w:lang w:val="es-ES_tradnl"/>
        </w:rPr>
      </w:pPr>
      <w:r w:rsidRPr="005E0100">
        <w:rPr>
          <w:rFonts w:ascii="Palatino Linotype" w:hAnsi="Palatino Linotype" w:cs="Arial"/>
          <w:b/>
          <w:bCs/>
          <w:i/>
          <w:color w:val="2F2F2F"/>
          <w:sz w:val="22"/>
          <w:shd w:val="clear" w:color="auto" w:fill="FFFFFF"/>
          <w:lang w:val="es-ES_tradnl"/>
        </w:rPr>
        <w:t>X. Ciclo vital del documento:</w:t>
      </w:r>
      <w:r w:rsidRPr="005E0100">
        <w:rPr>
          <w:rFonts w:ascii="Palatino Linotype" w:hAnsi="Palatino Linotype" w:cs="Arial"/>
          <w:i/>
          <w:color w:val="2F2F2F"/>
          <w:sz w:val="22"/>
          <w:shd w:val="clear" w:color="auto" w:fill="FFFFFF"/>
          <w:lang w:val="es-ES_tradnl"/>
        </w:rPr>
        <w:t> Las etapas de los documentos desde su producción o recepción hasta su baja o transferencia a un archivo histórico;</w:t>
      </w:r>
    </w:p>
    <w:p w14:paraId="5590264F" w14:textId="77777777" w:rsidR="00CD7E0B" w:rsidRPr="005E0100" w:rsidRDefault="00CD7E0B" w:rsidP="005E0100">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161A97B8" w14:textId="77777777" w:rsidR="00CD7E0B" w:rsidRPr="005E0100" w:rsidRDefault="00CD7E0B" w:rsidP="005E0100">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5E0100">
        <w:rPr>
          <w:rFonts w:ascii="Palatino Linotype" w:hAnsi="Palatino Linotype" w:cs="Arial"/>
          <w:b/>
          <w:bCs/>
          <w:i/>
          <w:color w:val="2F2F2F"/>
          <w:sz w:val="22"/>
          <w:shd w:val="clear" w:color="auto" w:fill="FFFFFF"/>
          <w:lang w:val="es-ES_tradnl"/>
        </w:rPr>
        <w:t>(…)</w:t>
      </w:r>
    </w:p>
    <w:p w14:paraId="153B1A5B" w14:textId="77777777" w:rsidR="00CD7E0B" w:rsidRPr="005E0100" w:rsidRDefault="00CD7E0B" w:rsidP="005E0100">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176EC47E" w14:textId="77777777" w:rsidR="00CD7E0B" w:rsidRPr="005E0100" w:rsidRDefault="00CD7E0B" w:rsidP="005E0100">
      <w:pPr>
        <w:spacing w:line="360" w:lineRule="auto"/>
        <w:ind w:left="567" w:right="567"/>
        <w:contextualSpacing/>
        <w:jc w:val="both"/>
        <w:rPr>
          <w:rFonts w:ascii="Palatino Linotype" w:hAnsi="Palatino Linotype" w:cs="Arial"/>
          <w:i/>
          <w:color w:val="2F2F2F"/>
          <w:sz w:val="22"/>
          <w:shd w:val="clear" w:color="auto" w:fill="FFFFFF"/>
          <w:lang w:val="es-ES_tradnl"/>
        </w:rPr>
      </w:pPr>
      <w:r w:rsidRPr="005E0100">
        <w:rPr>
          <w:rFonts w:ascii="Palatino Linotype" w:hAnsi="Palatino Linotype" w:cs="Arial"/>
          <w:b/>
          <w:bCs/>
          <w:i/>
          <w:color w:val="2F2F2F"/>
          <w:sz w:val="22"/>
          <w:shd w:val="clear" w:color="auto" w:fill="FFFFFF"/>
          <w:lang w:val="es-ES_tradnl"/>
        </w:rPr>
        <w:t>XLVIII. Transferencia documental:</w:t>
      </w:r>
      <w:r w:rsidRPr="005E0100">
        <w:rPr>
          <w:rFonts w:ascii="Palatino Linotype" w:hAnsi="Palatino Linotype" w:cs="Arial"/>
          <w:i/>
          <w:color w:val="2F2F2F"/>
          <w:sz w:val="22"/>
          <w:shd w:val="clear" w:color="auto" w:fill="FFFFFF"/>
          <w:lang w:val="es-ES_tradnl"/>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0F74C86E" w14:textId="77777777" w:rsidR="00CD7E0B" w:rsidRPr="005E0100" w:rsidRDefault="00CD7E0B" w:rsidP="005E0100">
      <w:pPr>
        <w:spacing w:line="360" w:lineRule="auto"/>
        <w:ind w:right="567"/>
        <w:jc w:val="both"/>
        <w:rPr>
          <w:rFonts w:ascii="Palatino Linotype" w:hAnsi="Palatino Linotype" w:cs="Arial"/>
          <w:i/>
          <w:color w:val="2F2F2F"/>
          <w:shd w:val="clear" w:color="auto" w:fill="FFFFFF"/>
          <w:lang w:val="es-ES_tradnl"/>
        </w:rPr>
      </w:pPr>
    </w:p>
    <w:p w14:paraId="0E39CF59" w14:textId="77777777" w:rsidR="00CD7E0B" w:rsidRPr="005E0100" w:rsidRDefault="00CD7E0B" w:rsidP="005E0100">
      <w:pPr>
        <w:numPr>
          <w:ilvl w:val="0"/>
          <w:numId w:val="9"/>
        </w:numPr>
        <w:spacing w:line="360" w:lineRule="auto"/>
        <w:ind w:left="0" w:right="49" w:firstLine="0"/>
        <w:contextualSpacing/>
        <w:jc w:val="both"/>
        <w:rPr>
          <w:rFonts w:ascii="Palatino Linotype" w:hAnsi="Palatino Linotype" w:cs="Arial"/>
          <w:color w:val="000000"/>
          <w:lang w:val="es-ES_tradnl"/>
        </w:rPr>
      </w:pPr>
      <w:r w:rsidRPr="005E0100">
        <w:rPr>
          <w:rFonts w:ascii="Palatino Linotype" w:hAnsi="Palatino Linotype" w:cs="Arial"/>
          <w:color w:val="000000"/>
          <w:lang w:val="es-ES_tradnl"/>
        </w:rPr>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w:t>
      </w:r>
      <w:r w:rsidRPr="005E0100">
        <w:rPr>
          <w:rFonts w:ascii="Palatino Linotype" w:hAnsi="Palatino Linotype" w:cs="Arial"/>
          <w:color w:val="000000"/>
          <w:lang w:val="es-ES_tradnl"/>
        </w:rPr>
        <w:lastRenderedPageBreak/>
        <w:t xml:space="preserve">transferencia secundaria (Archivo Histórico) o baja documental. En ese sentido, el artículo 24 de </w:t>
      </w:r>
      <w:r w:rsidRPr="005E0100">
        <w:rPr>
          <w:rFonts w:ascii="Palatino Linotype" w:hAnsi="Palatino Linotype"/>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5E0100">
        <w:rPr>
          <w:rFonts w:ascii="Palatino Linotype" w:hAnsi="Palatino Linotype"/>
          <w:vertAlign w:val="superscript"/>
        </w:rPr>
        <w:footnoteReference w:id="10"/>
      </w:r>
      <w:r w:rsidRPr="005E0100">
        <w:rPr>
          <w:rFonts w:ascii="Palatino Linotype" w:hAnsi="Palatino Linotype"/>
        </w:rPr>
        <w:t>,</w:t>
      </w:r>
    </w:p>
    <w:p w14:paraId="5AD44353" w14:textId="77777777" w:rsidR="00CD7E0B" w:rsidRPr="005E0100" w:rsidRDefault="00CD7E0B" w:rsidP="005E0100">
      <w:pPr>
        <w:spacing w:line="360" w:lineRule="auto"/>
        <w:ind w:right="49"/>
        <w:contextualSpacing/>
        <w:jc w:val="both"/>
        <w:rPr>
          <w:rFonts w:ascii="Palatino Linotype" w:hAnsi="Palatino Linotype" w:cs="Arial"/>
          <w:color w:val="000000"/>
          <w:lang w:val="es-ES_tradnl"/>
        </w:rPr>
      </w:pPr>
    </w:p>
    <w:p w14:paraId="1C27B79F" w14:textId="77777777" w:rsidR="00CD7E0B" w:rsidRPr="005E0100" w:rsidRDefault="00CD7E0B" w:rsidP="005E0100">
      <w:pPr>
        <w:spacing w:line="360" w:lineRule="auto"/>
        <w:ind w:left="567"/>
        <w:jc w:val="both"/>
        <w:rPr>
          <w:rFonts w:ascii="Palatino Linotype" w:hAnsi="Palatino Linotype"/>
        </w:rPr>
      </w:pPr>
      <w:r w:rsidRPr="005E0100">
        <w:rPr>
          <w:rFonts w:ascii="Palatino Linotype" w:hAnsi="Palatino Linotype"/>
          <w:b/>
          <w:bCs/>
          <w:i/>
          <w:iCs/>
        </w:rPr>
        <w:t>“Artículo 24.-</w:t>
      </w:r>
      <w:r w:rsidRPr="005E0100">
        <w:rPr>
          <w:rFonts w:ascii="Palatino Linotype" w:hAnsi="Palatino Linotype"/>
          <w:i/>
          <w:iCs/>
        </w:rPr>
        <w:t xml:space="preserve"> Las unidades administrativas al realizar la transferencia de los expedientes de trámite concluido, señalaran en el “Inventario”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3ABC1AE4" w14:textId="77777777" w:rsidR="00CD7E0B" w:rsidRPr="005E0100" w:rsidRDefault="00CD7E0B" w:rsidP="005E0100">
      <w:pPr>
        <w:spacing w:line="360" w:lineRule="auto"/>
        <w:ind w:left="567"/>
        <w:jc w:val="both"/>
        <w:rPr>
          <w:rFonts w:ascii="Palatino Linotype" w:hAnsi="Palatino Linotype"/>
          <w:bCs/>
          <w:i/>
          <w:iCs/>
          <w:sz w:val="22"/>
          <w:u w:val="single"/>
        </w:rPr>
      </w:pPr>
      <w:r w:rsidRPr="005E0100">
        <w:rPr>
          <w:rFonts w:ascii="Palatino Linotype" w:hAnsi="Palatino Linotype"/>
          <w:b/>
          <w:bCs/>
          <w:i/>
          <w:iCs/>
          <w:sz w:val="22"/>
        </w:rPr>
        <w:t xml:space="preserve">I. </w:t>
      </w:r>
      <w:r w:rsidRPr="005E0100">
        <w:rPr>
          <w:rFonts w:ascii="Palatino Linotype" w:hAnsi="Palatino Linotype"/>
          <w:bCs/>
          <w:i/>
          <w:iCs/>
          <w:sz w:val="22"/>
          <w:u w:val="single"/>
        </w:rPr>
        <w:t>6 años para expedientes con información administrativa;</w:t>
      </w:r>
    </w:p>
    <w:p w14:paraId="5D606548" w14:textId="77777777" w:rsidR="00CD7E0B" w:rsidRPr="005E0100" w:rsidRDefault="00CD7E0B" w:rsidP="005E0100">
      <w:pPr>
        <w:spacing w:line="360" w:lineRule="auto"/>
        <w:ind w:left="567"/>
        <w:jc w:val="both"/>
        <w:rPr>
          <w:rFonts w:ascii="Palatino Linotype" w:hAnsi="Palatino Linotype"/>
          <w:bCs/>
          <w:i/>
          <w:iCs/>
          <w:sz w:val="22"/>
          <w:u w:val="single"/>
        </w:rPr>
      </w:pPr>
    </w:p>
    <w:p w14:paraId="561A6DCC" w14:textId="77777777" w:rsidR="00CD7E0B" w:rsidRPr="005E0100" w:rsidRDefault="00CD7E0B" w:rsidP="005E0100">
      <w:pPr>
        <w:spacing w:line="360" w:lineRule="auto"/>
        <w:ind w:left="567"/>
        <w:jc w:val="both"/>
        <w:rPr>
          <w:rFonts w:ascii="Palatino Linotype" w:hAnsi="Palatino Linotype"/>
          <w:sz w:val="22"/>
        </w:rPr>
      </w:pPr>
      <w:r w:rsidRPr="005E0100">
        <w:rPr>
          <w:rFonts w:ascii="Palatino Linotype" w:hAnsi="Palatino Linotype"/>
          <w:bCs/>
          <w:i/>
          <w:iCs/>
          <w:sz w:val="22"/>
        </w:rPr>
        <w:t>(…)</w:t>
      </w:r>
    </w:p>
    <w:p w14:paraId="4EF30180" w14:textId="77777777" w:rsidR="00CD7E0B" w:rsidRPr="005E0100" w:rsidRDefault="00CD7E0B" w:rsidP="005E0100">
      <w:pPr>
        <w:spacing w:line="360" w:lineRule="auto"/>
        <w:ind w:right="49"/>
        <w:contextualSpacing/>
        <w:jc w:val="both"/>
        <w:rPr>
          <w:rFonts w:ascii="Palatino Linotype" w:hAnsi="Palatino Linotype" w:cs="Arial"/>
          <w:lang w:val="es-ES_tradnl"/>
        </w:rPr>
      </w:pPr>
    </w:p>
    <w:p w14:paraId="5B8D75E6" w14:textId="77777777" w:rsidR="00CD7E0B" w:rsidRPr="005E0100" w:rsidRDefault="00CD7E0B" w:rsidP="005E0100">
      <w:pPr>
        <w:numPr>
          <w:ilvl w:val="0"/>
          <w:numId w:val="9"/>
        </w:numPr>
        <w:spacing w:line="360" w:lineRule="auto"/>
        <w:ind w:left="0" w:right="49" w:firstLine="0"/>
        <w:contextualSpacing/>
        <w:jc w:val="both"/>
        <w:rPr>
          <w:rFonts w:ascii="Palatino Linotype" w:hAnsi="Palatino Linotype" w:cs="Arial"/>
          <w:lang w:val="es-ES_tradnl"/>
        </w:rPr>
      </w:pPr>
      <w:r w:rsidRPr="005E0100">
        <w:rPr>
          <w:rFonts w:ascii="Palatino Linotype" w:hAnsi="Palatino Linotype" w:cs="Arial"/>
          <w:lang w:val="es-ES_tradnl"/>
        </w:rPr>
        <w:t xml:space="preserve">Los archivos permanecerán en Archivo de Trámite hasta que sean transferidos al Archivo de Concentración, en donde su plazo de conservación precaucional de acuerdo a los lineamientos en cito, </w:t>
      </w:r>
      <w:r w:rsidRPr="005E0100">
        <w:rPr>
          <w:rFonts w:ascii="Palatino Linotype" w:hAnsi="Palatino Linotype" w:cs="Arial"/>
          <w:b/>
          <w:lang w:val="es-ES_tradnl"/>
        </w:rPr>
        <w:t>será de 6 años</w:t>
      </w:r>
      <w:r w:rsidRPr="005E0100">
        <w:rPr>
          <w:rFonts w:ascii="Palatino Linotype" w:hAnsi="Palatino Linotype" w:cs="Arial"/>
          <w:lang w:val="es-ES_tradnl"/>
        </w:rPr>
        <w:t xml:space="preserve"> para los expedientes con información administrativa, sin embargo, el artículo 8 de la Ley de Documentos Administrativos e Históricos del Estado de México establece que los documentos de contenido administrativo de importancia, serán conservados por 20 años. </w:t>
      </w:r>
    </w:p>
    <w:p w14:paraId="5CF0CFB2" w14:textId="77777777" w:rsidR="00CD7E0B" w:rsidRPr="005E0100" w:rsidRDefault="00CD7E0B" w:rsidP="005E0100">
      <w:pPr>
        <w:spacing w:line="360" w:lineRule="auto"/>
        <w:contextualSpacing/>
        <w:jc w:val="both"/>
        <w:rPr>
          <w:rFonts w:ascii="Palatino Linotype" w:hAnsi="Palatino Linotype"/>
          <w:highlight w:val="cyan"/>
          <w:lang w:eastAsia="en-US"/>
        </w:rPr>
      </w:pPr>
    </w:p>
    <w:p w14:paraId="1D5CC305" w14:textId="77777777" w:rsidR="00AD6A57" w:rsidRPr="005E0100" w:rsidRDefault="00CD7E0B" w:rsidP="005E0100">
      <w:pPr>
        <w:numPr>
          <w:ilvl w:val="0"/>
          <w:numId w:val="9"/>
        </w:numPr>
        <w:spacing w:line="360" w:lineRule="auto"/>
        <w:ind w:left="0" w:firstLine="0"/>
        <w:contextualSpacing/>
        <w:jc w:val="both"/>
        <w:rPr>
          <w:rFonts w:ascii="Palatino Linotype" w:hAnsi="Palatino Linotype" w:cs="Arial"/>
        </w:rPr>
      </w:pPr>
      <w:r w:rsidRPr="005E0100">
        <w:rPr>
          <w:rFonts w:ascii="Palatino Linotype" w:hAnsi="Palatino Linotype"/>
          <w:lang w:eastAsia="en-US"/>
        </w:rPr>
        <w:lastRenderedPageBreak/>
        <w:t>En conclusión, se determina que el Documento al cual se requiere acceso reviste la calidad de documento administrativo por lo que de conformidad con la normatividad aplicable en materia de archivo, debe obrar en los archivos del Sujeto Obligado.</w:t>
      </w:r>
    </w:p>
    <w:p w14:paraId="0AB26B1D" w14:textId="77777777" w:rsidR="00CD7E0B" w:rsidRPr="005E0100" w:rsidRDefault="00CD7E0B" w:rsidP="005E0100">
      <w:pPr>
        <w:pStyle w:val="Prrafodelista"/>
        <w:spacing w:line="360" w:lineRule="auto"/>
        <w:rPr>
          <w:rFonts w:ascii="Palatino Linotype" w:hAnsi="Palatino Linotype" w:cs="Arial"/>
        </w:rPr>
      </w:pPr>
    </w:p>
    <w:p w14:paraId="79C3F845" w14:textId="77777777" w:rsidR="00CD7E0B" w:rsidRPr="005E0100" w:rsidRDefault="00CD7E0B" w:rsidP="005E0100">
      <w:pPr>
        <w:pStyle w:val="Ttulo1"/>
        <w:spacing w:before="0" w:line="360" w:lineRule="auto"/>
        <w:rPr>
          <w:rFonts w:ascii="Palatino Linotype" w:hAnsi="Palatino Linotype"/>
          <w:b/>
          <w:color w:val="000000" w:themeColor="text1"/>
          <w:sz w:val="24"/>
          <w:szCs w:val="24"/>
        </w:rPr>
      </w:pPr>
      <w:bookmarkStart w:id="28" w:name="_Toc74188153"/>
      <w:bookmarkStart w:id="29" w:name="_Toc84518025"/>
      <w:bookmarkStart w:id="30" w:name="_Toc85133423"/>
      <w:bookmarkStart w:id="31" w:name="_Toc85650834"/>
      <w:bookmarkStart w:id="32" w:name="_Toc92984376"/>
      <w:r w:rsidRPr="005E0100">
        <w:rPr>
          <w:rFonts w:ascii="Palatino Linotype" w:hAnsi="Palatino Linotype" w:cs="Times New Roman"/>
          <w:b/>
          <w:color w:val="000000" w:themeColor="text1"/>
          <w:sz w:val="24"/>
          <w:szCs w:val="24"/>
          <w:lang w:eastAsia="es-ES_tradnl"/>
        </w:rPr>
        <w:t xml:space="preserve">QUINTO. </w:t>
      </w:r>
      <w:r w:rsidRPr="005E0100">
        <w:rPr>
          <w:rFonts w:ascii="Palatino Linotype" w:hAnsi="Palatino Linotype"/>
          <w:b/>
          <w:color w:val="000000" w:themeColor="text1"/>
          <w:sz w:val="24"/>
          <w:szCs w:val="24"/>
        </w:rPr>
        <w:t xml:space="preserve"> </w:t>
      </w:r>
      <w:bookmarkStart w:id="33" w:name="_Toc80889843"/>
      <w:bookmarkStart w:id="34" w:name="_Toc81384826"/>
      <w:bookmarkEnd w:id="28"/>
      <w:r w:rsidRPr="005E0100">
        <w:rPr>
          <w:rFonts w:ascii="Palatino Linotype" w:hAnsi="Palatino Linotype" w:cs="Arial"/>
          <w:b/>
          <w:color w:val="000000"/>
          <w:sz w:val="24"/>
          <w:lang w:val="es-ES_tradnl"/>
        </w:rPr>
        <w:t>De la versión pública</w:t>
      </w:r>
      <w:bookmarkEnd w:id="29"/>
      <w:bookmarkEnd w:id="33"/>
      <w:bookmarkEnd w:id="34"/>
      <w:r w:rsidRPr="005E0100">
        <w:rPr>
          <w:rFonts w:ascii="Palatino Linotype" w:hAnsi="Palatino Linotype" w:cs="Arial"/>
          <w:b/>
          <w:color w:val="000000"/>
          <w:sz w:val="24"/>
          <w:lang w:val="es-ES_tradnl"/>
        </w:rPr>
        <w:t>.</w:t>
      </w:r>
      <w:bookmarkEnd w:id="30"/>
      <w:bookmarkEnd w:id="31"/>
      <w:bookmarkEnd w:id="32"/>
    </w:p>
    <w:p w14:paraId="6E186CDE"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3A157FF4"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Por otro lado, debe destacarse que debido a la naturaleza de la información solicitada</w:t>
      </w:r>
      <w:r w:rsidRPr="005E0100">
        <w:rPr>
          <w:rFonts w:ascii="Palatino Linotype" w:hAnsi="Palatino Linotype" w:cs="Arial"/>
          <w:b/>
          <w:color w:val="000000"/>
          <w:lang w:val="es-ES_tradnl"/>
        </w:rPr>
        <w:t xml:space="preserve">, </w:t>
      </w:r>
      <w:r w:rsidRPr="005E0100">
        <w:rPr>
          <w:rFonts w:ascii="Palatino Linotype" w:hAnsi="Palatino Linotype" w:cs="Arial"/>
          <w:color w:val="000000"/>
          <w:lang w:val="es-ES_tradnl"/>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5E0100">
        <w:rPr>
          <w:rFonts w:ascii="Palatino Linotype" w:hAnsi="Palatino Linotype" w:cs="Arial"/>
          <w:b/>
          <w:color w:val="000000"/>
          <w:u w:val="single"/>
          <w:lang w:val="es-ES_tradnl"/>
        </w:rPr>
        <w:t>versión pública</w:t>
      </w:r>
      <w:r w:rsidRPr="005E0100">
        <w:rPr>
          <w:rFonts w:ascii="Palatino Linotype" w:hAnsi="Palatino Linotype" w:cs="Arial"/>
          <w:color w:val="000000"/>
          <w:lang w:val="es-ES_tradnl"/>
        </w:rPr>
        <w:t xml:space="preserve"> del documento por las consideraciones que se estimen pertinentes.</w:t>
      </w:r>
    </w:p>
    <w:p w14:paraId="65DA7E7E"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0A339339"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eastAsia="Calibri" w:hAnsi="Palatino Linotype" w:cs="Arial"/>
          <w:color w:val="000000"/>
        </w:rPr>
        <w:t xml:space="preserve">Es de </w:t>
      </w:r>
      <w:r w:rsidRPr="005E0100">
        <w:rPr>
          <w:rFonts w:ascii="Palatino Linotype" w:hAnsi="Palatino Linotype" w:cs="Arial"/>
          <w:color w:val="000000"/>
          <w:lang w:val="es-ES_tradnl"/>
        </w:rPr>
        <w:t>señalar</w:t>
      </w:r>
      <w:r w:rsidRPr="005E0100">
        <w:rPr>
          <w:rFonts w:ascii="Palatino Linotype" w:eastAsia="Calibri" w:hAnsi="Palatino Linotype" w:cs="Arial"/>
          <w:color w:val="000000"/>
        </w:rPr>
        <w:t xml:space="preserve"> que, por lo que hace a las versiones públicas, el </w:t>
      </w:r>
      <w:r w:rsidRPr="005E0100">
        <w:rPr>
          <w:rFonts w:ascii="Palatino Linotype" w:eastAsia="Calibri" w:hAnsi="Palatino Linotype" w:cs="Arial"/>
          <w:b/>
          <w:color w:val="000000"/>
        </w:rPr>
        <w:t>SUJETO OBLIGADO</w:t>
      </w:r>
      <w:r w:rsidRPr="005E0100">
        <w:rPr>
          <w:rFonts w:ascii="Palatino Linotype" w:eastAsia="Calibri" w:hAnsi="Palatino Linotype" w:cs="Arial"/>
          <w:color w:val="000000"/>
        </w:rPr>
        <w:t xml:space="preserve"> debe cumplir con las formalidades exigidas en la Ley, por lo que </w:t>
      </w:r>
      <w:r w:rsidRPr="005E0100">
        <w:rPr>
          <w:rFonts w:ascii="Palatino Linotype" w:hAnsi="Palatino Linotype" w:cs="Arial"/>
          <w:color w:val="000000"/>
          <w:lang w:val="es-ES_tradnl"/>
        </w:rPr>
        <w:t xml:space="preserve">para tal efecto emitirá el </w:t>
      </w:r>
      <w:r w:rsidRPr="005E0100">
        <w:rPr>
          <w:rFonts w:ascii="Palatino Linotype" w:eastAsia="Calibri" w:hAnsi="Palatino Linotype" w:cs="Arial"/>
          <w:color w:val="000000"/>
        </w:rPr>
        <w:t xml:space="preserve">Acuerdo del Comité de Transparencia en términos de los artículos </w:t>
      </w:r>
      <w:r w:rsidRPr="005E0100">
        <w:rPr>
          <w:rFonts w:ascii="Palatino Linotype" w:eastAsia="Calibri" w:hAnsi="Palatino Linotype" w:cs="Arial"/>
          <w:color w:val="000000"/>
        </w:rPr>
        <w:lastRenderedPageBreak/>
        <w:t>49 fracción</w:t>
      </w:r>
      <w:r w:rsidRPr="005E0100">
        <w:rPr>
          <w:rFonts w:ascii="Palatino Linotype" w:eastAsia="Calibri" w:hAnsi="Palatino Linotype" w:cs="Arial"/>
          <w:bCs/>
          <w:color w:val="000000"/>
          <w:lang w:val="es-ES_tradnl"/>
        </w:rPr>
        <w:t xml:space="preserve"> VIII,</w:t>
      </w:r>
      <w:r w:rsidRPr="005E0100">
        <w:rPr>
          <w:rFonts w:ascii="Palatino Linotype" w:eastAsia="Calibri" w:hAnsi="Palatino Linotype" w:cs="Arial"/>
          <w:color w:val="000000"/>
        </w:rPr>
        <w:t xml:space="preserve"> 122</w:t>
      </w:r>
      <w:r w:rsidRPr="005E0100">
        <w:rPr>
          <w:rFonts w:ascii="Palatino Linotype" w:hAnsi="Palatino Linotype"/>
          <w:vertAlign w:val="superscript"/>
        </w:rPr>
        <w:footnoteReference w:id="11"/>
      </w:r>
      <w:r w:rsidRPr="005E0100">
        <w:rPr>
          <w:rFonts w:ascii="Palatino Linotype" w:eastAsia="Calibri" w:hAnsi="Palatino Linotype" w:cs="Arial"/>
          <w:color w:val="000000"/>
        </w:rPr>
        <w:t>, 135</w:t>
      </w:r>
      <w:r w:rsidRPr="005E0100">
        <w:rPr>
          <w:rFonts w:ascii="Palatino Linotype" w:hAnsi="Palatino Linotype"/>
          <w:vertAlign w:val="superscript"/>
        </w:rPr>
        <w:footnoteReference w:id="12"/>
      </w:r>
      <w:r w:rsidRPr="005E0100">
        <w:rPr>
          <w:rFonts w:ascii="Palatino Linotype" w:eastAsia="Calibri" w:hAnsi="Palatino Linotype" w:cs="Arial"/>
          <w:color w:val="000000"/>
        </w:rPr>
        <w:t xml:space="preserve"> y 149 de la </w:t>
      </w:r>
      <w:r w:rsidRPr="005E0100">
        <w:rPr>
          <w:rFonts w:ascii="Palatino Linotype" w:eastAsia="Calibri" w:hAnsi="Palatino Linotype" w:cs="Arial"/>
          <w:b/>
          <w:color w:val="000000"/>
        </w:rPr>
        <w:t>Ley de Transparencia y Acceso a la Información Pública del Estado de México y Municipios</w:t>
      </w:r>
      <w:r w:rsidRPr="005E0100">
        <w:rPr>
          <w:rFonts w:ascii="Palatino Linotype" w:eastAsia="Calibri" w:hAnsi="Palatino Linotype" w:cs="Arial"/>
          <w:color w:val="000000"/>
        </w:rPr>
        <w:t>, con el cual sustentara de forma fundada y motivada la clasificación de datos y con ello la "versión pública" de los documentos materia de la solicitud.</w:t>
      </w:r>
    </w:p>
    <w:p w14:paraId="77A3B750" w14:textId="77777777" w:rsidR="00CD7E0B" w:rsidRPr="005E0100" w:rsidRDefault="00CD7E0B" w:rsidP="005E0100">
      <w:pPr>
        <w:spacing w:line="360" w:lineRule="auto"/>
        <w:ind w:right="49"/>
        <w:contextualSpacing/>
        <w:jc w:val="both"/>
        <w:rPr>
          <w:rFonts w:ascii="Palatino Linotype" w:eastAsia="Calibri" w:hAnsi="Palatino Linotype" w:cs="Arial"/>
          <w:color w:val="000000"/>
        </w:rPr>
      </w:pPr>
    </w:p>
    <w:p w14:paraId="5EBC6E73" w14:textId="77777777" w:rsidR="00CD7E0B" w:rsidRPr="005E0100" w:rsidRDefault="00CD7E0B" w:rsidP="005E0100">
      <w:pPr>
        <w:keepNext/>
        <w:keepLines/>
        <w:spacing w:line="360" w:lineRule="auto"/>
        <w:outlineLvl w:val="1"/>
        <w:rPr>
          <w:rFonts w:ascii="Palatino Linotype" w:hAnsi="Palatino Linotype"/>
          <w:b/>
          <w:color w:val="000000"/>
          <w:lang w:eastAsia="en-US"/>
        </w:rPr>
      </w:pPr>
      <w:bookmarkStart w:id="35" w:name="_Toc500756709"/>
      <w:bookmarkStart w:id="36" w:name="_Toc536691777"/>
      <w:bookmarkStart w:id="37" w:name="_Toc80889844"/>
      <w:bookmarkStart w:id="38" w:name="_Toc81384827"/>
      <w:bookmarkStart w:id="39" w:name="_Toc84518026"/>
      <w:bookmarkStart w:id="40" w:name="_Toc85133424"/>
      <w:bookmarkStart w:id="41" w:name="_Toc85650835"/>
      <w:bookmarkStart w:id="42" w:name="_Toc92984377"/>
      <w:r w:rsidRPr="005E0100">
        <w:rPr>
          <w:rFonts w:ascii="Palatino Linotype" w:hAnsi="Palatino Linotype"/>
          <w:b/>
          <w:color w:val="000000"/>
          <w:lang w:eastAsia="en-US"/>
        </w:rPr>
        <w:t>I. De la clasificación de la información.</w:t>
      </w:r>
      <w:bookmarkEnd w:id="35"/>
      <w:bookmarkEnd w:id="36"/>
      <w:bookmarkEnd w:id="37"/>
      <w:bookmarkEnd w:id="38"/>
      <w:bookmarkEnd w:id="39"/>
      <w:bookmarkEnd w:id="40"/>
      <w:bookmarkEnd w:id="41"/>
      <w:bookmarkEnd w:id="42"/>
    </w:p>
    <w:p w14:paraId="7DE60B50"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7D4CFE96"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eastAsia="Calibri" w:hAnsi="Palatino Linotype" w:cs="Arial"/>
          <w:color w:val="000000"/>
        </w:rPr>
        <w:t>La</w:t>
      </w:r>
      <w:r w:rsidRPr="005E0100">
        <w:rPr>
          <w:rFonts w:ascii="Palatino Linotype" w:hAnsi="Palatino Linotype"/>
          <w:color w:val="000000"/>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E0100">
        <w:rPr>
          <w:rFonts w:ascii="Palatino Linotype" w:hAnsi="Palatino Linotype"/>
          <w:vertAlign w:val="superscript"/>
          <w:lang w:val="es-ES_tradnl"/>
        </w:rPr>
        <w:footnoteReference w:id="13"/>
      </w:r>
      <w:r w:rsidRPr="005E0100">
        <w:rPr>
          <w:rFonts w:ascii="Palatino Linotype" w:hAnsi="Palatino Linotype"/>
          <w:color w:val="000000"/>
          <w:lang w:val="es-ES_tradnl"/>
        </w:rPr>
        <w:t xml:space="preserve"> aunque cualquier límite o restricción, </w:t>
      </w:r>
      <w:r w:rsidRPr="005E0100">
        <w:rPr>
          <w:rFonts w:ascii="Palatino Linotype" w:hAnsi="Palatino Linotype"/>
          <w:color w:val="000000"/>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5E0100">
        <w:rPr>
          <w:rFonts w:ascii="Palatino Linotype" w:hAnsi="Palatino Linotype"/>
          <w:vertAlign w:val="superscript"/>
          <w:lang w:val="es-ES_tradnl"/>
        </w:rPr>
        <w:footnoteReference w:id="14"/>
      </w:r>
      <w:r w:rsidRPr="005E0100">
        <w:rPr>
          <w:rFonts w:ascii="Palatino Linotype" w:hAnsi="Palatino Linotype"/>
          <w:color w:val="000000"/>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DCFAA85"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72CD64B0"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olor w:val="000000"/>
          <w:lang w:val="es-ES_tradnl"/>
        </w:rPr>
        <w:t xml:space="preserve">El grave problema que enfrentamos todos los días al resolver los recursos de revisión que se presentan, consiste en que a pesar de que han pasado más de dos años desde la entrada en vigor de la Ley General, y poco más de un año de la entrada en </w:t>
      </w:r>
      <w:r w:rsidRPr="005E0100">
        <w:rPr>
          <w:rFonts w:ascii="Palatino Linotype" w:hAnsi="Palatino Linotype"/>
          <w:color w:val="000000"/>
          <w:lang w:val="es-ES_tradnl"/>
        </w:rPr>
        <w:lastRenderedPageBreak/>
        <w:t>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4C9CB2DE"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3286BD19"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olor w:val="000000"/>
          <w:lang w:val="es-ES_tradnl"/>
        </w:rPr>
        <w:t xml:space="preserve">Por esa razón, es que en esta ocasión se presenta un apretado resumen de las formalidades, elementos y procedimientos que debe considerar el </w:t>
      </w:r>
      <w:r w:rsidRPr="005E0100">
        <w:rPr>
          <w:rFonts w:ascii="Palatino Linotype" w:hAnsi="Palatino Linotype" w:cs="Arial"/>
          <w:b/>
          <w:bCs/>
          <w:color w:val="000000"/>
          <w:lang w:val="es-ES_tradnl"/>
        </w:rPr>
        <w:t>SUJETO OBLIGADO</w:t>
      </w:r>
      <w:r w:rsidRPr="005E0100">
        <w:rPr>
          <w:rFonts w:ascii="Palatino Linotype" w:hAnsi="Palatino Linotype" w:cs="Arial"/>
          <w:color w:val="000000"/>
          <w:lang w:val="es-ES_tradnl"/>
        </w:rPr>
        <w:t xml:space="preserve"> </w:t>
      </w:r>
      <w:r w:rsidRPr="005E0100">
        <w:rPr>
          <w:rFonts w:ascii="Palatino Linotype" w:hAnsi="Palatino Linotype"/>
          <w:color w:val="000000"/>
          <w:lang w:val="es-ES_tradnl"/>
        </w:rPr>
        <w:t>para emitir este tipo de acuerdos y que el Órgano Garante debe verificar que se cumplan.</w:t>
      </w:r>
    </w:p>
    <w:p w14:paraId="761148BD" w14:textId="77777777" w:rsidR="00CD7E0B" w:rsidRPr="005E0100" w:rsidRDefault="00CD7E0B" w:rsidP="005E0100">
      <w:pPr>
        <w:spacing w:line="360" w:lineRule="auto"/>
        <w:jc w:val="both"/>
        <w:rPr>
          <w:rFonts w:ascii="Palatino Linotype" w:hAnsi="Palatino Linotype"/>
          <w:color w:val="000000"/>
          <w:lang w:val="es-ES_tradnl"/>
        </w:rPr>
      </w:pPr>
    </w:p>
    <w:p w14:paraId="102060A4" w14:textId="77777777" w:rsidR="00CD7E0B" w:rsidRPr="005E0100" w:rsidRDefault="00CD7E0B" w:rsidP="005E0100">
      <w:pPr>
        <w:keepNext/>
        <w:keepLines/>
        <w:pBdr>
          <w:top w:val="nil"/>
          <w:left w:val="nil"/>
          <w:bottom w:val="nil"/>
          <w:right w:val="nil"/>
          <w:between w:val="nil"/>
          <w:bar w:val="nil"/>
        </w:pBdr>
        <w:spacing w:line="360" w:lineRule="auto"/>
        <w:contextualSpacing/>
        <w:outlineLvl w:val="0"/>
        <w:rPr>
          <w:rFonts w:ascii="Palatino Linotype" w:hAnsi="Palatino Linotype"/>
          <w:b/>
          <w:color w:val="000000"/>
          <w:lang w:eastAsia="en-US"/>
        </w:rPr>
      </w:pPr>
      <w:bookmarkStart w:id="43" w:name="_Toc485631700"/>
      <w:bookmarkStart w:id="44" w:name="_Toc500756710"/>
      <w:bookmarkStart w:id="45" w:name="_Toc536691778"/>
      <w:bookmarkStart w:id="46" w:name="_Toc80889845"/>
      <w:bookmarkStart w:id="47" w:name="_Toc81260556"/>
      <w:bookmarkStart w:id="48" w:name="_Toc81384828"/>
      <w:bookmarkStart w:id="49" w:name="_Toc84518027"/>
      <w:bookmarkStart w:id="50" w:name="_Toc85133425"/>
      <w:bookmarkStart w:id="51" w:name="_Toc85469342"/>
      <w:bookmarkStart w:id="52" w:name="_Toc85650836"/>
      <w:bookmarkStart w:id="53" w:name="_Toc92984378"/>
      <w:r w:rsidRPr="005E0100">
        <w:rPr>
          <w:rFonts w:ascii="Palatino Linotype" w:hAnsi="Palatino Linotype"/>
          <w:b/>
          <w:color w:val="000000"/>
          <w:lang w:eastAsia="en-US"/>
        </w:rPr>
        <w:t>a) Requisitos previos.</w:t>
      </w:r>
      <w:bookmarkEnd w:id="43"/>
      <w:bookmarkEnd w:id="44"/>
      <w:bookmarkEnd w:id="45"/>
      <w:bookmarkEnd w:id="46"/>
      <w:bookmarkEnd w:id="47"/>
      <w:bookmarkEnd w:id="48"/>
      <w:bookmarkEnd w:id="49"/>
      <w:bookmarkEnd w:id="50"/>
      <w:bookmarkEnd w:id="51"/>
      <w:bookmarkEnd w:id="52"/>
      <w:bookmarkEnd w:id="53"/>
    </w:p>
    <w:p w14:paraId="45282F4C"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31AB4788"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 xml:space="preserve">Los </w:t>
      </w:r>
      <w:r w:rsidRPr="005E0100">
        <w:rPr>
          <w:rFonts w:ascii="Palatino Linotype" w:hAnsi="Palatino Linotype"/>
          <w:color w:val="000000"/>
          <w:lang w:val="es-ES_tradnl"/>
        </w:rPr>
        <w:t>artículos</w:t>
      </w:r>
      <w:r w:rsidRPr="005E0100">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2E40CD8"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51CD652D"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FAF5DB7"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15AB24AD"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1AAC99A"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70050118" w14:textId="77777777" w:rsidR="00CD7E0B" w:rsidRPr="005E0100" w:rsidRDefault="00CD7E0B" w:rsidP="005E0100">
      <w:pPr>
        <w:keepNext/>
        <w:keepLines/>
        <w:pBdr>
          <w:top w:val="nil"/>
          <w:left w:val="nil"/>
          <w:bottom w:val="nil"/>
          <w:right w:val="nil"/>
          <w:between w:val="nil"/>
          <w:bar w:val="nil"/>
        </w:pBdr>
        <w:spacing w:line="360" w:lineRule="auto"/>
        <w:outlineLvl w:val="0"/>
        <w:rPr>
          <w:rFonts w:ascii="Palatino Linotype" w:hAnsi="Palatino Linotype"/>
          <w:b/>
          <w:color w:val="000000"/>
          <w:lang w:eastAsia="en-US"/>
        </w:rPr>
      </w:pPr>
      <w:bookmarkStart w:id="54" w:name="_Toc485631701"/>
      <w:bookmarkStart w:id="55" w:name="_Toc500756711"/>
      <w:bookmarkStart w:id="56" w:name="_Toc536691779"/>
      <w:bookmarkStart w:id="57" w:name="_Toc80889846"/>
      <w:bookmarkStart w:id="58" w:name="_Toc81260557"/>
      <w:bookmarkStart w:id="59" w:name="_Toc81384829"/>
      <w:bookmarkStart w:id="60" w:name="_Toc84518028"/>
      <w:bookmarkStart w:id="61" w:name="_Toc85133426"/>
      <w:bookmarkStart w:id="62" w:name="_Toc85469343"/>
      <w:bookmarkStart w:id="63" w:name="_Toc85650837"/>
      <w:bookmarkStart w:id="64" w:name="_Toc92984379"/>
      <w:r w:rsidRPr="005E0100">
        <w:rPr>
          <w:rFonts w:ascii="Palatino Linotype" w:hAnsi="Palatino Linotype"/>
          <w:b/>
          <w:color w:val="000000"/>
          <w:lang w:eastAsia="en-US"/>
        </w:rPr>
        <w:t>b) Supuestos de clasificación.</w:t>
      </w:r>
      <w:bookmarkEnd w:id="54"/>
      <w:bookmarkEnd w:id="55"/>
      <w:bookmarkEnd w:id="56"/>
      <w:bookmarkEnd w:id="57"/>
      <w:bookmarkEnd w:id="58"/>
      <w:bookmarkEnd w:id="59"/>
      <w:bookmarkEnd w:id="60"/>
      <w:bookmarkEnd w:id="61"/>
      <w:bookmarkEnd w:id="62"/>
      <w:bookmarkEnd w:id="63"/>
      <w:bookmarkEnd w:id="64"/>
    </w:p>
    <w:p w14:paraId="0B07E1FE"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487592E2"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6190B820"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07F47D2B"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Mientras que los artículos 143 y 116 de la Ley Estatal y de la Ley General, respectivamente, señalan los supuestos para que la información pueda ser clasificada como confidencial:</w:t>
      </w:r>
    </w:p>
    <w:p w14:paraId="4972906B" w14:textId="77777777" w:rsidR="00CD7E0B" w:rsidRPr="005E0100" w:rsidRDefault="00CD7E0B" w:rsidP="005E0100">
      <w:pPr>
        <w:spacing w:line="360" w:lineRule="auto"/>
        <w:ind w:right="49"/>
        <w:contextualSpacing/>
        <w:jc w:val="both"/>
        <w:rPr>
          <w:rFonts w:ascii="Palatino Linotype" w:hAnsi="Palatino Linotype" w:cs="Arial"/>
          <w:color w:val="000000"/>
          <w:lang w:val="es-ES_tradnl"/>
        </w:rPr>
      </w:pPr>
    </w:p>
    <w:p w14:paraId="4B1B42BF" w14:textId="77777777" w:rsidR="00CD7E0B" w:rsidRPr="005E0100" w:rsidRDefault="00CD7E0B" w:rsidP="005E0100">
      <w:pPr>
        <w:widowControl w:val="0"/>
        <w:autoSpaceDE w:val="0"/>
        <w:autoSpaceDN w:val="0"/>
        <w:adjustRightInd w:val="0"/>
        <w:spacing w:line="360" w:lineRule="auto"/>
        <w:ind w:left="851" w:right="822"/>
        <w:jc w:val="both"/>
        <w:rPr>
          <w:rFonts w:ascii="Palatino Linotype" w:hAnsi="Palatino Linotype" w:cs="Times"/>
          <w:i/>
          <w:iCs/>
          <w:color w:val="000000"/>
          <w:lang w:val="es-ES_tradnl"/>
        </w:rPr>
      </w:pPr>
      <w:r w:rsidRPr="005E0100">
        <w:rPr>
          <w:rFonts w:ascii="Palatino Linotype" w:hAnsi="Palatino Linotype" w:cs="Bookman Old Style"/>
          <w:bCs/>
          <w:i/>
          <w:iCs/>
          <w:color w:val="000000"/>
          <w:lang w:val="es-ES_tradnl"/>
        </w:rPr>
        <w:t>“</w:t>
      </w:r>
      <w:r w:rsidRPr="005E0100">
        <w:rPr>
          <w:rFonts w:ascii="Palatino Linotype" w:hAnsi="Palatino Linotype" w:cs="Bookman Old Style"/>
          <w:b/>
          <w:i/>
          <w:iCs/>
          <w:color w:val="000000"/>
          <w:lang w:val="es-ES_tradnl"/>
        </w:rPr>
        <w:t>I.</w:t>
      </w:r>
      <w:r w:rsidRPr="005E0100">
        <w:rPr>
          <w:rFonts w:ascii="Palatino Linotype" w:hAnsi="Palatino Linotype" w:cs="Bookman Old Style"/>
          <w:bCs/>
          <w:i/>
          <w:iCs/>
          <w:color w:val="000000"/>
          <w:lang w:val="es-ES_tradnl"/>
        </w:rPr>
        <w:t xml:space="preserve"> </w:t>
      </w:r>
      <w:r w:rsidRPr="005E0100">
        <w:rPr>
          <w:rFonts w:ascii="Palatino Linotype" w:hAnsi="Palatino Linotype" w:cs="Bookman Old Style"/>
          <w:i/>
          <w:iCs/>
          <w:color w:val="000000"/>
          <w:lang w:val="es-ES_tradnl"/>
        </w:rPr>
        <w:t xml:space="preserve">Se refiera a la información privada y los datos personales concernientes a </w:t>
      </w:r>
      <w:r w:rsidRPr="005E0100">
        <w:rPr>
          <w:rFonts w:ascii="Palatino Linotype" w:hAnsi="Palatino Linotype" w:cs="Bookman Old Style"/>
          <w:i/>
          <w:iCs/>
          <w:color w:val="000000"/>
          <w:lang w:val="es-ES_tradnl"/>
        </w:rPr>
        <w:lastRenderedPageBreak/>
        <w:t xml:space="preserve">una persona física o jurídico colectiva identificada o identificable; </w:t>
      </w:r>
    </w:p>
    <w:p w14:paraId="6FDC661C" w14:textId="77777777" w:rsidR="00CD7E0B" w:rsidRPr="005E0100" w:rsidRDefault="00CD7E0B" w:rsidP="005E0100">
      <w:pPr>
        <w:widowControl w:val="0"/>
        <w:autoSpaceDE w:val="0"/>
        <w:autoSpaceDN w:val="0"/>
        <w:adjustRightInd w:val="0"/>
        <w:spacing w:line="360" w:lineRule="auto"/>
        <w:ind w:left="851" w:right="822"/>
        <w:jc w:val="both"/>
        <w:rPr>
          <w:rFonts w:ascii="Palatino Linotype" w:hAnsi="Palatino Linotype" w:cs="Times"/>
          <w:i/>
          <w:iCs/>
          <w:color w:val="000000"/>
          <w:lang w:val="es-ES_tradnl"/>
        </w:rPr>
      </w:pPr>
      <w:r w:rsidRPr="005E0100">
        <w:rPr>
          <w:rFonts w:ascii="Palatino Linotype" w:hAnsi="Palatino Linotype" w:cs="Bookman Old Style"/>
          <w:b/>
          <w:i/>
          <w:iCs/>
          <w:color w:val="000000"/>
          <w:lang w:val="es-ES_tradnl"/>
        </w:rPr>
        <w:t>II.</w:t>
      </w:r>
      <w:r w:rsidRPr="005E0100">
        <w:rPr>
          <w:rFonts w:ascii="Palatino Linotype" w:hAnsi="Palatino Linotype" w:cs="Bookman Old Style"/>
          <w:bCs/>
          <w:i/>
          <w:iCs/>
          <w:color w:val="000000"/>
          <w:lang w:val="es-ES_tradnl"/>
        </w:rPr>
        <w:t xml:space="preserve"> </w:t>
      </w:r>
      <w:r w:rsidRPr="005E0100">
        <w:rPr>
          <w:rFonts w:ascii="Palatino Linotype" w:hAnsi="Palatino Linotype" w:cs="Bookman Old Style"/>
          <w:i/>
          <w:iCs/>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546405F" w14:textId="77777777" w:rsidR="00CD7E0B" w:rsidRPr="005E0100" w:rsidRDefault="00CD7E0B" w:rsidP="005E0100">
      <w:pPr>
        <w:widowControl w:val="0"/>
        <w:autoSpaceDE w:val="0"/>
        <w:autoSpaceDN w:val="0"/>
        <w:adjustRightInd w:val="0"/>
        <w:spacing w:line="360" w:lineRule="auto"/>
        <w:ind w:left="851" w:right="822"/>
        <w:jc w:val="both"/>
        <w:rPr>
          <w:rFonts w:ascii="Palatino Linotype" w:hAnsi="Palatino Linotype" w:cs="Times"/>
          <w:i/>
          <w:iCs/>
          <w:color w:val="000000"/>
          <w:lang w:val="es-ES_tradnl"/>
        </w:rPr>
      </w:pPr>
      <w:r w:rsidRPr="005E0100">
        <w:rPr>
          <w:rFonts w:ascii="Palatino Linotype" w:hAnsi="Palatino Linotype" w:cs="Bookman Old Style"/>
          <w:b/>
          <w:i/>
          <w:iCs/>
          <w:color w:val="000000"/>
          <w:lang w:val="es-ES_tradnl"/>
        </w:rPr>
        <w:t>III.</w:t>
      </w:r>
      <w:r w:rsidRPr="005E0100">
        <w:rPr>
          <w:rFonts w:ascii="Palatino Linotype" w:hAnsi="Palatino Linotype" w:cs="Bookman Old Style"/>
          <w:bCs/>
          <w:i/>
          <w:iCs/>
          <w:color w:val="000000"/>
          <w:lang w:val="es-ES_tradnl"/>
        </w:rPr>
        <w:t xml:space="preserve"> </w:t>
      </w:r>
      <w:r w:rsidRPr="005E0100">
        <w:rPr>
          <w:rFonts w:ascii="Palatino Linotype" w:hAnsi="Palatino Linotype" w:cs="Bookman Old Style"/>
          <w:i/>
          <w:iCs/>
          <w:color w:val="000000"/>
          <w:lang w:val="es-ES_tradnl"/>
        </w:rPr>
        <w:t xml:space="preserve">La que presenten los particulares a los sujetos obligados, de conformidad con lo dispuesto por las leyes o los tratados internacionales. </w:t>
      </w:r>
    </w:p>
    <w:p w14:paraId="232074A0" w14:textId="77777777" w:rsidR="00CD7E0B" w:rsidRPr="005E0100" w:rsidRDefault="00CD7E0B" w:rsidP="005E0100">
      <w:pPr>
        <w:widowControl w:val="0"/>
        <w:autoSpaceDE w:val="0"/>
        <w:autoSpaceDN w:val="0"/>
        <w:adjustRightInd w:val="0"/>
        <w:spacing w:line="360" w:lineRule="auto"/>
        <w:ind w:left="851" w:right="822"/>
        <w:jc w:val="both"/>
        <w:rPr>
          <w:rFonts w:ascii="Palatino Linotype" w:hAnsi="Palatino Linotype" w:cs="Times"/>
          <w:i/>
          <w:iCs/>
          <w:color w:val="000000"/>
          <w:lang w:val="es-ES_tradnl"/>
        </w:rPr>
      </w:pPr>
      <w:r w:rsidRPr="005E0100">
        <w:rPr>
          <w:rFonts w:ascii="Palatino Linotype" w:hAnsi="Palatino Linotype" w:cs="Bookman Old Style"/>
          <w:i/>
          <w:iCs/>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2F26D832" w14:textId="77777777" w:rsidR="00CD7E0B" w:rsidRPr="005E0100" w:rsidRDefault="00CD7E0B" w:rsidP="005E0100">
      <w:pPr>
        <w:widowControl w:val="0"/>
        <w:autoSpaceDE w:val="0"/>
        <w:autoSpaceDN w:val="0"/>
        <w:adjustRightInd w:val="0"/>
        <w:spacing w:line="360" w:lineRule="auto"/>
        <w:ind w:left="851" w:right="822"/>
        <w:jc w:val="both"/>
        <w:rPr>
          <w:rFonts w:ascii="Palatino Linotype" w:hAnsi="Palatino Linotype" w:cs="Times"/>
          <w:i/>
          <w:iCs/>
          <w:color w:val="000000"/>
          <w:lang w:val="es-ES_tradnl"/>
        </w:rPr>
      </w:pPr>
      <w:r w:rsidRPr="005E0100">
        <w:rPr>
          <w:rFonts w:ascii="Palatino Linotype" w:hAnsi="Palatino Linotype" w:cs="Bookman Old Style"/>
          <w:i/>
          <w:iCs/>
          <w:color w:val="000000"/>
          <w:lang w:val="es-ES_tradnl"/>
        </w:rPr>
        <w:t>No se considerará confidencial la información que se encuentre en los registros públicos o en fuentes de acceso público, ni tampoco la que sea considerada por la presente ley como información pública.”</w:t>
      </w:r>
    </w:p>
    <w:p w14:paraId="0040C73E" w14:textId="77777777" w:rsidR="00CD7E0B" w:rsidRPr="005E0100" w:rsidRDefault="00CD7E0B" w:rsidP="005E0100">
      <w:pPr>
        <w:spacing w:line="360" w:lineRule="auto"/>
        <w:ind w:left="851" w:right="822"/>
        <w:contextualSpacing/>
        <w:jc w:val="both"/>
        <w:rPr>
          <w:rFonts w:ascii="Palatino Linotype" w:eastAsiaTheme="minorEastAsia" w:hAnsi="Palatino Linotype"/>
          <w:lang w:eastAsia="es-ES"/>
        </w:rPr>
      </w:pPr>
    </w:p>
    <w:p w14:paraId="5028372A" w14:textId="77777777" w:rsidR="00CD7E0B" w:rsidRPr="005E0100" w:rsidRDefault="00CD7E0B" w:rsidP="005E0100">
      <w:pPr>
        <w:numPr>
          <w:ilvl w:val="0"/>
          <w:numId w:val="1"/>
        </w:numPr>
        <w:spacing w:line="360" w:lineRule="auto"/>
        <w:ind w:left="0" w:right="49" w:hanging="142"/>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1D93574"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74E47A48" w14:textId="77777777" w:rsidR="00CD7E0B" w:rsidRPr="005E0100" w:rsidRDefault="00CD7E0B" w:rsidP="005E0100">
      <w:pPr>
        <w:numPr>
          <w:ilvl w:val="0"/>
          <w:numId w:val="1"/>
        </w:numPr>
        <w:spacing w:line="360" w:lineRule="auto"/>
        <w:ind w:left="0" w:right="49"/>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 xml:space="preserve">Como consecuencia de lo anterior, el </w:t>
      </w:r>
      <w:r w:rsidRPr="005E0100">
        <w:rPr>
          <w:rFonts w:ascii="Palatino Linotype" w:hAnsi="Palatino Linotype" w:cs="Arial"/>
          <w:b/>
          <w:bCs/>
          <w:color w:val="000000"/>
          <w:lang w:val="es-ES_tradnl"/>
        </w:rPr>
        <w:t>SUJETO OBLIGADO</w:t>
      </w:r>
      <w:r w:rsidRPr="005E0100">
        <w:rPr>
          <w:rFonts w:ascii="Palatino Linotype" w:hAnsi="Palatino Linotype" w:cs="Arial"/>
          <w:color w:val="000000"/>
          <w:lang w:val="es-ES_tradnl"/>
        </w:rPr>
        <w:t xml:space="preserve"> debe identificar claramente el tipo de información y hacer un juicio de subsunción o encaje</w:t>
      </w:r>
      <w:r w:rsidRPr="005E0100">
        <w:rPr>
          <w:rFonts w:ascii="Palatino Linotype" w:hAnsi="Palatino Linotype"/>
          <w:vertAlign w:val="superscript"/>
          <w:lang w:val="es-ES_tradnl"/>
        </w:rPr>
        <w:footnoteReference w:id="15"/>
      </w:r>
      <w:r w:rsidRPr="005E0100">
        <w:rPr>
          <w:rFonts w:ascii="Palatino Linotype" w:hAnsi="Palatino Linotype" w:cs="Arial"/>
          <w:color w:val="000000"/>
          <w:lang w:val="es-ES_tradnl"/>
        </w:rPr>
        <w:t xml:space="preserve"> para </w:t>
      </w:r>
      <w:r w:rsidRPr="005E0100">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7C33FF82" w14:textId="77777777" w:rsidR="00CD7E0B" w:rsidRPr="005E0100" w:rsidRDefault="00CD7E0B" w:rsidP="005E0100">
      <w:pPr>
        <w:numPr>
          <w:ilvl w:val="0"/>
          <w:numId w:val="1"/>
        </w:numPr>
        <w:spacing w:line="360" w:lineRule="auto"/>
        <w:ind w:left="0" w:right="49"/>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1DE1908" w14:textId="77777777" w:rsidR="00CD7E0B" w:rsidRPr="005E0100" w:rsidRDefault="00CD7E0B" w:rsidP="005E0100">
      <w:pPr>
        <w:spacing w:line="360" w:lineRule="auto"/>
        <w:contextualSpacing/>
        <w:jc w:val="both"/>
        <w:rPr>
          <w:rFonts w:ascii="Palatino Linotype" w:hAnsi="Palatino Linotype"/>
          <w:b/>
          <w:color w:val="000000"/>
          <w:lang w:val="es-ES_tradnl"/>
        </w:rPr>
      </w:pPr>
    </w:p>
    <w:p w14:paraId="70733D04" w14:textId="77777777" w:rsidR="00CD7E0B" w:rsidRPr="005E0100" w:rsidRDefault="00CD7E0B" w:rsidP="005E0100">
      <w:pPr>
        <w:keepNext/>
        <w:keepLines/>
        <w:pBdr>
          <w:top w:val="nil"/>
          <w:left w:val="nil"/>
          <w:bottom w:val="nil"/>
          <w:right w:val="nil"/>
          <w:between w:val="nil"/>
          <w:bar w:val="nil"/>
        </w:pBdr>
        <w:spacing w:line="360" w:lineRule="auto"/>
        <w:contextualSpacing/>
        <w:jc w:val="both"/>
        <w:outlineLvl w:val="0"/>
        <w:rPr>
          <w:rFonts w:ascii="Palatino Linotype" w:hAnsi="Palatino Linotype"/>
          <w:b/>
          <w:color w:val="000000"/>
          <w:lang w:eastAsia="en-US"/>
        </w:rPr>
      </w:pPr>
      <w:bookmarkStart w:id="65" w:name="_Toc485631702"/>
      <w:bookmarkStart w:id="66" w:name="_Toc500756712"/>
      <w:bookmarkStart w:id="67" w:name="_Toc536691780"/>
      <w:bookmarkStart w:id="68" w:name="_Toc80889847"/>
      <w:bookmarkStart w:id="69" w:name="_Toc81260558"/>
      <w:bookmarkStart w:id="70" w:name="_Toc81384830"/>
      <w:bookmarkStart w:id="71" w:name="_Toc84518029"/>
      <w:bookmarkStart w:id="72" w:name="_Toc85133427"/>
      <w:bookmarkStart w:id="73" w:name="_Toc85469344"/>
      <w:bookmarkStart w:id="74" w:name="_Toc85650838"/>
      <w:bookmarkStart w:id="75" w:name="_Toc92984380"/>
      <w:r w:rsidRPr="005E0100">
        <w:rPr>
          <w:rFonts w:ascii="Palatino Linotype" w:hAnsi="Palatino Linotype"/>
          <w:b/>
          <w:color w:val="000000"/>
          <w:lang w:eastAsia="en-US"/>
        </w:rPr>
        <w:t>c) Excepciones a los supuestos de clasificación de la información como reservada.</w:t>
      </w:r>
      <w:bookmarkEnd w:id="65"/>
      <w:bookmarkEnd w:id="66"/>
      <w:bookmarkEnd w:id="67"/>
      <w:bookmarkEnd w:id="68"/>
      <w:bookmarkEnd w:id="69"/>
      <w:bookmarkEnd w:id="70"/>
      <w:bookmarkEnd w:id="71"/>
      <w:bookmarkEnd w:id="72"/>
      <w:bookmarkEnd w:id="73"/>
      <w:bookmarkEnd w:id="74"/>
      <w:bookmarkEnd w:id="75"/>
    </w:p>
    <w:p w14:paraId="0FF8BF10"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54C67EFC" w14:textId="77777777" w:rsidR="00CD7E0B" w:rsidRPr="005E0100" w:rsidRDefault="00CD7E0B" w:rsidP="005E0100">
      <w:pPr>
        <w:numPr>
          <w:ilvl w:val="0"/>
          <w:numId w:val="1"/>
        </w:numPr>
        <w:spacing w:line="360" w:lineRule="auto"/>
        <w:ind w:left="0" w:right="49"/>
        <w:contextualSpacing/>
        <w:jc w:val="both"/>
        <w:rPr>
          <w:rFonts w:ascii="Palatino Linotype" w:eastAsiaTheme="minorEastAsia" w:hAnsi="Palatino Linotype"/>
          <w:lang w:eastAsia="es-ES"/>
        </w:rPr>
      </w:pPr>
      <w:r w:rsidRPr="005E0100">
        <w:rPr>
          <w:rFonts w:ascii="Palatino Linotype" w:hAnsi="Palatino Linotype"/>
          <w:color w:val="000000"/>
        </w:rPr>
        <w:t xml:space="preserve">En </w:t>
      </w:r>
      <w:r w:rsidRPr="005E0100">
        <w:rPr>
          <w:rFonts w:ascii="Palatino Linotype" w:hAnsi="Palatino Linotype" w:cs="Arial"/>
          <w:color w:val="000000"/>
          <w:lang w:val="es-ES_tradnl"/>
        </w:rPr>
        <w:t>todos</w:t>
      </w:r>
      <w:r w:rsidRPr="005E0100">
        <w:rPr>
          <w:rFonts w:ascii="Palatino Linotype" w:hAnsi="Palatino Linotype"/>
          <w:color w:val="000000"/>
        </w:rPr>
        <w:t xml:space="preserve"> aquellos casos en los que se pretende adoptar una clasificación de la información como reservada, hay que considerar lo señalado por los artículos 5, 140 y 142 de la Ley Estatal y 5, 113 fracción III y 115 de la Ley General, que establecen </w:t>
      </w:r>
      <w:r w:rsidRPr="005E0100">
        <w:rPr>
          <w:rFonts w:ascii="Palatino Linotype" w:hAnsi="Palatino Linotype"/>
          <w:b/>
          <w:color w:val="000000"/>
        </w:rPr>
        <w:t>qué no puede clasificarse como información reservada:</w:t>
      </w:r>
    </w:p>
    <w:p w14:paraId="5E026FE6" w14:textId="77777777" w:rsidR="00CD7E0B" w:rsidRPr="005E0100" w:rsidRDefault="00CD7E0B" w:rsidP="005E0100">
      <w:pPr>
        <w:spacing w:line="360" w:lineRule="auto"/>
        <w:ind w:right="49"/>
        <w:contextualSpacing/>
        <w:jc w:val="both"/>
        <w:rPr>
          <w:rFonts w:ascii="Palatino Linotype" w:hAnsi="Palatino Linotype"/>
          <w:b/>
          <w:color w:val="000000"/>
          <w:sz w:val="22"/>
        </w:rPr>
      </w:pPr>
    </w:p>
    <w:p w14:paraId="1E8BA90B" w14:textId="77777777" w:rsidR="00CD7E0B" w:rsidRPr="005E0100" w:rsidRDefault="00CD7E0B" w:rsidP="005E0100">
      <w:pPr>
        <w:spacing w:line="360" w:lineRule="auto"/>
        <w:ind w:left="567" w:right="567"/>
        <w:contextualSpacing/>
        <w:jc w:val="both"/>
        <w:rPr>
          <w:rFonts w:ascii="Palatino Linotype" w:hAnsi="Palatino Linotype"/>
          <w:b/>
          <w:i/>
          <w:iCs/>
          <w:color w:val="000000"/>
          <w:sz w:val="22"/>
          <w:lang w:val="es-ES"/>
        </w:rPr>
      </w:pPr>
      <w:r w:rsidRPr="005E0100">
        <w:rPr>
          <w:rFonts w:ascii="Palatino Linotype" w:hAnsi="Palatino Linotype"/>
          <w:bCs/>
          <w:color w:val="000000"/>
          <w:sz w:val="22"/>
          <w:lang w:val="es-ES"/>
        </w:rPr>
        <w:t>“</w:t>
      </w:r>
      <w:r w:rsidRPr="005E0100">
        <w:rPr>
          <w:rFonts w:ascii="Palatino Linotype" w:hAnsi="Palatino Linotype"/>
          <w:b/>
          <w:i/>
          <w:iCs/>
          <w:color w:val="000000"/>
          <w:sz w:val="22"/>
          <w:lang w:val="es-ES"/>
        </w:rPr>
        <w:t>I. Se trate de violaciones graves de derechos humanos, calificada así por autoridad competente;</w:t>
      </w:r>
    </w:p>
    <w:p w14:paraId="6EE0C058" w14:textId="77777777" w:rsidR="00CD7E0B" w:rsidRPr="005E0100" w:rsidRDefault="00CD7E0B" w:rsidP="005E0100">
      <w:pPr>
        <w:spacing w:line="360" w:lineRule="auto"/>
        <w:ind w:left="567" w:right="567"/>
        <w:contextualSpacing/>
        <w:jc w:val="both"/>
        <w:rPr>
          <w:rFonts w:ascii="Palatino Linotype" w:hAnsi="Palatino Linotype"/>
          <w:b/>
          <w:i/>
          <w:iCs/>
          <w:color w:val="000000"/>
          <w:sz w:val="22"/>
          <w:lang w:val="es-ES"/>
        </w:rPr>
      </w:pPr>
      <w:r w:rsidRPr="005E0100">
        <w:rPr>
          <w:rFonts w:ascii="Palatino Linotype" w:hAnsi="Palatino Linotype"/>
          <w:b/>
          <w:i/>
          <w:iCs/>
          <w:color w:val="000000"/>
          <w:sz w:val="22"/>
          <w:lang w:val="es-ES"/>
        </w:rPr>
        <w:lastRenderedPageBreak/>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3F3FD665" w14:textId="77777777" w:rsidR="00CD7E0B" w:rsidRPr="005E0100" w:rsidRDefault="00CD7E0B" w:rsidP="005E0100">
      <w:pPr>
        <w:spacing w:line="360" w:lineRule="auto"/>
        <w:ind w:left="567" w:right="567"/>
        <w:contextualSpacing/>
        <w:jc w:val="both"/>
        <w:rPr>
          <w:rFonts w:ascii="Palatino Linotype" w:hAnsi="Palatino Linotype"/>
          <w:b/>
          <w:i/>
          <w:iCs/>
          <w:color w:val="000000"/>
          <w:sz w:val="22"/>
          <w:lang w:val="es-ES"/>
        </w:rPr>
      </w:pPr>
      <w:r w:rsidRPr="005E0100">
        <w:rPr>
          <w:rFonts w:ascii="Palatino Linotype" w:hAnsi="Palatino Linotype"/>
          <w:b/>
          <w:i/>
          <w:iCs/>
          <w:color w:val="000000"/>
          <w:sz w:val="22"/>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0F10C639" w14:textId="77777777" w:rsidR="00CD7E0B" w:rsidRPr="005E0100" w:rsidRDefault="00CD7E0B" w:rsidP="005E0100">
      <w:pPr>
        <w:spacing w:line="360" w:lineRule="auto"/>
        <w:ind w:left="567" w:right="567"/>
        <w:contextualSpacing/>
        <w:jc w:val="both"/>
        <w:rPr>
          <w:rFonts w:ascii="Palatino Linotype" w:hAnsi="Palatino Linotype"/>
          <w:bCs/>
          <w:color w:val="000000"/>
          <w:sz w:val="22"/>
          <w:lang w:val="es-ES"/>
        </w:rPr>
      </w:pPr>
      <w:r w:rsidRPr="005E0100">
        <w:rPr>
          <w:rFonts w:ascii="Palatino Linotype" w:hAnsi="Palatino Linotype"/>
          <w:b/>
          <w:i/>
          <w:iCs/>
          <w:color w:val="000000"/>
          <w:sz w:val="22"/>
          <w:lang w:val="es-ES"/>
        </w:rPr>
        <w:t>IV. Se trate de información relacionada con actos de corrupción de conformidad con las disposiciones jurídicas aplicables.</w:t>
      </w:r>
      <w:r w:rsidRPr="005E0100">
        <w:rPr>
          <w:rFonts w:ascii="Palatino Linotype" w:hAnsi="Palatino Linotype"/>
          <w:bCs/>
          <w:color w:val="000000"/>
          <w:sz w:val="22"/>
          <w:lang w:val="es-ES"/>
        </w:rPr>
        <w:t>”</w:t>
      </w:r>
    </w:p>
    <w:p w14:paraId="119130E8" w14:textId="77777777" w:rsidR="00CD7E0B" w:rsidRPr="005E0100" w:rsidRDefault="00CD7E0B" w:rsidP="005E0100">
      <w:pPr>
        <w:spacing w:line="360" w:lineRule="auto"/>
        <w:ind w:right="49"/>
        <w:contextualSpacing/>
        <w:jc w:val="both"/>
        <w:rPr>
          <w:rFonts w:ascii="Palatino Linotype" w:eastAsiaTheme="minorEastAsia" w:hAnsi="Palatino Linotype"/>
          <w:sz w:val="22"/>
          <w:lang w:eastAsia="es-ES"/>
        </w:rPr>
      </w:pPr>
    </w:p>
    <w:p w14:paraId="0A0DF09A"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olor w:val="000000"/>
        </w:rPr>
        <w:t>En ese tenor, si la información solicitada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w:t>
      </w:r>
    </w:p>
    <w:p w14:paraId="53D3FFE3" w14:textId="77777777" w:rsidR="00CD7E0B" w:rsidRPr="005E0100" w:rsidRDefault="00CD7E0B" w:rsidP="005E0100">
      <w:pPr>
        <w:spacing w:line="360" w:lineRule="auto"/>
        <w:contextualSpacing/>
        <w:jc w:val="both"/>
        <w:rPr>
          <w:rFonts w:ascii="Palatino Linotype" w:hAnsi="Palatino Linotype"/>
          <w:color w:val="000000"/>
          <w:lang w:val="es-ES"/>
        </w:rPr>
      </w:pPr>
    </w:p>
    <w:p w14:paraId="070C8D4C" w14:textId="77777777" w:rsidR="00CD7E0B" w:rsidRPr="005E0100" w:rsidRDefault="00CD7E0B" w:rsidP="005E0100">
      <w:pPr>
        <w:keepNext/>
        <w:keepLines/>
        <w:pBdr>
          <w:top w:val="nil"/>
          <w:left w:val="nil"/>
          <w:bottom w:val="nil"/>
          <w:right w:val="nil"/>
          <w:between w:val="nil"/>
          <w:bar w:val="nil"/>
        </w:pBdr>
        <w:spacing w:line="360" w:lineRule="auto"/>
        <w:outlineLvl w:val="0"/>
        <w:rPr>
          <w:rFonts w:ascii="Palatino Linotype" w:hAnsi="Palatino Linotype"/>
          <w:b/>
          <w:color w:val="000000"/>
          <w:lang w:eastAsia="en-US"/>
        </w:rPr>
      </w:pPr>
      <w:bookmarkStart w:id="76" w:name="_Toc485631703"/>
      <w:bookmarkStart w:id="77" w:name="_Toc500756713"/>
      <w:bookmarkStart w:id="78" w:name="_Toc536691781"/>
      <w:bookmarkStart w:id="79" w:name="_Toc80889848"/>
      <w:bookmarkStart w:id="80" w:name="_Toc81384831"/>
      <w:bookmarkStart w:id="81" w:name="_Toc84518030"/>
      <w:bookmarkStart w:id="82" w:name="_Toc85133428"/>
      <w:bookmarkStart w:id="83" w:name="_Toc85650839"/>
      <w:bookmarkStart w:id="84" w:name="_Toc92984381"/>
      <w:r w:rsidRPr="005E0100">
        <w:rPr>
          <w:rFonts w:ascii="Palatino Linotype" w:hAnsi="Palatino Linotype"/>
          <w:b/>
          <w:color w:val="000000"/>
          <w:lang w:eastAsia="en-US"/>
        </w:rPr>
        <w:t>II. La intervención del Comité de Transparencia.</w:t>
      </w:r>
      <w:bookmarkEnd w:id="76"/>
      <w:bookmarkEnd w:id="77"/>
      <w:bookmarkEnd w:id="78"/>
      <w:bookmarkEnd w:id="79"/>
      <w:bookmarkEnd w:id="80"/>
      <w:bookmarkEnd w:id="81"/>
      <w:bookmarkEnd w:id="82"/>
      <w:bookmarkEnd w:id="83"/>
      <w:bookmarkEnd w:id="84"/>
    </w:p>
    <w:p w14:paraId="07954A52" w14:textId="77777777" w:rsidR="00CD7E0B" w:rsidRPr="005E0100" w:rsidRDefault="00CD7E0B" w:rsidP="005E0100">
      <w:pPr>
        <w:spacing w:line="360" w:lineRule="auto"/>
        <w:contextualSpacing/>
        <w:jc w:val="both"/>
        <w:rPr>
          <w:rFonts w:ascii="Palatino Linotype" w:hAnsi="Palatino Linotype" w:cs="Arial"/>
          <w:b/>
          <w:color w:val="000000"/>
          <w:lang w:val="es-ES_tradnl"/>
        </w:rPr>
      </w:pPr>
    </w:p>
    <w:p w14:paraId="0550D7A0" w14:textId="77777777" w:rsidR="00CD7E0B" w:rsidRPr="005E0100" w:rsidRDefault="00CD7E0B" w:rsidP="005E0100">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85" w:name="_Toc485631704"/>
      <w:bookmarkStart w:id="86" w:name="_Toc500756714"/>
      <w:bookmarkStart w:id="87" w:name="_Toc536691782"/>
      <w:bookmarkStart w:id="88" w:name="_Toc80889849"/>
      <w:bookmarkStart w:id="89" w:name="_Toc81260560"/>
      <w:bookmarkStart w:id="90" w:name="_Toc81384832"/>
      <w:bookmarkStart w:id="91" w:name="_Toc84518031"/>
      <w:bookmarkStart w:id="92" w:name="_Toc85133429"/>
      <w:bookmarkStart w:id="93" w:name="_Toc85469346"/>
      <w:bookmarkStart w:id="94" w:name="_Toc85650840"/>
      <w:bookmarkStart w:id="95" w:name="_Toc92984382"/>
      <w:r w:rsidRPr="005E0100">
        <w:rPr>
          <w:rFonts w:ascii="Palatino Linotype" w:hAnsi="Palatino Linotype"/>
          <w:b/>
          <w:color w:val="000000"/>
          <w:lang w:eastAsia="en-US"/>
        </w:rPr>
        <w:t>a) Formalidades para emitir el acuerdo de clasificación.</w:t>
      </w:r>
      <w:bookmarkEnd w:id="85"/>
      <w:bookmarkEnd w:id="86"/>
      <w:bookmarkEnd w:id="87"/>
      <w:bookmarkEnd w:id="88"/>
      <w:bookmarkEnd w:id="89"/>
      <w:bookmarkEnd w:id="90"/>
      <w:bookmarkEnd w:id="91"/>
      <w:bookmarkEnd w:id="92"/>
      <w:bookmarkEnd w:id="93"/>
      <w:bookmarkEnd w:id="94"/>
      <w:bookmarkEnd w:id="95"/>
    </w:p>
    <w:p w14:paraId="096CD292"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2ED6DC6B"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 xml:space="preserve">El </w:t>
      </w:r>
      <w:r w:rsidRPr="005E0100">
        <w:rPr>
          <w:rFonts w:ascii="Palatino Linotype" w:hAnsi="Palatino Linotype"/>
          <w:color w:val="000000"/>
        </w:rPr>
        <w:t>Comité</w:t>
      </w:r>
      <w:r w:rsidRPr="005E0100">
        <w:rPr>
          <w:rFonts w:ascii="Palatino Linotype" w:hAnsi="Palatino Linotype" w:cs="Arial"/>
          <w:color w:val="000000"/>
          <w:lang w:val="es-ES_tradnl"/>
        </w:rPr>
        <w:t xml:space="preserve"> de Transparencia, según lo dispuesto en los artículos 128 y 103 de la Ley Estatal y de la Ley General, respectivamente, y </w:t>
      </w:r>
      <w:r w:rsidRPr="005E0100">
        <w:rPr>
          <w:rFonts w:ascii="Palatino Linotype" w:hAnsi="Palatino Linotype"/>
          <w:color w:val="000000"/>
          <w:lang w:val="es-ES_tradnl"/>
        </w:rPr>
        <w:t xml:space="preserve">la fracción III del numeral Segundo de los </w:t>
      </w:r>
      <w:r w:rsidRPr="005E0100">
        <w:rPr>
          <w:rFonts w:ascii="Palatino Linotype" w:hAnsi="Palatino Linotype" w:cs="Arial"/>
          <w:color w:val="000000"/>
          <w:lang w:val="es-ES_tradnl"/>
        </w:rPr>
        <w:t xml:space="preserve">Lineamientos Generales en Materia de Clasificación y Desclasificación </w:t>
      </w:r>
      <w:r w:rsidRPr="005E0100">
        <w:rPr>
          <w:rFonts w:ascii="Palatino Linotype" w:hAnsi="Palatino Linotype" w:cs="Arial"/>
          <w:color w:val="000000"/>
          <w:lang w:val="es-ES_tradnl"/>
        </w:rPr>
        <w:lastRenderedPageBreak/>
        <w:t>de la Información, así como para la Elaboración de Versiones Públicas (en adelante los Lineamientos Generales),</w:t>
      </w:r>
      <w:r w:rsidRPr="005E0100">
        <w:rPr>
          <w:rFonts w:ascii="Palatino Linotype" w:hAnsi="Palatino Linotype"/>
          <w:color w:val="000000"/>
          <w:lang w:val="es-ES_tradnl"/>
        </w:rPr>
        <w:t xml:space="preserve"> </w:t>
      </w:r>
      <w:r w:rsidRPr="005E0100">
        <w:rPr>
          <w:rFonts w:ascii="Palatino Linotype" w:hAnsi="Palatino Linotype" w:cs="Arial"/>
          <w:color w:val="000000"/>
          <w:lang w:val="es-ES_tradn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3D2C340"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47992193"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8A9EE80"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0A2F8623"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olor w:val="000000"/>
          <w:lang w:val="es-ES_tradnl"/>
        </w:rPr>
        <w:t xml:space="preserve">La </w:t>
      </w:r>
      <w:r w:rsidRPr="005E0100">
        <w:rPr>
          <w:rFonts w:ascii="Palatino Linotype" w:hAnsi="Palatino Linotype" w:cs="Arial"/>
          <w:color w:val="000000"/>
          <w:lang w:val="es-ES_tradnl"/>
        </w:rPr>
        <w:t>decisión</w:t>
      </w:r>
      <w:r w:rsidRPr="005E0100">
        <w:rPr>
          <w:rFonts w:ascii="Palatino Linotype" w:hAnsi="Palatino Linotype"/>
          <w:color w:val="000000"/>
          <w:lang w:val="es-ES_tradnl"/>
        </w:rPr>
        <w:t xml:space="preserve">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w:t>
      </w:r>
      <w:r w:rsidRPr="005E0100">
        <w:rPr>
          <w:rFonts w:ascii="Palatino Linotype" w:hAnsi="Palatino Linotype"/>
          <w:color w:val="000000"/>
          <w:lang w:val="es-ES_tradnl"/>
        </w:rPr>
        <w:lastRenderedPageBreak/>
        <w:t>las sesiones, se insiste, a partir de las decisiones adoptadas previamente por los titulares de áreas y que son sujetas a control, en primera instancia, por el Comité de Transparencia.</w:t>
      </w:r>
    </w:p>
    <w:p w14:paraId="5C3993D3"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27E8FED0" w14:textId="77777777" w:rsidR="00CD7E0B" w:rsidRPr="005E0100" w:rsidRDefault="00CD7E0B" w:rsidP="005E0100">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96" w:name="_Toc485631705"/>
      <w:bookmarkStart w:id="97" w:name="_Toc500756715"/>
      <w:bookmarkStart w:id="98" w:name="_Toc536691783"/>
      <w:bookmarkStart w:id="99" w:name="_Toc80889850"/>
      <w:bookmarkStart w:id="100" w:name="_Toc81260561"/>
      <w:bookmarkStart w:id="101" w:name="_Toc81384833"/>
      <w:bookmarkStart w:id="102" w:name="_Toc84518032"/>
      <w:bookmarkStart w:id="103" w:name="_Toc85133430"/>
      <w:bookmarkStart w:id="104" w:name="_Toc85469347"/>
      <w:bookmarkStart w:id="105" w:name="_Toc85650841"/>
      <w:bookmarkStart w:id="106" w:name="_Toc92984383"/>
      <w:r w:rsidRPr="005E0100">
        <w:rPr>
          <w:rFonts w:ascii="Palatino Linotype" w:hAnsi="Palatino Linotype"/>
          <w:b/>
          <w:color w:val="000000"/>
          <w:lang w:eastAsia="en-US"/>
        </w:rPr>
        <w:t>b) Requisitos de fondo del acuerdo de clasificación.</w:t>
      </w:r>
      <w:bookmarkEnd w:id="96"/>
      <w:bookmarkEnd w:id="97"/>
      <w:bookmarkEnd w:id="98"/>
      <w:bookmarkEnd w:id="99"/>
      <w:bookmarkEnd w:id="100"/>
      <w:bookmarkEnd w:id="101"/>
      <w:bookmarkEnd w:id="102"/>
      <w:bookmarkEnd w:id="103"/>
      <w:bookmarkEnd w:id="104"/>
      <w:bookmarkEnd w:id="105"/>
      <w:bookmarkEnd w:id="106"/>
    </w:p>
    <w:p w14:paraId="30844063"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5CA6F319"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 xml:space="preserve">Como </w:t>
      </w:r>
      <w:r w:rsidRPr="005E0100">
        <w:rPr>
          <w:rFonts w:ascii="Palatino Linotype" w:hAnsi="Palatino Linotype"/>
          <w:color w:val="000000"/>
          <w:lang w:val="es-ES_tradnl"/>
        </w:rPr>
        <w:t>se</w:t>
      </w:r>
      <w:r w:rsidRPr="005E0100">
        <w:rPr>
          <w:rFonts w:ascii="Palatino Linotype" w:hAnsi="Palatino Linotype" w:cs="Arial"/>
          <w:color w:val="000000"/>
          <w:lang w:val="es-ES_tradnl"/>
        </w:rPr>
        <w:t xml:space="preserv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BC8FDD2"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38BE1ECE"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olor w:val="000000"/>
          <w:lang w:val="es-ES_tradnl"/>
        </w:rPr>
        <w:t xml:space="preserve">De lo </w:t>
      </w:r>
      <w:r w:rsidRPr="005E0100">
        <w:rPr>
          <w:rFonts w:ascii="Palatino Linotype" w:hAnsi="Palatino Linotype" w:cs="Arial"/>
          <w:color w:val="000000"/>
          <w:lang w:val="es-ES_tradnl"/>
        </w:rPr>
        <w:t>anterior</w:t>
      </w:r>
      <w:r w:rsidRPr="005E0100">
        <w:rPr>
          <w:rFonts w:ascii="Palatino Linotype" w:hAnsi="Palatino Linotype"/>
          <w:color w:val="000000"/>
          <w:lang w:val="es-ES_tradnl"/>
        </w:rPr>
        <w:t>,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0B0A38B"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437EFC1D"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lastRenderedPageBreak/>
        <w:t>Han sido vastos los estudios doctrinarios relativos a estos derechos fundamentales y al principio de legalidad en ellos contenidos; como ejemplo, el procesalista José Ovalle Fabela, en su obra “Garantías Constitucionales del Proceso”, refiere que “...</w:t>
      </w:r>
      <w:r w:rsidRPr="005E0100">
        <w:rPr>
          <w:rFonts w:ascii="Palatino Linotype" w:hAnsi="Palatino Linotype" w:cs="Arial"/>
          <w:i/>
          <w:iCs/>
          <w:color w:val="000000"/>
          <w:lang w:val="es-ES_tradnl"/>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E0100">
        <w:rPr>
          <w:rFonts w:ascii="Palatino Linotype" w:hAnsi="Palatino Linotype" w:cs="Arial"/>
          <w:color w:val="000000"/>
          <w:lang w:val="es-ES_tradnl"/>
        </w:rPr>
        <w:t>...”.</w:t>
      </w:r>
      <w:r w:rsidRPr="005E0100">
        <w:rPr>
          <w:rFonts w:ascii="Palatino Linotype" w:hAnsi="Palatino Linotype"/>
          <w:vertAlign w:val="superscript"/>
          <w:lang w:val="es-ES_tradnl"/>
        </w:rPr>
        <w:footnoteReference w:id="16"/>
      </w:r>
    </w:p>
    <w:p w14:paraId="799ABEAC"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4091BA08"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Por su parte, el intérprete judicial del país ha establecido una jurisprudencia respecto a qué debe entenderse por fundamentación y motivación, en los siguientes términos</w:t>
      </w:r>
      <w:r w:rsidRPr="005E0100">
        <w:rPr>
          <w:rFonts w:ascii="Palatino Linotype" w:hAnsi="Palatino Linotype"/>
          <w:i/>
          <w:vertAlign w:val="superscript"/>
          <w:lang w:val="es-ES_tradnl"/>
        </w:rPr>
        <w:footnoteReference w:id="17"/>
      </w:r>
      <w:r w:rsidRPr="005E0100">
        <w:rPr>
          <w:rFonts w:ascii="Palatino Linotype" w:hAnsi="Palatino Linotype" w:cs="Arial"/>
          <w:color w:val="000000"/>
          <w:lang w:val="es-ES_tradnl"/>
        </w:rPr>
        <w:t>:</w:t>
      </w:r>
    </w:p>
    <w:p w14:paraId="319A8DF6"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1144F408" w14:textId="77777777" w:rsidR="00CD7E0B" w:rsidRPr="005E0100" w:rsidRDefault="00CD7E0B" w:rsidP="005E0100">
      <w:pPr>
        <w:pStyle w:val="Prrafodelista"/>
        <w:spacing w:line="360" w:lineRule="auto"/>
        <w:ind w:left="644" w:right="618"/>
        <w:jc w:val="both"/>
        <w:rPr>
          <w:rFonts w:ascii="Palatino Linotype" w:hAnsi="Palatino Linotype" w:cs="Arial"/>
          <w:i/>
          <w:color w:val="000000"/>
          <w:lang w:val="es-ES_tradnl"/>
        </w:rPr>
      </w:pPr>
      <w:r w:rsidRPr="005E0100">
        <w:rPr>
          <w:rFonts w:ascii="Palatino Linotype" w:hAnsi="Palatino Linotype" w:cs="Arial"/>
          <w:b/>
          <w:i/>
          <w:color w:val="000000"/>
          <w:lang w:val="es-ES_tradnl"/>
        </w:rPr>
        <w:t>FUNDAMENTACIÓN Y MOTIVACIÓN.</w:t>
      </w:r>
      <w:r w:rsidRPr="005E0100">
        <w:rPr>
          <w:rFonts w:ascii="Palatino Linotype" w:hAnsi="Palatino Linotype" w:cs="Arial"/>
          <w:i/>
          <w:color w:val="000000"/>
          <w:lang w:val="es-ES_tradnl"/>
        </w:rPr>
        <w:t xml:space="preserve"> “La </w:t>
      </w:r>
      <w:r w:rsidRPr="005E0100">
        <w:rPr>
          <w:rFonts w:ascii="Palatino Linotype" w:hAnsi="Palatino Linotype" w:cs="Arial"/>
          <w:i/>
          <w:color w:val="000000"/>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E0100">
        <w:rPr>
          <w:rFonts w:ascii="Palatino Linotype" w:hAnsi="Palatino Linotype" w:cs="Arial"/>
          <w:i/>
          <w:color w:val="000000"/>
          <w:lang w:val="es-ES_tradnl"/>
        </w:rPr>
        <w:t>.”</w:t>
      </w:r>
    </w:p>
    <w:p w14:paraId="1D528C55"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02DE5FEA"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8124EFA"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616CA4C9"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FFAAD4E"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6ED74D98"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En ese mismo sentido, el lineamiento trigésimo tercero fracción V de los Lineamientos Generales, precisa que para motivar la clasificación se deben acreditar las circunstancias de tiempo, modo y lugar.</w:t>
      </w:r>
    </w:p>
    <w:p w14:paraId="54C8AC44"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318583D9"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5E0100">
        <w:rPr>
          <w:rFonts w:ascii="Palatino Linotype" w:hAnsi="Palatino Linotype"/>
          <w:color w:val="000000"/>
          <w:lang w:val="es-ES_tradnl"/>
        </w:rPr>
        <w:t xml:space="preserve"> </w:t>
      </w:r>
      <w:r w:rsidRPr="005E0100">
        <w:rPr>
          <w:rFonts w:ascii="Palatino Linotype" w:hAnsi="Palatino Linotype" w:cs="Arial"/>
          <w:color w:val="000000"/>
          <w:lang w:val="es-ES_tradnl"/>
        </w:rPr>
        <w:t>datos personales</w:t>
      </w:r>
      <w:r w:rsidRPr="005E0100">
        <w:rPr>
          <w:rFonts w:ascii="Palatino Linotype" w:hAnsi="Palatino Linotype"/>
          <w:vertAlign w:val="superscript"/>
          <w:lang w:val="es-ES_tradnl"/>
        </w:rPr>
        <w:footnoteReference w:id="18"/>
      </w:r>
      <w:r w:rsidRPr="005E0100">
        <w:rPr>
          <w:rFonts w:ascii="Palatino Linotype" w:hAnsi="Palatino Linotype" w:cs="Arial"/>
          <w:color w:val="000000"/>
          <w:lang w:val="es-ES_tradnl"/>
        </w:rPr>
        <w:t xml:space="preserve"> del </w:t>
      </w:r>
      <w:r w:rsidRPr="005E0100">
        <w:rPr>
          <w:rFonts w:ascii="Palatino Linotype" w:hAnsi="Palatino Linotype" w:cs="Arial"/>
          <w:color w:val="000000"/>
          <w:lang w:val="es-ES_tradnl"/>
        </w:rPr>
        <w:lastRenderedPageBreak/>
        <w:t xml:space="preserve">servidor público que no tienen ninguna injerencia en el tema de la transparencia y la rendición de cuentas,  por ejemplo, </w:t>
      </w:r>
      <w:r w:rsidRPr="005E0100">
        <w:rPr>
          <w:rFonts w:ascii="Palatino Linotype" w:eastAsia="Calibri" w:hAnsi="Palatino Linotype" w:cs="Arial"/>
          <w:color w:val="000000"/>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6A1FD8D2"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62CDEAF2"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eastAsia="Calibri" w:hAnsi="Palatino Linotype" w:cs="Arial"/>
          <w:color w:val="000000"/>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0BB2D05" w14:textId="77777777" w:rsidR="00CD7E0B" w:rsidRPr="005E0100" w:rsidRDefault="00CD7E0B" w:rsidP="005E0100">
      <w:pPr>
        <w:pStyle w:val="Prrafodelista"/>
        <w:spacing w:line="360" w:lineRule="auto"/>
        <w:ind w:left="0"/>
        <w:jc w:val="both"/>
        <w:rPr>
          <w:rFonts w:ascii="Palatino Linotype" w:hAnsi="Palatino Linotype" w:cs="Arial"/>
          <w:color w:val="000000"/>
          <w:lang w:val="es-ES_tradnl"/>
        </w:rPr>
      </w:pPr>
    </w:p>
    <w:p w14:paraId="77BAC9E4" w14:textId="77777777" w:rsidR="00CD7E0B" w:rsidRPr="005E0100" w:rsidRDefault="00CD7E0B" w:rsidP="005E0100">
      <w:pPr>
        <w:pStyle w:val="Prrafodelista"/>
        <w:keepNext/>
        <w:keepLines/>
        <w:pBdr>
          <w:top w:val="nil"/>
          <w:left w:val="nil"/>
          <w:bottom w:val="nil"/>
          <w:right w:val="nil"/>
          <w:between w:val="nil"/>
          <w:bar w:val="nil"/>
        </w:pBdr>
        <w:spacing w:line="360" w:lineRule="auto"/>
        <w:ind w:left="0"/>
        <w:jc w:val="both"/>
        <w:outlineLvl w:val="1"/>
        <w:rPr>
          <w:rFonts w:ascii="Palatino Linotype" w:hAnsi="Palatino Linotype"/>
          <w:b/>
          <w:color w:val="000000"/>
          <w:lang w:eastAsia="en-US"/>
        </w:rPr>
      </w:pPr>
      <w:bookmarkStart w:id="107" w:name="_Toc485631706"/>
      <w:bookmarkStart w:id="108" w:name="_Toc500756716"/>
      <w:bookmarkStart w:id="109" w:name="_Toc536691784"/>
      <w:bookmarkStart w:id="110" w:name="_Toc80889851"/>
      <w:bookmarkStart w:id="111" w:name="_Toc81384834"/>
      <w:bookmarkStart w:id="112" w:name="_Toc84518033"/>
      <w:bookmarkStart w:id="113" w:name="_Toc85133431"/>
      <w:bookmarkStart w:id="114" w:name="_Toc85650842"/>
      <w:bookmarkStart w:id="115" w:name="_Toc92984384"/>
      <w:r w:rsidRPr="005E0100">
        <w:rPr>
          <w:rFonts w:ascii="Palatino Linotype" w:hAnsi="Palatino Linotype"/>
          <w:b/>
          <w:color w:val="000000"/>
          <w:lang w:eastAsia="en-US"/>
        </w:rPr>
        <w:t>III. Condiciones especiales de la clasificación de la información como reservada</w:t>
      </w:r>
      <w:bookmarkEnd w:id="107"/>
      <w:bookmarkEnd w:id="108"/>
      <w:bookmarkEnd w:id="109"/>
      <w:bookmarkEnd w:id="110"/>
      <w:bookmarkEnd w:id="111"/>
      <w:bookmarkEnd w:id="112"/>
      <w:bookmarkEnd w:id="113"/>
      <w:bookmarkEnd w:id="114"/>
      <w:bookmarkEnd w:id="115"/>
      <w:r w:rsidRPr="005E0100">
        <w:rPr>
          <w:rFonts w:ascii="Palatino Linotype" w:hAnsi="Palatino Linotype"/>
          <w:b/>
          <w:color w:val="000000"/>
          <w:lang w:eastAsia="en-US"/>
        </w:rPr>
        <w:t xml:space="preserve"> </w:t>
      </w:r>
    </w:p>
    <w:p w14:paraId="53E02F0E" w14:textId="77777777" w:rsidR="00CD7E0B" w:rsidRPr="005E0100" w:rsidRDefault="00CD7E0B" w:rsidP="005E0100">
      <w:pPr>
        <w:pStyle w:val="Prrafodelista"/>
        <w:spacing w:line="360" w:lineRule="auto"/>
        <w:ind w:left="0"/>
        <w:jc w:val="both"/>
        <w:rPr>
          <w:rFonts w:ascii="Palatino Linotype" w:hAnsi="Palatino Linotype" w:cs="Arial"/>
          <w:b/>
          <w:color w:val="000000"/>
          <w:lang w:val="es-ES_tradnl"/>
        </w:rPr>
      </w:pPr>
    </w:p>
    <w:p w14:paraId="5A7A1668" w14:textId="77777777" w:rsidR="00CD7E0B" w:rsidRPr="005E0100" w:rsidRDefault="00CD7E0B" w:rsidP="005E0100">
      <w:pPr>
        <w:pStyle w:val="Ttulo1"/>
        <w:spacing w:before="0" w:line="360" w:lineRule="auto"/>
        <w:rPr>
          <w:rFonts w:ascii="Palatino Linotype" w:hAnsi="Palatino Linotype"/>
          <w:b/>
          <w:color w:val="000000" w:themeColor="text1"/>
          <w:sz w:val="24"/>
          <w:szCs w:val="24"/>
        </w:rPr>
      </w:pPr>
      <w:bookmarkStart w:id="116" w:name="_Toc485631707"/>
      <w:bookmarkStart w:id="117" w:name="_Toc500756717"/>
      <w:bookmarkStart w:id="118" w:name="_Toc536691785"/>
      <w:bookmarkStart w:id="119" w:name="_Toc80889852"/>
      <w:bookmarkStart w:id="120" w:name="_Toc81260563"/>
      <w:bookmarkStart w:id="121" w:name="_Toc81384835"/>
      <w:bookmarkStart w:id="122" w:name="_Toc84518034"/>
      <w:bookmarkStart w:id="123" w:name="_Toc85133432"/>
      <w:bookmarkStart w:id="124" w:name="_Toc85469349"/>
      <w:bookmarkStart w:id="125" w:name="_Toc85650843"/>
      <w:bookmarkStart w:id="126" w:name="_Toc92984385"/>
      <w:r w:rsidRPr="005E0100">
        <w:rPr>
          <w:rFonts w:ascii="Palatino Linotype" w:hAnsi="Palatino Linotype"/>
          <w:b/>
          <w:color w:val="000000" w:themeColor="text1"/>
          <w:sz w:val="24"/>
          <w:szCs w:val="24"/>
        </w:rPr>
        <w:t>a) La fundamentación específica.</w:t>
      </w:r>
      <w:bookmarkEnd w:id="116"/>
      <w:bookmarkEnd w:id="117"/>
      <w:bookmarkEnd w:id="118"/>
      <w:bookmarkEnd w:id="119"/>
      <w:bookmarkEnd w:id="120"/>
      <w:bookmarkEnd w:id="121"/>
      <w:bookmarkEnd w:id="122"/>
      <w:bookmarkEnd w:id="123"/>
      <w:bookmarkEnd w:id="124"/>
      <w:bookmarkEnd w:id="125"/>
      <w:bookmarkEnd w:id="126"/>
    </w:p>
    <w:p w14:paraId="18BA8A52"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47592CE7"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s="Arial"/>
          <w:color w:val="000000"/>
          <w:lang w:val="es-ES_tradnl"/>
        </w:rPr>
        <w:t xml:space="preserve">Más aún, los artículos 128, segundo párrafo, y 103, segundo párrafo, de las Leyes Estatal y General, respectivamente, señalan que en el caso de la información reservada, se deben de señalar las razones, motivos o circunstancias especiales que llevan al </w:t>
      </w:r>
      <w:r w:rsidRPr="005E0100">
        <w:rPr>
          <w:rFonts w:ascii="Palatino Linotype" w:hAnsi="Palatino Linotype" w:cs="Arial"/>
          <w:b/>
          <w:bCs/>
          <w:color w:val="000000"/>
          <w:lang w:val="es-ES_tradnl"/>
        </w:rPr>
        <w:t>SUJETO OBLIGADO</w:t>
      </w:r>
      <w:r w:rsidRPr="005E0100">
        <w:rPr>
          <w:rFonts w:ascii="Palatino Linotype" w:hAnsi="Palatino Linotype" w:cs="Arial"/>
          <w:color w:val="000000"/>
          <w:lang w:val="es-ES_tradnl"/>
        </w:rPr>
        <w:t xml:space="preserve"> a concluir que el caso fáctico se corresponde con la </w:t>
      </w:r>
      <w:r w:rsidRPr="005E0100">
        <w:rPr>
          <w:rFonts w:ascii="Palatino Linotype" w:hAnsi="Palatino Linotype" w:cs="Arial"/>
          <w:color w:val="000000"/>
          <w:lang w:val="es-ES_tradnl"/>
        </w:rPr>
        <w:lastRenderedPageBreak/>
        <w:t>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431C6DD6"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34AE955E" w14:textId="77777777" w:rsidR="00CD7E0B" w:rsidRPr="005E0100" w:rsidRDefault="00CD7E0B" w:rsidP="005E0100">
      <w:pPr>
        <w:pStyle w:val="Ttulo1"/>
        <w:spacing w:before="0" w:line="360" w:lineRule="auto"/>
        <w:rPr>
          <w:rFonts w:ascii="Palatino Linotype" w:hAnsi="Palatino Linotype"/>
          <w:b/>
          <w:sz w:val="24"/>
          <w:szCs w:val="24"/>
          <w:lang w:eastAsia="en-US"/>
        </w:rPr>
      </w:pPr>
      <w:bookmarkStart w:id="127" w:name="_Toc485631709"/>
      <w:bookmarkStart w:id="128" w:name="_Toc500756719"/>
      <w:bookmarkStart w:id="129" w:name="_Toc536691787"/>
      <w:bookmarkStart w:id="130" w:name="_Toc80889854"/>
      <w:bookmarkStart w:id="131" w:name="_Toc81260564"/>
      <w:bookmarkStart w:id="132" w:name="_Toc81384836"/>
      <w:bookmarkStart w:id="133" w:name="_Toc84518035"/>
      <w:bookmarkStart w:id="134" w:name="_Toc85133433"/>
      <w:bookmarkStart w:id="135" w:name="_Toc85469350"/>
      <w:bookmarkStart w:id="136" w:name="_Toc85650844"/>
      <w:bookmarkStart w:id="137" w:name="_Toc92984386"/>
      <w:r w:rsidRPr="005E0100">
        <w:rPr>
          <w:rFonts w:ascii="Palatino Linotype" w:hAnsi="Palatino Linotype"/>
          <w:b/>
          <w:color w:val="000000" w:themeColor="text1"/>
          <w:sz w:val="24"/>
          <w:szCs w:val="24"/>
          <w:lang w:eastAsia="en-US"/>
        </w:rPr>
        <w:t>b) La clasificación de la información reservada debe ser de manera temporal.</w:t>
      </w:r>
      <w:bookmarkEnd w:id="127"/>
      <w:bookmarkEnd w:id="128"/>
      <w:bookmarkEnd w:id="129"/>
      <w:bookmarkEnd w:id="130"/>
      <w:bookmarkEnd w:id="131"/>
      <w:bookmarkEnd w:id="132"/>
      <w:bookmarkEnd w:id="133"/>
      <w:bookmarkEnd w:id="134"/>
      <w:bookmarkEnd w:id="135"/>
      <w:bookmarkEnd w:id="136"/>
      <w:bookmarkEnd w:id="137"/>
    </w:p>
    <w:p w14:paraId="28A4FCD5"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5C844E5F"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5ABF67EE"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7C02F1FE"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180AA9FE"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olor w:val="000000"/>
          <w:lang w:val="es-ES_tradnl"/>
        </w:rPr>
        <w:t xml:space="preserve">Ahora bien, los titulares de las áreas tienen la alta responsabilidad de determinar que el plazo de reserva sea el estrictamente necesario para proteger la información mientras subsistan las causas que dieron origen a la clasificación, </w:t>
      </w:r>
      <w:r w:rsidRPr="005E0100">
        <w:rPr>
          <w:rFonts w:ascii="Palatino Linotype" w:hAnsi="Palatino Linotype"/>
          <w:color w:val="000000"/>
          <w:lang w:val="es-ES_tradnl"/>
        </w:rPr>
        <w:lastRenderedPageBreak/>
        <w:t>salvaguardando el interés público protegido y tomarán en cuenta las razones que justifican el periodo de reserva establecido.</w:t>
      </w:r>
    </w:p>
    <w:p w14:paraId="6C282D8B"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5C681725"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olor w:val="000000"/>
          <w:lang w:val="es-ES_tradnl"/>
        </w:rPr>
        <w:t>De</w:t>
      </w:r>
      <w:r w:rsidRPr="005E0100">
        <w:rPr>
          <w:rFonts w:ascii="Palatino Linotype" w:hAnsi="Palatino Linotype"/>
          <w:b/>
          <w:color w:val="000000"/>
          <w:lang w:val="es-ES_tradnl"/>
        </w:rPr>
        <w:t xml:space="preserve"> </w:t>
      </w:r>
      <w:r w:rsidRPr="005E0100">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04CC4C7"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3C25D412"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olor w:val="000000"/>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12457ED9"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0F20092D" w14:textId="77777777" w:rsidR="00CD7E0B" w:rsidRPr="005E0100" w:rsidRDefault="00CD7E0B" w:rsidP="005E0100">
      <w:pPr>
        <w:keepNext/>
        <w:keepLines/>
        <w:pBdr>
          <w:top w:val="nil"/>
          <w:left w:val="nil"/>
          <w:bottom w:val="nil"/>
          <w:right w:val="nil"/>
          <w:between w:val="nil"/>
          <w:bar w:val="nil"/>
        </w:pBdr>
        <w:spacing w:line="360" w:lineRule="auto"/>
        <w:contextualSpacing/>
        <w:jc w:val="both"/>
        <w:outlineLvl w:val="1"/>
        <w:rPr>
          <w:rFonts w:ascii="Palatino Linotype" w:hAnsi="Palatino Linotype"/>
          <w:b/>
          <w:color w:val="000000"/>
          <w:lang w:eastAsia="en-US"/>
        </w:rPr>
      </w:pPr>
      <w:bookmarkStart w:id="138" w:name="_Toc485631710"/>
      <w:bookmarkStart w:id="139" w:name="_Toc500756720"/>
      <w:bookmarkStart w:id="140" w:name="_Toc536691788"/>
      <w:bookmarkStart w:id="141" w:name="_Toc80889855"/>
      <w:bookmarkStart w:id="142" w:name="_Toc81260565"/>
      <w:bookmarkStart w:id="143" w:name="_Toc81384837"/>
      <w:bookmarkStart w:id="144" w:name="_Toc84518036"/>
      <w:bookmarkStart w:id="145" w:name="_Toc85133434"/>
      <w:bookmarkStart w:id="146" w:name="_Toc85469351"/>
      <w:bookmarkStart w:id="147" w:name="_Toc85650845"/>
      <w:bookmarkStart w:id="148" w:name="_Toc92984387"/>
      <w:r w:rsidRPr="005E0100">
        <w:rPr>
          <w:rFonts w:ascii="Palatino Linotype" w:hAnsi="Palatino Linotype"/>
          <w:b/>
          <w:color w:val="000000"/>
          <w:lang w:eastAsia="en-US"/>
        </w:rPr>
        <w:t>Condiciones especiales de la clasificación de la información como confidencial.</w:t>
      </w:r>
      <w:bookmarkEnd w:id="138"/>
      <w:bookmarkEnd w:id="139"/>
      <w:bookmarkEnd w:id="140"/>
      <w:bookmarkEnd w:id="141"/>
      <w:bookmarkEnd w:id="142"/>
      <w:bookmarkEnd w:id="143"/>
      <w:bookmarkEnd w:id="144"/>
      <w:bookmarkEnd w:id="145"/>
      <w:bookmarkEnd w:id="146"/>
      <w:bookmarkEnd w:id="147"/>
      <w:bookmarkEnd w:id="148"/>
    </w:p>
    <w:p w14:paraId="5B0CBB9E"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1286860D"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hAnsi="Palatino Linotype"/>
          <w:color w:val="000000"/>
          <w:lang w:val="es-ES_tradnl"/>
        </w:rPr>
        <w:t>Lo</w:t>
      </w:r>
      <w:r w:rsidRPr="005E0100">
        <w:rPr>
          <w:rFonts w:ascii="Palatino Linotype" w:eastAsia="Calibri" w:hAnsi="Palatino Linotype"/>
          <w:color w:val="000000"/>
          <w:lang w:eastAsia="en-US"/>
        </w:rPr>
        <w:t xml:space="preserve">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DD1588B"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733EB2B2" w14:textId="77777777" w:rsidR="00CD7E0B" w:rsidRPr="005E0100" w:rsidRDefault="00CD7E0B" w:rsidP="005E0100">
      <w:pPr>
        <w:pStyle w:val="Prrafodelista"/>
        <w:spacing w:line="360" w:lineRule="auto"/>
        <w:ind w:left="644" w:right="567"/>
        <w:jc w:val="both"/>
        <w:rPr>
          <w:rFonts w:ascii="Palatino Linotype" w:hAnsi="Palatino Linotype"/>
          <w:bCs/>
          <w:i/>
          <w:iCs/>
          <w:color w:val="000000"/>
          <w:lang w:val="es-ES"/>
        </w:rPr>
      </w:pPr>
      <w:r w:rsidRPr="005E0100">
        <w:rPr>
          <w:rFonts w:ascii="Palatino Linotype" w:hAnsi="Palatino Linotype"/>
          <w:bCs/>
          <w:i/>
          <w:iCs/>
          <w:color w:val="000000"/>
          <w:lang w:val="es-ES"/>
        </w:rPr>
        <w:t>“</w:t>
      </w:r>
      <w:r w:rsidRPr="005E0100">
        <w:rPr>
          <w:rFonts w:ascii="Palatino Linotype" w:hAnsi="Palatino Linotype"/>
          <w:b/>
          <w:i/>
          <w:iCs/>
          <w:color w:val="000000"/>
          <w:lang w:val="es-ES"/>
        </w:rPr>
        <w:t>I.</w:t>
      </w:r>
      <w:r w:rsidRPr="005E0100">
        <w:rPr>
          <w:rFonts w:ascii="Palatino Linotype" w:hAnsi="Palatino Linotype"/>
          <w:i/>
          <w:iCs/>
          <w:color w:val="000000"/>
          <w:lang w:val="es-ES"/>
        </w:rPr>
        <w:t xml:space="preserve"> La información se encuentre en registros públicos o fuentes de acceso público;</w:t>
      </w:r>
    </w:p>
    <w:p w14:paraId="475A4D93" w14:textId="77777777" w:rsidR="00CD7E0B" w:rsidRPr="005E0100" w:rsidRDefault="00CD7E0B" w:rsidP="005E0100">
      <w:pPr>
        <w:pStyle w:val="Prrafodelista"/>
        <w:spacing w:line="360" w:lineRule="auto"/>
        <w:ind w:left="644" w:right="567"/>
        <w:jc w:val="both"/>
        <w:rPr>
          <w:rFonts w:ascii="Palatino Linotype" w:hAnsi="Palatino Linotype"/>
          <w:bCs/>
          <w:i/>
          <w:iCs/>
          <w:color w:val="000000"/>
          <w:lang w:val="es-ES"/>
        </w:rPr>
      </w:pPr>
      <w:r w:rsidRPr="005E0100">
        <w:rPr>
          <w:rFonts w:ascii="Palatino Linotype" w:hAnsi="Palatino Linotype"/>
          <w:b/>
          <w:i/>
          <w:iCs/>
          <w:color w:val="000000"/>
          <w:lang w:val="es-ES"/>
        </w:rPr>
        <w:t>II.</w:t>
      </w:r>
      <w:r w:rsidRPr="005E0100">
        <w:rPr>
          <w:rFonts w:ascii="Palatino Linotype" w:hAnsi="Palatino Linotype"/>
          <w:bCs/>
          <w:i/>
          <w:iCs/>
          <w:color w:val="000000"/>
          <w:lang w:val="es-ES"/>
        </w:rPr>
        <w:t xml:space="preserve"> </w:t>
      </w:r>
      <w:r w:rsidRPr="005E0100">
        <w:rPr>
          <w:rFonts w:ascii="Palatino Linotype" w:hAnsi="Palatino Linotype"/>
          <w:i/>
          <w:iCs/>
          <w:color w:val="000000"/>
          <w:lang w:val="es-ES"/>
        </w:rPr>
        <w:t>Por Ley tenga el carácter de pública;</w:t>
      </w:r>
    </w:p>
    <w:p w14:paraId="6E5EE46E" w14:textId="77777777" w:rsidR="00CD7E0B" w:rsidRPr="005E0100" w:rsidRDefault="00CD7E0B" w:rsidP="005E0100">
      <w:pPr>
        <w:pStyle w:val="Prrafodelista"/>
        <w:spacing w:line="360" w:lineRule="auto"/>
        <w:ind w:left="644" w:right="567"/>
        <w:jc w:val="both"/>
        <w:rPr>
          <w:rFonts w:ascii="Palatino Linotype" w:hAnsi="Palatino Linotype"/>
          <w:i/>
          <w:iCs/>
          <w:color w:val="000000"/>
          <w:lang w:val="es-ES"/>
        </w:rPr>
      </w:pPr>
      <w:r w:rsidRPr="005E0100">
        <w:rPr>
          <w:rFonts w:ascii="Palatino Linotype" w:hAnsi="Palatino Linotype"/>
          <w:b/>
          <w:i/>
          <w:iCs/>
          <w:color w:val="000000"/>
          <w:lang w:val="es-ES"/>
        </w:rPr>
        <w:t>III.</w:t>
      </w:r>
      <w:r w:rsidRPr="005E0100">
        <w:rPr>
          <w:rFonts w:ascii="Palatino Linotype" w:hAnsi="Palatino Linotype"/>
          <w:bCs/>
          <w:i/>
          <w:iCs/>
          <w:color w:val="000000"/>
          <w:lang w:val="es-ES"/>
        </w:rPr>
        <w:t xml:space="preserve"> </w:t>
      </w:r>
      <w:r w:rsidRPr="005E0100">
        <w:rPr>
          <w:rFonts w:ascii="Palatino Linotype" w:hAnsi="Palatino Linotype"/>
          <w:i/>
          <w:iCs/>
          <w:color w:val="000000"/>
          <w:lang w:val="es-ES"/>
        </w:rPr>
        <w:t xml:space="preserve">Exista una orden judicial; </w:t>
      </w:r>
    </w:p>
    <w:p w14:paraId="496E3C9B" w14:textId="77777777" w:rsidR="00CD7E0B" w:rsidRPr="005E0100" w:rsidRDefault="00CD7E0B" w:rsidP="005E0100">
      <w:pPr>
        <w:pStyle w:val="Prrafodelista"/>
        <w:spacing w:line="360" w:lineRule="auto"/>
        <w:ind w:left="644" w:right="567"/>
        <w:jc w:val="both"/>
        <w:rPr>
          <w:rFonts w:ascii="Palatino Linotype" w:hAnsi="Palatino Linotype"/>
          <w:i/>
          <w:iCs/>
          <w:color w:val="000000"/>
          <w:lang w:val="es-ES"/>
        </w:rPr>
      </w:pPr>
      <w:r w:rsidRPr="005E0100">
        <w:rPr>
          <w:rFonts w:ascii="Palatino Linotype" w:hAnsi="Palatino Linotype"/>
          <w:b/>
          <w:i/>
          <w:iCs/>
          <w:color w:val="000000"/>
          <w:lang w:val="es-ES"/>
        </w:rPr>
        <w:t>IV.</w:t>
      </w:r>
      <w:r w:rsidRPr="005E0100">
        <w:rPr>
          <w:rFonts w:ascii="Palatino Linotype" w:hAnsi="Palatino Linotype"/>
          <w:bCs/>
          <w:i/>
          <w:iCs/>
          <w:color w:val="000000"/>
          <w:lang w:val="es-ES"/>
        </w:rPr>
        <w:t xml:space="preserve"> </w:t>
      </w:r>
      <w:r w:rsidRPr="005E0100">
        <w:rPr>
          <w:rFonts w:ascii="Palatino Linotype" w:hAnsi="Palatino Linotype"/>
          <w:i/>
          <w:iCs/>
          <w:color w:val="000000"/>
          <w:lang w:val="es-ES"/>
        </w:rPr>
        <w:t xml:space="preserve">Por razones de seguridad pública, o para proteger los derechos de terceros, se requiera su publicación; o </w:t>
      </w:r>
    </w:p>
    <w:p w14:paraId="2517EED6" w14:textId="77777777" w:rsidR="00CD7E0B" w:rsidRPr="005E0100" w:rsidRDefault="00CD7E0B" w:rsidP="005E0100">
      <w:pPr>
        <w:pStyle w:val="Prrafodelista"/>
        <w:spacing w:line="360" w:lineRule="auto"/>
        <w:ind w:left="644" w:right="567"/>
        <w:jc w:val="both"/>
        <w:rPr>
          <w:rFonts w:ascii="Palatino Linotype" w:hAnsi="Palatino Linotype"/>
          <w:i/>
          <w:iCs/>
          <w:color w:val="000000"/>
          <w:lang w:val="es-ES"/>
        </w:rPr>
      </w:pPr>
      <w:r w:rsidRPr="005E0100">
        <w:rPr>
          <w:rFonts w:ascii="Palatino Linotype" w:hAnsi="Palatino Linotype"/>
          <w:b/>
          <w:i/>
          <w:iCs/>
          <w:color w:val="000000"/>
          <w:lang w:val="es-ES"/>
        </w:rPr>
        <w:t>V.</w:t>
      </w:r>
      <w:r w:rsidRPr="005E0100">
        <w:rPr>
          <w:rFonts w:ascii="Palatino Linotype" w:hAnsi="Palatino Linotype"/>
          <w:bCs/>
          <w:i/>
          <w:iCs/>
          <w:color w:val="000000"/>
          <w:lang w:val="es-ES"/>
        </w:rPr>
        <w:t xml:space="preserve"> </w:t>
      </w:r>
      <w:r w:rsidRPr="005E0100">
        <w:rPr>
          <w:rFonts w:ascii="Palatino Linotype" w:hAnsi="Palatino Linotype"/>
          <w:i/>
          <w:iCs/>
          <w:color w:val="000000"/>
          <w:lang w:val="es-ES"/>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22324A21"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7E52AB47"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eastAsia="Calibri" w:hAnsi="Palatino Linotype"/>
          <w:color w:val="000000"/>
          <w:lang w:eastAsia="en-US"/>
        </w:rPr>
        <w:t>En</w:t>
      </w:r>
      <w:r w:rsidRPr="005E0100">
        <w:rPr>
          <w:rFonts w:ascii="Palatino Linotype" w:eastAsia="Calibri" w:hAnsi="Palatino Linotype"/>
          <w:color w:val="000000"/>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481B416"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3EE67C0B"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eastAsia="Calibri" w:hAnsi="Palatino Linotype"/>
          <w:color w:val="000000"/>
          <w:lang w:eastAsia="en-US"/>
        </w:rPr>
        <w:t>Pero</w:t>
      </w:r>
      <w:r w:rsidRPr="005E0100">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B3199D9"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28E7EA3B" w14:textId="77777777" w:rsidR="00CD7E0B" w:rsidRPr="005E0100" w:rsidRDefault="00CD7E0B" w:rsidP="005E0100">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eastAsia="Calibri" w:hAnsi="Palatino Linotype"/>
          <w:color w:val="000000"/>
          <w:lang w:eastAsia="en-US"/>
        </w:rPr>
        <w:t>Los</w:t>
      </w:r>
      <w:r w:rsidRPr="005E0100">
        <w:rPr>
          <w:rFonts w:ascii="Palatino Linotype" w:hAnsi="Palatino Linotype"/>
          <w:color w:val="000000"/>
          <w:lang w:val="es-ES_tradnl"/>
        </w:rPr>
        <w:t xml:space="preserve">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w:t>
      </w:r>
      <w:r w:rsidRPr="005E0100">
        <w:rPr>
          <w:rFonts w:ascii="Palatino Linotype" w:hAnsi="Palatino Linotype"/>
          <w:color w:val="000000"/>
          <w:lang w:val="es-ES_tradnl"/>
        </w:rPr>
        <w:lastRenderedPageBreak/>
        <w:t>desclasificación de la información por el incumplimiento de las formalidades, es decir, por vicios de legalidad o a la reposición del acto.  Para tratar de ser aún más gráficos y propiciar el mejor entendimiento de esta materia, se anexa la siguiente tabla.</w:t>
      </w:r>
    </w:p>
    <w:p w14:paraId="6411AF73" w14:textId="77777777" w:rsidR="00CD7E0B" w:rsidRPr="005E0100" w:rsidRDefault="00CD7E0B" w:rsidP="005E0100">
      <w:pPr>
        <w:spacing w:line="360" w:lineRule="auto"/>
        <w:ind w:right="49"/>
        <w:contextualSpacing/>
        <w:jc w:val="both"/>
        <w:rPr>
          <w:rFonts w:ascii="Palatino Linotype" w:hAnsi="Palatino Linotype"/>
          <w:color w:val="000000"/>
          <w:lang w:val="es-ES_tradnl"/>
        </w:rPr>
      </w:pPr>
    </w:p>
    <w:tbl>
      <w:tblPr>
        <w:tblStyle w:val="Tablaconcuadrcula"/>
        <w:tblW w:w="8451" w:type="dxa"/>
        <w:tblLook w:val="04A0" w:firstRow="1" w:lastRow="0" w:firstColumn="1" w:lastColumn="0" w:noHBand="0" w:noVBand="1"/>
      </w:tblPr>
      <w:tblGrid>
        <w:gridCol w:w="2155"/>
        <w:gridCol w:w="1759"/>
        <w:gridCol w:w="2269"/>
        <w:gridCol w:w="2268"/>
      </w:tblGrid>
      <w:tr w:rsidR="00CD7E0B" w:rsidRPr="005E0100" w14:paraId="6C4ED548" w14:textId="77777777" w:rsidTr="005E0100">
        <w:tc>
          <w:tcPr>
            <w:tcW w:w="2155" w:type="dxa"/>
            <w:vMerge w:val="restart"/>
            <w:shd w:val="clear" w:color="auto" w:fill="D5DCE4"/>
          </w:tcPr>
          <w:p w14:paraId="1584BCB3"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Requisitos previos</w:t>
            </w:r>
          </w:p>
        </w:tc>
        <w:tc>
          <w:tcPr>
            <w:tcW w:w="1759" w:type="dxa"/>
          </w:tcPr>
          <w:p w14:paraId="2047E46A"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Los sujetos obligados determinan que la información actualiza alguno de los supuestos de clasificación:</w:t>
            </w:r>
          </w:p>
        </w:tc>
        <w:tc>
          <w:tcPr>
            <w:tcW w:w="2269" w:type="dxa"/>
          </w:tcPr>
          <w:p w14:paraId="011271A1" w14:textId="77777777" w:rsidR="00CD7E0B" w:rsidRPr="005E0100" w:rsidRDefault="00CD7E0B" w:rsidP="005E0100">
            <w:pPr>
              <w:spacing w:line="360" w:lineRule="auto"/>
              <w:jc w:val="both"/>
              <w:rPr>
                <w:rFonts w:ascii="Palatino Linotype" w:hAnsi="Palatino Linotype"/>
                <w:color w:val="000000"/>
                <w:sz w:val="20"/>
                <w:szCs w:val="20"/>
              </w:rPr>
            </w:pPr>
          </w:p>
          <w:p w14:paraId="3B9DED07" w14:textId="77777777" w:rsidR="00CD7E0B" w:rsidRPr="005E0100" w:rsidRDefault="00CD7E0B" w:rsidP="005E0100">
            <w:pPr>
              <w:numPr>
                <w:ilvl w:val="0"/>
                <w:numId w:val="11"/>
              </w:numPr>
              <w:spacing w:line="360" w:lineRule="auto"/>
              <w:contextualSpacing/>
              <w:jc w:val="both"/>
              <w:rPr>
                <w:rFonts w:ascii="Palatino Linotype" w:hAnsi="Palatino Linotype"/>
                <w:color w:val="000000"/>
                <w:sz w:val="20"/>
                <w:szCs w:val="20"/>
              </w:rPr>
            </w:pPr>
            <w:r w:rsidRPr="005E0100">
              <w:rPr>
                <w:rFonts w:ascii="Palatino Linotype" w:hAnsi="Palatino Linotype"/>
                <w:color w:val="000000"/>
                <w:sz w:val="20"/>
                <w:szCs w:val="20"/>
              </w:rPr>
              <w:t xml:space="preserve">Confidencialidad </w:t>
            </w:r>
          </w:p>
          <w:p w14:paraId="349B0095" w14:textId="77777777" w:rsidR="00CD7E0B" w:rsidRPr="005E0100" w:rsidRDefault="00CD7E0B" w:rsidP="005E0100">
            <w:pPr>
              <w:numPr>
                <w:ilvl w:val="0"/>
                <w:numId w:val="11"/>
              </w:numPr>
              <w:spacing w:line="360" w:lineRule="auto"/>
              <w:contextualSpacing/>
              <w:jc w:val="both"/>
              <w:rPr>
                <w:rFonts w:ascii="Palatino Linotype" w:hAnsi="Palatino Linotype"/>
                <w:color w:val="000000"/>
                <w:sz w:val="20"/>
                <w:szCs w:val="20"/>
              </w:rPr>
            </w:pPr>
            <w:r w:rsidRPr="005E0100">
              <w:rPr>
                <w:rFonts w:ascii="Palatino Linotype" w:hAnsi="Palatino Linotype"/>
                <w:color w:val="000000"/>
                <w:sz w:val="20"/>
                <w:szCs w:val="20"/>
              </w:rPr>
              <w:t>Reserva</w:t>
            </w:r>
          </w:p>
        </w:tc>
        <w:tc>
          <w:tcPr>
            <w:tcW w:w="2268" w:type="dxa"/>
          </w:tcPr>
          <w:p w14:paraId="39722DAB" w14:textId="77777777" w:rsidR="00CD7E0B" w:rsidRPr="005E0100" w:rsidRDefault="00CD7E0B" w:rsidP="005E0100">
            <w:pPr>
              <w:spacing w:line="360" w:lineRule="auto"/>
              <w:jc w:val="both"/>
              <w:rPr>
                <w:rFonts w:ascii="Palatino Linotype" w:hAnsi="Palatino Linotype"/>
                <w:color w:val="000000"/>
                <w:sz w:val="20"/>
                <w:szCs w:val="20"/>
              </w:rPr>
            </w:pPr>
          </w:p>
        </w:tc>
      </w:tr>
      <w:tr w:rsidR="00CD7E0B" w:rsidRPr="005E0100" w14:paraId="2624550D" w14:textId="77777777" w:rsidTr="005E0100">
        <w:tc>
          <w:tcPr>
            <w:tcW w:w="2155" w:type="dxa"/>
            <w:vMerge/>
            <w:shd w:val="clear" w:color="auto" w:fill="D5DCE4"/>
          </w:tcPr>
          <w:p w14:paraId="27591508" w14:textId="77777777" w:rsidR="00CD7E0B" w:rsidRPr="005E0100" w:rsidRDefault="00CD7E0B" w:rsidP="005E0100">
            <w:pPr>
              <w:spacing w:line="360" w:lineRule="auto"/>
              <w:jc w:val="both"/>
              <w:rPr>
                <w:rFonts w:ascii="Palatino Linotype" w:hAnsi="Palatino Linotype"/>
                <w:color w:val="000000"/>
                <w:sz w:val="20"/>
                <w:szCs w:val="20"/>
              </w:rPr>
            </w:pPr>
          </w:p>
        </w:tc>
        <w:tc>
          <w:tcPr>
            <w:tcW w:w="1759" w:type="dxa"/>
          </w:tcPr>
          <w:p w14:paraId="1F88A0B6"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 xml:space="preserve">Los titulares de las áreas que administran la información son los que aprueban la clasificación </w:t>
            </w:r>
          </w:p>
        </w:tc>
        <w:tc>
          <w:tcPr>
            <w:tcW w:w="2269" w:type="dxa"/>
          </w:tcPr>
          <w:p w14:paraId="578A208F" w14:textId="77777777" w:rsidR="00CD7E0B" w:rsidRPr="005E0100" w:rsidRDefault="00CD7E0B" w:rsidP="005E0100">
            <w:pPr>
              <w:spacing w:line="360" w:lineRule="auto"/>
              <w:jc w:val="both"/>
              <w:rPr>
                <w:rFonts w:ascii="Palatino Linotype" w:hAnsi="Palatino Linotype"/>
                <w:color w:val="000000"/>
                <w:sz w:val="20"/>
                <w:szCs w:val="20"/>
              </w:rPr>
            </w:pPr>
          </w:p>
        </w:tc>
        <w:tc>
          <w:tcPr>
            <w:tcW w:w="2268" w:type="dxa"/>
          </w:tcPr>
          <w:p w14:paraId="691001DC" w14:textId="77777777" w:rsidR="00CD7E0B" w:rsidRPr="005E0100" w:rsidRDefault="00CD7E0B" w:rsidP="005E0100">
            <w:pPr>
              <w:spacing w:line="360" w:lineRule="auto"/>
              <w:jc w:val="both"/>
              <w:rPr>
                <w:rFonts w:ascii="Palatino Linotype" w:hAnsi="Palatino Linotype"/>
                <w:color w:val="000000"/>
                <w:sz w:val="20"/>
                <w:szCs w:val="20"/>
              </w:rPr>
            </w:pPr>
          </w:p>
        </w:tc>
      </w:tr>
      <w:tr w:rsidR="00CD7E0B" w:rsidRPr="005E0100" w14:paraId="16205C1C" w14:textId="77777777" w:rsidTr="005E0100">
        <w:tc>
          <w:tcPr>
            <w:tcW w:w="2155" w:type="dxa"/>
            <w:vMerge/>
            <w:shd w:val="clear" w:color="auto" w:fill="D5DCE4"/>
          </w:tcPr>
          <w:p w14:paraId="5ADF9E6D" w14:textId="77777777" w:rsidR="00CD7E0B" w:rsidRPr="005E0100" w:rsidRDefault="00CD7E0B" w:rsidP="005E0100">
            <w:pPr>
              <w:spacing w:line="360" w:lineRule="auto"/>
              <w:jc w:val="both"/>
              <w:rPr>
                <w:rFonts w:ascii="Palatino Linotype" w:hAnsi="Palatino Linotype"/>
                <w:color w:val="000000"/>
                <w:sz w:val="20"/>
                <w:szCs w:val="20"/>
              </w:rPr>
            </w:pPr>
          </w:p>
        </w:tc>
        <w:tc>
          <w:tcPr>
            <w:tcW w:w="1759" w:type="dxa"/>
          </w:tcPr>
          <w:p w14:paraId="4FCD991C"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La clasificación de la información se realiza al momento de:</w:t>
            </w:r>
          </w:p>
        </w:tc>
        <w:tc>
          <w:tcPr>
            <w:tcW w:w="2269" w:type="dxa"/>
          </w:tcPr>
          <w:p w14:paraId="1D779506" w14:textId="77777777" w:rsidR="00CD7E0B" w:rsidRPr="005E0100" w:rsidRDefault="00CD7E0B" w:rsidP="005E0100">
            <w:pPr>
              <w:numPr>
                <w:ilvl w:val="0"/>
                <w:numId w:val="10"/>
              </w:numPr>
              <w:spacing w:line="360" w:lineRule="auto"/>
              <w:contextualSpacing/>
              <w:jc w:val="both"/>
              <w:rPr>
                <w:rFonts w:ascii="Palatino Linotype" w:hAnsi="Palatino Linotype"/>
                <w:color w:val="000000"/>
                <w:sz w:val="20"/>
                <w:szCs w:val="20"/>
              </w:rPr>
            </w:pPr>
            <w:r w:rsidRPr="005E0100">
              <w:rPr>
                <w:rFonts w:ascii="Palatino Linotype" w:hAnsi="Palatino Linotype"/>
                <w:color w:val="000000"/>
                <w:sz w:val="20"/>
                <w:szCs w:val="20"/>
              </w:rPr>
              <w:t>Atender una solicitud</w:t>
            </w:r>
          </w:p>
          <w:p w14:paraId="0F9CD675" w14:textId="77777777" w:rsidR="00CD7E0B" w:rsidRPr="005E0100" w:rsidRDefault="00CD7E0B" w:rsidP="005E0100">
            <w:pPr>
              <w:numPr>
                <w:ilvl w:val="0"/>
                <w:numId w:val="10"/>
              </w:numPr>
              <w:spacing w:line="360" w:lineRule="auto"/>
              <w:contextualSpacing/>
              <w:jc w:val="both"/>
              <w:rPr>
                <w:rFonts w:ascii="Palatino Linotype" w:hAnsi="Palatino Linotype"/>
                <w:color w:val="000000"/>
                <w:sz w:val="20"/>
                <w:szCs w:val="20"/>
              </w:rPr>
            </w:pPr>
            <w:r w:rsidRPr="005E0100">
              <w:rPr>
                <w:rFonts w:ascii="Palatino Linotype" w:hAnsi="Palatino Linotype"/>
                <w:color w:val="000000"/>
                <w:sz w:val="20"/>
                <w:szCs w:val="20"/>
              </w:rPr>
              <w:t>Por mandato de una autoridad competente</w:t>
            </w:r>
          </w:p>
          <w:p w14:paraId="0EDC00BA" w14:textId="77777777" w:rsidR="00CD7E0B" w:rsidRPr="005E0100" w:rsidRDefault="00CD7E0B" w:rsidP="005E0100">
            <w:pPr>
              <w:numPr>
                <w:ilvl w:val="0"/>
                <w:numId w:val="10"/>
              </w:numPr>
              <w:spacing w:line="360" w:lineRule="auto"/>
              <w:contextualSpacing/>
              <w:jc w:val="both"/>
              <w:rPr>
                <w:rFonts w:ascii="Palatino Linotype" w:hAnsi="Palatino Linotype"/>
                <w:color w:val="000000"/>
                <w:sz w:val="20"/>
                <w:szCs w:val="20"/>
              </w:rPr>
            </w:pPr>
            <w:r w:rsidRPr="005E0100">
              <w:rPr>
                <w:rFonts w:ascii="Palatino Linotype" w:hAnsi="Palatino Linotype"/>
                <w:color w:val="000000"/>
                <w:sz w:val="20"/>
                <w:szCs w:val="20"/>
              </w:rPr>
              <w:t>Para elaborar una versión pública y cumplir una obligación de transparencia</w:t>
            </w:r>
          </w:p>
        </w:tc>
        <w:tc>
          <w:tcPr>
            <w:tcW w:w="2268" w:type="dxa"/>
          </w:tcPr>
          <w:p w14:paraId="29149838" w14:textId="77777777" w:rsidR="00CD7E0B" w:rsidRPr="005E0100" w:rsidRDefault="00CD7E0B" w:rsidP="005E0100">
            <w:pPr>
              <w:spacing w:line="360" w:lineRule="auto"/>
              <w:jc w:val="both"/>
              <w:rPr>
                <w:rFonts w:ascii="Palatino Linotype" w:hAnsi="Palatino Linotype"/>
                <w:color w:val="000000"/>
                <w:sz w:val="20"/>
                <w:szCs w:val="20"/>
              </w:rPr>
            </w:pPr>
          </w:p>
        </w:tc>
      </w:tr>
      <w:tr w:rsidR="00CD7E0B" w:rsidRPr="005E0100" w14:paraId="766958F6" w14:textId="77777777" w:rsidTr="005E0100">
        <w:tc>
          <w:tcPr>
            <w:tcW w:w="2155" w:type="dxa"/>
            <w:vMerge/>
            <w:shd w:val="clear" w:color="auto" w:fill="D5DCE4"/>
          </w:tcPr>
          <w:p w14:paraId="727A67C0" w14:textId="77777777" w:rsidR="00CD7E0B" w:rsidRPr="005E0100" w:rsidRDefault="00CD7E0B" w:rsidP="005E0100">
            <w:pPr>
              <w:spacing w:line="360" w:lineRule="auto"/>
              <w:jc w:val="both"/>
              <w:rPr>
                <w:rFonts w:ascii="Palatino Linotype" w:hAnsi="Palatino Linotype"/>
                <w:color w:val="000000"/>
                <w:sz w:val="20"/>
                <w:szCs w:val="20"/>
              </w:rPr>
            </w:pPr>
          </w:p>
        </w:tc>
        <w:tc>
          <w:tcPr>
            <w:tcW w:w="1759" w:type="dxa"/>
          </w:tcPr>
          <w:p w14:paraId="5CEB18D3"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No se pueden emitir acuerdos de carácter general ni particular</w:t>
            </w:r>
          </w:p>
        </w:tc>
        <w:tc>
          <w:tcPr>
            <w:tcW w:w="2269" w:type="dxa"/>
          </w:tcPr>
          <w:p w14:paraId="42243C08"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 xml:space="preserve">El </w:t>
            </w:r>
            <w:r w:rsidRPr="005E0100">
              <w:rPr>
                <w:rFonts w:ascii="Palatino Linotype" w:hAnsi="Palatino Linotype"/>
                <w:b/>
                <w:bCs/>
                <w:color w:val="000000"/>
                <w:sz w:val="20"/>
                <w:szCs w:val="20"/>
              </w:rPr>
              <w:t>SUJETO OBLIGADO</w:t>
            </w:r>
            <w:r w:rsidRPr="005E0100">
              <w:rPr>
                <w:rFonts w:ascii="Palatino Linotype" w:hAnsi="Palatino Linotype"/>
                <w:color w:val="000000"/>
                <w:sz w:val="20"/>
                <w:szCs w:val="20"/>
              </w:rPr>
              <w:t xml:space="preserve"> debe emitir un acuerdo describiendo y analizando cada documento de un expediente y todos los datos incluidos en un documento </w:t>
            </w:r>
          </w:p>
        </w:tc>
        <w:tc>
          <w:tcPr>
            <w:tcW w:w="2268" w:type="dxa"/>
          </w:tcPr>
          <w:p w14:paraId="031FCF88" w14:textId="77777777" w:rsidR="00CD7E0B" w:rsidRPr="005E0100" w:rsidRDefault="00CD7E0B" w:rsidP="005E0100">
            <w:pPr>
              <w:spacing w:line="360" w:lineRule="auto"/>
              <w:jc w:val="both"/>
              <w:rPr>
                <w:rFonts w:ascii="Palatino Linotype" w:hAnsi="Palatino Linotype"/>
                <w:color w:val="000000"/>
                <w:sz w:val="20"/>
                <w:szCs w:val="20"/>
              </w:rPr>
            </w:pPr>
          </w:p>
        </w:tc>
      </w:tr>
      <w:tr w:rsidR="00CD7E0B" w:rsidRPr="005E0100" w14:paraId="4EEAEE2F" w14:textId="77777777" w:rsidTr="005E0100">
        <w:tc>
          <w:tcPr>
            <w:tcW w:w="2155" w:type="dxa"/>
            <w:vMerge w:val="restart"/>
            <w:shd w:val="clear" w:color="auto" w:fill="D5DCE4"/>
          </w:tcPr>
          <w:p w14:paraId="4286DD4A"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Supuestos de clasificación</w:t>
            </w:r>
          </w:p>
        </w:tc>
        <w:tc>
          <w:tcPr>
            <w:tcW w:w="1759" w:type="dxa"/>
          </w:tcPr>
          <w:p w14:paraId="4AE43D78"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Para clasificar la información como reservada hay</w:t>
            </w:r>
          </w:p>
        </w:tc>
        <w:tc>
          <w:tcPr>
            <w:tcW w:w="2269" w:type="dxa"/>
          </w:tcPr>
          <w:p w14:paraId="3116F96A" w14:textId="77777777" w:rsidR="00CD7E0B" w:rsidRPr="005E0100" w:rsidRDefault="00CD7E0B" w:rsidP="005E0100">
            <w:pPr>
              <w:numPr>
                <w:ilvl w:val="0"/>
                <w:numId w:val="12"/>
              </w:numPr>
              <w:spacing w:line="360" w:lineRule="auto"/>
              <w:contextualSpacing/>
              <w:jc w:val="both"/>
              <w:rPr>
                <w:rFonts w:ascii="Palatino Linotype" w:hAnsi="Palatino Linotype"/>
                <w:color w:val="000000"/>
                <w:sz w:val="20"/>
                <w:szCs w:val="20"/>
              </w:rPr>
            </w:pPr>
            <w:r w:rsidRPr="005E0100">
              <w:rPr>
                <w:rFonts w:ascii="Palatino Linotype" w:hAnsi="Palatino Linotype"/>
                <w:color w:val="000000"/>
                <w:sz w:val="20"/>
                <w:szCs w:val="20"/>
              </w:rPr>
              <w:t>11 supuestos en la Ley Estatal</w:t>
            </w:r>
          </w:p>
          <w:p w14:paraId="596B22A9" w14:textId="77777777" w:rsidR="00CD7E0B" w:rsidRPr="005E0100" w:rsidRDefault="00CD7E0B" w:rsidP="005E0100">
            <w:pPr>
              <w:numPr>
                <w:ilvl w:val="0"/>
                <w:numId w:val="12"/>
              </w:numPr>
              <w:spacing w:line="360" w:lineRule="auto"/>
              <w:contextualSpacing/>
              <w:jc w:val="both"/>
              <w:rPr>
                <w:rFonts w:ascii="Palatino Linotype" w:hAnsi="Palatino Linotype"/>
                <w:color w:val="000000"/>
                <w:sz w:val="20"/>
                <w:szCs w:val="20"/>
              </w:rPr>
            </w:pPr>
            <w:r w:rsidRPr="005E0100">
              <w:rPr>
                <w:rFonts w:ascii="Palatino Linotype" w:hAnsi="Palatino Linotype"/>
                <w:color w:val="000000"/>
                <w:sz w:val="20"/>
                <w:szCs w:val="20"/>
              </w:rPr>
              <w:t>13 supuestos en la Ley General</w:t>
            </w:r>
          </w:p>
        </w:tc>
        <w:tc>
          <w:tcPr>
            <w:tcW w:w="2268" w:type="dxa"/>
          </w:tcPr>
          <w:p w14:paraId="7E1D8E59"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 xml:space="preserve">El </w:t>
            </w:r>
            <w:r w:rsidRPr="005E0100">
              <w:rPr>
                <w:rFonts w:ascii="Palatino Linotype" w:hAnsi="Palatino Linotype"/>
                <w:b/>
                <w:bCs/>
                <w:color w:val="000000"/>
                <w:sz w:val="20"/>
                <w:szCs w:val="20"/>
              </w:rPr>
              <w:t>SUJETO OBLIGADO</w:t>
            </w:r>
            <w:r w:rsidRPr="005E0100">
              <w:rPr>
                <w:rFonts w:ascii="Palatino Linotype" w:hAnsi="Palatino Linotype"/>
                <w:color w:val="000000"/>
                <w:sz w:val="20"/>
                <w:szCs w:val="20"/>
              </w:rPr>
              <w:t xml:space="preserve"> debe identificar claramente la información que se pretende clasificar y realizar un juicio de subsunción o encaje</w:t>
            </w:r>
          </w:p>
        </w:tc>
      </w:tr>
      <w:tr w:rsidR="00CD7E0B" w:rsidRPr="005E0100" w14:paraId="40162326" w14:textId="77777777" w:rsidTr="005E0100">
        <w:tc>
          <w:tcPr>
            <w:tcW w:w="2155" w:type="dxa"/>
            <w:vMerge/>
            <w:shd w:val="clear" w:color="auto" w:fill="D5DCE4"/>
          </w:tcPr>
          <w:p w14:paraId="25C052AC" w14:textId="77777777" w:rsidR="00CD7E0B" w:rsidRPr="005E0100" w:rsidRDefault="00CD7E0B" w:rsidP="005E0100">
            <w:pPr>
              <w:spacing w:line="360" w:lineRule="auto"/>
              <w:jc w:val="both"/>
              <w:rPr>
                <w:rFonts w:ascii="Palatino Linotype" w:hAnsi="Palatino Linotype"/>
                <w:color w:val="000000"/>
                <w:sz w:val="20"/>
                <w:szCs w:val="20"/>
              </w:rPr>
            </w:pPr>
          </w:p>
        </w:tc>
        <w:tc>
          <w:tcPr>
            <w:tcW w:w="1759" w:type="dxa"/>
          </w:tcPr>
          <w:p w14:paraId="5E3062E7"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Para clasificar la información como confidencial hay</w:t>
            </w:r>
          </w:p>
        </w:tc>
        <w:tc>
          <w:tcPr>
            <w:tcW w:w="2269" w:type="dxa"/>
          </w:tcPr>
          <w:p w14:paraId="014F30A2"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que considerar la definición de dato personal</w:t>
            </w:r>
          </w:p>
        </w:tc>
        <w:tc>
          <w:tcPr>
            <w:tcW w:w="2268" w:type="dxa"/>
          </w:tcPr>
          <w:p w14:paraId="56095BDD" w14:textId="77777777" w:rsidR="00CD7E0B" w:rsidRPr="005E0100" w:rsidRDefault="00CD7E0B" w:rsidP="005E0100">
            <w:pPr>
              <w:spacing w:line="360" w:lineRule="auto"/>
              <w:jc w:val="both"/>
              <w:rPr>
                <w:rFonts w:ascii="Palatino Linotype" w:hAnsi="Palatino Linotype"/>
                <w:color w:val="000000"/>
                <w:sz w:val="20"/>
                <w:szCs w:val="20"/>
              </w:rPr>
            </w:pPr>
          </w:p>
        </w:tc>
      </w:tr>
      <w:tr w:rsidR="00CD7E0B" w:rsidRPr="005E0100" w14:paraId="124563F8" w14:textId="77777777" w:rsidTr="005E0100">
        <w:tc>
          <w:tcPr>
            <w:tcW w:w="2155" w:type="dxa"/>
            <w:vMerge/>
            <w:shd w:val="clear" w:color="auto" w:fill="D5DCE4"/>
          </w:tcPr>
          <w:p w14:paraId="2C4F4365" w14:textId="77777777" w:rsidR="00CD7E0B" w:rsidRPr="005E0100" w:rsidRDefault="00CD7E0B" w:rsidP="005E0100">
            <w:pPr>
              <w:spacing w:line="360" w:lineRule="auto"/>
              <w:jc w:val="both"/>
              <w:rPr>
                <w:rFonts w:ascii="Palatino Linotype" w:hAnsi="Palatino Linotype"/>
                <w:color w:val="000000"/>
                <w:sz w:val="20"/>
                <w:szCs w:val="20"/>
              </w:rPr>
            </w:pPr>
          </w:p>
        </w:tc>
        <w:tc>
          <w:tcPr>
            <w:tcW w:w="1759" w:type="dxa"/>
          </w:tcPr>
          <w:p w14:paraId="77D94451"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Estos supuestos se aplican de manera restrictiva y estricta, no pueden ampliarse</w:t>
            </w:r>
          </w:p>
        </w:tc>
        <w:tc>
          <w:tcPr>
            <w:tcW w:w="2269" w:type="dxa"/>
          </w:tcPr>
          <w:p w14:paraId="651ED454" w14:textId="77777777" w:rsidR="00CD7E0B" w:rsidRPr="005E0100" w:rsidRDefault="00CD7E0B" w:rsidP="005E0100">
            <w:pPr>
              <w:spacing w:line="360" w:lineRule="auto"/>
              <w:jc w:val="both"/>
              <w:rPr>
                <w:rFonts w:ascii="Palatino Linotype" w:hAnsi="Palatino Linotype"/>
                <w:color w:val="000000"/>
                <w:sz w:val="20"/>
                <w:szCs w:val="20"/>
              </w:rPr>
            </w:pPr>
          </w:p>
        </w:tc>
        <w:tc>
          <w:tcPr>
            <w:tcW w:w="2268" w:type="dxa"/>
          </w:tcPr>
          <w:p w14:paraId="6AC492EC" w14:textId="77777777" w:rsidR="00CD7E0B" w:rsidRPr="005E0100" w:rsidRDefault="00CD7E0B" w:rsidP="005E0100">
            <w:pPr>
              <w:spacing w:line="360" w:lineRule="auto"/>
              <w:jc w:val="both"/>
              <w:rPr>
                <w:rFonts w:ascii="Palatino Linotype" w:hAnsi="Palatino Linotype"/>
                <w:color w:val="000000"/>
                <w:sz w:val="20"/>
                <w:szCs w:val="20"/>
              </w:rPr>
            </w:pPr>
          </w:p>
        </w:tc>
      </w:tr>
      <w:tr w:rsidR="00CD7E0B" w:rsidRPr="005E0100" w14:paraId="57E59426" w14:textId="77777777" w:rsidTr="005E0100">
        <w:tc>
          <w:tcPr>
            <w:tcW w:w="2155" w:type="dxa"/>
            <w:vMerge w:val="restart"/>
            <w:shd w:val="clear" w:color="auto" w:fill="D5DCE4"/>
          </w:tcPr>
          <w:p w14:paraId="0B18DAB8"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lastRenderedPageBreak/>
              <w:t>Excepciones a la clasificación de reserva</w:t>
            </w:r>
          </w:p>
        </w:tc>
        <w:tc>
          <w:tcPr>
            <w:tcW w:w="1759" w:type="dxa"/>
            <w:vMerge w:val="restart"/>
          </w:tcPr>
          <w:p w14:paraId="538B6C1B"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No puede clasificarse como información reservada la concerniente a:</w:t>
            </w:r>
          </w:p>
        </w:tc>
        <w:tc>
          <w:tcPr>
            <w:tcW w:w="2269" w:type="dxa"/>
          </w:tcPr>
          <w:p w14:paraId="26BF288B"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Actos (probados o en investigación) graves de violaciones a derechos humanos</w:t>
            </w:r>
          </w:p>
        </w:tc>
        <w:tc>
          <w:tcPr>
            <w:tcW w:w="2268" w:type="dxa"/>
          </w:tcPr>
          <w:p w14:paraId="0E832315" w14:textId="77777777" w:rsidR="00CD7E0B" w:rsidRPr="005E0100" w:rsidRDefault="00CD7E0B" w:rsidP="005E0100">
            <w:pPr>
              <w:spacing w:line="360" w:lineRule="auto"/>
              <w:jc w:val="both"/>
              <w:rPr>
                <w:rFonts w:ascii="Palatino Linotype" w:hAnsi="Palatino Linotype"/>
                <w:color w:val="000000"/>
                <w:sz w:val="20"/>
                <w:szCs w:val="20"/>
              </w:rPr>
            </w:pPr>
          </w:p>
        </w:tc>
      </w:tr>
      <w:tr w:rsidR="00CD7E0B" w:rsidRPr="005E0100" w14:paraId="65A24EF2" w14:textId="77777777" w:rsidTr="005E0100">
        <w:tc>
          <w:tcPr>
            <w:tcW w:w="2155" w:type="dxa"/>
            <w:vMerge/>
            <w:shd w:val="clear" w:color="auto" w:fill="D5DCE4"/>
          </w:tcPr>
          <w:p w14:paraId="1D716680" w14:textId="77777777" w:rsidR="00CD7E0B" w:rsidRPr="005E0100" w:rsidRDefault="00CD7E0B" w:rsidP="005E0100">
            <w:pPr>
              <w:spacing w:line="360" w:lineRule="auto"/>
              <w:jc w:val="both"/>
              <w:rPr>
                <w:rFonts w:ascii="Palatino Linotype" w:hAnsi="Palatino Linotype"/>
                <w:color w:val="000000"/>
                <w:sz w:val="20"/>
                <w:szCs w:val="20"/>
              </w:rPr>
            </w:pPr>
          </w:p>
        </w:tc>
        <w:tc>
          <w:tcPr>
            <w:tcW w:w="1759" w:type="dxa"/>
            <w:vMerge/>
          </w:tcPr>
          <w:p w14:paraId="2275F72C" w14:textId="77777777" w:rsidR="00CD7E0B" w:rsidRPr="005E0100" w:rsidRDefault="00CD7E0B" w:rsidP="005E0100">
            <w:pPr>
              <w:spacing w:line="360" w:lineRule="auto"/>
              <w:jc w:val="both"/>
              <w:rPr>
                <w:rFonts w:ascii="Palatino Linotype" w:hAnsi="Palatino Linotype"/>
                <w:color w:val="000000"/>
                <w:sz w:val="20"/>
                <w:szCs w:val="20"/>
              </w:rPr>
            </w:pPr>
          </w:p>
        </w:tc>
        <w:tc>
          <w:tcPr>
            <w:tcW w:w="2269" w:type="dxa"/>
          </w:tcPr>
          <w:p w14:paraId="22980F14"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Delitos de lessa humanidad</w:t>
            </w:r>
          </w:p>
        </w:tc>
        <w:tc>
          <w:tcPr>
            <w:tcW w:w="2268" w:type="dxa"/>
          </w:tcPr>
          <w:p w14:paraId="3E873FAB" w14:textId="77777777" w:rsidR="00CD7E0B" w:rsidRPr="005E0100" w:rsidRDefault="00CD7E0B" w:rsidP="005E0100">
            <w:pPr>
              <w:spacing w:line="360" w:lineRule="auto"/>
              <w:jc w:val="both"/>
              <w:rPr>
                <w:rFonts w:ascii="Palatino Linotype" w:hAnsi="Palatino Linotype"/>
                <w:color w:val="000000"/>
                <w:sz w:val="20"/>
                <w:szCs w:val="20"/>
              </w:rPr>
            </w:pPr>
          </w:p>
        </w:tc>
      </w:tr>
      <w:tr w:rsidR="00CD7E0B" w:rsidRPr="005E0100" w14:paraId="7371CD3D" w14:textId="77777777" w:rsidTr="005E0100">
        <w:tc>
          <w:tcPr>
            <w:tcW w:w="2155" w:type="dxa"/>
            <w:vMerge/>
            <w:shd w:val="clear" w:color="auto" w:fill="D5DCE4"/>
          </w:tcPr>
          <w:p w14:paraId="1EBB933A" w14:textId="77777777" w:rsidR="00CD7E0B" w:rsidRPr="005E0100" w:rsidRDefault="00CD7E0B" w:rsidP="005E0100">
            <w:pPr>
              <w:spacing w:line="360" w:lineRule="auto"/>
              <w:jc w:val="both"/>
              <w:rPr>
                <w:rFonts w:ascii="Palatino Linotype" w:hAnsi="Palatino Linotype"/>
                <w:color w:val="000000"/>
                <w:sz w:val="20"/>
                <w:szCs w:val="20"/>
              </w:rPr>
            </w:pPr>
          </w:p>
        </w:tc>
        <w:tc>
          <w:tcPr>
            <w:tcW w:w="1759" w:type="dxa"/>
            <w:vMerge/>
          </w:tcPr>
          <w:p w14:paraId="1D0BCE79" w14:textId="77777777" w:rsidR="00CD7E0B" w:rsidRPr="005E0100" w:rsidRDefault="00CD7E0B" w:rsidP="005E0100">
            <w:pPr>
              <w:spacing w:line="360" w:lineRule="auto"/>
              <w:jc w:val="both"/>
              <w:rPr>
                <w:rFonts w:ascii="Palatino Linotype" w:hAnsi="Palatino Linotype"/>
                <w:color w:val="000000"/>
                <w:sz w:val="20"/>
                <w:szCs w:val="20"/>
              </w:rPr>
            </w:pPr>
          </w:p>
        </w:tc>
        <w:tc>
          <w:tcPr>
            <w:tcW w:w="2269" w:type="dxa"/>
          </w:tcPr>
          <w:p w14:paraId="68FCA67C"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Actos de Corrupción</w:t>
            </w:r>
          </w:p>
        </w:tc>
        <w:tc>
          <w:tcPr>
            <w:tcW w:w="2268" w:type="dxa"/>
          </w:tcPr>
          <w:p w14:paraId="3F8BDB88"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Los comprendidos en el Título Sexto del Código Penal del Estado</w:t>
            </w:r>
          </w:p>
        </w:tc>
      </w:tr>
      <w:tr w:rsidR="00CD7E0B" w:rsidRPr="005E0100" w14:paraId="08E5F3E3" w14:textId="77777777" w:rsidTr="005E0100">
        <w:tc>
          <w:tcPr>
            <w:tcW w:w="2155" w:type="dxa"/>
            <w:vMerge w:val="restart"/>
            <w:shd w:val="clear" w:color="auto" w:fill="D5DCE4"/>
          </w:tcPr>
          <w:p w14:paraId="6FDB9F62"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Participación del Comité de Transparencia</w:t>
            </w:r>
          </w:p>
        </w:tc>
        <w:tc>
          <w:tcPr>
            <w:tcW w:w="1759" w:type="dxa"/>
            <w:vMerge w:val="restart"/>
          </w:tcPr>
          <w:p w14:paraId="577E671D"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Formalidades</w:t>
            </w:r>
          </w:p>
        </w:tc>
        <w:tc>
          <w:tcPr>
            <w:tcW w:w="2269" w:type="dxa"/>
          </w:tcPr>
          <w:p w14:paraId="2746AEC2"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El Comité debe de estar debidamente integrado</w:t>
            </w:r>
          </w:p>
        </w:tc>
        <w:tc>
          <w:tcPr>
            <w:tcW w:w="2268" w:type="dxa"/>
          </w:tcPr>
          <w:p w14:paraId="5DAB1F8B" w14:textId="77777777" w:rsidR="00CD7E0B" w:rsidRPr="005E0100" w:rsidRDefault="00CD7E0B" w:rsidP="005E0100">
            <w:pPr>
              <w:spacing w:line="360" w:lineRule="auto"/>
              <w:jc w:val="both"/>
              <w:rPr>
                <w:rFonts w:ascii="Palatino Linotype" w:hAnsi="Palatino Linotype"/>
                <w:color w:val="000000"/>
                <w:sz w:val="20"/>
                <w:szCs w:val="20"/>
              </w:rPr>
            </w:pPr>
          </w:p>
        </w:tc>
      </w:tr>
      <w:tr w:rsidR="00CD7E0B" w:rsidRPr="005E0100" w14:paraId="61C9B633" w14:textId="77777777" w:rsidTr="005E0100">
        <w:tc>
          <w:tcPr>
            <w:tcW w:w="2155" w:type="dxa"/>
            <w:vMerge/>
            <w:shd w:val="clear" w:color="auto" w:fill="D5DCE4"/>
          </w:tcPr>
          <w:p w14:paraId="78C9FD84" w14:textId="77777777" w:rsidR="00CD7E0B" w:rsidRPr="005E0100" w:rsidRDefault="00CD7E0B" w:rsidP="005E0100">
            <w:pPr>
              <w:spacing w:line="360" w:lineRule="auto"/>
              <w:jc w:val="both"/>
              <w:rPr>
                <w:rFonts w:ascii="Palatino Linotype" w:hAnsi="Palatino Linotype"/>
                <w:color w:val="000000"/>
                <w:sz w:val="20"/>
                <w:szCs w:val="20"/>
              </w:rPr>
            </w:pPr>
          </w:p>
        </w:tc>
        <w:tc>
          <w:tcPr>
            <w:tcW w:w="1759" w:type="dxa"/>
            <w:vMerge/>
          </w:tcPr>
          <w:p w14:paraId="780F97AD" w14:textId="77777777" w:rsidR="00CD7E0B" w:rsidRPr="005E0100" w:rsidRDefault="00CD7E0B" w:rsidP="005E0100">
            <w:pPr>
              <w:spacing w:line="360" w:lineRule="auto"/>
              <w:jc w:val="both"/>
              <w:rPr>
                <w:rFonts w:ascii="Palatino Linotype" w:hAnsi="Palatino Linotype"/>
                <w:color w:val="000000"/>
                <w:sz w:val="20"/>
                <w:szCs w:val="20"/>
              </w:rPr>
            </w:pPr>
          </w:p>
        </w:tc>
        <w:tc>
          <w:tcPr>
            <w:tcW w:w="2269" w:type="dxa"/>
          </w:tcPr>
          <w:p w14:paraId="093AC941"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 xml:space="preserve">El Comité no aprueba la clasificación, sólo: confirma, modifica o revoca la decisión de las áreas </w:t>
            </w:r>
          </w:p>
        </w:tc>
        <w:tc>
          <w:tcPr>
            <w:tcW w:w="2268" w:type="dxa"/>
          </w:tcPr>
          <w:p w14:paraId="2F476A67" w14:textId="77777777" w:rsidR="00CD7E0B" w:rsidRPr="005E0100" w:rsidRDefault="00CD7E0B" w:rsidP="005E0100">
            <w:pPr>
              <w:spacing w:line="360" w:lineRule="auto"/>
              <w:jc w:val="both"/>
              <w:rPr>
                <w:rFonts w:ascii="Palatino Linotype" w:hAnsi="Palatino Linotype"/>
                <w:color w:val="000000"/>
                <w:sz w:val="20"/>
                <w:szCs w:val="20"/>
              </w:rPr>
            </w:pPr>
          </w:p>
        </w:tc>
      </w:tr>
      <w:tr w:rsidR="00CD7E0B" w:rsidRPr="005E0100" w14:paraId="07110845" w14:textId="77777777" w:rsidTr="005E0100">
        <w:tc>
          <w:tcPr>
            <w:tcW w:w="2155" w:type="dxa"/>
            <w:shd w:val="clear" w:color="auto" w:fill="D5DCE4"/>
          </w:tcPr>
          <w:p w14:paraId="125FB8FE"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Fondo del acuerdo de clasificación</w:t>
            </w:r>
          </w:p>
        </w:tc>
        <w:tc>
          <w:tcPr>
            <w:tcW w:w="1759" w:type="dxa"/>
          </w:tcPr>
          <w:p w14:paraId="7D48A26A"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 xml:space="preserve">La carga de la prueba para justificar la restricción corresponde al </w:t>
            </w:r>
            <w:r w:rsidRPr="005E0100">
              <w:rPr>
                <w:rFonts w:ascii="Palatino Linotype" w:hAnsi="Palatino Linotype"/>
                <w:b/>
                <w:bCs/>
                <w:color w:val="000000"/>
                <w:sz w:val="20"/>
                <w:szCs w:val="20"/>
              </w:rPr>
              <w:t>SUJETO OBLIGADO</w:t>
            </w:r>
          </w:p>
        </w:tc>
        <w:tc>
          <w:tcPr>
            <w:tcW w:w="2269" w:type="dxa"/>
          </w:tcPr>
          <w:p w14:paraId="668BBAE9"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Deber de fundar y motivar</w:t>
            </w:r>
          </w:p>
        </w:tc>
        <w:tc>
          <w:tcPr>
            <w:tcW w:w="2268" w:type="dxa"/>
          </w:tcPr>
          <w:p w14:paraId="198E66F8" w14:textId="77777777" w:rsidR="00CD7E0B" w:rsidRPr="005E0100" w:rsidRDefault="00CD7E0B" w:rsidP="005E0100">
            <w:pPr>
              <w:spacing w:line="360" w:lineRule="auto"/>
              <w:jc w:val="both"/>
              <w:rPr>
                <w:rFonts w:ascii="Palatino Linotype" w:hAnsi="Palatino Linotype"/>
                <w:color w:val="000000"/>
                <w:sz w:val="20"/>
                <w:szCs w:val="20"/>
              </w:rPr>
            </w:pPr>
          </w:p>
        </w:tc>
      </w:tr>
      <w:tr w:rsidR="00CD7E0B" w:rsidRPr="005E0100" w14:paraId="6A4337F4" w14:textId="77777777" w:rsidTr="005E0100">
        <w:trPr>
          <w:trHeight w:val="685"/>
        </w:trPr>
        <w:tc>
          <w:tcPr>
            <w:tcW w:w="2155" w:type="dxa"/>
            <w:vMerge w:val="restart"/>
            <w:shd w:val="clear" w:color="auto" w:fill="D5DCE4"/>
          </w:tcPr>
          <w:p w14:paraId="3377002E"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Condiciones especiales de la reserva</w:t>
            </w:r>
          </w:p>
        </w:tc>
        <w:tc>
          <w:tcPr>
            <w:tcW w:w="1759" w:type="dxa"/>
            <w:vMerge w:val="restart"/>
          </w:tcPr>
          <w:p w14:paraId="774EB8A1"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Motivar implica</w:t>
            </w:r>
          </w:p>
          <w:p w14:paraId="220DE31D"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 xml:space="preserve">Además se debe aplicar, caso por </w:t>
            </w:r>
            <w:r w:rsidRPr="005E0100">
              <w:rPr>
                <w:rFonts w:ascii="Palatino Linotype" w:hAnsi="Palatino Linotype"/>
                <w:color w:val="000000"/>
                <w:sz w:val="20"/>
                <w:szCs w:val="20"/>
              </w:rPr>
              <w:lastRenderedPageBreak/>
              <w:t>caso, una prueba de daño.</w:t>
            </w:r>
          </w:p>
        </w:tc>
        <w:tc>
          <w:tcPr>
            <w:tcW w:w="2269" w:type="dxa"/>
            <w:vMerge w:val="restart"/>
          </w:tcPr>
          <w:p w14:paraId="09CE954C"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lastRenderedPageBreak/>
              <w:t>Señalar las razones, motivos o circunstancias.</w:t>
            </w:r>
          </w:p>
          <w:p w14:paraId="55423C35"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lastRenderedPageBreak/>
              <w:t>Se deben señalar las razones objetivas y acreditar.</w:t>
            </w:r>
          </w:p>
          <w:p w14:paraId="690C8E8D" w14:textId="77777777" w:rsidR="00CD7E0B" w:rsidRPr="005E0100" w:rsidRDefault="00CD7E0B" w:rsidP="005E0100">
            <w:pPr>
              <w:spacing w:line="360" w:lineRule="auto"/>
              <w:jc w:val="both"/>
              <w:rPr>
                <w:rFonts w:ascii="Palatino Linotype" w:hAnsi="Palatino Linotype"/>
                <w:color w:val="000000"/>
                <w:sz w:val="20"/>
                <w:szCs w:val="20"/>
              </w:rPr>
            </w:pPr>
          </w:p>
          <w:p w14:paraId="21C59423"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*Adquiere la condición especial de ser temporal por un periodo de 5 años con la posibilidad de ampliarse por un periodo igual.</w:t>
            </w:r>
          </w:p>
        </w:tc>
        <w:tc>
          <w:tcPr>
            <w:tcW w:w="2268" w:type="dxa"/>
            <w:vMerge w:val="restart"/>
          </w:tcPr>
          <w:p w14:paraId="33D0BF2F"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lastRenderedPageBreak/>
              <w:t xml:space="preserve">Que entregar la información provoca un riesgo real, </w:t>
            </w:r>
            <w:r w:rsidRPr="005E0100">
              <w:rPr>
                <w:rFonts w:ascii="Palatino Linotype" w:hAnsi="Palatino Linotype"/>
                <w:color w:val="000000"/>
                <w:sz w:val="20"/>
                <w:szCs w:val="20"/>
              </w:rPr>
              <w:lastRenderedPageBreak/>
              <w:t>demostrable e identificable al interés público o a la seguridad pública</w:t>
            </w:r>
          </w:p>
        </w:tc>
      </w:tr>
      <w:tr w:rsidR="00CD7E0B" w:rsidRPr="005E0100" w14:paraId="346BB5B7" w14:textId="77777777" w:rsidTr="005E0100">
        <w:trPr>
          <w:trHeight w:val="685"/>
        </w:trPr>
        <w:tc>
          <w:tcPr>
            <w:tcW w:w="2155" w:type="dxa"/>
            <w:vMerge/>
            <w:shd w:val="clear" w:color="auto" w:fill="D5DCE4"/>
          </w:tcPr>
          <w:p w14:paraId="2FC6693A" w14:textId="77777777" w:rsidR="00CD7E0B" w:rsidRPr="005E0100" w:rsidRDefault="00CD7E0B" w:rsidP="005E0100">
            <w:pPr>
              <w:spacing w:line="360" w:lineRule="auto"/>
              <w:jc w:val="both"/>
              <w:rPr>
                <w:rFonts w:ascii="Palatino Linotype" w:hAnsi="Palatino Linotype"/>
                <w:color w:val="000000"/>
                <w:sz w:val="20"/>
                <w:szCs w:val="20"/>
              </w:rPr>
            </w:pPr>
          </w:p>
        </w:tc>
        <w:tc>
          <w:tcPr>
            <w:tcW w:w="1759" w:type="dxa"/>
            <w:vMerge/>
          </w:tcPr>
          <w:p w14:paraId="69BFAAE3" w14:textId="77777777" w:rsidR="00CD7E0B" w:rsidRPr="005E0100" w:rsidRDefault="00CD7E0B" w:rsidP="005E0100">
            <w:pPr>
              <w:spacing w:line="360" w:lineRule="auto"/>
              <w:jc w:val="both"/>
              <w:rPr>
                <w:rFonts w:ascii="Palatino Linotype" w:hAnsi="Palatino Linotype"/>
                <w:color w:val="000000"/>
                <w:sz w:val="20"/>
                <w:szCs w:val="20"/>
              </w:rPr>
            </w:pPr>
          </w:p>
        </w:tc>
        <w:tc>
          <w:tcPr>
            <w:tcW w:w="2269" w:type="dxa"/>
            <w:vMerge/>
          </w:tcPr>
          <w:p w14:paraId="790BB7FA" w14:textId="77777777" w:rsidR="00CD7E0B" w:rsidRPr="005E0100" w:rsidRDefault="00CD7E0B" w:rsidP="005E0100">
            <w:pPr>
              <w:spacing w:line="360" w:lineRule="auto"/>
              <w:jc w:val="both"/>
              <w:rPr>
                <w:rFonts w:ascii="Palatino Linotype" w:hAnsi="Palatino Linotype"/>
                <w:color w:val="000000"/>
                <w:sz w:val="20"/>
                <w:szCs w:val="20"/>
              </w:rPr>
            </w:pPr>
          </w:p>
        </w:tc>
        <w:tc>
          <w:tcPr>
            <w:tcW w:w="2268" w:type="dxa"/>
            <w:vMerge/>
          </w:tcPr>
          <w:p w14:paraId="519DF924" w14:textId="77777777" w:rsidR="00CD7E0B" w:rsidRPr="005E0100" w:rsidRDefault="00CD7E0B" w:rsidP="005E0100">
            <w:pPr>
              <w:spacing w:line="360" w:lineRule="auto"/>
              <w:jc w:val="both"/>
              <w:rPr>
                <w:rFonts w:ascii="Palatino Linotype" w:hAnsi="Palatino Linotype"/>
                <w:color w:val="000000"/>
                <w:sz w:val="20"/>
                <w:szCs w:val="20"/>
              </w:rPr>
            </w:pPr>
          </w:p>
        </w:tc>
      </w:tr>
      <w:tr w:rsidR="00CD7E0B" w:rsidRPr="005E0100" w14:paraId="3B825F52" w14:textId="77777777" w:rsidTr="005E0100">
        <w:tc>
          <w:tcPr>
            <w:tcW w:w="2155" w:type="dxa"/>
            <w:vMerge/>
            <w:shd w:val="clear" w:color="auto" w:fill="D5DCE4"/>
          </w:tcPr>
          <w:p w14:paraId="23270CF1" w14:textId="77777777" w:rsidR="00CD7E0B" w:rsidRPr="005E0100" w:rsidRDefault="00CD7E0B" w:rsidP="005E0100">
            <w:pPr>
              <w:spacing w:line="360" w:lineRule="auto"/>
              <w:jc w:val="both"/>
              <w:rPr>
                <w:rFonts w:ascii="Palatino Linotype" w:hAnsi="Palatino Linotype"/>
                <w:color w:val="000000"/>
                <w:sz w:val="20"/>
                <w:szCs w:val="20"/>
              </w:rPr>
            </w:pPr>
          </w:p>
        </w:tc>
        <w:tc>
          <w:tcPr>
            <w:tcW w:w="1759" w:type="dxa"/>
            <w:vMerge/>
          </w:tcPr>
          <w:p w14:paraId="2C283CC3" w14:textId="77777777" w:rsidR="00CD7E0B" w:rsidRPr="005E0100" w:rsidRDefault="00CD7E0B" w:rsidP="005E0100">
            <w:pPr>
              <w:spacing w:line="360" w:lineRule="auto"/>
              <w:jc w:val="both"/>
              <w:rPr>
                <w:rFonts w:ascii="Palatino Linotype" w:hAnsi="Palatino Linotype"/>
                <w:color w:val="000000"/>
                <w:sz w:val="20"/>
                <w:szCs w:val="20"/>
              </w:rPr>
            </w:pPr>
          </w:p>
        </w:tc>
        <w:tc>
          <w:tcPr>
            <w:tcW w:w="2269" w:type="dxa"/>
            <w:vMerge/>
          </w:tcPr>
          <w:p w14:paraId="1EAFDC0F" w14:textId="77777777" w:rsidR="00CD7E0B" w:rsidRPr="005E0100" w:rsidRDefault="00CD7E0B" w:rsidP="005E0100">
            <w:pPr>
              <w:spacing w:line="360" w:lineRule="auto"/>
              <w:jc w:val="both"/>
              <w:rPr>
                <w:rFonts w:ascii="Palatino Linotype" w:hAnsi="Palatino Linotype"/>
                <w:color w:val="000000"/>
                <w:sz w:val="20"/>
                <w:szCs w:val="20"/>
              </w:rPr>
            </w:pPr>
          </w:p>
        </w:tc>
        <w:tc>
          <w:tcPr>
            <w:tcW w:w="2268" w:type="dxa"/>
          </w:tcPr>
          <w:p w14:paraId="5B99EF68"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 xml:space="preserve">El riesgo por divulgar es mayor que el interés público de que se difunda  </w:t>
            </w:r>
          </w:p>
        </w:tc>
      </w:tr>
      <w:tr w:rsidR="00CD7E0B" w:rsidRPr="005E0100" w14:paraId="15F07F60" w14:textId="77777777" w:rsidTr="005E0100">
        <w:trPr>
          <w:trHeight w:val="1454"/>
        </w:trPr>
        <w:tc>
          <w:tcPr>
            <w:tcW w:w="2155" w:type="dxa"/>
            <w:vMerge/>
            <w:shd w:val="clear" w:color="auto" w:fill="D5DCE4"/>
          </w:tcPr>
          <w:p w14:paraId="138F8DE8" w14:textId="77777777" w:rsidR="00CD7E0B" w:rsidRPr="005E0100" w:rsidRDefault="00CD7E0B" w:rsidP="005E0100">
            <w:pPr>
              <w:spacing w:line="360" w:lineRule="auto"/>
              <w:jc w:val="both"/>
              <w:rPr>
                <w:rFonts w:ascii="Palatino Linotype" w:hAnsi="Palatino Linotype"/>
                <w:color w:val="000000"/>
                <w:sz w:val="20"/>
                <w:szCs w:val="20"/>
              </w:rPr>
            </w:pPr>
          </w:p>
        </w:tc>
        <w:tc>
          <w:tcPr>
            <w:tcW w:w="1759" w:type="dxa"/>
            <w:vMerge/>
          </w:tcPr>
          <w:p w14:paraId="0543AAD7" w14:textId="77777777" w:rsidR="00CD7E0B" w:rsidRPr="005E0100" w:rsidRDefault="00CD7E0B" w:rsidP="005E0100">
            <w:pPr>
              <w:spacing w:line="360" w:lineRule="auto"/>
              <w:jc w:val="both"/>
              <w:rPr>
                <w:rFonts w:ascii="Palatino Linotype" w:hAnsi="Palatino Linotype"/>
                <w:color w:val="000000"/>
                <w:sz w:val="20"/>
                <w:szCs w:val="20"/>
              </w:rPr>
            </w:pPr>
          </w:p>
        </w:tc>
        <w:tc>
          <w:tcPr>
            <w:tcW w:w="2269" w:type="dxa"/>
            <w:vMerge/>
          </w:tcPr>
          <w:p w14:paraId="0FFDBE5E" w14:textId="77777777" w:rsidR="00CD7E0B" w:rsidRPr="005E0100" w:rsidRDefault="00CD7E0B" w:rsidP="005E0100">
            <w:pPr>
              <w:spacing w:line="360" w:lineRule="auto"/>
              <w:jc w:val="both"/>
              <w:rPr>
                <w:rFonts w:ascii="Palatino Linotype" w:hAnsi="Palatino Linotype"/>
                <w:color w:val="000000"/>
                <w:sz w:val="20"/>
                <w:szCs w:val="20"/>
              </w:rPr>
            </w:pPr>
          </w:p>
        </w:tc>
        <w:tc>
          <w:tcPr>
            <w:tcW w:w="2268" w:type="dxa"/>
          </w:tcPr>
          <w:p w14:paraId="147CE1D6"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El principio de proporcionalidad</w:t>
            </w:r>
          </w:p>
        </w:tc>
      </w:tr>
      <w:tr w:rsidR="00CD7E0B" w:rsidRPr="005E0100" w14:paraId="4787BFE8" w14:textId="77777777" w:rsidTr="005E0100">
        <w:tc>
          <w:tcPr>
            <w:tcW w:w="2155" w:type="dxa"/>
            <w:vMerge w:val="restart"/>
            <w:shd w:val="clear" w:color="auto" w:fill="D5DCE4"/>
          </w:tcPr>
          <w:p w14:paraId="465334EE"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Condiciones especiales de la confidencialidad</w:t>
            </w:r>
          </w:p>
        </w:tc>
        <w:tc>
          <w:tcPr>
            <w:tcW w:w="1759" w:type="dxa"/>
          </w:tcPr>
          <w:p w14:paraId="01226B00"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 xml:space="preserve">Para clasificar se debe verificar que no se encuentre en los supuestos del artículo 148 de la ley Estatal </w:t>
            </w:r>
          </w:p>
        </w:tc>
        <w:tc>
          <w:tcPr>
            <w:tcW w:w="2269" w:type="dxa"/>
          </w:tcPr>
          <w:p w14:paraId="206F9EFE"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 xml:space="preserve">Si se encuentra en los supuestos de dicho artículo se entrega aún sin consentimiento del titular del dato personal </w:t>
            </w:r>
          </w:p>
        </w:tc>
        <w:tc>
          <w:tcPr>
            <w:tcW w:w="2268" w:type="dxa"/>
          </w:tcPr>
          <w:p w14:paraId="75332E65" w14:textId="77777777" w:rsidR="00CD7E0B" w:rsidRPr="005E0100" w:rsidRDefault="00CD7E0B" w:rsidP="005E0100">
            <w:pPr>
              <w:spacing w:line="360" w:lineRule="auto"/>
              <w:jc w:val="both"/>
              <w:rPr>
                <w:rFonts w:ascii="Palatino Linotype" w:hAnsi="Palatino Linotype"/>
                <w:color w:val="000000"/>
                <w:sz w:val="20"/>
                <w:szCs w:val="20"/>
              </w:rPr>
            </w:pPr>
          </w:p>
        </w:tc>
      </w:tr>
      <w:tr w:rsidR="00CD7E0B" w:rsidRPr="005E0100" w14:paraId="1C290F45" w14:textId="77777777" w:rsidTr="005E0100">
        <w:trPr>
          <w:trHeight w:val="3404"/>
        </w:trPr>
        <w:tc>
          <w:tcPr>
            <w:tcW w:w="2155" w:type="dxa"/>
            <w:vMerge/>
            <w:shd w:val="clear" w:color="auto" w:fill="D5DCE4"/>
          </w:tcPr>
          <w:p w14:paraId="3DD9F608" w14:textId="77777777" w:rsidR="00CD7E0B" w:rsidRPr="005E0100" w:rsidRDefault="00CD7E0B" w:rsidP="005E0100">
            <w:pPr>
              <w:spacing w:line="360" w:lineRule="auto"/>
              <w:jc w:val="both"/>
              <w:rPr>
                <w:rFonts w:ascii="Palatino Linotype" w:hAnsi="Palatino Linotype"/>
                <w:color w:val="000000"/>
                <w:sz w:val="20"/>
                <w:szCs w:val="20"/>
              </w:rPr>
            </w:pPr>
          </w:p>
        </w:tc>
        <w:tc>
          <w:tcPr>
            <w:tcW w:w="1759" w:type="dxa"/>
          </w:tcPr>
          <w:p w14:paraId="6DC06712" w14:textId="77777777" w:rsidR="00CD7E0B" w:rsidRPr="005E0100" w:rsidRDefault="00CD7E0B" w:rsidP="005E0100">
            <w:pPr>
              <w:spacing w:line="360" w:lineRule="auto"/>
              <w:jc w:val="both"/>
              <w:rPr>
                <w:rFonts w:ascii="Palatino Linotype" w:hAnsi="Palatino Linotype"/>
                <w:color w:val="000000"/>
                <w:sz w:val="20"/>
                <w:szCs w:val="20"/>
              </w:rPr>
            </w:pPr>
            <w:r w:rsidRPr="005E0100">
              <w:rPr>
                <w:rFonts w:ascii="Palatino Linotype" w:hAnsi="Palatino Linotype"/>
                <w:color w:val="000000"/>
                <w:sz w:val="20"/>
                <w:szCs w:val="20"/>
              </w:rPr>
              <w:t>Si es posible, se debe consultar al titular de los datos para requerir su autorización para entregarlo</w:t>
            </w:r>
          </w:p>
        </w:tc>
        <w:tc>
          <w:tcPr>
            <w:tcW w:w="2269" w:type="dxa"/>
          </w:tcPr>
          <w:p w14:paraId="093F1966" w14:textId="77777777" w:rsidR="00CD7E0B" w:rsidRPr="005E0100" w:rsidRDefault="00CD7E0B" w:rsidP="005E0100">
            <w:pPr>
              <w:spacing w:line="360" w:lineRule="auto"/>
              <w:jc w:val="both"/>
              <w:rPr>
                <w:rFonts w:ascii="Palatino Linotype" w:hAnsi="Palatino Linotype"/>
                <w:color w:val="000000"/>
                <w:sz w:val="20"/>
                <w:szCs w:val="20"/>
              </w:rPr>
            </w:pPr>
          </w:p>
        </w:tc>
        <w:tc>
          <w:tcPr>
            <w:tcW w:w="2268" w:type="dxa"/>
          </w:tcPr>
          <w:p w14:paraId="54BE1B45" w14:textId="77777777" w:rsidR="00CD7E0B" w:rsidRPr="005E0100" w:rsidRDefault="00CD7E0B" w:rsidP="005E0100">
            <w:pPr>
              <w:spacing w:line="360" w:lineRule="auto"/>
              <w:jc w:val="both"/>
              <w:rPr>
                <w:rFonts w:ascii="Palatino Linotype" w:hAnsi="Palatino Linotype"/>
                <w:color w:val="000000"/>
                <w:sz w:val="20"/>
                <w:szCs w:val="20"/>
              </w:rPr>
            </w:pPr>
          </w:p>
        </w:tc>
      </w:tr>
    </w:tbl>
    <w:p w14:paraId="6E3B7E70" w14:textId="77777777" w:rsidR="00CD7E0B" w:rsidRPr="005E0100" w:rsidRDefault="00CD7E0B" w:rsidP="005E0100">
      <w:pPr>
        <w:spacing w:line="360" w:lineRule="auto"/>
        <w:ind w:right="49"/>
        <w:contextualSpacing/>
        <w:jc w:val="both"/>
        <w:rPr>
          <w:rFonts w:ascii="Palatino Linotype" w:eastAsiaTheme="minorEastAsia" w:hAnsi="Palatino Linotype"/>
          <w:lang w:eastAsia="es-ES"/>
        </w:rPr>
      </w:pPr>
    </w:p>
    <w:p w14:paraId="7B6E8D9D" w14:textId="77777777" w:rsidR="00093823" w:rsidRPr="00967C3C" w:rsidRDefault="00CD7E0B" w:rsidP="00967C3C">
      <w:pPr>
        <w:numPr>
          <w:ilvl w:val="0"/>
          <w:numId w:val="1"/>
        </w:numPr>
        <w:spacing w:line="360" w:lineRule="auto"/>
        <w:ind w:left="0" w:right="49" w:firstLine="0"/>
        <w:contextualSpacing/>
        <w:jc w:val="both"/>
        <w:rPr>
          <w:rFonts w:ascii="Palatino Linotype" w:eastAsiaTheme="minorEastAsia" w:hAnsi="Palatino Linotype"/>
          <w:lang w:eastAsia="es-ES"/>
        </w:rPr>
      </w:pPr>
      <w:r w:rsidRPr="005E0100">
        <w:rPr>
          <w:rFonts w:ascii="Palatino Linotype" w:eastAsia="Calibri" w:hAnsi="Palatino Linotype"/>
          <w:color w:val="000000"/>
          <w:lang w:eastAsia="en-US"/>
        </w:rPr>
        <w:lastRenderedPageBreak/>
        <w:t>Pero</w:t>
      </w:r>
      <w:r w:rsidRPr="005E0100">
        <w:rPr>
          <w:rFonts w:ascii="Palatino Linotype" w:eastAsia="Calibri" w:hAnsi="Palatino Linotype"/>
          <w:color w:val="000000"/>
          <w:lang w:val="es-ES_tradnl" w:eastAsia="es-ES_tradnl"/>
        </w:rPr>
        <w:t xml:space="preserve"> si la información que se pretende clasificar como confidencial no se </w:t>
      </w:r>
      <w:r w:rsidRPr="005E0100">
        <w:rPr>
          <w:rFonts w:ascii="Palatino Linotype" w:eastAsia="Calibri" w:hAnsi="Palatino Linotype"/>
          <w:color w:val="000000"/>
          <w:lang w:eastAsia="en-US"/>
        </w:rPr>
        <w:t>encuentra</w:t>
      </w:r>
      <w:r w:rsidRPr="005E0100">
        <w:rPr>
          <w:rFonts w:ascii="Palatino Linotype" w:eastAsia="Calibri" w:hAnsi="Palatino Linotype"/>
          <w:color w:val="000000"/>
          <w:lang w:val="es-ES_tradnl" w:eastAsia="es-ES_tradnl"/>
        </w:rPr>
        <w:t xml:space="preserve"> en los supuestos antes señalados y es posible, se deberá consultar al titular de los datos si permite o no el acceso. De no ser posible, la realización de la consulta procede, fundando y motivando, la clasificación.</w:t>
      </w:r>
    </w:p>
    <w:p w14:paraId="5B3BB4D9" w14:textId="77777777" w:rsidR="00967C3C" w:rsidRPr="005E0100" w:rsidRDefault="00967C3C" w:rsidP="00967C3C">
      <w:pPr>
        <w:spacing w:line="360" w:lineRule="auto"/>
        <w:ind w:left="360" w:right="49"/>
        <w:contextualSpacing/>
        <w:jc w:val="both"/>
        <w:rPr>
          <w:rFonts w:ascii="Palatino Linotype" w:eastAsiaTheme="minorEastAsia" w:hAnsi="Palatino Linotype"/>
          <w:lang w:eastAsia="es-ES"/>
        </w:rPr>
      </w:pPr>
    </w:p>
    <w:p w14:paraId="1C95C991" w14:textId="77777777" w:rsidR="00093823" w:rsidRPr="005E0100" w:rsidRDefault="00093823" w:rsidP="005E0100">
      <w:pPr>
        <w:pStyle w:val="Prrafodelista"/>
        <w:numPr>
          <w:ilvl w:val="0"/>
          <w:numId w:val="1"/>
        </w:numPr>
        <w:shd w:val="clear" w:color="auto" w:fill="FFFFFF"/>
        <w:spacing w:line="360" w:lineRule="auto"/>
        <w:ind w:left="0" w:firstLine="0"/>
        <w:jc w:val="both"/>
        <w:rPr>
          <w:rFonts w:ascii="Palatino Linotype" w:hAnsi="Palatino Linotype" w:cs="Arial"/>
          <w:sz w:val="24"/>
        </w:rPr>
      </w:pPr>
      <w:r w:rsidRPr="005E0100">
        <w:rPr>
          <w:rFonts w:ascii="Palatino Linotype" w:hAnsi="Palatino Linotype" w:cs="Arial"/>
          <w:sz w:val="24"/>
        </w:rPr>
        <w:t>Así, una vez analizada la información remitida por el sujeto Obligado en respuesta, se concluye que las razones y motivos de</w:t>
      </w:r>
      <w:r w:rsidR="000A4693" w:rsidRPr="005E0100">
        <w:rPr>
          <w:rFonts w:ascii="Palatino Linotype" w:hAnsi="Palatino Linotype" w:cs="Arial"/>
          <w:sz w:val="24"/>
        </w:rPr>
        <w:t xml:space="preserve"> inconformidad resultan fundadas</w:t>
      </w:r>
      <w:r w:rsidRPr="005E0100">
        <w:rPr>
          <w:rFonts w:ascii="Palatino Linotype" w:hAnsi="Palatino Linotype" w:cs="Arial"/>
          <w:sz w:val="24"/>
        </w:rPr>
        <w:t xml:space="preserve">, por lo que este Órgano Garante determina </w:t>
      </w:r>
      <w:r w:rsidR="000A4693" w:rsidRPr="005E0100">
        <w:rPr>
          <w:rFonts w:ascii="Palatino Linotype" w:hAnsi="Palatino Linotype" w:cs="Arial"/>
          <w:b/>
          <w:sz w:val="24"/>
        </w:rPr>
        <w:t>MODIFICAR</w:t>
      </w:r>
      <w:r w:rsidRPr="005E0100">
        <w:rPr>
          <w:rFonts w:ascii="Palatino Linotype" w:hAnsi="Palatino Linotype" w:cs="Arial"/>
          <w:sz w:val="24"/>
        </w:rPr>
        <w:t xml:space="preserve"> la respuesta del </w:t>
      </w:r>
      <w:r w:rsidRPr="005E0100">
        <w:rPr>
          <w:rFonts w:ascii="Palatino Linotype" w:hAnsi="Palatino Linotype" w:cs="Arial"/>
          <w:b/>
          <w:sz w:val="24"/>
        </w:rPr>
        <w:t>SUJETO OBLIGADO</w:t>
      </w:r>
      <w:r w:rsidRPr="005E0100">
        <w:rPr>
          <w:rFonts w:ascii="Palatino Linotype" w:hAnsi="Palatino Linotype" w:cs="Arial"/>
          <w:sz w:val="24"/>
        </w:rPr>
        <w:t>.</w:t>
      </w:r>
    </w:p>
    <w:p w14:paraId="39628642" w14:textId="77777777" w:rsidR="00093823" w:rsidRPr="005E0100" w:rsidRDefault="00093823" w:rsidP="005E0100">
      <w:pPr>
        <w:spacing w:line="360" w:lineRule="auto"/>
        <w:jc w:val="both"/>
        <w:rPr>
          <w:rFonts w:ascii="Palatino Linotype" w:eastAsiaTheme="minorEastAsia" w:hAnsi="Palatino Linotype"/>
        </w:rPr>
      </w:pPr>
    </w:p>
    <w:p w14:paraId="13C56FDD" w14:textId="77777777" w:rsidR="00093823" w:rsidRPr="005E0100" w:rsidRDefault="00093823" w:rsidP="005E0100">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5E0100">
        <w:rPr>
          <w:rFonts w:ascii="Palatino Linotype" w:eastAsiaTheme="minorEastAsia" w:hAnsi="Palatino Linotype"/>
          <w:color w:val="000000"/>
          <w:lang w:val="es-ES"/>
        </w:rPr>
        <w:t xml:space="preserve">Por lo anteriormente expuesto y fundado, este </w:t>
      </w:r>
      <w:r w:rsidRPr="005E0100">
        <w:rPr>
          <w:rFonts w:ascii="Palatino Linotype" w:eastAsiaTheme="minorEastAsia" w:hAnsi="Palatino Linotype"/>
          <w:b/>
          <w:bCs/>
          <w:color w:val="000000"/>
          <w:lang w:val="es-ES"/>
        </w:rPr>
        <w:t>ÓRGANO GARANTE</w:t>
      </w:r>
      <w:r w:rsidRPr="005E0100">
        <w:rPr>
          <w:rFonts w:ascii="Palatino Linotype" w:eastAsiaTheme="minorEastAsia" w:hAnsi="Palatino Linotype"/>
          <w:color w:val="000000"/>
          <w:lang w:val="es-ES"/>
        </w:rPr>
        <w:t xml:space="preserve"> emite los siguientes: </w:t>
      </w:r>
    </w:p>
    <w:p w14:paraId="18613B9E" w14:textId="77777777" w:rsidR="00093823" w:rsidRPr="005E0100" w:rsidRDefault="00093823" w:rsidP="005E0100">
      <w:pPr>
        <w:spacing w:line="360" w:lineRule="auto"/>
        <w:contextualSpacing/>
        <w:jc w:val="both"/>
        <w:rPr>
          <w:rFonts w:ascii="Palatino Linotype" w:eastAsiaTheme="minorEastAsia" w:hAnsi="Palatino Linotype" w:cs="Arial"/>
          <w:lang w:val="es-ES_tradnl" w:eastAsia="es-ES"/>
        </w:rPr>
      </w:pPr>
    </w:p>
    <w:p w14:paraId="6538D711" w14:textId="77777777" w:rsidR="00093823" w:rsidRPr="005E0100" w:rsidRDefault="00093823" w:rsidP="005E0100">
      <w:pPr>
        <w:keepNext/>
        <w:keepLines/>
        <w:spacing w:line="360" w:lineRule="auto"/>
        <w:jc w:val="center"/>
        <w:outlineLvl w:val="0"/>
        <w:rPr>
          <w:rFonts w:ascii="Palatino Linotype" w:hAnsi="Palatino Linotype" w:cstheme="majorBidi"/>
          <w:b/>
          <w:bCs/>
          <w:lang w:val="es-ES_tradnl" w:eastAsia="es-ES"/>
        </w:rPr>
      </w:pPr>
      <w:bookmarkStart w:id="149" w:name="_Toc92984388"/>
      <w:r w:rsidRPr="005E0100">
        <w:rPr>
          <w:rFonts w:ascii="Palatino Linotype" w:hAnsi="Palatino Linotype" w:cstheme="majorBidi"/>
          <w:b/>
          <w:bCs/>
          <w:lang w:val="es-ES_tradnl" w:eastAsia="es-ES"/>
        </w:rPr>
        <w:t>R E S O L U T I V O S</w:t>
      </w:r>
      <w:bookmarkEnd w:id="149"/>
    </w:p>
    <w:p w14:paraId="509F89A2" w14:textId="77777777" w:rsidR="00093823" w:rsidRPr="005E0100" w:rsidRDefault="00093823" w:rsidP="005E0100">
      <w:pPr>
        <w:shd w:val="clear" w:color="auto" w:fill="FFFFFF"/>
        <w:spacing w:line="360" w:lineRule="auto"/>
        <w:contextualSpacing/>
        <w:jc w:val="both"/>
        <w:rPr>
          <w:rFonts w:ascii="Palatino Linotype" w:eastAsiaTheme="minorEastAsia" w:hAnsi="Palatino Linotype" w:cs="Arial"/>
          <w:lang w:val="es-ES_tradnl" w:eastAsia="es-ES"/>
        </w:rPr>
      </w:pPr>
    </w:p>
    <w:p w14:paraId="136FD941" w14:textId="77777777" w:rsidR="000A4693" w:rsidRPr="005E0100" w:rsidRDefault="000A4693" w:rsidP="005E0100">
      <w:pPr>
        <w:spacing w:line="360" w:lineRule="auto"/>
        <w:ind w:right="48"/>
        <w:jc w:val="both"/>
        <w:rPr>
          <w:rFonts w:ascii="Palatino Linotype" w:hAnsi="Palatino Linotype" w:cs="Arial"/>
          <w:bCs/>
          <w:szCs w:val="20"/>
          <w:lang w:eastAsia="es-ES"/>
        </w:rPr>
      </w:pPr>
      <w:r w:rsidRPr="005E0100">
        <w:rPr>
          <w:rFonts w:ascii="Palatino Linotype" w:hAnsi="Palatino Linotype" w:cs="Arial"/>
          <w:b/>
          <w:szCs w:val="20"/>
          <w:lang w:eastAsia="es-ES"/>
        </w:rPr>
        <w:t xml:space="preserve">PRIMERO. </w:t>
      </w:r>
      <w:r w:rsidRPr="005E0100">
        <w:rPr>
          <w:rFonts w:ascii="Palatino Linotype" w:hAnsi="Palatino Linotype" w:cs="Arial"/>
          <w:szCs w:val="20"/>
          <w:lang w:eastAsia="es-ES"/>
        </w:rPr>
        <w:t>Resultan fundadas las</w:t>
      </w:r>
      <w:r w:rsidRPr="005E0100">
        <w:rPr>
          <w:rFonts w:ascii="Palatino Linotype" w:hAnsi="Palatino Linotype" w:cs="Arial"/>
          <w:b/>
          <w:szCs w:val="20"/>
          <w:lang w:eastAsia="es-ES"/>
        </w:rPr>
        <w:t xml:space="preserve"> </w:t>
      </w:r>
      <w:r w:rsidRPr="005E0100">
        <w:rPr>
          <w:rFonts w:ascii="Palatino Linotype" w:hAnsi="Palatino Linotype" w:cs="Arial"/>
          <w:szCs w:val="20"/>
          <w:lang w:val="es-ES" w:eastAsia="es-ES"/>
        </w:rPr>
        <w:t xml:space="preserve">razones o motivos de inconformidad hechos valer </w:t>
      </w:r>
      <w:r w:rsidRPr="005E0100">
        <w:rPr>
          <w:rFonts w:ascii="Palatino Linotype" w:eastAsia="Calibri" w:hAnsi="Palatino Linotype" w:cs="Arial"/>
          <w:szCs w:val="20"/>
          <w:lang w:val="es-ES" w:eastAsia="es-ES"/>
        </w:rPr>
        <w:t xml:space="preserve">en el recurso de revisión </w:t>
      </w:r>
      <w:r w:rsidRPr="005E0100">
        <w:rPr>
          <w:rFonts w:ascii="Palatino Linotype" w:hAnsi="Palatino Linotype" w:cs="Arial"/>
          <w:b/>
          <w:bCs/>
          <w:szCs w:val="20"/>
          <w:lang w:eastAsia="es-ES"/>
        </w:rPr>
        <w:t xml:space="preserve">05403/INFOEM/IP/RR/2021, </w:t>
      </w:r>
      <w:r w:rsidRPr="005E0100">
        <w:rPr>
          <w:rFonts w:ascii="Palatino Linotype" w:hAnsi="Palatino Linotype" w:cs="Arial"/>
          <w:bCs/>
          <w:szCs w:val="20"/>
          <w:lang w:eastAsia="es-ES"/>
        </w:rPr>
        <w:t xml:space="preserve">en términos del </w:t>
      </w:r>
      <w:r w:rsidRPr="005E0100">
        <w:rPr>
          <w:rFonts w:ascii="Palatino Linotype" w:hAnsi="Palatino Linotype" w:cs="Arial"/>
          <w:b/>
          <w:bCs/>
          <w:szCs w:val="20"/>
          <w:lang w:eastAsia="es-ES"/>
        </w:rPr>
        <w:t>Considerando</w:t>
      </w:r>
      <w:r w:rsidRPr="005E0100">
        <w:rPr>
          <w:rFonts w:ascii="Palatino Linotype" w:hAnsi="Palatino Linotype" w:cs="Arial"/>
          <w:bCs/>
          <w:szCs w:val="20"/>
          <w:lang w:eastAsia="es-ES"/>
        </w:rPr>
        <w:t xml:space="preserve"> </w:t>
      </w:r>
      <w:r w:rsidRPr="005E0100">
        <w:rPr>
          <w:rFonts w:ascii="Palatino Linotype" w:hAnsi="Palatino Linotype" w:cs="Arial"/>
          <w:b/>
          <w:bCs/>
          <w:szCs w:val="20"/>
          <w:lang w:eastAsia="es-ES"/>
        </w:rPr>
        <w:t xml:space="preserve">CUARTO y QUINTO  </w:t>
      </w:r>
      <w:r w:rsidRPr="005E0100">
        <w:rPr>
          <w:rFonts w:ascii="Palatino Linotype" w:hAnsi="Palatino Linotype" w:cs="Arial"/>
          <w:bCs/>
          <w:szCs w:val="20"/>
          <w:lang w:eastAsia="es-ES"/>
        </w:rPr>
        <w:t>de la presente resolución.</w:t>
      </w:r>
    </w:p>
    <w:p w14:paraId="44EE5E71" w14:textId="77777777" w:rsidR="000A4693" w:rsidRPr="005E0100" w:rsidRDefault="000A4693" w:rsidP="005E0100">
      <w:pPr>
        <w:spacing w:line="360" w:lineRule="auto"/>
        <w:ind w:right="48"/>
        <w:jc w:val="both"/>
        <w:rPr>
          <w:rFonts w:ascii="Palatino Linotype" w:hAnsi="Palatino Linotype" w:cs="Arial"/>
          <w:bCs/>
          <w:szCs w:val="20"/>
          <w:lang w:eastAsia="es-ES"/>
        </w:rPr>
      </w:pPr>
    </w:p>
    <w:p w14:paraId="07A9E800" w14:textId="77777777" w:rsidR="000A4693" w:rsidRPr="005E0100" w:rsidRDefault="000A4693" w:rsidP="005E0100">
      <w:pPr>
        <w:spacing w:line="360" w:lineRule="auto"/>
        <w:ind w:right="48"/>
        <w:jc w:val="both"/>
        <w:rPr>
          <w:rFonts w:ascii="Palatino Linotype" w:hAnsi="Palatino Linotype" w:cs="Arial"/>
          <w:bCs/>
          <w:szCs w:val="20"/>
          <w:lang w:eastAsia="es-ES"/>
        </w:rPr>
      </w:pPr>
      <w:bookmarkStart w:id="150" w:name="_Toc477891768"/>
      <w:bookmarkStart w:id="151" w:name="_Toc477891858"/>
      <w:bookmarkStart w:id="152" w:name="_Toc481576259"/>
      <w:bookmarkStart w:id="153" w:name="_Toc492590391"/>
      <w:bookmarkStart w:id="154" w:name="_Toc462653937"/>
      <w:bookmarkStart w:id="155" w:name="_Toc453696502"/>
      <w:bookmarkStart w:id="156" w:name="_Toc454301155"/>
      <w:r w:rsidRPr="005E0100">
        <w:rPr>
          <w:rFonts w:ascii="Palatino Linotype" w:hAnsi="Palatino Linotype"/>
          <w:b/>
          <w:szCs w:val="20"/>
          <w:lang w:eastAsia="es-ES"/>
        </w:rPr>
        <w:t>SEGUNDO.</w:t>
      </w:r>
      <w:r w:rsidRPr="005E0100">
        <w:rPr>
          <w:rFonts w:ascii="Palatino Linotype" w:eastAsia="DengXian Light" w:hAnsi="Palatino Linotype"/>
          <w:color w:val="2F5496"/>
          <w:sz w:val="36"/>
          <w:szCs w:val="26"/>
          <w:lang w:eastAsia="es-ES"/>
        </w:rPr>
        <w:t xml:space="preserve"> </w:t>
      </w:r>
      <w:bookmarkEnd w:id="150"/>
      <w:bookmarkEnd w:id="151"/>
      <w:bookmarkEnd w:id="152"/>
      <w:bookmarkEnd w:id="153"/>
      <w:bookmarkEnd w:id="154"/>
      <w:bookmarkEnd w:id="155"/>
      <w:bookmarkEnd w:id="156"/>
      <w:r w:rsidRPr="005E0100">
        <w:rPr>
          <w:rFonts w:ascii="Palatino Linotype" w:eastAsia="Calibri" w:hAnsi="Palatino Linotype" w:cs="Arial"/>
          <w:szCs w:val="20"/>
          <w:lang w:val="es-ES" w:eastAsia="es-ES"/>
        </w:rPr>
        <w:t>Se</w:t>
      </w:r>
      <w:r w:rsidRPr="005E0100">
        <w:rPr>
          <w:rFonts w:ascii="Palatino Linotype" w:eastAsia="Calibri" w:hAnsi="Palatino Linotype" w:cs="Arial"/>
          <w:b/>
          <w:szCs w:val="20"/>
          <w:lang w:val="es-ES" w:eastAsia="es-ES"/>
        </w:rPr>
        <w:t xml:space="preserve"> MODIFICA </w:t>
      </w:r>
      <w:r w:rsidRPr="005E0100">
        <w:rPr>
          <w:rFonts w:ascii="Palatino Linotype" w:eastAsia="Calibri" w:hAnsi="Palatino Linotype" w:cs="Arial"/>
          <w:szCs w:val="20"/>
          <w:lang w:val="es-ES" w:eastAsia="es-ES"/>
        </w:rPr>
        <w:t xml:space="preserve">la respuesta emitida por la </w:t>
      </w:r>
      <w:r w:rsidRPr="005E0100">
        <w:rPr>
          <w:rFonts w:ascii="Palatino Linotype" w:eastAsia="Calibri" w:hAnsi="Palatino Linotype" w:cs="Tahoma"/>
          <w:b/>
          <w:szCs w:val="22"/>
          <w:lang w:eastAsia="en-US"/>
        </w:rPr>
        <w:t>Fiscalía General de Justicia del Estado de México</w:t>
      </w:r>
      <w:r w:rsidRPr="005E0100">
        <w:rPr>
          <w:rFonts w:ascii="Palatino Linotype" w:eastAsia="Calibri" w:hAnsi="Palatino Linotype" w:cs="Arial"/>
          <w:szCs w:val="20"/>
          <w:lang w:val="es-ES" w:eastAsia="es-ES"/>
        </w:rPr>
        <w:t xml:space="preserve"> y se</w:t>
      </w:r>
      <w:r w:rsidRPr="005E0100">
        <w:rPr>
          <w:rFonts w:ascii="Palatino Linotype" w:eastAsia="Calibri" w:hAnsi="Palatino Linotype" w:cs="Arial"/>
          <w:b/>
          <w:szCs w:val="20"/>
          <w:lang w:val="es-ES" w:eastAsia="es-ES"/>
        </w:rPr>
        <w:t xml:space="preserve"> ORDENA </w:t>
      </w:r>
      <w:r w:rsidRPr="005E0100">
        <w:rPr>
          <w:rFonts w:ascii="Palatino Linotype" w:hAnsi="Palatino Linotype" w:cs="Arial"/>
          <w:szCs w:val="20"/>
          <w:lang w:val="es-ES" w:eastAsia="es-ES"/>
        </w:rPr>
        <w:t xml:space="preserve">entregar vía Sistema de Accesos a la Información Mexiquense (SAIMEX), de ser procedente en versión pública, la siguiente </w:t>
      </w:r>
      <w:r w:rsidRPr="005E0100">
        <w:rPr>
          <w:rFonts w:ascii="Palatino Linotype" w:hAnsi="Palatino Linotype" w:cs="Arial"/>
          <w:bCs/>
          <w:szCs w:val="20"/>
          <w:lang w:eastAsia="es-ES"/>
        </w:rPr>
        <w:t>información:</w:t>
      </w:r>
    </w:p>
    <w:p w14:paraId="1C35FE67" w14:textId="77777777" w:rsidR="000A4693" w:rsidRPr="005E0100" w:rsidRDefault="000A4693" w:rsidP="005E0100">
      <w:pPr>
        <w:spacing w:line="360" w:lineRule="auto"/>
        <w:ind w:right="48"/>
        <w:jc w:val="both"/>
        <w:rPr>
          <w:rFonts w:ascii="Palatino Linotype" w:hAnsi="Palatino Linotype" w:cs="Arial"/>
          <w:bCs/>
          <w:szCs w:val="20"/>
          <w:lang w:eastAsia="es-ES"/>
        </w:rPr>
      </w:pPr>
    </w:p>
    <w:p w14:paraId="5E6D63F2" w14:textId="77777777" w:rsidR="000A4693" w:rsidRPr="005E0100" w:rsidRDefault="000A4693" w:rsidP="005E0100">
      <w:pPr>
        <w:spacing w:line="360" w:lineRule="auto"/>
        <w:ind w:left="567" w:right="899"/>
        <w:jc w:val="both"/>
        <w:rPr>
          <w:rFonts w:ascii="Palatino Linotype" w:eastAsia="Calibri" w:hAnsi="Palatino Linotype" w:cs="Arial"/>
          <w:b/>
        </w:rPr>
      </w:pPr>
      <w:r w:rsidRPr="005E0100">
        <w:rPr>
          <w:rFonts w:ascii="Palatino Linotype" w:eastAsia="Calibri" w:hAnsi="Palatino Linotype" w:cs="Arial"/>
          <w:b/>
        </w:rPr>
        <w:lastRenderedPageBreak/>
        <w:t>a) Documento o documentos donde conste</w:t>
      </w:r>
      <w:r w:rsidR="00400C18">
        <w:rPr>
          <w:rFonts w:ascii="Palatino Linotype" w:eastAsia="Calibri" w:hAnsi="Palatino Linotype" w:cs="Arial"/>
          <w:b/>
        </w:rPr>
        <w:t>n</w:t>
      </w:r>
      <w:r w:rsidRPr="005E0100">
        <w:rPr>
          <w:rFonts w:ascii="Palatino Linotype" w:eastAsia="Calibri" w:hAnsi="Palatino Linotype" w:cs="Arial"/>
          <w:b/>
        </w:rPr>
        <w:t xml:space="preserve"> las </w:t>
      </w:r>
      <w:r w:rsidRPr="00AA4B1E">
        <w:rPr>
          <w:rFonts w:ascii="Palatino Linotype" w:eastAsia="Calibri" w:hAnsi="Palatino Linotype" w:cs="Arial"/>
          <w:b/>
        </w:rPr>
        <w:t>capacitaciones</w:t>
      </w:r>
      <w:r w:rsidR="004B40E2" w:rsidRPr="00AA4B1E">
        <w:rPr>
          <w:rFonts w:ascii="Palatino Linotype" w:eastAsia="Calibri" w:hAnsi="Palatino Linotype" w:cs="Arial"/>
          <w:b/>
        </w:rPr>
        <w:t>, talleres o cursos dirigidos</w:t>
      </w:r>
      <w:r w:rsidRPr="00AA4B1E">
        <w:rPr>
          <w:rFonts w:ascii="Palatino Linotype" w:eastAsia="Calibri" w:hAnsi="Palatino Linotype" w:cs="Arial"/>
          <w:b/>
        </w:rPr>
        <w:t xml:space="preserve"> a los servidores públicos habilitados, del</w:t>
      </w:r>
      <w:r w:rsidRPr="005E0100">
        <w:rPr>
          <w:rFonts w:ascii="Palatino Linotype" w:eastAsia="Calibri" w:hAnsi="Palatino Linotype" w:cs="Arial"/>
          <w:b/>
        </w:rPr>
        <w:t xml:space="preserve"> u</w:t>
      </w:r>
      <w:r w:rsidR="00967C3C">
        <w:rPr>
          <w:rFonts w:ascii="Palatino Linotype" w:eastAsia="Calibri" w:hAnsi="Palatino Linotype" w:cs="Arial"/>
          <w:b/>
        </w:rPr>
        <w:t>no de enero de dos mil catorce</w:t>
      </w:r>
      <w:r w:rsidRPr="005E0100">
        <w:rPr>
          <w:rFonts w:ascii="Palatino Linotype" w:eastAsia="Calibri" w:hAnsi="Palatino Linotype" w:cs="Arial"/>
          <w:b/>
        </w:rPr>
        <w:t xml:space="preserve"> al veinticuatro de septiembre de dos mil veintiuno. </w:t>
      </w:r>
    </w:p>
    <w:p w14:paraId="25A03367" w14:textId="77777777" w:rsidR="000A4693" w:rsidRPr="005E0100" w:rsidRDefault="000A4693" w:rsidP="005E0100">
      <w:pPr>
        <w:spacing w:line="360" w:lineRule="auto"/>
        <w:ind w:right="48"/>
        <w:jc w:val="both"/>
        <w:rPr>
          <w:rFonts w:ascii="Palatino Linotype" w:hAnsi="Palatino Linotype" w:cs="Arial"/>
          <w:bCs/>
          <w:szCs w:val="20"/>
          <w:lang w:eastAsia="es-ES"/>
        </w:rPr>
      </w:pPr>
    </w:p>
    <w:p w14:paraId="0DE0ACE5" w14:textId="77777777" w:rsidR="000A4693" w:rsidRDefault="000A4693" w:rsidP="005E0100">
      <w:pPr>
        <w:tabs>
          <w:tab w:val="left" w:pos="8080"/>
        </w:tabs>
        <w:spacing w:line="360" w:lineRule="auto"/>
        <w:ind w:right="48"/>
        <w:contextualSpacing/>
        <w:jc w:val="both"/>
        <w:rPr>
          <w:rFonts w:ascii="Palatino Linotype" w:hAnsi="Palatino Linotype"/>
          <w:b/>
        </w:rPr>
      </w:pPr>
      <w:r w:rsidRPr="005E0100">
        <w:rPr>
          <w:rFonts w:ascii="Palatino Linotype" w:hAnsi="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5E0100">
        <w:rPr>
          <w:rFonts w:ascii="Palatino Linotype" w:hAnsi="Palatino Linotype"/>
          <w:b/>
        </w:rPr>
        <w:t>EL RECURRENTE.</w:t>
      </w:r>
    </w:p>
    <w:p w14:paraId="7F5582B0" w14:textId="77777777" w:rsidR="00400C18" w:rsidRPr="005E0100" w:rsidRDefault="00400C18" w:rsidP="005E0100">
      <w:pPr>
        <w:tabs>
          <w:tab w:val="left" w:pos="8080"/>
        </w:tabs>
        <w:spacing w:line="360" w:lineRule="auto"/>
        <w:ind w:right="48"/>
        <w:contextualSpacing/>
        <w:jc w:val="both"/>
        <w:rPr>
          <w:rFonts w:ascii="Palatino Linotype" w:hAnsi="Palatino Linotype"/>
          <w:b/>
        </w:rPr>
      </w:pPr>
    </w:p>
    <w:p w14:paraId="0E838E4E" w14:textId="77777777" w:rsidR="000A4693" w:rsidRDefault="000A4693" w:rsidP="005E0100">
      <w:pPr>
        <w:spacing w:line="360" w:lineRule="auto"/>
        <w:jc w:val="both"/>
        <w:rPr>
          <w:rFonts w:ascii="Palatino Linotype" w:eastAsia="Calibri" w:hAnsi="Palatino Linotype" w:cs="Arial"/>
          <w:color w:val="000000" w:themeColor="text1"/>
        </w:rPr>
      </w:pPr>
      <w:r w:rsidRPr="005E0100">
        <w:rPr>
          <w:rFonts w:ascii="Palatino Linotype" w:hAnsi="Palatino Linotype"/>
        </w:rPr>
        <w:t>Para el caso q</w:t>
      </w:r>
      <w:r w:rsidR="005E0100" w:rsidRPr="005E0100">
        <w:rPr>
          <w:rFonts w:ascii="Palatino Linotype" w:hAnsi="Palatino Linotype"/>
        </w:rPr>
        <w:t>ue la información que se ordena</w:t>
      </w:r>
      <w:r w:rsidRPr="005E0100">
        <w:rPr>
          <w:rFonts w:ascii="Palatino Linotype" w:hAnsi="Palatino Linotype"/>
          <w:b/>
        </w:rPr>
        <w:t xml:space="preserve">, </w:t>
      </w:r>
      <w:r w:rsidRPr="005E0100">
        <w:rPr>
          <w:rFonts w:ascii="Palatino Linotype" w:eastAsia="Calibri" w:hAnsi="Palatino Linotype" w:cs="Arial"/>
          <w:color w:val="000000" w:themeColor="text1"/>
        </w:rPr>
        <w:t xml:space="preserve">no haya sido generada, poseída o administrada, el </w:t>
      </w:r>
      <w:r w:rsidRPr="005E0100">
        <w:rPr>
          <w:rFonts w:ascii="Palatino Linotype" w:eastAsia="Calibri" w:hAnsi="Palatino Linotype" w:cs="Arial"/>
          <w:b/>
          <w:color w:val="000000" w:themeColor="text1"/>
        </w:rPr>
        <w:t>SUJETO OBLIGADO</w:t>
      </w:r>
      <w:r w:rsidRPr="005E0100">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67F6FD42" w14:textId="77777777" w:rsidR="00400C18" w:rsidRPr="005E0100" w:rsidRDefault="00400C18" w:rsidP="005E0100">
      <w:pPr>
        <w:spacing w:line="360" w:lineRule="auto"/>
        <w:jc w:val="both"/>
        <w:rPr>
          <w:rFonts w:ascii="Palatino Linotype" w:eastAsia="Calibri" w:hAnsi="Palatino Linotype" w:cs="Arial"/>
          <w:color w:val="000000" w:themeColor="text1"/>
        </w:rPr>
      </w:pPr>
    </w:p>
    <w:p w14:paraId="095EAC4A" w14:textId="77777777" w:rsidR="000A4693" w:rsidRPr="005E0100" w:rsidRDefault="000A4693" w:rsidP="005E0100">
      <w:pPr>
        <w:tabs>
          <w:tab w:val="left" w:pos="8080"/>
        </w:tabs>
        <w:spacing w:line="360" w:lineRule="auto"/>
        <w:ind w:right="48"/>
        <w:contextualSpacing/>
        <w:jc w:val="both"/>
        <w:rPr>
          <w:rFonts w:ascii="Palatino Linotype" w:eastAsia="Palatino Linotype" w:hAnsi="Palatino Linotype" w:cs="Palatino Linotype"/>
          <w:b/>
        </w:rPr>
      </w:pPr>
      <w:r w:rsidRPr="005E0100">
        <w:rPr>
          <w:rFonts w:ascii="Palatino Linotype" w:eastAsia="Palatino Linotype" w:hAnsi="Palatino Linotype" w:cs="Palatino Linotype"/>
          <w:b/>
        </w:rPr>
        <w:t xml:space="preserve">TERCERO. Notifíquese </w:t>
      </w:r>
      <w:r w:rsidRPr="005E0100">
        <w:rPr>
          <w:rFonts w:ascii="Palatino Linotype" w:eastAsia="Palatino Linotype" w:hAnsi="Palatino Linotype" w:cs="Palatino Linotype"/>
        </w:rPr>
        <w:t xml:space="preserve">al Titular de la Unidad de Transparencia del </w:t>
      </w:r>
      <w:r w:rsidRPr="005E0100">
        <w:rPr>
          <w:rFonts w:ascii="Palatino Linotype" w:eastAsia="Palatino Linotype" w:hAnsi="Palatino Linotype" w:cs="Palatino Linotype"/>
          <w:b/>
        </w:rPr>
        <w:t>SUJETO OBLIGADO</w:t>
      </w:r>
      <w:r w:rsidRPr="005E010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E010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0044829" w14:textId="77777777" w:rsidR="000A4693" w:rsidRPr="005E0100" w:rsidRDefault="000A4693" w:rsidP="005E0100">
      <w:pPr>
        <w:shd w:val="clear" w:color="auto" w:fill="FFFFFF"/>
        <w:tabs>
          <w:tab w:val="left" w:pos="4020"/>
        </w:tabs>
        <w:spacing w:line="360" w:lineRule="auto"/>
        <w:ind w:right="48"/>
        <w:jc w:val="both"/>
        <w:rPr>
          <w:rFonts w:ascii="Palatino Linotype" w:hAnsi="Palatino Linotype" w:cs="Arial"/>
          <w:b/>
        </w:rPr>
      </w:pPr>
      <w:r w:rsidRPr="005E0100">
        <w:rPr>
          <w:rFonts w:ascii="Palatino Linotype" w:hAnsi="Palatino Linotype" w:cs="Arial"/>
          <w:b/>
        </w:rPr>
        <w:tab/>
      </w:r>
    </w:p>
    <w:p w14:paraId="0F5105FE" w14:textId="77777777" w:rsidR="000A4693" w:rsidRPr="005E0100" w:rsidRDefault="000A4693" w:rsidP="005E0100">
      <w:pPr>
        <w:shd w:val="clear" w:color="auto" w:fill="FFFFFF"/>
        <w:spacing w:line="360" w:lineRule="auto"/>
        <w:ind w:right="48"/>
        <w:jc w:val="both"/>
        <w:rPr>
          <w:rFonts w:ascii="Palatino Linotype" w:hAnsi="Palatino Linotype"/>
        </w:rPr>
      </w:pPr>
      <w:r w:rsidRPr="005E0100">
        <w:rPr>
          <w:rFonts w:ascii="Palatino Linotype" w:hAnsi="Palatino Linotype" w:cs="Arial"/>
          <w:b/>
        </w:rPr>
        <w:lastRenderedPageBreak/>
        <w:t xml:space="preserve">CUARTO. </w:t>
      </w:r>
      <w:r w:rsidRPr="005E0100">
        <w:rPr>
          <w:rFonts w:ascii="Palatino Linotype" w:hAnsi="Palatino Linotype"/>
          <w:b/>
          <w:bCs/>
          <w:lang w:val="es-ES"/>
        </w:rPr>
        <w:t>Notifíquese al RECURRENTE</w:t>
      </w:r>
      <w:r w:rsidRPr="005E0100">
        <w:rPr>
          <w:rFonts w:ascii="Palatino Linotype" w:hAnsi="Palatino Linotype"/>
        </w:rPr>
        <w:t xml:space="preserve"> la presente resolución vía </w:t>
      </w:r>
      <w:r w:rsidRPr="005E0100">
        <w:rPr>
          <w:rFonts w:ascii="Palatino Linotype" w:hAnsi="Palatino Linotype"/>
          <w:b/>
        </w:rPr>
        <w:t>SAIMEX.</w:t>
      </w:r>
    </w:p>
    <w:p w14:paraId="325FA47C" w14:textId="77777777" w:rsidR="000A4693" w:rsidRPr="005E0100" w:rsidRDefault="000A4693" w:rsidP="005E0100">
      <w:pPr>
        <w:shd w:val="clear" w:color="auto" w:fill="FFFFFF"/>
        <w:spacing w:line="360" w:lineRule="auto"/>
        <w:ind w:right="48"/>
        <w:jc w:val="both"/>
        <w:rPr>
          <w:rFonts w:ascii="Palatino Linotype" w:hAnsi="Palatino Linotype"/>
          <w:b/>
          <w:color w:val="FF0000"/>
        </w:rPr>
      </w:pPr>
    </w:p>
    <w:p w14:paraId="1A360044" w14:textId="77777777" w:rsidR="000A4693" w:rsidRPr="005E0100" w:rsidRDefault="000A4693" w:rsidP="005E0100">
      <w:pPr>
        <w:spacing w:line="360" w:lineRule="auto"/>
        <w:ind w:right="48"/>
        <w:jc w:val="both"/>
        <w:rPr>
          <w:rFonts w:ascii="Palatino Linotype" w:eastAsia="MS Mincho" w:hAnsi="Palatino Linotype"/>
          <w:lang w:val="es-ES"/>
        </w:rPr>
      </w:pPr>
      <w:r w:rsidRPr="005E0100">
        <w:rPr>
          <w:rFonts w:ascii="Palatino Linotype" w:eastAsia="MS Mincho" w:hAnsi="Palatino Linotype"/>
          <w:b/>
        </w:rPr>
        <w:t>QUINTO.</w:t>
      </w:r>
      <w:r w:rsidRPr="005E0100">
        <w:rPr>
          <w:rFonts w:ascii="Palatino Linotype" w:eastAsia="MS Mincho" w:hAnsi="Palatino Linotype"/>
        </w:rPr>
        <w:t xml:space="preserve"> </w:t>
      </w:r>
      <w:r w:rsidRPr="005E0100">
        <w:rPr>
          <w:rFonts w:ascii="Palatino Linotype" w:eastAsia="MS Mincho" w:hAnsi="Palatino Linotype"/>
          <w:lang w:val="es-ES"/>
        </w:rPr>
        <w:t xml:space="preserve">Se hace del conocimiento del </w:t>
      </w:r>
      <w:r w:rsidRPr="005E0100">
        <w:rPr>
          <w:rFonts w:ascii="Palatino Linotype" w:hAnsi="Palatino Linotype"/>
          <w:b/>
        </w:rPr>
        <w:t>RECURRENTE</w:t>
      </w:r>
      <w:r w:rsidRPr="005E0100">
        <w:rPr>
          <w:rFonts w:ascii="Palatino Linotype" w:hAnsi="Palatino Linotype"/>
        </w:rPr>
        <w:t xml:space="preserve"> </w:t>
      </w:r>
      <w:r w:rsidRPr="005E0100">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E0100">
        <w:rPr>
          <w:rFonts w:ascii="Palatino Linotype" w:eastAsia="MS Mincho" w:hAnsi="Palatino Linotype"/>
          <w:bCs/>
          <w:lang w:val="es-ES"/>
        </w:rPr>
        <w:t>vía juicio de amparo</w:t>
      </w:r>
      <w:r w:rsidRPr="005E0100">
        <w:rPr>
          <w:rFonts w:ascii="Palatino Linotype" w:eastAsia="MS Mincho" w:hAnsi="Palatino Linotype"/>
          <w:lang w:val="es-ES"/>
        </w:rPr>
        <w:t> en los términos de las leyes aplicables.</w:t>
      </w:r>
    </w:p>
    <w:p w14:paraId="24B4F4AA" w14:textId="77777777" w:rsidR="000A4693" w:rsidRPr="005E0100" w:rsidRDefault="000A4693" w:rsidP="005E0100">
      <w:pPr>
        <w:spacing w:line="360" w:lineRule="auto"/>
        <w:ind w:right="48"/>
        <w:jc w:val="both"/>
        <w:rPr>
          <w:rFonts w:ascii="Palatino Linotype" w:hAnsi="Palatino Linotype"/>
          <w:color w:val="000000"/>
          <w:shd w:val="clear" w:color="auto" w:fill="FFFFFF"/>
        </w:rPr>
      </w:pPr>
    </w:p>
    <w:p w14:paraId="4D1AEDEE" w14:textId="77777777" w:rsidR="000A4693" w:rsidRPr="005E0100" w:rsidRDefault="000A4693" w:rsidP="005E0100">
      <w:pPr>
        <w:spacing w:line="360" w:lineRule="auto"/>
        <w:ind w:right="48"/>
        <w:jc w:val="both"/>
        <w:rPr>
          <w:rFonts w:ascii="Palatino Linotype" w:eastAsia="Calibri" w:hAnsi="Palatino Linotype" w:cs="Arial"/>
          <w:bCs/>
        </w:rPr>
      </w:pPr>
      <w:r w:rsidRPr="005E0100">
        <w:rPr>
          <w:rFonts w:ascii="Palatino Linotype" w:hAnsi="Palatino Linotype"/>
          <w:b/>
          <w:color w:val="000000"/>
          <w:shd w:val="clear" w:color="auto" w:fill="FFFFFF"/>
        </w:rPr>
        <w:t xml:space="preserve">SEXTO. </w:t>
      </w:r>
      <w:r w:rsidRPr="005E0100">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26AAF0" w14:textId="77777777" w:rsidR="00093823" w:rsidRPr="005E0100" w:rsidRDefault="00093823" w:rsidP="005E0100">
      <w:pPr>
        <w:shd w:val="clear" w:color="auto" w:fill="FFFFFF"/>
        <w:spacing w:line="360" w:lineRule="auto"/>
        <w:contextualSpacing/>
        <w:jc w:val="both"/>
        <w:rPr>
          <w:rFonts w:ascii="Palatino Linotype" w:eastAsiaTheme="minorEastAsia" w:hAnsi="Palatino Linotype" w:cs="Arial"/>
          <w:lang w:val="es-ES_tradnl" w:eastAsia="es-ES"/>
        </w:rPr>
      </w:pPr>
    </w:p>
    <w:bookmarkEnd w:id="10"/>
    <w:bookmarkEnd w:id="11"/>
    <w:bookmarkEnd w:id="12"/>
    <w:p w14:paraId="6F788D1B" w14:textId="105AC13C" w:rsidR="00093823" w:rsidRPr="005E0100" w:rsidRDefault="00093823" w:rsidP="005E0100">
      <w:pPr>
        <w:spacing w:line="360" w:lineRule="auto"/>
        <w:ind w:right="48"/>
        <w:jc w:val="both"/>
        <w:rPr>
          <w:rFonts w:ascii="Palatino Linotype" w:hAnsi="Palatino Linotype"/>
        </w:rPr>
      </w:pPr>
      <w:r w:rsidRPr="005E0100">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B87B7A" w:rsidRPr="005E0100">
        <w:rPr>
          <w:rFonts w:ascii="Palatino Linotype" w:hAnsi="Palatino Linotype"/>
        </w:rPr>
        <w:t xml:space="preserve"> (AUSENCIA JUSTIFICADA)</w:t>
      </w:r>
      <w:r w:rsidRPr="005E0100">
        <w:rPr>
          <w:rFonts w:ascii="Palatino Linotype" w:hAnsi="Palatino Linotype"/>
        </w:rPr>
        <w:t xml:space="preserve">, LUIS GUSTAVO PARRA NORIEGA Y GUADALUPE RAMÍREZ PEÑA;  EN LA </w:t>
      </w:r>
      <w:r w:rsidR="00AD6A57" w:rsidRPr="005E0100">
        <w:rPr>
          <w:rFonts w:ascii="Palatino Linotype" w:hAnsi="Palatino Linotype"/>
        </w:rPr>
        <w:t>SEGUNDA</w:t>
      </w:r>
      <w:r w:rsidRPr="005E0100">
        <w:rPr>
          <w:rFonts w:ascii="Palatino Linotype" w:hAnsi="Palatino Linotype"/>
        </w:rPr>
        <w:t xml:space="preserve"> SESIÓN ORDINARIA CELEBRADA EL DÍA </w:t>
      </w:r>
      <w:r w:rsidR="00AD6A57" w:rsidRPr="005E0100">
        <w:rPr>
          <w:rFonts w:ascii="Palatino Linotype" w:hAnsi="Palatino Linotype"/>
        </w:rPr>
        <w:t>DIECINUEVE DE ENERO DE DOS MIL VEINTIDÓS</w:t>
      </w:r>
      <w:r w:rsidRPr="005E0100">
        <w:rPr>
          <w:rFonts w:ascii="Palatino Linotype" w:hAnsi="Palatino Linotype"/>
        </w:rPr>
        <w:t xml:space="preserve">, ANTE EL SECRETARIO TÉCNICO DEL PLENO, ALEXIS TAPIA RAMÍREZ. </w:t>
      </w:r>
    </w:p>
    <w:p w14:paraId="7ECA2F6E" w14:textId="77777777" w:rsidR="00093823" w:rsidRPr="005E0100" w:rsidRDefault="00093823" w:rsidP="005E0100">
      <w:pPr>
        <w:spacing w:line="360" w:lineRule="auto"/>
        <w:ind w:right="48"/>
        <w:rPr>
          <w:rFonts w:ascii="Palatino Linotype" w:hAnsi="Palatino Linotype"/>
        </w:rPr>
      </w:pPr>
    </w:p>
    <w:p w14:paraId="2D8A7B15" w14:textId="77777777" w:rsidR="00093823" w:rsidRPr="005E0100" w:rsidRDefault="00093823" w:rsidP="005E0100">
      <w:pPr>
        <w:spacing w:line="360" w:lineRule="auto"/>
        <w:ind w:right="49"/>
        <w:jc w:val="both"/>
        <w:rPr>
          <w:rFonts w:ascii="Palatino Linotype" w:eastAsiaTheme="minorEastAsia" w:hAnsi="Palatino Linotype" w:cs="Arial"/>
          <w:lang w:val="es-ES_tradnl" w:eastAsia="es-ES"/>
        </w:rPr>
      </w:pPr>
    </w:p>
    <w:p w14:paraId="34A0B2AA" w14:textId="77777777" w:rsidR="00093823" w:rsidRPr="005E0100" w:rsidRDefault="00093823" w:rsidP="005E0100">
      <w:pPr>
        <w:spacing w:line="360" w:lineRule="auto"/>
        <w:ind w:right="49"/>
        <w:jc w:val="both"/>
        <w:rPr>
          <w:rFonts w:ascii="Palatino Linotype" w:eastAsiaTheme="minorEastAsia" w:hAnsi="Palatino Linotype" w:cs="Arial"/>
          <w:lang w:val="es-ES_tradnl" w:eastAsia="es-ES"/>
        </w:rPr>
      </w:pPr>
    </w:p>
    <w:p w14:paraId="13F2FC07" w14:textId="77777777" w:rsidR="00093823" w:rsidRPr="005E0100" w:rsidRDefault="00093823" w:rsidP="005E0100">
      <w:pPr>
        <w:spacing w:line="360" w:lineRule="auto"/>
        <w:ind w:right="49"/>
        <w:jc w:val="both"/>
        <w:rPr>
          <w:rFonts w:ascii="Palatino Linotype" w:eastAsiaTheme="minorEastAsia" w:hAnsi="Palatino Linotype" w:cs="Arial"/>
          <w:lang w:val="es-ES_tradnl" w:eastAsia="es-ES"/>
        </w:rPr>
      </w:pPr>
    </w:p>
    <w:p w14:paraId="6BBB4AF8" w14:textId="77777777" w:rsidR="00093823" w:rsidRPr="005E0100" w:rsidRDefault="00093823" w:rsidP="005E0100">
      <w:pPr>
        <w:spacing w:line="360" w:lineRule="auto"/>
        <w:ind w:right="49"/>
        <w:jc w:val="both"/>
        <w:rPr>
          <w:rFonts w:ascii="Palatino Linotype" w:eastAsiaTheme="minorEastAsia" w:hAnsi="Palatino Linotype" w:cs="Arial"/>
          <w:lang w:val="es-ES_tradnl" w:eastAsia="es-ES"/>
        </w:rPr>
      </w:pPr>
    </w:p>
    <w:p w14:paraId="0B37EF4D" w14:textId="77777777" w:rsidR="00093823" w:rsidRPr="005E0100" w:rsidRDefault="00093823" w:rsidP="005E0100">
      <w:pPr>
        <w:spacing w:line="360" w:lineRule="auto"/>
        <w:ind w:right="49"/>
        <w:jc w:val="both"/>
        <w:rPr>
          <w:rFonts w:ascii="Palatino Linotype" w:eastAsiaTheme="minorEastAsia" w:hAnsi="Palatino Linotype" w:cs="Arial"/>
          <w:lang w:val="es-ES_tradnl" w:eastAsia="es-ES"/>
        </w:rPr>
      </w:pPr>
    </w:p>
    <w:p w14:paraId="7BE42354" w14:textId="77777777" w:rsidR="00093823" w:rsidRPr="005E0100" w:rsidRDefault="00093823" w:rsidP="005E0100">
      <w:pPr>
        <w:spacing w:line="360" w:lineRule="auto"/>
        <w:ind w:right="49"/>
        <w:jc w:val="both"/>
        <w:rPr>
          <w:rFonts w:ascii="Palatino Linotype" w:eastAsiaTheme="minorEastAsia" w:hAnsi="Palatino Linotype" w:cs="Arial"/>
          <w:lang w:val="es-ES_tradnl" w:eastAsia="es-ES"/>
        </w:rPr>
      </w:pPr>
    </w:p>
    <w:p w14:paraId="7A2C3CDB" w14:textId="77777777" w:rsidR="00093823" w:rsidRPr="005E0100" w:rsidRDefault="00093823" w:rsidP="005E0100">
      <w:pPr>
        <w:spacing w:line="360" w:lineRule="auto"/>
        <w:ind w:right="49"/>
        <w:jc w:val="both"/>
        <w:rPr>
          <w:rFonts w:ascii="Palatino Linotype" w:eastAsiaTheme="minorEastAsia" w:hAnsi="Palatino Linotype" w:cs="Arial"/>
          <w:lang w:val="es-ES_tradnl" w:eastAsia="es-ES"/>
        </w:rPr>
      </w:pPr>
    </w:p>
    <w:p w14:paraId="0E279AC4" w14:textId="77777777" w:rsidR="00093823" w:rsidRPr="005E0100" w:rsidRDefault="00093823" w:rsidP="005E0100">
      <w:pPr>
        <w:spacing w:line="360" w:lineRule="auto"/>
        <w:ind w:right="49"/>
        <w:jc w:val="both"/>
        <w:rPr>
          <w:rFonts w:ascii="Palatino Linotype" w:eastAsiaTheme="minorEastAsia" w:hAnsi="Palatino Linotype" w:cs="Arial"/>
          <w:lang w:val="es-ES_tradnl" w:eastAsia="es-ES"/>
        </w:rPr>
      </w:pPr>
    </w:p>
    <w:p w14:paraId="206918C3" w14:textId="77777777" w:rsidR="00093823" w:rsidRPr="005E0100" w:rsidRDefault="00093823" w:rsidP="005E0100">
      <w:pPr>
        <w:spacing w:line="360" w:lineRule="auto"/>
        <w:ind w:right="49"/>
        <w:jc w:val="both"/>
        <w:rPr>
          <w:rFonts w:ascii="Palatino Linotype" w:eastAsiaTheme="minorEastAsia" w:hAnsi="Palatino Linotype" w:cs="Arial"/>
          <w:lang w:val="es-ES_tradnl" w:eastAsia="es-ES"/>
        </w:rPr>
      </w:pPr>
    </w:p>
    <w:p w14:paraId="7AE7B638" w14:textId="77777777" w:rsidR="00093823" w:rsidRPr="005E0100" w:rsidRDefault="00093823" w:rsidP="005E0100">
      <w:pPr>
        <w:spacing w:line="360" w:lineRule="auto"/>
        <w:ind w:right="49"/>
        <w:jc w:val="both"/>
        <w:rPr>
          <w:rFonts w:ascii="Palatino Linotype" w:eastAsiaTheme="minorEastAsia" w:hAnsi="Palatino Linotype" w:cs="Arial"/>
          <w:lang w:val="es-ES_tradnl" w:eastAsia="es-ES"/>
        </w:rPr>
      </w:pPr>
    </w:p>
    <w:p w14:paraId="26468A31" w14:textId="77777777" w:rsidR="00093823" w:rsidRPr="005E0100" w:rsidRDefault="00093823" w:rsidP="005E0100">
      <w:pPr>
        <w:spacing w:line="360" w:lineRule="auto"/>
        <w:ind w:right="49"/>
        <w:jc w:val="both"/>
        <w:rPr>
          <w:rFonts w:ascii="Palatino Linotype" w:eastAsiaTheme="minorEastAsia" w:hAnsi="Palatino Linotype" w:cs="Arial"/>
          <w:lang w:val="es-ES_tradnl" w:eastAsia="es-ES"/>
        </w:rPr>
      </w:pPr>
    </w:p>
    <w:p w14:paraId="7B303969" w14:textId="77777777" w:rsidR="00093823" w:rsidRPr="005E0100" w:rsidRDefault="00093823" w:rsidP="005E0100">
      <w:pPr>
        <w:spacing w:line="360" w:lineRule="auto"/>
        <w:ind w:right="49"/>
        <w:jc w:val="both"/>
        <w:rPr>
          <w:rFonts w:ascii="Palatino Linotype" w:eastAsiaTheme="minorEastAsia" w:hAnsi="Palatino Linotype" w:cs="Arial"/>
          <w:lang w:val="es-ES_tradnl" w:eastAsia="es-ES"/>
        </w:rPr>
      </w:pPr>
    </w:p>
    <w:p w14:paraId="04177985" w14:textId="77777777" w:rsidR="00093823" w:rsidRPr="005E0100" w:rsidRDefault="00093823" w:rsidP="005E0100">
      <w:pPr>
        <w:spacing w:line="360" w:lineRule="auto"/>
        <w:ind w:right="49"/>
        <w:jc w:val="both"/>
        <w:rPr>
          <w:rFonts w:ascii="Palatino Linotype" w:eastAsiaTheme="minorEastAsia" w:hAnsi="Palatino Linotype" w:cs="Arial"/>
          <w:lang w:val="es-ES_tradnl" w:eastAsia="es-ES"/>
        </w:rPr>
      </w:pPr>
    </w:p>
    <w:p w14:paraId="139D86E9" w14:textId="77777777" w:rsidR="00093823" w:rsidRPr="005E0100" w:rsidRDefault="00093823" w:rsidP="005E0100">
      <w:pPr>
        <w:spacing w:line="360" w:lineRule="auto"/>
        <w:rPr>
          <w:rFonts w:ascii="Palatino Linotype" w:hAnsi="Palatino Linotype"/>
        </w:rPr>
      </w:pPr>
    </w:p>
    <w:p w14:paraId="1D4D56D6" w14:textId="77777777" w:rsidR="00093823" w:rsidRPr="005E0100" w:rsidRDefault="00093823" w:rsidP="005E0100">
      <w:pPr>
        <w:spacing w:line="360" w:lineRule="auto"/>
        <w:rPr>
          <w:rFonts w:ascii="Palatino Linotype" w:hAnsi="Palatino Linotype"/>
        </w:rPr>
      </w:pPr>
    </w:p>
    <w:p w14:paraId="3B092071" w14:textId="77777777" w:rsidR="00093823" w:rsidRPr="005E0100" w:rsidRDefault="00093823" w:rsidP="005E0100">
      <w:pPr>
        <w:spacing w:line="360" w:lineRule="auto"/>
        <w:rPr>
          <w:rFonts w:ascii="Palatino Linotype" w:hAnsi="Palatino Linotype"/>
        </w:rPr>
      </w:pPr>
    </w:p>
    <w:p w14:paraId="682E5A94" w14:textId="77777777" w:rsidR="00093823" w:rsidRPr="005E0100" w:rsidRDefault="00093823" w:rsidP="005E0100">
      <w:pPr>
        <w:spacing w:line="360" w:lineRule="auto"/>
        <w:rPr>
          <w:rFonts w:ascii="Palatino Linotype" w:hAnsi="Palatino Linotype"/>
        </w:rPr>
      </w:pPr>
    </w:p>
    <w:p w14:paraId="5555BD33" w14:textId="77777777" w:rsidR="00093823" w:rsidRPr="005E0100" w:rsidRDefault="00093823" w:rsidP="005E0100">
      <w:pPr>
        <w:spacing w:line="360" w:lineRule="auto"/>
        <w:rPr>
          <w:rFonts w:ascii="Palatino Linotype" w:hAnsi="Palatino Linotype"/>
        </w:rPr>
      </w:pPr>
    </w:p>
    <w:p w14:paraId="55483AC6" w14:textId="77777777" w:rsidR="00093823" w:rsidRPr="005E0100" w:rsidRDefault="00093823" w:rsidP="005E0100">
      <w:pPr>
        <w:spacing w:line="360" w:lineRule="auto"/>
        <w:rPr>
          <w:rFonts w:ascii="Palatino Linotype" w:hAnsi="Palatino Linotype"/>
        </w:rPr>
      </w:pPr>
    </w:p>
    <w:p w14:paraId="4F039153" w14:textId="77777777" w:rsidR="00064B85" w:rsidRPr="005E0100" w:rsidRDefault="00064B85" w:rsidP="005E0100">
      <w:pPr>
        <w:spacing w:line="360" w:lineRule="auto"/>
        <w:rPr>
          <w:rFonts w:ascii="Palatino Linotype" w:hAnsi="Palatino Linotype"/>
        </w:rPr>
      </w:pPr>
    </w:p>
    <w:sectPr w:rsidR="00064B85" w:rsidRPr="005E0100" w:rsidSect="00064B85">
      <w:headerReference w:type="even" r:id="rId18"/>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6D65A" w14:textId="77777777" w:rsidR="00D21CCC" w:rsidRDefault="00D21CCC" w:rsidP="00093823">
      <w:r>
        <w:separator/>
      </w:r>
    </w:p>
  </w:endnote>
  <w:endnote w:type="continuationSeparator" w:id="0">
    <w:p w14:paraId="7ECE7A17" w14:textId="77777777" w:rsidR="00D21CCC" w:rsidRDefault="00D21CCC" w:rsidP="00093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B0C09" w14:textId="77777777" w:rsidR="00967C3C" w:rsidRDefault="00967C3C">
    <w:pPr>
      <w:pStyle w:val="Piedepgina"/>
      <w:jc w:val="right"/>
    </w:pPr>
    <w:r>
      <w:rPr>
        <w:lang w:val="es-ES"/>
      </w:rPr>
      <w:t xml:space="preserve">Página </w:t>
    </w:r>
    <w:r>
      <w:rPr>
        <w:b/>
        <w:bCs/>
      </w:rPr>
      <w:fldChar w:fldCharType="begin"/>
    </w:r>
    <w:r>
      <w:rPr>
        <w:b/>
        <w:bCs/>
      </w:rPr>
      <w:instrText>PAGE</w:instrText>
    </w:r>
    <w:r>
      <w:rPr>
        <w:b/>
        <w:bCs/>
      </w:rPr>
      <w:fldChar w:fldCharType="separate"/>
    </w:r>
    <w:r w:rsidR="00D366ED">
      <w:rPr>
        <w:b/>
        <w:bCs/>
        <w:noProof/>
      </w:rPr>
      <w:t>49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366ED">
      <w:rPr>
        <w:b/>
        <w:bCs/>
        <w:noProof/>
      </w:rPr>
      <w:t>52</w:t>
    </w:r>
    <w:r>
      <w:rPr>
        <w:b/>
        <w:bCs/>
      </w:rPr>
      <w:fldChar w:fldCharType="end"/>
    </w:r>
  </w:p>
  <w:p w14:paraId="26B9A211" w14:textId="77777777" w:rsidR="00967C3C" w:rsidRDefault="00967C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616BA" w14:textId="77777777" w:rsidR="00967C3C" w:rsidRDefault="00967C3C">
    <w:pPr>
      <w:pStyle w:val="Piedepgina"/>
      <w:jc w:val="right"/>
    </w:pPr>
    <w:r>
      <w:rPr>
        <w:lang w:val="es-ES"/>
      </w:rPr>
      <w:t xml:space="preserve">Página </w:t>
    </w:r>
    <w:r>
      <w:rPr>
        <w:b/>
        <w:bCs/>
      </w:rPr>
      <w:fldChar w:fldCharType="begin"/>
    </w:r>
    <w:r>
      <w:rPr>
        <w:b/>
        <w:bCs/>
      </w:rPr>
      <w:instrText>PAGE</w:instrText>
    </w:r>
    <w:r>
      <w:rPr>
        <w:b/>
        <w:bCs/>
      </w:rPr>
      <w:fldChar w:fldCharType="separate"/>
    </w:r>
    <w:r w:rsidR="00D366ED">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366ED">
      <w:rPr>
        <w:b/>
        <w:bCs/>
        <w:noProof/>
      </w:rPr>
      <w:t>52</w:t>
    </w:r>
    <w:r>
      <w:rPr>
        <w:b/>
        <w:bCs/>
      </w:rPr>
      <w:fldChar w:fldCharType="end"/>
    </w:r>
  </w:p>
  <w:p w14:paraId="2542C799" w14:textId="77777777" w:rsidR="00967C3C" w:rsidRDefault="00967C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CF6EF" w14:textId="77777777" w:rsidR="00D21CCC" w:rsidRDefault="00D21CCC" w:rsidP="00093823">
      <w:r>
        <w:separator/>
      </w:r>
    </w:p>
  </w:footnote>
  <w:footnote w:type="continuationSeparator" w:id="0">
    <w:p w14:paraId="2809AFA4" w14:textId="77777777" w:rsidR="00D21CCC" w:rsidRDefault="00D21CCC" w:rsidP="00093823">
      <w:r>
        <w:continuationSeparator/>
      </w:r>
    </w:p>
  </w:footnote>
  <w:footnote w:id="1">
    <w:p w14:paraId="536B6303" w14:textId="77777777" w:rsidR="00967C3C" w:rsidRDefault="00967C3C" w:rsidP="00CD293D">
      <w:pPr>
        <w:pStyle w:val="Textonotapie"/>
      </w:pPr>
      <w:r>
        <w:rPr>
          <w:rStyle w:val="Refdenotaalpie"/>
        </w:rPr>
        <w:footnoteRef/>
      </w:r>
      <w:r>
        <w:t xml:space="preserve"> Convención Americana sobre Derechos Humanos. Artículo 13.</w:t>
      </w:r>
    </w:p>
  </w:footnote>
  <w:footnote w:id="2">
    <w:p w14:paraId="59C24726" w14:textId="77777777" w:rsidR="00967C3C" w:rsidRDefault="00967C3C" w:rsidP="00CD293D">
      <w:pPr>
        <w:pStyle w:val="Textonotapie"/>
      </w:pPr>
      <w:r>
        <w:rPr>
          <w:rStyle w:val="Refdenotaalpie"/>
        </w:rPr>
        <w:footnoteRef/>
      </w:r>
      <w:r>
        <w:t xml:space="preserve"> Constitución Política de los Estados Unidos Mexicanos. Artículo sexto, sección A, fracción I.</w:t>
      </w:r>
    </w:p>
  </w:footnote>
  <w:footnote w:id="3">
    <w:p w14:paraId="0D306D93" w14:textId="77777777" w:rsidR="00967C3C" w:rsidRDefault="00967C3C" w:rsidP="00CD293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5E8620B" w14:textId="77777777" w:rsidR="00967C3C" w:rsidRDefault="00967C3C" w:rsidP="00CD293D">
      <w:pPr>
        <w:pStyle w:val="Textonotapie"/>
      </w:pPr>
      <w:r>
        <w:rPr>
          <w:rStyle w:val="Refdenotaalpie"/>
        </w:rPr>
        <w:footnoteRef/>
      </w:r>
      <w:r>
        <w:t xml:space="preserve"> Ibídem. Parr. 87.</w:t>
      </w:r>
    </w:p>
  </w:footnote>
  <w:footnote w:id="5">
    <w:p w14:paraId="0F05F7F9" w14:textId="77777777" w:rsidR="00967C3C" w:rsidRPr="00B87B7A" w:rsidRDefault="00967C3C" w:rsidP="000B5874">
      <w:pPr>
        <w:pStyle w:val="Textonotapie"/>
        <w:rPr>
          <w:lang w:val="es-MX"/>
        </w:rPr>
      </w:pPr>
      <w:r>
        <w:rPr>
          <w:rStyle w:val="Refdenotaalpie"/>
        </w:rPr>
        <w:footnoteRef/>
      </w:r>
      <w:r>
        <w:t xml:space="preserve"> </w:t>
      </w:r>
      <w:r w:rsidRPr="00B87B7A">
        <w:t>https://dle.rae.es/fomentar</w:t>
      </w:r>
    </w:p>
  </w:footnote>
  <w:footnote w:id="6">
    <w:p w14:paraId="7306B2DE" w14:textId="77777777" w:rsidR="00967C3C" w:rsidRPr="00DE1D76" w:rsidRDefault="00967C3C">
      <w:pPr>
        <w:pStyle w:val="Textonotapie"/>
        <w:rPr>
          <w:lang w:val="es-MX"/>
        </w:rPr>
      </w:pPr>
      <w:r>
        <w:rPr>
          <w:rStyle w:val="Refdenotaalpie"/>
        </w:rPr>
        <w:footnoteRef/>
      </w:r>
      <w:r>
        <w:t xml:space="preserve"> </w:t>
      </w:r>
      <w:r w:rsidRPr="00DE1D76">
        <w:t>https://dle.rae.es/capacitar?m=form</w:t>
      </w:r>
    </w:p>
  </w:footnote>
  <w:footnote w:id="7">
    <w:p w14:paraId="6308DD51" w14:textId="77777777" w:rsidR="00967C3C" w:rsidRPr="002E1201" w:rsidRDefault="00967C3C" w:rsidP="00CD7E0B">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8">
    <w:p w14:paraId="661F5134" w14:textId="77777777" w:rsidR="00967C3C" w:rsidRDefault="00967C3C" w:rsidP="00CD7E0B">
      <w:pPr>
        <w:pStyle w:val="Textonotapie"/>
      </w:pPr>
      <w:r>
        <w:rPr>
          <w:rStyle w:val="Refdenotaalpie"/>
        </w:rPr>
        <w:footnoteRef/>
      </w:r>
      <w:r>
        <w:t xml:space="preserve"> Consultable en: </w:t>
      </w:r>
      <w:r w:rsidRPr="00D52AC4">
        <w:t>http://edomex.gob.mx/sites/edomex.gob.mx/files/files/LINEAMIENTOS_ADMINISTRACION_DOCUMENTOS_2015.pdf</w:t>
      </w:r>
    </w:p>
  </w:footnote>
  <w:footnote w:id="9">
    <w:p w14:paraId="5A7B1D7E" w14:textId="77777777" w:rsidR="00967C3C" w:rsidRDefault="00967C3C" w:rsidP="00CD7E0B">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14:paraId="4027504D" w14:textId="77777777" w:rsidR="00967C3C" w:rsidRPr="00B57C26" w:rsidRDefault="00967C3C" w:rsidP="00CD7E0B">
      <w:pPr>
        <w:pStyle w:val="Textonotapie"/>
        <w:jc w:val="both"/>
        <w:rPr>
          <w:rFonts w:eastAsia="Times New Roman" w:cs="Arial"/>
          <w:color w:val="000000"/>
        </w:rPr>
      </w:pPr>
      <w:r w:rsidRPr="00B57C26">
        <w:rPr>
          <w:rFonts w:eastAsia="Times New Roman" w:cs="Arial"/>
          <w:color w:val="000000"/>
        </w:rPr>
        <w:t xml:space="preserve">Disponible en </w:t>
      </w:r>
      <w:hyperlink r:id="rId1" w:history="1">
        <w:r w:rsidRPr="00B57C26">
          <w:rPr>
            <w:rStyle w:val="Hipervnculo"/>
            <w:rFonts w:eastAsia="Times New Roman" w:cs="Arial"/>
          </w:rPr>
          <w:t>http://www.dof.gob.mx/nota_detalle.php?codigo=5436056&amp;fecha=04/05/2016</w:t>
        </w:r>
      </w:hyperlink>
    </w:p>
    <w:p w14:paraId="3F407888" w14:textId="77777777" w:rsidR="00967C3C" w:rsidRDefault="00967C3C" w:rsidP="00CD7E0B">
      <w:pPr>
        <w:pStyle w:val="Textonotapie"/>
      </w:pPr>
    </w:p>
  </w:footnote>
  <w:footnote w:id="10">
    <w:p w14:paraId="275CDC17" w14:textId="77777777" w:rsidR="00967C3C" w:rsidRPr="002E1201" w:rsidRDefault="00967C3C" w:rsidP="00CD7E0B">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11">
    <w:p w14:paraId="30741A4D" w14:textId="77777777" w:rsidR="00967C3C" w:rsidRPr="00985DD4" w:rsidRDefault="00967C3C" w:rsidP="00CD7E0B">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7121BB6F" w14:textId="77777777" w:rsidR="00967C3C" w:rsidRPr="00985DD4" w:rsidRDefault="00967C3C" w:rsidP="00CD7E0B">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36208BC2" w14:textId="77777777" w:rsidR="00967C3C" w:rsidRPr="00BE13A0" w:rsidRDefault="00967C3C" w:rsidP="00CD7E0B">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2">
    <w:p w14:paraId="199E63D3" w14:textId="77777777" w:rsidR="00967C3C" w:rsidRPr="00985DD4" w:rsidRDefault="00967C3C" w:rsidP="00CD7E0B">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3">
    <w:p w14:paraId="6C686107" w14:textId="77777777" w:rsidR="00967C3C" w:rsidRDefault="00967C3C" w:rsidP="00CD7E0B">
      <w:pPr>
        <w:pStyle w:val="Textonotapie"/>
        <w:jc w:val="both"/>
      </w:pPr>
      <w:r>
        <w:rPr>
          <w:rStyle w:val="Refdenotaalpie"/>
        </w:rPr>
        <w:footnoteRef/>
      </w:r>
      <w:r w:rsidRPr="00266430">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B5F3F67" w14:textId="77777777" w:rsidR="00967C3C" w:rsidRPr="00266430" w:rsidRDefault="00967C3C" w:rsidP="00CD7E0B">
      <w:pPr>
        <w:pStyle w:val="Textonotapie"/>
        <w:jc w:val="both"/>
      </w:pPr>
      <w:r w:rsidRPr="00266430">
        <w:t xml:space="preserve">1a./J. 2/2012 (9a.). Primera Sala. Décima Época. Semanario Judicial de la Federación y su Gaceta. Libro V, Febrero de 2012, Pág. 533.  </w:t>
      </w:r>
    </w:p>
  </w:footnote>
  <w:footnote w:id="14">
    <w:p w14:paraId="101047FC" w14:textId="77777777" w:rsidR="00967C3C" w:rsidRPr="00A870EF" w:rsidRDefault="00967C3C" w:rsidP="00CD7E0B">
      <w:pPr>
        <w:pStyle w:val="Textonotapie"/>
        <w:jc w:val="both"/>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5">
    <w:p w14:paraId="5BA641DF" w14:textId="77777777" w:rsidR="00967C3C" w:rsidRDefault="00967C3C" w:rsidP="00CD7E0B">
      <w:pPr>
        <w:pStyle w:val="Textonotapie"/>
        <w:jc w:val="both"/>
      </w:pPr>
      <w:r>
        <w:rPr>
          <w:rStyle w:val="Refdenotaalpie"/>
        </w:rPr>
        <w:footnoteRef/>
      </w:r>
      <w: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439F21D" w14:textId="77777777" w:rsidR="00967C3C" w:rsidRDefault="00967C3C" w:rsidP="00CD7E0B">
      <w:pPr>
        <w:pStyle w:val="Textonotapie"/>
        <w:jc w:val="both"/>
      </w:pPr>
      <w: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E09FDCF" w14:textId="77777777" w:rsidR="00967C3C" w:rsidRPr="001E1F95" w:rsidRDefault="00967C3C" w:rsidP="00CD7E0B">
      <w:pPr>
        <w:pStyle w:val="Textonotapie"/>
        <w:jc w:val="both"/>
      </w:pPr>
      <w: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6">
    <w:p w14:paraId="305A9550" w14:textId="77777777" w:rsidR="00967C3C" w:rsidRPr="00191180" w:rsidRDefault="00967C3C" w:rsidP="00CD7E0B">
      <w:pPr>
        <w:pStyle w:val="Textonotapie"/>
        <w:rPr>
          <w:color w:val="000000"/>
        </w:rPr>
      </w:pPr>
      <w:r>
        <w:rPr>
          <w:rStyle w:val="Refdenotaalpie"/>
        </w:rPr>
        <w:footnoteRef/>
      </w:r>
      <w:r>
        <w:t xml:space="preserve"> </w:t>
      </w:r>
      <w:r w:rsidRPr="00191180">
        <w:rPr>
          <w:bCs/>
          <w:color w:val="000000"/>
          <w:bdr w:val="none" w:sz="0" w:space="0" w:color="auto" w:frame="1"/>
          <w:shd w:val="clear" w:color="auto" w:fill="FFFFFF"/>
        </w:rPr>
        <w:t>OVALLE FAVELA, José,</w:t>
      </w:r>
      <w:r w:rsidRPr="00191180">
        <w:rPr>
          <w:rStyle w:val="apple-converted-space"/>
          <w:bCs/>
          <w:color w:val="000000"/>
          <w:bdr w:val="none" w:sz="0" w:space="0" w:color="auto" w:frame="1"/>
          <w:shd w:val="clear" w:color="auto" w:fill="FFFFFF"/>
        </w:rPr>
        <w:t xml:space="preserve"> “</w:t>
      </w:r>
      <w:r w:rsidRPr="00191180">
        <w:rPr>
          <w:bCs/>
          <w:i/>
          <w:iCs/>
          <w:color w:val="000000"/>
          <w:bdr w:val="none" w:sz="0" w:space="0" w:color="auto" w:frame="1"/>
          <w:shd w:val="clear" w:color="auto" w:fill="FFFFFF"/>
        </w:rPr>
        <w:t>Garantías constitucionales del proceso”</w:t>
      </w:r>
      <w:r w:rsidRPr="00191180">
        <w:rPr>
          <w:bCs/>
          <w:color w:val="000000"/>
          <w:bdr w:val="none" w:sz="0" w:space="0" w:color="auto" w:frame="1"/>
          <w:shd w:val="clear" w:color="auto" w:fill="FFFFFF"/>
        </w:rPr>
        <w:t>, 2a. ed., México, Oxford University Press, 2002, 474 pp.</w:t>
      </w:r>
    </w:p>
  </w:footnote>
  <w:footnote w:id="17">
    <w:p w14:paraId="1E1EF0DC" w14:textId="77777777" w:rsidR="00967C3C" w:rsidRPr="0037004E" w:rsidRDefault="00967C3C" w:rsidP="00CD7E0B">
      <w:pPr>
        <w:pStyle w:val="Textonotapie"/>
        <w:jc w:val="both"/>
      </w:pPr>
      <w:r>
        <w:rPr>
          <w:rStyle w:val="Refdenotaalpie"/>
        </w:rPr>
        <w:footnoteRef/>
      </w:r>
      <w:r>
        <w:t xml:space="preserve"> </w:t>
      </w:r>
      <w:r w:rsidRPr="00C4034A">
        <w:t>Tribunales Colegiados de Circuito. Novena Época. Semanario Judicial de la Federación y su Gaceta. Tomo III, marzo de 1996. Pág 769. Consultado en http://sjf.scjn.gob.mx/sjfsist/Documentos/Tesis/203/203143.pdf  el viernes 16 de junio de 2017.</w:t>
      </w:r>
    </w:p>
    <w:p w14:paraId="240AF6C0" w14:textId="77777777" w:rsidR="00967C3C" w:rsidRDefault="00967C3C" w:rsidP="00CD7E0B">
      <w:pPr>
        <w:pStyle w:val="Textonotapie"/>
      </w:pPr>
    </w:p>
  </w:footnote>
  <w:footnote w:id="18">
    <w:p w14:paraId="53A8DA86" w14:textId="77777777" w:rsidR="00967C3C" w:rsidRDefault="00967C3C" w:rsidP="00CD7E0B">
      <w:pPr>
        <w:pStyle w:val="Textonotapie"/>
        <w:jc w:val="both"/>
      </w:pPr>
      <w:r>
        <w:rPr>
          <w:rStyle w:val="Refdenotaalpie"/>
        </w:rPr>
        <w:footnoteRef/>
      </w:r>
      <w:r>
        <w:t xml:space="preserve"> Artículo 3. Para los efectos de la presente Ley se entenderá por:</w:t>
      </w:r>
    </w:p>
    <w:p w14:paraId="0FD4180E" w14:textId="77777777" w:rsidR="00967C3C" w:rsidRDefault="00967C3C" w:rsidP="00CD7E0B">
      <w:pPr>
        <w:pStyle w:val="Textonotapie"/>
        <w:jc w:val="both"/>
      </w:pPr>
      <w:r>
        <w:t xml:space="preserve"> (…)</w:t>
      </w:r>
    </w:p>
    <w:p w14:paraId="56AB8E9A" w14:textId="77777777" w:rsidR="00967C3C" w:rsidRDefault="00967C3C" w:rsidP="00CD7E0B">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6E50D" w14:textId="77777777" w:rsidR="00967C3C" w:rsidRDefault="00D21CCC">
    <w:pPr>
      <w:pStyle w:val="Encabezado"/>
    </w:pPr>
    <w:r>
      <w:rPr>
        <w:noProof/>
      </w:rPr>
      <w:pict w14:anchorId="0FB38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967C3C" w:rsidRPr="005C106F" w14:paraId="177A8AE6" w14:textId="77777777" w:rsidTr="00064B85">
      <w:trPr>
        <w:trHeight w:val="1435"/>
      </w:trPr>
      <w:tc>
        <w:tcPr>
          <w:tcW w:w="2268" w:type="dxa"/>
          <w:shd w:val="clear" w:color="auto" w:fill="auto"/>
        </w:tcPr>
        <w:p w14:paraId="39963730" w14:textId="77777777" w:rsidR="00967C3C" w:rsidRPr="005C106F" w:rsidRDefault="00967C3C" w:rsidP="00064B85">
          <w:pPr>
            <w:tabs>
              <w:tab w:val="right" w:pos="4273"/>
            </w:tabs>
            <w:rPr>
              <w:rFonts w:ascii="Garamond" w:eastAsia="Calibri" w:hAnsi="Garamond"/>
              <w:sz w:val="16"/>
              <w:szCs w:val="16"/>
              <w:lang w:eastAsia="en-US"/>
            </w:rPr>
          </w:pPr>
        </w:p>
      </w:tc>
      <w:tc>
        <w:tcPr>
          <w:tcW w:w="6946" w:type="dxa"/>
          <w:shd w:val="clear" w:color="auto" w:fill="auto"/>
        </w:tcPr>
        <w:p w14:paraId="52D00ED1" w14:textId="77777777" w:rsidR="00967C3C" w:rsidRDefault="00967C3C" w:rsidP="00064B85"/>
        <w:tbl>
          <w:tblPr>
            <w:tblW w:w="6662" w:type="dxa"/>
            <w:tblInd w:w="40" w:type="dxa"/>
            <w:tblLayout w:type="fixed"/>
            <w:tblLook w:val="0420" w:firstRow="1" w:lastRow="0" w:firstColumn="0" w:lastColumn="0" w:noHBand="0" w:noVBand="1"/>
          </w:tblPr>
          <w:tblGrid>
            <w:gridCol w:w="2551"/>
            <w:gridCol w:w="4111"/>
          </w:tblGrid>
          <w:tr w:rsidR="00967C3C" w14:paraId="71A58A19" w14:textId="77777777" w:rsidTr="00064B85">
            <w:trPr>
              <w:trHeight w:val="150"/>
            </w:trPr>
            <w:tc>
              <w:tcPr>
                <w:tcW w:w="2551" w:type="dxa"/>
                <w:shd w:val="clear" w:color="auto" w:fill="auto"/>
              </w:tcPr>
              <w:p w14:paraId="12D554BA" w14:textId="77777777" w:rsidR="00967C3C" w:rsidRPr="00020E73" w:rsidRDefault="00967C3C" w:rsidP="00064B85">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1D200D28" w14:textId="77777777" w:rsidR="00967C3C" w:rsidRPr="00020E73" w:rsidRDefault="00967C3C" w:rsidP="00064B85">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05403</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967C3C" w14:paraId="6D60C6BB" w14:textId="77777777" w:rsidTr="00064B85">
            <w:trPr>
              <w:trHeight w:val="295"/>
            </w:trPr>
            <w:tc>
              <w:tcPr>
                <w:tcW w:w="2551" w:type="dxa"/>
                <w:shd w:val="clear" w:color="auto" w:fill="auto"/>
              </w:tcPr>
              <w:p w14:paraId="76AFE7BA" w14:textId="77777777" w:rsidR="00967C3C" w:rsidRPr="00020E73" w:rsidRDefault="00967C3C" w:rsidP="00064B85">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5559B425" w14:textId="77777777" w:rsidR="00967C3C" w:rsidRPr="00020E73" w:rsidRDefault="00967C3C" w:rsidP="00064B85">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Fiscalía General de Justicia del Estado de México</w:t>
                </w:r>
              </w:p>
            </w:tc>
          </w:tr>
          <w:tr w:rsidR="00967C3C" w14:paraId="08F7FFF0" w14:textId="77777777" w:rsidTr="00064B85">
            <w:trPr>
              <w:trHeight w:val="295"/>
            </w:trPr>
            <w:tc>
              <w:tcPr>
                <w:tcW w:w="2551" w:type="dxa"/>
                <w:shd w:val="clear" w:color="auto" w:fill="auto"/>
              </w:tcPr>
              <w:p w14:paraId="34B4E53A" w14:textId="77777777" w:rsidR="00967C3C" w:rsidRPr="00020E73" w:rsidRDefault="00967C3C" w:rsidP="00064B85">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1ACAAE20" w14:textId="77777777" w:rsidR="00967C3C" w:rsidRPr="00020E73" w:rsidRDefault="00967C3C" w:rsidP="00064B85">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6C86C31C" w14:textId="77777777" w:rsidR="00967C3C" w:rsidRPr="00020E73" w:rsidRDefault="00967C3C" w:rsidP="00064B85">
                <w:pPr>
                  <w:tabs>
                    <w:tab w:val="right" w:pos="8838"/>
                  </w:tabs>
                  <w:ind w:left="-108" w:right="171"/>
                  <w:jc w:val="both"/>
                  <w:rPr>
                    <w:rFonts w:ascii="Palatino Linotype" w:eastAsia="Calibri" w:hAnsi="Palatino Linotype" w:cs="Tahoma"/>
                    <w:b/>
                    <w:sz w:val="22"/>
                    <w:szCs w:val="22"/>
                    <w:lang w:val="es-ES" w:eastAsia="en-US"/>
                  </w:rPr>
                </w:pPr>
              </w:p>
            </w:tc>
          </w:tr>
        </w:tbl>
        <w:p w14:paraId="2D2249EB" w14:textId="77777777" w:rsidR="00967C3C" w:rsidRPr="005C106F" w:rsidRDefault="00967C3C" w:rsidP="00064B85">
          <w:pPr>
            <w:tabs>
              <w:tab w:val="right" w:pos="8838"/>
            </w:tabs>
            <w:ind w:left="-28"/>
            <w:jc w:val="both"/>
            <w:rPr>
              <w:rFonts w:ascii="Arial" w:eastAsia="Calibri" w:hAnsi="Arial" w:cs="Arial"/>
              <w:b/>
              <w:sz w:val="22"/>
              <w:szCs w:val="22"/>
              <w:lang w:eastAsia="en-US"/>
            </w:rPr>
          </w:pPr>
        </w:p>
      </w:tc>
    </w:tr>
  </w:tbl>
  <w:p w14:paraId="532F5AD1" w14:textId="77777777" w:rsidR="00967C3C" w:rsidRPr="00443C6B" w:rsidRDefault="00D21CCC" w:rsidP="00064B85">
    <w:pPr>
      <w:pStyle w:val="Encabezado"/>
      <w:rPr>
        <w:sz w:val="14"/>
      </w:rPr>
    </w:pPr>
    <w:r>
      <w:rPr>
        <w:noProof/>
        <w:sz w:val="14"/>
      </w:rPr>
      <w:pict w14:anchorId="74ED0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967C3C" w:rsidRPr="00330DA7" w14:paraId="47F7DDEA" w14:textId="77777777" w:rsidTr="00064B85">
      <w:trPr>
        <w:trHeight w:val="1435"/>
      </w:trPr>
      <w:tc>
        <w:tcPr>
          <w:tcW w:w="2268" w:type="dxa"/>
          <w:shd w:val="clear" w:color="auto" w:fill="auto"/>
        </w:tcPr>
        <w:p w14:paraId="09A83C33" w14:textId="77777777" w:rsidR="00967C3C" w:rsidRPr="00330DA7" w:rsidRDefault="00967C3C" w:rsidP="00064B85">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967C3C" w:rsidRPr="00330DA7" w14:paraId="6A562141" w14:textId="77777777" w:rsidTr="00064B85">
            <w:trPr>
              <w:trHeight w:val="144"/>
            </w:trPr>
            <w:tc>
              <w:tcPr>
                <w:tcW w:w="2444" w:type="dxa"/>
                <w:shd w:val="clear" w:color="auto" w:fill="auto"/>
              </w:tcPr>
              <w:p w14:paraId="161A2A73" w14:textId="77777777" w:rsidR="00967C3C" w:rsidRPr="00020E73" w:rsidRDefault="00967C3C" w:rsidP="00064B85">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04DB40EB" w14:textId="77777777" w:rsidR="00967C3C" w:rsidRPr="00020E73" w:rsidRDefault="00967C3C" w:rsidP="00064B85">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05403</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967C3C" w:rsidRPr="00330DA7" w14:paraId="12087FE3" w14:textId="77777777" w:rsidTr="00064B85">
            <w:trPr>
              <w:trHeight w:val="144"/>
            </w:trPr>
            <w:tc>
              <w:tcPr>
                <w:tcW w:w="2444" w:type="dxa"/>
                <w:shd w:val="clear" w:color="auto" w:fill="auto"/>
              </w:tcPr>
              <w:p w14:paraId="0546A910" w14:textId="77777777" w:rsidR="00967C3C" w:rsidRPr="00020E73" w:rsidRDefault="00967C3C" w:rsidP="00064B85">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02D07440" w14:textId="771D4291" w:rsidR="00967C3C" w:rsidRPr="00020E73" w:rsidRDefault="00D366ED" w:rsidP="00064B85">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XXXXXXXXXXXXXXXXX</w:t>
                </w:r>
              </w:p>
            </w:tc>
          </w:tr>
          <w:tr w:rsidR="00967C3C" w:rsidRPr="00330DA7" w14:paraId="38DCEC0A" w14:textId="77777777" w:rsidTr="00064B85">
            <w:trPr>
              <w:trHeight w:val="283"/>
            </w:trPr>
            <w:tc>
              <w:tcPr>
                <w:tcW w:w="2444" w:type="dxa"/>
                <w:shd w:val="clear" w:color="auto" w:fill="auto"/>
              </w:tcPr>
              <w:p w14:paraId="6B1EE9A0" w14:textId="77777777" w:rsidR="00967C3C" w:rsidRPr="00020E73" w:rsidRDefault="00967C3C" w:rsidP="00064B85">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1BF59EE1" w14:textId="77777777" w:rsidR="00967C3C" w:rsidRPr="009E7B0A" w:rsidRDefault="00967C3C" w:rsidP="00064B85">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Fiscalía General de Justicia de Estado de México</w:t>
                </w:r>
              </w:p>
            </w:tc>
          </w:tr>
          <w:tr w:rsidR="00967C3C" w:rsidRPr="00330DA7" w14:paraId="14156BB4" w14:textId="77777777" w:rsidTr="00064B85">
            <w:trPr>
              <w:trHeight w:val="283"/>
            </w:trPr>
            <w:tc>
              <w:tcPr>
                <w:tcW w:w="2444" w:type="dxa"/>
                <w:shd w:val="clear" w:color="auto" w:fill="auto"/>
              </w:tcPr>
              <w:p w14:paraId="0E580E5B" w14:textId="77777777" w:rsidR="00967C3C" w:rsidRPr="00020E73" w:rsidRDefault="00967C3C" w:rsidP="00064B85">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632B80EA" w14:textId="77777777" w:rsidR="00967C3C" w:rsidRPr="00020E73" w:rsidRDefault="00967C3C" w:rsidP="00064B85">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16FD7244" w14:textId="77777777" w:rsidR="00967C3C" w:rsidRPr="00020E73" w:rsidRDefault="00967C3C" w:rsidP="00064B85">
                <w:pPr>
                  <w:tabs>
                    <w:tab w:val="right" w:pos="8838"/>
                  </w:tabs>
                  <w:ind w:left="-74" w:right="-105"/>
                  <w:jc w:val="both"/>
                  <w:rPr>
                    <w:rFonts w:ascii="Palatino Linotype" w:eastAsia="Calibri" w:hAnsi="Palatino Linotype" w:cs="Tahoma"/>
                    <w:b/>
                    <w:sz w:val="22"/>
                    <w:szCs w:val="22"/>
                    <w:lang w:val="es-ES" w:eastAsia="en-US"/>
                  </w:rPr>
                </w:pPr>
              </w:p>
            </w:tc>
          </w:tr>
        </w:tbl>
        <w:p w14:paraId="14D1996E" w14:textId="77777777" w:rsidR="00967C3C" w:rsidRPr="00330DA7" w:rsidRDefault="00967C3C" w:rsidP="00064B85">
          <w:pPr>
            <w:tabs>
              <w:tab w:val="right" w:pos="8838"/>
            </w:tabs>
            <w:ind w:left="-28"/>
            <w:jc w:val="both"/>
            <w:rPr>
              <w:rFonts w:ascii="Arial" w:eastAsia="Calibri" w:hAnsi="Arial" w:cs="Arial"/>
              <w:b/>
              <w:sz w:val="22"/>
              <w:szCs w:val="22"/>
              <w:lang w:eastAsia="en-US"/>
            </w:rPr>
          </w:pPr>
        </w:p>
      </w:tc>
    </w:tr>
  </w:tbl>
  <w:p w14:paraId="0B092264" w14:textId="77777777" w:rsidR="00967C3C" w:rsidRPr="00827FA0" w:rsidRDefault="00D21CCC" w:rsidP="00064B85">
    <w:pPr>
      <w:pStyle w:val="Encabezado"/>
      <w:rPr>
        <w:sz w:val="2"/>
        <w:szCs w:val="22"/>
      </w:rPr>
    </w:pPr>
    <w:r>
      <w:rPr>
        <w:noProof/>
        <w:sz w:val="2"/>
        <w:szCs w:val="22"/>
      </w:rPr>
      <w:pict w14:anchorId="43775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95385"/>
    <w:multiLevelType w:val="hybridMultilevel"/>
    <w:tmpl w:val="CE0078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64EAE65C"/>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9A36E1"/>
    <w:multiLevelType w:val="hybridMultilevel"/>
    <w:tmpl w:val="B8564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8AA5D73"/>
    <w:multiLevelType w:val="hybridMultilevel"/>
    <w:tmpl w:val="92262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602B190D"/>
    <w:multiLevelType w:val="hybridMultilevel"/>
    <w:tmpl w:val="8BF827D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6A731B01"/>
    <w:multiLevelType w:val="hybridMultilevel"/>
    <w:tmpl w:val="6E5E9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5AD3C3D"/>
    <w:multiLevelType w:val="hybridMultilevel"/>
    <w:tmpl w:val="7714A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B56626B"/>
    <w:multiLevelType w:val="hybridMultilevel"/>
    <w:tmpl w:val="E5A6B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0"/>
  </w:num>
  <w:num w:numId="4">
    <w:abstractNumId w:val="0"/>
  </w:num>
  <w:num w:numId="5">
    <w:abstractNumId w:val="9"/>
  </w:num>
  <w:num w:numId="6">
    <w:abstractNumId w:val="11"/>
  </w:num>
  <w:num w:numId="7">
    <w:abstractNumId w:val="4"/>
  </w:num>
  <w:num w:numId="8">
    <w:abstractNumId w:val="7"/>
  </w:num>
  <w:num w:numId="9">
    <w:abstractNumId w:val="2"/>
  </w:num>
  <w:num w:numId="10">
    <w:abstractNumId w:val="8"/>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823"/>
    <w:rsid w:val="00007A3C"/>
    <w:rsid w:val="00064B85"/>
    <w:rsid w:val="00093823"/>
    <w:rsid w:val="000A4693"/>
    <w:rsid w:val="000B5874"/>
    <w:rsid w:val="001409A5"/>
    <w:rsid w:val="00157BDE"/>
    <w:rsid w:val="00172DE9"/>
    <w:rsid w:val="001D4C12"/>
    <w:rsid w:val="00211E54"/>
    <w:rsid w:val="00214EBE"/>
    <w:rsid w:val="00265931"/>
    <w:rsid w:val="00273B73"/>
    <w:rsid w:val="002C6F51"/>
    <w:rsid w:val="002F5972"/>
    <w:rsid w:val="003975D3"/>
    <w:rsid w:val="00400C18"/>
    <w:rsid w:val="00484B86"/>
    <w:rsid w:val="004B40E2"/>
    <w:rsid w:val="004C687A"/>
    <w:rsid w:val="00561FC8"/>
    <w:rsid w:val="005C30B9"/>
    <w:rsid w:val="005E0100"/>
    <w:rsid w:val="00606869"/>
    <w:rsid w:val="006A4656"/>
    <w:rsid w:val="007231CC"/>
    <w:rsid w:val="0076643E"/>
    <w:rsid w:val="007B3088"/>
    <w:rsid w:val="007C2B86"/>
    <w:rsid w:val="007F3F47"/>
    <w:rsid w:val="00887EBA"/>
    <w:rsid w:val="008F484F"/>
    <w:rsid w:val="0090436C"/>
    <w:rsid w:val="00912DF2"/>
    <w:rsid w:val="00930D22"/>
    <w:rsid w:val="00967C3C"/>
    <w:rsid w:val="00983C85"/>
    <w:rsid w:val="00AA4B1E"/>
    <w:rsid w:val="00AB0B6E"/>
    <w:rsid w:val="00AD6A57"/>
    <w:rsid w:val="00AE116F"/>
    <w:rsid w:val="00B87B7A"/>
    <w:rsid w:val="00C04BDB"/>
    <w:rsid w:val="00C74F00"/>
    <w:rsid w:val="00C858B0"/>
    <w:rsid w:val="00CD293D"/>
    <w:rsid w:val="00CD7E0B"/>
    <w:rsid w:val="00D21CCC"/>
    <w:rsid w:val="00D26A99"/>
    <w:rsid w:val="00D26D4D"/>
    <w:rsid w:val="00D366ED"/>
    <w:rsid w:val="00D5175F"/>
    <w:rsid w:val="00DE1D76"/>
    <w:rsid w:val="00E04EB2"/>
    <w:rsid w:val="00E71EBD"/>
    <w:rsid w:val="00EA3CB4"/>
    <w:rsid w:val="00ED05E0"/>
    <w:rsid w:val="00EF292C"/>
    <w:rsid w:val="00F617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B94D95"/>
  <w15:chartTrackingRefBased/>
  <w15:docId w15:val="{B51AB0D7-1BE4-4DEE-8102-172635EDC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823"/>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CD293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3823"/>
    <w:pPr>
      <w:tabs>
        <w:tab w:val="center" w:pos="4419"/>
        <w:tab w:val="right" w:pos="8838"/>
      </w:tabs>
    </w:pPr>
  </w:style>
  <w:style w:type="character" w:customStyle="1" w:styleId="EncabezadoCar">
    <w:name w:val="Encabezado Car"/>
    <w:basedOn w:val="Fuentedeprrafopredeter"/>
    <w:link w:val="Encabezado"/>
    <w:uiPriority w:val="99"/>
    <w:rsid w:val="00093823"/>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093823"/>
    <w:pPr>
      <w:tabs>
        <w:tab w:val="center" w:pos="4419"/>
        <w:tab w:val="right" w:pos="8838"/>
      </w:tabs>
    </w:pPr>
  </w:style>
  <w:style w:type="character" w:customStyle="1" w:styleId="PiedepginaCar">
    <w:name w:val="Pie de página Car"/>
    <w:basedOn w:val="Fuentedeprrafopredeter"/>
    <w:link w:val="Piedepgina"/>
    <w:uiPriority w:val="99"/>
    <w:rsid w:val="00093823"/>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93823"/>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093823"/>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093823"/>
    <w:rPr>
      <w:color w:val="0563C1"/>
      <w:u w:val="single"/>
    </w:rPr>
  </w:style>
  <w:style w:type="paragraph" w:styleId="Sinespaciado">
    <w:name w:val="No Spacing"/>
    <w:aliases w:val="Francesa,INAI"/>
    <w:link w:val="SinespaciadoCar"/>
    <w:uiPriority w:val="1"/>
    <w:qFormat/>
    <w:rsid w:val="00093823"/>
    <w:pPr>
      <w:spacing w:after="0" w:line="240" w:lineRule="auto"/>
    </w:pPr>
    <w:rPr>
      <w:lang w:val="es-MX"/>
    </w:rPr>
  </w:style>
  <w:style w:type="character" w:customStyle="1" w:styleId="SinespaciadoCar">
    <w:name w:val="Sin espaciado Car"/>
    <w:aliases w:val="Francesa Car,INAI Car"/>
    <w:link w:val="Sinespaciado"/>
    <w:uiPriority w:val="1"/>
    <w:locked/>
    <w:rsid w:val="00093823"/>
    <w:rPr>
      <w:lang w:val="es-MX"/>
    </w:rPr>
  </w:style>
  <w:style w:type="paragraph" w:styleId="TDC1">
    <w:name w:val="toc 1"/>
    <w:basedOn w:val="Normal"/>
    <w:next w:val="Normal"/>
    <w:autoRedefine/>
    <w:uiPriority w:val="39"/>
    <w:unhideWhenUsed/>
    <w:rsid w:val="00093823"/>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093823"/>
    <w:pPr>
      <w:tabs>
        <w:tab w:val="right" w:leader="dot" w:pos="8637"/>
      </w:tabs>
      <w:spacing w:line="480" w:lineRule="auto"/>
    </w:pPr>
    <w:rPr>
      <w:rFonts w:asciiTheme="minorHAnsi" w:eastAsiaTheme="minorHAnsi" w:hAnsiTheme="minorHAnsi" w:cstheme="minorBidi"/>
      <w:sz w:val="22"/>
      <w:szCs w:val="22"/>
      <w:lang w:eastAsia="en-US"/>
    </w:rPr>
  </w:style>
  <w:style w:type="paragraph" w:customStyle="1" w:styleId="Default">
    <w:name w:val="Default"/>
    <w:rsid w:val="00093823"/>
    <w:pPr>
      <w:autoSpaceDE w:val="0"/>
      <w:autoSpaceDN w:val="0"/>
      <w:adjustRightInd w:val="0"/>
      <w:spacing w:after="0" w:line="240" w:lineRule="auto"/>
    </w:pPr>
    <w:rPr>
      <w:rFonts w:ascii="Arial" w:hAnsi="Arial" w:cs="Arial"/>
      <w:color w:val="000000"/>
      <w:sz w:val="24"/>
      <w:szCs w:val="24"/>
      <w:lang w:val="es-MX"/>
    </w:rPr>
  </w:style>
  <w:style w:type="character" w:customStyle="1" w:styleId="Ttulo1Car">
    <w:name w:val="Título 1 Car"/>
    <w:basedOn w:val="Fuentedeprrafopredeter"/>
    <w:link w:val="Ttulo1"/>
    <w:uiPriority w:val="9"/>
    <w:rsid w:val="00CD293D"/>
    <w:rPr>
      <w:rFonts w:asciiTheme="majorHAnsi" w:eastAsiaTheme="majorEastAsia" w:hAnsiTheme="majorHAnsi" w:cstheme="majorBidi"/>
      <w:color w:val="2E74B5" w:themeColor="accent1" w:themeShade="BF"/>
      <w:sz w:val="32"/>
      <w:szCs w:val="32"/>
      <w:lang w:val="es-MX"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CD293D"/>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CD293D"/>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D293D"/>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CD293D"/>
    <w:rPr>
      <w:rFonts w:ascii="Times New Roman" w:eastAsia="Times New Roman" w:hAnsi="Times New Roman" w:cs="Times New Roman"/>
      <w:sz w:val="20"/>
      <w:szCs w:val="20"/>
      <w:lang w:val="es-MX" w:eastAsia="es-MX"/>
    </w:rPr>
  </w:style>
  <w:style w:type="character" w:customStyle="1" w:styleId="apple-converted-space">
    <w:name w:val="apple-converted-space"/>
    <w:basedOn w:val="Fuentedeprrafopredeter"/>
    <w:qFormat/>
    <w:rsid w:val="00CD7E0B"/>
  </w:style>
  <w:style w:type="table" w:styleId="Tablaconcuadrcula">
    <w:name w:val="Table Grid"/>
    <w:basedOn w:val="Tablanormal"/>
    <w:uiPriority w:val="39"/>
    <w:rsid w:val="00CD7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670491">
      <w:bodyDiv w:val="1"/>
      <w:marLeft w:val="0"/>
      <w:marRight w:val="0"/>
      <w:marTop w:val="0"/>
      <w:marBottom w:val="0"/>
      <w:divBdr>
        <w:top w:val="none" w:sz="0" w:space="0" w:color="auto"/>
        <w:left w:val="none" w:sz="0" w:space="0" w:color="auto"/>
        <w:bottom w:val="none" w:sz="0" w:space="0" w:color="auto"/>
        <w:right w:val="none" w:sz="0" w:space="0" w:color="auto"/>
      </w:divBdr>
    </w:div>
    <w:div w:id="856692920">
      <w:bodyDiv w:val="1"/>
      <w:marLeft w:val="0"/>
      <w:marRight w:val="0"/>
      <w:marTop w:val="0"/>
      <w:marBottom w:val="0"/>
      <w:divBdr>
        <w:top w:val="none" w:sz="0" w:space="0" w:color="auto"/>
        <w:left w:val="none" w:sz="0" w:space="0" w:color="auto"/>
        <w:bottom w:val="none" w:sz="0" w:space="0" w:color="auto"/>
        <w:right w:val="none" w:sz="0" w:space="0" w:color="auto"/>
      </w:divBdr>
    </w:div>
    <w:div w:id="180816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24836.page"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70547.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saimex.org.mx/saimex/solicitud/downloadAttach/1270547.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236860.page" TargetMode="Externa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dof.gob.mx/nota_detalle.php?codigo=5436056&amp;fecha=04/05/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CE8FE-3A92-4732-9840-E1A79D62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10257</Words>
  <Characters>56416</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2022-02-17T22:57:00Z</dcterms:created>
  <dcterms:modified xsi:type="dcterms:W3CDTF">2022-02-17T22:57:00Z</dcterms:modified>
</cp:coreProperties>
</file>