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07127" w14:textId="77777777" w:rsidR="00B13630" w:rsidRPr="00170E6C" w:rsidRDefault="00BD37F9">
      <w:pPr>
        <w:spacing w:before="240" w:after="24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quince de junio de dos mil veintidós.</w:t>
      </w:r>
    </w:p>
    <w:p w14:paraId="5191AAC7" w14:textId="36D1A558" w:rsidR="00B13630" w:rsidRPr="00170E6C" w:rsidRDefault="00BD37F9">
      <w:pPr>
        <w:spacing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 xml:space="preserve">Visto </w:t>
      </w:r>
      <w:r w:rsidRPr="00170E6C">
        <w:rPr>
          <w:rFonts w:ascii="Palatino Linotype" w:eastAsia="Palatino Linotype" w:hAnsi="Palatino Linotype" w:cs="Palatino Linotype"/>
          <w:sz w:val="24"/>
          <w:szCs w:val="24"/>
        </w:rPr>
        <w:t xml:space="preserve">el expediente relativo al recurso de revisión </w:t>
      </w:r>
      <w:r w:rsidRPr="00170E6C">
        <w:rPr>
          <w:rFonts w:ascii="Palatino Linotype" w:eastAsia="Palatino Linotype" w:hAnsi="Palatino Linotype" w:cs="Palatino Linotype"/>
          <w:b/>
          <w:sz w:val="24"/>
          <w:szCs w:val="24"/>
        </w:rPr>
        <w:t>03524/INFOEM/IP/RR/2022</w:t>
      </w:r>
      <w:r w:rsidRPr="00170E6C">
        <w:rPr>
          <w:rFonts w:ascii="Palatino Linotype" w:eastAsia="Palatino Linotype" w:hAnsi="Palatino Linotype" w:cs="Palatino Linotype"/>
          <w:sz w:val="24"/>
          <w:szCs w:val="24"/>
        </w:rPr>
        <w:t xml:space="preserve">, interpuesto por </w:t>
      </w:r>
      <w:r w:rsidR="00A47EBA" w:rsidRPr="00170E6C">
        <w:rPr>
          <w:rFonts w:ascii="Palatino Linotype" w:eastAsia="Palatino Linotype" w:hAnsi="Palatino Linotype" w:cs="Palatino Linotype"/>
          <w:sz w:val="24"/>
          <w:szCs w:val="24"/>
        </w:rPr>
        <w:t>XXXXX XXXXXX XXXXXXXXX</w:t>
      </w:r>
      <w:r w:rsidRPr="00170E6C">
        <w:rPr>
          <w:rFonts w:ascii="Palatino Linotype" w:eastAsia="Palatino Linotype" w:hAnsi="Palatino Linotype" w:cs="Palatino Linotype"/>
          <w:sz w:val="24"/>
          <w:szCs w:val="24"/>
        </w:rPr>
        <w:t xml:space="preserve">, al cual en lo sucesivo se le denominara </w:t>
      </w:r>
      <w:r w:rsidRPr="00170E6C">
        <w:rPr>
          <w:rFonts w:ascii="Palatino Linotype" w:eastAsia="Palatino Linotype" w:hAnsi="Palatino Linotype" w:cs="Palatino Linotype"/>
          <w:b/>
          <w:sz w:val="24"/>
          <w:szCs w:val="24"/>
        </w:rPr>
        <w:t>EL RECURRENTE</w:t>
      </w:r>
      <w:r w:rsidRPr="00170E6C">
        <w:rPr>
          <w:rFonts w:ascii="Palatino Linotype" w:eastAsia="Palatino Linotype" w:hAnsi="Palatino Linotype" w:cs="Palatino Linotype"/>
          <w:sz w:val="24"/>
          <w:szCs w:val="24"/>
        </w:rPr>
        <w:t xml:space="preserve">, en contra de la respuesta a la solicitud de información con número de folio </w:t>
      </w:r>
      <w:r w:rsidRPr="00170E6C">
        <w:rPr>
          <w:rFonts w:ascii="Palatino Linotype" w:eastAsia="Palatino Linotype" w:hAnsi="Palatino Linotype" w:cs="Palatino Linotype"/>
          <w:b/>
          <w:color w:val="000000"/>
          <w:sz w:val="24"/>
          <w:szCs w:val="24"/>
        </w:rPr>
        <w:t>00030/OCOYOAC/IP/2022</w:t>
      </w:r>
      <w:r w:rsidRPr="00170E6C">
        <w:rPr>
          <w:rFonts w:ascii="Palatino Linotype" w:eastAsia="Palatino Linotype" w:hAnsi="Palatino Linotype" w:cs="Palatino Linotype"/>
          <w:b/>
          <w:sz w:val="24"/>
          <w:szCs w:val="24"/>
        </w:rPr>
        <w:t>,</w:t>
      </w:r>
      <w:r w:rsidRPr="00170E6C">
        <w:rPr>
          <w:rFonts w:ascii="Palatino Linotype" w:eastAsia="Palatino Linotype" w:hAnsi="Palatino Linotype" w:cs="Palatino Linotype"/>
          <w:sz w:val="24"/>
          <w:szCs w:val="24"/>
        </w:rPr>
        <w:t xml:space="preserve"> por parte del  Ayuntamiento de Ocoyoacac, en lo sucesivo </w:t>
      </w:r>
      <w:r w:rsidRPr="00170E6C">
        <w:rPr>
          <w:rFonts w:ascii="Palatino Linotype" w:eastAsia="Palatino Linotype" w:hAnsi="Palatino Linotype" w:cs="Palatino Linotype"/>
          <w:b/>
          <w:sz w:val="24"/>
          <w:szCs w:val="24"/>
        </w:rPr>
        <w:t>EL</w:t>
      </w:r>
      <w:r w:rsidRPr="00170E6C">
        <w:rPr>
          <w:rFonts w:ascii="Palatino Linotype" w:eastAsia="Palatino Linotype" w:hAnsi="Palatino Linotype" w:cs="Palatino Linotype"/>
          <w:sz w:val="24"/>
          <w:szCs w:val="24"/>
        </w:rPr>
        <w:t xml:space="preserve"> </w:t>
      </w:r>
      <w:r w:rsidRPr="00170E6C">
        <w:rPr>
          <w:rFonts w:ascii="Palatino Linotype" w:eastAsia="Palatino Linotype" w:hAnsi="Palatino Linotype" w:cs="Palatino Linotype"/>
          <w:b/>
          <w:sz w:val="24"/>
          <w:szCs w:val="24"/>
        </w:rPr>
        <w:t xml:space="preserve">SUJETO OBLIGADO; </w:t>
      </w:r>
      <w:r w:rsidRPr="00170E6C">
        <w:rPr>
          <w:rFonts w:ascii="Palatino Linotype" w:eastAsia="Palatino Linotype" w:hAnsi="Palatino Linotype" w:cs="Palatino Linotype"/>
          <w:sz w:val="24"/>
          <w:szCs w:val="24"/>
        </w:rPr>
        <w:t>se procede a dictar la presente resolución, con base en lo siguiente.</w:t>
      </w:r>
    </w:p>
    <w:p w14:paraId="5C516451" w14:textId="77777777" w:rsidR="00B13630" w:rsidRPr="00170E6C" w:rsidRDefault="00BD37F9">
      <w:pPr>
        <w:spacing w:before="240" w:after="240" w:line="360" w:lineRule="auto"/>
        <w:ind w:right="49"/>
        <w:jc w:val="center"/>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AN T E C E D E N T E S</w:t>
      </w:r>
    </w:p>
    <w:p w14:paraId="398250F7" w14:textId="77777777" w:rsidR="00B13630" w:rsidRPr="00170E6C" w:rsidRDefault="00BD37F9">
      <w:pPr>
        <w:spacing w:before="240" w:after="24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 xml:space="preserve">1. SOLICITUD. </w:t>
      </w:r>
      <w:r w:rsidRPr="00170E6C">
        <w:rPr>
          <w:rFonts w:ascii="Palatino Linotype" w:eastAsia="Palatino Linotype" w:hAnsi="Palatino Linotype" w:cs="Palatino Linotype"/>
          <w:sz w:val="24"/>
          <w:szCs w:val="24"/>
        </w:rPr>
        <w:t xml:space="preserve">Con fecha catorce de febrero de dos mil veintidós, </w:t>
      </w:r>
      <w:r w:rsidRPr="00170E6C">
        <w:rPr>
          <w:rFonts w:ascii="Palatino Linotype" w:eastAsia="Palatino Linotype" w:hAnsi="Palatino Linotype" w:cs="Palatino Linotype"/>
          <w:b/>
          <w:sz w:val="24"/>
          <w:szCs w:val="24"/>
        </w:rPr>
        <w:t>EL RECURRENTE</w:t>
      </w:r>
      <w:r w:rsidRPr="00170E6C">
        <w:rPr>
          <w:rFonts w:ascii="Palatino Linotype" w:eastAsia="Palatino Linotype" w:hAnsi="Palatino Linotype" w:cs="Palatino Linotype"/>
          <w:sz w:val="24"/>
          <w:szCs w:val="24"/>
        </w:rPr>
        <w:t>, presentó a través del Sistema de Acceso a la Información Mexiquense (</w:t>
      </w:r>
      <w:r w:rsidRPr="00170E6C">
        <w:rPr>
          <w:rFonts w:ascii="Palatino Linotype" w:eastAsia="Palatino Linotype" w:hAnsi="Palatino Linotype" w:cs="Palatino Linotype"/>
          <w:b/>
          <w:sz w:val="24"/>
          <w:szCs w:val="24"/>
        </w:rPr>
        <w:t>SAIMEX)</w:t>
      </w:r>
      <w:r w:rsidRPr="00170E6C">
        <w:rPr>
          <w:rFonts w:ascii="Palatino Linotype" w:eastAsia="Palatino Linotype" w:hAnsi="Palatino Linotype" w:cs="Palatino Linotype"/>
          <w:sz w:val="24"/>
          <w:szCs w:val="24"/>
        </w:rPr>
        <w:t xml:space="preserve"> ante </w:t>
      </w:r>
      <w:r w:rsidRPr="00170E6C">
        <w:rPr>
          <w:rFonts w:ascii="Palatino Linotype" w:eastAsia="Palatino Linotype" w:hAnsi="Palatino Linotype" w:cs="Palatino Linotype"/>
          <w:b/>
          <w:sz w:val="24"/>
          <w:szCs w:val="24"/>
        </w:rPr>
        <w:t>EL SUJETO OBLIGADO</w:t>
      </w:r>
      <w:r w:rsidRPr="00170E6C">
        <w:rPr>
          <w:rFonts w:ascii="Palatino Linotype" w:eastAsia="Palatino Linotype" w:hAnsi="Palatino Linotype" w:cs="Palatino Linotype"/>
          <w:sz w:val="24"/>
          <w:szCs w:val="24"/>
        </w:rPr>
        <w:t>, solicitud de acceso a la información pública, registrada bajo el número de expediente</w:t>
      </w:r>
      <w:r w:rsidRPr="00170E6C">
        <w:rPr>
          <w:rFonts w:ascii="Palatino Linotype" w:eastAsia="Palatino Linotype" w:hAnsi="Palatino Linotype" w:cs="Palatino Linotype"/>
          <w:b/>
          <w:color w:val="FF0000"/>
        </w:rPr>
        <w:t> </w:t>
      </w:r>
      <w:r w:rsidRPr="00170E6C">
        <w:rPr>
          <w:rFonts w:ascii="Palatino Linotype" w:eastAsia="Palatino Linotype" w:hAnsi="Palatino Linotype" w:cs="Palatino Linotype"/>
          <w:b/>
          <w:color w:val="000000"/>
          <w:sz w:val="24"/>
          <w:szCs w:val="24"/>
        </w:rPr>
        <w:t>00030/OCOYOAC/IP/2022</w:t>
      </w:r>
      <w:r w:rsidRPr="00170E6C">
        <w:rPr>
          <w:rFonts w:ascii="Palatino Linotype" w:eastAsia="Palatino Linotype" w:hAnsi="Palatino Linotype" w:cs="Palatino Linotype"/>
          <w:sz w:val="24"/>
          <w:szCs w:val="24"/>
        </w:rPr>
        <w:t>,</w:t>
      </w:r>
      <w:r w:rsidRPr="00170E6C">
        <w:rPr>
          <w:rFonts w:ascii="Palatino Linotype" w:eastAsia="Palatino Linotype" w:hAnsi="Palatino Linotype" w:cs="Palatino Linotype"/>
          <w:b/>
          <w:sz w:val="24"/>
          <w:szCs w:val="24"/>
        </w:rPr>
        <w:t xml:space="preserve"> </w:t>
      </w:r>
      <w:r w:rsidRPr="00170E6C">
        <w:rPr>
          <w:rFonts w:ascii="Palatino Linotype" w:eastAsia="Palatino Linotype" w:hAnsi="Palatino Linotype" w:cs="Palatino Linotype"/>
          <w:sz w:val="24"/>
          <w:szCs w:val="24"/>
        </w:rPr>
        <w:t>mediante la cual solicitó información en el tenor siguiente:</w:t>
      </w:r>
    </w:p>
    <w:p w14:paraId="5768EFE4" w14:textId="77777777" w:rsidR="00B13630" w:rsidRPr="00170E6C" w:rsidRDefault="00BD37F9">
      <w:pPr>
        <w:spacing w:before="240" w:after="240" w:line="276" w:lineRule="auto"/>
        <w:ind w:left="851" w:right="900"/>
        <w:jc w:val="both"/>
        <w:rPr>
          <w:rFonts w:ascii="Palatino Linotype" w:eastAsia="Palatino Linotype" w:hAnsi="Palatino Linotype" w:cs="Palatino Linotype"/>
          <w:i/>
          <w:color w:val="000000"/>
        </w:rPr>
      </w:pPr>
      <w:r w:rsidRPr="00170E6C">
        <w:rPr>
          <w:rFonts w:ascii="Palatino Linotype" w:eastAsia="Palatino Linotype" w:hAnsi="Palatino Linotype" w:cs="Palatino Linotype"/>
          <w:i/>
          <w:color w:val="000000"/>
        </w:rPr>
        <w:t>“Monto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 “(Sic)</w:t>
      </w:r>
    </w:p>
    <w:p w14:paraId="6FC7E7B3" w14:textId="77777777" w:rsidR="00B13630" w:rsidRPr="00170E6C" w:rsidRDefault="00BD37F9">
      <w:pPr>
        <w:spacing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Modalidad de entrega: A través del </w:t>
      </w:r>
      <w:r w:rsidRPr="00170E6C">
        <w:rPr>
          <w:rFonts w:ascii="Palatino Linotype" w:eastAsia="Palatino Linotype" w:hAnsi="Palatino Linotype" w:cs="Palatino Linotype"/>
          <w:b/>
          <w:sz w:val="24"/>
          <w:szCs w:val="24"/>
        </w:rPr>
        <w:t>SAIMEX</w:t>
      </w:r>
      <w:r w:rsidRPr="00170E6C">
        <w:rPr>
          <w:rFonts w:ascii="Palatino Linotype" w:eastAsia="Palatino Linotype" w:hAnsi="Palatino Linotype" w:cs="Palatino Linotype"/>
          <w:sz w:val="24"/>
          <w:szCs w:val="24"/>
        </w:rPr>
        <w:t>.</w:t>
      </w:r>
    </w:p>
    <w:p w14:paraId="6310B11E" w14:textId="77777777" w:rsidR="00B13630" w:rsidRPr="00170E6C" w:rsidRDefault="00BD37F9">
      <w:pPr>
        <w:spacing w:before="240" w:after="240" w:line="360" w:lineRule="auto"/>
        <w:jc w:val="both"/>
      </w:pPr>
      <w:r w:rsidRPr="00170E6C">
        <w:rPr>
          <w:rFonts w:ascii="Palatino Linotype" w:eastAsia="Palatino Linotype" w:hAnsi="Palatino Linotype" w:cs="Palatino Linotype"/>
          <w:b/>
          <w:sz w:val="24"/>
          <w:szCs w:val="24"/>
        </w:rPr>
        <w:lastRenderedPageBreak/>
        <w:t xml:space="preserve">2. RESPUESTA.  </w:t>
      </w:r>
      <w:r w:rsidRPr="00170E6C">
        <w:rPr>
          <w:rFonts w:ascii="Palatino Linotype" w:eastAsia="Palatino Linotype" w:hAnsi="Palatino Linotype" w:cs="Palatino Linotype"/>
          <w:sz w:val="24"/>
          <w:szCs w:val="24"/>
        </w:rPr>
        <w:t xml:space="preserve">Con fecha siete de marzo del dos mil veintidós, </w:t>
      </w:r>
      <w:r w:rsidRPr="00170E6C">
        <w:rPr>
          <w:rFonts w:ascii="Palatino Linotype" w:eastAsia="Palatino Linotype" w:hAnsi="Palatino Linotype" w:cs="Palatino Linotype"/>
          <w:b/>
          <w:sz w:val="24"/>
          <w:szCs w:val="24"/>
        </w:rPr>
        <w:t>EL SUJETO OBLIGADO</w:t>
      </w:r>
      <w:r w:rsidRPr="00170E6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170E6C">
        <w:t xml:space="preserve"> </w:t>
      </w:r>
    </w:p>
    <w:p w14:paraId="1267A5BE" w14:textId="77777777" w:rsidR="00B13630" w:rsidRPr="00170E6C" w:rsidRDefault="00BD37F9">
      <w:pPr>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4E1555" w14:textId="77777777" w:rsidR="00B13630" w:rsidRPr="00170E6C" w:rsidRDefault="00BD37F9">
      <w:pPr>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P R E S E N T E Sea este el medio para enviar un cordial saludo, así mismo, se da respuesta al turno con número de solicitud 00030/OCOYOAC/IP/2022 y cuyo contenido es el siguiente: ¨Monto de las percepciones mensuales del presidente (a) municipal, síndico (a) y regidores del ayuntamiento, además del tesorero (desglosado por sueldo bruto, gratificaciones, bonos, primas, deducciones, sueldo neto). Copia del talón de pago o recibo de pago al presidente o presidenta municipal.¨ Con fundamento en lo que versa en los artículos 116 de la Ley General de Transparencia y Acceso a la Información Pública; 6 de la Ley de Transparencia y Acceso a la Información Pública de Estado de México y Municipios; así como lo que emana de la Ley de Protección de Datos Personales en Posesión de Sujetos Obligados del Estado de México y Municipios en sus numerales 2 fracción IV, 5, 6 y 7; ampara al incitado a reservarse el derecho a difundir montos de percepciones, toda vez que la divulgación de la información, puede generar un menoscabo o daño en la persona o bienes de quienes solicita, esto como derecho máximo a lo consagrado en el Artículo 16 de la Constitución Política de los Estados Unidos Mexicanos. Sin otro particular, me reitero a sus órdenes.</w:t>
      </w:r>
    </w:p>
    <w:p w14:paraId="27953745" w14:textId="77777777" w:rsidR="00B13630" w:rsidRPr="00170E6C" w:rsidRDefault="00BD37F9">
      <w:pPr>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ATENTAMENTE</w:t>
      </w:r>
    </w:p>
    <w:p w14:paraId="2276204B" w14:textId="77777777" w:rsidR="00B13630" w:rsidRPr="00170E6C" w:rsidRDefault="00BD37F9">
      <w:pPr>
        <w:ind w:left="851" w:right="900"/>
        <w:jc w:val="both"/>
      </w:pPr>
      <w:r w:rsidRPr="00170E6C">
        <w:rPr>
          <w:rFonts w:ascii="Palatino Linotype" w:eastAsia="Palatino Linotype" w:hAnsi="Palatino Linotype" w:cs="Palatino Linotype"/>
          <w:i/>
        </w:rPr>
        <w:t>Lic. Alan González Hernández</w:t>
      </w:r>
    </w:p>
    <w:p w14:paraId="28C1A900" w14:textId="77777777" w:rsidR="00B13630" w:rsidRPr="00170E6C" w:rsidRDefault="00B13630"/>
    <w:p w14:paraId="287D30FB" w14:textId="77777777" w:rsidR="00B13630" w:rsidRPr="00170E6C" w:rsidRDefault="00BD37F9">
      <w:pPr>
        <w:spacing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xml:space="preserve"> adjuntó a su respuesta el archivo electrónico denominado:</w:t>
      </w:r>
    </w:p>
    <w:p w14:paraId="65CCC7B3" w14:textId="77777777" w:rsidR="00B13630" w:rsidRPr="00170E6C" w:rsidRDefault="00BD37F9">
      <w:pPr>
        <w:spacing w:line="360" w:lineRule="auto"/>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b/>
          <w:i/>
          <w:color w:val="000000"/>
          <w:sz w:val="24"/>
          <w:szCs w:val="24"/>
          <w:u w:val="single"/>
        </w:rPr>
        <w:lastRenderedPageBreak/>
        <w:t>“</w:t>
      </w:r>
      <w:hyperlink r:id="rId8">
        <w:r w:rsidRPr="00170E6C">
          <w:rPr>
            <w:rFonts w:ascii="Palatino Linotype" w:eastAsia="Palatino Linotype" w:hAnsi="Palatino Linotype" w:cs="Palatino Linotype"/>
            <w:b/>
            <w:i/>
            <w:color w:val="000000"/>
            <w:sz w:val="24"/>
            <w:szCs w:val="24"/>
            <w:u w:val="single"/>
          </w:rPr>
          <w:t>0030.OCOYOAC.IP.2022_04-01-2022-070237.pdf</w:t>
        </w:r>
      </w:hyperlink>
      <w:r w:rsidRPr="00170E6C">
        <w:rPr>
          <w:rFonts w:ascii="Palatino Linotype" w:eastAsia="Palatino Linotype" w:hAnsi="Palatino Linotype" w:cs="Palatino Linotype"/>
          <w:b/>
          <w:i/>
          <w:color w:val="000000"/>
          <w:sz w:val="24"/>
          <w:szCs w:val="24"/>
          <w:u w:val="single"/>
        </w:rPr>
        <w:t>”</w:t>
      </w:r>
      <w:r w:rsidRPr="00170E6C">
        <w:rPr>
          <w:rFonts w:ascii="Palatino Linotype" w:eastAsia="Palatino Linotype" w:hAnsi="Palatino Linotype" w:cs="Palatino Linotype"/>
          <w:color w:val="000000"/>
          <w:sz w:val="24"/>
          <w:szCs w:val="24"/>
        </w:rPr>
        <w:t xml:space="preserve"> del cual se desprende el siguiente oficio:</w:t>
      </w:r>
    </w:p>
    <w:p w14:paraId="7C1618E8" w14:textId="77777777" w:rsidR="00B13630" w:rsidRPr="00170E6C" w:rsidRDefault="00BD37F9">
      <w:pPr>
        <w:spacing w:line="360" w:lineRule="auto"/>
        <w:jc w:val="center"/>
        <w:rPr>
          <w:rFonts w:ascii="Palatino Linotype" w:eastAsia="Palatino Linotype" w:hAnsi="Palatino Linotype" w:cs="Palatino Linotype"/>
          <w:color w:val="000000"/>
          <w:sz w:val="24"/>
          <w:szCs w:val="24"/>
        </w:rPr>
      </w:pPr>
      <w:r w:rsidRPr="00170E6C">
        <w:rPr>
          <w:noProof/>
        </w:rPr>
        <w:lastRenderedPageBreak/>
        <w:drawing>
          <wp:inline distT="0" distB="0" distL="0" distR="0" wp14:anchorId="783D59C8" wp14:editId="64AA4C5C">
            <wp:extent cx="5354020" cy="7415626"/>
            <wp:effectExtent l="0" t="0" r="0" b="0"/>
            <wp:docPr id="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l="35132" t="15993" r="35336" b="11284"/>
                    <a:stretch>
                      <a:fillRect/>
                    </a:stretch>
                  </pic:blipFill>
                  <pic:spPr>
                    <a:xfrm>
                      <a:off x="0" y="0"/>
                      <a:ext cx="5354020" cy="7415626"/>
                    </a:xfrm>
                    <a:prstGeom prst="rect">
                      <a:avLst/>
                    </a:prstGeom>
                    <a:ln/>
                  </pic:spPr>
                </pic:pic>
              </a:graphicData>
            </a:graphic>
          </wp:inline>
        </w:drawing>
      </w:r>
    </w:p>
    <w:p w14:paraId="76C67849" w14:textId="77777777" w:rsidR="00B13630" w:rsidRPr="00170E6C" w:rsidRDefault="00BD37F9">
      <w:pPr>
        <w:spacing w:before="240" w:after="240" w:line="360" w:lineRule="auto"/>
        <w:ind w:right="-234"/>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lastRenderedPageBreak/>
        <w:t xml:space="preserve">3. DEL RECURSO DE REVISIÓN. </w:t>
      </w:r>
      <w:r w:rsidRPr="00170E6C">
        <w:rPr>
          <w:rFonts w:ascii="Palatino Linotype" w:eastAsia="Palatino Linotype" w:hAnsi="Palatino Linotype" w:cs="Palatino Linotype"/>
          <w:sz w:val="24"/>
          <w:szCs w:val="24"/>
        </w:rPr>
        <w:t>Inconforme con la respuesta del</w:t>
      </w:r>
      <w:r w:rsidRPr="00170E6C">
        <w:rPr>
          <w:rFonts w:ascii="Palatino Linotype" w:eastAsia="Palatino Linotype" w:hAnsi="Palatino Linotype" w:cs="Palatino Linotype"/>
          <w:b/>
          <w:sz w:val="24"/>
          <w:szCs w:val="24"/>
        </w:rPr>
        <w:t xml:space="preserve"> SUJETO OBLIGADO, </w:t>
      </w:r>
      <w:r w:rsidRPr="00170E6C">
        <w:rPr>
          <w:rFonts w:ascii="Palatino Linotype" w:eastAsia="Palatino Linotype" w:hAnsi="Palatino Linotype" w:cs="Palatino Linotype"/>
          <w:sz w:val="24"/>
          <w:szCs w:val="24"/>
        </w:rPr>
        <w:t>en fecha siete de marzo de dos mil veintidós</w:t>
      </w:r>
      <w:r w:rsidRPr="00170E6C">
        <w:rPr>
          <w:rFonts w:ascii="Palatino Linotype" w:eastAsia="Palatino Linotype" w:hAnsi="Palatino Linotype" w:cs="Palatino Linotype"/>
          <w:b/>
          <w:sz w:val="24"/>
          <w:szCs w:val="24"/>
        </w:rPr>
        <w:t xml:space="preserve">, EL RECURRENTE </w:t>
      </w:r>
      <w:r w:rsidRPr="00170E6C">
        <w:rPr>
          <w:rFonts w:ascii="Palatino Linotype" w:eastAsia="Palatino Linotype" w:hAnsi="Palatino Linotype" w:cs="Palatino Linotype"/>
          <w:sz w:val="24"/>
          <w:szCs w:val="24"/>
        </w:rPr>
        <w:t>interpuso el recurso de revisión, el cual fue registrado</w:t>
      </w:r>
      <w:r w:rsidRPr="00170E6C">
        <w:rPr>
          <w:rFonts w:ascii="Palatino Linotype" w:eastAsia="Palatino Linotype" w:hAnsi="Palatino Linotype" w:cs="Palatino Linotype"/>
          <w:b/>
          <w:sz w:val="24"/>
          <w:szCs w:val="24"/>
        </w:rPr>
        <w:t xml:space="preserve"> </w:t>
      </w:r>
      <w:r w:rsidRPr="00170E6C">
        <w:rPr>
          <w:rFonts w:ascii="Palatino Linotype" w:eastAsia="Palatino Linotype" w:hAnsi="Palatino Linotype" w:cs="Palatino Linotype"/>
          <w:sz w:val="24"/>
          <w:szCs w:val="24"/>
        </w:rPr>
        <w:t xml:space="preserve">en el sistema electrónico con el expediente número </w:t>
      </w:r>
      <w:r w:rsidRPr="00170E6C">
        <w:rPr>
          <w:rFonts w:ascii="Palatino Linotype" w:eastAsia="Palatino Linotype" w:hAnsi="Palatino Linotype" w:cs="Palatino Linotype"/>
          <w:b/>
          <w:color w:val="000000"/>
          <w:sz w:val="24"/>
          <w:szCs w:val="24"/>
        </w:rPr>
        <w:t>03524/INFOEM/IP/RR/2022</w:t>
      </w:r>
      <w:r w:rsidRPr="00170E6C">
        <w:rPr>
          <w:rFonts w:ascii="Palatino Linotype" w:eastAsia="Palatino Linotype" w:hAnsi="Palatino Linotype" w:cs="Palatino Linotype"/>
          <w:sz w:val="24"/>
          <w:szCs w:val="24"/>
        </w:rPr>
        <w:t>, en el cual manifiesta, lo siguiente:</w:t>
      </w:r>
    </w:p>
    <w:p w14:paraId="37017A09" w14:textId="77777777" w:rsidR="00B13630" w:rsidRPr="00170E6C" w:rsidRDefault="00BD37F9">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sidRPr="00170E6C">
        <w:rPr>
          <w:rFonts w:ascii="Palatino Linotype" w:eastAsia="Palatino Linotype" w:hAnsi="Palatino Linotype" w:cs="Palatino Linotype"/>
          <w:b/>
          <w:i/>
          <w:color w:val="000000"/>
          <w:sz w:val="24"/>
          <w:szCs w:val="24"/>
        </w:rPr>
        <w:t>Acto Impugnado:</w:t>
      </w:r>
    </w:p>
    <w:p w14:paraId="4EB38C4D" w14:textId="77777777" w:rsidR="00B13630" w:rsidRPr="00170E6C" w:rsidRDefault="00BD37F9">
      <w:pPr>
        <w:spacing w:before="240" w:after="240" w:line="276" w:lineRule="auto"/>
        <w:ind w:left="85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r w:rsidRPr="00170E6C">
        <w:rPr>
          <w:rFonts w:ascii="Palatino Linotype" w:eastAsia="Palatino Linotype" w:hAnsi="Palatino Linotype" w:cs="Palatino Linotype"/>
          <w:i/>
          <w:color w:val="000000"/>
        </w:rPr>
        <w:t>El ayuntamiento de Ocoyoacac se niega a proporcionar información pública solicitada, pues argumenta que su divulgación puede traer menoscabo a los integrantes del ayuntamiento. La información que solicito, (monto de las percepciones mensuales del alcalde, sindico y regidores, correspondientes al ejercicio fiscal 2022), es pública, de acuerdo a la ley de transparencia, por lo que no se puede clasificar como privada o reservada. El talón de pago que solicito de las percepciones del alcalde, se puede entregar , tapando los datos personales, solo me interesan los montos.</w:t>
      </w:r>
      <w:r w:rsidRPr="00170E6C">
        <w:rPr>
          <w:rFonts w:ascii="Palatino Linotype" w:eastAsia="Palatino Linotype" w:hAnsi="Palatino Linotype" w:cs="Palatino Linotype"/>
          <w:i/>
        </w:rPr>
        <w:t>” [sic]</w:t>
      </w:r>
    </w:p>
    <w:p w14:paraId="591A486D" w14:textId="77777777" w:rsidR="00B13630" w:rsidRPr="00170E6C" w:rsidRDefault="00BD37F9">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170E6C">
        <w:rPr>
          <w:rFonts w:ascii="Palatino Linotype" w:eastAsia="Palatino Linotype" w:hAnsi="Palatino Linotype" w:cs="Palatino Linotype"/>
          <w:b/>
          <w:i/>
          <w:color w:val="000000"/>
          <w:sz w:val="24"/>
          <w:szCs w:val="24"/>
        </w:rPr>
        <w:t>Razones o Motivos de Inconformidad</w:t>
      </w:r>
      <w:r w:rsidRPr="00170E6C">
        <w:rPr>
          <w:rFonts w:ascii="Palatino Linotype" w:eastAsia="Palatino Linotype" w:hAnsi="Palatino Linotype" w:cs="Palatino Linotype"/>
          <w:i/>
          <w:color w:val="000000"/>
          <w:sz w:val="24"/>
          <w:szCs w:val="24"/>
        </w:rPr>
        <w:t>:</w:t>
      </w:r>
    </w:p>
    <w:p w14:paraId="6059715C" w14:textId="77777777" w:rsidR="00B13630" w:rsidRPr="00170E6C" w:rsidRDefault="00BD37F9">
      <w:pPr>
        <w:spacing w:before="240" w:after="0" w:line="360" w:lineRule="auto"/>
        <w:ind w:left="851"/>
        <w:jc w:val="both"/>
        <w:rPr>
          <w:rFonts w:ascii="Palatino Linotype" w:eastAsia="Palatino Linotype" w:hAnsi="Palatino Linotype" w:cs="Palatino Linotype"/>
          <w:i/>
        </w:rPr>
      </w:pPr>
      <w:r w:rsidRPr="00170E6C">
        <w:rPr>
          <w:rFonts w:ascii="Palatino Linotype" w:eastAsia="Palatino Linotype" w:hAnsi="Palatino Linotype" w:cs="Palatino Linotype"/>
          <w:i/>
          <w:color w:val="000000"/>
          <w:sz w:val="24"/>
          <w:szCs w:val="24"/>
        </w:rPr>
        <w:t>“</w:t>
      </w:r>
      <w:r w:rsidRPr="00170E6C">
        <w:rPr>
          <w:rFonts w:ascii="Palatino Linotype" w:eastAsia="Palatino Linotype" w:hAnsi="Palatino Linotype" w:cs="Palatino Linotype"/>
          <w:i/>
          <w:color w:val="000000"/>
        </w:rPr>
        <w:t xml:space="preserve">No hay fundamento juridico para negar la información, pues por ley los datos que solicito deben ser públicos de oficio. Si los solicité es porque no se han subido al sitio web del ayuntamiento ni a la plataforma del Ipomex, como es obligación del sujeto obligado.” </w:t>
      </w:r>
      <w:r w:rsidRPr="00170E6C">
        <w:rPr>
          <w:rFonts w:ascii="Palatino Linotype" w:eastAsia="Palatino Linotype" w:hAnsi="Palatino Linotype" w:cs="Palatino Linotype"/>
          <w:i/>
        </w:rPr>
        <w:t>[sic]</w:t>
      </w:r>
    </w:p>
    <w:p w14:paraId="625EC89C" w14:textId="77777777" w:rsidR="00B13630" w:rsidRPr="00170E6C" w:rsidRDefault="00B13630">
      <w:pPr>
        <w:spacing w:after="0" w:line="360" w:lineRule="auto"/>
        <w:jc w:val="both"/>
        <w:rPr>
          <w:rFonts w:ascii="Palatino Linotype" w:eastAsia="Palatino Linotype" w:hAnsi="Palatino Linotype" w:cs="Palatino Linotype"/>
          <w:b/>
          <w:sz w:val="24"/>
          <w:szCs w:val="24"/>
        </w:rPr>
      </w:pPr>
    </w:p>
    <w:p w14:paraId="694301FB"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 xml:space="preserve">4. TURNO.  </w:t>
      </w:r>
      <w:r w:rsidRPr="00170E6C">
        <w:rPr>
          <w:rFonts w:ascii="Palatino Linotype" w:eastAsia="Palatino Linotype" w:hAnsi="Palatino Linotype" w:cs="Palatino Linotype"/>
          <w:sz w:val="24"/>
          <w:szCs w:val="24"/>
        </w:rPr>
        <w:t>De conformidad con el artículo 185 Fracción I de la Ley Transparencia y Acceso a la Información Pública, el recurso de revisión número</w:t>
      </w:r>
      <w:r w:rsidRPr="00170E6C">
        <w:rPr>
          <w:rFonts w:ascii="Palatino Linotype" w:eastAsia="Palatino Linotype" w:hAnsi="Palatino Linotype" w:cs="Palatino Linotype"/>
          <w:b/>
          <w:sz w:val="24"/>
          <w:szCs w:val="24"/>
        </w:rPr>
        <w:t xml:space="preserve"> 03524/INFOEM/IP/RR/2022 </w:t>
      </w:r>
      <w:r w:rsidRPr="00170E6C">
        <w:rPr>
          <w:rFonts w:ascii="Palatino Linotype" w:eastAsia="Palatino Linotype" w:hAnsi="Palatino Linotype" w:cs="Palatino Linotype"/>
          <w:sz w:val="24"/>
          <w:szCs w:val="24"/>
        </w:rPr>
        <w:t xml:space="preserve">fue turnado en fecha veintitrés de febrero de dos mil veintidós a la Comisionada Ponente </w:t>
      </w:r>
      <w:r w:rsidRPr="00170E6C">
        <w:rPr>
          <w:rFonts w:ascii="Palatino Linotype" w:eastAsia="Palatino Linotype" w:hAnsi="Palatino Linotype" w:cs="Palatino Linotype"/>
          <w:b/>
          <w:sz w:val="24"/>
          <w:szCs w:val="24"/>
        </w:rPr>
        <w:t>Guadalupe Ramírez Peña</w:t>
      </w:r>
      <w:r w:rsidRPr="00170E6C">
        <w:rPr>
          <w:rFonts w:ascii="Palatino Linotype" w:eastAsia="Palatino Linotype" w:hAnsi="Palatino Linotype" w:cs="Palatino Linotype"/>
          <w:sz w:val="24"/>
          <w:szCs w:val="24"/>
        </w:rPr>
        <w:t>; a efecto de presentar al Pleno el proyecto de resolución correspondiente.</w:t>
      </w:r>
    </w:p>
    <w:p w14:paraId="4AAFD6F2"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56D5D6CF"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lastRenderedPageBreak/>
        <w:t xml:space="preserve">5. ADMISIÓN. </w:t>
      </w:r>
      <w:r w:rsidRPr="00170E6C">
        <w:rPr>
          <w:rFonts w:ascii="Palatino Linotype" w:eastAsia="Palatino Linotype" w:hAnsi="Palatino Linotype" w:cs="Palatino Linotype"/>
          <w:sz w:val="24"/>
          <w:szCs w:val="24"/>
        </w:rPr>
        <w:t>En fecha diez de marzo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649E9552" w14:textId="77777777" w:rsidR="00B13630" w:rsidRPr="00170E6C" w:rsidRDefault="00B13630">
      <w:pPr>
        <w:spacing w:after="80" w:line="360" w:lineRule="auto"/>
        <w:jc w:val="both"/>
        <w:rPr>
          <w:rFonts w:ascii="Palatino Linotype" w:eastAsia="Palatino Linotype" w:hAnsi="Palatino Linotype" w:cs="Palatino Linotype"/>
          <w:sz w:val="24"/>
          <w:szCs w:val="24"/>
        </w:rPr>
      </w:pPr>
    </w:p>
    <w:p w14:paraId="32D347A0" w14:textId="77777777" w:rsidR="00B13630" w:rsidRPr="00170E6C" w:rsidRDefault="00BD37F9">
      <w:pPr>
        <w:spacing w:before="80" w:after="240" w:line="360" w:lineRule="auto"/>
        <w:ind w:right="-234"/>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color w:val="202124"/>
          <w:sz w:val="24"/>
          <w:szCs w:val="24"/>
        </w:rPr>
        <w:t xml:space="preserve">6. </w:t>
      </w:r>
      <w:r w:rsidRPr="00170E6C">
        <w:rPr>
          <w:rFonts w:ascii="Palatino Linotype" w:eastAsia="Palatino Linotype" w:hAnsi="Palatino Linotype" w:cs="Palatino Linotype"/>
          <w:b/>
          <w:sz w:val="24"/>
          <w:szCs w:val="24"/>
        </w:rPr>
        <w:t>INFORME JUSTIFICADO O MANIFESTACIONES.</w:t>
      </w:r>
      <w:r w:rsidRPr="00170E6C">
        <w:rPr>
          <w:rFonts w:ascii="Palatino Linotype" w:eastAsia="Palatino Linotype" w:hAnsi="Palatino Linotype" w:cs="Palatino Linotype"/>
          <w:sz w:val="24"/>
          <w:szCs w:val="24"/>
        </w:rPr>
        <w:t xml:space="preserve"> El cuatro de mayo de dos mil veintidós, se recibió, a través del Sistema de Acceso a la Información Mexiquense (SAIMEX), los Informes Justificados del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de la siguiente manera:</w:t>
      </w:r>
    </w:p>
    <w:p w14:paraId="6E6FA0FC" w14:textId="77777777" w:rsidR="00B13630" w:rsidRPr="00170E6C" w:rsidRDefault="00BD37F9">
      <w:pPr>
        <w:spacing w:before="240" w:after="240" w:line="360" w:lineRule="auto"/>
        <w:ind w:right="-234"/>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i/>
          <w:sz w:val="24"/>
          <w:szCs w:val="24"/>
          <w:u w:val="single"/>
        </w:rPr>
        <w:t>RR30.docx</w:t>
      </w:r>
      <w:r w:rsidRPr="00170E6C">
        <w:rPr>
          <w:rFonts w:ascii="Palatino Linotype" w:eastAsia="Palatino Linotype" w:hAnsi="Palatino Linotype" w:cs="Palatino Linotype"/>
          <w:sz w:val="24"/>
          <w:szCs w:val="24"/>
        </w:rPr>
        <w:t>, el cual contiene el oficio de dirigido por el Coordinador de Atención Ciudadana, Gobierno Digital y Abierto, como se observa a continuación:</w:t>
      </w:r>
    </w:p>
    <w:p w14:paraId="4B7FD7E9" w14:textId="77777777" w:rsidR="00B13630" w:rsidRPr="00170E6C" w:rsidRDefault="00BD37F9">
      <w:pPr>
        <w:spacing w:before="240" w:after="240" w:line="360" w:lineRule="auto"/>
        <w:ind w:right="-234"/>
        <w:jc w:val="center"/>
        <w:rPr>
          <w:rFonts w:ascii="Palatino Linotype" w:eastAsia="Palatino Linotype" w:hAnsi="Palatino Linotype" w:cs="Palatino Linotype"/>
          <w:sz w:val="28"/>
          <w:szCs w:val="28"/>
        </w:rPr>
      </w:pPr>
      <w:r w:rsidRPr="00170E6C">
        <w:rPr>
          <w:noProof/>
        </w:rPr>
        <w:lastRenderedPageBreak/>
        <w:drawing>
          <wp:inline distT="0" distB="0" distL="0" distR="0" wp14:anchorId="74404541" wp14:editId="60ADB4AA">
            <wp:extent cx="3093411" cy="3670147"/>
            <wp:effectExtent l="0" t="0" r="0" 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225" t="19914" r="66735" b="16717"/>
                    <a:stretch>
                      <a:fillRect/>
                    </a:stretch>
                  </pic:blipFill>
                  <pic:spPr>
                    <a:xfrm>
                      <a:off x="0" y="0"/>
                      <a:ext cx="3093411" cy="3670147"/>
                    </a:xfrm>
                    <a:prstGeom prst="rect">
                      <a:avLst/>
                    </a:prstGeom>
                    <a:ln/>
                  </pic:spPr>
                </pic:pic>
              </a:graphicData>
            </a:graphic>
          </wp:inline>
        </w:drawing>
      </w:r>
    </w:p>
    <w:p w14:paraId="028AE2EF" w14:textId="77777777" w:rsidR="00B13630" w:rsidRPr="00170E6C" w:rsidRDefault="00BD37F9">
      <w:pPr>
        <w:spacing w:after="240" w:line="360" w:lineRule="auto"/>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b/>
          <w:sz w:val="24"/>
          <w:szCs w:val="24"/>
        </w:rPr>
        <w:t xml:space="preserve">7. CIERRE DE INSTRUCCIÓN. </w:t>
      </w:r>
      <w:r w:rsidRPr="00170E6C">
        <w:rPr>
          <w:rFonts w:ascii="Palatino Linotype" w:eastAsia="Palatino Linotype" w:hAnsi="Palatino Linotype" w:cs="Palatino Linotype"/>
          <w:color w:val="000000"/>
          <w:sz w:val="24"/>
          <w:szCs w:val="24"/>
        </w:rPr>
        <w:t xml:space="preserve">El tres de junio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2530A3C6" w14:textId="77777777" w:rsidR="00B13630" w:rsidRPr="00170E6C" w:rsidRDefault="00BD37F9">
      <w:pPr>
        <w:spacing w:after="24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8. AMPLIACIÓN DEL TÉRMINO PARA RESOLVER</w:t>
      </w:r>
      <w:r w:rsidRPr="00170E6C">
        <w:rPr>
          <w:rFonts w:ascii="Palatino Linotype" w:eastAsia="Palatino Linotype" w:hAnsi="Palatino Linotype" w:cs="Palatino Linotype"/>
          <w:sz w:val="24"/>
          <w:szCs w:val="24"/>
        </w:rPr>
        <w:t xml:space="preserve">. En fecha tres de junio de dos mil veintidós, se amplió el término para resolver el recurso de revisión en términos del artículo 181 párrafo tercero de la Ley de Transparencia y Acceso a la </w:t>
      </w:r>
      <w:r w:rsidRPr="00170E6C">
        <w:rPr>
          <w:rFonts w:ascii="Palatino Linotype" w:eastAsia="Palatino Linotype" w:hAnsi="Palatino Linotype" w:cs="Palatino Linotype"/>
          <w:sz w:val="24"/>
          <w:szCs w:val="24"/>
        </w:rPr>
        <w:lastRenderedPageBreak/>
        <w:t>Información Pública del Estado de México y Municipios por un plazo de quince días hábiles.</w:t>
      </w:r>
    </w:p>
    <w:p w14:paraId="56079834" w14:textId="77777777" w:rsidR="00B13630" w:rsidRPr="00170E6C" w:rsidRDefault="00BD37F9">
      <w:pPr>
        <w:spacing w:after="24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En razón de que fue debidamente sustanciado el expediente electrónico y no existe diligencia pendiente de desahogo, se emite la Resolución que conforme a Derecho proceda, de acuerdo con los siguientes: </w:t>
      </w:r>
    </w:p>
    <w:p w14:paraId="7C66F959" w14:textId="77777777" w:rsidR="00B13630" w:rsidRPr="00170E6C" w:rsidRDefault="00BD37F9">
      <w:pPr>
        <w:spacing w:after="120" w:line="360" w:lineRule="auto"/>
        <w:jc w:val="center"/>
        <w:rPr>
          <w:rFonts w:ascii="Palatino Linotype" w:eastAsia="Palatino Linotype" w:hAnsi="Palatino Linotype" w:cs="Palatino Linotype"/>
          <w:b/>
          <w:sz w:val="24"/>
          <w:szCs w:val="24"/>
        </w:rPr>
      </w:pPr>
      <w:r w:rsidRPr="00170E6C">
        <w:rPr>
          <w:rFonts w:ascii="Palatino Linotype" w:eastAsia="Palatino Linotype" w:hAnsi="Palatino Linotype" w:cs="Palatino Linotype"/>
          <w:b/>
          <w:sz w:val="24"/>
          <w:szCs w:val="24"/>
        </w:rPr>
        <w:t>CONSIDERANDOS:</w:t>
      </w:r>
    </w:p>
    <w:p w14:paraId="1578D235" w14:textId="77777777" w:rsidR="00B13630" w:rsidRPr="00170E6C" w:rsidRDefault="00BD37F9">
      <w:pPr>
        <w:spacing w:before="240" w:after="12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 xml:space="preserve">PRIMERO. COMPETENCIA. </w:t>
      </w:r>
      <w:r w:rsidRPr="00170E6C">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724ECEE" w14:textId="77777777" w:rsidR="00B13630" w:rsidRPr="00170E6C" w:rsidRDefault="00BD37F9">
      <w:pPr>
        <w:spacing w:before="240" w:after="240" w:line="360" w:lineRule="auto"/>
        <w:ind w:right="-234"/>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 xml:space="preserve">SEGUNDO. OPORTUNIDAD Y PROCEDIBILIDAD DEL RECURSO DE REVISIÓN.  </w:t>
      </w:r>
      <w:r w:rsidRPr="00170E6C">
        <w:rPr>
          <w:rFonts w:ascii="Palatino Linotype" w:eastAsia="Palatino Linotype" w:hAnsi="Palatino Linotype" w:cs="Palatino Linotype"/>
          <w:sz w:val="24"/>
          <w:szCs w:val="24"/>
        </w:rPr>
        <w:t xml:space="preserve">Previo al estudio del fondo del asunto, se procede a analizar los requisitos de oportunidad y procedibilidad que debe reunir el recurso de revisión </w:t>
      </w:r>
      <w:r w:rsidRPr="00170E6C">
        <w:rPr>
          <w:rFonts w:ascii="Palatino Linotype" w:eastAsia="Palatino Linotype" w:hAnsi="Palatino Linotype" w:cs="Palatino Linotype"/>
          <w:sz w:val="24"/>
          <w:szCs w:val="24"/>
        </w:rPr>
        <w:lastRenderedPageBreak/>
        <w:t>interpuesto, previstos en los artículos 178 y 180 de la Ley de Transparencia y Acceso a la Información Pública del Estado de México y Municipios.</w:t>
      </w:r>
    </w:p>
    <w:p w14:paraId="3EA250B6" w14:textId="77777777" w:rsidR="00B13630" w:rsidRPr="00170E6C" w:rsidRDefault="00BD37F9">
      <w:pPr>
        <w:spacing w:before="240" w:after="240" w:line="360" w:lineRule="auto"/>
        <w:ind w:right="-234"/>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170E6C">
        <w:rPr>
          <w:rFonts w:ascii="Palatino Linotype" w:eastAsia="Palatino Linotype" w:hAnsi="Palatino Linotype" w:cs="Palatino Linotype"/>
          <w:b/>
          <w:sz w:val="24"/>
          <w:szCs w:val="24"/>
        </w:rPr>
        <w:t xml:space="preserve"> EL SUJETO OBLIGADO </w:t>
      </w:r>
      <w:r w:rsidRPr="00170E6C">
        <w:rPr>
          <w:rFonts w:ascii="Palatino Linotype" w:eastAsia="Palatino Linotype" w:hAnsi="Palatino Linotype" w:cs="Palatino Linotype"/>
          <w:sz w:val="24"/>
          <w:szCs w:val="24"/>
        </w:rPr>
        <w:t xml:space="preserve">emitió la respuesta, toda vez que ésta fue pronunciada el día siete de febrero de dos mil veintidós, mientras que el </w:t>
      </w:r>
      <w:r w:rsidRPr="00170E6C">
        <w:rPr>
          <w:rFonts w:ascii="Palatino Linotype" w:eastAsia="Palatino Linotype" w:hAnsi="Palatino Linotype" w:cs="Palatino Linotype"/>
          <w:b/>
          <w:sz w:val="24"/>
          <w:szCs w:val="24"/>
        </w:rPr>
        <w:t>RECURRENTE</w:t>
      </w:r>
      <w:r w:rsidRPr="00170E6C">
        <w:rPr>
          <w:rFonts w:ascii="Palatino Linotype" w:eastAsia="Palatino Linotype" w:hAnsi="Palatino Linotype" w:cs="Palatino Linotype"/>
          <w:sz w:val="24"/>
          <w:szCs w:val="24"/>
        </w:rPr>
        <w:t xml:space="preserve"> interpuso el recurso de revisión en la misma que se pronunció la respuesta, </w:t>
      </w:r>
      <w:r w:rsidRPr="00170E6C">
        <w:rPr>
          <w:rFonts w:ascii="Palatino Linotype" w:eastAsia="Palatino Linotype" w:hAnsi="Palatino Linotype" w:cs="Palatino Linotype"/>
          <w:color w:val="000000"/>
          <w:sz w:val="24"/>
          <w:szCs w:val="24"/>
        </w:rPr>
        <w:t>circunstancia que no es determinante para declararlos extemporáneos, toda vez que el tiempo concedido es para delimitar el término en que puede impugnarse la respuesta, lo cual no impide que se presente antes de iniciado el plazo previsto.</w:t>
      </w:r>
    </w:p>
    <w:p w14:paraId="73FF1F52" w14:textId="77777777" w:rsidR="00B13630" w:rsidRPr="00170E6C" w:rsidRDefault="00BD37F9">
      <w:pPr>
        <w:shd w:val="clear" w:color="auto" w:fill="FFFFFF"/>
        <w:spacing w:before="240" w:after="240" w:line="360" w:lineRule="auto"/>
        <w:ind w:right="49"/>
        <w:jc w:val="both"/>
        <w:rPr>
          <w:rFonts w:ascii="Times New Roman" w:eastAsia="Times New Roman" w:hAnsi="Times New Roman" w:cs="Times New Roman"/>
          <w:color w:val="000000"/>
          <w:sz w:val="24"/>
          <w:szCs w:val="24"/>
        </w:rPr>
      </w:pPr>
      <w:r w:rsidRPr="00170E6C">
        <w:rPr>
          <w:rFonts w:ascii="Palatino Linotype" w:eastAsia="Palatino Linotype" w:hAnsi="Palatino Linotype" w:cs="Palatino Linotype"/>
          <w:color w:val="000000"/>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170E6C">
        <w:rPr>
          <w:rFonts w:ascii="Times New Roman" w:eastAsia="Times New Roman" w:hAnsi="Times New Roman" w:cs="Times New Roman"/>
          <w:i/>
          <w:color w:val="000000"/>
          <w:sz w:val="24"/>
          <w:szCs w:val="24"/>
        </w:rPr>
        <w:t> </w:t>
      </w:r>
    </w:p>
    <w:p w14:paraId="1D617863" w14:textId="77777777" w:rsidR="00B13630" w:rsidRPr="00170E6C" w:rsidRDefault="00BD37F9">
      <w:pPr>
        <w:shd w:val="clear" w:color="auto" w:fill="FFFFFF"/>
        <w:spacing w:before="240" w:after="240" w:line="276" w:lineRule="auto"/>
        <w:ind w:left="567" w:right="760"/>
        <w:jc w:val="both"/>
        <w:rPr>
          <w:rFonts w:ascii="Times New Roman" w:eastAsia="Times New Roman" w:hAnsi="Times New Roman" w:cs="Times New Roman"/>
          <w:color w:val="000000"/>
        </w:rPr>
      </w:pPr>
      <w:r w:rsidRPr="00170E6C">
        <w:rPr>
          <w:rFonts w:ascii="Palatino Linotype" w:eastAsia="Palatino Linotype" w:hAnsi="Palatino Linotype" w:cs="Palatino Linotype"/>
          <w:color w:val="000000"/>
        </w:rPr>
        <w:t>"</w:t>
      </w:r>
      <w:r w:rsidRPr="00170E6C">
        <w:rPr>
          <w:rFonts w:ascii="Palatino Linotype" w:eastAsia="Palatino Linotype" w:hAnsi="Palatino Linotype" w:cs="Palatino Linotype"/>
          <w:i/>
          <w:color w:val="000000"/>
        </w:rPr>
        <w:t>RECURSO DE RECLAMACIÓN. SU INTERPOSICIÓN NO ES EXTEMPORÁNEA SI SE REALIZA ANTES DE QUE INICIE EL PLAZO PARA HACERLO.</w:t>
      </w:r>
    </w:p>
    <w:p w14:paraId="3F544183" w14:textId="77777777" w:rsidR="00B13630" w:rsidRPr="00170E6C" w:rsidRDefault="00BD37F9">
      <w:pPr>
        <w:shd w:val="clear" w:color="auto" w:fill="FFFFFF"/>
        <w:spacing w:before="240" w:after="240" w:line="276" w:lineRule="auto"/>
        <w:ind w:left="567" w:right="760"/>
        <w:jc w:val="both"/>
        <w:rPr>
          <w:rFonts w:ascii="Times New Roman" w:eastAsia="Times New Roman" w:hAnsi="Times New Roman" w:cs="Times New Roman"/>
          <w:color w:val="000000"/>
        </w:rPr>
      </w:pPr>
      <w:r w:rsidRPr="00170E6C">
        <w:rPr>
          <w:rFonts w:ascii="Palatino Linotype" w:eastAsia="Palatino Linotype" w:hAnsi="Palatino Linotype" w:cs="Palatino Linotype"/>
          <w:i/>
          <w:color w:val="00000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w:t>
      </w:r>
      <w:r w:rsidRPr="00170E6C">
        <w:rPr>
          <w:rFonts w:ascii="Palatino Linotype" w:eastAsia="Palatino Linotype" w:hAnsi="Palatino Linotype" w:cs="Palatino Linotype"/>
          <w:i/>
          <w:color w:val="000000"/>
        </w:rPr>
        <w:lastRenderedPageBreak/>
        <w:t>no puede hacerse valer después de tres días, por tanto, no impide que el escrito correspondiente se presente antes de iniciado ese término.</w:t>
      </w:r>
    </w:p>
    <w:p w14:paraId="1E620660" w14:textId="77777777" w:rsidR="00B13630" w:rsidRPr="00170E6C" w:rsidRDefault="00BD37F9">
      <w:pPr>
        <w:shd w:val="clear" w:color="auto" w:fill="FFFFFF"/>
        <w:spacing w:before="240" w:after="240" w:line="276" w:lineRule="auto"/>
        <w:ind w:left="567" w:right="760"/>
        <w:jc w:val="both"/>
        <w:rPr>
          <w:rFonts w:ascii="Times New Roman" w:eastAsia="Times New Roman" w:hAnsi="Times New Roman" w:cs="Times New Roman"/>
          <w:color w:val="000000"/>
        </w:rPr>
      </w:pPr>
      <w:r w:rsidRPr="00170E6C">
        <w:rPr>
          <w:rFonts w:ascii="Palatino Linotype" w:eastAsia="Palatino Linotype" w:hAnsi="Palatino Linotype" w:cs="Palatino Linotype"/>
          <w:i/>
          <w:color w:val="000000"/>
        </w:rPr>
        <w:t>De ahí que si dicho recurso se interpone antes de que inicie el plazo para hacerlo, su presentación no es extemporánea…</w:t>
      </w:r>
      <w:r w:rsidRPr="00170E6C">
        <w:rPr>
          <w:rFonts w:ascii="Palatino Linotype" w:eastAsia="Palatino Linotype" w:hAnsi="Palatino Linotype" w:cs="Palatino Linotype"/>
          <w:color w:val="000000"/>
        </w:rPr>
        <w:t>"(Sic)</w:t>
      </w:r>
    </w:p>
    <w:p w14:paraId="319B44CD" w14:textId="77777777" w:rsidR="00B13630" w:rsidRPr="00170E6C" w:rsidRDefault="00BD37F9">
      <w:pPr>
        <w:spacing w:before="240" w:after="24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70E6C">
        <w:rPr>
          <w:rFonts w:ascii="Palatino Linotype" w:eastAsia="Palatino Linotype" w:hAnsi="Palatino Linotype" w:cs="Palatino Linotype"/>
          <w:b/>
          <w:sz w:val="24"/>
          <w:szCs w:val="24"/>
        </w:rPr>
        <w:t xml:space="preserve">EL SAIMEX.  </w:t>
      </w:r>
    </w:p>
    <w:p w14:paraId="2CAB4198" w14:textId="77777777" w:rsidR="00B13630" w:rsidRPr="00170E6C" w:rsidRDefault="00BD37F9">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Finalmente, resulta procedente la interposición del recurso, según lo aducido por el </w:t>
      </w:r>
      <w:r w:rsidRPr="00170E6C">
        <w:rPr>
          <w:rFonts w:ascii="Palatino Linotype" w:eastAsia="Palatino Linotype" w:hAnsi="Palatino Linotype" w:cs="Palatino Linotype"/>
          <w:b/>
          <w:sz w:val="24"/>
          <w:szCs w:val="24"/>
        </w:rPr>
        <w:t>RECURRENTE</w:t>
      </w:r>
      <w:r w:rsidRPr="00170E6C">
        <w:rPr>
          <w:rFonts w:ascii="Palatino Linotype" w:eastAsia="Palatino Linotype" w:hAnsi="Palatino Linotype" w:cs="Palatino Linotype"/>
          <w:sz w:val="24"/>
          <w:szCs w:val="24"/>
        </w:rPr>
        <w:t xml:space="preserve"> en sus razones o motivos de inconformidad, de acuerdo al artículo 179, fracción VI de la Ley de Transparencia y Acceso a la Información Pública del Estado de México y Municipios; que a la letra dice:</w:t>
      </w:r>
    </w:p>
    <w:p w14:paraId="410024E2" w14:textId="77777777" w:rsidR="00B13630" w:rsidRPr="00170E6C" w:rsidRDefault="00B1363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p>
    <w:p w14:paraId="3D93C293" w14:textId="77777777" w:rsidR="00B13630" w:rsidRPr="00170E6C" w:rsidRDefault="00BD37F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b/>
          <w:i/>
        </w:rPr>
        <w:t>“Artículo 179</w:t>
      </w:r>
      <w:r w:rsidRPr="00170E6C">
        <w:rPr>
          <w:rFonts w:ascii="Palatino Linotype" w:eastAsia="Palatino Linotype" w:hAnsi="Palatino Linotype" w:cs="Palatino Linotype"/>
          <w:i/>
        </w:rPr>
        <w:t xml:space="preserve">. </w:t>
      </w:r>
      <w:r w:rsidRPr="00170E6C">
        <w:rPr>
          <w:rFonts w:ascii="Palatino Linotype" w:eastAsia="Palatino Linotype" w:hAnsi="Palatino Linotype" w:cs="Palatino Linotype"/>
          <w:b/>
          <w:i/>
        </w:rPr>
        <w:t>El recurso de revisión</w:t>
      </w:r>
      <w:r w:rsidRPr="00170E6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170E6C">
        <w:rPr>
          <w:rFonts w:ascii="Palatino Linotype" w:eastAsia="Palatino Linotype" w:hAnsi="Palatino Linotype" w:cs="Palatino Linotype"/>
          <w:b/>
          <w:i/>
        </w:rPr>
        <w:t>, y procederá en contra de las siguientes causas</w:t>
      </w:r>
      <w:r w:rsidRPr="00170E6C">
        <w:rPr>
          <w:rFonts w:ascii="Palatino Linotype" w:eastAsia="Palatino Linotype" w:hAnsi="Palatino Linotype" w:cs="Palatino Linotype"/>
          <w:i/>
        </w:rPr>
        <w:t>:</w:t>
      </w:r>
    </w:p>
    <w:p w14:paraId="689C5E63" w14:textId="77777777" w:rsidR="00B13630" w:rsidRPr="00170E6C" w:rsidRDefault="00BD37F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51DDE5C3" w14:textId="77777777" w:rsidR="00B13630" w:rsidRPr="00170E6C" w:rsidRDefault="00BD37F9">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i/>
        </w:rPr>
        <w:t>II. La clasificación de la información;” (Sic)</w:t>
      </w:r>
    </w:p>
    <w:p w14:paraId="48C455F6" w14:textId="77777777" w:rsidR="00B13630" w:rsidRPr="00170E6C" w:rsidRDefault="00BD37F9">
      <w:pPr>
        <w:spacing w:after="8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 xml:space="preserve">TERCERO. MATERIA DE LA REVISIÓN. </w:t>
      </w:r>
      <w:r w:rsidRPr="00170E6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w:t>
      </w:r>
      <w:r w:rsidRPr="00170E6C">
        <w:rPr>
          <w:rFonts w:ascii="Palatino Linotype" w:eastAsia="Palatino Linotype" w:hAnsi="Palatino Linotype" w:cs="Palatino Linotype"/>
          <w:sz w:val="24"/>
          <w:szCs w:val="24"/>
        </w:rPr>
        <w:lastRenderedPageBreak/>
        <w:t xml:space="preserve">pronunciará será: verificar si la respuesta otorgada por 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xml:space="preserve"> es adecuada y suficiente para satisfacer el derecho de acceso a la información pública de la parte </w:t>
      </w:r>
      <w:r w:rsidRPr="00170E6C">
        <w:rPr>
          <w:rFonts w:ascii="Palatino Linotype" w:eastAsia="Palatino Linotype" w:hAnsi="Palatino Linotype" w:cs="Palatino Linotype"/>
          <w:b/>
          <w:sz w:val="24"/>
          <w:szCs w:val="24"/>
        </w:rPr>
        <w:t>RECURRENTE</w:t>
      </w:r>
      <w:r w:rsidRPr="00170E6C">
        <w:rPr>
          <w:rFonts w:ascii="Palatino Linotype" w:eastAsia="Palatino Linotype" w:hAnsi="Palatino Linotype" w:cs="Palatino Linotype"/>
          <w:sz w:val="24"/>
          <w:szCs w:val="24"/>
        </w:rPr>
        <w:t>, o en su defecto, en caso de ser procedente, ordenar la entrega de información oportuna.</w:t>
      </w:r>
    </w:p>
    <w:p w14:paraId="2F229C54" w14:textId="77777777" w:rsidR="00B13630" w:rsidRPr="00170E6C" w:rsidRDefault="00B13630">
      <w:pPr>
        <w:spacing w:after="80" w:line="360" w:lineRule="auto"/>
        <w:jc w:val="both"/>
        <w:rPr>
          <w:rFonts w:ascii="Palatino Linotype" w:eastAsia="Palatino Linotype" w:hAnsi="Palatino Linotype" w:cs="Palatino Linotype"/>
          <w:sz w:val="24"/>
          <w:szCs w:val="24"/>
        </w:rPr>
      </w:pPr>
    </w:p>
    <w:p w14:paraId="5DD413D0" w14:textId="77777777" w:rsidR="00B13630" w:rsidRPr="00170E6C" w:rsidRDefault="00BD37F9">
      <w:pPr>
        <w:pBdr>
          <w:top w:val="nil"/>
          <w:left w:val="nil"/>
          <w:bottom w:val="nil"/>
          <w:right w:val="nil"/>
          <w:between w:val="nil"/>
        </w:pBdr>
        <w:spacing w:before="80" w:after="240" w:line="360" w:lineRule="auto"/>
        <w:jc w:val="both"/>
        <w:rPr>
          <w:rFonts w:ascii="Palatino Linotype" w:eastAsia="Palatino Linotype" w:hAnsi="Palatino Linotype" w:cs="Palatino Linotype"/>
          <w:b/>
          <w:color w:val="000000"/>
          <w:sz w:val="24"/>
          <w:szCs w:val="24"/>
        </w:rPr>
      </w:pPr>
      <w:r w:rsidRPr="00170E6C">
        <w:rPr>
          <w:rFonts w:ascii="Palatino Linotype" w:eastAsia="Palatino Linotype" w:hAnsi="Palatino Linotype" w:cs="Palatino Linotype"/>
          <w:b/>
          <w:color w:val="000000"/>
          <w:sz w:val="24"/>
          <w:szCs w:val="24"/>
        </w:rPr>
        <w:t xml:space="preserve">CUARTO. ESTUDIO Y RESOLUCIÓN DEL ASUNTO.  </w:t>
      </w:r>
      <w:r w:rsidRPr="00170E6C">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2C08EF7A" w14:textId="77777777" w:rsidR="00B13630" w:rsidRPr="00170E6C" w:rsidRDefault="00BD37F9">
      <w:pPr>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 “</w:t>
      </w:r>
      <w:r w:rsidRPr="00170E6C">
        <w:rPr>
          <w:rFonts w:ascii="Palatino Linotype" w:eastAsia="Palatino Linotype" w:hAnsi="Palatino Linotype" w:cs="Palatino Linotype"/>
          <w:b/>
          <w:i/>
        </w:rPr>
        <w:t>Artículo 4.</w:t>
      </w:r>
      <w:r w:rsidRPr="00170E6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DD7D7C9" w14:textId="77777777" w:rsidR="00B13630" w:rsidRPr="00170E6C" w:rsidRDefault="00BD37F9">
      <w:pPr>
        <w:ind w:left="851" w:right="900"/>
        <w:jc w:val="both"/>
        <w:rPr>
          <w:rFonts w:ascii="Palatino Linotype" w:eastAsia="Palatino Linotype" w:hAnsi="Palatino Linotype" w:cs="Palatino Linotype"/>
        </w:rPr>
      </w:pPr>
      <w:r w:rsidRPr="00170E6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70E6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C7E2A44" w14:textId="77777777" w:rsidR="00B13630" w:rsidRPr="00170E6C" w:rsidRDefault="00BD37F9">
      <w:pPr>
        <w:spacing w:before="24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De lo anterior, se desprende que los Sujetos Obligados tienen la obligación o deber de atender las solicitudes de acceso a la información pública que se les hagan de su </w:t>
      </w:r>
      <w:r w:rsidRPr="00170E6C">
        <w:rPr>
          <w:rFonts w:ascii="Palatino Linotype" w:eastAsia="Palatino Linotype" w:hAnsi="Palatino Linotype" w:cs="Palatino Linotype"/>
          <w:sz w:val="24"/>
          <w:szCs w:val="24"/>
        </w:rPr>
        <w:lastRenderedPageBreak/>
        <w:t>conocimiento y proporcionar la información pública que obren en su poder como así lo establece el artículo 12 de la Ley de Transparencia y Acceso a la Información Pública del Estado de México y Municipios, el cual a la letra dice:</w:t>
      </w:r>
    </w:p>
    <w:p w14:paraId="5F282A13" w14:textId="77777777" w:rsidR="00B13630" w:rsidRPr="00170E6C" w:rsidRDefault="00BD37F9">
      <w:pPr>
        <w:spacing w:before="240" w:after="24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b/>
          <w:i/>
        </w:rPr>
        <w:t>“Artículo 12</w:t>
      </w:r>
      <w:r w:rsidRPr="00170E6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2E2FDA9" w14:textId="77777777" w:rsidR="00B13630" w:rsidRPr="00170E6C" w:rsidRDefault="00BD37F9">
      <w:pPr>
        <w:spacing w:before="240" w:after="24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929FF4D" w14:textId="77777777" w:rsidR="00B13630" w:rsidRPr="00170E6C" w:rsidRDefault="00BD37F9">
      <w:pPr>
        <w:spacing w:before="240" w:after="24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170E6C">
        <w:rPr>
          <w:rFonts w:ascii="Palatino Linotype" w:eastAsia="Palatino Linotype" w:hAnsi="Palatino Linotype" w:cs="Palatino Linotype"/>
          <w:b/>
          <w:sz w:val="24"/>
          <w:szCs w:val="24"/>
        </w:rPr>
        <w:t xml:space="preserve"> </w:t>
      </w:r>
      <w:r w:rsidRPr="00170E6C">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170E6C">
        <w:rPr>
          <w:rFonts w:ascii="Palatino Linotype" w:eastAsia="Palatino Linotype" w:hAnsi="Palatino Linotype" w:cs="Palatino Linotype"/>
          <w:i/>
          <w:sz w:val="24"/>
          <w:szCs w:val="24"/>
        </w:rPr>
        <w:t>ad hoc</w:t>
      </w:r>
      <w:r w:rsidRPr="00170E6C">
        <w:rPr>
          <w:rFonts w:ascii="Palatino Linotype" w:eastAsia="Palatino Linotype" w:hAnsi="Palatino Linotype" w:cs="Palatino Linotype"/>
          <w:sz w:val="24"/>
          <w:szCs w:val="24"/>
        </w:rPr>
        <w:t>, para satisfacer el derecho de acceso a la información pública.</w:t>
      </w:r>
    </w:p>
    <w:p w14:paraId="5B34350B" w14:textId="77777777" w:rsidR="00B13630" w:rsidRPr="00170E6C" w:rsidRDefault="00BD37F9">
      <w:pPr>
        <w:spacing w:before="240" w:after="24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Aunado a ello el artículo 24 de la Ley de la materia</w:t>
      </w:r>
      <w:r w:rsidRPr="00170E6C">
        <w:rPr>
          <w:rFonts w:ascii="Palatino Linotype" w:eastAsia="Palatino Linotype" w:hAnsi="Palatino Linotype" w:cs="Palatino Linotype"/>
          <w:sz w:val="24"/>
          <w:szCs w:val="24"/>
          <w:vertAlign w:val="superscript"/>
        </w:rPr>
        <w:footnoteReference w:id="1"/>
      </w:r>
      <w:r w:rsidRPr="00170E6C">
        <w:rPr>
          <w:rFonts w:ascii="Palatino Linotype" w:eastAsia="Palatino Linotype" w:hAnsi="Palatino Linotype" w:cs="Palatino Linotype"/>
          <w:sz w:val="24"/>
          <w:szCs w:val="24"/>
        </w:rPr>
        <w:t xml:space="preserve">, dispone que los Sujetos Obligados sólo proporcionarán la información pública que generen, administren o posean en el ejercicio de sus atribuciones; por consiguiente, la información pública </w:t>
      </w:r>
      <w:r w:rsidRPr="00170E6C">
        <w:rPr>
          <w:rFonts w:ascii="Palatino Linotype" w:eastAsia="Palatino Linotype" w:hAnsi="Palatino Linotype" w:cs="Palatino Linotype"/>
          <w:sz w:val="24"/>
          <w:szCs w:val="24"/>
        </w:rPr>
        <w:lastRenderedPageBreak/>
        <w:t>se encuentra a disposición de cualquier persona, lo que implica que es deber de los Sujetos Obligados, garantizar el derecho de acceso a la información pública.</w:t>
      </w:r>
    </w:p>
    <w:p w14:paraId="7CE3BB70" w14:textId="77777777" w:rsidR="00B13630" w:rsidRPr="00170E6C" w:rsidRDefault="00BD37F9">
      <w:pPr>
        <w:spacing w:before="240" w:after="240" w:line="360" w:lineRule="auto"/>
        <w:jc w:val="both"/>
        <w:rPr>
          <w:rFonts w:ascii="Palatino Linotype" w:eastAsia="Palatino Linotype" w:hAnsi="Palatino Linotype" w:cs="Palatino Linotype"/>
        </w:rPr>
      </w:pPr>
      <w:r w:rsidRPr="00170E6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170E6C">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170E6C">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170E6C">
        <w:rPr>
          <w:rFonts w:ascii="Palatino Linotype" w:eastAsia="Palatino Linotype" w:hAnsi="Palatino Linotype" w:cs="Palatino Linotype"/>
        </w:rPr>
        <w:t xml:space="preserve"> </w:t>
      </w:r>
    </w:p>
    <w:p w14:paraId="479AACBA" w14:textId="77777777" w:rsidR="00B13630" w:rsidRPr="00170E6C" w:rsidRDefault="00BD37F9">
      <w:pPr>
        <w:ind w:left="851" w:right="899"/>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r w:rsidRPr="00170E6C">
        <w:rPr>
          <w:rFonts w:ascii="Palatino Linotype" w:eastAsia="Palatino Linotype" w:hAnsi="Palatino Linotype" w:cs="Palatino Linotype"/>
          <w:b/>
          <w:i/>
        </w:rPr>
        <w:t xml:space="preserve">Artículo 3. </w:t>
      </w:r>
      <w:r w:rsidRPr="00170E6C">
        <w:rPr>
          <w:rFonts w:ascii="Palatino Linotype" w:eastAsia="Palatino Linotype" w:hAnsi="Palatino Linotype" w:cs="Palatino Linotype"/>
          <w:i/>
        </w:rPr>
        <w:t>Para los efectos de la presente Ley se entenderá por:</w:t>
      </w:r>
    </w:p>
    <w:p w14:paraId="13E12AEC" w14:textId="77777777" w:rsidR="00B13630" w:rsidRPr="00170E6C" w:rsidRDefault="00BD37F9">
      <w:pPr>
        <w:ind w:left="1134" w:right="899"/>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403860EC" w14:textId="77777777" w:rsidR="00B13630" w:rsidRPr="00170E6C" w:rsidRDefault="00BD37F9">
      <w:pPr>
        <w:ind w:left="1134" w:right="899"/>
        <w:jc w:val="both"/>
        <w:rPr>
          <w:rFonts w:ascii="Palatino Linotype" w:eastAsia="Palatino Linotype" w:hAnsi="Palatino Linotype" w:cs="Palatino Linotype"/>
          <w:i/>
        </w:rPr>
      </w:pPr>
      <w:r w:rsidRPr="00170E6C">
        <w:rPr>
          <w:rFonts w:ascii="Palatino Linotype" w:eastAsia="Palatino Linotype" w:hAnsi="Palatino Linotype" w:cs="Palatino Linotype"/>
          <w:b/>
          <w:i/>
        </w:rPr>
        <w:t>XI. Documento:</w:t>
      </w:r>
      <w:r w:rsidRPr="00170E6C">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170E6C">
        <w:rPr>
          <w:rFonts w:ascii="Palatino Linotype" w:eastAsia="Palatino Linotype" w:hAnsi="Palatino Linotype" w:cs="Palatino Linotype"/>
          <w:b/>
          <w:i/>
        </w:rPr>
        <w:t>…</w:t>
      </w:r>
      <w:r w:rsidRPr="00170E6C">
        <w:rPr>
          <w:rFonts w:ascii="Palatino Linotype" w:eastAsia="Palatino Linotype" w:hAnsi="Palatino Linotype" w:cs="Palatino Linotype"/>
          <w:i/>
        </w:rPr>
        <w:t>”</w:t>
      </w:r>
    </w:p>
    <w:p w14:paraId="4DEB189F" w14:textId="77777777" w:rsidR="00B13630" w:rsidRPr="00170E6C" w:rsidRDefault="00BD37F9">
      <w:pPr>
        <w:spacing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170E6C">
        <w:rPr>
          <w:rFonts w:ascii="Palatino Linotype" w:eastAsia="Palatino Linotype" w:hAnsi="Palatino Linotype" w:cs="Palatino Linotype"/>
          <w:sz w:val="24"/>
          <w:szCs w:val="24"/>
        </w:rPr>
        <w:lastRenderedPageBreak/>
        <w:t>Gobierno”, el diecinueve de octubre de dos mil once, cuyo rubro y texto refieren lo siguiente:</w:t>
      </w:r>
    </w:p>
    <w:p w14:paraId="4F1C7243" w14:textId="77777777" w:rsidR="00B13630" w:rsidRPr="00170E6C" w:rsidRDefault="00BD37F9">
      <w:pPr>
        <w:spacing w:before="120" w:after="120"/>
        <w:ind w:left="851" w:right="902"/>
        <w:jc w:val="both"/>
        <w:rPr>
          <w:rFonts w:ascii="Palatino Linotype" w:eastAsia="Palatino Linotype" w:hAnsi="Palatino Linotype" w:cs="Palatino Linotype"/>
          <w:b/>
          <w:i/>
        </w:rPr>
      </w:pPr>
      <w:r w:rsidRPr="00170E6C">
        <w:rPr>
          <w:rFonts w:ascii="Palatino Linotype" w:eastAsia="Palatino Linotype" w:hAnsi="Palatino Linotype" w:cs="Palatino Linotype"/>
          <w:b/>
        </w:rPr>
        <w:t>“</w:t>
      </w:r>
      <w:r w:rsidRPr="00170E6C">
        <w:rPr>
          <w:rFonts w:ascii="Palatino Linotype" w:eastAsia="Palatino Linotype" w:hAnsi="Palatino Linotype" w:cs="Palatino Linotype"/>
          <w:b/>
          <w:i/>
        </w:rPr>
        <w:t>CRITERIO 0002-11</w:t>
      </w:r>
    </w:p>
    <w:p w14:paraId="115860C4" w14:textId="77777777" w:rsidR="00B13630" w:rsidRPr="00170E6C" w:rsidRDefault="00BD37F9">
      <w:pPr>
        <w:spacing w:before="120"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70E6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84EC50" w14:textId="77777777" w:rsidR="00B13630" w:rsidRPr="00170E6C" w:rsidRDefault="00BD37F9">
      <w:pPr>
        <w:spacing w:before="120"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En consecuencia el acceso a la información se refiere a que se cumplan cualquiera de los siguientes tres supuestos:</w:t>
      </w:r>
    </w:p>
    <w:p w14:paraId="346A79E0" w14:textId="77777777" w:rsidR="00B13630" w:rsidRPr="00170E6C" w:rsidRDefault="00BD37F9">
      <w:pPr>
        <w:spacing w:before="120" w:after="120"/>
        <w:ind w:left="1134" w:right="902"/>
        <w:jc w:val="both"/>
        <w:rPr>
          <w:rFonts w:ascii="Palatino Linotype" w:eastAsia="Palatino Linotype" w:hAnsi="Palatino Linotype" w:cs="Palatino Linotype"/>
          <w:b/>
          <w:i/>
        </w:rPr>
      </w:pPr>
      <w:r w:rsidRPr="00170E6C">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73D264C8" w14:textId="77777777" w:rsidR="00B13630" w:rsidRPr="00170E6C" w:rsidRDefault="00BD37F9">
      <w:pPr>
        <w:spacing w:before="120" w:after="120"/>
        <w:ind w:left="1134"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697147C3" w14:textId="77777777" w:rsidR="00B13630" w:rsidRPr="00170E6C" w:rsidRDefault="00BD37F9">
      <w:pPr>
        <w:spacing w:before="120" w:after="120"/>
        <w:ind w:left="1134"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39DAEE77" w14:textId="77777777" w:rsidR="00B13630" w:rsidRPr="00170E6C" w:rsidRDefault="00B1363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FF0000"/>
          <w:sz w:val="24"/>
          <w:szCs w:val="24"/>
        </w:rPr>
      </w:pPr>
    </w:p>
    <w:p w14:paraId="1EFB10EB" w14:textId="77777777" w:rsidR="00B13630" w:rsidRPr="00170E6C" w:rsidRDefault="00BD37F9">
      <w:pPr>
        <w:spacing w:before="240" w:after="0" w:line="360" w:lineRule="auto"/>
        <w:ind w:right="-234"/>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sidRPr="00170E6C">
        <w:rPr>
          <w:rFonts w:ascii="Palatino Linotype" w:eastAsia="Palatino Linotype" w:hAnsi="Palatino Linotype" w:cs="Palatino Linotype"/>
          <w:b/>
          <w:color w:val="000000"/>
          <w:sz w:val="24"/>
          <w:szCs w:val="24"/>
        </w:rPr>
        <w:t>RECURRENTE</w:t>
      </w:r>
      <w:r w:rsidRPr="00170E6C">
        <w:rPr>
          <w:rFonts w:ascii="Palatino Linotype" w:eastAsia="Palatino Linotype" w:hAnsi="Palatino Linotype" w:cs="Palatino Linotype"/>
          <w:color w:val="000000"/>
          <w:sz w:val="24"/>
          <w:szCs w:val="24"/>
        </w:rPr>
        <w:t xml:space="preserve"> requirió al </w:t>
      </w:r>
      <w:r w:rsidRPr="00170E6C">
        <w:rPr>
          <w:rFonts w:ascii="Palatino Linotype" w:eastAsia="Palatino Linotype" w:hAnsi="Palatino Linotype" w:cs="Palatino Linotype"/>
          <w:b/>
          <w:color w:val="000000"/>
          <w:sz w:val="24"/>
          <w:szCs w:val="24"/>
        </w:rPr>
        <w:t>SUJETO OBLIGADO</w:t>
      </w:r>
      <w:r w:rsidRPr="00170E6C">
        <w:rPr>
          <w:rFonts w:ascii="Palatino Linotype" w:eastAsia="Palatino Linotype" w:hAnsi="Palatino Linotype" w:cs="Palatino Linotype"/>
          <w:color w:val="000000"/>
          <w:sz w:val="24"/>
          <w:szCs w:val="24"/>
        </w:rPr>
        <w:t xml:space="preserve"> le proporcione, información consistente en lo siguiente:</w:t>
      </w:r>
    </w:p>
    <w:p w14:paraId="20C4B800" w14:textId="77777777" w:rsidR="00B13630" w:rsidRPr="00170E6C" w:rsidRDefault="00B13630">
      <w:pPr>
        <w:spacing w:after="0" w:line="360" w:lineRule="auto"/>
        <w:ind w:right="-234"/>
        <w:jc w:val="both"/>
        <w:rPr>
          <w:rFonts w:ascii="Palatino Linotype" w:eastAsia="Palatino Linotype" w:hAnsi="Palatino Linotype" w:cs="Palatino Linotype"/>
          <w:sz w:val="24"/>
          <w:szCs w:val="24"/>
        </w:rPr>
      </w:pPr>
    </w:p>
    <w:p w14:paraId="35D3AD6B" w14:textId="77777777" w:rsidR="00B13630" w:rsidRPr="00170E6C" w:rsidRDefault="00BD37F9">
      <w:pPr>
        <w:spacing w:after="0" w:line="360" w:lineRule="auto"/>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color w:val="000000"/>
          <w:sz w:val="24"/>
          <w:szCs w:val="24"/>
        </w:rPr>
        <w:lastRenderedPageBreak/>
        <w:t xml:space="preserve">-Monto de las percepciones mensuales del presidente (a) municipal, síndico (a) y regidores del ayuntamiento, además del tesorero (desglosado por sueldo bruto, gratificaciones, bonos, primas, deducciones, sueldo neto). </w:t>
      </w:r>
    </w:p>
    <w:p w14:paraId="14B0BE69" w14:textId="77777777" w:rsidR="00B13630" w:rsidRPr="00170E6C" w:rsidRDefault="00BD37F9">
      <w:pPr>
        <w:spacing w:after="0" w:line="360" w:lineRule="auto"/>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color w:val="000000"/>
          <w:sz w:val="24"/>
          <w:szCs w:val="24"/>
        </w:rPr>
        <w:t>-Copia del talón de pago o recibo de pago al presidente o presidenta municipal.</w:t>
      </w:r>
    </w:p>
    <w:p w14:paraId="5B858222" w14:textId="77777777" w:rsidR="00B13630" w:rsidRPr="00170E6C" w:rsidRDefault="00B13630">
      <w:pPr>
        <w:spacing w:after="0" w:line="360" w:lineRule="auto"/>
        <w:jc w:val="both"/>
        <w:rPr>
          <w:rFonts w:ascii="Palatino Linotype" w:eastAsia="Palatino Linotype" w:hAnsi="Palatino Linotype" w:cs="Palatino Linotype"/>
          <w:color w:val="000000"/>
          <w:sz w:val="24"/>
          <w:szCs w:val="24"/>
        </w:rPr>
      </w:pPr>
    </w:p>
    <w:p w14:paraId="2BDE30D6"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color w:val="000000"/>
          <w:sz w:val="24"/>
          <w:szCs w:val="24"/>
        </w:rPr>
        <w:t xml:space="preserve">En respuesta, el </w:t>
      </w:r>
      <w:r w:rsidRPr="00170E6C">
        <w:rPr>
          <w:rFonts w:ascii="Palatino Linotype" w:eastAsia="Palatino Linotype" w:hAnsi="Palatino Linotype" w:cs="Palatino Linotype"/>
          <w:b/>
          <w:color w:val="000000"/>
          <w:sz w:val="24"/>
          <w:szCs w:val="24"/>
        </w:rPr>
        <w:t xml:space="preserve">SUJETO OBLIGADO </w:t>
      </w:r>
      <w:r w:rsidRPr="00170E6C">
        <w:rPr>
          <w:rFonts w:ascii="Palatino Linotype" w:eastAsia="Palatino Linotype" w:hAnsi="Palatino Linotype" w:cs="Palatino Linotype"/>
          <w:sz w:val="24"/>
          <w:szCs w:val="24"/>
        </w:rPr>
        <w:t>a través a través de la Dirección General de Administración, menciona que reserva  los montos de percepciones, refiriendo que al divulgarlas, puede generar un menoscabo o daño en las personas de quienes se solicita, fundamentando su argumento en el artículo 16 de la Constitución Política de los Estados Unidos Mexicanos.</w:t>
      </w:r>
    </w:p>
    <w:p w14:paraId="06045D75"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70821191" w14:textId="77777777" w:rsidR="00B13630" w:rsidRPr="00170E6C" w:rsidRDefault="00BD37F9">
      <w:pPr>
        <w:spacing w:after="0" w:line="360" w:lineRule="auto"/>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sz w:val="24"/>
          <w:szCs w:val="24"/>
        </w:rPr>
        <w:t>Conocida la respuesta por el particular, al no estar conforme con los términos de la misma, presentó el recurso de revisión que nos ocupa, mediante el cual señaló como motivo de inconformidad, en lo medular por la reserva de la información</w:t>
      </w:r>
      <w:r w:rsidRPr="00170E6C">
        <w:rPr>
          <w:rFonts w:ascii="Palatino Linotype" w:eastAsia="Palatino Linotype" w:hAnsi="Palatino Linotype" w:cs="Palatino Linotype"/>
          <w:color w:val="000000"/>
          <w:sz w:val="24"/>
          <w:szCs w:val="24"/>
        </w:rPr>
        <w:t>.</w:t>
      </w:r>
    </w:p>
    <w:p w14:paraId="48E8CD21"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261242BB"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Admitido el presente recurso de revisión, en términos del artículo 185 fracción II</w:t>
      </w:r>
      <w:r w:rsidRPr="00170E6C">
        <w:rPr>
          <w:rFonts w:ascii="Palatino Linotype" w:eastAsia="Palatino Linotype" w:hAnsi="Palatino Linotype" w:cs="Palatino Linotype"/>
          <w:sz w:val="24"/>
          <w:szCs w:val="24"/>
          <w:vertAlign w:val="superscript"/>
        </w:rPr>
        <w:footnoteReference w:id="2"/>
      </w:r>
      <w:r w:rsidRPr="00170E6C">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596CE4F"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25758664"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En tal sentido, el </w:t>
      </w:r>
      <w:r w:rsidRPr="00170E6C">
        <w:rPr>
          <w:rFonts w:ascii="Palatino Linotype" w:eastAsia="Palatino Linotype" w:hAnsi="Palatino Linotype" w:cs="Palatino Linotype"/>
          <w:b/>
          <w:sz w:val="24"/>
          <w:szCs w:val="24"/>
        </w:rPr>
        <w:t xml:space="preserve">SUJETO OBLIGADO </w:t>
      </w:r>
      <w:r w:rsidRPr="00170E6C">
        <w:rPr>
          <w:rFonts w:ascii="Palatino Linotype" w:eastAsia="Palatino Linotype" w:hAnsi="Palatino Linotype" w:cs="Palatino Linotype"/>
          <w:sz w:val="24"/>
          <w:szCs w:val="24"/>
        </w:rPr>
        <w:t xml:space="preserve">remitió su informe justificado, mediante el cual, ratificó en lo sustancial la respuesta proporcionada en primera instancia, por lo que respecta a la parte </w:t>
      </w:r>
      <w:r w:rsidRPr="00170E6C">
        <w:rPr>
          <w:rFonts w:ascii="Palatino Linotype" w:eastAsia="Palatino Linotype" w:hAnsi="Palatino Linotype" w:cs="Palatino Linotype"/>
          <w:b/>
          <w:sz w:val="24"/>
          <w:szCs w:val="24"/>
        </w:rPr>
        <w:t>RECURRENTE</w:t>
      </w:r>
      <w:r w:rsidRPr="00170E6C">
        <w:rPr>
          <w:rFonts w:ascii="Palatino Linotype" w:eastAsia="Palatino Linotype" w:hAnsi="Palatino Linotype" w:cs="Palatino Linotype"/>
          <w:sz w:val="24"/>
          <w:szCs w:val="24"/>
        </w:rPr>
        <w:t>, resulto omiso de rendir manifestación alguna.</w:t>
      </w:r>
    </w:p>
    <w:p w14:paraId="28B16E11" w14:textId="77777777" w:rsidR="00B13630" w:rsidRPr="00170E6C" w:rsidRDefault="00BD37F9">
      <w:pPr>
        <w:spacing w:before="240" w:after="0" w:line="360" w:lineRule="auto"/>
        <w:jc w:val="both"/>
        <w:rPr>
          <w:rFonts w:ascii="Palatino Linotype" w:eastAsia="Palatino Linotype" w:hAnsi="Palatino Linotype" w:cs="Palatino Linotype"/>
          <w:color w:val="FF0000"/>
          <w:sz w:val="28"/>
          <w:szCs w:val="28"/>
        </w:rPr>
      </w:pPr>
      <w:r w:rsidRPr="00170E6C">
        <w:rPr>
          <w:rFonts w:ascii="Palatino Linotype" w:eastAsia="Palatino Linotype" w:hAnsi="Palatino Linotype" w:cs="Palatino Linotype"/>
          <w:color w:val="000000"/>
          <w:sz w:val="24"/>
          <w:szCs w:val="24"/>
        </w:rPr>
        <w:t xml:space="preserve">De esta manera, se procede al análisis de la respuesta proporcionada por el </w:t>
      </w:r>
      <w:r w:rsidRPr="00170E6C">
        <w:rPr>
          <w:rFonts w:ascii="Palatino Linotype" w:eastAsia="Palatino Linotype" w:hAnsi="Palatino Linotype" w:cs="Palatino Linotype"/>
          <w:b/>
          <w:color w:val="000000"/>
          <w:sz w:val="24"/>
          <w:szCs w:val="24"/>
        </w:rPr>
        <w:t>SUJETO OBLIGADO,</w:t>
      </w:r>
      <w:r w:rsidRPr="00170E6C">
        <w:rPr>
          <w:rFonts w:ascii="Palatino Linotype" w:eastAsia="Palatino Linotype" w:hAnsi="Palatino Linotype" w:cs="Palatino Linotype"/>
          <w:color w:val="000000"/>
          <w:sz w:val="24"/>
          <w:szCs w:val="24"/>
        </w:rPr>
        <w:t xml:space="preserve"> a efecto de determinar si es suficiente para tener por colmado el derecho de acceso a la información del </w:t>
      </w:r>
      <w:r w:rsidRPr="00170E6C">
        <w:rPr>
          <w:rFonts w:ascii="Palatino Linotype" w:eastAsia="Palatino Linotype" w:hAnsi="Palatino Linotype" w:cs="Palatino Linotype"/>
          <w:b/>
          <w:color w:val="000000"/>
          <w:sz w:val="24"/>
          <w:szCs w:val="24"/>
        </w:rPr>
        <w:t>RECURRENTE</w:t>
      </w:r>
      <w:r w:rsidRPr="00170E6C">
        <w:rPr>
          <w:rFonts w:ascii="Palatino Linotype" w:eastAsia="Palatino Linotype" w:hAnsi="Palatino Linotype" w:cs="Palatino Linotype"/>
          <w:color w:val="000000"/>
          <w:sz w:val="24"/>
          <w:szCs w:val="24"/>
        </w:rPr>
        <w:t>, o en su defecto ordenar la entrega del o los documentos que lo satisfagan.</w:t>
      </w:r>
    </w:p>
    <w:p w14:paraId="39D83D72" w14:textId="77777777" w:rsidR="00B13630" w:rsidRPr="00170E6C" w:rsidRDefault="00BD37F9">
      <w:pPr>
        <w:spacing w:after="0" w:line="360" w:lineRule="auto"/>
        <w:jc w:val="both"/>
        <w:rPr>
          <w:rFonts w:ascii="Palatino Linotype" w:eastAsia="Palatino Linotype" w:hAnsi="Palatino Linotype" w:cs="Palatino Linotype"/>
          <w:color w:val="FF0000"/>
          <w:sz w:val="24"/>
          <w:szCs w:val="24"/>
        </w:rPr>
      </w:pPr>
      <w:r w:rsidRPr="00170E6C">
        <w:rPr>
          <w:rFonts w:ascii="Palatino Linotype" w:eastAsia="Palatino Linotype" w:hAnsi="Palatino Linotype" w:cs="Palatino Linotype"/>
          <w:color w:val="FF0000"/>
          <w:sz w:val="24"/>
          <w:szCs w:val="24"/>
        </w:rPr>
        <w:t xml:space="preserve"> </w:t>
      </w:r>
    </w:p>
    <w:p w14:paraId="37BA0BE4" w14:textId="77777777" w:rsidR="00B13630" w:rsidRPr="00170E6C" w:rsidRDefault="00BD37F9">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color w:val="000000"/>
          <w:sz w:val="24"/>
          <w:szCs w:val="24"/>
        </w:rPr>
        <w:t xml:space="preserve">Motivo por el </w:t>
      </w:r>
      <w:r w:rsidRPr="00170E6C">
        <w:rPr>
          <w:rFonts w:ascii="Palatino Linotype" w:eastAsia="Palatino Linotype" w:hAnsi="Palatino Linotype" w:cs="Palatino Linotype"/>
          <w:sz w:val="24"/>
          <w:szCs w:val="24"/>
        </w:rPr>
        <w:t>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7766FC9F"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44F654F3"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925CB6A" w14:textId="77777777" w:rsidR="00B13630" w:rsidRPr="00170E6C" w:rsidRDefault="00B13630">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p>
    <w:p w14:paraId="79F972E0"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lastRenderedPageBreak/>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71B9059D" w14:textId="77777777" w:rsidR="00B13630" w:rsidRPr="00170E6C" w:rsidRDefault="00B13630">
      <w:pPr>
        <w:spacing w:line="360" w:lineRule="auto"/>
        <w:jc w:val="both"/>
        <w:rPr>
          <w:rFonts w:ascii="Palatino Linotype" w:eastAsia="Palatino Linotype" w:hAnsi="Palatino Linotype" w:cs="Palatino Linotype"/>
        </w:rPr>
      </w:pPr>
    </w:p>
    <w:p w14:paraId="62195D2E" w14:textId="77777777" w:rsidR="00B13630" w:rsidRPr="00170E6C" w:rsidRDefault="00BD37F9">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b/>
          <w:i/>
        </w:rPr>
        <w:t>ARTÍCULO 220 K.-</w:t>
      </w:r>
      <w:r w:rsidRPr="00170E6C">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14:paraId="0218A560" w14:textId="77777777" w:rsidR="00B13630" w:rsidRPr="00170E6C" w:rsidRDefault="00BD37F9">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I. Contratos, Nombramientos o Formato Único de Movimientos de Personal, cuando no exista Convenio de condiciones generales de trabajo aplicable;</w:t>
      </w:r>
    </w:p>
    <w:p w14:paraId="068D0A6D" w14:textId="77777777" w:rsidR="00B13630" w:rsidRPr="00170E6C" w:rsidRDefault="00BD37F9">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II. </w:t>
      </w:r>
      <w:r w:rsidRPr="00170E6C">
        <w:rPr>
          <w:rFonts w:ascii="Palatino Linotype" w:eastAsia="Palatino Linotype" w:hAnsi="Palatino Linotype" w:cs="Palatino Linotype"/>
          <w:i/>
          <w:u w:val="single"/>
        </w:rPr>
        <w:t>Recibos de pagos</w:t>
      </w:r>
      <w:r w:rsidRPr="00170E6C">
        <w:rPr>
          <w:rFonts w:ascii="Palatino Linotype" w:eastAsia="Palatino Linotype" w:hAnsi="Palatino Linotype" w:cs="Palatino Linotype"/>
          <w:i/>
        </w:rPr>
        <w:t xml:space="preserve"> de salarios o las constancias documentales del pago de salario cuando sea por depósito o mediante información electrónica;</w:t>
      </w:r>
    </w:p>
    <w:p w14:paraId="6BD5B411" w14:textId="77777777" w:rsidR="00B13630" w:rsidRPr="00170E6C" w:rsidRDefault="00BD37F9">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III. Controles de asistencia o la información magnética o electrónica de asistencia de los servidores públicos;</w:t>
      </w:r>
    </w:p>
    <w:p w14:paraId="0069D10E" w14:textId="77777777" w:rsidR="00B13630" w:rsidRPr="00170E6C" w:rsidRDefault="00BD37F9">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IV. Recibos o las constancias de depósito o del medio de información magnética o electrónica que sean utilizadas para el pago de salarios, prima vacacional, aguinaldo y demás prestaciones establecidas en la presente ley; y</w:t>
      </w:r>
    </w:p>
    <w:p w14:paraId="7685A507" w14:textId="77777777" w:rsidR="00B13630" w:rsidRPr="00170E6C" w:rsidRDefault="00BD37F9">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V. Los demás que señalen las leyes.</w:t>
      </w:r>
    </w:p>
    <w:p w14:paraId="0018FE6D" w14:textId="77777777" w:rsidR="00B13630" w:rsidRPr="00170E6C" w:rsidRDefault="00BD37F9">
      <w:pPr>
        <w:spacing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w:t>
      </w:r>
      <w:r w:rsidRPr="00170E6C">
        <w:rPr>
          <w:rFonts w:ascii="Palatino Linotype" w:eastAsia="Palatino Linotype" w:hAnsi="Palatino Linotype" w:cs="Palatino Linotype"/>
          <w:i/>
        </w:rPr>
        <w:lastRenderedPageBreak/>
        <w:t xml:space="preserve">y las constancias expedidas por el encargado del área de personal de éstas, harán prueba plena. </w:t>
      </w:r>
    </w:p>
    <w:p w14:paraId="59E54748" w14:textId="77777777" w:rsidR="00B13630" w:rsidRPr="00170E6C" w:rsidRDefault="00B13630">
      <w:pPr>
        <w:spacing w:after="0" w:line="360" w:lineRule="auto"/>
        <w:jc w:val="both"/>
        <w:rPr>
          <w:rFonts w:ascii="Palatino Linotype" w:eastAsia="Palatino Linotype" w:hAnsi="Palatino Linotype" w:cs="Palatino Linotype"/>
        </w:rPr>
      </w:pPr>
    </w:p>
    <w:p w14:paraId="4BEC6B06"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47D2B2CD" w14:textId="77777777" w:rsidR="00B13630" w:rsidRPr="00170E6C" w:rsidRDefault="00BD37F9">
      <w:pPr>
        <w:tabs>
          <w:tab w:val="right" w:pos="8505"/>
        </w:tabs>
        <w:spacing w:after="240" w:line="360" w:lineRule="auto"/>
        <w:jc w:val="both"/>
        <w:rPr>
          <w:sz w:val="24"/>
          <w:szCs w:val="24"/>
        </w:rPr>
      </w:pPr>
      <w:r w:rsidRPr="00170E6C">
        <w:rPr>
          <w:rFonts w:ascii="Palatino Linotype" w:eastAsia="Palatino Linotype" w:hAnsi="Palatino Linotype" w:cs="Palatino Linotype"/>
          <w:sz w:val="24"/>
          <w:szCs w:val="24"/>
        </w:rPr>
        <w:t xml:space="preserve">Una vez precisado lo que antecede, es necesario analizar la Ley de Fiscalización Superior del Estado de México, toda vez que señala que los municipios que conforman el Estado de México, entre ellos 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w:t>
      </w:r>
      <w:r w:rsidRPr="00170E6C">
        <w:rPr>
          <w:sz w:val="24"/>
          <w:szCs w:val="24"/>
        </w:rPr>
        <w:t xml:space="preserve"> </w:t>
      </w:r>
      <w:r w:rsidRPr="00170E6C">
        <w:rPr>
          <w:rFonts w:ascii="Palatino Linotype" w:eastAsia="Palatino Linotype" w:hAnsi="Palatino Linotype" w:cs="Palatino Linotype"/>
          <w:sz w:val="24"/>
          <w:szCs w:val="24"/>
        </w:rPr>
        <w:t>es considerado como ente fiscalizable, como así lo señala el artículo 4 fracción II de la Ley de Fiscalización Superior del Estado de México, el cual señala:</w:t>
      </w:r>
    </w:p>
    <w:p w14:paraId="79223258" w14:textId="77777777" w:rsidR="00B13630" w:rsidRPr="00170E6C" w:rsidRDefault="00BD37F9">
      <w:pPr>
        <w:spacing w:before="240"/>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t xml:space="preserve">“Artículo 4. </w:t>
      </w:r>
      <w:r w:rsidRPr="00170E6C">
        <w:rPr>
          <w:rFonts w:ascii="Palatino Linotype" w:eastAsia="Palatino Linotype" w:hAnsi="Palatino Linotype" w:cs="Palatino Linotype"/>
          <w:i/>
        </w:rPr>
        <w:t>Son sujetos de fiscalización:</w:t>
      </w:r>
    </w:p>
    <w:p w14:paraId="2FF24BF0" w14:textId="77777777" w:rsidR="00B13630" w:rsidRPr="00170E6C" w:rsidRDefault="00BD37F9">
      <w:pPr>
        <w:ind w:left="851" w:right="851"/>
        <w:jc w:val="both"/>
        <w:rPr>
          <w:i/>
        </w:rPr>
      </w:pPr>
      <w:r w:rsidRPr="00170E6C">
        <w:rPr>
          <w:rFonts w:ascii="Palatino Linotype" w:eastAsia="Palatino Linotype" w:hAnsi="Palatino Linotype" w:cs="Palatino Linotype"/>
          <w:i/>
        </w:rPr>
        <w:t>…</w:t>
      </w:r>
    </w:p>
    <w:p w14:paraId="7D57F44D" w14:textId="77777777" w:rsidR="00B13630" w:rsidRPr="00170E6C" w:rsidRDefault="00BD37F9">
      <w:pPr>
        <w:numPr>
          <w:ilvl w:val="0"/>
          <w:numId w:val="1"/>
        </w:numPr>
        <w:spacing w:before="240" w:line="240" w:lineRule="auto"/>
        <w:ind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Los municipios del Estado de México…” (Sic)</w:t>
      </w:r>
    </w:p>
    <w:p w14:paraId="32441E11" w14:textId="77777777" w:rsidR="00B13630" w:rsidRPr="00170E6C" w:rsidRDefault="00B13630">
      <w:pPr>
        <w:spacing w:before="240"/>
        <w:ind w:left="851" w:right="851"/>
        <w:jc w:val="both"/>
        <w:rPr>
          <w:b/>
        </w:rPr>
      </w:pPr>
    </w:p>
    <w:p w14:paraId="7A4241D2" w14:textId="77777777" w:rsidR="00B13630" w:rsidRPr="00170E6C" w:rsidRDefault="00BD37F9">
      <w:pPr>
        <w:spacing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2021, como así se advierte a continuación:</w:t>
      </w:r>
    </w:p>
    <w:p w14:paraId="5AE418B6" w14:textId="77777777" w:rsidR="00B13630" w:rsidRPr="00170E6C" w:rsidRDefault="00B13630">
      <w:pPr>
        <w:spacing w:line="360" w:lineRule="auto"/>
        <w:ind w:right="49"/>
        <w:jc w:val="both"/>
        <w:rPr>
          <w:rFonts w:ascii="Palatino Linotype" w:eastAsia="Palatino Linotype" w:hAnsi="Palatino Linotype" w:cs="Palatino Linotype"/>
        </w:rPr>
      </w:pPr>
    </w:p>
    <w:p w14:paraId="7B94EF08" w14:textId="77777777" w:rsidR="00B13630" w:rsidRPr="00170E6C" w:rsidRDefault="00BD37F9">
      <w:pPr>
        <w:ind w:left="851" w:right="851"/>
        <w:jc w:val="both"/>
        <w:rPr>
          <w:i/>
        </w:rPr>
      </w:pPr>
      <w:r w:rsidRPr="00170E6C">
        <w:rPr>
          <w:rFonts w:ascii="Palatino Linotype" w:eastAsia="Palatino Linotype" w:hAnsi="Palatino Linotype" w:cs="Palatino Linotype"/>
          <w:b/>
          <w:i/>
        </w:rPr>
        <w:t xml:space="preserve">“Artículo 8. </w:t>
      </w:r>
      <w:r w:rsidRPr="00170E6C">
        <w:rPr>
          <w:rFonts w:ascii="Palatino Linotype" w:eastAsia="Palatino Linotype" w:hAnsi="Palatino Linotype" w:cs="Palatino Linotype"/>
          <w:i/>
        </w:rPr>
        <w:t>El Órgano Superior tendrá las siguientes atribuciones:</w:t>
      </w:r>
    </w:p>
    <w:p w14:paraId="1BA2FBD9" w14:textId="77777777" w:rsidR="00B13630" w:rsidRPr="00170E6C" w:rsidRDefault="00BD37F9">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56A463B6" w14:textId="77777777" w:rsidR="00B13630" w:rsidRPr="00170E6C" w:rsidRDefault="00BD37F9">
      <w:pPr>
        <w:ind w:left="851" w:right="851"/>
        <w:jc w:val="both"/>
        <w:rPr>
          <w:rFonts w:ascii="Palatino Linotype" w:eastAsia="Palatino Linotype" w:hAnsi="Palatino Linotype" w:cs="Palatino Linotype"/>
          <w:b/>
          <w:i/>
        </w:rPr>
      </w:pPr>
      <w:r w:rsidRPr="00170E6C">
        <w:rPr>
          <w:rFonts w:ascii="Palatino Linotype" w:eastAsia="Palatino Linotype" w:hAnsi="Palatino Linotype" w:cs="Palatino Linotype"/>
          <w:b/>
          <w:i/>
        </w:rPr>
        <w:t>XI. Establecer los lineamientos</w:t>
      </w:r>
      <w:r w:rsidRPr="00170E6C">
        <w:rPr>
          <w:rFonts w:ascii="Palatino Linotype" w:eastAsia="Palatino Linotype" w:hAnsi="Palatino Linotype" w:cs="Palatino Linotype"/>
          <w:i/>
        </w:rPr>
        <w:t xml:space="preserve">, criterios, procedimientos, métodos y sistemas </w:t>
      </w:r>
      <w:r w:rsidRPr="00170E6C">
        <w:rPr>
          <w:rFonts w:ascii="Palatino Linotype" w:eastAsia="Palatino Linotype" w:hAnsi="Palatino Linotype" w:cs="Palatino Linotype"/>
          <w:b/>
          <w:i/>
        </w:rPr>
        <w:t>para las acciones de control y evaluación, necesarios para la fiscalización de las cuentas públicas y los informes trimestrales</w:t>
      </w:r>
      <w:r w:rsidRPr="00170E6C">
        <w:rPr>
          <w:rFonts w:ascii="Palatino Linotype" w:eastAsia="Palatino Linotype" w:hAnsi="Palatino Linotype" w:cs="Palatino Linotype"/>
          <w:i/>
        </w:rPr>
        <w:t>…</w:t>
      </w:r>
      <w:r w:rsidRPr="00170E6C">
        <w:rPr>
          <w:rFonts w:ascii="Palatino Linotype" w:eastAsia="Palatino Linotype" w:hAnsi="Palatino Linotype" w:cs="Palatino Linotype"/>
        </w:rPr>
        <w:t>” (</w:t>
      </w:r>
      <w:r w:rsidRPr="00170E6C">
        <w:rPr>
          <w:rFonts w:ascii="Palatino Linotype" w:eastAsia="Palatino Linotype" w:hAnsi="Palatino Linotype" w:cs="Palatino Linotype"/>
          <w:i/>
        </w:rPr>
        <w:t>Sic)</w:t>
      </w:r>
    </w:p>
    <w:p w14:paraId="7B921993" w14:textId="77777777" w:rsidR="00B13630" w:rsidRPr="00170E6C" w:rsidRDefault="00B13630">
      <w:pPr>
        <w:ind w:left="851" w:right="851"/>
        <w:jc w:val="both"/>
        <w:rPr>
          <w:rFonts w:ascii="Palatino Linotype" w:eastAsia="Palatino Linotype" w:hAnsi="Palatino Linotype" w:cs="Palatino Linotype"/>
          <w:b/>
          <w:i/>
        </w:rPr>
      </w:pPr>
    </w:p>
    <w:p w14:paraId="2EEC2227" w14:textId="77777777" w:rsidR="00B13630" w:rsidRPr="00170E6C" w:rsidRDefault="00BD37F9">
      <w:pPr>
        <w:spacing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Dentro de los cuales ubicamos en su módulo cuatro la información de la nómina, como se advierte en las siguientes imágenes sustraídas de dichas políticas:</w:t>
      </w:r>
    </w:p>
    <w:p w14:paraId="33E6EE7C" w14:textId="77777777" w:rsidR="00B13630" w:rsidRPr="00170E6C" w:rsidRDefault="00BD37F9">
      <w:pPr>
        <w:spacing w:line="360" w:lineRule="auto"/>
        <w:jc w:val="both"/>
      </w:pPr>
      <w:r w:rsidRPr="00170E6C">
        <w:rPr>
          <w:noProof/>
        </w:rPr>
        <mc:AlternateContent>
          <mc:Choice Requires="wpg">
            <w:drawing>
              <wp:anchor distT="0" distB="0" distL="114300" distR="114300" simplePos="0" relativeHeight="251658240" behindDoc="0" locked="0" layoutInCell="1" hidden="0" allowOverlap="1" wp14:anchorId="02F8C6E3" wp14:editId="1CF29FE0">
                <wp:simplePos x="0" y="0"/>
                <wp:positionH relativeFrom="column">
                  <wp:posOffset>-12699</wp:posOffset>
                </wp:positionH>
                <wp:positionV relativeFrom="paragraph">
                  <wp:posOffset>0</wp:posOffset>
                </wp:positionV>
                <wp:extent cx="5653896" cy="3497293"/>
                <wp:effectExtent l="0" t="0" r="0" b="0"/>
                <wp:wrapNone/>
                <wp:docPr id="54" name="Conector recto de flecha 54"/>
                <wp:cNvGraphicFramePr/>
                <a:graphic xmlns:a="http://schemas.openxmlformats.org/drawingml/2006/main">
                  <a:graphicData uri="http://schemas.microsoft.com/office/word/2010/wordprocessingShape">
                    <wps:wsp>
                      <wps:cNvCnPr/>
                      <wps:spPr>
                        <a:xfrm>
                          <a:off x="2538102" y="2050404"/>
                          <a:ext cx="5615796" cy="3459193"/>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653896" cy="3497293"/>
                <wp:effectExtent b="0" l="0" r="0" t="0"/>
                <wp:wrapNone/>
                <wp:docPr id="54"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5653896" cy="3497293"/>
                        </a:xfrm>
                        <a:prstGeom prst="rect"/>
                        <a:ln/>
                      </pic:spPr>
                    </pic:pic>
                  </a:graphicData>
                </a:graphic>
              </wp:anchor>
            </w:drawing>
          </mc:Fallback>
        </mc:AlternateContent>
      </w:r>
    </w:p>
    <w:p w14:paraId="3D57ED5A" w14:textId="77777777" w:rsidR="00B13630" w:rsidRPr="00170E6C" w:rsidRDefault="00BD37F9">
      <w:pPr>
        <w:spacing w:line="360" w:lineRule="auto"/>
        <w:jc w:val="both"/>
      </w:pPr>
      <w:r w:rsidRPr="00170E6C">
        <w:rPr>
          <w:noProof/>
        </w:rPr>
        <w:drawing>
          <wp:inline distT="0" distB="0" distL="0" distR="0" wp14:anchorId="22EC0AB4" wp14:editId="546359F4">
            <wp:extent cx="5441950" cy="356870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3987" t="26966" r="3144" b="13260"/>
                    <a:stretch>
                      <a:fillRect/>
                    </a:stretch>
                  </pic:blipFill>
                  <pic:spPr>
                    <a:xfrm>
                      <a:off x="0" y="0"/>
                      <a:ext cx="5441950" cy="3568700"/>
                    </a:xfrm>
                    <a:prstGeom prst="rect">
                      <a:avLst/>
                    </a:prstGeom>
                    <a:ln/>
                  </pic:spPr>
                </pic:pic>
              </a:graphicData>
            </a:graphic>
          </wp:inline>
        </w:drawing>
      </w:r>
      <w:r w:rsidRPr="00170E6C">
        <w:rPr>
          <w:noProof/>
        </w:rPr>
        <mc:AlternateContent>
          <mc:Choice Requires="wpg">
            <w:drawing>
              <wp:anchor distT="0" distB="0" distL="114300" distR="114300" simplePos="0" relativeHeight="251659264" behindDoc="0" locked="0" layoutInCell="1" hidden="0" allowOverlap="1" wp14:anchorId="027ED92F" wp14:editId="575E96FF">
                <wp:simplePos x="0" y="0"/>
                <wp:positionH relativeFrom="column">
                  <wp:posOffset>241300</wp:posOffset>
                </wp:positionH>
                <wp:positionV relativeFrom="paragraph">
                  <wp:posOffset>1701800</wp:posOffset>
                </wp:positionV>
                <wp:extent cx="5162550" cy="361950"/>
                <wp:effectExtent l="0" t="0" r="0" b="0"/>
                <wp:wrapNone/>
                <wp:docPr id="56" name="Rectángulo 56"/>
                <wp:cNvGraphicFramePr/>
                <a:graphic xmlns:a="http://schemas.openxmlformats.org/drawingml/2006/main">
                  <a:graphicData uri="http://schemas.microsoft.com/office/word/2010/wordprocessingShape">
                    <wps:wsp>
                      <wps:cNvSpPr/>
                      <wps:spPr>
                        <a:xfrm>
                          <a:off x="2783775" y="3618075"/>
                          <a:ext cx="5124450" cy="323850"/>
                        </a:xfrm>
                        <a:prstGeom prst="rect">
                          <a:avLst/>
                        </a:prstGeom>
                        <a:noFill/>
                        <a:ln w="38100" cap="flat" cmpd="sng">
                          <a:solidFill>
                            <a:srgbClr val="FF0000"/>
                          </a:solidFill>
                          <a:prstDash val="solid"/>
                          <a:miter lim="800000"/>
                          <a:headEnd type="none" w="sm" len="sm"/>
                          <a:tailEnd type="none" w="sm" len="sm"/>
                        </a:ln>
                      </wps:spPr>
                      <wps:txbx>
                        <w:txbxContent>
                          <w:p w14:paraId="74BF0284" w14:textId="77777777" w:rsidR="00B13630" w:rsidRDefault="00B136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wp:posOffset>
                </wp:positionH>
                <wp:positionV relativeFrom="paragraph">
                  <wp:posOffset>1701800</wp:posOffset>
                </wp:positionV>
                <wp:extent cx="5162550" cy="361950"/>
                <wp:effectExtent b="0" l="0" r="0" t="0"/>
                <wp:wrapNone/>
                <wp:docPr id="56"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5162550" cy="361950"/>
                        </a:xfrm>
                        <a:prstGeom prst="rect"/>
                        <a:ln/>
                      </pic:spPr>
                    </pic:pic>
                  </a:graphicData>
                </a:graphic>
              </wp:anchor>
            </w:drawing>
          </mc:Fallback>
        </mc:AlternateContent>
      </w:r>
    </w:p>
    <w:p w14:paraId="71397B85" w14:textId="77777777" w:rsidR="00B13630" w:rsidRPr="00170E6C" w:rsidRDefault="00BD37F9">
      <w:pPr>
        <w:spacing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lastRenderedPageBreak/>
        <w:t xml:space="preserve">De la imagen antes referida, se desprende que en el Submódulo Nómina contiene el documento denominado </w:t>
      </w:r>
      <w:r w:rsidRPr="00170E6C">
        <w:rPr>
          <w:rFonts w:ascii="Palatino Linotype" w:eastAsia="Palatino Linotype" w:hAnsi="Palatino Linotype" w:cs="Palatino Linotype"/>
          <w:sz w:val="24"/>
          <w:szCs w:val="24"/>
          <w:u w:val="single"/>
        </w:rPr>
        <w:t>Conciliación de Nómina Mensual,</w:t>
      </w:r>
      <w:r w:rsidRPr="00170E6C">
        <w:rPr>
          <w:rFonts w:ascii="Palatino Linotype" w:eastAsia="Palatino Linotype" w:hAnsi="Palatino Linotype" w:cs="Palatino Linotype"/>
          <w:sz w:val="24"/>
          <w:szCs w:val="24"/>
        </w:rPr>
        <w:t xml:space="preserve"> el cual sería el documento que colmaría lo referente al </w:t>
      </w:r>
      <w:r w:rsidRPr="00170E6C">
        <w:rPr>
          <w:rFonts w:ascii="Palatino Linotype" w:eastAsia="Palatino Linotype" w:hAnsi="Palatino Linotype" w:cs="Palatino Linotype"/>
          <w:color w:val="000000"/>
          <w:sz w:val="24"/>
          <w:szCs w:val="24"/>
        </w:rPr>
        <w:t>monto de las percepciones mensuales</w:t>
      </w:r>
      <w:r w:rsidRPr="00170E6C">
        <w:rPr>
          <w:rFonts w:ascii="Palatino Linotype" w:eastAsia="Palatino Linotype" w:hAnsi="Palatino Linotype" w:cs="Palatino Linotype"/>
          <w:sz w:val="24"/>
          <w:szCs w:val="24"/>
        </w:rPr>
        <w:t>, toda vez que contiene de manera detallada las percepciones de los servidores públicos como se muestra a continuación:</w:t>
      </w:r>
    </w:p>
    <w:p w14:paraId="454497C0" w14:textId="77777777" w:rsidR="00B13630" w:rsidRPr="00170E6C" w:rsidRDefault="00B13630">
      <w:pPr>
        <w:spacing w:line="360" w:lineRule="auto"/>
        <w:jc w:val="both"/>
        <w:rPr>
          <w:rFonts w:ascii="Palatino Linotype" w:eastAsia="Palatino Linotype" w:hAnsi="Palatino Linotype" w:cs="Palatino Linotype"/>
        </w:rPr>
      </w:pPr>
    </w:p>
    <w:p w14:paraId="737E7318" w14:textId="77777777" w:rsidR="00B13630" w:rsidRPr="00170E6C" w:rsidRDefault="00BD37F9">
      <w:pPr>
        <w:spacing w:line="360" w:lineRule="auto"/>
        <w:jc w:val="center"/>
      </w:pPr>
      <w:r w:rsidRPr="00170E6C">
        <w:t xml:space="preserve"> </w:t>
      </w:r>
      <w:r w:rsidRPr="00170E6C">
        <w:rPr>
          <w:noProof/>
        </w:rPr>
        <w:drawing>
          <wp:inline distT="0" distB="0" distL="0" distR="0" wp14:anchorId="62D393F2" wp14:editId="69DF9D8D">
            <wp:extent cx="5536718" cy="2554090"/>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22016" t="21239" r="22858" b="33554"/>
                    <a:stretch>
                      <a:fillRect/>
                    </a:stretch>
                  </pic:blipFill>
                  <pic:spPr>
                    <a:xfrm>
                      <a:off x="0" y="0"/>
                      <a:ext cx="5536718" cy="2554090"/>
                    </a:xfrm>
                    <a:prstGeom prst="rect">
                      <a:avLst/>
                    </a:prstGeom>
                    <a:ln/>
                  </pic:spPr>
                </pic:pic>
              </a:graphicData>
            </a:graphic>
          </wp:inline>
        </w:drawing>
      </w:r>
    </w:p>
    <w:p w14:paraId="55125175" w14:textId="77777777" w:rsidR="00B13630" w:rsidRPr="00170E6C" w:rsidRDefault="00BD37F9">
      <w:pPr>
        <w:spacing w:line="360" w:lineRule="auto"/>
        <w:jc w:val="center"/>
      </w:pPr>
      <w:r w:rsidRPr="00170E6C">
        <w:rPr>
          <w:noProof/>
        </w:rPr>
        <mc:AlternateContent>
          <mc:Choice Requires="wpg">
            <w:drawing>
              <wp:anchor distT="0" distB="0" distL="114300" distR="114300" simplePos="0" relativeHeight="251660288" behindDoc="0" locked="0" layoutInCell="1" hidden="0" allowOverlap="1" wp14:anchorId="42AC26FA" wp14:editId="61602F37">
                <wp:simplePos x="0" y="0"/>
                <wp:positionH relativeFrom="column">
                  <wp:posOffset>101601</wp:posOffset>
                </wp:positionH>
                <wp:positionV relativeFrom="paragraph">
                  <wp:posOffset>63500</wp:posOffset>
                </wp:positionV>
                <wp:extent cx="5381625" cy="4305300"/>
                <wp:effectExtent l="0" t="0" r="0" b="0"/>
                <wp:wrapNone/>
                <wp:docPr id="53" name="Conector recto de flecha 53"/>
                <wp:cNvGraphicFramePr/>
                <a:graphic xmlns:a="http://schemas.openxmlformats.org/drawingml/2006/main">
                  <a:graphicData uri="http://schemas.microsoft.com/office/word/2010/wordprocessingShape">
                    <wps:wsp>
                      <wps:cNvCnPr/>
                      <wps:spPr>
                        <a:xfrm>
                          <a:off x="2674238" y="1646400"/>
                          <a:ext cx="5343525" cy="4267200"/>
                        </a:xfrm>
                        <a:prstGeom prst="straightConnector1">
                          <a:avLst/>
                        </a:prstGeom>
                        <a:noFill/>
                        <a:ln w="381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101601</wp:posOffset>
                </wp:positionH>
                <wp:positionV relativeFrom="paragraph">
                  <wp:posOffset>63500</wp:posOffset>
                </wp:positionV>
                <wp:extent cx="5381625" cy="4305300"/>
                <wp:effectExtent b="0" l="0" r="0" t="0"/>
                <wp:wrapNone/>
                <wp:docPr id="53"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5381625" cy="4305300"/>
                        </a:xfrm>
                        <a:prstGeom prst="rect"/>
                        <a:ln/>
                      </pic:spPr>
                    </pic:pic>
                  </a:graphicData>
                </a:graphic>
              </wp:anchor>
            </w:drawing>
          </mc:Fallback>
        </mc:AlternateContent>
      </w:r>
    </w:p>
    <w:p w14:paraId="3ACBEB84" w14:textId="77777777" w:rsidR="00B13630" w:rsidRPr="00170E6C" w:rsidRDefault="00BD37F9">
      <w:pPr>
        <w:spacing w:line="360" w:lineRule="auto"/>
        <w:jc w:val="center"/>
        <w:rPr>
          <w:rFonts w:ascii="Palatino Linotype" w:eastAsia="Palatino Linotype" w:hAnsi="Palatino Linotype" w:cs="Palatino Linotype"/>
        </w:rPr>
      </w:pPr>
      <w:r w:rsidRPr="00170E6C">
        <w:rPr>
          <w:noProof/>
        </w:rPr>
        <w:lastRenderedPageBreak/>
        <w:drawing>
          <wp:inline distT="0" distB="0" distL="0" distR="0" wp14:anchorId="42004E7C" wp14:editId="20CFCE67">
            <wp:extent cx="5358860" cy="6902937"/>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4816" t="24272" r="34975" b="6553"/>
                    <a:stretch>
                      <a:fillRect/>
                    </a:stretch>
                  </pic:blipFill>
                  <pic:spPr>
                    <a:xfrm>
                      <a:off x="0" y="0"/>
                      <a:ext cx="5358860" cy="6902937"/>
                    </a:xfrm>
                    <a:prstGeom prst="rect">
                      <a:avLst/>
                    </a:prstGeom>
                    <a:ln/>
                  </pic:spPr>
                </pic:pic>
              </a:graphicData>
            </a:graphic>
          </wp:inline>
        </w:drawing>
      </w:r>
    </w:p>
    <w:p w14:paraId="3C170404" w14:textId="77777777" w:rsidR="00B13630" w:rsidRPr="00170E6C" w:rsidRDefault="00BD37F9">
      <w:pPr>
        <w:spacing w:line="360" w:lineRule="auto"/>
        <w:jc w:val="center"/>
        <w:rPr>
          <w:rFonts w:ascii="Palatino Linotype" w:eastAsia="Palatino Linotype" w:hAnsi="Palatino Linotype" w:cs="Palatino Linotype"/>
        </w:rPr>
      </w:pPr>
      <w:r w:rsidRPr="00170E6C">
        <w:rPr>
          <w:noProof/>
        </w:rPr>
        <w:lastRenderedPageBreak/>
        <w:drawing>
          <wp:inline distT="0" distB="0" distL="0" distR="0" wp14:anchorId="5F2E19B6" wp14:editId="069D4239">
            <wp:extent cx="4303809" cy="3578166"/>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34816" t="38531" r="35829" b="18081"/>
                    <a:stretch>
                      <a:fillRect/>
                    </a:stretch>
                  </pic:blipFill>
                  <pic:spPr>
                    <a:xfrm>
                      <a:off x="0" y="0"/>
                      <a:ext cx="4303809" cy="3578166"/>
                    </a:xfrm>
                    <a:prstGeom prst="rect">
                      <a:avLst/>
                    </a:prstGeom>
                    <a:ln/>
                  </pic:spPr>
                </pic:pic>
              </a:graphicData>
            </a:graphic>
          </wp:inline>
        </w:drawing>
      </w:r>
    </w:p>
    <w:p w14:paraId="5A01D7DB" w14:textId="77777777" w:rsidR="00B13630" w:rsidRPr="00170E6C" w:rsidRDefault="00B13630">
      <w:pPr>
        <w:spacing w:after="0" w:line="360" w:lineRule="auto"/>
        <w:ind w:right="-91"/>
        <w:jc w:val="both"/>
        <w:rPr>
          <w:rFonts w:ascii="Palatino Linotype" w:eastAsia="Palatino Linotype" w:hAnsi="Palatino Linotype" w:cs="Palatino Linotype"/>
          <w:sz w:val="24"/>
          <w:szCs w:val="24"/>
        </w:rPr>
      </w:pPr>
    </w:p>
    <w:p w14:paraId="13C2D490" w14:textId="77777777" w:rsidR="00B13630" w:rsidRPr="00170E6C" w:rsidRDefault="00BD37F9">
      <w:pPr>
        <w:spacing w:after="0" w:line="360" w:lineRule="auto"/>
        <w:ind w:right="-91"/>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color w:val="000000"/>
          <w:sz w:val="24"/>
          <w:szCs w:val="24"/>
        </w:rPr>
        <w:t>De acuerdo a lo anterior, se observa que dicho documento, contiene el desglose de deducciones, y percepciones en las remuneraciones de los servidores públicos referidos en la solicitud del particular</w:t>
      </w:r>
    </w:p>
    <w:p w14:paraId="34615049" w14:textId="77777777" w:rsidR="00B13630" w:rsidRPr="00170E6C" w:rsidRDefault="00B13630">
      <w:pPr>
        <w:spacing w:after="0" w:line="360" w:lineRule="auto"/>
        <w:ind w:right="-91"/>
        <w:jc w:val="both"/>
        <w:rPr>
          <w:rFonts w:ascii="Palatino Linotype" w:eastAsia="Palatino Linotype" w:hAnsi="Palatino Linotype" w:cs="Palatino Linotype"/>
          <w:color w:val="000000"/>
          <w:sz w:val="24"/>
          <w:szCs w:val="24"/>
        </w:rPr>
      </w:pPr>
    </w:p>
    <w:p w14:paraId="1451CE4C" w14:textId="77777777" w:rsidR="00B13630" w:rsidRPr="00170E6C" w:rsidRDefault="00BD37F9">
      <w:pPr>
        <w:spacing w:after="0" w:line="360" w:lineRule="auto"/>
        <w:ind w:right="-91"/>
        <w:jc w:val="both"/>
        <w:rPr>
          <w:rFonts w:ascii="Palatino Linotype" w:eastAsia="Palatino Linotype" w:hAnsi="Palatino Linotype" w:cs="Palatino Linotype"/>
          <w:color w:val="000000"/>
          <w:sz w:val="24"/>
          <w:szCs w:val="24"/>
        </w:rPr>
      </w:pPr>
      <w:r w:rsidRPr="00170E6C">
        <w:rPr>
          <w:rFonts w:ascii="Palatino Linotype" w:eastAsia="Palatino Linotype" w:hAnsi="Palatino Linotype" w:cs="Palatino Linotype"/>
          <w:color w:val="000000"/>
          <w:sz w:val="24"/>
          <w:szCs w:val="24"/>
        </w:rPr>
        <w:t>Por lo tanto el documento que de manera enunciativa más no limitativa pudiera colmar el derecho de acceso a la información del particular sobre este rubro es la conciliación de nómina mensual, por lo que se considera ordenar su entrega en términos de lo señalado por el considerando quinto.</w:t>
      </w:r>
    </w:p>
    <w:p w14:paraId="216401EB" w14:textId="77777777" w:rsidR="00B13630" w:rsidRPr="00170E6C" w:rsidRDefault="00B13630">
      <w:pPr>
        <w:spacing w:after="0" w:line="360" w:lineRule="auto"/>
        <w:ind w:right="-91"/>
        <w:jc w:val="both"/>
        <w:rPr>
          <w:rFonts w:ascii="Palatino Linotype" w:eastAsia="Palatino Linotype" w:hAnsi="Palatino Linotype" w:cs="Palatino Linotype"/>
          <w:sz w:val="24"/>
          <w:szCs w:val="24"/>
        </w:rPr>
      </w:pPr>
    </w:p>
    <w:p w14:paraId="14AA52B7" w14:textId="77777777" w:rsidR="00B13630" w:rsidRPr="00170E6C" w:rsidRDefault="00BD37F9">
      <w:pPr>
        <w:spacing w:after="0" w:line="360" w:lineRule="auto"/>
        <w:ind w:right="-9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lastRenderedPageBreak/>
        <w:t xml:space="preserve">De igual forma el particular, requiere </w:t>
      </w:r>
      <w:r w:rsidRPr="00170E6C">
        <w:rPr>
          <w:rFonts w:ascii="Palatino Linotype" w:eastAsia="Palatino Linotype" w:hAnsi="Palatino Linotype" w:cs="Palatino Linotype"/>
          <w:color w:val="000000"/>
          <w:sz w:val="24"/>
          <w:szCs w:val="24"/>
        </w:rPr>
        <w:t xml:space="preserve">el talón de pago o </w:t>
      </w:r>
      <w:r w:rsidRPr="00170E6C">
        <w:rPr>
          <w:rFonts w:ascii="Palatino Linotype" w:eastAsia="Palatino Linotype" w:hAnsi="Palatino Linotype" w:cs="Palatino Linotype"/>
          <w:color w:val="000000"/>
          <w:sz w:val="24"/>
          <w:szCs w:val="24"/>
          <w:u w:val="single"/>
        </w:rPr>
        <w:t>recibo de pago</w:t>
      </w:r>
      <w:r w:rsidRPr="00170E6C">
        <w:rPr>
          <w:rFonts w:ascii="Palatino Linotype" w:eastAsia="Palatino Linotype" w:hAnsi="Palatino Linotype" w:cs="Palatino Linotype"/>
          <w:color w:val="000000"/>
          <w:sz w:val="24"/>
          <w:szCs w:val="24"/>
        </w:rPr>
        <w:t xml:space="preserve"> </w:t>
      </w:r>
      <w:r w:rsidRPr="00170E6C">
        <w:rPr>
          <w:rFonts w:ascii="Palatino Linotype" w:eastAsia="Palatino Linotype" w:hAnsi="Palatino Linotype" w:cs="Palatino Linotype"/>
          <w:sz w:val="24"/>
          <w:szCs w:val="24"/>
        </w:rPr>
        <w:t>del Presidente Municipal, mismo que también se encuentran en el Módulo 4, ya que corresponde a los comprobantes fiscales digitales por internet por concepto de nómina.</w:t>
      </w:r>
    </w:p>
    <w:p w14:paraId="6533EEC0" w14:textId="77777777" w:rsidR="00B13630" w:rsidRPr="00170E6C" w:rsidRDefault="00B13630">
      <w:pPr>
        <w:spacing w:after="0" w:line="360" w:lineRule="auto"/>
        <w:ind w:right="-91"/>
        <w:jc w:val="both"/>
        <w:rPr>
          <w:rFonts w:ascii="Palatino Linotype" w:eastAsia="Palatino Linotype" w:hAnsi="Palatino Linotype" w:cs="Palatino Linotype"/>
          <w:sz w:val="24"/>
          <w:szCs w:val="24"/>
        </w:rPr>
      </w:pPr>
    </w:p>
    <w:p w14:paraId="145B2567" w14:textId="77777777" w:rsidR="00B13630" w:rsidRPr="00170E6C" w:rsidRDefault="00BD37F9">
      <w:pPr>
        <w:spacing w:after="0" w:line="360" w:lineRule="auto"/>
        <w:ind w:right="-9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 Atento a lo anterior, estos documentos son los que pudieran dar cuenta de la solicitud del Particular, como se observa en las siguientes imágenes sustraídas de dichas políticas:</w:t>
      </w:r>
    </w:p>
    <w:p w14:paraId="07B6983E" w14:textId="77777777" w:rsidR="00B13630" w:rsidRPr="00170E6C" w:rsidRDefault="00B13630">
      <w:pPr>
        <w:tabs>
          <w:tab w:val="left" w:pos="7938"/>
        </w:tabs>
        <w:spacing w:after="0" w:line="360" w:lineRule="auto"/>
        <w:jc w:val="both"/>
        <w:rPr>
          <w:rFonts w:ascii="Palatino Linotype" w:eastAsia="Palatino Linotype" w:hAnsi="Palatino Linotype" w:cs="Palatino Linotype"/>
          <w:sz w:val="24"/>
          <w:szCs w:val="24"/>
        </w:rPr>
      </w:pPr>
    </w:p>
    <w:p w14:paraId="02FB425E" w14:textId="77777777" w:rsidR="00B13630" w:rsidRPr="00170E6C" w:rsidRDefault="00B13630">
      <w:pPr>
        <w:spacing w:line="360" w:lineRule="auto"/>
        <w:jc w:val="both"/>
        <w:rPr>
          <w:rFonts w:ascii="Palatino Linotype" w:eastAsia="Palatino Linotype" w:hAnsi="Palatino Linotype" w:cs="Palatino Linotype"/>
        </w:rPr>
      </w:pPr>
    </w:p>
    <w:p w14:paraId="7C2DBA54" w14:textId="77777777" w:rsidR="00B13630" w:rsidRPr="00170E6C" w:rsidRDefault="00B13630">
      <w:pPr>
        <w:spacing w:line="360" w:lineRule="auto"/>
        <w:jc w:val="both"/>
      </w:pPr>
    </w:p>
    <w:p w14:paraId="015232D7" w14:textId="77777777" w:rsidR="00B13630" w:rsidRPr="00170E6C" w:rsidRDefault="00BD37F9">
      <w:pPr>
        <w:spacing w:line="360" w:lineRule="auto"/>
        <w:jc w:val="both"/>
      </w:pPr>
      <w:r w:rsidRPr="00170E6C">
        <w:rPr>
          <w:noProof/>
        </w:rPr>
        <w:drawing>
          <wp:inline distT="0" distB="0" distL="0" distR="0" wp14:anchorId="5A0235C9" wp14:editId="21D638E3">
            <wp:extent cx="5020357" cy="331515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32361" t="20325" r="3937" b="4205"/>
                    <a:stretch>
                      <a:fillRect/>
                    </a:stretch>
                  </pic:blipFill>
                  <pic:spPr>
                    <a:xfrm>
                      <a:off x="0" y="0"/>
                      <a:ext cx="5020357" cy="3315150"/>
                    </a:xfrm>
                    <a:prstGeom prst="rect">
                      <a:avLst/>
                    </a:prstGeom>
                    <a:ln/>
                  </pic:spPr>
                </pic:pic>
              </a:graphicData>
            </a:graphic>
          </wp:inline>
        </w:drawing>
      </w:r>
      <w:r w:rsidRPr="00170E6C">
        <w:rPr>
          <w:noProof/>
        </w:rPr>
        <mc:AlternateContent>
          <mc:Choice Requires="wpg">
            <w:drawing>
              <wp:anchor distT="0" distB="0" distL="114300" distR="114300" simplePos="0" relativeHeight="251661312" behindDoc="0" locked="0" layoutInCell="1" hidden="0" allowOverlap="1" wp14:anchorId="32512047" wp14:editId="6D500607">
                <wp:simplePos x="0" y="0"/>
                <wp:positionH relativeFrom="column">
                  <wp:posOffset>1841500</wp:posOffset>
                </wp:positionH>
                <wp:positionV relativeFrom="paragraph">
                  <wp:posOffset>1447800</wp:posOffset>
                </wp:positionV>
                <wp:extent cx="904875" cy="514350"/>
                <wp:effectExtent l="0" t="0" r="0" b="0"/>
                <wp:wrapNone/>
                <wp:docPr id="55" name="Rectángulo 55"/>
                <wp:cNvGraphicFramePr/>
                <a:graphic xmlns:a="http://schemas.openxmlformats.org/drawingml/2006/main">
                  <a:graphicData uri="http://schemas.microsoft.com/office/word/2010/wordprocessingShape">
                    <wps:wsp>
                      <wps:cNvSpPr/>
                      <wps:spPr>
                        <a:xfrm>
                          <a:off x="4912613" y="3541875"/>
                          <a:ext cx="866775" cy="476250"/>
                        </a:xfrm>
                        <a:prstGeom prst="rect">
                          <a:avLst/>
                        </a:prstGeom>
                        <a:noFill/>
                        <a:ln w="38100" cap="flat" cmpd="sng">
                          <a:solidFill>
                            <a:srgbClr val="FF0000"/>
                          </a:solidFill>
                          <a:prstDash val="solid"/>
                          <a:miter lim="800000"/>
                          <a:headEnd type="none" w="sm" len="sm"/>
                          <a:tailEnd type="none" w="sm" len="sm"/>
                        </a:ln>
                      </wps:spPr>
                      <wps:txbx>
                        <w:txbxContent>
                          <w:p w14:paraId="7E5ABEA7" w14:textId="77777777" w:rsidR="00B13630" w:rsidRDefault="00B136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1841500</wp:posOffset>
                </wp:positionH>
                <wp:positionV relativeFrom="paragraph">
                  <wp:posOffset>1447800</wp:posOffset>
                </wp:positionV>
                <wp:extent cx="904875" cy="514350"/>
                <wp:effectExtent b="0" l="0" r="0" t="0"/>
                <wp:wrapNone/>
                <wp:docPr id="55"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904875" cy="514350"/>
                        </a:xfrm>
                        <a:prstGeom prst="rect"/>
                        <a:ln/>
                      </pic:spPr>
                    </pic:pic>
                  </a:graphicData>
                </a:graphic>
              </wp:anchor>
            </w:drawing>
          </mc:Fallback>
        </mc:AlternateContent>
      </w:r>
    </w:p>
    <w:p w14:paraId="49751222" w14:textId="77777777" w:rsidR="00B13630" w:rsidRPr="00170E6C" w:rsidRDefault="00B13630">
      <w:pPr>
        <w:spacing w:line="360" w:lineRule="auto"/>
        <w:jc w:val="both"/>
      </w:pPr>
    </w:p>
    <w:p w14:paraId="2B458CC1" w14:textId="77777777" w:rsidR="00B13630" w:rsidRPr="00170E6C" w:rsidRDefault="00B13630">
      <w:pPr>
        <w:spacing w:line="360" w:lineRule="auto"/>
        <w:jc w:val="both"/>
      </w:pPr>
    </w:p>
    <w:p w14:paraId="2635845C" w14:textId="77777777" w:rsidR="00B13630" w:rsidRPr="00170E6C" w:rsidRDefault="00BD37F9">
      <w:pPr>
        <w:spacing w:line="360" w:lineRule="auto"/>
        <w:jc w:val="both"/>
      </w:pPr>
      <w:r w:rsidRPr="00170E6C">
        <w:rPr>
          <w:noProof/>
        </w:rPr>
        <w:drawing>
          <wp:inline distT="0" distB="0" distL="0" distR="0" wp14:anchorId="32042A43" wp14:editId="64D61F95">
            <wp:extent cx="5191125" cy="2914650"/>
            <wp:effectExtent l="0" t="0" r="0" b="0"/>
            <wp:docPr id="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36206" t="14489" r="18081"/>
                    <a:stretch>
                      <a:fillRect/>
                    </a:stretch>
                  </pic:blipFill>
                  <pic:spPr>
                    <a:xfrm>
                      <a:off x="0" y="0"/>
                      <a:ext cx="5191125" cy="2914650"/>
                    </a:xfrm>
                    <a:prstGeom prst="rect">
                      <a:avLst/>
                    </a:prstGeom>
                    <a:ln/>
                  </pic:spPr>
                </pic:pic>
              </a:graphicData>
            </a:graphic>
          </wp:inline>
        </w:drawing>
      </w:r>
    </w:p>
    <w:p w14:paraId="6E237265" w14:textId="77777777" w:rsidR="00B13630" w:rsidRPr="00170E6C" w:rsidRDefault="00BD37F9">
      <w:pPr>
        <w:spacing w:line="360" w:lineRule="auto"/>
        <w:jc w:val="both"/>
      </w:pPr>
      <w:r w:rsidRPr="00170E6C">
        <w:rPr>
          <w:noProof/>
        </w:rPr>
        <w:lastRenderedPageBreak/>
        <w:drawing>
          <wp:inline distT="0" distB="0" distL="0" distR="0" wp14:anchorId="05868FC4" wp14:editId="1646169E">
            <wp:extent cx="5435600" cy="4070350"/>
            <wp:effectExtent l="0" t="0" r="0" b="0"/>
            <wp:docPr id="6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l="37792" t="16704" r="16949" b="2191"/>
                    <a:stretch>
                      <a:fillRect/>
                    </a:stretch>
                  </pic:blipFill>
                  <pic:spPr>
                    <a:xfrm>
                      <a:off x="0" y="0"/>
                      <a:ext cx="5435600" cy="4070350"/>
                    </a:xfrm>
                    <a:prstGeom prst="rect">
                      <a:avLst/>
                    </a:prstGeom>
                    <a:ln/>
                  </pic:spPr>
                </pic:pic>
              </a:graphicData>
            </a:graphic>
          </wp:inline>
        </w:drawing>
      </w:r>
    </w:p>
    <w:p w14:paraId="60E876A3" w14:textId="77777777" w:rsidR="00B13630" w:rsidRPr="00170E6C" w:rsidRDefault="00BD37F9">
      <w:pPr>
        <w:spacing w:line="360" w:lineRule="auto"/>
        <w:jc w:val="both"/>
      </w:pPr>
      <w:r w:rsidRPr="00170E6C">
        <w:rPr>
          <w:noProof/>
        </w:rPr>
        <w:lastRenderedPageBreak/>
        <w:drawing>
          <wp:inline distT="0" distB="0" distL="0" distR="0" wp14:anchorId="19DE58A8" wp14:editId="01FBF3C9">
            <wp:extent cx="5435600" cy="307340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43222" t="23949" r="22606" b="9437"/>
                    <a:stretch>
                      <a:fillRect/>
                    </a:stretch>
                  </pic:blipFill>
                  <pic:spPr>
                    <a:xfrm>
                      <a:off x="0" y="0"/>
                      <a:ext cx="5435600" cy="3073400"/>
                    </a:xfrm>
                    <a:prstGeom prst="rect">
                      <a:avLst/>
                    </a:prstGeom>
                    <a:ln/>
                  </pic:spPr>
                </pic:pic>
              </a:graphicData>
            </a:graphic>
          </wp:inline>
        </w:drawing>
      </w:r>
    </w:p>
    <w:p w14:paraId="511C456C"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En observancia a las imágenes anteriores, se acredita que 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debió generar la información solicitada y remitirla al Órgano Superior de Fiscalización del Estado de México, para su respectiva revisión y fiscalización.</w:t>
      </w:r>
    </w:p>
    <w:p w14:paraId="44A023E4"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4E8DABA2" w14:textId="77777777" w:rsidR="00B13630" w:rsidRPr="00170E6C" w:rsidRDefault="00BD37F9">
      <w:pPr>
        <w:spacing w:after="0" w:line="360" w:lineRule="auto"/>
        <w:ind w:right="5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En resumen, la nómina y  los recibos de pago o de nómina, es el documento que de manera enunciativa mas no limitativa contiene los salarios de todos los funcionarios de la administración pública del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xml:space="preserve"> y que debió haber</w:t>
      </w:r>
      <w:r w:rsidRPr="00170E6C">
        <w:rPr>
          <w:rFonts w:ascii="Palatino Linotype" w:eastAsia="Palatino Linotype" w:hAnsi="Palatino Linotype" w:cs="Palatino Linotype"/>
          <w:b/>
          <w:sz w:val="24"/>
          <w:szCs w:val="24"/>
        </w:rPr>
        <w:t xml:space="preserve"> </w:t>
      </w:r>
      <w:r w:rsidRPr="00170E6C">
        <w:rPr>
          <w:rFonts w:ascii="Palatino Linotype" w:eastAsia="Palatino Linotype" w:hAnsi="Palatino Linotype" w:cs="Palatino Linotype"/>
          <w:sz w:val="24"/>
          <w:szCs w:val="24"/>
        </w:rPr>
        <w:t xml:space="preserve">generado, administrado o poseído de acuerdo a lo establecido en el presente considerando; por lo que resulta procedente ordenar al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xml:space="preserve"> su entrega salvaguardando los datos personales que contenga, de conformidad con el considerando quinto. </w:t>
      </w:r>
    </w:p>
    <w:p w14:paraId="2BFE3C78" w14:textId="77777777" w:rsidR="00B13630" w:rsidRPr="00170E6C" w:rsidRDefault="00B13630">
      <w:pPr>
        <w:spacing w:after="0" w:line="360" w:lineRule="auto"/>
        <w:ind w:right="51"/>
        <w:jc w:val="both"/>
        <w:rPr>
          <w:rFonts w:ascii="Palatino Linotype" w:eastAsia="Palatino Linotype" w:hAnsi="Palatino Linotype" w:cs="Palatino Linotype"/>
          <w:sz w:val="24"/>
          <w:szCs w:val="24"/>
        </w:rPr>
      </w:pPr>
    </w:p>
    <w:p w14:paraId="5362A088"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lastRenderedPageBreak/>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09B5728D" w14:textId="77777777" w:rsidR="00B13630" w:rsidRPr="00170E6C" w:rsidRDefault="00B13630">
      <w:pPr>
        <w:spacing w:line="360" w:lineRule="auto"/>
        <w:jc w:val="both"/>
        <w:rPr>
          <w:rFonts w:ascii="Palatino Linotype" w:eastAsia="Palatino Linotype" w:hAnsi="Palatino Linotype" w:cs="Palatino Linotype"/>
        </w:rPr>
      </w:pPr>
    </w:p>
    <w:p w14:paraId="10F84957" w14:textId="77777777" w:rsidR="00B13630" w:rsidRPr="00170E6C" w:rsidRDefault="00BD37F9">
      <w:pPr>
        <w:ind w:left="851" w:right="851"/>
        <w:jc w:val="both"/>
        <w:rPr>
          <w:rFonts w:ascii="Palatino Linotype" w:eastAsia="Palatino Linotype" w:hAnsi="Palatino Linotype" w:cs="Palatino Linotype"/>
          <w:i/>
          <w:u w:val="single"/>
        </w:rPr>
      </w:pPr>
      <w:r w:rsidRPr="00170E6C">
        <w:rPr>
          <w:rFonts w:ascii="Palatino Linotype" w:eastAsia="Palatino Linotype" w:hAnsi="Palatino Linotype" w:cs="Palatino Linotype"/>
          <w:b/>
          <w:i/>
          <w:u w:val="single"/>
        </w:rPr>
        <w:t>“Artículo 7. El Estado de México garantizará el efectivo acceso de toda persona a la información en posesión de cualquier entidad,</w:t>
      </w:r>
      <w:r w:rsidRPr="00170E6C">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170E6C">
        <w:rPr>
          <w:rFonts w:ascii="Palatino Linotype" w:eastAsia="Palatino Linotype" w:hAnsi="Palatino Linotype" w:cs="Palatino Linotype"/>
          <w:b/>
          <w:i/>
          <w:u w:val="single"/>
        </w:rPr>
        <w:t>que reciba y ejerza recursos públicos</w:t>
      </w:r>
      <w:r w:rsidRPr="00170E6C">
        <w:rPr>
          <w:rFonts w:ascii="Palatino Linotype" w:eastAsia="Palatino Linotype" w:hAnsi="Palatino Linotype" w:cs="Palatino Linotype"/>
          <w:i/>
        </w:rPr>
        <w:t xml:space="preserve"> o realice actos de autoridad </w:t>
      </w:r>
      <w:r w:rsidRPr="00170E6C">
        <w:rPr>
          <w:rFonts w:ascii="Palatino Linotype" w:eastAsia="Palatino Linotype" w:hAnsi="Palatino Linotype" w:cs="Palatino Linotype"/>
          <w:b/>
          <w:i/>
          <w:u w:val="single"/>
        </w:rPr>
        <w:t>en el ámbito de competencia del Estado de México y sus municipios</w:t>
      </w:r>
      <w:r w:rsidRPr="00170E6C">
        <w:rPr>
          <w:rFonts w:ascii="Palatino Linotype" w:eastAsia="Palatino Linotype" w:hAnsi="Palatino Linotype" w:cs="Palatino Linotype"/>
          <w:i/>
          <w:u w:val="single"/>
        </w:rPr>
        <w:t>.</w:t>
      </w:r>
    </w:p>
    <w:p w14:paraId="20225856" w14:textId="77777777" w:rsidR="00B13630" w:rsidRPr="00170E6C" w:rsidRDefault="00BD37F9">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60A3AAE4" w14:textId="77777777" w:rsidR="00B13630" w:rsidRPr="00170E6C" w:rsidRDefault="00BD37F9">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01DFC9E5" w14:textId="77777777" w:rsidR="00B13630" w:rsidRPr="00170E6C" w:rsidRDefault="00BD37F9">
      <w:pPr>
        <w:ind w:left="851" w:right="851"/>
        <w:jc w:val="both"/>
        <w:rPr>
          <w:rFonts w:ascii="Palatino Linotype" w:eastAsia="Palatino Linotype" w:hAnsi="Palatino Linotype" w:cs="Palatino Linotype"/>
          <w:b/>
          <w:i/>
          <w:u w:val="single"/>
        </w:rPr>
      </w:pPr>
      <w:r w:rsidRPr="00170E6C">
        <w:rPr>
          <w:rFonts w:ascii="Palatino Linotype" w:eastAsia="Palatino Linotype" w:hAnsi="Palatino Linotype" w:cs="Palatino Linotype"/>
          <w:b/>
          <w:i/>
          <w:u w:val="single"/>
        </w:rPr>
        <w:t>IV. Los ayuntamientos y las dependencias, organismos, órganos y entidades de la administración municipal;</w:t>
      </w:r>
    </w:p>
    <w:p w14:paraId="0150FA3C" w14:textId="77777777" w:rsidR="00B13630" w:rsidRPr="00170E6C" w:rsidRDefault="00BD37F9">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1A9C9170" w14:textId="77777777" w:rsidR="00B13630" w:rsidRPr="00170E6C" w:rsidRDefault="00BD37F9">
      <w:pPr>
        <w:ind w:left="851" w:right="851"/>
        <w:jc w:val="both"/>
        <w:rPr>
          <w:rFonts w:ascii="Palatino Linotype" w:eastAsia="Palatino Linotype" w:hAnsi="Palatino Linotype" w:cs="Palatino Linotype"/>
          <w:b/>
          <w:i/>
          <w:u w:val="single"/>
        </w:rPr>
      </w:pPr>
      <w:r w:rsidRPr="00170E6C">
        <w:rPr>
          <w:rFonts w:ascii="Palatino Linotype" w:eastAsia="Palatino Linotype" w:hAnsi="Palatino Linotype" w:cs="Palatino Linotype"/>
          <w:b/>
          <w:i/>
          <w:u w:val="single"/>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38444A9" w14:textId="77777777" w:rsidR="00B13630" w:rsidRPr="00170E6C" w:rsidRDefault="00BD37F9">
      <w:pPr>
        <w:ind w:left="851" w:right="851"/>
        <w:jc w:val="both"/>
        <w:rPr>
          <w:rFonts w:ascii="Palatino Linotype" w:eastAsia="Palatino Linotype" w:hAnsi="Palatino Linotype" w:cs="Palatino Linotype"/>
          <w:b/>
          <w:i/>
        </w:rPr>
      </w:pPr>
      <w:r w:rsidRPr="00170E6C">
        <w:rPr>
          <w:rFonts w:ascii="Palatino Linotype" w:eastAsia="Palatino Linotype" w:hAnsi="Palatino Linotype" w:cs="Palatino Linotype"/>
          <w:i/>
        </w:rPr>
        <w:t>Los servidores públicos deberán transparentar sus acciones así como garantizar y respetar el derecho de acceso a la información pública.”</w:t>
      </w:r>
      <w:r w:rsidRPr="00170E6C">
        <w:rPr>
          <w:rFonts w:ascii="Palatino Linotype" w:eastAsia="Palatino Linotype" w:hAnsi="Palatino Linotype" w:cs="Palatino Linotype"/>
          <w:b/>
          <w:i/>
        </w:rPr>
        <w:t xml:space="preserve"> [Sic]</w:t>
      </w:r>
    </w:p>
    <w:p w14:paraId="044AB8FB" w14:textId="77777777" w:rsidR="00B13630" w:rsidRPr="00170E6C" w:rsidRDefault="00B13630">
      <w:pPr>
        <w:spacing w:line="360" w:lineRule="auto"/>
        <w:jc w:val="both"/>
        <w:rPr>
          <w:rFonts w:ascii="Palatino Linotype" w:eastAsia="Palatino Linotype" w:hAnsi="Palatino Linotype" w:cs="Palatino Linotype"/>
        </w:rPr>
      </w:pPr>
    </w:p>
    <w:p w14:paraId="41A739F3" w14:textId="77777777" w:rsidR="00B13630" w:rsidRPr="00170E6C" w:rsidRDefault="00BD37F9">
      <w:pPr>
        <w:spacing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Sirve de sustento por analogía, para justificar la publicidad sobre los datos relativos a los montos por concepto de pago de las remuneraciones, los criterios </w:t>
      </w:r>
      <w:r w:rsidRPr="00170E6C">
        <w:rPr>
          <w:rFonts w:ascii="Palatino Linotype" w:eastAsia="Palatino Linotype" w:hAnsi="Palatino Linotype" w:cs="Palatino Linotype"/>
          <w:b/>
          <w:sz w:val="24"/>
          <w:szCs w:val="24"/>
        </w:rPr>
        <w:t>01/2003</w:t>
      </w:r>
      <w:r w:rsidRPr="00170E6C">
        <w:rPr>
          <w:rFonts w:ascii="Palatino Linotype" w:eastAsia="Palatino Linotype" w:hAnsi="Palatino Linotype" w:cs="Palatino Linotype"/>
          <w:sz w:val="24"/>
          <w:szCs w:val="24"/>
        </w:rPr>
        <w:t xml:space="preserve"> y </w:t>
      </w:r>
      <w:r w:rsidRPr="00170E6C">
        <w:rPr>
          <w:rFonts w:ascii="Palatino Linotype" w:eastAsia="Palatino Linotype" w:hAnsi="Palatino Linotype" w:cs="Palatino Linotype"/>
          <w:b/>
          <w:sz w:val="24"/>
          <w:szCs w:val="24"/>
        </w:rPr>
        <w:t>02/2003</w:t>
      </w:r>
      <w:r w:rsidRPr="00170E6C">
        <w:rPr>
          <w:rFonts w:ascii="Palatino Linotype" w:eastAsia="Palatino Linotype" w:hAnsi="Palatino Linotype" w:cs="Palatino Linotype"/>
          <w:sz w:val="24"/>
          <w:szCs w:val="24"/>
        </w:rPr>
        <w:t xml:space="preserve"> emitidos por el Comité de Acceso a la Información Pública y Protección de Datos Personales de la Suprema Corte de Justicia de la Nación que a continuación se citan: </w:t>
      </w:r>
    </w:p>
    <w:p w14:paraId="4766F739" w14:textId="77777777" w:rsidR="00B13630" w:rsidRPr="00170E6C" w:rsidRDefault="00B13630">
      <w:pPr>
        <w:spacing w:line="360" w:lineRule="auto"/>
        <w:jc w:val="both"/>
        <w:rPr>
          <w:rFonts w:ascii="Palatino Linotype" w:eastAsia="Palatino Linotype" w:hAnsi="Palatino Linotype" w:cs="Palatino Linotype"/>
          <w:sz w:val="24"/>
          <w:szCs w:val="24"/>
        </w:rPr>
      </w:pPr>
    </w:p>
    <w:p w14:paraId="542730DB" w14:textId="77777777" w:rsidR="00B13630" w:rsidRPr="00170E6C" w:rsidRDefault="00BD37F9">
      <w:pPr>
        <w:ind w:left="851" w:right="851"/>
        <w:rPr>
          <w:rFonts w:ascii="Palatino Linotype" w:eastAsia="Palatino Linotype" w:hAnsi="Palatino Linotype" w:cs="Palatino Linotype"/>
          <w:b/>
          <w:i/>
        </w:rPr>
      </w:pPr>
      <w:r w:rsidRPr="00170E6C">
        <w:rPr>
          <w:rFonts w:ascii="Palatino Linotype" w:eastAsia="Palatino Linotype" w:hAnsi="Palatino Linotype" w:cs="Palatino Linotype"/>
          <w:b/>
          <w:i/>
        </w:rPr>
        <w:t>“Criterio 01/2003.</w:t>
      </w:r>
    </w:p>
    <w:p w14:paraId="7E8A11A7" w14:textId="77777777" w:rsidR="00B13630" w:rsidRPr="00170E6C" w:rsidRDefault="00BD37F9">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170E6C">
        <w:rPr>
          <w:rFonts w:ascii="Palatino Linotype" w:eastAsia="Palatino Linotype" w:hAnsi="Palatino Linotype" w:cs="Palatino Linotype"/>
          <w:i/>
        </w:rPr>
        <w:t xml:space="preserve"> </w:t>
      </w:r>
    </w:p>
    <w:p w14:paraId="11D43A8B" w14:textId="77777777" w:rsidR="00B13630" w:rsidRPr="00170E6C" w:rsidRDefault="00BD37F9">
      <w:pPr>
        <w:ind w:left="851" w:right="851"/>
        <w:jc w:val="both"/>
        <w:rPr>
          <w:rFonts w:ascii="Palatino Linotype" w:eastAsia="Palatino Linotype" w:hAnsi="Palatino Linotype" w:cs="Palatino Linotype"/>
          <w:i/>
          <w:u w:val="single"/>
        </w:rPr>
      </w:pPr>
      <w:r w:rsidRPr="00170E6C">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70E6C">
        <w:rPr>
          <w:rFonts w:ascii="Palatino Linotype" w:eastAsia="Palatino Linotype" w:hAnsi="Palatino Linotype" w:cs="Palatino Linotype"/>
          <w:b/>
          <w:i/>
          <w:u w:val="single"/>
        </w:rPr>
        <w:t xml:space="preserve">deben publicarse en medios remotos o locales de comunicación electrónica, lo que se sustenta en el hecho de que el monto de todos los ingresos que recibe un servidor público por desarrollar las </w:t>
      </w:r>
      <w:r w:rsidRPr="00170E6C">
        <w:rPr>
          <w:rFonts w:ascii="Palatino Linotype" w:eastAsia="Palatino Linotype" w:hAnsi="Palatino Linotype" w:cs="Palatino Linotype"/>
          <w:b/>
          <w:i/>
          <w:u w:val="single"/>
        </w:rPr>
        <w:lastRenderedPageBreak/>
        <w:t>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70E6C">
        <w:rPr>
          <w:rFonts w:ascii="Palatino Linotype" w:eastAsia="Palatino Linotype" w:hAnsi="Palatino Linotype" w:cs="Palatino Linotype"/>
          <w:i/>
          <w:u w:val="single"/>
        </w:rPr>
        <w:t>…”</w:t>
      </w:r>
    </w:p>
    <w:p w14:paraId="15D6982D" w14:textId="77777777" w:rsidR="00B13630" w:rsidRPr="00170E6C" w:rsidRDefault="00B13630">
      <w:pPr>
        <w:ind w:left="851" w:right="851"/>
        <w:jc w:val="both"/>
        <w:rPr>
          <w:rFonts w:ascii="Palatino Linotype" w:eastAsia="Palatino Linotype" w:hAnsi="Palatino Linotype" w:cs="Palatino Linotype"/>
          <w:i/>
        </w:rPr>
      </w:pPr>
    </w:p>
    <w:p w14:paraId="6498BA3B" w14:textId="77777777" w:rsidR="00B13630" w:rsidRPr="00170E6C" w:rsidRDefault="00BD37F9">
      <w:pPr>
        <w:ind w:left="851" w:right="851"/>
        <w:rPr>
          <w:rFonts w:ascii="Palatino Linotype" w:eastAsia="Palatino Linotype" w:hAnsi="Palatino Linotype" w:cs="Palatino Linotype"/>
          <w:b/>
          <w:i/>
        </w:rPr>
      </w:pPr>
      <w:r w:rsidRPr="00170E6C">
        <w:rPr>
          <w:rFonts w:ascii="Palatino Linotype" w:eastAsia="Palatino Linotype" w:hAnsi="Palatino Linotype" w:cs="Palatino Linotype"/>
          <w:b/>
          <w:i/>
        </w:rPr>
        <w:t>“Criterio 02/2003.</w:t>
      </w:r>
    </w:p>
    <w:p w14:paraId="522D5900" w14:textId="77777777" w:rsidR="00B13630" w:rsidRPr="00170E6C" w:rsidRDefault="00BD37F9">
      <w:pPr>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170E6C">
        <w:rPr>
          <w:rFonts w:ascii="Palatino Linotype" w:eastAsia="Palatino Linotype" w:hAnsi="Palatino Linotype" w:cs="Palatino Linotype"/>
          <w:i/>
        </w:rPr>
        <w:t xml:space="preserve"> </w:t>
      </w:r>
    </w:p>
    <w:p w14:paraId="30BC4099" w14:textId="77777777" w:rsidR="00B13630" w:rsidRPr="00170E6C" w:rsidRDefault="00BD37F9">
      <w:pPr>
        <w:spacing w:after="0" w:line="360" w:lineRule="auto"/>
        <w:ind w:left="851" w:right="851"/>
        <w:jc w:val="both"/>
        <w:rPr>
          <w:rFonts w:ascii="Palatino Linotype" w:eastAsia="Palatino Linotype" w:hAnsi="Palatino Linotype" w:cs="Palatino Linotype"/>
          <w:b/>
          <w:i/>
        </w:rPr>
      </w:pPr>
      <w:r w:rsidRPr="00170E6C">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70E6C">
        <w:rPr>
          <w:rFonts w:ascii="Palatino Linotype" w:eastAsia="Palatino Linotype" w:hAnsi="Palatino Linotype" w:cs="Palatino Linotype"/>
          <w:b/>
          <w:i/>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70E6C">
        <w:rPr>
          <w:rFonts w:ascii="Palatino Linotype" w:eastAsia="Palatino Linotype" w:hAnsi="Palatino Linotype" w:cs="Palatino Linotype"/>
          <w:i/>
        </w:rPr>
        <w:t xml:space="preserve"> el sistema de compensación…” </w:t>
      </w:r>
      <w:r w:rsidRPr="00170E6C">
        <w:rPr>
          <w:rFonts w:ascii="Palatino Linotype" w:eastAsia="Palatino Linotype" w:hAnsi="Palatino Linotype" w:cs="Palatino Linotype"/>
          <w:b/>
          <w:i/>
        </w:rPr>
        <w:t>[Sic]</w:t>
      </w:r>
    </w:p>
    <w:p w14:paraId="41070121"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44C316C5"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Ahora bien, el artículo 70 de la Ley General de Transparencia y Acceso a la Información Pública dispone lo siguiente: </w:t>
      </w:r>
    </w:p>
    <w:p w14:paraId="0B4D5DDC" w14:textId="77777777" w:rsidR="00B13630" w:rsidRPr="00170E6C" w:rsidRDefault="00B13630">
      <w:pPr>
        <w:spacing w:after="0" w:line="360" w:lineRule="auto"/>
        <w:jc w:val="both"/>
        <w:rPr>
          <w:rFonts w:ascii="Palatino Linotype" w:eastAsia="Palatino Linotype" w:hAnsi="Palatino Linotype" w:cs="Palatino Linotype"/>
        </w:rPr>
      </w:pPr>
    </w:p>
    <w:p w14:paraId="32166FAE" w14:textId="77777777" w:rsidR="00B13630" w:rsidRPr="00170E6C" w:rsidRDefault="00BD37F9">
      <w:pPr>
        <w:spacing w:after="0"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lastRenderedPageBreak/>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21C726E0" w14:textId="77777777" w:rsidR="00B13630" w:rsidRPr="00170E6C" w:rsidRDefault="00BD37F9">
      <w:pPr>
        <w:spacing w:after="0"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 </w:t>
      </w:r>
    </w:p>
    <w:p w14:paraId="702B2FD8" w14:textId="77777777" w:rsidR="00B13630" w:rsidRPr="00170E6C" w:rsidRDefault="00BD37F9">
      <w:pPr>
        <w:spacing w:after="0"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43D774D1" w14:textId="77777777" w:rsidR="00B13630" w:rsidRPr="00170E6C" w:rsidRDefault="00B13630">
      <w:pPr>
        <w:spacing w:after="0" w:line="360" w:lineRule="auto"/>
        <w:jc w:val="both"/>
      </w:pPr>
    </w:p>
    <w:p w14:paraId="3BA95FCD"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Robustece lo anterior, el artículo 92, fracción VIII de la Ley de Transparencia y Acceso a la Información Pública del Estado de México y Municipios, señala: </w:t>
      </w:r>
    </w:p>
    <w:p w14:paraId="6BCD0832" w14:textId="77777777" w:rsidR="00B13630" w:rsidRPr="00170E6C" w:rsidRDefault="00B13630">
      <w:pPr>
        <w:spacing w:after="0" w:line="360" w:lineRule="auto"/>
        <w:ind w:right="49"/>
        <w:jc w:val="both"/>
        <w:rPr>
          <w:rFonts w:ascii="Palatino Linotype" w:eastAsia="Palatino Linotype" w:hAnsi="Palatino Linotype" w:cs="Palatino Linotype"/>
        </w:rPr>
      </w:pPr>
    </w:p>
    <w:p w14:paraId="33C0665E" w14:textId="77777777" w:rsidR="00B13630" w:rsidRPr="00170E6C" w:rsidRDefault="00BD37F9">
      <w:pPr>
        <w:spacing w:after="0"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723F5E4" w14:textId="77777777" w:rsidR="00B13630" w:rsidRPr="00170E6C" w:rsidRDefault="00BD37F9">
      <w:pPr>
        <w:spacing w:after="0"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399D328D" w14:textId="77777777" w:rsidR="00B13630" w:rsidRPr="00170E6C" w:rsidRDefault="00BD37F9">
      <w:pPr>
        <w:spacing w:after="0"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i/>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5EA9157A" w14:textId="77777777" w:rsidR="00B13630" w:rsidRPr="00170E6C" w:rsidRDefault="00B13630">
      <w:pPr>
        <w:spacing w:after="0" w:line="360" w:lineRule="auto"/>
        <w:jc w:val="both"/>
      </w:pPr>
    </w:p>
    <w:p w14:paraId="17A9C363"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lastRenderedPageBreak/>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66B96D2D"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729E4ABC"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Razones por las cuales lo procedente es ordenar, el recibo de nómina o de pago del Presidente Municipal, en términos de lo señalado por el considerando quinto del presente fallo.</w:t>
      </w:r>
    </w:p>
    <w:p w14:paraId="3DA60402" w14:textId="77777777" w:rsidR="00B13630" w:rsidRPr="00170E6C" w:rsidRDefault="00B13630">
      <w:pPr>
        <w:spacing w:after="0" w:line="360" w:lineRule="auto"/>
        <w:jc w:val="both"/>
        <w:rPr>
          <w:rFonts w:ascii="Palatino Linotype" w:eastAsia="Palatino Linotype" w:hAnsi="Palatino Linotype" w:cs="Palatino Linotype"/>
        </w:rPr>
      </w:pPr>
    </w:p>
    <w:p w14:paraId="24F4A85B"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Quinto. Versión Pública. C</w:t>
      </w:r>
      <w:r w:rsidRPr="00170E6C">
        <w:rPr>
          <w:rFonts w:ascii="Palatino Linotype" w:eastAsia="Palatino Linotype" w:hAnsi="Palatino Linotype" w:cs="Palatino Linotype"/>
          <w:sz w:val="24"/>
          <w:szCs w:val="24"/>
        </w:rPr>
        <w:t>omo fue debidamente apuntado, el</w:t>
      </w:r>
      <w:r w:rsidRPr="00170E6C">
        <w:rPr>
          <w:rFonts w:ascii="Palatino Linotype" w:eastAsia="Palatino Linotype" w:hAnsi="Palatino Linotype" w:cs="Palatino Linotype"/>
          <w:b/>
          <w:sz w:val="24"/>
          <w:szCs w:val="24"/>
        </w:rPr>
        <w:t> SUJETO OBLIGADO</w:t>
      </w:r>
      <w:r w:rsidRPr="00170E6C">
        <w:rPr>
          <w:rFonts w:ascii="Palatino Linotype" w:eastAsia="Palatino Linotype" w:hAnsi="Palatino Linotype" w:cs="Palatino Linotype"/>
          <w:sz w:val="24"/>
          <w:szCs w:val="24"/>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58EB668D"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59CA119A" w14:textId="77777777" w:rsidR="00B13630" w:rsidRPr="00170E6C" w:rsidRDefault="00BD37F9">
      <w:pPr>
        <w:shd w:val="clear" w:color="auto" w:fill="FFFFFF"/>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38122DBE" w14:textId="77777777" w:rsidR="00B13630" w:rsidRPr="00170E6C" w:rsidRDefault="00B13630">
      <w:pPr>
        <w:shd w:val="clear" w:color="auto" w:fill="FFFFFF"/>
        <w:spacing w:after="0" w:line="360" w:lineRule="auto"/>
        <w:ind w:right="51"/>
        <w:jc w:val="both"/>
        <w:rPr>
          <w:rFonts w:ascii="Palatino Linotype" w:eastAsia="Palatino Linotype" w:hAnsi="Palatino Linotype" w:cs="Palatino Linotype"/>
          <w:sz w:val="24"/>
          <w:szCs w:val="24"/>
        </w:rPr>
      </w:pPr>
    </w:p>
    <w:p w14:paraId="2C71A1F9" w14:textId="77777777" w:rsidR="00B13630" w:rsidRPr="00170E6C" w:rsidRDefault="00BD37F9">
      <w:pPr>
        <w:shd w:val="clear" w:color="auto" w:fill="FFFFFF"/>
        <w:spacing w:after="0" w:line="360" w:lineRule="auto"/>
        <w:ind w:right="5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E5FA008" w14:textId="77777777" w:rsidR="00B13630" w:rsidRPr="00170E6C" w:rsidRDefault="00B13630">
      <w:pPr>
        <w:shd w:val="clear" w:color="auto" w:fill="FFFFFF"/>
        <w:spacing w:after="0" w:line="360" w:lineRule="auto"/>
        <w:ind w:right="51"/>
        <w:jc w:val="both"/>
        <w:rPr>
          <w:rFonts w:ascii="Palatino Linotype" w:eastAsia="Palatino Linotype" w:hAnsi="Palatino Linotype" w:cs="Palatino Linotype"/>
          <w:sz w:val="24"/>
          <w:szCs w:val="24"/>
        </w:rPr>
      </w:pPr>
    </w:p>
    <w:p w14:paraId="558B0CD3" w14:textId="77777777" w:rsidR="00B13630" w:rsidRPr="00170E6C" w:rsidRDefault="00BD37F9">
      <w:pPr>
        <w:shd w:val="clear" w:color="auto" w:fill="FFFFFF"/>
        <w:spacing w:after="0" w:line="360" w:lineRule="auto"/>
        <w:ind w:right="5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5277E427" w14:textId="77777777" w:rsidR="00B13630" w:rsidRPr="00170E6C" w:rsidRDefault="00B13630">
      <w:pPr>
        <w:shd w:val="clear" w:color="auto" w:fill="FFFFFF"/>
        <w:spacing w:after="0" w:line="360" w:lineRule="auto"/>
        <w:ind w:right="51"/>
        <w:jc w:val="both"/>
        <w:rPr>
          <w:rFonts w:ascii="Palatino Linotype" w:eastAsia="Palatino Linotype" w:hAnsi="Palatino Linotype" w:cs="Palatino Linotype"/>
          <w:sz w:val="24"/>
          <w:szCs w:val="24"/>
        </w:rPr>
      </w:pPr>
    </w:p>
    <w:p w14:paraId="5C787C6A" w14:textId="77777777" w:rsidR="00B13630" w:rsidRPr="00170E6C" w:rsidRDefault="00BD37F9">
      <w:pPr>
        <w:spacing w:after="0" w:line="360" w:lineRule="auto"/>
        <w:ind w:left="993" w:right="1041"/>
        <w:jc w:val="both"/>
        <w:rPr>
          <w:rFonts w:ascii="Palatino Linotype" w:eastAsia="Palatino Linotype" w:hAnsi="Palatino Linotype" w:cs="Palatino Linotype"/>
          <w:b/>
          <w:i/>
        </w:rPr>
      </w:pPr>
      <w:r w:rsidRPr="00170E6C">
        <w:rPr>
          <w:rFonts w:ascii="Palatino Linotype" w:eastAsia="Palatino Linotype" w:hAnsi="Palatino Linotype" w:cs="Palatino Linotype"/>
          <w:b/>
          <w:i/>
        </w:rPr>
        <w:t xml:space="preserve"> “Artículo 3. Para los efectos de la presente Ley se entenderá por:</w:t>
      </w:r>
    </w:p>
    <w:p w14:paraId="1549DCF4"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t>IX. Datos personales:</w:t>
      </w:r>
      <w:r w:rsidRPr="00170E6C">
        <w:rPr>
          <w:rFonts w:ascii="Palatino Linotype" w:eastAsia="Palatino Linotype" w:hAnsi="Palatino Linotype" w:cs="Palatino Linotype"/>
          <w:i/>
        </w:rPr>
        <w:t xml:space="preserve"> </w:t>
      </w:r>
      <w:r w:rsidRPr="00170E6C">
        <w:rPr>
          <w:rFonts w:ascii="Palatino Linotype" w:eastAsia="Palatino Linotype" w:hAnsi="Palatino Linotype" w:cs="Palatino Linotype"/>
          <w:b/>
          <w:i/>
        </w:rPr>
        <w:t>La información concerniente a una persona, identificada o identificable</w:t>
      </w:r>
      <w:r w:rsidRPr="00170E6C">
        <w:rPr>
          <w:rFonts w:ascii="Palatino Linotype" w:eastAsia="Palatino Linotype" w:hAnsi="Palatino Linotype" w:cs="Palatino Linotype"/>
          <w:i/>
        </w:rPr>
        <w:t xml:space="preserve"> según lo dispuesto por la Ley de Protección de Datos Personales del Estado de México;</w:t>
      </w:r>
    </w:p>
    <w:p w14:paraId="4DAE4C70"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t>XX. Información clasificada:</w:t>
      </w:r>
      <w:r w:rsidRPr="00170E6C">
        <w:rPr>
          <w:rFonts w:ascii="Palatino Linotype" w:eastAsia="Palatino Linotype" w:hAnsi="Palatino Linotype" w:cs="Palatino Linotype"/>
          <w:i/>
        </w:rPr>
        <w:t xml:space="preserve"> Aquella considerada por la presente Ley como reservada o confidencial;</w:t>
      </w:r>
    </w:p>
    <w:p w14:paraId="32B74FB0"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t>XXXII. Protección de Datos Personales:</w:t>
      </w:r>
      <w:r w:rsidRPr="00170E6C">
        <w:rPr>
          <w:rFonts w:ascii="Palatino Linotype" w:eastAsia="Palatino Linotype" w:hAnsi="Palatino Linotype" w:cs="Palatino Linotype"/>
          <w:i/>
        </w:rPr>
        <w:t xml:space="preserve"> Derecho humano que tutela la privacidad de datos personales en poder de los sujetos obligados y sujetos particulares;</w:t>
      </w:r>
    </w:p>
    <w:p w14:paraId="3D78D51A"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t>XLV. Versión pública</w:t>
      </w:r>
      <w:r w:rsidRPr="00170E6C">
        <w:rPr>
          <w:rFonts w:ascii="Palatino Linotype" w:eastAsia="Palatino Linotype" w:hAnsi="Palatino Linotype" w:cs="Palatino Linotype"/>
          <w:i/>
        </w:rPr>
        <w:t>: Documento en el que se elimine, suprime o borra la información clasificada como reservada o confidencial para permitir su acceso.”</w:t>
      </w:r>
    </w:p>
    <w:p w14:paraId="5F9408D5" w14:textId="77777777" w:rsidR="00B13630" w:rsidRPr="00170E6C" w:rsidRDefault="00B13630">
      <w:pPr>
        <w:spacing w:after="0" w:line="360" w:lineRule="auto"/>
        <w:ind w:left="993" w:right="1041"/>
        <w:jc w:val="both"/>
        <w:rPr>
          <w:rFonts w:ascii="Palatino Linotype" w:eastAsia="Palatino Linotype" w:hAnsi="Palatino Linotype" w:cs="Palatino Linotype"/>
          <w:i/>
        </w:rPr>
      </w:pPr>
    </w:p>
    <w:p w14:paraId="4D23AAAB"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lastRenderedPageBreak/>
        <w:t>“Artículo 6.</w:t>
      </w:r>
      <w:r w:rsidRPr="00170E6C">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C575369" w14:textId="77777777" w:rsidR="00B13630" w:rsidRPr="00170E6C" w:rsidRDefault="00B13630">
      <w:pPr>
        <w:spacing w:after="0" w:line="360" w:lineRule="auto"/>
        <w:ind w:left="993" w:right="1041"/>
        <w:jc w:val="both"/>
        <w:rPr>
          <w:rFonts w:ascii="Palatino Linotype" w:eastAsia="Palatino Linotype" w:hAnsi="Palatino Linotype" w:cs="Palatino Linotype"/>
          <w:i/>
        </w:rPr>
      </w:pPr>
    </w:p>
    <w:p w14:paraId="6D27D58F"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i/>
        </w:rPr>
        <w:t> </w:t>
      </w:r>
      <w:r w:rsidRPr="00170E6C">
        <w:rPr>
          <w:rFonts w:ascii="Palatino Linotype" w:eastAsia="Palatino Linotype" w:hAnsi="Palatino Linotype" w:cs="Palatino Linotype"/>
          <w:b/>
          <w:i/>
        </w:rPr>
        <w:t>Artículo 49.</w:t>
      </w:r>
      <w:r w:rsidRPr="00170E6C">
        <w:rPr>
          <w:rFonts w:ascii="Palatino Linotype" w:eastAsia="Palatino Linotype" w:hAnsi="Palatino Linotype" w:cs="Palatino Linotype"/>
          <w:i/>
        </w:rPr>
        <w:t> Los Comités de Transparencia tendrán las siguientes atribuciones:</w:t>
      </w:r>
    </w:p>
    <w:p w14:paraId="2C38B6E0"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16CC86D2"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t>VIII</w:t>
      </w:r>
      <w:r w:rsidRPr="00170E6C">
        <w:rPr>
          <w:rFonts w:ascii="Palatino Linotype" w:eastAsia="Palatino Linotype" w:hAnsi="Palatino Linotype" w:cs="Palatino Linotype"/>
          <w:i/>
        </w:rPr>
        <w:t>. Aprobar, modificar o revocar la clasificación de la información;</w:t>
      </w:r>
    </w:p>
    <w:p w14:paraId="3F5CD8CB"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p>
    <w:p w14:paraId="67F5A78E"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t xml:space="preserve">Artículo 91. </w:t>
      </w:r>
      <w:r w:rsidRPr="00170E6C">
        <w:rPr>
          <w:rFonts w:ascii="Palatino Linotype" w:eastAsia="Palatino Linotype" w:hAnsi="Palatino Linotype" w:cs="Palatino Linotype"/>
          <w:i/>
        </w:rPr>
        <w:t>El acceso a la información pública será restringido excepcionalmente, cuando ésta sea clasificada como reservada o confidencial.</w:t>
      </w:r>
    </w:p>
    <w:p w14:paraId="5629DB2F" w14:textId="77777777" w:rsidR="00B13630" w:rsidRPr="00170E6C" w:rsidRDefault="00B13630">
      <w:pPr>
        <w:spacing w:after="0" w:line="360" w:lineRule="auto"/>
        <w:ind w:left="993" w:right="1041"/>
        <w:jc w:val="both"/>
        <w:rPr>
          <w:rFonts w:ascii="Palatino Linotype" w:eastAsia="Palatino Linotype" w:hAnsi="Palatino Linotype" w:cs="Palatino Linotype"/>
          <w:i/>
        </w:rPr>
      </w:pPr>
    </w:p>
    <w:p w14:paraId="1ECA89CB" w14:textId="77777777" w:rsidR="00B13630" w:rsidRPr="00170E6C" w:rsidRDefault="00BD37F9">
      <w:pPr>
        <w:spacing w:after="0" w:line="360" w:lineRule="auto"/>
        <w:ind w:left="993" w:right="1041"/>
        <w:jc w:val="both"/>
        <w:rPr>
          <w:rFonts w:ascii="Palatino Linotype" w:eastAsia="Palatino Linotype" w:hAnsi="Palatino Linotype" w:cs="Palatino Linotype"/>
          <w:b/>
          <w:i/>
        </w:rPr>
      </w:pPr>
      <w:r w:rsidRPr="00170E6C">
        <w:rPr>
          <w:rFonts w:ascii="Palatino Linotype" w:eastAsia="Palatino Linotype" w:hAnsi="Palatino Linotype" w:cs="Palatino Linotype"/>
          <w:b/>
          <w:i/>
        </w:rPr>
        <w:t>“Artículo 137.</w:t>
      </w:r>
      <w:r w:rsidRPr="00170E6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B1503EA" w14:textId="77777777" w:rsidR="00B13630" w:rsidRPr="00170E6C" w:rsidRDefault="00B13630">
      <w:pPr>
        <w:spacing w:after="0" w:line="360" w:lineRule="auto"/>
        <w:ind w:left="993" w:right="1041"/>
        <w:jc w:val="both"/>
        <w:rPr>
          <w:rFonts w:ascii="Palatino Linotype" w:eastAsia="Palatino Linotype" w:hAnsi="Palatino Linotype" w:cs="Palatino Linotype"/>
          <w:b/>
          <w:i/>
        </w:rPr>
      </w:pPr>
    </w:p>
    <w:p w14:paraId="504419AC"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lastRenderedPageBreak/>
        <w:t>“Artículo 143</w:t>
      </w:r>
      <w:r w:rsidRPr="00170E6C">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F99CA60"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b/>
          <w:i/>
        </w:rPr>
        <w:t>I.</w:t>
      </w:r>
      <w:r w:rsidRPr="00170E6C">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9F5BE7C"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3996D51"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i/>
        </w:rPr>
        <w:t>III. La que presenten los particulares a los sujetos obligados, de conformidad con lo dispuesto por las leyes o los tratados internacionales.” (Sic)</w:t>
      </w:r>
    </w:p>
    <w:p w14:paraId="4003A733" w14:textId="77777777" w:rsidR="00B13630" w:rsidRPr="00170E6C" w:rsidRDefault="00B13630">
      <w:pPr>
        <w:spacing w:after="0" w:line="360" w:lineRule="auto"/>
        <w:ind w:left="993" w:right="1041"/>
        <w:jc w:val="both"/>
        <w:rPr>
          <w:rFonts w:ascii="Palatino Linotype" w:eastAsia="Palatino Linotype" w:hAnsi="Palatino Linotype" w:cs="Palatino Linotype"/>
          <w:i/>
        </w:rPr>
      </w:pPr>
    </w:p>
    <w:p w14:paraId="67322325" w14:textId="77777777" w:rsidR="00B13630" w:rsidRPr="00170E6C" w:rsidRDefault="00BD37F9">
      <w:pPr>
        <w:spacing w:after="0" w:line="360" w:lineRule="auto"/>
        <w:ind w:right="5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sidRPr="00170E6C">
        <w:rPr>
          <w:rFonts w:ascii="Palatino Linotype" w:eastAsia="Palatino Linotype" w:hAnsi="Palatino Linotype" w:cs="Palatino Linotype"/>
          <w:sz w:val="24"/>
          <w:szCs w:val="24"/>
        </w:rPr>
        <w:lastRenderedPageBreak/>
        <w:t>de la Ley de Protección de Datos Personales en Posesión de Sujetos Obligados del Estado de México.</w:t>
      </w:r>
    </w:p>
    <w:p w14:paraId="097B378F" w14:textId="77777777" w:rsidR="00B13630" w:rsidRPr="00170E6C" w:rsidRDefault="00B13630">
      <w:pPr>
        <w:spacing w:after="0" w:line="360" w:lineRule="auto"/>
        <w:ind w:right="51"/>
        <w:jc w:val="both"/>
        <w:rPr>
          <w:rFonts w:ascii="Palatino Linotype" w:eastAsia="Palatino Linotype" w:hAnsi="Palatino Linotype" w:cs="Palatino Linotype"/>
          <w:sz w:val="24"/>
          <w:szCs w:val="24"/>
        </w:rPr>
      </w:pPr>
    </w:p>
    <w:p w14:paraId="570F18C1" w14:textId="77777777" w:rsidR="00B13630" w:rsidRPr="00170E6C" w:rsidRDefault="00BD37F9">
      <w:pPr>
        <w:spacing w:after="0" w:line="360" w:lineRule="auto"/>
        <w:ind w:right="50"/>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935799A" w14:textId="77777777" w:rsidR="00B13630" w:rsidRPr="00170E6C" w:rsidRDefault="00B13630">
      <w:pPr>
        <w:spacing w:after="0" w:line="360" w:lineRule="auto"/>
        <w:ind w:right="50"/>
        <w:jc w:val="both"/>
        <w:rPr>
          <w:rFonts w:ascii="Palatino Linotype" w:eastAsia="Palatino Linotype" w:hAnsi="Palatino Linotype" w:cs="Palatino Linotype"/>
          <w:sz w:val="24"/>
          <w:szCs w:val="24"/>
        </w:rPr>
      </w:pPr>
    </w:p>
    <w:p w14:paraId="138712D1" w14:textId="77777777" w:rsidR="00B13630" w:rsidRPr="00170E6C" w:rsidRDefault="00BD37F9">
      <w:pPr>
        <w:spacing w:after="0" w:line="360" w:lineRule="auto"/>
        <w:ind w:right="5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FE997CB" w14:textId="77777777" w:rsidR="00B13630" w:rsidRPr="00170E6C" w:rsidRDefault="00B13630">
      <w:pPr>
        <w:spacing w:after="0" w:line="360" w:lineRule="auto"/>
        <w:ind w:right="51"/>
        <w:jc w:val="both"/>
        <w:rPr>
          <w:rFonts w:ascii="Palatino Linotype" w:eastAsia="Palatino Linotype" w:hAnsi="Palatino Linotype" w:cs="Palatino Linotype"/>
          <w:sz w:val="24"/>
          <w:szCs w:val="24"/>
        </w:rPr>
      </w:pPr>
    </w:p>
    <w:p w14:paraId="7F71259A" w14:textId="77777777" w:rsidR="00B13630" w:rsidRPr="00170E6C" w:rsidRDefault="00BD37F9">
      <w:pPr>
        <w:spacing w:after="0" w:line="360"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b/>
          <w:i/>
        </w:rPr>
        <w:t>“Artículo 49.</w:t>
      </w:r>
      <w:r w:rsidRPr="00170E6C">
        <w:rPr>
          <w:rFonts w:ascii="Palatino Linotype" w:eastAsia="Palatino Linotype" w:hAnsi="Palatino Linotype" w:cs="Palatino Linotype"/>
          <w:i/>
        </w:rPr>
        <w:t xml:space="preserve"> </w:t>
      </w:r>
      <w:r w:rsidRPr="00170E6C">
        <w:rPr>
          <w:rFonts w:ascii="Palatino Linotype" w:eastAsia="Palatino Linotype" w:hAnsi="Palatino Linotype" w:cs="Palatino Linotype"/>
          <w:b/>
          <w:i/>
        </w:rPr>
        <w:t>Los Comités de Transparencia</w:t>
      </w:r>
      <w:r w:rsidRPr="00170E6C">
        <w:rPr>
          <w:rFonts w:ascii="Palatino Linotype" w:eastAsia="Palatino Linotype" w:hAnsi="Palatino Linotype" w:cs="Palatino Linotype"/>
          <w:i/>
        </w:rPr>
        <w:t xml:space="preserve"> tendrán las siguientes atribuciones:</w:t>
      </w:r>
    </w:p>
    <w:p w14:paraId="32BC8380" w14:textId="77777777" w:rsidR="00B13630" w:rsidRPr="00170E6C" w:rsidRDefault="00BD37F9">
      <w:pPr>
        <w:spacing w:after="0" w:line="360"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b/>
          <w:i/>
        </w:rPr>
        <w:t>VIII. Aprobar, modificar o revocar la clasificación de la información</w:t>
      </w:r>
      <w:r w:rsidRPr="00170E6C">
        <w:rPr>
          <w:rFonts w:ascii="Palatino Linotype" w:eastAsia="Palatino Linotype" w:hAnsi="Palatino Linotype" w:cs="Palatino Linotype"/>
          <w:i/>
        </w:rPr>
        <w:t>…”</w:t>
      </w:r>
    </w:p>
    <w:p w14:paraId="050D9767" w14:textId="77777777" w:rsidR="00B13630" w:rsidRPr="00170E6C" w:rsidRDefault="00BD37F9">
      <w:pPr>
        <w:spacing w:after="0" w:line="360"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r w:rsidRPr="00170E6C">
        <w:rPr>
          <w:rFonts w:ascii="Palatino Linotype" w:eastAsia="Palatino Linotype" w:hAnsi="Palatino Linotype" w:cs="Palatino Linotype"/>
          <w:b/>
          <w:i/>
        </w:rPr>
        <w:t>Artículo 53.</w:t>
      </w:r>
      <w:r w:rsidRPr="00170E6C">
        <w:rPr>
          <w:rFonts w:ascii="Palatino Linotype" w:eastAsia="Palatino Linotype" w:hAnsi="Palatino Linotype" w:cs="Palatino Linotype"/>
          <w:i/>
        </w:rPr>
        <w:t xml:space="preserve"> Las </w:t>
      </w:r>
      <w:r w:rsidRPr="00170E6C">
        <w:rPr>
          <w:rFonts w:ascii="Palatino Linotype" w:eastAsia="Palatino Linotype" w:hAnsi="Palatino Linotype" w:cs="Palatino Linotype"/>
          <w:b/>
          <w:i/>
        </w:rPr>
        <w:t>Unidades de Transparencia</w:t>
      </w:r>
      <w:r w:rsidRPr="00170E6C">
        <w:rPr>
          <w:rFonts w:ascii="Palatino Linotype" w:eastAsia="Palatino Linotype" w:hAnsi="Palatino Linotype" w:cs="Palatino Linotype"/>
          <w:i/>
        </w:rPr>
        <w:t xml:space="preserve"> tendrán las siguientes </w:t>
      </w:r>
      <w:r w:rsidRPr="00170E6C">
        <w:rPr>
          <w:rFonts w:ascii="Palatino Linotype" w:eastAsia="Palatino Linotype" w:hAnsi="Palatino Linotype" w:cs="Palatino Linotype"/>
          <w:b/>
          <w:i/>
        </w:rPr>
        <w:t>funciones</w:t>
      </w:r>
      <w:r w:rsidRPr="00170E6C">
        <w:rPr>
          <w:rFonts w:ascii="Palatino Linotype" w:eastAsia="Palatino Linotype" w:hAnsi="Palatino Linotype" w:cs="Palatino Linotype"/>
          <w:i/>
        </w:rPr>
        <w:t>:</w:t>
      </w:r>
    </w:p>
    <w:p w14:paraId="7575EBFC" w14:textId="77777777" w:rsidR="00B13630" w:rsidRPr="00170E6C" w:rsidRDefault="00BD37F9">
      <w:pPr>
        <w:spacing w:after="0" w:line="360"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b/>
          <w:i/>
        </w:rPr>
        <w:t>X. Presentar ante el Comité, el proyecto de clasificación de información</w:t>
      </w:r>
      <w:r w:rsidRPr="00170E6C">
        <w:rPr>
          <w:rFonts w:ascii="Palatino Linotype" w:eastAsia="Palatino Linotype" w:hAnsi="Palatino Linotype" w:cs="Palatino Linotype"/>
          <w:i/>
        </w:rPr>
        <w:t xml:space="preserve">…” </w:t>
      </w:r>
    </w:p>
    <w:p w14:paraId="47EB0AC6" w14:textId="77777777" w:rsidR="00B13630" w:rsidRPr="00170E6C" w:rsidRDefault="00BD37F9">
      <w:pPr>
        <w:spacing w:after="0" w:line="360"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b/>
          <w:i/>
        </w:rPr>
        <w:lastRenderedPageBreak/>
        <w:t>“Artículo 59.</w:t>
      </w:r>
      <w:r w:rsidRPr="00170E6C">
        <w:rPr>
          <w:rFonts w:ascii="Palatino Linotype" w:eastAsia="Palatino Linotype" w:hAnsi="Palatino Linotype" w:cs="Palatino Linotype"/>
          <w:i/>
        </w:rPr>
        <w:t xml:space="preserve"> Los </w:t>
      </w:r>
      <w:r w:rsidRPr="00170E6C">
        <w:rPr>
          <w:rFonts w:ascii="Palatino Linotype" w:eastAsia="Palatino Linotype" w:hAnsi="Palatino Linotype" w:cs="Palatino Linotype"/>
          <w:b/>
          <w:i/>
        </w:rPr>
        <w:t>servidores públicos habilitados</w:t>
      </w:r>
      <w:r w:rsidRPr="00170E6C">
        <w:rPr>
          <w:rFonts w:ascii="Palatino Linotype" w:eastAsia="Palatino Linotype" w:hAnsi="Palatino Linotype" w:cs="Palatino Linotype"/>
          <w:i/>
        </w:rPr>
        <w:t xml:space="preserve"> tendrán las </w:t>
      </w:r>
      <w:r w:rsidRPr="00170E6C">
        <w:rPr>
          <w:rFonts w:ascii="Palatino Linotype" w:eastAsia="Palatino Linotype" w:hAnsi="Palatino Linotype" w:cs="Palatino Linotype"/>
          <w:b/>
          <w:i/>
        </w:rPr>
        <w:t>funciones</w:t>
      </w:r>
      <w:r w:rsidRPr="00170E6C">
        <w:rPr>
          <w:rFonts w:ascii="Palatino Linotype" w:eastAsia="Palatino Linotype" w:hAnsi="Palatino Linotype" w:cs="Palatino Linotype"/>
          <w:i/>
        </w:rPr>
        <w:t xml:space="preserve"> siguientes:</w:t>
      </w:r>
    </w:p>
    <w:p w14:paraId="1F091AE2" w14:textId="77777777" w:rsidR="00B13630" w:rsidRPr="00170E6C" w:rsidRDefault="00BD37F9">
      <w:pPr>
        <w:spacing w:after="0" w:line="360" w:lineRule="auto"/>
        <w:ind w:left="992" w:right="1043"/>
        <w:jc w:val="both"/>
        <w:rPr>
          <w:rFonts w:ascii="Palatino Linotype" w:eastAsia="Palatino Linotype" w:hAnsi="Palatino Linotype" w:cs="Palatino Linotype"/>
          <w:i/>
        </w:rPr>
      </w:pPr>
      <w:r w:rsidRPr="00170E6C">
        <w:rPr>
          <w:rFonts w:ascii="Palatino Linotype" w:eastAsia="Palatino Linotype" w:hAnsi="Palatino Linotype" w:cs="Palatino Linotype"/>
          <w:b/>
          <w:i/>
        </w:rPr>
        <w:t>V. Integrar y presentar al responsable de la Unidad de Transparencia la propuesta de clasificación de información</w:t>
      </w:r>
      <w:r w:rsidRPr="00170E6C">
        <w:rPr>
          <w:rFonts w:ascii="Palatino Linotype" w:eastAsia="Palatino Linotype" w:hAnsi="Palatino Linotype" w:cs="Palatino Linotype"/>
          <w:i/>
        </w:rPr>
        <w:t>, la cual tendrá los fundamentos y argumentos en que se basa dicha propuesta…”</w:t>
      </w:r>
    </w:p>
    <w:p w14:paraId="3B59187C" w14:textId="77777777" w:rsidR="00B13630" w:rsidRPr="00170E6C" w:rsidRDefault="00B13630">
      <w:pPr>
        <w:spacing w:after="0" w:line="360" w:lineRule="auto"/>
        <w:ind w:left="992" w:right="1043"/>
        <w:jc w:val="both"/>
        <w:rPr>
          <w:rFonts w:ascii="Palatino Linotype" w:eastAsia="Palatino Linotype" w:hAnsi="Palatino Linotype" w:cs="Palatino Linotype"/>
          <w:i/>
        </w:rPr>
      </w:pPr>
    </w:p>
    <w:p w14:paraId="640D125B"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4860792"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04DD5611"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3A3B7E7A" w14:textId="77777777" w:rsidR="00B13630" w:rsidRPr="00170E6C" w:rsidRDefault="00B13630">
      <w:pPr>
        <w:spacing w:after="0" w:line="360" w:lineRule="auto"/>
        <w:jc w:val="both"/>
        <w:rPr>
          <w:rFonts w:ascii="Palatino Linotype" w:eastAsia="Palatino Linotype" w:hAnsi="Palatino Linotype" w:cs="Palatino Linotype"/>
        </w:rPr>
      </w:pPr>
    </w:p>
    <w:p w14:paraId="176FDFEC" w14:textId="77777777" w:rsidR="00B13630" w:rsidRPr="00170E6C" w:rsidRDefault="00BD37F9">
      <w:pPr>
        <w:spacing w:after="0" w:line="360" w:lineRule="auto"/>
        <w:ind w:left="993" w:right="104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r w:rsidRPr="00170E6C">
        <w:rPr>
          <w:rFonts w:ascii="Palatino Linotype" w:eastAsia="Palatino Linotype" w:hAnsi="Palatino Linotype" w:cs="Palatino Linotype"/>
          <w:b/>
          <w:i/>
        </w:rPr>
        <w:t>Artículo 149.</w:t>
      </w:r>
      <w:r w:rsidRPr="00170E6C">
        <w:rPr>
          <w:rFonts w:ascii="Palatino Linotype" w:eastAsia="Palatino Linotype" w:hAnsi="Palatino Linotype" w:cs="Palatino Linotype"/>
          <w:i/>
        </w:rPr>
        <w:t xml:space="preserve"> El </w:t>
      </w:r>
      <w:r w:rsidRPr="00170E6C">
        <w:rPr>
          <w:rFonts w:ascii="Palatino Linotype" w:eastAsia="Palatino Linotype" w:hAnsi="Palatino Linotype" w:cs="Palatino Linotype"/>
          <w:b/>
          <w:i/>
        </w:rPr>
        <w:t>acuerdo que clasifique la información como confidencial</w:t>
      </w:r>
      <w:r w:rsidRPr="00170E6C">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Ley.”(Sic)</w:t>
      </w:r>
    </w:p>
    <w:p w14:paraId="39EE0CCB" w14:textId="77777777" w:rsidR="00B13630" w:rsidRPr="00170E6C" w:rsidRDefault="00B13630">
      <w:pPr>
        <w:spacing w:after="0" w:line="360" w:lineRule="auto"/>
        <w:ind w:left="993" w:right="1041"/>
        <w:jc w:val="both"/>
        <w:rPr>
          <w:rFonts w:ascii="Palatino Linotype" w:eastAsia="Palatino Linotype" w:hAnsi="Palatino Linotype" w:cs="Palatino Linotype"/>
          <w:i/>
        </w:rPr>
      </w:pPr>
    </w:p>
    <w:p w14:paraId="7C6D9A17"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lastRenderedPageBreak/>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3BD561A" w14:textId="77777777" w:rsidR="00B13630" w:rsidRPr="00170E6C" w:rsidRDefault="00B13630">
      <w:pPr>
        <w:spacing w:after="0" w:line="360" w:lineRule="auto"/>
        <w:ind w:right="49"/>
        <w:jc w:val="both"/>
        <w:rPr>
          <w:rFonts w:ascii="Palatino Linotype" w:eastAsia="Palatino Linotype" w:hAnsi="Palatino Linotype" w:cs="Palatino Linotype"/>
          <w:sz w:val="24"/>
          <w:szCs w:val="24"/>
        </w:rPr>
      </w:pPr>
    </w:p>
    <w:p w14:paraId="619CCCBB"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170E6C">
        <w:rPr>
          <w:rFonts w:ascii="Palatino Linotype" w:eastAsia="Palatino Linotype" w:hAnsi="Palatino Linotype" w:cs="Palatino Linotype"/>
          <w:b/>
          <w:sz w:val="24"/>
          <w:szCs w:val="24"/>
        </w:rPr>
        <w:t>Registro Federal de Contribuyentes</w:t>
      </w:r>
      <w:r w:rsidRPr="00170E6C">
        <w:rPr>
          <w:rFonts w:ascii="Palatino Linotype" w:eastAsia="Palatino Linotype" w:hAnsi="Palatino Linotype" w:cs="Palatino Linotype"/>
          <w:sz w:val="24"/>
          <w:szCs w:val="24"/>
        </w:rPr>
        <w:t xml:space="preserve"> (RFC), la </w:t>
      </w:r>
      <w:r w:rsidRPr="00170E6C">
        <w:rPr>
          <w:rFonts w:ascii="Palatino Linotype" w:eastAsia="Palatino Linotype" w:hAnsi="Palatino Linotype" w:cs="Palatino Linotype"/>
          <w:b/>
          <w:sz w:val="24"/>
          <w:szCs w:val="24"/>
        </w:rPr>
        <w:t>Clave Única de Registro de Población</w:t>
      </w:r>
      <w:r w:rsidRPr="00170E6C">
        <w:rPr>
          <w:rFonts w:ascii="Palatino Linotype" w:eastAsia="Palatino Linotype" w:hAnsi="Palatino Linotype" w:cs="Palatino Linotype"/>
          <w:sz w:val="24"/>
          <w:szCs w:val="24"/>
        </w:rPr>
        <w:t xml:space="preserve"> (CURP), la </w:t>
      </w:r>
      <w:r w:rsidRPr="00170E6C">
        <w:rPr>
          <w:rFonts w:ascii="Palatino Linotype" w:eastAsia="Palatino Linotype" w:hAnsi="Palatino Linotype" w:cs="Palatino Linotype"/>
          <w:b/>
          <w:sz w:val="24"/>
          <w:szCs w:val="24"/>
        </w:rPr>
        <w:t>Clave de cualquier tipo de seguridad social</w:t>
      </w:r>
      <w:r w:rsidRPr="00170E6C">
        <w:rPr>
          <w:rFonts w:ascii="Palatino Linotype" w:eastAsia="Palatino Linotype" w:hAnsi="Palatino Linotype" w:cs="Palatino Linotype"/>
          <w:sz w:val="24"/>
          <w:szCs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5766FEFE" w14:textId="77777777" w:rsidR="00B13630" w:rsidRPr="00170E6C" w:rsidRDefault="00B13630">
      <w:pPr>
        <w:spacing w:after="0" w:line="360" w:lineRule="auto"/>
        <w:ind w:right="49"/>
        <w:jc w:val="both"/>
        <w:rPr>
          <w:rFonts w:ascii="Palatino Linotype" w:eastAsia="Palatino Linotype" w:hAnsi="Palatino Linotype" w:cs="Palatino Linotype"/>
          <w:sz w:val="24"/>
          <w:szCs w:val="24"/>
        </w:rPr>
      </w:pPr>
    </w:p>
    <w:p w14:paraId="2551470B"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Por cuanto hace al </w:t>
      </w:r>
      <w:r w:rsidRPr="00170E6C">
        <w:rPr>
          <w:rFonts w:ascii="Palatino Linotype" w:eastAsia="Palatino Linotype" w:hAnsi="Palatino Linotype" w:cs="Palatino Linotype"/>
          <w:b/>
          <w:sz w:val="24"/>
          <w:szCs w:val="24"/>
        </w:rPr>
        <w:t>Registro Federal de Contribuyentes (RFC),</w:t>
      </w:r>
      <w:r w:rsidRPr="00170E6C">
        <w:rPr>
          <w:rFonts w:ascii="Palatino Linotype" w:eastAsia="Palatino Linotype" w:hAnsi="Palatino Linotype" w:cs="Palatino Linotype"/>
          <w:sz w:val="24"/>
          <w:szCs w:val="24"/>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3A1F32A2"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59E64F2F"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378B236"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Lo anterior es compartido por el entonces Instituto Federal de Acceso a la Información Pública y Protección de Datos Personales (IFAI) a través del Criterio 19/17, el cual es del tenor literal siguiente:</w:t>
      </w:r>
    </w:p>
    <w:p w14:paraId="7859B048" w14:textId="77777777" w:rsidR="00B13630" w:rsidRPr="00170E6C" w:rsidRDefault="00B13630">
      <w:pPr>
        <w:spacing w:after="0" w:line="360" w:lineRule="auto"/>
        <w:ind w:left="851" w:right="900"/>
        <w:jc w:val="both"/>
        <w:rPr>
          <w:rFonts w:ascii="Palatino Linotype" w:eastAsia="Palatino Linotype" w:hAnsi="Palatino Linotype" w:cs="Palatino Linotype"/>
          <w:b/>
          <w:i/>
        </w:rPr>
      </w:pPr>
    </w:p>
    <w:p w14:paraId="23CCC54D" w14:textId="77777777" w:rsidR="00B13630" w:rsidRPr="00170E6C" w:rsidRDefault="00BD37F9">
      <w:pPr>
        <w:spacing w:after="0" w:line="360" w:lineRule="auto"/>
        <w:ind w:left="851" w:right="900"/>
        <w:jc w:val="both"/>
        <w:rPr>
          <w:rFonts w:ascii="Palatino Linotype" w:eastAsia="Palatino Linotype" w:hAnsi="Palatino Linotype" w:cs="Palatino Linotype"/>
          <w:i/>
        </w:rPr>
      </w:pPr>
      <w:r w:rsidRPr="00170E6C">
        <w:rPr>
          <w:rFonts w:ascii="Palatino Linotype" w:eastAsia="Palatino Linotype" w:hAnsi="Palatino Linotype" w:cs="Palatino Linotype"/>
          <w:b/>
          <w:i/>
        </w:rPr>
        <w:t>“Registro Federal de Contribuyentes (RFC) de personas físicas</w:t>
      </w:r>
      <w:r w:rsidRPr="00170E6C">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01B9DA4B" w14:textId="77777777" w:rsidR="00B13630" w:rsidRPr="00170E6C" w:rsidRDefault="00B13630">
      <w:pPr>
        <w:spacing w:after="0" w:line="360" w:lineRule="auto"/>
        <w:jc w:val="both"/>
        <w:rPr>
          <w:rFonts w:ascii="Palatino Linotype" w:eastAsia="Palatino Linotype" w:hAnsi="Palatino Linotype" w:cs="Palatino Linotype"/>
        </w:rPr>
      </w:pPr>
    </w:p>
    <w:p w14:paraId="51F80F04"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homoclave, la cual es única e irrepetible y determina la identificación de dicha </w:t>
      </w:r>
      <w:r w:rsidRPr="00170E6C">
        <w:rPr>
          <w:rFonts w:ascii="Palatino Linotype" w:eastAsia="Palatino Linotype" w:hAnsi="Palatino Linotype" w:cs="Palatino Linotype"/>
          <w:sz w:val="24"/>
          <w:szCs w:val="24"/>
        </w:rPr>
        <w:lastRenderedPageBreak/>
        <w:t>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464E6E5"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1DFAB2E4"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De igual manera la </w:t>
      </w:r>
      <w:r w:rsidRPr="00170E6C">
        <w:rPr>
          <w:rFonts w:ascii="Palatino Linotype" w:eastAsia="Palatino Linotype" w:hAnsi="Palatino Linotype" w:cs="Palatino Linotype"/>
          <w:b/>
          <w:sz w:val="24"/>
          <w:szCs w:val="24"/>
        </w:rPr>
        <w:t>Clave Única de Registro de Población (CURP)</w:t>
      </w:r>
      <w:r w:rsidRPr="00170E6C">
        <w:rPr>
          <w:rFonts w:ascii="Palatino Linotype" w:eastAsia="Palatino Linotype" w:hAnsi="Palatino Linotype" w:cs="Palatino Linotype"/>
          <w:sz w:val="24"/>
          <w:szCs w:val="24"/>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35AD842F"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5CB4D11F"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Argumento que es compartido por el Instituto Nacional de Transparencia, Acceso a la Información y Protección de Datos Personales, INAI</w:t>
      </w:r>
      <w:r w:rsidRPr="00170E6C">
        <w:rPr>
          <w:rFonts w:ascii="Palatino Linotype" w:eastAsia="Palatino Linotype" w:hAnsi="Palatino Linotype" w:cs="Palatino Linotype"/>
          <w:b/>
          <w:sz w:val="24"/>
          <w:szCs w:val="24"/>
        </w:rPr>
        <w:t xml:space="preserve">, conforme al </w:t>
      </w:r>
      <w:r w:rsidRPr="00170E6C">
        <w:rPr>
          <w:rFonts w:ascii="Palatino Linotype" w:eastAsia="Palatino Linotype" w:hAnsi="Palatino Linotype" w:cs="Palatino Linotype"/>
          <w:sz w:val="24"/>
          <w:szCs w:val="24"/>
        </w:rPr>
        <w:t xml:space="preserve">criterio 18/17, el cual refiere: </w:t>
      </w:r>
    </w:p>
    <w:p w14:paraId="1FC76822" w14:textId="77777777" w:rsidR="00B13630" w:rsidRPr="00170E6C" w:rsidRDefault="00B13630">
      <w:pPr>
        <w:spacing w:after="0" w:line="360" w:lineRule="auto"/>
        <w:ind w:left="851" w:right="851"/>
        <w:jc w:val="both"/>
        <w:rPr>
          <w:rFonts w:ascii="Palatino Linotype" w:eastAsia="Palatino Linotype" w:hAnsi="Palatino Linotype" w:cs="Palatino Linotype"/>
          <w:b/>
          <w:i/>
        </w:rPr>
      </w:pPr>
    </w:p>
    <w:p w14:paraId="3FF299F9" w14:textId="77777777" w:rsidR="00B13630" w:rsidRPr="00170E6C" w:rsidRDefault="00BD37F9">
      <w:pPr>
        <w:spacing w:after="0" w:line="360" w:lineRule="auto"/>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t xml:space="preserve">“Clave Única de Registro de Población (CURP). </w:t>
      </w:r>
      <w:r w:rsidRPr="00170E6C">
        <w:rPr>
          <w:rFonts w:ascii="Palatino Linotype" w:eastAsia="Palatino Linotype" w:hAnsi="Palatino Linotype" w:cs="Palatino Linotype"/>
          <w:i/>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w:t>
      </w:r>
      <w:r w:rsidRPr="00170E6C">
        <w:rPr>
          <w:rFonts w:ascii="Palatino Linotype" w:eastAsia="Palatino Linotype" w:hAnsi="Palatino Linotype" w:cs="Palatino Linotype"/>
          <w:i/>
        </w:rPr>
        <w:lastRenderedPageBreak/>
        <w:t>plenamente a una persona física del resto de los habitantes del país, por lo que la CURP está considerada como información confidencial.”</w:t>
      </w:r>
    </w:p>
    <w:p w14:paraId="5909B315" w14:textId="77777777" w:rsidR="00B13630" w:rsidRPr="00170E6C" w:rsidRDefault="00B13630">
      <w:pPr>
        <w:spacing w:after="0" w:line="360" w:lineRule="auto"/>
        <w:jc w:val="both"/>
        <w:rPr>
          <w:rFonts w:ascii="Palatino Linotype" w:eastAsia="Palatino Linotype" w:hAnsi="Palatino Linotype" w:cs="Palatino Linotype"/>
        </w:rPr>
      </w:pPr>
    </w:p>
    <w:p w14:paraId="64280D5C"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Por cuanto hace a la </w:t>
      </w:r>
      <w:r w:rsidRPr="00170E6C">
        <w:rPr>
          <w:rFonts w:ascii="Palatino Linotype" w:eastAsia="Palatino Linotype" w:hAnsi="Palatino Linotype" w:cs="Palatino Linotype"/>
          <w:b/>
          <w:sz w:val="24"/>
          <w:szCs w:val="24"/>
        </w:rPr>
        <w:t xml:space="preserve">Clave de cualquier tipo de seguridad social (ISSEMyM, u otros), </w:t>
      </w:r>
      <w:r w:rsidRPr="00170E6C">
        <w:rPr>
          <w:rFonts w:ascii="Palatino Linotype" w:eastAsia="Palatino Linotype" w:hAnsi="Palatino Linotype" w:cs="Palatino Linotype"/>
          <w:sz w:val="24"/>
          <w:szCs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F956F5D"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52DE4708" w14:textId="77777777" w:rsidR="00B13630" w:rsidRPr="00170E6C" w:rsidRDefault="00BD37F9">
      <w:pPr>
        <w:spacing w:after="0" w:line="360" w:lineRule="auto"/>
        <w:jc w:val="both"/>
        <w:rPr>
          <w:rFonts w:ascii="Palatino Linotype" w:eastAsia="Palatino Linotype" w:hAnsi="Palatino Linotype" w:cs="Palatino Linotype"/>
          <w:sz w:val="24"/>
          <w:szCs w:val="24"/>
          <w:u w:val="single"/>
        </w:rPr>
      </w:pPr>
      <w:r w:rsidRPr="00170E6C">
        <w:rPr>
          <w:rFonts w:ascii="Palatino Linotype" w:eastAsia="Palatino Linotype" w:hAnsi="Palatino Linotype" w:cs="Palatino Linotype"/>
          <w:sz w:val="24"/>
          <w:szCs w:val="24"/>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170E6C">
        <w:rPr>
          <w:rFonts w:ascii="Palatino Linotype" w:eastAsia="Palatino Linotype" w:hAnsi="Palatino Linotype" w:cs="Palatino Linotype"/>
          <w:sz w:val="24"/>
          <w:szCs w:val="24"/>
          <w:u w:val="single"/>
        </w:rPr>
        <w:t>se le asigna una clave para hacer identificable al trabajador con el objetivo de poder proporcionar los servicios que brinda el ISSEMYM.</w:t>
      </w:r>
    </w:p>
    <w:p w14:paraId="3457EEAD"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2C6C247D"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lastRenderedPageBreak/>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4BC08762" w14:textId="77777777" w:rsidR="00B13630" w:rsidRPr="00170E6C" w:rsidRDefault="00B13630">
      <w:pPr>
        <w:spacing w:after="0" w:line="360" w:lineRule="auto"/>
        <w:jc w:val="both"/>
        <w:rPr>
          <w:rFonts w:ascii="Palatino Linotype" w:eastAsia="Palatino Linotype" w:hAnsi="Palatino Linotype" w:cs="Palatino Linotype"/>
        </w:rPr>
      </w:pPr>
    </w:p>
    <w:p w14:paraId="34168861"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5F7AB98B" w14:textId="77777777" w:rsidR="00B13630" w:rsidRPr="00170E6C" w:rsidRDefault="00BD37F9">
      <w:pPr>
        <w:spacing w:after="0" w:line="360" w:lineRule="auto"/>
        <w:jc w:val="both"/>
        <w:rPr>
          <w:sz w:val="24"/>
          <w:szCs w:val="24"/>
        </w:rPr>
      </w:pPr>
      <w:r w:rsidRPr="00170E6C">
        <w:rPr>
          <w:rFonts w:ascii="Palatino Linotype" w:eastAsia="Palatino Linotype" w:hAnsi="Palatino Linotype" w:cs="Palatino Linotype"/>
          <w:sz w:val="24"/>
          <w:szCs w:val="24"/>
        </w:rPr>
        <w:t xml:space="preserve">Respecto de los </w:t>
      </w:r>
      <w:r w:rsidRPr="00170E6C">
        <w:rPr>
          <w:rFonts w:ascii="Palatino Linotype" w:eastAsia="Palatino Linotype" w:hAnsi="Palatino Linotype" w:cs="Palatino Linotype"/>
          <w:b/>
          <w:sz w:val="24"/>
          <w:szCs w:val="24"/>
        </w:rPr>
        <w:t>préstamos o descuentos</w:t>
      </w:r>
      <w:r w:rsidRPr="00170E6C">
        <w:rPr>
          <w:rFonts w:ascii="Palatino Linotype" w:eastAsia="Palatino Linotype" w:hAnsi="Palatino Linotype" w:cs="Palatino Linotype"/>
          <w:sz w:val="24"/>
          <w:szCs w:val="24"/>
        </w:rPr>
        <w:t xml:space="preserve"> </w:t>
      </w:r>
      <w:r w:rsidRPr="00170E6C">
        <w:rPr>
          <w:rFonts w:ascii="Palatino Linotype" w:eastAsia="Palatino Linotype" w:hAnsi="Palatino Linotype" w:cs="Palatino Linotype"/>
          <w:b/>
          <w:sz w:val="24"/>
          <w:szCs w:val="24"/>
        </w:rPr>
        <w:t>de carácter personal</w:t>
      </w:r>
      <w:r w:rsidRPr="00170E6C">
        <w:rPr>
          <w:rFonts w:ascii="Palatino Linotype" w:eastAsia="Palatino Linotype" w:hAnsi="Palatino Linotype" w:cs="Palatino Linotype"/>
          <w:sz w:val="24"/>
          <w:szCs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22CEE34"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Por su parte, el artículo 84 de la Ley del Trabajo de los Servidores Públicos del Estado y Municipios, señala:</w:t>
      </w:r>
    </w:p>
    <w:p w14:paraId="10BAF92A" w14:textId="77777777" w:rsidR="00B13630" w:rsidRPr="00170E6C" w:rsidRDefault="00B13630">
      <w:pPr>
        <w:spacing w:after="0" w:line="360" w:lineRule="auto"/>
        <w:jc w:val="both"/>
        <w:rPr>
          <w:sz w:val="24"/>
          <w:szCs w:val="24"/>
        </w:rPr>
      </w:pPr>
    </w:p>
    <w:p w14:paraId="6FF5838B"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i/>
        </w:rPr>
        <w:lastRenderedPageBreak/>
        <w:t>“</w:t>
      </w:r>
      <w:r w:rsidRPr="00170E6C">
        <w:rPr>
          <w:rFonts w:ascii="Palatino Linotype" w:eastAsia="Palatino Linotype" w:hAnsi="Palatino Linotype" w:cs="Palatino Linotype"/>
          <w:b/>
          <w:i/>
        </w:rPr>
        <w:t>ARTICULO 84. Sólo podrán hacerse retenciones, descuentos o deducciones al sueldo de los servidores públicos por concepto de:</w:t>
      </w:r>
    </w:p>
    <w:p w14:paraId="38C460AF"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i/>
        </w:rPr>
        <w:t>I. Gravámenes fiscales relacionados con el sueldo;</w:t>
      </w:r>
    </w:p>
    <w:p w14:paraId="60BDF6B5"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b/>
          <w:i/>
        </w:rPr>
        <w:t>II. Deudas contraídas con las instituciones públicas o dependencias</w:t>
      </w:r>
      <w:r w:rsidRPr="00170E6C">
        <w:rPr>
          <w:rFonts w:ascii="Palatino Linotype" w:eastAsia="Palatino Linotype" w:hAnsi="Palatino Linotype" w:cs="Palatino Linotype"/>
          <w:i/>
        </w:rPr>
        <w:t xml:space="preserve"> por concepto de anticipos de sueldo, pagos hechos con exceso, errores o pérdidas debidamente comprobados;</w:t>
      </w:r>
    </w:p>
    <w:p w14:paraId="72AE757D"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b/>
          <w:i/>
        </w:rPr>
        <w:t>III. Cuotas sindicales</w:t>
      </w:r>
      <w:r w:rsidRPr="00170E6C">
        <w:rPr>
          <w:rFonts w:ascii="Palatino Linotype" w:eastAsia="Palatino Linotype" w:hAnsi="Palatino Linotype" w:cs="Palatino Linotype"/>
          <w:i/>
        </w:rPr>
        <w:t>;</w:t>
      </w:r>
    </w:p>
    <w:p w14:paraId="29DE204B"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498995AB"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3E3F9258"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b/>
          <w:i/>
        </w:rPr>
        <w:t>VI. Obligaciones a cargo del servidor público con las que haya consentido</w:t>
      </w:r>
      <w:r w:rsidRPr="00170E6C">
        <w:rPr>
          <w:rFonts w:ascii="Palatino Linotype" w:eastAsia="Palatino Linotype" w:hAnsi="Palatino Linotype" w:cs="Palatino Linotype"/>
          <w:i/>
        </w:rPr>
        <w:t>, derivadas de la adquisición o del uso de habitaciones consideradas como de interés social;</w:t>
      </w:r>
    </w:p>
    <w:p w14:paraId="27DE0FEA"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i/>
        </w:rPr>
        <w:t>VII. Faltas de puntualidad o de asistencia injustificadas;</w:t>
      </w:r>
    </w:p>
    <w:p w14:paraId="0D154499"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b/>
          <w:i/>
        </w:rPr>
        <w:t>VIII. Pensiones alimenticias ordenadas por la autoridad judicial;</w:t>
      </w:r>
      <w:r w:rsidRPr="00170E6C">
        <w:rPr>
          <w:rFonts w:ascii="Palatino Linotype" w:eastAsia="Palatino Linotype" w:hAnsi="Palatino Linotype" w:cs="Palatino Linotype"/>
          <w:i/>
        </w:rPr>
        <w:t xml:space="preserve"> o</w:t>
      </w:r>
    </w:p>
    <w:p w14:paraId="03F56B17"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b/>
          <w:i/>
        </w:rPr>
        <w:t>IX. Cualquier otro convenido con instituciones de servicios y aceptado por el servidor público.</w:t>
      </w:r>
    </w:p>
    <w:p w14:paraId="791A0C19"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i/>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w:t>
      </w:r>
      <w:r w:rsidRPr="00170E6C">
        <w:rPr>
          <w:rFonts w:ascii="Palatino Linotype" w:eastAsia="Palatino Linotype" w:hAnsi="Palatino Linotype" w:cs="Palatino Linotype"/>
          <w:i/>
        </w:rPr>
        <w:lastRenderedPageBreak/>
        <w:t>lo establecido en la fracción VIII de este artículo, en que se ajustará a lo determinado por la autoridad judicial.” </w:t>
      </w:r>
    </w:p>
    <w:p w14:paraId="774F0481" w14:textId="77777777" w:rsidR="00B13630" w:rsidRPr="00170E6C" w:rsidRDefault="00BD37F9">
      <w:pPr>
        <w:spacing w:after="0" w:line="360" w:lineRule="auto"/>
        <w:ind w:left="851" w:right="902"/>
        <w:jc w:val="both"/>
      </w:pPr>
      <w:r w:rsidRPr="00170E6C">
        <w:rPr>
          <w:rFonts w:ascii="Palatino Linotype" w:eastAsia="Palatino Linotype" w:hAnsi="Palatino Linotype" w:cs="Palatino Linotype"/>
        </w:rPr>
        <w:t>(Énfasis añadido)</w:t>
      </w:r>
    </w:p>
    <w:p w14:paraId="2D6CB895" w14:textId="77777777" w:rsidR="00B13630" w:rsidRPr="00170E6C" w:rsidRDefault="00BD37F9">
      <w:pPr>
        <w:spacing w:after="0" w:line="360" w:lineRule="auto"/>
        <w:jc w:val="both"/>
        <w:rPr>
          <w:sz w:val="24"/>
          <w:szCs w:val="24"/>
        </w:rPr>
      </w:pPr>
      <w:r w:rsidRPr="00170E6C">
        <w:rPr>
          <w:rFonts w:ascii="Palatino Linotype" w:eastAsia="Palatino Linotype" w:hAnsi="Palatino Linotype" w:cs="Palatino Linotype"/>
          <w:sz w:val="24"/>
          <w:szCs w:val="24"/>
        </w:rPr>
        <w:t xml:space="preserve">Derivado de lo anterior, la ley establece claramente cuáles son esos descuentos o gravámenes que directamente se relacionan con las obligaciones adquiridas como servidores públicos y aquéllos que </w:t>
      </w:r>
      <w:r w:rsidRPr="00170E6C">
        <w:rPr>
          <w:rFonts w:ascii="Palatino Linotype" w:eastAsia="Palatino Linotype" w:hAnsi="Palatino Linotype" w:cs="Palatino Linotype"/>
          <w:b/>
          <w:sz w:val="24"/>
          <w:szCs w:val="24"/>
        </w:rPr>
        <w:t>únicamente inciden en su vida privada</w:t>
      </w:r>
      <w:r w:rsidRPr="00170E6C">
        <w:rPr>
          <w:rFonts w:ascii="Palatino Linotype" w:eastAsia="Palatino Linotype" w:hAnsi="Palatino Linotype" w:cs="Palatino Linotype"/>
          <w:sz w:val="24"/>
          <w:szCs w:val="24"/>
        </w:rPr>
        <w:t>. De este modo, descuentos por pensiones alimenticias o créditos adquiridos con instituciones privadas o públicas pero que fueron contraídas en forma individual, son información que debe clasificarse como confidencial.</w:t>
      </w:r>
    </w:p>
    <w:p w14:paraId="3EF1FF60"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64DED825"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Sirven de sustento a lo anterior, las tesis jurisprudenciales </w:t>
      </w:r>
      <w:r w:rsidRPr="00170E6C">
        <w:rPr>
          <w:rFonts w:ascii="Palatino Linotype" w:eastAsia="Palatino Linotype" w:hAnsi="Palatino Linotype" w:cs="Palatino Linotype"/>
          <w:i/>
          <w:sz w:val="24"/>
          <w:szCs w:val="24"/>
        </w:rPr>
        <w:t xml:space="preserve">P. LX/2000 </w:t>
      </w:r>
      <w:r w:rsidRPr="00170E6C">
        <w:rPr>
          <w:rFonts w:ascii="Palatino Linotype" w:eastAsia="Palatino Linotype" w:hAnsi="Palatino Linotype" w:cs="Palatino Linotype"/>
          <w:sz w:val="24"/>
          <w:szCs w:val="24"/>
        </w:rPr>
        <w:t xml:space="preserve">y </w:t>
      </w:r>
      <w:r w:rsidRPr="00170E6C">
        <w:rPr>
          <w:rFonts w:ascii="Palatino Linotype" w:eastAsia="Palatino Linotype" w:hAnsi="Palatino Linotype" w:cs="Palatino Linotype"/>
          <w:i/>
          <w:sz w:val="24"/>
          <w:szCs w:val="24"/>
        </w:rPr>
        <w:t>2a. XLIII/2008</w:t>
      </w:r>
      <w:r w:rsidRPr="00170E6C">
        <w:rPr>
          <w:rFonts w:ascii="Tahoma" w:eastAsia="Tahoma" w:hAnsi="Tahoma" w:cs="Tahoma"/>
          <w:b/>
          <w:sz w:val="20"/>
          <w:szCs w:val="20"/>
        </w:rPr>
        <w:t xml:space="preserve"> </w:t>
      </w:r>
      <w:r w:rsidRPr="00170E6C">
        <w:rPr>
          <w:rFonts w:ascii="Palatino Linotype" w:eastAsia="Palatino Linotype" w:hAnsi="Palatino Linotype" w:cs="Palatino Linotype"/>
          <w:sz w:val="24"/>
          <w:szCs w:val="24"/>
        </w:rPr>
        <w:t>emitidas por el Peno y la Segunda Sala de la Suprema Corte de Justicia de la Nación, respectivamente, que son del tenor literal siguiente:</w:t>
      </w:r>
    </w:p>
    <w:p w14:paraId="5416EE37"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0EBD879B" w14:textId="77777777" w:rsidR="00B13630" w:rsidRPr="00170E6C" w:rsidRDefault="00BD37F9">
      <w:pPr>
        <w:spacing w:after="0" w:line="360" w:lineRule="auto"/>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170E6C">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w:t>
      </w:r>
      <w:r w:rsidRPr="00170E6C">
        <w:rPr>
          <w:rFonts w:ascii="Palatino Linotype" w:eastAsia="Palatino Linotype" w:hAnsi="Palatino Linotype" w:cs="Palatino Linotype"/>
          <w:i/>
        </w:rPr>
        <w:lastRenderedPageBreak/>
        <w:t xml:space="preserve">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170E6C">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170E6C">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170E6C">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170E6C">
        <w:rPr>
          <w:rFonts w:ascii="Palatino Linotype" w:eastAsia="Palatino Linotype" w:hAnsi="Palatino Linotype" w:cs="Palatino Linotype"/>
          <w:i/>
        </w:rPr>
        <w:t>.”</w:t>
      </w:r>
    </w:p>
    <w:p w14:paraId="1807EDB3" w14:textId="77777777" w:rsidR="00B13630" w:rsidRPr="00170E6C" w:rsidRDefault="00B13630">
      <w:pPr>
        <w:spacing w:after="0" w:line="360" w:lineRule="auto"/>
        <w:ind w:left="851" w:right="851"/>
        <w:jc w:val="both"/>
        <w:rPr>
          <w:rFonts w:ascii="Palatino Linotype" w:eastAsia="Palatino Linotype" w:hAnsi="Palatino Linotype" w:cs="Palatino Linotype"/>
          <w:i/>
        </w:rPr>
      </w:pPr>
    </w:p>
    <w:p w14:paraId="03369BD6" w14:textId="77777777" w:rsidR="00B13630" w:rsidRPr="00170E6C" w:rsidRDefault="00BD37F9">
      <w:pPr>
        <w:spacing w:after="0" w:line="360" w:lineRule="auto"/>
        <w:ind w:left="851" w:right="851"/>
        <w:jc w:val="both"/>
        <w:rPr>
          <w:rFonts w:ascii="Palatino Linotype" w:eastAsia="Palatino Linotype" w:hAnsi="Palatino Linotype" w:cs="Palatino Linotype"/>
          <w:i/>
        </w:rPr>
      </w:pPr>
      <w:r w:rsidRPr="00170E6C">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170E6C">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w:t>
      </w:r>
      <w:r w:rsidRPr="00170E6C">
        <w:rPr>
          <w:rFonts w:ascii="Palatino Linotype" w:eastAsia="Palatino Linotype" w:hAnsi="Palatino Linotype" w:cs="Palatino Linotype"/>
          <w:i/>
        </w:rPr>
        <w:lastRenderedPageBreak/>
        <w:t xml:space="preserve">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170E6C">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170E6C">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61050FDF" w14:textId="77777777" w:rsidR="00B13630" w:rsidRPr="00170E6C" w:rsidRDefault="00B13630">
      <w:pPr>
        <w:spacing w:after="0" w:line="360" w:lineRule="auto"/>
        <w:ind w:left="851" w:right="851"/>
        <w:jc w:val="both"/>
        <w:rPr>
          <w:rFonts w:ascii="Palatino Linotype" w:eastAsia="Palatino Linotype" w:hAnsi="Palatino Linotype" w:cs="Palatino Linotype"/>
          <w:i/>
        </w:rPr>
      </w:pPr>
    </w:p>
    <w:p w14:paraId="1A3EC185" w14:textId="77777777" w:rsidR="00B13630" w:rsidRPr="00170E6C" w:rsidRDefault="00BD37F9">
      <w:pPr>
        <w:spacing w:after="0" w:line="360" w:lineRule="auto"/>
        <w:ind w:right="-93"/>
        <w:jc w:val="both"/>
        <w:rPr>
          <w:rFonts w:ascii="Palatino Linotype" w:eastAsia="Palatino Linotype" w:hAnsi="Palatino Linotype" w:cs="Palatino Linotype"/>
          <w:b/>
          <w:sz w:val="24"/>
          <w:szCs w:val="24"/>
        </w:rPr>
      </w:pPr>
      <w:r w:rsidRPr="00170E6C">
        <w:rPr>
          <w:rFonts w:ascii="Palatino Linotype" w:eastAsia="Palatino Linotype" w:hAnsi="Palatino Linotype" w:cs="Palatino Linotype"/>
          <w:sz w:val="24"/>
          <w:szCs w:val="24"/>
        </w:rPr>
        <w:t>También,</w:t>
      </w:r>
      <w:r w:rsidRPr="00170E6C">
        <w:rPr>
          <w:rFonts w:ascii="Palatino Linotype" w:eastAsia="Palatino Linotype" w:hAnsi="Palatino Linotype" w:cs="Palatino Linotype"/>
          <w:b/>
          <w:sz w:val="24"/>
          <w:szCs w:val="24"/>
        </w:rPr>
        <w:t xml:space="preserve"> el número de cuenta bancario</w:t>
      </w:r>
      <w:r w:rsidRPr="00170E6C">
        <w:rPr>
          <w:rFonts w:ascii="Palatino Linotype" w:eastAsia="Palatino Linotype" w:hAnsi="Palatino Linotype" w:cs="Palatino Linotype"/>
          <w:sz w:val="24"/>
          <w:szCs w:val="24"/>
        </w:rPr>
        <w:t>, en el Criterio 10/17 emitido por el Pleno del Instituto Nacional de Transparencia, Acceso a la Información y Protección de Datos Personales  se establece lo siguiente:</w:t>
      </w:r>
    </w:p>
    <w:p w14:paraId="7492DE2F" w14:textId="77777777" w:rsidR="00B13630" w:rsidRPr="00170E6C" w:rsidRDefault="00B13630">
      <w:pPr>
        <w:shd w:val="clear" w:color="auto" w:fill="FFFFFF"/>
        <w:spacing w:after="0" w:line="360" w:lineRule="auto"/>
        <w:ind w:left="567" w:right="567"/>
        <w:jc w:val="both"/>
        <w:rPr>
          <w:rFonts w:ascii="Palatino Linotype" w:eastAsia="Palatino Linotype" w:hAnsi="Palatino Linotype" w:cs="Palatino Linotype"/>
        </w:rPr>
      </w:pPr>
    </w:p>
    <w:p w14:paraId="4162AD3B" w14:textId="77777777" w:rsidR="00B13630" w:rsidRPr="00170E6C" w:rsidRDefault="00BD37F9">
      <w:pPr>
        <w:shd w:val="clear" w:color="auto" w:fill="FFFFFF"/>
        <w:spacing w:after="0" w:line="360" w:lineRule="auto"/>
        <w:ind w:left="567" w:right="567"/>
        <w:jc w:val="both"/>
        <w:rPr>
          <w:rFonts w:ascii="Palatino Linotype" w:eastAsia="Palatino Linotype" w:hAnsi="Palatino Linotype" w:cs="Palatino Linotype"/>
        </w:rPr>
      </w:pPr>
      <w:r w:rsidRPr="00170E6C">
        <w:rPr>
          <w:rFonts w:ascii="Palatino Linotype" w:eastAsia="Palatino Linotype" w:hAnsi="Palatino Linotype" w:cs="Palatino Linotype"/>
        </w:rPr>
        <w:lastRenderedPageBreak/>
        <w:t>“</w:t>
      </w:r>
      <w:r w:rsidRPr="00170E6C">
        <w:rPr>
          <w:rFonts w:ascii="Palatino Linotype" w:eastAsia="Palatino Linotype" w:hAnsi="Palatino Linotype" w:cs="Palatino Linotype"/>
          <w:b/>
          <w:i/>
        </w:rPr>
        <w:t>Cuentas bancarias y/o CLABE interbancaria de personas físicas y morales privadas.</w:t>
      </w:r>
      <w:r w:rsidRPr="00170E6C">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170E6C">
        <w:rPr>
          <w:rFonts w:ascii="Palatino Linotype" w:eastAsia="Palatino Linotype" w:hAnsi="Palatino Linotype" w:cs="Palatino Linotype"/>
        </w:rPr>
        <w:t>.”</w:t>
      </w:r>
    </w:p>
    <w:p w14:paraId="019C8987" w14:textId="77777777" w:rsidR="00B13630" w:rsidRPr="00170E6C" w:rsidRDefault="00B13630">
      <w:pPr>
        <w:spacing w:line="360" w:lineRule="auto"/>
        <w:jc w:val="both"/>
        <w:rPr>
          <w:rFonts w:ascii="Palatino Linotype" w:eastAsia="Palatino Linotype" w:hAnsi="Palatino Linotype" w:cs="Palatino Linotype"/>
        </w:rPr>
      </w:pPr>
    </w:p>
    <w:p w14:paraId="6D54B264" w14:textId="77777777" w:rsidR="00B13630" w:rsidRPr="00170E6C" w:rsidRDefault="00BD37F9">
      <w:pPr>
        <w:spacing w:after="0" w:line="360" w:lineRule="auto"/>
        <w:ind w:right="-9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54CA8ED" w14:textId="77777777" w:rsidR="00B13630" w:rsidRPr="00170E6C" w:rsidRDefault="00B13630">
      <w:pPr>
        <w:spacing w:after="0" w:line="360" w:lineRule="auto"/>
        <w:ind w:right="-91"/>
        <w:jc w:val="both"/>
        <w:rPr>
          <w:rFonts w:ascii="Palatino Linotype" w:eastAsia="Palatino Linotype" w:hAnsi="Palatino Linotype" w:cs="Palatino Linotype"/>
          <w:sz w:val="24"/>
          <w:szCs w:val="24"/>
        </w:rPr>
      </w:pPr>
    </w:p>
    <w:p w14:paraId="48F9888E" w14:textId="77777777" w:rsidR="00B13630" w:rsidRPr="00170E6C" w:rsidRDefault="00BD37F9">
      <w:pPr>
        <w:spacing w:after="0" w:line="360" w:lineRule="auto"/>
        <w:ind w:right="-91"/>
        <w:jc w:val="both"/>
        <w:rPr>
          <w:rFonts w:ascii="Palatino Linotype" w:eastAsia="Palatino Linotype" w:hAnsi="Palatino Linotype" w:cs="Palatino Linotype"/>
          <w:b/>
          <w:sz w:val="24"/>
          <w:szCs w:val="24"/>
        </w:rPr>
      </w:pPr>
      <w:r w:rsidRPr="00170E6C">
        <w:rPr>
          <w:rFonts w:ascii="Palatino Linotype" w:eastAsia="Palatino Linotype" w:hAnsi="Palatino Linotype" w:cs="Palatino Linotype"/>
          <w:sz w:val="24"/>
          <w:szCs w:val="24"/>
        </w:rPr>
        <w:t xml:space="preserve">El </w:t>
      </w:r>
      <w:r w:rsidRPr="00170E6C">
        <w:rPr>
          <w:rFonts w:ascii="Palatino Linotype" w:eastAsia="Palatino Linotype" w:hAnsi="Palatino Linotype" w:cs="Palatino Linotype"/>
          <w:b/>
          <w:sz w:val="24"/>
          <w:szCs w:val="24"/>
        </w:rPr>
        <w:t>Código de barras bidimensional (QR)</w:t>
      </w:r>
      <w:r w:rsidRPr="00170E6C">
        <w:rPr>
          <w:rFonts w:ascii="Palatino Linotype" w:eastAsia="Palatino Linotype" w:hAnsi="Palatino Linotype" w:cs="Palatino Linotype"/>
          <w:sz w:val="24"/>
          <w:szCs w:val="24"/>
        </w:rPr>
        <w:t xml:space="preserve">, resulta necesario señalar que los comprobantes fiscales digitales por Internet, deben de incluir un código bidimensional conforme al formato </w:t>
      </w:r>
      <w:r w:rsidRPr="00170E6C">
        <w:rPr>
          <w:rFonts w:ascii="Palatino Linotype" w:eastAsia="Palatino Linotype" w:hAnsi="Palatino Linotype" w:cs="Palatino Linotype"/>
          <w:i/>
          <w:sz w:val="24"/>
          <w:szCs w:val="24"/>
        </w:rPr>
        <w:t>QR Code (Quick Response Code)</w:t>
      </w:r>
      <w:r w:rsidRPr="00170E6C">
        <w:rPr>
          <w:rFonts w:ascii="Palatino Linotype" w:eastAsia="Palatino Linotype" w:hAnsi="Palatino Linotype" w:cs="Palatino Linotype"/>
          <w:sz w:val="24"/>
          <w:szCs w:val="24"/>
        </w:rPr>
        <w:t xml:space="preserve">, el cual contiene el Registro Federal de Contribuyentes del receptor, del emisor, o de ambos; lo anterior, conforme al Anexo 20 de la Segunda Resolución de modificación a la </w:t>
      </w:r>
      <w:r w:rsidRPr="00170E6C">
        <w:rPr>
          <w:rFonts w:ascii="Palatino Linotype" w:eastAsia="Palatino Linotype" w:hAnsi="Palatino Linotype" w:cs="Palatino Linotype"/>
          <w:sz w:val="24"/>
          <w:szCs w:val="24"/>
        </w:rPr>
        <w:lastRenderedPageBreak/>
        <w:t xml:space="preserve">Resolución Miscelánea Fiscal para el 2017, localizada en la página electrónica  </w:t>
      </w:r>
      <w:hyperlink r:id="rId23">
        <w:r w:rsidRPr="00170E6C">
          <w:rPr>
            <w:rFonts w:ascii="Palatino Linotype" w:eastAsia="Palatino Linotype" w:hAnsi="Palatino Linotype" w:cs="Palatino Linotype"/>
            <w:color w:val="0000FF"/>
            <w:sz w:val="24"/>
            <w:szCs w:val="24"/>
            <w:u w:val="single"/>
          </w:rPr>
          <w:t>http://dof.gob.mx/nota_detalle.php?codigo=5492254&amp;fecha=28/07/2017</w:t>
        </w:r>
      </w:hyperlink>
      <w:r w:rsidRPr="00170E6C">
        <w:rPr>
          <w:rFonts w:ascii="Palatino Linotype" w:eastAsia="Palatino Linotype" w:hAnsi="Palatino Linotype" w:cs="Palatino Linotype"/>
          <w:sz w:val="24"/>
          <w:szCs w:val="24"/>
        </w:rPr>
        <w:t xml:space="preserve">. Incluso con la captura de dicho código, a través de la aplicación móvil del Servicio de Administración Tributaria, permite el acceso al Registro Federal de Contribuyentes, como del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como de la persona física o moral correspondiente.</w:t>
      </w:r>
    </w:p>
    <w:p w14:paraId="27F87E1D" w14:textId="77777777" w:rsidR="00B13630" w:rsidRPr="00170E6C" w:rsidRDefault="00B13630">
      <w:pPr>
        <w:spacing w:after="0" w:line="360" w:lineRule="auto"/>
        <w:ind w:right="-91"/>
        <w:jc w:val="both"/>
        <w:rPr>
          <w:rFonts w:ascii="Palatino Linotype" w:eastAsia="Palatino Linotype" w:hAnsi="Palatino Linotype" w:cs="Palatino Linotype"/>
          <w:sz w:val="24"/>
          <w:szCs w:val="24"/>
        </w:rPr>
      </w:pPr>
    </w:p>
    <w:p w14:paraId="030ADFCD" w14:textId="77777777" w:rsidR="00B13630" w:rsidRPr="00170E6C" w:rsidRDefault="00BD37F9">
      <w:pPr>
        <w:spacing w:after="80" w:line="360" w:lineRule="auto"/>
        <w:ind w:right="-9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533876F7" w14:textId="77777777" w:rsidR="00B13630" w:rsidRPr="00170E6C" w:rsidRDefault="00BD37F9">
      <w:pPr>
        <w:shd w:val="clear" w:color="auto" w:fill="FFFFFF"/>
        <w:spacing w:before="80" w:after="240" w:line="360" w:lineRule="auto"/>
        <w:jc w:val="both"/>
        <w:rPr>
          <w:color w:val="222222"/>
          <w:sz w:val="24"/>
          <w:szCs w:val="24"/>
        </w:rPr>
      </w:pPr>
      <w:r w:rsidRPr="00170E6C">
        <w:rPr>
          <w:rFonts w:ascii="Palatino Linotype" w:eastAsia="Palatino Linotype" w:hAnsi="Palatino Linotype" w:cs="Palatino Linotype"/>
          <w:color w:val="222222"/>
          <w:sz w:val="24"/>
          <w:szCs w:val="24"/>
        </w:rPr>
        <w:t>Por otra parte y respecto a</w:t>
      </w:r>
      <w:r w:rsidRPr="00170E6C">
        <w:rPr>
          <w:rFonts w:ascii="Palatino Linotype" w:eastAsia="Palatino Linotype" w:hAnsi="Palatino Linotype" w:cs="Palatino Linotype"/>
          <w:b/>
          <w:color w:val="222222"/>
          <w:sz w:val="24"/>
          <w:szCs w:val="24"/>
        </w:rPr>
        <w:t xml:space="preserve"> la clave de seguridad social y en su caso clave o número del servidor público –trabajador-,</w:t>
      </w:r>
      <w:r w:rsidRPr="00170E6C">
        <w:rPr>
          <w:rFonts w:ascii="Palatino Linotype" w:eastAsia="Palatino Linotype" w:hAnsi="Palatino Linotype" w:cs="Palatino Linotype"/>
          <w:color w:val="222222"/>
          <w:sz w:val="24"/>
          <w:szCs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838C41D" w14:textId="77777777" w:rsidR="00B13630" w:rsidRPr="00170E6C" w:rsidRDefault="00BD37F9">
      <w:pPr>
        <w:shd w:val="clear" w:color="auto" w:fill="FFFFFF"/>
        <w:spacing w:before="240" w:after="0" w:line="360" w:lineRule="auto"/>
        <w:ind w:left="567" w:right="900"/>
        <w:jc w:val="both"/>
        <w:rPr>
          <w:color w:val="222222"/>
          <w:sz w:val="24"/>
          <w:szCs w:val="24"/>
        </w:rPr>
      </w:pPr>
      <w:r w:rsidRPr="00170E6C">
        <w:rPr>
          <w:rFonts w:ascii="Palatino Linotype" w:eastAsia="Palatino Linotype" w:hAnsi="Palatino Linotype" w:cs="Palatino Linotype"/>
          <w:b/>
          <w:i/>
          <w:color w:val="222222"/>
        </w:rPr>
        <w:t>“El número de ficha de identificación única de los trabajadores es información de carácter confidencial.</w:t>
      </w:r>
      <w:r w:rsidRPr="00170E6C">
        <w:rPr>
          <w:rFonts w:ascii="Palatino Linotype" w:eastAsia="Palatino Linotype" w:hAnsi="Palatino Linotype" w:cs="Palatino Linotype"/>
          <w:i/>
          <w:color w:val="222222"/>
        </w:rPr>
        <w:t> </w:t>
      </w:r>
      <w:r w:rsidRPr="00170E6C">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70E6C">
        <w:rPr>
          <w:rFonts w:ascii="Palatino Linotype" w:eastAsia="Palatino Linotype" w:hAnsi="Palatino Linotype" w:cs="Palatino Linotype"/>
          <w:i/>
          <w:color w:val="222222"/>
        </w:rPr>
        <w:t>, </w:t>
      </w:r>
      <w:r w:rsidRPr="00170E6C">
        <w:rPr>
          <w:rFonts w:ascii="Palatino Linotype" w:eastAsia="Palatino Linotype" w:hAnsi="Palatino Linotype" w:cs="Palatino Linotype"/>
          <w:i/>
          <w:color w:val="222222"/>
          <w:u w:val="single"/>
        </w:rPr>
        <w:t xml:space="preserve">dicha información es </w:t>
      </w:r>
      <w:r w:rsidRPr="00170E6C">
        <w:rPr>
          <w:rFonts w:ascii="Palatino Linotype" w:eastAsia="Palatino Linotype" w:hAnsi="Palatino Linotype" w:cs="Palatino Linotype"/>
          <w:i/>
          <w:color w:val="222222"/>
          <w:u w:val="single"/>
        </w:rPr>
        <w:lastRenderedPageBreak/>
        <w:t>susceptible de clasificarse con el carácter de confidencial</w:t>
      </w:r>
      <w:r w:rsidRPr="00170E6C">
        <w:rPr>
          <w:rFonts w:ascii="Palatino Linotype" w:eastAsia="Palatino Linotype" w:hAnsi="Palatino Linotype" w:cs="Palatino Linotype"/>
          <w:i/>
          <w:color w:val="222222"/>
        </w:rPr>
        <w:t xml:space="preserve">, en términos de lo establecido en el artículo 18, fracción II de la Ley Federal de Transparencia y Acceso a la Información Pública Gubernamental, en virtud de que a través de la misma es </w:t>
      </w:r>
      <w:r w:rsidRPr="00170E6C">
        <w:rPr>
          <w:rFonts w:ascii="Palatino Linotype" w:eastAsia="Palatino Linotype" w:hAnsi="Palatino Linotype" w:cs="Palatino Linotype"/>
          <w:i/>
          <w:color w:val="222222"/>
          <w:sz w:val="24"/>
          <w:szCs w:val="24"/>
        </w:rPr>
        <w:t>posible conocer información personal de su titular.” (Sic)</w:t>
      </w:r>
    </w:p>
    <w:p w14:paraId="74C869F8" w14:textId="77777777" w:rsidR="00B13630" w:rsidRPr="00170E6C" w:rsidRDefault="00B13630">
      <w:pPr>
        <w:spacing w:after="0" w:line="360" w:lineRule="auto"/>
        <w:ind w:right="-93"/>
        <w:jc w:val="both"/>
        <w:rPr>
          <w:rFonts w:ascii="Palatino Linotype" w:eastAsia="Palatino Linotype" w:hAnsi="Palatino Linotype" w:cs="Palatino Linotype"/>
          <w:sz w:val="24"/>
          <w:szCs w:val="24"/>
        </w:rPr>
      </w:pPr>
    </w:p>
    <w:p w14:paraId="47963C57" w14:textId="77777777" w:rsidR="00B13630" w:rsidRPr="00170E6C" w:rsidRDefault="00BD37F9">
      <w:pPr>
        <w:spacing w:after="0" w:line="360" w:lineRule="auto"/>
        <w:ind w:right="-93"/>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Al respecto, es de señalar que </w:t>
      </w:r>
      <w:r w:rsidRPr="00170E6C">
        <w:rPr>
          <w:rFonts w:ascii="Palatino Linotype" w:eastAsia="Palatino Linotype" w:hAnsi="Palatino Linotype" w:cs="Palatino Linotype"/>
          <w:b/>
          <w:sz w:val="24"/>
          <w:szCs w:val="24"/>
        </w:rPr>
        <w:t xml:space="preserve">la firma </w:t>
      </w:r>
      <w:r w:rsidRPr="00170E6C">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6995A926" w14:textId="77777777" w:rsidR="00B13630" w:rsidRPr="00170E6C" w:rsidRDefault="00B13630">
      <w:pPr>
        <w:spacing w:after="0" w:line="360" w:lineRule="auto"/>
        <w:ind w:right="-93"/>
        <w:jc w:val="both"/>
        <w:rPr>
          <w:rFonts w:ascii="Palatino Linotype" w:eastAsia="Palatino Linotype" w:hAnsi="Palatino Linotype" w:cs="Palatino Linotype"/>
          <w:sz w:val="24"/>
          <w:szCs w:val="24"/>
        </w:rPr>
      </w:pPr>
    </w:p>
    <w:p w14:paraId="2D8704F3" w14:textId="77777777" w:rsidR="00B13630" w:rsidRPr="00170E6C" w:rsidRDefault="00BD37F9">
      <w:pPr>
        <w:spacing w:after="0" w:line="360" w:lineRule="auto"/>
        <w:ind w:right="-93"/>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2FD5B891" w14:textId="77777777" w:rsidR="00B13630" w:rsidRPr="00170E6C" w:rsidRDefault="00B13630">
      <w:pPr>
        <w:spacing w:after="0" w:line="360" w:lineRule="auto"/>
        <w:ind w:right="-93"/>
        <w:jc w:val="both"/>
        <w:rPr>
          <w:rFonts w:ascii="Palatino Linotype" w:eastAsia="Palatino Linotype" w:hAnsi="Palatino Linotype" w:cs="Palatino Linotype"/>
          <w:sz w:val="24"/>
          <w:szCs w:val="24"/>
        </w:rPr>
      </w:pPr>
    </w:p>
    <w:p w14:paraId="351667CC" w14:textId="77777777" w:rsidR="00B13630" w:rsidRPr="00170E6C" w:rsidRDefault="00BD37F9">
      <w:pPr>
        <w:spacing w:after="0" w:line="360" w:lineRule="auto"/>
        <w:ind w:right="-93"/>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3798BDC6" w14:textId="77777777" w:rsidR="00B13630" w:rsidRPr="00170E6C" w:rsidRDefault="00B13630">
      <w:pPr>
        <w:spacing w:after="0" w:line="360" w:lineRule="auto"/>
        <w:ind w:right="-93"/>
        <w:jc w:val="both"/>
        <w:rPr>
          <w:rFonts w:ascii="Palatino Linotype" w:eastAsia="Palatino Linotype" w:hAnsi="Palatino Linotype" w:cs="Palatino Linotype"/>
          <w:sz w:val="24"/>
          <w:szCs w:val="24"/>
        </w:rPr>
      </w:pPr>
    </w:p>
    <w:p w14:paraId="79B52566"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3568BD68" w14:textId="77777777" w:rsidR="00B13630" w:rsidRPr="00170E6C" w:rsidRDefault="00B13630">
      <w:pPr>
        <w:spacing w:line="276" w:lineRule="auto"/>
        <w:ind w:right="-93"/>
        <w:jc w:val="both"/>
        <w:rPr>
          <w:rFonts w:ascii="Palatino Linotype" w:eastAsia="Palatino Linotype" w:hAnsi="Palatino Linotype" w:cs="Palatino Linotype"/>
        </w:rPr>
      </w:pPr>
    </w:p>
    <w:p w14:paraId="0E37024C" w14:textId="77777777" w:rsidR="00B13630" w:rsidRPr="00170E6C" w:rsidRDefault="00BD37F9">
      <w:pPr>
        <w:spacing w:after="0" w:line="360" w:lineRule="auto"/>
        <w:ind w:left="1134" w:right="1041"/>
        <w:jc w:val="both"/>
        <w:rPr>
          <w:rFonts w:ascii="Palatino Linotype" w:eastAsia="Palatino Linotype" w:hAnsi="Palatino Linotype" w:cs="Palatino Linotype"/>
          <w:i/>
        </w:rPr>
      </w:pPr>
      <w:r w:rsidRPr="00170E6C">
        <w:rPr>
          <w:rFonts w:ascii="Palatino Linotype" w:eastAsia="Palatino Linotype" w:hAnsi="Palatino Linotype" w:cs="Palatino Linotype"/>
          <w:i/>
        </w:rPr>
        <w:t>“</w:t>
      </w:r>
      <w:r w:rsidRPr="00170E6C">
        <w:rPr>
          <w:rFonts w:ascii="Palatino Linotype" w:eastAsia="Palatino Linotype" w:hAnsi="Palatino Linotype" w:cs="Palatino Linotype"/>
          <w:b/>
          <w:i/>
        </w:rPr>
        <w:t>FIRMA Y RÚBRICA DE SERVIDORES PÚBLICOS.</w:t>
      </w:r>
      <w:r w:rsidRPr="00170E6C">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F5FC3F8"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47EE014C"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Al respecto, se destaca que la versión pública que elabore 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10B4925C"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7A5F8D6A"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Efectivamente, cuando se clasifica información como confidencial o reservada es importante someterlo al Comité de Transparencia, quien debe confirmar, modificar o revocar la clasificación.</w:t>
      </w:r>
    </w:p>
    <w:p w14:paraId="3EC10BFA" w14:textId="77777777" w:rsidR="00B13630" w:rsidRPr="00170E6C" w:rsidRDefault="00B13630">
      <w:pPr>
        <w:shd w:val="clear" w:color="auto" w:fill="FFFFFF"/>
        <w:spacing w:after="0" w:line="360" w:lineRule="auto"/>
        <w:ind w:right="51"/>
        <w:jc w:val="both"/>
        <w:rPr>
          <w:rFonts w:ascii="Palatino Linotype" w:eastAsia="Palatino Linotype" w:hAnsi="Palatino Linotype" w:cs="Palatino Linotype"/>
          <w:sz w:val="24"/>
          <w:szCs w:val="24"/>
        </w:rPr>
      </w:pPr>
    </w:p>
    <w:p w14:paraId="0EF54207" w14:textId="77777777" w:rsidR="00B13630" w:rsidRPr="00170E6C" w:rsidRDefault="00BD37F9">
      <w:pPr>
        <w:shd w:val="clear" w:color="auto" w:fill="FFFFFF"/>
        <w:spacing w:after="0" w:line="360" w:lineRule="auto"/>
        <w:ind w:right="51"/>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en el que se expongan los fundamentos y razonamientos que llevaron al </w:t>
      </w:r>
      <w:r w:rsidRPr="00170E6C">
        <w:rPr>
          <w:rFonts w:ascii="Palatino Linotype" w:eastAsia="Palatino Linotype" w:hAnsi="Palatino Linotype" w:cs="Palatino Linotype"/>
          <w:b/>
          <w:sz w:val="24"/>
          <w:szCs w:val="24"/>
        </w:rPr>
        <w:t xml:space="preserve">SUJETO </w:t>
      </w:r>
      <w:r w:rsidRPr="00170E6C">
        <w:rPr>
          <w:rFonts w:ascii="Palatino Linotype" w:eastAsia="Palatino Linotype" w:hAnsi="Palatino Linotype" w:cs="Palatino Linotype"/>
          <w:b/>
          <w:sz w:val="24"/>
          <w:szCs w:val="24"/>
        </w:rPr>
        <w:lastRenderedPageBreak/>
        <w:t>OBLIGADO</w:t>
      </w:r>
      <w:r w:rsidRPr="00170E6C">
        <w:rPr>
          <w:rFonts w:ascii="Palatino Linotype" w:eastAsia="Palatino Linotype" w:hAnsi="Palatino Linotype" w:cs="Palatino Linotype"/>
          <w:sz w:val="24"/>
          <w:szCs w:val="24"/>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170E6C">
        <w:rPr>
          <w:rFonts w:ascii="Palatino Linotype" w:eastAsia="Palatino Linotype" w:hAnsi="Palatino Linotype" w:cs="Palatino Linotype"/>
          <w:b/>
          <w:sz w:val="24"/>
          <w:szCs w:val="24"/>
        </w:rPr>
        <w:t>RECURRENTE.</w:t>
      </w:r>
    </w:p>
    <w:p w14:paraId="71F2AF9A"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06479578"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033DCD14"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74F11962"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170E6C">
        <w:rPr>
          <w:rFonts w:ascii="Palatino Linotype" w:eastAsia="Palatino Linotype" w:hAnsi="Palatino Linotype" w:cs="Palatino Linotype"/>
          <w:sz w:val="24"/>
          <w:szCs w:val="24"/>
        </w:rPr>
        <w:lastRenderedPageBreak/>
        <w:t>como reservada o confidencial la información que posean, desclasificarán y generarán, en su caso, versiones públicas de expedientes o documentos que contengan partes o secciones clasificadas.</w:t>
      </w:r>
    </w:p>
    <w:p w14:paraId="6067A961"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03D9EAD9"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A133CEE"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2F1555D9" w14:textId="77777777" w:rsidR="00B13630" w:rsidRPr="00170E6C" w:rsidRDefault="00BD37F9">
      <w:pPr>
        <w:spacing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“Quincuagésimo sexto</w:t>
      </w:r>
      <w:r w:rsidRPr="00170E6C">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08B2213" w14:textId="77777777" w:rsidR="00B13630" w:rsidRPr="00170E6C" w:rsidRDefault="00BD37F9">
      <w:pPr>
        <w:spacing w:before="120"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54A70E3D" w14:textId="77777777" w:rsidR="00B13630" w:rsidRPr="00170E6C" w:rsidRDefault="00BD37F9">
      <w:pPr>
        <w:spacing w:before="120"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27DA241C" w14:textId="77777777" w:rsidR="00B13630" w:rsidRPr="00170E6C" w:rsidRDefault="00BD37F9">
      <w:pPr>
        <w:spacing w:before="120"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76A819DD" w14:textId="77777777" w:rsidR="00B13630" w:rsidRPr="00170E6C" w:rsidRDefault="00BD37F9">
      <w:pPr>
        <w:spacing w:before="120"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29F52F5E" w14:textId="77777777" w:rsidR="00B13630" w:rsidRPr="00170E6C" w:rsidRDefault="00BD37F9">
      <w:pPr>
        <w:spacing w:before="120" w:after="120"/>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3E26FB32" w14:textId="77777777" w:rsidR="00B13630" w:rsidRPr="00170E6C" w:rsidRDefault="00BD37F9">
      <w:pPr>
        <w:spacing w:before="120" w:after="0" w:line="360" w:lineRule="auto"/>
        <w:ind w:left="851" w:right="902"/>
        <w:jc w:val="both"/>
        <w:rPr>
          <w:rFonts w:ascii="Palatino Linotype" w:eastAsia="Palatino Linotype" w:hAnsi="Palatino Linotype" w:cs="Palatino Linotype"/>
          <w:i/>
        </w:rPr>
      </w:pPr>
      <w:r w:rsidRPr="00170E6C">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787F8307"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4ED2A9E4" w14:textId="77777777" w:rsidR="00B13630" w:rsidRPr="00170E6C" w:rsidRDefault="00BD37F9">
      <w:pPr>
        <w:spacing w:after="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 xml:space="preserve">Por lo tanto, </w:t>
      </w:r>
      <w:r w:rsidRPr="00170E6C">
        <w:rPr>
          <w:rFonts w:ascii="Palatino Linotype" w:eastAsia="Palatino Linotype" w:hAnsi="Palatino Linotype" w:cs="Palatino Linotype"/>
          <w:b/>
          <w:sz w:val="24"/>
          <w:szCs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170E6C">
        <w:rPr>
          <w:rFonts w:ascii="Palatino Linotype" w:eastAsia="Palatino Linotype" w:hAnsi="Palatino Linotype" w:cs="Palatino Linotype"/>
          <w:sz w:val="24"/>
          <w:szCs w:val="24"/>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2CC5D88" w14:textId="77777777" w:rsidR="00B13630" w:rsidRPr="00170E6C" w:rsidRDefault="00B13630">
      <w:pPr>
        <w:spacing w:after="0" w:line="360" w:lineRule="auto"/>
        <w:jc w:val="both"/>
        <w:rPr>
          <w:rFonts w:ascii="Palatino Linotype" w:eastAsia="Palatino Linotype" w:hAnsi="Palatino Linotype" w:cs="Palatino Linotype"/>
          <w:sz w:val="24"/>
          <w:szCs w:val="24"/>
        </w:rPr>
      </w:pPr>
    </w:p>
    <w:p w14:paraId="752CEBBE" w14:textId="77777777" w:rsidR="00B13630" w:rsidRPr="00170E6C" w:rsidRDefault="00BD37F9">
      <w:pPr>
        <w:spacing w:after="240" w:line="360" w:lineRule="auto"/>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46"/>
        <w:gridCol w:w="3568"/>
        <w:gridCol w:w="968"/>
        <w:gridCol w:w="3446"/>
      </w:tblGrid>
      <w:tr w:rsidR="00B13630" w:rsidRPr="00170E6C" w14:paraId="0C448ED4" w14:textId="77777777">
        <w:tc>
          <w:tcPr>
            <w:tcW w:w="4414" w:type="dxa"/>
            <w:gridSpan w:val="2"/>
          </w:tcPr>
          <w:p w14:paraId="575CC0D9" w14:textId="77777777" w:rsidR="00B13630" w:rsidRPr="00170E6C" w:rsidRDefault="00BD37F9">
            <w:pPr>
              <w:jc w:val="center"/>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Parcial</w:t>
            </w:r>
          </w:p>
        </w:tc>
        <w:tc>
          <w:tcPr>
            <w:tcW w:w="4414" w:type="dxa"/>
            <w:gridSpan w:val="2"/>
          </w:tcPr>
          <w:p w14:paraId="1C5F3A19" w14:textId="77777777" w:rsidR="00B13630" w:rsidRPr="00170E6C" w:rsidRDefault="00BD37F9">
            <w:pPr>
              <w:jc w:val="center"/>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Total</w:t>
            </w:r>
          </w:p>
        </w:tc>
      </w:tr>
      <w:tr w:rsidR="00B13630" w:rsidRPr="00170E6C" w14:paraId="310F7F93" w14:textId="77777777">
        <w:tc>
          <w:tcPr>
            <w:tcW w:w="846" w:type="dxa"/>
          </w:tcPr>
          <w:p w14:paraId="3D2801E7" w14:textId="77777777" w:rsidR="00B13630" w:rsidRPr="00170E6C" w:rsidRDefault="00BD37F9">
            <w:pPr>
              <w:jc w:val="center"/>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Concepto</w:t>
            </w:r>
          </w:p>
        </w:tc>
        <w:tc>
          <w:tcPr>
            <w:tcW w:w="3568" w:type="dxa"/>
          </w:tcPr>
          <w:p w14:paraId="42DDDF2C" w14:textId="77777777" w:rsidR="00B13630" w:rsidRPr="00170E6C" w:rsidRDefault="00BD37F9">
            <w:pPr>
              <w:jc w:val="center"/>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Dónde</w:t>
            </w:r>
          </w:p>
        </w:tc>
        <w:tc>
          <w:tcPr>
            <w:tcW w:w="968" w:type="dxa"/>
          </w:tcPr>
          <w:p w14:paraId="54C7762C" w14:textId="77777777" w:rsidR="00B13630" w:rsidRPr="00170E6C" w:rsidRDefault="00BD37F9">
            <w:pPr>
              <w:jc w:val="center"/>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Concepto</w:t>
            </w:r>
          </w:p>
        </w:tc>
        <w:tc>
          <w:tcPr>
            <w:tcW w:w="3446" w:type="dxa"/>
          </w:tcPr>
          <w:p w14:paraId="030D5200" w14:textId="77777777" w:rsidR="00B13630" w:rsidRPr="00170E6C" w:rsidRDefault="00BD37F9">
            <w:pPr>
              <w:jc w:val="center"/>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Dónde</w:t>
            </w:r>
          </w:p>
        </w:tc>
      </w:tr>
      <w:tr w:rsidR="00B13630" w:rsidRPr="00170E6C" w14:paraId="5A5ACF9A" w14:textId="77777777">
        <w:tc>
          <w:tcPr>
            <w:tcW w:w="8828" w:type="dxa"/>
            <w:gridSpan w:val="4"/>
          </w:tcPr>
          <w:p w14:paraId="3A9DFF60" w14:textId="77777777" w:rsidR="00B13630" w:rsidRPr="00170E6C" w:rsidRDefault="00BD37F9">
            <w:pPr>
              <w:jc w:val="center"/>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Sello oficial o logotipo del sujeto obligado</w:t>
            </w:r>
          </w:p>
        </w:tc>
      </w:tr>
      <w:tr w:rsidR="00B13630" w:rsidRPr="00170E6C" w14:paraId="77474489" w14:textId="77777777">
        <w:tc>
          <w:tcPr>
            <w:tcW w:w="846" w:type="dxa"/>
          </w:tcPr>
          <w:p w14:paraId="68DB3CF5"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Fecha de clasificación</w:t>
            </w:r>
          </w:p>
        </w:tc>
        <w:tc>
          <w:tcPr>
            <w:tcW w:w="3568" w:type="dxa"/>
          </w:tcPr>
          <w:p w14:paraId="3DBE6011"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4B783694"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Fecha de clasificación</w:t>
            </w:r>
          </w:p>
        </w:tc>
        <w:tc>
          <w:tcPr>
            <w:tcW w:w="3446" w:type="dxa"/>
          </w:tcPr>
          <w:p w14:paraId="5DD2B3C4"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B13630" w:rsidRPr="00170E6C" w14:paraId="6E6A61B8" w14:textId="77777777">
        <w:tc>
          <w:tcPr>
            <w:tcW w:w="846" w:type="dxa"/>
          </w:tcPr>
          <w:p w14:paraId="041D2FEA"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Área</w:t>
            </w:r>
          </w:p>
        </w:tc>
        <w:tc>
          <w:tcPr>
            <w:tcW w:w="3568" w:type="dxa"/>
          </w:tcPr>
          <w:p w14:paraId="6EC3C619"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señalará el nombre del área del cual es titular quien clasifica.</w:t>
            </w:r>
          </w:p>
        </w:tc>
        <w:tc>
          <w:tcPr>
            <w:tcW w:w="968" w:type="dxa"/>
          </w:tcPr>
          <w:p w14:paraId="67939FB8"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Área</w:t>
            </w:r>
          </w:p>
        </w:tc>
        <w:tc>
          <w:tcPr>
            <w:tcW w:w="3446" w:type="dxa"/>
          </w:tcPr>
          <w:p w14:paraId="256352C0"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señalará el nombre del área de la cual es el titular quien clasifica.</w:t>
            </w:r>
          </w:p>
        </w:tc>
      </w:tr>
      <w:tr w:rsidR="00B13630" w:rsidRPr="00170E6C" w14:paraId="2BD9F11F" w14:textId="77777777">
        <w:tc>
          <w:tcPr>
            <w:tcW w:w="846" w:type="dxa"/>
          </w:tcPr>
          <w:p w14:paraId="0233C51C"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Información reservada</w:t>
            </w:r>
          </w:p>
        </w:tc>
        <w:tc>
          <w:tcPr>
            <w:tcW w:w="3568" w:type="dxa"/>
          </w:tcPr>
          <w:p w14:paraId="171D80FE"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1EA3E21"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Reservado</w:t>
            </w:r>
          </w:p>
        </w:tc>
        <w:tc>
          <w:tcPr>
            <w:tcW w:w="3446" w:type="dxa"/>
          </w:tcPr>
          <w:p w14:paraId="725E6F1F"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Leyenda de información RESERVADA.</w:t>
            </w:r>
          </w:p>
        </w:tc>
      </w:tr>
      <w:tr w:rsidR="00B13630" w:rsidRPr="00170E6C" w14:paraId="6FFB99B5" w14:textId="77777777">
        <w:tc>
          <w:tcPr>
            <w:tcW w:w="846" w:type="dxa"/>
          </w:tcPr>
          <w:p w14:paraId="63040BA6"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Fundamento legal</w:t>
            </w:r>
          </w:p>
        </w:tc>
        <w:tc>
          <w:tcPr>
            <w:tcW w:w="3568" w:type="dxa"/>
          </w:tcPr>
          <w:p w14:paraId="2D3FD3E5"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04B0C3F3"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Periodo de reserva</w:t>
            </w:r>
          </w:p>
        </w:tc>
        <w:tc>
          <w:tcPr>
            <w:tcW w:w="3446" w:type="dxa"/>
          </w:tcPr>
          <w:p w14:paraId="0C59E6E5"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B13630" w:rsidRPr="00170E6C" w14:paraId="79BEE284" w14:textId="77777777">
        <w:tc>
          <w:tcPr>
            <w:tcW w:w="846" w:type="dxa"/>
          </w:tcPr>
          <w:p w14:paraId="2244AFA3"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lastRenderedPageBreak/>
              <w:t>Ampliación del periodo de reserva</w:t>
            </w:r>
          </w:p>
        </w:tc>
        <w:tc>
          <w:tcPr>
            <w:tcW w:w="3568" w:type="dxa"/>
          </w:tcPr>
          <w:p w14:paraId="4012D5DC"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DA32400"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Fundamento legal</w:t>
            </w:r>
          </w:p>
        </w:tc>
        <w:tc>
          <w:tcPr>
            <w:tcW w:w="3446" w:type="dxa"/>
          </w:tcPr>
          <w:p w14:paraId="66A8EDFD"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B13630" w:rsidRPr="00170E6C" w14:paraId="51BF827E" w14:textId="77777777">
        <w:tc>
          <w:tcPr>
            <w:tcW w:w="846" w:type="dxa"/>
          </w:tcPr>
          <w:p w14:paraId="2B04D977"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Confidencial</w:t>
            </w:r>
          </w:p>
        </w:tc>
        <w:tc>
          <w:tcPr>
            <w:tcW w:w="3568" w:type="dxa"/>
          </w:tcPr>
          <w:p w14:paraId="74177947"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3948AD5"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Ampliación del periodo de reserva</w:t>
            </w:r>
          </w:p>
        </w:tc>
        <w:tc>
          <w:tcPr>
            <w:tcW w:w="3446" w:type="dxa"/>
          </w:tcPr>
          <w:p w14:paraId="349EF8E7"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B13630" w:rsidRPr="00170E6C" w14:paraId="226E412B" w14:textId="77777777">
        <w:tc>
          <w:tcPr>
            <w:tcW w:w="846" w:type="dxa"/>
          </w:tcPr>
          <w:p w14:paraId="3AFE0E0A"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Fundamento legal</w:t>
            </w:r>
          </w:p>
        </w:tc>
        <w:tc>
          <w:tcPr>
            <w:tcW w:w="3568" w:type="dxa"/>
          </w:tcPr>
          <w:p w14:paraId="3F6D6F8C"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645D267F"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Confidencial</w:t>
            </w:r>
          </w:p>
        </w:tc>
        <w:tc>
          <w:tcPr>
            <w:tcW w:w="3446" w:type="dxa"/>
          </w:tcPr>
          <w:p w14:paraId="649AD1C4"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Leyenda de información CONFIDENCIAL.</w:t>
            </w:r>
          </w:p>
        </w:tc>
      </w:tr>
      <w:tr w:rsidR="00B13630" w:rsidRPr="00170E6C" w14:paraId="16A04737" w14:textId="77777777">
        <w:tc>
          <w:tcPr>
            <w:tcW w:w="846" w:type="dxa"/>
          </w:tcPr>
          <w:p w14:paraId="7AC6D6D9"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Rúbrica del titular del área</w:t>
            </w:r>
          </w:p>
        </w:tc>
        <w:tc>
          <w:tcPr>
            <w:tcW w:w="3568" w:type="dxa"/>
          </w:tcPr>
          <w:p w14:paraId="392D46EE"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Rúbrica autógrafa de quien clasifica.</w:t>
            </w:r>
          </w:p>
        </w:tc>
        <w:tc>
          <w:tcPr>
            <w:tcW w:w="968" w:type="dxa"/>
          </w:tcPr>
          <w:p w14:paraId="1906FB4B"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Fundamento legal</w:t>
            </w:r>
          </w:p>
        </w:tc>
        <w:tc>
          <w:tcPr>
            <w:tcW w:w="3446" w:type="dxa"/>
          </w:tcPr>
          <w:p w14:paraId="3BE33620"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B13630" w:rsidRPr="00170E6C" w14:paraId="3720DF7F" w14:textId="77777777">
        <w:tc>
          <w:tcPr>
            <w:tcW w:w="846" w:type="dxa"/>
          </w:tcPr>
          <w:p w14:paraId="1DD8B770"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Fecha de desclasificación</w:t>
            </w:r>
          </w:p>
        </w:tc>
        <w:tc>
          <w:tcPr>
            <w:tcW w:w="3568" w:type="dxa"/>
          </w:tcPr>
          <w:p w14:paraId="1E020ED8"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anotará la fecha en que se desclasifica el documento.</w:t>
            </w:r>
          </w:p>
        </w:tc>
        <w:tc>
          <w:tcPr>
            <w:tcW w:w="968" w:type="dxa"/>
          </w:tcPr>
          <w:p w14:paraId="50002F10"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Rúbrica del titular del área</w:t>
            </w:r>
          </w:p>
        </w:tc>
        <w:tc>
          <w:tcPr>
            <w:tcW w:w="3446" w:type="dxa"/>
          </w:tcPr>
          <w:p w14:paraId="321A544D"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Rúbrica autógrafa de quien clasifica.</w:t>
            </w:r>
          </w:p>
        </w:tc>
      </w:tr>
      <w:tr w:rsidR="00B13630" w:rsidRPr="00170E6C" w14:paraId="0F8AC641" w14:textId="77777777">
        <w:tc>
          <w:tcPr>
            <w:tcW w:w="846" w:type="dxa"/>
          </w:tcPr>
          <w:p w14:paraId="032AD698"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Rúbrica y cargo del servidor público</w:t>
            </w:r>
          </w:p>
        </w:tc>
        <w:tc>
          <w:tcPr>
            <w:tcW w:w="3568" w:type="dxa"/>
          </w:tcPr>
          <w:p w14:paraId="1D773553"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Rúbrica autógrafa de quien desclasifica.</w:t>
            </w:r>
          </w:p>
        </w:tc>
        <w:tc>
          <w:tcPr>
            <w:tcW w:w="968" w:type="dxa"/>
          </w:tcPr>
          <w:p w14:paraId="01457C29"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Fecha de desclasificación</w:t>
            </w:r>
          </w:p>
        </w:tc>
        <w:tc>
          <w:tcPr>
            <w:tcW w:w="3446" w:type="dxa"/>
          </w:tcPr>
          <w:p w14:paraId="61B8F48E"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Se anotará la fecha en que se desclasifica.</w:t>
            </w:r>
          </w:p>
        </w:tc>
      </w:tr>
      <w:tr w:rsidR="00B13630" w:rsidRPr="00170E6C" w14:paraId="196C5E6B" w14:textId="77777777">
        <w:tc>
          <w:tcPr>
            <w:tcW w:w="846" w:type="dxa"/>
          </w:tcPr>
          <w:p w14:paraId="59E4624F" w14:textId="77777777" w:rsidR="00B13630" w:rsidRPr="00170E6C" w:rsidRDefault="00B13630">
            <w:pPr>
              <w:jc w:val="both"/>
              <w:rPr>
                <w:rFonts w:ascii="Palatino Linotype" w:eastAsia="Palatino Linotype" w:hAnsi="Palatino Linotype" w:cs="Palatino Linotype"/>
                <w:sz w:val="12"/>
                <w:szCs w:val="12"/>
              </w:rPr>
            </w:pPr>
          </w:p>
        </w:tc>
        <w:tc>
          <w:tcPr>
            <w:tcW w:w="3568" w:type="dxa"/>
          </w:tcPr>
          <w:p w14:paraId="299C6178" w14:textId="77777777" w:rsidR="00B13630" w:rsidRPr="00170E6C" w:rsidRDefault="00B13630">
            <w:pPr>
              <w:jc w:val="both"/>
              <w:rPr>
                <w:rFonts w:ascii="Palatino Linotype" w:eastAsia="Palatino Linotype" w:hAnsi="Palatino Linotype" w:cs="Palatino Linotype"/>
                <w:sz w:val="12"/>
                <w:szCs w:val="12"/>
              </w:rPr>
            </w:pPr>
          </w:p>
        </w:tc>
        <w:tc>
          <w:tcPr>
            <w:tcW w:w="968" w:type="dxa"/>
          </w:tcPr>
          <w:p w14:paraId="6F53FA3A"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Partes o secciones reservadas o confidenciales</w:t>
            </w:r>
          </w:p>
        </w:tc>
        <w:tc>
          <w:tcPr>
            <w:tcW w:w="3446" w:type="dxa"/>
          </w:tcPr>
          <w:p w14:paraId="03B387C6"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B13630" w:rsidRPr="00170E6C" w14:paraId="6DEB7025" w14:textId="77777777">
        <w:tc>
          <w:tcPr>
            <w:tcW w:w="846" w:type="dxa"/>
          </w:tcPr>
          <w:p w14:paraId="6D6EFE25" w14:textId="77777777" w:rsidR="00B13630" w:rsidRPr="00170E6C" w:rsidRDefault="00B13630">
            <w:pPr>
              <w:jc w:val="both"/>
              <w:rPr>
                <w:rFonts w:ascii="Palatino Linotype" w:eastAsia="Palatino Linotype" w:hAnsi="Palatino Linotype" w:cs="Palatino Linotype"/>
                <w:sz w:val="12"/>
                <w:szCs w:val="12"/>
              </w:rPr>
            </w:pPr>
          </w:p>
        </w:tc>
        <w:tc>
          <w:tcPr>
            <w:tcW w:w="3568" w:type="dxa"/>
          </w:tcPr>
          <w:p w14:paraId="5618B206" w14:textId="77777777" w:rsidR="00B13630" w:rsidRPr="00170E6C" w:rsidRDefault="00B13630">
            <w:pPr>
              <w:jc w:val="both"/>
              <w:rPr>
                <w:rFonts w:ascii="Palatino Linotype" w:eastAsia="Palatino Linotype" w:hAnsi="Palatino Linotype" w:cs="Palatino Linotype"/>
                <w:sz w:val="12"/>
                <w:szCs w:val="12"/>
              </w:rPr>
            </w:pPr>
          </w:p>
        </w:tc>
        <w:tc>
          <w:tcPr>
            <w:tcW w:w="968" w:type="dxa"/>
          </w:tcPr>
          <w:p w14:paraId="0C726F44" w14:textId="77777777" w:rsidR="00B13630" w:rsidRPr="00170E6C" w:rsidRDefault="00BD37F9">
            <w:pPr>
              <w:jc w:val="both"/>
              <w:rPr>
                <w:rFonts w:ascii="Palatino Linotype" w:eastAsia="Palatino Linotype" w:hAnsi="Palatino Linotype" w:cs="Palatino Linotype"/>
                <w:b/>
                <w:sz w:val="12"/>
                <w:szCs w:val="12"/>
              </w:rPr>
            </w:pPr>
            <w:r w:rsidRPr="00170E6C">
              <w:rPr>
                <w:rFonts w:ascii="Palatino Linotype" w:eastAsia="Palatino Linotype" w:hAnsi="Palatino Linotype" w:cs="Palatino Linotype"/>
                <w:b/>
                <w:sz w:val="12"/>
                <w:szCs w:val="12"/>
              </w:rPr>
              <w:t>Rúbrica y cargo del servidor público</w:t>
            </w:r>
          </w:p>
        </w:tc>
        <w:tc>
          <w:tcPr>
            <w:tcW w:w="3446" w:type="dxa"/>
          </w:tcPr>
          <w:p w14:paraId="1D234A70" w14:textId="77777777" w:rsidR="00B13630" w:rsidRPr="00170E6C" w:rsidRDefault="00BD37F9">
            <w:pPr>
              <w:jc w:val="both"/>
              <w:rPr>
                <w:rFonts w:ascii="Palatino Linotype" w:eastAsia="Palatino Linotype" w:hAnsi="Palatino Linotype" w:cs="Palatino Linotype"/>
                <w:sz w:val="12"/>
                <w:szCs w:val="12"/>
              </w:rPr>
            </w:pPr>
            <w:r w:rsidRPr="00170E6C">
              <w:rPr>
                <w:rFonts w:ascii="Palatino Linotype" w:eastAsia="Palatino Linotype" w:hAnsi="Palatino Linotype" w:cs="Palatino Linotype"/>
                <w:sz w:val="12"/>
                <w:szCs w:val="12"/>
              </w:rPr>
              <w:t>Rúbrica autógrafa de quien desclasifica.</w:t>
            </w:r>
          </w:p>
        </w:tc>
      </w:tr>
    </w:tbl>
    <w:p w14:paraId="7C3A23E3" w14:textId="77777777" w:rsidR="00B13630" w:rsidRPr="00170E6C" w:rsidRDefault="00B13630">
      <w:pPr>
        <w:spacing w:before="240" w:after="240" w:line="360" w:lineRule="auto"/>
        <w:jc w:val="both"/>
        <w:rPr>
          <w:rFonts w:ascii="Palatino Linotype" w:eastAsia="Palatino Linotype" w:hAnsi="Palatino Linotype" w:cs="Palatino Linotype"/>
        </w:rPr>
      </w:pPr>
    </w:p>
    <w:p w14:paraId="5D7FC3C2" w14:textId="77777777" w:rsidR="00B13630" w:rsidRPr="00170E6C" w:rsidRDefault="00BD37F9">
      <w:pPr>
        <w:spacing w:before="240" w:after="240" w:line="360" w:lineRule="auto"/>
        <w:jc w:val="both"/>
        <w:rPr>
          <w:rFonts w:ascii="Times New Roman" w:eastAsia="Times New Roman" w:hAnsi="Times New Roman" w:cs="Times New Roman"/>
          <w:sz w:val="24"/>
          <w:szCs w:val="24"/>
        </w:rPr>
      </w:pPr>
      <w:r w:rsidRPr="00170E6C">
        <w:rPr>
          <w:rFonts w:ascii="Palatino Linotype" w:eastAsia="Palatino Linotype" w:hAnsi="Palatino Linotype" w:cs="Palatino Linotype"/>
          <w:color w:val="000000"/>
          <w:sz w:val="24"/>
          <w:szCs w:val="24"/>
        </w:rPr>
        <w:t>Así, con fundamento en lo prescrito en los</w:t>
      </w:r>
      <w:r w:rsidRPr="00170E6C">
        <w:rPr>
          <w:rFonts w:ascii="Times New Roman" w:eastAsia="Times New Roman" w:hAnsi="Times New Roman" w:cs="Times New Roman"/>
          <w:color w:val="000000"/>
          <w:sz w:val="24"/>
          <w:szCs w:val="24"/>
        </w:rPr>
        <w:t xml:space="preserve"> </w:t>
      </w:r>
      <w:r w:rsidRPr="00170E6C">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985D2E8" w14:textId="77777777" w:rsidR="00B13630" w:rsidRPr="00170E6C" w:rsidRDefault="00BD37F9">
      <w:pPr>
        <w:spacing w:after="0"/>
        <w:ind w:left="-142" w:right="49"/>
        <w:jc w:val="center"/>
        <w:rPr>
          <w:rFonts w:ascii="Palatino Linotype" w:eastAsia="Palatino Linotype" w:hAnsi="Palatino Linotype" w:cs="Palatino Linotype"/>
          <w:b/>
          <w:sz w:val="28"/>
          <w:szCs w:val="28"/>
        </w:rPr>
      </w:pPr>
      <w:r w:rsidRPr="00170E6C">
        <w:rPr>
          <w:rFonts w:ascii="Palatino Linotype" w:eastAsia="Palatino Linotype" w:hAnsi="Palatino Linotype" w:cs="Palatino Linotype"/>
          <w:b/>
          <w:sz w:val="28"/>
          <w:szCs w:val="28"/>
        </w:rPr>
        <w:t>RE S U E L V E:</w:t>
      </w:r>
    </w:p>
    <w:p w14:paraId="6DF8B132" w14:textId="77777777" w:rsidR="00B13630" w:rsidRPr="00170E6C" w:rsidRDefault="00B13630">
      <w:pPr>
        <w:spacing w:after="0" w:line="360" w:lineRule="auto"/>
        <w:ind w:left="-142" w:right="49"/>
        <w:jc w:val="both"/>
        <w:rPr>
          <w:rFonts w:ascii="Palatino Linotype" w:eastAsia="Palatino Linotype" w:hAnsi="Palatino Linotype" w:cs="Palatino Linotype"/>
          <w:sz w:val="24"/>
          <w:szCs w:val="24"/>
        </w:rPr>
      </w:pPr>
    </w:p>
    <w:p w14:paraId="78B2BDBA"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lastRenderedPageBreak/>
        <w:t>PRIMERO.</w:t>
      </w:r>
      <w:r w:rsidRPr="00170E6C">
        <w:rPr>
          <w:rFonts w:ascii="Palatino Linotype" w:eastAsia="Palatino Linotype" w:hAnsi="Palatino Linotype" w:cs="Palatino Linotype"/>
          <w:sz w:val="24"/>
          <w:szCs w:val="24"/>
        </w:rPr>
        <w:t xml:space="preserve"> Resultan fundados los motivos de inconformidad hechos valer por </w:t>
      </w:r>
      <w:r w:rsidRPr="00170E6C">
        <w:rPr>
          <w:rFonts w:ascii="Palatino Linotype" w:eastAsia="Palatino Linotype" w:hAnsi="Palatino Linotype" w:cs="Palatino Linotype"/>
          <w:b/>
          <w:sz w:val="24"/>
          <w:szCs w:val="24"/>
        </w:rPr>
        <w:t>EL RECURRENTE</w:t>
      </w:r>
      <w:r w:rsidRPr="00170E6C">
        <w:rPr>
          <w:rFonts w:ascii="Palatino Linotype" w:eastAsia="Palatino Linotype" w:hAnsi="Palatino Linotype" w:cs="Palatino Linotype"/>
          <w:sz w:val="24"/>
          <w:szCs w:val="24"/>
        </w:rPr>
        <w:t xml:space="preserve"> en el recurso de revisión </w:t>
      </w:r>
      <w:r w:rsidRPr="00170E6C">
        <w:rPr>
          <w:rFonts w:ascii="Palatino Linotype" w:eastAsia="Palatino Linotype" w:hAnsi="Palatino Linotype" w:cs="Palatino Linotype"/>
          <w:b/>
          <w:sz w:val="24"/>
          <w:szCs w:val="24"/>
        </w:rPr>
        <w:t>03524/INFOEM/IP/RR/2022</w:t>
      </w:r>
      <w:r w:rsidRPr="00170E6C">
        <w:rPr>
          <w:rFonts w:ascii="Palatino Linotype" w:eastAsia="Palatino Linotype" w:hAnsi="Palatino Linotype" w:cs="Palatino Linotype"/>
          <w:sz w:val="24"/>
          <w:szCs w:val="24"/>
        </w:rPr>
        <w:t>, en términos del considerando cuarto.</w:t>
      </w:r>
    </w:p>
    <w:p w14:paraId="7C257E6E" w14:textId="77777777" w:rsidR="00B13630" w:rsidRPr="00170E6C" w:rsidRDefault="00B13630">
      <w:pPr>
        <w:spacing w:after="0" w:line="360" w:lineRule="auto"/>
        <w:ind w:right="49"/>
        <w:jc w:val="both"/>
        <w:rPr>
          <w:rFonts w:ascii="Palatino Linotype" w:eastAsia="Palatino Linotype" w:hAnsi="Palatino Linotype" w:cs="Palatino Linotype"/>
          <w:sz w:val="24"/>
          <w:szCs w:val="24"/>
        </w:rPr>
      </w:pPr>
    </w:p>
    <w:p w14:paraId="45703786" w14:textId="77777777" w:rsidR="00B13630" w:rsidRPr="00170E6C" w:rsidRDefault="00BD37F9">
      <w:pPr>
        <w:spacing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 xml:space="preserve">SEGUNDO. </w:t>
      </w:r>
      <w:r w:rsidRPr="00170E6C">
        <w:rPr>
          <w:rFonts w:ascii="Palatino Linotype" w:eastAsia="Palatino Linotype" w:hAnsi="Palatino Linotype" w:cs="Palatino Linotype"/>
          <w:sz w:val="24"/>
          <w:szCs w:val="24"/>
        </w:rPr>
        <w:t xml:space="preserve">Se </w:t>
      </w:r>
      <w:r w:rsidRPr="00170E6C">
        <w:rPr>
          <w:rFonts w:ascii="Palatino Linotype" w:eastAsia="Palatino Linotype" w:hAnsi="Palatino Linotype" w:cs="Palatino Linotype"/>
          <w:b/>
          <w:sz w:val="24"/>
          <w:szCs w:val="24"/>
        </w:rPr>
        <w:t>REVOCA</w:t>
      </w:r>
      <w:r w:rsidRPr="00170E6C">
        <w:rPr>
          <w:rFonts w:ascii="Palatino Linotype" w:eastAsia="Palatino Linotype" w:hAnsi="Palatino Linotype" w:cs="Palatino Linotype"/>
          <w:sz w:val="24"/>
          <w:szCs w:val="24"/>
        </w:rPr>
        <w:t xml:space="preserve"> la respuesta del </w:t>
      </w:r>
      <w:r w:rsidRPr="00170E6C">
        <w:rPr>
          <w:rFonts w:ascii="Palatino Linotype" w:eastAsia="Palatino Linotype" w:hAnsi="Palatino Linotype" w:cs="Palatino Linotype"/>
          <w:b/>
          <w:sz w:val="24"/>
          <w:szCs w:val="24"/>
        </w:rPr>
        <w:t>SUJETO OBLIGADO</w:t>
      </w:r>
      <w:r w:rsidRPr="00170E6C">
        <w:rPr>
          <w:rFonts w:ascii="Palatino Linotype" w:eastAsia="Palatino Linotype" w:hAnsi="Palatino Linotype" w:cs="Palatino Linotype"/>
          <w:sz w:val="24"/>
          <w:szCs w:val="24"/>
        </w:rPr>
        <w:t xml:space="preserve">, se </w:t>
      </w:r>
      <w:r w:rsidRPr="00170E6C">
        <w:rPr>
          <w:rFonts w:ascii="Palatino Linotype" w:eastAsia="Palatino Linotype" w:hAnsi="Palatino Linotype" w:cs="Palatino Linotype"/>
          <w:b/>
          <w:sz w:val="24"/>
          <w:szCs w:val="24"/>
        </w:rPr>
        <w:t>ORDENA</w:t>
      </w:r>
      <w:r w:rsidRPr="00170E6C">
        <w:rPr>
          <w:rFonts w:ascii="Palatino Linotype" w:eastAsia="Palatino Linotype" w:hAnsi="Palatino Linotype" w:cs="Palatino Linotype"/>
          <w:sz w:val="24"/>
          <w:szCs w:val="24"/>
        </w:rPr>
        <w:t xml:space="preserve"> que en términos del Considerando Cuarto y Quinto de esta resolución haga entrega, vía SAIMEX, en versión pública, la siguiente información: </w:t>
      </w:r>
    </w:p>
    <w:p w14:paraId="7D0EE95E" w14:textId="77777777" w:rsidR="00B13630" w:rsidRPr="00170E6C" w:rsidRDefault="00BD37F9">
      <w:pPr>
        <w:spacing w:before="240" w:after="120" w:line="360" w:lineRule="auto"/>
        <w:ind w:right="49"/>
        <w:jc w:val="both"/>
        <w:rPr>
          <w:rFonts w:ascii="Palatino Linotype" w:eastAsia="Palatino Linotype" w:hAnsi="Palatino Linotype" w:cs="Palatino Linotype"/>
          <w:color w:val="222222"/>
          <w:sz w:val="24"/>
          <w:szCs w:val="24"/>
        </w:rPr>
      </w:pPr>
      <w:r w:rsidRPr="00170E6C">
        <w:rPr>
          <w:rFonts w:ascii="Palatino Linotype" w:eastAsia="Palatino Linotype" w:hAnsi="Palatino Linotype" w:cs="Palatino Linotype"/>
          <w:color w:val="222222"/>
          <w:sz w:val="24"/>
          <w:szCs w:val="24"/>
        </w:rPr>
        <w:t xml:space="preserve">-Documento donde conste el sueldo bruto y neto, así como el desglose de las percepciones y deducciones mensuales del Presidente Municipal, Síndico, Regidores y Tesorero del Ayuntamiento de Ocoyoacac, correspondientes al mes de enero de dos mil veintidós. </w:t>
      </w:r>
    </w:p>
    <w:p w14:paraId="401BA53F" w14:textId="77777777" w:rsidR="00B13630" w:rsidRPr="00170E6C" w:rsidRDefault="00BD37F9">
      <w:pPr>
        <w:spacing w:before="240" w:after="120" w:line="360" w:lineRule="auto"/>
        <w:ind w:right="49"/>
        <w:jc w:val="both"/>
        <w:rPr>
          <w:rFonts w:ascii="Palatino Linotype" w:eastAsia="Palatino Linotype" w:hAnsi="Palatino Linotype" w:cs="Palatino Linotype"/>
          <w:color w:val="222222"/>
          <w:sz w:val="24"/>
          <w:szCs w:val="24"/>
        </w:rPr>
      </w:pPr>
      <w:r w:rsidRPr="00170E6C">
        <w:rPr>
          <w:rFonts w:ascii="Palatino Linotype" w:eastAsia="Palatino Linotype" w:hAnsi="Palatino Linotype" w:cs="Palatino Linotype"/>
          <w:color w:val="222222"/>
          <w:sz w:val="24"/>
          <w:szCs w:val="24"/>
        </w:rPr>
        <w:t xml:space="preserve">-Recibos de nómina del Presidente Municipal, correspondientes a la primera y segunda quincena del mes de enero de dos mil veintidós </w:t>
      </w:r>
    </w:p>
    <w:p w14:paraId="7F9F4384" w14:textId="77777777" w:rsidR="00B13630" w:rsidRPr="00170E6C" w:rsidRDefault="00BD37F9">
      <w:pPr>
        <w:spacing w:before="240" w:after="240" w:line="360" w:lineRule="auto"/>
        <w:ind w:right="49"/>
        <w:jc w:val="both"/>
        <w:rPr>
          <w:rFonts w:ascii="Palatino Linotype" w:eastAsia="Palatino Linotype" w:hAnsi="Palatino Linotype" w:cs="Palatino Linotype"/>
          <w:i/>
          <w:color w:val="000000"/>
          <w:sz w:val="20"/>
          <w:szCs w:val="20"/>
        </w:rPr>
      </w:pPr>
      <w:r w:rsidRPr="00170E6C">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BEE12CB"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TERCERO.</w:t>
      </w:r>
      <w:r w:rsidRPr="00170E6C">
        <w:rPr>
          <w:rFonts w:ascii="Palatino Linotype" w:eastAsia="Palatino Linotype" w:hAnsi="Palatino Linotype" w:cs="Palatino Linotype"/>
          <w:sz w:val="24"/>
          <w:szCs w:val="24"/>
        </w:rPr>
        <w:t> </w:t>
      </w:r>
      <w:r w:rsidRPr="00170E6C">
        <w:rPr>
          <w:rFonts w:ascii="Palatino Linotype" w:eastAsia="Palatino Linotype" w:hAnsi="Palatino Linotype" w:cs="Palatino Linotype"/>
          <w:b/>
          <w:sz w:val="24"/>
          <w:szCs w:val="24"/>
        </w:rPr>
        <w:t xml:space="preserve">NOTIFÍQUESE vía SAIMEX </w:t>
      </w:r>
      <w:r w:rsidRPr="00170E6C">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w:t>
      </w:r>
      <w:r w:rsidRPr="00170E6C">
        <w:rPr>
          <w:rFonts w:ascii="Palatino Linotype" w:eastAsia="Palatino Linotype" w:hAnsi="Palatino Linotype" w:cs="Palatino Linotype"/>
          <w:sz w:val="24"/>
          <w:szCs w:val="24"/>
        </w:rPr>
        <w:lastRenderedPageBreak/>
        <w:t>en un plazo de tres días hábiles siguientes sobre el cumplimiento dado a la presente resolución.</w:t>
      </w:r>
    </w:p>
    <w:p w14:paraId="1753C8B2" w14:textId="77777777" w:rsidR="00B13630" w:rsidRPr="00170E6C" w:rsidRDefault="00B13630">
      <w:pPr>
        <w:spacing w:after="0" w:line="360" w:lineRule="auto"/>
        <w:ind w:right="49"/>
        <w:jc w:val="both"/>
        <w:rPr>
          <w:rFonts w:ascii="Palatino Linotype" w:eastAsia="Palatino Linotype" w:hAnsi="Palatino Linotype" w:cs="Palatino Linotype"/>
          <w:sz w:val="24"/>
          <w:szCs w:val="24"/>
        </w:rPr>
      </w:pPr>
    </w:p>
    <w:p w14:paraId="04470B11"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CUARTO.</w:t>
      </w:r>
      <w:r w:rsidRPr="00170E6C">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48039B5" w14:textId="77777777" w:rsidR="00B13630" w:rsidRPr="00170E6C" w:rsidRDefault="00B13630">
      <w:pPr>
        <w:spacing w:after="0" w:line="360" w:lineRule="auto"/>
        <w:ind w:right="49"/>
        <w:jc w:val="both"/>
        <w:rPr>
          <w:rFonts w:ascii="Palatino Linotype" w:eastAsia="Palatino Linotype" w:hAnsi="Palatino Linotype" w:cs="Palatino Linotype"/>
          <w:sz w:val="24"/>
          <w:szCs w:val="24"/>
        </w:rPr>
      </w:pPr>
    </w:p>
    <w:p w14:paraId="3632A6E0" w14:textId="77777777" w:rsidR="00B13630" w:rsidRPr="00170E6C" w:rsidRDefault="00BD37F9">
      <w:pPr>
        <w:spacing w:after="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b/>
          <w:sz w:val="24"/>
          <w:szCs w:val="24"/>
        </w:rPr>
        <w:t>QUINTO. NOTIFÍQUESE vía SAIMEX</w:t>
      </w:r>
      <w:r w:rsidRPr="00170E6C">
        <w:rPr>
          <w:rFonts w:ascii="Palatino Linotype" w:eastAsia="Palatino Linotype" w:hAnsi="Palatino Linotype" w:cs="Palatino Linotype"/>
          <w:sz w:val="24"/>
          <w:szCs w:val="24"/>
        </w:rPr>
        <w:t xml:space="preserve"> al </w:t>
      </w:r>
      <w:r w:rsidRPr="00170E6C">
        <w:rPr>
          <w:rFonts w:ascii="Palatino Linotype" w:eastAsia="Palatino Linotype" w:hAnsi="Palatino Linotype" w:cs="Palatino Linotype"/>
          <w:b/>
          <w:sz w:val="24"/>
          <w:szCs w:val="24"/>
        </w:rPr>
        <w:t>RECURRENTE</w:t>
      </w:r>
      <w:r w:rsidRPr="00170E6C">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038BC36" w14:textId="77777777" w:rsidR="00B13630" w:rsidRPr="00170E6C" w:rsidRDefault="00B13630">
      <w:pPr>
        <w:spacing w:after="120" w:line="360" w:lineRule="auto"/>
        <w:ind w:right="49"/>
        <w:jc w:val="both"/>
        <w:rPr>
          <w:rFonts w:ascii="Palatino Linotype" w:eastAsia="Palatino Linotype" w:hAnsi="Palatino Linotype" w:cs="Palatino Linotype"/>
          <w:b/>
          <w:sz w:val="24"/>
          <w:szCs w:val="24"/>
        </w:rPr>
      </w:pPr>
    </w:p>
    <w:p w14:paraId="2B993F7B" w14:textId="77777777" w:rsidR="00B13630" w:rsidRDefault="00BD37F9">
      <w:pPr>
        <w:spacing w:before="120" w:after="120" w:line="360" w:lineRule="auto"/>
        <w:ind w:right="49"/>
        <w:jc w:val="both"/>
        <w:rPr>
          <w:rFonts w:ascii="Palatino Linotype" w:eastAsia="Palatino Linotype" w:hAnsi="Palatino Linotype" w:cs="Palatino Linotype"/>
          <w:sz w:val="24"/>
          <w:szCs w:val="24"/>
        </w:rPr>
      </w:pPr>
      <w:r w:rsidRPr="00170E6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 DE JUNIO DE DOS MIL VEINTIDÓS, ANTE EL SECRETARIO TÉCNICO DEL PLENO ALEXIS TAPIA RAMÍREZ.</w:t>
      </w:r>
    </w:p>
    <w:p w14:paraId="31251FAF" w14:textId="77777777" w:rsidR="00B13630" w:rsidRDefault="00B13630">
      <w:pPr>
        <w:spacing w:line="360" w:lineRule="auto"/>
        <w:jc w:val="both"/>
        <w:rPr>
          <w:rFonts w:ascii="Palatino Linotype" w:eastAsia="Palatino Linotype" w:hAnsi="Palatino Linotype" w:cs="Palatino Linotype"/>
          <w:sz w:val="28"/>
          <w:szCs w:val="28"/>
        </w:rPr>
      </w:pPr>
    </w:p>
    <w:sectPr w:rsidR="00B13630">
      <w:headerReference w:type="default" r:id="rId24"/>
      <w:footerReference w:type="default" r:id="rId25"/>
      <w:headerReference w:type="first" r:id="rId26"/>
      <w:footerReference w:type="first" r:id="rId27"/>
      <w:pgSz w:w="12240" w:h="15840"/>
      <w:pgMar w:top="1417" w:right="1750"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B17A1" w14:textId="77777777" w:rsidR="00B20AF1" w:rsidRDefault="00B20AF1">
      <w:pPr>
        <w:spacing w:after="0" w:line="240" w:lineRule="auto"/>
      </w:pPr>
      <w:r>
        <w:separator/>
      </w:r>
    </w:p>
  </w:endnote>
  <w:endnote w:type="continuationSeparator" w:id="0">
    <w:p w14:paraId="0E22175C" w14:textId="77777777" w:rsidR="00B20AF1" w:rsidRDefault="00B20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B852" w14:textId="77777777" w:rsidR="00B13630" w:rsidRDefault="00BD37F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90656">
      <w:rPr>
        <w:rFonts w:ascii="Arial" w:eastAsia="Arial" w:hAnsi="Arial" w:cs="Arial"/>
        <w:b/>
        <w:noProof/>
        <w:color w:val="000000"/>
        <w:sz w:val="20"/>
        <w:szCs w:val="20"/>
      </w:rPr>
      <w:t>11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90656">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55320D3C" w14:textId="77777777" w:rsidR="00B13630" w:rsidRDefault="00B1363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79DA" w14:textId="77777777" w:rsidR="00B13630" w:rsidRDefault="00BD37F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90656">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90656">
      <w:rPr>
        <w:rFonts w:ascii="Arial" w:eastAsia="Arial" w:hAnsi="Arial" w:cs="Arial"/>
        <w:b/>
        <w:noProof/>
        <w:color w:val="000000"/>
        <w:sz w:val="20"/>
        <w:szCs w:val="20"/>
      </w:rPr>
      <w:t>18</w:t>
    </w:r>
    <w:r>
      <w:rPr>
        <w:rFonts w:ascii="Arial" w:eastAsia="Arial" w:hAnsi="Arial" w:cs="Arial"/>
        <w:b/>
        <w:color w:val="000000"/>
        <w:sz w:val="20"/>
        <w:szCs w:val="20"/>
      </w:rPr>
      <w:fldChar w:fldCharType="end"/>
    </w:r>
  </w:p>
  <w:p w14:paraId="52465984" w14:textId="77777777" w:rsidR="00B13630" w:rsidRDefault="00B1363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2A647" w14:textId="77777777" w:rsidR="00B20AF1" w:rsidRDefault="00B20AF1">
      <w:pPr>
        <w:spacing w:after="0" w:line="240" w:lineRule="auto"/>
      </w:pPr>
      <w:r>
        <w:separator/>
      </w:r>
    </w:p>
  </w:footnote>
  <w:footnote w:type="continuationSeparator" w:id="0">
    <w:p w14:paraId="5E8DE1ED" w14:textId="77777777" w:rsidR="00B20AF1" w:rsidRDefault="00B20AF1">
      <w:pPr>
        <w:spacing w:after="0" w:line="240" w:lineRule="auto"/>
      </w:pPr>
      <w:r>
        <w:continuationSeparator/>
      </w:r>
    </w:p>
  </w:footnote>
  <w:footnote w:id="1">
    <w:p w14:paraId="717B79AA" w14:textId="77777777" w:rsidR="00B13630" w:rsidRDefault="00BD37F9">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8F76B24" w14:textId="77777777" w:rsidR="00B13630" w:rsidRDefault="00BD37F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36D60BA3" w14:textId="77777777" w:rsidR="00B13630" w:rsidRDefault="00BD37F9">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4C893199" w14:textId="77777777" w:rsidR="00B13630" w:rsidRDefault="00BD37F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46409C10" w14:textId="77777777" w:rsidR="00B13630" w:rsidRDefault="00BD37F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A4CE" w14:textId="77777777" w:rsidR="00B13630" w:rsidRDefault="00B13630">
    <w:pPr>
      <w:widowControl w:val="0"/>
      <w:pBdr>
        <w:top w:val="nil"/>
        <w:left w:val="nil"/>
        <w:bottom w:val="nil"/>
        <w:right w:val="nil"/>
        <w:between w:val="nil"/>
      </w:pBdr>
      <w:spacing w:after="0" w:line="276" w:lineRule="auto"/>
      <w:rPr>
        <w:color w:val="000000"/>
      </w:rPr>
    </w:pPr>
  </w:p>
  <w:tbl>
    <w:tblPr>
      <w:tblStyle w:val="a1"/>
      <w:tblW w:w="10479" w:type="dxa"/>
      <w:tblInd w:w="-1281" w:type="dxa"/>
      <w:tblLayout w:type="fixed"/>
      <w:tblLook w:val="0400" w:firstRow="0" w:lastRow="0" w:firstColumn="0" w:lastColumn="0" w:noHBand="0" w:noVBand="1"/>
    </w:tblPr>
    <w:tblGrid>
      <w:gridCol w:w="5576"/>
      <w:gridCol w:w="4903"/>
    </w:tblGrid>
    <w:tr w:rsidR="00B13630" w14:paraId="6EB1B05A" w14:textId="77777777">
      <w:trPr>
        <w:trHeight w:val="245"/>
      </w:trPr>
      <w:tc>
        <w:tcPr>
          <w:tcW w:w="5576" w:type="dxa"/>
        </w:tcPr>
        <w:p w14:paraId="16AB59F1" w14:textId="77777777" w:rsidR="00B13630" w:rsidRDefault="00BD37F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46A623A1" w14:textId="77777777" w:rsidR="00B13630" w:rsidRDefault="00BD37F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03524/INFOEM/IP/RR/2022</w:t>
          </w:r>
          <w:r>
            <w:rPr>
              <w:noProof/>
            </w:rPr>
            <w:drawing>
              <wp:anchor distT="0" distB="0" distL="0" distR="0" simplePos="0" relativeHeight="251658240" behindDoc="1" locked="0" layoutInCell="1" hidden="0" allowOverlap="1" wp14:anchorId="6AEFADD9" wp14:editId="07ED50C7">
                <wp:simplePos x="0" y="0"/>
                <wp:positionH relativeFrom="column">
                  <wp:posOffset>-3622674</wp:posOffset>
                </wp:positionH>
                <wp:positionV relativeFrom="paragraph">
                  <wp:posOffset>-452754</wp:posOffset>
                </wp:positionV>
                <wp:extent cx="7753350" cy="9942731"/>
                <wp:effectExtent l="0" t="0" r="0" b="0"/>
                <wp:wrapNone/>
                <wp:docPr id="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tc>
    </w:tr>
    <w:tr w:rsidR="00B13630" w14:paraId="3F8E1F7A" w14:textId="77777777">
      <w:trPr>
        <w:trHeight w:val="211"/>
      </w:trPr>
      <w:tc>
        <w:tcPr>
          <w:tcW w:w="5576" w:type="dxa"/>
        </w:tcPr>
        <w:p w14:paraId="31C756DF" w14:textId="77777777" w:rsidR="00B13630" w:rsidRDefault="00BD37F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475C6B53" w14:textId="77777777" w:rsidR="00B13630" w:rsidRDefault="00B13630">
          <w:pPr>
            <w:spacing w:after="120"/>
            <w:ind w:left="-486" w:right="214" w:firstLine="567"/>
            <w:jc w:val="right"/>
            <w:rPr>
              <w:rFonts w:ascii="Palatino Linotype" w:eastAsia="Palatino Linotype" w:hAnsi="Palatino Linotype" w:cs="Palatino Linotype"/>
              <w:sz w:val="24"/>
              <w:szCs w:val="24"/>
            </w:rPr>
          </w:pPr>
        </w:p>
      </w:tc>
    </w:tr>
    <w:tr w:rsidR="00B13630" w14:paraId="3278AED0" w14:textId="77777777">
      <w:trPr>
        <w:trHeight w:val="262"/>
      </w:trPr>
      <w:tc>
        <w:tcPr>
          <w:tcW w:w="5576" w:type="dxa"/>
        </w:tcPr>
        <w:p w14:paraId="4A5A5A5F" w14:textId="77777777" w:rsidR="00B13630" w:rsidRDefault="00BD37F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0749BA31" w14:textId="77777777" w:rsidR="00B13630" w:rsidRDefault="00BD37F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Ocoyoacac.</w:t>
          </w:r>
        </w:p>
      </w:tc>
    </w:tr>
    <w:tr w:rsidR="00B13630" w14:paraId="06AE1570" w14:textId="77777777">
      <w:trPr>
        <w:trHeight w:val="371"/>
      </w:trPr>
      <w:tc>
        <w:tcPr>
          <w:tcW w:w="5576" w:type="dxa"/>
        </w:tcPr>
        <w:p w14:paraId="5AD72034" w14:textId="77777777" w:rsidR="00B13630" w:rsidRDefault="00BD37F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09FB3F0A" w14:textId="77777777" w:rsidR="00B13630" w:rsidRDefault="00BD37F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F792302" w14:textId="77777777" w:rsidR="00B13630" w:rsidRDefault="00B1363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B2F97" w14:textId="77777777" w:rsidR="00B13630" w:rsidRDefault="00B13630">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0"/>
      <w:tblW w:w="10479" w:type="dxa"/>
      <w:tblInd w:w="-1281" w:type="dxa"/>
      <w:tblLayout w:type="fixed"/>
      <w:tblLook w:val="0400" w:firstRow="0" w:lastRow="0" w:firstColumn="0" w:lastColumn="0" w:noHBand="0" w:noVBand="1"/>
    </w:tblPr>
    <w:tblGrid>
      <w:gridCol w:w="5576"/>
      <w:gridCol w:w="4903"/>
    </w:tblGrid>
    <w:tr w:rsidR="00B13630" w14:paraId="4FB99011" w14:textId="77777777">
      <w:trPr>
        <w:trHeight w:val="245"/>
      </w:trPr>
      <w:tc>
        <w:tcPr>
          <w:tcW w:w="5576" w:type="dxa"/>
        </w:tcPr>
        <w:p w14:paraId="057D8D66" w14:textId="77777777" w:rsidR="00B13630" w:rsidRDefault="00BD37F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903" w:type="dxa"/>
        </w:tcPr>
        <w:p w14:paraId="3CA637DB" w14:textId="77777777" w:rsidR="00B13630" w:rsidRDefault="00BD37F9">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03524/INFOEM/IP/RR/2022</w:t>
          </w:r>
        </w:p>
      </w:tc>
    </w:tr>
    <w:tr w:rsidR="00B13630" w14:paraId="0609CF2C" w14:textId="77777777">
      <w:trPr>
        <w:trHeight w:val="211"/>
      </w:trPr>
      <w:tc>
        <w:tcPr>
          <w:tcW w:w="5576" w:type="dxa"/>
        </w:tcPr>
        <w:p w14:paraId="1CD8CF45" w14:textId="77777777" w:rsidR="00B13630" w:rsidRDefault="00BD37F9">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903" w:type="dxa"/>
        </w:tcPr>
        <w:p w14:paraId="44943D8B" w14:textId="7A4578A6" w:rsidR="00B13630" w:rsidRDefault="00A47EBA">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XXXXX</w:t>
          </w:r>
          <w:r w:rsidR="00BD37F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w:t>
          </w:r>
          <w:r w:rsidR="00BD37F9">
            <w:rPr>
              <w:rFonts w:ascii="Palatino Linotype" w:eastAsia="Palatino Linotype" w:hAnsi="Palatino Linotype" w:cs="Palatino Linotype"/>
              <w:sz w:val="24"/>
              <w:szCs w:val="24"/>
            </w:rPr>
            <w:t xml:space="preserve"> </w:t>
          </w:r>
          <w:r>
            <w:rPr>
              <w:rFonts w:ascii="Palatino Linotype" w:eastAsia="Palatino Linotype" w:hAnsi="Palatino Linotype" w:cs="Palatino Linotype"/>
              <w:sz w:val="24"/>
              <w:szCs w:val="24"/>
            </w:rPr>
            <w:t>XXXXXXXXX</w:t>
          </w:r>
        </w:p>
      </w:tc>
    </w:tr>
    <w:tr w:rsidR="00B13630" w14:paraId="40FD7A2E" w14:textId="77777777">
      <w:trPr>
        <w:trHeight w:val="262"/>
      </w:trPr>
      <w:tc>
        <w:tcPr>
          <w:tcW w:w="5576" w:type="dxa"/>
        </w:tcPr>
        <w:p w14:paraId="415D7E03" w14:textId="77777777" w:rsidR="00B13630" w:rsidRDefault="00BD37F9">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903" w:type="dxa"/>
        </w:tcPr>
        <w:p w14:paraId="3AB80751" w14:textId="77777777" w:rsidR="00B13630" w:rsidRDefault="00BD37F9">
          <w:pPr>
            <w:pBdr>
              <w:top w:val="nil"/>
              <w:left w:val="nil"/>
              <w:bottom w:val="nil"/>
              <w:right w:val="nil"/>
              <w:between w:val="nil"/>
            </w:pBdr>
            <w:spacing w:after="0"/>
            <w:ind w:left="432"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Ayuntamiento de Ocoyoacac.</w:t>
          </w:r>
        </w:p>
      </w:tc>
    </w:tr>
    <w:tr w:rsidR="00B13630" w14:paraId="41971ECF" w14:textId="77777777">
      <w:trPr>
        <w:trHeight w:val="371"/>
      </w:trPr>
      <w:tc>
        <w:tcPr>
          <w:tcW w:w="5576" w:type="dxa"/>
        </w:tcPr>
        <w:p w14:paraId="574502B0" w14:textId="77777777" w:rsidR="00B13630" w:rsidRDefault="00BD37F9">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903" w:type="dxa"/>
        </w:tcPr>
        <w:p w14:paraId="0D84FAD3" w14:textId="77777777" w:rsidR="00B13630" w:rsidRDefault="00BD37F9">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D85C0D7" w14:textId="77777777" w:rsidR="00B13630" w:rsidRDefault="00BD37F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364087FC" wp14:editId="64AD9008">
          <wp:simplePos x="0" y="0"/>
          <wp:positionH relativeFrom="column">
            <wp:posOffset>-822324</wp:posOffset>
          </wp:positionH>
          <wp:positionV relativeFrom="paragraph">
            <wp:posOffset>-1492884</wp:posOffset>
          </wp:positionV>
          <wp:extent cx="7753350" cy="9942731"/>
          <wp:effectExtent l="0" t="0" r="0" b="0"/>
          <wp:wrapNone/>
          <wp:docPr id="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A27AD"/>
    <w:multiLevelType w:val="multilevel"/>
    <w:tmpl w:val="8C587AB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7CCE3273"/>
    <w:multiLevelType w:val="multilevel"/>
    <w:tmpl w:val="6C52E6C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9738172">
    <w:abstractNumId w:val="0"/>
  </w:num>
  <w:num w:numId="2" w16cid:durableId="1437285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630"/>
    <w:rsid w:val="00170E6C"/>
    <w:rsid w:val="00703CA2"/>
    <w:rsid w:val="008A21F9"/>
    <w:rsid w:val="00A47EBA"/>
    <w:rsid w:val="00B13630"/>
    <w:rsid w:val="00B20AF1"/>
    <w:rsid w:val="00BD37F9"/>
    <w:rsid w:val="00C90656"/>
    <w:rsid w:val="00DE6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42E1D"/>
  <w15:docId w15:val="{341CA735-FBD0-4509-A173-54C3AAE6B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BE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51B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1BEE"/>
  </w:style>
  <w:style w:type="paragraph" w:styleId="Piedepgina">
    <w:name w:val="footer"/>
    <w:basedOn w:val="Normal"/>
    <w:link w:val="PiedepginaCar"/>
    <w:uiPriority w:val="99"/>
    <w:unhideWhenUsed/>
    <w:rsid w:val="00C51B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1BE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51BE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51BEE"/>
    <w:rPr>
      <w:rFonts w:ascii="Calibri" w:eastAsia="Calibri" w:hAnsi="Calibri" w:cs="Calibri"/>
      <w:lang w:eastAsia="es-MX"/>
    </w:rPr>
  </w:style>
  <w:style w:type="character" w:styleId="Hipervnculo">
    <w:name w:val="Hyperlink"/>
    <w:basedOn w:val="Fuentedeprrafopredeter"/>
    <w:uiPriority w:val="99"/>
    <w:semiHidden/>
    <w:unhideWhenUsed/>
    <w:rsid w:val="005A6CF8"/>
    <w:rPr>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55610.page" TargetMode="External"/><Relationship Id="rId13" Type="http://schemas.openxmlformats.org/officeDocument/2006/relationships/image" Target="media/image14.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hyperlink" Target="http://dof.gob.mx/nota_detalle.php?codigo=5492254&amp;fecha=28/07/2017"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kDGL7rZN1hszLlmFu5zWrkliaQ==">AMUW2mXB/p67tYs4iLuzl4f+kc004vl5dIoNwjxZrp0mxuiA472VrJX/jgWWUi3OqMuA1VMERD6igQbZlMxg+QJm7WZfwuNMyIHVYyJkk4dFBbKz9wzYg7hrXnSOAqQ2NXtbZq2JeaFf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10929</Words>
  <Characters>60112</Characters>
  <Application>Microsoft Office Word</Application>
  <DocSecurity>0</DocSecurity>
  <Lines>500</Lines>
  <Paragraphs>141</Paragraphs>
  <ScaleCrop>false</ScaleCrop>
  <Company/>
  <LinksUpToDate>false</LinksUpToDate>
  <CharactersWithSpaces>70900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8</cp:revision>
  <dcterms:created xsi:type="dcterms:W3CDTF">2022-06-09T22:11:00Z</dcterms:created>
  <dcterms:modified xsi:type="dcterms:W3CDTF">2022-07-05T19:54:00Z</dcterms:modified>
</cp:coreProperties>
</file>