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804EECC" w:rsidR="00662C69" w:rsidRPr="00F11975" w:rsidRDefault="009B11D6" w:rsidP="00B31E90">
      <w:pPr>
        <w:tabs>
          <w:tab w:val="left" w:pos="3465"/>
        </w:tabs>
        <w:spacing w:line="360" w:lineRule="auto"/>
        <w:jc w:val="both"/>
        <w:rPr>
          <w:rFonts w:ascii="Palatino Linotype" w:hAnsi="Palatino Linotype"/>
          <w:color w:val="000000" w:themeColor="text1"/>
        </w:rPr>
      </w:pPr>
      <w:r w:rsidRPr="00F11975">
        <w:rPr>
          <w:rFonts w:ascii="Palatino Linotype" w:hAnsi="Palatino Linotype"/>
          <w:color w:val="000000" w:themeColor="text1"/>
        </w:rPr>
        <w:t>R</w:t>
      </w:r>
      <w:r w:rsidR="00662C69" w:rsidRPr="00F1197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F11975">
        <w:rPr>
          <w:rFonts w:ascii="Palatino Linotype" w:hAnsi="Palatino Linotype"/>
          <w:color w:val="000000" w:themeColor="text1"/>
        </w:rPr>
        <w:t>icipios, con</w:t>
      </w:r>
      <w:r w:rsidR="00662C69" w:rsidRPr="00F11975">
        <w:rPr>
          <w:rFonts w:ascii="Palatino Linotype" w:hAnsi="Palatino Linotype"/>
          <w:color w:val="000000" w:themeColor="text1"/>
        </w:rPr>
        <w:t xml:space="preserve"> </w:t>
      </w:r>
      <w:r w:rsidR="00485DB6" w:rsidRPr="00F11975">
        <w:rPr>
          <w:rFonts w:ascii="Palatino Linotype" w:hAnsi="Palatino Linotype"/>
          <w:color w:val="000000" w:themeColor="text1"/>
        </w:rPr>
        <w:t xml:space="preserve">domicilio </w:t>
      </w:r>
      <w:r w:rsidR="00662C69" w:rsidRPr="00F11975">
        <w:rPr>
          <w:rFonts w:ascii="Palatino Linotype" w:hAnsi="Palatino Linotype"/>
          <w:color w:val="000000" w:themeColor="text1"/>
        </w:rPr>
        <w:t xml:space="preserve">en Metepec, Estado de México; de </w:t>
      </w:r>
      <w:r w:rsidR="00F44617" w:rsidRPr="00F11975">
        <w:rPr>
          <w:rFonts w:ascii="Palatino Linotype" w:hAnsi="Palatino Linotype"/>
          <w:color w:val="000000" w:themeColor="text1"/>
          <w:lang w:val="es-MX"/>
        </w:rPr>
        <w:t>diecisiete (17</w:t>
      </w:r>
      <w:r w:rsidR="00976FB9" w:rsidRPr="00F11975">
        <w:rPr>
          <w:rFonts w:ascii="Palatino Linotype" w:hAnsi="Palatino Linotype"/>
          <w:color w:val="000000" w:themeColor="text1"/>
          <w:lang w:val="es-MX"/>
        </w:rPr>
        <w:t>)</w:t>
      </w:r>
      <w:r w:rsidR="00F72E61" w:rsidRPr="00F11975">
        <w:rPr>
          <w:rFonts w:ascii="Palatino Linotype" w:hAnsi="Palatino Linotype"/>
          <w:color w:val="000000" w:themeColor="text1"/>
          <w:lang w:val="es-MX"/>
        </w:rPr>
        <w:t xml:space="preserve"> de agosto</w:t>
      </w:r>
      <w:r w:rsidR="00DB7106" w:rsidRPr="00F11975">
        <w:rPr>
          <w:rFonts w:ascii="Palatino Linotype" w:hAnsi="Palatino Linotype"/>
          <w:color w:val="000000" w:themeColor="text1"/>
          <w:lang w:val="es-MX"/>
        </w:rPr>
        <w:t xml:space="preserve"> </w:t>
      </w:r>
      <w:r w:rsidR="005F1F60" w:rsidRPr="00F11975">
        <w:rPr>
          <w:rFonts w:ascii="Palatino Linotype" w:hAnsi="Palatino Linotype"/>
          <w:color w:val="000000" w:themeColor="text1"/>
          <w:lang w:val="es-MX"/>
        </w:rPr>
        <w:t>de dos mil veintidós</w:t>
      </w:r>
      <w:r w:rsidR="00662C69" w:rsidRPr="00F11975">
        <w:rPr>
          <w:rFonts w:ascii="Palatino Linotype" w:hAnsi="Palatino Linotype"/>
          <w:color w:val="000000" w:themeColor="text1"/>
        </w:rPr>
        <w:t>.</w:t>
      </w:r>
    </w:p>
    <w:p w14:paraId="1181C59D" w14:textId="77777777" w:rsidR="00B31E90" w:rsidRPr="00F11975" w:rsidRDefault="00B31E90" w:rsidP="00B31E90">
      <w:pPr>
        <w:tabs>
          <w:tab w:val="left" w:pos="3465"/>
        </w:tabs>
        <w:spacing w:line="360" w:lineRule="auto"/>
        <w:jc w:val="both"/>
        <w:rPr>
          <w:rFonts w:ascii="Palatino Linotype" w:hAnsi="Palatino Linotype"/>
          <w:color w:val="000000" w:themeColor="text1"/>
        </w:rPr>
      </w:pPr>
    </w:p>
    <w:p w14:paraId="04F87235" w14:textId="74250198" w:rsidR="005F0007" w:rsidRPr="00F11975" w:rsidRDefault="00662C69" w:rsidP="00B31E90">
      <w:pPr>
        <w:spacing w:line="360" w:lineRule="auto"/>
        <w:jc w:val="both"/>
        <w:rPr>
          <w:rFonts w:ascii="Palatino Linotype" w:eastAsia="Times New Roman" w:hAnsi="Palatino Linotype" w:cs="Times New Roman"/>
          <w:color w:val="000000" w:themeColor="text1"/>
        </w:rPr>
      </w:pPr>
      <w:r w:rsidRPr="00F11975">
        <w:rPr>
          <w:rFonts w:ascii="Palatino Linotype" w:hAnsi="Palatino Linotype"/>
          <w:b/>
          <w:color w:val="000000" w:themeColor="text1"/>
        </w:rPr>
        <w:t>VISTO</w:t>
      </w:r>
      <w:r w:rsidR="00976FB9" w:rsidRPr="00F11975">
        <w:rPr>
          <w:rFonts w:ascii="Palatino Linotype" w:hAnsi="Palatino Linotype"/>
          <w:b/>
          <w:color w:val="000000" w:themeColor="text1"/>
        </w:rPr>
        <w:t>S</w:t>
      </w:r>
      <w:r w:rsidRPr="00F11975">
        <w:rPr>
          <w:rFonts w:ascii="Palatino Linotype" w:hAnsi="Palatino Linotype"/>
          <w:color w:val="000000" w:themeColor="text1"/>
        </w:rPr>
        <w:t xml:space="preserve"> </w:t>
      </w:r>
      <w:r w:rsidR="00976FB9" w:rsidRPr="00F11975">
        <w:rPr>
          <w:rFonts w:ascii="Palatino Linotype" w:hAnsi="Palatino Linotype"/>
          <w:color w:val="000000" w:themeColor="text1"/>
        </w:rPr>
        <w:t>los</w:t>
      </w:r>
      <w:r w:rsidRPr="00F11975">
        <w:rPr>
          <w:rFonts w:ascii="Palatino Linotype" w:hAnsi="Palatino Linotype"/>
          <w:color w:val="000000" w:themeColor="text1"/>
        </w:rPr>
        <w:t xml:space="preserve"> expediente</w:t>
      </w:r>
      <w:r w:rsidR="00976FB9" w:rsidRPr="00F11975">
        <w:rPr>
          <w:rFonts w:ascii="Palatino Linotype" w:hAnsi="Palatino Linotype"/>
          <w:color w:val="000000" w:themeColor="text1"/>
        </w:rPr>
        <w:t>s</w:t>
      </w:r>
      <w:r w:rsidRPr="00F11975">
        <w:rPr>
          <w:rFonts w:ascii="Palatino Linotype" w:hAnsi="Palatino Linotype"/>
          <w:color w:val="000000" w:themeColor="text1"/>
        </w:rPr>
        <w:t xml:space="preserve"> electrónico</w:t>
      </w:r>
      <w:r w:rsidR="00976FB9" w:rsidRPr="00F11975">
        <w:rPr>
          <w:rFonts w:ascii="Palatino Linotype" w:hAnsi="Palatino Linotype"/>
          <w:color w:val="000000" w:themeColor="text1"/>
        </w:rPr>
        <w:t>s</w:t>
      </w:r>
      <w:r w:rsidRPr="00F11975">
        <w:rPr>
          <w:rFonts w:ascii="Palatino Linotype" w:hAnsi="Palatino Linotype"/>
          <w:color w:val="000000" w:themeColor="text1"/>
        </w:rPr>
        <w:t xml:space="preserve"> for</w:t>
      </w:r>
      <w:r w:rsidR="00D37494" w:rsidRPr="00F11975">
        <w:rPr>
          <w:rFonts w:ascii="Palatino Linotype" w:hAnsi="Palatino Linotype"/>
          <w:color w:val="000000" w:themeColor="text1"/>
        </w:rPr>
        <w:t>mado</w:t>
      </w:r>
      <w:r w:rsidR="00976FB9" w:rsidRPr="00F11975">
        <w:rPr>
          <w:rFonts w:ascii="Palatino Linotype" w:hAnsi="Palatino Linotype"/>
          <w:color w:val="000000" w:themeColor="text1"/>
        </w:rPr>
        <w:t>s</w:t>
      </w:r>
      <w:r w:rsidR="00D37494" w:rsidRPr="00F11975">
        <w:rPr>
          <w:rFonts w:ascii="Palatino Linotype" w:hAnsi="Palatino Linotype"/>
          <w:color w:val="000000" w:themeColor="text1"/>
        </w:rPr>
        <w:t xml:space="preserve"> con motivo de</w:t>
      </w:r>
      <w:r w:rsidR="00976FB9" w:rsidRPr="00F11975">
        <w:rPr>
          <w:rFonts w:ascii="Palatino Linotype" w:hAnsi="Palatino Linotype"/>
          <w:color w:val="000000" w:themeColor="text1"/>
        </w:rPr>
        <w:t xml:space="preserve"> </w:t>
      </w:r>
      <w:r w:rsidR="00D37494" w:rsidRPr="00F11975">
        <w:rPr>
          <w:rFonts w:ascii="Palatino Linotype" w:hAnsi="Palatino Linotype"/>
          <w:color w:val="000000" w:themeColor="text1"/>
        </w:rPr>
        <w:t>l</w:t>
      </w:r>
      <w:r w:rsidR="00976FB9" w:rsidRPr="00F11975">
        <w:rPr>
          <w:rFonts w:ascii="Palatino Linotype" w:hAnsi="Palatino Linotype"/>
          <w:color w:val="000000" w:themeColor="text1"/>
        </w:rPr>
        <w:t>os</w:t>
      </w:r>
      <w:r w:rsidRPr="00F11975">
        <w:rPr>
          <w:rFonts w:ascii="Palatino Linotype" w:hAnsi="Palatino Linotype"/>
          <w:color w:val="000000" w:themeColor="text1"/>
        </w:rPr>
        <w:t xml:space="preserve"> recurso</w:t>
      </w:r>
      <w:r w:rsidR="00976FB9" w:rsidRPr="00F11975">
        <w:rPr>
          <w:rFonts w:ascii="Palatino Linotype" w:hAnsi="Palatino Linotype"/>
          <w:color w:val="000000" w:themeColor="text1"/>
        </w:rPr>
        <w:t>s</w:t>
      </w:r>
      <w:r w:rsidRPr="00F11975">
        <w:rPr>
          <w:rFonts w:ascii="Palatino Linotype" w:hAnsi="Palatino Linotype"/>
          <w:color w:val="000000" w:themeColor="text1"/>
        </w:rPr>
        <w:t xml:space="preserve"> de revisión </w:t>
      </w:r>
      <w:r w:rsidR="00976FB9" w:rsidRPr="00F11975">
        <w:rPr>
          <w:rFonts w:ascii="Palatino Linotype" w:hAnsi="Palatino Linotype"/>
          <w:b/>
          <w:bCs/>
          <w:color w:val="000000" w:themeColor="text1"/>
        </w:rPr>
        <w:t>00001</w:t>
      </w:r>
      <w:r w:rsidR="00DB7106" w:rsidRPr="00F11975">
        <w:rPr>
          <w:rFonts w:ascii="Palatino Linotype" w:hAnsi="Palatino Linotype"/>
          <w:b/>
          <w:bCs/>
          <w:color w:val="000000" w:themeColor="text1"/>
        </w:rPr>
        <w:t>/INFOEM/IP/RR</w:t>
      </w:r>
      <w:r w:rsidR="00976FB9" w:rsidRPr="00F11975">
        <w:rPr>
          <w:rFonts w:ascii="Palatino Linotype" w:hAnsi="Palatino Linotype"/>
          <w:b/>
          <w:bCs/>
          <w:color w:val="000000" w:themeColor="text1"/>
        </w:rPr>
        <w:t>-E</w:t>
      </w:r>
      <w:r w:rsidR="00DB7106" w:rsidRPr="00F11975">
        <w:rPr>
          <w:rFonts w:ascii="Palatino Linotype" w:hAnsi="Palatino Linotype"/>
          <w:b/>
          <w:bCs/>
          <w:color w:val="000000" w:themeColor="text1"/>
        </w:rPr>
        <w:t>/2022</w:t>
      </w:r>
      <w:r w:rsidR="00976FB9" w:rsidRPr="00F11975">
        <w:rPr>
          <w:rFonts w:ascii="Palatino Linotype" w:eastAsia="Times New Roman" w:hAnsi="Palatino Linotype" w:cs="Arial"/>
          <w:bCs/>
          <w:color w:val="000000" w:themeColor="text1"/>
        </w:rPr>
        <w:t xml:space="preserve"> y </w:t>
      </w:r>
      <w:r w:rsidR="00C26989" w:rsidRPr="00F11975">
        <w:rPr>
          <w:rFonts w:ascii="Palatino Linotype" w:eastAsia="Times New Roman" w:hAnsi="Palatino Linotype" w:cs="Arial"/>
          <w:b/>
          <w:color w:val="000000" w:themeColor="text1"/>
        </w:rPr>
        <w:t>01895/INFOEM/IP/RR/2022</w:t>
      </w:r>
      <w:r w:rsidR="005F1362" w:rsidRPr="00F11975">
        <w:rPr>
          <w:rFonts w:ascii="Palatino Linotype" w:eastAsia="Times New Roman" w:hAnsi="Palatino Linotype" w:cs="Arial"/>
          <w:bCs/>
          <w:color w:val="000000" w:themeColor="text1"/>
        </w:rPr>
        <w:t xml:space="preserve"> </w:t>
      </w:r>
      <w:r w:rsidR="006B31E7" w:rsidRPr="00F11975">
        <w:rPr>
          <w:rFonts w:ascii="Palatino Linotype" w:eastAsia="Times New Roman" w:hAnsi="Palatino Linotype" w:cs="Times New Roman"/>
          <w:color w:val="000000" w:themeColor="text1"/>
          <w:lang w:val="es-MX"/>
        </w:rPr>
        <w:t>interpuesto</w:t>
      </w:r>
      <w:r w:rsidR="00C26989" w:rsidRPr="00F11975">
        <w:rPr>
          <w:rFonts w:ascii="Palatino Linotype" w:eastAsia="Times New Roman" w:hAnsi="Palatino Linotype" w:cs="Times New Roman"/>
          <w:color w:val="000000" w:themeColor="text1"/>
          <w:lang w:val="es-MX"/>
        </w:rPr>
        <w:t>s</w:t>
      </w:r>
      <w:r w:rsidR="006B31E7" w:rsidRPr="00F11975">
        <w:rPr>
          <w:rFonts w:ascii="Palatino Linotype" w:eastAsia="Times New Roman" w:hAnsi="Palatino Linotype" w:cs="Times New Roman"/>
          <w:color w:val="000000" w:themeColor="text1"/>
          <w:lang w:val="es-MX"/>
        </w:rPr>
        <w:t xml:space="preserve"> por</w:t>
      </w:r>
      <w:r w:rsidR="0078249C" w:rsidRPr="00F11975">
        <w:rPr>
          <w:rFonts w:ascii="Palatino Linotype" w:eastAsia="Times New Roman" w:hAnsi="Palatino Linotype" w:cs="Times New Roman"/>
          <w:color w:val="000000" w:themeColor="text1"/>
          <w:lang w:val="es-MX"/>
        </w:rPr>
        <w:t xml:space="preserve"> </w:t>
      </w:r>
      <w:r w:rsidR="00F11975" w:rsidRPr="00F11975">
        <w:rPr>
          <w:rFonts w:ascii="Palatino Linotype" w:eastAsia="Times New Roman" w:hAnsi="Palatino Linotype" w:cs="Times New Roman"/>
          <w:b/>
          <w:color w:val="000000" w:themeColor="text1"/>
          <w:lang w:val="es-MX"/>
        </w:rPr>
        <w:t>XXXX XXXXX XXXX</w:t>
      </w:r>
      <w:r w:rsidR="00C26989" w:rsidRPr="00F11975">
        <w:rPr>
          <w:rFonts w:ascii="Palatino Linotype" w:eastAsia="Times New Roman" w:hAnsi="Palatino Linotype" w:cs="Times New Roman"/>
          <w:bCs/>
          <w:color w:val="000000" w:themeColor="text1"/>
          <w:lang w:val="es-MX"/>
        </w:rPr>
        <w:t>, en lo sucesivo, el</w:t>
      </w:r>
      <w:r w:rsidR="00F72E61" w:rsidRPr="00F11975">
        <w:rPr>
          <w:rFonts w:ascii="Palatino Linotype" w:eastAsia="Times New Roman" w:hAnsi="Palatino Linotype" w:cs="Times New Roman"/>
          <w:color w:val="000000" w:themeColor="text1"/>
        </w:rPr>
        <w:t xml:space="preserve"> </w:t>
      </w:r>
      <w:r w:rsidR="006B31E7" w:rsidRPr="00F11975">
        <w:rPr>
          <w:rFonts w:ascii="Palatino Linotype" w:eastAsia="Times New Roman" w:hAnsi="Palatino Linotype" w:cs="Times New Roman"/>
          <w:b/>
          <w:bCs/>
          <w:color w:val="000000" w:themeColor="text1"/>
        </w:rPr>
        <w:t>RECURRENTE</w:t>
      </w:r>
      <w:r w:rsidR="00E614C1" w:rsidRPr="00F11975">
        <w:rPr>
          <w:rFonts w:ascii="Palatino Linotype" w:eastAsia="Times New Roman" w:hAnsi="Palatino Linotype" w:cs="Arial"/>
          <w:color w:val="000000" w:themeColor="text1"/>
        </w:rPr>
        <w:t>,</w:t>
      </w:r>
      <w:r w:rsidR="005F1362" w:rsidRPr="00F11975">
        <w:rPr>
          <w:rFonts w:ascii="Palatino Linotype" w:eastAsia="Times New Roman" w:hAnsi="Palatino Linotype" w:cs="Arial"/>
          <w:color w:val="000000" w:themeColor="text1"/>
        </w:rPr>
        <w:t xml:space="preserve"> en contra de la</w:t>
      </w:r>
      <w:r w:rsidR="005F1F60" w:rsidRPr="00F11975">
        <w:rPr>
          <w:rFonts w:ascii="Palatino Linotype" w:eastAsia="Times New Roman" w:hAnsi="Palatino Linotype" w:cs="Arial"/>
          <w:color w:val="000000" w:themeColor="text1"/>
        </w:rPr>
        <w:t xml:space="preserve"> falta de</w:t>
      </w:r>
      <w:r w:rsidR="005F1362" w:rsidRPr="00F11975">
        <w:rPr>
          <w:rFonts w:ascii="Palatino Linotype" w:eastAsia="Times New Roman" w:hAnsi="Palatino Linotype" w:cs="Arial"/>
          <w:color w:val="000000" w:themeColor="text1"/>
        </w:rPr>
        <w:t xml:space="preserve"> respuesta del</w:t>
      </w:r>
      <w:r w:rsidR="002C1007" w:rsidRPr="00F11975">
        <w:rPr>
          <w:rFonts w:ascii="Palatino Linotype" w:eastAsia="Times New Roman" w:hAnsi="Palatino Linotype" w:cs="Arial"/>
          <w:color w:val="000000" w:themeColor="text1"/>
        </w:rPr>
        <w:t xml:space="preserve"> </w:t>
      </w:r>
      <w:r w:rsidR="00C26989" w:rsidRPr="00F11975">
        <w:rPr>
          <w:rFonts w:ascii="Palatino Linotype" w:eastAsia="Times New Roman" w:hAnsi="Palatino Linotype" w:cs="Arial"/>
          <w:b/>
          <w:color w:val="000000" w:themeColor="text1"/>
        </w:rPr>
        <w:t>Ayuntamiento de Naucalpan de Juárez</w:t>
      </w:r>
      <w:r w:rsidR="009572EE" w:rsidRPr="00F11975">
        <w:rPr>
          <w:rFonts w:ascii="Palatino Linotype" w:eastAsia="Calibri" w:hAnsi="Palatino Linotype" w:cs="Arial"/>
          <w:color w:val="000000" w:themeColor="text1"/>
          <w:lang w:val="es-ES"/>
        </w:rPr>
        <w:t>,</w:t>
      </w:r>
      <w:r w:rsidR="005F1362" w:rsidRPr="00F11975">
        <w:rPr>
          <w:rFonts w:ascii="Palatino Linotype" w:eastAsia="Calibri" w:hAnsi="Palatino Linotype" w:cs="Arial"/>
          <w:color w:val="000000" w:themeColor="text1"/>
          <w:lang w:val="es-ES"/>
        </w:rPr>
        <w:t xml:space="preserve"> </w:t>
      </w:r>
      <w:r w:rsidR="00E614C1" w:rsidRPr="00F11975">
        <w:rPr>
          <w:rFonts w:ascii="Palatino Linotype" w:eastAsia="Calibri" w:hAnsi="Palatino Linotype" w:cs="Arial"/>
          <w:color w:val="000000" w:themeColor="text1"/>
          <w:lang w:val="es-ES"/>
        </w:rPr>
        <w:t xml:space="preserve">en adelante </w:t>
      </w:r>
      <w:r w:rsidR="005F1362" w:rsidRPr="00F11975">
        <w:rPr>
          <w:rFonts w:ascii="Palatino Linotype" w:eastAsia="Times New Roman" w:hAnsi="Palatino Linotype" w:cs="Times New Roman"/>
          <w:color w:val="000000" w:themeColor="text1"/>
        </w:rPr>
        <w:t>el</w:t>
      </w:r>
      <w:r w:rsidR="00E614C1" w:rsidRPr="00F11975">
        <w:rPr>
          <w:rFonts w:ascii="Palatino Linotype" w:eastAsia="Times New Roman" w:hAnsi="Palatino Linotype" w:cs="Times New Roman"/>
          <w:b/>
          <w:color w:val="000000" w:themeColor="text1"/>
        </w:rPr>
        <w:t xml:space="preserve"> SUJETO OBLIGADO</w:t>
      </w:r>
      <w:r w:rsidR="00E614C1" w:rsidRPr="00F11975">
        <w:rPr>
          <w:rFonts w:ascii="Palatino Linotype" w:eastAsia="Times New Roman" w:hAnsi="Palatino Linotype" w:cs="Times New Roman"/>
          <w:color w:val="000000" w:themeColor="text1"/>
        </w:rPr>
        <w:t xml:space="preserve">, </w:t>
      </w:r>
      <w:r w:rsidR="005F1362" w:rsidRPr="00F11975">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F11975" w:rsidRDefault="009A593A" w:rsidP="00B31E90">
      <w:pPr>
        <w:spacing w:line="360" w:lineRule="auto"/>
        <w:jc w:val="both"/>
        <w:rPr>
          <w:rFonts w:ascii="Palatino Linotype" w:hAnsi="Palatino Linotype"/>
          <w:b/>
          <w:color w:val="000000" w:themeColor="text1"/>
        </w:rPr>
      </w:pPr>
    </w:p>
    <w:p w14:paraId="769E1410" w14:textId="5740327F" w:rsidR="00587366" w:rsidRPr="00F1197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151629"/>
      <w:r w:rsidRPr="00F11975">
        <w:rPr>
          <w:b/>
          <w:color w:val="000000" w:themeColor="text1"/>
        </w:rPr>
        <w:t>ANTECEDENTES</w:t>
      </w:r>
      <w:bookmarkEnd w:id="0"/>
      <w:bookmarkEnd w:id="1"/>
      <w:bookmarkEnd w:id="2"/>
    </w:p>
    <w:p w14:paraId="5672105D" w14:textId="77777777" w:rsidR="00B31E90" w:rsidRPr="00F1197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C840BCC" w:rsidR="00D9392E" w:rsidRPr="00F11975"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11975">
        <w:rPr>
          <w:rFonts w:ascii="Palatino Linotype" w:eastAsia="Calibri" w:hAnsi="Palatino Linotype" w:cs="Arial"/>
          <w:color w:val="000000" w:themeColor="text1"/>
          <w:lang w:val="es-ES"/>
        </w:rPr>
        <w:t>El</w:t>
      </w:r>
      <w:r w:rsidR="00D9392E" w:rsidRPr="00F11975">
        <w:rPr>
          <w:rFonts w:ascii="Palatino Linotype" w:eastAsia="Calibri" w:hAnsi="Palatino Linotype" w:cs="Arial"/>
          <w:color w:val="000000" w:themeColor="text1"/>
          <w:lang w:val="es-ES"/>
        </w:rPr>
        <w:t xml:space="preserve"> </w:t>
      </w:r>
      <w:r w:rsidR="00C26989" w:rsidRPr="00F11975">
        <w:rPr>
          <w:rFonts w:ascii="Palatino Linotype" w:eastAsia="Calibri" w:hAnsi="Palatino Linotype" w:cs="Arial"/>
          <w:color w:val="000000" w:themeColor="text1"/>
          <w:lang w:val="es-ES"/>
        </w:rPr>
        <w:t>veintidós (22) de diciembre de dos mil veintiuno</w:t>
      </w:r>
      <w:r w:rsidR="005F1362" w:rsidRPr="00F11975">
        <w:rPr>
          <w:rFonts w:ascii="Palatino Linotype" w:eastAsia="Calibri" w:hAnsi="Palatino Linotype" w:cs="Arial"/>
          <w:color w:val="000000" w:themeColor="text1"/>
          <w:lang w:val="es-ES"/>
        </w:rPr>
        <w:t xml:space="preserve">, </w:t>
      </w:r>
      <w:r w:rsidR="00742B6A" w:rsidRPr="00F11975">
        <w:rPr>
          <w:rFonts w:ascii="Palatino Linotype" w:hAnsi="Palatino Linotype"/>
          <w:color w:val="000000" w:themeColor="text1"/>
        </w:rPr>
        <w:t>se</w:t>
      </w:r>
      <w:r w:rsidR="005F1362" w:rsidRPr="00F11975">
        <w:rPr>
          <w:rFonts w:ascii="Palatino Linotype" w:hAnsi="Palatino Linotype"/>
          <w:color w:val="000000" w:themeColor="text1"/>
        </w:rPr>
        <w:t xml:space="preserve"> presentó</w:t>
      </w:r>
      <w:r w:rsidR="005F1362" w:rsidRPr="00F11975">
        <w:rPr>
          <w:rFonts w:ascii="Palatino Linotype" w:hAnsi="Palatino Linotype"/>
          <w:b/>
          <w:color w:val="000000" w:themeColor="text1"/>
        </w:rPr>
        <w:t xml:space="preserve"> </w:t>
      </w:r>
      <w:r w:rsidR="00127E68" w:rsidRPr="00F11975">
        <w:rPr>
          <w:rFonts w:ascii="Palatino Linotype" w:hAnsi="Palatino Linotype"/>
          <w:bCs/>
          <w:color w:val="000000" w:themeColor="text1"/>
        </w:rPr>
        <w:t xml:space="preserve">a través </w:t>
      </w:r>
      <w:r w:rsidR="00DE4F75" w:rsidRPr="00F11975">
        <w:rPr>
          <w:rFonts w:ascii="Palatino Linotype" w:hAnsi="Palatino Linotype"/>
          <w:bCs/>
          <w:color w:val="000000" w:themeColor="text1"/>
        </w:rPr>
        <w:t>de</w:t>
      </w:r>
      <w:r w:rsidR="00C26989" w:rsidRPr="00F11975">
        <w:rPr>
          <w:rFonts w:ascii="Palatino Linotype" w:hAnsi="Palatino Linotype"/>
          <w:bCs/>
          <w:color w:val="000000" w:themeColor="text1"/>
        </w:rPr>
        <w:t xml:space="preserve"> </w:t>
      </w:r>
      <w:r w:rsidR="00DE4F75" w:rsidRPr="00F11975">
        <w:rPr>
          <w:rFonts w:ascii="Palatino Linotype" w:hAnsi="Palatino Linotype"/>
          <w:bCs/>
          <w:color w:val="000000" w:themeColor="text1"/>
        </w:rPr>
        <w:t>l</w:t>
      </w:r>
      <w:r w:rsidR="00C26989" w:rsidRPr="00F11975">
        <w:rPr>
          <w:rFonts w:ascii="Palatino Linotype" w:hAnsi="Palatino Linotype"/>
          <w:bCs/>
          <w:color w:val="000000" w:themeColor="text1"/>
        </w:rPr>
        <w:t>a Plataforma Nacional de Transparencia (PNT), vinculada al Sistema de Acceso a la Información Mexiquense</w:t>
      </w:r>
      <w:r w:rsidR="00DE4F75" w:rsidRPr="00F11975">
        <w:rPr>
          <w:rFonts w:ascii="Palatino Linotype" w:hAnsi="Palatino Linotype"/>
          <w:bCs/>
          <w:color w:val="000000" w:themeColor="text1"/>
        </w:rPr>
        <w:t xml:space="preserve"> </w:t>
      </w:r>
      <w:r w:rsidR="00C26989" w:rsidRPr="00F11975">
        <w:rPr>
          <w:rFonts w:ascii="Palatino Linotype" w:hAnsi="Palatino Linotype"/>
          <w:bCs/>
          <w:color w:val="000000" w:themeColor="text1"/>
        </w:rPr>
        <w:t>(</w:t>
      </w:r>
      <w:r w:rsidR="00DB7106" w:rsidRPr="00F11975">
        <w:rPr>
          <w:rFonts w:ascii="Palatino Linotype" w:hAnsi="Palatino Linotype"/>
          <w:bCs/>
          <w:color w:val="000000" w:themeColor="text1"/>
        </w:rPr>
        <w:t>SAIMEX</w:t>
      </w:r>
      <w:r w:rsidR="00C26989" w:rsidRPr="00F11975">
        <w:rPr>
          <w:rFonts w:ascii="Palatino Linotype" w:hAnsi="Palatino Linotype"/>
          <w:bCs/>
          <w:color w:val="000000" w:themeColor="text1"/>
        </w:rPr>
        <w:t>)</w:t>
      </w:r>
      <w:r w:rsidR="005F1362" w:rsidRPr="00F11975">
        <w:rPr>
          <w:rFonts w:ascii="Palatino Linotype" w:eastAsia="Calibri" w:hAnsi="Palatino Linotype" w:cs="Arial"/>
          <w:color w:val="000000" w:themeColor="text1"/>
          <w:lang w:val="es-ES"/>
        </w:rPr>
        <w:t>, la solicitud de información pública registrada con el número</w:t>
      </w:r>
      <w:r w:rsidR="005F1362" w:rsidRPr="00F11975">
        <w:rPr>
          <w:rFonts w:ascii="Palatino Linotype" w:hAnsi="Palatino Linotype"/>
          <w:b/>
          <w:bCs/>
          <w:color w:val="000000" w:themeColor="text1"/>
        </w:rPr>
        <w:t xml:space="preserve"> </w:t>
      </w:r>
      <w:r w:rsidR="00C26989" w:rsidRPr="00F11975">
        <w:rPr>
          <w:rFonts w:ascii="Palatino Linotype" w:hAnsi="Palatino Linotype"/>
          <w:b/>
          <w:bCs/>
          <w:color w:val="000000" w:themeColor="text1"/>
        </w:rPr>
        <w:t>00957/NAUCALPA/IP/2021</w:t>
      </w:r>
      <w:r w:rsidR="005F1362" w:rsidRPr="00F11975">
        <w:rPr>
          <w:rFonts w:ascii="Palatino Linotype" w:hAnsi="Palatino Linotype"/>
          <w:b/>
          <w:bCs/>
          <w:color w:val="000000" w:themeColor="text1"/>
        </w:rPr>
        <w:t>,</w:t>
      </w:r>
      <w:r w:rsidR="00DB7106" w:rsidRPr="00F11975">
        <w:rPr>
          <w:rFonts w:ascii="Palatino Linotype" w:eastAsia="Calibri" w:hAnsi="Palatino Linotype" w:cs="Arial"/>
          <w:color w:val="000000" w:themeColor="text1"/>
          <w:lang w:val="es-ES"/>
        </w:rPr>
        <w:t xml:space="preserve"> mediante la cual, se </w:t>
      </w:r>
      <w:r w:rsidR="005F1362" w:rsidRPr="00F11975">
        <w:rPr>
          <w:rFonts w:ascii="Palatino Linotype" w:eastAsia="Calibri" w:hAnsi="Palatino Linotype" w:cs="Arial"/>
          <w:color w:val="000000" w:themeColor="text1"/>
          <w:lang w:val="es-ES"/>
        </w:rPr>
        <w:t>requirió</w:t>
      </w:r>
      <w:r w:rsidR="00022D89" w:rsidRPr="00F11975">
        <w:rPr>
          <w:rFonts w:ascii="Palatino Linotype" w:eastAsia="Calibri" w:hAnsi="Palatino Linotype" w:cs="Arial"/>
          <w:color w:val="000000" w:themeColor="text1"/>
          <w:lang w:val="es-ES"/>
        </w:rPr>
        <w:t xml:space="preserve"> lo siguiente</w:t>
      </w:r>
      <w:r w:rsidR="005F1362" w:rsidRPr="00F11975">
        <w:rPr>
          <w:rFonts w:ascii="Palatino Linotype" w:eastAsia="Calibri" w:hAnsi="Palatino Linotype" w:cs="Arial"/>
          <w:color w:val="000000" w:themeColor="text1"/>
          <w:lang w:val="es-ES"/>
        </w:rPr>
        <w:t>:</w:t>
      </w:r>
    </w:p>
    <w:p w14:paraId="76EB7490" w14:textId="77777777" w:rsidR="00B31E90" w:rsidRPr="00F1197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17938A80" w14:textId="438F73A6" w:rsidR="00C26989" w:rsidRPr="00F11975" w:rsidRDefault="00C26989" w:rsidP="00B31E90">
      <w:pPr>
        <w:pStyle w:val="Prrafodelista"/>
        <w:spacing w:line="276" w:lineRule="auto"/>
        <w:ind w:left="567" w:right="567"/>
        <w:jc w:val="both"/>
        <w:rPr>
          <w:rFonts w:ascii="Palatino Linotype" w:hAnsi="Palatino Linotype"/>
          <w:b/>
          <w:bCs/>
          <w:iCs/>
          <w:color w:val="000000" w:themeColor="text1"/>
          <w:sz w:val="22"/>
          <w:szCs w:val="22"/>
        </w:rPr>
      </w:pPr>
      <w:r w:rsidRPr="00F11975">
        <w:rPr>
          <w:rFonts w:ascii="Palatino Linotype" w:hAnsi="Palatino Linotype"/>
          <w:b/>
          <w:bCs/>
          <w:iCs/>
          <w:color w:val="000000" w:themeColor="text1"/>
          <w:sz w:val="22"/>
          <w:szCs w:val="22"/>
        </w:rPr>
        <w:t>DESCRIPCIÓN CLARA Y PRECISA DE LA INFORMACIÓN SOLICITADA:</w:t>
      </w:r>
    </w:p>
    <w:p w14:paraId="43181002" w14:textId="77777777" w:rsidR="00496117" w:rsidRPr="00F11975" w:rsidRDefault="005F1362"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color w:val="000000" w:themeColor="text1"/>
          <w:sz w:val="22"/>
          <w:szCs w:val="22"/>
        </w:rPr>
        <w:t>“</w:t>
      </w:r>
      <w:r w:rsidR="00496117" w:rsidRPr="00F11975">
        <w:rPr>
          <w:rFonts w:ascii="Palatino Linotype" w:hAnsi="Palatino Linotype"/>
          <w:i/>
          <w:iCs/>
          <w:color w:val="000000" w:themeColor="text1"/>
          <w:sz w:val="22"/>
          <w:szCs w:val="22"/>
        </w:rPr>
        <w:t xml:space="preserve">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w:t>
      </w:r>
    </w:p>
    <w:p w14:paraId="44FFA1D0"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p>
    <w:p w14:paraId="07D501D2"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TIPO DE INCIDENTE O EVENTO (es decir hechos presuntamente constitutivos de delito y/o falta administrativa, o situación reportada, cualquiera que esta sea, especificando si el hecho fue con o sin violencia) </w:t>
      </w:r>
    </w:p>
    <w:p w14:paraId="2D1FF512"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lastRenderedPageBreak/>
        <w:t xml:space="preserve">HORA </w:t>
      </w:r>
    </w:p>
    <w:p w14:paraId="0C17BB3B"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FECHA (dd/mm/aaaa) </w:t>
      </w:r>
    </w:p>
    <w:p w14:paraId="2B2488DB"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LUGAR </w:t>
      </w:r>
    </w:p>
    <w:p w14:paraId="0F85A040"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UBICACIÓN </w:t>
      </w:r>
    </w:p>
    <w:p w14:paraId="7A3C5CBC"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LAS COORDENADAS GEOGRÁFICAS ESTABLECIDAS EN LA SECCIÓN “LUGAR DE LA INTERVENCIÓN” DEL INFORME POLICIAL HOMOLOGADO PARA 1) HECHOS PROBABLEMENTE DELICTIVOS O PARA 2) JUSTICIA CÍVICA SEGÚN CORRESPONDA AL TIPO DE INCIDENTE. </w:t>
      </w:r>
    </w:p>
    <w:p w14:paraId="44A22497"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p>
    <w:p w14:paraId="2E231EAF"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Solicito se proporcione la información correspondiente al periodo del 1 de enero de 2010 a la fecha de la presente solicitud. </w:t>
      </w:r>
    </w:p>
    <w:p w14:paraId="4B7204DB"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p>
    <w:p w14:paraId="276BDF48"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w:t>
      </w:r>
    </w:p>
    <w:p w14:paraId="692E85E6"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p>
    <w:p w14:paraId="2D0C2BB5"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w:t>
      </w:r>
    </w:p>
    <w:p w14:paraId="525145EA" w14:textId="77777777" w:rsidR="00496117" w:rsidRPr="00F11975" w:rsidRDefault="00496117" w:rsidP="00B31E90">
      <w:pPr>
        <w:pStyle w:val="Prrafodelista"/>
        <w:spacing w:line="276" w:lineRule="auto"/>
        <w:ind w:left="567" w:right="567"/>
        <w:jc w:val="both"/>
        <w:rPr>
          <w:rFonts w:ascii="Palatino Linotype" w:hAnsi="Palatino Linotype"/>
          <w:i/>
          <w:iCs/>
          <w:color w:val="000000" w:themeColor="text1"/>
          <w:sz w:val="22"/>
          <w:szCs w:val="22"/>
        </w:rPr>
      </w:pPr>
    </w:p>
    <w:p w14:paraId="605C5067" w14:textId="46F579DF" w:rsidR="0097210F" w:rsidRPr="00F11975" w:rsidRDefault="00496117" w:rsidP="00B31E90">
      <w:pPr>
        <w:pStyle w:val="Prrafodelista"/>
        <w:spacing w:line="276" w:lineRule="auto"/>
        <w:ind w:left="567" w:right="567"/>
        <w:jc w:val="both"/>
        <w:rPr>
          <w:rFonts w:ascii="Palatino Linotype" w:hAnsi="Palatino Linotype"/>
          <w:color w:val="000000" w:themeColor="text1"/>
          <w:sz w:val="22"/>
          <w:szCs w:val="22"/>
        </w:rPr>
      </w:pPr>
      <w:r w:rsidRPr="00F11975">
        <w:rPr>
          <w:rFonts w:ascii="Palatino Linotype" w:hAnsi="Palatino Linotype"/>
          <w:i/>
          <w:iCs/>
          <w:color w:val="000000" w:themeColor="text1"/>
          <w:sz w:val="22"/>
          <w:szCs w:val="22"/>
        </w:rPr>
        <w:t>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w:t>
      </w:r>
      <w:r w:rsidR="005F1362" w:rsidRPr="00F11975">
        <w:rPr>
          <w:rFonts w:ascii="Palatino Linotype" w:hAnsi="Palatino Linotype"/>
          <w:i/>
          <w:color w:val="000000" w:themeColor="text1"/>
          <w:sz w:val="22"/>
          <w:szCs w:val="22"/>
        </w:rPr>
        <w:t xml:space="preserve">” </w:t>
      </w:r>
      <w:r w:rsidR="00760EA4" w:rsidRPr="00F11975">
        <w:rPr>
          <w:rFonts w:ascii="Palatino Linotype" w:hAnsi="Palatino Linotype"/>
          <w:color w:val="000000" w:themeColor="text1"/>
          <w:sz w:val="22"/>
          <w:szCs w:val="22"/>
        </w:rPr>
        <w:t>(Sic)</w:t>
      </w:r>
    </w:p>
    <w:p w14:paraId="50E5A5E2" w14:textId="15199FF4" w:rsidR="00C26989" w:rsidRPr="00F11975" w:rsidRDefault="00C26989" w:rsidP="00B31E90">
      <w:pPr>
        <w:pStyle w:val="Prrafodelista"/>
        <w:spacing w:line="276" w:lineRule="auto"/>
        <w:ind w:left="567" w:right="567"/>
        <w:jc w:val="both"/>
        <w:rPr>
          <w:rFonts w:ascii="Palatino Linotype" w:hAnsi="Palatino Linotype"/>
          <w:i/>
          <w:color w:val="000000" w:themeColor="text1"/>
          <w:szCs w:val="22"/>
          <w:lang w:val="es-MX"/>
        </w:rPr>
      </w:pPr>
    </w:p>
    <w:p w14:paraId="530CFB58" w14:textId="439EC2E1" w:rsidR="00C26989" w:rsidRPr="00F11975" w:rsidRDefault="00C26989" w:rsidP="00C26989">
      <w:pPr>
        <w:pStyle w:val="Prrafodelista"/>
        <w:spacing w:line="276" w:lineRule="auto"/>
        <w:ind w:left="567" w:right="567"/>
        <w:jc w:val="both"/>
        <w:rPr>
          <w:rFonts w:ascii="Palatino Linotype" w:hAnsi="Palatino Linotype"/>
          <w:b/>
          <w:bCs/>
          <w:iCs/>
          <w:color w:val="000000" w:themeColor="text1"/>
          <w:sz w:val="22"/>
          <w:szCs w:val="22"/>
        </w:rPr>
      </w:pPr>
      <w:r w:rsidRPr="00F11975">
        <w:rPr>
          <w:rFonts w:ascii="Palatino Linotype" w:hAnsi="Palatino Linotype"/>
          <w:b/>
          <w:bCs/>
          <w:iCs/>
          <w:color w:val="000000" w:themeColor="text1"/>
          <w:sz w:val="22"/>
          <w:szCs w:val="22"/>
        </w:rPr>
        <w:t>CUALQUIER OTRO DETALLE QUE FACILITE LA BÚSQUEDA DE LA INFORMACIÓN:</w:t>
      </w:r>
    </w:p>
    <w:p w14:paraId="2EA68E36" w14:textId="77777777" w:rsidR="00496117" w:rsidRPr="00F11975" w:rsidRDefault="00C26989"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color w:val="000000" w:themeColor="text1"/>
          <w:sz w:val="22"/>
          <w:szCs w:val="22"/>
        </w:rPr>
        <w:t>“</w:t>
      </w:r>
      <w:r w:rsidR="00496117" w:rsidRPr="00F11975">
        <w:rPr>
          <w:rFonts w:ascii="Palatino Linotype" w:hAnsi="Palatino Linotype"/>
          <w:i/>
          <w:iCs/>
          <w:color w:val="000000" w:themeColor="text1"/>
          <w:sz w:val="22"/>
          <w:szCs w:val="22"/>
        </w:rPr>
        <w:t xml:space="preserve">Solicito se remita la solicitud a todas las áreas competentes al interior del sujeto obligado, en particular a: Dirección General de Seguridad Ciudadana y Tránsito Municipal </w:t>
      </w:r>
    </w:p>
    <w:p w14:paraId="17606213"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p>
    <w:p w14:paraId="61EBCDC0"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Fundamento mi solicitud en la funciones y atribuciones del sujeto obligado así como las particulares de las áreas señaladas: </w:t>
      </w:r>
    </w:p>
    <w:p w14:paraId="14D18E14"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Manual de Organización de la Dirección General de Seguridad Ciudadana y Tránsito Municipal </w:t>
      </w:r>
    </w:p>
    <w:p w14:paraId="46B29B28"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Articulo 17.49.- La Dirección Operativa, a través de su titular tendrá a su cargo las siguientes facultades y obligaciones: </w:t>
      </w:r>
    </w:p>
    <w:p w14:paraId="43321C37"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VIII. Vigilar que se lleve a cabo el registro de los datos sobre los incidentes y detenciones que realice, en el Informe Policial Homologado. </w:t>
      </w:r>
    </w:p>
    <w:p w14:paraId="37D665E0"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Articulo 17.51.- La Subdirección de Seguridad Ciudadana a través de su titular tendrá a su cargo el ejercicio de las atribuciones siguientes: </w:t>
      </w:r>
    </w:p>
    <w:p w14:paraId="5A21B6FF"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III. Elaborar estudios geo delincuenciales, para detección de zonas de probable alteración y puntos de índice latente de delincuencia; </w:t>
      </w:r>
    </w:p>
    <w:p w14:paraId="039407FA"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Subdirección de inteligencia.</w:t>
      </w:r>
    </w:p>
    <w:p w14:paraId="41D4E08E"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 - Proveer información para la Base de Datos de lnformación Criminal Plataforma Mexico. </w:t>
      </w:r>
    </w:p>
    <w:p w14:paraId="0096C827"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 Establecer mecanismos para la recopilación, clasificación y análisis de la información obtenida. </w:t>
      </w:r>
    </w:p>
    <w:p w14:paraId="32C584A6"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 xml:space="preserve">- Elaborar estadísticas de la problemática de seguridad en el municipio. </w:t>
      </w:r>
    </w:p>
    <w:p w14:paraId="3B1E37DF" w14:textId="77777777" w:rsidR="00496117" w:rsidRPr="00F11975" w:rsidRDefault="00496117" w:rsidP="00C26989">
      <w:pPr>
        <w:pStyle w:val="Prrafodelista"/>
        <w:spacing w:line="276" w:lineRule="auto"/>
        <w:ind w:left="567" w:right="567"/>
        <w:jc w:val="both"/>
        <w:rPr>
          <w:rFonts w:ascii="Palatino Linotype" w:hAnsi="Palatino Linotype"/>
          <w:i/>
          <w:iCs/>
          <w:color w:val="000000" w:themeColor="text1"/>
          <w:sz w:val="22"/>
          <w:szCs w:val="22"/>
        </w:rPr>
      </w:pPr>
    </w:p>
    <w:p w14:paraId="3413453F" w14:textId="5E7EA21E" w:rsidR="00C26989" w:rsidRPr="00F11975" w:rsidRDefault="00496117" w:rsidP="00C26989">
      <w:pPr>
        <w:pStyle w:val="Prrafodelista"/>
        <w:spacing w:line="276" w:lineRule="auto"/>
        <w:ind w:left="567" w:right="567"/>
        <w:jc w:val="both"/>
        <w:rPr>
          <w:rFonts w:ascii="Palatino Linotype" w:hAnsi="Palatino Linotype"/>
          <w:color w:val="000000" w:themeColor="text1"/>
          <w:sz w:val="22"/>
          <w:szCs w:val="22"/>
        </w:rPr>
      </w:pPr>
      <w:r w:rsidRPr="00F11975">
        <w:rPr>
          <w:rFonts w:ascii="Palatino Linotype" w:hAnsi="Palatino Linotype"/>
          <w:i/>
          <w:iCs/>
          <w:color w:val="000000" w:themeColor="text1"/>
          <w:sz w:val="22"/>
          <w:szCs w:val="22"/>
        </w:rPr>
        <w:t>Acuerdo por el que se emiten los Lineamientos para el llenado, entrega, recepción, registro, resguardo y consulta del Informe Policial Homologado. Publicado el 20/02/2020.</w:t>
      </w:r>
      <w:r w:rsidR="00C26989" w:rsidRPr="00F11975">
        <w:rPr>
          <w:rFonts w:ascii="Palatino Linotype" w:hAnsi="Palatino Linotype"/>
          <w:i/>
          <w:color w:val="000000" w:themeColor="text1"/>
          <w:sz w:val="22"/>
          <w:szCs w:val="22"/>
        </w:rPr>
        <w:t xml:space="preserve">” </w:t>
      </w:r>
      <w:r w:rsidR="00C26989" w:rsidRPr="00F11975">
        <w:rPr>
          <w:rFonts w:ascii="Palatino Linotype" w:hAnsi="Palatino Linotype"/>
          <w:color w:val="000000" w:themeColor="text1"/>
          <w:sz w:val="22"/>
          <w:szCs w:val="22"/>
        </w:rPr>
        <w:t>(Sic)</w:t>
      </w:r>
    </w:p>
    <w:p w14:paraId="65A03C8D" w14:textId="77777777" w:rsidR="005F1362" w:rsidRPr="00F11975" w:rsidRDefault="005F1362" w:rsidP="00B31E90">
      <w:pPr>
        <w:spacing w:line="360" w:lineRule="auto"/>
        <w:ind w:right="333"/>
        <w:jc w:val="both"/>
        <w:rPr>
          <w:rFonts w:ascii="Palatino Linotype" w:hAnsi="Palatino Linotype"/>
          <w:color w:val="000000" w:themeColor="text1"/>
        </w:rPr>
      </w:pPr>
    </w:p>
    <w:p w14:paraId="49C21E77" w14:textId="49AE6B70" w:rsidR="0039142B" w:rsidRPr="00F11975"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11975">
        <w:rPr>
          <w:rFonts w:ascii="Palatino Linotype" w:hAnsi="Palatino Linotype" w:cs="Arial"/>
          <w:color w:val="000000" w:themeColor="text1"/>
        </w:rPr>
        <w:t xml:space="preserve">Se hace constar que </w:t>
      </w:r>
      <w:r w:rsidR="00742B6A" w:rsidRPr="00F11975">
        <w:rPr>
          <w:rFonts w:ascii="Palatino Linotype" w:eastAsia="Times New Roman" w:hAnsi="Palatino Linotype" w:cs="Arial"/>
          <w:color w:val="000000" w:themeColor="text1"/>
          <w:lang w:val="es-ES"/>
        </w:rPr>
        <w:t>el</w:t>
      </w:r>
      <w:r w:rsidR="00025127" w:rsidRPr="00F11975">
        <w:rPr>
          <w:rFonts w:ascii="Palatino Linotype" w:eastAsia="Times New Roman" w:hAnsi="Palatino Linotype" w:cs="Arial"/>
          <w:color w:val="000000" w:themeColor="text1"/>
          <w:lang w:val="es-ES"/>
        </w:rPr>
        <w:t xml:space="preserve"> entonces</w:t>
      </w:r>
      <w:r w:rsidR="00FD7996" w:rsidRPr="00F11975">
        <w:rPr>
          <w:rFonts w:ascii="Palatino Linotype" w:eastAsia="Times New Roman" w:hAnsi="Palatino Linotype" w:cs="Arial"/>
          <w:color w:val="000000" w:themeColor="text1"/>
          <w:lang w:val="es-ES"/>
        </w:rPr>
        <w:t xml:space="preserve"> </w:t>
      </w:r>
      <w:r w:rsidR="00FD7996" w:rsidRPr="00F11975">
        <w:rPr>
          <w:rFonts w:ascii="Palatino Linotype" w:eastAsia="Times New Roman" w:hAnsi="Palatino Linotype" w:cs="Arial"/>
          <w:b/>
          <w:color w:val="000000" w:themeColor="text1"/>
          <w:lang w:val="es-ES"/>
        </w:rPr>
        <w:t>SOLICITANTE</w:t>
      </w:r>
      <w:r w:rsidRPr="00F11975">
        <w:rPr>
          <w:rFonts w:ascii="Palatino Linotype" w:eastAsia="Times New Roman" w:hAnsi="Palatino Linotype" w:cs="Arial"/>
          <w:color w:val="000000" w:themeColor="text1"/>
          <w:lang w:val="es-ES"/>
        </w:rPr>
        <w:t xml:space="preserve"> señaló como modalidad de entrega de la información</w:t>
      </w:r>
      <w:r w:rsidRPr="00F11975">
        <w:rPr>
          <w:rFonts w:ascii="Palatino Linotype" w:eastAsia="Times New Roman" w:hAnsi="Palatino Linotype" w:cs="Arial"/>
          <w:bCs/>
          <w:color w:val="000000" w:themeColor="text1"/>
          <w:lang w:val="es-ES"/>
        </w:rPr>
        <w:t>:</w:t>
      </w:r>
      <w:r w:rsidR="001E4152" w:rsidRPr="00F11975">
        <w:rPr>
          <w:rFonts w:ascii="Palatino Linotype" w:eastAsia="Times New Roman" w:hAnsi="Palatino Linotype" w:cs="Arial"/>
          <w:b/>
          <w:color w:val="000000" w:themeColor="text1"/>
          <w:lang w:val="es-ES"/>
        </w:rPr>
        <w:t xml:space="preserve"> </w:t>
      </w:r>
      <w:r w:rsidR="001E4152" w:rsidRPr="00F11975">
        <w:rPr>
          <w:rFonts w:ascii="Palatino Linotype" w:eastAsia="Times New Roman" w:hAnsi="Palatino Linotype" w:cs="Arial"/>
          <w:b/>
          <w:i/>
          <w:iCs/>
          <w:color w:val="000000" w:themeColor="text1"/>
          <w:lang w:val="es-ES"/>
        </w:rPr>
        <w:t>A través del SAIMEX</w:t>
      </w:r>
      <w:r w:rsidR="00496117" w:rsidRPr="00F11975">
        <w:rPr>
          <w:rFonts w:ascii="Palatino Linotype" w:eastAsia="Times New Roman" w:hAnsi="Palatino Linotype" w:cs="Arial"/>
          <w:b/>
          <w:i/>
          <w:iCs/>
          <w:color w:val="000000" w:themeColor="text1"/>
          <w:lang w:val="es-ES"/>
        </w:rPr>
        <w:t xml:space="preserve">, correo electrónico y, cualquier otro </w:t>
      </w:r>
      <w:r w:rsidR="00496117" w:rsidRPr="00F11975">
        <w:rPr>
          <w:rFonts w:ascii="Palatino Linotype" w:eastAsia="Times New Roman" w:hAnsi="Palatino Linotype" w:cs="Arial"/>
          <w:b/>
          <w:i/>
          <w:iCs/>
          <w:color w:val="000000" w:themeColor="text1"/>
          <w:lang w:val="es-ES"/>
        </w:rPr>
        <w:lastRenderedPageBreak/>
        <w:t xml:space="preserve">medio, </w:t>
      </w:r>
      <w:r w:rsidR="00496117" w:rsidRPr="00F11975">
        <w:rPr>
          <w:rFonts w:ascii="Palatino Linotype" w:eastAsia="Calibri" w:hAnsi="Palatino Linotype" w:cs="Arial"/>
          <w:b/>
          <w:i/>
          <w:color w:val="000000" w:themeColor="text1"/>
          <w:lang w:val="es-ES"/>
        </w:rPr>
        <w:t>incluidos los electrónicos, tales como medio magnético (disco compacto, dispositivo de memoria extraíble tipo USB o, tarjeta de memoria).</w:t>
      </w:r>
    </w:p>
    <w:p w14:paraId="4C72ED84" w14:textId="3359DE76" w:rsidR="00DB7106" w:rsidRPr="00F11975" w:rsidRDefault="00DB7106" w:rsidP="00496117">
      <w:pPr>
        <w:pStyle w:val="Prrafodelista"/>
        <w:tabs>
          <w:tab w:val="left" w:pos="284"/>
          <w:tab w:val="left" w:pos="426"/>
        </w:tabs>
        <w:spacing w:line="360" w:lineRule="auto"/>
        <w:ind w:left="0"/>
        <w:jc w:val="both"/>
        <w:rPr>
          <w:rFonts w:ascii="Palatino Linotype" w:hAnsi="Palatino Linotype"/>
          <w:color w:val="000000" w:themeColor="text1"/>
          <w:szCs w:val="22"/>
        </w:rPr>
      </w:pPr>
    </w:p>
    <w:p w14:paraId="0B578F9A" w14:textId="77A33D48" w:rsidR="0098037B" w:rsidRPr="00F11975" w:rsidRDefault="00DB710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F11975">
        <w:rPr>
          <w:rFonts w:ascii="Palatino Linotype" w:hAnsi="Palatino Linotype"/>
          <w:color w:val="000000" w:themeColor="text1"/>
          <w:szCs w:val="22"/>
        </w:rPr>
        <w:t>E</w:t>
      </w:r>
      <w:r w:rsidR="007C7306" w:rsidRPr="00F11975">
        <w:rPr>
          <w:rFonts w:ascii="Palatino Linotype" w:hAnsi="Palatino Linotype"/>
          <w:color w:val="000000" w:themeColor="text1"/>
          <w:szCs w:val="22"/>
        </w:rPr>
        <w:t>l</w:t>
      </w:r>
      <w:r w:rsidR="0098037B" w:rsidRPr="00F11975">
        <w:rPr>
          <w:rFonts w:ascii="Palatino Linotype" w:hAnsi="Palatino Linotype"/>
          <w:color w:val="000000" w:themeColor="text1"/>
          <w:szCs w:val="22"/>
        </w:rPr>
        <w:t xml:space="preserve"> </w:t>
      </w:r>
      <w:r w:rsidR="0098037B" w:rsidRPr="00F11975">
        <w:rPr>
          <w:rFonts w:ascii="Palatino Linotype" w:hAnsi="Palatino Linotype"/>
          <w:b/>
          <w:color w:val="000000" w:themeColor="text1"/>
          <w:szCs w:val="22"/>
        </w:rPr>
        <w:t>SUJETO OBLIGADO</w:t>
      </w:r>
      <w:r w:rsidR="0098037B" w:rsidRPr="00F11975">
        <w:rPr>
          <w:rFonts w:ascii="Palatino Linotype" w:hAnsi="Palatino Linotype"/>
          <w:color w:val="000000" w:themeColor="text1"/>
          <w:szCs w:val="22"/>
        </w:rPr>
        <w:t xml:space="preserve"> </w:t>
      </w:r>
      <w:r w:rsidR="007C7306" w:rsidRPr="00F11975">
        <w:rPr>
          <w:rFonts w:ascii="Palatino Linotype" w:hAnsi="Palatino Linotype"/>
          <w:color w:val="000000" w:themeColor="text1"/>
          <w:szCs w:val="22"/>
        </w:rPr>
        <w:t>no respondió a la solicitud de información.</w:t>
      </w:r>
    </w:p>
    <w:p w14:paraId="392CADD6" w14:textId="77777777" w:rsidR="0098037B" w:rsidRPr="00F11975" w:rsidRDefault="0098037B" w:rsidP="0098037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79537256" w:rsidR="000D5A1D" w:rsidRPr="00F11975" w:rsidRDefault="00053E92"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F11975">
        <w:rPr>
          <w:rFonts w:ascii="Palatino Linotype" w:eastAsia="Times New Roman" w:hAnsi="Palatino Linotype" w:cs="Arial"/>
          <w:color w:val="000000" w:themeColor="text1"/>
          <w:lang w:val="es-ES"/>
        </w:rPr>
        <w:t>El</w:t>
      </w:r>
      <w:r w:rsidR="00DB4BEF" w:rsidRPr="00F11975">
        <w:rPr>
          <w:rFonts w:ascii="Palatino Linotype" w:eastAsia="Times New Roman" w:hAnsi="Palatino Linotype" w:cs="Arial"/>
          <w:color w:val="000000" w:themeColor="text1"/>
          <w:lang w:val="es-ES"/>
        </w:rPr>
        <w:t xml:space="preserve"> </w:t>
      </w:r>
      <w:r w:rsidRPr="00F11975">
        <w:rPr>
          <w:rFonts w:ascii="Palatino Linotype" w:eastAsia="Times New Roman" w:hAnsi="Palatino Linotype" w:cs="Arial"/>
          <w:color w:val="000000" w:themeColor="text1"/>
          <w:lang w:val="es-ES"/>
        </w:rPr>
        <w:t>veintidós (22</w:t>
      </w:r>
      <w:r w:rsidR="00CD0A99" w:rsidRPr="00F11975">
        <w:rPr>
          <w:rFonts w:ascii="Palatino Linotype" w:eastAsia="Times New Roman" w:hAnsi="Palatino Linotype" w:cs="Arial"/>
          <w:color w:val="000000" w:themeColor="text1"/>
          <w:lang w:val="es-ES"/>
        </w:rPr>
        <w:t xml:space="preserve">) de febrero de dos mil </w:t>
      </w:r>
      <w:r w:rsidR="00F72E61" w:rsidRPr="00F11975">
        <w:rPr>
          <w:rFonts w:ascii="Palatino Linotype" w:eastAsia="Times New Roman" w:hAnsi="Palatino Linotype" w:cs="Arial"/>
          <w:color w:val="000000" w:themeColor="text1"/>
          <w:lang w:val="es-ES"/>
        </w:rPr>
        <w:t>veintidós</w:t>
      </w:r>
      <w:r w:rsidR="00FE49E3" w:rsidRPr="00F11975">
        <w:rPr>
          <w:rFonts w:ascii="Palatino Linotype" w:eastAsia="Times New Roman" w:hAnsi="Palatino Linotype" w:cs="Arial"/>
          <w:color w:val="000000" w:themeColor="text1"/>
          <w:lang w:val="es-ES"/>
        </w:rPr>
        <w:t>,</w:t>
      </w:r>
      <w:r w:rsidRPr="00F11975">
        <w:rPr>
          <w:rFonts w:ascii="Palatino Linotype" w:eastAsia="Times New Roman" w:hAnsi="Palatino Linotype" w:cs="Arial"/>
          <w:color w:val="000000" w:themeColor="text1"/>
          <w:lang w:val="es-ES"/>
        </w:rPr>
        <w:t xml:space="preserve"> el </w:t>
      </w:r>
      <w:r w:rsidRPr="00F11975">
        <w:rPr>
          <w:rFonts w:ascii="Palatino Linotype" w:eastAsia="Times New Roman" w:hAnsi="Palatino Linotype" w:cs="Arial"/>
          <w:b/>
          <w:bCs/>
          <w:color w:val="000000" w:themeColor="text1"/>
          <w:lang w:val="es-ES"/>
        </w:rPr>
        <w:t>RECURRENTE</w:t>
      </w:r>
      <w:r w:rsidRPr="00F11975">
        <w:rPr>
          <w:rFonts w:ascii="Palatino Linotype" w:eastAsia="Times New Roman" w:hAnsi="Palatino Linotype" w:cs="Arial"/>
          <w:color w:val="000000" w:themeColor="text1"/>
          <w:lang w:val="es-ES"/>
        </w:rPr>
        <w:t xml:space="preserve"> impugnó la falta de respuesta del Ayuntamiento de Naucalpan de Juárez, mediante un correo electrónico remitido a este Organismo Garante, y dentro del cual adjuntó el documento titulado </w:t>
      </w:r>
      <w:r w:rsidRPr="00F11975">
        <w:rPr>
          <w:rFonts w:ascii="Palatino Linotype" w:eastAsia="Times New Roman" w:hAnsi="Palatino Linotype" w:cs="Arial"/>
          <w:b/>
          <w:bCs/>
          <w:i/>
          <w:iCs/>
          <w:color w:val="000000" w:themeColor="text1"/>
          <w:lang w:val="es-ES"/>
        </w:rPr>
        <w:t>“Recurso de Revisión.pdf”</w:t>
      </w:r>
      <w:r w:rsidRPr="00F11975">
        <w:rPr>
          <w:rFonts w:ascii="Palatino Linotype" w:eastAsia="Times New Roman" w:hAnsi="Palatino Linotype" w:cs="Arial"/>
          <w:color w:val="000000" w:themeColor="text1"/>
          <w:lang w:val="es-ES"/>
        </w:rPr>
        <w:t xml:space="preserve"> cuyo contenido se transcribe a continuación:</w:t>
      </w:r>
    </w:p>
    <w:p w14:paraId="4D16C3B0" w14:textId="42522127" w:rsidR="00E34622" w:rsidRPr="00F11975" w:rsidRDefault="00E34622" w:rsidP="00053E92">
      <w:pPr>
        <w:tabs>
          <w:tab w:val="left" w:pos="426"/>
        </w:tabs>
        <w:spacing w:line="360" w:lineRule="auto"/>
        <w:jc w:val="both"/>
        <w:rPr>
          <w:rFonts w:ascii="Palatino Linotype" w:hAnsi="Palatino Linotype"/>
          <w:color w:val="000000" w:themeColor="text1"/>
          <w:szCs w:val="22"/>
        </w:rPr>
      </w:pPr>
    </w:p>
    <w:p w14:paraId="27999BB5" w14:textId="77777777" w:rsidR="000E5233" w:rsidRPr="00F11975" w:rsidRDefault="00053E92" w:rsidP="000E5233">
      <w:pPr>
        <w:tabs>
          <w:tab w:val="left" w:pos="426"/>
        </w:tabs>
        <w:spacing w:line="276" w:lineRule="auto"/>
        <w:ind w:left="567"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w:t>
      </w:r>
      <w:r w:rsidR="000E5233" w:rsidRPr="00F11975">
        <w:rPr>
          <w:rFonts w:ascii="Palatino Linotype" w:hAnsi="Palatino Linotype"/>
          <w:i/>
          <w:iCs/>
          <w:color w:val="000000" w:themeColor="text1"/>
          <w:sz w:val="22"/>
          <w:szCs w:val="20"/>
        </w:rPr>
        <w:t>Recurso de Revisión</w:t>
      </w:r>
    </w:p>
    <w:p w14:paraId="4AF72A06"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I. El sujeto obligado ante la cual se presentó la solicitud;</w:t>
      </w:r>
    </w:p>
    <w:p w14:paraId="0713F5A9"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Ayuntamiento Constitucional de Naucalpan de Juárez</w:t>
      </w:r>
    </w:p>
    <w:p w14:paraId="23C400D4"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p>
    <w:p w14:paraId="316093D7"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II. El nombre del solicitante que recurre o de su representante y, en su caso, del</w:t>
      </w:r>
    </w:p>
    <w:p w14:paraId="61147C3D"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tercero interesado, así como la dirección o medio que señale para recibir</w:t>
      </w:r>
    </w:p>
    <w:p w14:paraId="69EF27E5"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notificaciones;</w:t>
      </w:r>
    </w:p>
    <w:p w14:paraId="16DA6013" w14:textId="58B661EB"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xml:space="preserve">• </w:t>
      </w:r>
      <w:r w:rsidR="00F11975" w:rsidRPr="00F11975">
        <w:rPr>
          <w:rFonts w:ascii="Palatino Linotype" w:hAnsi="Palatino Linotype"/>
          <w:i/>
          <w:iCs/>
          <w:color w:val="000000" w:themeColor="text1"/>
          <w:sz w:val="22"/>
          <w:szCs w:val="20"/>
        </w:rPr>
        <w:t>XXX XXXX XXX</w:t>
      </w:r>
      <w:r w:rsidRPr="00F11975">
        <w:rPr>
          <w:rFonts w:ascii="Palatino Linotype" w:hAnsi="Palatino Linotype"/>
          <w:i/>
          <w:iCs/>
          <w:color w:val="000000" w:themeColor="text1"/>
          <w:sz w:val="22"/>
          <w:szCs w:val="20"/>
        </w:rPr>
        <w:t>.</w:t>
      </w:r>
    </w:p>
    <w:p w14:paraId="52A4713F" w14:textId="46AFA552"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xml:space="preserve">• </w:t>
      </w:r>
      <w:r w:rsidR="00F11975" w:rsidRPr="00F11975">
        <w:rPr>
          <w:rFonts w:ascii="Palatino Linotype" w:hAnsi="Palatino Linotype"/>
          <w:i/>
          <w:iCs/>
          <w:color w:val="000000" w:themeColor="text1"/>
          <w:sz w:val="22"/>
          <w:szCs w:val="20"/>
        </w:rPr>
        <w:t>XXXXXXXXXXXX</w:t>
      </w:r>
    </w:p>
    <w:p w14:paraId="09996E82"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p>
    <w:p w14:paraId="5E3124ED"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III. El número de folio de respuesta de la solicitud de acceso;</w:t>
      </w:r>
    </w:p>
    <w:p w14:paraId="1E627EAD"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No aplica, debido a que no respondieron la solicitud</w:t>
      </w:r>
    </w:p>
    <w:p w14:paraId="43A27FE0"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p>
    <w:p w14:paraId="4C1083B9"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IV. La fecha en que fue notificada la respuesta al solicitante o tuvo conocimiento del</w:t>
      </w:r>
    </w:p>
    <w:p w14:paraId="309A37C2"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acto reclamado, o de presentación de la solicitud, en caso de falta de respuesta;</w:t>
      </w:r>
    </w:p>
    <w:p w14:paraId="2759E85E"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xml:space="preserve">• La solicitud se presentó el </w:t>
      </w:r>
      <w:r w:rsidRPr="00F11975">
        <w:rPr>
          <w:rFonts w:ascii="Palatino Linotype" w:hAnsi="Palatino Linotype"/>
          <w:b/>
          <w:bCs/>
          <w:i/>
          <w:iCs/>
          <w:color w:val="000000" w:themeColor="text1"/>
          <w:sz w:val="22"/>
          <w:szCs w:val="20"/>
        </w:rPr>
        <w:t>22/12/2021</w:t>
      </w:r>
    </w:p>
    <w:p w14:paraId="3F341E4A"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p>
    <w:p w14:paraId="4D7AC2F1"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V. El acto que se recurre;</w:t>
      </w:r>
    </w:p>
    <w:p w14:paraId="79956B05"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Falta de respuesta a la solicitud de acceso a la información con el folio</w:t>
      </w:r>
    </w:p>
    <w:p w14:paraId="743785FD"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lastRenderedPageBreak/>
        <w:t>0000416660</w:t>
      </w:r>
    </w:p>
    <w:p w14:paraId="111C3FC3"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p>
    <w:p w14:paraId="03C6D145"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VI. Las razones o motivos de inconformidad;</w:t>
      </w:r>
    </w:p>
    <w:p w14:paraId="7D56E4BB"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El presente Recurso de Revisión, sustenta su procedencia en el artículo 143,</w:t>
      </w:r>
    </w:p>
    <w:p w14:paraId="0991E1A2"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fracción VI. de la Ley General de Transparencia y Acceso a la Información y en el</w:t>
      </w:r>
    </w:p>
    <w:p w14:paraId="3C89B588"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artículo 179, fracción VII de la LEY DE TRANSPARENCIA Y ACCESO A LA</w:t>
      </w:r>
    </w:p>
    <w:p w14:paraId="1EEC2BBE" w14:textId="64187F4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INFORMACIÓN PÚBLICA DEL ESTADO DE MÉXICO Y MUNICIPIOS, debido a que la Solicitud de Acceso a la Información, presentada el 12/22/2021 y registrada en la Plataforma Nacional de Transparencia con el folio 0000416660, no fue respondida por el Sujeto Obligado, Naucalpan de Juárez, antes del 01/31/2022, plazo que corresponde a lo establecido por la legislación aplicable. Es por lo anterior que, de la manera más atenta, solicitamos su respuesta a la solicitud</w:t>
      </w:r>
    </w:p>
    <w:p w14:paraId="6556ED24"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antes mencionada.</w:t>
      </w:r>
    </w:p>
    <w:p w14:paraId="52D4651B"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p>
    <w:p w14:paraId="39378D48"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VII. La copia de la respuesta que se impugna y, en su caso, de la notificación</w:t>
      </w:r>
    </w:p>
    <w:p w14:paraId="2333E025"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correspondiente, en el caso de respuesta de la solicitud; y</w:t>
      </w:r>
    </w:p>
    <w:p w14:paraId="182AAEE1" w14:textId="77777777" w:rsidR="000E5233" w:rsidRPr="00F11975" w:rsidRDefault="000E5233" w:rsidP="000E5233">
      <w:pPr>
        <w:tabs>
          <w:tab w:val="left" w:pos="426"/>
        </w:tabs>
        <w:spacing w:line="276" w:lineRule="auto"/>
        <w:ind w:left="1134"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 No aplica, debido a que no respondieron la solicitud</w:t>
      </w:r>
    </w:p>
    <w:p w14:paraId="3883B37F"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p>
    <w:p w14:paraId="2F89ED19"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VIII. Firma del recurrente, en su caso, cuando se presente por escrito, requisito sin el</w:t>
      </w:r>
    </w:p>
    <w:p w14:paraId="5959A961" w14:textId="77777777" w:rsidR="000E5233" w:rsidRPr="00F11975" w:rsidRDefault="000E5233" w:rsidP="000E5233">
      <w:pPr>
        <w:tabs>
          <w:tab w:val="left" w:pos="426"/>
        </w:tabs>
        <w:spacing w:line="276" w:lineRule="auto"/>
        <w:ind w:left="851" w:right="567"/>
        <w:jc w:val="both"/>
        <w:rPr>
          <w:rFonts w:ascii="Palatino Linotype" w:hAnsi="Palatino Linotype"/>
          <w:i/>
          <w:iCs/>
          <w:color w:val="000000" w:themeColor="text1"/>
          <w:sz w:val="22"/>
          <w:szCs w:val="20"/>
        </w:rPr>
      </w:pPr>
      <w:r w:rsidRPr="00F11975">
        <w:rPr>
          <w:rFonts w:ascii="Palatino Linotype" w:hAnsi="Palatino Linotype"/>
          <w:i/>
          <w:iCs/>
          <w:color w:val="000000" w:themeColor="text1"/>
          <w:sz w:val="22"/>
          <w:szCs w:val="20"/>
        </w:rPr>
        <w:t>cual se dará trámite al recurso.</w:t>
      </w:r>
    </w:p>
    <w:p w14:paraId="63CE9BC0" w14:textId="24C9DFC7" w:rsidR="00053E92" w:rsidRPr="00F11975" w:rsidRDefault="000E5233" w:rsidP="000E5233">
      <w:pPr>
        <w:tabs>
          <w:tab w:val="left" w:pos="426"/>
        </w:tabs>
        <w:spacing w:line="276" w:lineRule="auto"/>
        <w:ind w:left="1134" w:right="567"/>
        <w:jc w:val="both"/>
        <w:rPr>
          <w:rFonts w:ascii="Palatino Linotype" w:hAnsi="Palatino Linotype"/>
          <w:color w:val="000000" w:themeColor="text1"/>
          <w:sz w:val="22"/>
          <w:szCs w:val="20"/>
        </w:rPr>
      </w:pPr>
      <w:r w:rsidRPr="00F11975">
        <w:rPr>
          <w:rFonts w:ascii="Palatino Linotype" w:hAnsi="Palatino Linotype"/>
          <w:i/>
          <w:iCs/>
          <w:color w:val="000000" w:themeColor="text1"/>
          <w:sz w:val="22"/>
          <w:szCs w:val="20"/>
        </w:rPr>
        <w:t>• No aplica, pues se presentó de manera electrónica”</w:t>
      </w:r>
      <w:r w:rsidRPr="00F11975">
        <w:rPr>
          <w:rFonts w:ascii="Palatino Linotype" w:hAnsi="Palatino Linotype"/>
          <w:color w:val="000000" w:themeColor="text1"/>
          <w:sz w:val="22"/>
          <w:szCs w:val="20"/>
        </w:rPr>
        <w:t xml:space="preserve"> (Sic)</w:t>
      </w:r>
    </w:p>
    <w:p w14:paraId="321E218B" w14:textId="77777777" w:rsidR="00053E92" w:rsidRPr="00F11975" w:rsidRDefault="00053E92" w:rsidP="00053E92">
      <w:pPr>
        <w:tabs>
          <w:tab w:val="left" w:pos="426"/>
        </w:tabs>
        <w:spacing w:line="360" w:lineRule="auto"/>
        <w:jc w:val="both"/>
        <w:rPr>
          <w:rFonts w:ascii="Palatino Linotype" w:hAnsi="Palatino Linotype"/>
          <w:color w:val="000000" w:themeColor="text1"/>
          <w:szCs w:val="22"/>
        </w:rPr>
      </w:pPr>
    </w:p>
    <w:p w14:paraId="203F46CD" w14:textId="1C1D9398" w:rsidR="00834FED" w:rsidRPr="00F11975" w:rsidRDefault="00C41F94" w:rsidP="000E523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11975">
        <w:rPr>
          <w:rFonts w:ascii="Palatino Linotype" w:eastAsia="Times New Roman" w:hAnsi="Palatino Linotype" w:cs="Arial"/>
          <w:color w:val="000000" w:themeColor="text1"/>
          <w:lang w:val="es-ES"/>
        </w:rPr>
        <w:t xml:space="preserve">Mediante </w:t>
      </w:r>
      <w:r w:rsidRPr="00F11975">
        <w:rPr>
          <w:rFonts w:ascii="Palatino Linotype" w:eastAsia="Calibri" w:hAnsi="Palatino Linotype" w:cs="Arial"/>
          <w:color w:val="000000" w:themeColor="text1"/>
          <w:lang w:val="es-ES"/>
        </w:rPr>
        <w:t>acuerdo de veintitrés (23) de febrero de dos mil veintidós, el Comisionado Presidente del Instituto de Transparencia, Acceso a la Información Pública y Protección de Datos Personales del Estado de México y Municipios acordó integrar el expediente</w:t>
      </w:r>
      <w:r w:rsidRPr="00F11975">
        <w:rPr>
          <w:rFonts w:ascii="Palatino Linotype" w:eastAsia="Times New Roman" w:hAnsi="Palatino Linotype" w:cs="Arial"/>
          <w:color w:val="000000" w:themeColor="text1"/>
          <w:lang w:val="es-ES"/>
        </w:rPr>
        <w:t xml:space="preserve"> del recurso de revisión escrito, presentado vía correo electrónico, bajo el número </w:t>
      </w:r>
      <w:r w:rsidRPr="00F11975">
        <w:rPr>
          <w:rFonts w:ascii="Palatino Linotype" w:hAnsi="Palatino Linotype" w:cs="Arial"/>
          <w:bCs/>
          <w:color w:val="000000" w:themeColor="text1"/>
        </w:rPr>
        <w:t xml:space="preserve">al rubro indicado; asimismo, con fundamento en lo dispuesto por el </w:t>
      </w:r>
      <w:r w:rsidRPr="00F11975">
        <w:rPr>
          <w:rFonts w:ascii="Palatino Linotype" w:eastAsia="Calibri" w:hAnsi="Palatino Linotype" w:cs="Arial"/>
          <w:color w:val="000000" w:themeColor="text1"/>
          <w:lang w:val="es-ES"/>
        </w:rPr>
        <w:t xml:space="preserve">artículo 185 fracción I de la </w:t>
      </w:r>
      <w:r w:rsidRPr="00F11975">
        <w:rPr>
          <w:rFonts w:ascii="Palatino Linotype" w:eastAsia="Calibri" w:hAnsi="Palatino Linotype" w:cs="Arial"/>
          <w:b/>
          <w:color w:val="000000" w:themeColor="text1"/>
          <w:lang w:val="es-ES"/>
        </w:rPr>
        <w:t xml:space="preserve">Ley de Transparencia y Acceso a la Información Pública del Estado de México y Municipios </w:t>
      </w:r>
      <w:r w:rsidRPr="00F11975">
        <w:rPr>
          <w:rFonts w:ascii="Palatino Linotype" w:eastAsia="Times New Roman" w:hAnsi="Palatino Linotype" w:cs="Arial"/>
          <w:color w:val="000000" w:themeColor="text1"/>
          <w:lang w:val="es-ES"/>
        </w:rPr>
        <w:t xml:space="preserve">se turnó a la </w:t>
      </w:r>
      <w:r w:rsidRPr="00F11975">
        <w:rPr>
          <w:rFonts w:ascii="Palatino Linotype" w:eastAsia="Times New Roman" w:hAnsi="Palatino Linotype" w:cs="Arial"/>
          <w:b/>
          <w:bCs/>
          <w:color w:val="000000" w:themeColor="text1"/>
          <w:lang w:val="es-ES"/>
        </w:rPr>
        <w:t>Comisionada María del Rosario Mejía Ayala</w:t>
      </w:r>
      <w:r w:rsidRPr="00F11975">
        <w:rPr>
          <w:rFonts w:ascii="Palatino Linotype" w:eastAsia="Times New Roman" w:hAnsi="Palatino Linotype" w:cs="Arial"/>
          <w:b/>
          <w:color w:val="000000" w:themeColor="text1"/>
          <w:lang w:val="es-ES"/>
        </w:rPr>
        <w:t xml:space="preserve">, </w:t>
      </w:r>
      <w:r w:rsidRPr="00F11975">
        <w:rPr>
          <w:rFonts w:ascii="Palatino Linotype" w:eastAsia="Times New Roman" w:hAnsi="Palatino Linotype" w:cs="Arial"/>
          <w:color w:val="000000" w:themeColor="text1"/>
          <w:lang w:val="es-ES"/>
        </w:rPr>
        <w:t xml:space="preserve">con el objeto de </w:t>
      </w:r>
      <w:r w:rsidRPr="00F11975">
        <w:rPr>
          <w:rFonts w:ascii="Palatino Linotype" w:eastAsia="Times New Roman" w:hAnsi="Palatino Linotype" w:cs="Arial"/>
          <w:color w:val="000000" w:themeColor="text1"/>
          <w:lang w:val="es-MX"/>
        </w:rPr>
        <w:t>su análisis.</w:t>
      </w:r>
    </w:p>
    <w:p w14:paraId="3ED4DD11" w14:textId="77777777" w:rsidR="00834FED" w:rsidRPr="00F11975" w:rsidRDefault="00834FED" w:rsidP="00834FE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E52B1F4" w14:textId="403EA136" w:rsidR="000E5233" w:rsidRPr="00F11975" w:rsidRDefault="00C41F94" w:rsidP="000E523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11975">
        <w:rPr>
          <w:rFonts w:ascii="Palatino Linotype" w:eastAsia="Times New Roman" w:hAnsi="Palatino Linotype" w:cs="Arial"/>
          <w:color w:val="000000" w:themeColor="text1"/>
          <w:lang w:val="es-ES"/>
        </w:rPr>
        <w:lastRenderedPageBreak/>
        <w:t>Por otro lado</w:t>
      </w:r>
      <w:r w:rsidR="000E5233" w:rsidRPr="00F11975">
        <w:rPr>
          <w:rFonts w:ascii="Palatino Linotype" w:eastAsia="Times New Roman" w:hAnsi="Palatino Linotype" w:cs="Arial"/>
          <w:color w:val="000000" w:themeColor="text1"/>
          <w:lang w:val="es-ES"/>
        </w:rPr>
        <w:t xml:space="preserve">, el veinticinco (25) de febrero de dos mil veintidós, el particular impugnó nuevamente la falta de respuesta a la solicitud de información, esta vez vía SAIMEX, </w:t>
      </w:r>
      <w:r w:rsidR="00AB07A5" w:rsidRPr="00F11975">
        <w:rPr>
          <w:rFonts w:ascii="Palatino Linotype" w:eastAsia="Times New Roman" w:hAnsi="Palatino Linotype" w:cs="Arial"/>
          <w:color w:val="000000" w:themeColor="text1"/>
          <w:lang w:val="es-ES"/>
        </w:rPr>
        <w:t xml:space="preserve">mediante el recurso de revisión al que se le asignó el número </w:t>
      </w:r>
      <w:r w:rsidR="00AB07A5" w:rsidRPr="00F11975">
        <w:rPr>
          <w:rFonts w:ascii="Palatino Linotype" w:eastAsia="Times New Roman" w:hAnsi="Palatino Linotype" w:cs="Arial"/>
          <w:b/>
          <w:bCs/>
          <w:color w:val="000000" w:themeColor="text1"/>
          <w:lang w:val="es-ES"/>
        </w:rPr>
        <w:t>01895/INFOEM/IP/RR/2022</w:t>
      </w:r>
      <w:r w:rsidR="00AB07A5" w:rsidRPr="00F11975">
        <w:rPr>
          <w:rFonts w:ascii="Palatino Linotype" w:eastAsia="Times New Roman" w:hAnsi="Palatino Linotype" w:cs="Arial"/>
          <w:color w:val="000000" w:themeColor="text1"/>
          <w:lang w:val="es-ES"/>
        </w:rPr>
        <w:t>, donde señaló lo siguiente:</w:t>
      </w:r>
    </w:p>
    <w:p w14:paraId="5FC09309" w14:textId="62026D57" w:rsidR="000E5233" w:rsidRPr="00F11975" w:rsidRDefault="000E5233" w:rsidP="000E523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299360" w14:textId="4205B5B6" w:rsidR="00AB07A5" w:rsidRPr="00F11975" w:rsidRDefault="00AB07A5" w:rsidP="00AB07A5">
      <w:pPr>
        <w:pStyle w:val="Prrafodelista"/>
        <w:tabs>
          <w:tab w:val="left" w:pos="426"/>
        </w:tabs>
        <w:spacing w:line="276" w:lineRule="auto"/>
        <w:ind w:left="567" w:right="567"/>
        <w:jc w:val="both"/>
        <w:rPr>
          <w:rFonts w:ascii="Palatino Linotype" w:eastAsia="Calibri" w:hAnsi="Palatino Linotype" w:cs="Arial"/>
          <w:color w:val="000000" w:themeColor="text1"/>
          <w:sz w:val="22"/>
          <w:szCs w:val="22"/>
          <w:lang w:val="es-ES"/>
        </w:rPr>
      </w:pPr>
      <w:r w:rsidRPr="00F11975">
        <w:rPr>
          <w:rFonts w:ascii="Palatino Linotype" w:eastAsia="Calibri" w:hAnsi="Palatino Linotype" w:cs="Arial"/>
          <w:b/>
          <w:bCs/>
          <w:color w:val="000000" w:themeColor="text1"/>
          <w:sz w:val="22"/>
          <w:szCs w:val="22"/>
          <w:lang w:val="es-ES"/>
        </w:rPr>
        <w:t>Acto impugnado:</w:t>
      </w:r>
      <w:r w:rsidRPr="00F11975">
        <w:rPr>
          <w:rFonts w:ascii="Palatino Linotype" w:eastAsia="Calibri" w:hAnsi="Palatino Linotype" w:cs="Arial"/>
          <w:i/>
          <w:iCs/>
          <w:color w:val="000000" w:themeColor="text1"/>
          <w:sz w:val="22"/>
          <w:szCs w:val="22"/>
          <w:lang w:val="es-ES"/>
        </w:rPr>
        <w:t xml:space="preserve"> “</w:t>
      </w:r>
      <w:r w:rsidRPr="00F11975">
        <w:rPr>
          <w:rFonts w:ascii="Palatino Linotype" w:eastAsia="Calibri" w:hAnsi="Palatino Linotype" w:cs="Arial"/>
          <w:i/>
          <w:iCs/>
          <w:color w:val="000000" w:themeColor="text1"/>
          <w:sz w:val="22"/>
          <w:szCs w:val="22"/>
        </w:rPr>
        <w:t>Estimadas y estimados buena tarde: Escribo este correo para interponer un Recurso de Revisión ante el sujeto obligado Ayuntamiento Constitucional de Naucalpan de Juárez, debido a que la Plataforma Nacional de Transparencia (PNT) no me permite hacerlo por medio de ella. Adjunto encontrarán el recurso en un documento PDF. Saludos.”</w:t>
      </w:r>
      <w:r w:rsidRPr="00F11975">
        <w:rPr>
          <w:rFonts w:ascii="Palatino Linotype" w:eastAsia="Calibri" w:hAnsi="Palatino Linotype" w:cs="Arial"/>
          <w:color w:val="000000" w:themeColor="text1"/>
          <w:sz w:val="22"/>
          <w:szCs w:val="22"/>
        </w:rPr>
        <w:t xml:space="preserve"> (Sic)</w:t>
      </w:r>
    </w:p>
    <w:p w14:paraId="17B0422F" w14:textId="5FE7B733" w:rsidR="00AB07A5" w:rsidRPr="00F11975" w:rsidRDefault="00AB07A5" w:rsidP="00AB07A5">
      <w:pPr>
        <w:pStyle w:val="Prrafodelista"/>
        <w:tabs>
          <w:tab w:val="left" w:pos="426"/>
        </w:tabs>
        <w:spacing w:line="276" w:lineRule="auto"/>
        <w:ind w:left="567" w:right="567"/>
        <w:jc w:val="both"/>
        <w:rPr>
          <w:rFonts w:ascii="Palatino Linotype" w:eastAsia="Calibri" w:hAnsi="Palatino Linotype" w:cs="Arial"/>
          <w:i/>
          <w:iCs/>
          <w:color w:val="000000" w:themeColor="text1"/>
          <w:sz w:val="22"/>
          <w:szCs w:val="22"/>
          <w:lang w:val="es-ES"/>
        </w:rPr>
      </w:pPr>
    </w:p>
    <w:p w14:paraId="576C0D39" w14:textId="67A48369" w:rsidR="00AB07A5" w:rsidRPr="00F11975" w:rsidRDefault="00AB07A5" w:rsidP="00AB07A5">
      <w:pPr>
        <w:pStyle w:val="Prrafodelista"/>
        <w:tabs>
          <w:tab w:val="left" w:pos="426"/>
        </w:tabs>
        <w:spacing w:line="276" w:lineRule="auto"/>
        <w:ind w:left="567" w:right="567"/>
        <w:jc w:val="both"/>
        <w:rPr>
          <w:rFonts w:ascii="Palatino Linotype" w:eastAsia="Calibri" w:hAnsi="Palatino Linotype" w:cs="Arial"/>
          <w:color w:val="000000" w:themeColor="text1"/>
          <w:sz w:val="22"/>
          <w:szCs w:val="22"/>
          <w:lang w:val="es-ES"/>
        </w:rPr>
      </w:pPr>
      <w:r w:rsidRPr="00F11975">
        <w:rPr>
          <w:rFonts w:ascii="Palatino Linotype" w:eastAsia="Calibri" w:hAnsi="Palatino Linotype" w:cs="Arial"/>
          <w:b/>
          <w:bCs/>
          <w:color w:val="000000" w:themeColor="text1"/>
          <w:sz w:val="22"/>
          <w:szCs w:val="22"/>
          <w:lang w:val="es-ES"/>
        </w:rPr>
        <w:t>Razones o motivos de la inconformidad:</w:t>
      </w:r>
      <w:r w:rsidRPr="00F11975">
        <w:rPr>
          <w:rFonts w:ascii="Palatino Linotype" w:eastAsia="Calibri" w:hAnsi="Palatino Linotype" w:cs="Arial"/>
          <w:i/>
          <w:iCs/>
          <w:color w:val="000000" w:themeColor="text1"/>
          <w:sz w:val="22"/>
          <w:szCs w:val="22"/>
          <w:lang w:val="es-ES"/>
        </w:rPr>
        <w:t xml:space="preserve"> “</w:t>
      </w:r>
      <w:r w:rsidRPr="00F11975">
        <w:rPr>
          <w:rFonts w:ascii="Palatino Linotype" w:eastAsia="Calibri" w:hAnsi="Palatino Linotype" w:cs="Arial"/>
          <w:i/>
          <w:iCs/>
          <w:color w:val="000000" w:themeColor="text1"/>
          <w:sz w:val="22"/>
          <w:szCs w:val="22"/>
        </w:rPr>
        <w:t>Estimadas y estimados buena tarde: Escribo este correo para interponer un Recurso de Revisión ante el sujeto obligado Ayuntamiento Constitucional de Naucalpan de Juárez, debido a que la Plataforma Nacional de Transparencia (PNT) no me permite hacerlo por medio de ella. Adjunto encontrarán el recurso en un documento PDF. Saludos.”</w:t>
      </w:r>
      <w:r w:rsidRPr="00F11975">
        <w:rPr>
          <w:rFonts w:ascii="Palatino Linotype" w:eastAsia="Calibri" w:hAnsi="Palatino Linotype" w:cs="Arial"/>
          <w:color w:val="000000" w:themeColor="text1"/>
          <w:sz w:val="22"/>
          <w:szCs w:val="22"/>
        </w:rPr>
        <w:t xml:space="preserve"> (Sic)</w:t>
      </w:r>
    </w:p>
    <w:p w14:paraId="1C7FFEED" w14:textId="77777777" w:rsidR="00AB07A5" w:rsidRPr="00F11975" w:rsidRDefault="00AB07A5" w:rsidP="000E523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346CC99" w14:textId="0B668F03" w:rsidR="00AB07A5" w:rsidRPr="00F11975" w:rsidRDefault="000E5233"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11975">
        <w:rPr>
          <w:rFonts w:ascii="Palatino Linotype" w:eastAsia="Times New Roman" w:hAnsi="Palatino Linotype" w:cs="Arial"/>
          <w:color w:val="000000" w:themeColor="text1"/>
          <w:lang w:val="es-ES"/>
        </w:rPr>
        <w:t>S</w:t>
      </w:r>
      <w:r w:rsidR="005F1362" w:rsidRPr="00F11975">
        <w:rPr>
          <w:rFonts w:ascii="Palatino Linotype" w:eastAsia="Times New Roman" w:hAnsi="Palatino Linotype" w:cs="Arial"/>
          <w:color w:val="000000" w:themeColor="text1"/>
          <w:lang w:val="es-ES"/>
        </w:rPr>
        <w:t xml:space="preserve">e </w:t>
      </w:r>
      <w:r w:rsidR="00AB07A5" w:rsidRPr="00F11975">
        <w:rPr>
          <w:rFonts w:ascii="Palatino Linotype" w:eastAsia="Times New Roman" w:hAnsi="Palatino Linotype" w:cs="Arial"/>
          <w:color w:val="000000" w:themeColor="text1"/>
          <w:lang w:val="es-ES"/>
        </w:rPr>
        <w:t xml:space="preserve">hace constar que el </w:t>
      </w:r>
      <w:r w:rsidR="00AB07A5" w:rsidRPr="00F11975">
        <w:rPr>
          <w:rFonts w:ascii="Palatino Linotype" w:eastAsia="Times New Roman" w:hAnsi="Palatino Linotype" w:cs="Arial"/>
          <w:b/>
          <w:bCs/>
          <w:color w:val="000000" w:themeColor="text1"/>
          <w:lang w:val="es-ES"/>
        </w:rPr>
        <w:t>RECURRENTE</w:t>
      </w:r>
      <w:r w:rsidR="00AB07A5" w:rsidRPr="00F11975">
        <w:rPr>
          <w:rFonts w:ascii="Palatino Linotype" w:eastAsia="Times New Roman" w:hAnsi="Palatino Linotype" w:cs="Arial"/>
          <w:color w:val="000000" w:themeColor="text1"/>
          <w:lang w:val="es-ES"/>
        </w:rPr>
        <w:t xml:space="preserve"> acompañó a su recurso de revisión con el archivo denominado </w:t>
      </w:r>
      <w:r w:rsidR="00AB07A5" w:rsidRPr="00F11975">
        <w:rPr>
          <w:rFonts w:ascii="Palatino Linotype" w:eastAsia="Times New Roman" w:hAnsi="Palatino Linotype" w:cs="Arial"/>
          <w:b/>
          <w:bCs/>
          <w:i/>
          <w:iCs/>
          <w:color w:val="000000" w:themeColor="text1"/>
          <w:lang w:val="es-ES"/>
        </w:rPr>
        <w:t>“Recursó de Revisión.pdf”</w:t>
      </w:r>
      <w:r w:rsidR="00AB07A5" w:rsidRPr="00F11975">
        <w:rPr>
          <w:rFonts w:ascii="Palatino Linotype" w:eastAsia="Times New Roman" w:hAnsi="Palatino Linotype" w:cs="Arial"/>
          <w:color w:val="000000" w:themeColor="text1"/>
          <w:lang w:val="es-ES"/>
        </w:rPr>
        <w:t xml:space="preserve">, cuyo contenido fuera expuesto en el párrafo </w:t>
      </w:r>
      <w:r w:rsidR="00AB07A5" w:rsidRPr="00F11975">
        <w:rPr>
          <w:rFonts w:ascii="Palatino Linotype" w:eastAsia="Times New Roman" w:hAnsi="Palatino Linotype" w:cs="Arial"/>
          <w:b/>
          <w:bCs/>
          <w:color w:val="000000" w:themeColor="text1"/>
          <w:lang w:val="es-ES"/>
        </w:rPr>
        <w:t>04</w:t>
      </w:r>
      <w:r w:rsidR="00AB07A5" w:rsidRPr="00F11975">
        <w:rPr>
          <w:rFonts w:ascii="Palatino Linotype" w:eastAsia="Times New Roman" w:hAnsi="Palatino Linotype" w:cs="Arial"/>
          <w:color w:val="000000" w:themeColor="text1"/>
          <w:lang w:val="es-ES"/>
        </w:rPr>
        <w:t xml:space="preserve"> de esta resolución.</w:t>
      </w:r>
    </w:p>
    <w:p w14:paraId="617B1B6E" w14:textId="77777777" w:rsidR="00AB07A5" w:rsidRPr="00F11975" w:rsidRDefault="00AB07A5" w:rsidP="00AB07A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3932E3A6" w:rsidR="005F1362" w:rsidRPr="00F11975" w:rsidRDefault="00AB07A5"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11975">
        <w:rPr>
          <w:rFonts w:ascii="Palatino Linotype" w:eastAsia="Times New Roman" w:hAnsi="Palatino Linotype" w:cs="Arial"/>
          <w:color w:val="000000" w:themeColor="text1"/>
          <w:lang w:val="es-ES"/>
        </w:rPr>
        <w:t xml:space="preserve">Se </w:t>
      </w:r>
      <w:r w:rsidR="005F1362" w:rsidRPr="00F11975">
        <w:rPr>
          <w:rFonts w:ascii="Palatino Linotype" w:eastAsia="Times New Roman" w:hAnsi="Palatino Linotype" w:cs="Arial"/>
          <w:color w:val="000000" w:themeColor="text1"/>
          <w:lang w:val="es-ES"/>
        </w:rPr>
        <w:t xml:space="preserve">registró el recurso de revisión bajo el número de expediente </w:t>
      </w:r>
      <w:r w:rsidR="004F785F" w:rsidRPr="00F11975">
        <w:rPr>
          <w:rFonts w:ascii="Palatino Linotype" w:hAnsi="Palatino Linotype" w:cs="Arial"/>
          <w:bCs/>
          <w:color w:val="000000" w:themeColor="text1"/>
        </w:rPr>
        <w:t>al rubro indicado, asi</w:t>
      </w:r>
      <w:r w:rsidR="005F1362" w:rsidRPr="00F11975">
        <w:rPr>
          <w:rFonts w:ascii="Palatino Linotype" w:hAnsi="Palatino Linotype" w:cs="Arial"/>
          <w:bCs/>
          <w:color w:val="000000" w:themeColor="text1"/>
        </w:rPr>
        <w:t xml:space="preserve">mismo, con fundamento en lo dispuesto por el </w:t>
      </w:r>
      <w:r w:rsidR="005F1362" w:rsidRPr="00F11975">
        <w:rPr>
          <w:rFonts w:ascii="Palatino Linotype" w:eastAsia="Calibri" w:hAnsi="Palatino Linotype" w:cs="Arial"/>
          <w:bCs/>
          <w:color w:val="000000" w:themeColor="text1"/>
          <w:lang w:val="es-ES"/>
        </w:rPr>
        <w:t>artículo 185</w:t>
      </w:r>
      <w:r w:rsidR="00CD0A99" w:rsidRPr="00F11975">
        <w:rPr>
          <w:rFonts w:ascii="Palatino Linotype" w:eastAsia="Calibri" w:hAnsi="Palatino Linotype" w:cs="Arial"/>
          <w:bCs/>
          <w:color w:val="000000" w:themeColor="text1"/>
          <w:lang w:val="es-ES"/>
        </w:rPr>
        <w:t>,</w:t>
      </w:r>
      <w:r w:rsidR="005F1362" w:rsidRPr="00F11975">
        <w:rPr>
          <w:rFonts w:ascii="Palatino Linotype" w:eastAsia="Calibri" w:hAnsi="Palatino Linotype" w:cs="Arial"/>
          <w:bCs/>
          <w:color w:val="000000" w:themeColor="text1"/>
          <w:lang w:val="es-ES"/>
        </w:rPr>
        <w:t xml:space="preserve"> fracción I</w:t>
      </w:r>
      <w:r w:rsidR="00CD0A99" w:rsidRPr="00F11975">
        <w:rPr>
          <w:rFonts w:ascii="Palatino Linotype" w:eastAsia="Calibri" w:hAnsi="Palatino Linotype" w:cs="Arial"/>
          <w:bCs/>
          <w:color w:val="000000" w:themeColor="text1"/>
          <w:lang w:val="es-ES"/>
        </w:rPr>
        <w:t>,</w:t>
      </w:r>
      <w:r w:rsidR="005F1362" w:rsidRPr="00F11975">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F11975">
        <w:rPr>
          <w:rFonts w:ascii="Palatino Linotype" w:eastAsia="Times New Roman" w:hAnsi="Palatino Linotype" w:cs="Arial"/>
          <w:bCs/>
          <w:color w:val="000000" w:themeColor="text1"/>
          <w:lang w:val="es-ES"/>
        </w:rPr>
        <w:t xml:space="preserve">se turnó </w:t>
      </w:r>
      <w:r w:rsidR="00744109" w:rsidRPr="00F11975">
        <w:rPr>
          <w:rFonts w:ascii="Palatino Linotype" w:eastAsia="Times New Roman" w:hAnsi="Palatino Linotype" w:cs="Arial"/>
          <w:bCs/>
          <w:color w:val="000000" w:themeColor="text1"/>
          <w:lang w:val="es-ES"/>
        </w:rPr>
        <w:t>al</w:t>
      </w:r>
      <w:r w:rsidR="0023280C" w:rsidRPr="00F11975">
        <w:rPr>
          <w:rFonts w:ascii="Palatino Linotype" w:eastAsia="Times New Roman" w:hAnsi="Palatino Linotype" w:cs="Arial"/>
          <w:bCs/>
          <w:color w:val="000000" w:themeColor="text1"/>
          <w:lang w:val="es-ES"/>
        </w:rPr>
        <w:t xml:space="preserve"> </w:t>
      </w:r>
      <w:r w:rsidR="00C41F94" w:rsidRPr="00F11975">
        <w:rPr>
          <w:rFonts w:ascii="Palatino Linotype" w:eastAsia="Times New Roman" w:hAnsi="Palatino Linotype" w:cs="Arial"/>
          <w:b/>
          <w:color w:val="000000" w:themeColor="text1"/>
          <w:lang w:val="es-ES"/>
        </w:rPr>
        <w:t>Comisionado José Martínez Vilchis</w:t>
      </w:r>
      <w:r w:rsidR="005F1362" w:rsidRPr="00F11975">
        <w:rPr>
          <w:rFonts w:ascii="Palatino Linotype" w:eastAsia="Times New Roman" w:hAnsi="Palatino Linotype" w:cs="Arial"/>
          <w:bCs/>
          <w:color w:val="000000" w:themeColor="text1"/>
          <w:lang w:val="es-ES"/>
        </w:rPr>
        <w:t xml:space="preserve">, con el objeto de </w:t>
      </w:r>
      <w:r w:rsidR="005F1362" w:rsidRPr="00F11975">
        <w:rPr>
          <w:rFonts w:ascii="Palatino Linotype" w:eastAsia="Times New Roman" w:hAnsi="Palatino Linotype" w:cs="Arial"/>
          <w:bCs/>
          <w:color w:val="000000" w:themeColor="text1"/>
          <w:lang w:val="es-MX"/>
        </w:rPr>
        <w:t>su análisis.</w:t>
      </w:r>
    </w:p>
    <w:p w14:paraId="2BDE682E" w14:textId="77777777" w:rsidR="005F1362" w:rsidRPr="00F11975"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446D766" w:rsidR="007446C2" w:rsidRPr="00F11975" w:rsidRDefault="00C41F9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11975">
        <w:rPr>
          <w:rFonts w:ascii="Palatino Linotype" w:eastAsia="Times New Roman" w:hAnsi="Palatino Linotype" w:cs="Arial"/>
          <w:color w:val="000000" w:themeColor="text1"/>
          <w:lang w:val="es-ES"/>
        </w:rPr>
        <w:lastRenderedPageBreak/>
        <w:t>Los Comisionados Ponentes</w:t>
      </w:r>
      <w:r w:rsidR="006B31E7" w:rsidRPr="00F11975">
        <w:rPr>
          <w:rFonts w:ascii="Palatino Linotype" w:eastAsia="Calibri" w:hAnsi="Palatino Linotype" w:cs="Arial"/>
          <w:color w:val="000000" w:themeColor="text1"/>
          <w:lang w:val="es-ES"/>
        </w:rPr>
        <w:t>,</w:t>
      </w:r>
      <w:r w:rsidR="0004686A" w:rsidRPr="00F11975">
        <w:rPr>
          <w:rFonts w:ascii="Palatino Linotype" w:eastAsia="Calibri" w:hAnsi="Palatino Linotype" w:cs="Arial"/>
          <w:color w:val="000000" w:themeColor="text1"/>
          <w:lang w:val="es-ES"/>
        </w:rPr>
        <w:t xml:space="preserve"> con fundamento en lo dispuesto por el artículo 185 fracción II de la </w:t>
      </w:r>
      <w:r w:rsidR="00613655" w:rsidRPr="00F11975">
        <w:rPr>
          <w:rFonts w:ascii="Palatino Linotype" w:eastAsia="Calibri" w:hAnsi="Palatino Linotype" w:cs="Arial"/>
          <w:color w:val="000000" w:themeColor="text1"/>
          <w:lang w:val="es-ES"/>
        </w:rPr>
        <w:t>Ley de Transparencia y Acceso a la Información Pública del Estado de México y Municipios</w:t>
      </w:r>
      <w:r w:rsidR="0004686A" w:rsidRPr="00F11975">
        <w:rPr>
          <w:rFonts w:ascii="Palatino Linotype" w:eastAsia="Calibri" w:hAnsi="Palatino Linotype" w:cs="Arial"/>
          <w:color w:val="000000" w:themeColor="text1"/>
          <w:lang w:val="es-ES"/>
        </w:rPr>
        <w:t xml:space="preserve">, </w:t>
      </w:r>
      <w:r w:rsidR="00022034" w:rsidRPr="00F11975">
        <w:rPr>
          <w:rFonts w:ascii="Palatino Linotype" w:eastAsia="Calibri" w:hAnsi="Palatino Linotype" w:cs="Arial"/>
          <w:color w:val="000000" w:themeColor="text1"/>
          <w:lang w:val="es-ES"/>
        </w:rPr>
        <w:t xml:space="preserve">a través de los acuerdos de admisión de cuatro (04) de marzo de dos mil veintidós, notificados vía SAIMEX y correo electrónico respectivamente, </w:t>
      </w:r>
      <w:r w:rsidR="00022034" w:rsidRPr="00F11975">
        <w:rPr>
          <w:rFonts w:ascii="Palatino Linotype" w:eastAsia="Calibri" w:hAnsi="Palatino Linotype" w:cs="Arial"/>
          <w:lang w:val="es-ES"/>
        </w:rPr>
        <w:t xml:space="preserve">ordenaron integrar los expedientes respectivos y ponerlos a disposición de las partes a efecto de que en un plazo máximo de siete días manifestaran lo que a derecho convinieran, ofrecieran pruebas y alegatos según corresponda a los casos concretos, de esta forma para que el </w:t>
      </w:r>
      <w:r w:rsidR="00022034" w:rsidRPr="00F11975">
        <w:rPr>
          <w:rFonts w:ascii="Palatino Linotype" w:eastAsia="Calibri" w:hAnsi="Palatino Linotype" w:cs="Arial"/>
          <w:b/>
          <w:lang w:val="es-ES"/>
        </w:rPr>
        <w:t>SUJETO OBLIGADO</w:t>
      </w:r>
      <w:r w:rsidR="00022034" w:rsidRPr="00F11975">
        <w:rPr>
          <w:rFonts w:ascii="Palatino Linotype" w:eastAsia="Calibri" w:hAnsi="Palatino Linotype" w:cs="Arial"/>
          <w:lang w:val="es-ES"/>
        </w:rPr>
        <w:t xml:space="preserve"> presentara los Informes Justificados procedentes</w:t>
      </w:r>
    </w:p>
    <w:p w14:paraId="4CC23820" w14:textId="77777777" w:rsidR="00022034" w:rsidRPr="00F11975" w:rsidRDefault="00022034" w:rsidP="0002203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ED63487" w14:textId="2B42C47A" w:rsidR="00022034" w:rsidRPr="00F11975" w:rsidRDefault="0002203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11975">
        <w:rPr>
          <w:rFonts w:ascii="Palatino Linotype" w:eastAsia="Calibri" w:hAnsi="Palatino Linotype" w:cs="Arial"/>
          <w:lang w:val="es-ES"/>
        </w:rPr>
        <w:t xml:space="preserve">Se hace constar que, por cuanto hace al recurso de revisión </w:t>
      </w:r>
      <w:r w:rsidRPr="00F11975">
        <w:rPr>
          <w:rFonts w:ascii="Palatino Linotype" w:eastAsia="Calibri" w:hAnsi="Palatino Linotype" w:cs="Arial"/>
          <w:b/>
          <w:bCs/>
          <w:lang w:val="es-ES"/>
        </w:rPr>
        <w:t>00001/INFOEM/IP/RR-E/2022</w:t>
      </w:r>
      <w:r w:rsidRPr="00F11975">
        <w:rPr>
          <w:rFonts w:ascii="Palatino Linotype" w:eastAsia="Calibri" w:hAnsi="Palatino Linotype" w:cs="Arial"/>
          <w:lang w:val="es-ES"/>
        </w:rPr>
        <w:t xml:space="preserve">, </w:t>
      </w:r>
      <w:r w:rsidR="00224ECD" w:rsidRPr="00F11975">
        <w:rPr>
          <w:rFonts w:ascii="Palatino Linotype" w:eastAsia="Calibri" w:hAnsi="Palatino Linotype" w:cs="Arial"/>
          <w:lang w:val="es-ES"/>
        </w:rPr>
        <w:t xml:space="preserve">el </w:t>
      </w:r>
      <w:r w:rsidR="00224ECD" w:rsidRPr="00F11975">
        <w:rPr>
          <w:rFonts w:ascii="Palatino Linotype" w:eastAsia="Calibri" w:hAnsi="Palatino Linotype" w:cs="Arial"/>
          <w:b/>
          <w:bCs/>
          <w:lang w:val="es-ES"/>
        </w:rPr>
        <w:t>SUJETO OBLIGADO</w:t>
      </w:r>
      <w:r w:rsidR="00224ECD" w:rsidRPr="00F11975">
        <w:rPr>
          <w:rFonts w:ascii="Palatino Linotype" w:eastAsia="Calibri" w:hAnsi="Palatino Linotype" w:cs="Arial"/>
          <w:lang w:val="es-ES"/>
        </w:rPr>
        <w:t xml:space="preserve"> no rindió su informe justificado para manifestar lo que a su derecho conviniera; mientras que, el </w:t>
      </w:r>
      <w:r w:rsidR="00224ECD" w:rsidRPr="00F11975">
        <w:rPr>
          <w:rFonts w:ascii="Palatino Linotype" w:eastAsia="Calibri" w:hAnsi="Palatino Linotype" w:cs="Arial"/>
          <w:b/>
          <w:bCs/>
          <w:lang w:val="es-ES"/>
        </w:rPr>
        <w:t>RECURRENTE</w:t>
      </w:r>
      <w:r w:rsidR="00224ECD" w:rsidRPr="00F11975">
        <w:rPr>
          <w:rFonts w:ascii="Palatino Linotype" w:eastAsia="Calibri" w:hAnsi="Palatino Linotype" w:cs="Arial"/>
          <w:lang w:val="es-ES"/>
        </w:rPr>
        <w:t>, no presentó alegatos u ofreció medios de prueba.</w:t>
      </w:r>
    </w:p>
    <w:p w14:paraId="3022AEC6" w14:textId="77777777" w:rsidR="007446C2" w:rsidRPr="00F11975" w:rsidRDefault="007446C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D00B92" w14:textId="2E3F466A" w:rsidR="008965EF" w:rsidRPr="00F11975" w:rsidRDefault="00224ECD" w:rsidP="003D792A">
      <w:pPr>
        <w:pStyle w:val="Prrafodelista"/>
        <w:numPr>
          <w:ilvl w:val="0"/>
          <w:numId w:val="1"/>
        </w:numPr>
        <w:tabs>
          <w:tab w:val="left" w:pos="426"/>
        </w:tabs>
        <w:spacing w:line="360" w:lineRule="auto"/>
        <w:jc w:val="both"/>
        <w:rPr>
          <w:rFonts w:ascii="Palatino Linotype" w:hAnsi="Palatino Linotype"/>
          <w:color w:val="000000" w:themeColor="text1"/>
        </w:rPr>
      </w:pPr>
      <w:r w:rsidRPr="00F11975">
        <w:rPr>
          <w:rFonts w:ascii="Palatino Linotype" w:eastAsia="Calibri" w:hAnsi="Palatino Linotype" w:cs="Arial"/>
          <w:color w:val="000000" w:themeColor="text1"/>
          <w:lang w:val="es-ES"/>
        </w:rPr>
        <w:t xml:space="preserve">Por otro lado, por cuanto hace al recurso de revisión </w:t>
      </w:r>
      <w:r w:rsidRPr="00F11975">
        <w:rPr>
          <w:rFonts w:ascii="Palatino Linotype" w:eastAsia="Calibri" w:hAnsi="Palatino Linotype" w:cs="Arial"/>
          <w:b/>
          <w:bCs/>
          <w:color w:val="000000" w:themeColor="text1"/>
          <w:lang w:val="es-ES"/>
        </w:rPr>
        <w:t>01895/INFOEM/IP/RR/2022</w:t>
      </w:r>
      <w:r w:rsidRPr="00F11975">
        <w:rPr>
          <w:rFonts w:ascii="Palatino Linotype" w:eastAsia="Calibri" w:hAnsi="Palatino Linotype" w:cs="Arial"/>
          <w:color w:val="000000" w:themeColor="text1"/>
          <w:lang w:val="es-ES"/>
        </w:rPr>
        <w:t>, el</w:t>
      </w:r>
      <w:r w:rsidR="00920EB8" w:rsidRPr="00F11975">
        <w:rPr>
          <w:rFonts w:ascii="Palatino Linotype" w:eastAsia="Calibri" w:hAnsi="Palatino Linotype" w:cs="Arial"/>
          <w:color w:val="000000" w:themeColor="text1"/>
          <w:lang w:val="es-ES"/>
        </w:rPr>
        <w:t xml:space="preserve"> </w:t>
      </w:r>
      <w:r w:rsidRPr="00F11975">
        <w:rPr>
          <w:rFonts w:ascii="Palatino Linotype" w:eastAsia="Calibri" w:hAnsi="Palatino Linotype" w:cs="Arial"/>
          <w:color w:val="000000" w:themeColor="text1"/>
          <w:lang w:val="es-ES"/>
        </w:rPr>
        <w:t>cuatro (04) de marzo</w:t>
      </w:r>
      <w:r w:rsidR="00CD0A99" w:rsidRPr="00F11975">
        <w:rPr>
          <w:rFonts w:ascii="Palatino Linotype" w:eastAsia="Calibri" w:hAnsi="Palatino Linotype" w:cs="Arial"/>
          <w:color w:val="000000" w:themeColor="text1"/>
          <w:lang w:val="es-ES"/>
        </w:rPr>
        <w:t xml:space="preserve"> de dos mil veintidós</w:t>
      </w:r>
      <w:r w:rsidR="00920EB8" w:rsidRPr="00F11975">
        <w:rPr>
          <w:rFonts w:ascii="Palatino Linotype" w:eastAsia="Calibri" w:hAnsi="Palatino Linotype" w:cs="Arial"/>
          <w:color w:val="000000" w:themeColor="text1"/>
          <w:lang w:val="es-ES"/>
        </w:rPr>
        <w:t xml:space="preserve">, el </w:t>
      </w:r>
      <w:r w:rsidR="00920EB8" w:rsidRPr="00F11975">
        <w:rPr>
          <w:rFonts w:ascii="Palatino Linotype" w:eastAsia="Calibri" w:hAnsi="Palatino Linotype" w:cs="Arial"/>
          <w:b/>
          <w:bCs/>
          <w:color w:val="000000" w:themeColor="text1"/>
          <w:lang w:val="es-ES"/>
        </w:rPr>
        <w:t>SUJETO OBLIGADO</w:t>
      </w:r>
      <w:r w:rsidR="00920EB8" w:rsidRPr="00F11975">
        <w:rPr>
          <w:rFonts w:ascii="Palatino Linotype" w:eastAsia="Calibri" w:hAnsi="Palatino Linotype" w:cs="Arial"/>
          <w:color w:val="000000" w:themeColor="text1"/>
          <w:lang w:val="es-ES"/>
        </w:rPr>
        <w:t xml:space="preserve"> presentó</w:t>
      </w:r>
      <w:r w:rsidR="00742B6A" w:rsidRPr="00F11975">
        <w:rPr>
          <w:rFonts w:ascii="Palatino Linotype" w:eastAsia="Calibri" w:hAnsi="Palatino Linotype" w:cs="Arial"/>
          <w:color w:val="000000" w:themeColor="text1"/>
          <w:lang w:val="es-ES"/>
        </w:rPr>
        <w:t xml:space="preserve">, en vía de Informe Justificado, el </w:t>
      </w:r>
      <w:r w:rsidR="00920EB8" w:rsidRPr="00F11975">
        <w:rPr>
          <w:rFonts w:ascii="Palatino Linotype" w:eastAsia="Calibri" w:hAnsi="Palatino Linotype" w:cs="Arial"/>
          <w:color w:val="000000" w:themeColor="text1"/>
          <w:lang w:val="es-ES"/>
        </w:rPr>
        <w:t>archivo electrónico descrito a continuación:</w:t>
      </w:r>
    </w:p>
    <w:p w14:paraId="3CAB2844" w14:textId="597734E6" w:rsidR="007C7306" w:rsidRPr="00F11975" w:rsidRDefault="007C7306" w:rsidP="00224ECD">
      <w:pPr>
        <w:pStyle w:val="Prrafodelista"/>
        <w:numPr>
          <w:ilvl w:val="1"/>
          <w:numId w:val="18"/>
        </w:numPr>
        <w:tabs>
          <w:tab w:val="left" w:pos="426"/>
        </w:tabs>
        <w:spacing w:line="360" w:lineRule="auto"/>
        <w:ind w:left="1134"/>
        <w:jc w:val="both"/>
        <w:rPr>
          <w:rFonts w:ascii="Palatino Linotype" w:hAnsi="Palatino Linotype"/>
          <w:color w:val="000000" w:themeColor="text1"/>
        </w:rPr>
      </w:pPr>
      <w:r w:rsidRPr="00F11975">
        <w:rPr>
          <w:rFonts w:ascii="Palatino Linotype" w:eastAsia="Calibri" w:hAnsi="Palatino Linotype" w:cs="Arial"/>
          <w:b/>
          <w:i/>
          <w:color w:val="000000" w:themeColor="text1"/>
          <w:lang w:val="es-ES"/>
        </w:rPr>
        <w:t>“</w:t>
      </w:r>
      <w:r w:rsidR="00224ECD" w:rsidRPr="00F11975">
        <w:rPr>
          <w:rFonts w:ascii="Palatino Linotype" w:eastAsia="Calibri" w:hAnsi="Palatino Linotype" w:cs="Arial"/>
          <w:b/>
          <w:i/>
          <w:color w:val="000000" w:themeColor="text1"/>
          <w:lang w:val="es-ES"/>
        </w:rPr>
        <w:t>DGSCYTM-SJ-ETAIP-00019-2022.pdf</w:t>
      </w:r>
      <w:r w:rsidRPr="00F11975">
        <w:rPr>
          <w:rFonts w:ascii="Palatino Linotype" w:hAnsi="Palatino Linotype"/>
          <w:b/>
          <w:i/>
          <w:color w:val="000000" w:themeColor="text1"/>
        </w:rPr>
        <w:t>”</w:t>
      </w:r>
      <w:r w:rsidRPr="00F11975">
        <w:rPr>
          <w:rFonts w:ascii="Palatino Linotype" w:hAnsi="Palatino Linotype"/>
          <w:color w:val="000000" w:themeColor="text1"/>
        </w:rPr>
        <w:t xml:space="preserve">: Documento </w:t>
      </w:r>
      <w:r w:rsidR="00224ECD" w:rsidRPr="00F11975">
        <w:rPr>
          <w:rFonts w:ascii="Palatino Linotype" w:hAnsi="Palatino Linotype"/>
          <w:color w:val="000000" w:themeColor="text1"/>
        </w:rPr>
        <w:t>de 10 fojas consistente en los siguientes oficios:</w:t>
      </w:r>
    </w:p>
    <w:p w14:paraId="4D355191" w14:textId="16636199" w:rsidR="00224ECD" w:rsidRPr="00F11975" w:rsidRDefault="00224ECD" w:rsidP="00224ECD">
      <w:pPr>
        <w:pStyle w:val="Prrafodelista"/>
        <w:numPr>
          <w:ilvl w:val="2"/>
          <w:numId w:val="19"/>
        </w:numPr>
        <w:tabs>
          <w:tab w:val="left" w:pos="426"/>
        </w:tabs>
        <w:spacing w:line="360" w:lineRule="auto"/>
        <w:ind w:left="1701"/>
        <w:jc w:val="both"/>
        <w:rPr>
          <w:rFonts w:ascii="Palatino Linotype" w:hAnsi="Palatino Linotype"/>
          <w:bCs/>
          <w:iCs/>
          <w:color w:val="000000" w:themeColor="text1"/>
        </w:rPr>
      </w:pPr>
      <w:r w:rsidRPr="00F11975">
        <w:rPr>
          <w:rFonts w:ascii="Palatino Linotype" w:eastAsia="Calibri" w:hAnsi="Palatino Linotype" w:cs="Arial"/>
          <w:bCs/>
          <w:iCs/>
          <w:color w:val="000000" w:themeColor="text1"/>
          <w:lang w:val="es-ES"/>
        </w:rPr>
        <w:t xml:space="preserve">Oficio número DGSCYTM/SJ/ETAIP/00019/2022, de uno (01) de marzo de dos mil veintidós, emitido por el Enlace de Transparencia y Acceso a la Información Pública de la Dirección General de </w:t>
      </w:r>
      <w:r w:rsidRPr="00F11975">
        <w:rPr>
          <w:rFonts w:ascii="Palatino Linotype" w:eastAsia="Calibri" w:hAnsi="Palatino Linotype" w:cs="Arial"/>
          <w:bCs/>
          <w:iCs/>
          <w:color w:val="000000" w:themeColor="text1"/>
          <w:lang w:val="es-ES"/>
        </w:rPr>
        <w:lastRenderedPageBreak/>
        <w:t>Seguridad Ciudadana y Tránsito Municipal</w:t>
      </w:r>
      <w:r w:rsidR="0040560A" w:rsidRPr="00F11975">
        <w:rPr>
          <w:rFonts w:ascii="Palatino Linotype" w:eastAsia="Calibri" w:hAnsi="Palatino Linotype" w:cs="Arial"/>
          <w:bCs/>
          <w:iCs/>
          <w:color w:val="000000" w:themeColor="text1"/>
          <w:lang w:val="es-ES"/>
        </w:rPr>
        <w:t xml:space="preserve">, y dirigido al Encargado del Despacho de la Unidad de Transparencia del </w:t>
      </w:r>
      <w:r w:rsidR="0040560A" w:rsidRPr="00F11975">
        <w:rPr>
          <w:rFonts w:ascii="Palatino Linotype" w:eastAsia="Calibri" w:hAnsi="Palatino Linotype" w:cs="Arial"/>
          <w:b/>
          <w:iCs/>
          <w:color w:val="000000" w:themeColor="text1"/>
          <w:lang w:val="es-ES"/>
        </w:rPr>
        <w:t>SUJETO OBLIGADO</w:t>
      </w:r>
      <w:r w:rsidR="0040560A" w:rsidRPr="00F11975">
        <w:rPr>
          <w:rFonts w:ascii="Palatino Linotype" w:eastAsia="Calibri" w:hAnsi="Palatino Linotype" w:cs="Arial"/>
          <w:bCs/>
          <w:iCs/>
          <w:color w:val="000000" w:themeColor="text1"/>
          <w:lang w:val="es-ES"/>
        </w:rPr>
        <w:t xml:space="preserve">, por medio del cual, informa que la Dirección General se encuentra a la espera de la respuesta que proporcione la Subdirección de Inteligencia e Investigación Criminal para atender la solicitud de información </w:t>
      </w:r>
      <w:r w:rsidR="0040560A" w:rsidRPr="00F11975">
        <w:rPr>
          <w:rFonts w:ascii="Palatino Linotype" w:eastAsia="Calibri" w:hAnsi="Palatino Linotype" w:cs="Arial"/>
          <w:b/>
          <w:iCs/>
          <w:color w:val="000000" w:themeColor="text1"/>
          <w:lang w:val="es-ES"/>
        </w:rPr>
        <w:t>00957/NAUCALPA/IP/2021</w:t>
      </w:r>
      <w:r w:rsidR="0040560A" w:rsidRPr="00F11975">
        <w:rPr>
          <w:rFonts w:ascii="Palatino Linotype" w:eastAsia="Calibri" w:hAnsi="Palatino Linotype" w:cs="Arial"/>
          <w:bCs/>
          <w:iCs/>
          <w:color w:val="000000" w:themeColor="text1"/>
          <w:lang w:val="es-ES"/>
        </w:rPr>
        <w:t>.</w:t>
      </w:r>
    </w:p>
    <w:p w14:paraId="7DA3EC71" w14:textId="21341425" w:rsidR="0040560A" w:rsidRPr="00F11975" w:rsidRDefault="0040560A" w:rsidP="00224ECD">
      <w:pPr>
        <w:pStyle w:val="Prrafodelista"/>
        <w:numPr>
          <w:ilvl w:val="2"/>
          <w:numId w:val="19"/>
        </w:numPr>
        <w:tabs>
          <w:tab w:val="left" w:pos="426"/>
        </w:tabs>
        <w:spacing w:line="360" w:lineRule="auto"/>
        <w:ind w:left="1701"/>
        <w:jc w:val="both"/>
        <w:rPr>
          <w:rFonts w:ascii="Palatino Linotype" w:hAnsi="Palatino Linotype"/>
          <w:bCs/>
          <w:iCs/>
          <w:color w:val="000000" w:themeColor="text1"/>
        </w:rPr>
      </w:pPr>
      <w:r w:rsidRPr="00F11975">
        <w:rPr>
          <w:rFonts w:ascii="Palatino Linotype" w:eastAsia="Calibri" w:hAnsi="Palatino Linotype" w:cs="Arial"/>
          <w:bCs/>
          <w:iCs/>
          <w:color w:val="000000" w:themeColor="text1"/>
          <w:lang w:val="es-ES"/>
        </w:rPr>
        <w:t xml:space="preserve">Oficio número DGSCYTM/SJ/ETAI/00002/2022, de catorce (14) de febrero de dos mil veintidós, emitido por el Enlace de Transparencia y Acceso a la Información Pública de la Dirección General de Seguridad Ciudadana y Tránsito Municipal, y dirigido al Titular de la Subdirección de Seguridad Ciudadana, por el que le solicita girar instrucciones a fin de que se atienda la solicitud de información </w:t>
      </w:r>
      <w:r w:rsidRPr="00F11975">
        <w:rPr>
          <w:rFonts w:ascii="Palatino Linotype" w:eastAsia="Calibri" w:hAnsi="Palatino Linotype" w:cs="Arial"/>
          <w:b/>
          <w:iCs/>
          <w:color w:val="000000" w:themeColor="text1"/>
          <w:lang w:val="es-ES"/>
        </w:rPr>
        <w:t>00957/NAUCALPA/IP/2021</w:t>
      </w:r>
      <w:r w:rsidRPr="00F11975">
        <w:rPr>
          <w:rFonts w:ascii="Palatino Linotype" w:eastAsia="Calibri" w:hAnsi="Palatino Linotype" w:cs="Arial"/>
          <w:bCs/>
          <w:iCs/>
          <w:color w:val="000000" w:themeColor="text1"/>
          <w:lang w:val="es-ES"/>
        </w:rPr>
        <w:t>.</w:t>
      </w:r>
    </w:p>
    <w:p w14:paraId="65F58803" w14:textId="0B8AC92F" w:rsidR="00B27F36" w:rsidRPr="00F11975" w:rsidRDefault="00B27F36" w:rsidP="00224ECD">
      <w:pPr>
        <w:pStyle w:val="Prrafodelista"/>
        <w:numPr>
          <w:ilvl w:val="2"/>
          <w:numId w:val="19"/>
        </w:numPr>
        <w:tabs>
          <w:tab w:val="left" w:pos="426"/>
        </w:tabs>
        <w:spacing w:line="360" w:lineRule="auto"/>
        <w:ind w:left="1701"/>
        <w:jc w:val="both"/>
        <w:rPr>
          <w:rFonts w:ascii="Palatino Linotype" w:hAnsi="Palatino Linotype"/>
          <w:bCs/>
          <w:iCs/>
          <w:color w:val="000000" w:themeColor="text1"/>
        </w:rPr>
      </w:pPr>
      <w:r w:rsidRPr="00F11975">
        <w:rPr>
          <w:rFonts w:ascii="Palatino Linotype" w:eastAsia="Calibri" w:hAnsi="Palatino Linotype" w:cs="Arial"/>
          <w:bCs/>
          <w:iCs/>
          <w:color w:val="000000" w:themeColor="text1"/>
          <w:lang w:val="es-ES"/>
        </w:rPr>
        <w:t>Oficio número DGSCYTM/SJ/ETA/00002/2022, de dieciséis (16) de febrero de dos mil veintidós, firmado por el Subdirector de Seguridad Ciudadana, y dirigido al Subdirector Jurídico, por el que señala al Centro de Cómputo, Comando y Comunicación (C4) como el área encargada de resguardar incidencias.</w:t>
      </w:r>
    </w:p>
    <w:p w14:paraId="6654D827" w14:textId="5AEB8F86" w:rsidR="00B27F36" w:rsidRPr="00F11975" w:rsidRDefault="00B27F36" w:rsidP="00224ECD">
      <w:pPr>
        <w:pStyle w:val="Prrafodelista"/>
        <w:numPr>
          <w:ilvl w:val="2"/>
          <w:numId w:val="19"/>
        </w:numPr>
        <w:tabs>
          <w:tab w:val="left" w:pos="426"/>
        </w:tabs>
        <w:spacing w:line="360" w:lineRule="auto"/>
        <w:ind w:left="1701"/>
        <w:jc w:val="both"/>
        <w:rPr>
          <w:rFonts w:ascii="Palatino Linotype" w:hAnsi="Palatino Linotype"/>
          <w:bCs/>
          <w:iCs/>
          <w:color w:val="000000" w:themeColor="text1"/>
        </w:rPr>
      </w:pPr>
      <w:r w:rsidRPr="00F11975">
        <w:rPr>
          <w:rFonts w:ascii="Palatino Linotype" w:eastAsia="Calibri" w:hAnsi="Palatino Linotype" w:cs="Arial"/>
          <w:bCs/>
          <w:iCs/>
          <w:color w:val="000000" w:themeColor="text1"/>
          <w:lang w:val="es-ES"/>
        </w:rPr>
        <w:t xml:space="preserve">Oficio número DGSCYTM/SJ/ETAI/00012/2022, de veintidós (22) de febrero de dos mil veintidós, emitido por el Enlace de Transparencia y Acceso a la Información Pública de la Dirección General de Seguridad Ciudadana y Tránsito Municipal, y dirigido al Subdirector de Inteligencia e Investigación Criminal, por el que le </w:t>
      </w:r>
      <w:r w:rsidRPr="00F11975">
        <w:rPr>
          <w:rFonts w:ascii="Palatino Linotype" w:eastAsia="Calibri" w:hAnsi="Palatino Linotype" w:cs="Arial"/>
          <w:bCs/>
          <w:iCs/>
          <w:color w:val="000000" w:themeColor="text1"/>
          <w:lang w:val="es-ES"/>
        </w:rPr>
        <w:lastRenderedPageBreak/>
        <w:t xml:space="preserve">solicita girar instrucciones a fin de que se atienda la solicitud de información </w:t>
      </w:r>
      <w:r w:rsidRPr="00F11975">
        <w:rPr>
          <w:rFonts w:ascii="Palatino Linotype" w:eastAsia="Calibri" w:hAnsi="Palatino Linotype" w:cs="Arial"/>
          <w:b/>
          <w:iCs/>
          <w:color w:val="000000" w:themeColor="text1"/>
          <w:lang w:val="es-ES"/>
        </w:rPr>
        <w:t>00957/NAUCALPA/IP/2021</w:t>
      </w:r>
      <w:r w:rsidRPr="00F11975">
        <w:rPr>
          <w:rFonts w:ascii="Palatino Linotype" w:eastAsia="Calibri" w:hAnsi="Palatino Linotype" w:cs="Arial"/>
          <w:bCs/>
          <w:iCs/>
          <w:color w:val="000000" w:themeColor="text1"/>
          <w:lang w:val="es-ES"/>
        </w:rPr>
        <w:t>.</w:t>
      </w:r>
    </w:p>
    <w:p w14:paraId="204D3F88" w14:textId="77777777" w:rsidR="00F148CC" w:rsidRPr="00F11975" w:rsidRDefault="00F148CC" w:rsidP="00F148CC">
      <w:pPr>
        <w:pStyle w:val="Prrafodelista"/>
        <w:tabs>
          <w:tab w:val="left" w:pos="426"/>
        </w:tabs>
        <w:spacing w:line="360" w:lineRule="auto"/>
        <w:ind w:left="0"/>
        <w:jc w:val="both"/>
        <w:rPr>
          <w:rFonts w:ascii="Palatino Linotype" w:hAnsi="Palatino Linotype"/>
          <w:color w:val="000000" w:themeColor="text1"/>
        </w:rPr>
      </w:pPr>
    </w:p>
    <w:p w14:paraId="0AB820B5" w14:textId="010955E7" w:rsidR="00CD0A99" w:rsidRPr="00F11975" w:rsidRDefault="00F148CC" w:rsidP="003D792A">
      <w:pPr>
        <w:pStyle w:val="Prrafodelista"/>
        <w:numPr>
          <w:ilvl w:val="0"/>
          <w:numId w:val="1"/>
        </w:numPr>
        <w:tabs>
          <w:tab w:val="left" w:pos="426"/>
        </w:tabs>
        <w:spacing w:line="360" w:lineRule="auto"/>
        <w:jc w:val="both"/>
        <w:rPr>
          <w:rFonts w:ascii="Palatino Linotype" w:hAnsi="Palatino Linotype"/>
          <w:color w:val="000000" w:themeColor="text1"/>
        </w:rPr>
      </w:pPr>
      <w:r w:rsidRPr="00F11975">
        <w:rPr>
          <w:rFonts w:ascii="Palatino Linotype" w:hAnsi="Palatino Linotype"/>
          <w:color w:val="000000" w:themeColor="text1"/>
        </w:rPr>
        <w:t>P</w:t>
      </w:r>
      <w:r w:rsidR="00CD0A99" w:rsidRPr="00F11975">
        <w:rPr>
          <w:rFonts w:ascii="Palatino Linotype" w:hAnsi="Palatino Linotype"/>
          <w:color w:val="000000" w:themeColor="text1"/>
        </w:rPr>
        <w:t xml:space="preserve">osteriormente, el </w:t>
      </w:r>
      <w:r w:rsidR="00224ECD" w:rsidRPr="00F11975">
        <w:rPr>
          <w:rFonts w:ascii="Palatino Linotype" w:hAnsi="Palatino Linotype"/>
          <w:color w:val="000000" w:themeColor="text1"/>
        </w:rPr>
        <w:t>seis (06) de abril</w:t>
      </w:r>
      <w:r w:rsidR="00CD0A99" w:rsidRPr="00F11975">
        <w:rPr>
          <w:rFonts w:ascii="Palatino Linotype" w:hAnsi="Palatino Linotype"/>
          <w:color w:val="000000" w:themeColor="text1"/>
        </w:rPr>
        <w:t xml:space="preserve"> de dos mil veintidós, el </w:t>
      </w:r>
      <w:r w:rsidR="00CD0A99" w:rsidRPr="00F11975">
        <w:rPr>
          <w:rFonts w:ascii="Palatino Linotype" w:hAnsi="Palatino Linotype"/>
          <w:b/>
          <w:color w:val="000000" w:themeColor="text1"/>
        </w:rPr>
        <w:t>SUJETO OBLIGADO</w:t>
      </w:r>
      <w:r w:rsidR="00CD0A99" w:rsidRPr="00F11975">
        <w:rPr>
          <w:rFonts w:ascii="Palatino Linotype" w:hAnsi="Palatino Linotype"/>
          <w:color w:val="000000" w:themeColor="text1"/>
        </w:rPr>
        <w:t xml:space="preserve"> presentó, en vía de alcance, </w:t>
      </w:r>
      <w:r w:rsidR="00224ECD" w:rsidRPr="00F11975">
        <w:rPr>
          <w:rFonts w:ascii="Palatino Linotype" w:hAnsi="Palatino Linotype"/>
          <w:color w:val="000000" w:themeColor="text1"/>
        </w:rPr>
        <w:t>los siguientes archivos electrónicos</w:t>
      </w:r>
      <w:r w:rsidR="00CD0A99" w:rsidRPr="00F11975">
        <w:rPr>
          <w:rFonts w:ascii="Palatino Linotype" w:hAnsi="Palatino Linotype"/>
          <w:color w:val="000000" w:themeColor="text1"/>
        </w:rPr>
        <w:t>:</w:t>
      </w:r>
    </w:p>
    <w:p w14:paraId="41792AB7" w14:textId="0BBB6190" w:rsidR="00CD0A99" w:rsidRPr="00F11975" w:rsidRDefault="00F76964" w:rsidP="00F872DA">
      <w:pPr>
        <w:pStyle w:val="Prrafodelista"/>
        <w:numPr>
          <w:ilvl w:val="1"/>
          <w:numId w:val="20"/>
        </w:numPr>
        <w:tabs>
          <w:tab w:val="left" w:pos="426"/>
        </w:tabs>
        <w:spacing w:line="360" w:lineRule="auto"/>
        <w:ind w:left="1134"/>
        <w:jc w:val="both"/>
        <w:rPr>
          <w:rFonts w:ascii="Palatino Linotype" w:hAnsi="Palatino Linotype"/>
          <w:color w:val="000000" w:themeColor="text1"/>
          <w:lang w:val="es-MX"/>
        </w:rPr>
      </w:pPr>
      <w:r w:rsidRPr="00F11975">
        <w:rPr>
          <w:rFonts w:ascii="Palatino Linotype" w:hAnsi="Palatino Linotype"/>
          <w:b/>
          <w:i/>
          <w:color w:val="000000" w:themeColor="text1"/>
          <w:lang w:val="es-MX"/>
        </w:rPr>
        <w:t>“</w:t>
      </w:r>
      <w:r w:rsidR="00F872DA" w:rsidRPr="00F11975">
        <w:rPr>
          <w:rFonts w:ascii="Palatino Linotype" w:hAnsi="Palatino Linotype"/>
          <w:b/>
          <w:i/>
          <w:color w:val="000000" w:themeColor="text1"/>
          <w:lang w:val="es-MX"/>
        </w:rPr>
        <w:t>DGSCYTM-SJ-ETAIP-00041-2022.pdf</w:t>
      </w:r>
      <w:r w:rsidRPr="00F11975">
        <w:rPr>
          <w:rFonts w:ascii="Palatino Linotype" w:hAnsi="Palatino Linotype"/>
          <w:b/>
          <w:i/>
          <w:color w:val="000000" w:themeColor="text1"/>
          <w:lang w:val="es-MX"/>
        </w:rPr>
        <w:t>”</w:t>
      </w:r>
      <w:r w:rsidRPr="00F11975">
        <w:rPr>
          <w:rFonts w:ascii="Palatino Linotype" w:hAnsi="Palatino Linotype"/>
          <w:color w:val="000000" w:themeColor="text1"/>
          <w:lang w:val="es-MX"/>
        </w:rPr>
        <w:t xml:space="preserve">: </w:t>
      </w:r>
      <w:r w:rsidR="00F872DA" w:rsidRPr="00F11975">
        <w:rPr>
          <w:rFonts w:ascii="Palatino Linotype" w:hAnsi="Palatino Linotype"/>
          <w:color w:val="000000" w:themeColor="text1"/>
          <w:lang w:val="es-MX"/>
        </w:rPr>
        <w:t>Documento de tres fojas consistente en los siguientes instrumentos:</w:t>
      </w:r>
    </w:p>
    <w:p w14:paraId="2E9A90B4" w14:textId="6741900E" w:rsidR="00F872DA" w:rsidRPr="00F11975" w:rsidRDefault="00F872DA" w:rsidP="00F872DA">
      <w:pPr>
        <w:pStyle w:val="Prrafodelista"/>
        <w:numPr>
          <w:ilvl w:val="2"/>
          <w:numId w:val="21"/>
        </w:numPr>
        <w:tabs>
          <w:tab w:val="left" w:pos="426"/>
        </w:tabs>
        <w:spacing w:line="360" w:lineRule="auto"/>
        <w:ind w:left="1701"/>
        <w:jc w:val="both"/>
        <w:rPr>
          <w:rFonts w:ascii="Palatino Linotype" w:hAnsi="Palatino Linotype"/>
          <w:bCs/>
          <w:iCs/>
          <w:color w:val="000000" w:themeColor="text1"/>
          <w:lang w:val="es-MX"/>
        </w:rPr>
      </w:pPr>
      <w:r w:rsidRPr="00F11975">
        <w:rPr>
          <w:rFonts w:ascii="Palatino Linotype" w:hAnsi="Palatino Linotype"/>
          <w:bCs/>
          <w:iCs/>
          <w:color w:val="000000" w:themeColor="text1"/>
          <w:lang w:val="es-MX"/>
        </w:rPr>
        <w:t xml:space="preserve">Oficio número DGSCYTM/SJ/ETAIP/00041/2022, de uno (01) de marzo de dos mil veintidós, emitido por el Encale de Transparencia y Acceso a la Información Pública de la Dirección General de Seguridad Ciudadana y Tránsito Municipal, y dirigido al Encargado del Despacho de la Unidad de Transparencia del </w:t>
      </w:r>
      <w:r w:rsidRPr="00F11975">
        <w:rPr>
          <w:rFonts w:ascii="Palatino Linotype" w:hAnsi="Palatino Linotype"/>
          <w:b/>
          <w:iCs/>
          <w:color w:val="000000" w:themeColor="text1"/>
          <w:lang w:val="es-MX"/>
        </w:rPr>
        <w:t>SUJETO OBLIGADO</w:t>
      </w:r>
      <w:r w:rsidRPr="00F11975">
        <w:rPr>
          <w:rFonts w:ascii="Palatino Linotype" w:hAnsi="Palatino Linotype"/>
          <w:bCs/>
          <w:iCs/>
          <w:color w:val="000000" w:themeColor="text1"/>
          <w:lang w:val="es-MX"/>
        </w:rPr>
        <w:t>, por el que presenta la respuesta de la Subdirección de Inteligencia e Investigación Criminal.</w:t>
      </w:r>
    </w:p>
    <w:p w14:paraId="5940495E" w14:textId="1E4EA03D" w:rsidR="00F872DA" w:rsidRPr="00F11975" w:rsidRDefault="00F872DA" w:rsidP="00F872DA">
      <w:pPr>
        <w:pStyle w:val="Prrafodelista"/>
        <w:numPr>
          <w:ilvl w:val="2"/>
          <w:numId w:val="21"/>
        </w:numPr>
        <w:tabs>
          <w:tab w:val="left" w:pos="426"/>
        </w:tabs>
        <w:spacing w:line="360" w:lineRule="auto"/>
        <w:ind w:left="1701"/>
        <w:jc w:val="both"/>
        <w:rPr>
          <w:rFonts w:ascii="Palatino Linotype" w:hAnsi="Palatino Linotype"/>
          <w:bCs/>
          <w:iCs/>
          <w:color w:val="000000" w:themeColor="text1"/>
          <w:lang w:val="es-MX"/>
        </w:rPr>
      </w:pPr>
      <w:r w:rsidRPr="00F11975">
        <w:rPr>
          <w:rFonts w:ascii="Palatino Linotype" w:hAnsi="Palatino Linotype"/>
          <w:bCs/>
          <w:iCs/>
          <w:color w:val="000000" w:themeColor="text1"/>
          <w:lang w:val="es-MX"/>
        </w:rPr>
        <w:t>Oficio número DGSCYTM/SIEIC/2691/2022, de veintidós (22) de marzo de dos mil veintidós, suscrito por el Subdirector de Inteligencia e Investigación Criminal, y dirigido al Encale de Transparencia y Acceso a la Información Pública de la Dirección General de Seguridad Ciudadana y Tránsito Municipal, por el que informa anexar u</w:t>
      </w:r>
      <w:r w:rsidR="00924A4D" w:rsidRPr="00F11975">
        <w:rPr>
          <w:rFonts w:ascii="Palatino Linotype" w:hAnsi="Palatino Linotype"/>
          <w:bCs/>
          <w:iCs/>
          <w:color w:val="000000" w:themeColor="text1"/>
          <w:lang w:val="es-MX"/>
        </w:rPr>
        <w:t>na memoria USB con la información solicitada.</w:t>
      </w:r>
    </w:p>
    <w:p w14:paraId="2F98D1AB" w14:textId="0DCFB703" w:rsidR="00B27F36" w:rsidRPr="00F11975" w:rsidRDefault="00B27F36" w:rsidP="00F872DA">
      <w:pPr>
        <w:pStyle w:val="Prrafodelista"/>
        <w:numPr>
          <w:ilvl w:val="1"/>
          <w:numId w:val="20"/>
        </w:numPr>
        <w:tabs>
          <w:tab w:val="left" w:pos="426"/>
        </w:tabs>
        <w:spacing w:line="360" w:lineRule="auto"/>
        <w:ind w:left="1134"/>
        <w:jc w:val="both"/>
        <w:rPr>
          <w:rFonts w:ascii="Palatino Linotype" w:hAnsi="Palatino Linotype"/>
          <w:color w:val="000000" w:themeColor="text1"/>
        </w:rPr>
      </w:pPr>
      <w:r w:rsidRPr="00F11975">
        <w:rPr>
          <w:rFonts w:ascii="Palatino Linotype" w:hAnsi="Palatino Linotype"/>
          <w:b/>
          <w:i/>
          <w:color w:val="000000" w:themeColor="text1"/>
        </w:rPr>
        <w:t>“</w:t>
      </w:r>
      <w:r w:rsidR="00F872DA" w:rsidRPr="00F11975">
        <w:rPr>
          <w:rFonts w:ascii="Palatino Linotype" w:hAnsi="Palatino Linotype"/>
          <w:b/>
          <w:i/>
          <w:color w:val="000000" w:themeColor="text1"/>
        </w:rPr>
        <w:t>base faltas administrativas enero 2016 a febrero 2022.pdf</w:t>
      </w:r>
      <w:r w:rsidRPr="00F11975">
        <w:rPr>
          <w:rFonts w:ascii="Palatino Linotype" w:hAnsi="Palatino Linotype"/>
          <w:b/>
          <w:i/>
          <w:color w:val="000000" w:themeColor="text1"/>
        </w:rPr>
        <w:t>”</w:t>
      </w:r>
      <w:r w:rsidRPr="00F11975">
        <w:rPr>
          <w:rFonts w:ascii="Palatino Linotype" w:hAnsi="Palatino Linotype"/>
          <w:color w:val="000000" w:themeColor="text1"/>
        </w:rPr>
        <w:t xml:space="preserve">: </w:t>
      </w:r>
      <w:r w:rsidR="009B2205" w:rsidRPr="00F11975">
        <w:rPr>
          <w:rFonts w:ascii="Palatino Linotype" w:hAnsi="Palatino Linotype"/>
          <w:color w:val="000000" w:themeColor="text1"/>
        </w:rPr>
        <w:t xml:space="preserve">Documento de 6,890 fojas consistente en el listado de las faltas administrativas registradas en el Municipio de Naucalpan de Juárez, y donde se muestra </w:t>
      </w:r>
      <w:r w:rsidR="009B2205" w:rsidRPr="00F11975">
        <w:rPr>
          <w:rFonts w:ascii="Palatino Linotype" w:hAnsi="Palatino Linotype"/>
          <w:color w:val="000000" w:themeColor="text1"/>
        </w:rPr>
        <w:lastRenderedPageBreak/>
        <w:t>información como la fecha, hora, calles y colonia donde se realizaron las faltas.</w:t>
      </w:r>
    </w:p>
    <w:p w14:paraId="121AF795" w14:textId="6AD6E6E1" w:rsidR="00B27F36" w:rsidRPr="00F11975" w:rsidRDefault="00B27F36" w:rsidP="00F872DA">
      <w:pPr>
        <w:pStyle w:val="Prrafodelista"/>
        <w:numPr>
          <w:ilvl w:val="1"/>
          <w:numId w:val="20"/>
        </w:numPr>
        <w:tabs>
          <w:tab w:val="left" w:pos="426"/>
        </w:tabs>
        <w:spacing w:line="360" w:lineRule="auto"/>
        <w:ind w:left="1134"/>
        <w:jc w:val="both"/>
        <w:rPr>
          <w:rFonts w:ascii="Palatino Linotype" w:hAnsi="Palatino Linotype"/>
          <w:color w:val="000000" w:themeColor="text1"/>
        </w:rPr>
      </w:pPr>
      <w:r w:rsidRPr="00F11975">
        <w:rPr>
          <w:rFonts w:ascii="Palatino Linotype" w:hAnsi="Palatino Linotype"/>
          <w:b/>
          <w:i/>
          <w:color w:val="000000" w:themeColor="text1"/>
        </w:rPr>
        <w:t>“</w:t>
      </w:r>
      <w:r w:rsidR="00F872DA" w:rsidRPr="00F11975">
        <w:rPr>
          <w:rFonts w:ascii="Palatino Linotype" w:hAnsi="Palatino Linotype"/>
          <w:b/>
          <w:i/>
          <w:color w:val="000000" w:themeColor="text1"/>
        </w:rPr>
        <w:t>base de datos delitos enero 2015 a febrero 2022.pdf</w:t>
      </w:r>
      <w:r w:rsidRPr="00F11975">
        <w:rPr>
          <w:rFonts w:ascii="Palatino Linotype" w:hAnsi="Palatino Linotype"/>
          <w:b/>
          <w:i/>
          <w:color w:val="000000" w:themeColor="text1"/>
        </w:rPr>
        <w:t>”</w:t>
      </w:r>
      <w:r w:rsidRPr="00F11975">
        <w:rPr>
          <w:rFonts w:ascii="Palatino Linotype" w:hAnsi="Palatino Linotype"/>
          <w:color w:val="000000" w:themeColor="text1"/>
        </w:rPr>
        <w:t xml:space="preserve">: </w:t>
      </w:r>
      <w:r w:rsidR="009B2205" w:rsidRPr="00F11975">
        <w:rPr>
          <w:rFonts w:ascii="Palatino Linotype" w:hAnsi="Palatino Linotype"/>
          <w:color w:val="000000" w:themeColor="text1"/>
        </w:rPr>
        <w:t>Documento de 10,705 fojas consistente en el listado de delitos registrados desde enero de dos mil quince a febrero de dos mil veintidós, donde se muestran columnas con la fecha, hora, delito, calles, colonia, etc.</w:t>
      </w:r>
    </w:p>
    <w:p w14:paraId="523FC70D" w14:textId="77777777" w:rsidR="001E4152" w:rsidRPr="00F11975" w:rsidRDefault="001E4152" w:rsidP="003D792A">
      <w:pPr>
        <w:pStyle w:val="Prrafodelista"/>
        <w:tabs>
          <w:tab w:val="left" w:pos="426"/>
        </w:tabs>
        <w:spacing w:line="360" w:lineRule="auto"/>
        <w:ind w:left="0"/>
        <w:jc w:val="both"/>
        <w:rPr>
          <w:rFonts w:ascii="Palatino Linotype" w:hAnsi="Palatino Linotype"/>
          <w:color w:val="000000" w:themeColor="text1"/>
        </w:rPr>
      </w:pPr>
    </w:p>
    <w:p w14:paraId="7552CD1A" w14:textId="13F75463" w:rsidR="00F148CC" w:rsidRPr="00F11975" w:rsidRDefault="00F148CC" w:rsidP="00F76964">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F11975">
        <w:rPr>
          <w:rFonts w:ascii="Palatino Linotype" w:hAnsi="Palatino Linotype"/>
          <w:color w:val="000000" w:themeColor="text1"/>
        </w:rPr>
        <w:t xml:space="preserve">No se omite mencionar que </w:t>
      </w:r>
      <w:bookmarkStart w:id="5" w:name="_Hlk74251250"/>
      <w:r w:rsidRPr="00F11975">
        <w:rPr>
          <w:rFonts w:ascii="Palatino Linotype" w:hAnsi="Palatino Linotype"/>
          <w:color w:val="000000" w:themeColor="text1"/>
          <w:lang w:val="es-MX"/>
        </w:rPr>
        <w:t>en la</w:t>
      </w:r>
      <w:r w:rsidRPr="00F11975">
        <w:rPr>
          <w:rFonts w:ascii="Palatino Linotype" w:hAnsi="Palatino Linotype"/>
          <w:b/>
          <w:color w:val="000000" w:themeColor="text1"/>
          <w:lang w:val="es-MX"/>
        </w:rPr>
        <w:t xml:space="preserve"> Novena Sesión Ordinaria, </w:t>
      </w:r>
      <w:r w:rsidRPr="00F11975">
        <w:rPr>
          <w:rFonts w:ascii="Palatino Linotype" w:hAnsi="Palatino Linotype"/>
          <w:color w:val="000000" w:themeColor="text1"/>
          <w:lang w:val="es-MX"/>
        </w:rPr>
        <w:t xml:space="preserve">celebrada el nueve (09) de marzo de dos mil veintidós, el Pleno de este Órgano Autónomo ordenó la acumulación del recurso de revisión </w:t>
      </w:r>
      <w:r w:rsidRPr="00F11975">
        <w:rPr>
          <w:rFonts w:ascii="Palatino Linotype" w:hAnsi="Palatino Linotype"/>
          <w:b/>
          <w:bCs/>
          <w:color w:val="000000" w:themeColor="text1"/>
          <w:lang w:val="es-MX"/>
        </w:rPr>
        <w:t>01895/INFOEM/IP/RR/2022</w:t>
      </w:r>
      <w:r w:rsidRPr="00F11975">
        <w:rPr>
          <w:rFonts w:ascii="Palatino Linotype" w:hAnsi="Palatino Linotype"/>
          <w:color w:val="000000" w:themeColor="text1"/>
          <w:lang w:val="es-MX"/>
        </w:rPr>
        <w:t xml:space="preserve">, al diverso </w:t>
      </w:r>
      <w:r w:rsidRPr="00F11975">
        <w:rPr>
          <w:rFonts w:ascii="Palatino Linotype" w:hAnsi="Palatino Linotype"/>
          <w:b/>
          <w:color w:val="000000" w:themeColor="text1"/>
          <w:lang w:val="es-MX"/>
        </w:rPr>
        <w:t>00001/INFOEM/IP/RR-E/2022</w:t>
      </w:r>
      <w:r w:rsidRPr="00F11975">
        <w:rPr>
          <w:rFonts w:ascii="Palatino Linotype" w:hAnsi="Palatino Linotype"/>
          <w:color w:val="000000" w:themeColor="text1"/>
          <w:lang w:val="es-MX"/>
        </w:rPr>
        <w:t>, a efecto de que esta Ponencia Resolutora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F11975">
        <w:rPr>
          <w:rFonts w:ascii="Palatino Linotype" w:hAnsi="Palatino Linotype"/>
          <w:i/>
          <w:color w:val="000000" w:themeColor="text1"/>
          <w:vertAlign w:val="superscript"/>
          <w:lang w:val="es-MX"/>
        </w:rPr>
        <w:footnoteReference w:id="1"/>
      </w:r>
      <w:r w:rsidRPr="00F11975">
        <w:rPr>
          <w:rFonts w:ascii="Palatino Linotype" w:hAnsi="Palatino Linotype"/>
          <w:color w:val="000000" w:themeColor="text1"/>
          <w:lang w:val="es-MX"/>
        </w:rPr>
        <w:t>, que señala:</w:t>
      </w:r>
      <w:bookmarkEnd w:id="5"/>
    </w:p>
    <w:p w14:paraId="306C3624" w14:textId="652D0A9E" w:rsidR="00F148CC" w:rsidRPr="00F11975" w:rsidRDefault="00F148CC" w:rsidP="00F148CC">
      <w:pPr>
        <w:pStyle w:val="Prrafodelista"/>
        <w:tabs>
          <w:tab w:val="left" w:pos="426"/>
        </w:tabs>
        <w:spacing w:line="360" w:lineRule="auto"/>
        <w:ind w:left="0"/>
        <w:jc w:val="both"/>
        <w:rPr>
          <w:rFonts w:ascii="Palatino Linotype" w:hAnsi="Palatino Linotype"/>
          <w:color w:val="000000" w:themeColor="text1"/>
        </w:rPr>
      </w:pPr>
    </w:p>
    <w:p w14:paraId="2BB0BEF3" w14:textId="77777777" w:rsidR="00F148CC" w:rsidRPr="00F11975" w:rsidRDefault="00F148CC" w:rsidP="00F148CC">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6" w:name="_Hlk74251499"/>
      <w:r w:rsidRPr="00F11975">
        <w:rPr>
          <w:rFonts w:ascii="Palatino Linotype" w:eastAsia="Times New Roman" w:hAnsi="Palatino Linotype" w:cs="Arial"/>
          <w:b/>
          <w:i/>
          <w:sz w:val="22"/>
          <w:szCs w:val="22"/>
        </w:rPr>
        <w:t>“ONCE.</w:t>
      </w:r>
      <w:r w:rsidRPr="00F11975">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69A2960" w14:textId="77777777" w:rsidR="00F148CC" w:rsidRPr="00F11975" w:rsidRDefault="00F148CC" w:rsidP="00F148CC">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F11975">
        <w:rPr>
          <w:rFonts w:ascii="Palatino Linotype" w:eastAsia="Times New Roman" w:hAnsi="Palatino Linotype" w:cs="Arial"/>
          <w:i/>
          <w:sz w:val="22"/>
          <w:szCs w:val="22"/>
        </w:rPr>
        <w:t>(…)</w:t>
      </w:r>
    </w:p>
    <w:p w14:paraId="53320B16" w14:textId="77777777" w:rsidR="00F148CC" w:rsidRPr="00F11975" w:rsidRDefault="00F148CC" w:rsidP="00F148CC">
      <w:pPr>
        <w:spacing w:line="276" w:lineRule="auto"/>
        <w:ind w:left="567" w:right="567"/>
        <w:jc w:val="both"/>
        <w:rPr>
          <w:rFonts w:ascii="Palatino Linotype" w:eastAsia="Times New Roman" w:hAnsi="Palatino Linotype" w:cs="Times New Roman"/>
          <w:i/>
          <w:color w:val="000000"/>
          <w:sz w:val="22"/>
          <w:szCs w:val="22"/>
        </w:rPr>
      </w:pPr>
      <w:r w:rsidRPr="00F11975">
        <w:rPr>
          <w:rFonts w:ascii="Palatino Linotype" w:eastAsia="Times New Roman" w:hAnsi="Palatino Linotype" w:cs="Times New Roman"/>
          <w:b/>
          <w:i/>
          <w:color w:val="000000"/>
          <w:sz w:val="22"/>
          <w:szCs w:val="22"/>
        </w:rPr>
        <w:t>b)</w:t>
      </w:r>
      <w:r w:rsidRPr="00F11975">
        <w:rPr>
          <w:rFonts w:ascii="Palatino Linotype" w:eastAsia="Times New Roman" w:hAnsi="Palatino Linotype" w:cs="Times New Roman"/>
          <w:i/>
          <w:color w:val="000000"/>
          <w:sz w:val="22"/>
          <w:szCs w:val="22"/>
        </w:rPr>
        <w:t xml:space="preserve"> Las partes o los actos impugnados sean iguales</w:t>
      </w:r>
    </w:p>
    <w:p w14:paraId="41E02235" w14:textId="77777777" w:rsidR="00F148CC" w:rsidRPr="00F11975" w:rsidRDefault="00F148CC" w:rsidP="00F148CC">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F11975">
        <w:rPr>
          <w:rFonts w:ascii="Palatino Linotype" w:eastAsia="Times New Roman" w:hAnsi="Palatino Linotype" w:cs="Arial"/>
          <w:b/>
          <w:i/>
          <w:sz w:val="22"/>
          <w:szCs w:val="22"/>
        </w:rPr>
        <w:t>c)</w:t>
      </w:r>
      <w:r w:rsidRPr="00F11975">
        <w:rPr>
          <w:rFonts w:ascii="Palatino Linotype" w:eastAsia="Times New Roman" w:hAnsi="Palatino Linotype" w:cs="Arial"/>
          <w:i/>
          <w:sz w:val="22"/>
          <w:szCs w:val="22"/>
        </w:rPr>
        <w:t xml:space="preserve"> Cuando se trate del mismo solicitante, el mismo SUJETO OBLIGADO, aunque se trate de solicitudes diversas;</w:t>
      </w:r>
    </w:p>
    <w:p w14:paraId="4E8D3594" w14:textId="77777777" w:rsidR="00F148CC" w:rsidRPr="00F11975" w:rsidRDefault="00F148CC" w:rsidP="00F148CC">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F11975">
        <w:rPr>
          <w:rFonts w:ascii="Palatino Linotype" w:eastAsia="Times New Roman" w:hAnsi="Palatino Linotype" w:cs="Arial"/>
          <w:i/>
          <w:sz w:val="22"/>
          <w:szCs w:val="22"/>
        </w:rPr>
        <w:t>(…)”</w:t>
      </w:r>
    </w:p>
    <w:bookmarkEnd w:id="6"/>
    <w:p w14:paraId="0E45D178" w14:textId="77777777" w:rsidR="00F148CC" w:rsidRPr="00F11975" w:rsidRDefault="00F148CC" w:rsidP="00F148CC">
      <w:pPr>
        <w:pStyle w:val="Prrafodelista"/>
        <w:tabs>
          <w:tab w:val="left" w:pos="426"/>
        </w:tabs>
        <w:spacing w:line="360" w:lineRule="auto"/>
        <w:ind w:left="0"/>
        <w:jc w:val="both"/>
        <w:rPr>
          <w:rFonts w:ascii="Palatino Linotype" w:hAnsi="Palatino Linotype"/>
          <w:color w:val="000000" w:themeColor="text1"/>
        </w:rPr>
      </w:pPr>
    </w:p>
    <w:p w14:paraId="439D22CF" w14:textId="12B405A7" w:rsidR="00F148CC" w:rsidRPr="00F11975" w:rsidRDefault="00F148CC" w:rsidP="00F76964">
      <w:pPr>
        <w:pStyle w:val="Prrafodelista"/>
        <w:numPr>
          <w:ilvl w:val="0"/>
          <w:numId w:val="1"/>
        </w:numPr>
        <w:tabs>
          <w:tab w:val="left" w:pos="426"/>
        </w:tabs>
        <w:spacing w:line="360" w:lineRule="auto"/>
        <w:jc w:val="both"/>
        <w:rPr>
          <w:rFonts w:ascii="Palatino Linotype" w:hAnsi="Palatino Linotype"/>
          <w:color w:val="000000" w:themeColor="text1"/>
        </w:rPr>
      </w:pPr>
      <w:r w:rsidRPr="00F11975">
        <w:rPr>
          <w:rFonts w:ascii="Palatino Linotype" w:hAnsi="Palatino Linotype"/>
          <w:color w:val="000000" w:themeColor="text1"/>
        </w:rPr>
        <w:t xml:space="preserve">En </w:t>
      </w:r>
      <w:bookmarkStart w:id="7" w:name="_Hlk74251510"/>
      <w:r w:rsidRPr="00F11975">
        <w:rPr>
          <w:rFonts w:ascii="Palatino Linotype" w:eastAsia="Times New Roman" w:hAnsi="Palatino Linotype" w:cs="Arial"/>
          <w:color w:val="000000" w:themeColor="text1"/>
        </w:rPr>
        <w:t>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7"/>
    </w:p>
    <w:p w14:paraId="54CB43BB" w14:textId="251C1DE6" w:rsidR="00F148CC" w:rsidRPr="00F11975" w:rsidRDefault="00F148CC" w:rsidP="00F148CC">
      <w:pPr>
        <w:pStyle w:val="Prrafodelista"/>
        <w:tabs>
          <w:tab w:val="left" w:pos="426"/>
        </w:tabs>
        <w:spacing w:line="360" w:lineRule="auto"/>
        <w:ind w:left="0"/>
        <w:jc w:val="both"/>
        <w:rPr>
          <w:rFonts w:ascii="Palatino Linotype" w:hAnsi="Palatino Linotype"/>
          <w:color w:val="000000" w:themeColor="text1"/>
        </w:rPr>
      </w:pPr>
    </w:p>
    <w:p w14:paraId="2A7B144D" w14:textId="77777777" w:rsidR="00F148CC" w:rsidRPr="00F11975" w:rsidRDefault="00F148CC" w:rsidP="00F148CC">
      <w:pPr>
        <w:spacing w:line="276" w:lineRule="auto"/>
        <w:ind w:left="567" w:right="567"/>
        <w:contextualSpacing/>
        <w:jc w:val="center"/>
        <w:rPr>
          <w:rFonts w:ascii="Palatino Linotype" w:hAnsi="Palatino Linotype"/>
          <w:b/>
          <w:i/>
          <w:sz w:val="22"/>
          <w:szCs w:val="22"/>
        </w:rPr>
      </w:pPr>
      <w:bookmarkStart w:id="8" w:name="_Hlk74251520"/>
      <w:r w:rsidRPr="00F11975">
        <w:rPr>
          <w:rFonts w:ascii="Palatino Linotype" w:hAnsi="Palatino Linotype"/>
          <w:b/>
          <w:i/>
          <w:sz w:val="22"/>
          <w:szCs w:val="22"/>
        </w:rPr>
        <w:t>Código de Procedimientos Administrativos del Estado de México.</w:t>
      </w:r>
    </w:p>
    <w:p w14:paraId="4EC6966E" w14:textId="77777777" w:rsidR="00F148CC" w:rsidRPr="00F11975" w:rsidRDefault="00F148CC" w:rsidP="00F148CC">
      <w:pPr>
        <w:spacing w:line="276" w:lineRule="auto"/>
        <w:ind w:left="567" w:right="567"/>
        <w:contextualSpacing/>
        <w:jc w:val="center"/>
        <w:rPr>
          <w:rFonts w:ascii="Palatino Linotype" w:hAnsi="Palatino Linotype"/>
          <w:b/>
          <w:i/>
          <w:sz w:val="22"/>
          <w:szCs w:val="22"/>
        </w:rPr>
      </w:pPr>
    </w:p>
    <w:p w14:paraId="3385C63D" w14:textId="77777777" w:rsidR="00F148CC" w:rsidRPr="00F11975" w:rsidRDefault="00F148CC" w:rsidP="00F148CC">
      <w:pPr>
        <w:spacing w:line="276" w:lineRule="auto"/>
        <w:ind w:left="567" w:right="567"/>
        <w:contextualSpacing/>
        <w:jc w:val="both"/>
        <w:rPr>
          <w:rFonts w:ascii="Palatino Linotype" w:hAnsi="Palatino Linotype"/>
          <w:i/>
          <w:sz w:val="22"/>
          <w:szCs w:val="22"/>
        </w:rPr>
      </w:pPr>
      <w:r w:rsidRPr="00F11975">
        <w:rPr>
          <w:rFonts w:ascii="Palatino Linotype" w:hAnsi="Palatino Linotype"/>
          <w:b/>
          <w:i/>
          <w:sz w:val="22"/>
          <w:szCs w:val="22"/>
        </w:rPr>
        <w:t>“Artículo 18.-</w:t>
      </w:r>
      <w:r w:rsidRPr="00F11975">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E12E88E" w14:textId="77777777" w:rsidR="00F148CC" w:rsidRPr="00F11975" w:rsidRDefault="00F148CC" w:rsidP="00F148CC">
      <w:pPr>
        <w:spacing w:line="276" w:lineRule="auto"/>
        <w:ind w:left="567" w:right="567"/>
        <w:contextualSpacing/>
        <w:jc w:val="both"/>
        <w:rPr>
          <w:rFonts w:ascii="Palatino Linotype" w:hAnsi="Palatino Linotype"/>
          <w:i/>
          <w:sz w:val="22"/>
          <w:szCs w:val="22"/>
        </w:rPr>
      </w:pPr>
    </w:p>
    <w:p w14:paraId="2670539F" w14:textId="77777777" w:rsidR="00F148CC" w:rsidRPr="00F11975" w:rsidRDefault="00F148CC" w:rsidP="00F148CC">
      <w:pPr>
        <w:spacing w:line="276" w:lineRule="auto"/>
        <w:ind w:left="567" w:right="567"/>
        <w:contextualSpacing/>
        <w:jc w:val="center"/>
        <w:rPr>
          <w:rFonts w:ascii="Palatino Linotype" w:hAnsi="Palatino Linotype"/>
          <w:b/>
          <w:i/>
          <w:sz w:val="22"/>
          <w:szCs w:val="22"/>
        </w:rPr>
      </w:pPr>
      <w:r w:rsidRPr="00F11975">
        <w:rPr>
          <w:rFonts w:ascii="Palatino Linotype" w:hAnsi="Palatino Linotype"/>
          <w:b/>
          <w:i/>
          <w:sz w:val="22"/>
          <w:szCs w:val="22"/>
        </w:rPr>
        <w:t>Ley de Transparencia y Acceso a la Información Pública del Estado de México y Municipios</w:t>
      </w:r>
    </w:p>
    <w:p w14:paraId="3E44D1E7" w14:textId="77777777" w:rsidR="00F148CC" w:rsidRPr="00F11975" w:rsidRDefault="00F148CC" w:rsidP="00F148CC">
      <w:pPr>
        <w:spacing w:line="276" w:lineRule="auto"/>
        <w:ind w:left="567" w:right="567"/>
        <w:contextualSpacing/>
        <w:jc w:val="center"/>
        <w:rPr>
          <w:rFonts w:ascii="Palatino Linotype" w:hAnsi="Palatino Linotype"/>
          <w:b/>
          <w:i/>
          <w:sz w:val="22"/>
          <w:szCs w:val="22"/>
        </w:rPr>
      </w:pPr>
    </w:p>
    <w:p w14:paraId="71356E45" w14:textId="77777777" w:rsidR="00F148CC" w:rsidRPr="00F11975" w:rsidRDefault="00F148CC" w:rsidP="00F148CC">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F11975">
        <w:rPr>
          <w:rFonts w:ascii="Palatino Linotype" w:hAnsi="Palatino Linotype"/>
          <w:b/>
          <w:i/>
          <w:sz w:val="22"/>
          <w:szCs w:val="22"/>
        </w:rPr>
        <w:t>“Artículo 195.</w:t>
      </w:r>
      <w:r w:rsidRPr="00F11975">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8"/>
    <w:p w14:paraId="07E38CCE" w14:textId="77777777" w:rsidR="00F148CC" w:rsidRPr="00F11975" w:rsidRDefault="00F148CC" w:rsidP="00F148CC">
      <w:pPr>
        <w:pStyle w:val="Prrafodelista"/>
        <w:tabs>
          <w:tab w:val="left" w:pos="426"/>
        </w:tabs>
        <w:spacing w:line="360" w:lineRule="auto"/>
        <w:ind w:left="0"/>
        <w:jc w:val="both"/>
        <w:rPr>
          <w:rFonts w:ascii="Palatino Linotype" w:hAnsi="Palatino Linotype"/>
          <w:color w:val="000000" w:themeColor="text1"/>
        </w:rPr>
      </w:pPr>
    </w:p>
    <w:p w14:paraId="0C97BA04" w14:textId="116615FE" w:rsidR="00F148CC" w:rsidRPr="00F11975" w:rsidRDefault="00F148CC" w:rsidP="00F76964">
      <w:pPr>
        <w:pStyle w:val="Prrafodelista"/>
        <w:numPr>
          <w:ilvl w:val="0"/>
          <w:numId w:val="1"/>
        </w:numPr>
        <w:tabs>
          <w:tab w:val="left" w:pos="426"/>
        </w:tabs>
        <w:spacing w:line="360" w:lineRule="auto"/>
        <w:jc w:val="both"/>
        <w:rPr>
          <w:rFonts w:ascii="Palatino Linotype" w:hAnsi="Palatino Linotype"/>
          <w:color w:val="000000" w:themeColor="text1"/>
        </w:rPr>
      </w:pPr>
      <w:r w:rsidRPr="00F11975">
        <w:rPr>
          <w:rFonts w:ascii="Palatino Linotype" w:hAnsi="Palatino Linotype"/>
          <w:color w:val="000000" w:themeColor="text1"/>
        </w:rPr>
        <w:t xml:space="preserve">El </w:t>
      </w:r>
      <w:r w:rsidRPr="00F11975">
        <w:rPr>
          <w:rFonts w:ascii="Palatino Linotype" w:eastAsia="Times New Roman" w:hAnsi="Palatino Linotype" w:cs="Arial"/>
          <w:color w:val="000000" w:themeColor="text1"/>
        </w:rPr>
        <w:t xml:space="preserve">veintidós (22) de marzo de dos mil veintidós, se notificó en el SAIMEX la acumulación de los recursos de revisión </w:t>
      </w:r>
      <w:r w:rsidRPr="00F11975">
        <w:rPr>
          <w:rFonts w:ascii="Palatino Linotype" w:hAnsi="Palatino Linotype"/>
          <w:b/>
          <w:bCs/>
          <w:color w:val="000000" w:themeColor="text1"/>
          <w:sz w:val="22"/>
        </w:rPr>
        <w:t xml:space="preserve">01895/INFOEM/IP/RR/2022 </w:t>
      </w:r>
      <w:r w:rsidRPr="00F11975">
        <w:rPr>
          <w:rFonts w:ascii="Palatino Linotype" w:hAnsi="Palatino Linotype"/>
          <w:color w:val="000000" w:themeColor="text1"/>
          <w:sz w:val="22"/>
        </w:rPr>
        <w:t>y</w:t>
      </w:r>
      <w:r w:rsidRPr="00F11975">
        <w:rPr>
          <w:rFonts w:ascii="Palatino Linotype" w:hAnsi="Palatino Linotype"/>
          <w:b/>
          <w:bCs/>
          <w:color w:val="000000" w:themeColor="text1"/>
          <w:sz w:val="22"/>
        </w:rPr>
        <w:t xml:space="preserve"> 00001/INFOEM/IP/RR-E/2022</w:t>
      </w:r>
      <w:r w:rsidRPr="00F11975">
        <w:rPr>
          <w:rFonts w:ascii="Palatino Linotype" w:hAnsi="Palatino Linotype" w:cs="Arial"/>
          <w:color w:val="000000" w:themeColor="text1"/>
        </w:rPr>
        <w:t>.</w:t>
      </w:r>
    </w:p>
    <w:p w14:paraId="29D60AFE" w14:textId="77777777" w:rsidR="00F148CC" w:rsidRPr="00F11975" w:rsidRDefault="00F148CC" w:rsidP="00F148CC">
      <w:pPr>
        <w:pStyle w:val="Prrafodelista"/>
        <w:tabs>
          <w:tab w:val="left" w:pos="426"/>
        </w:tabs>
        <w:spacing w:line="360" w:lineRule="auto"/>
        <w:ind w:left="0"/>
        <w:jc w:val="both"/>
        <w:rPr>
          <w:rFonts w:ascii="Palatino Linotype" w:hAnsi="Palatino Linotype"/>
          <w:color w:val="000000" w:themeColor="text1"/>
        </w:rPr>
      </w:pPr>
    </w:p>
    <w:p w14:paraId="33CAB30E" w14:textId="040A306D" w:rsidR="00F76964" w:rsidRPr="00F11975" w:rsidRDefault="005042A4" w:rsidP="00F76964">
      <w:pPr>
        <w:pStyle w:val="Prrafodelista"/>
        <w:numPr>
          <w:ilvl w:val="0"/>
          <w:numId w:val="1"/>
        </w:numPr>
        <w:tabs>
          <w:tab w:val="left" w:pos="426"/>
        </w:tabs>
        <w:spacing w:line="360" w:lineRule="auto"/>
        <w:jc w:val="both"/>
        <w:rPr>
          <w:rFonts w:ascii="Palatino Linotype" w:hAnsi="Palatino Linotype"/>
          <w:color w:val="000000" w:themeColor="text1"/>
        </w:rPr>
      </w:pPr>
      <w:r w:rsidRPr="00F11975">
        <w:rPr>
          <w:rFonts w:ascii="Palatino Linotype" w:hAnsi="Palatino Linotype"/>
          <w:color w:val="000000" w:themeColor="text1"/>
        </w:rPr>
        <w:lastRenderedPageBreak/>
        <w:t>Por otro lado, luego</w:t>
      </w:r>
      <w:r w:rsidR="00F76964" w:rsidRPr="00F11975">
        <w:rPr>
          <w:rFonts w:ascii="Palatino Linotype" w:hAnsi="Palatino Linotype"/>
          <w:color w:val="000000" w:themeColor="text1"/>
        </w:rPr>
        <w:t xml:space="preserve"> de analizar el contenido de los documentos presentados por el </w:t>
      </w:r>
      <w:r w:rsidR="00F76964" w:rsidRPr="00F11975">
        <w:rPr>
          <w:rFonts w:ascii="Palatino Linotype" w:hAnsi="Palatino Linotype"/>
          <w:b/>
          <w:bCs/>
          <w:color w:val="000000" w:themeColor="text1"/>
        </w:rPr>
        <w:t>SUJETO OBLIGADO</w:t>
      </w:r>
      <w:r w:rsidR="00F76964" w:rsidRPr="00F11975">
        <w:rPr>
          <w:rFonts w:ascii="Palatino Linotype" w:hAnsi="Palatino Linotype"/>
          <w:color w:val="000000" w:themeColor="text1"/>
        </w:rPr>
        <w:t xml:space="preserve"> en el apartado de </w:t>
      </w:r>
      <w:r w:rsidR="00F76964" w:rsidRPr="00F11975">
        <w:rPr>
          <w:rFonts w:ascii="Palatino Linotype" w:hAnsi="Palatino Linotype"/>
          <w:i/>
          <w:iCs/>
          <w:color w:val="000000" w:themeColor="text1"/>
        </w:rPr>
        <w:t>Manifestaciones</w:t>
      </w:r>
      <w:r w:rsidR="00F76964" w:rsidRPr="00F11975">
        <w:rPr>
          <w:rFonts w:ascii="Palatino Linotype" w:hAnsi="Palatino Linotype"/>
          <w:color w:val="000000" w:themeColor="text1"/>
        </w:rPr>
        <w:t xml:space="preserve"> del SAIMEX, se concluyó que éstos contenían información novedosa y de probable interés para el </w:t>
      </w:r>
      <w:r w:rsidR="00F76964" w:rsidRPr="00F11975">
        <w:rPr>
          <w:rFonts w:ascii="Palatino Linotype" w:hAnsi="Palatino Linotype"/>
          <w:b/>
          <w:bCs/>
          <w:color w:val="000000" w:themeColor="text1"/>
        </w:rPr>
        <w:t>RECURRENTE</w:t>
      </w:r>
      <w:r w:rsidR="00F76964" w:rsidRPr="00F11975">
        <w:rPr>
          <w:rFonts w:ascii="Palatino Linotype" w:hAnsi="Palatino Linotype"/>
          <w:color w:val="000000" w:themeColor="text1"/>
        </w:rPr>
        <w:t xml:space="preserve">, por lo se pusieron a la vista del particular el </w:t>
      </w:r>
      <w:r w:rsidR="009B2205" w:rsidRPr="00F11975">
        <w:rPr>
          <w:rFonts w:ascii="Palatino Linotype" w:hAnsi="Palatino Linotype"/>
          <w:color w:val="000000" w:themeColor="text1"/>
        </w:rPr>
        <w:t>ocho (08) de abril</w:t>
      </w:r>
      <w:r w:rsidR="00F76964" w:rsidRPr="00F11975">
        <w:rPr>
          <w:rFonts w:ascii="Palatino Linotype" w:hAnsi="Palatino Linotype"/>
          <w:color w:val="000000" w:themeColor="text1"/>
        </w:rPr>
        <w:t xml:space="preserve"> de dos mil veintidós, concediéndole un plazo de tres (03)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6A7A472D" w14:textId="77777777" w:rsidR="00F76964" w:rsidRPr="00F11975" w:rsidRDefault="00F76964" w:rsidP="00F76964">
      <w:pPr>
        <w:pStyle w:val="Prrafodelista"/>
        <w:tabs>
          <w:tab w:val="left" w:pos="426"/>
        </w:tabs>
        <w:spacing w:line="360" w:lineRule="auto"/>
        <w:ind w:left="0"/>
        <w:jc w:val="both"/>
        <w:rPr>
          <w:rFonts w:ascii="Palatino Linotype" w:hAnsi="Palatino Linotype"/>
          <w:color w:val="000000" w:themeColor="text1"/>
        </w:rPr>
      </w:pPr>
    </w:p>
    <w:p w14:paraId="785CD931" w14:textId="56F9902D" w:rsidR="005042A4" w:rsidRPr="00F11975" w:rsidRDefault="005042A4" w:rsidP="002C287A">
      <w:pPr>
        <w:pStyle w:val="Prrafodelista"/>
        <w:numPr>
          <w:ilvl w:val="0"/>
          <w:numId w:val="1"/>
        </w:numPr>
        <w:tabs>
          <w:tab w:val="left" w:pos="426"/>
        </w:tabs>
        <w:spacing w:line="360" w:lineRule="auto"/>
        <w:jc w:val="both"/>
        <w:rPr>
          <w:rFonts w:ascii="Palatino Linotype" w:hAnsi="Palatino Linotype"/>
          <w:color w:val="000000" w:themeColor="text1"/>
        </w:rPr>
      </w:pPr>
      <w:r w:rsidRPr="00F11975">
        <w:rPr>
          <w:rFonts w:ascii="Palatino Linotype" w:eastAsia="Calibri" w:hAnsi="Palatino Linotype" w:cs="Arial"/>
          <w:color w:val="000000" w:themeColor="text1"/>
          <w:lang w:val="es-ES"/>
        </w:rPr>
        <w:t>El</w:t>
      </w:r>
      <w:r w:rsidR="00920EB8" w:rsidRPr="00F11975">
        <w:rPr>
          <w:rFonts w:ascii="Palatino Linotype" w:eastAsia="Calibri" w:hAnsi="Palatino Linotype" w:cs="Arial"/>
          <w:color w:val="000000" w:themeColor="text1"/>
          <w:lang w:val="es-ES"/>
        </w:rPr>
        <w:t xml:space="preserve"> </w:t>
      </w:r>
      <w:r w:rsidRPr="00F11975">
        <w:rPr>
          <w:rFonts w:ascii="Palatino Linotype" w:eastAsia="Calibri" w:hAnsi="Palatino Linotype" w:cs="Arial"/>
          <w:color w:val="000000" w:themeColor="text1"/>
          <w:lang w:val="es-ES"/>
        </w:rPr>
        <w:t>dos (02) de agosto</w:t>
      </w:r>
      <w:r w:rsidR="00F76964" w:rsidRPr="00F11975">
        <w:rPr>
          <w:rFonts w:ascii="Palatino Linotype" w:eastAsia="Calibri" w:hAnsi="Palatino Linotype" w:cs="Arial"/>
          <w:color w:val="000000" w:themeColor="text1"/>
          <w:lang w:val="es-ES"/>
        </w:rPr>
        <w:t xml:space="preserve"> </w:t>
      </w:r>
      <w:r w:rsidR="00920EB8" w:rsidRPr="00F11975">
        <w:rPr>
          <w:rFonts w:ascii="Palatino Linotype" w:eastAsia="Calibri" w:hAnsi="Palatino Linotype" w:cs="Arial"/>
          <w:color w:val="000000" w:themeColor="text1"/>
          <w:lang w:val="es-ES"/>
        </w:rPr>
        <w:t xml:space="preserve">de dos mil </w:t>
      </w:r>
      <w:r w:rsidR="00D97332" w:rsidRPr="00F11975">
        <w:rPr>
          <w:rFonts w:ascii="Palatino Linotype" w:eastAsia="Calibri" w:hAnsi="Palatino Linotype" w:cs="Arial"/>
          <w:color w:val="000000" w:themeColor="text1"/>
          <w:lang w:val="es-ES"/>
        </w:rPr>
        <w:t>veintidós</w:t>
      </w:r>
      <w:r w:rsidR="00920EB8" w:rsidRPr="00F11975">
        <w:rPr>
          <w:rFonts w:ascii="Palatino Linotype" w:hAnsi="Palatino Linotype" w:cs="Arial"/>
          <w:color w:val="000000" w:themeColor="text1"/>
        </w:rPr>
        <w:t>, la Comisionada Ponente decretó el cierre del periodo de instrucción</w:t>
      </w:r>
      <w:r w:rsidRPr="00F11975">
        <w:rPr>
          <w:rFonts w:ascii="Palatino Linotype" w:hAnsi="Palatino Linotype" w:cs="Arial"/>
          <w:color w:val="000000" w:themeColor="text1"/>
        </w:rPr>
        <w:t xml:space="preserve"> de los recursos de revisión acumulados</w:t>
      </w:r>
      <w:r w:rsidR="00920EB8" w:rsidRPr="00F11975">
        <w:rPr>
          <w:rFonts w:ascii="Palatino Linotype" w:hAnsi="Palatino Linotype" w:cs="Arial"/>
          <w:color w:val="000000" w:themeColor="text1"/>
        </w:rPr>
        <w:t xml:space="preserve">, por lo que ordenó turnar </w:t>
      </w:r>
      <w:r w:rsidRPr="00F11975">
        <w:rPr>
          <w:rFonts w:ascii="Palatino Linotype" w:hAnsi="Palatino Linotype" w:cs="Arial"/>
          <w:color w:val="000000" w:themeColor="text1"/>
        </w:rPr>
        <w:t>los</w:t>
      </w:r>
      <w:r w:rsidR="00920EB8" w:rsidRPr="00F11975">
        <w:rPr>
          <w:rFonts w:ascii="Palatino Linotype" w:hAnsi="Palatino Linotype" w:cs="Arial"/>
          <w:color w:val="000000" w:themeColor="text1"/>
        </w:rPr>
        <w:t xml:space="preserve"> expediente</w:t>
      </w:r>
      <w:r w:rsidRPr="00F11975">
        <w:rPr>
          <w:rFonts w:ascii="Palatino Linotype" w:hAnsi="Palatino Linotype" w:cs="Arial"/>
          <w:color w:val="000000" w:themeColor="text1"/>
        </w:rPr>
        <w:t>s</w:t>
      </w:r>
      <w:r w:rsidR="00920EB8" w:rsidRPr="00F11975">
        <w:rPr>
          <w:rFonts w:ascii="Palatino Linotype" w:hAnsi="Palatino Linotype" w:cs="Arial"/>
          <w:color w:val="000000" w:themeColor="text1"/>
        </w:rPr>
        <w:t xml:space="preserve"> para su resolución, misma que ahora se pronuncia</w:t>
      </w:r>
      <w:r w:rsidRPr="00F11975">
        <w:rPr>
          <w:rFonts w:ascii="Palatino Linotype" w:hAnsi="Palatino Linotype" w:cs="Arial"/>
          <w:color w:val="000000" w:themeColor="text1"/>
        </w:rPr>
        <w:t>.</w:t>
      </w:r>
    </w:p>
    <w:p w14:paraId="56621CCF" w14:textId="77777777" w:rsidR="005042A4" w:rsidRPr="00F11975" w:rsidRDefault="005042A4" w:rsidP="005042A4">
      <w:pPr>
        <w:pStyle w:val="Prrafodelista"/>
        <w:tabs>
          <w:tab w:val="left" w:pos="426"/>
        </w:tabs>
        <w:spacing w:line="360" w:lineRule="auto"/>
        <w:ind w:left="0"/>
        <w:jc w:val="both"/>
        <w:rPr>
          <w:rFonts w:ascii="Palatino Linotype" w:hAnsi="Palatino Linotype"/>
          <w:color w:val="000000" w:themeColor="text1"/>
        </w:rPr>
      </w:pPr>
    </w:p>
    <w:p w14:paraId="7A3C1EE3" w14:textId="740DD131" w:rsidR="00F76964" w:rsidRPr="00F11975" w:rsidRDefault="005042A4" w:rsidP="005A4965">
      <w:pPr>
        <w:pStyle w:val="Prrafodelista"/>
        <w:numPr>
          <w:ilvl w:val="0"/>
          <w:numId w:val="1"/>
        </w:numPr>
        <w:tabs>
          <w:tab w:val="left" w:pos="426"/>
        </w:tabs>
        <w:spacing w:line="360" w:lineRule="auto"/>
        <w:jc w:val="both"/>
        <w:rPr>
          <w:rFonts w:ascii="Palatino Linotype" w:hAnsi="Palatino Linotype"/>
          <w:color w:val="000000" w:themeColor="text1"/>
        </w:rPr>
      </w:pPr>
      <w:r w:rsidRPr="00F11975">
        <w:rPr>
          <w:rFonts w:ascii="Palatino Linotype" w:hAnsi="Palatino Linotype"/>
          <w:color w:val="000000" w:themeColor="text1"/>
        </w:rPr>
        <w:t xml:space="preserve">El </w:t>
      </w:r>
      <w:r w:rsidR="00F62820" w:rsidRPr="00F11975">
        <w:rPr>
          <w:rFonts w:ascii="Palatino Linotype" w:hAnsi="Palatino Linotype" w:cs="Arial"/>
          <w:color w:val="000000" w:themeColor="text1"/>
        </w:rPr>
        <w:t>once (11</w:t>
      </w:r>
      <w:r w:rsidRPr="00F11975">
        <w:rPr>
          <w:rFonts w:ascii="Palatino Linotype" w:hAnsi="Palatino Linotype" w:cs="Arial"/>
          <w:color w:val="000000" w:themeColor="text1"/>
        </w:rPr>
        <w:t xml:space="preserve">) de agosto de dos mil veintidós, </w:t>
      </w:r>
      <w:r w:rsidRPr="00F11975">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F11975">
        <w:rPr>
          <w:rFonts w:ascii="Palatino Linotype" w:hAnsi="Palatino Linotype" w:cs="Arial"/>
          <w:bCs/>
          <w:color w:val="000000" w:themeColor="text1"/>
          <w:lang w:val="es-ES"/>
        </w:rPr>
        <w:t xml:space="preserve"> </w:t>
      </w:r>
      <w:r w:rsidRPr="00F11975">
        <w:rPr>
          <w:rFonts w:ascii="Palatino Linotype" w:hAnsi="Palatino Linotype" w:cs="Arial"/>
          <w:color w:val="000000" w:themeColor="text1"/>
          <w:lang w:val="es-ES"/>
        </w:rPr>
        <w:t xml:space="preserve">se notificó que el plazo de treinta (30) días para resolver los recursos de revisión acumulados sería ampliado por un periodo de quince (15) días hábiles adicionales; </w:t>
      </w:r>
      <w:r w:rsidR="00F76964" w:rsidRPr="00F11975">
        <w:rPr>
          <w:rFonts w:ascii="Palatino Linotype" w:hAnsi="Palatino Linotype" w:cs="Arial"/>
          <w:color w:val="000000" w:themeColor="text1"/>
        </w:rPr>
        <w:t>y ----------------------------------------</w:t>
      </w:r>
      <w:r w:rsidR="00F72E61" w:rsidRPr="00F11975">
        <w:rPr>
          <w:rFonts w:ascii="Palatino Linotype" w:hAnsi="Palatino Linotype" w:cs="Arial"/>
          <w:color w:val="000000" w:themeColor="text1"/>
        </w:rPr>
        <w:t>----------</w:t>
      </w:r>
      <w:r w:rsidRPr="00F11975">
        <w:rPr>
          <w:rFonts w:ascii="Palatino Linotype" w:hAnsi="Palatino Linotype" w:cs="Arial"/>
          <w:color w:val="000000" w:themeColor="text1"/>
        </w:rPr>
        <w:t>----------</w:t>
      </w:r>
    </w:p>
    <w:p w14:paraId="75D9EEC8" w14:textId="77777777" w:rsidR="00E65FD0" w:rsidRPr="00F11975" w:rsidRDefault="00E65FD0" w:rsidP="00B31E90">
      <w:pPr>
        <w:pStyle w:val="Prrafodelista"/>
        <w:tabs>
          <w:tab w:val="left" w:pos="426"/>
        </w:tabs>
        <w:spacing w:line="360" w:lineRule="auto"/>
        <w:ind w:left="0"/>
        <w:jc w:val="both"/>
        <w:rPr>
          <w:rFonts w:ascii="Palatino Linotype" w:hAnsi="Palatino Linotype"/>
          <w:color w:val="000000" w:themeColor="text1"/>
        </w:rPr>
      </w:pPr>
    </w:p>
    <w:p w14:paraId="33CE6A68" w14:textId="77777777" w:rsidR="00F76964" w:rsidRPr="00F11975" w:rsidRDefault="00F76964"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F11975" w:rsidRDefault="007C0013" w:rsidP="00B31E90">
      <w:pPr>
        <w:pStyle w:val="Ttulo1"/>
        <w:spacing w:before="0"/>
        <w:jc w:val="center"/>
        <w:rPr>
          <w:b/>
          <w:color w:val="000000" w:themeColor="text1"/>
        </w:rPr>
      </w:pPr>
      <w:bookmarkStart w:id="9" w:name="_Toc88151630"/>
      <w:r w:rsidRPr="00F11975">
        <w:rPr>
          <w:b/>
          <w:color w:val="000000" w:themeColor="text1"/>
        </w:rPr>
        <w:t>CONSIDERANDO</w:t>
      </w:r>
      <w:bookmarkEnd w:id="3"/>
      <w:bookmarkEnd w:id="4"/>
      <w:bookmarkEnd w:id="9"/>
    </w:p>
    <w:p w14:paraId="435CF9A4" w14:textId="77777777" w:rsidR="00FC1DA7" w:rsidRPr="00F11975" w:rsidRDefault="00FC1DA7" w:rsidP="00B31E90">
      <w:pPr>
        <w:rPr>
          <w:color w:val="000000" w:themeColor="text1"/>
          <w:lang w:val="es-MX" w:eastAsia="en-US"/>
        </w:rPr>
      </w:pPr>
    </w:p>
    <w:p w14:paraId="629A5BE2" w14:textId="56C3E7D5" w:rsidR="007C0013" w:rsidRPr="00F11975" w:rsidRDefault="007C0013" w:rsidP="00B31E90">
      <w:pPr>
        <w:pStyle w:val="Ttulo2"/>
        <w:spacing w:before="0"/>
        <w:rPr>
          <w:rFonts w:ascii="Palatino Linotype" w:hAnsi="Palatino Linotype"/>
          <w:b/>
          <w:color w:val="000000" w:themeColor="text1"/>
          <w:sz w:val="24"/>
        </w:rPr>
      </w:pPr>
      <w:bookmarkStart w:id="10" w:name="_Toc461555890"/>
      <w:bookmarkStart w:id="11" w:name="_Toc466371859"/>
      <w:bookmarkStart w:id="12" w:name="_Toc88151631"/>
      <w:r w:rsidRPr="00F11975">
        <w:rPr>
          <w:rFonts w:ascii="Palatino Linotype" w:hAnsi="Palatino Linotype"/>
          <w:b/>
          <w:color w:val="000000" w:themeColor="text1"/>
          <w:sz w:val="24"/>
        </w:rPr>
        <w:t>PRIMERO. De la competencia</w:t>
      </w:r>
      <w:bookmarkEnd w:id="10"/>
      <w:bookmarkEnd w:id="11"/>
      <w:bookmarkEnd w:id="12"/>
    </w:p>
    <w:p w14:paraId="60FBD8C7" w14:textId="77777777" w:rsidR="00FC1DA7" w:rsidRPr="00F11975" w:rsidRDefault="00FC1DA7" w:rsidP="00B31E90">
      <w:pPr>
        <w:rPr>
          <w:rFonts w:ascii="Palatino Linotype" w:hAnsi="Palatino Linotype"/>
          <w:color w:val="000000" w:themeColor="text1"/>
          <w:lang w:val="es-MX" w:eastAsia="en-US"/>
        </w:rPr>
      </w:pPr>
    </w:p>
    <w:p w14:paraId="0BF52B18" w14:textId="515C3AEB" w:rsidR="005A228F" w:rsidRPr="00F1197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F11975">
        <w:rPr>
          <w:rFonts w:ascii="Palatino Linotype" w:eastAsia="Calibri" w:hAnsi="Palatino Linotype" w:cs="Times New Roman"/>
          <w:color w:val="000000" w:themeColor="text1"/>
          <w:lang w:val="es-ES"/>
        </w:rPr>
        <w:lastRenderedPageBreak/>
        <w:t>Este Instituto de Transparencia, Acceso a la Información Pública y Protección de Datos Personales del Estado de México y Municipios, es comp</w:t>
      </w:r>
      <w:r w:rsidR="00D10AB0" w:rsidRPr="00F11975">
        <w:rPr>
          <w:rFonts w:ascii="Palatino Linotype" w:eastAsia="Calibri" w:hAnsi="Palatino Linotype" w:cs="Times New Roman"/>
          <w:color w:val="000000" w:themeColor="text1"/>
          <w:lang w:val="es-ES"/>
        </w:rPr>
        <w:t xml:space="preserve">etente para conocer y resolver </w:t>
      </w:r>
      <w:r w:rsidRPr="00F11975">
        <w:rPr>
          <w:rFonts w:ascii="Palatino Linotype" w:eastAsia="Calibri" w:hAnsi="Palatino Linotype" w:cs="Times New Roman"/>
          <w:color w:val="000000" w:themeColor="text1"/>
          <w:lang w:val="es-ES"/>
        </w:rPr>
        <w:t xml:space="preserve">el presente recurso de conformidad con el artículo: 6, apartado A, fracción IV de la </w:t>
      </w:r>
      <w:r w:rsidRPr="00F11975">
        <w:rPr>
          <w:rFonts w:ascii="Palatino Linotype" w:eastAsia="Calibri" w:hAnsi="Palatino Linotype" w:cs="Times New Roman"/>
          <w:b/>
          <w:color w:val="000000" w:themeColor="text1"/>
          <w:lang w:val="es-ES"/>
        </w:rPr>
        <w:t>Constitución Política de los Estados Unidos Mexicanos</w:t>
      </w:r>
      <w:r w:rsidRPr="00F11975">
        <w:rPr>
          <w:rFonts w:ascii="Palatino Linotype" w:eastAsia="Calibri" w:hAnsi="Palatino Linotype" w:cs="Times New Roman"/>
          <w:color w:val="000000" w:themeColor="text1"/>
          <w:lang w:val="es-ES"/>
        </w:rPr>
        <w:t xml:space="preserve">; 5, párrafos </w:t>
      </w:r>
      <w:r w:rsidR="000B7C4F" w:rsidRPr="00F11975">
        <w:rPr>
          <w:rFonts w:ascii="Palatino Linotype" w:eastAsia="Calibri" w:hAnsi="Palatino Linotype" w:cs="Times New Roman"/>
          <w:color w:val="000000" w:themeColor="text1"/>
          <w:lang w:val="es-ES"/>
        </w:rPr>
        <w:t>trigésimo, trigésimo primero y trigésimo segundo</w:t>
      </w:r>
      <w:r w:rsidR="004F785F" w:rsidRPr="00F11975">
        <w:rPr>
          <w:rFonts w:ascii="Palatino Linotype" w:eastAsia="Calibri" w:hAnsi="Palatino Linotype" w:cs="Times New Roman"/>
          <w:color w:val="000000" w:themeColor="text1"/>
          <w:lang w:val="es-ES"/>
        </w:rPr>
        <w:t>,</w:t>
      </w:r>
      <w:r w:rsidRPr="00F11975">
        <w:rPr>
          <w:rFonts w:ascii="Palatino Linotype" w:eastAsia="Calibri" w:hAnsi="Palatino Linotype" w:cs="Times New Roman"/>
          <w:color w:val="000000" w:themeColor="text1"/>
          <w:lang w:val="es-ES"/>
        </w:rPr>
        <w:t xml:space="preserve"> fracciones IV y V</w:t>
      </w:r>
      <w:r w:rsidR="004F785F" w:rsidRPr="00F11975">
        <w:rPr>
          <w:rFonts w:ascii="Palatino Linotype" w:eastAsia="Calibri" w:hAnsi="Palatino Linotype" w:cs="Times New Roman"/>
          <w:color w:val="000000" w:themeColor="text1"/>
          <w:lang w:val="es-ES"/>
        </w:rPr>
        <w:t>,</w:t>
      </w:r>
      <w:r w:rsidRPr="00F11975">
        <w:rPr>
          <w:rFonts w:ascii="Palatino Linotype" w:eastAsia="Calibri" w:hAnsi="Palatino Linotype" w:cs="Times New Roman"/>
          <w:color w:val="000000" w:themeColor="text1"/>
          <w:lang w:val="es-ES"/>
        </w:rPr>
        <w:t xml:space="preserve"> de la </w:t>
      </w:r>
      <w:r w:rsidRPr="00F11975">
        <w:rPr>
          <w:rFonts w:ascii="Palatino Linotype" w:eastAsia="Calibri" w:hAnsi="Palatino Linotype" w:cs="Times New Roman"/>
          <w:b/>
          <w:color w:val="000000" w:themeColor="text1"/>
          <w:lang w:val="es-ES"/>
        </w:rPr>
        <w:t>Constitución Política del Estado Libre y Soberano de México</w:t>
      </w:r>
      <w:r w:rsidRPr="00F1197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F11975">
        <w:rPr>
          <w:rFonts w:ascii="Palatino Linotype" w:eastAsia="Calibri" w:hAnsi="Palatino Linotype" w:cs="Arial"/>
          <w:color w:val="000000" w:themeColor="text1"/>
          <w:lang w:val="es-ES"/>
        </w:rPr>
        <w:t xml:space="preserve">de la </w:t>
      </w:r>
      <w:r w:rsidRPr="00F11975">
        <w:rPr>
          <w:rFonts w:ascii="Palatino Linotype" w:eastAsia="Calibri" w:hAnsi="Palatino Linotype" w:cs="Arial"/>
          <w:b/>
          <w:color w:val="000000" w:themeColor="text1"/>
          <w:lang w:val="es-ES"/>
        </w:rPr>
        <w:t>Ley de Transparencia y Acceso a la Información Pública del Estado de México y Municipios</w:t>
      </w:r>
      <w:r w:rsidRPr="00F11975">
        <w:rPr>
          <w:rFonts w:ascii="Palatino Linotype" w:eastAsia="Calibri" w:hAnsi="Palatino Linotype" w:cs="Arial"/>
          <w:color w:val="000000" w:themeColor="text1"/>
          <w:lang w:val="es-ES"/>
        </w:rPr>
        <w:t xml:space="preserve">; y 10, 7, 9 fracciones I y XXIV, y 11 del </w:t>
      </w:r>
      <w:r w:rsidRPr="00F1197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F11975"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F11975" w:rsidRDefault="007C0013" w:rsidP="00B31E90">
      <w:pPr>
        <w:pStyle w:val="Ttulo2"/>
        <w:tabs>
          <w:tab w:val="left" w:pos="426"/>
        </w:tabs>
        <w:spacing w:before="0"/>
        <w:rPr>
          <w:rFonts w:ascii="Palatino Linotype" w:hAnsi="Palatino Linotype"/>
          <w:b/>
          <w:color w:val="000000" w:themeColor="text1"/>
          <w:sz w:val="24"/>
        </w:rPr>
      </w:pPr>
      <w:bookmarkStart w:id="13" w:name="_Toc461555891"/>
      <w:bookmarkStart w:id="14" w:name="_Toc466371860"/>
      <w:bookmarkStart w:id="15" w:name="_Toc88151632"/>
      <w:r w:rsidRPr="00F11975">
        <w:rPr>
          <w:rFonts w:ascii="Palatino Linotype" w:hAnsi="Palatino Linotype"/>
          <w:b/>
          <w:color w:val="000000" w:themeColor="text1"/>
          <w:sz w:val="24"/>
        </w:rPr>
        <w:t>SEGUNDO. De la oportunidad y proced</w:t>
      </w:r>
      <w:r w:rsidR="00F35C44" w:rsidRPr="00F11975">
        <w:rPr>
          <w:rFonts w:ascii="Palatino Linotype" w:hAnsi="Palatino Linotype"/>
          <w:b/>
          <w:color w:val="000000" w:themeColor="text1"/>
          <w:sz w:val="24"/>
        </w:rPr>
        <w:t>encia</w:t>
      </w:r>
      <w:r w:rsidRPr="00F11975">
        <w:rPr>
          <w:rFonts w:ascii="Palatino Linotype" w:hAnsi="Palatino Linotype"/>
          <w:b/>
          <w:color w:val="000000" w:themeColor="text1"/>
          <w:sz w:val="24"/>
        </w:rPr>
        <w:t>.</w:t>
      </w:r>
      <w:bookmarkEnd w:id="13"/>
      <w:bookmarkEnd w:id="14"/>
      <w:bookmarkEnd w:id="15"/>
    </w:p>
    <w:p w14:paraId="18E22450" w14:textId="77777777" w:rsidR="00C6440A" w:rsidRPr="00F11975" w:rsidRDefault="00C6440A" w:rsidP="00B31E90">
      <w:pPr>
        <w:rPr>
          <w:color w:val="000000" w:themeColor="text1"/>
          <w:lang w:val="es-MX" w:eastAsia="en-US"/>
        </w:rPr>
      </w:pPr>
    </w:p>
    <w:p w14:paraId="50826F78" w14:textId="2F89BBC4" w:rsidR="00E135B7" w:rsidRPr="00F11975"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Es de </w:t>
      </w:r>
      <w:r w:rsidRPr="00F11975">
        <w:rPr>
          <w:rFonts w:ascii="Palatino Linotype" w:eastAsia="Calibri" w:hAnsi="Palatino Linotype" w:cs="Arial"/>
          <w:color w:val="000000" w:themeColor="text1"/>
          <w:lang w:val="es-ES"/>
        </w:rPr>
        <w:t xml:space="preserve">precisar, que la Ley de Transparencia y Acceso a la Información Pública del Estado de México y Municipios, en el artículo 178 describe la procedencia del recurso de revisión, asimismo señala que el plazo del </w:t>
      </w:r>
      <w:r w:rsidRPr="00F11975">
        <w:rPr>
          <w:rFonts w:ascii="Palatino Linotype" w:eastAsia="Calibri" w:hAnsi="Palatino Linotype" w:cs="Arial"/>
          <w:b/>
          <w:color w:val="000000" w:themeColor="text1"/>
          <w:lang w:val="es-ES"/>
        </w:rPr>
        <w:t>SUJETO OBLIGADO</w:t>
      </w:r>
      <w:r w:rsidRPr="00F11975">
        <w:rPr>
          <w:rFonts w:ascii="Palatino Linotype" w:eastAsia="Calibri" w:hAnsi="Palatino Linotype" w:cs="Arial"/>
          <w:color w:val="000000" w:themeColor="text1"/>
          <w:lang w:val="es-ES"/>
        </w:rPr>
        <w:t xml:space="preserve"> para entregar la respuesta a una solicitud de información pública, es de 15 días hábiles posteriores a la presentación de ésta; por lo que transcurrido este término, cuando no entregue la respuesta a la solicitud dentro del plazo previsto en la Ley, la solicitud se entenderá negada y el </w:t>
      </w:r>
      <w:r w:rsidRPr="00F11975">
        <w:rPr>
          <w:rFonts w:ascii="Palatino Linotype" w:eastAsia="Calibri" w:hAnsi="Palatino Linotype" w:cs="Arial"/>
          <w:bCs/>
          <w:color w:val="000000" w:themeColor="text1"/>
          <w:lang w:val="es-ES"/>
        </w:rPr>
        <w:t>particular</w:t>
      </w:r>
      <w:r w:rsidRPr="00F11975">
        <w:rPr>
          <w:rFonts w:ascii="Palatino Linotype" w:eastAsia="Calibri" w:hAnsi="Palatino Linotype" w:cs="Arial"/>
          <w:color w:val="000000" w:themeColor="text1"/>
          <w:lang w:val="es-ES"/>
        </w:rPr>
        <w:t xml:space="preserve"> podrá interponer el recurso de revisión previsto en el ordenamiento en cita.</w:t>
      </w:r>
    </w:p>
    <w:p w14:paraId="44F8F215" w14:textId="77777777" w:rsidR="007E317A" w:rsidRPr="00F11975"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196BB62C" w14:textId="738A966D" w:rsidR="007E317A" w:rsidRPr="00F11975"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Por </w:t>
      </w:r>
      <w:r w:rsidRPr="00F11975">
        <w:rPr>
          <w:rFonts w:ascii="Palatino Linotype" w:eastAsia="Calibri" w:hAnsi="Palatino Linotype" w:cs="Arial"/>
          <w:lang w:val="es-ES"/>
        </w:rPr>
        <w:t xml:space="preserve">ende, se constituye la figura jurídica de la </w:t>
      </w:r>
      <w:r w:rsidRPr="00F11975">
        <w:rPr>
          <w:rFonts w:ascii="Palatino Linotype" w:eastAsia="Calibri" w:hAnsi="Palatino Linotype" w:cs="Arial"/>
          <w:i/>
          <w:lang w:val="es-ES"/>
        </w:rPr>
        <w:t>negativa ficta</w:t>
      </w:r>
      <w:r w:rsidRPr="00F11975">
        <w:rPr>
          <w:rFonts w:ascii="Palatino Linotype" w:eastAsia="Calibri" w:hAnsi="Palatino Linotype" w:cs="Arial"/>
          <w:lang w:val="es-ES"/>
        </w:rPr>
        <w:t xml:space="preserve">, cuya esencia es atribuir un efecto negativo al silencio de la autoridad administrativa frente a las </w:t>
      </w:r>
      <w:r w:rsidRPr="00F11975">
        <w:rPr>
          <w:rFonts w:ascii="Palatino Linotype" w:eastAsia="Calibri" w:hAnsi="Palatino Linotype" w:cs="Arial"/>
          <w:lang w:val="es-ES"/>
        </w:rPr>
        <w:lastRenderedPageBreak/>
        <w:t>instancias y solicitudes que hagan los particulares, lo cual encuentra sustento en lo que establece el artículo 178 segundo párrafo de la Ley de Transparencia y Acceso a la Información Pública del Estado de México y Municipios</w:t>
      </w:r>
      <w:r w:rsidRPr="00F11975">
        <w:rPr>
          <w:rFonts w:ascii="Palatino Linotype" w:eastAsia="Calibri" w:hAnsi="Palatino Linotype" w:cs="Arial"/>
        </w:rPr>
        <w:t xml:space="preserve">, </w:t>
      </w:r>
      <w:r w:rsidR="00D97332" w:rsidRPr="00F11975">
        <w:rPr>
          <w:rFonts w:ascii="Palatino Linotype" w:eastAsia="Calibri" w:hAnsi="Palatino Linotype" w:cs="Arial"/>
        </w:rPr>
        <w:t>el cual dispone que,</w:t>
      </w:r>
      <w:r w:rsidRPr="00F11975">
        <w:rPr>
          <w:rFonts w:ascii="Palatino Linotype" w:eastAsia="Calibri" w:hAnsi="Palatino Linotype" w:cs="Arial"/>
        </w:rPr>
        <w:t xml:space="preserve"> ante la falta de respuesta del </w:t>
      </w:r>
      <w:r w:rsidRPr="00F11975">
        <w:rPr>
          <w:rFonts w:ascii="Palatino Linotype" w:eastAsia="Calibri" w:hAnsi="Palatino Linotype" w:cs="Arial"/>
          <w:b/>
        </w:rPr>
        <w:t>SUJETO OBLIGADO,</w:t>
      </w:r>
      <w:r w:rsidRPr="00F11975">
        <w:rPr>
          <w:rFonts w:ascii="Palatino Linotype" w:eastAsia="Calibri" w:hAnsi="Palatino Linotype" w:cs="Arial"/>
        </w:rPr>
        <w:t xml:space="preserve"> dentro de los plazos establecidos en esta Ley, a una solicitud de acceso a la información pública, el recurso </w:t>
      </w:r>
      <w:r w:rsidRPr="00F11975">
        <w:rPr>
          <w:rFonts w:ascii="Palatino Linotype" w:eastAsia="Calibri" w:hAnsi="Palatino Linotype" w:cs="Arial"/>
          <w:b/>
        </w:rPr>
        <w:t>podrá ser interpuesto en cualquier momento.</w:t>
      </w:r>
    </w:p>
    <w:p w14:paraId="1D6BF575" w14:textId="77777777" w:rsidR="007E317A" w:rsidRPr="00F11975"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43867F6" w14:textId="3F48334D" w:rsidR="007E317A" w:rsidRPr="00F11975"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Por </w:t>
      </w:r>
      <w:r w:rsidRPr="00F11975">
        <w:rPr>
          <w:rFonts w:ascii="Palatino Linotype" w:eastAsia="Calibri" w:hAnsi="Palatino Linotype" w:cs="Arial"/>
          <w:lang w:val="es-ES"/>
        </w:rPr>
        <w:t xml:space="preserve">lo que tratándose de la </w:t>
      </w:r>
      <w:r w:rsidRPr="00F11975">
        <w:rPr>
          <w:rFonts w:ascii="Palatino Linotype" w:eastAsia="Calibri" w:hAnsi="Palatino Linotype" w:cs="Arial"/>
          <w:i/>
          <w:lang w:val="es-ES"/>
        </w:rPr>
        <w:t>negativa ficta,</w:t>
      </w:r>
      <w:r w:rsidRPr="00F11975">
        <w:rPr>
          <w:rFonts w:ascii="Palatino Linotype" w:eastAsia="Calibri" w:hAnsi="Palatino Linotype" w:cs="Arial"/>
          <w:lang w:val="es-ES"/>
        </w:rPr>
        <w:t xml:space="preserve"> no existe respuesta que se haga del conocimiento al </w:t>
      </w:r>
      <w:r w:rsidRPr="00F11975">
        <w:rPr>
          <w:rFonts w:ascii="Palatino Linotype" w:eastAsia="Calibri" w:hAnsi="Palatino Linotype" w:cs="Arial"/>
          <w:b/>
          <w:lang w:val="es-ES"/>
        </w:rPr>
        <w:t>SOLICITANTE</w:t>
      </w:r>
      <w:r w:rsidRPr="00F11975">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F11975">
        <w:rPr>
          <w:rFonts w:ascii="Palatino Linotype" w:eastAsia="Calibri" w:hAnsi="Palatino Linotype" w:cs="Arial"/>
          <w:b/>
          <w:lang w:val="es-ES"/>
        </w:rPr>
        <w:t>001-15</w:t>
      </w:r>
      <w:r w:rsidRPr="00F11975">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F11975">
        <w:rPr>
          <w:rFonts w:ascii="Palatino Linotype" w:eastAsia="Calibri" w:hAnsi="Palatino Linotype" w:cs="Arial"/>
          <w:i/>
          <w:lang w:val="es-ES"/>
        </w:rPr>
        <w:t>negativa ficta</w:t>
      </w:r>
      <w:r w:rsidRPr="00F11975">
        <w:rPr>
          <w:rFonts w:ascii="Palatino Linotype" w:eastAsia="Calibri" w:hAnsi="Palatino Linotype" w:cs="Arial"/>
          <w:lang w:val="es-ES"/>
        </w:rPr>
        <w:t>, que señala:</w:t>
      </w:r>
    </w:p>
    <w:p w14:paraId="51B45D93" w14:textId="77777777" w:rsidR="007E317A" w:rsidRPr="00F11975"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074C773C" w14:textId="77777777" w:rsidR="007E317A" w:rsidRPr="00F11975" w:rsidRDefault="007E317A" w:rsidP="007E317A">
      <w:pPr>
        <w:pStyle w:val="Sinespaciado"/>
        <w:spacing w:line="276" w:lineRule="auto"/>
        <w:ind w:left="567" w:right="567"/>
        <w:jc w:val="both"/>
        <w:rPr>
          <w:rFonts w:ascii="Palatino Linotype" w:eastAsia="Calibri" w:hAnsi="Palatino Linotype"/>
          <w:i/>
          <w:sz w:val="22"/>
          <w:lang w:val="es-ES"/>
        </w:rPr>
      </w:pPr>
      <w:r w:rsidRPr="00F11975">
        <w:rPr>
          <w:rFonts w:ascii="Palatino Linotype" w:eastAsia="Calibri" w:hAnsi="Palatino Linotype"/>
          <w:b/>
          <w:i/>
          <w:sz w:val="22"/>
          <w:lang w:val="es-ES"/>
        </w:rPr>
        <w:t>NEGATIVA FICTA. PLAZO PARA INTERPONER EL RECURSO DE REVISIÓN TRATÁNDOSE DE.</w:t>
      </w:r>
      <w:r w:rsidRPr="00F11975">
        <w:rPr>
          <w:rFonts w:ascii="Palatino Linotype" w:eastAsia="Calibri" w:hAnsi="Palatino Linotype"/>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w:t>
      </w:r>
      <w:r w:rsidRPr="00F11975">
        <w:rPr>
          <w:rFonts w:ascii="Palatino Linotype" w:eastAsia="Calibri" w:hAnsi="Palatino Linotype"/>
          <w:i/>
          <w:sz w:val="22"/>
          <w:lang w:val="es-ES"/>
        </w:rPr>
        <w:lastRenderedPageBreak/>
        <w:t>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D6EA85B" w14:textId="77777777" w:rsidR="007E317A" w:rsidRPr="00F11975"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0A000EA8" w14:textId="4BF39FA5" w:rsidR="007E317A" w:rsidRPr="00F11975"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Lo </w:t>
      </w:r>
      <w:r w:rsidRPr="00F11975">
        <w:rPr>
          <w:rFonts w:ascii="Palatino Linotype" w:eastAsia="Times New Roman" w:hAnsi="Palatino Linotype" w:cs="Arial"/>
          <w:color w:val="000000" w:themeColor="text1"/>
          <w:lang w:val="es-ES" w:eastAsia="es-MX"/>
        </w:rPr>
        <w:t xml:space="preserve">anterior se explica porque la ausencia de una respuesta a la solicitud constituye un acto que vulnera el derecho de manera continua y actualizable cada día, en tanto no se emita la respuesta a la que esté impuesto el </w:t>
      </w:r>
      <w:r w:rsidRPr="00F11975">
        <w:rPr>
          <w:rFonts w:ascii="Palatino Linotype" w:eastAsia="Times New Roman" w:hAnsi="Palatino Linotype" w:cs="Arial"/>
          <w:b/>
          <w:color w:val="000000" w:themeColor="text1"/>
          <w:lang w:val="es-ES" w:eastAsia="es-MX"/>
        </w:rPr>
        <w:t>SUJETO OBLIGADO</w:t>
      </w:r>
      <w:r w:rsidRPr="00F11975">
        <w:rPr>
          <w:rFonts w:ascii="Palatino Linotype" w:eastAsia="Times New Roman" w:hAnsi="Palatino Linotype" w:cs="Arial"/>
          <w:color w:val="000000" w:themeColor="text1"/>
          <w:lang w:val="es-ES" w:eastAsia="es-MX"/>
        </w:rPr>
        <w:t>.</w:t>
      </w:r>
    </w:p>
    <w:p w14:paraId="0F76A29A" w14:textId="77777777" w:rsidR="007E317A" w:rsidRPr="00F11975"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0B44B3AF" w14:textId="2CEE2EC7" w:rsidR="007E317A" w:rsidRPr="00F11975"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Por </w:t>
      </w:r>
      <w:r w:rsidRPr="00F11975">
        <w:rPr>
          <w:rFonts w:ascii="Palatino Linotype" w:hAnsi="Palatino Linotype"/>
        </w:rPr>
        <w:t>consiguiente, tratándose</w:t>
      </w:r>
      <w:r w:rsidRPr="00F11975">
        <w:rPr>
          <w:rFonts w:ascii="Palatino Linotype" w:eastAsia="Times New Roman" w:hAnsi="Palatino Linotype" w:cs="Arial"/>
          <w:color w:val="000000" w:themeColor="text1"/>
          <w:lang w:val="es-ES" w:eastAsia="es-MX"/>
        </w:rPr>
        <w:t xml:space="preserve"> de </w:t>
      </w:r>
      <w:r w:rsidRPr="00F11975">
        <w:rPr>
          <w:rFonts w:ascii="Palatino Linotype" w:eastAsia="Times New Roman" w:hAnsi="Palatino Linotype" w:cs="Arial"/>
          <w:i/>
          <w:color w:val="000000" w:themeColor="text1"/>
          <w:lang w:val="es-ES" w:eastAsia="es-MX"/>
        </w:rPr>
        <w:t>negativa ficta</w:t>
      </w:r>
      <w:r w:rsidRPr="00F11975">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14:paraId="3BEA0AFE" w14:textId="77777777" w:rsidR="00F76964" w:rsidRPr="00F11975" w:rsidRDefault="00F76964" w:rsidP="00F7696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2BE5330" w14:textId="3A832E20" w:rsidR="00F76964" w:rsidRPr="00F11975" w:rsidRDefault="00F76964"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Times New Roman" w:hAnsi="Palatino Linotype" w:cs="Arial"/>
          <w:color w:val="000000" w:themeColor="text1"/>
          <w:lang w:val="es-ES" w:eastAsia="es-MX"/>
        </w:rPr>
        <w:t xml:space="preserve">Por </w:t>
      </w:r>
      <w:r w:rsidRPr="00F11975">
        <w:rPr>
          <w:rFonts w:ascii="Palatino Linotype" w:eastAsia="Times New Roman" w:hAnsi="Palatino Linotype" w:cs="Arial"/>
          <w:bCs/>
          <w:color w:val="000000" w:themeColor="text1"/>
          <w:lang w:val="es-ES" w:eastAsia="es-MX"/>
        </w:rPr>
        <w:t xml:space="preserve">otro lado, de la revisión </w:t>
      </w:r>
      <w:r w:rsidR="005042A4" w:rsidRPr="00F11975">
        <w:rPr>
          <w:rFonts w:ascii="Palatino Linotype" w:eastAsia="Times New Roman" w:hAnsi="Palatino Linotype" w:cs="Arial"/>
          <w:bCs/>
          <w:color w:val="000000" w:themeColor="text1"/>
          <w:lang w:val="es-ES" w:eastAsia="es-MX"/>
        </w:rPr>
        <w:t>al expediente electrónico formado en el SAIMEX, así como en la impugnación promovida vía correo electrónico,</w:t>
      </w:r>
      <w:r w:rsidRPr="00F11975">
        <w:rPr>
          <w:rFonts w:ascii="Palatino Linotype" w:eastAsia="Times New Roman" w:hAnsi="Palatino Linotype" w:cs="Arial"/>
          <w:bCs/>
          <w:color w:val="000000" w:themeColor="text1"/>
          <w:lang w:val="es-ES" w:eastAsia="es-MX"/>
        </w:rPr>
        <w:t xml:space="preserve"> se desprende que la parte solicitante, en ejercicio de su derecho de acceso a la información pública, tanto en la solicitud de información como en el recurso de revisión, </w:t>
      </w:r>
      <w:r w:rsidRPr="00F11975">
        <w:rPr>
          <w:rFonts w:ascii="Palatino Linotype" w:eastAsia="Times New Roman" w:hAnsi="Palatino Linotype" w:cs="Arial"/>
          <w:b/>
          <w:bCs/>
          <w:color w:val="000000" w:themeColor="text1"/>
          <w:lang w:val="es-ES" w:eastAsia="es-MX"/>
        </w:rPr>
        <w:t xml:space="preserve">no señaló </w:t>
      </w:r>
      <w:r w:rsidR="005042A4" w:rsidRPr="00F11975">
        <w:rPr>
          <w:rFonts w:ascii="Palatino Linotype" w:eastAsia="Times New Roman" w:hAnsi="Palatino Linotype" w:cs="Arial"/>
          <w:b/>
          <w:bCs/>
          <w:color w:val="000000" w:themeColor="text1"/>
          <w:lang w:val="es-ES" w:eastAsia="es-MX"/>
        </w:rPr>
        <w:t>su nombre completo</w:t>
      </w:r>
      <w:r w:rsidRPr="00F11975">
        <w:rPr>
          <w:rFonts w:ascii="Palatino Linotype" w:eastAsia="Times New Roman" w:hAnsi="Palatino Linotype" w:cs="Arial"/>
          <w:b/>
          <w:bCs/>
          <w:color w:val="000000" w:themeColor="text1"/>
          <w:lang w:val="es-ES" w:eastAsia="es-MX"/>
        </w:rPr>
        <w:t>, ni se tiene certeza sobre su identidad</w:t>
      </w:r>
      <w:r w:rsidRPr="00F11975">
        <w:rPr>
          <w:rFonts w:ascii="Palatino Linotype" w:eastAsia="Times New Roman" w:hAnsi="Palatino Linotype" w:cs="Arial"/>
          <w:bCs/>
          <w:color w:val="000000" w:themeColor="text1"/>
          <w:lang w:val="es-ES" w:eastAsia="es-MX"/>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5999D04" w14:textId="77777777" w:rsidR="00F76964" w:rsidRPr="00F11975" w:rsidRDefault="00F76964" w:rsidP="00F7696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1CB474D0" w14:textId="4B50C446" w:rsidR="00F76964" w:rsidRPr="00F11975" w:rsidRDefault="00F76964"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Times New Roman" w:hAnsi="Palatino Linotype" w:cs="Arial"/>
          <w:color w:val="000000" w:themeColor="text1"/>
          <w:lang w:val="es-ES" w:eastAsia="es-MX"/>
        </w:rPr>
        <w:lastRenderedPageBreak/>
        <w:t xml:space="preserve">Esto </w:t>
      </w:r>
      <w:r w:rsidRPr="00F11975">
        <w:rPr>
          <w:rFonts w:ascii="Palatino Linotype" w:eastAsia="Times New Roman" w:hAnsi="Palatino Linotype" w:cs="Arial"/>
          <w:bCs/>
          <w:lang w:val="es-ES"/>
        </w:rPr>
        <w:t xml:space="preserve">es así, ya que de conformidad con los artículos 6, apartado A, fracciones III y IV de la </w:t>
      </w:r>
      <w:r w:rsidRPr="00F11975">
        <w:rPr>
          <w:rFonts w:ascii="Palatino Linotype" w:eastAsia="Times New Roman" w:hAnsi="Palatino Linotype" w:cs="Arial"/>
          <w:b/>
          <w:bCs/>
          <w:lang w:val="es-ES"/>
        </w:rPr>
        <w:t>Constitución Política de los Estados Unidos Mexicanos</w:t>
      </w:r>
      <w:r w:rsidRPr="00F11975">
        <w:rPr>
          <w:rFonts w:ascii="Palatino Linotype" w:eastAsia="Times New Roman" w:hAnsi="Palatino Linotype" w:cs="Arial"/>
          <w:bCs/>
          <w:lang w:val="es-ES"/>
        </w:rPr>
        <w:t xml:space="preserve">; 5, párrafos trigésimo, trigésimo primero y trigésimo segundo, fracciones III, IV y V, de la </w:t>
      </w:r>
      <w:r w:rsidRPr="00F11975">
        <w:rPr>
          <w:rFonts w:ascii="Palatino Linotype" w:eastAsia="Times New Roman" w:hAnsi="Palatino Linotype" w:cs="Arial"/>
          <w:b/>
          <w:bCs/>
          <w:lang w:val="es-ES"/>
        </w:rPr>
        <w:t>Constitución Política del Estado Libre y Soberano de México</w:t>
      </w:r>
      <w:r w:rsidRPr="00F11975">
        <w:rPr>
          <w:rFonts w:ascii="Palatino Linotype" w:eastAsia="Times New Roman" w:hAnsi="Palatino Linotype" w:cs="Arial"/>
          <w:bCs/>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12979D2" w14:textId="77777777" w:rsidR="00F76964" w:rsidRPr="00F11975" w:rsidRDefault="00F76964" w:rsidP="00F7696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1F21CD0" w14:textId="73597A11" w:rsidR="00F76964" w:rsidRPr="00F11975" w:rsidRDefault="00F76964"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Times New Roman" w:hAnsi="Palatino Linotype" w:cs="Arial"/>
          <w:color w:val="000000" w:themeColor="text1"/>
          <w:lang w:val="es-ES" w:eastAsia="es-MX"/>
        </w:rPr>
        <w:t xml:space="preserve">Por </w:t>
      </w:r>
      <w:r w:rsidRPr="00F11975">
        <w:rPr>
          <w:rFonts w:ascii="Palatino Linotype" w:eastAsia="Times New Roman" w:hAnsi="Palatino Linotype" w:cs="Arial"/>
          <w:bCs/>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F333F30" w14:textId="77777777" w:rsidR="00F76964" w:rsidRPr="00F11975" w:rsidRDefault="00F76964" w:rsidP="00F7696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8DA0514" w14:textId="3B3D82B1" w:rsidR="00F76964" w:rsidRPr="00F11975" w:rsidRDefault="00F76964"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Times New Roman" w:hAnsi="Palatino Linotype" w:cs="Arial"/>
          <w:color w:val="000000" w:themeColor="text1"/>
          <w:lang w:val="es-ES" w:eastAsia="es-MX"/>
        </w:rPr>
        <w:t xml:space="preserve">Asimismo, </w:t>
      </w:r>
      <w:r w:rsidRPr="00F11975">
        <w:rPr>
          <w:rFonts w:ascii="Palatino Linotype" w:eastAsia="Times New Roman" w:hAnsi="Palatino Linotype" w:cs="Arial"/>
          <w:bCs/>
          <w:lang w:val="es-ES"/>
        </w:rPr>
        <w:t>como lo establece la Convención Americana, en su artículo 13, el derecho de acceso a la información es un derecho humano universal y, en consecuencia, toda persona tiene derecho a solicitar acceso a la información.</w:t>
      </w:r>
    </w:p>
    <w:p w14:paraId="0C0BDC5F" w14:textId="77777777" w:rsidR="00F76964" w:rsidRPr="00F11975" w:rsidRDefault="00F76964" w:rsidP="00F7696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B1DE82B" w14:textId="77420F52" w:rsidR="00F76964" w:rsidRPr="00F11975" w:rsidRDefault="00F76964"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Times New Roman" w:hAnsi="Palatino Linotype" w:cs="Arial"/>
          <w:color w:val="000000" w:themeColor="text1"/>
          <w:lang w:val="es-ES" w:eastAsia="es-MX"/>
        </w:rPr>
        <w:lastRenderedPageBreak/>
        <w:t xml:space="preserve">De </w:t>
      </w:r>
      <w:r w:rsidRPr="00F11975">
        <w:rPr>
          <w:rFonts w:ascii="Palatino Linotype" w:eastAsia="Times New Roman" w:hAnsi="Palatino Linotype" w:cs="Arial"/>
          <w:bCs/>
          <w:lang w:val="es-ES"/>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E11EA60" w14:textId="77777777" w:rsidR="00F76964" w:rsidRPr="00F11975" w:rsidRDefault="00F76964" w:rsidP="00F7696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426A1356" w14:textId="3A5A4381" w:rsidR="00F76964" w:rsidRPr="00F11975" w:rsidRDefault="00F76964"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Times New Roman" w:hAnsi="Palatino Linotype" w:cs="Arial"/>
          <w:color w:val="000000" w:themeColor="text1"/>
          <w:lang w:val="es-ES" w:eastAsia="es-MX"/>
        </w:rPr>
        <w:t xml:space="preserve">Por </w:t>
      </w:r>
      <w:r w:rsidRPr="00F11975">
        <w:rPr>
          <w:rFonts w:ascii="Palatino Linotype" w:eastAsia="Times New Roman" w:hAnsi="Palatino Linotype" w:cs="Arial"/>
          <w:bCs/>
          <w:lang w:val="es-ES"/>
        </w:rPr>
        <w:t xml:space="preserve">lo tanto, el nombre del </w:t>
      </w:r>
      <w:r w:rsidRPr="00F11975">
        <w:rPr>
          <w:rFonts w:ascii="Palatino Linotype" w:eastAsia="Times New Roman" w:hAnsi="Palatino Linotype" w:cs="Arial"/>
          <w:b/>
          <w:bCs/>
          <w:lang w:val="es-ES"/>
        </w:rPr>
        <w:t>SOLICITANTE</w:t>
      </w:r>
      <w:r w:rsidRPr="00F11975">
        <w:rPr>
          <w:rFonts w:ascii="Palatino Linotype" w:eastAsia="Times New Roman" w:hAnsi="Palatino Linotype" w:cs="Arial"/>
          <w:bCs/>
          <w:lang w:val="es-ES"/>
        </w:rPr>
        <w:t xml:space="preserve"> y subsecuente </w:t>
      </w:r>
      <w:r w:rsidRPr="00F11975">
        <w:rPr>
          <w:rFonts w:ascii="Palatino Linotype" w:eastAsia="Times New Roman" w:hAnsi="Palatino Linotype" w:cs="Arial"/>
          <w:b/>
          <w:bCs/>
          <w:lang w:val="es-ES"/>
        </w:rPr>
        <w:t>RECURRENTE</w:t>
      </w:r>
      <w:r w:rsidRPr="00F11975">
        <w:rPr>
          <w:rFonts w:ascii="Palatino Linotype" w:eastAsia="Times New Roman" w:hAnsi="Palatino Linotype" w:cs="Arial"/>
          <w:bCs/>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41310A21" w14:textId="77777777" w:rsidR="007E317A" w:rsidRPr="00F11975"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C140DF1" w14:textId="5FD14374" w:rsidR="00E135B7" w:rsidRPr="00F11975" w:rsidRDefault="00E135B7"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Consecuencia de lo an</w:t>
      </w:r>
      <w:r w:rsidR="002470E8" w:rsidRPr="00F11975">
        <w:rPr>
          <w:rFonts w:ascii="Palatino Linotype" w:eastAsia="Calibri" w:hAnsi="Palatino Linotype" w:cs="Arial"/>
          <w:color w:val="000000" w:themeColor="text1"/>
        </w:rPr>
        <w:t>terior, este Organismo Garante</w:t>
      </w:r>
      <w:r w:rsidRPr="00F11975">
        <w:rPr>
          <w:rFonts w:ascii="Palatino Linotype" w:eastAsia="Calibri" w:hAnsi="Palatino Linotype" w:cs="Arial"/>
          <w:color w:val="000000" w:themeColor="text1"/>
        </w:rPr>
        <w:t xml:space="preserve"> advierte que el escrito contiene las formalidades previstas por el artículo 180</w:t>
      </w:r>
      <w:r w:rsidR="00DC2A7E" w:rsidRPr="00F11975">
        <w:rPr>
          <w:rFonts w:ascii="Palatino Linotype" w:eastAsia="Calibri" w:hAnsi="Palatino Linotype" w:cs="Arial"/>
          <w:color w:val="000000" w:themeColor="text1"/>
        </w:rPr>
        <w:t>,</w:t>
      </w:r>
      <w:r w:rsidRPr="00F11975">
        <w:rPr>
          <w:rFonts w:ascii="Palatino Linotype" w:eastAsia="Calibri" w:hAnsi="Palatino Linotype" w:cs="Arial"/>
          <w:color w:val="000000" w:themeColor="text1"/>
        </w:rPr>
        <w:t xml:space="preserve"> último párrafo</w:t>
      </w:r>
      <w:r w:rsidR="00DC2A7E" w:rsidRPr="00F11975">
        <w:rPr>
          <w:rFonts w:ascii="Palatino Linotype" w:eastAsia="Calibri" w:hAnsi="Palatino Linotype" w:cs="Arial"/>
          <w:color w:val="000000" w:themeColor="text1"/>
        </w:rPr>
        <w:t>,</w:t>
      </w:r>
      <w:r w:rsidRPr="00F11975">
        <w:rPr>
          <w:rFonts w:ascii="Palatino Linotype" w:eastAsia="Calibri" w:hAnsi="Palatino Linotype" w:cs="Arial"/>
          <w:color w:val="000000" w:themeColor="text1"/>
        </w:rPr>
        <w:t xml:space="preserve">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7A1593CD" w14:textId="1F7D0B1A"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1B1FB84B" w14:textId="53E54931" w:rsidR="00FA5426" w:rsidRPr="00F11975" w:rsidRDefault="00FA5426" w:rsidP="00FA5426">
      <w:pPr>
        <w:pStyle w:val="Prrafodelista"/>
        <w:tabs>
          <w:tab w:val="left" w:pos="426"/>
        </w:tabs>
        <w:spacing w:line="360" w:lineRule="auto"/>
        <w:ind w:left="0" w:right="49"/>
        <w:jc w:val="both"/>
        <w:outlineLvl w:val="1"/>
        <w:rPr>
          <w:rFonts w:ascii="Palatino Linotype" w:eastAsia="Times New Roman" w:hAnsi="Palatino Linotype" w:cs="Arial"/>
          <w:b/>
          <w:color w:val="000000" w:themeColor="text1"/>
          <w:lang w:val="es-MX" w:eastAsia="es-MX"/>
        </w:rPr>
      </w:pPr>
      <w:r w:rsidRPr="00F11975">
        <w:rPr>
          <w:rFonts w:ascii="Palatino Linotype" w:eastAsia="Times New Roman" w:hAnsi="Palatino Linotype" w:cs="Arial"/>
          <w:b/>
          <w:color w:val="000000" w:themeColor="text1"/>
          <w:lang w:val="es-MX" w:eastAsia="es-MX"/>
        </w:rPr>
        <w:t>TERCERO. Cuestiones de previo y especial pronunciamiento.</w:t>
      </w:r>
    </w:p>
    <w:p w14:paraId="00B2C1F1"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6480AAA3" w14:textId="0C77318F"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Este </w:t>
      </w:r>
      <w:r w:rsidRPr="00F11975">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w:t>
      </w:r>
      <w:r w:rsidRPr="00F11975">
        <w:rPr>
          <w:rFonts w:ascii="Palatino Linotype" w:eastAsia="Calibri" w:hAnsi="Palatino Linotype" w:cs="Arial"/>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B93CFD1"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40268756" w14:textId="443678C5"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Por </w:t>
      </w:r>
      <w:r w:rsidRPr="00F11975">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623F591"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657BC6E6" w14:textId="1217094F"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Así, </w:t>
      </w:r>
      <w:r w:rsidRPr="00F11975">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466BD3"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FDF21CB" w14:textId="72C66C1C"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En </w:t>
      </w:r>
      <w:r w:rsidRPr="00F11975">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F87C14"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8A119CC" w14:textId="0DE274A7"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lastRenderedPageBreak/>
        <w:t xml:space="preserve">Por </w:t>
      </w:r>
      <w:r w:rsidRPr="00F11975">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539E0652" w14:textId="77777777" w:rsidR="00CE7E81" w:rsidRPr="00F11975" w:rsidRDefault="00CE7E81" w:rsidP="00CE7E81">
      <w:pPr>
        <w:pStyle w:val="Prrafodelista"/>
        <w:numPr>
          <w:ilvl w:val="1"/>
          <w:numId w:val="1"/>
        </w:numPr>
        <w:tabs>
          <w:tab w:val="left" w:pos="426"/>
        </w:tabs>
        <w:spacing w:line="360" w:lineRule="auto"/>
        <w:ind w:left="1134"/>
        <w:jc w:val="both"/>
        <w:rPr>
          <w:rFonts w:ascii="Palatino Linotype" w:eastAsia="Calibri" w:hAnsi="Palatino Linotype" w:cs="Arial"/>
        </w:rPr>
      </w:pPr>
      <w:r w:rsidRPr="00F11975">
        <w:rPr>
          <w:rFonts w:ascii="Palatino Linotype" w:eastAsia="Calibri" w:hAnsi="Palatino Linotype" w:cs="Arial"/>
          <w:b/>
          <w:bCs/>
        </w:rPr>
        <w:t>Complejidad del Asunto:</w:t>
      </w:r>
      <w:r w:rsidRPr="00F11975">
        <w:rPr>
          <w:rFonts w:ascii="Palatino Linotype" w:eastAsia="Calibri" w:hAnsi="Palatino Linotype" w:cs="Arial"/>
        </w:rPr>
        <w:t xml:space="preserve"> La complejidad de la prueba, la pluralidad de sujetos procesales, el tiempo transcurrido, las características y contexto del recurso.</w:t>
      </w:r>
    </w:p>
    <w:p w14:paraId="70654DE1" w14:textId="77777777" w:rsidR="00CE7E81" w:rsidRPr="00F11975" w:rsidRDefault="00CE7E81" w:rsidP="00CE7E81">
      <w:pPr>
        <w:pStyle w:val="Prrafodelista"/>
        <w:numPr>
          <w:ilvl w:val="1"/>
          <w:numId w:val="1"/>
        </w:numPr>
        <w:tabs>
          <w:tab w:val="left" w:pos="426"/>
        </w:tabs>
        <w:spacing w:line="360" w:lineRule="auto"/>
        <w:ind w:left="1134"/>
        <w:jc w:val="both"/>
        <w:rPr>
          <w:rFonts w:ascii="Palatino Linotype" w:eastAsia="Calibri" w:hAnsi="Palatino Linotype" w:cs="Arial"/>
        </w:rPr>
      </w:pPr>
      <w:r w:rsidRPr="00F11975">
        <w:rPr>
          <w:rFonts w:ascii="Palatino Linotype" w:eastAsia="Calibri" w:hAnsi="Palatino Linotype" w:cs="Arial"/>
          <w:b/>
          <w:bCs/>
        </w:rPr>
        <w:t>Actividad Procesal del interesado:</w:t>
      </w:r>
      <w:r w:rsidRPr="00F11975">
        <w:rPr>
          <w:rFonts w:ascii="Palatino Linotype" w:eastAsia="Calibri" w:hAnsi="Palatino Linotype" w:cs="Arial"/>
        </w:rPr>
        <w:t xml:space="preserve"> Acciones u omisiones del interesado.</w:t>
      </w:r>
    </w:p>
    <w:p w14:paraId="7969A5A0" w14:textId="77777777" w:rsidR="00CE7E81" w:rsidRPr="00F11975" w:rsidRDefault="00CE7E81" w:rsidP="00CE7E81">
      <w:pPr>
        <w:pStyle w:val="Prrafodelista"/>
        <w:numPr>
          <w:ilvl w:val="1"/>
          <w:numId w:val="1"/>
        </w:numPr>
        <w:tabs>
          <w:tab w:val="left" w:pos="426"/>
        </w:tabs>
        <w:spacing w:line="360" w:lineRule="auto"/>
        <w:ind w:left="1134"/>
        <w:jc w:val="both"/>
        <w:rPr>
          <w:rFonts w:ascii="Palatino Linotype" w:eastAsia="Calibri" w:hAnsi="Palatino Linotype" w:cs="Arial"/>
        </w:rPr>
      </w:pPr>
      <w:r w:rsidRPr="00F11975">
        <w:rPr>
          <w:rFonts w:ascii="Palatino Linotype" w:eastAsia="Calibri" w:hAnsi="Palatino Linotype" w:cs="Arial"/>
          <w:b/>
          <w:bCs/>
        </w:rPr>
        <w:t>Conducta de la Autoridad:</w:t>
      </w:r>
      <w:r w:rsidRPr="00F11975">
        <w:rPr>
          <w:rFonts w:ascii="Palatino Linotype" w:eastAsia="Calibri" w:hAnsi="Palatino Linotype" w:cs="Arial"/>
        </w:rPr>
        <w:t xml:space="preserve"> Las Acciones u omisiones realizadas en el procedimiento. Así como si la autoridad actuó con la debida diligencia.</w:t>
      </w:r>
    </w:p>
    <w:p w14:paraId="43A1EC75" w14:textId="6503D2C0" w:rsidR="00CE7E81" w:rsidRPr="00F11975" w:rsidRDefault="00CE7E81" w:rsidP="00CE7E81">
      <w:pPr>
        <w:pStyle w:val="Prrafodelista"/>
        <w:numPr>
          <w:ilvl w:val="1"/>
          <w:numId w:val="1"/>
        </w:numPr>
        <w:tabs>
          <w:tab w:val="left" w:pos="426"/>
        </w:tabs>
        <w:spacing w:line="360" w:lineRule="auto"/>
        <w:ind w:left="1134"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b/>
          <w:bCs/>
        </w:rPr>
        <w:t xml:space="preserve">La afectación generada en la situación jurídica de la persona involucrada en el proceso: </w:t>
      </w:r>
      <w:r w:rsidRPr="00F11975">
        <w:rPr>
          <w:rFonts w:ascii="Palatino Linotype" w:eastAsia="Calibri" w:hAnsi="Palatino Linotype" w:cs="Arial"/>
        </w:rPr>
        <w:t>Violación a sus derechos humanos.</w:t>
      </w:r>
    </w:p>
    <w:p w14:paraId="66E6DDED"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471BA844" w14:textId="6AC3077E"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De </w:t>
      </w:r>
      <w:r w:rsidRPr="00F11975">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780342"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17994203" w14:textId="09015D38"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Argumento </w:t>
      </w:r>
      <w:r w:rsidRPr="00F11975">
        <w:rPr>
          <w:rFonts w:ascii="Palatino Linotype" w:hAnsi="Palatino Linotype"/>
        </w:rPr>
        <w:t xml:space="preserve">que encuentra sustento en la jurisprudencia P./J. 32/92 emitida por el Pleno de la Suprema Corte de Justicia de la Nación de rubro </w:t>
      </w:r>
      <w:r w:rsidRPr="00F11975">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F11975">
        <w:rPr>
          <w:rFonts w:ascii="Palatino Linotype" w:hAnsi="Palatino Linotype"/>
          <w:i/>
        </w:rPr>
        <w:lastRenderedPageBreak/>
        <w:t>CARACTERÍSTICAS DEL CASO.”</w:t>
      </w:r>
      <w:r w:rsidRPr="00F11975">
        <w:rPr>
          <w:rStyle w:val="Refdenotaalpie"/>
          <w:rFonts w:ascii="Palatino Linotype" w:hAnsi="Palatino Linotype"/>
          <w:i/>
        </w:rPr>
        <w:footnoteReference w:id="2"/>
      </w:r>
      <w:r w:rsidRPr="00F11975">
        <w:rPr>
          <w:rFonts w:ascii="Palatino Linotype" w:hAnsi="Palatino Linotype"/>
        </w:rPr>
        <w:t>, visible en la Gaceta del Seminario Judicial de la Federación con el registro digital 205635.</w:t>
      </w:r>
    </w:p>
    <w:p w14:paraId="7DA8FF30"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9D1E391" w14:textId="4DEB3102"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Razones </w:t>
      </w:r>
      <w:r w:rsidRPr="00F11975">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11975">
        <w:rPr>
          <w:rFonts w:ascii="Palatino Linotype" w:hAnsi="Palatino Linotype"/>
        </w:rPr>
        <w:lastRenderedPageBreak/>
        <w:t>los términos legales previamente establecidos por la Ley, por tratarse de causas de fuerza mayor.</w:t>
      </w:r>
    </w:p>
    <w:p w14:paraId="1FBD0904" w14:textId="77777777" w:rsidR="00FA5426" w:rsidRPr="00F11975" w:rsidRDefault="00FA5426" w:rsidP="00FA5426">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52E85AF" w14:textId="3ED9FF2C" w:rsidR="00FA5426"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eastAsia="Calibri" w:hAnsi="Palatino Linotype" w:cs="Arial"/>
          <w:color w:val="000000" w:themeColor="text1"/>
        </w:rPr>
        <w:t xml:space="preserve">Por </w:t>
      </w:r>
      <w:r w:rsidRPr="00F11975">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4C1F0BC2" w14:textId="77777777" w:rsidR="00CE7E81" w:rsidRPr="00F11975" w:rsidRDefault="00CE7E81" w:rsidP="00CE7E81">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1A38632" w14:textId="5C627261" w:rsidR="00CE7E81"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5C0A0C6" w14:textId="16EE6920" w:rsidR="00CE7E81" w:rsidRPr="00F11975" w:rsidRDefault="00CE7E81" w:rsidP="00CE7E81">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6A953BD9" w14:textId="77777777" w:rsidR="00CE7E81" w:rsidRPr="00F11975" w:rsidRDefault="00CE7E81" w:rsidP="00CE7E81">
      <w:pPr>
        <w:pStyle w:val="Prrafodelista"/>
        <w:spacing w:line="276" w:lineRule="auto"/>
        <w:ind w:left="567" w:right="567"/>
        <w:jc w:val="both"/>
        <w:rPr>
          <w:rFonts w:ascii="Palatino Linotype" w:hAnsi="Palatino Linotype"/>
          <w:i/>
          <w:sz w:val="22"/>
        </w:rPr>
      </w:pPr>
      <w:r w:rsidRPr="00F11975">
        <w:rPr>
          <w:rFonts w:ascii="Palatino Linotype" w:hAnsi="Palatino Linotype"/>
          <w:b/>
          <w:i/>
          <w:sz w:val="22"/>
        </w:rPr>
        <w:t>PLAZO RAZONABLE PARA RESOLVER. DIMENSIÓN Y EFECTOS DE ESTE CONCEPTO CUANDO SE ADUCE EXCESIVA CARGA DE TRABAJO.</w:t>
      </w:r>
      <w:r w:rsidRPr="00F11975">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w:t>
      </w:r>
      <w:r w:rsidRPr="00F11975">
        <w:rPr>
          <w:rFonts w:ascii="Palatino Linotype" w:hAnsi="Palatino Linotype"/>
          <w:i/>
          <w:sz w:val="22"/>
        </w:rPr>
        <w:lastRenderedPageBreak/>
        <w:t>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F11975">
        <w:rPr>
          <w:rStyle w:val="Refdenotaalpie"/>
          <w:rFonts w:ascii="Palatino Linotype" w:hAnsi="Palatino Linotype"/>
          <w:i/>
          <w:sz w:val="22"/>
        </w:rPr>
        <w:footnoteReference w:id="3"/>
      </w:r>
    </w:p>
    <w:p w14:paraId="7A25EBF0" w14:textId="77777777" w:rsidR="00CE7E81" w:rsidRPr="00F11975" w:rsidRDefault="00CE7E81" w:rsidP="00CE7E81">
      <w:pPr>
        <w:pStyle w:val="Prrafodelista"/>
        <w:spacing w:line="276" w:lineRule="auto"/>
        <w:ind w:left="567" w:right="567"/>
        <w:jc w:val="both"/>
        <w:rPr>
          <w:rFonts w:ascii="Palatino Linotype" w:hAnsi="Palatino Linotype"/>
          <w:i/>
          <w:sz w:val="22"/>
        </w:rPr>
      </w:pPr>
    </w:p>
    <w:p w14:paraId="1BD95CE9" w14:textId="77777777" w:rsidR="00CE7E81" w:rsidRPr="00F11975" w:rsidRDefault="00CE7E81" w:rsidP="00CE7E81">
      <w:pPr>
        <w:pStyle w:val="Prrafodelista"/>
        <w:spacing w:line="276" w:lineRule="auto"/>
        <w:ind w:left="567" w:right="567"/>
        <w:jc w:val="both"/>
        <w:rPr>
          <w:rFonts w:ascii="Palatino Linotype" w:hAnsi="Palatino Linotype"/>
          <w:i/>
          <w:sz w:val="22"/>
        </w:rPr>
      </w:pPr>
      <w:r w:rsidRPr="00F11975">
        <w:rPr>
          <w:rFonts w:ascii="Palatino Linotype" w:hAnsi="Palatino Linotype"/>
          <w:b/>
          <w:i/>
          <w:sz w:val="22"/>
        </w:rPr>
        <w:t>PLAZO RAZONABLE PARA RESOLVER. CONCEPTO Y ELEMENTOS QUE LO INTEGRAN A LA LUZ DEL DERECHO INTERNACIONAL DE LOS DERECHOS HUMANOS.</w:t>
      </w:r>
      <w:r w:rsidRPr="00F11975">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w:t>
      </w:r>
      <w:r w:rsidRPr="00F11975">
        <w:rPr>
          <w:rFonts w:ascii="Palatino Linotype" w:hAnsi="Palatino Linotype"/>
          <w:i/>
          <w:sz w:val="22"/>
        </w:rPr>
        <w:lastRenderedPageBreak/>
        <w:t>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F11975">
        <w:rPr>
          <w:rStyle w:val="Refdenotaalpie"/>
          <w:rFonts w:ascii="Palatino Linotype" w:hAnsi="Palatino Linotype"/>
          <w:i/>
          <w:sz w:val="22"/>
        </w:rPr>
        <w:footnoteReference w:id="4"/>
      </w:r>
    </w:p>
    <w:p w14:paraId="34FDDD1A" w14:textId="77777777" w:rsidR="00CE7E81" w:rsidRPr="00F11975" w:rsidRDefault="00CE7E81" w:rsidP="00CE7E81">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10A596C" w14:textId="0C73AB4D" w:rsidR="00CE7E81" w:rsidRPr="00F11975" w:rsidRDefault="00CE7E81"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F1197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71F3709" w14:textId="77777777" w:rsidR="00103662" w:rsidRPr="00F11975"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223268AE" w:rsidR="00540208" w:rsidRPr="00F11975" w:rsidRDefault="00FA5426" w:rsidP="00B31E90">
      <w:pPr>
        <w:pStyle w:val="Ttulo2"/>
        <w:spacing w:before="0"/>
        <w:rPr>
          <w:rFonts w:ascii="Palatino Linotype" w:hAnsi="Palatino Linotype"/>
          <w:b/>
          <w:color w:val="000000" w:themeColor="text1"/>
          <w:sz w:val="24"/>
          <w:szCs w:val="24"/>
        </w:rPr>
      </w:pPr>
      <w:bookmarkStart w:id="16" w:name="_Toc500360400"/>
      <w:bookmarkStart w:id="17" w:name="_Toc500786931"/>
      <w:bookmarkStart w:id="18" w:name="_Toc88151633"/>
      <w:bookmarkStart w:id="19" w:name="_Toc495427545"/>
      <w:bookmarkStart w:id="20" w:name="_Toc499296549"/>
      <w:bookmarkStart w:id="21" w:name="_Toc459174366"/>
      <w:bookmarkStart w:id="22" w:name="_Toc459659884"/>
      <w:bookmarkStart w:id="23" w:name="_Toc461687280"/>
      <w:bookmarkStart w:id="24" w:name="_Toc462771051"/>
      <w:bookmarkStart w:id="25" w:name="_Toc464139201"/>
      <w:r w:rsidRPr="00F11975">
        <w:rPr>
          <w:rFonts w:ascii="Palatino Linotype" w:hAnsi="Palatino Linotype"/>
          <w:b/>
          <w:color w:val="000000" w:themeColor="text1"/>
          <w:sz w:val="24"/>
          <w:szCs w:val="24"/>
        </w:rPr>
        <w:t>CUARTO</w:t>
      </w:r>
      <w:r w:rsidR="00C50A2B" w:rsidRPr="00F11975">
        <w:rPr>
          <w:rFonts w:ascii="Palatino Linotype" w:hAnsi="Palatino Linotype"/>
          <w:b/>
          <w:color w:val="000000" w:themeColor="text1"/>
          <w:sz w:val="24"/>
          <w:szCs w:val="24"/>
        </w:rPr>
        <w:t>. De</w:t>
      </w:r>
      <w:r w:rsidR="00AD76A1" w:rsidRPr="00F11975">
        <w:rPr>
          <w:rFonts w:ascii="Palatino Linotype" w:hAnsi="Palatino Linotype"/>
          <w:b/>
          <w:color w:val="000000" w:themeColor="text1"/>
          <w:sz w:val="24"/>
          <w:szCs w:val="24"/>
        </w:rPr>
        <w:t xml:space="preserve">l planteamiento de la </w:t>
      </w:r>
      <w:r w:rsidR="00AD76A1" w:rsidRPr="00F11975">
        <w:rPr>
          <w:rFonts w:ascii="Palatino Linotype" w:hAnsi="Palatino Linotype"/>
          <w:b/>
          <w:i/>
          <w:color w:val="000000" w:themeColor="text1"/>
          <w:sz w:val="24"/>
          <w:szCs w:val="24"/>
        </w:rPr>
        <w:t>Litis</w:t>
      </w:r>
      <w:r w:rsidR="00C50A2B" w:rsidRPr="00F11975">
        <w:rPr>
          <w:rFonts w:ascii="Palatino Linotype" w:hAnsi="Palatino Linotype"/>
          <w:b/>
          <w:color w:val="000000" w:themeColor="text1"/>
          <w:sz w:val="24"/>
          <w:szCs w:val="24"/>
        </w:rPr>
        <w:t>.</w:t>
      </w:r>
      <w:bookmarkEnd w:id="16"/>
      <w:bookmarkEnd w:id="17"/>
      <w:bookmarkEnd w:id="18"/>
    </w:p>
    <w:p w14:paraId="4231B8D5" w14:textId="77777777" w:rsidR="00540208" w:rsidRPr="00F11975" w:rsidRDefault="00540208" w:rsidP="00B31E90">
      <w:pPr>
        <w:rPr>
          <w:rFonts w:ascii="Palatino Linotype" w:hAnsi="Palatino Linotype"/>
          <w:color w:val="000000" w:themeColor="text1"/>
          <w:lang w:val="es-MX" w:eastAsia="en-US"/>
        </w:rPr>
      </w:pPr>
    </w:p>
    <w:bookmarkEnd w:id="19"/>
    <w:bookmarkEnd w:id="20"/>
    <w:p w14:paraId="26137E4C" w14:textId="1C374F95" w:rsidR="0056788F" w:rsidRPr="00F11975" w:rsidRDefault="00C17EAC"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11975">
        <w:rPr>
          <w:rFonts w:ascii="Palatino Linotype" w:hAnsi="Palatino Linotype" w:cs="Arial"/>
          <w:color w:val="000000" w:themeColor="text1"/>
        </w:rPr>
        <w:t xml:space="preserve">Se </w:t>
      </w:r>
      <w:r w:rsidR="00035A99" w:rsidRPr="00F11975">
        <w:rPr>
          <w:rFonts w:ascii="Palatino Linotype" w:hAnsi="Palatino Linotype" w:cs="Arial"/>
          <w:color w:val="000000" w:themeColor="text1"/>
          <w:lang w:val="es-MX"/>
        </w:rPr>
        <w:t>requirió una base datos de la incidencia delictiva, o reporte de incidencias, eventos relacionados, donde se señale el tipo de incidente o evento, hora, fecha, lugar, ubicación y coordenadas geográficas, por el periodo comprendido del uno (01) de enero de dos mil diez a la fecha de la presentación de la solicitud</w:t>
      </w:r>
      <w:r w:rsidR="001C2E8B" w:rsidRPr="00F11975">
        <w:rPr>
          <w:rFonts w:ascii="Palatino Linotype" w:hAnsi="Palatino Linotype" w:cs="Arial"/>
          <w:color w:val="000000" w:themeColor="text1"/>
          <w:lang w:val="es-MX"/>
        </w:rPr>
        <w:t>.</w:t>
      </w:r>
      <w:r w:rsidR="00826F38" w:rsidRPr="00F11975">
        <w:rPr>
          <w:rFonts w:ascii="Palatino Linotype" w:hAnsi="Palatino Linotype" w:cs="Arial"/>
          <w:color w:val="000000" w:themeColor="text1"/>
        </w:rPr>
        <w:t xml:space="preserve"> </w:t>
      </w:r>
      <w:r w:rsidR="005D1765" w:rsidRPr="00F11975">
        <w:rPr>
          <w:rFonts w:ascii="Palatino Linotype" w:hAnsi="Palatino Linotype" w:cs="Arial"/>
          <w:color w:val="000000" w:themeColor="text1"/>
        </w:rPr>
        <w:t>E</w:t>
      </w:r>
      <w:r w:rsidR="00D94807" w:rsidRPr="00F11975">
        <w:rPr>
          <w:rFonts w:ascii="Palatino Linotype" w:hAnsi="Palatino Linotype" w:cs="Arial"/>
          <w:color w:val="000000" w:themeColor="text1"/>
        </w:rPr>
        <w:t>l</w:t>
      </w:r>
      <w:r w:rsidR="00826F38" w:rsidRPr="00F11975">
        <w:rPr>
          <w:rFonts w:ascii="Palatino Linotype" w:hAnsi="Palatino Linotype" w:cs="Arial"/>
          <w:color w:val="000000" w:themeColor="text1"/>
        </w:rPr>
        <w:t xml:space="preserve"> </w:t>
      </w:r>
      <w:r w:rsidR="00CA0640" w:rsidRPr="00F11975">
        <w:rPr>
          <w:rFonts w:ascii="Palatino Linotype" w:hAnsi="Palatino Linotype" w:cs="Arial"/>
          <w:b/>
          <w:bCs/>
          <w:color w:val="000000" w:themeColor="text1"/>
        </w:rPr>
        <w:t>SUJETO OBLIGADO</w:t>
      </w:r>
      <w:r w:rsidR="00D94807" w:rsidRPr="00F11975">
        <w:rPr>
          <w:rFonts w:ascii="Palatino Linotype" w:hAnsi="Palatino Linotype" w:cs="Arial"/>
          <w:color w:val="000000" w:themeColor="text1"/>
        </w:rPr>
        <w:t xml:space="preserve"> </w:t>
      </w:r>
      <w:r w:rsidR="00035678" w:rsidRPr="00F11975">
        <w:rPr>
          <w:rFonts w:ascii="Palatino Linotype" w:hAnsi="Palatino Linotype" w:cs="Arial"/>
          <w:color w:val="000000" w:themeColor="text1"/>
        </w:rPr>
        <w:t>no atendió la solicitud de información.</w:t>
      </w:r>
    </w:p>
    <w:p w14:paraId="52493E42" w14:textId="77777777" w:rsidR="0056788F" w:rsidRPr="00F11975"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2FC0C4F9" w14:textId="600B16E0" w:rsidR="00035678" w:rsidRPr="00F11975" w:rsidRDefault="00826F3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11975">
        <w:rPr>
          <w:rFonts w:ascii="Palatino Linotype" w:hAnsi="Palatino Linotype" w:cs="Arial"/>
          <w:color w:val="000000" w:themeColor="text1"/>
        </w:rPr>
        <w:t xml:space="preserve">El particular </w:t>
      </w:r>
      <w:r w:rsidR="00035678" w:rsidRPr="00F11975">
        <w:rPr>
          <w:rFonts w:ascii="Palatino Linotype" w:hAnsi="Palatino Linotype" w:cs="Arial"/>
          <w:color w:val="000000" w:themeColor="text1"/>
        </w:rPr>
        <w:t>presentó</w:t>
      </w:r>
      <w:r w:rsidRPr="00F11975">
        <w:rPr>
          <w:rFonts w:ascii="Palatino Linotype" w:hAnsi="Palatino Linotype" w:cs="Arial"/>
          <w:color w:val="000000" w:themeColor="text1"/>
        </w:rPr>
        <w:t xml:space="preserve"> recurso de revisión</w:t>
      </w:r>
      <w:r w:rsidR="00035678" w:rsidRPr="00F11975">
        <w:rPr>
          <w:rFonts w:ascii="Palatino Linotype" w:hAnsi="Palatino Linotype" w:cs="Arial"/>
          <w:color w:val="000000" w:themeColor="text1"/>
        </w:rPr>
        <w:t xml:space="preserve"> ante este Instituto</w:t>
      </w:r>
      <w:r w:rsidRPr="00F11975">
        <w:rPr>
          <w:rFonts w:ascii="Palatino Linotype" w:hAnsi="Palatino Linotype" w:cs="Arial"/>
          <w:color w:val="000000" w:themeColor="text1"/>
        </w:rPr>
        <w:t xml:space="preserve">, </w:t>
      </w:r>
      <w:r w:rsidR="00035A99" w:rsidRPr="00F11975">
        <w:rPr>
          <w:rFonts w:ascii="Palatino Linotype" w:hAnsi="Palatino Linotype" w:cs="Arial"/>
          <w:color w:val="000000" w:themeColor="text1"/>
        </w:rPr>
        <w:t xml:space="preserve">vía SAIMEX y correo electrónico, </w:t>
      </w:r>
      <w:r w:rsidR="006A2EFB" w:rsidRPr="00F11975">
        <w:rPr>
          <w:rFonts w:ascii="Palatino Linotype" w:hAnsi="Palatino Linotype" w:cs="Arial"/>
          <w:color w:val="000000" w:themeColor="text1"/>
        </w:rPr>
        <w:t>en el que señaló</w:t>
      </w:r>
      <w:r w:rsidRPr="00F11975">
        <w:rPr>
          <w:rFonts w:ascii="Palatino Linotype" w:hAnsi="Palatino Linotype" w:cs="Arial"/>
          <w:color w:val="000000" w:themeColor="text1"/>
        </w:rPr>
        <w:t xml:space="preserve"> por agravios</w:t>
      </w:r>
      <w:r w:rsidR="003D10F4" w:rsidRPr="00F11975">
        <w:rPr>
          <w:rFonts w:ascii="Palatino Linotype" w:hAnsi="Palatino Linotype" w:cs="Arial"/>
          <w:color w:val="000000" w:themeColor="text1"/>
        </w:rPr>
        <w:t xml:space="preserve">, </w:t>
      </w:r>
      <w:r w:rsidR="00F307CE" w:rsidRPr="00F11975">
        <w:rPr>
          <w:rFonts w:ascii="Palatino Linotype" w:hAnsi="Palatino Linotype" w:cs="Arial"/>
          <w:color w:val="000000" w:themeColor="text1"/>
        </w:rPr>
        <w:t xml:space="preserve">la </w:t>
      </w:r>
      <w:r w:rsidR="00035A99" w:rsidRPr="00F11975">
        <w:rPr>
          <w:rFonts w:ascii="Palatino Linotype" w:hAnsi="Palatino Linotype" w:cs="Arial"/>
          <w:color w:val="000000" w:themeColor="text1"/>
        </w:rPr>
        <w:t>falta de respuesta a su solicitud</w:t>
      </w:r>
      <w:r w:rsidR="00C51671" w:rsidRPr="00F11975">
        <w:rPr>
          <w:rFonts w:ascii="Palatino Linotype" w:hAnsi="Palatino Linotype" w:cs="Arial"/>
          <w:color w:val="000000" w:themeColor="text1"/>
        </w:rPr>
        <w:t>.</w:t>
      </w:r>
      <w:r w:rsidR="0056788F" w:rsidRPr="00F11975">
        <w:rPr>
          <w:rFonts w:ascii="Palatino Linotype" w:hAnsi="Palatino Linotype" w:cs="Arial"/>
          <w:color w:val="000000" w:themeColor="text1"/>
        </w:rPr>
        <w:t xml:space="preserve"> </w:t>
      </w:r>
      <w:r w:rsidR="00035678" w:rsidRPr="00F11975">
        <w:rPr>
          <w:rFonts w:ascii="Palatino Linotype" w:hAnsi="Palatino Linotype" w:cs="Arial"/>
          <w:color w:val="000000" w:themeColor="text1"/>
        </w:rPr>
        <w:t xml:space="preserve">Luego, en vía de </w:t>
      </w:r>
      <w:r w:rsidR="00F307CE" w:rsidRPr="00F11975">
        <w:rPr>
          <w:rFonts w:ascii="Palatino Linotype" w:hAnsi="Palatino Linotype" w:cs="Arial"/>
          <w:color w:val="000000" w:themeColor="text1"/>
        </w:rPr>
        <w:t>alcance</w:t>
      </w:r>
      <w:r w:rsidR="00035678" w:rsidRPr="00F11975">
        <w:rPr>
          <w:rFonts w:ascii="Palatino Linotype" w:hAnsi="Palatino Linotype" w:cs="Arial"/>
          <w:color w:val="000000" w:themeColor="text1"/>
        </w:rPr>
        <w:t xml:space="preserve">, el </w:t>
      </w:r>
      <w:r w:rsidR="00035678" w:rsidRPr="00F11975">
        <w:rPr>
          <w:rFonts w:ascii="Palatino Linotype" w:hAnsi="Palatino Linotype" w:cs="Arial"/>
          <w:b/>
          <w:color w:val="000000" w:themeColor="text1"/>
        </w:rPr>
        <w:t>SUJETO OBLIGADO</w:t>
      </w:r>
      <w:r w:rsidR="00035678" w:rsidRPr="00F11975">
        <w:rPr>
          <w:rFonts w:ascii="Palatino Linotype" w:hAnsi="Palatino Linotype" w:cs="Arial"/>
          <w:color w:val="000000" w:themeColor="text1"/>
        </w:rPr>
        <w:t xml:space="preserve"> entregó </w:t>
      </w:r>
      <w:r w:rsidR="00035A99" w:rsidRPr="00F11975">
        <w:rPr>
          <w:rFonts w:ascii="Palatino Linotype" w:hAnsi="Palatino Linotype" w:cs="Arial"/>
          <w:color w:val="000000" w:themeColor="text1"/>
        </w:rPr>
        <w:t xml:space="preserve">dos archivos electrónicos </w:t>
      </w:r>
      <w:r w:rsidR="00035A99" w:rsidRPr="00F11975">
        <w:rPr>
          <w:rFonts w:ascii="Palatino Linotype" w:hAnsi="Palatino Linotype" w:cs="Arial"/>
          <w:color w:val="000000" w:themeColor="text1"/>
        </w:rPr>
        <w:lastRenderedPageBreak/>
        <w:t>en los que se enlistan diversas faltas, delitos o eventos que han sido atendidos por la Dirección se Seguridad Ciudadana y Tránsito Municipal durante el periodo señalado en la solicitud de información primigenia.</w:t>
      </w:r>
    </w:p>
    <w:p w14:paraId="78482A8A" w14:textId="77777777" w:rsidR="00035678" w:rsidRPr="00F11975" w:rsidRDefault="00035678" w:rsidP="00035678">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E2196A6" w:rsidR="001A032D" w:rsidRPr="00F11975"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11975">
        <w:rPr>
          <w:rFonts w:ascii="Palatino Linotype" w:hAnsi="Palatino Linotype" w:cs="Arial"/>
          <w:color w:val="000000" w:themeColor="text1"/>
        </w:rPr>
        <w:t xml:space="preserve">En ese sentido, </w:t>
      </w:r>
      <w:r w:rsidR="002470E8" w:rsidRPr="00F11975">
        <w:rPr>
          <w:rFonts w:ascii="Palatino Linotype" w:hAnsi="Palatino Linotype" w:cs="Arial"/>
          <w:color w:val="000000" w:themeColor="text1"/>
        </w:rPr>
        <w:t>este Organismo Garante</w:t>
      </w:r>
      <w:r w:rsidR="00035678" w:rsidRPr="00F11975">
        <w:rPr>
          <w:rFonts w:ascii="Palatino Linotype" w:hAnsi="Palatino Linotype" w:cs="Arial"/>
          <w:color w:val="000000" w:themeColor="text1"/>
        </w:rPr>
        <w:t xml:space="preserve"> advierte que las razones o motivos de inconformidad manifestados por el </w:t>
      </w:r>
      <w:r w:rsidR="00035678" w:rsidRPr="00F11975">
        <w:rPr>
          <w:rFonts w:ascii="Palatino Linotype" w:hAnsi="Palatino Linotype" w:cs="Arial"/>
          <w:b/>
          <w:bCs/>
          <w:color w:val="000000" w:themeColor="text1"/>
        </w:rPr>
        <w:t>RECURRENTE</w:t>
      </w:r>
      <w:r w:rsidR="00035678" w:rsidRPr="00F11975">
        <w:rPr>
          <w:rFonts w:ascii="Palatino Linotype" w:hAnsi="Palatino Linotype" w:cs="Arial"/>
          <w:color w:val="000000" w:themeColor="text1"/>
        </w:rPr>
        <w:t xml:space="preserve"> sugieren que la respuesta proporcionada por el </w:t>
      </w:r>
      <w:r w:rsidR="00035678" w:rsidRPr="00F11975">
        <w:rPr>
          <w:rFonts w:ascii="Palatino Linotype" w:hAnsi="Palatino Linotype" w:cs="Arial"/>
          <w:b/>
          <w:bCs/>
          <w:color w:val="000000" w:themeColor="text1"/>
        </w:rPr>
        <w:t>SUJETO OBLIGADO</w:t>
      </w:r>
      <w:r w:rsidR="00035678" w:rsidRPr="00F11975">
        <w:rPr>
          <w:rFonts w:ascii="Palatino Linotype" w:hAnsi="Palatino Linotype" w:cs="Arial"/>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035678" w:rsidRPr="00F11975">
        <w:rPr>
          <w:rFonts w:ascii="Palatino Linotype" w:hAnsi="Palatino Linotype" w:cs="Arial"/>
          <w:b/>
          <w:bCs/>
          <w:color w:val="000000" w:themeColor="text1"/>
        </w:rPr>
        <w:t>expedita</w:t>
      </w:r>
      <w:r w:rsidR="00F307CE" w:rsidRPr="00F11975">
        <w:rPr>
          <w:rFonts w:ascii="Palatino Linotype" w:hAnsi="Palatino Linotype" w:cs="Arial"/>
          <w:bCs/>
          <w:color w:val="000000" w:themeColor="text1"/>
        </w:rPr>
        <w:t xml:space="preserve"> y </w:t>
      </w:r>
      <w:r w:rsidR="00F307CE" w:rsidRPr="00F11975">
        <w:rPr>
          <w:rFonts w:ascii="Palatino Linotype" w:hAnsi="Palatino Linotype" w:cs="Arial"/>
          <w:b/>
          <w:bCs/>
          <w:color w:val="000000" w:themeColor="text1"/>
        </w:rPr>
        <w:t>sujeta a un régimen limitado de restricciones</w:t>
      </w:r>
      <w:r w:rsidR="00035678" w:rsidRPr="00F11975">
        <w:rPr>
          <w:rFonts w:ascii="Palatino Linotype" w:hAnsi="Palatino Linotype" w:cs="Arial"/>
          <w:color w:val="000000" w:themeColor="text1"/>
        </w:rPr>
        <w:t>.</w:t>
      </w:r>
    </w:p>
    <w:p w14:paraId="026A3A70" w14:textId="77777777" w:rsidR="00197091" w:rsidRPr="00F11975"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6E528F73" w:rsidR="00AD76A1" w:rsidRPr="00F11975"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11975">
        <w:rPr>
          <w:rFonts w:ascii="Palatino Linotype" w:hAnsi="Palatino Linotype" w:cs="Arial"/>
          <w:color w:val="000000" w:themeColor="text1"/>
          <w:szCs w:val="23"/>
        </w:rPr>
        <w:t xml:space="preserve">Por lo anterior, </w:t>
      </w:r>
      <w:r w:rsidR="00035678" w:rsidRPr="00F11975">
        <w:rPr>
          <w:rFonts w:ascii="Palatino Linotype" w:hAnsi="Palatino Linotype" w:cs="Arial"/>
          <w:color w:val="000000" w:themeColor="text1"/>
          <w:szCs w:val="23"/>
        </w:rPr>
        <w:t>se actualizan las causales de procedencia del recurso de revisión establecidas en el artículo 179, fracciones I</w:t>
      </w:r>
      <w:r w:rsidR="00F307CE" w:rsidRPr="00F11975">
        <w:rPr>
          <w:rFonts w:ascii="Palatino Linotype" w:hAnsi="Palatino Linotype" w:cs="Arial"/>
          <w:color w:val="000000" w:themeColor="text1"/>
          <w:szCs w:val="23"/>
        </w:rPr>
        <w:t>, II</w:t>
      </w:r>
      <w:r w:rsidR="00035678" w:rsidRPr="00F11975">
        <w:rPr>
          <w:rFonts w:ascii="Palatino Linotype" w:hAnsi="Palatino Linotype" w:cs="Arial"/>
          <w:color w:val="000000" w:themeColor="text1"/>
          <w:szCs w:val="23"/>
        </w:rPr>
        <w:t xml:space="preserve"> y VII de la Ley de Transparencia y Acceso a la Información Pública del Estado de México y Municipios, las cuales dictan lo siguiente:</w:t>
      </w:r>
    </w:p>
    <w:p w14:paraId="53A86C97" w14:textId="77777777" w:rsidR="00DA5EB1" w:rsidRPr="00F11975" w:rsidRDefault="00DA5EB1" w:rsidP="00DA5EB1">
      <w:pPr>
        <w:pStyle w:val="Sinespaciado"/>
        <w:tabs>
          <w:tab w:val="left" w:pos="426"/>
        </w:tabs>
        <w:ind w:left="851" w:right="567"/>
        <w:jc w:val="both"/>
        <w:rPr>
          <w:rFonts w:ascii="Palatino Linotype" w:hAnsi="Palatino Linotype"/>
          <w:i/>
          <w:color w:val="000000" w:themeColor="text1"/>
          <w:sz w:val="22"/>
        </w:rPr>
      </w:pPr>
      <w:r w:rsidRPr="00F11975">
        <w:rPr>
          <w:rFonts w:ascii="Palatino Linotype" w:hAnsi="Palatino Linotype"/>
          <w:i/>
          <w:color w:val="000000" w:themeColor="text1"/>
          <w:sz w:val="22"/>
        </w:rPr>
        <w:t>“</w:t>
      </w:r>
      <w:r w:rsidRPr="00F11975">
        <w:rPr>
          <w:rFonts w:ascii="Palatino Linotype" w:hAnsi="Palatino Linotype"/>
          <w:b/>
          <w:i/>
          <w:color w:val="000000" w:themeColor="text1"/>
          <w:sz w:val="22"/>
        </w:rPr>
        <w:t>Artículo 179.</w:t>
      </w:r>
      <w:r w:rsidRPr="00F11975">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7F5ABF3C" w14:textId="77777777" w:rsidR="00DA5EB1" w:rsidRPr="00F11975" w:rsidRDefault="00DA5EB1" w:rsidP="00DA5EB1">
      <w:pPr>
        <w:pStyle w:val="Sinespaciado"/>
        <w:tabs>
          <w:tab w:val="left" w:pos="426"/>
        </w:tabs>
        <w:ind w:left="851" w:right="567"/>
        <w:jc w:val="both"/>
        <w:rPr>
          <w:rFonts w:ascii="Palatino Linotype" w:hAnsi="Palatino Linotype"/>
          <w:i/>
          <w:color w:val="000000" w:themeColor="text1"/>
          <w:sz w:val="22"/>
        </w:rPr>
      </w:pPr>
      <w:r w:rsidRPr="00F11975">
        <w:rPr>
          <w:rFonts w:ascii="Palatino Linotype" w:hAnsi="Palatino Linotype"/>
          <w:b/>
          <w:bCs/>
          <w:i/>
          <w:color w:val="000000" w:themeColor="text1"/>
          <w:sz w:val="22"/>
        </w:rPr>
        <w:t>I.</w:t>
      </w:r>
      <w:r w:rsidRPr="00F11975">
        <w:rPr>
          <w:rFonts w:ascii="Palatino Linotype" w:hAnsi="Palatino Linotype"/>
          <w:i/>
          <w:color w:val="000000" w:themeColor="text1"/>
          <w:sz w:val="22"/>
        </w:rPr>
        <w:t xml:space="preserve"> La negativa a la información solicitada;</w:t>
      </w:r>
    </w:p>
    <w:p w14:paraId="699D560A" w14:textId="6FDD3406" w:rsidR="00F307CE" w:rsidRPr="00F11975" w:rsidRDefault="00F307CE" w:rsidP="00DA5EB1">
      <w:pPr>
        <w:pStyle w:val="Sinespaciado"/>
        <w:tabs>
          <w:tab w:val="left" w:pos="426"/>
        </w:tabs>
        <w:ind w:left="851" w:right="567"/>
        <w:jc w:val="both"/>
        <w:rPr>
          <w:rFonts w:ascii="Palatino Linotype" w:hAnsi="Palatino Linotype"/>
          <w:i/>
          <w:color w:val="000000" w:themeColor="text1"/>
          <w:sz w:val="22"/>
        </w:rPr>
      </w:pPr>
      <w:r w:rsidRPr="00F11975">
        <w:rPr>
          <w:rFonts w:ascii="Palatino Linotype" w:hAnsi="Palatino Linotype"/>
          <w:b/>
          <w:i/>
          <w:color w:val="000000" w:themeColor="text1"/>
          <w:sz w:val="22"/>
        </w:rPr>
        <w:t xml:space="preserve">II. </w:t>
      </w:r>
      <w:r w:rsidRPr="00F11975">
        <w:rPr>
          <w:rFonts w:ascii="Palatino Linotype" w:hAnsi="Palatino Linotype"/>
          <w:i/>
          <w:color w:val="000000" w:themeColor="text1"/>
          <w:sz w:val="22"/>
        </w:rPr>
        <w:t>La clasificación de la información;</w:t>
      </w:r>
    </w:p>
    <w:p w14:paraId="57674D97" w14:textId="77777777" w:rsidR="00DA5EB1" w:rsidRPr="00F11975" w:rsidRDefault="00DA5EB1" w:rsidP="00DA5EB1">
      <w:pPr>
        <w:pStyle w:val="Sinespaciado"/>
        <w:tabs>
          <w:tab w:val="left" w:pos="426"/>
        </w:tabs>
        <w:ind w:left="851" w:right="567"/>
        <w:jc w:val="both"/>
        <w:rPr>
          <w:rFonts w:ascii="Palatino Linotype" w:hAnsi="Palatino Linotype"/>
          <w:i/>
          <w:color w:val="000000" w:themeColor="text1"/>
          <w:sz w:val="22"/>
        </w:rPr>
      </w:pPr>
      <w:r w:rsidRPr="00F11975">
        <w:rPr>
          <w:rFonts w:ascii="Palatino Linotype" w:hAnsi="Palatino Linotype"/>
          <w:i/>
          <w:color w:val="000000" w:themeColor="text1"/>
          <w:sz w:val="22"/>
        </w:rPr>
        <w:t>(…)</w:t>
      </w:r>
    </w:p>
    <w:p w14:paraId="3118902B" w14:textId="1E667F10" w:rsidR="00DA5EB1" w:rsidRPr="00F11975" w:rsidRDefault="00DA5EB1" w:rsidP="00DA5EB1">
      <w:pPr>
        <w:pStyle w:val="Sinespaciado"/>
        <w:tabs>
          <w:tab w:val="left" w:pos="426"/>
        </w:tabs>
        <w:ind w:left="851" w:right="567"/>
        <w:jc w:val="both"/>
        <w:rPr>
          <w:rFonts w:ascii="Palatino Linotype" w:hAnsi="Palatino Linotype"/>
          <w:i/>
          <w:color w:val="000000" w:themeColor="text1"/>
          <w:sz w:val="22"/>
        </w:rPr>
      </w:pPr>
      <w:r w:rsidRPr="00F11975">
        <w:rPr>
          <w:rFonts w:ascii="Palatino Linotype" w:hAnsi="Palatino Linotype"/>
          <w:b/>
          <w:i/>
          <w:color w:val="000000" w:themeColor="text1"/>
          <w:sz w:val="22"/>
        </w:rPr>
        <w:t>V</w:t>
      </w:r>
      <w:r w:rsidR="00035678" w:rsidRPr="00F11975">
        <w:rPr>
          <w:rFonts w:ascii="Palatino Linotype" w:hAnsi="Palatino Linotype"/>
          <w:b/>
          <w:i/>
          <w:color w:val="000000" w:themeColor="text1"/>
          <w:sz w:val="22"/>
        </w:rPr>
        <w:t>II</w:t>
      </w:r>
      <w:r w:rsidRPr="00F11975">
        <w:rPr>
          <w:rFonts w:ascii="Palatino Linotype" w:hAnsi="Palatino Linotype"/>
          <w:b/>
          <w:i/>
          <w:color w:val="000000" w:themeColor="text1"/>
          <w:sz w:val="22"/>
        </w:rPr>
        <w:t>.</w:t>
      </w:r>
      <w:r w:rsidRPr="00F11975">
        <w:rPr>
          <w:rFonts w:ascii="Palatino Linotype" w:hAnsi="Palatino Linotype"/>
          <w:i/>
          <w:color w:val="000000" w:themeColor="text1"/>
          <w:sz w:val="22"/>
        </w:rPr>
        <w:t xml:space="preserve"> La </w:t>
      </w:r>
      <w:r w:rsidR="00035678" w:rsidRPr="00F11975">
        <w:rPr>
          <w:rFonts w:ascii="Palatino Linotype" w:hAnsi="Palatino Linotype"/>
          <w:i/>
          <w:color w:val="000000" w:themeColor="text1"/>
          <w:sz w:val="22"/>
        </w:rPr>
        <w:t>falta de respuesta a una solicitud de acceso a la información</w:t>
      </w:r>
      <w:r w:rsidRPr="00F11975">
        <w:rPr>
          <w:rFonts w:ascii="Palatino Linotype" w:hAnsi="Palatino Linotype"/>
          <w:i/>
          <w:color w:val="000000" w:themeColor="text1"/>
          <w:sz w:val="22"/>
        </w:rPr>
        <w:t>;</w:t>
      </w:r>
    </w:p>
    <w:p w14:paraId="165F9432" w14:textId="77777777" w:rsidR="00DA5EB1" w:rsidRPr="00F11975" w:rsidRDefault="00DA5EB1" w:rsidP="00DA5EB1">
      <w:pPr>
        <w:pStyle w:val="Sinespaciado"/>
        <w:tabs>
          <w:tab w:val="left" w:pos="426"/>
        </w:tabs>
        <w:ind w:left="851" w:right="567"/>
        <w:jc w:val="both"/>
        <w:rPr>
          <w:rFonts w:ascii="Palatino Linotype" w:hAnsi="Palatino Linotype"/>
          <w:i/>
          <w:color w:val="000000" w:themeColor="text1"/>
          <w:sz w:val="22"/>
        </w:rPr>
      </w:pPr>
      <w:r w:rsidRPr="00F11975">
        <w:rPr>
          <w:rFonts w:ascii="Palatino Linotype" w:hAnsi="Palatino Linotype"/>
          <w:i/>
          <w:color w:val="000000" w:themeColor="text1"/>
          <w:sz w:val="22"/>
        </w:rPr>
        <w:t>(…)”</w:t>
      </w:r>
    </w:p>
    <w:p w14:paraId="6807B9E8" w14:textId="77777777" w:rsidR="006A1D78" w:rsidRPr="00F11975" w:rsidRDefault="006A1D78" w:rsidP="00DA5EB1">
      <w:pPr>
        <w:pStyle w:val="Prrafodelista"/>
        <w:tabs>
          <w:tab w:val="left" w:pos="426"/>
        </w:tabs>
        <w:spacing w:line="360" w:lineRule="auto"/>
        <w:ind w:left="0" w:right="49"/>
        <w:jc w:val="both"/>
        <w:rPr>
          <w:rFonts w:ascii="Palatino Linotype" w:hAnsi="Palatino Linotype" w:cs="Arial"/>
          <w:color w:val="000000" w:themeColor="text1"/>
        </w:rPr>
      </w:pPr>
    </w:p>
    <w:p w14:paraId="5CEC2F48" w14:textId="3F5EDB5E" w:rsidR="00EF014A" w:rsidRPr="00F11975" w:rsidRDefault="00FA5426" w:rsidP="00F96156">
      <w:pPr>
        <w:pStyle w:val="Ttulo2"/>
        <w:tabs>
          <w:tab w:val="left" w:pos="426"/>
        </w:tabs>
        <w:rPr>
          <w:rFonts w:ascii="Palatino Linotype" w:hAnsi="Palatino Linotype" w:cs="Arial"/>
          <w:b/>
          <w:color w:val="000000" w:themeColor="text1"/>
          <w:sz w:val="24"/>
        </w:rPr>
      </w:pPr>
      <w:bookmarkStart w:id="26" w:name="_Toc88151634"/>
      <w:r w:rsidRPr="00F11975">
        <w:rPr>
          <w:rFonts w:ascii="Palatino Linotype" w:hAnsi="Palatino Linotype" w:cs="Arial"/>
          <w:b/>
          <w:color w:val="000000" w:themeColor="text1"/>
          <w:sz w:val="24"/>
        </w:rPr>
        <w:t>QUINTO</w:t>
      </w:r>
      <w:r w:rsidR="00EF014A" w:rsidRPr="00F11975">
        <w:rPr>
          <w:rFonts w:ascii="Palatino Linotype" w:hAnsi="Palatino Linotype" w:cs="Arial"/>
          <w:b/>
          <w:color w:val="000000" w:themeColor="text1"/>
          <w:sz w:val="24"/>
        </w:rPr>
        <w:t>. Estudio y Resolución del asunto.</w:t>
      </w:r>
      <w:bookmarkEnd w:id="26"/>
    </w:p>
    <w:p w14:paraId="0C204A57" w14:textId="2E13BFC4" w:rsidR="00A55D2B" w:rsidRPr="00F11975" w:rsidRDefault="00A55D2B" w:rsidP="00060F66">
      <w:pPr>
        <w:pStyle w:val="Prrafodelista"/>
        <w:tabs>
          <w:tab w:val="left" w:pos="426"/>
        </w:tabs>
        <w:spacing w:line="360" w:lineRule="auto"/>
        <w:ind w:left="0" w:right="51"/>
        <w:jc w:val="both"/>
        <w:rPr>
          <w:rFonts w:ascii="Palatino Linotype" w:hAnsi="Palatino Linotype"/>
          <w:color w:val="000000" w:themeColor="text1"/>
        </w:rPr>
      </w:pPr>
      <w:bookmarkStart w:id="27" w:name="_Toc466371865"/>
      <w:bookmarkStart w:id="28" w:name="_Toc466377653"/>
      <w:bookmarkEnd w:id="21"/>
      <w:bookmarkEnd w:id="22"/>
      <w:bookmarkEnd w:id="23"/>
      <w:bookmarkEnd w:id="24"/>
      <w:bookmarkEnd w:id="25"/>
    </w:p>
    <w:p w14:paraId="46B0833E" w14:textId="3FB05A2A" w:rsidR="00DA2D95" w:rsidRPr="00F11975" w:rsidRDefault="00FF457A"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88151635"/>
      <w:r w:rsidRPr="00F11975">
        <w:rPr>
          <w:rFonts w:ascii="Palatino Linotype" w:hAnsi="Palatino Linotype"/>
          <w:b/>
          <w:bCs/>
          <w:color w:val="000000" w:themeColor="text1"/>
        </w:rPr>
        <w:lastRenderedPageBreak/>
        <w:t>I</w:t>
      </w:r>
      <w:r w:rsidR="00DA2D95" w:rsidRPr="00F11975">
        <w:rPr>
          <w:rFonts w:ascii="Palatino Linotype" w:hAnsi="Palatino Linotype"/>
          <w:b/>
          <w:bCs/>
          <w:color w:val="000000" w:themeColor="text1"/>
        </w:rPr>
        <w:t xml:space="preserve">. </w:t>
      </w:r>
      <w:r w:rsidR="001A4610" w:rsidRPr="00F11975">
        <w:rPr>
          <w:rFonts w:ascii="Palatino Linotype" w:hAnsi="Palatino Linotype"/>
          <w:b/>
          <w:bCs/>
          <w:color w:val="000000" w:themeColor="text1"/>
        </w:rPr>
        <w:t>Del deber de las autoridades de promover, respetar, proteger y garantizar el derecho de acceso a la información pública</w:t>
      </w:r>
      <w:r w:rsidR="00DA2D95" w:rsidRPr="00F11975">
        <w:rPr>
          <w:rFonts w:ascii="Palatino Linotype" w:hAnsi="Palatino Linotype"/>
          <w:b/>
          <w:bCs/>
          <w:color w:val="000000" w:themeColor="text1"/>
        </w:rPr>
        <w:t>.</w:t>
      </w:r>
      <w:bookmarkEnd w:id="29"/>
    </w:p>
    <w:p w14:paraId="47DD46B3" w14:textId="77777777" w:rsidR="00DA2D95" w:rsidRPr="00F1197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50716A0C" w14:textId="1FF789D2"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Es menester precisar</w:t>
      </w:r>
      <w:r w:rsidRPr="00F1197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Estatal; por consiguiente, el </w:t>
      </w:r>
      <w:r w:rsidRPr="00F11975">
        <w:rPr>
          <w:rFonts w:ascii="Palatino Linotype" w:hAnsi="Palatino Linotype"/>
          <w:b/>
          <w:bCs/>
          <w:color w:val="000000" w:themeColor="text1"/>
        </w:rPr>
        <w:t>SUJETO OBLIGADO</w:t>
      </w:r>
      <w:r w:rsidRPr="00F11975">
        <w:rPr>
          <w:rFonts w:ascii="Palatino Linotype" w:hAnsi="Palatino Linotype"/>
          <w:bCs/>
          <w:color w:val="000000" w:themeColor="text1"/>
        </w:rPr>
        <w:t xml:space="preserve"> debe ser cuidadoso del debido cumplimiento de las obligaciones constitucionales que se le imponen, pues todas las autoridades, en el ámbito de su competencia, según lo dispone el tercer párrafo del artículo primero de la Constitución Política de los Estados Unidos Mexicanos, tienen</w:t>
      </w:r>
      <w:r w:rsidRPr="00F11975">
        <w:rPr>
          <w:rFonts w:ascii="Palatino Linotype" w:hAnsi="Palatino Linotype"/>
          <w:b/>
          <w:bCs/>
          <w:color w:val="000000" w:themeColor="text1"/>
        </w:rPr>
        <w:t xml:space="preserve"> </w:t>
      </w:r>
      <w:r w:rsidRPr="00F11975">
        <w:rPr>
          <w:rFonts w:ascii="Palatino Linotype" w:hAnsi="Palatino Linotype"/>
          <w:bCs/>
          <w:color w:val="000000" w:themeColor="text1"/>
        </w:rPr>
        <w:t xml:space="preserve">la obligación de “promover, </w:t>
      </w:r>
      <w:r w:rsidRPr="00F11975">
        <w:rPr>
          <w:rFonts w:ascii="Palatino Linotype" w:hAnsi="Palatino Linotype"/>
          <w:b/>
          <w:bCs/>
          <w:color w:val="000000" w:themeColor="text1"/>
        </w:rPr>
        <w:t>respetar</w:t>
      </w:r>
      <w:r w:rsidRPr="00F11975">
        <w:rPr>
          <w:rFonts w:ascii="Palatino Linotype" w:hAnsi="Palatino Linotype"/>
          <w:bCs/>
          <w:color w:val="000000" w:themeColor="text1"/>
        </w:rPr>
        <w:t xml:space="preserve">, proteger y </w:t>
      </w:r>
      <w:r w:rsidRPr="00F11975">
        <w:rPr>
          <w:rFonts w:ascii="Palatino Linotype" w:hAnsi="Palatino Linotype"/>
          <w:b/>
          <w:bCs/>
          <w:color w:val="000000" w:themeColor="text1"/>
        </w:rPr>
        <w:t>garantizar</w:t>
      </w:r>
      <w:r w:rsidRPr="00F11975">
        <w:rPr>
          <w:rFonts w:ascii="Palatino Linotype" w:hAnsi="Palatino Linotype"/>
          <w:bCs/>
          <w:color w:val="000000" w:themeColor="text1"/>
        </w:rPr>
        <w:t xml:space="preserve"> los derechos humanos”, entre los cuales se encuentra dicho derecho.</w:t>
      </w:r>
    </w:p>
    <w:p w14:paraId="29FE3C22" w14:textId="77777777" w:rsidR="001A4610" w:rsidRPr="00F11975"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19559BCD" w14:textId="77777777"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446CAD6" w14:textId="77777777" w:rsidR="001A4610" w:rsidRPr="00F11975"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2AE03289" w14:textId="77777777"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Así las cosas, podemos definir el Derecho de Acceso a la Información Pública como: </w:t>
      </w:r>
      <w:r w:rsidRPr="00F11975">
        <w:rPr>
          <w:rFonts w:ascii="Palatino Linotype" w:hAnsi="Palatino Linotype"/>
          <w:i/>
          <w:color w:val="000000" w:themeColor="text1"/>
        </w:rPr>
        <w:t>La igualdad de oportunidades para recibir, buscar e impartir información</w:t>
      </w:r>
      <w:r w:rsidRPr="00F11975">
        <w:rPr>
          <w:rFonts w:ascii="Palatino Linotype" w:hAnsi="Palatino Linotype"/>
          <w:i/>
          <w:color w:val="000000" w:themeColor="text1"/>
          <w:vertAlign w:val="superscript"/>
        </w:rPr>
        <w:footnoteReference w:id="5"/>
      </w:r>
      <w:r w:rsidRPr="00F11975">
        <w:rPr>
          <w:rFonts w:ascii="Palatino Linotype" w:hAnsi="Palatino Linotype"/>
          <w:i/>
          <w:color w:val="000000" w:themeColor="text1"/>
        </w:rPr>
        <w:t xml:space="preserve">en posesión de cualquier autoridad, entidad, órgano y organismo de los poderes Ejecutivo, Legislativo y </w:t>
      </w:r>
      <w:r w:rsidRPr="00F11975">
        <w:rPr>
          <w:rFonts w:ascii="Palatino Linotype" w:hAnsi="Palatino Linotype"/>
          <w:i/>
          <w:color w:val="000000" w:themeColor="text1"/>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F11975">
        <w:rPr>
          <w:rFonts w:ascii="Palatino Linotype" w:hAnsi="Palatino Linotype"/>
          <w:i/>
          <w:color w:val="000000" w:themeColor="text1"/>
          <w:vertAlign w:val="superscript"/>
        </w:rPr>
        <w:footnoteReference w:id="6"/>
      </w:r>
      <w:r w:rsidRPr="00F11975">
        <w:rPr>
          <w:rFonts w:ascii="Palatino Linotype" w:hAnsi="Palatino Linotype"/>
          <w:color w:val="000000" w:themeColor="text1"/>
        </w:rPr>
        <w:t>que se constituye como una herramienta fundamental para ejercer</w:t>
      </w:r>
      <w:r w:rsidRPr="00F1197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F11975">
        <w:rPr>
          <w:rFonts w:ascii="Palatino Linotype" w:hAnsi="Palatino Linotype"/>
          <w:i/>
          <w:color w:val="000000" w:themeColor="text1"/>
          <w:vertAlign w:val="superscript"/>
        </w:rPr>
        <w:footnoteReference w:id="7"/>
      </w:r>
      <w:r w:rsidRPr="00F11975">
        <w:rPr>
          <w:rFonts w:ascii="Palatino Linotype" w:hAnsi="Palatino Linotype"/>
          <w:i/>
          <w:color w:val="000000" w:themeColor="text1"/>
        </w:rPr>
        <w:t xml:space="preserve"> </w:t>
      </w:r>
      <w:r w:rsidRPr="00F11975">
        <w:rPr>
          <w:rFonts w:ascii="Palatino Linotype" w:hAnsi="Palatino Linotype"/>
          <w:color w:val="000000" w:themeColor="text1"/>
        </w:rPr>
        <w:t>fomentando</w:t>
      </w:r>
      <w:r w:rsidRPr="00F11975">
        <w:rPr>
          <w:rFonts w:ascii="Palatino Linotype" w:hAnsi="Palatino Linotype"/>
          <w:i/>
          <w:color w:val="000000" w:themeColor="text1"/>
        </w:rPr>
        <w:t xml:space="preserve"> la transparencia de las actividades estatales y </w:t>
      </w:r>
      <w:r w:rsidRPr="00F11975">
        <w:rPr>
          <w:rFonts w:ascii="Palatino Linotype" w:hAnsi="Palatino Linotype"/>
          <w:color w:val="000000" w:themeColor="text1"/>
        </w:rPr>
        <w:t>promoviendo</w:t>
      </w:r>
      <w:r w:rsidRPr="00F11975">
        <w:rPr>
          <w:rFonts w:ascii="Palatino Linotype" w:hAnsi="Palatino Linotype"/>
          <w:i/>
          <w:color w:val="000000" w:themeColor="text1"/>
        </w:rPr>
        <w:t xml:space="preserve"> la responsabilidad de los funcionarios sobre su gestión pública,</w:t>
      </w:r>
      <w:r w:rsidRPr="00F11975">
        <w:rPr>
          <w:rFonts w:ascii="Palatino Linotype" w:hAnsi="Palatino Linotype"/>
          <w:i/>
          <w:color w:val="000000" w:themeColor="text1"/>
          <w:vertAlign w:val="superscript"/>
        </w:rPr>
        <w:footnoteReference w:id="8"/>
      </w:r>
      <w:r w:rsidRPr="00F11975">
        <w:rPr>
          <w:rFonts w:ascii="Palatino Linotype" w:hAnsi="Palatino Linotype"/>
          <w:color w:val="000000" w:themeColor="text1"/>
        </w:rPr>
        <w:t>que permite</w:t>
      </w:r>
      <w:r w:rsidRPr="00F1197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75FF6D7C" w14:textId="77777777" w:rsidR="001A4610" w:rsidRPr="00F11975"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63182555" w14:textId="64CBF6AE"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Dentro </w:t>
      </w:r>
      <w:r w:rsidRPr="00F11975">
        <w:rPr>
          <w:rFonts w:ascii="Palatino Linotype" w:eastAsia="Times New Roman" w:hAnsi="Palatino Linotype"/>
        </w:rPr>
        <w:t>del caso que nos ocupa, y de las constancias que obran en el expediente digital del SAIMEX, se tiene qu</w:t>
      </w:r>
      <w:r w:rsidR="001C2E8B" w:rsidRPr="00F11975">
        <w:rPr>
          <w:rFonts w:ascii="Palatino Linotype" w:eastAsia="Times New Roman" w:hAnsi="Palatino Linotype"/>
        </w:rPr>
        <w:t xml:space="preserve">e el particular, a través de la solicitud de información </w:t>
      </w:r>
      <w:r w:rsidR="00C26989" w:rsidRPr="00F11975">
        <w:rPr>
          <w:rFonts w:ascii="Palatino Linotype" w:eastAsia="Times New Roman" w:hAnsi="Palatino Linotype"/>
          <w:b/>
          <w:bCs/>
        </w:rPr>
        <w:t>00957/NAUCALPA/IP/2021</w:t>
      </w:r>
      <w:r w:rsidR="001C2E8B" w:rsidRPr="00F11975">
        <w:rPr>
          <w:rFonts w:ascii="Palatino Linotype" w:eastAsia="Times New Roman" w:hAnsi="Palatino Linotype"/>
        </w:rPr>
        <w:t xml:space="preserve">, </w:t>
      </w:r>
      <w:r w:rsidR="00EB6293" w:rsidRPr="00F11975">
        <w:rPr>
          <w:rFonts w:ascii="Palatino Linotype" w:eastAsia="Times New Roman" w:hAnsi="Palatino Linotype"/>
        </w:rPr>
        <w:t xml:space="preserve">pretende acceder </w:t>
      </w:r>
      <w:r w:rsidR="00F307CE" w:rsidRPr="00F11975">
        <w:rPr>
          <w:rFonts w:ascii="Palatino Linotype" w:eastAsia="Times New Roman" w:hAnsi="Palatino Linotype"/>
        </w:rPr>
        <w:t xml:space="preserve">a </w:t>
      </w:r>
      <w:r w:rsidR="00035A99" w:rsidRPr="00F11975">
        <w:rPr>
          <w:rFonts w:ascii="Palatino Linotype" w:eastAsia="Times New Roman" w:hAnsi="Palatino Linotype"/>
        </w:rPr>
        <w:t>información relacionada con la incidencia delictiva registrada en el Municipio de Naucalpan de Juárez</w:t>
      </w:r>
      <w:r w:rsidRPr="00F11975">
        <w:rPr>
          <w:rFonts w:ascii="Palatino Linotype" w:eastAsia="Times New Roman" w:hAnsi="Palatino Linotype"/>
        </w:rPr>
        <w:t xml:space="preserve">; solicitud que no fue atendida por el </w:t>
      </w:r>
      <w:r w:rsidRPr="00F11975">
        <w:rPr>
          <w:rFonts w:ascii="Palatino Linotype" w:eastAsia="Times New Roman" w:hAnsi="Palatino Linotype"/>
          <w:b/>
        </w:rPr>
        <w:t>SUJETO OBLIGADO</w:t>
      </w:r>
      <w:r w:rsidRPr="00F11975">
        <w:rPr>
          <w:rFonts w:ascii="Palatino Linotype" w:eastAsia="Times New Roman" w:hAnsi="Palatino Linotype"/>
          <w:bCs/>
        </w:rPr>
        <w:t xml:space="preserve">, razón por la que </w:t>
      </w:r>
      <w:r w:rsidR="00EB6293" w:rsidRPr="00F11975">
        <w:rPr>
          <w:rFonts w:ascii="Palatino Linotype" w:eastAsia="Times New Roman" w:hAnsi="Palatino Linotype"/>
          <w:bCs/>
        </w:rPr>
        <w:t>el</w:t>
      </w:r>
      <w:r w:rsidRPr="00F11975">
        <w:rPr>
          <w:rFonts w:ascii="Palatino Linotype" w:eastAsia="Times New Roman" w:hAnsi="Palatino Linotype"/>
          <w:bCs/>
        </w:rPr>
        <w:t xml:space="preserve"> ahora </w:t>
      </w:r>
      <w:r w:rsidRPr="00F11975">
        <w:rPr>
          <w:rFonts w:ascii="Palatino Linotype" w:eastAsia="Times New Roman" w:hAnsi="Palatino Linotype"/>
          <w:b/>
        </w:rPr>
        <w:t>RECURRENTE</w:t>
      </w:r>
      <w:r w:rsidRPr="00F11975">
        <w:rPr>
          <w:rFonts w:ascii="Palatino Linotype" w:eastAsia="Times New Roman" w:hAnsi="Palatino Linotype"/>
          <w:bCs/>
        </w:rPr>
        <w:t xml:space="preserve"> se </w:t>
      </w:r>
      <w:r w:rsidRPr="00F11975">
        <w:rPr>
          <w:rFonts w:ascii="Palatino Linotype" w:eastAsia="Times New Roman" w:hAnsi="Palatino Linotype"/>
        </w:rPr>
        <w:t xml:space="preserve">inconformó y refirió como razones o motivos de inconformidad </w:t>
      </w:r>
      <w:r w:rsidR="00FB0A63" w:rsidRPr="00F11975">
        <w:rPr>
          <w:rFonts w:ascii="Palatino Linotype" w:eastAsia="Times New Roman" w:hAnsi="Palatino Linotype"/>
        </w:rPr>
        <w:t>la falta de respuesta a su solicitud</w:t>
      </w:r>
      <w:r w:rsidRPr="00F11975">
        <w:rPr>
          <w:rFonts w:ascii="Palatino Linotype" w:eastAsia="Times New Roman" w:hAnsi="Palatino Linotype"/>
        </w:rPr>
        <w:t>.</w:t>
      </w:r>
    </w:p>
    <w:p w14:paraId="305D0E50" w14:textId="77777777" w:rsidR="001A4610" w:rsidRPr="00F11975"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7CFAE422" w14:textId="6C5C5003"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Por </w:t>
      </w:r>
      <w:r w:rsidRPr="00F11975">
        <w:rPr>
          <w:rFonts w:ascii="Palatino Linotype" w:hAnsi="Palatino Linotype" w:cs="Arial"/>
          <w:color w:val="000000" w:themeColor="text1"/>
        </w:rPr>
        <w:t xml:space="preserve">ello, y </w:t>
      </w:r>
      <w:r w:rsidRPr="00F11975">
        <w:rPr>
          <w:rFonts w:ascii="Palatino Linotype" w:eastAsia="Times New Roman" w:hAnsi="Palatino Linotype"/>
        </w:rPr>
        <w:t xml:space="preserve">derivado de lo señalado en </w:t>
      </w:r>
      <w:r w:rsidR="00FB0A63" w:rsidRPr="00F11975">
        <w:rPr>
          <w:rFonts w:ascii="Palatino Linotype" w:eastAsia="Times New Roman" w:hAnsi="Palatino Linotype"/>
        </w:rPr>
        <w:t xml:space="preserve">el planteamiento de la </w:t>
      </w:r>
      <w:r w:rsidR="00FB0A63" w:rsidRPr="00F11975">
        <w:rPr>
          <w:rFonts w:ascii="Palatino Linotype" w:eastAsia="Times New Roman" w:hAnsi="Palatino Linotype"/>
          <w:i/>
        </w:rPr>
        <w:t>Litis</w:t>
      </w:r>
      <w:r w:rsidRPr="00F11975">
        <w:rPr>
          <w:rFonts w:ascii="Palatino Linotype" w:eastAsia="Times New Roman" w:hAnsi="Palatino Linotype"/>
        </w:rPr>
        <w:t xml:space="preserve">, la actuación del </w:t>
      </w:r>
      <w:r w:rsidR="00C26989" w:rsidRPr="00F11975">
        <w:rPr>
          <w:rFonts w:ascii="Palatino Linotype" w:eastAsia="Times New Roman" w:hAnsi="Palatino Linotype"/>
          <w:bCs/>
        </w:rPr>
        <w:t>Ayuntamiento de Naucalpan de Juárez</w:t>
      </w:r>
      <w:r w:rsidRPr="00F11975">
        <w:rPr>
          <w:rFonts w:ascii="Palatino Linotype" w:eastAsia="Times New Roman" w:hAnsi="Palatino Linotype"/>
          <w:b/>
        </w:rPr>
        <w:t xml:space="preserve"> </w:t>
      </w:r>
      <w:r w:rsidRPr="00F11975">
        <w:rPr>
          <w:rFonts w:ascii="Palatino Linotype" w:eastAsia="Times New Roman" w:hAnsi="Palatino Linotype"/>
        </w:rPr>
        <w:t xml:space="preserve">constituye una afectación al derecho </w:t>
      </w:r>
      <w:r w:rsidRPr="00F11975">
        <w:rPr>
          <w:rFonts w:ascii="Palatino Linotype" w:eastAsia="Times New Roman" w:hAnsi="Palatino Linotype"/>
        </w:rPr>
        <w:lastRenderedPageBreak/>
        <w:t>humano de acceso a la información pública del particular, toda vez que incumple con sus obligaciones de transparencia al no entregar la información.</w:t>
      </w:r>
    </w:p>
    <w:p w14:paraId="400EDAB9" w14:textId="77777777" w:rsidR="001A4610" w:rsidRPr="00F11975"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14E9B41D" w14:textId="77777777"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Ante </w:t>
      </w:r>
      <w:r w:rsidRPr="00F11975">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F11975">
        <w:rPr>
          <w:rFonts w:ascii="Palatino Linotype" w:hAnsi="Palatino Linotype" w:cs="Arial"/>
          <w:b/>
          <w:bCs/>
        </w:rPr>
        <w:t>prevenir, investigar, sancionar y reparar las violaciones a los derechos humanos</w:t>
      </w:r>
      <w:r w:rsidRPr="00F11975">
        <w:rPr>
          <w:rFonts w:ascii="Palatino Linotype" w:hAnsi="Palatino Linotype" w:cs="Arial"/>
        </w:rPr>
        <w:t>.</w:t>
      </w:r>
    </w:p>
    <w:p w14:paraId="64AF8C42" w14:textId="77777777" w:rsidR="001A4610" w:rsidRPr="00F11975"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3DA4A402" w14:textId="77777777"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En </w:t>
      </w:r>
      <w:r w:rsidRPr="00F11975">
        <w:rPr>
          <w:rFonts w:ascii="Palatino Linotype" w:hAnsi="Palatino Linotype" w:cs="Arial"/>
        </w:rPr>
        <w:t xml:space="preserve">tal sentido, el derecho de acceso a la información constituye una garantía primaria, tal y como lo señala el artículo 150 de la Ley de Transparencia y Acceso a la Información del Estado de México y Municipios, que además, establece que se regirá </w:t>
      </w:r>
      <w:r w:rsidRPr="00F11975">
        <w:rPr>
          <w:rFonts w:ascii="Palatino Linotype" w:hAnsi="Palatino Linotype" w:cs="Arial"/>
          <w:i/>
        </w:rPr>
        <w:t>por los principios de simplicidad, rapidez gratuidad del procedimiento, auxilio y orientación a los particulares</w:t>
      </w:r>
      <w:r w:rsidRPr="00F11975">
        <w:rPr>
          <w:rFonts w:ascii="Palatino Linotype" w:hAnsi="Palatino Linotype" w:cs="Arial"/>
        </w:rPr>
        <w:t>, contemplando el derecho de las personas con discapacidad y hablantes de lengua indígena.</w:t>
      </w:r>
    </w:p>
    <w:p w14:paraId="7034A702" w14:textId="77777777" w:rsidR="001A4610" w:rsidRPr="00F11975"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6B7FD96B" w14:textId="2EF7E01A" w:rsidR="001A4610" w:rsidRPr="00F11975"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Es </w:t>
      </w:r>
      <w:r w:rsidRPr="00F11975">
        <w:rPr>
          <w:rFonts w:ascii="Palatino Linotype" w:eastAsia="Times New Roman" w:hAnsi="Palatino Linotype"/>
        </w:rPr>
        <w:t xml:space="preserve">así que la </w:t>
      </w:r>
      <w:r w:rsidRPr="00F11975">
        <w:rPr>
          <w:rFonts w:ascii="Palatino Linotype" w:eastAsia="Times New Roman" w:hAnsi="Palatino Linotype"/>
          <w:bCs/>
        </w:rPr>
        <w:t>Ley de Transparencia y Acceso a la Información Pública del Estado de México y Municipios,</w:t>
      </w:r>
      <w:r w:rsidRPr="00F11975">
        <w:rPr>
          <w:rFonts w:ascii="Palatino Linotype" w:eastAsia="Times New Roman" w:hAnsi="Palatino Linotype"/>
          <w:b/>
        </w:rPr>
        <w:t xml:space="preserve"> </w:t>
      </w:r>
      <w:r w:rsidRPr="00F11975">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F11975">
        <w:rPr>
          <w:rFonts w:ascii="Palatino Linotype" w:eastAsia="Times New Roman" w:hAnsi="Palatino Linotype"/>
          <w:b/>
        </w:rPr>
        <w:t xml:space="preserve"> </w:t>
      </w:r>
      <w:r w:rsidRPr="00F11975">
        <w:rPr>
          <w:rFonts w:ascii="Palatino Linotype" w:eastAsia="Times New Roman" w:hAnsi="Palatino Linotype"/>
        </w:rPr>
        <w:t xml:space="preserve">establece que </w:t>
      </w:r>
      <w:r w:rsidRPr="00F11975">
        <w:rPr>
          <w:rFonts w:ascii="Palatino Linotype" w:eastAsia="Times New Roman" w:hAnsi="Palatino Linotype"/>
          <w:b/>
          <w:i/>
          <w:u w:val="single"/>
        </w:rPr>
        <w:t>el recurso de revisión es la garantía secundaria</w:t>
      </w:r>
      <w:r w:rsidRPr="00F11975">
        <w:rPr>
          <w:rFonts w:ascii="Palatino Linotype" w:eastAsia="Times New Roman" w:hAnsi="Palatino Linotype"/>
          <w:b/>
          <w:i/>
        </w:rPr>
        <w:t xml:space="preserve"> mediante la cual se pretende reparar cualquier posible afectación al derecho de acceso a la información pública</w:t>
      </w:r>
      <w:r w:rsidRPr="00F11975">
        <w:rPr>
          <w:rFonts w:ascii="Palatino Linotype" w:eastAsia="Times New Roman" w:hAnsi="Palatino Linotype"/>
          <w:bCs/>
        </w:rPr>
        <w:t>, s</w:t>
      </w:r>
      <w:r w:rsidRPr="00F11975">
        <w:rPr>
          <w:rFonts w:ascii="Palatino Linotype" w:eastAsia="Times New Roman" w:hAnsi="Palatino Linotype"/>
        </w:rPr>
        <w:t xml:space="preserve">iendo éste el medio a través del cual, este Órgano Garante después de realizar el análisis al procedimiento de acceso a la información, podrá </w:t>
      </w:r>
      <w:r w:rsidRPr="00F11975">
        <w:rPr>
          <w:rFonts w:ascii="Palatino Linotype" w:eastAsia="Times New Roman" w:hAnsi="Palatino Linotype"/>
        </w:rPr>
        <w:lastRenderedPageBreak/>
        <w:t>determinar la posible afectación y, de ser el caso, ordenar la reparación a la violación del derecho en cuestión.</w:t>
      </w:r>
    </w:p>
    <w:p w14:paraId="4C03A3BE" w14:textId="1246305C" w:rsidR="00DF29CB" w:rsidRPr="00F11975" w:rsidRDefault="00DF29CB" w:rsidP="00DF29CB">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9B9EE3F" w14:textId="288601F2" w:rsidR="00DF29CB" w:rsidRPr="00F11975" w:rsidRDefault="00DF29CB" w:rsidP="00DF29CB">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sidRPr="00F11975">
        <w:rPr>
          <w:rFonts w:ascii="Palatino Linotype" w:hAnsi="Palatino Linotype"/>
          <w:b/>
          <w:bCs/>
          <w:color w:val="000000" w:themeColor="text1"/>
          <w:lang w:val="es-MX"/>
        </w:rPr>
        <w:t>II. De los límites del derecho de acceso a la información.</w:t>
      </w:r>
    </w:p>
    <w:p w14:paraId="5B42CD7E" w14:textId="77777777" w:rsidR="00DF29CB" w:rsidRPr="00F11975" w:rsidRDefault="00DF29CB" w:rsidP="00DF29CB">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E3C5AC0" w14:textId="23250B7F" w:rsidR="008D7CA5" w:rsidRPr="00F11975" w:rsidRDefault="00FA5426"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lang w:val="es-MX"/>
        </w:rPr>
        <w:t>Derivado de lo anterior, este Organismo Garante</w:t>
      </w:r>
      <w:r w:rsidR="00D4795D" w:rsidRPr="00F11975">
        <w:rPr>
          <w:rFonts w:ascii="Palatino Linotype" w:hAnsi="Palatino Linotype"/>
          <w:color w:val="000000" w:themeColor="text1"/>
          <w:lang w:val="es-MX"/>
        </w:rPr>
        <w:t xml:space="preserv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6A9E9F72" w14:textId="10DEF9FB" w:rsidR="008D7CA5" w:rsidRPr="00F11975" w:rsidRDefault="008D7CA5" w:rsidP="008D7CA5">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851AEC6"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F1197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0AA92A3"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AC8443D"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FEECDDF"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75CCBA3" w14:textId="77777777" w:rsidR="00D4795D" w:rsidRPr="00F11975" w:rsidRDefault="00D4795D" w:rsidP="00D4795D">
      <w:pPr>
        <w:spacing w:line="276" w:lineRule="auto"/>
        <w:ind w:left="567" w:right="567"/>
        <w:jc w:val="both"/>
        <w:rPr>
          <w:rFonts w:ascii="Palatino Linotype" w:eastAsia="Palatino Linotype" w:hAnsi="Palatino Linotype" w:cs="Palatino Linotype"/>
        </w:rPr>
      </w:pPr>
      <w:r w:rsidRPr="00F11975">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63263337" w14:textId="77777777" w:rsidR="00D4795D" w:rsidRPr="00F11975" w:rsidRDefault="00D4795D" w:rsidP="008D7CA5">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993530E" w14:textId="55FF7D38" w:rsidR="008D7CA5" w:rsidRPr="00F11975" w:rsidRDefault="00D4795D"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El </w:t>
      </w:r>
      <w:r w:rsidRPr="00F11975">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F11975">
        <w:rPr>
          <w:rFonts w:ascii="Palatino Linotype" w:eastAsia="Palatino Linotype" w:hAnsi="Palatino Linotype" w:cs="Palatino Linotype"/>
          <w:color w:val="000000"/>
          <w:vertAlign w:val="superscript"/>
        </w:rPr>
        <w:footnoteReference w:id="9"/>
      </w:r>
      <w:r w:rsidRPr="00F11975">
        <w:rPr>
          <w:rFonts w:ascii="Palatino Linotype" w:eastAsia="Palatino Linotype" w:hAnsi="Palatino Linotype" w:cs="Palatino Linotype"/>
          <w:color w:val="000000"/>
        </w:rPr>
        <w:t>, para darnos un mejor panorama:</w:t>
      </w:r>
    </w:p>
    <w:p w14:paraId="5C88D4D0" w14:textId="13A247BF" w:rsidR="008D7CA5" w:rsidRPr="00F11975" w:rsidRDefault="008D7CA5" w:rsidP="00F92547">
      <w:pPr>
        <w:pStyle w:val="Prrafodelista"/>
        <w:tabs>
          <w:tab w:val="left" w:pos="426"/>
        </w:tabs>
        <w:spacing w:before="240" w:line="360" w:lineRule="auto"/>
        <w:ind w:left="0" w:right="51"/>
        <w:jc w:val="both"/>
        <w:rPr>
          <w:rFonts w:ascii="Palatino Linotype" w:hAnsi="Palatino Linotype"/>
          <w:color w:val="000000" w:themeColor="text1"/>
          <w:lang w:val="es-MX"/>
        </w:rPr>
      </w:pPr>
    </w:p>
    <w:p w14:paraId="5374E0CE" w14:textId="4A1DB14E"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b/>
          <w:i/>
          <w:sz w:val="22"/>
          <w:szCs w:val="22"/>
        </w:rPr>
        <w:t xml:space="preserve">“XI. Documento: </w:t>
      </w:r>
      <w:r w:rsidRPr="00F11975">
        <w:rPr>
          <w:rFonts w:ascii="Palatino Linotype" w:eastAsia="Palatino Linotype" w:hAnsi="Palatino Linotype" w:cs="Palatino Linotype"/>
          <w:b/>
          <w:bCs/>
          <w:i/>
          <w:sz w:val="22"/>
          <w:szCs w:val="22"/>
        </w:rPr>
        <w:t>Los</w:t>
      </w:r>
      <w:r w:rsidRPr="00F11975">
        <w:rPr>
          <w:rFonts w:ascii="Palatino Linotype" w:eastAsia="Palatino Linotype" w:hAnsi="Palatino Linotype" w:cs="Palatino Linotype"/>
          <w:i/>
          <w:sz w:val="22"/>
          <w:szCs w:val="22"/>
        </w:rPr>
        <w:t xml:space="preserve"> expedientes, </w:t>
      </w:r>
      <w:r w:rsidRPr="00F11975">
        <w:rPr>
          <w:rFonts w:ascii="Palatino Linotype" w:eastAsia="Palatino Linotype" w:hAnsi="Palatino Linotype" w:cs="Palatino Linotype"/>
          <w:b/>
          <w:bCs/>
          <w:i/>
          <w:sz w:val="22"/>
          <w:szCs w:val="22"/>
        </w:rPr>
        <w:t>reportes, estudios</w:t>
      </w:r>
      <w:r w:rsidRPr="00F11975">
        <w:rPr>
          <w:rFonts w:ascii="Palatino Linotype" w:eastAsia="Palatino Linotype" w:hAnsi="Palatino Linotype" w:cs="Palatino Linotype"/>
          <w:i/>
          <w:sz w:val="22"/>
          <w:szCs w:val="22"/>
        </w:rPr>
        <w:t xml:space="preserve">, actas, resoluciones, </w:t>
      </w:r>
      <w:r w:rsidRPr="00F11975">
        <w:rPr>
          <w:rFonts w:ascii="Palatino Linotype" w:eastAsia="Palatino Linotype" w:hAnsi="Palatino Linotype" w:cs="Palatino Linotype"/>
          <w:b/>
          <w:bCs/>
          <w:i/>
          <w:sz w:val="22"/>
          <w:szCs w:val="22"/>
        </w:rPr>
        <w:t>oficios</w:t>
      </w:r>
      <w:r w:rsidRPr="00F11975">
        <w:rPr>
          <w:rFonts w:ascii="Palatino Linotype" w:eastAsia="Palatino Linotype" w:hAnsi="Palatino Linotype" w:cs="Palatino Linotype"/>
          <w:i/>
          <w:sz w:val="22"/>
          <w:szCs w:val="22"/>
        </w:rPr>
        <w:t xml:space="preserve">, </w:t>
      </w:r>
      <w:r w:rsidRPr="00F11975">
        <w:rPr>
          <w:rFonts w:ascii="Palatino Linotype" w:eastAsia="Palatino Linotype" w:hAnsi="Palatino Linotype" w:cs="Palatino Linotype"/>
          <w:b/>
          <w:bCs/>
          <w:i/>
          <w:sz w:val="22"/>
          <w:szCs w:val="22"/>
        </w:rPr>
        <w:t>correspondencia</w:t>
      </w:r>
      <w:r w:rsidRPr="00F11975">
        <w:rPr>
          <w:rFonts w:ascii="Palatino Linotype" w:eastAsia="Palatino Linotype" w:hAnsi="Palatino Linotype" w:cs="Palatino Linotype"/>
          <w:i/>
          <w:sz w:val="22"/>
          <w:szCs w:val="22"/>
        </w:rPr>
        <w:t xml:space="preserve">, </w:t>
      </w:r>
      <w:r w:rsidRPr="00F11975">
        <w:rPr>
          <w:rFonts w:ascii="Palatino Linotype" w:eastAsia="Palatino Linotype" w:hAnsi="Palatino Linotype" w:cs="Palatino Linotype"/>
          <w:b/>
          <w:bCs/>
          <w:i/>
          <w:sz w:val="22"/>
          <w:szCs w:val="22"/>
        </w:rPr>
        <w:t>acuerdos</w:t>
      </w:r>
      <w:r w:rsidRPr="00F11975">
        <w:rPr>
          <w:rFonts w:ascii="Palatino Linotype" w:eastAsia="Palatino Linotype" w:hAnsi="Palatino Linotype" w:cs="Palatino Linotype"/>
          <w:i/>
          <w:sz w:val="22"/>
          <w:szCs w:val="22"/>
        </w:rPr>
        <w:t xml:space="preserve">, directivas, directrices, </w:t>
      </w:r>
      <w:r w:rsidRPr="00F11975">
        <w:rPr>
          <w:rFonts w:ascii="Palatino Linotype" w:eastAsia="Palatino Linotype" w:hAnsi="Palatino Linotype" w:cs="Palatino Linotype"/>
          <w:b/>
          <w:bCs/>
          <w:i/>
          <w:sz w:val="22"/>
          <w:szCs w:val="22"/>
        </w:rPr>
        <w:t>circulares</w:t>
      </w:r>
      <w:r w:rsidRPr="00F11975">
        <w:rPr>
          <w:rFonts w:ascii="Palatino Linotype" w:eastAsia="Palatino Linotype" w:hAnsi="Palatino Linotype" w:cs="Palatino Linotype"/>
          <w:i/>
          <w:sz w:val="22"/>
          <w:szCs w:val="22"/>
        </w:rPr>
        <w:t xml:space="preserve">, contratos, convenios, instructivos, </w:t>
      </w:r>
      <w:r w:rsidRPr="00F11975">
        <w:rPr>
          <w:rFonts w:ascii="Palatino Linotype" w:eastAsia="Palatino Linotype" w:hAnsi="Palatino Linotype" w:cs="Palatino Linotype"/>
          <w:b/>
          <w:bCs/>
          <w:i/>
          <w:sz w:val="22"/>
          <w:szCs w:val="22"/>
        </w:rPr>
        <w:t>notas, memorandos</w:t>
      </w:r>
      <w:r w:rsidRPr="00F11975">
        <w:rPr>
          <w:rFonts w:ascii="Palatino Linotype" w:eastAsia="Palatino Linotype" w:hAnsi="Palatino Linotype" w:cs="Palatino Linotype"/>
          <w:i/>
          <w:sz w:val="22"/>
          <w:szCs w:val="22"/>
        </w:rPr>
        <w:t xml:space="preserve">, estadísticas </w:t>
      </w:r>
      <w:r w:rsidRPr="00F11975">
        <w:rPr>
          <w:rFonts w:ascii="Palatino Linotype" w:eastAsia="Palatino Linotype" w:hAnsi="Palatino Linotype" w:cs="Palatino Linotype"/>
          <w:b/>
          <w:bCs/>
          <w:i/>
          <w:sz w:val="22"/>
          <w:szCs w:val="22"/>
        </w:rPr>
        <w:t>o</w:t>
      </w:r>
      <w:r w:rsidRPr="00F11975">
        <w:rPr>
          <w:rFonts w:ascii="Palatino Linotype" w:eastAsia="Palatino Linotype" w:hAnsi="Palatino Linotype" w:cs="Palatino Linotype"/>
          <w:i/>
          <w:sz w:val="22"/>
          <w:szCs w:val="22"/>
        </w:rPr>
        <w:t xml:space="preserve"> bien, </w:t>
      </w:r>
      <w:r w:rsidRPr="00F11975">
        <w:rPr>
          <w:rFonts w:ascii="Palatino Linotype" w:eastAsia="Palatino Linotype" w:hAnsi="Palatino Linotype" w:cs="Palatino Linotype"/>
          <w:b/>
          <w:bCs/>
          <w:i/>
          <w:sz w:val="22"/>
          <w:szCs w:val="22"/>
        </w:rPr>
        <w:t>cualquier otro registro que documente el ejercicio de las facultades, funciones y competencias de los sujetos obligados</w:t>
      </w:r>
      <w:r w:rsidRPr="00F11975">
        <w:rPr>
          <w:rFonts w:ascii="Palatino Linotype" w:eastAsia="Palatino Linotype" w:hAnsi="Palatino Linotype" w:cs="Palatino Linotype"/>
          <w:i/>
          <w:sz w:val="22"/>
          <w:szCs w:val="22"/>
        </w:rPr>
        <w:t xml:space="preserve">, sus servidores públicos e integrantes, </w:t>
      </w:r>
      <w:r w:rsidRPr="00F11975">
        <w:rPr>
          <w:rFonts w:ascii="Palatino Linotype" w:eastAsia="Palatino Linotype" w:hAnsi="Palatino Linotype" w:cs="Palatino Linotype"/>
          <w:b/>
          <w:bCs/>
          <w:i/>
          <w:sz w:val="22"/>
          <w:szCs w:val="22"/>
        </w:rPr>
        <w:t>sin importar su fuente o fecha de elaboración</w:t>
      </w:r>
      <w:r w:rsidRPr="00F11975">
        <w:rPr>
          <w:rFonts w:ascii="Palatino Linotype" w:eastAsia="Palatino Linotype" w:hAnsi="Palatino Linotype" w:cs="Palatino Linotype"/>
          <w:i/>
          <w:sz w:val="22"/>
          <w:szCs w:val="22"/>
        </w:rPr>
        <w:t>. Los documentos podrán estar en cualquier medio, sea escrito, impreso,  sonoro, visual, electrónico, informático u holográfico;”</w:t>
      </w:r>
    </w:p>
    <w:p w14:paraId="7027DD64" w14:textId="224DEDB9" w:rsidR="00D4795D" w:rsidRPr="00F11975" w:rsidRDefault="00D4795D" w:rsidP="00D4795D">
      <w:pPr>
        <w:spacing w:line="276" w:lineRule="auto"/>
        <w:ind w:left="567" w:right="567"/>
        <w:jc w:val="both"/>
        <w:rPr>
          <w:rFonts w:ascii="Palatino Linotype" w:eastAsia="Palatino Linotype" w:hAnsi="Palatino Linotype" w:cs="Palatino Linotype"/>
          <w:iCs/>
          <w:sz w:val="22"/>
          <w:szCs w:val="22"/>
        </w:rPr>
      </w:pPr>
      <w:r w:rsidRPr="00F11975">
        <w:rPr>
          <w:rFonts w:ascii="Palatino Linotype" w:eastAsia="Palatino Linotype" w:hAnsi="Palatino Linotype" w:cs="Palatino Linotype"/>
          <w:iCs/>
          <w:sz w:val="22"/>
          <w:szCs w:val="22"/>
        </w:rPr>
        <w:t>(Énfasis añadido)</w:t>
      </w:r>
    </w:p>
    <w:p w14:paraId="704C949F" w14:textId="77777777" w:rsidR="00D4795D" w:rsidRPr="00F11975" w:rsidRDefault="00D4795D" w:rsidP="008D7CA5">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9F45B47" w14:textId="51EE3A56" w:rsidR="008D7CA5" w:rsidRPr="00F11975" w:rsidRDefault="00D4795D"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Correlativo </w:t>
      </w:r>
      <w:r w:rsidRPr="00F11975">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EC9D80C" w14:textId="64AE895F" w:rsidR="008D7CA5" w:rsidRPr="00F11975" w:rsidRDefault="008D7CA5" w:rsidP="00F92547">
      <w:pPr>
        <w:pStyle w:val="Prrafodelista"/>
        <w:tabs>
          <w:tab w:val="left" w:pos="426"/>
        </w:tabs>
        <w:spacing w:before="240" w:line="360" w:lineRule="auto"/>
        <w:ind w:left="0" w:right="51"/>
        <w:jc w:val="both"/>
        <w:rPr>
          <w:rFonts w:ascii="Palatino Linotype" w:hAnsi="Palatino Linotype"/>
          <w:color w:val="000000" w:themeColor="text1"/>
          <w:lang w:val="es-MX"/>
        </w:rPr>
      </w:pPr>
    </w:p>
    <w:p w14:paraId="5B62EA67"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b/>
          <w:i/>
          <w:sz w:val="22"/>
          <w:szCs w:val="22"/>
        </w:rPr>
        <w:t xml:space="preserve">“Artículo 4. </w:t>
      </w:r>
      <w:r w:rsidRPr="00F11975">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CC74DBA"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11975">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F11975">
        <w:rPr>
          <w:rFonts w:ascii="Palatino Linotype" w:eastAsia="Palatino Linotype" w:hAnsi="Palatino Linotype" w:cs="Palatino Linotype"/>
          <w:i/>
          <w:sz w:val="22"/>
          <w:szCs w:val="22"/>
        </w:rPr>
        <w:lastRenderedPageBreak/>
        <w:t>excepcionalmente como reservada temporalmente por razones de interés público, en los términos de las causas legítimas y estrictamente necesarias previstas por esta Ley.</w:t>
      </w:r>
    </w:p>
    <w:p w14:paraId="04FDD062" w14:textId="77777777" w:rsidR="00D4795D" w:rsidRPr="00F11975" w:rsidRDefault="00D4795D" w:rsidP="00D4795D">
      <w:pPr>
        <w:spacing w:line="276" w:lineRule="auto"/>
        <w:ind w:left="567" w:right="567"/>
        <w:jc w:val="both"/>
        <w:rPr>
          <w:rFonts w:ascii="Palatino Linotype" w:eastAsia="Palatino Linotype" w:hAnsi="Palatino Linotype" w:cs="Palatino Linotype"/>
          <w:b/>
          <w:i/>
          <w:sz w:val="22"/>
          <w:szCs w:val="22"/>
        </w:rPr>
      </w:pPr>
      <w:r w:rsidRPr="00F1197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1830042A" w14:textId="77777777" w:rsidR="00D4795D" w:rsidRPr="00F11975" w:rsidRDefault="00D4795D" w:rsidP="00D4795D">
      <w:pPr>
        <w:spacing w:line="276" w:lineRule="auto"/>
        <w:ind w:right="567"/>
        <w:jc w:val="both"/>
        <w:rPr>
          <w:rFonts w:ascii="Palatino Linotype" w:eastAsia="Palatino Linotype" w:hAnsi="Palatino Linotype" w:cs="Palatino Linotype"/>
          <w:i/>
          <w:color w:val="000000"/>
          <w:sz w:val="28"/>
          <w:szCs w:val="28"/>
        </w:rPr>
      </w:pPr>
    </w:p>
    <w:p w14:paraId="051C7A75"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F11975">
        <w:rPr>
          <w:rFonts w:ascii="Palatino Linotype" w:eastAsia="Palatino Linotype" w:hAnsi="Palatino Linotype" w:cs="Palatino Linotype"/>
          <w:i/>
          <w:sz w:val="22"/>
          <w:szCs w:val="22"/>
        </w:rPr>
        <w:t xml:space="preserve">. </w:t>
      </w:r>
    </w:p>
    <w:p w14:paraId="30927AA6" w14:textId="77777777" w:rsidR="00D4795D" w:rsidRPr="00F11975" w:rsidRDefault="00D4795D" w:rsidP="00D4795D">
      <w:pPr>
        <w:spacing w:line="276" w:lineRule="auto"/>
        <w:ind w:left="567" w:right="567"/>
        <w:jc w:val="both"/>
        <w:rPr>
          <w:rFonts w:ascii="Palatino Linotype" w:eastAsia="Palatino Linotype" w:hAnsi="Palatino Linotype" w:cs="Palatino Linotype"/>
          <w:i/>
          <w:sz w:val="22"/>
          <w:szCs w:val="22"/>
        </w:rPr>
      </w:pPr>
      <w:r w:rsidRPr="00F1197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780938" w14:textId="77777777" w:rsidR="00D4795D" w:rsidRPr="00F11975" w:rsidRDefault="00D4795D" w:rsidP="00D4795D">
      <w:pPr>
        <w:spacing w:line="276" w:lineRule="auto"/>
        <w:ind w:left="567" w:right="567"/>
        <w:jc w:val="both"/>
        <w:rPr>
          <w:rFonts w:ascii="Palatino Linotype" w:eastAsia="Palatino Linotype" w:hAnsi="Palatino Linotype" w:cs="Palatino Linotype"/>
          <w:sz w:val="22"/>
          <w:szCs w:val="22"/>
        </w:rPr>
      </w:pPr>
      <w:r w:rsidRPr="00F11975">
        <w:rPr>
          <w:rFonts w:ascii="Palatino Linotype" w:eastAsia="Palatino Linotype" w:hAnsi="Palatino Linotype" w:cs="Palatino Linotype"/>
          <w:sz w:val="22"/>
          <w:szCs w:val="22"/>
        </w:rPr>
        <w:t>(Énfasis añadido)</w:t>
      </w:r>
    </w:p>
    <w:p w14:paraId="4BF7FF7F" w14:textId="77777777" w:rsidR="00D4795D" w:rsidRPr="00F11975" w:rsidRDefault="00D4795D" w:rsidP="008D7CA5">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E01F13C" w14:textId="18C0D591" w:rsidR="008D7CA5" w:rsidRPr="00F11975" w:rsidRDefault="00D4795D"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Es </w:t>
      </w:r>
      <w:r w:rsidRPr="00F11975">
        <w:rPr>
          <w:rFonts w:ascii="Palatino Linotype" w:eastAsia="Palatino Linotype" w:hAnsi="Palatino Linotype" w:cs="Palatino Linotype"/>
          <w:color w:val="000000"/>
        </w:rPr>
        <w:t xml:space="preserve">así </w:t>
      </w:r>
      <w:r w:rsidR="00F92547" w:rsidRPr="00F11975">
        <w:rPr>
          <w:rFonts w:ascii="Palatino Linotype" w:eastAsia="Palatino Linotype" w:hAnsi="Palatino Linotype" w:cs="Palatino Linotype"/>
          <w:color w:val="000000"/>
        </w:rPr>
        <w:t>como</w:t>
      </w:r>
      <w:r w:rsidRPr="00F11975">
        <w:rPr>
          <w:rFonts w:ascii="Palatino Linotype" w:eastAsia="Palatino Linotype" w:hAnsi="Palatino Linotype" w:cs="Palatino Linotype"/>
          <w:color w:val="000000"/>
        </w:rPr>
        <w:t xml:space="preserve">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39476ACC" w14:textId="77777777" w:rsidR="008D7CA5" w:rsidRPr="00F11975" w:rsidRDefault="008D7CA5" w:rsidP="008D7CA5">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61DE560" w14:textId="060A14B7" w:rsidR="008D7CA5" w:rsidRPr="00F11975" w:rsidRDefault="00D4795D"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Por </w:t>
      </w:r>
      <w:r w:rsidRPr="00F11975">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F11975">
        <w:rPr>
          <w:rFonts w:ascii="Palatino Linotype" w:eastAsia="Palatino Linotype" w:hAnsi="Palatino Linotype" w:cs="Palatino Linotype"/>
          <w:color w:val="000000"/>
        </w:rPr>
        <w:lastRenderedPageBreak/>
        <w:t>legítima y estrictamente necesaria en una sociedad democrática, por lo que atenderá las necesidades del derecho de acceso a la información de toda persona</w:t>
      </w:r>
      <w:r w:rsidRPr="00F11975">
        <w:rPr>
          <w:rFonts w:ascii="Palatino Linotype" w:eastAsia="Palatino Linotype" w:hAnsi="Palatino Linotype" w:cs="Palatino Linotype"/>
          <w:color w:val="000000"/>
          <w:vertAlign w:val="superscript"/>
        </w:rPr>
        <w:footnoteReference w:id="10"/>
      </w:r>
      <w:r w:rsidRPr="00F11975">
        <w:rPr>
          <w:rFonts w:ascii="Palatino Linotype" w:eastAsia="Palatino Linotype" w:hAnsi="Palatino Linotype" w:cs="Palatino Linotype"/>
          <w:color w:val="000000"/>
        </w:rPr>
        <w:t>.</w:t>
      </w:r>
    </w:p>
    <w:p w14:paraId="33E86385" w14:textId="77777777" w:rsidR="008D7CA5" w:rsidRPr="00F11975" w:rsidRDefault="008D7CA5" w:rsidP="008D7CA5">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1927DDD" w14:textId="653EF771" w:rsidR="008D7CA5" w:rsidRPr="00F11975" w:rsidRDefault="00D4795D"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En </w:t>
      </w:r>
      <w:r w:rsidRPr="00F11975">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11975">
        <w:rPr>
          <w:rFonts w:ascii="Palatino Linotype" w:eastAsia="Palatino Linotype" w:hAnsi="Palatino Linotype" w:cs="Palatino Linotype"/>
          <w:color w:val="000000"/>
          <w:vertAlign w:val="superscript"/>
        </w:rPr>
        <w:footnoteReference w:id="11"/>
      </w:r>
      <w:r w:rsidRPr="00F11975">
        <w:rPr>
          <w:rFonts w:ascii="Palatino Linotype" w:eastAsia="Palatino Linotype" w:hAnsi="Palatino Linotype" w:cs="Palatino Linotype"/>
          <w:color w:val="000000"/>
        </w:rPr>
        <w:t xml:space="preserve"> y máxima publicidad; sobre éste último se debe poner mayor énfasis, puesto que establece que </w:t>
      </w:r>
      <w:r w:rsidRPr="00F11975">
        <w:rPr>
          <w:rFonts w:ascii="Palatino Linotype" w:eastAsia="Palatino Linotype" w:hAnsi="Palatino Linotype" w:cs="Palatino Linotype"/>
          <w:b/>
          <w:color w:val="000000"/>
          <w:u w:val="single"/>
        </w:rPr>
        <w:t>toda la información en posesión de los Sujetos Obligados será</w:t>
      </w:r>
      <w:r w:rsidRPr="00F11975">
        <w:rPr>
          <w:rFonts w:ascii="Palatino Linotype" w:eastAsia="Palatino Linotype" w:hAnsi="Palatino Linotype" w:cs="Palatino Linotype"/>
          <w:color w:val="000000"/>
        </w:rPr>
        <w:t xml:space="preserve"> pública, completa, </w:t>
      </w:r>
      <w:r w:rsidRPr="00F11975">
        <w:rPr>
          <w:rFonts w:ascii="Palatino Linotype" w:eastAsia="Palatino Linotype" w:hAnsi="Palatino Linotype" w:cs="Palatino Linotype"/>
          <w:b/>
          <w:color w:val="000000"/>
          <w:u w:val="single"/>
        </w:rPr>
        <w:t>oportuna</w:t>
      </w:r>
      <w:r w:rsidRPr="00F11975">
        <w:rPr>
          <w:rFonts w:ascii="Palatino Linotype" w:eastAsia="Palatino Linotype" w:hAnsi="Palatino Linotype" w:cs="Palatino Linotype"/>
          <w:color w:val="000000"/>
        </w:rPr>
        <w:t xml:space="preserve"> y </w:t>
      </w:r>
      <w:r w:rsidRPr="00F11975">
        <w:rPr>
          <w:rFonts w:ascii="Palatino Linotype" w:eastAsia="Palatino Linotype" w:hAnsi="Palatino Linotype" w:cs="Palatino Linotype"/>
          <w:b/>
          <w:color w:val="000000"/>
          <w:u w:val="single"/>
        </w:rPr>
        <w:t>accesible</w:t>
      </w:r>
      <w:r w:rsidRPr="00F11975">
        <w:rPr>
          <w:rFonts w:ascii="Palatino Linotype" w:eastAsia="Palatino Linotype" w:hAnsi="Palatino Linotype" w:cs="Palatino Linotype"/>
          <w:color w:val="000000"/>
        </w:rPr>
        <w:t xml:space="preserve">, </w:t>
      </w:r>
      <w:r w:rsidRPr="00F11975">
        <w:rPr>
          <w:rFonts w:ascii="Palatino Linotype" w:eastAsia="Palatino Linotype" w:hAnsi="Palatino Linotype" w:cs="Palatino Linotype"/>
          <w:b/>
          <w:color w:val="000000"/>
        </w:rPr>
        <w:t>lo que permite que la ciudadanía tenga un amplio acceso sobre lo que es el actuar de las autoridades</w:t>
      </w:r>
      <w:r w:rsidRPr="00F11975">
        <w:rPr>
          <w:rFonts w:ascii="Palatino Linotype" w:eastAsia="Palatino Linotype" w:hAnsi="Palatino Linotype" w:cs="Palatino Linotype"/>
          <w:color w:val="000000"/>
        </w:rPr>
        <w:t>.</w:t>
      </w:r>
    </w:p>
    <w:p w14:paraId="22B41829" w14:textId="77777777" w:rsidR="00986760" w:rsidRPr="00F11975" w:rsidRDefault="00986760" w:rsidP="00986760">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CBBA636" w14:textId="5BB7464B" w:rsidR="00986760" w:rsidRPr="00F11975" w:rsidRDefault="00D4795D"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Robustece </w:t>
      </w:r>
      <w:r w:rsidRPr="00F11975">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5CEE1DFB" w14:textId="2D5A434B" w:rsidR="00986760" w:rsidRPr="00F11975" w:rsidRDefault="00986760" w:rsidP="00F92547">
      <w:pPr>
        <w:pStyle w:val="Prrafodelista"/>
        <w:tabs>
          <w:tab w:val="left" w:pos="426"/>
        </w:tabs>
        <w:spacing w:before="240" w:line="360" w:lineRule="auto"/>
        <w:ind w:left="0" w:right="51"/>
        <w:jc w:val="both"/>
        <w:rPr>
          <w:rFonts w:ascii="Palatino Linotype" w:hAnsi="Palatino Linotype"/>
          <w:color w:val="000000" w:themeColor="text1"/>
          <w:lang w:val="es-MX"/>
        </w:rPr>
      </w:pPr>
    </w:p>
    <w:p w14:paraId="64FD2FF2" w14:textId="77777777" w:rsidR="00D4795D" w:rsidRPr="00F11975" w:rsidRDefault="00D4795D" w:rsidP="00D4795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F11975">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F11975">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w:t>
      </w:r>
      <w:r w:rsidRPr="00F11975">
        <w:rPr>
          <w:rFonts w:ascii="Palatino Linotype" w:eastAsia="Palatino Linotype" w:hAnsi="Palatino Linotype" w:cs="Palatino Linotype"/>
          <w:i/>
          <w:color w:val="000000"/>
          <w:sz w:val="22"/>
          <w:szCs w:val="22"/>
        </w:rPr>
        <w:lastRenderedPageBreak/>
        <w:t>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84337CF" w14:textId="77777777" w:rsidR="00D4795D" w:rsidRPr="00F11975" w:rsidRDefault="00D4795D" w:rsidP="00986760">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3922352" w14:textId="4B232366" w:rsidR="00986760" w:rsidRPr="00F11975" w:rsidRDefault="00D4795D" w:rsidP="0098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Tal </w:t>
      </w:r>
      <w:r w:rsidRPr="00F11975">
        <w:rPr>
          <w:rFonts w:ascii="Palatino Linotype" w:eastAsia="Palatino Linotype" w:hAnsi="Palatino Linotype" w:cs="Palatino Linotype"/>
          <w:color w:val="000000"/>
        </w:rPr>
        <w:t xml:space="preserve">y como se ha señalado, </w:t>
      </w:r>
      <w:r w:rsidRPr="00F11975">
        <w:rPr>
          <w:rFonts w:ascii="Palatino Linotype" w:eastAsia="Palatino Linotype" w:hAnsi="Palatino Linotype" w:cs="Palatino Linotype"/>
          <w:b/>
          <w:bCs/>
          <w:color w:val="000000"/>
        </w:rPr>
        <w:t>el derecho de acceso a la información se basa en permitir que la ciudadanía conozca de primera mano toda aquella información que se encuentra en posesión de los Sujetos Obligados</w:t>
      </w:r>
      <w:r w:rsidRPr="00F11975">
        <w:rPr>
          <w:rFonts w:ascii="Palatino Linotype" w:eastAsia="Palatino Linotype" w:hAnsi="Palatino Linotype" w:cs="Palatino Linotype"/>
          <w:color w:val="000000"/>
        </w:rPr>
        <w:t xml:space="preserve">, ya sea porque la genera, posee o administra; </w:t>
      </w:r>
      <w:r w:rsidRPr="00F11975">
        <w:rPr>
          <w:rFonts w:ascii="Palatino Linotype" w:eastAsia="Palatino Linotype" w:hAnsi="Palatino Linotype" w:cs="Palatino Linotype"/>
          <w:b/>
          <w:bCs/>
          <w:color w:val="000000"/>
        </w:rPr>
        <w:t>toda vez que</w:t>
      </w:r>
      <w:r w:rsidRPr="00F11975">
        <w:rPr>
          <w:rFonts w:ascii="Palatino Linotype" w:eastAsia="Palatino Linotype" w:hAnsi="Palatino Linotype" w:cs="Palatino Linotype"/>
          <w:color w:val="000000"/>
        </w:rPr>
        <w:t xml:space="preserve">, a través de dicha acción, </w:t>
      </w:r>
      <w:r w:rsidRPr="00F11975">
        <w:rPr>
          <w:rFonts w:ascii="Palatino Linotype" w:eastAsia="Palatino Linotype" w:hAnsi="Palatino Linotype" w:cs="Palatino Linotype"/>
          <w:b/>
          <w:color w:val="000000"/>
        </w:rPr>
        <w:t>permite que las personas ejerzan un medio de control sobre las acciones que se están ejerciendo y evaluar su desempeño</w:t>
      </w:r>
      <w:r w:rsidRPr="00F11975">
        <w:rPr>
          <w:rFonts w:ascii="Palatino Linotype" w:eastAsia="Palatino Linotype" w:hAnsi="Palatino Linotype" w:cs="Palatino Linotype"/>
          <w:color w:val="000000"/>
        </w:rPr>
        <w:t>.</w:t>
      </w:r>
    </w:p>
    <w:p w14:paraId="1E11D6F9" w14:textId="12B9D490" w:rsidR="00D4795D" w:rsidRPr="00F11975" w:rsidRDefault="00D4795D" w:rsidP="00D4795D">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E1C49E9" w14:textId="640E6218" w:rsidR="00FA5426" w:rsidRPr="00F11975" w:rsidRDefault="005A4965" w:rsidP="00FA5426">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sidRPr="00F11975">
        <w:rPr>
          <w:rFonts w:ascii="Palatino Linotype" w:hAnsi="Palatino Linotype"/>
          <w:b/>
          <w:bCs/>
          <w:color w:val="000000" w:themeColor="text1"/>
          <w:lang w:val="es-MX"/>
        </w:rPr>
        <w:t>III</w:t>
      </w:r>
      <w:r w:rsidR="00FA5426" w:rsidRPr="00F11975">
        <w:rPr>
          <w:rFonts w:ascii="Palatino Linotype" w:hAnsi="Palatino Linotype"/>
          <w:b/>
          <w:bCs/>
          <w:color w:val="000000" w:themeColor="text1"/>
          <w:lang w:val="es-MX"/>
        </w:rPr>
        <w:t>. De la naturaleza de la información.</w:t>
      </w:r>
    </w:p>
    <w:p w14:paraId="76D5D948" w14:textId="77777777" w:rsidR="00FA5426" w:rsidRPr="00F11975" w:rsidRDefault="00FA5426" w:rsidP="00D4795D">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807667C" w14:textId="7EF47A6F" w:rsidR="00793B21" w:rsidRPr="00F11975" w:rsidRDefault="00C30D35"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lastRenderedPageBreak/>
        <w:t xml:space="preserve">No es ocioso reiterar que el </w:t>
      </w:r>
      <w:r w:rsidRPr="00F11975">
        <w:rPr>
          <w:rFonts w:ascii="Palatino Linotype" w:eastAsia="Palatino Linotype" w:hAnsi="Palatino Linotype" w:cs="Palatino Linotype"/>
          <w:b/>
          <w:bCs/>
          <w:color w:val="000000"/>
        </w:rPr>
        <w:t>RECURRENTE</w:t>
      </w:r>
      <w:r w:rsidRPr="00F11975">
        <w:rPr>
          <w:rFonts w:ascii="Palatino Linotype" w:eastAsia="Palatino Linotype" w:hAnsi="Palatino Linotype" w:cs="Palatino Linotype"/>
          <w:color w:val="000000"/>
        </w:rPr>
        <w:t xml:space="preserve"> requirió, a través de la solicitud de información </w:t>
      </w:r>
      <w:r w:rsidR="00C26989" w:rsidRPr="00F11975">
        <w:rPr>
          <w:rFonts w:ascii="Palatino Linotype" w:eastAsia="Palatino Linotype" w:hAnsi="Palatino Linotype" w:cs="Palatino Linotype"/>
          <w:b/>
          <w:bCs/>
          <w:color w:val="000000"/>
        </w:rPr>
        <w:t>00957/NAUCALPA/IP/2021</w:t>
      </w:r>
      <w:r w:rsidR="005A158D" w:rsidRPr="00F11975">
        <w:rPr>
          <w:rFonts w:ascii="Palatino Linotype" w:eastAsia="Palatino Linotype" w:hAnsi="Palatino Linotype" w:cs="Palatino Linotype"/>
          <w:color w:val="000000"/>
        </w:rPr>
        <w:t>, lo siguiente:</w:t>
      </w:r>
    </w:p>
    <w:p w14:paraId="3A6AE304" w14:textId="5513313D" w:rsidR="005A158D" w:rsidRPr="00F11975" w:rsidRDefault="005A158D" w:rsidP="005A158D">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Base de datos de la incidencia delictiva, reporte de incidentes, eventos, o cualquier documento, por el periodo comprendido del uno (01) de enero de dos mil diez al veintidós (22) de diciembre de dos mil veintiuno, que contenga la siguiente información:</w:t>
      </w:r>
    </w:p>
    <w:p w14:paraId="5C54D5B7" w14:textId="48ECA7C4" w:rsidR="005A158D" w:rsidRPr="00F11975" w:rsidRDefault="005A158D" w:rsidP="005A158D">
      <w:pPr>
        <w:pStyle w:val="Prrafodelista"/>
        <w:numPr>
          <w:ilvl w:val="2"/>
          <w:numId w:val="23"/>
        </w:numPr>
        <w:tabs>
          <w:tab w:val="left" w:pos="426"/>
        </w:tabs>
        <w:spacing w:before="240" w:after="240" w:line="360" w:lineRule="auto"/>
        <w:ind w:left="1701"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Tipo de incidente o evento;</w:t>
      </w:r>
    </w:p>
    <w:p w14:paraId="39ECE2D8" w14:textId="4E424492" w:rsidR="005A158D" w:rsidRPr="00F11975" w:rsidRDefault="005A158D" w:rsidP="005A158D">
      <w:pPr>
        <w:pStyle w:val="Prrafodelista"/>
        <w:numPr>
          <w:ilvl w:val="2"/>
          <w:numId w:val="23"/>
        </w:numPr>
        <w:tabs>
          <w:tab w:val="left" w:pos="426"/>
        </w:tabs>
        <w:spacing w:before="240" w:after="240" w:line="360" w:lineRule="auto"/>
        <w:ind w:left="1701"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Hora;</w:t>
      </w:r>
    </w:p>
    <w:p w14:paraId="5F4D72C6" w14:textId="53741A93" w:rsidR="005A158D" w:rsidRPr="00F11975" w:rsidRDefault="005A158D" w:rsidP="005A158D">
      <w:pPr>
        <w:pStyle w:val="Prrafodelista"/>
        <w:numPr>
          <w:ilvl w:val="2"/>
          <w:numId w:val="23"/>
        </w:numPr>
        <w:tabs>
          <w:tab w:val="left" w:pos="426"/>
        </w:tabs>
        <w:spacing w:before="240" w:after="240" w:line="360" w:lineRule="auto"/>
        <w:ind w:left="1701"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Fecha;</w:t>
      </w:r>
    </w:p>
    <w:p w14:paraId="282C6E71" w14:textId="7163056A" w:rsidR="005A158D" w:rsidRPr="00F11975" w:rsidRDefault="005A158D" w:rsidP="005A158D">
      <w:pPr>
        <w:pStyle w:val="Prrafodelista"/>
        <w:numPr>
          <w:ilvl w:val="2"/>
          <w:numId w:val="23"/>
        </w:numPr>
        <w:tabs>
          <w:tab w:val="left" w:pos="426"/>
        </w:tabs>
        <w:spacing w:before="240" w:after="240" w:line="360" w:lineRule="auto"/>
        <w:ind w:left="1701"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Lugar;</w:t>
      </w:r>
    </w:p>
    <w:p w14:paraId="7ED39942" w14:textId="572AB3D8" w:rsidR="005A158D" w:rsidRPr="00F11975" w:rsidRDefault="005A158D" w:rsidP="005A158D">
      <w:pPr>
        <w:pStyle w:val="Prrafodelista"/>
        <w:numPr>
          <w:ilvl w:val="2"/>
          <w:numId w:val="23"/>
        </w:numPr>
        <w:tabs>
          <w:tab w:val="left" w:pos="426"/>
        </w:tabs>
        <w:spacing w:before="240" w:after="240" w:line="360" w:lineRule="auto"/>
        <w:ind w:left="1701"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Ubicación; y</w:t>
      </w:r>
    </w:p>
    <w:p w14:paraId="5692B977" w14:textId="562150EF" w:rsidR="005A158D" w:rsidRPr="00F11975" w:rsidRDefault="005A158D" w:rsidP="005A158D">
      <w:pPr>
        <w:pStyle w:val="Prrafodelista"/>
        <w:numPr>
          <w:ilvl w:val="2"/>
          <w:numId w:val="23"/>
        </w:numPr>
        <w:tabs>
          <w:tab w:val="left" w:pos="426"/>
        </w:tabs>
        <w:spacing w:before="240" w:after="240" w:line="360" w:lineRule="auto"/>
        <w:ind w:left="1701"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Coordenadas geográficas establecidas en la sección denominada ‘Lugar de la intervención’ del Informe Policial Homologado.</w:t>
      </w:r>
    </w:p>
    <w:p w14:paraId="3B6C080A"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D420163" w14:textId="510D201A" w:rsidR="00FA5426" w:rsidRPr="00F11975" w:rsidRDefault="00D05303"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En ese sentido, conviene señalar que la Constitución Política de los Estados Unidos Mexicanos, en su artículo 115, establece que los municipios estarán investidos de personalidad jurídica y manejarán su patrimonio conforme a la ley; por ende, sus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w:t>
      </w:r>
      <w:r w:rsidRPr="00F11975">
        <w:rPr>
          <w:rFonts w:ascii="Palatino Linotype" w:eastAsia="Palatino Linotype" w:hAnsi="Palatino Linotype" w:cs="Palatino Linotype"/>
          <w:color w:val="000000"/>
        </w:rPr>
        <w:lastRenderedPageBreak/>
        <w:t>procedimientos, funciones y servicios públicos de su competencia y aseguren la participación ciudadana y vecinal</w:t>
      </w:r>
      <w:r w:rsidRPr="00F11975">
        <w:rPr>
          <w:rStyle w:val="Refdenotaalpie"/>
          <w:rFonts w:ascii="Palatino Linotype" w:eastAsia="Palatino Linotype" w:hAnsi="Palatino Linotype" w:cs="Palatino Linotype"/>
          <w:color w:val="000000"/>
        </w:rPr>
        <w:footnoteReference w:id="12"/>
      </w:r>
      <w:r w:rsidRPr="00F11975">
        <w:rPr>
          <w:rFonts w:ascii="Palatino Linotype" w:eastAsia="Palatino Linotype" w:hAnsi="Palatino Linotype" w:cs="Palatino Linotype"/>
          <w:color w:val="000000"/>
        </w:rPr>
        <w:t>.</w:t>
      </w:r>
    </w:p>
    <w:p w14:paraId="6FC48D77"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81A3277" w14:textId="59817CCE" w:rsidR="00FA5426" w:rsidRPr="00F11975" w:rsidRDefault="00D05303"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Más adelante, el mismo dispositivo 115 de nuestra </w:t>
      </w:r>
      <w:r w:rsidRPr="00F11975">
        <w:rPr>
          <w:rFonts w:ascii="Palatino Linotype" w:eastAsia="Palatino Linotype" w:hAnsi="Palatino Linotype" w:cs="Palatino Linotype"/>
          <w:i/>
          <w:iCs/>
          <w:color w:val="000000"/>
        </w:rPr>
        <w:t>Magna Carta</w:t>
      </w:r>
      <w:r w:rsidRPr="00F11975">
        <w:rPr>
          <w:rFonts w:ascii="Palatino Linotype" w:eastAsia="Palatino Linotype" w:hAnsi="Palatino Linotype" w:cs="Palatino Linotype"/>
          <w:color w:val="000000"/>
        </w:rPr>
        <w:t xml:space="preserve">, en su fracción III, enlista a los servicios públicos cuyo control y funciones estarán a cargo de los municipios, entre los que destaca la </w:t>
      </w:r>
      <w:r w:rsidRPr="00F11975">
        <w:rPr>
          <w:rFonts w:ascii="Palatino Linotype" w:eastAsia="Palatino Linotype" w:hAnsi="Palatino Linotype" w:cs="Palatino Linotype"/>
          <w:b/>
          <w:bCs/>
          <w:color w:val="000000"/>
        </w:rPr>
        <w:t>seguridad pública, policía preventiva municipal y tránsito</w:t>
      </w:r>
      <w:r w:rsidRPr="00F11975">
        <w:rPr>
          <w:rFonts w:ascii="Palatino Linotype" w:eastAsia="Palatino Linotype" w:hAnsi="Palatino Linotype" w:cs="Palatino Linotype"/>
          <w:color w:val="000000"/>
        </w:rPr>
        <w:t>.</w:t>
      </w:r>
    </w:p>
    <w:p w14:paraId="19072DE6"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6759CEC" w14:textId="6B6714DB" w:rsidR="00FA5426" w:rsidRPr="00F11975" w:rsidRDefault="005E6507"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En estricta relación con lo anterior, el artículo 21 de la Constitución Política de los Estados Unidos Mexicanos, en su párrafo noveno, señala que </w:t>
      </w:r>
      <w:r w:rsidRPr="00F11975">
        <w:rPr>
          <w:rFonts w:ascii="Palatino Linotype" w:eastAsia="Palatino Linotype" w:hAnsi="Palatino Linotype" w:cs="Palatino Linotype"/>
          <w:b/>
          <w:bCs/>
          <w:color w:val="000000"/>
        </w:rPr>
        <w:t>la seguridad pública es una función del Estado a cargo de</w:t>
      </w:r>
      <w:r w:rsidRPr="00F11975">
        <w:rPr>
          <w:rFonts w:ascii="Palatino Linotype" w:eastAsia="Palatino Linotype" w:hAnsi="Palatino Linotype" w:cs="Palatino Linotype"/>
          <w:color w:val="000000"/>
        </w:rPr>
        <w:t xml:space="preserve"> la Federación, las entidades federativas y </w:t>
      </w:r>
      <w:r w:rsidRPr="00F11975">
        <w:rPr>
          <w:rFonts w:ascii="Palatino Linotype" w:eastAsia="Palatino Linotype" w:hAnsi="Palatino Linotype" w:cs="Palatino Linotype"/>
          <w:b/>
          <w:bCs/>
          <w:color w:val="000000"/>
        </w:rPr>
        <w:t>los Municipios</w:t>
      </w:r>
      <w:r w:rsidRPr="00F11975">
        <w:rPr>
          <w:rFonts w:ascii="Palatino Linotype" w:eastAsia="Palatino Linotype" w:hAnsi="Palatino Linotype" w:cs="Palatino Linotype"/>
          <w:color w:val="000000"/>
        </w:rPr>
        <w:t xml:space="preserve">, cuyos fines son salvaguardar la vida, las libertades, la integridad y el patrimonio de las personas, así como contribuir a la generación y preservación del orden público y la paz social, de conformidad con lo previsto en esta Constitución y las leyes en la materia. </w:t>
      </w:r>
      <w:r w:rsidRPr="00F11975">
        <w:rPr>
          <w:rFonts w:ascii="Palatino Linotype" w:eastAsia="Palatino Linotype" w:hAnsi="Palatino Linotype" w:cs="Palatino Linotype"/>
          <w:b/>
          <w:bCs/>
          <w:color w:val="000000"/>
        </w:rPr>
        <w:t>La seguridad pública comprende la prevención, investigación y persecución de los delitos</w:t>
      </w:r>
      <w:r w:rsidRPr="00F11975">
        <w:rPr>
          <w:rFonts w:ascii="Palatino Linotype" w:eastAsia="Palatino Linotype" w:hAnsi="Palatino Linotype" w:cs="Palatino Linotype"/>
          <w:color w:val="000000"/>
        </w:rPr>
        <w:t xml:space="preserve">, así como la sanción de las infracciones administrativas. La actuación de las instituciones de seguridad pública se regirá por los principios de legalidad, objetividad, eficiencia, profesionalismo, honradez y respeto a los derechos humanos. </w:t>
      </w:r>
    </w:p>
    <w:p w14:paraId="041CF9AC"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9492F3F" w14:textId="005A60FF" w:rsidR="00FA5426" w:rsidRPr="00F11975" w:rsidRDefault="004D3E0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Ahora bien, la Ley General del Sistema Nacional de Seguridad Pública es </w:t>
      </w:r>
      <w:r w:rsidR="00E8312D" w:rsidRPr="00F11975">
        <w:rPr>
          <w:rFonts w:ascii="Palatino Linotype" w:eastAsia="Palatino Linotype" w:hAnsi="Palatino Linotype" w:cs="Palatino Linotype"/>
          <w:color w:val="000000"/>
        </w:rPr>
        <w:t xml:space="preserve">reglamentaria del artículo 21 de la Constitución Política de los Estados Unidos Mexicanos en materia de Seguridad Pública y tiene por objeto regular la integración, </w:t>
      </w:r>
      <w:r w:rsidR="00E8312D" w:rsidRPr="00F11975">
        <w:rPr>
          <w:rFonts w:ascii="Palatino Linotype" w:eastAsia="Palatino Linotype" w:hAnsi="Palatino Linotype" w:cs="Palatino Linotype"/>
          <w:color w:val="000000"/>
        </w:rPr>
        <w:lastRenderedPageBreak/>
        <w:t>organización y funcionamiento del Sistema Nacional de Seguridad Pública, así como establecer la distribución de competencias y las bases de coordinación entre la Federación, los Estados, la Ciudad de México y los Municipios, en esta materia</w:t>
      </w:r>
      <w:r w:rsidR="00E8312D" w:rsidRPr="00F11975">
        <w:rPr>
          <w:rStyle w:val="Refdenotaalpie"/>
          <w:rFonts w:ascii="Palatino Linotype" w:eastAsia="Palatino Linotype" w:hAnsi="Palatino Linotype" w:cs="Palatino Linotype"/>
          <w:color w:val="000000"/>
        </w:rPr>
        <w:footnoteReference w:id="13"/>
      </w:r>
      <w:r w:rsidR="00E8312D" w:rsidRPr="00F11975">
        <w:rPr>
          <w:rFonts w:ascii="Palatino Linotype" w:eastAsia="Palatino Linotype" w:hAnsi="Palatino Linotype" w:cs="Palatino Linotype"/>
          <w:color w:val="000000"/>
        </w:rPr>
        <w:t>.</w:t>
      </w:r>
    </w:p>
    <w:p w14:paraId="1584F038"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6FA138F" w14:textId="6EC8A8BB" w:rsidR="00FA5426" w:rsidRPr="00F11975" w:rsidRDefault="0029414D"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De conformidad con el artículo 2 de la Ley General del Sistema Nacional de Seguridad Pública, la seguridad pública es una función a cargo de la Federación, las entidades federativas y municipios,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w:t>
      </w:r>
    </w:p>
    <w:p w14:paraId="31CC870D"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ED88400" w14:textId="6E4C5ED4" w:rsidR="00FA5426" w:rsidRPr="00F11975" w:rsidRDefault="0029414D"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lang w:val="es-MX"/>
        </w:rPr>
        <w:t xml:space="preserve">Por su parte, el numeral 3 de la Ley en comento establece que la </w:t>
      </w:r>
      <w:r w:rsidRPr="00F11975">
        <w:rPr>
          <w:rFonts w:ascii="Palatino Linotype" w:hAnsi="Palatino Linotype"/>
          <w:color w:val="000000" w:themeColor="text1"/>
        </w:rPr>
        <w:t>función de Seguridad Pública se realizará en los diversos ámbitos de competencia por conducto de las Instituciones Policiales, de Procuración de Justicia, de las instancias encargadas de aplicar las infracciones administrativas, de la supervisión de medidas cautelares, de suspensión condicional del procedimiento de los responsables de la prisión preventiva y ejecución de penas, así como por las demás autoridades que en razón de sus atribuciones deban contribuir directa o indirectamente al objeto de la propia Ley.</w:t>
      </w:r>
    </w:p>
    <w:p w14:paraId="7333EAAE"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DB1A267" w14:textId="2C014F32" w:rsidR="00FA5426" w:rsidRPr="00F11975" w:rsidRDefault="0029414D"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lastRenderedPageBreak/>
        <w:t xml:space="preserve">Para </w:t>
      </w:r>
      <w:r w:rsidRPr="00F11975">
        <w:rPr>
          <w:rFonts w:ascii="Palatino Linotype" w:eastAsia="Palatino Linotype" w:hAnsi="Palatino Linotype" w:cs="Palatino Linotype"/>
          <w:color w:val="000000"/>
          <w:lang w:val="es-ES"/>
        </w:rPr>
        <w:t xml:space="preserve">tal efecto es preciso </w:t>
      </w:r>
      <w:r w:rsidR="005E362D" w:rsidRPr="00F11975">
        <w:rPr>
          <w:rFonts w:ascii="Palatino Linotype" w:eastAsia="Palatino Linotype" w:hAnsi="Palatino Linotype" w:cs="Palatino Linotype"/>
          <w:color w:val="000000"/>
          <w:lang w:val="es-ES"/>
        </w:rPr>
        <w:t>diferenciar,</w:t>
      </w:r>
      <w:r w:rsidRPr="00F11975">
        <w:rPr>
          <w:rFonts w:ascii="Palatino Linotype" w:eastAsia="Palatino Linotype" w:hAnsi="Palatino Linotype" w:cs="Palatino Linotype"/>
          <w:color w:val="000000"/>
          <w:lang w:val="es-ES"/>
        </w:rPr>
        <w:t xml:space="preserve"> de acuerdo </w:t>
      </w:r>
      <w:r w:rsidR="005E362D" w:rsidRPr="00F11975">
        <w:rPr>
          <w:rFonts w:ascii="Palatino Linotype" w:eastAsia="Palatino Linotype" w:hAnsi="Palatino Linotype" w:cs="Palatino Linotype"/>
          <w:color w:val="000000"/>
          <w:lang w:val="es-ES"/>
        </w:rPr>
        <w:t>con lo establecido por el</w:t>
      </w:r>
      <w:r w:rsidRPr="00F11975">
        <w:rPr>
          <w:rFonts w:ascii="Palatino Linotype" w:eastAsia="Palatino Linotype" w:hAnsi="Palatino Linotype" w:cs="Palatino Linotype"/>
          <w:color w:val="000000"/>
          <w:lang w:val="es-ES"/>
        </w:rPr>
        <w:t xml:space="preserve"> artículo </w:t>
      </w:r>
      <w:r w:rsidR="005E362D" w:rsidRPr="00F11975">
        <w:rPr>
          <w:rFonts w:ascii="Palatino Linotype" w:eastAsia="Palatino Linotype" w:hAnsi="Palatino Linotype" w:cs="Palatino Linotype"/>
          <w:color w:val="000000"/>
          <w:lang w:val="es-ES"/>
        </w:rPr>
        <w:t xml:space="preserve">5 </w:t>
      </w:r>
      <w:r w:rsidRPr="00F11975">
        <w:rPr>
          <w:rFonts w:ascii="Palatino Linotype" w:eastAsia="Palatino Linotype" w:hAnsi="Palatino Linotype" w:cs="Palatino Linotype"/>
          <w:color w:val="000000"/>
          <w:lang w:val="es-ES"/>
        </w:rPr>
        <w:t xml:space="preserve">de la </w:t>
      </w:r>
      <w:r w:rsidR="005E362D" w:rsidRPr="00F11975">
        <w:rPr>
          <w:rFonts w:ascii="Palatino Linotype" w:eastAsia="Palatino Linotype" w:hAnsi="Palatino Linotype" w:cs="Palatino Linotype"/>
          <w:bCs/>
          <w:color w:val="000000"/>
        </w:rPr>
        <w:t>Ley General del Sistema Nacional de Seguridad Pública,</w:t>
      </w:r>
      <w:r w:rsidRPr="00F11975">
        <w:rPr>
          <w:rFonts w:ascii="Palatino Linotype" w:eastAsia="Palatino Linotype" w:hAnsi="Palatino Linotype" w:cs="Palatino Linotype"/>
          <w:b/>
          <w:color w:val="000000"/>
        </w:rPr>
        <w:t xml:space="preserve"> </w:t>
      </w:r>
      <w:r w:rsidR="005E362D" w:rsidRPr="00F11975">
        <w:rPr>
          <w:rFonts w:ascii="Palatino Linotype" w:eastAsia="Palatino Linotype" w:hAnsi="Palatino Linotype" w:cs="Palatino Linotype"/>
          <w:color w:val="000000"/>
          <w:lang w:val="es-ES"/>
        </w:rPr>
        <w:t>los siguientes conceptos:</w:t>
      </w:r>
    </w:p>
    <w:p w14:paraId="22E7725B" w14:textId="4947F92B"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92ED5D0" w14:textId="5FE04504" w:rsidR="005E362D" w:rsidRPr="00F11975" w:rsidRDefault="005E362D" w:rsidP="005E362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lang w:val="es-MX"/>
        </w:rPr>
        <w:t>“</w:t>
      </w:r>
      <w:r w:rsidRPr="00F11975">
        <w:rPr>
          <w:rFonts w:ascii="Palatino Linotype" w:hAnsi="Palatino Linotype"/>
          <w:b/>
          <w:bCs/>
          <w:i/>
          <w:iCs/>
          <w:color w:val="000000" w:themeColor="text1"/>
          <w:sz w:val="22"/>
          <w:szCs w:val="22"/>
        </w:rPr>
        <w:t>Artículo 5.-</w:t>
      </w:r>
      <w:r w:rsidRPr="00F11975">
        <w:rPr>
          <w:rFonts w:ascii="Palatino Linotype" w:hAnsi="Palatino Linotype"/>
          <w:i/>
          <w:iCs/>
          <w:color w:val="000000" w:themeColor="text1"/>
          <w:sz w:val="22"/>
          <w:szCs w:val="22"/>
        </w:rPr>
        <w:t xml:space="preserve"> Para los efectos de esta Ley, se entenderá por:</w:t>
      </w:r>
    </w:p>
    <w:p w14:paraId="39C49946" w14:textId="4AEF96FC" w:rsidR="005E362D" w:rsidRPr="00F11975" w:rsidRDefault="005E362D" w:rsidP="005E362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i/>
          <w:iCs/>
          <w:color w:val="000000" w:themeColor="text1"/>
          <w:sz w:val="22"/>
          <w:szCs w:val="22"/>
        </w:rPr>
        <w:t>(…)</w:t>
      </w:r>
    </w:p>
    <w:p w14:paraId="68290BED" w14:textId="77777777" w:rsidR="005E362D" w:rsidRPr="00F11975" w:rsidRDefault="005E362D" w:rsidP="005E362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b/>
          <w:bCs/>
          <w:i/>
          <w:iCs/>
          <w:color w:val="000000" w:themeColor="text1"/>
          <w:sz w:val="22"/>
          <w:szCs w:val="22"/>
        </w:rPr>
        <w:t xml:space="preserve">VIII. Instituciones de Seguridad Pública: </w:t>
      </w:r>
      <w:r w:rsidRPr="00F11975">
        <w:rPr>
          <w:rFonts w:ascii="Palatino Linotype" w:hAnsi="Palatino Linotype"/>
          <w:i/>
          <w:iCs/>
          <w:color w:val="000000" w:themeColor="text1"/>
          <w:sz w:val="22"/>
          <w:szCs w:val="22"/>
        </w:rPr>
        <w:t xml:space="preserve">a las Instituciones Policiales, de Procuración de Justicia, del Sistema Penitenciario y dependencias encargadas de la Seguridad Pública a nivel federal, local y municipal; </w:t>
      </w:r>
    </w:p>
    <w:p w14:paraId="757E829F" w14:textId="77777777" w:rsidR="005E362D" w:rsidRPr="00F11975" w:rsidRDefault="005E362D" w:rsidP="005E362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b/>
          <w:bCs/>
          <w:i/>
          <w:iCs/>
          <w:color w:val="000000" w:themeColor="text1"/>
          <w:sz w:val="22"/>
          <w:szCs w:val="22"/>
        </w:rPr>
        <w:t>IX. Instituciones de Procuración de Justicia:</w:t>
      </w:r>
      <w:r w:rsidRPr="00F11975">
        <w:rPr>
          <w:rFonts w:ascii="Palatino Linotype" w:hAnsi="Palatino Linotype"/>
          <w:i/>
          <w:iCs/>
          <w:color w:val="000000" w:themeColor="text1"/>
          <w:sz w:val="22"/>
          <w:szCs w:val="22"/>
        </w:rPr>
        <w:t xml:space="preserve"> a las Instituciones de la Federación y entidades federativas que integran al Ministerio Público, los servicios periciales, policías de investigación y demás auxiliares de aquel; </w:t>
      </w:r>
    </w:p>
    <w:p w14:paraId="64801A7C" w14:textId="314C1D68" w:rsidR="005E362D" w:rsidRPr="00F11975" w:rsidRDefault="005E362D" w:rsidP="005E362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b/>
          <w:bCs/>
          <w:i/>
          <w:iCs/>
          <w:color w:val="000000" w:themeColor="text1"/>
          <w:sz w:val="22"/>
          <w:szCs w:val="22"/>
        </w:rPr>
        <w:t>X. Instituciones Policiales:</w:t>
      </w:r>
      <w:r w:rsidRPr="00F11975">
        <w:rPr>
          <w:rFonts w:ascii="Palatino Linotype" w:hAnsi="Palatino Linotype"/>
          <w:i/>
          <w:iCs/>
          <w:color w:val="000000" w:themeColor="text1"/>
          <w:sz w:val="22"/>
          <w:szCs w:val="22"/>
        </w:rPr>
        <w:t xml:space="preserve"> a los cuerpos de policía, de vigilancia y custodia de los establecimientos penitenciarios, de detención preventiva, o de centros de arraigos; y en general, todas las dependencias encargadas de la seguridad pública a nivel federal, local y municipal, que realicen funciones similares;</w:t>
      </w:r>
    </w:p>
    <w:p w14:paraId="5010ECC8" w14:textId="664320E8" w:rsidR="005E362D" w:rsidRPr="00F11975" w:rsidRDefault="005E362D" w:rsidP="005E362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F11975">
        <w:rPr>
          <w:rFonts w:ascii="Palatino Linotype" w:hAnsi="Palatino Linotype"/>
          <w:i/>
          <w:iCs/>
          <w:color w:val="000000" w:themeColor="text1"/>
          <w:sz w:val="22"/>
          <w:szCs w:val="22"/>
        </w:rPr>
        <w:t>(…)”</w:t>
      </w:r>
    </w:p>
    <w:p w14:paraId="1A0EAA5D" w14:textId="77777777" w:rsidR="005E362D" w:rsidRPr="00F11975" w:rsidRDefault="005E362D"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6FB6582" w14:textId="0B4B07F4" w:rsidR="00FA5426" w:rsidRPr="00F11975" w:rsidRDefault="002E474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Ahora bien, en armonía con la Ley General, la Ley de Seguridad del Estado de México </w:t>
      </w:r>
      <w:r w:rsidRPr="00F11975">
        <w:rPr>
          <w:rFonts w:ascii="Palatino Linotype" w:eastAsia="MS Mincho" w:hAnsi="Palatino Linotype" w:cs="Times New Roman"/>
        </w:rPr>
        <w:t xml:space="preserve">otorga facultades a </w:t>
      </w:r>
      <w:r w:rsidRPr="00F11975">
        <w:rPr>
          <w:rFonts w:ascii="Palatino Linotype" w:eastAsia="Times New Roman" w:hAnsi="Palatino Linotype" w:cs="Arial"/>
          <w:lang w:val="es-ES"/>
        </w:rPr>
        <w:t xml:space="preserve">dichas Instituciones para dar cabal cumplimiento a sus funciones, dentro de las cuales se encuentra la de </w:t>
      </w:r>
      <w:r w:rsidRPr="00F11975">
        <w:rPr>
          <w:rFonts w:ascii="Palatino Linotype" w:eastAsia="Times New Roman" w:hAnsi="Palatino Linotype" w:cs="Arial"/>
          <w:b/>
          <w:lang w:val="es-ES"/>
        </w:rPr>
        <w:t>emitir informes, partes policiales</w:t>
      </w:r>
      <w:r w:rsidRPr="00F11975">
        <w:rPr>
          <w:rFonts w:ascii="Palatino Linotype" w:eastAsia="Times New Roman" w:hAnsi="Palatino Linotype" w:cs="Arial"/>
          <w:lang w:val="es-ES"/>
        </w:rPr>
        <w:t xml:space="preserve"> y, entre otras, las siguientes:</w:t>
      </w:r>
    </w:p>
    <w:p w14:paraId="36697F1E" w14:textId="587CD52F"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672D2E1" w14:textId="77777777" w:rsidR="002E4741" w:rsidRPr="00F11975" w:rsidRDefault="002E4741" w:rsidP="002E4741">
      <w:pPr>
        <w:pStyle w:val="Prrafodelista"/>
        <w:tabs>
          <w:tab w:val="left" w:pos="426"/>
        </w:tabs>
        <w:spacing w:line="276" w:lineRule="auto"/>
        <w:rPr>
          <w:rFonts w:ascii="Palatino Linotype" w:hAnsi="Palatino Linotype"/>
          <w:i/>
          <w:iCs/>
          <w:color w:val="000000" w:themeColor="text1"/>
          <w:sz w:val="22"/>
          <w:szCs w:val="22"/>
          <w:lang w:val="es-ES"/>
        </w:rPr>
      </w:pPr>
      <w:r w:rsidRPr="00F11975">
        <w:rPr>
          <w:rFonts w:ascii="Palatino Linotype" w:hAnsi="Palatino Linotype"/>
          <w:i/>
          <w:iCs/>
          <w:color w:val="000000" w:themeColor="text1"/>
          <w:sz w:val="22"/>
          <w:szCs w:val="22"/>
          <w:lang w:val="es-MX"/>
        </w:rPr>
        <w:t>“</w:t>
      </w:r>
      <w:r w:rsidRPr="00F11975">
        <w:rPr>
          <w:rFonts w:ascii="Palatino Linotype" w:hAnsi="Palatino Linotype"/>
          <w:b/>
          <w:i/>
          <w:iCs/>
          <w:color w:val="000000" w:themeColor="text1"/>
          <w:sz w:val="22"/>
          <w:szCs w:val="22"/>
        </w:rPr>
        <w:t>Artículo 138.</w:t>
      </w:r>
      <w:r w:rsidRPr="00F11975">
        <w:rPr>
          <w:rFonts w:ascii="Palatino Linotype" w:hAnsi="Palatino Linotype"/>
          <w:i/>
          <w:iCs/>
          <w:color w:val="000000" w:themeColor="text1"/>
          <w:sz w:val="22"/>
          <w:szCs w:val="22"/>
        </w:rPr>
        <w:t xml:space="preserve">- Las unidades de policía encargadas de la investigación científica de los delitos </w:t>
      </w:r>
      <w:r w:rsidRPr="00F11975">
        <w:rPr>
          <w:rFonts w:ascii="Palatino Linotype" w:hAnsi="Palatino Linotype"/>
          <w:b/>
          <w:i/>
          <w:iCs/>
          <w:color w:val="000000" w:themeColor="text1"/>
          <w:sz w:val="22"/>
          <w:szCs w:val="22"/>
        </w:rPr>
        <w:t>se coordinarán en los términos de esta Ley</w:t>
      </w:r>
      <w:r w:rsidRPr="00F11975">
        <w:rPr>
          <w:rFonts w:ascii="Palatino Linotype" w:hAnsi="Palatino Linotype"/>
          <w:i/>
          <w:iCs/>
          <w:color w:val="000000" w:themeColor="text1"/>
          <w:sz w:val="22"/>
          <w:szCs w:val="22"/>
        </w:rPr>
        <w:t xml:space="preserve"> y demás disposiciones aplicables, </w:t>
      </w:r>
      <w:r w:rsidRPr="00F11975">
        <w:rPr>
          <w:rFonts w:ascii="Palatino Linotype" w:hAnsi="Palatino Linotype"/>
          <w:b/>
          <w:i/>
          <w:iCs/>
          <w:color w:val="000000" w:themeColor="text1"/>
          <w:sz w:val="22"/>
          <w:szCs w:val="22"/>
        </w:rPr>
        <w:t>para el efectivo cumplimiento de sus funciones</w:t>
      </w:r>
      <w:r w:rsidRPr="00F11975">
        <w:rPr>
          <w:rFonts w:ascii="Palatino Linotype" w:hAnsi="Palatino Linotype"/>
          <w:i/>
          <w:iCs/>
          <w:color w:val="000000" w:themeColor="text1"/>
          <w:sz w:val="22"/>
          <w:szCs w:val="22"/>
        </w:rPr>
        <w:t xml:space="preserve">, y tendrán, entre otras, las facultades siguientes: </w:t>
      </w:r>
    </w:p>
    <w:p w14:paraId="0E10DEA7" w14:textId="77777777" w:rsidR="002E4741" w:rsidRPr="00F11975" w:rsidRDefault="002E4741" w:rsidP="002E4741">
      <w:pPr>
        <w:pStyle w:val="Prrafodelista"/>
        <w:tabs>
          <w:tab w:val="left" w:pos="426"/>
        </w:tabs>
        <w:spacing w:line="276" w:lineRule="auto"/>
        <w:rPr>
          <w:rFonts w:ascii="Palatino Linotype" w:hAnsi="Palatino Linotype"/>
          <w:i/>
          <w:iCs/>
          <w:color w:val="000000" w:themeColor="text1"/>
          <w:sz w:val="22"/>
          <w:szCs w:val="22"/>
          <w:lang w:val="es-ES"/>
        </w:rPr>
      </w:pPr>
      <w:r w:rsidRPr="00F11975">
        <w:rPr>
          <w:rFonts w:ascii="Palatino Linotype" w:hAnsi="Palatino Linotype"/>
          <w:i/>
          <w:iCs/>
          <w:color w:val="000000" w:themeColor="text1"/>
          <w:sz w:val="22"/>
          <w:szCs w:val="22"/>
        </w:rPr>
        <w:t>(…)</w:t>
      </w:r>
    </w:p>
    <w:p w14:paraId="383A6923" w14:textId="77777777" w:rsidR="002E4741" w:rsidRPr="00F11975" w:rsidRDefault="002E4741" w:rsidP="002E4741">
      <w:pPr>
        <w:pStyle w:val="Prrafodelista"/>
        <w:tabs>
          <w:tab w:val="left" w:pos="426"/>
        </w:tabs>
        <w:spacing w:line="276" w:lineRule="auto"/>
        <w:rPr>
          <w:rFonts w:ascii="Palatino Linotype" w:hAnsi="Palatino Linotype"/>
          <w:i/>
          <w:iCs/>
          <w:color w:val="000000" w:themeColor="text1"/>
          <w:sz w:val="22"/>
          <w:szCs w:val="22"/>
        </w:rPr>
      </w:pPr>
      <w:r w:rsidRPr="00F11975">
        <w:rPr>
          <w:rFonts w:ascii="Palatino Linotype" w:hAnsi="Palatino Linotype"/>
          <w:b/>
          <w:bCs/>
          <w:i/>
          <w:iCs/>
          <w:color w:val="000000" w:themeColor="text1"/>
          <w:sz w:val="22"/>
          <w:szCs w:val="22"/>
        </w:rPr>
        <w:lastRenderedPageBreak/>
        <w:t>IX.</w:t>
      </w:r>
      <w:r w:rsidRPr="00F11975">
        <w:rPr>
          <w:rFonts w:ascii="Palatino Linotype" w:hAnsi="Palatino Linotype"/>
          <w:i/>
          <w:iCs/>
          <w:color w:val="000000" w:themeColor="text1"/>
          <w:sz w:val="22"/>
          <w:szCs w:val="22"/>
        </w:rPr>
        <w:t xml:space="preserve"> Proponer al ministerio público que requiera a las autoridades competentes, informes y documentos para fines de la investigación, cuando se trate de aquellos que sólo pueda solicitar por conducto de éste;</w:t>
      </w:r>
    </w:p>
    <w:p w14:paraId="33E02D98" w14:textId="77777777" w:rsidR="002E4741" w:rsidRPr="00F11975" w:rsidRDefault="002E4741" w:rsidP="002E4741">
      <w:pPr>
        <w:pStyle w:val="Prrafodelista"/>
        <w:tabs>
          <w:tab w:val="left" w:pos="426"/>
        </w:tabs>
        <w:spacing w:line="276" w:lineRule="auto"/>
        <w:rPr>
          <w:rFonts w:ascii="Palatino Linotype" w:hAnsi="Palatino Linotype"/>
          <w:i/>
          <w:iCs/>
          <w:color w:val="000000" w:themeColor="text1"/>
          <w:sz w:val="22"/>
          <w:szCs w:val="22"/>
        </w:rPr>
      </w:pPr>
    </w:p>
    <w:p w14:paraId="3A41FDCE" w14:textId="77777777" w:rsidR="002E4741" w:rsidRPr="00F11975" w:rsidRDefault="002E4741" w:rsidP="002E4741">
      <w:pPr>
        <w:pStyle w:val="Prrafodelista"/>
        <w:tabs>
          <w:tab w:val="left" w:pos="426"/>
        </w:tabs>
        <w:spacing w:line="276" w:lineRule="auto"/>
        <w:rPr>
          <w:rFonts w:ascii="Palatino Linotype" w:hAnsi="Palatino Linotype"/>
          <w:i/>
          <w:iCs/>
          <w:color w:val="000000" w:themeColor="text1"/>
          <w:sz w:val="22"/>
          <w:szCs w:val="22"/>
        </w:rPr>
      </w:pPr>
      <w:r w:rsidRPr="00F11975">
        <w:rPr>
          <w:rFonts w:ascii="Palatino Linotype" w:hAnsi="Palatino Linotype"/>
          <w:b/>
          <w:bCs/>
          <w:i/>
          <w:iCs/>
          <w:color w:val="000000" w:themeColor="text1"/>
          <w:sz w:val="22"/>
          <w:szCs w:val="22"/>
        </w:rPr>
        <w:t>X.</w:t>
      </w:r>
      <w:r w:rsidRPr="00F11975">
        <w:rPr>
          <w:rFonts w:ascii="Palatino Linotype" w:hAnsi="Palatino Linotype"/>
          <w:i/>
          <w:iCs/>
          <w:color w:val="000000" w:themeColor="text1"/>
          <w:sz w:val="22"/>
          <w:szCs w:val="22"/>
        </w:rPr>
        <w:t xml:space="preserve"> </w:t>
      </w:r>
      <w:r w:rsidRPr="00F11975">
        <w:rPr>
          <w:rFonts w:ascii="Palatino Linotype" w:hAnsi="Palatino Linotype"/>
          <w:b/>
          <w:bCs/>
          <w:i/>
          <w:iCs/>
          <w:color w:val="000000" w:themeColor="text1"/>
          <w:sz w:val="22"/>
          <w:szCs w:val="22"/>
        </w:rPr>
        <w:t>Dejar constancia de cada una de sus actuaciones</w:t>
      </w:r>
      <w:r w:rsidRPr="00F11975">
        <w:rPr>
          <w:rFonts w:ascii="Palatino Linotype" w:hAnsi="Palatino Linotype"/>
          <w:i/>
          <w:iCs/>
          <w:color w:val="000000" w:themeColor="text1"/>
          <w:sz w:val="22"/>
          <w:szCs w:val="22"/>
        </w:rPr>
        <w:t xml:space="preserve">, así como llevar un control y seguimiento de éstas. Durante el curso de la investigación </w:t>
      </w:r>
      <w:r w:rsidRPr="00F11975">
        <w:rPr>
          <w:rFonts w:ascii="Palatino Linotype" w:hAnsi="Palatino Linotype"/>
          <w:b/>
          <w:i/>
          <w:iCs/>
          <w:color w:val="000000" w:themeColor="text1"/>
          <w:sz w:val="22"/>
          <w:szCs w:val="22"/>
        </w:rPr>
        <w:t>deberán elaborar informes sobre el desarrollo de la misma, y rendirlos al ministerio público</w:t>
      </w:r>
      <w:r w:rsidRPr="00F11975">
        <w:rPr>
          <w:rFonts w:ascii="Palatino Linotype" w:hAnsi="Palatino Linotype"/>
          <w:i/>
          <w:iCs/>
          <w:color w:val="000000" w:themeColor="text1"/>
          <w:sz w:val="22"/>
          <w:szCs w:val="22"/>
        </w:rPr>
        <w:t>, sin perjuicio de los informes que éste le requiera;</w:t>
      </w:r>
    </w:p>
    <w:p w14:paraId="10B29CA8" w14:textId="77777777" w:rsidR="002E4741" w:rsidRPr="00F11975" w:rsidRDefault="002E4741" w:rsidP="002E4741">
      <w:pPr>
        <w:pStyle w:val="Prrafodelista"/>
        <w:tabs>
          <w:tab w:val="left" w:pos="426"/>
        </w:tabs>
        <w:spacing w:line="276" w:lineRule="auto"/>
        <w:rPr>
          <w:rFonts w:ascii="Palatino Linotype" w:hAnsi="Palatino Linotype"/>
          <w:i/>
          <w:iCs/>
          <w:color w:val="000000" w:themeColor="text1"/>
          <w:sz w:val="22"/>
          <w:szCs w:val="22"/>
        </w:rPr>
      </w:pPr>
    </w:p>
    <w:p w14:paraId="480B5918" w14:textId="20DE40FE" w:rsidR="002E4741" w:rsidRPr="00F11975" w:rsidRDefault="002E4741" w:rsidP="002E4741">
      <w:pPr>
        <w:pStyle w:val="Prrafodelista"/>
        <w:tabs>
          <w:tab w:val="left" w:pos="426"/>
        </w:tabs>
        <w:spacing w:line="276" w:lineRule="auto"/>
        <w:rPr>
          <w:rFonts w:ascii="Palatino Linotype" w:hAnsi="Palatino Linotype"/>
          <w:color w:val="000000" w:themeColor="text1"/>
          <w:sz w:val="22"/>
          <w:szCs w:val="22"/>
        </w:rPr>
      </w:pPr>
      <w:r w:rsidRPr="00F11975">
        <w:rPr>
          <w:rFonts w:ascii="Palatino Linotype" w:hAnsi="Palatino Linotype"/>
          <w:b/>
          <w:bCs/>
          <w:i/>
          <w:iCs/>
          <w:color w:val="000000" w:themeColor="text1"/>
          <w:sz w:val="22"/>
          <w:szCs w:val="22"/>
        </w:rPr>
        <w:t>XI.</w:t>
      </w:r>
      <w:r w:rsidRPr="00F11975">
        <w:rPr>
          <w:rFonts w:ascii="Palatino Linotype" w:hAnsi="Palatino Linotype"/>
          <w:i/>
          <w:iCs/>
          <w:color w:val="000000" w:themeColor="text1"/>
          <w:sz w:val="22"/>
          <w:szCs w:val="22"/>
        </w:rPr>
        <w:t xml:space="preserve"> </w:t>
      </w:r>
      <w:r w:rsidRPr="00F11975">
        <w:rPr>
          <w:rFonts w:ascii="Palatino Linotype" w:hAnsi="Palatino Linotype"/>
          <w:b/>
          <w:i/>
          <w:iCs/>
          <w:color w:val="000000" w:themeColor="text1"/>
          <w:sz w:val="22"/>
          <w:szCs w:val="22"/>
        </w:rPr>
        <w:t>Emitir los informes, partes policiales y demás documentos que se generen, con los requisitos de fondo y forma</w:t>
      </w:r>
      <w:r w:rsidRPr="00F11975">
        <w:rPr>
          <w:rFonts w:ascii="Palatino Linotype" w:hAnsi="Palatino Linotype"/>
          <w:i/>
          <w:iCs/>
          <w:color w:val="000000" w:themeColor="text1"/>
          <w:sz w:val="22"/>
          <w:szCs w:val="22"/>
        </w:rPr>
        <w:t xml:space="preserve"> que establezcan las disposiciones aplicables, para tal efecto se podrán apoyar en los conocimientos que resulten necesarios;” </w:t>
      </w:r>
      <w:r w:rsidRPr="00F11975">
        <w:rPr>
          <w:rFonts w:ascii="Palatino Linotype" w:hAnsi="Palatino Linotype"/>
          <w:color w:val="000000" w:themeColor="text1"/>
          <w:sz w:val="22"/>
          <w:szCs w:val="22"/>
        </w:rPr>
        <w:t>(Sic)</w:t>
      </w:r>
    </w:p>
    <w:p w14:paraId="09701A4E" w14:textId="346612F9" w:rsidR="002E4741" w:rsidRPr="00F11975" w:rsidRDefault="002E4741" w:rsidP="002E4741">
      <w:pPr>
        <w:pStyle w:val="Prrafodelista"/>
        <w:tabs>
          <w:tab w:val="left" w:pos="426"/>
        </w:tabs>
        <w:spacing w:line="276" w:lineRule="auto"/>
        <w:rPr>
          <w:rFonts w:ascii="Palatino Linotype" w:hAnsi="Palatino Linotype"/>
          <w:color w:val="000000" w:themeColor="text1"/>
          <w:sz w:val="22"/>
          <w:szCs w:val="22"/>
          <w:lang w:val="es-ES"/>
        </w:rPr>
      </w:pPr>
      <w:r w:rsidRPr="00F11975">
        <w:rPr>
          <w:rFonts w:ascii="Palatino Linotype" w:hAnsi="Palatino Linotype"/>
          <w:color w:val="000000" w:themeColor="text1"/>
          <w:sz w:val="22"/>
          <w:szCs w:val="22"/>
        </w:rPr>
        <w:t>(Énfasis añadido)</w:t>
      </w:r>
    </w:p>
    <w:p w14:paraId="3B4C179C" w14:textId="77777777" w:rsidR="002E4741" w:rsidRPr="00F11975" w:rsidRDefault="002E4741"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C503A79" w14:textId="4BF9187B" w:rsidR="00FA5426" w:rsidRPr="00F11975" w:rsidRDefault="002E474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En </w:t>
      </w:r>
      <w:r w:rsidRPr="00F11975">
        <w:rPr>
          <w:rFonts w:ascii="Palatino Linotype" w:eastAsia="Times New Roman" w:hAnsi="Palatino Linotype" w:cs="Arial"/>
          <w:lang w:val="es-ES"/>
        </w:rPr>
        <w:t>esa tesitura cabe señalar la distinción entre los partes de novedades y los partes informativos a que se hace referencia en el precepto citado en el párrafo que antecede, para lo cual, se integra lo siguiente:</w:t>
      </w:r>
    </w:p>
    <w:p w14:paraId="5D7A51B9" w14:textId="2E2CFC7A"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8C11D79" w14:textId="77777777" w:rsidR="002E4741" w:rsidRPr="00F11975" w:rsidRDefault="002E4741" w:rsidP="00DD5FE5">
      <w:pPr>
        <w:pStyle w:val="Prrafodelista"/>
        <w:tabs>
          <w:tab w:val="left" w:pos="426"/>
        </w:tabs>
        <w:spacing w:line="276" w:lineRule="auto"/>
        <w:ind w:left="567" w:right="567"/>
        <w:rPr>
          <w:rFonts w:ascii="Palatino Linotype" w:hAnsi="Palatino Linotype"/>
          <w:i/>
          <w:iCs/>
          <w:color w:val="000000" w:themeColor="text1"/>
          <w:sz w:val="22"/>
          <w:szCs w:val="22"/>
          <w:lang w:val="es-ES"/>
        </w:rPr>
      </w:pPr>
      <w:r w:rsidRPr="00F11975">
        <w:rPr>
          <w:rFonts w:ascii="Palatino Linotype" w:hAnsi="Palatino Linotype"/>
          <w:i/>
          <w:iCs/>
          <w:color w:val="000000" w:themeColor="text1"/>
          <w:sz w:val="22"/>
          <w:szCs w:val="22"/>
          <w:lang w:val="es-MX"/>
        </w:rPr>
        <w:t>“</w:t>
      </w:r>
      <w:r w:rsidRPr="00F11975">
        <w:rPr>
          <w:rFonts w:ascii="Palatino Linotype" w:hAnsi="Palatino Linotype"/>
          <w:i/>
          <w:iCs/>
          <w:color w:val="000000" w:themeColor="text1"/>
          <w:sz w:val="22"/>
          <w:szCs w:val="22"/>
          <w:lang w:val="es-ES"/>
        </w:rPr>
        <w:t xml:space="preserve">El </w:t>
      </w:r>
      <w:r w:rsidRPr="00F11975">
        <w:rPr>
          <w:rFonts w:ascii="Palatino Linotype" w:hAnsi="Palatino Linotype"/>
          <w:b/>
          <w:bCs/>
          <w:i/>
          <w:iCs/>
          <w:color w:val="000000" w:themeColor="text1"/>
          <w:sz w:val="22"/>
          <w:szCs w:val="22"/>
          <w:lang w:val="es-ES"/>
        </w:rPr>
        <w:t>parte de novedades</w:t>
      </w:r>
      <w:r w:rsidRPr="00F11975">
        <w:rPr>
          <w:rFonts w:ascii="Palatino Linotype" w:hAnsi="Palatino Linotype"/>
          <w:i/>
          <w:iCs/>
          <w:color w:val="000000" w:themeColor="text1"/>
          <w:sz w:val="22"/>
          <w:szCs w:val="22"/>
          <w:lang w:val="es-ES"/>
        </w:rPr>
        <w:t xml:space="preserve"> es la presentación por escrito de los hechos relevantes del turno.</w:t>
      </w:r>
    </w:p>
    <w:p w14:paraId="13946B06" w14:textId="77777777" w:rsidR="002E4741" w:rsidRPr="00F11975" w:rsidRDefault="002E4741" w:rsidP="00DD5FE5">
      <w:pPr>
        <w:pStyle w:val="Prrafodelista"/>
        <w:tabs>
          <w:tab w:val="left" w:pos="426"/>
        </w:tabs>
        <w:spacing w:line="276" w:lineRule="auto"/>
        <w:ind w:left="567" w:right="567"/>
        <w:rPr>
          <w:rFonts w:ascii="Palatino Linotype" w:hAnsi="Palatino Linotype"/>
          <w:i/>
          <w:iCs/>
          <w:color w:val="000000" w:themeColor="text1"/>
          <w:sz w:val="22"/>
          <w:szCs w:val="22"/>
          <w:lang w:val="es-ES"/>
        </w:rPr>
      </w:pPr>
    </w:p>
    <w:p w14:paraId="0EDEAD57" w14:textId="0A95A5F9" w:rsidR="002E4741" w:rsidRPr="00F11975" w:rsidRDefault="002E4741" w:rsidP="00DD5FE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F11975">
        <w:rPr>
          <w:rFonts w:ascii="Palatino Linotype" w:hAnsi="Palatino Linotype"/>
          <w:i/>
          <w:iCs/>
          <w:color w:val="000000" w:themeColor="text1"/>
          <w:sz w:val="22"/>
          <w:szCs w:val="22"/>
          <w:lang w:val="es-ES"/>
        </w:rPr>
        <w:t xml:space="preserve">El </w:t>
      </w:r>
      <w:r w:rsidRPr="00F11975">
        <w:rPr>
          <w:rFonts w:ascii="Palatino Linotype" w:hAnsi="Palatino Linotype"/>
          <w:b/>
          <w:bCs/>
          <w:i/>
          <w:iCs/>
          <w:color w:val="000000" w:themeColor="text1"/>
          <w:sz w:val="22"/>
          <w:szCs w:val="22"/>
          <w:lang w:val="es-ES"/>
        </w:rPr>
        <w:t>parte informativo</w:t>
      </w:r>
      <w:r w:rsidRPr="00F11975">
        <w:rPr>
          <w:rFonts w:ascii="Palatino Linotype" w:hAnsi="Palatino Linotype"/>
          <w:i/>
          <w:iCs/>
          <w:color w:val="000000" w:themeColor="text1"/>
          <w:sz w:val="22"/>
          <w:szCs w:val="22"/>
          <w:lang w:val="es-ES"/>
        </w:rPr>
        <w:t xml:space="preserve">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F11975">
        <w:rPr>
          <w:rFonts w:ascii="Palatino Linotype" w:hAnsi="Palatino Linotype"/>
          <w:i/>
          <w:iCs/>
          <w:color w:val="000000" w:themeColor="text1"/>
          <w:sz w:val="22"/>
          <w:szCs w:val="22"/>
          <w:vertAlign w:val="superscript"/>
          <w:lang w:val="es-ES"/>
        </w:rPr>
        <w:footnoteReference w:id="14"/>
      </w:r>
    </w:p>
    <w:p w14:paraId="69D00344" w14:textId="77777777" w:rsidR="002E4741" w:rsidRPr="00F11975" w:rsidRDefault="002E4741"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B54E2ED" w14:textId="093834F1" w:rsidR="00FA5426" w:rsidRPr="00F11975" w:rsidRDefault="002E474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lastRenderedPageBreak/>
        <w:t xml:space="preserve">Por cuanto hace al </w:t>
      </w:r>
      <w:r w:rsidRPr="00F11975">
        <w:rPr>
          <w:rFonts w:ascii="Palatino Linotype" w:eastAsia="Times New Roman" w:hAnsi="Palatino Linotype" w:cs="Arial"/>
          <w:lang w:val="es-ES"/>
        </w:rPr>
        <w:t>parte informativo, el Máximo Tribunal de nuestro país explica a detalle su objeto y trascendencia mediante la siguiente tesis jurisprudencial:</w:t>
      </w:r>
    </w:p>
    <w:p w14:paraId="21CAAEA5" w14:textId="5100F0BA"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C1FDE8C" w14:textId="5DB0EC52" w:rsidR="002E4741" w:rsidRPr="00F11975" w:rsidRDefault="002E4741" w:rsidP="002E474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11975">
        <w:rPr>
          <w:rFonts w:ascii="Palatino Linotype" w:hAnsi="Palatino Linotype"/>
          <w:b/>
          <w:i/>
          <w:iCs/>
          <w:color w:val="000000" w:themeColor="text1"/>
          <w:sz w:val="22"/>
          <w:szCs w:val="22"/>
        </w:rPr>
        <w:t>PARTE INFORMATIVO POLICIAL. DEBE SER OBJETO DE REVISIÓN BAJO EL ESCRUTINIO JUDICIAL ESTRICTO DE VALORACIÓN PROBATORIA, ATENDIENDO A LAS CONSECUENCIAS JURÍDICAS QUE DERIVAN DE SU CONTENIDO.</w:t>
      </w:r>
      <w:r w:rsidRPr="00F11975">
        <w:rPr>
          <w:rFonts w:ascii="Palatino Linotype" w:hAnsi="Palatino Linotype"/>
          <w:i/>
          <w:iCs/>
          <w:color w:val="000000" w:themeColor="text1"/>
          <w:sz w:val="22"/>
          <w:szCs w:val="22"/>
        </w:rPr>
        <w:t xml:space="preserve"> “Esta Primera Sala de la Suprema Corte de Justicia de la Nación ha interpretado el artículo 16 de la Constitución Federal, del cual derivan las condiciones constitucionalmente válidas para privar de la libertad a una persona -orden de aprehensión, flagrancia y caso urgente-; sin embargo, es importante precisar la trascendencia que tiene el parte informativo en cada uno de ellos. Así, en el supuesto relativo a la orden de aprehensión, la intervención de la policía tiene un carácter meramente ejecutivo, al derivar de un mandato judicial que le impone avocarse a la búsqueda, localización y detención de la persona requerida. En este caso, </w:t>
      </w:r>
      <w:r w:rsidRPr="00F11975">
        <w:rPr>
          <w:rFonts w:ascii="Palatino Linotype" w:hAnsi="Palatino Linotype"/>
          <w:b/>
          <w:i/>
          <w:iCs/>
          <w:color w:val="000000" w:themeColor="text1"/>
          <w:sz w:val="22"/>
          <w:szCs w:val="22"/>
        </w:rPr>
        <w:t xml:space="preserve">el informe de los agentes aprehensores tiene por objeto comunicar a la autoridad judicial el día y la hora en que se realizó la detención, así como el lugar en el que se encuentra recluido el detenido. </w:t>
      </w:r>
      <w:r w:rsidRPr="00F11975">
        <w:rPr>
          <w:rFonts w:ascii="Palatino Linotype" w:hAnsi="Palatino Linotype"/>
          <w:i/>
          <w:iCs/>
          <w:color w:val="000000" w:themeColor="text1"/>
          <w:sz w:val="22"/>
          <w:szCs w:val="22"/>
        </w:rPr>
        <w:t xml:space="preserve">La razón de ello, es que el informe no tiene relación con el delito por el que se ordenó la aprehensión del probable responsable. Por su parte, en el supuesto relativo a que cuando con motivo del cumplimiento de una orden de aprehensión expedida por la autoridad judicial competente, la policía detenga al detenido y, circunstancialmente, descubra que está en el supuesto de comisión de delito flagrante, así como si al detener a una persona por la comisión de un delito flagrante, cuando es presentada ante el Ministerio Público, se tiene conocimiento de que existe una orden de aprehensión en su contra, cuyo cumplimiento está pendiente, el informe de la policía debe comprender dos elementos independientes: </w:t>
      </w:r>
      <w:r w:rsidRPr="00F11975">
        <w:rPr>
          <w:rFonts w:ascii="Palatino Linotype" w:hAnsi="Palatino Linotype"/>
          <w:b/>
          <w:i/>
          <w:iCs/>
          <w:color w:val="000000" w:themeColor="text1"/>
          <w:sz w:val="22"/>
          <w:szCs w:val="22"/>
        </w:rPr>
        <w:t>1) la información relacionada con el cumplimiento de la orden de aprehensión; y, 2) la información relativa a los datos que sustentan la detención por un delito flagrante que no tiene relación con el que motivó la orden judicial de captura.</w:t>
      </w:r>
      <w:r w:rsidRPr="00F11975">
        <w:rPr>
          <w:rFonts w:ascii="Palatino Linotype" w:hAnsi="Palatino Linotype"/>
          <w:i/>
          <w:iCs/>
          <w:color w:val="000000" w:themeColor="text1"/>
          <w:sz w:val="22"/>
          <w:szCs w:val="22"/>
        </w:rPr>
        <w:t xml:space="preserve"> Ahora bien, en el supuesto de caso urgente, </w:t>
      </w:r>
      <w:r w:rsidRPr="00F11975">
        <w:rPr>
          <w:rFonts w:ascii="Palatino Linotype" w:hAnsi="Palatino Linotype"/>
          <w:b/>
          <w:i/>
          <w:iCs/>
          <w:color w:val="000000" w:themeColor="text1"/>
          <w:sz w:val="22"/>
          <w:szCs w:val="22"/>
        </w:rPr>
        <w:t>la detención está motivada por una orden de captura emitida por el Ministerio Público;</w:t>
      </w:r>
      <w:r w:rsidRPr="00F11975">
        <w:rPr>
          <w:rFonts w:ascii="Palatino Linotype" w:hAnsi="Palatino Linotype"/>
          <w:i/>
          <w:iCs/>
          <w:color w:val="000000" w:themeColor="text1"/>
          <w:sz w:val="22"/>
          <w:szCs w:val="22"/>
        </w:rPr>
        <w:t xml:space="preserve"> aquí, el informe de la policía tiene por objeto dar a conocer a la representación social que se ejecutó la detención y presentación del requerido conforme a los datos temporales que se precisen en ese documento; sin embargo, no se espera que </w:t>
      </w:r>
      <w:r w:rsidRPr="00F11975">
        <w:rPr>
          <w:rFonts w:ascii="Palatino Linotype" w:hAnsi="Palatino Linotype"/>
          <w:i/>
          <w:iCs/>
          <w:color w:val="000000" w:themeColor="text1"/>
          <w:sz w:val="22"/>
          <w:szCs w:val="22"/>
        </w:rPr>
        <w:lastRenderedPageBreak/>
        <w:t xml:space="preserve">el informe aporte datos trascendentales respecto del delito por el que se apertura la indagatoria. Pero si esto último aconteciera, será una circunstancia excepcional que determine la adhesión del informe de la policía al conjunto de pruebas que pueden ser incorporadas al juicio penal. También constituye un supuesto particular cuando en el cumplimiento de una orden de detención por caso urgente, la policía detuviera al requerido al momento de estar cometiendo un delito (en flagrancia); en este caso, el </w:t>
      </w:r>
      <w:r w:rsidRPr="00F11975">
        <w:rPr>
          <w:rFonts w:ascii="Palatino Linotype" w:hAnsi="Palatino Linotype"/>
          <w:b/>
          <w:i/>
          <w:iCs/>
          <w:color w:val="000000" w:themeColor="text1"/>
          <w:sz w:val="22"/>
          <w:szCs w:val="22"/>
        </w:rPr>
        <w:t>informe de la policía estará configurado por dos apartados: 1) el relativo al cumplimiento de la orden de detención por caso urgente; así como 2) la información relacionada con el descubrimiento de un delito flagrante diverso al que motivó la orden ministerial de captura.</w:t>
      </w:r>
      <w:r w:rsidRPr="00F11975">
        <w:rPr>
          <w:rFonts w:ascii="Palatino Linotype" w:hAnsi="Palatino Linotype"/>
          <w:i/>
          <w:iCs/>
          <w:color w:val="000000" w:themeColor="text1"/>
          <w:sz w:val="22"/>
          <w:szCs w:val="22"/>
        </w:rPr>
        <w:t xml:space="preserve"> Finalmente, cuando se trata de detención en flagrancia, el informe tiene una particular trascendencia porque es el documento sobre el que es posible constituir la base para la formulación de la imputación jurídico-penal. </w:t>
      </w:r>
      <w:r w:rsidRPr="00F11975">
        <w:rPr>
          <w:rFonts w:ascii="Palatino Linotype" w:hAnsi="Palatino Linotype"/>
          <w:b/>
          <w:i/>
          <w:iCs/>
          <w:color w:val="000000" w:themeColor="text1"/>
          <w:sz w:val="22"/>
          <w:szCs w:val="22"/>
        </w:rPr>
        <w:t>En el informe, los policías describen las circunstancias de tiempo, modo y lugar en que se efectúo la detención del probable responsable y la descripción, a detalle, de las circunstancias que motivaron la detención y de las evidencias que se encontraron,</w:t>
      </w:r>
      <w:r w:rsidRPr="00F11975">
        <w:rPr>
          <w:rFonts w:ascii="Palatino Linotype" w:hAnsi="Palatino Linotype"/>
          <w:i/>
          <w:iCs/>
          <w:color w:val="000000" w:themeColor="text1"/>
          <w:sz w:val="22"/>
          <w:szCs w:val="22"/>
        </w:rPr>
        <w:t xml:space="preserve"> erigiéndose como un elemento de particular importancia para el acusador, por lo que debe ser objeto de revisión bajo el escrutinio judicial estricto de valoración probatoria, sobre todo cuando tiene diversas consecuencias jurídicas que derivan de su contenido.”</w:t>
      </w:r>
      <w:r w:rsidRPr="00F11975">
        <w:rPr>
          <w:vertAlign w:val="superscript"/>
        </w:rPr>
        <w:footnoteReference w:id="15"/>
      </w:r>
    </w:p>
    <w:p w14:paraId="46AA5B2B" w14:textId="77777777" w:rsidR="002E4741" w:rsidRPr="00F11975" w:rsidRDefault="002E4741"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298166F" w14:textId="6285AA56" w:rsidR="00FA5426" w:rsidRPr="00F11975" w:rsidRDefault="008B1A5B"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En </w:t>
      </w:r>
      <w:r w:rsidRPr="00F11975">
        <w:rPr>
          <w:rFonts w:ascii="Palatino Linotype" w:eastAsia="MS Gothic" w:hAnsi="Palatino Linotype"/>
        </w:rPr>
        <w:t xml:space="preserve">ese mismo orden de ideas el Bando Municipal de Metepec, establece que </w:t>
      </w:r>
      <w:r w:rsidR="00D1497E" w:rsidRPr="00F11975">
        <w:rPr>
          <w:rFonts w:ascii="Palatino Linotype" w:eastAsia="MS Gothic" w:hAnsi="Palatino Linotype"/>
        </w:rPr>
        <w:t>las funciones públicas de tránsito y seguridad pública, serán ejercidas por el Ayuntamiento, a través de la Dirección General de Seguridad Ciudadana y Tránsito Municipal</w:t>
      </w:r>
      <w:r w:rsidR="00D1497E" w:rsidRPr="00F11975">
        <w:rPr>
          <w:rStyle w:val="Refdenotaalpie"/>
          <w:rFonts w:ascii="Palatino Linotype" w:eastAsia="MS Gothic" w:hAnsi="Palatino Linotype"/>
        </w:rPr>
        <w:footnoteReference w:id="16"/>
      </w:r>
      <w:r w:rsidR="00D1497E" w:rsidRPr="00F11975">
        <w:rPr>
          <w:rFonts w:ascii="Palatino Linotype" w:eastAsia="MS Gothic" w:hAnsi="Palatino Linotype"/>
        </w:rPr>
        <w:t>.</w:t>
      </w:r>
    </w:p>
    <w:p w14:paraId="3CE48BE5" w14:textId="77777777" w:rsidR="0016620D" w:rsidRPr="00F11975" w:rsidRDefault="0016620D" w:rsidP="0016620D">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DA1D958" w14:textId="46E6F44E" w:rsidR="0016620D" w:rsidRPr="00F11975" w:rsidRDefault="0016620D"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MS Gothic" w:hAnsi="Palatino Linotype"/>
        </w:rPr>
        <w:t xml:space="preserve">Asimismo, el Bando Municipal en estudio, en su artículo 87, establece que la seguridad pública, es una función orientada a generar y mantener las condiciones de paz y orden público, que permitan el ejercicio irrestricto de las libertades y </w:t>
      </w:r>
      <w:r w:rsidRPr="00F11975">
        <w:rPr>
          <w:rFonts w:ascii="Palatino Linotype" w:eastAsia="MS Gothic" w:hAnsi="Palatino Linotype"/>
        </w:rPr>
        <w:lastRenderedPageBreak/>
        <w:t>derechos ciudadanos, privilegiándose por los principios de legalidad, eficiencia, profesionalismo, honradez y el respeto a los derechos humanos. Por ende, tendrá como fines:</w:t>
      </w:r>
    </w:p>
    <w:p w14:paraId="3F895186" w14:textId="77777777" w:rsidR="0016620D" w:rsidRPr="00F11975" w:rsidRDefault="0016620D" w:rsidP="0016620D">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MS Gothic" w:hAnsi="Palatino Linotype"/>
        </w:rPr>
        <w:t xml:space="preserve">Salvaguardar la integridad, derechos y bienes de las personas; </w:t>
      </w:r>
    </w:p>
    <w:p w14:paraId="483B323A" w14:textId="77777777" w:rsidR="0016620D" w:rsidRPr="00F11975" w:rsidRDefault="0016620D" w:rsidP="0016620D">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MS Gothic" w:hAnsi="Palatino Linotype"/>
        </w:rPr>
        <w:t xml:space="preserve">Preservar la libertad, la paz y el orden público, con estricto apego a los derechos humanos; y </w:t>
      </w:r>
    </w:p>
    <w:p w14:paraId="253731A0" w14:textId="72356ECE" w:rsidR="0016620D" w:rsidRPr="00F11975" w:rsidRDefault="0016620D" w:rsidP="0016620D">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MS Gothic" w:hAnsi="Palatino Linotype"/>
        </w:rPr>
        <w:t>Prevenir la comisión de delitos e infracciones previstas en los ordenamientos jurídicos correspondientes, debiendo para ello apegarse a un marco de legalidad.</w:t>
      </w:r>
    </w:p>
    <w:p w14:paraId="65234A2A"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C8467E5" w14:textId="18B2289A" w:rsidR="00FA5426" w:rsidRPr="00F11975" w:rsidRDefault="00217466"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lang w:val="es-MX"/>
        </w:rPr>
        <w:t>Ahora bien, uno de los instrumentos esenciales con los que contarán los elementos policiales encargados de velar por la seguridad pública, es el</w:t>
      </w:r>
      <w:r w:rsidR="005F474D" w:rsidRPr="00F11975">
        <w:rPr>
          <w:rFonts w:ascii="Palatino Linotype" w:eastAsia="Palatino Linotype" w:hAnsi="Palatino Linotype" w:cs="Palatino Linotype"/>
          <w:color w:val="000000"/>
        </w:rPr>
        <w:t xml:space="preserve"> Informe Policial Homologado,</w:t>
      </w:r>
      <w:r w:rsidRPr="00F11975">
        <w:rPr>
          <w:rFonts w:ascii="Palatino Linotype" w:eastAsia="Palatino Linotype" w:hAnsi="Palatino Linotype" w:cs="Palatino Linotype"/>
          <w:color w:val="000000"/>
        </w:rPr>
        <w:t xml:space="preserve"> respecto del cual,</w:t>
      </w:r>
      <w:r w:rsidR="005F474D" w:rsidRPr="00F11975">
        <w:rPr>
          <w:rFonts w:ascii="Palatino Linotype" w:eastAsia="Palatino Linotype" w:hAnsi="Palatino Linotype" w:cs="Palatino Linotype"/>
          <w:color w:val="000000"/>
        </w:rPr>
        <w:t xml:space="preserve"> el Glosario Ciudadano del Instituto Mexicano para la Competitividad, lo define como el </w:t>
      </w:r>
      <w:r w:rsidR="005F474D" w:rsidRPr="00F11975">
        <w:rPr>
          <w:rFonts w:ascii="Palatino Linotype" w:eastAsia="Palatino Linotype" w:hAnsi="Palatino Linotype" w:cs="Palatino Linotype"/>
          <w:b/>
          <w:bCs/>
          <w:color w:val="000000"/>
        </w:rPr>
        <w:t>documento</w:t>
      </w:r>
      <w:r w:rsidR="005F474D" w:rsidRPr="00F11975">
        <w:rPr>
          <w:rFonts w:ascii="Palatino Linotype" w:eastAsia="Palatino Linotype" w:hAnsi="Palatino Linotype" w:cs="Palatino Linotype"/>
          <w:color w:val="000000"/>
        </w:rPr>
        <w:t xml:space="preserve"> que las y los policías efectúan y entregan al Ministerio Público </w:t>
      </w:r>
      <w:r w:rsidR="005F474D" w:rsidRPr="00F11975">
        <w:rPr>
          <w:rFonts w:ascii="Palatino Linotype" w:eastAsia="Palatino Linotype" w:hAnsi="Palatino Linotype" w:cs="Palatino Linotype"/>
          <w:b/>
          <w:bCs/>
          <w:color w:val="000000"/>
        </w:rPr>
        <w:t>sobre la descripción y las circunstancias de los hechos, testigos y las medidas necesarias que se tomaron para asegurar y preservar el lugar del crimen, así como actos de investigación y el inventario de los objetos asegurados</w:t>
      </w:r>
      <w:r w:rsidR="005F474D" w:rsidRPr="00F11975">
        <w:rPr>
          <w:rStyle w:val="Refdenotaalpie"/>
          <w:rFonts w:ascii="Palatino Linotype" w:eastAsia="Palatino Linotype" w:hAnsi="Palatino Linotype" w:cs="Palatino Linotype"/>
          <w:color w:val="000000"/>
        </w:rPr>
        <w:footnoteReference w:id="17"/>
      </w:r>
      <w:r w:rsidR="005F474D" w:rsidRPr="00F11975">
        <w:rPr>
          <w:rFonts w:ascii="Palatino Linotype" w:eastAsia="Palatino Linotype" w:hAnsi="Palatino Linotype" w:cs="Palatino Linotype"/>
          <w:color w:val="000000"/>
        </w:rPr>
        <w:t>.</w:t>
      </w:r>
    </w:p>
    <w:p w14:paraId="668E710A"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F6140CB" w14:textId="4F8BA8F6" w:rsidR="00FA5426" w:rsidRPr="00F11975" w:rsidRDefault="001101D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El Informe Policial Homologado se conformará por siete secciones y ocho anexos, los cuales serán o no llenados dependiendo de las actividades realizadas </w:t>
      </w:r>
      <w:r w:rsidRPr="00F11975">
        <w:rPr>
          <w:rFonts w:ascii="Palatino Linotype" w:eastAsia="Palatino Linotype" w:hAnsi="Palatino Linotype" w:cs="Palatino Linotype"/>
          <w:color w:val="000000"/>
        </w:rPr>
        <w:lastRenderedPageBreak/>
        <w:t>por los elementos policiales. En lo que corresponde a las secciones, estas consistirán en:</w:t>
      </w:r>
    </w:p>
    <w:p w14:paraId="3BDDB4A4" w14:textId="61F9A949" w:rsidR="001101D1" w:rsidRPr="00F11975" w:rsidRDefault="001101D1" w:rsidP="001101D1">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lang w:val="es-MX"/>
        </w:rPr>
        <w:t>Datos de identificación del primer respondiente.</w:t>
      </w:r>
    </w:p>
    <w:p w14:paraId="41E03CFF" w14:textId="548610F9" w:rsidR="001101D1" w:rsidRPr="00F11975" w:rsidRDefault="001101D1" w:rsidP="001101D1">
      <w:pPr>
        <w:pStyle w:val="Prrafodelista"/>
        <w:numPr>
          <w:ilvl w:val="1"/>
          <w:numId w:val="11"/>
        </w:numPr>
        <w:tabs>
          <w:tab w:val="left" w:pos="426"/>
        </w:tabs>
        <w:spacing w:before="240" w:after="240" w:line="360" w:lineRule="auto"/>
        <w:ind w:left="1134" w:right="51"/>
        <w:jc w:val="both"/>
        <w:rPr>
          <w:rFonts w:ascii="Palatino Linotype" w:hAnsi="Palatino Linotype"/>
          <w:b/>
          <w:bCs/>
          <w:color w:val="000000" w:themeColor="text1"/>
          <w:lang w:val="es-MX"/>
        </w:rPr>
      </w:pPr>
      <w:r w:rsidRPr="00F11975">
        <w:rPr>
          <w:rFonts w:ascii="Palatino Linotype" w:eastAsia="Palatino Linotype" w:hAnsi="Palatino Linotype" w:cs="Palatino Linotype"/>
          <w:b/>
          <w:bCs/>
          <w:color w:val="000000"/>
          <w:lang w:val="es-MX"/>
        </w:rPr>
        <w:t>Conocimiento del hecho por el primer respondiente y cronología de los hechos.</w:t>
      </w:r>
    </w:p>
    <w:p w14:paraId="36461559" w14:textId="7A76B320" w:rsidR="001101D1" w:rsidRPr="00F11975" w:rsidRDefault="00D07DC4" w:rsidP="001101D1">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lang w:val="es-MX"/>
        </w:rPr>
        <w:t>Narrativa de los hechos.</w:t>
      </w:r>
    </w:p>
    <w:p w14:paraId="36C2CC4F" w14:textId="17C1E172" w:rsidR="00D07DC4" w:rsidRPr="00F11975" w:rsidRDefault="00D07DC4" w:rsidP="001101D1">
      <w:pPr>
        <w:pStyle w:val="Prrafodelista"/>
        <w:numPr>
          <w:ilvl w:val="1"/>
          <w:numId w:val="11"/>
        </w:numPr>
        <w:tabs>
          <w:tab w:val="left" w:pos="426"/>
        </w:tabs>
        <w:spacing w:before="240" w:after="240" w:line="360" w:lineRule="auto"/>
        <w:ind w:left="1134" w:right="51"/>
        <w:jc w:val="both"/>
        <w:rPr>
          <w:rFonts w:ascii="Palatino Linotype" w:hAnsi="Palatino Linotype"/>
          <w:b/>
          <w:bCs/>
          <w:color w:val="000000" w:themeColor="text1"/>
          <w:lang w:val="es-MX"/>
        </w:rPr>
      </w:pPr>
      <w:r w:rsidRPr="00F11975">
        <w:rPr>
          <w:rFonts w:ascii="Palatino Linotype" w:eastAsia="Palatino Linotype" w:hAnsi="Palatino Linotype" w:cs="Palatino Linotype"/>
          <w:b/>
          <w:bCs/>
          <w:color w:val="000000"/>
          <w:lang w:val="es-MX"/>
        </w:rPr>
        <w:t>Acciones realizadas durante la intervención.</w:t>
      </w:r>
    </w:p>
    <w:p w14:paraId="03F28EF6" w14:textId="17F5E419" w:rsidR="00D07DC4" w:rsidRPr="00F11975" w:rsidRDefault="00D07DC4" w:rsidP="001101D1">
      <w:pPr>
        <w:pStyle w:val="Prrafodelista"/>
        <w:numPr>
          <w:ilvl w:val="1"/>
          <w:numId w:val="11"/>
        </w:numPr>
        <w:tabs>
          <w:tab w:val="left" w:pos="426"/>
        </w:tabs>
        <w:spacing w:before="240" w:after="240" w:line="360" w:lineRule="auto"/>
        <w:ind w:left="1134" w:right="51"/>
        <w:jc w:val="both"/>
        <w:rPr>
          <w:rFonts w:ascii="Palatino Linotype" w:hAnsi="Palatino Linotype"/>
          <w:b/>
          <w:bCs/>
          <w:color w:val="000000" w:themeColor="text1"/>
          <w:lang w:val="es-MX"/>
        </w:rPr>
      </w:pPr>
      <w:r w:rsidRPr="00F11975">
        <w:rPr>
          <w:rFonts w:ascii="Palatino Linotype" w:eastAsia="Palatino Linotype" w:hAnsi="Palatino Linotype" w:cs="Palatino Linotype"/>
          <w:b/>
          <w:bCs/>
          <w:color w:val="000000"/>
          <w:lang w:val="es-MX"/>
        </w:rPr>
        <w:t>Lugar de la intervención.</w:t>
      </w:r>
    </w:p>
    <w:p w14:paraId="4F3C57CA" w14:textId="6ACFBB20" w:rsidR="00D07DC4" w:rsidRPr="00F11975" w:rsidRDefault="00D07DC4" w:rsidP="001101D1">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lang w:val="es-MX"/>
        </w:rPr>
        <w:t>Informe del uso de la fuerza.</w:t>
      </w:r>
    </w:p>
    <w:p w14:paraId="66B41DE1" w14:textId="2D45CC35" w:rsidR="00D07DC4" w:rsidRPr="00F11975" w:rsidRDefault="00D07DC4" w:rsidP="00D07DC4">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lang w:val="es-MX"/>
        </w:rPr>
        <w:t>Puesta a disposición ante el Ministerio Público.</w:t>
      </w:r>
    </w:p>
    <w:p w14:paraId="7F29A935" w14:textId="77777777" w:rsidR="001101D1" w:rsidRPr="00F11975" w:rsidRDefault="001101D1"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F0EF0BF" w14:textId="0BA1FF88" w:rsidR="00FA5426" w:rsidRPr="00F11975" w:rsidRDefault="00D07DC4"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Por cuanto hace a los anexos, éstos consistirán en:</w:t>
      </w:r>
    </w:p>
    <w:p w14:paraId="60D4B688" w14:textId="1804EEE0"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Continuación de la narrativa de los hechos.</w:t>
      </w:r>
    </w:p>
    <w:p w14:paraId="104CD06F" w14:textId="0655BB44"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Detención(es).</w:t>
      </w:r>
    </w:p>
    <w:p w14:paraId="21FDC46C" w14:textId="5DDEB1AF"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Inspección de persona no detenida y/o de vehículo.</w:t>
      </w:r>
    </w:p>
    <w:p w14:paraId="435378EA" w14:textId="1493760B"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Constancia de lectura de derechos de la víctima u ofendido.</w:t>
      </w:r>
    </w:p>
    <w:p w14:paraId="78244A5A" w14:textId="0BC1274C"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Entrevistas.</w:t>
      </w:r>
    </w:p>
    <w:p w14:paraId="0C0D5891" w14:textId="1CE39123"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Traslado.</w:t>
      </w:r>
    </w:p>
    <w:p w14:paraId="69721530" w14:textId="6DE6F93E"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hAnsi="Palatino Linotype"/>
          <w:color w:val="000000" w:themeColor="text1"/>
          <w:lang w:val="es-MX"/>
        </w:rPr>
        <w:t>Inventario de objetos.</w:t>
      </w:r>
    </w:p>
    <w:p w14:paraId="50F4A460" w14:textId="19008FF8" w:rsidR="00D07DC4" w:rsidRPr="00F11975" w:rsidRDefault="00D07DC4" w:rsidP="00D07DC4">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hAnsi="Palatino Linotype"/>
          <w:color w:val="000000" w:themeColor="text1"/>
          <w:lang w:val="es-MX"/>
        </w:rPr>
        <w:t>Registro de primeros respondientes que arribaron al lugar de la intervención.</w:t>
      </w:r>
    </w:p>
    <w:p w14:paraId="441AF8D0" w14:textId="77777777" w:rsidR="00FA5426" w:rsidRPr="00F11975" w:rsidRDefault="00FA5426" w:rsidP="00FA542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A4ACD0D" w14:textId="475DA2E3" w:rsidR="00FA5426" w:rsidRPr="00F11975" w:rsidRDefault="00D07DC4"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Derivado de lo anterior, </w:t>
      </w:r>
      <w:r w:rsidR="00F619CE" w:rsidRPr="00F11975">
        <w:rPr>
          <w:rFonts w:ascii="Palatino Linotype" w:eastAsia="Palatino Linotype" w:hAnsi="Palatino Linotype" w:cs="Palatino Linotype"/>
          <w:color w:val="000000"/>
        </w:rPr>
        <w:t xml:space="preserve">tal y como fuera referido por el </w:t>
      </w:r>
      <w:r w:rsidR="00F619CE" w:rsidRPr="00F11975">
        <w:rPr>
          <w:rFonts w:ascii="Palatino Linotype" w:eastAsia="Palatino Linotype" w:hAnsi="Palatino Linotype" w:cs="Palatino Linotype"/>
          <w:b/>
          <w:bCs/>
          <w:color w:val="000000"/>
        </w:rPr>
        <w:t>RECURRENTE</w:t>
      </w:r>
      <w:r w:rsidR="00F619CE" w:rsidRPr="00F11975">
        <w:rPr>
          <w:rFonts w:ascii="Palatino Linotype" w:eastAsia="Palatino Linotype" w:hAnsi="Palatino Linotype" w:cs="Palatino Linotype"/>
          <w:color w:val="000000"/>
        </w:rPr>
        <w:t xml:space="preserve">, </w:t>
      </w:r>
      <w:r w:rsidRPr="00F11975">
        <w:rPr>
          <w:rFonts w:ascii="Palatino Linotype" w:eastAsia="Palatino Linotype" w:hAnsi="Palatino Linotype" w:cs="Palatino Linotype"/>
          <w:color w:val="000000"/>
        </w:rPr>
        <w:t xml:space="preserve">este Organismo Garante encuentra al </w:t>
      </w:r>
      <w:r w:rsidRPr="00F11975">
        <w:rPr>
          <w:rFonts w:ascii="Palatino Linotype" w:eastAsia="Palatino Linotype" w:hAnsi="Palatino Linotype" w:cs="Palatino Linotype"/>
          <w:b/>
          <w:bCs/>
          <w:color w:val="000000"/>
        </w:rPr>
        <w:t>Informe Policial Homologado</w:t>
      </w:r>
      <w:r w:rsidRPr="00F11975">
        <w:rPr>
          <w:rFonts w:ascii="Palatino Linotype" w:eastAsia="Palatino Linotype" w:hAnsi="Palatino Linotype" w:cs="Palatino Linotype"/>
          <w:color w:val="000000"/>
        </w:rPr>
        <w:t xml:space="preserve"> como, de manera </w:t>
      </w:r>
      <w:r w:rsidRPr="00F11975">
        <w:rPr>
          <w:rFonts w:ascii="Palatino Linotype" w:eastAsia="Palatino Linotype" w:hAnsi="Palatino Linotype" w:cs="Palatino Linotype"/>
          <w:color w:val="000000"/>
        </w:rPr>
        <w:lastRenderedPageBreak/>
        <w:t xml:space="preserve">enunciativa mas no limitativa, el documento idóneo que puede contener toda la información relativa </w:t>
      </w:r>
      <w:r w:rsidR="00F619CE" w:rsidRPr="00F11975">
        <w:rPr>
          <w:rFonts w:ascii="Palatino Linotype" w:eastAsia="Palatino Linotype" w:hAnsi="Palatino Linotype" w:cs="Palatino Linotype"/>
          <w:color w:val="000000"/>
        </w:rPr>
        <w:t>a la incidencia delictiva</w:t>
      </w:r>
      <w:r w:rsidRPr="00F11975">
        <w:rPr>
          <w:rFonts w:ascii="Palatino Linotype" w:eastAsia="Palatino Linotype" w:hAnsi="Palatino Linotype" w:cs="Palatino Linotype"/>
          <w:color w:val="000000"/>
        </w:rPr>
        <w:t xml:space="preserve"> </w:t>
      </w:r>
      <w:r w:rsidR="00F619CE" w:rsidRPr="00F11975">
        <w:rPr>
          <w:rFonts w:ascii="Palatino Linotype" w:eastAsia="Palatino Linotype" w:hAnsi="Palatino Linotype" w:cs="Palatino Linotype"/>
          <w:color w:val="000000"/>
        </w:rPr>
        <w:t>requerida</w:t>
      </w:r>
      <w:r w:rsidRPr="00F11975">
        <w:rPr>
          <w:rFonts w:ascii="Palatino Linotype" w:eastAsia="Palatino Linotype" w:hAnsi="Palatino Linotype" w:cs="Palatino Linotype"/>
          <w:color w:val="000000"/>
        </w:rPr>
        <w:t xml:space="preserve"> en la solicitud de información </w:t>
      </w:r>
      <w:r w:rsidR="00C26989" w:rsidRPr="00F11975">
        <w:rPr>
          <w:rFonts w:ascii="Palatino Linotype" w:eastAsia="Palatino Linotype" w:hAnsi="Palatino Linotype" w:cs="Palatino Linotype"/>
          <w:b/>
          <w:bCs/>
          <w:color w:val="000000"/>
        </w:rPr>
        <w:t>00957/NAUCALPA/IP/2021</w:t>
      </w:r>
      <w:r w:rsidR="00664637" w:rsidRPr="00F11975">
        <w:rPr>
          <w:rFonts w:ascii="Palatino Linotype" w:eastAsia="Palatino Linotype" w:hAnsi="Palatino Linotype" w:cs="Palatino Linotype"/>
          <w:color w:val="000000"/>
        </w:rPr>
        <w:t>.</w:t>
      </w:r>
    </w:p>
    <w:p w14:paraId="4AD80FD0"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0F8C9FE" w14:textId="399BD6E5" w:rsidR="00250892" w:rsidRPr="00F11975" w:rsidRDefault="00F619CE"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No obstante lo anterior, debemos reiterar que el Informe Policial Homologado es el medio a través del cual los integrantes de las instituciones policiales documentan la información relacionada con las puestas a disposición de personas y/o de objetos derivados de su intervención, a las autoridades competentes</w:t>
      </w:r>
      <w:r w:rsidRPr="00F11975">
        <w:rPr>
          <w:rStyle w:val="Refdenotaalpie"/>
          <w:rFonts w:ascii="Palatino Linotype" w:eastAsia="Palatino Linotype" w:hAnsi="Palatino Linotype" w:cs="Palatino Linotype"/>
          <w:color w:val="000000"/>
        </w:rPr>
        <w:footnoteReference w:id="18"/>
      </w:r>
      <w:r w:rsidRPr="00F11975">
        <w:rPr>
          <w:rFonts w:ascii="Palatino Linotype" w:eastAsia="Palatino Linotype" w:hAnsi="Palatino Linotype" w:cs="Palatino Linotype"/>
          <w:color w:val="000000"/>
        </w:rPr>
        <w:t xml:space="preserve">; lo que significa que cada una de las puestas a disposición o reportes de intervención realizados por los elementos policiales del Municipio de Naucalpan, </w:t>
      </w:r>
      <w:r w:rsidRPr="00F11975">
        <w:rPr>
          <w:rFonts w:ascii="Palatino Linotype" w:eastAsia="Palatino Linotype" w:hAnsi="Palatino Linotype" w:cs="Palatino Linotype"/>
          <w:i/>
          <w:iCs/>
          <w:color w:val="000000"/>
        </w:rPr>
        <w:t>a fortiori</w:t>
      </w:r>
      <w:r w:rsidRPr="00F11975">
        <w:rPr>
          <w:rFonts w:ascii="Palatino Linotype" w:eastAsia="Palatino Linotype" w:hAnsi="Palatino Linotype" w:cs="Palatino Linotype"/>
          <w:color w:val="000000"/>
        </w:rPr>
        <w:t xml:space="preserve"> deben de haber culminado en uno de estos Informes.</w:t>
      </w:r>
    </w:p>
    <w:p w14:paraId="7DCAB3D7"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A465B36" w14:textId="43DB7482" w:rsidR="00250892" w:rsidRPr="00F11975" w:rsidRDefault="00F619CE"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Luego entonces, el pensar siquiera en entender a los Informes Policiales Homologados como los documentos solicitados por el particular resultaría en una carga desproporcionada para el </w:t>
      </w:r>
      <w:r w:rsidRPr="00F11975">
        <w:rPr>
          <w:rFonts w:ascii="Palatino Linotype" w:eastAsia="Palatino Linotype" w:hAnsi="Palatino Linotype" w:cs="Palatino Linotype"/>
          <w:b/>
          <w:bCs/>
          <w:color w:val="000000"/>
        </w:rPr>
        <w:t>SUJETO OBLIGADO</w:t>
      </w:r>
      <w:r w:rsidRPr="00F11975">
        <w:rPr>
          <w:rFonts w:ascii="Palatino Linotype" w:eastAsia="Palatino Linotype" w:hAnsi="Palatino Linotype" w:cs="Palatino Linotype"/>
          <w:color w:val="000000"/>
        </w:rPr>
        <w:t xml:space="preserve"> para colmar el derecho de acceso a la información ejercido a través de la solicitud </w:t>
      </w:r>
      <w:r w:rsidRPr="00F11975">
        <w:rPr>
          <w:rFonts w:ascii="Palatino Linotype" w:eastAsia="Palatino Linotype" w:hAnsi="Palatino Linotype" w:cs="Palatino Linotype"/>
          <w:b/>
          <w:bCs/>
          <w:color w:val="000000"/>
        </w:rPr>
        <w:t>00957/NAUCALPA/IP/2021.</w:t>
      </w:r>
    </w:p>
    <w:p w14:paraId="286E4816"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22F314B" w14:textId="2580FDD9" w:rsidR="00250892" w:rsidRPr="00F11975" w:rsidRDefault="00653267"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Por ello, conviene señalar que los Lineamientos para el Llenado, Entrega, Recepción, Registro, Resguardo y Consulta del Informe Policial Homologado, publicados por el Secretariado Ejecutivo del Sistema Nacional de Seguridad Pública, son de observancia obligatoria y aplicación general para la Secretaría de Seguridad y Protección Ciudadana, el Secretariado Ejecutivo del Sistema Nacional de Seguridad Pública, </w:t>
      </w:r>
      <w:r w:rsidRPr="00F11975">
        <w:rPr>
          <w:rFonts w:ascii="Palatino Linotype" w:eastAsia="Palatino Linotype" w:hAnsi="Palatino Linotype" w:cs="Palatino Linotype"/>
          <w:b/>
          <w:bCs/>
          <w:color w:val="000000"/>
        </w:rPr>
        <w:t xml:space="preserve">las instituciones de seguridad pública de los tres órdenes </w:t>
      </w:r>
      <w:r w:rsidRPr="00F11975">
        <w:rPr>
          <w:rFonts w:ascii="Palatino Linotype" w:eastAsia="Palatino Linotype" w:hAnsi="Palatino Linotype" w:cs="Palatino Linotype"/>
          <w:b/>
          <w:bCs/>
          <w:color w:val="000000"/>
        </w:rPr>
        <w:lastRenderedPageBreak/>
        <w:t>de gobierno y las autoridades competentes para conocer y sancionar las infracciones administrativas</w:t>
      </w:r>
      <w:r w:rsidRPr="00F11975">
        <w:rPr>
          <w:rStyle w:val="Refdenotaalpie"/>
          <w:rFonts w:ascii="Palatino Linotype" w:eastAsia="Palatino Linotype" w:hAnsi="Palatino Linotype" w:cs="Palatino Linotype"/>
          <w:b/>
          <w:bCs/>
          <w:color w:val="000000"/>
        </w:rPr>
        <w:footnoteReference w:id="19"/>
      </w:r>
      <w:r w:rsidRPr="00F11975">
        <w:rPr>
          <w:rFonts w:ascii="Palatino Linotype" w:eastAsia="Palatino Linotype" w:hAnsi="Palatino Linotype" w:cs="Palatino Linotype"/>
          <w:color w:val="000000"/>
        </w:rPr>
        <w:t xml:space="preserve">. </w:t>
      </w:r>
    </w:p>
    <w:p w14:paraId="33B1BF4F"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3F78C73" w14:textId="752DC84E" w:rsidR="00250892" w:rsidRPr="00F11975" w:rsidRDefault="00653267"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De forma más específica, el Lineamiento Primero de los Lineamientos antes señalados, en su párrafo quinto, enlista a los sujetos obligados de la propia norma, a saber:</w:t>
      </w:r>
    </w:p>
    <w:p w14:paraId="093F0F1A"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Secretaría de Seguridad y Protección Ciudadana; </w:t>
      </w:r>
    </w:p>
    <w:p w14:paraId="09933CD6"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Secretariado Ejecutivo del Sistema Nacional de Seguridad Pública; </w:t>
      </w:r>
    </w:p>
    <w:p w14:paraId="207F55EB"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Guardia Nacional; </w:t>
      </w:r>
    </w:p>
    <w:p w14:paraId="722582C0"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Secretarías de Seguridad Pública, Secretarías de Seguridad Ciudadana o sus equivalentes en cada entidad federativa; </w:t>
      </w:r>
    </w:p>
    <w:p w14:paraId="53E105BB"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b/>
          <w:bCs/>
          <w:color w:val="000000" w:themeColor="text1"/>
          <w:lang w:val="es-MX"/>
        </w:rPr>
      </w:pPr>
      <w:r w:rsidRPr="00F11975">
        <w:rPr>
          <w:rFonts w:ascii="Palatino Linotype" w:eastAsia="Palatino Linotype" w:hAnsi="Palatino Linotype" w:cs="Palatino Linotype"/>
          <w:b/>
          <w:bCs/>
          <w:color w:val="000000"/>
        </w:rPr>
        <w:t xml:space="preserve">Secretarías de Seguridad Pública Municipal, Direcciones de Seguridad Pública Municipal o sus equivalentes en los municipios de cada entidad federativa; </w:t>
      </w:r>
    </w:p>
    <w:p w14:paraId="0DDA27ED"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Fiscalía General de la República; </w:t>
      </w:r>
    </w:p>
    <w:p w14:paraId="39509D81"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Procuradurías o Fiscalías Generales de Justicia de las entidades federativas; </w:t>
      </w:r>
    </w:p>
    <w:p w14:paraId="4A3D39AD"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Órgano Administrativo Desconcentrado Prevención y Readaptación Social; </w:t>
      </w:r>
    </w:p>
    <w:p w14:paraId="077F7131"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Direcciones Generales del Sistema Penitenciario o sus equivalentes en cada entidad federativa; </w:t>
      </w:r>
    </w:p>
    <w:p w14:paraId="7E57BDE0" w14:textId="77777777"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b/>
          <w:bCs/>
          <w:color w:val="000000" w:themeColor="text1"/>
          <w:lang w:val="es-MX"/>
        </w:rPr>
      </w:pPr>
      <w:r w:rsidRPr="00F11975">
        <w:rPr>
          <w:rFonts w:ascii="Palatino Linotype" w:eastAsia="Palatino Linotype" w:hAnsi="Palatino Linotype" w:cs="Palatino Linotype"/>
          <w:b/>
          <w:bCs/>
          <w:color w:val="000000"/>
        </w:rPr>
        <w:t xml:space="preserve">Jueces Municipales, Cívicos, Calificadores, Conciliadores o cualquier otra autoridad que, en funciones de seguridad pública, tengan </w:t>
      </w:r>
      <w:r w:rsidRPr="00F11975">
        <w:rPr>
          <w:rFonts w:ascii="Palatino Linotype" w:eastAsia="Palatino Linotype" w:hAnsi="Palatino Linotype" w:cs="Palatino Linotype"/>
          <w:b/>
          <w:bCs/>
          <w:color w:val="000000"/>
        </w:rPr>
        <w:lastRenderedPageBreak/>
        <w:t xml:space="preserve">conocimiento de hechos que puedan ser constitutivos de infracciones administrativas; y </w:t>
      </w:r>
    </w:p>
    <w:p w14:paraId="786A4C79" w14:textId="655853DD" w:rsidR="00653267" w:rsidRPr="00F11975" w:rsidRDefault="00653267" w:rsidP="00653267">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En general, todas las dependencias encargadas de la seguridad pública en los tres niveles de gobierno, que realicen funciones similares, de auxilio o colaboración.</w:t>
      </w:r>
    </w:p>
    <w:p w14:paraId="6A843813"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C9EC9F1" w14:textId="51EE5276" w:rsidR="00250892" w:rsidRPr="00F11975" w:rsidRDefault="00653267"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Dicho lo anterior, conviene señalar que los </w:t>
      </w:r>
      <w:r w:rsidR="00371A50" w:rsidRPr="00F11975">
        <w:rPr>
          <w:rFonts w:ascii="Palatino Linotype" w:eastAsia="Palatino Linotype" w:hAnsi="Palatino Linotype" w:cs="Palatino Linotype"/>
          <w:color w:val="000000"/>
        </w:rPr>
        <w:t>integrantes de las instituciones policiales de los tres órdenes de gobierno que realicen el llenado del Informe Policial Homologado, deberán entregarlo junto con las personas detenidas y/o arrestadas y/o los objetos asegurados a la autoridad competente, según se trate de un hecho probablemente delictivo o una infracción administrativa</w:t>
      </w:r>
      <w:r w:rsidR="00371A50" w:rsidRPr="00F11975">
        <w:rPr>
          <w:rStyle w:val="Refdenotaalpie"/>
          <w:rFonts w:ascii="Palatino Linotype" w:eastAsia="Palatino Linotype" w:hAnsi="Palatino Linotype" w:cs="Palatino Linotype"/>
          <w:color w:val="000000"/>
        </w:rPr>
        <w:footnoteReference w:id="20"/>
      </w:r>
      <w:r w:rsidR="00371A50" w:rsidRPr="00F11975">
        <w:rPr>
          <w:rFonts w:ascii="Palatino Linotype" w:eastAsia="Palatino Linotype" w:hAnsi="Palatino Linotype" w:cs="Palatino Linotype"/>
          <w:color w:val="000000"/>
        </w:rPr>
        <w:t>.</w:t>
      </w:r>
    </w:p>
    <w:p w14:paraId="50B5100A"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E154734" w14:textId="3AC404B5" w:rsidR="00250892" w:rsidRPr="00F11975" w:rsidRDefault="00371A50"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Una vez entregado el Informe Policial Homologado, la autoridad competente deberá registrar la información en la Base de Datos del IPH, el cual se llevará a cabo conforme a lo siguiente</w:t>
      </w:r>
      <w:r w:rsidRPr="00F11975">
        <w:rPr>
          <w:rStyle w:val="Refdenotaalpie"/>
          <w:rFonts w:ascii="Palatino Linotype" w:eastAsia="Palatino Linotype" w:hAnsi="Palatino Linotype" w:cs="Palatino Linotype"/>
          <w:color w:val="000000"/>
        </w:rPr>
        <w:footnoteReference w:id="21"/>
      </w:r>
      <w:r w:rsidRPr="00F11975">
        <w:rPr>
          <w:rFonts w:ascii="Palatino Linotype" w:eastAsia="Palatino Linotype" w:hAnsi="Palatino Linotype" w:cs="Palatino Linotype"/>
          <w:color w:val="000000"/>
        </w:rPr>
        <w:t>:</w:t>
      </w:r>
    </w:p>
    <w:p w14:paraId="53A221EF" w14:textId="77777777" w:rsidR="00371A50" w:rsidRPr="00F11975" w:rsidRDefault="00371A50" w:rsidP="00371A50">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b/>
          <w:bCs/>
          <w:color w:val="000000"/>
        </w:rPr>
        <w:t>La captura y registro de la información suministrada a la base de datos son obligatorios y estarán a cargo de las instituciones policiales de los tres órdenes de gobierno</w:t>
      </w:r>
      <w:r w:rsidRPr="00F11975">
        <w:rPr>
          <w:rFonts w:ascii="Palatino Linotype" w:eastAsia="Palatino Linotype" w:hAnsi="Palatino Linotype" w:cs="Palatino Linotype"/>
          <w:color w:val="000000"/>
        </w:rPr>
        <w:t xml:space="preserve">; </w:t>
      </w:r>
    </w:p>
    <w:p w14:paraId="7B6425A6" w14:textId="77777777" w:rsidR="00371A50" w:rsidRPr="00F11975" w:rsidRDefault="00371A50" w:rsidP="00371A50">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b/>
          <w:bCs/>
          <w:color w:val="000000"/>
        </w:rPr>
        <w:t>El suministro de la información se realizará con apego a los datos contenidos en el IPH</w:t>
      </w:r>
      <w:r w:rsidRPr="00F11975">
        <w:rPr>
          <w:rFonts w:ascii="Palatino Linotype" w:eastAsia="Palatino Linotype" w:hAnsi="Palatino Linotype" w:cs="Palatino Linotype"/>
          <w:color w:val="000000"/>
        </w:rPr>
        <w:t xml:space="preserve">; </w:t>
      </w:r>
    </w:p>
    <w:p w14:paraId="5882D0B9" w14:textId="77777777" w:rsidR="00371A50" w:rsidRPr="00F11975" w:rsidRDefault="00371A50" w:rsidP="00371A50">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b/>
          <w:bCs/>
          <w:color w:val="000000"/>
        </w:rPr>
        <w:t>El registro de los datos contenidos en el IPH y su digitalización se harán de manera inmediata</w:t>
      </w:r>
      <w:r w:rsidRPr="00F11975">
        <w:rPr>
          <w:rFonts w:ascii="Palatino Linotype" w:eastAsia="Palatino Linotype" w:hAnsi="Palatino Linotype" w:cs="Palatino Linotype"/>
          <w:color w:val="000000"/>
        </w:rPr>
        <w:t xml:space="preserve">, sin que exceda de un término máximo de </w:t>
      </w:r>
      <w:r w:rsidRPr="00F11975">
        <w:rPr>
          <w:rFonts w:ascii="Palatino Linotype" w:eastAsia="Palatino Linotype" w:hAnsi="Palatino Linotype" w:cs="Palatino Linotype"/>
          <w:color w:val="000000"/>
        </w:rPr>
        <w:lastRenderedPageBreak/>
        <w:t xml:space="preserve">veinticuatro horas contadas a partir de la hora de recepción por parte de la autoridad competente; y </w:t>
      </w:r>
    </w:p>
    <w:p w14:paraId="0CF56069" w14:textId="19DA5703" w:rsidR="00371A50" w:rsidRPr="00F11975" w:rsidRDefault="00371A50" w:rsidP="00371A50">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La Secretaría de Seguridad y Protección Ciudadana garantizará la operación, disponibilidad, interconexión y mantenimiento de los componentes tecnológicos que soporten la base de datos y sistemas informáticos del IPH.</w:t>
      </w:r>
    </w:p>
    <w:p w14:paraId="0F05B048"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55DA196" w14:textId="01453938" w:rsidR="00250892" w:rsidRPr="00F11975" w:rsidRDefault="00371A50"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Por cuanto hace al resguardo de la Base de Datos del IPH, la Secretaría de Seguridad y Protección Ciudadana será la responsable de resguardarla; asimismo, ésta formará parte del Sistema Nacional de Seguridad Pública. Dicha dependencia tendrá la obligación de contar con un protocolo específico para establecer y mantener actualizadas las medidas de seguridad necesarias para el resguardo de la base de datos</w:t>
      </w:r>
      <w:r w:rsidR="004D1903" w:rsidRPr="00F11975">
        <w:rPr>
          <w:rStyle w:val="Refdenotaalpie"/>
          <w:rFonts w:ascii="Palatino Linotype" w:eastAsia="Palatino Linotype" w:hAnsi="Palatino Linotype" w:cs="Palatino Linotype"/>
          <w:color w:val="000000"/>
        </w:rPr>
        <w:footnoteReference w:id="22"/>
      </w:r>
      <w:r w:rsidRPr="00F11975">
        <w:rPr>
          <w:rFonts w:ascii="Palatino Linotype" w:eastAsia="Palatino Linotype" w:hAnsi="Palatino Linotype" w:cs="Palatino Linotype"/>
          <w:color w:val="000000"/>
        </w:rPr>
        <w:t>.</w:t>
      </w:r>
    </w:p>
    <w:p w14:paraId="405A523A"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4756D97" w14:textId="37FA17AB" w:rsidR="004D1903" w:rsidRPr="00F11975" w:rsidRDefault="004D1903"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lang w:val="es-MX"/>
        </w:rPr>
        <w:t xml:space="preserve">Así las cosas, si bien la </w:t>
      </w:r>
      <w:r w:rsidRPr="00F11975">
        <w:rPr>
          <w:rFonts w:ascii="Palatino Linotype" w:eastAsia="Palatino Linotype" w:hAnsi="Palatino Linotype" w:cs="Palatino Linotype"/>
          <w:color w:val="000000"/>
        </w:rPr>
        <w:t xml:space="preserve">Secretaría de Seguridad y Protección Ciudadana será la primer autoridad responsable de resguardar la Base de Datos del IPH, de conformidad con lo que establece el Lineamiento Décimo Sexto de los Lineamientos en estudio, los servidores públicos de la Secretaría, el Secretariado Ejecutivo, </w:t>
      </w:r>
      <w:r w:rsidRPr="00F11975">
        <w:rPr>
          <w:rFonts w:ascii="Palatino Linotype" w:eastAsia="Palatino Linotype" w:hAnsi="Palatino Linotype" w:cs="Palatino Linotype"/>
          <w:b/>
          <w:bCs/>
          <w:color w:val="000000"/>
        </w:rPr>
        <w:t>las instituciones de seguridad pública de los tres órdenes de gobierno, y las competentes para conocer y sancionar las infracciones administrativas, con base en sus niveles y perfiles de acceso, podrán consultar la base de datos</w:t>
      </w:r>
      <w:r w:rsidRPr="00F11975">
        <w:rPr>
          <w:rFonts w:ascii="Palatino Linotype" w:eastAsia="Palatino Linotype" w:hAnsi="Palatino Linotype" w:cs="Palatino Linotype"/>
          <w:color w:val="000000"/>
        </w:rPr>
        <w:t xml:space="preserve">. </w:t>
      </w:r>
    </w:p>
    <w:p w14:paraId="106ABE7C" w14:textId="77777777" w:rsidR="004D1903" w:rsidRPr="00F11975" w:rsidRDefault="004D1903" w:rsidP="004D1903">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B0FDF85" w14:textId="2457B421" w:rsidR="00250892" w:rsidRPr="00F11975" w:rsidRDefault="004D1903"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lang w:val="es-MX"/>
        </w:rPr>
        <w:lastRenderedPageBreak/>
        <w:t xml:space="preserve">Con base en lo anterior, es plausible concluir que, derivado de los Informes Policiales Homologados que presenten los elementos policiales municipales, el </w:t>
      </w:r>
      <w:r w:rsidRPr="00F11975">
        <w:rPr>
          <w:rFonts w:ascii="Palatino Linotype" w:hAnsi="Palatino Linotype"/>
          <w:b/>
          <w:bCs/>
          <w:color w:val="000000" w:themeColor="text1"/>
          <w:lang w:val="es-MX"/>
        </w:rPr>
        <w:t>SUJETO OBLIGADO</w:t>
      </w:r>
      <w:r w:rsidRPr="00F11975">
        <w:rPr>
          <w:rFonts w:ascii="Palatino Linotype" w:hAnsi="Palatino Linotype"/>
          <w:color w:val="000000" w:themeColor="text1"/>
          <w:lang w:val="es-MX"/>
        </w:rPr>
        <w:t xml:space="preserve"> tiene el deber de registrar </w:t>
      </w:r>
      <w:r w:rsidR="00A43872" w:rsidRPr="00F11975">
        <w:rPr>
          <w:rFonts w:ascii="Palatino Linotype" w:hAnsi="Palatino Linotype"/>
          <w:color w:val="000000" w:themeColor="text1"/>
          <w:lang w:val="es-MX"/>
        </w:rPr>
        <w:t>la información</w:t>
      </w:r>
      <w:r w:rsidRPr="00F11975">
        <w:rPr>
          <w:rFonts w:ascii="Palatino Linotype" w:hAnsi="Palatino Linotype"/>
          <w:color w:val="000000" w:themeColor="text1"/>
          <w:lang w:val="es-MX"/>
        </w:rPr>
        <w:t xml:space="preserve"> contenida en estos documentos en sistemas avanzados de cotejo y cruce de datos, los cuales estarán disponibles para su consulta </w:t>
      </w:r>
      <w:r w:rsidR="00A43872" w:rsidRPr="00F11975">
        <w:rPr>
          <w:rFonts w:ascii="Palatino Linotype" w:hAnsi="Palatino Linotype"/>
          <w:color w:val="000000" w:themeColor="text1"/>
          <w:lang w:val="es-MX"/>
        </w:rPr>
        <w:t>a través de la denominada Base de Datos del IPH.</w:t>
      </w:r>
    </w:p>
    <w:p w14:paraId="2FB3AB57" w14:textId="77777777"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5C16AAB" w14:textId="13F04317" w:rsidR="00250892" w:rsidRPr="00F11975" w:rsidRDefault="00A43872"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Lo anterior se ratifica por medio de los documentos de control presentados por el </w:t>
      </w:r>
      <w:r w:rsidRPr="00F11975">
        <w:rPr>
          <w:rFonts w:ascii="Palatino Linotype" w:eastAsia="Palatino Linotype" w:hAnsi="Palatino Linotype" w:cs="Palatino Linotype"/>
          <w:b/>
          <w:bCs/>
          <w:color w:val="000000"/>
        </w:rPr>
        <w:t>SUJETO OBLIGADO</w:t>
      </w:r>
      <w:r w:rsidRPr="00F11975">
        <w:rPr>
          <w:rFonts w:ascii="Palatino Linotype" w:eastAsia="Palatino Linotype" w:hAnsi="Palatino Linotype" w:cs="Palatino Linotype"/>
          <w:color w:val="000000"/>
        </w:rPr>
        <w:t xml:space="preserve"> en vía de informe justificado, los cuales, como fuera referido en el apartado de </w:t>
      </w:r>
      <w:r w:rsidRPr="00F11975">
        <w:rPr>
          <w:rFonts w:ascii="Palatino Linotype" w:eastAsia="Palatino Linotype" w:hAnsi="Palatino Linotype" w:cs="Palatino Linotype"/>
          <w:i/>
          <w:iCs/>
          <w:color w:val="000000"/>
        </w:rPr>
        <w:t>Antecedentes</w:t>
      </w:r>
      <w:r w:rsidRPr="00F11975">
        <w:rPr>
          <w:rFonts w:ascii="Palatino Linotype" w:eastAsia="Palatino Linotype" w:hAnsi="Palatino Linotype" w:cs="Palatino Linotype"/>
          <w:color w:val="000000"/>
        </w:rPr>
        <w:t xml:space="preserve"> de esta resolución, consisten en los siguientes documentos:</w:t>
      </w:r>
    </w:p>
    <w:p w14:paraId="5CE5BA91" w14:textId="77777777" w:rsidR="00A43872" w:rsidRPr="00F11975" w:rsidRDefault="00A43872" w:rsidP="00A43872">
      <w:pPr>
        <w:pStyle w:val="Prrafodelista"/>
        <w:numPr>
          <w:ilvl w:val="1"/>
          <w:numId w:val="27"/>
        </w:numPr>
        <w:tabs>
          <w:tab w:val="left" w:pos="426"/>
        </w:tabs>
        <w:spacing w:line="360" w:lineRule="auto"/>
        <w:ind w:left="1134"/>
        <w:jc w:val="both"/>
        <w:rPr>
          <w:rFonts w:ascii="Palatino Linotype" w:hAnsi="Palatino Linotype"/>
          <w:color w:val="000000" w:themeColor="text1"/>
        </w:rPr>
      </w:pPr>
      <w:r w:rsidRPr="00F11975">
        <w:rPr>
          <w:rFonts w:ascii="Palatino Linotype" w:hAnsi="Palatino Linotype"/>
          <w:b/>
          <w:i/>
          <w:color w:val="000000" w:themeColor="text1"/>
        </w:rPr>
        <w:t>“base faltas administrativas enero 2016 a febrero 2022.pdf”</w:t>
      </w:r>
      <w:r w:rsidRPr="00F11975">
        <w:rPr>
          <w:rFonts w:ascii="Palatino Linotype" w:hAnsi="Palatino Linotype"/>
          <w:color w:val="000000" w:themeColor="text1"/>
        </w:rPr>
        <w:t>: Documento de 6,890 fojas consistente en el listado de las faltas administrativas registradas en el Municipio de Naucalpan de Juárez, y donde se muestra información como la fecha, hora, calles y colonia donde se realizaron las faltas.</w:t>
      </w:r>
    </w:p>
    <w:p w14:paraId="034A853A" w14:textId="4724709E" w:rsidR="00A43872" w:rsidRPr="00F11975" w:rsidRDefault="00A43872" w:rsidP="00A43872">
      <w:pPr>
        <w:pStyle w:val="Prrafodelista"/>
        <w:numPr>
          <w:ilvl w:val="1"/>
          <w:numId w:val="27"/>
        </w:numPr>
        <w:tabs>
          <w:tab w:val="left" w:pos="426"/>
        </w:tabs>
        <w:spacing w:line="360" w:lineRule="auto"/>
        <w:ind w:left="1134"/>
        <w:jc w:val="both"/>
        <w:rPr>
          <w:rFonts w:ascii="Palatino Linotype" w:hAnsi="Palatino Linotype"/>
          <w:color w:val="000000" w:themeColor="text1"/>
        </w:rPr>
      </w:pPr>
      <w:r w:rsidRPr="00F11975">
        <w:rPr>
          <w:rFonts w:ascii="Palatino Linotype" w:hAnsi="Palatino Linotype"/>
          <w:b/>
          <w:i/>
          <w:color w:val="000000" w:themeColor="text1"/>
        </w:rPr>
        <w:t>“base de datos delitos enero 2015 a febrero 2022.pdf”</w:t>
      </w:r>
      <w:r w:rsidRPr="00F11975">
        <w:rPr>
          <w:rFonts w:ascii="Palatino Linotype" w:hAnsi="Palatino Linotype"/>
          <w:color w:val="000000" w:themeColor="text1"/>
        </w:rPr>
        <w:t>: Documento de 10,705 fojas consistente en el listado de delitos registrados desde enero de dos mil quince a febrero de dos mil veintidós, donde se muestran columnas con la fecha, hora, delito, calles, colonia, etc.</w:t>
      </w:r>
    </w:p>
    <w:p w14:paraId="40307088" w14:textId="1D59D5D1" w:rsidR="00A43872" w:rsidRPr="00F11975" w:rsidRDefault="00A4387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B5DEF56" w14:textId="45A25FD2" w:rsidR="00250892" w:rsidRPr="00F11975" w:rsidRDefault="000643F4"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No obstante, si bien es cierto que los documentos presentados en vía de informe justificado consideran las pautas informativas requeridas por el particular, tales como fecha, hora, lugar y tipo de evento reportado, debemos mencionar que la información se reporta de forma incompleta en cada uno de los incidentes; esto es, </w:t>
      </w:r>
      <w:r w:rsidRPr="00F11975">
        <w:rPr>
          <w:rFonts w:ascii="Palatino Linotype" w:eastAsia="Palatino Linotype" w:hAnsi="Palatino Linotype" w:cs="Palatino Linotype"/>
          <w:color w:val="000000"/>
        </w:rPr>
        <w:lastRenderedPageBreak/>
        <w:t xml:space="preserve">que en algunos casos únicamente se reporta la fecha, hora y </w:t>
      </w:r>
      <w:r w:rsidR="005E40B5" w:rsidRPr="00F11975">
        <w:rPr>
          <w:rFonts w:ascii="Palatino Linotype" w:eastAsia="Palatino Linotype" w:hAnsi="Palatino Linotype" w:cs="Palatino Linotype"/>
          <w:color w:val="000000"/>
        </w:rPr>
        <w:t>colonia</w:t>
      </w:r>
      <w:r w:rsidRPr="00F11975">
        <w:rPr>
          <w:rFonts w:ascii="Palatino Linotype" w:eastAsia="Palatino Linotype" w:hAnsi="Palatino Linotype" w:cs="Palatino Linotype"/>
          <w:color w:val="000000"/>
        </w:rPr>
        <w:t xml:space="preserve"> </w:t>
      </w:r>
      <w:r w:rsidR="005E40B5" w:rsidRPr="00F11975">
        <w:rPr>
          <w:rFonts w:ascii="Palatino Linotype" w:eastAsia="Palatino Linotype" w:hAnsi="Palatino Linotype" w:cs="Palatino Linotype"/>
          <w:color w:val="000000"/>
        </w:rPr>
        <w:t>donde se suscitó el evento;</w:t>
      </w:r>
      <w:r w:rsidRPr="00F11975">
        <w:rPr>
          <w:rFonts w:ascii="Palatino Linotype" w:eastAsia="Palatino Linotype" w:hAnsi="Palatino Linotype" w:cs="Palatino Linotype"/>
          <w:color w:val="000000"/>
        </w:rPr>
        <w:t xml:space="preserve"> mientras que en otros casos</w:t>
      </w:r>
      <w:r w:rsidR="005E40B5" w:rsidRPr="00F11975">
        <w:rPr>
          <w:rFonts w:ascii="Palatino Linotype" w:eastAsia="Palatino Linotype" w:hAnsi="Palatino Linotype" w:cs="Palatino Linotype"/>
          <w:color w:val="000000"/>
        </w:rPr>
        <w:t xml:space="preserve"> se reporta la fecha, hora y delito cometido. Se adjuntan a continuación algunos fragmentos de los archivos presentados en vía de informe justificado como referencia:</w:t>
      </w:r>
    </w:p>
    <w:p w14:paraId="01D157E8" w14:textId="0142E731" w:rsidR="00250892" w:rsidRPr="00F11975" w:rsidRDefault="00250892"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EABE57D" w14:textId="142463EC" w:rsidR="005E40B5" w:rsidRPr="00F11975" w:rsidRDefault="005E40B5" w:rsidP="005E40B5">
      <w:pPr>
        <w:pStyle w:val="Prrafodelista"/>
        <w:tabs>
          <w:tab w:val="left" w:pos="426"/>
        </w:tabs>
        <w:spacing w:before="240" w:after="240" w:line="360" w:lineRule="auto"/>
        <w:ind w:left="567" w:right="567"/>
        <w:jc w:val="both"/>
        <w:rPr>
          <w:rFonts w:ascii="Palatino Linotype" w:hAnsi="Palatino Linotype"/>
          <w:color w:val="000000" w:themeColor="text1"/>
        </w:rPr>
      </w:pPr>
      <w:r w:rsidRPr="00F11975">
        <w:rPr>
          <w:rFonts w:ascii="Palatino Linotype" w:hAnsi="Palatino Linotype"/>
          <w:b/>
          <w:i/>
          <w:color w:val="000000" w:themeColor="text1"/>
        </w:rPr>
        <w:t>“base faltas administrativas enero 2016 a febrero 2022.pdf”</w:t>
      </w:r>
      <w:r w:rsidRPr="00F11975">
        <w:rPr>
          <w:rFonts w:ascii="Palatino Linotype" w:hAnsi="Palatino Linotype"/>
          <w:color w:val="000000" w:themeColor="text1"/>
        </w:rPr>
        <w:t>:</w:t>
      </w:r>
    </w:p>
    <w:p w14:paraId="531A0836" w14:textId="4C6C814B" w:rsidR="005E40B5" w:rsidRPr="00F11975" w:rsidRDefault="00E66894"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rPr>
      </w:pPr>
      <w:r w:rsidRPr="00F11975">
        <w:rPr>
          <w:rFonts w:ascii="Palatino Linotype" w:hAnsi="Palatino Linotype"/>
          <w:bCs/>
          <w:iCs/>
          <w:noProof/>
          <w:color w:val="000000" w:themeColor="text1"/>
          <w:lang w:val="es-MX" w:eastAsia="es-MX"/>
        </w:rPr>
        <w:drawing>
          <wp:inline distT="0" distB="0" distL="0" distR="0" wp14:anchorId="0AA4EB48" wp14:editId="5D7E1B3D">
            <wp:extent cx="4733925" cy="2403628"/>
            <wp:effectExtent l="57150" t="57150" r="85725" b="92075"/>
            <wp:docPr id="2" name="Imagen 2"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con letras&#10;&#10;Descripción generada automáticamente con confianza baja"/>
                    <pic:cNvPicPr/>
                  </pic:nvPicPr>
                  <pic:blipFill>
                    <a:blip r:embed="rId8"/>
                    <a:stretch>
                      <a:fillRect/>
                    </a:stretch>
                  </pic:blipFill>
                  <pic:spPr>
                    <a:xfrm>
                      <a:off x="0" y="0"/>
                      <a:ext cx="4772254" cy="24230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A908CD" w14:textId="77459A27" w:rsidR="00E66894" w:rsidRPr="00F11975" w:rsidRDefault="00E66894"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rPr>
      </w:pPr>
      <w:r w:rsidRPr="00F11975">
        <w:rPr>
          <w:rFonts w:ascii="Palatino Linotype" w:hAnsi="Palatino Linotype"/>
          <w:bCs/>
          <w:iCs/>
          <w:noProof/>
          <w:color w:val="000000" w:themeColor="text1"/>
          <w:lang w:val="es-MX" w:eastAsia="es-MX"/>
        </w:rPr>
        <w:drawing>
          <wp:inline distT="0" distB="0" distL="0" distR="0" wp14:anchorId="48BA39B6" wp14:editId="6FC51864">
            <wp:extent cx="4723765" cy="2183321"/>
            <wp:effectExtent l="57150" t="57150" r="95885" b="10287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9"/>
                    <a:stretch>
                      <a:fillRect/>
                    </a:stretch>
                  </pic:blipFill>
                  <pic:spPr>
                    <a:xfrm>
                      <a:off x="0" y="0"/>
                      <a:ext cx="4754014" cy="21973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37C4AD" w14:textId="27EF8D68" w:rsidR="00E66894" w:rsidRPr="00F11975" w:rsidRDefault="00E66894"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rPr>
      </w:pPr>
      <w:r w:rsidRPr="00F11975">
        <w:rPr>
          <w:rFonts w:ascii="Palatino Linotype" w:hAnsi="Palatino Linotype"/>
          <w:bCs/>
          <w:iCs/>
          <w:noProof/>
          <w:color w:val="000000" w:themeColor="text1"/>
          <w:lang w:val="es-MX" w:eastAsia="es-MX"/>
        </w:rPr>
        <w:lastRenderedPageBreak/>
        <w:drawing>
          <wp:inline distT="0" distB="0" distL="0" distR="0" wp14:anchorId="30F5BEBB" wp14:editId="082FAC3E">
            <wp:extent cx="4657725" cy="2056762"/>
            <wp:effectExtent l="57150" t="57150" r="85725" b="96520"/>
            <wp:docPr id="6" name="Imagen 6" descr="Imagen que contiene juego, biomb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juego, biombo, reloj&#10;&#10;Descripción generada automáticamente"/>
                    <pic:cNvPicPr/>
                  </pic:nvPicPr>
                  <pic:blipFill>
                    <a:blip r:embed="rId10"/>
                    <a:stretch>
                      <a:fillRect/>
                    </a:stretch>
                  </pic:blipFill>
                  <pic:spPr>
                    <a:xfrm>
                      <a:off x="0" y="0"/>
                      <a:ext cx="4672597" cy="20633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10A22E" w14:textId="6C5F20C3" w:rsidR="00E66894" w:rsidRPr="00F11975" w:rsidRDefault="00E66894"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rPr>
      </w:pPr>
      <w:r w:rsidRPr="00F11975">
        <w:rPr>
          <w:rFonts w:ascii="Palatino Linotype" w:hAnsi="Palatino Linotype"/>
          <w:bCs/>
          <w:iCs/>
          <w:noProof/>
          <w:color w:val="000000" w:themeColor="text1"/>
          <w:lang w:val="es-MX" w:eastAsia="es-MX"/>
        </w:rPr>
        <w:drawing>
          <wp:inline distT="0" distB="0" distL="0" distR="0" wp14:anchorId="383C4E4E" wp14:editId="13A998FF">
            <wp:extent cx="4631055" cy="2271512"/>
            <wp:effectExtent l="57150" t="57150" r="93345" b="90805"/>
            <wp:docPr id="7" name="Imagen 7"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conjunto de letras negras en un fondo blanco&#10;&#10;Descripción generada automáticamente con confianza media"/>
                    <pic:cNvPicPr/>
                  </pic:nvPicPr>
                  <pic:blipFill>
                    <a:blip r:embed="rId11"/>
                    <a:stretch>
                      <a:fillRect/>
                    </a:stretch>
                  </pic:blipFill>
                  <pic:spPr>
                    <a:xfrm>
                      <a:off x="0" y="0"/>
                      <a:ext cx="4645820" cy="22787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78C68A" w14:textId="5B10BCAB" w:rsidR="00E66894" w:rsidRPr="00F11975" w:rsidRDefault="00E66894"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rPr>
      </w:pPr>
      <w:r w:rsidRPr="00F11975">
        <w:rPr>
          <w:rFonts w:ascii="Palatino Linotype" w:hAnsi="Palatino Linotype"/>
          <w:bCs/>
          <w:iCs/>
          <w:noProof/>
          <w:color w:val="000000" w:themeColor="text1"/>
          <w:lang w:val="es-MX" w:eastAsia="es-MX"/>
        </w:rPr>
        <w:drawing>
          <wp:inline distT="0" distB="0" distL="0" distR="0" wp14:anchorId="2C22C07E" wp14:editId="3BDEF3D3">
            <wp:extent cx="4669155" cy="1720159"/>
            <wp:effectExtent l="57150" t="57150" r="93345" b="9017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12"/>
                    <a:stretch>
                      <a:fillRect/>
                    </a:stretch>
                  </pic:blipFill>
                  <pic:spPr>
                    <a:xfrm>
                      <a:off x="0" y="0"/>
                      <a:ext cx="4689840" cy="17277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9EDD45" w14:textId="189B94A8" w:rsidR="005E40B5" w:rsidRPr="00F11975" w:rsidRDefault="005E40B5" w:rsidP="005E40B5">
      <w:pPr>
        <w:pStyle w:val="Prrafodelista"/>
        <w:tabs>
          <w:tab w:val="left" w:pos="426"/>
        </w:tabs>
        <w:spacing w:before="240" w:after="240" w:line="360" w:lineRule="auto"/>
        <w:ind w:left="567" w:right="567"/>
        <w:jc w:val="both"/>
        <w:rPr>
          <w:rFonts w:ascii="Palatino Linotype" w:hAnsi="Palatino Linotype"/>
          <w:bCs/>
          <w:iCs/>
          <w:color w:val="000000" w:themeColor="text1"/>
          <w:lang w:val="es-MX"/>
        </w:rPr>
      </w:pPr>
    </w:p>
    <w:p w14:paraId="23A2BCC9" w14:textId="0D1D7E63" w:rsidR="005E40B5" w:rsidRPr="00F11975" w:rsidRDefault="005E40B5" w:rsidP="005E40B5">
      <w:pPr>
        <w:pStyle w:val="Prrafodelista"/>
        <w:tabs>
          <w:tab w:val="left" w:pos="426"/>
        </w:tabs>
        <w:spacing w:before="240" w:after="240" w:line="360" w:lineRule="auto"/>
        <w:ind w:left="567" w:right="567"/>
        <w:jc w:val="both"/>
        <w:rPr>
          <w:rFonts w:ascii="Palatino Linotype" w:hAnsi="Palatino Linotype"/>
          <w:color w:val="000000" w:themeColor="text1"/>
        </w:rPr>
      </w:pPr>
      <w:r w:rsidRPr="00F11975">
        <w:rPr>
          <w:rFonts w:ascii="Palatino Linotype" w:hAnsi="Palatino Linotype"/>
          <w:b/>
          <w:i/>
          <w:color w:val="000000" w:themeColor="text1"/>
        </w:rPr>
        <w:t>“base de datos delitos enero 2015 a febrero 2022.pdf”</w:t>
      </w:r>
      <w:r w:rsidRPr="00F11975">
        <w:rPr>
          <w:rFonts w:ascii="Palatino Linotype" w:hAnsi="Palatino Linotype"/>
          <w:color w:val="000000" w:themeColor="text1"/>
        </w:rPr>
        <w:t>:</w:t>
      </w:r>
    </w:p>
    <w:p w14:paraId="3F86671E" w14:textId="180C6A4F" w:rsidR="005E40B5" w:rsidRPr="00F11975" w:rsidRDefault="00E66894"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lang w:val="es-MX"/>
        </w:rPr>
      </w:pPr>
      <w:r w:rsidRPr="00F11975">
        <w:rPr>
          <w:rFonts w:ascii="Palatino Linotype" w:hAnsi="Palatino Linotype"/>
          <w:bCs/>
          <w:iCs/>
          <w:noProof/>
          <w:color w:val="000000" w:themeColor="text1"/>
          <w:lang w:val="es-MX" w:eastAsia="es-MX"/>
        </w:rPr>
        <w:lastRenderedPageBreak/>
        <w:drawing>
          <wp:inline distT="0" distB="0" distL="0" distR="0" wp14:anchorId="4D45F873" wp14:editId="6E8F3A7A">
            <wp:extent cx="4573905" cy="2208288"/>
            <wp:effectExtent l="57150" t="57150" r="93345" b="97155"/>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13"/>
                    <a:stretch>
                      <a:fillRect/>
                    </a:stretch>
                  </pic:blipFill>
                  <pic:spPr>
                    <a:xfrm>
                      <a:off x="0" y="0"/>
                      <a:ext cx="4590461" cy="22162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5726ED" w14:textId="1D91529F" w:rsidR="008D50EF" w:rsidRPr="00F11975" w:rsidRDefault="008D50EF"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lang w:val="es-MX"/>
        </w:rPr>
      </w:pPr>
      <w:r w:rsidRPr="00F11975">
        <w:rPr>
          <w:rFonts w:ascii="Palatino Linotype" w:hAnsi="Palatino Linotype"/>
          <w:bCs/>
          <w:iCs/>
          <w:noProof/>
          <w:color w:val="000000" w:themeColor="text1"/>
          <w:lang w:val="es-MX" w:eastAsia="es-MX"/>
        </w:rPr>
        <w:drawing>
          <wp:inline distT="0" distB="0" distL="0" distR="0" wp14:anchorId="6B1B65C4" wp14:editId="2E3B9350">
            <wp:extent cx="4631055" cy="1600276"/>
            <wp:effectExtent l="57150" t="57150" r="93345" b="95250"/>
            <wp:docPr id="12" name="Imagen 12"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de la pantalla de un celular con letras&#10;&#10;Descripción generada automáticamente con confianza baja"/>
                    <pic:cNvPicPr/>
                  </pic:nvPicPr>
                  <pic:blipFill>
                    <a:blip r:embed="rId14"/>
                    <a:stretch>
                      <a:fillRect/>
                    </a:stretch>
                  </pic:blipFill>
                  <pic:spPr>
                    <a:xfrm>
                      <a:off x="0" y="0"/>
                      <a:ext cx="4640898" cy="16036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358C59" w14:textId="4EFF8964" w:rsidR="00E66894" w:rsidRPr="00F11975" w:rsidRDefault="008D50EF"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lang w:val="es-MX"/>
        </w:rPr>
      </w:pPr>
      <w:r w:rsidRPr="00F11975">
        <w:rPr>
          <w:rFonts w:ascii="Palatino Linotype" w:hAnsi="Palatino Linotype"/>
          <w:bCs/>
          <w:iCs/>
          <w:noProof/>
          <w:color w:val="000000" w:themeColor="text1"/>
          <w:lang w:val="es-MX" w:eastAsia="es-MX"/>
        </w:rPr>
        <w:drawing>
          <wp:inline distT="0" distB="0" distL="0" distR="0" wp14:anchorId="2E07814C" wp14:editId="25948D5A">
            <wp:extent cx="4638595" cy="1443328"/>
            <wp:effectExtent l="57150" t="57150" r="86360" b="100330"/>
            <wp:docPr id="10" name="Imagen 10"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de la pantalla de un celular&#10;&#10;Descripción generada automáticamente con confianza media"/>
                    <pic:cNvPicPr/>
                  </pic:nvPicPr>
                  <pic:blipFill>
                    <a:blip r:embed="rId15"/>
                    <a:stretch>
                      <a:fillRect/>
                    </a:stretch>
                  </pic:blipFill>
                  <pic:spPr>
                    <a:xfrm>
                      <a:off x="0" y="0"/>
                      <a:ext cx="4672525" cy="14538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6970C" w14:textId="68C332FB" w:rsidR="008D50EF" w:rsidRPr="00F11975" w:rsidRDefault="008D50EF" w:rsidP="005E40B5">
      <w:pPr>
        <w:pStyle w:val="Prrafodelista"/>
        <w:tabs>
          <w:tab w:val="left" w:pos="426"/>
        </w:tabs>
        <w:spacing w:before="240" w:after="240" w:line="360" w:lineRule="auto"/>
        <w:ind w:left="567" w:right="567"/>
        <w:jc w:val="center"/>
        <w:rPr>
          <w:rFonts w:ascii="Palatino Linotype" w:hAnsi="Palatino Linotype"/>
          <w:bCs/>
          <w:iCs/>
          <w:color w:val="000000" w:themeColor="text1"/>
          <w:lang w:val="es-MX"/>
        </w:rPr>
      </w:pPr>
      <w:r w:rsidRPr="00F11975">
        <w:rPr>
          <w:rFonts w:ascii="Palatino Linotype" w:hAnsi="Palatino Linotype"/>
          <w:bCs/>
          <w:iCs/>
          <w:noProof/>
          <w:color w:val="000000" w:themeColor="text1"/>
          <w:lang w:val="es-MX" w:eastAsia="es-MX"/>
        </w:rPr>
        <w:lastRenderedPageBreak/>
        <w:drawing>
          <wp:inline distT="0" distB="0" distL="0" distR="0" wp14:anchorId="2387BABA" wp14:editId="503B8FE7">
            <wp:extent cx="4688205" cy="1639121"/>
            <wp:effectExtent l="57150" t="57150" r="93345" b="94615"/>
            <wp:docPr id="11" name="Imagen 11" descr="Imagen que contiene biombo, edificio, 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biombo, edificio, juego&#10;&#10;Descripción generada automáticamente"/>
                    <pic:cNvPicPr/>
                  </pic:nvPicPr>
                  <pic:blipFill>
                    <a:blip r:embed="rId16"/>
                    <a:stretch>
                      <a:fillRect/>
                    </a:stretch>
                  </pic:blipFill>
                  <pic:spPr>
                    <a:xfrm>
                      <a:off x="0" y="0"/>
                      <a:ext cx="4702339" cy="16440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07B9A6" w14:textId="77777777" w:rsidR="005E40B5" w:rsidRPr="00F11975" w:rsidRDefault="005E40B5" w:rsidP="00250892">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B733082" w14:textId="700CFE91" w:rsidR="00250892" w:rsidRPr="00F11975" w:rsidRDefault="00AE1DDF"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Así las cosas, queda demostrado que ninguno de los eventos relacionados por la incidencia delictiva, o faltas administrativas, reportados en los listados presentados por el </w:t>
      </w:r>
      <w:r w:rsidRPr="00F11975">
        <w:rPr>
          <w:rFonts w:ascii="Palatino Linotype" w:eastAsia="Palatino Linotype" w:hAnsi="Palatino Linotype" w:cs="Palatino Linotype"/>
          <w:b/>
          <w:bCs/>
          <w:color w:val="000000"/>
        </w:rPr>
        <w:t>SUJETO OBLIGADO</w:t>
      </w:r>
      <w:r w:rsidRPr="00F11975">
        <w:rPr>
          <w:rFonts w:ascii="Palatino Linotype" w:eastAsia="Palatino Linotype" w:hAnsi="Palatino Linotype" w:cs="Palatino Linotype"/>
          <w:color w:val="000000"/>
        </w:rPr>
        <w:t xml:space="preserve"> en vía de informe justificado, muestran la información completa que se requirió originalmente a través de la solicitud </w:t>
      </w:r>
      <w:r w:rsidRPr="00F11975">
        <w:rPr>
          <w:rFonts w:ascii="Palatino Linotype" w:eastAsia="Palatino Linotype" w:hAnsi="Palatino Linotype" w:cs="Palatino Linotype"/>
          <w:b/>
          <w:bCs/>
          <w:color w:val="000000"/>
        </w:rPr>
        <w:t>00957/NAUCALPA/IP/2021</w:t>
      </w:r>
      <w:r w:rsidRPr="00F11975">
        <w:rPr>
          <w:rFonts w:ascii="Palatino Linotype" w:eastAsia="Palatino Linotype" w:hAnsi="Palatino Linotype" w:cs="Palatino Linotype"/>
          <w:color w:val="000000"/>
        </w:rPr>
        <w:t xml:space="preserve">; </w:t>
      </w:r>
      <w:r w:rsidRPr="00F11975">
        <w:rPr>
          <w:rFonts w:ascii="Palatino Linotype" w:eastAsia="Palatino Linotype" w:hAnsi="Palatino Linotype" w:cs="Palatino Linotype"/>
          <w:i/>
          <w:iCs/>
          <w:color w:val="000000"/>
        </w:rPr>
        <w:t>ergo</w:t>
      </w:r>
      <w:r w:rsidRPr="00F11975">
        <w:rPr>
          <w:rFonts w:ascii="Palatino Linotype" w:eastAsia="Palatino Linotype" w:hAnsi="Palatino Linotype" w:cs="Palatino Linotype"/>
          <w:color w:val="000000"/>
        </w:rPr>
        <w:t xml:space="preserve">, </w:t>
      </w:r>
      <w:r w:rsidR="001F22CA" w:rsidRPr="00F11975">
        <w:rPr>
          <w:rFonts w:ascii="Palatino Linotype" w:eastAsia="Palatino Linotype" w:hAnsi="Palatino Linotype" w:cs="Palatino Linotype"/>
          <w:color w:val="000000"/>
        </w:rPr>
        <w:t xml:space="preserve">este Organismo Garante concluye que el informe justificado no logra resarcir la vulneración al derecho de acceso a la información ejercido por el hoy </w:t>
      </w:r>
      <w:r w:rsidR="001F22CA" w:rsidRPr="00F11975">
        <w:rPr>
          <w:rFonts w:ascii="Palatino Linotype" w:eastAsia="Palatino Linotype" w:hAnsi="Palatino Linotype" w:cs="Palatino Linotype"/>
          <w:b/>
          <w:bCs/>
          <w:color w:val="000000"/>
        </w:rPr>
        <w:t>RECURRENTE</w:t>
      </w:r>
      <w:r w:rsidR="001F22CA" w:rsidRPr="00F11975">
        <w:rPr>
          <w:rFonts w:ascii="Palatino Linotype" w:eastAsia="Palatino Linotype" w:hAnsi="Palatino Linotype" w:cs="Palatino Linotype"/>
          <w:color w:val="000000"/>
        </w:rPr>
        <w:t>.</w:t>
      </w:r>
    </w:p>
    <w:p w14:paraId="594D3F85"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E051EF6" w14:textId="0598EB3D" w:rsidR="008D50EF" w:rsidRPr="00F11975" w:rsidRDefault="001F22CA" w:rsidP="001454E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Consecuencia de lo anterior, el </w:t>
      </w:r>
      <w:r w:rsidRPr="00F11975">
        <w:rPr>
          <w:rFonts w:ascii="Palatino Linotype" w:eastAsia="Palatino Linotype" w:hAnsi="Palatino Linotype" w:cs="Palatino Linotype"/>
          <w:b/>
          <w:bCs/>
          <w:color w:val="000000"/>
        </w:rPr>
        <w:t>SUJETO OBLIGADO</w:t>
      </w:r>
      <w:r w:rsidRPr="00F11975">
        <w:rPr>
          <w:rFonts w:ascii="Palatino Linotype" w:eastAsia="Palatino Linotype" w:hAnsi="Palatino Linotype" w:cs="Palatino Linotype"/>
          <w:color w:val="000000"/>
        </w:rPr>
        <w:t xml:space="preserve"> deberá realizar una nueva búsqueda exhaustiva y razonable en sus archivos a efecto de entregar al particular </w:t>
      </w:r>
      <w:bookmarkStart w:id="30" w:name="_Hlk111058673"/>
      <w:r w:rsidRPr="00F11975">
        <w:rPr>
          <w:rFonts w:ascii="Palatino Linotype" w:eastAsia="Palatino Linotype" w:hAnsi="Palatino Linotype" w:cs="Palatino Linotype"/>
          <w:color w:val="000000"/>
        </w:rPr>
        <w:t>el o los documentos donde conste el registro o base de datos de la incidencia delictiva, o reporte de incidentes atendidos por elementos de l</w:t>
      </w:r>
      <w:r w:rsidR="00303704" w:rsidRPr="00F11975">
        <w:rPr>
          <w:rFonts w:ascii="Palatino Linotype" w:eastAsia="Palatino Linotype" w:hAnsi="Palatino Linotype" w:cs="Palatino Linotype"/>
          <w:color w:val="000000"/>
        </w:rPr>
        <w:t>a Dirección de Seguridad Ciudadana y Tránsito Municipal, y donde se muestre el tipo de incidente o evento, hora, fecha, lugar y/o ubicación, y coordenadas geográficas, por el periodo comprendido del uno (01) de enero de dos mil diez al veintidós (22) de diciembre de dos mil veintiuno, de ser procedente en versión pública.</w:t>
      </w:r>
      <w:bookmarkEnd w:id="30"/>
    </w:p>
    <w:p w14:paraId="56853357" w14:textId="77777777" w:rsidR="000A1DE7" w:rsidRPr="00F11975" w:rsidRDefault="000A1DE7" w:rsidP="000A1DE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74FBFC0" w14:textId="424653F1" w:rsidR="000A1DE7" w:rsidRPr="00F11975" w:rsidRDefault="000A1DE7" w:rsidP="001454E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lastRenderedPageBreak/>
        <w:t xml:space="preserve">Por otro lado, de ser el caso de que si derivado de la búsqueda de la información de los registros que se ordenan entregar, no se encontrasen las coordenadas geográficas de todos o algunos de los delitos o eventos atendidos por la Dirección de Seguridad Ciudadana y Tránsito Municipal, el </w:t>
      </w:r>
      <w:r w:rsidRPr="00F11975">
        <w:rPr>
          <w:rFonts w:ascii="Palatino Linotype" w:eastAsia="Palatino Linotype" w:hAnsi="Palatino Linotype" w:cs="Palatino Linotype"/>
          <w:b/>
          <w:bCs/>
          <w:color w:val="000000"/>
        </w:rPr>
        <w:t>SUJETO OBLIGADO</w:t>
      </w:r>
      <w:r w:rsidRPr="00F11975">
        <w:rPr>
          <w:rFonts w:ascii="Palatino Linotype" w:eastAsia="Palatino Linotype" w:hAnsi="Palatino Linotype" w:cs="Palatino Linotype"/>
          <w:color w:val="000000"/>
        </w:rPr>
        <w:t xml:space="preserve"> deberá hacer del conocimiento del </w:t>
      </w:r>
      <w:r w:rsidRPr="00F11975">
        <w:rPr>
          <w:rFonts w:ascii="Palatino Linotype" w:eastAsia="Palatino Linotype" w:hAnsi="Palatino Linotype" w:cs="Palatino Linotype"/>
          <w:b/>
          <w:bCs/>
          <w:color w:val="000000"/>
        </w:rPr>
        <w:t>RECURRENTE</w:t>
      </w:r>
      <w:r w:rsidRPr="00F11975">
        <w:rPr>
          <w:rFonts w:ascii="Palatino Linotype" w:eastAsia="Palatino Linotype" w:hAnsi="Palatino Linotype" w:cs="Palatino Linotype"/>
          <w:color w:val="000000"/>
        </w:rPr>
        <w:t xml:space="preserve"> las razones por las que no cuenta con la información de manera clara y precisa.</w:t>
      </w:r>
    </w:p>
    <w:p w14:paraId="41DBFAD9" w14:textId="71798842" w:rsidR="001F22CA" w:rsidRPr="00F11975" w:rsidRDefault="001F22CA" w:rsidP="001F22CA">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E6D2D9B" w14:textId="7B639D4A" w:rsidR="00303704" w:rsidRPr="00F11975" w:rsidRDefault="00303704" w:rsidP="00303704">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sidRPr="00F11975">
        <w:rPr>
          <w:rFonts w:ascii="Palatino Linotype" w:hAnsi="Palatino Linotype"/>
          <w:b/>
          <w:bCs/>
          <w:color w:val="000000" w:themeColor="text1"/>
          <w:lang w:val="es-MX"/>
        </w:rPr>
        <w:t>IV. De los datos abiertos.</w:t>
      </w:r>
    </w:p>
    <w:p w14:paraId="26FF6F79" w14:textId="77777777" w:rsidR="00303704" w:rsidRPr="00F11975" w:rsidRDefault="00303704" w:rsidP="001F22CA">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1F199CB" w14:textId="1CF0A9C5" w:rsidR="008D50EF" w:rsidRPr="00F11975" w:rsidRDefault="000A1DE7"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No se ignora que dentro de la solicitud </w:t>
      </w:r>
      <w:r w:rsidRPr="00F11975">
        <w:rPr>
          <w:rFonts w:ascii="Palatino Linotype" w:eastAsia="Palatino Linotype" w:hAnsi="Palatino Linotype" w:cs="Palatino Linotype"/>
          <w:b/>
          <w:bCs/>
          <w:color w:val="000000"/>
        </w:rPr>
        <w:t>00957/NAUCALPA/IP/2021</w:t>
      </w:r>
      <w:r w:rsidRPr="00F11975">
        <w:rPr>
          <w:rFonts w:ascii="Palatino Linotype" w:eastAsia="Palatino Linotype" w:hAnsi="Palatino Linotype" w:cs="Palatino Linotype"/>
          <w:color w:val="000000"/>
        </w:rPr>
        <w:t xml:space="preserve">, el particular requirió la información </w:t>
      </w:r>
      <w:r w:rsidRPr="00F11975">
        <w:rPr>
          <w:rFonts w:ascii="Palatino Linotype" w:eastAsia="Palatino Linotype" w:hAnsi="Palatino Linotype" w:cs="Palatino Linotype"/>
          <w:b/>
          <w:bCs/>
          <w:i/>
          <w:iCs/>
          <w:color w:val="000000"/>
        </w:rPr>
        <w:t xml:space="preserve">“en formato abierto </w:t>
      </w:r>
      <w:r w:rsidRPr="00F11975">
        <w:rPr>
          <w:rFonts w:ascii="Palatino Linotype" w:eastAsia="Palatino Linotype" w:hAnsi="Palatino Linotype" w:cs="Palatino Linotype"/>
          <w:i/>
          <w:iCs/>
          <w:color w:val="000000"/>
        </w:rPr>
        <w:t>como xls o cvs</w:t>
      </w:r>
      <w:r w:rsidRPr="00F11975">
        <w:rPr>
          <w:rFonts w:ascii="Palatino Linotype" w:eastAsia="Palatino Linotype" w:hAnsi="Palatino Linotype" w:cs="Palatino Linotype"/>
          <w:b/>
          <w:bCs/>
          <w:i/>
          <w:iCs/>
          <w:color w:val="000000"/>
        </w:rPr>
        <w:t>”</w:t>
      </w:r>
      <w:r w:rsidRPr="00F11975">
        <w:rPr>
          <w:rFonts w:ascii="Palatino Linotype" w:eastAsia="Palatino Linotype" w:hAnsi="Palatino Linotype" w:cs="Palatino Linotype"/>
          <w:color w:val="000000"/>
        </w:rPr>
        <w:t xml:space="preserve">, </w:t>
      </w:r>
      <w:r w:rsidRPr="00F11975">
        <w:rPr>
          <w:rFonts w:ascii="Palatino Linotype" w:hAnsi="Palatino Linotype"/>
          <w:color w:val="000000" w:themeColor="text1"/>
        </w:rPr>
        <w:t xml:space="preserve">situación que contraviene lo establecido en el artículo 12 de la Ley de Transparencia y Acceso a la Información Pública del Estado de México y Municipios, el cual establece que </w:t>
      </w:r>
      <w:r w:rsidRPr="00F11975">
        <w:rPr>
          <w:rFonts w:ascii="Palatino Linotype" w:hAnsi="Palatino Linotype"/>
          <w:b/>
          <w:bCs/>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F11975">
        <w:rPr>
          <w:rFonts w:ascii="Palatino Linotype" w:hAnsi="Palatino Linotype"/>
          <w:color w:val="000000" w:themeColor="text1"/>
        </w:rPr>
        <w:t>; por lo que no estarán obligados a generarla, resumirla, efectuar cálculos o practicar investigaciones.</w:t>
      </w:r>
    </w:p>
    <w:p w14:paraId="7DC2AF29"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DB7BDF9" w14:textId="625E26B1" w:rsidR="000A1DE7" w:rsidRPr="00F11975" w:rsidRDefault="000A1DE7" w:rsidP="000A1D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De </w:t>
      </w:r>
      <w:r w:rsidRPr="00F11975">
        <w:rPr>
          <w:rFonts w:ascii="Palatino Linotype" w:hAnsi="Palatino Linotype"/>
          <w:color w:val="000000" w:themeColor="text1"/>
        </w:rPr>
        <w:t xml:space="preserve">lo anterior se coligue que el pretender que el </w:t>
      </w:r>
      <w:r w:rsidRPr="00F11975">
        <w:rPr>
          <w:rFonts w:ascii="Palatino Linotype" w:hAnsi="Palatino Linotype"/>
          <w:b/>
          <w:bCs/>
          <w:color w:val="000000" w:themeColor="text1"/>
        </w:rPr>
        <w:t>SUJETO OBLIGADO</w:t>
      </w:r>
      <w:r w:rsidRPr="00F11975">
        <w:rPr>
          <w:rFonts w:ascii="Palatino Linotype" w:hAnsi="Palatino Linotype"/>
          <w:color w:val="000000" w:themeColor="text1"/>
        </w:rPr>
        <w:t xml:space="preserve"> procese la información solicitada, para presentarla en un formato electrónico específico</w:t>
      </w:r>
      <w:r w:rsidR="00AB764F" w:rsidRPr="00F11975">
        <w:rPr>
          <w:rFonts w:ascii="Palatino Linotype" w:hAnsi="Palatino Linotype"/>
          <w:color w:val="000000" w:themeColor="text1"/>
        </w:rPr>
        <w:t>,</w:t>
      </w:r>
      <w:r w:rsidRPr="00F11975">
        <w:rPr>
          <w:rFonts w:ascii="Palatino Linotype" w:hAnsi="Palatino Linotype"/>
          <w:color w:val="000000" w:themeColor="text1"/>
        </w:rPr>
        <w:t xml:space="preserve"> presume una carga desproporcionada al </w:t>
      </w:r>
      <w:r w:rsidR="00AB764F" w:rsidRPr="00F11975">
        <w:rPr>
          <w:rFonts w:ascii="Palatino Linotype" w:hAnsi="Palatino Linotype"/>
          <w:color w:val="000000" w:themeColor="text1"/>
        </w:rPr>
        <w:t>Ayuntamiento de Naucalpan de Juárez</w:t>
      </w:r>
      <w:r w:rsidRPr="00F11975">
        <w:rPr>
          <w:rFonts w:ascii="Palatino Linotype" w:hAnsi="Palatino Linotype"/>
          <w:color w:val="000000" w:themeColor="text1"/>
        </w:rPr>
        <w:t xml:space="preserve"> para atender el derecho de acceso a la información del particular; pues su obligación consiste, específicamente, en proporcionar los documentos generados, poseídos o </w:t>
      </w:r>
      <w:r w:rsidRPr="00F11975">
        <w:rPr>
          <w:rFonts w:ascii="Palatino Linotype" w:hAnsi="Palatino Linotype"/>
          <w:color w:val="000000" w:themeColor="text1"/>
        </w:rPr>
        <w:lastRenderedPageBreak/>
        <w:t>administrados en el ejercicio de sus funciones donde conste la información solicitada.</w:t>
      </w:r>
    </w:p>
    <w:p w14:paraId="5CFFAAD5" w14:textId="77777777" w:rsidR="000A1DE7" w:rsidRPr="00F11975" w:rsidRDefault="000A1DE7" w:rsidP="000A1DE7">
      <w:pPr>
        <w:pStyle w:val="Prrafodelista"/>
        <w:tabs>
          <w:tab w:val="left" w:pos="426"/>
        </w:tabs>
        <w:spacing w:before="240" w:after="240" w:line="360" w:lineRule="auto"/>
        <w:ind w:left="0" w:right="51"/>
        <w:jc w:val="both"/>
        <w:rPr>
          <w:rFonts w:ascii="Palatino Linotype" w:hAnsi="Palatino Linotype"/>
          <w:color w:val="000000" w:themeColor="text1"/>
        </w:rPr>
      </w:pPr>
    </w:p>
    <w:p w14:paraId="1036E697" w14:textId="5749A21E" w:rsidR="008D50EF" w:rsidRPr="00F11975" w:rsidRDefault="000A1DE7" w:rsidP="000A1D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Robustece lo anterior el Criterio de Interpretación 03-17 emitido por el Órgano Garante Nacional, cuyo rubro y texto son los siguientes:</w:t>
      </w:r>
    </w:p>
    <w:p w14:paraId="512A1912" w14:textId="76B6B859"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665A604" w14:textId="77777777" w:rsidR="000A1DE7" w:rsidRPr="00F11975" w:rsidRDefault="000A1DE7" w:rsidP="000A1DE7">
      <w:pPr>
        <w:spacing w:before="73" w:line="276" w:lineRule="auto"/>
        <w:ind w:left="567" w:right="567"/>
        <w:jc w:val="both"/>
        <w:rPr>
          <w:rFonts w:ascii="Palatino Linotype" w:eastAsia="Arial" w:hAnsi="Palatino Linotype" w:cs="Arial"/>
          <w:i/>
          <w:iCs/>
          <w:sz w:val="22"/>
          <w:szCs w:val="22"/>
        </w:rPr>
      </w:pPr>
      <w:r w:rsidRPr="00F11975">
        <w:rPr>
          <w:rFonts w:ascii="Palatino Linotype" w:eastAsia="Arial" w:hAnsi="Palatino Linotype" w:cs="Arial"/>
          <w:b/>
          <w:i/>
          <w:iCs/>
          <w:sz w:val="22"/>
          <w:szCs w:val="22"/>
        </w:rPr>
        <w:t xml:space="preserve">NO EXISTE OBLIGACIÓN DE ELABORAR </w:t>
      </w:r>
      <w:r w:rsidRPr="00F11975">
        <w:rPr>
          <w:rFonts w:ascii="Palatino Linotype" w:eastAsia="Arial" w:hAnsi="Palatino Linotype" w:cs="Arial"/>
          <w:b/>
          <w:i/>
          <w:iCs/>
          <w:spacing w:val="-3"/>
          <w:sz w:val="22"/>
          <w:szCs w:val="22"/>
        </w:rPr>
        <w:t>D</w:t>
      </w:r>
      <w:r w:rsidRPr="00F11975">
        <w:rPr>
          <w:rFonts w:ascii="Palatino Linotype" w:eastAsia="Arial" w:hAnsi="Palatino Linotype" w:cs="Arial"/>
          <w:b/>
          <w:i/>
          <w:iCs/>
          <w:sz w:val="22"/>
          <w:szCs w:val="22"/>
        </w:rPr>
        <w:t>OCUM</w:t>
      </w:r>
      <w:r w:rsidRPr="00F11975">
        <w:rPr>
          <w:rFonts w:ascii="Palatino Linotype" w:eastAsia="Arial" w:hAnsi="Palatino Linotype" w:cs="Arial"/>
          <w:b/>
          <w:i/>
          <w:iCs/>
          <w:spacing w:val="1"/>
          <w:sz w:val="22"/>
          <w:szCs w:val="22"/>
        </w:rPr>
        <w:t>E</w:t>
      </w:r>
      <w:r w:rsidRPr="00F11975">
        <w:rPr>
          <w:rFonts w:ascii="Palatino Linotype" w:eastAsia="Arial" w:hAnsi="Palatino Linotype" w:cs="Arial"/>
          <w:b/>
          <w:i/>
          <w:iCs/>
          <w:sz w:val="22"/>
          <w:szCs w:val="22"/>
        </w:rPr>
        <w:t>N</w:t>
      </w:r>
      <w:r w:rsidRPr="00F11975">
        <w:rPr>
          <w:rFonts w:ascii="Palatino Linotype" w:eastAsia="Arial" w:hAnsi="Palatino Linotype" w:cs="Arial"/>
          <w:b/>
          <w:i/>
          <w:iCs/>
          <w:spacing w:val="-1"/>
          <w:sz w:val="22"/>
          <w:szCs w:val="22"/>
        </w:rPr>
        <w:t>T</w:t>
      </w:r>
      <w:r w:rsidRPr="00F11975">
        <w:rPr>
          <w:rFonts w:ascii="Palatino Linotype" w:eastAsia="Arial" w:hAnsi="Palatino Linotype" w:cs="Arial"/>
          <w:b/>
          <w:i/>
          <w:iCs/>
          <w:sz w:val="22"/>
          <w:szCs w:val="22"/>
        </w:rPr>
        <w:t>OS</w:t>
      </w:r>
      <w:r w:rsidRPr="00F11975">
        <w:rPr>
          <w:rFonts w:ascii="Palatino Linotype" w:eastAsia="Arial" w:hAnsi="Palatino Linotype" w:cs="Arial"/>
          <w:b/>
          <w:i/>
          <w:iCs/>
          <w:spacing w:val="14"/>
          <w:sz w:val="22"/>
          <w:szCs w:val="22"/>
        </w:rPr>
        <w:t xml:space="preserve"> </w:t>
      </w:r>
      <w:r w:rsidRPr="00F11975">
        <w:rPr>
          <w:rFonts w:ascii="Palatino Linotype" w:eastAsia="Arial" w:hAnsi="Palatino Linotype" w:cs="Arial"/>
          <w:b/>
          <w:i/>
          <w:iCs/>
          <w:spacing w:val="-1"/>
          <w:sz w:val="22"/>
          <w:szCs w:val="22"/>
        </w:rPr>
        <w:t xml:space="preserve">AD </w:t>
      </w:r>
      <w:r w:rsidRPr="00F11975">
        <w:rPr>
          <w:rFonts w:ascii="Palatino Linotype" w:eastAsia="Arial" w:hAnsi="Palatino Linotype" w:cs="Arial"/>
          <w:b/>
          <w:i/>
          <w:iCs/>
          <w:sz w:val="22"/>
          <w:szCs w:val="22"/>
        </w:rPr>
        <w:t>HOC</w:t>
      </w:r>
      <w:r w:rsidRPr="00F11975">
        <w:rPr>
          <w:rFonts w:ascii="Palatino Linotype" w:eastAsia="Arial" w:hAnsi="Palatino Linotype" w:cs="Arial"/>
          <w:b/>
          <w:i/>
          <w:iCs/>
          <w:spacing w:val="11"/>
          <w:sz w:val="22"/>
          <w:szCs w:val="22"/>
        </w:rPr>
        <w:t xml:space="preserve"> </w:t>
      </w:r>
      <w:r w:rsidRPr="00F11975">
        <w:rPr>
          <w:rFonts w:ascii="Palatino Linotype" w:eastAsia="Arial" w:hAnsi="Palatino Linotype" w:cs="Arial"/>
          <w:b/>
          <w:i/>
          <w:iCs/>
          <w:sz w:val="22"/>
          <w:szCs w:val="22"/>
        </w:rPr>
        <w:t>PARA</w:t>
      </w:r>
      <w:r w:rsidRPr="00F11975">
        <w:rPr>
          <w:rFonts w:ascii="Palatino Linotype" w:eastAsia="Arial" w:hAnsi="Palatino Linotype" w:cs="Arial"/>
          <w:b/>
          <w:i/>
          <w:iCs/>
          <w:spacing w:val="10"/>
          <w:sz w:val="22"/>
          <w:szCs w:val="22"/>
        </w:rPr>
        <w:t xml:space="preserve"> </w:t>
      </w:r>
      <w:r w:rsidRPr="00F11975">
        <w:rPr>
          <w:rFonts w:ascii="Palatino Linotype" w:eastAsia="Arial" w:hAnsi="Palatino Linotype" w:cs="Arial"/>
          <w:b/>
          <w:i/>
          <w:iCs/>
          <w:sz w:val="22"/>
          <w:szCs w:val="22"/>
        </w:rPr>
        <w:t>ATENDER LAS SOL</w:t>
      </w:r>
      <w:r w:rsidRPr="00F11975">
        <w:rPr>
          <w:rFonts w:ascii="Palatino Linotype" w:eastAsia="Arial" w:hAnsi="Palatino Linotype" w:cs="Arial"/>
          <w:b/>
          <w:i/>
          <w:iCs/>
          <w:spacing w:val="-2"/>
          <w:sz w:val="22"/>
          <w:szCs w:val="22"/>
        </w:rPr>
        <w:t>I</w:t>
      </w:r>
      <w:r w:rsidRPr="00F11975">
        <w:rPr>
          <w:rFonts w:ascii="Palatino Linotype" w:eastAsia="Arial" w:hAnsi="Palatino Linotype" w:cs="Arial"/>
          <w:b/>
          <w:i/>
          <w:iCs/>
          <w:spacing w:val="1"/>
          <w:sz w:val="22"/>
          <w:szCs w:val="22"/>
        </w:rPr>
        <w:t>C</w:t>
      </w:r>
      <w:r w:rsidRPr="00F11975">
        <w:rPr>
          <w:rFonts w:ascii="Palatino Linotype" w:eastAsia="Arial" w:hAnsi="Palatino Linotype" w:cs="Arial"/>
          <w:b/>
          <w:i/>
          <w:iCs/>
          <w:sz w:val="22"/>
          <w:szCs w:val="22"/>
        </w:rPr>
        <w:t>ITUDES</w:t>
      </w:r>
      <w:r w:rsidRPr="00F11975">
        <w:rPr>
          <w:rFonts w:ascii="Palatino Linotype" w:eastAsia="Arial" w:hAnsi="Palatino Linotype" w:cs="Arial"/>
          <w:b/>
          <w:i/>
          <w:iCs/>
          <w:spacing w:val="10"/>
          <w:sz w:val="22"/>
          <w:szCs w:val="22"/>
        </w:rPr>
        <w:t xml:space="preserve"> </w:t>
      </w:r>
      <w:r w:rsidRPr="00F11975">
        <w:rPr>
          <w:rFonts w:ascii="Palatino Linotype" w:eastAsia="Arial" w:hAnsi="Palatino Linotype" w:cs="Arial"/>
          <w:b/>
          <w:i/>
          <w:iCs/>
          <w:sz w:val="22"/>
          <w:szCs w:val="22"/>
        </w:rPr>
        <w:t>DE</w:t>
      </w:r>
      <w:r w:rsidRPr="00F11975">
        <w:rPr>
          <w:rFonts w:ascii="Palatino Linotype" w:eastAsia="Arial" w:hAnsi="Palatino Linotype" w:cs="Arial"/>
          <w:b/>
          <w:i/>
          <w:iCs/>
          <w:spacing w:val="9"/>
          <w:sz w:val="22"/>
          <w:szCs w:val="22"/>
        </w:rPr>
        <w:t xml:space="preserve"> </w:t>
      </w:r>
      <w:r w:rsidRPr="00F11975">
        <w:rPr>
          <w:rFonts w:ascii="Palatino Linotype" w:eastAsia="Arial" w:hAnsi="Palatino Linotype" w:cs="Arial"/>
          <w:b/>
          <w:i/>
          <w:iCs/>
          <w:spacing w:val="1"/>
          <w:sz w:val="22"/>
          <w:szCs w:val="22"/>
        </w:rPr>
        <w:t>AC</w:t>
      </w:r>
      <w:r w:rsidRPr="00F11975">
        <w:rPr>
          <w:rFonts w:ascii="Palatino Linotype" w:eastAsia="Arial" w:hAnsi="Palatino Linotype" w:cs="Arial"/>
          <w:b/>
          <w:i/>
          <w:iCs/>
          <w:spacing w:val="-1"/>
          <w:sz w:val="22"/>
          <w:szCs w:val="22"/>
        </w:rPr>
        <w:t>C</w:t>
      </w:r>
      <w:r w:rsidRPr="00F11975">
        <w:rPr>
          <w:rFonts w:ascii="Palatino Linotype" w:eastAsia="Arial" w:hAnsi="Palatino Linotype" w:cs="Arial"/>
          <w:b/>
          <w:i/>
          <w:iCs/>
          <w:spacing w:val="1"/>
          <w:sz w:val="22"/>
          <w:szCs w:val="22"/>
        </w:rPr>
        <w:t>ES</w:t>
      </w:r>
      <w:r w:rsidRPr="00F11975">
        <w:rPr>
          <w:rFonts w:ascii="Palatino Linotype" w:eastAsia="Arial" w:hAnsi="Palatino Linotype" w:cs="Arial"/>
          <w:b/>
          <w:i/>
          <w:iCs/>
          <w:sz w:val="22"/>
          <w:szCs w:val="22"/>
        </w:rPr>
        <w:t>O</w:t>
      </w:r>
      <w:r w:rsidRPr="00F11975">
        <w:rPr>
          <w:rFonts w:ascii="Palatino Linotype" w:eastAsia="Arial" w:hAnsi="Palatino Linotype" w:cs="Arial"/>
          <w:b/>
          <w:i/>
          <w:iCs/>
          <w:spacing w:val="11"/>
          <w:sz w:val="22"/>
          <w:szCs w:val="22"/>
        </w:rPr>
        <w:t xml:space="preserve"> </w:t>
      </w:r>
      <w:r w:rsidRPr="00F11975">
        <w:rPr>
          <w:rFonts w:ascii="Palatino Linotype" w:eastAsia="Arial" w:hAnsi="Palatino Linotype" w:cs="Arial"/>
          <w:b/>
          <w:i/>
          <w:iCs/>
          <w:sz w:val="22"/>
          <w:szCs w:val="22"/>
        </w:rPr>
        <w:t>A</w:t>
      </w:r>
      <w:r w:rsidRPr="00F11975">
        <w:rPr>
          <w:rFonts w:ascii="Palatino Linotype" w:eastAsia="Arial" w:hAnsi="Palatino Linotype" w:cs="Arial"/>
          <w:b/>
          <w:i/>
          <w:iCs/>
          <w:spacing w:val="9"/>
          <w:sz w:val="22"/>
          <w:szCs w:val="22"/>
        </w:rPr>
        <w:t xml:space="preserve"> </w:t>
      </w:r>
      <w:r w:rsidRPr="00F11975">
        <w:rPr>
          <w:rFonts w:ascii="Palatino Linotype" w:eastAsia="Arial" w:hAnsi="Palatino Linotype" w:cs="Arial"/>
          <w:b/>
          <w:i/>
          <w:iCs/>
          <w:sz w:val="22"/>
          <w:szCs w:val="22"/>
        </w:rPr>
        <w:t>LA</w:t>
      </w:r>
      <w:r w:rsidRPr="00F11975">
        <w:rPr>
          <w:rFonts w:ascii="Palatino Linotype" w:eastAsia="Arial" w:hAnsi="Palatino Linotype" w:cs="Arial"/>
          <w:b/>
          <w:i/>
          <w:iCs/>
          <w:spacing w:val="10"/>
          <w:sz w:val="22"/>
          <w:szCs w:val="22"/>
        </w:rPr>
        <w:t xml:space="preserve"> </w:t>
      </w:r>
      <w:r w:rsidRPr="00F11975">
        <w:rPr>
          <w:rFonts w:ascii="Palatino Linotype" w:eastAsia="Arial" w:hAnsi="Palatino Linotype" w:cs="Arial"/>
          <w:b/>
          <w:i/>
          <w:iCs/>
          <w:sz w:val="22"/>
          <w:szCs w:val="22"/>
        </w:rPr>
        <w:t>INFORMA</w:t>
      </w:r>
      <w:r w:rsidRPr="00F11975">
        <w:rPr>
          <w:rFonts w:ascii="Palatino Linotype" w:eastAsia="Arial" w:hAnsi="Palatino Linotype" w:cs="Arial"/>
          <w:b/>
          <w:i/>
          <w:iCs/>
          <w:spacing w:val="1"/>
          <w:sz w:val="22"/>
          <w:szCs w:val="22"/>
        </w:rPr>
        <w:t>C</w:t>
      </w:r>
      <w:r w:rsidRPr="00F11975">
        <w:rPr>
          <w:rFonts w:ascii="Palatino Linotype" w:eastAsia="Arial" w:hAnsi="Palatino Linotype" w:cs="Arial"/>
          <w:b/>
          <w:i/>
          <w:iCs/>
          <w:sz w:val="22"/>
          <w:szCs w:val="22"/>
        </w:rPr>
        <w:t>IÓ</w:t>
      </w:r>
      <w:r w:rsidRPr="00F11975">
        <w:rPr>
          <w:rFonts w:ascii="Palatino Linotype" w:eastAsia="Arial" w:hAnsi="Palatino Linotype" w:cs="Arial"/>
          <w:b/>
          <w:i/>
          <w:iCs/>
          <w:spacing w:val="-2"/>
          <w:sz w:val="22"/>
          <w:szCs w:val="22"/>
        </w:rPr>
        <w:t>N</w:t>
      </w:r>
      <w:r w:rsidRPr="00F11975">
        <w:rPr>
          <w:rFonts w:ascii="Palatino Linotype" w:eastAsia="Arial" w:hAnsi="Palatino Linotype" w:cs="Arial"/>
          <w:b/>
          <w:i/>
          <w:iCs/>
          <w:sz w:val="22"/>
          <w:szCs w:val="22"/>
        </w:rPr>
        <w:t>.</w:t>
      </w:r>
      <w:r w:rsidRPr="00F11975">
        <w:rPr>
          <w:rFonts w:ascii="Palatino Linotype" w:eastAsia="Arial" w:hAnsi="Palatino Linotype" w:cs="Arial"/>
          <w:b/>
          <w:i/>
          <w:iCs/>
          <w:spacing w:val="18"/>
          <w:sz w:val="22"/>
          <w:szCs w:val="22"/>
        </w:rPr>
        <w:t xml:space="preserve"> “</w:t>
      </w:r>
      <w:r w:rsidRPr="00F11975">
        <w:rPr>
          <w:rFonts w:ascii="Palatino Linotype" w:eastAsia="Arial" w:hAnsi="Palatino Linotype" w:cs="Arial"/>
          <w:i/>
          <w:iCs/>
          <w:spacing w:val="18"/>
          <w:sz w:val="22"/>
          <w:szCs w:val="22"/>
        </w:rPr>
        <w:t>L</w:t>
      </w:r>
      <w:r w:rsidRPr="00F11975">
        <w:rPr>
          <w:rFonts w:ascii="Palatino Linotype" w:eastAsia="Arial" w:hAnsi="Palatino Linotype" w:cs="Arial"/>
          <w:i/>
          <w:iCs/>
          <w:spacing w:val="-1"/>
          <w:sz w:val="22"/>
          <w:szCs w:val="22"/>
        </w:rPr>
        <w:t xml:space="preserve">os </w:t>
      </w:r>
      <w:r w:rsidRPr="00F11975">
        <w:rPr>
          <w:rFonts w:ascii="Palatino Linotype" w:eastAsia="Arial" w:hAnsi="Palatino Linotype" w:cs="Arial"/>
          <w:i/>
          <w:iCs/>
          <w:spacing w:val="1"/>
          <w:sz w:val="22"/>
          <w:szCs w:val="22"/>
        </w:rPr>
        <w:t>a</w:t>
      </w:r>
      <w:r w:rsidRPr="00F11975">
        <w:rPr>
          <w:rFonts w:ascii="Palatino Linotype" w:eastAsia="Arial" w:hAnsi="Palatino Linotype" w:cs="Arial"/>
          <w:i/>
          <w:iCs/>
          <w:sz w:val="22"/>
          <w:szCs w:val="22"/>
        </w:rPr>
        <w:t>rt</w:t>
      </w:r>
      <w:r w:rsidRPr="00F11975">
        <w:rPr>
          <w:rFonts w:ascii="Palatino Linotype" w:eastAsia="Arial" w:hAnsi="Palatino Linotype" w:cs="Arial"/>
          <w:i/>
          <w:iCs/>
          <w:spacing w:val="-2"/>
          <w:sz w:val="22"/>
          <w:szCs w:val="22"/>
        </w:rPr>
        <w:t>í</w:t>
      </w:r>
      <w:r w:rsidRPr="00F11975">
        <w:rPr>
          <w:rFonts w:ascii="Palatino Linotype" w:eastAsia="Arial" w:hAnsi="Palatino Linotype" w:cs="Arial"/>
          <w:i/>
          <w:iCs/>
          <w:sz w:val="22"/>
          <w:szCs w:val="22"/>
        </w:rPr>
        <w:t>c</w:t>
      </w:r>
      <w:r w:rsidRPr="00F11975">
        <w:rPr>
          <w:rFonts w:ascii="Palatino Linotype" w:eastAsia="Arial" w:hAnsi="Palatino Linotype" w:cs="Arial"/>
          <w:i/>
          <w:iCs/>
          <w:spacing w:val="1"/>
          <w:sz w:val="22"/>
          <w:szCs w:val="22"/>
        </w:rPr>
        <w:t>u</w:t>
      </w:r>
      <w:r w:rsidRPr="00F11975">
        <w:rPr>
          <w:rFonts w:ascii="Palatino Linotype" w:eastAsia="Arial" w:hAnsi="Palatino Linotype" w:cs="Arial"/>
          <w:i/>
          <w:iCs/>
          <w:sz w:val="22"/>
          <w:szCs w:val="22"/>
        </w:rPr>
        <w:t>los</w:t>
      </w:r>
      <w:r w:rsidRPr="00F11975">
        <w:rPr>
          <w:rFonts w:ascii="Palatino Linotype" w:eastAsia="Arial" w:hAnsi="Palatino Linotype" w:cs="Arial"/>
          <w:i/>
          <w:iCs/>
          <w:spacing w:val="8"/>
          <w:sz w:val="22"/>
          <w:szCs w:val="22"/>
        </w:rPr>
        <w:t xml:space="preserve"> 129 </w:t>
      </w:r>
      <w:r w:rsidRPr="00F11975">
        <w:rPr>
          <w:rFonts w:ascii="Palatino Linotype" w:eastAsia="Arial" w:hAnsi="Palatino Linotype" w:cs="Arial"/>
          <w:i/>
          <w:iCs/>
          <w:spacing w:val="1"/>
          <w:sz w:val="22"/>
          <w:szCs w:val="22"/>
        </w:rPr>
        <w:t>d</w:t>
      </w:r>
      <w:r w:rsidRPr="00F11975">
        <w:rPr>
          <w:rFonts w:ascii="Palatino Linotype" w:eastAsia="Arial" w:hAnsi="Palatino Linotype" w:cs="Arial"/>
          <w:i/>
          <w:iCs/>
          <w:sz w:val="22"/>
          <w:szCs w:val="22"/>
        </w:rPr>
        <w:t>e</w:t>
      </w:r>
      <w:r w:rsidRPr="00F11975">
        <w:rPr>
          <w:rFonts w:ascii="Palatino Linotype" w:eastAsia="Arial" w:hAnsi="Palatino Linotype" w:cs="Arial"/>
          <w:i/>
          <w:iCs/>
          <w:spacing w:val="9"/>
          <w:sz w:val="22"/>
          <w:szCs w:val="22"/>
        </w:rPr>
        <w:t xml:space="preserve"> </w:t>
      </w:r>
      <w:r w:rsidRPr="00F11975">
        <w:rPr>
          <w:rFonts w:ascii="Palatino Linotype" w:eastAsia="Arial" w:hAnsi="Palatino Linotype" w:cs="Arial"/>
          <w:i/>
          <w:iCs/>
          <w:sz w:val="22"/>
          <w:szCs w:val="22"/>
        </w:rPr>
        <w:t>la</w:t>
      </w:r>
      <w:r w:rsidRPr="00F11975">
        <w:rPr>
          <w:rFonts w:ascii="Palatino Linotype" w:eastAsia="Arial" w:hAnsi="Palatino Linotype" w:cs="Arial"/>
          <w:i/>
          <w:iCs/>
          <w:spacing w:val="10"/>
          <w:sz w:val="22"/>
          <w:szCs w:val="22"/>
        </w:rPr>
        <w:t xml:space="preserve"> </w:t>
      </w:r>
      <w:r w:rsidRPr="00F11975">
        <w:rPr>
          <w:rFonts w:ascii="Palatino Linotype" w:eastAsia="Arial" w:hAnsi="Palatino Linotype" w:cs="Arial"/>
          <w:i/>
          <w:iCs/>
          <w:spacing w:val="-1"/>
          <w:sz w:val="22"/>
          <w:szCs w:val="22"/>
        </w:rPr>
        <w:t>L</w:t>
      </w:r>
      <w:r w:rsidRPr="00F11975">
        <w:rPr>
          <w:rFonts w:ascii="Palatino Linotype" w:eastAsia="Arial" w:hAnsi="Palatino Linotype" w:cs="Arial"/>
          <w:i/>
          <w:iCs/>
          <w:spacing w:val="1"/>
          <w:sz w:val="22"/>
          <w:szCs w:val="22"/>
        </w:rPr>
        <w:t>e</w:t>
      </w:r>
      <w:r w:rsidRPr="00F11975">
        <w:rPr>
          <w:rFonts w:ascii="Palatino Linotype" w:eastAsia="Arial" w:hAnsi="Palatino Linotype" w:cs="Arial"/>
          <w:i/>
          <w:iCs/>
          <w:sz w:val="22"/>
          <w:szCs w:val="22"/>
        </w:rPr>
        <w:t>y</w:t>
      </w:r>
      <w:r w:rsidRPr="00F11975">
        <w:rPr>
          <w:rFonts w:ascii="Palatino Linotype" w:eastAsia="Arial" w:hAnsi="Palatino Linotype" w:cs="Arial"/>
          <w:i/>
          <w:iCs/>
          <w:spacing w:val="8"/>
          <w:sz w:val="22"/>
          <w:szCs w:val="22"/>
        </w:rPr>
        <w:t xml:space="preserve"> </w:t>
      </w:r>
      <w:r w:rsidRPr="00F11975">
        <w:rPr>
          <w:rFonts w:ascii="Palatino Linotype" w:eastAsia="Arial" w:hAnsi="Palatino Linotype" w:cs="Arial"/>
          <w:i/>
          <w:iCs/>
          <w:sz w:val="22"/>
          <w:szCs w:val="22"/>
        </w:rPr>
        <w:t>General</w:t>
      </w:r>
      <w:r w:rsidRPr="00F11975">
        <w:rPr>
          <w:rFonts w:ascii="Palatino Linotype" w:eastAsia="Arial" w:hAnsi="Palatino Linotype" w:cs="Arial"/>
          <w:i/>
          <w:iCs/>
          <w:spacing w:val="10"/>
          <w:sz w:val="22"/>
          <w:szCs w:val="22"/>
        </w:rPr>
        <w:t xml:space="preserve"> </w:t>
      </w:r>
      <w:r w:rsidRPr="00F11975">
        <w:rPr>
          <w:rFonts w:ascii="Palatino Linotype" w:eastAsia="Arial" w:hAnsi="Palatino Linotype" w:cs="Arial"/>
          <w:i/>
          <w:iCs/>
          <w:spacing w:val="-1"/>
          <w:sz w:val="22"/>
          <w:szCs w:val="22"/>
        </w:rPr>
        <w:t>d</w:t>
      </w:r>
      <w:r w:rsidRPr="00F11975">
        <w:rPr>
          <w:rFonts w:ascii="Palatino Linotype" w:eastAsia="Arial" w:hAnsi="Palatino Linotype" w:cs="Arial"/>
          <w:i/>
          <w:iCs/>
          <w:sz w:val="22"/>
          <w:szCs w:val="22"/>
        </w:rPr>
        <w:t>e</w:t>
      </w:r>
      <w:r w:rsidRPr="00F11975">
        <w:rPr>
          <w:rFonts w:ascii="Palatino Linotype" w:eastAsia="Arial" w:hAnsi="Palatino Linotype" w:cs="Arial"/>
          <w:i/>
          <w:iCs/>
          <w:spacing w:val="9"/>
          <w:sz w:val="22"/>
          <w:szCs w:val="22"/>
        </w:rPr>
        <w:t xml:space="preserve"> </w:t>
      </w:r>
      <w:r w:rsidRPr="00F11975">
        <w:rPr>
          <w:rFonts w:ascii="Palatino Linotype" w:eastAsia="Arial" w:hAnsi="Palatino Linotype" w:cs="Arial"/>
          <w:i/>
          <w:iCs/>
          <w:spacing w:val="2"/>
          <w:sz w:val="22"/>
          <w:szCs w:val="22"/>
        </w:rPr>
        <w:t>T</w:t>
      </w:r>
      <w:r w:rsidRPr="00F11975">
        <w:rPr>
          <w:rFonts w:ascii="Palatino Linotype" w:eastAsia="Arial" w:hAnsi="Palatino Linotype" w:cs="Arial"/>
          <w:i/>
          <w:iCs/>
          <w:sz w:val="22"/>
          <w:szCs w:val="22"/>
        </w:rPr>
        <w:t>r</w:t>
      </w:r>
      <w:r w:rsidRPr="00F11975">
        <w:rPr>
          <w:rFonts w:ascii="Palatino Linotype" w:eastAsia="Arial" w:hAnsi="Palatino Linotype" w:cs="Arial"/>
          <w:i/>
          <w:iCs/>
          <w:spacing w:val="-2"/>
          <w:sz w:val="22"/>
          <w:szCs w:val="22"/>
        </w:rPr>
        <w:t>a</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z w:val="22"/>
          <w:szCs w:val="22"/>
        </w:rPr>
        <w:t>s</w:t>
      </w:r>
      <w:r w:rsidRPr="00F11975">
        <w:rPr>
          <w:rFonts w:ascii="Palatino Linotype" w:eastAsia="Arial" w:hAnsi="Palatino Linotype" w:cs="Arial"/>
          <w:i/>
          <w:iCs/>
          <w:spacing w:val="1"/>
          <w:sz w:val="22"/>
          <w:szCs w:val="22"/>
        </w:rPr>
        <w:t>pa</w:t>
      </w:r>
      <w:r w:rsidRPr="00F11975">
        <w:rPr>
          <w:rFonts w:ascii="Palatino Linotype" w:eastAsia="Arial" w:hAnsi="Palatino Linotype" w:cs="Arial"/>
          <w:i/>
          <w:iCs/>
          <w:sz w:val="22"/>
          <w:szCs w:val="22"/>
        </w:rPr>
        <w:t>r</w:t>
      </w:r>
      <w:r w:rsidRPr="00F11975">
        <w:rPr>
          <w:rFonts w:ascii="Palatino Linotype" w:eastAsia="Arial" w:hAnsi="Palatino Linotype" w:cs="Arial"/>
          <w:i/>
          <w:iCs/>
          <w:spacing w:val="-2"/>
          <w:sz w:val="22"/>
          <w:szCs w:val="22"/>
        </w:rPr>
        <w:t>e</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z w:val="22"/>
          <w:szCs w:val="22"/>
        </w:rPr>
        <w:t>cia y Acc</w:t>
      </w:r>
      <w:r w:rsidRPr="00F11975">
        <w:rPr>
          <w:rFonts w:ascii="Palatino Linotype" w:eastAsia="Arial" w:hAnsi="Palatino Linotype" w:cs="Arial"/>
          <w:i/>
          <w:iCs/>
          <w:spacing w:val="1"/>
          <w:sz w:val="22"/>
          <w:szCs w:val="22"/>
        </w:rPr>
        <w:t>e</w:t>
      </w:r>
      <w:r w:rsidRPr="00F11975">
        <w:rPr>
          <w:rFonts w:ascii="Palatino Linotype" w:eastAsia="Arial" w:hAnsi="Palatino Linotype" w:cs="Arial"/>
          <w:i/>
          <w:iCs/>
          <w:sz w:val="22"/>
          <w:szCs w:val="22"/>
        </w:rPr>
        <w:t>so</w:t>
      </w:r>
      <w:r w:rsidRPr="00F11975">
        <w:rPr>
          <w:rFonts w:ascii="Palatino Linotype" w:eastAsia="Arial" w:hAnsi="Palatino Linotype" w:cs="Arial"/>
          <w:i/>
          <w:iCs/>
          <w:spacing w:val="3"/>
          <w:sz w:val="22"/>
          <w:szCs w:val="22"/>
        </w:rPr>
        <w:t xml:space="preserve"> </w:t>
      </w:r>
      <w:r w:rsidRPr="00F11975">
        <w:rPr>
          <w:rFonts w:ascii="Palatino Linotype" w:eastAsia="Arial" w:hAnsi="Palatino Linotype" w:cs="Arial"/>
          <w:i/>
          <w:iCs/>
          <w:sz w:val="22"/>
          <w:szCs w:val="22"/>
        </w:rPr>
        <w:t>a</w:t>
      </w:r>
      <w:r w:rsidRPr="00F11975">
        <w:rPr>
          <w:rFonts w:ascii="Palatino Linotype" w:eastAsia="Arial" w:hAnsi="Palatino Linotype" w:cs="Arial"/>
          <w:i/>
          <w:iCs/>
          <w:spacing w:val="1"/>
          <w:sz w:val="22"/>
          <w:szCs w:val="22"/>
        </w:rPr>
        <w:t xml:space="preserve"> </w:t>
      </w:r>
      <w:r w:rsidRPr="00F11975">
        <w:rPr>
          <w:rFonts w:ascii="Palatino Linotype" w:eastAsia="Arial" w:hAnsi="Palatino Linotype" w:cs="Arial"/>
          <w:i/>
          <w:iCs/>
          <w:sz w:val="22"/>
          <w:szCs w:val="22"/>
        </w:rPr>
        <w:t>la I</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z w:val="22"/>
          <w:szCs w:val="22"/>
        </w:rPr>
        <w:t>f</w:t>
      </w:r>
      <w:r w:rsidRPr="00F11975">
        <w:rPr>
          <w:rFonts w:ascii="Palatino Linotype" w:eastAsia="Arial" w:hAnsi="Palatino Linotype" w:cs="Arial"/>
          <w:i/>
          <w:iCs/>
          <w:spacing w:val="1"/>
          <w:sz w:val="22"/>
          <w:szCs w:val="22"/>
        </w:rPr>
        <w:t>o</w:t>
      </w:r>
      <w:r w:rsidRPr="00F11975">
        <w:rPr>
          <w:rFonts w:ascii="Palatino Linotype" w:eastAsia="Arial" w:hAnsi="Palatino Linotype" w:cs="Arial"/>
          <w:i/>
          <w:iCs/>
          <w:spacing w:val="-3"/>
          <w:sz w:val="22"/>
          <w:szCs w:val="22"/>
        </w:rPr>
        <w:t>r</w:t>
      </w:r>
      <w:r w:rsidRPr="00F11975">
        <w:rPr>
          <w:rFonts w:ascii="Palatino Linotype" w:eastAsia="Arial" w:hAnsi="Palatino Linotype" w:cs="Arial"/>
          <w:i/>
          <w:iCs/>
          <w:spacing w:val="1"/>
          <w:sz w:val="22"/>
          <w:szCs w:val="22"/>
        </w:rPr>
        <w:t>ma</w:t>
      </w:r>
      <w:r w:rsidRPr="00F11975">
        <w:rPr>
          <w:rFonts w:ascii="Palatino Linotype" w:eastAsia="Arial" w:hAnsi="Palatino Linotype" w:cs="Arial"/>
          <w:i/>
          <w:iCs/>
          <w:sz w:val="22"/>
          <w:szCs w:val="22"/>
        </w:rPr>
        <w:t>ci</w:t>
      </w:r>
      <w:r w:rsidRPr="00F11975">
        <w:rPr>
          <w:rFonts w:ascii="Palatino Linotype" w:eastAsia="Arial" w:hAnsi="Palatino Linotype" w:cs="Arial"/>
          <w:i/>
          <w:iCs/>
          <w:spacing w:val="-2"/>
          <w:sz w:val="22"/>
          <w:szCs w:val="22"/>
        </w:rPr>
        <w:t>ó</w:t>
      </w:r>
      <w:r w:rsidRPr="00F11975">
        <w:rPr>
          <w:rFonts w:ascii="Palatino Linotype" w:eastAsia="Arial" w:hAnsi="Palatino Linotype" w:cs="Arial"/>
          <w:i/>
          <w:iCs/>
          <w:sz w:val="22"/>
          <w:szCs w:val="22"/>
        </w:rPr>
        <w:t>n</w:t>
      </w:r>
      <w:r w:rsidRPr="00F11975">
        <w:rPr>
          <w:rFonts w:ascii="Palatino Linotype" w:eastAsia="Arial" w:hAnsi="Palatino Linotype" w:cs="Arial"/>
          <w:i/>
          <w:iCs/>
          <w:spacing w:val="6"/>
          <w:sz w:val="22"/>
          <w:szCs w:val="22"/>
        </w:rPr>
        <w:t xml:space="preserve"> </w:t>
      </w:r>
      <w:r w:rsidRPr="00F11975">
        <w:rPr>
          <w:rFonts w:ascii="Palatino Linotype" w:eastAsia="Arial" w:hAnsi="Palatino Linotype" w:cs="Arial"/>
          <w:i/>
          <w:iCs/>
          <w:spacing w:val="-2"/>
          <w:sz w:val="22"/>
          <w:szCs w:val="22"/>
        </w:rPr>
        <w:t>P</w:t>
      </w:r>
      <w:r w:rsidRPr="00F11975">
        <w:rPr>
          <w:rFonts w:ascii="Palatino Linotype" w:eastAsia="Arial" w:hAnsi="Palatino Linotype" w:cs="Arial"/>
          <w:i/>
          <w:iCs/>
          <w:spacing w:val="1"/>
          <w:sz w:val="22"/>
          <w:szCs w:val="22"/>
        </w:rPr>
        <w:t>úb</w:t>
      </w:r>
      <w:r w:rsidRPr="00F11975">
        <w:rPr>
          <w:rFonts w:ascii="Palatino Linotype" w:eastAsia="Arial" w:hAnsi="Palatino Linotype" w:cs="Arial"/>
          <w:i/>
          <w:iCs/>
          <w:sz w:val="22"/>
          <w:szCs w:val="22"/>
        </w:rPr>
        <w:t>l</w:t>
      </w:r>
      <w:r w:rsidRPr="00F11975">
        <w:rPr>
          <w:rFonts w:ascii="Palatino Linotype" w:eastAsia="Arial" w:hAnsi="Palatino Linotype" w:cs="Arial"/>
          <w:i/>
          <w:iCs/>
          <w:spacing w:val="-1"/>
          <w:sz w:val="22"/>
          <w:szCs w:val="22"/>
        </w:rPr>
        <w:t>i</w:t>
      </w:r>
      <w:r w:rsidRPr="00F11975">
        <w:rPr>
          <w:rFonts w:ascii="Palatino Linotype" w:eastAsia="Arial" w:hAnsi="Palatino Linotype" w:cs="Arial"/>
          <w:i/>
          <w:iCs/>
          <w:sz w:val="22"/>
          <w:szCs w:val="22"/>
        </w:rPr>
        <w:t xml:space="preserve">ca y </w:t>
      </w:r>
      <w:r w:rsidRPr="00F11975">
        <w:rPr>
          <w:rFonts w:ascii="Palatino Linotype" w:eastAsia="Arial" w:hAnsi="Palatino Linotype" w:cs="Arial"/>
          <w:i/>
          <w:iCs/>
          <w:spacing w:val="8"/>
          <w:sz w:val="22"/>
          <w:szCs w:val="22"/>
        </w:rPr>
        <w:t xml:space="preserve">130, párrafo cuarto, </w:t>
      </w:r>
      <w:r w:rsidRPr="00F11975">
        <w:rPr>
          <w:rFonts w:ascii="Palatino Linotype" w:eastAsia="Arial" w:hAnsi="Palatino Linotype" w:cs="Arial"/>
          <w:i/>
          <w:iCs/>
          <w:spacing w:val="1"/>
          <w:sz w:val="22"/>
          <w:szCs w:val="22"/>
        </w:rPr>
        <w:t>d</w:t>
      </w:r>
      <w:r w:rsidRPr="00F11975">
        <w:rPr>
          <w:rFonts w:ascii="Palatino Linotype" w:eastAsia="Arial" w:hAnsi="Palatino Linotype" w:cs="Arial"/>
          <w:i/>
          <w:iCs/>
          <w:sz w:val="22"/>
          <w:szCs w:val="22"/>
        </w:rPr>
        <w:t>e</w:t>
      </w:r>
      <w:r w:rsidRPr="00F11975">
        <w:rPr>
          <w:rFonts w:ascii="Palatino Linotype" w:eastAsia="Arial" w:hAnsi="Palatino Linotype" w:cs="Arial"/>
          <w:i/>
          <w:iCs/>
          <w:spacing w:val="9"/>
          <w:sz w:val="22"/>
          <w:szCs w:val="22"/>
        </w:rPr>
        <w:t xml:space="preserve"> </w:t>
      </w:r>
      <w:r w:rsidRPr="00F11975">
        <w:rPr>
          <w:rFonts w:ascii="Palatino Linotype" w:eastAsia="Arial" w:hAnsi="Palatino Linotype" w:cs="Arial"/>
          <w:i/>
          <w:iCs/>
          <w:sz w:val="22"/>
          <w:szCs w:val="22"/>
        </w:rPr>
        <w:t>la</w:t>
      </w:r>
      <w:r w:rsidRPr="00F11975">
        <w:rPr>
          <w:rFonts w:ascii="Palatino Linotype" w:eastAsia="Arial" w:hAnsi="Palatino Linotype" w:cs="Arial"/>
          <w:i/>
          <w:iCs/>
          <w:spacing w:val="10"/>
          <w:sz w:val="22"/>
          <w:szCs w:val="22"/>
        </w:rPr>
        <w:t xml:space="preserve"> </w:t>
      </w:r>
      <w:r w:rsidRPr="00F11975">
        <w:rPr>
          <w:rFonts w:ascii="Palatino Linotype" w:eastAsia="Arial" w:hAnsi="Palatino Linotype" w:cs="Arial"/>
          <w:i/>
          <w:iCs/>
          <w:spacing w:val="-1"/>
          <w:sz w:val="22"/>
          <w:szCs w:val="22"/>
        </w:rPr>
        <w:t>L</w:t>
      </w:r>
      <w:r w:rsidRPr="00F11975">
        <w:rPr>
          <w:rFonts w:ascii="Palatino Linotype" w:eastAsia="Arial" w:hAnsi="Palatino Linotype" w:cs="Arial"/>
          <w:i/>
          <w:iCs/>
          <w:spacing w:val="1"/>
          <w:sz w:val="22"/>
          <w:szCs w:val="22"/>
        </w:rPr>
        <w:t>e</w:t>
      </w:r>
      <w:r w:rsidRPr="00F11975">
        <w:rPr>
          <w:rFonts w:ascii="Palatino Linotype" w:eastAsia="Arial" w:hAnsi="Palatino Linotype" w:cs="Arial"/>
          <w:i/>
          <w:iCs/>
          <w:sz w:val="22"/>
          <w:szCs w:val="22"/>
        </w:rPr>
        <w:t>y</w:t>
      </w:r>
      <w:r w:rsidRPr="00F11975">
        <w:rPr>
          <w:rFonts w:ascii="Palatino Linotype" w:eastAsia="Arial" w:hAnsi="Palatino Linotype" w:cs="Arial"/>
          <w:i/>
          <w:iCs/>
          <w:spacing w:val="8"/>
          <w:sz w:val="22"/>
          <w:szCs w:val="22"/>
        </w:rPr>
        <w:t xml:space="preserve"> </w:t>
      </w:r>
      <w:r w:rsidRPr="00F11975">
        <w:rPr>
          <w:rFonts w:ascii="Palatino Linotype" w:eastAsia="Arial" w:hAnsi="Palatino Linotype" w:cs="Arial"/>
          <w:i/>
          <w:iCs/>
          <w:sz w:val="22"/>
          <w:szCs w:val="22"/>
        </w:rPr>
        <w:t>Fe</w:t>
      </w:r>
      <w:r w:rsidRPr="00F11975">
        <w:rPr>
          <w:rFonts w:ascii="Palatino Linotype" w:eastAsia="Arial" w:hAnsi="Palatino Linotype" w:cs="Arial"/>
          <w:i/>
          <w:iCs/>
          <w:spacing w:val="1"/>
          <w:sz w:val="22"/>
          <w:szCs w:val="22"/>
        </w:rPr>
        <w:t>de</w:t>
      </w:r>
      <w:r w:rsidRPr="00F11975">
        <w:rPr>
          <w:rFonts w:ascii="Palatino Linotype" w:eastAsia="Arial" w:hAnsi="Palatino Linotype" w:cs="Arial"/>
          <w:i/>
          <w:iCs/>
          <w:sz w:val="22"/>
          <w:szCs w:val="22"/>
        </w:rPr>
        <w:t>ral</w:t>
      </w:r>
      <w:r w:rsidRPr="00F11975">
        <w:rPr>
          <w:rFonts w:ascii="Palatino Linotype" w:eastAsia="Arial" w:hAnsi="Palatino Linotype" w:cs="Arial"/>
          <w:i/>
          <w:iCs/>
          <w:spacing w:val="10"/>
          <w:sz w:val="22"/>
          <w:szCs w:val="22"/>
        </w:rPr>
        <w:t xml:space="preserve"> </w:t>
      </w:r>
      <w:r w:rsidRPr="00F11975">
        <w:rPr>
          <w:rFonts w:ascii="Palatino Linotype" w:eastAsia="Arial" w:hAnsi="Palatino Linotype" w:cs="Arial"/>
          <w:i/>
          <w:iCs/>
          <w:spacing w:val="-1"/>
          <w:sz w:val="22"/>
          <w:szCs w:val="22"/>
        </w:rPr>
        <w:t>d</w:t>
      </w:r>
      <w:r w:rsidRPr="00F11975">
        <w:rPr>
          <w:rFonts w:ascii="Palatino Linotype" w:eastAsia="Arial" w:hAnsi="Palatino Linotype" w:cs="Arial"/>
          <w:i/>
          <w:iCs/>
          <w:sz w:val="22"/>
          <w:szCs w:val="22"/>
        </w:rPr>
        <w:t>e</w:t>
      </w:r>
      <w:r w:rsidRPr="00F11975">
        <w:rPr>
          <w:rFonts w:ascii="Palatino Linotype" w:eastAsia="Arial" w:hAnsi="Palatino Linotype" w:cs="Arial"/>
          <w:i/>
          <w:iCs/>
          <w:spacing w:val="9"/>
          <w:sz w:val="22"/>
          <w:szCs w:val="22"/>
        </w:rPr>
        <w:t xml:space="preserve"> </w:t>
      </w:r>
      <w:r w:rsidRPr="00F11975">
        <w:rPr>
          <w:rFonts w:ascii="Palatino Linotype" w:eastAsia="Arial" w:hAnsi="Palatino Linotype" w:cs="Arial"/>
          <w:i/>
          <w:iCs/>
          <w:spacing w:val="2"/>
          <w:sz w:val="22"/>
          <w:szCs w:val="22"/>
        </w:rPr>
        <w:t>T</w:t>
      </w:r>
      <w:r w:rsidRPr="00F11975">
        <w:rPr>
          <w:rFonts w:ascii="Palatino Linotype" w:eastAsia="Arial" w:hAnsi="Palatino Linotype" w:cs="Arial"/>
          <w:i/>
          <w:iCs/>
          <w:sz w:val="22"/>
          <w:szCs w:val="22"/>
        </w:rPr>
        <w:t>r</w:t>
      </w:r>
      <w:r w:rsidRPr="00F11975">
        <w:rPr>
          <w:rFonts w:ascii="Palatino Linotype" w:eastAsia="Arial" w:hAnsi="Palatino Linotype" w:cs="Arial"/>
          <w:i/>
          <w:iCs/>
          <w:spacing w:val="-2"/>
          <w:sz w:val="22"/>
          <w:szCs w:val="22"/>
        </w:rPr>
        <w:t>a</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z w:val="22"/>
          <w:szCs w:val="22"/>
        </w:rPr>
        <w:t>s</w:t>
      </w:r>
      <w:r w:rsidRPr="00F11975">
        <w:rPr>
          <w:rFonts w:ascii="Palatino Linotype" w:eastAsia="Arial" w:hAnsi="Palatino Linotype" w:cs="Arial"/>
          <w:i/>
          <w:iCs/>
          <w:spacing w:val="1"/>
          <w:sz w:val="22"/>
          <w:szCs w:val="22"/>
        </w:rPr>
        <w:t>pa</w:t>
      </w:r>
      <w:r w:rsidRPr="00F11975">
        <w:rPr>
          <w:rFonts w:ascii="Palatino Linotype" w:eastAsia="Arial" w:hAnsi="Palatino Linotype" w:cs="Arial"/>
          <w:i/>
          <w:iCs/>
          <w:sz w:val="22"/>
          <w:szCs w:val="22"/>
        </w:rPr>
        <w:t>r</w:t>
      </w:r>
      <w:r w:rsidRPr="00F11975">
        <w:rPr>
          <w:rFonts w:ascii="Palatino Linotype" w:eastAsia="Arial" w:hAnsi="Palatino Linotype" w:cs="Arial"/>
          <w:i/>
          <w:iCs/>
          <w:spacing w:val="-2"/>
          <w:sz w:val="22"/>
          <w:szCs w:val="22"/>
        </w:rPr>
        <w:t>e</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z w:val="22"/>
          <w:szCs w:val="22"/>
        </w:rPr>
        <w:t>cia y Acc</w:t>
      </w:r>
      <w:r w:rsidRPr="00F11975">
        <w:rPr>
          <w:rFonts w:ascii="Palatino Linotype" w:eastAsia="Arial" w:hAnsi="Palatino Linotype" w:cs="Arial"/>
          <w:i/>
          <w:iCs/>
          <w:spacing w:val="1"/>
          <w:sz w:val="22"/>
          <w:szCs w:val="22"/>
        </w:rPr>
        <w:t>e</w:t>
      </w:r>
      <w:r w:rsidRPr="00F11975">
        <w:rPr>
          <w:rFonts w:ascii="Palatino Linotype" w:eastAsia="Arial" w:hAnsi="Palatino Linotype" w:cs="Arial"/>
          <w:i/>
          <w:iCs/>
          <w:sz w:val="22"/>
          <w:szCs w:val="22"/>
        </w:rPr>
        <w:t>so</w:t>
      </w:r>
      <w:r w:rsidRPr="00F11975">
        <w:rPr>
          <w:rFonts w:ascii="Palatino Linotype" w:eastAsia="Arial" w:hAnsi="Palatino Linotype" w:cs="Arial"/>
          <w:i/>
          <w:iCs/>
          <w:spacing w:val="3"/>
          <w:sz w:val="22"/>
          <w:szCs w:val="22"/>
        </w:rPr>
        <w:t xml:space="preserve"> </w:t>
      </w:r>
      <w:r w:rsidRPr="00F11975">
        <w:rPr>
          <w:rFonts w:ascii="Palatino Linotype" w:eastAsia="Arial" w:hAnsi="Palatino Linotype" w:cs="Arial"/>
          <w:i/>
          <w:iCs/>
          <w:sz w:val="22"/>
          <w:szCs w:val="22"/>
        </w:rPr>
        <w:t>a</w:t>
      </w:r>
      <w:r w:rsidRPr="00F11975">
        <w:rPr>
          <w:rFonts w:ascii="Palatino Linotype" w:eastAsia="Arial" w:hAnsi="Palatino Linotype" w:cs="Arial"/>
          <w:i/>
          <w:iCs/>
          <w:spacing w:val="1"/>
          <w:sz w:val="22"/>
          <w:szCs w:val="22"/>
        </w:rPr>
        <w:t xml:space="preserve"> </w:t>
      </w:r>
      <w:r w:rsidRPr="00F11975">
        <w:rPr>
          <w:rFonts w:ascii="Palatino Linotype" w:eastAsia="Arial" w:hAnsi="Palatino Linotype" w:cs="Arial"/>
          <w:i/>
          <w:iCs/>
          <w:sz w:val="22"/>
          <w:szCs w:val="22"/>
        </w:rPr>
        <w:t>la I</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z w:val="22"/>
          <w:szCs w:val="22"/>
        </w:rPr>
        <w:t>f</w:t>
      </w:r>
      <w:r w:rsidRPr="00F11975">
        <w:rPr>
          <w:rFonts w:ascii="Palatino Linotype" w:eastAsia="Arial" w:hAnsi="Palatino Linotype" w:cs="Arial"/>
          <w:i/>
          <w:iCs/>
          <w:spacing w:val="1"/>
          <w:sz w:val="22"/>
          <w:szCs w:val="22"/>
        </w:rPr>
        <w:t>o</w:t>
      </w:r>
      <w:r w:rsidRPr="00F11975">
        <w:rPr>
          <w:rFonts w:ascii="Palatino Linotype" w:eastAsia="Arial" w:hAnsi="Palatino Linotype" w:cs="Arial"/>
          <w:i/>
          <w:iCs/>
          <w:spacing w:val="-3"/>
          <w:sz w:val="22"/>
          <w:szCs w:val="22"/>
        </w:rPr>
        <w:t>r</w:t>
      </w:r>
      <w:r w:rsidRPr="00F11975">
        <w:rPr>
          <w:rFonts w:ascii="Palatino Linotype" w:eastAsia="Arial" w:hAnsi="Palatino Linotype" w:cs="Arial"/>
          <w:i/>
          <w:iCs/>
          <w:spacing w:val="1"/>
          <w:sz w:val="22"/>
          <w:szCs w:val="22"/>
        </w:rPr>
        <w:t>ma</w:t>
      </w:r>
      <w:r w:rsidRPr="00F11975">
        <w:rPr>
          <w:rFonts w:ascii="Palatino Linotype" w:eastAsia="Arial" w:hAnsi="Palatino Linotype" w:cs="Arial"/>
          <w:i/>
          <w:iCs/>
          <w:sz w:val="22"/>
          <w:szCs w:val="22"/>
        </w:rPr>
        <w:t>ci</w:t>
      </w:r>
      <w:r w:rsidRPr="00F11975">
        <w:rPr>
          <w:rFonts w:ascii="Palatino Linotype" w:eastAsia="Arial" w:hAnsi="Palatino Linotype" w:cs="Arial"/>
          <w:i/>
          <w:iCs/>
          <w:spacing w:val="-2"/>
          <w:sz w:val="22"/>
          <w:szCs w:val="22"/>
        </w:rPr>
        <w:t>ó</w:t>
      </w:r>
      <w:r w:rsidRPr="00F11975">
        <w:rPr>
          <w:rFonts w:ascii="Palatino Linotype" w:eastAsia="Arial" w:hAnsi="Palatino Linotype" w:cs="Arial"/>
          <w:i/>
          <w:iCs/>
          <w:sz w:val="22"/>
          <w:szCs w:val="22"/>
        </w:rPr>
        <w:t>n</w:t>
      </w:r>
      <w:r w:rsidRPr="00F11975">
        <w:rPr>
          <w:rFonts w:ascii="Palatino Linotype" w:eastAsia="Arial" w:hAnsi="Palatino Linotype" w:cs="Arial"/>
          <w:i/>
          <w:iCs/>
          <w:spacing w:val="6"/>
          <w:sz w:val="22"/>
          <w:szCs w:val="22"/>
        </w:rPr>
        <w:t xml:space="preserve"> </w:t>
      </w:r>
      <w:r w:rsidRPr="00F11975">
        <w:rPr>
          <w:rFonts w:ascii="Palatino Linotype" w:eastAsia="Arial" w:hAnsi="Palatino Linotype" w:cs="Arial"/>
          <w:i/>
          <w:iCs/>
          <w:spacing w:val="-2"/>
          <w:sz w:val="22"/>
          <w:szCs w:val="22"/>
        </w:rPr>
        <w:t>P</w:t>
      </w:r>
      <w:r w:rsidRPr="00F11975">
        <w:rPr>
          <w:rFonts w:ascii="Palatino Linotype" w:eastAsia="Arial" w:hAnsi="Palatino Linotype" w:cs="Arial"/>
          <w:i/>
          <w:iCs/>
          <w:spacing w:val="1"/>
          <w:sz w:val="22"/>
          <w:szCs w:val="22"/>
        </w:rPr>
        <w:t>úb</w:t>
      </w:r>
      <w:r w:rsidRPr="00F11975">
        <w:rPr>
          <w:rFonts w:ascii="Palatino Linotype" w:eastAsia="Arial" w:hAnsi="Palatino Linotype" w:cs="Arial"/>
          <w:i/>
          <w:iCs/>
          <w:sz w:val="22"/>
          <w:szCs w:val="22"/>
        </w:rPr>
        <w:t>l</w:t>
      </w:r>
      <w:r w:rsidRPr="00F11975">
        <w:rPr>
          <w:rFonts w:ascii="Palatino Linotype" w:eastAsia="Arial" w:hAnsi="Palatino Linotype" w:cs="Arial"/>
          <w:i/>
          <w:iCs/>
          <w:spacing w:val="-1"/>
          <w:sz w:val="22"/>
          <w:szCs w:val="22"/>
        </w:rPr>
        <w:t>i</w:t>
      </w:r>
      <w:r w:rsidRPr="00F11975">
        <w:rPr>
          <w:rFonts w:ascii="Palatino Linotype" w:eastAsia="Arial" w:hAnsi="Palatino Linotype" w:cs="Arial"/>
          <w:i/>
          <w:iCs/>
          <w:sz w:val="22"/>
          <w:szCs w:val="22"/>
        </w:rPr>
        <w:t xml:space="preserve">ca, </w:t>
      </w:r>
      <w:r w:rsidRPr="00F11975">
        <w:rPr>
          <w:rFonts w:ascii="Palatino Linotype" w:eastAsia="Arial" w:hAnsi="Palatino Linotype" w:cs="Arial"/>
          <w:i/>
          <w:iCs/>
          <w:spacing w:val="-1"/>
          <w:sz w:val="22"/>
          <w:szCs w:val="22"/>
        </w:rPr>
        <w:t>señalan</w:t>
      </w:r>
      <w:r w:rsidRPr="00F11975">
        <w:rPr>
          <w:rFonts w:ascii="Palatino Linotype" w:eastAsia="Arial" w:hAnsi="Palatino Linotype" w:cs="Arial"/>
          <w:i/>
          <w:iCs/>
          <w:spacing w:val="1"/>
          <w:sz w:val="22"/>
          <w:szCs w:val="22"/>
        </w:rPr>
        <w:t xml:space="preserve"> </w:t>
      </w:r>
      <w:r w:rsidRPr="00F11975">
        <w:rPr>
          <w:rFonts w:ascii="Palatino Linotype" w:eastAsia="Arial" w:hAnsi="Palatino Linotype" w:cs="Arial"/>
          <w:i/>
          <w:iCs/>
          <w:spacing w:val="-1"/>
          <w:sz w:val="22"/>
          <w:szCs w:val="22"/>
        </w:rPr>
        <w:t>q</w:t>
      </w:r>
      <w:r w:rsidRPr="00F11975">
        <w:rPr>
          <w:rFonts w:ascii="Palatino Linotype" w:eastAsia="Arial" w:hAnsi="Palatino Linotype" w:cs="Arial"/>
          <w:i/>
          <w:iCs/>
          <w:spacing w:val="1"/>
          <w:sz w:val="22"/>
          <w:szCs w:val="22"/>
        </w:rPr>
        <w:t>u</w:t>
      </w:r>
      <w:r w:rsidRPr="00F11975">
        <w:rPr>
          <w:rFonts w:ascii="Palatino Linotype" w:eastAsia="Arial" w:hAnsi="Palatino Linotype" w:cs="Arial"/>
          <w:i/>
          <w:iCs/>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11975">
        <w:rPr>
          <w:rFonts w:ascii="Palatino Linotype" w:eastAsia="Arial" w:hAnsi="Palatino Linotype" w:cs="Arial"/>
          <w:i/>
          <w:iCs/>
          <w:spacing w:val="-1"/>
          <w:sz w:val="22"/>
          <w:szCs w:val="22"/>
        </w:rPr>
        <w:t xml:space="preserve"> sin necesidad de</w:t>
      </w:r>
      <w:r w:rsidRPr="00F11975">
        <w:rPr>
          <w:rFonts w:ascii="Palatino Linotype" w:eastAsia="Arial" w:hAnsi="Palatino Linotype" w:cs="Arial"/>
          <w:i/>
          <w:iCs/>
          <w:spacing w:val="1"/>
          <w:sz w:val="22"/>
          <w:szCs w:val="22"/>
        </w:rPr>
        <w:t xml:space="preserve"> e</w:t>
      </w:r>
      <w:r w:rsidRPr="00F11975">
        <w:rPr>
          <w:rFonts w:ascii="Palatino Linotype" w:eastAsia="Arial" w:hAnsi="Palatino Linotype" w:cs="Arial"/>
          <w:i/>
          <w:iCs/>
          <w:sz w:val="22"/>
          <w:szCs w:val="22"/>
        </w:rPr>
        <w:t>la</w:t>
      </w:r>
      <w:r w:rsidRPr="00F11975">
        <w:rPr>
          <w:rFonts w:ascii="Palatino Linotype" w:eastAsia="Arial" w:hAnsi="Palatino Linotype" w:cs="Arial"/>
          <w:i/>
          <w:iCs/>
          <w:spacing w:val="1"/>
          <w:sz w:val="22"/>
          <w:szCs w:val="22"/>
        </w:rPr>
        <w:t>bo</w:t>
      </w:r>
      <w:r w:rsidRPr="00F11975">
        <w:rPr>
          <w:rFonts w:ascii="Palatino Linotype" w:eastAsia="Arial" w:hAnsi="Palatino Linotype" w:cs="Arial"/>
          <w:i/>
          <w:iCs/>
          <w:sz w:val="22"/>
          <w:szCs w:val="22"/>
        </w:rPr>
        <w:t xml:space="preserve">rar </w:t>
      </w:r>
      <w:r w:rsidRPr="00F11975">
        <w:rPr>
          <w:rFonts w:ascii="Palatino Linotype" w:eastAsia="Arial" w:hAnsi="Palatino Linotype" w:cs="Arial"/>
          <w:i/>
          <w:iCs/>
          <w:spacing w:val="1"/>
          <w:sz w:val="22"/>
          <w:szCs w:val="22"/>
        </w:rPr>
        <w:t>do</w:t>
      </w:r>
      <w:r w:rsidRPr="00F11975">
        <w:rPr>
          <w:rFonts w:ascii="Palatino Linotype" w:eastAsia="Arial" w:hAnsi="Palatino Linotype" w:cs="Arial"/>
          <w:i/>
          <w:iCs/>
          <w:spacing w:val="-2"/>
          <w:sz w:val="22"/>
          <w:szCs w:val="22"/>
        </w:rPr>
        <w:t>c</w:t>
      </w:r>
      <w:r w:rsidRPr="00F11975">
        <w:rPr>
          <w:rFonts w:ascii="Palatino Linotype" w:eastAsia="Arial" w:hAnsi="Palatino Linotype" w:cs="Arial"/>
          <w:i/>
          <w:iCs/>
          <w:spacing w:val="1"/>
          <w:sz w:val="22"/>
          <w:szCs w:val="22"/>
        </w:rPr>
        <w:t>u</w:t>
      </w:r>
      <w:r w:rsidRPr="00F11975">
        <w:rPr>
          <w:rFonts w:ascii="Palatino Linotype" w:eastAsia="Arial" w:hAnsi="Palatino Linotype" w:cs="Arial"/>
          <w:i/>
          <w:iCs/>
          <w:spacing w:val="-1"/>
          <w:sz w:val="22"/>
          <w:szCs w:val="22"/>
        </w:rPr>
        <w:t>m</w:t>
      </w:r>
      <w:r w:rsidRPr="00F11975">
        <w:rPr>
          <w:rFonts w:ascii="Palatino Linotype" w:eastAsia="Arial" w:hAnsi="Palatino Linotype" w:cs="Arial"/>
          <w:i/>
          <w:iCs/>
          <w:spacing w:val="1"/>
          <w:sz w:val="22"/>
          <w:szCs w:val="22"/>
        </w:rPr>
        <w:t>en</w:t>
      </w:r>
      <w:r w:rsidRPr="00F11975">
        <w:rPr>
          <w:rFonts w:ascii="Palatino Linotype" w:eastAsia="Arial" w:hAnsi="Palatino Linotype" w:cs="Arial"/>
          <w:i/>
          <w:iCs/>
          <w:spacing w:val="-2"/>
          <w:sz w:val="22"/>
          <w:szCs w:val="22"/>
        </w:rPr>
        <w:t>t</w:t>
      </w:r>
      <w:r w:rsidRPr="00F11975">
        <w:rPr>
          <w:rFonts w:ascii="Palatino Linotype" w:eastAsia="Arial" w:hAnsi="Palatino Linotype" w:cs="Arial"/>
          <w:i/>
          <w:iCs/>
          <w:spacing w:val="1"/>
          <w:sz w:val="22"/>
          <w:szCs w:val="22"/>
        </w:rPr>
        <w:t>o</w:t>
      </w:r>
      <w:r w:rsidRPr="00F11975">
        <w:rPr>
          <w:rFonts w:ascii="Palatino Linotype" w:eastAsia="Arial" w:hAnsi="Palatino Linotype" w:cs="Arial"/>
          <w:i/>
          <w:iCs/>
          <w:sz w:val="22"/>
          <w:szCs w:val="22"/>
        </w:rPr>
        <w:t>s</w:t>
      </w:r>
      <w:r w:rsidRPr="00F11975">
        <w:rPr>
          <w:rFonts w:ascii="Palatino Linotype" w:eastAsia="Arial" w:hAnsi="Palatino Linotype" w:cs="Arial"/>
          <w:i/>
          <w:iCs/>
          <w:spacing w:val="3"/>
          <w:sz w:val="22"/>
          <w:szCs w:val="22"/>
        </w:rPr>
        <w:t xml:space="preserve"> </w:t>
      </w:r>
      <w:r w:rsidRPr="00F11975">
        <w:rPr>
          <w:rFonts w:ascii="Palatino Linotype" w:eastAsia="Arial" w:hAnsi="Palatino Linotype" w:cs="Arial"/>
          <w:i/>
          <w:iCs/>
          <w:spacing w:val="1"/>
          <w:sz w:val="22"/>
          <w:szCs w:val="22"/>
        </w:rPr>
        <w:t>a</w:t>
      </w:r>
      <w:r w:rsidRPr="00F11975">
        <w:rPr>
          <w:rFonts w:ascii="Palatino Linotype" w:eastAsia="Arial" w:hAnsi="Palatino Linotype" w:cs="Arial"/>
          <w:i/>
          <w:iCs/>
          <w:sz w:val="22"/>
          <w:szCs w:val="22"/>
        </w:rPr>
        <w:t>d</w:t>
      </w:r>
      <w:r w:rsidRPr="00F11975">
        <w:rPr>
          <w:rFonts w:ascii="Palatino Linotype" w:eastAsia="Arial" w:hAnsi="Palatino Linotype" w:cs="Arial"/>
          <w:i/>
          <w:iCs/>
          <w:spacing w:val="1"/>
          <w:sz w:val="22"/>
          <w:szCs w:val="22"/>
        </w:rPr>
        <w:t xml:space="preserve"> ho</w:t>
      </w:r>
      <w:r w:rsidRPr="00F11975">
        <w:rPr>
          <w:rFonts w:ascii="Palatino Linotype" w:eastAsia="Arial" w:hAnsi="Palatino Linotype" w:cs="Arial"/>
          <w:i/>
          <w:iCs/>
          <w:sz w:val="22"/>
          <w:szCs w:val="22"/>
        </w:rPr>
        <w:t>c</w:t>
      </w:r>
      <w:r w:rsidRPr="00F11975">
        <w:rPr>
          <w:rFonts w:ascii="Palatino Linotype" w:eastAsia="Arial" w:hAnsi="Palatino Linotype" w:cs="Arial"/>
          <w:i/>
          <w:iCs/>
          <w:spacing w:val="2"/>
          <w:sz w:val="22"/>
          <w:szCs w:val="22"/>
        </w:rPr>
        <w:t xml:space="preserve"> </w:t>
      </w:r>
      <w:r w:rsidRPr="00F11975">
        <w:rPr>
          <w:rFonts w:ascii="Palatino Linotype" w:eastAsia="Arial" w:hAnsi="Palatino Linotype" w:cs="Arial"/>
          <w:i/>
          <w:iCs/>
          <w:spacing w:val="1"/>
          <w:sz w:val="22"/>
          <w:szCs w:val="22"/>
        </w:rPr>
        <w:t>pa</w:t>
      </w:r>
      <w:r w:rsidRPr="00F11975">
        <w:rPr>
          <w:rFonts w:ascii="Palatino Linotype" w:eastAsia="Arial" w:hAnsi="Palatino Linotype" w:cs="Arial"/>
          <w:i/>
          <w:iCs/>
          <w:sz w:val="22"/>
          <w:szCs w:val="22"/>
        </w:rPr>
        <w:t xml:space="preserve">ra </w:t>
      </w:r>
      <w:r w:rsidRPr="00F11975">
        <w:rPr>
          <w:rFonts w:ascii="Palatino Linotype" w:eastAsia="Arial" w:hAnsi="Palatino Linotype" w:cs="Arial"/>
          <w:i/>
          <w:iCs/>
          <w:spacing w:val="1"/>
          <w:sz w:val="22"/>
          <w:szCs w:val="22"/>
        </w:rPr>
        <w:t>a</w:t>
      </w:r>
      <w:r w:rsidRPr="00F11975">
        <w:rPr>
          <w:rFonts w:ascii="Palatino Linotype" w:eastAsia="Arial" w:hAnsi="Palatino Linotype" w:cs="Arial"/>
          <w:i/>
          <w:iCs/>
          <w:sz w:val="22"/>
          <w:szCs w:val="22"/>
        </w:rPr>
        <w:t>t</w:t>
      </w:r>
      <w:r w:rsidRPr="00F11975">
        <w:rPr>
          <w:rFonts w:ascii="Palatino Linotype" w:eastAsia="Arial" w:hAnsi="Palatino Linotype" w:cs="Arial"/>
          <w:i/>
          <w:iCs/>
          <w:spacing w:val="-1"/>
          <w:sz w:val="22"/>
          <w:szCs w:val="22"/>
        </w:rPr>
        <w:t>e</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pacing w:val="-1"/>
          <w:sz w:val="22"/>
          <w:szCs w:val="22"/>
        </w:rPr>
        <w:t>d</w:t>
      </w:r>
      <w:r w:rsidRPr="00F11975">
        <w:rPr>
          <w:rFonts w:ascii="Palatino Linotype" w:eastAsia="Arial" w:hAnsi="Palatino Linotype" w:cs="Arial"/>
          <w:i/>
          <w:iCs/>
          <w:spacing w:val="1"/>
          <w:sz w:val="22"/>
          <w:szCs w:val="22"/>
        </w:rPr>
        <w:t>e</w:t>
      </w:r>
      <w:r w:rsidRPr="00F11975">
        <w:rPr>
          <w:rFonts w:ascii="Palatino Linotype" w:eastAsia="Arial" w:hAnsi="Palatino Linotype" w:cs="Arial"/>
          <w:i/>
          <w:iCs/>
          <w:sz w:val="22"/>
          <w:szCs w:val="22"/>
        </w:rPr>
        <w:t>r</w:t>
      </w:r>
      <w:r w:rsidRPr="00F11975">
        <w:rPr>
          <w:rFonts w:ascii="Palatino Linotype" w:eastAsia="Arial" w:hAnsi="Palatino Linotype" w:cs="Arial"/>
          <w:i/>
          <w:iCs/>
          <w:spacing w:val="2"/>
          <w:sz w:val="22"/>
          <w:szCs w:val="22"/>
        </w:rPr>
        <w:t xml:space="preserve"> </w:t>
      </w:r>
      <w:r w:rsidRPr="00F11975">
        <w:rPr>
          <w:rFonts w:ascii="Palatino Linotype" w:eastAsia="Arial" w:hAnsi="Palatino Linotype" w:cs="Arial"/>
          <w:i/>
          <w:iCs/>
          <w:sz w:val="22"/>
          <w:szCs w:val="22"/>
        </w:rPr>
        <w:t>l</w:t>
      </w:r>
      <w:r w:rsidRPr="00F11975">
        <w:rPr>
          <w:rFonts w:ascii="Palatino Linotype" w:eastAsia="Arial" w:hAnsi="Palatino Linotype" w:cs="Arial"/>
          <w:i/>
          <w:iCs/>
          <w:spacing w:val="-2"/>
          <w:sz w:val="22"/>
          <w:szCs w:val="22"/>
        </w:rPr>
        <w:t>a</w:t>
      </w:r>
      <w:r w:rsidRPr="00F11975">
        <w:rPr>
          <w:rFonts w:ascii="Palatino Linotype" w:eastAsia="Arial" w:hAnsi="Palatino Linotype" w:cs="Arial"/>
          <w:i/>
          <w:iCs/>
          <w:sz w:val="22"/>
          <w:szCs w:val="22"/>
        </w:rPr>
        <w:t>s</w:t>
      </w:r>
      <w:r w:rsidRPr="00F11975">
        <w:rPr>
          <w:rFonts w:ascii="Palatino Linotype" w:eastAsia="Arial" w:hAnsi="Palatino Linotype" w:cs="Arial"/>
          <w:i/>
          <w:iCs/>
          <w:spacing w:val="2"/>
          <w:sz w:val="22"/>
          <w:szCs w:val="22"/>
        </w:rPr>
        <w:t xml:space="preserve"> </w:t>
      </w:r>
      <w:r w:rsidRPr="00F11975">
        <w:rPr>
          <w:rFonts w:ascii="Palatino Linotype" w:eastAsia="Arial" w:hAnsi="Palatino Linotype" w:cs="Arial"/>
          <w:i/>
          <w:iCs/>
          <w:sz w:val="22"/>
          <w:szCs w:val="22"/>
        </w:rPr>
        <w:t>s</w:t>
      </w:r>
      <w:r w:rsidRPr="00F11975">
        <w:rPr>
          <w:rFonts w:ascii="Palatino Linotype" w:eastAsia="Arial" w:hAnsi="Palatino Linotype" w:cs="Arial"/>
          <w:i/>
          <w:iCs/>
          <w:spacing w:val="1"/>
          <w:sz w:val="22"/>
          <w:szCs w:val="22"/>
        </w:rPr>
        <w:t>o</w:t>
      </w:r>
      <w:r w:rsidRPr="00F11975">
        <w:rPr>
          <w:rFonts w:ascii="Palatino Linotype" w:eastAsia="Arial" w:hAnsi="Palatino Linotype" w:cs="Arial"/>
          <w:i/>
          <w:iCs/>
          <w:sz w:val="22"/>
          <w:szCs w:val="22"/>
        </w:rPr>
        <w:t>l</w:t>
      </w:r>
      <w:r w:rsidRPr="00F11975">
        <w:rPr>
          <w:rFonts w:ascii="Palatino Linotype" w:eastAsia="Arial" w:hAnsi="Palatino Linotype" w:cs="Arial"/>
          <w:i/>
          <w:iCs/>
          <w:spacing w:val="-1"/>
          <w:sz w:val="22"/>
          <w:szCs w:val="22"/>
        </w:rPr>
        <w:t>i</w:t>
      </w:r>
      <w:r w:rsidRPr="00F11975">
        <w:rPr>
          <w:rFonts w:ascii="Palatino Linotype" w:eastAsia="Arial" w:hAnsi="Palatino Linotype" w:cs="Arial"/>
          <w:i/>
          <w:iCs/>
          <w:sz w:val="22"/>
          <w:szCs w:val="22"/>
        </w:rPr>
        <w:t>cit</w:t>
      </w:r>
      <w:r w:rsidRPr="00F11975">
        <w:rPr>
          <w:rFonts w:ascii="Palatino Linotype" w:eastAsia="Arial" w:hAnsi="Palatino Linotype" w:cs="Arial"/>
          <w:i/>
          <w:iCs/>
          <w:spacing w:val="1"/>
          <w:sz w:val="22"/>
          <w:szCs w:val="22"/>
        </w:rPr>
        <w:t>ude</w:t>
      </w:r>
      <w:r w:rsidRPr="00F11975">
        <w:rPr>
          <w:rFonts w:ascii="Palatino Linotype" w:eastAsia="Arial" w:hAnsi="Palatino Linotype" w:cs="Arial"/>
          <w:i/>
          <w:iCs/>
          <w:sz w:val="22"/>
          <w:szCs w:val="22"/>
        </w:rPr>
        <w:t>s</w:t>
      </w:r>
      <w:r w:rsidRPr="00F11975">
        <w:rPr>
          <w:rFonts w:ascii="Palatino Linotype" w:eastAsia="Arial" w:hAnsi="Palatino Linotype" w:cs="Arial"/>
          <w:i/>
          <w:iCs/>
          <w:spacing w:val="4"/>
          <w:sz w:val="22"/>
          <w:szCs w:val="22"/>
        </w:rPr>
        <w:t xml:space="preserve"> </w:t>
      </w:r>
      <w:r w:rsidRPr="00F11975">
        <w:rPr>
          <w:rFonts w:ascii="Palatino Linotype" w:eastAsia="Arial" w:hAnsi="Palatino Linotype" w:cs="Arial"/>
          <w:i/>
          <w:iCs/>
          <w:spacing w:val="-1"/>
          <w:sz w:val="22"/>
          <w:szCs w:val="22"/>
        </w:rPr>
        <w:t>d</w:t>
      </w:r>
      <w:r w:rsidRPr="00F11975">
        <w:rPr>
          <w:rFonts w:ascii="Palatino Linotype" w:eastAsia="Arial" w:hAnsi="Palatino Linotype" w:cs="Arial"/>
          <w:i/>
          <w:iCs/>
          <w:sz w:val="22"/>
          <w:szCs w:val="22"/>
        </w:rPr>
        <w:t>e</w:t>
      </w:r>
      <w:r w:rsidRPr="00F11975">
        <w:rPr>
          <w:rFonts w:ascii="Palatino Linotype" w:eastAsia="Arial" w:hAnsi="Palatino Linotype" w:cs="Arial"/>
          <w:i/>
          <w:iCs/>
          <w:spacing w:val="3"/>
          <w:sz w:val="22"/>
          <w:szCs w:val="22"/>
        </w:rPr>
        <w:t xml:space="preserve"> </w:t>
      </w:r>
      <w:r w:rsidRPr="00F11975">
        <w:rPr>
          <w:rFonts w:ascii="Palatino Linotype" w:eastAsia="Arial" w:hAnsi="Palatino Linotype" w:cs="Arial"/>
          <w:i/>
          <w:iCs/>
          <w:sz w:val="22"/>
          <w:szCs w:val="22"/>
        </w:rPr>
        <w:t>i</w:t>
      </w:r>
      <w:r w:rsidRPr="00F11975">
        <w:rPr>
          <w:rFonts w:ascii="Palatino Linotype" w:eastAsia="Arial" w:hAnsi="Palatino Linotype" w:cs="Arial"/>
          <w:i/>
          <w:iCs/>
          <w:spacing w:val="-2"/>
          <w:sz w:val="22"/>
          <w:szCs w:val="22"/>
        </w:rPr>
        <w:t>n</w:t>
      </w:r>
      <w:r w:rsidRPr="00F11975">
        <w:rPr>
          <w:rFonts w:ascii="Palatino Linotype" w:eastAsia="Arial" w:hAnsi="Palatino Linotype" w:cs="Arial"/>
          <w:i/>
          <w:iCs/>
          <w:sz w:val="22"/>
          <w:szCs w:val="22"/>
        </w:rPr>
        <w:t>f</w:t>
      </w:r>
      <w:r w:rsidRPr="00F11975">
        <w:rPr>
          <w:rFonts w:ascii="Palatino Linotype" w:eastAsia="Arial" w:hAnsi="Palatino Linotype" w:cs="Arial"/>
          <w:i/>
          <w:iCs/>
          <w:spacing w:val="1"/>
          <w:sz w:val="22"/>
          <w:szCs w:val="22"/>
        </w:rPr>
        <w:t>o</w:t>
      </w:r>
      <w:r w:rsidRPr="00F11975">
        <w:rPr>
          <w:rFonts w:ascii="Palatino Linotype" w:eastAsia="Arial" w:hAnsi="Palatino Linotype" w:cs="Arial"/>
          <w:i/>
          <w:iCs/>
          <w:sz w:val="22"/>
          <w:szCs w:val="22"/>
        </w:rPr>
        <w:t>r</w:t>
      </w:r>
      <w:r w:rsidRPr="00F11975">
        <w:rPr>
          <w:rFonts w:ascii="Palatino Linotype" w:eastAsia="Arial" w:hAnsi="Palatino Linotype" w:cs="Arial"/>
          <w:i/>
          <w:iCs/>
          <w:spacing w:val="-1"/>
          <w:sz w:val="22"/>
          <w:szCs w:val="22"/>
        </w:rPr>
        <w:t>m</w:t>
      </w:r>
      <w:r w:rsidRPr="00F11975">
        <w:rPr>
          <w:rFonts w:ascii="Palatino Linotype" w:eastAsia="Arial" w:hAnsi="Palatino Linotype" w:cs="Arial"/>
          <w:i/>
          <w:iCs/>
          <w:spacing w:val="1"/>
          <w:sz w:val="22"/>
          <w:szCs w:val="22"/>
        </w:rPr>
        <w:t>a</w:t>
      </w:r>
      <w:r w:rsidRPr="00F11975">
        <w:rPr>
          <w:rFonts w:ascii="Palatino Linotype" w:eastAsia="Arial" w:hAnsi="Palatino Linotype" w:cs="Arial"/>
          <w:i/>
          <w:iCs/>
          <w:sz w:val="22"/>
          <w:szCs w:val="22"/>
        </w:rPr>
        <w:t>ció</w:t>
      </w:r>
      <w:r w:rsidRPr="00F11975">
        <w:rPr>
          <w:rFonts w:ascii="Palatino Linotype" w:eastAsia="Arial" w:hAnsi="Palatino Linotype" w:cs="Arial"/>
          <w:i/>
          <w:iCs/>
          <w:spacing w:val="1"/>
          <w:sz w:val="22"/>
          <w:szCs w:val="22"/>
        </w:rPr>
        <w:t>n</w:t>
      </w:r>
      <w:r w:rsidRPr="00F11975">
        <w:rPr>
          <w:rFonts w:ascii="Palatino Linotype" w:eastAsia="Arial" w:hAnsi="Palatino Linotype" w:cs="Arial"/>
          <w:i/>
          <w:iCs/>
          <w:sz w:val="22"/>
          <w:szCs w:val="22"/>
        </w:rPr>
        <w:t>.”</w:t>
      </w:r>
    </w:p>
    <w:p w14:paraId="32C70686"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5786A28" w14:textId="0881E597" w:rsidR="000A1DE7" w:rsidRPr="00F11975" w:rsidRDefault="000A1DE7" w:rsidP="000A1D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Empero, </w:t>
      </w:r>
      <w:r w:rsidRPr="00F11975">
        <w:rPr>
          <w:rFonts w:ascii="Palatino Linotype" w:hAnsi="Palatino Linotype" w:cs="Arial"/>
        </w:rPr>
        <w:t xml:space="preserve">si bien el </w:t>
      </w:r>
      <w:r w:rsidRPr="00F11975">
        <w:rPr>
          <w:rFonts w:ascii="Palatino Linotype" w:hAnsi="Palatino Linotype" w:cs="Arial"/>
          <w:b/>
          <w:bCs/>
        </w:rPr>
        <w:t>RECURRENTE</w:t>
      </w:r>
      <w:r w:rsidRPr="00F11975">
        <w:rPr>
          <w:rFonts w:ascii="Palatino Linotype" w:hAnsi="Palatino Linotype" w:cs="Arial"/>
        </w:rPr>
        <w:t xml:space="preserve"> solicitó desde un inicio la información en un formato específico, como lo es </w:t>
      </w:r>
      <w:r w:rsidR="00AB764F" w:rsidRPr="00F11975">
        <w:rPr>
          <w:rFonts w:ascii="Palatino Linotype" w:hAnsi="Palatino Linotype" w:cs="Arial"/>
          <w:i/>
          <w:iCs/>
        </w:rPr>
        <w:t>.xlsx</w:t>
      </w:r>
      <w:r w:rsidR="00AB764F" w:rsidRPr="00F11975">
        <w:rPr>
          <w:rFonts w:ascii="Palatino Linotype" w:hAnsi="Palatino Linotype" w:cs="Arial"/>
        </w:rPr>
        <w:t xml:space="preserve"> o </w:t>
      </w:r>
      <w:r w:rsidR="00AB764F" w:rsidRPr="00F11975">
        <w:rPr>
          <w:rFonts w:ascii="Palatino Linotype" w:hAnsi="Palatino Linotype" w:cs="Arial"/>
          <w:i/>
          <w:iCs/>
        </w:rPr>
        <w:t>.cvs</w:t>
      </w:r>
      <w:r w:rsidRPr="00F11975">
        <w:rPr>
          <w:rFonts w:ascii="Palatino Linotype" w:hAnsi="Palatino Linotype" w:cs="Arial"/>
        </w:rPr>
        <w:t xml:space="preserve">, éste no busca imponer al </w:t>
      </w:r>
      <w:r w:rsidRPr="00F11975">
        <w:rPr>
          <w:rFonts w:ascii="Palatino Linotype" w:hAnsi="Palatino Linotype" w:cs="Arial"/>
          <w:b/>
          <w:bCs/>
        </w:rPr>
        <w:t>SUJETO OBLIGADO</w:t>
      </w:r>
      <w:r w:rsidRPr="00F11975">
        <w:rPr>
          <w:rFonts w:ascii="Palatino Linotype" w:hAnsi="Palatino Linotype" w:cs="Arial"/>
        </w:rPr>
        <w:t xml:space="preserve"> un formato electrónico específico para proveer la información, sino que el particular</w:t>
      </w:r>
      <w:r w:rsidR="00AB764F" w:rsidRPr="00F11975">
        <w:rPr>
          <w:rFonts w:ascii="Palatino Linotype" w:hAnsi="Palatino Linotype" w:cs="Arial"/>
        </w:rPr>
        <w:t>, textualmente,</w:t>
      </w:r>
      <w:r w:rsidRPr="00F11975">
        <w:rPr>
          <w:rFonts w:ascii="Palatino Linotype" w:hAnsi="Palatino Linotype" w:cs="Arial"/>
        </w:rPr>
        <w:t xml:space="preserve"> </w:t>
      </w:r>
      <w:r w:rsidR="00AB764F" w:rsidRPr="00F11975">
        <w:rPr>
          <w:rFonts w:ascii="Palatino Linotype" w:hAnsi="Palatino Linotype" w:cs="Arial"/>
        </w:rPr>
        <w:t xml:space="preserve">refiere que </w:t>
      </w:r>
      <w:r w:rsidRPr="00F11975">
        <w:rPr>
          <w:rFonts w:ascii="Palatino Linotype" w:hAnsi="Palatino Linotype" w:cs="Arial"/>
        </w:rPr>
        <w:t>bus</w:t>
      </w:r>
      <w:r w:rsidR="00AB764F" w:rsidRPr="00F11975">
        <w:rPr>
          <w:rFonts w:ascii="Palatino Linotype" w:hAnsi="Palatino Linotype" w:cs="Arial"/>
        </w:rPr>
        <w:t>ca</w:t>
      </w:r>
      <w:r w:rsidRPr="00F11975">
        <w:rPr>
          <w:rFonts w:ascii="Palatino Linotype" w:hAnsi="Palatino Linotype" w:cs="Arial"/>
        </w:rPr>
        <w:t xml:space="preserve"> hacerse de la información en </w:t>
      </w:r>
      <w:r w:rsidRPr="00F11975">
        <w:rPr>
          <w:rFonts w:ascii="Palatino Linotype" w:hAnsi="Palatino Linotype" w:cs="Arial"/>
          <w:b/>
          <w:bCs/>
        </w:rPr>
        <w:t>datos abiertos</w:t>
      </w:r>
      <w:r w:rsidRPr="00F11975">
        <w:rPr>
          <w:rFonts w:ascii="Palatino Linotype" w:hAnsi="Palatino Linotype" w:cs="Arial"/>
        </w:rPr>
        <w:t>.</w:t>
      </w:r>
    </w:p>
    <w:p w14:paraId="278D6B4E" w14:textId="77777777" w:rsidR="000A1DE7" w:rsidRPr="00F11975" w:rsidRDefault="000A1DE7" w:rsidP="000A1DE7">
      <w:pPr>
        <w:pStyle w:val="Prrafodelista"/>
        <w:tabs>
          <w:tab w:val="left" w:pos="426"/>
        </w:tabs>
        <w:spacing w:before="240" w:after="240" w:line="360" w:lineRule="auto"/>
        <w:ind w:left="0" w:right="51"/>
        <w:jc w:val="both"/>
        <w:rPr>
          <w:rFonts w:ascii="Palatino Linotype" w:hAnsi="Palatino Linotype"/>
          <w:color w:val="000000" w:themeColor="text1"/>
        </w:rPr>
      </w:pPr>
    </w:p>
    <w:p w14:paraId="7A867DF1" w14:textId="50FF2C44" w:rsidR="008D50EF" w:rsidRPr="00F11975" w:rsidRDefault="000A1DE7" w:rsidP="000A1D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Bajo esa óptica, la Ley de Transparencia y Acceso a la Información Pública del Estado de México y Municipios, en su artículo 3, fracción VIII, establece que se entenderá por Datos Abiertos a los datos digitales de carácter público que son </w:t>
      </w:r>
      <w:r w:rsidRPr="00F11975">
        <w:rPr>
          <w:rFonts w:ascii="Palatino Linotype" w:hAnsi="Palatino Linotype"/>
          <w:color w:val="000000" w:themeColor="text1"/>
        </w:rPr>
        <w:lastRenderedPageBreak/>
        <w:t>accesibles en línea que pueden ser usados, reutilizados y redistribuidos por cualquier interesado y que tienen las siguientes características:</w:t>
      </w:r>
    </w:p>
    <w:p w14:paraId="262A1CEB"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Accesibles:</w:t>
      </w:r>
      <w:r w:rsidRPr="00F11975">
        <w:rPr>
          <w:rFonts w:ascii="Palatino Linotype" w:hAnsi="Palatino Linotype"/>
          <w:color w:val="000000" w:themeColor="text1"/>
        </w:rPr>
        <w:t xml:space="preserve"> Los datos están disponibles para la gama más amplia de usuarios, para cualquier propósito; </w:t>
      </w:r>
    </w:p>
    <w:p w14:paraId="38A43591"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Integrales:</w:t>
      </w:r>
      <w:r w:rsidRPr="00F11975">
        <w:rPr>
          <w:rFonts w:ascii="Palatino Linotype" w:hAnsi="Palatino Linotype"/>
          <w:color w:val="000000" w:themeColor="text1"/>
        </w:rPr>
        <w:t xml:space="preserve"> Contienen el tema que describen a detalle y con los metadatos necesarios; </w:t>
      </w:r>
    </w:p>
    <w:p w14:paraId="0EA7DF7C"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Gratuitos:</w:t>
      </w:r>
      <w:r w:rsidRPr="00F11975">
        <w:rPr>
          <w:rFonts w:ascii="Palatino Linotype" w:hAnsi="Palatino Linotype"/>
          <w:color w:val="000000" w:themeColor="text1"/>
        </w:rPr>
        <w:t xml:space="preserve"> Se obtienen sin entregar a cambio contraprestación alguna; </w:t>
      </w:r>
    </w:p>
    <w:p w14:paraId="5935496C"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No discriminatorios:</w:t>
      </w:r>
      <w:r w:rsidRPr="00F11975">
        <w:rPr>
          <w:rFonts w:ascii="Palatino Linotype" w:hAnsi="Palatino Linotype"/>
          <w:color w:val="000000" w:themeColor="text1"/>
        </w:rPr>
        <w:t xml:space="preserve"> Los datos están disponibles para cualquier persona, sin necesidad de registro; </w:t>
      </w:r>
    </w:p>
    <w:p w14:paraId="6C4EA8F8"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Oportunos:</w:t>
      </w:r>
      <w:r w:rsidRPr="00F11975">
        <w:rPr>
          <w:rFonts w:ascii="Palatino Linotype" w:hAnsi="Palatino Linotype"/>
          <w:color w:val="000000" w:themeColor="text1"/>
        </w:rPr>
        <w:t xml:space="preserve"> Son actualizados, periódicamente, conforme se generen; </w:t>
      </w:r>
    </w:p>
    <w:p w14:paraId="20B53226"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Permanentes:</w:t>
      </w:r>
      <w:r w:rsidRPr="00F11975">
        <w:rPr>
          <w:rFonts w:ascii="Palatino Linotype" w:hAnsi="Palatino Linotype"/>
          <w:color w:val="000000" w:themeColor="text1"/>
        </w:rPr>
        <w:t xml:space="preserve"> Se conservan en el tiempo, para lo cual, las versiones históricas relevantes para uso público se mantendrán disponibles con identificadores adecuados al efecto; </w:t>
      </w:r>
    </w:p>
    <w:p w14:paraId="62519F9D"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Primarios:</w:t>
      </w:r>
      <w:r w:rsidRPr="00F11975">
        <w:rPr>
          <w:rFonts w:ascii="Palatino Linotype" w:hAnsi="Palatino Linotype"/>
          <w:color w:val="000000" w:themeColor="text1"/>
        </w:rPr>
        <w:t xml:space="preserve"> Provienen de la fuente de origen con el máximo nivel de desagregación posible; </w:t>
      </w:r>
    </w:p>
    <w:p w14:paraId="706532A2"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Legibles por máquinas:</w:t>
      </w:r>
      <w:r w:rsidRPr="00F11975">
        <w:rPr>
          <w:rFonts w:ascii="Palatino Linotype" w:hAnsi="Palatino Linotype"/>
          <w:color w:val="000000" w:themeColor="text1"/>
        </w:rPr>
        <w:t xml:space="preserve"> </w:t>
      </w:r>
      <w:r w:rsidRPr="00F11975">
        <w:rPr>
          <w:rFonts w:ascii="Palatino Linotype" w:hAnsi="Palatino Linotype"/>
          <w:b/>
          <w:bCs/>
          <w:color w:val="000000" w:themeColor="text1"/>
        </w:rPr>
        <w:t>Deberán estar estructurados, total o parcialmente, para ser procesados e interpretados por equipos electrónicos de manera automática</w:t>
      </w:r>
      <w:r w:rsidRPr="00F11975">
        <w:rPr>
          <w:rFonts w:ascii="Palatino Linotype" w:hAnsi="Palatino Linotype"/>
          <w:color w:val="000000" w:themeColor="text1"/>
        </w:rPr>
        <w:t xml:space="preserve">; </w:t>
      </w:r>
    </w:p>
    <w:p w14:paraId="75546091" w14:textId="77777777"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F11975">
        <w:rPr>
          <w:rFonts w:ascii="Palatino Linotype" w:hAnsi="Palatino Linotype"/>
          <w:b/>
          <w:bCs/>
          <w:color w:val="000000" w:themeColor="text1"/>
        </w:rPr>
        <w:t>En formatos abiertos:</w:t>
      </w:r>
      <w:r w:rsidRPr="00F11975">
        <w:rPr>
          <w:rFonts w:ascii="Palatino Linotype" w:hAnsi="Palatino Linotype"/>
          <w:color w:val="000000" w:themeColor="text1"/>
        </w:rPr>
        <w:t xml:space="preserve"> </w:t>
      </w:r>
      <w:r w:rsidRPr="00F11975">
        <w:rPr>
          <w:rFonts w:ascii="Palatino Linotype" w:hAnsi="Palatino Linotype"/>
          <w:b/>
          <w:bCs/>
          <w:color w:val="000000" w:themeColor="text1"/>
        </w:rPr>
        <w:t>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F11975">
        <w:rPr>
          <w:rFonts w:ascii="Palatino Linotype" w:hAnsi="Palatino Linotype"/>
          <w:color w:val="000000" w:themeColor="text1"/>
        </w:rPr>
        <w:t xml:space="preserve">; y </w:t>
      </w:r>
    </w:p>
    <w:p w14:paraId="68520FFB" w14:textId="41099449" w:rsidR="00AB764F" w:rsidRPr="00F11975" w:rsidRDefault="00AB764F" w:rsidP="00AB764F">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lang w:val="es-MX"/>
        </w:rPr>
      </w:pPr>
      <w:r w:rsidRPr="00F11975">
        <w:rPr>
          <w:rFonts w:ascii="Palatino Linotype" w:hAnsi="Palatino Linotype"/>
          <w:b/>
          <w:bCs/>
          <w:color w:val="000000" w:themeColor="text1"/>
        </w:rPr>
        <w:lastRenderedPageBreak/>
        <w:t xml:space="preserve">De libre uso: </w:t>
      </w:r>
      <w:r w:rsidRPr="00F11975">
        <w:rPr>
          <w:rFonts w:ascii="Palatino Linotype" w:hAnsi="Palatino Linotype"/>
          <w:color w:val="000000" w:themeColor="text1"/>
        </w:rPr>
        <w:t>Citan la fuente de origen como único requerimiento para ser utilizados libremente.</w:t>
      </w:r>
    </w:p>
    <w:p w14:paraId="21D7C396"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D29A045" w14:textId="77777777" w:rsidR="00AB764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Así </w:t>
      </w:r>
      <w:r w:rsidRPr="00F11975">
        <w:rPr>
          <w:rFonts w:ascii="Palatino Linotype" w:hAnsi="Palatino Linotype" w:cs="Arial"/>
        </w:rPr>
        <w:t xml:space="preserve">las cosas, las características que determinan a los datos abiertos permite establecer el objetivo que busca su generación y uso: </w:t>
      </w:r>
      <w:r w:rsidRPr="00F11975">
        <w:rPr>
          <w:rFonts w:ascii="Palatino Linotype" w:hAnsi="Palatino Linotype" w:cs="Arial"/>
          <w:b/>
          <w:bCs/>
        </w:rPr>
        <w:t>la interoperabilidad</w:t>
      </w:r>
      <w:r w:rsidRPr="00F11975">
        <w:rPr>
          <w:rFonts w:ascii="Palatino Linotype" w:hAnsi="Palatino Linotype" w:cs="Arial"/>
        </w:rPr>
        <w:t>.</w:t>
      </w:r>
    </w:p>
    <w:p w14:paraId="00F64406" w14:textId="77777777" w:rsidR="00AB764F" w:rsidRPr="00F11975" w:rsidRDefault="00AB764F" w:rsidP="00AB764F">
      <w:pPr>
        <w:pStyle w:val="Prrafodelista"/>
        <w:tabs>
          <w:tab w:val="left" w:pos="426"/>
        </w:tabs>
        <w:spacing w:before="240" w:after="240" w:line="360" w:lineRule="auto"/>
        <w:ind w:left="0" w:right="51"/>
        <w:jc w:val="both"/>
        <w:rPr>
          <w:rFonts w:ascii="Palatino Linotype" w:hAnsi="Palatino Linotype"/>
          <w:color w:val="000000" w:themeColor="text1"/>
        </w:rPr>
      </w:pPr>
    </w:p>
    <w:p w14:paraId="029C3C34" w14:textId="77777777" w:rsidR="00AB764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s="Arial"/>
        </w:rPr>
        <w:t>La interoperabilidad denota la habilidad de diversos sistemas y organizaciones para trabajar juntos (interoperar). En este caso, es la habilidad para interoperar o integrar diferentes conjuntos de datos</w:t>
      </w:r>
      <w:r w:rsidRPr="00F11975">
        <w:rPr>
          <w:rStyle w:val="Refdenotaalpie"/>
          <w:rFonts w:ascii="Palatino Linotype" w:hAnsi="Palatino Linotype" w:cs="Arial"/>
        </w:rPr>
        <w:footnoteReference w:id="23"/>
      </w:r>
      <w:r w:rsidRPr="00F11975">
        <w:rPr>
          <w:rFonts w:ascii="Palatino Linotype" w:hAnsi="Palatino Linotype" w:cs="Arial"/>
        </w:rPr>
        <w:t>.</w:t>
      </w:r>
    </w:p>
    <w:p w14:paraId="3EBE35D6" w14:textId="77777777" w:rsidR="00AB764F" w:rsidRPr="00F11975" w:rsidRDefault="00AB764F" w:rsidP="00AB764F">
      <w:pPr>
        <w:pStyle w:val="Prrafodelista"/>
        <w:tabs>
          <w:tab w:val="left" w:pos="426"/>
        </w:tabs>
        <w:spacing w:before="240" w:after="240" w:line="360" w:lineRule="auto"/>
        <w:ind w:left="0" w:right="51"/>
        <w:jc w:val="both"/>
        <w:rPr>
          <w:rFonts w:ascii="Palatino Linotype" w:hAnsi="Palatino Linotype"/>
          <w:color w:val="000000" w:themeColor="text1"/>
        </w:rPr>
      </w:pPr>
    </w:p>
    <w:p w14:paraId="222438C2" w14:textId="77777777" w:rsidR="00AB764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s="Arial"/>
        </w:rPr>
        <w:t xml:space="preserve">De </w:t>
      </w:r>
      <w:r w:rsidRPr="00F11975">
        <w:rPr>
          <w:rFonts w:ascii="Palatino Linotype" w:hAnsi="Palatino Linotype"/>
        </w:rPr>
        <w:t xml:space="preserve">tal guisa que </w:t>
      </w:r>
      <w:r w:rsidRPr="00F11975">
        <w:rPr>
          <w:rFonts w:ascii="Palatino Linotype" w:hAnsi="Palatino Linotype" w:cs="Arial"/>
        </w:rPr>
        <w:t>los datos abiertos son información pública del gobierno, que es puesta a disposición de toda la población de manera accesible, en formatos técnicos y legales que permiten su uso, reutilización y redistribución para cualquier fin legal que se desee</w:t>
      </w:r>
      <w:r w:rsidRPr="00F11975">
        <w:rPr>
          <w:rStyle w:val="Refdenotaalpie"/>
          <w:rFonts w:ascii="Palatino Linotype" w:hAnsi="Palatino Linotype" w:cs="Arial"/>
        </w:rPr>
        <w:footnoteReference w:id="24"/>
      </w:r>
      <w:r w:rsidRPr="00F11975">
        <w:rPr>
          <w:rFonts w:ascii="Palatino Linotype" w:hAnsi="Palatino Linotype" w:cs="Arial"/>
        </w:rPr>
        <w:t>; esto es, que permite su interoperabilidad.</w:t>
      </w:r>
    </w:p>
    <w:p w14:paraId="62A225D1" w14:textId="77777777" w:rsidR="00AB764F" w:rsidRPr="00F11975" w:rsidRDefault="00AB764F" w:rsidP="00AB764F">
      <w:pPr>
        <w:pStyle w:val="Prrafodelista"/>
        <w:tabs>
          <w:tab w:val="left" w:pos="426"/>
        </w:tabs>
        <w:spacing w:before="240" w:after="240" w:line="360" w:lineRule="auto"/>
        <w:ind w:left="0" w:right="51"/>
        <w:jc w:val="both"/>
        <w:rPr>
          <w:rFonts w:ascii="Palatino Linotype" w:hAnsi="Palatino Linotype"/>
          <w:color w:val="000000" w:themeColor="text1"/>
        </w:rPr>
      </w:pPr>
    </w:p>
    <w:p w14:paraId="0191BDBD" w14:textId="77777777" w:rsidR="00AB764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s="Arial"/>
        </w:rPr>
        <w:t>El avance en la generación de la información pública que posean, generen o administren los Sujetos Obligados en datos abiertos no ha sido rápido, no obstante, cada vez nacen más portales gubernamentales con información en datos abiertos disponible para todo aquél que pretenda usar, reutilizar y/o redistribuirla según sus pretensiones.</w:t>
      </w:r>
    </w:p>
    <w:p w14:paraId="4F28A3F9" w14:textId="77777777" w:rsidR="00AB764F" w:rsidRPr="00F11975" w:rsidRDefault="00AB764F" w:rsidP="00AB764F">
      <w:pPr>
        <w:pStyle w:val="Prrafodelista"/>
        <w:tabs>
          <w:tab w:val="left" w:pos="426"/>
        </w:tabs>
        <w:spacing w:before="240" w:after="240" w:line="360" w:lineRule="auto"/>
        <w:ind w:left="0" w:right="51"/>
        <w:jc w:val="both"/>
        <w:rPr>
          <w:rFonts w:ascii="Palatino Linotype" w:hAnsi="Palatino Linotype"/>
          <w:color w:val="000000" w:themeColor="text1"/>
        </w:rPr>
      </w:pPr>
    </w:p>
    <w:p w14:paraId="652756A8" w14:textId="77777777" w:rsidR="00AB764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s="Arial"/>
        </w:rPr>
        <w:lastRenderedPageBreak/>
        <w:t>Un claro ejemplo de ello es el Portal de Datos Abiertos del Gobierno de la Capital de nuestro país</w:t>
      </w:r>
      <w:r w:rsidRPr="00F11975">
        <w:rPr>
          <w:rStyle w:val="Refdenotaalpie"/>
          <w:rFonts w:ascii="Palatino Linotype" w:hAnsi="Palatino Linotype" w:cs="Arial"/>
        </w:rPr>
        <w:footnoteReference w:id="25"/>
      </w:r>
      <w:r w:rsidRPr="00F11975">
        <w:rPr>
          <w:rFonts w:ascii="Palatino Linotype" w:hAnsi="Palatino Linotype" w:cs="Arial"/>
        </w:rPr>
        <w:t xml:space="preserve">, dentro del cual, se puede consultar información en datos abiertos por su categoría, como </w:t>
      </w:r>
      <w:r w:rsidRPr="00F11975">
        <w:rPr>
          <w:rFonts w:ascii="Palatino Linotype" w:hAnsi="Palatino Linotype" w:cs="Arial"/>
          <w:i/>
          <w:iCs/>
        </w:rPr>
        <w:t>Administración y Finanzas, Cultura, Deporte, COVID-19, Desarrollo Urbano,</w:t>
      </w:r>
      <w:r w:rsidRPr="00F11975">
        <w:rPr>
          <w:rFonts w:ascii="Palatino Linotype" w:hAnsi="Palatino Linotype" w:cs="Arial"/>
        </w:rPr>
        <w:t xml:space="preserve"> entre otros.</w:t>
      </w:r>
    </w:p>
    <w:p w14:paraId="3134501C" w14:textId="77777777" w:rsidR="00AB764F" w:rsidRPr="00F11975" w:rsidRDefault="00AB764F" w:rsidP="00AB764F">
      <w:pPr>
        <w:pStyle w:val="Prrafodelista"/>
        <w:tabs>
          <w:tab w:val="left" w:pos="426"/>
        </w:tabs>
        <w:spacing w:before="240" w:after="240" w:line="360" w:lineRule="auto"/>
        <w:ind w:left="0" w:right="51"/>
        <w:jc w:val="both"/>
        <w:rPr>
          <w:rFonts w:ascii="Palatino Linotype" w:hAnsi="Palatino Linotype"/>
          <w:color w:val="000000" w:themeColor="text1"/>
        </w:rPr>
      </w:pPr>
    </w:p>
    <w:p w14:paraId="09E535D9" w14:textId="3EF21D49" w:rsidR="008D50E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s="Arial"/>
        </w:rPr>
        <w:t xml:space="preserve">Al ingresar a una de estas categorías, nos refleja un listado de diversos documentos como, por mencionar algunos: </w:t>
      </w:r>
      <w:r w:rsidRPr="00F11975">
        <w:rPr>
          <w:rFonts w:ascii="Palatino Linotype" w:hAnsi="Palatino Linotype" w:cs="Arial"/>
          <w:i/>
          <w:iCs/>
        </w:rPr>
        <w:t>Convocatorias de compras públicas, Ingresos del Sistema de Transporte Colectivo Metro, Presupuesto de egresos de la Ciudad, e, Ingresos de la Ciudad</w:t>
      </w:r>
      <w:r w:rsidRPr="00F11975">
        <w:rPr>
          <w:rFonts w:ascii="Palatino Linotype" w:hAnsi="Palatino Linotype" w:cs="Arial"/>
        </w:rPr>
        <w:t xml:space="preserve">. Por su parte, cada uno de estos documentos ofrece su consulta y descarga a través de uno o varios formatos electrónicos como </w:t>
      </w:r>
      <w:r w:rsidRPr="00F11975">
        <w:rPr>
          <w:rFonts w:ascii="Palatino Linotype" w:hAnsi="Palatino Linotype" w:cs="Arial"/>
          <w:i/>
          <w:iCs/>
        </w:rPr>
        <w:t xml:space="preserve">.csv, .txt., </w:t>
      </w:r>
      <w:r w:rsidRPr="00F11975">
        <w:rPr>
          <w:rFonts w:ascii="Palatino Linotype" w:hAnsi="Palatino Linotype" w:cs="Arial"/>
          <w:b/>
          <w:bCs/>
          <w:i/>
          <w:iCs/>
        </w:rPr>
        <w:t>.pdf</w:t>
      </w:r>
      <w:r w:rsidRPr="00F11975">
        <w:rPr>
          <w:rFonts w:ascii="Palatino Linotype" w:hAnsi="Palatino Linotype" w:cs="Arial"/>
          <w:i/>
          <w:iCs/>
        </w:rPr>
        <w:t>, .json, .xlsx</w:t>
      </w:r>
      <w:r w:rsidRPr="00F11975">
        <w:rPr>
          <w:rFonts w:ascii="Palatino Linotype" w:hAnsi="Palatino Linotype" w:cs="Arial"/>
        </w:rPr>
        <w:t>, etcétera. Se adjuntan a continuación capturas de pantalla del portal como mera referencia:</w:t>
      </w:r>
    </w:p>
    <w:p w14:paraId="0A0F0F62" w14:textId="149461E4"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B7C220D" w14:textId="20B8351C" w:rsidR="00AB764F" w:rsidRPr="00F11975" w:rsidRDefault="00AB764F" w:rsidP="00AB764F">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rsidRPr="00F11975">
        <w:rPr>
          <w:noProof/>
          <w:lang w:val="es-MX" w:eastAsia="es-MX"/>
        </w:rPr>
        <w:drawing>
          <wp:inline distT="0" distB="0" distL="0" distR="0" wp14:anchorId="4E370E58" wp14:editId="312E26C7">
            <wp:extent cx="4352745" cy="2013189"/>
            <wp:effectExtent l="57150" t="57150" r="86360" b="10160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17"/>
                    <a:srcRect b="17729"/>
                    <a:stretch/>
                  </pic:blipFill>
                  <pic:spPr bwMode="auto">
                    <a:xfrm>
                      <a:off x="0" y="0"/>
                      <a:ext cx="4394537" cy="20325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DA48D0" w14:textId="540FD2E5" w:rsidR="00AB764F" w:rsidRPr="00F11975" w:rsidRDefault="00AB764F" w:rsidP="00AB764F">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rsidRPr="00F11975">
        <w:rPr>
          <w:noProof/>
          <w:lang w:val="es-MX" w:eastAsia="es-MX"/>
        </w:rPr>
        <w:lastRenderedPageBreak/>
        <w:drawing>
          <wp:inline distT="0" distB="0" distL="0" distR="0" wp14:anchorId="4F3D9EF8" wp14:editId="0A087121">
            <wp:extent cx="4307037" cy="2168465"/>
            <wp:effectExtent l="57150" t="57150" r="93980" b="99060"/>
            <wp:docPr id="14" name="Imagen 14"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rotWithShape="1">
                    <a:blip r:embed="rId18"/>
                    <a:srcRect b="10443"/>
                    <a:stretch/>
                  </pic:blipFill>
                  <pic:spPr bwMode="auto">
                    <a:xfrm>
                      <a:off x="0" y="0"/>
                      <a:ext cx="4349589" cy="21898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1A7374" w14:textId="1037C7B7" w:rsidR="00AB764F" w:rsidRPr="00F11975" w:rsidRDefault="00AB764F" w:rsidP="00AB764F">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rsidRPr="00F11975">
        <w:rPr>
          <w:noProof/>
          <w:lang w:val="es-MX" w:eastAsia="es-MX"/>
        </w:rPr>
        <w:drawing>
          <wp:inline distT="0" distB="0" distL="0" distR="0" wp14:anchorId="46F57572" wp14:editId="51A77892">
            <wp:extent cx="4329167" cy="2246103"/>
            <wp:effectExtent l="57150" t="57150" r="90805" b="97155"/>
            <wp:docPr id="15" name="Imagen 1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hat o mensaje de texto&#10;&#10;Descripción generada automáticamente"/>
                    <pic:cNvPicPr/>
                  </pic:nvPicPr>
                  <pic:blipFill rotWithShape="1">
                    <a:blip r:embed="rId19"/>
                    <a:srcRect b="7711"/>
                    <a:stretch/>
                  </pic:blipFill>
                  <pic:spPr bwMode="auto">
                    <a:xfrm>
                      <a:off x="0" y="0"/>
                      <a:ext cx="4372451" cy="2268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61CD47" w14:textId="77777777" w:rsidR="00AB764F" w:rsidRPr="00F11975" w:rsidRDefault="00AB764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53F93B2" w14:textId="77777777" w:rsidR="00AB764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Así </w:t>
      </w:r>
      <w:r w:rsidRPr="00F11975">
        <w:rPr>
          <w:rFonts w:ascii="Palatino Linotype" w:hAnsi="Palatino Linotype" w:cs="Arial"/>
        </w:rPr>
        <w:t xml:space="preserve">las cosas, es concluyente que </w:t>
      </w:r>
      <w:r w:rsidRPr="00F11975">
        <w:rPr>
          <w:rFonts w:ascii="Palatino Linotype" w:hAnsi="Palatino Linotype" w:cs="Arial"/>
          <w:b/>
          <w:bCs/>
        </w:rPr>
        <w:t>la generación de información en datos abiertos es parte de la cultura de transparencia proactiva</w:t>
      </w:r>
      <w:r w:rsidRPr="00F11975">
        <w:rPr>
          <w:rFonts w:ascii="Palatino Linotype" w:hAnsi="Palatino Linotype" w:cs="Arial"/>
        </w:rPr>
        <w:t xml:space="preserve">;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no estarán obligados a procesarla o presentarla </w:t>
      </w:r>
      <w:r w:rsidRPr="00F11975">
        <w:rPr>
          <w:rFonts w:ascii="Palatino Linotype" w:hAnsi="Palatino Linotype" w:cs="Arial"/>
        </w:rPr>
        <w:lastRenderedPageBreak/>
        <w:t>conforme a los intereses de los particulares, lo cual incluye que se otorgue en un formato electrónico específico.</w:t>
      </w:r>
    </w:p>
    <w:p w14:paraId="3311E21D" w14:textId="77777777" w:rsidR="00AB764F" w:rsidRPr="00F11975" w:rsidRDefault="00AB764F" w:rsidP="00AB764F">
      <w:pPr>
        <w:pStyle w:val="Prrafodelista"/>
        <w:tabs>
          <w:tab w:val="left" w:pos="426"/>
        </w:tabs>
        <w:spacing w:before="240" w:after="240" w:line="360" w:lineRule="auto"/>
        <w:ind w:left="0" w:right="51"/>
        <w:jc w:val="both"/>
        <w:rPr>
          <w:rFonts w:ascii="Palatino Linotype" w:hAnsi="Palatino Linotype"/>
          <w:color w:val="000000" w:themeColor="text1"/>
        </w:rPr>
      </w:pPr>
    </w:p>
    <w:p w14:paraId="540B14BB" w14:textId="132F9C0E" w:rsidR="008D50EF" w:rsidRPr="00F11975" w:rsidRDefault="00AB764F" w:rsidP="00AB764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En </w:t>
      </w:r>
      <w:r w:rsidRPr="00F11975">
        <w:rPr>
          <w:rFonts w:ascii="Palatino Linotype" w:hAnsi="Palatino Linotype"/>
        </w:rPr>
        <w:t xml:space="preserve">consecuencia de lo anterior el </w:t>
      </w:r>
      <w:r w:rsidRPr="00F11975">
        <w:rPr>
          <w:rFonts w:ascii="Palatino Linotype" w:hAnsi="Palatino Linotype"/>
          <w:b/>
          <w:bCs/>
        </w:rPr>
        <w:t>SUJETO OBLIGADO</w:t>
      </w:r>
      <w:r w:rsidRPr="00F11975">
        <w:rPr>
          <w:rFonts w:ascii="Palatino Linotype" w:hAnsi="Palatino Linotype"/>
        </w:rPr>
        <w:t xml:space="preserve"> deberá realizar una búsqueda exhaustiva y razonable en sus archivos a efecto de entregar la información preferentemente en datos abiertos, o bien, en el formato en que originalmente se generaron los instrumentos de mérito.</w:t>
      </w:r>
    </w:p>
    <w:p w14:paraId="37B1E4EC" w14:textId="3CC7AB7D"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30ABA78" w14:textId="72077925" w:rsidR="00AB764F" w:rsidRPr="00F11975" w:rsidRDefault="00AB764F" w:rsidP="00353D24">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sidRPr="00F11975">
        <w:rPr>
          <w:rFonts w:ascii="Palatino Linotype" w:hAnsi="Palatino Linotype"/>
          <w:b/>
          <w:bCs/>
          <w:color w:val="000000" w:themeColor="text1"/>
          <w:lang w:val="es-MX"/>
        </w:rPr>
        <w:t>V. De la litispendencia.</w:t>
      </w:r>
    </w:p>
    <w:p w14:paraId="70562058" w14:textId="77777777" w:rsidR="00AB764F" w:rsidRPr="00F11975" w:rsidRDefault="00AB764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85A5B72" w14:textId="7E161EBB" w:rsidR="008D50EF" w:rsidRPr="00F11975" w:rsidRDefault="006351D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Finalmente, no debe pasarse por alto que los medios de impugnación acumulados </w:t>
      </w:r>
      <w:r w:rsidRPr="00F11975">
        <w:rPr>
          <w:rFonts w:ascii="Palatino Linotype" w:eastAsia="Palatino Linotype" w:hAnsi="Palatino Linotype" w:cs="Palatino Linotype"/>
          <w:b/>
          <w:bCs/>
          <w:color w:val="000000"/>
        </w:rPr>
        <w:t>00001/INFOEM/IP/RR-E/2022</w:t>
      </w:r>
      <w:r w:rsidRPr="00F11975">
        <w:rPr>
          <w:rFonts w:ascii="Palatino Linotype" w:eastAsia="Palatino Linotype" w:hAnsi="Palatino Linotype" w:cs="Palatino Linotype"/>
          <w:color w:val="000000"/>
        </w:rPr>
        <w:t xml:space="preserve"> y </w:t>
      </w:r>
      <w:r w:rsidRPr="00F11975">
        <w:rPr>
          <w:rFonts w:ascii="Palatino Linotype" w:eastAsia="Palatino Linotype" w:hAnsi="Palatino Linotype" w:cs="Palatino Linotype"/>
          <w:b/>
          <w:bCs/>
          <w:color w:val="000000"/>
        </w:rPr>
        <w:t>01895/INFOEM/IP/RR/2022</w:t>
      </w:r>
      <w:r w:rsidRPr="00F11975">
        <w:rPr>
          <w:rFonts w:ascii="Palatino Linotype" w:eastAsia="Palatino Linotype" w:hAnsi="Palatino Linotype" w:cs="Palatino Linotype"/>
          <w:color w:val="000000"/>
        </w:rPr>
        <w:t xml:space="preserve">, fueron interpuestos en contra de la misma omisión de respuesta a la solicitud de información </w:t>
      </w:r>
      <w:r w:rsidRPr="00F11975">
        <w:rPr>
          <w:rFonts w:ascii="Palatino Linotype" w:eastAsia="Palatino Linotype" w:hAnsi="Palatino Linotype" w:cs="Palatino Linotype"/>
          <w:b/>
          <w:bCs/>
          <w:color w:val="000000"/>
        </w:rPr>
        <w:t>00957/NAUCALPA/IP/2021</w:t>
      </w:r>
      <w:r w:rsidRPr="00F11975">
        <w:rPr>
          <w:rFonts w:ascii="Palatino Linotype" w:eastAsia="Palatino Linotype" w:hAnsi="Palatino Linotype" w:cs="Palatino Linotype"/>
          <w:color w:val="000000"/>
        </w:rPr>
        <w:t>.</w:t>
      </w:r>
    </w:p>
    <w:p w14:paraId="5140C785"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FDA5A04" w14:textId="3626467E" w:rsidR="008D50EF" w:rsidRPr="00F11975" w:rsidRDefault="006351D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Dicho lo anterior, y como fuera advertido en el apartado de </w:t>
      </w:r>
      <w:r w:rsidRPr="00F11975">
        <w:rPr>
          <w:rFonts w:ascii="Palatino Linotype" w:eastAsia="Palatino Linotype" w:hAnsi="Palatino Linotype" w:cs="Palatino Linotype"/>
          <w:i/>
          <w:iCs/>
          <w:color w:val="000000"/>
        </w:rPr>
        <w:t>Antecedentes</w:t>
      </w:r>
      <w:r w:rsidRPr="00F11975">
        <w:rPr>
          <w:rFonts w:ascii="Palatino Linotype" w:eastAsia="Palatino Linotype" w:hAnsi="Palatino Linotype" w:cs="Palatino Linotype"/>
          <w:color w:val="000000"/>
        </w:rPr>
        <w:t xml:space="preserve"> de la presente resolución, se tiene que, primeramente, el particular </w:t>
      </w:r>
      <w:r w:rsidR="009E56A9" w:rsidRPr="00F11975">
        <w:rPr>
          <w:rFonts w:ascii="Palatino Linotype" w:eastAsia="Palatino Linotype" w:hAnsi="Palatino Linotype" w:cs="Palatino Linotype"/>
          <w:color w:val="000000"/>
        </w:rPr>
        <w:t>recurrió</w:t>
      </w:r>
      <w:r w:rsidRPr="00F11975">
        <w:rPr>
          <w:rFonts w:ascii="Palatino Linotype" w:eastAsia="Palatino Linotype" w:hAnsi="Palatino Linotype" w:cs="Palatino Linotype"/>
          <w:color w:val="000000"/>
        </w:rPr>
        <w:t xml:space="preserve"> la </w:t>
      </w:r>
      <w:r w:rsidRPr="00F11975">
        <w:rPr>
          <w:rFonts w:ascii="Palatino Linotype" w:eastAsia="Palatino Linotype" w:hAnsi="Palatino Linotype" w:cs="Palatino Linotype"/>
          <w:i/>
          <w:iCs/>
          <w:color w:val="000000"/>
        </w:rPr>
        <w:t>negativa ficta</w:t>
      </w:r>
      <w:r w:rsidRPr="00F11975">
        <w:rPr>
          <w:rFonts w:ascii="Palatino Linotype" w:eastAsia="Palatino Linotype" w:hAnsi="Palatino Linotype" w:cs="Palatino Linotype"/>
          <w:color w:val="000000"/>
        </w:rPr>
        <w:t xml:space="preserve"> </w:t>
      </w:r>
      <w:r w:rsidR="009E56A9" w:rsidRPr="00F11975">
        <w:rPr>
          <w:rFonts w:ascii="Palatino Linotype" w:eastAsia="Palatino Linotype" w:hAnsi="Palatino Linotype" w:cs="Palatino Linotype"/>
          <w:color w:val="000000"/>
        </w:rPr>
        <w:t xml:space="preserve">recaída a </w:t>
      </w:r>
      <w:r w:rsidRPr="00F11975">
        <w:rPr>
          <w:rFonts w:ascii="Palatino Linotype" w:eastAsia="Palatino Linotype" w:hAnsi="Palatino Linotype" w:cs="Palatino Linotype"/>
          <w:color w:val="000000"/>
        </w:rPr>
        <w:t xml:space="preserve">la solicitud primigenia, vía correo electrónico, el </w:t>
      </w:r>
      <w:r w:rsidR="009E56A9" w:rsidRPr="00F11975">
        <w:rPr>
          <w:rFonts w:ascii="Palatino Linotype" w:eastAsia="Palatino Linotype" w:hAnsi="Palatino Linotype" w:cs="Palatino Linotype"/>
          <w:color w:val="000000"/>
        </w:rPr>
        <w:t xml:space="preserve">veintidós (22) de marzo de dos mil veintidós, impugnación que recibió el folio único de identificación </w:t>
      </w:r>
      <w:r w:rsidR="009E56A9" w:rsidRPr="00F11975">
        <w:rPr>
          <w:rFonts w:ascii="Palatino Linotype" w:eastAsia="Palatino Linotype" w:hAnsi="Palatino Linotype" w:cs="Palatino Linotype"/>
          <w:b/>
          <w:bCs/>
          <w:color w:val="000000"/>
        </w:rPr>
        <w:t>00001/INFOEM/IP/RR-E/2022</w:t>
      </w:r>
      <w:r w:rsidR="009E56A9" w:rsidRPr="00F11975">
        <w:rPr>
          <w:rFonts w:ascii="Palatino Linotype" w:eastAsia="Palatino Linotype" w:hAnsi="Palatino Linotype" w:cs="Palatino Linotype"/>
          <w:color w:val="000000"/>
        </w:rPr>
        <w:t xml:space="preserve">. Posteriormente, el </w:t>
      </w:r>
      <w:r w:rsidR="004803C2" w:rsidRPr="00F11975">
        <w:rPr>
          <w:rFonts w:ascii="Palatino Linotype" w:eastAsia="Palatino Linotype" w:hAnsi="Palatino Linotype" w:cs="Palatino Linotype"/>
          <w:color w:val="000000"/>
        </w:rPr>
        <w:t xml:space="preserve">veinticinco (25) de marzo de dos mil veintidós, vía SAIMEX, el particular interpuso el recurso de revisión </w:t>
      </w:r>
      <w:r w:rsidR="004803C2" w:rsidRPr="00F11975">
        <w:rPr>
          <w:rFonts w:ascii="Palatino Linotype" w:eastAsia="Palatino Linotype" w:hAnsi="Palatino Linotype" w:cs="Palatino Linotype"/>
          <w:b/>
          <w:bCs/>
          <w:color w:val="000000"/>
        </w:rPr>
        <w:t>01895/INFOEM/IP/RR/2022.</w:t>
      </w:r>
    </w:p>
    <w:p w14:paraId="6CD1676C"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C5160F7" w14:textId="5743DE53" w:rsidR="008D50EF" w:rsidRPr="00F11975" w:rsidRDefault="004803C2"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lastRenderedPageBreak/>
        <w:t xml:space="preserve">Razón de lo anterior, este Organismo Garante advierte que en el presente asunto existe una </w:t>
      </w:r>
      <w:r w:rsidRPr="00F11975">
        <w:rPr>
          <w:rFonts w:ascii="Palatino Linotype" w:eastAsia="Palatino Linotype" w:hAnsi="Palatino Linotype" w:cs="Palatino Linotype"/>
          <w:b/>
          <w:bCs/>
          <w:color w:val="000000"/>
        </w:rPr>
        <w:t>litispendencia</w:t>
      </w:r>
      <w:r w:rsidRPr="00F11975">
        <w:rPr>
          <w:rFonts w:ascii="Palatino Linotype" w:eastAsia="Palatino Linotype" w:hAnsi="Palatino Linotype" w:cs="Palatino Linotype"/>
          <w:color w:val="000000"/>
        </w:rPr>
        <w:t xml:space="preserve"> entre ambos recurso de revisión señalados </w:t>
      </w:r>
      <w:r w:rsidRPr="00F11975">
        <w:rPr>
          <w:rFonts w:ascii="Palatino Linotype" w:eastAsia="Palatino Linotype" w:hAnsi="Palatino Linotype" w:cs="Palatino Linotype"/>
          <w:i/>
          <w:iCs/>
          <w:color w:val="000000"/>
        </w:rPr>
        <w:t>supra</w:t>
      </w:r>
      <w:r w:rsidRPr="00F11975">
        <w:rPr>
          <w:rFonts w:ascii="Palatino Linotype" w:eastAsia="Palatino Linotype" w:hAnsi="Palatino Linotype" w:cs="Palatino Linotype"/>
          <w:color w:val="000000"/>
        </w:rPr>
        <w:t xml:space="preserve">, la cual se refiere a </w:t>
      </w:r>
      <w:r w:rsidRPr="00F11975">
        <w:rPr>
          <w:rFonts w:ascii="Palatino Linotype" w:eastAsia="Palatino Linotype" w:hAnsi="Palatino Linotype" w:cs="Palatino Linotype"/>
          <w:b/>
          <w:bCs/>
          <w:color w:val="000000"/>
        </w:rPr>
        <w:t>cuando un litigio encuentra pendiente, o sea cuando una circunstancia es de conocimiento de un juez dentro de un juicio y por lo tanto no puede ser objeto de otro juicio</w:t>
      </w:r>
      <w:r w:rsidRPr="00F11975">
        <w:rPr>
          <w:rFonts w:ascii="Palatino Linotype" w:eastAsia="Palatino Linotype" w:hAnsi="Palatino Linotype" w:cs="Palatino Linotype"/>
          <w:color w:val="000000"/>
        </w:rPr>
        <w:t>. Guarda relación con la cosa juzgada, sin embargo la distinción principal es que en este caso se trata de un asunto del que no se ha emitido una resolución</w:t>
      </w:r>
      <w:r w:rsidRPr="00F11975">
        <w:rPr>
          <w:rStyle w:val="Refdenotaalpie"/>
          <w:rFonts w:ascii="Palatino Linotype" w:eastAsia="Palatino Linotype" w:hAnsi="Palatino Linotype" w:cs="Palatino Linotype"/>
          <w:color w:val="000000"/>
        </w:rPr>
        <w:footnoteReference w:id="26"/>
      </w:r>
      <w:r w:rsidRPr="00F11975">
        <w:rPr>
          <w:rFonts w:ascii="Palatino Linotype" w:eastAsia="Palatino Linotype" w:hAnsi="Palatino Linotype" w:cs="Palatino Linotype"/>
          <w:color w:val="000000"/>
        </w:rPr>
        <w:t xml:space="preserve">. </w:t>
      </w:r>
    </w:p>
    <w:p w14:paraId="2B7A1432"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6BFE554" w14:textId="23E9D6CB" w:rsidR="008D50EF" w:rsidRPr="00F11975" w:rsidRDefault="0083128D"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Por su parte, el Máximo Tribunal del país se ha pronunciado respecto a la </w:t>
      </w:r>
      <w:r w:rsidRPr="00F11975">
        <w:rPr>
          <w:rFonts w:ascii="Palatino Linotype" w:eastAsia="Palatino Linotype" w:hAnsi="Palatino Linotype" w:cs="Palatino Linotype"/>
          <w:b/>
          <w:bCs/>
          <w:color w:val="000000"/>
        </w:rPr>
        <w:t>litispendencia</w:t>
      </w:r>
      <w:r w:rsidRPr="00F11975">
        <w:rPr>
          <w:rFonts w:ascii="Palatino Linotype" w:eastAsia="Palatino Linotype" w:hAnsi="Palatino Linotype" w:cs="Palatino Linotype"/>
          <w:color w:val="000000"/>
        </w:rPr>
        <w:t xml:space="preserve"> y sus efectos dentro de la Jurisprudencia identificada con el registro 2019709, cuyo rubro y texto señalan lo siguiente:</w:t>
      </w:r>
    </w:p>
    <w:p w14:paraId="51F1B2C9" w14:textId="5CE1F57F"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393FB7A" w14:textId="4E8AA307" w:rsidR="0083128D" w:rsidRPr="00F11975" w:rsidRDefault="0083128D" w:rsidP="0083128D">
      <w:pPr>
        <w:pStyle w:val="Prrafodelista"/>
        <w:tabs>
          <w:tab w:val="left" w:pos="426"/>
        </w:tabs>
        <w:spacing w:before="240" w:after="240" w:line="276" w:lineRule="auto"/>
        <w:ind w:left="567" w:right="567"/>
        <w:jc w:val="both"/>
        <w:rPr>
          <w:rFonts w:ascii="Palatino Linotype" w:hAnsi="Palatino Linotype"/>
          <w:color w:val="000000" w:themeColor="text1"/>
          <w:sz w:val="22"/>
          <w:szCs w:val="22"/>
          <w:lang w:val="es-ES"/>
        </w:rPr>
      </w:pPr>
      <w:r w:rsidRPr="00F11975">
        <w:rPr>
          <w:rFonts w:ascii="Palatino Linotype" w:hAnsi="Palatino Linotype"/>
          <w:b/>
          <w:bCs/>
          <w:i/>
          <w:iCs/>
          <w:color w:val="000000" w:themeColor="text1"/>
          <w:sz w:val="22"/>
          <w:szCs w:val="22"/>
          <w:lang w:val="es-ES"/>
        </w:rPr>
        <w:t>CONFLICTOS POR LITISPENDENCIA Y ACUMULACIÓN EN EL JUICIO DE AMPARO. DIFERENCIAS, TRAMITACIÓN Y CONSECUENCIAS.</w:t>
      </w:r>
      <w:r w:rsidRPr="00F11975">
        <w:rPr>
          <w:rFonts w:ascii="Palatino Linotype" w:hAnsi="Palatino Linotype"/>
          <w:i/>
          <w:iCs/>
          <w:color w:val="000000" w:themeColor="text1"/>
          <w:sz w:val="22"/>
          <w:szCs w:val="22"/>
          <w:lang w:val="es-ES"/>
        </w:rPr>
        <w:t xml:space="preserve"> “El artículo 49 de la Ley de Amparo regula </w:t>
      </w:r>
      <w:r w:rsidRPr="00F11975">
        <w:rPr>
          <w:rFonts w:ascii="Palatino Linotype" w:hAnsi="Palatino Linotype"/>
          <w:b/>
          <w:bCs/>
          <w:i/>
          <w:iCs/>
          <w:color w:val="000000" w:themeColor="text1"/>
          <w:sz w:val="22"/>
          <w:szCs w:val="22"/>
          <w:lang w:val="es-ES"/>
        </w:rPr>
        <w:t>el supuesto</w:t>
      </w:r>
      <w:r w:rsidRPr="00F11975">
        <w:rPr>
          <w:rFonts w:ascii="Palatino Linotype" w:hAnsi="Palatino Linotype"/>
          <w:i/>
          <w:iCs/>
          <w:color w:val="000000" w:themeColor="text1"/>
          <w:sz w:val="22"/>
          <w:szCs w:val="22"/>
          <w:lang w:val="es-ES"/>
        </w:rPr>
        <w:t xml:space="preserve"> específico </w:t>
      </w:r>
      <w:r w:rsidRPr="00F11975">
        <w:rPr>
          <w:rFonts w:ascii="Palatino Linotype" w:hAnsi="Palatino Linotype"/>
          <w:b/>
          <w:bCs/>
          <w:i/>
          <w:iCs/>
          <w:color w:val="000000" w:themeColor="text1"/>
          <w:sz w:val="22"/>
          <w:szCs w:val="22"/>
          <w:lang w:val="es-ES"/>
        </w:rPr>
        <w:t>de litispendencia</w:t>
      </w:r>
      <w:r w:rsidRPr="00F11975">
        <w:rPr>
          <w:rFonts w:ascii="Palatino Linotype" w:hAnsi="Palatino Linotype"/>
          <w:i/>
          <w:iCs/>
          <w:color w:val="000000" w:themeColor="text1"/>
          <w:sz w:val="22"/>
          <w:szCs w:val="22"/>
          <w:lang w:val="es-ES"/>
        </w:rPr>
        <w:t xml:space="preserve"> entre juicios de amparo, </w:t>
      </w:r>
      <w:r w:rsidRPr="00F11975">
        <w:rPr>
          <w:rFonts w:ascii="Palatino Linotype" w:hAnsi="Palatino Linotype"/>
          <w:b/>
          <w:bCs/>
          <w:i/>
          <w:iCs/>
          <w:color w:val="000000" w:themeColor="text1"/>
          <w:sz w:val="22"/>
          <w:szCs w:val="22"/>
          <w:lang w:val="es-ES"/>
        </w:rPr>
        <w:t>que implica una identidad completa en relación con los quejosos, las autoridades responsables y los actos reclamados</w:t>
      </w:r>
      <w:r w:rsidRPr="00F11975">
        <w:rPr>
          <w:rFonts w:ascii="Palatino Linotype" w:hAnsi="Palatino Linotype"/>
          <w:i/>
          <w:iCs/>
          <w:color w:val="000000" w:themeColor="text1"/>
          <w:sz w:val="22"/>
          <w:szCs w:val="22"/>
          <w:lang w:val="es-ES"/>
        </w:rPr>
        <w:t xml:space="preserve">, cuyo caso de conflicto debe tramitarse con las reglas aplicables a las cuestiones competenciales, referidas en el artículo 48 de ese ordenamiento. Por ende, </w:t>
      </w:r>
      <w:r w:rsidRPr="00F11975">
        <w:rPr>
          <w:rFonts w:ascii="Palatino Linotype" w:hAnsi="Palatino Linotype"/>
          <w:b/>
          <w:bCs/>
          <w:i/>
          <w:iCs/>
          <w:color w:val="000000" w:themeColor="text1"/>
          <w:sz w:val="22"/>
          <w:szCs w:val="22"/>
          <w:lang w:val="es-ES"/>
        </w:rPr>
        <w:t>una vez desahogado el conflicto y determinado el juicio primigenio que debe prevalecer, así como el órgano que ha de continuar con su trámite en un segundo momento, ello dará lugar a que en el segundo o ulteriores juicios se sobresea</w:t>
      </w:r>
      <w:r w:rsidRPr="00F11975">
        <w:rPr>
          <w:rFonts w:ascii="Palatino Linotype" w:hAnsi="Palatino Linotype"/>
          <w:i/>
          <w:iCs/>
          <w:color w:val="000000" w:themeColor="text1"/>
          <w:sz w:val="22"/>
          <w:szCs w:val="22"/>
          <w:lang w:val="es-ES"/>
        </w:rPr>
        <w:t xml:space="preserve"> en términos del artículo 61, fracción X, de la Ley de Amparo. Lo anterior tiene una naturaleza y consecuencias distintas en los casos en que se advierte la existencia de conexidad entre juicios de amparo (entendida como aquella en donde el mismo quejoso reclame un mismo acto, atribuible a distintas autoridades o diversos quejosos reclamen, de las mismas autoridades, el mismo acto violatorio de derechos humanos), lo que no implica una identidad absoluta, pero sí </w:t>
      </w:r>
      <w:r w:rsidRPr="00F11975">
        <w:rPr>
          <w:rFonts w:ascii="Palatino Linotype" w:hAnsi="Palatino Linotype"/>
          <w:i/>
          <w:iCs/>
          <w:color w:val="000000" w:themeColor="text1"/>
          <w:sz w:val="22"/>
          <w:szCs w:val="22"/>
          <w:lang w:val="es-ES"/>
        </w:rPr>
        <w:lastRenderedPageBreak/>
        <w:t>elementos comunes. Así, en este supuesto, puede presentarse un conflicto por acumulación, el cual debe resolverse conforme a las jurisprudencias P./J. 24/2015 (10a.) y P./J. 25/2015 (10a.), emitidas por el Pleno de la Suprema Corte de Justicia de la Nación.”</w:t>
      </w:r>
    </w:p>
    <w:p w14:paraId="379D0FF8" w14:textId="1A1AADA7" w:rsidR="0083128D" w:rsidRPr="00F11975" w:rsidRDefault="0083128D" w:rsidP="0083128D">
      <w:pPr>
        <w:pStyle w:val="Prrafodelista"/>
        <w:tabs>
          <w:tab w:val="left" w:pos="426"/>
        </w:tabs>
        <w:spacing w:before="240" w:after="240" w:line="276" w:lineRule="auto"/>
        <w:ind w:left="567" w:right="567"/>
        <w:jc w:val="both"/>
        <w:rPr>
          <w:rFonts w:ascii="Palatino Linotype" w:hAnsi="Palatino Linotype"/>
          <w:color w:val="000000" w:themeColor="text1"/>
          <w:sz w:val="22"/>
          <w:szCs w:val="22"/>
          <w:lang w:val="es-ES"/>
        </w:rPr>
      </w:pPr>
      <w:r w:rsidRPr="00F11975">
        <w:rPr>
          <w:rFonts w:ascii="Palatino Linotype" w:hAnsi="Palatino Linotype"/>
          <w:color w:val="000000" w:themeColor="text1"/>
          <w:sz w:val="22"/>
          <w:szCs w:val="22"/>
          <w:lang w:val="es-ES"/>
        </w:rPr>
        <w:t>(Énfasis añadido)</w:t>
      </w:r>
    </w:p>
    <w:p w14:paraId="49FB9769" w14:textId="77777777" w:rsidR="0083128D" w:rsidRPr="00F11975" w:rsidRDefault="0083128D"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E040ED1" w14:textId="71C177EC" w:rsidR="008D50EF" w:rsidRPr="00F11975" w:rsidRDefault="0083128D"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De lo anterior se colige que, cuando dos</w:t>
      </w:r>
      <w:r w:rsidR="00240B92" w:rsidRPr="00F11975">
        <w:rPr>
          <w:rFonts w:ascii="Palatino Linotype" w:eastAsia="Palatino Linotype" w:hAnsi="Palatino Linotype" w:cs="Palatino Linotype"/>
          <w:color w:val="000000"/>
        </w:rPr>
        <w:t xml:space="preserve"> o más</w:t>
      </w:r>
      <w:r w:rsidRPr="00F11975">
        <w:rPr>
          <w:rFonts w:ascii="Palatino Linotype" w:eastAsia="Palatino Linotype" w:hAnsi="Palatino Linotype" w:cs="Palatino Linotype"/>
          <w:color w:val="000000"/>
        </w:rPr>
        <w:t xml:space="preserve"> asuntos actualicen un supuesto de </w:t>
      </w:r>
      <w:r w:rsidRPr="00F11975">
        <w:rPr>
          <w:rFonts w:ascii="Palatino Linotype" w:eastAsia="Palatino Linotype" w:hAnsi="Palatino Linotype" w:cs="Palatino Linotype"/>
          <w:b/>
          <w:bCs/>
          <w:color w:val="000000"/>
        </w:rPr>
        <w:t>litispendencia</w:t>
      </w:r>
      <w:r w:rsidRPr="00F11975">
        <w:rPr>
          <w:rFonts w:ascii="Palatino Linotype" w:eastAsia="Palatino Linotype" w:hAnsi="Palatino Linotype" w:cs="Palatino Linotype"/>
          <w:color w:val="000000"/>
        </w:rPr>
        <w:t xml:space="preserve">, esto es, que en éstos exista un mismo quejoso, </w:t>
      </w:r>
      <w:r w:rsidR="00240B92" w:rsidRPr="00F11975">
        <w:rPr>
          <w:rFonts w:ascii="Palatino Linotype" w:eastAsia="Palatino Linotype" w:hAnsi="Palatino Linotype" w:cs="Palatino Linotype"/>
          <w:color w:val="000000"/>
        </w:rPr>
        <w:t>autoridad responsable y acto reclamado, se deberá dar trámite y continuidad a la primer impugnación, mientras que las posteriores serán sobreseídas al consistir en la misma impugnación que la principal.</w:t>
      </w:r>
    </w:p>
    <w:p w14:paraId="7B02BF81" w14:textId="77777777"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2A854CF" w14:textId="26226E6F" w:rsidR="008D50EF" w:rsidRPr="00F11975" w:rsidRDefault="00240B92"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En ese sentido, la Ley de Transparencia y Acceso a la Información Pública del Estado de México y Municipios, en se artículo 192, </w:t>
      </w:r>
      <w:r w:rsidR="0010029F" w:rsidRPr="00F11975">
        <w:rPr>
          <w:rFonts w:ascii="Palatino Linotype" w:eastAsia="Palatino Linotype" w:hAnsi="Palatino Linotype" w:cs="Palatino Linotype"/>
          <w:color w:val="000000"/>
        </w:rPr>
        <w:t>reconoce las cinco causales por las que un recurso de revisión deba ser sobreseído, siendo de especial interés la establecida en la fracción V, la cual establece lo siguiente:</w:t>
      </w:r>
    </w:p>
    <w:p w14:paraId="602F8EFE" w14:textId="11F368F3"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478C4B6" w14:textId="77777777" w:rsidR="0010029F" w:rsidRPr="00F11975" w:rsidRDefault="0010029F" w:rsidP="0010029F">
      <w:pPr>
        <w:pStyle w:val="Prrafodelista"/>
        <w:tabs>
          <w:tab w:val="left" w:pos="426"/>
        </w:tabs>
        <w:spacing w:line="276" w:lineRule="auto"/>
        <w:ind w:left="567" w:right="567"/>
        <w:jc w:val="both"/>
        <w:rPr>
          <w:rFonts w:ascii="Palatino Linotype" w:hAnsi="Palatino Linotype"/>
          <w:i/>
          <w:sz w:val="22"/>
        </w:rPr>
      </w:pPr>
      <w:r w:rsidRPr="00F11975">
        <w:rPr>
          <w:rFonts w:ascii="Palatino Linotype" w:hAnsi="Palatino Linotype"/>
          <w:i/>
          <w:sz w:val="22"/>
        </w:rPr>
        <w:t>“</w:t>
      </w:r>
      <w:r w:rsidRPr="00F11975">
        <w:rPr>
          <w:rFonts w:ascii="Palatino Linotype" w:hAnsi="Palatino Linotype"/>
          <w:b/>
          <w:i/>
          <w:sz w:val="22"/>
        </w:rPr>
        <w:t>Artículo 192.</w:t>
      </w:r>
      <w:r w:rsidRPr="00F11975">
        <w:rPr>
          <w:rFonts w:ascii="Palatino Linotype" w:hAnsi="Palatino Linotype"/>
          <w:i/>
          <w:sz w:val="22"/>
        </w:rPr>
        <w:t xml:space="preserve"> El recurso será sobreseído, en todo o en parte, cuando una vez admitido, se actualicen alguno de los siguientes supuestos:</w:t>
      </w:r>
    </w:p>
    <w:p w14:paraId="481F384F" w14:textId="77777777" w:rsidR="0010029F" w:rsidRPr="00F11975" w:rsidRDefault="0010029F" w:rsidP="0010029F">
      <w:pPr>
        <w:pStyle w:val="Prrafodelista"/>
        <w:tabs>
          <w:tab w:val="left" w:pos="426"/>
        </w:tabs>
        <w:spacing w:line="276" w:lineRule="auto"/>
        <w:ind w:left="567" w:right="567"/>
        <w:jc w:val="both"/>
        <w:rPr>
          <w:rFonts w:ascii="Palatino Linotype" w:hAnsi="Palatino Linotype"/>
          <w:i/>
          <w:sz w:val="22"/>
        </w:rPr>
      </w:pPr>
      <w:r w:rsidRPr="00F11975">
        <w:rPr>
          <w:rFonts w:ascii="Palatino Linotype" w:hAnsi="Palatino Linotype"/>
          <w:i/>
          <w:sz w:val="22"/>
        </w:rPr>
        <w:t>(…)</w:t>
      </w:r>
    </w:p>
    <w:p w14:paraId="10B5B796" w14:textId="7F488126" w:rsidR="0010029F" w:rsidRPr="00F11975" w:rsidRDefault="0010029F" w:rsidP="0010029F">
      <w:pPr>
        <w:pStyle w:val="Prrafodelista"/>
        <w:tabs>
          <w:tab w:val="left" w:pos="426"/>
        </w:tabs>
        <w:spacing w:line="276" w:lineRule="auto"/>
        <w:ind w:left="567" w:right="567"/>
        <w:jc w:val="both"/>
        <w:rPr>
          <w:rFonts w:ascii="Palatino Linotype" w:hAnsi="Palatino Linotype"/>
          <w:i/>
          <w:sz w:val="22"/>
        </w:rPr>
      </w:pPr>
      <w:r w:rsidRPr="00F11975">
        <w:rPr>
          <w:rFonts w:ascii="Palatino Linotype" w:hAnsi="Palatino Linotype"/>
          <w:b/>
          <w:bCs/>
          <w:i/>
          <w:sz w:val="22"/>
        </w:rPr>
        <w:t>V.</w:t>
      </w:r>
      <w:r w:rsidRPr="00F11975">
        <w:rPr>
          <w:rFonts w:ascii="Palatino Linotype" w:hAnsi="Palatino Linotype"/>
          <w:i/>
          <w:sz w:val="22"/>
        </w:rPr>
        <w:t xml:space="preserve"> </w:t>
      </w:r>
      <w:r w:rsidRPr="00F11975">
        <w:rPr>
          <w:rFonts w:ascii="Palatino Linotype" w:hAnsi="Palatino Linotype"/>
          <w:b/>
          <w:bCs/>
          <w:i/>
          <w:sz w:val="22"/>
        </w:rPr>
        <w:t>Cuando por cualquier motivo quede sin materia el recurso</w:t>
      </w:r>
      <w:r w:rsidRPr="00F11975">
        <w:rPr>
          <w:rFonts w:ascii="Palatino Linotype" w:hAnsi="Palatino Linotype"/>
          <w:i/>
          <w:sz w:val="22"/>
        </w:rPr>
        <w:t>.”</w:t>
      </w:r>
    </w:p>
    <w:p w14:paraId="2650AC91" w14:textId="77777777" w:rsidR="0010029F" w:rsidRPr="00F11975" w:rsidRDefault="0010029F" w:rsidP="0010029F">
      <w:pPr>
        <w:pStyle w:val="Prrafodelista"/>
        <w:tabs>
          <w:tab w:val="left" w:pos="426"/>
        </w:tabs>
        <w:spacing w:line="276" w:lineRule="auto"/>
        <w:ind w:left="567" w:right="567"/>
        <w:jc w:val="both"/>
        <w:rPr>
          <w:rFonts w:ascii="Palatino Linotype" w:hAnsi="Palatino Linotype"/>
          <w:color w:val="000000" w:themeColor="text1"/>
          <w:sz w:val="22"/>
        </w:rPr>
      </w:pPr>
      <w:r w:rsidRPr="00F11975">
        <w:rPr>
          <w:rFonts w:ascii="Palatino Linotype" w:hAnsi="Palatino Linotype"/>
          <w:sz w:val="22"/>
        </w:rPr>
        <w:t>(Énfasis añadido)</w:t>
      </w:r>
    </w:p>
    <w:p w14:paraId="5C12BD7B" w14:textId="77777777" w:rsidR="0010029F" w:rsidRPr="00F11975" w:rsidRDefault="0010029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02AB6AE" w14:textId="1F41734A" w:rsidR="008D50EF" w:rsidRPr="00F11975" w:rsidRDefault="0010029F" w:rsidP="008D50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Así las cosas, toda vez que se ha demostrado que el recurso de revisión </w:t>
      </w:r>
      <w:r w:rsidRPr="00F11975">
        <w:rPr>
          <w:rFonts w:ascii="Palatino Linotype" w:eastAsia="Palatino Linotype" w:hAnsi="Palatino Linotype" w:cs="Palatino Linotype"/>
          <w:b/>
          <w:bCs/>
          <w:color w:val="000000"/>
        </w:rPr>
        <w:t>01895/INFOEM/IP/RR/2022</w:t>
      </w:r>
      <w:r w:rsidRPr="00F11975">
        <w:rPr>
          <w:rFonts w:ascii="Palatino Linotype" w:eastAsia="Palatino Linotype" w:hAnsi="Palatino Linotype" w:cs="Palatino Linotype"/>
          <w:color w:val="000000"/>
        </w:rPr>
        <w:t xml:space="preserve"> consiste en la misma impugnación presentada por el mismo </w:t>
      </w:r>
      <w:r w:rsidRPr="00F11975">
        <w:rPr>
          <w:rFonts w:ascii="Palatino Linotype" w:eastAsia="Palatino Linotype" w:hAnsi="Palatino Linotype" w:cs="Palatino Linotype"/>
          <w:b/>
          <w:bCs/>
          <w:color w:val="000000"/>
        </w:rPr>
        <w:t>RECURRENTE</w:t>
      </w:r>
      <w:r w:rsidRPr="00F11975">
        <w:rPr>
          <w:rFonts w:ascii="Palatino Linotype" w:eastAsia="Palatino Linotype" w:hAnsi="Palatino Linotype" w:cs="Palatino Linotype"/>
          <w:color w:val="000000"/>
        </w:rPr>
        <w:t xml:space="preserve"> en contra del mismo </w:t>
      </w:r>
      <w:r w:rsidRPr="00F11975">
        <w:rPr>
          <w:rFonts w:ascii="Palatino Linotype" w:eastAsia="Palatino Linotype" w:hAnsi="Palatino Linotype" w:cs="Palatino Linotype"/>
          <w:b/>
          <w:bCs/>
          <w:color w:val="000000"/>
        </w:rPr>
        <w:t>SUJETO OBLIGADO</w:t>
      </w:r>
      <w:r w:rsidRPr="00F11975">
        <w:rPr>
          <w:rFonts w:ascii="Palatino Linotype" w:eastAsia="Palatino Linotype" w:hAnsi="Palatino Linotype" w:cs="Palatino Linotype"/>
          <w:color w:val="000000"/>
        </w:rPr>
        <w:t xml:space="preserve">, establecidos en el recurso </w:t>
      </w:r>
      <w:r w:rsidRPr="00F11975">
        <w:rPr>
          <w:rFonts w:ascii="Palatino Linotype" w:eastAsia="Palatino Linotype" w:hAnsi="Palatino Linotype" w:cs="Palatino Linotype"/>
          <w:b/>
          <w:bCs/>
          <w:color w:val="000000"/>
        </w:rPr>
        <w:t>00001/INFOEM/IP/RR-E/2022</w:t>
      </w:r>
      <w:r w:rsidRPr="00F11975">
        <w:rPr>
          <w:rFonts w:ascii="Palatino Linotype" w:eastAsia="Palatino Linotype" w:hAnsi="Palatino Linotype" w:cs="Palatino Linotype"/>
          <w:color w:val="000000"/>
        </w:rPr>
        <w:t xml:space="preserve">, este Organismo Garante determina que el </w:t>
      </w:r>
      <w:r w:rsidRPr="00F11975">
        <w:rPr>
          <w:rFonts w:ascii="Palatino Linotype" w:eastAsia="Palatino Linotype" w:hAnsi="Palatino Linotype" w:cs="Palatino Linotype"/>
          <w:color w:val="000000"/>
        </w:rPr>
        <w:lastRenderedPageBreak/>
        <w:t xml:space="preserve">primero genera </w:t>
      </w:r>
      <w:r w:rsidR="00A24CE5" w:rsidRPr="00F11975">
        <w:rPr>
          <w:rFonts w:ascii="Palatino Linotype" w:eastAsia="Palatino Linotype" w:hAnsi="Palatino Linotype" w:cs="Palatino Linotype"/>
          <w:color w:val="000000"/>
        </w:rPr>
        <w:t xml:space="preserve">una </w:t>
      </w:r>
      <w:r w:rsidR="00A24CE5" w:rsidRPr="00F11975">
        <w:rPr>
          <w:rFonts w:ascii="Palatino Linotype" w:eastAsia="Palatino Linotype" w:hAnsi="Palatino Linotype" w:cs="Palatino Linotype"/>
          <w:b/>
          <w:bCs/>
          <w:color w:val="000000"/>
        </w:rPr>
        <w:t>litispendencia</w:t>
      </w:r>
      <w:r w:rsidR="00A24CE5" w:rsidRPr="00F11975">
        <w:rPr>
          <w:rFonts w:ascii="Palatino Linotype" w:eastAsia="Palatino Linotype" w:hAnsi="Palatino Linotype" w:cs="Palatino Linotype"/>
          <w:color w:val="000000"/>
        </w:rPr>
        <w:t xml:space="preserve"> contra el segundo, al ser éste el recurso originalmente interpuesto ante este Instituto.</w:t>
      </w:r>
    </w:p>
    <w:p w14:paraId="360BE2DD" w14:textId="77777777" w:rsidR="0010029F" w:rsidRPr="00F11975" w:rsidRDefault="0010029F" w:rsidP="0010029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E7852B9" w14:textId="7CBCB26A" w:rsidR="008D50EF" w:rsidRPr="00F11975" w:rsidRDefault="00A24CE5" w:rsidP="008D50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Razón de lo anterior, y con fundamento con lo establecido por el artículo 192, fracción V, de la Ley de Transparencia y Acceso a la Información Pública del Estado de México y Municipios, se determina el </w:t>
      </w:r>
      <w:r w:rsidRPr="00F11975">
        <w:rPr>
          <w:rFonts w:ascii="Palatino Linotype" w:eastAsia="Palatino Linotype" w:hAnsi="Palatino Linotype" w:cs="Palatino Linotype"/>
          <w:b/>
          <w:bCs/>
          <w:color w:val="000000"/>
        </w:rPr>
        <w:t>sobreseimiento</w:t>
      </w:r>
      <w:r w:rsidRPr="00F11975">
        <w:rPr>
          <w:rFonts w:ascii="Palatino Linotype" w:eastAsia="Palatino Linotype" w:hAnsi="Palatino Linotype" w:cs="Palatino Linotype"/>
          <w:color w:val="000000"/>
        </w:rPr>
        <w:t xml:space="preserve"> del recurso de revisión </w:t>
      </w:r>
      <w:r w:rsidRPr="00F11975">
        <w:rPr>
          <w:rFonts w:ascii="Palatino Linotype" w:eastAsia="Palatino Linotype" w:hAnsi="Palatino Linotype" w:cs="Palatino Linotype"/>
          <w:b/>
          <w:bCs/>
          <w:color w:val="000000"/>
        </w:rPr>
        <w:t>01895/INFOEM/IP/RR/2022</w:t>
      </w:r>
      <w:r w:rsidRPr="00F11975">
        <w:rPr>
          <w:rFonts w:ascii="Palatino Linotype" w:eastAsia="Palatino Linotype" w:hAnsi="Palatino Linotype" w:cs="Palatino Linotype"/>
          <w:color w:val="000000"/>
        </w:rPr>
        <w:t>.</w:t>
      </w:r>
    </w:p>
    <w:p w14:paraId="1CF4067A" w14:textId="6E158810"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B11BBE2" w14:textId="4F015601" w:rsidR="00A24CE5" w:rsidRPr="00F11975" w:rsidRDefault="00A24CE5" w:rsidP="00A24CE5">
      <w:pPr>
        <w:pStyle w:val="Prrafodelista"/>
        <w:tabs>
          <w:tab w:val="left" w:pos="426"/>
        </w:tabs>
        <w:spacing w:before="240" w:after="240" w:line="360" w:lineRule="auto"/>
        <w:ind w:left="0" w:right="51"/>
        <w:jc w:val="both"/>
        <w:outlineLvl w:val="1"/>
        <w:rPr>
          <w:rFonts w:ascii="Palatino Linotype" w:hAnsi="Palatino Linotype"/>
          <w:b/>
          <w:bCs/>
          <w:color w:val="000000" w:themeColor="text1"/>
          <w:lang w:val="es-MX"/>
        </w:rPr>
      </w:pPr>
      <w:r w:rsidRPr="00F11975">
        <w:rPr>
          <w:rFonts w:ascii="Palatino Linotype" w:hAnsi="Palatino Linotype"/>
          <w:b/>
          <w:bCs/>
          <w:color w:val="000000" w:themeColor="text1"/>
          <w:lang w:val="es-MX"/>
        </w:rPr>
        <w:t>SEXTO. De la versión pública.</w:t>
      </w:r>
    </w:p>
    <w:p w14:paraId="76570857"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75FC812"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Debe </w:t>
      </w:r>
      <w:r w:rsidRPr="00F11975">
        <w:rPr>
          <w:rFonts w:ascii="Palatino Linotype" w:hAnsi="Palatino Linotype"/>
          <w:color w:val="000000" w:themeColor="text1"/>
        </w:rPr>
        <w:t>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08B3FB2"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49174B62"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La </w:t>
      </w:r>
      <w:r w:rsidRPr="00F11975">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w:t>
      </w:r>
      <w:r w:rsidRPr="00F11975">
        <w:rPr>
          <w:rFonts w:ascii="Palatino Linotype" w:hAnsi="Palatino Linotype" w:cs="Arial"/>
          <w:color w:val="000000" w:themeColor="text1"/>
        </w:rPr>
        <w:lastRenderedPageBreak/>
        <w:t>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DB3BF87"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3143492C" w14:textId="13C7581E" w:rsidR="008D50EF"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El </w:t>
      </w:r>
      <w:r w:rsidRPr="00F11975">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FA666E5" w14:textId="4915BE21"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22BDB91" w14:textId="5B45681E" w:rsidR="00A24CE5" w:rsidRPr="00F11975" w:rsidRDefault="00A24CE5" w:rsidP="00A24CE5">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sidRPr="00F11975">
        <w:rPr>
          <w:rFonts w:ascii="Palatino Linotype" w:hAnsi="Palatino Linotype"/>
          <w:b/>
          <w:bCs/>
          <w:color w:val="000000" w:themeColor="text1"/>
          <w:lang w:val="es-MX"/>
        </w:rPr>
        <w:t>I. Requisitos previos.</w:t>
      </w:r>
    </w:p>
    <w:p w14:paraId="7513961C"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BA700E5"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Los </w:t>
      </w:r>
      <w:r w:rsidRPr="00F11975">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F11975">
        <w:rPr>
          <w:rFonts w:ascii="Palatino Linotype" w:eastAsia="MS Mincho" w:hAnsi="Palatino Linotype" w:cs="Times New Roman"/>
        </w:rPr>
        <w:lastRenderedPageBreak/>
        <w:t>póliza, entre otros), señalando el supuesto de clasificación (confidencialidad o reserva).</w:t>
      </w:r>
    </w:p>
    <w:p w14:paraId="00DA4A81"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5168ED56"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Además, </w:t>
      </w:r>
      <w:r w:rsidRPr="00F11975">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165D81B"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7FDB7519" w14:textId="7B205D45" w:rsidR="008D50EF"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El </w:t>
      </w:r>
      <w:r w:rsidRPr="00F11975">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6081C9" w14:textId="7D3FE4E3"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73CDBBE" w14:textId="33DAAF52" w:rsidR="00A24CE5" w:rsidRPr="00F11975" w:rsidRDefault="00A24CE5" w:rsidP="00A24CE5">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sidRPr="00F11975">
        <w:rPr>
          <w:rFonts w:ascii="Palatino Linotype" w:hAnsi="Palatino Linotype"/>
          <w:b/>
          <w:bCs/>
          <w:color w:val="000000" w:themeColor="text1"/>
          <w:lang w:val="es-MX"/>
        </w:rPr>
        <w:t>II. Supuestos de clasificación.</w:t>
      </w:r>
    </w:p>
    <w:p w14:paraId="286CDFA8"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B90779E"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Las </w:t>
      </w:r>
      <w:r w:rsidRPr="00F11975">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049D484"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7B07A90B" w14:textId="5B6AD05A" w:rsidR="008D50EF"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lastRenderedPageBreak/>
        <w:t xml:space="preserve">Los </w:t>
      </w:r>
      <w:r w:rsidRPr="00F11975">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8405A3D" w14:textId="053CEBED"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0CC1CA7" w14:textId="77777777" w:rsidR="00A24CE5" w:rsidRPr="00F11975" w:rsidRDefault="00A24CE5" w:rsidP="00A24CE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11975">
        <w:rPr>
          <w:rFonts w:ascii="Palatino Linotype" w:hAnsi="Palatino Linotype" w:cs="Bookman Old Style"/>
          <w:bCs/>
          <w:i/>
          <w:color w:val="000000"/>
          <w:sz w:val="22"/>
          <w:szCs w:val="22"/>
        </w:rPr>
        <w:t>“</w:t>
      </w:r>
      <w:r w:rsidRPr="00F11975">
        <w:rPr>
          <w:rFonts w:ascii="Palatino Linotype" w:hAnsi="Palatino Linotype" w:cs="Bookman Old Style"/>
          <w:b/>
          <w:i/>
          <w:color w:val="000000"/>
          <w:sz w:val="22"/>
          <w:szCs w:val="22"/>
        </w:rPr>
        <w:t>I.</w:t>
      </w:r>
      <w:r w:rsidRPr="00F11975">
        <w:rPr>
          <w:rFonts w:ascii="Palatino Linotype" w:hAnsi="Palatino Linotype" w:cs="Bookman Old Style"/>
          <w:bCs/>
          <w:i/>
          <w:color w:val="000000"/>
          <w:sz w:val="22"/>
          <w:szCs w:val="22"/>
        </w:rPr>
        <w:t xml:space="preserve"> </w:t>
      </w:r>
      <w:r w:rsidRPr="00F11975">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0173F775" w14:textId="77777777" w:rsidR="00A24CE5" w:rsidRPr="00F11975" w:rsidRDefault="00A24CE5" w:rsidP="00A24CE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11975">
        <w:rPr>
          <w:rFonts w:ascii="Palatino Linotype" w:hAnsi="Palatino Linotype" w:cs="Bookman Old Style"/>
          <w:b/>
          <w:i/>
          <w:color w:val="000000"/>
          <w:sz w:val="22"/>
          <w:szCs w:val="22"/>
        </w:rPr>
        <w:t>II.</w:t>
      </w:r>
      <w:r w:rsidRPr="00F11975">
        <w:rPr>
          <w:rFonts w:ascii="Palatino Linotype" w:hAnsi="Palatino Linotype" w:cs="Bookman Old Style"/>
          <w:bCs/>
          <w:i/>
          <w:color w:val="000000"/>
          <w:sz w:val="22"/>
          <w:szCs w:val="22"/>
        </w:rPr>
        <w:t xml:space="preserve"> </w:t>
      </w:r>
      <w:r w:rsidRPr="00F11975">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E8ED3D" w14:textId="77777777" w:rsidR="00A24CE5" w:rsidRPr="00F11975" w:rsidRDefault="00A24CE5" w:rsidP="00A24CE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11975">
        <w:rPr>
          <w:rFonts w:ascii="Palatino Linotype" w:hAnsi="Palatino Linotype" w:cs="Bookman Old Style"/>
          <w:b/>
          <w:i/>
          <w:color w:val="000000"/>
          <w:sz w:val="22"/>
          <w:szCs w:val="22"/>
        </w:rPr>
        <w:t>III.</w:t>
      </w:r>
      <w:r w:rsidRPr="00F11975">
        <w:rPr>
          <w:rFonts w:ascii="Palatino Linotype" w:hAnsi="Palatino Linotype" w:cs="Bookman Old Style"/>
          <w:bCs/>
          <w:i/>
          <w:color w:val="000000"/>
          <w:sz w:val="22"/>
          <w:szCs w:val="22"/>
        </w:rPr>
        <w:t xml:space="preserve"> </w:t>
      </w:r>
      <w:r w:rsidRPr="00F11975">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7AE21DAA" w14:textId="77777777" w:rsidR="00A24CE5" w:rsidRPr="00F11975" w:rsidRDefault="00A24CE5" w:rsidP="00A24CE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11975">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F990CA0" w14:textId="77777777" w:rsidR="00A24CE5" w:rsidRPr="00F11975" w:rsidRDefault="00A24CE5" w:rsidP="00A24CE5">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11975">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4101A238"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67A43FC"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Mientras </w:t>
      </w:r>
      <w:r w:rsidRPr="00F11975">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B8EF1B0"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15DAD04C"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Como </w:t>
      </w:r>
      <w:r w:rsidRPr="00F11975">
        <w:rPr>
          <w:rFonts w:ascii="Palatino Linotype" w:eastAsia="MS Mincho" w:hAnsi="Palatino Linotype" w:cs="Times New Roman"/>
        </w:rPr>
        <w:t xml:space="preserve">consecuencia de lo anterior, el </w:t>
      </w:r>
      <w:r w:rsidRPr="00F11975">
        <w:rPr>
          <w:rFonts w:ascii="Palatino Linotype" w:eastAsia="MS Mincho" w:hAnsi="Palatino Linotype" w:cs="Times New Roman"/>
          <w:b/>
          <w:bCs/>
        </w:rPr>
        <w:t>SUJETO OBLIGADO</w:t>
      </w:r>
      <w:r w:rsidRPr="00F11975">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w:t>
      </w:r>
      <w:r w:rsidRPr="00F11975">
        <w:rPr>
          <w:rFonts w:ascii="Palatino Linotype" w:eastAsia="MS Mincho" w:hAnsi="Palatino Linotype" w:cs="Times New Roman"/>
        </w:rPr>
        <w:lastRenderedPageBreak/>
        <w:t>jurídica. Esto también lo debe de realizar el servidor público habilitado y el titular del área que administra la información.</w:t>
      </w:r>
    </w:p>
    <w:p w14:paraId="0675A18B"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735EE85D" w14:textId="69C3123B" w:rsidR="008D50EF"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Al </w:t>
      </w:r>
      <w:r w:rsidRPr="00F11975">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E62605D" w14:textId="2E4A7F82"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B45D812"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w:t>
      </w:r>
      <w:r w:rsidRPr="00F11975">
        <w:rPr>
          <w:rFonts w:ascii="Palatino Linotype" w:hAnsi="Palatino Linotype" w:cs="Arial"/>
          <w:b/>
          <w:i/>
          <w:sz w:val="22"/>
          <w:szCs w:val="22"/>
        </w:rPr>
        <w:t>Quincuagésimo.</w:t>
      </w:r>
      <w:r w:rsidRPr="00F11975">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17F0042"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039B605"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b/>
          <w:i/>
          <w:sz w:val="22"/>
          <w:szCs w:val="22"/>
        </w:rPr>
        <w:t>Quincuagésimo primero.</w:t>
      </w:r>
      <w:r w:rsidRPr="00F11975">
        <w:rPr>
          <w:rFonts w:ascii="Palatino Linotype" w:hAnsi="Palatino Linotype" w:cs="Arial"/>
          <w:i/>
          <w:sz w:val="22"/>
          <w:szCs w:val="22"/>
        </w:rPr>
        <w:t xml:space="preserve"> La leyenda en los documentos clasificados indicará:</w:t>
      </w:r>
    </w:p>
    <w:p w14:paraId="7108DA0B"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I. La fecha de sesión del Comité de Transparencia en donde se confirmó la clasificación, en su caso;</w:t>
      </w:r>
    </w:p>
    <w:p w14:paraId="7BA1DE7D"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II. El nombre del área;</w:t>
      </w:r>
    </w:p>
    <w:p w14:paraId="0BE1636A"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III. La palabra reservado o confidencial;</w:t>
      </w:r>
    </w:p>
    <w:p w14:paraId="60AF92AD"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IV. Las partes o secciones reservadas o confidenciales, en su caso;</w:t>
      </w:r>
    </w:p>
    <w:p w14:paraId="4A9AE764"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V. El fundamento legal;</w:t>
      </w:r>
    </w:p>
    <w:p w14:paraId="33ABBA6D"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VI. El periodo de reserva, y</w:t>
      </w:r>
    </w:p>
    <w:p w14:paraId="5E1BABEE"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VII. La rúbrica del titular del área.</w:t>
      </w:r>
    </w:p>
    <w:p w14:paraId="669FBC79"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90E6732"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b/>
          <w:i/>
          <w:sz w:val="22"/>
          <w:szCs w:val="22"/>
        </w:rPr>
        <w:t>Quincuagésimo segundo.</w:t>
      </w:r>
      <w:r w:rsidRPr="00F11975">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58999898"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77FD83D"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E97478C" w14:textId="77777777" w:rsidR="00A24CE5" w:rsidRPr="00F11975" w:rsidRDefault="00A24CE5" w:rsidP="00A24CE5">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11975">
        <w:rPr>
          <w:rFonts w:ascii="Palatino Linotype" w:hAnsi="Palatino Linotype" w:cs="Arial"/>
          <w:b/>
          <w:i/>
          <w:sz w:val="22"/>
          <w:szCs w:val="22"/>
        </w:rPr>
        <w:t>Quincuagésimo tercero.</w:t>
      </w:r>
      <w:r w:rsidRPr="00F11975">
        <w:rPr>
          <w:rFonts w:ascii="Palatino Linotype" w:hAnsi="Palatino Linotype" w:cs="Arial"/>
          <w:i/>
          <w:sz w:val="22"/>
          <w:szCs w:val="22"/>
        </w:rPr>
        <w:t xml:space="preserve"> El formato para señalar la clasificación parcial de un documento, es el siguiente:</w:t>
      </w:r>
    </w:p>
    <w:p w14:paraId="7B0A5DD6" w14:textId="2CA07FDB" w:rsidR="00A24CE5" w:rsidRPr="00F11975" w:rsidRDefault="00A24CE5" w:rsidP="00A24CE5">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rsidRPr="00F11975">
        <w:rPr>
          <w:rFonts w:ascii="Palatino Linotype" w:hAnsi="Palatino Linotype" w:cs="Arial"/>
          <w:i/>
          <w:noProof/>
          <w:lang w:val="es-MX" w:eastAsia="es-MX"/>
        </w:rPr>
        <w:lastRenderedPageBreak/>
        <w:drawing>
          <wp:inline distT="0" distB="0" distL="0" distR="0" wp14:anchorId="2455BEAA" wp14:editId="08804BE3">
            <wp:extent cx="3698259" cy="3035600"/>
            <wp:effectExtent l="57150" t="57150" r="111760" b="10795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9159" cy="30855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1B997D"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90701E1" w14:textId="10382668" w:rsidR="008D50EF" w:rsidRPr="00F11975" w:rsidRDefault="00A24CE5"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eastAsia="Palatino Linotype" w:hAnsi="Palatino Linotype" w:cs="Palatino Linotype"/>
          <w:color w:val="000000"/>
        </w:rPr>
        <w:t xml:space="preserve">Una </w:t>
      </w:r>
      <w:r w:rsidRPr="00F11975">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2854E200" w14:textId="396F64BF"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178C91C" w14:textId="46046D5B" w:rsidR="00A24CE5" w:rsidRPr="00F11975" w:rsidRDefault="00A24CE5" w:rsidP="00A24CE5">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sidRPr="00F11975">
        <w:rPr>
          <w:rFonts w:ascii="Palatino Linotype" w:hAnsi="Palatino Linotype"/>
          <w:b/>
          <w:bCs/>
          <w:color w:val="000000" w:themeColor="text1"/>
          <w:lang w:val="es-MX"/>
        </w:rPr>
        <w:t>III. La intervención del Comité de Transparencia.</w:t>
      </w:r>
    </w:p>
    <w:p w14:paraId="32E410CE" w14:textId="2A5245FC"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b/>
          <w:bCs/>
          <w:color w:val="000000" w:themeColor="text1"/>
          <w:lang w:val="es-MX"/>
        </w:rPr>
      </w:pPr>
      <w:r w:rsidRPr="00F11975">
        <w:rPr>
          <w:rFonts w:ascii="Palatino Linotype" w:hAnsi="Palatino Linotype"/>
          <w:b/>
          <w:bCs/>
          <w:color w:val="000000" w:themeColor="text1"/>
          <w:lang w:val="es-MX"/>
        </w:rPr>
        <w:t>a) Formalidades para emitir el Acuerdo de Clasificación.</w:t>
      </w:r>
    </w:p>
    <w:p w14:paraId="3C56C16E"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88CBC22"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El </w:t>
      </w:r>
      <w:r w:rsidRPr="00F11975">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w:t>
      </w:r>
      <w:r w:rsidRPr="00F11975">
        <w:rPr>
          <w:rFonts w:ascii="Palatino Linotype" w:eastAsia="MS Mincho" w:hAnsi="Palatino Linotype" w:cs="Times New Roman"/>
        </w:rPr>
        <w:lastRenderedPageBreak/>
        <w:t>titular del área que administra la información. Por lo tanto, el Comité no aprueba la clasificación, sino que revisa lo que ha hecho el titular del área y confirma, modifica o revoca la decisión a través de un acuerdo.</w:t>
      </w:r>
    </w:p>
    <w:p w14:paraId="0A1A4816"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2D4C1E67"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Evidentemente, </w:t>
      </w:r>
      <w:r w:rsidRPr="00F11975">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C3727EA"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5E1F7361" w14:textId="4B031552" w:rsidR="008D50EF"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La </w:t>
      </w:r>
      <w:r w:rsidRPr="00F11975">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662E0C2" w14:textId="10D903D1"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0741668" w14:textId="487F2C93"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b/>
          <w:bCs/>
          <w:color w:val="000000" w:themeColor="text1"/>
          <w:lang w:val="es-MX"/>
        </w:rPr>
      </w:pPr>
      <w:r w:rsidRPr="00F11975">
        <w:rPr>
          <w:rFonts w:ascii="Palatino Linotype" w:hAnsi="Palatino Linotype"/>
          <w:b/>
          <w:bCs/>
          <w:color w:val="000000" w:themeColor="text1"/>
          <w:lang w:val="es-MX"/>
        </w:rPr>
        <w:t>b) Requisitos de fondo del Acuerdo de Clasificación.</w:t>
      </w:r>
    </w:p>
    <w:p w14:paraId="17CECDA5"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8317D27"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Como </w:t>
      </w:r>
      <w:r w:rsidRPr="00F11975">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D9AF4A4"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6CA82F9C"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De </w:t>
      </w:r>
      <w:r w:rsidRPr="00F11975">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B377394"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6959AAA3"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Han </w:t>
      </w:r>
      <w:r w:rsidRPr="00F11975">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F11975">
        <w:rPr>
          <w:rFonts w:ascii="Palatino Linotype" w:eastAsia="MS Mincho" w:hAnsi="Palatino Linotype" w:cs="Times New Roman"/>
          <w:i/>
          <w:iCs/>
        </w:rPr>
        <w:t xml:space="preserve">“(...) la garantía de fundamentación impone a las autoridades el deber </w:t>
      </w:r>
      <w:r w:rsidRPr="00F11975">
        <w:rPr>
          <w:rFonts w:ascii="Palatino Linotype" w:eastAsia="MS Mincho" w:hAnsi="Palatino Linotype" w:cs="Times New Roman"/>
          <w:i/>
          <w:iCs/>
        </w:rPr>
        <w:lastRenderedPageBreak/>
        <w:t>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F11975">
        <w:rPr>
          <w:rFonts w:ascii="Palatino Linotype" w:eastAsia="MS Mincho" w:hAnsi="Palatino Linotype" w:cs="Times New Roman"/>
        </w:rPr>
        <w:t>.</w:t>
      </w:r>
    </w:p>
    <w:p w14:paraId="2FF4200F"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631FD633" w14:textId="437EA80E" w:rsidR="008D50EF"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Por </w:t>
      </w:r>
      <w:r w:rsidRPr="00F11975">
        <w:rPr>
          <w:rFonts w:ascii="Palatino Linotype" w:eastAsia="MS Mincho" w:hAnsi="Palatino Linotype" w:cs="Times New Roman"/>
        </w:rPr>
        <w:t>su parte, el intérprete judicial del país ha establecido una jurisprudencia</w:t>
      </w:r>
      <w:r w:rsidRPr="00F11975">
        <w:rPr>
          <w:rStyle w:val="Refdenotaalpie"/>
          <w:rFonts w:ascii="Palatino Linotype" w:eastAsia="MS Mincho" w:hAnsi="Palatino Linotype" w:cs="Times New Roman"/>
        </w:rPr>
        <w:footnoteReference w:id="27"/>
      </w:r>
      <w:r w:rsidRPr="00F11975">
        <w:rPr>
          <w:rFonts w:ascii="Palatino Linotype" w:eastAsia="MS Mincho" w:hAnsi="Palatino Linotype" w:cs="Times New Roman"/>
        </w:rPr>
        <w:t xml:space="preserve"> respecto a qué debe entenderse por fundamentación y motivación, en los siguientes términos:</w:t>
      </w:r>
    </w:p>
    <w:p w14:paraId="1474BB93" w14:textId="78D2BDBD" w:rsidR="008D50EF" w:rsidRPr="00F11975" w:rsidRDefault="008D50EF"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D1206F0" w14:textId="77777777" w:rsidR="00A24CE5" w:rsidRPr="00F11975" w:rsidRDefault="00A24CE5" w:rsidP="00A24CE5">
      <w:pPr>
        <w:spacing w:line="276" w:lineRule="auto"/>
        <w:ind w:left="567" w:right="567"/>
        <w:contextualSpacing/>
        <w:jc w:val="both"/>
        <w:rPr>
          <w:rFonts w:ascii="Palatino Linotype" w:hAnsi="Palatino Linotype" w:cs="Arial"/>
          <w:i/>
          <w:color w:val="000000"/>
          <w:sz w:val="22"/>
          <w:szCs w:val="22"/>
        </w:rPr>
      </w:pPr>
      <w:r w:rsidRPr="00F11975">
        <w:rPr>
          <w:rFonts w:ascii="Palatino Linotype" w:hAnsi="Palatino Linotype" w:cs="Arial"/>
          <w:b/>
          <w:i/>
          <w:color w:val="000000"/>
          <w:sz w:val="22"/>
          <w:szCs w:val="22"/>
        </w:rPr>
        <w:t>FUNDAMENTACIÓN Y MOTIVACIÓN.</w:t>
      </w:r>
      <w:r w:rsidRPr="00F11975">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C426A80" w14:textId="77777777" w:rsidR="00A24CE5" w:rsidRPr="00F11975" w:rsidRDefault="00A24CE5" w:rsidP="008D50EF">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E9AC38E"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Palatino Linotype" w:hAnsi="Palatino Linotype" w:cs="Palatino Linotype"/>
          <w:color w:val="000000"/>
        </w:rPr>
        <w:t xml:space="preserve">Así, </w:t>
      </w:r>
      <w:r w:rsidRPr="00F11975">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4CF8DF"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0DF47E7F"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lastRenderedPageBreak/>
        <w:t xml:space="preserve">En </w:t>
      </w:r>
      <w:r w:rsidRPr="00F11975">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7A58ECC"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25641EF3" w14:textId="77777777" w:rsidR="00A24CE5"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En </w:t>
      </w:r>
      <w:r w:rsidRPr="00F11975">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0D04070E" w14:textId="77777777" w:rsidR="00A24CE5" w:rsidRPr="00F11975" w:rsidRDefault="00A24CE5" w:rsidP="00A24CE5">
      <w:pPr>
        <w:pStyle w:val="Prrafodelista"/>
        <w:tabs>
          <w:tab w:val="left" w:pos="426"/>
        </w:tabs>
        <w:spacing w:before="240" w:after="240" w:line="360" w:lineRule="auto"/>
        <w:ind w:left="0" w:right="51"/>
        <w:jc w:val="both"/>
        <w:rPr>
          <w:rFonts w:ascii="Palatino Linotype" w:hAnsi="Palatino Linotype"/>
          <w:color w:val="000000" w:themeColor="text1"/>
        </w:rPr>
      </w:pPr>
    </w:p>
    <w:p w14:paraId="47DD7BA6" w14:textId="6E8F4F18" w:rsidR="008D50EF" w:rsidRPr="00F11975" w:rsidRDefault="00A24CE5" w:rsidP="00A24C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F11975">
        <w:rPr>
          <w:rFonts w:ascii="Palatino Linotype" w:hAnsi="Palatino Linotype"/>
          <w:color w:val="000000" w:themeColor="text1"/>
        </w:rPr>
        <w:t xml:space="preserve">Otro </w:t>
      </w:r>
      <w:r w:rsidRPr="00F11975">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6712E2" w14:textId="77777777" w:rsidR="009A5876" w:rsidRPr="00F11975" w:rsidRDefault="009A5876" w:rsidP="009A5876">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F89370F" w14:textId="3547E868" w:rsidR="00010C62" w:rsidRPr="00F11975" w:rsidRDefault="00FA5426" w:rsidP="00010C62">
      <w:pPr>
        <w:pStyle w:val="Prrafodelista"/>
        <w:tabs>
          <w:tab w:val="left" w:pos="426"/>
        </w:tabs>
        <w:spacing w:before="240" w:after="240" w:line="360" w:lineRule="auto"/>
        <w:ind w:left="0" w:right="51"/>
        <w:jc w:val="both"/>
        <w:outlineLvl w:val="1"/>
        <w:rPr>
          <w:rFonts w:ascii="Palatino Linotype" w:hAnsi="Palatino Linotype"/>
          <w:b/>
          <w:color w:val="000000" w:themeColor="text1"/>
          <w:lang w:val="es-MX"/>
        </w:rPr>
      </w:pPr>
      <w:bookmarkStart w:id="31" w:name="_Toc88151643"/>
      <w:r w:rsidRPr="00F11975">
        <w:rPr>
          <w:rFonts w:ascii="Palatino Linotype" w:hAnsi="Palatino Linotype"/>
          <w:b/>
          <w:color w:val="000000" w:themeColor="text1"/>
          <w:lang w:val="es-MX"/>
        </w:rPr>
        <w:t>SÉPTIMO</w:t>
      </w:r>
      <w:r w:rsidR="00010C62" w:rsidRPr="00F11975">
        <w:rPr>
          <w:rFonts w:ascii="Palatino Linotype" w:hAnsi="Palatino Linotype"/>
          <w:b/>
          <w:color w:val="000000" w:themeColor="text1"/>
          <w:lang w:val="es-MX"/>
        </w:rPr>
        <w:t>. Vista a los órganos de control interno.</w:t>
      </w:r>
      <w:bookmarkEnd w:id="31"/>
    </w:p>
    <w:p w14:paraId="1E11F93E" w14:textId="77777777" w:rsidR="00010C62" w:rsidRPr="00F11975" w:rsidRDefault="00010C62"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25E5C7B6" w14:textId="4640BEFE" w:rsidR="00010C62" w:rsidRPr="00F11975"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lang w:val="es-MX"/>
        </w:rPr>
        <w:t xml:space="preserve">La </w:t>
      </w:r>
      <w:r w:rsidRPr="00F11975">
        <w:rPr>
          <w:rFonts w:ascii="Palatino Linotype" w:eastAsia="Times New Roman" w:hAnsi="Palatino Linotype"/>
        </w:rPr>
        <w:t xml:space="preserve">Ley de Transparencia y Acceso a la Información Pública del Estado de México y Municipios, en su artículo 36, fracción X, señala que este Órgano Garante tiene la facultad de hacer del conocimiento del </w:t>
      </w:r>
      <w:r w:rsidR="009A5876" w:rsidRPr="00F11975">
        <w:rPr>
          <w:rFonts w:ascii="Palatino Linotype" w:eastAsia="Times New Roman" w:hAnsi="Palatino Linotype"/>
        </w:rPr>
        <w:t xml:space="preserve">Órgano </w:t>
      </w:r>
      <w:r w:rsidRPr="00F11975">
        <w:rPr>
          <w:rFonts w:ascii="Palatino Linotype" w:eastAsia="Times New Roman" w:hAnsi="Palatino Linotype"/>
        </w:rPr>
        <w:t xml:space="preserve">de </w:t>
      </w:r>
      <w:r w:rsidR="009A5876" w:rsidRPr="00F11975">
        <w:rPr>
          <w:rFonts w:ascii="Palatino Linotype" w:eastAsia="Times New Roman" w:hAnsi="Palatino Linotype"/>
        </w:rPr>
        <w:t xml:space="preserve">Control Interno </w:t>
      </w:r>
      <w:r w:rsidRPr="00F11975">
        <w:rPr>
          <w:rFonts w:ascii="Palatino Linotype" w:eastAsia="Times New Roman" w:hAnsi="Palatino Linotype"/>
        </w:rPr>
        <w:t>(o equivalente) de los Sujetos Obligados las infracciones a la propia Ley.</w:t>
      </w:r>
    </w:p>
    <w:p w14:paraId="45CCF777" w14:textId="77777777" w:rsidR="00010C62" w:rsidRPr="00F11975" w:rsidRDefault="00010C62"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3E422BB7" w14:textId="6A2DFA69" w:rsidR="00010C62" w:rsidRPr="00F11975"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lang w:val="es-MX"/>
        </w:rPr>
        <w:lastRenderedPageBreak/>
        <w:t xml:space="preserve">Correlativo </w:t>
      </w:r>
      <w:r w:rsidRPr="00F11975">
        <w:rPr>
          <w:rFonts w:ascii="Palatino Linotype" w:eastAsia="Times New Roman" w:hAnsi="Palatino Linotype"/>
        </w:rPr>
        <w:t>a lo anterior, los artículos 190 y 223 de la Ley de Transparencia y Acceso a la Información Pública del Estado de México y Municipios señalan lo siguiente:</w:t>
      </w:r>
    </w:p>
    <w:p w14:paraId="3B51F8E9" w14:textId="77777777" w:rsidR="003B4587" w:rsidRPr="00F11975"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F11975">
        <w:rPr>
          <w:rFonts w:ascii="Palatino Linotype" w:eastAsia="Times New Roman" w:hAnsi="Palatino Linotype" w:cs="Times New Roman"/>
          <w:i/>
          <w:sz w:val="22"/>
          <w:szCs w:val="22"/>
        </w:rPr>
        <w:t>“</w:t>
      </w:r>
      <w:r w:rsidRPr="00F11975">
        <w:rPr>
          <w:rFonts w:ascii="Palatino Linotype" w:eastAsia="Times New Roman" w:hAnsi="Palatino Linotype" w:cs="Times New Roman"/>
          <w:b/>
          <w:i/>
          <w:sz w:val="22"/>
          <w:szCs w:val="22"/>
        </w:rPr>
        <w:t>Artículo 190.</w:t>
      </w:r>
      <w:r w:rsidRPr="00F11975">
        <w:rPr>
          <w:rFonts w:ascii="Palatino Linotype" w:eastAsia="Times New Roman"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2C6D0DE" w14:textId="77777777" w:rsidR="003B4587" w:rsidRPr="00F11975" w:rsidRDefault="003B4587" w:rsidP="003B4587">
      <w:pPr>
        <w:spacing w:line="276" w:lineRule="auto"/>
        <w:ind w:left="567" w:right="567"/>
        <w:contextualSpacing/>
        <w:jc w:val="both"/>
        <w:rPr>
          <w:rFonts w:ascii="Palatino Linotype" w:eastAsia="Times New Roman" w:hAnsi="Palatino Linotype" w:cs="Times New Roman"/>
          <w:i/>
          <w:sz w:val="22"/>
          <w:szCs w:val="22"/>
        </w:rPr>
      </w:pPr>
    </w:p>
    <w:p w14:paraId="3047C6C4" w14:textId="77777777" w:rsidR="003B4587" w:rsidRPr="00F11975" w:rsidRDefault="003B4587" w:rsidP="003B4587">
      <w:pPr>
        <w:spacing w:line="276" w:lineRule="auto"/>
        <w:ind w:left="567" w:right="567"/>
        <w:contextualSpacing/>
        <w:jc w:val="both"/>
        <w:rPr>
          <w:rFonts w:ascii="Palatino Linotype" w:hAnsi="Palatino Linotype"/>
          <w:i/>
          <w:sz w:val="22"/>
          <w:szCs w:val="22"/>
        </w:rPr>
      </w:pPr>
      <w:r w:rsidRPr="00F11975">
        <w:rPr>
          <w:rFonts w:ascii="Palatino Linotype" w:eastAsia="Times New Roman" w:hAnsi="Palatino Linotype" w:cs="Times New Roman"/>
          <w:b/>
          <w:bCs/>
          <w:i/>
          <w:sz w:val="22"/>
          <w:szCs w:val="22"/>
        </w:rPr>
        <w:t>Artículo 223.</w:t>
      </w:r>
      <w:r w:rsidRPr="00F11975">
        <w:rPr>
          <w:rFonts w:ascii="Palatino Linotype" w:eastAsia="Times New Roman"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CA1192E" w14:textId="77777777" w:rsidR="003B4587" w:rsidRPr="00F11975" w:rsidRDefault="003B4587" w:rsidP="003B4587">
      <w:pPr>
        <w:spacing w:line="276" w:lineRule="auto"/>
        <w:ind w:left="567" w:right="567"/>
        <w:contextualSpacing/>
        <w:jc w:val="both"/>
        <w:rPr>
          <w:rFonts w:ascii="Palatino Linotype" w:hAnsi="Palatino Linotype"/>
          <w:i/>
          <w:sz w:val="22"/>
          <w:szCs w:val="22"/>
        </w:rPr>
      </w:pPr>
      <w:r w:rsidRPr="00F11975">
        <w:rPr>
          <w:rFonts w:ascii="Palatino Linotype" w:hAnsi="Palatino Linotype"/>
          <w:i/>
          <w:sz w:val="22"/>
          <w:szCs w:val="22"/>
        </w:rPr>
        <w:t>(…)”</w:t>
      </w:r>
    </w:p>
    <w:p w14:paraId="09ED8E3F" w14:textId="77777777" w:rsidR="003B4587" w:rsidRPr="00F11975" w:rsidRDefault="003B4587"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0EC3D321" w14:textId="77777777" w:rsidR="003B4587" w:rsidRPr="00F11975"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lang w:val="es-MX"/>
        </w:rPr>
        <w:t xml:space="preserve">De </w:t>
      </w:r>
      <w:r w:rsidRPr="00F11975">
        <w:rPr>
          <w:rFonts w:ascii="Palatino Linotype" w:hAnsi="Palatino Linotype" w:cs="Arial"/>
          <w:color w:val="000000" w:themeColor="text1"/>
        </w:rPr>
        <w:t xml:space="preserve">los dispositivos normativos señalados </w:t>
      </w:r>
      <w:r w:rsidRPr="00F11975">
        <w:rPr>
          <w:rFonts w:ascii="Palatino Linotype" w:hAnsi="Palatino Linotype" w:cs="Arial"/>
          <w:i/>
          <w:iCs/>
          <w:color w:val="000000" w:themeColor="text1"/>
        </w:rPr>
        <w:t>supra</w:t>
      </w:r>
      <w:r w:rsidRPr="00F11975">
        <w:rPr>
          <w:rFonts w:ascii="Palatino Linotype" w:hAnsi="Palatino Linotype" w:cs="Arial"/>
          <w:color w:val="000000" w:themeColor="text1"/>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09875250" w14:textId="77777777" w:rsidR="003B4587" w:rsidRPr="00F11975"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276D78D1" w14:textId="6775B7C6" w:rsidR="003B4587" w:rsidRPr="00F11975"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Times New Roman" w:hAnsi="Palatino Linotype" w:cs="Arial"/>
        </w:rPr>
        <w:t xml:space="preserve">En </w:t>
      </w:r>
      <w:r w:rsidRPr="00F11975">
        <w:rPr>
          <w:rFonts w:ascii="Palatino Linotype" w:hAnsi="Palatino Linotype" w:cs="Arial"/>
          <w:color w:val="000000" w:themeColor="text1"/>
        </w:rPr>
        <w:t>consecuencia, el recurso de revisión consiste en una garantía secundaria</w:t>
      </w:r>
      <w:r w:rsidRPr="00F11975">
        <w:rPr>
          <w:rFonts w:ascii="Palatino Linotype" w:hAnsi="Palatino Linotype" w:cs="Arial"/>
          <w:i/>
          <w:color w:val="000000" w:themeColor="text1"/>
        </w:rPr>
        <w:t xml:space="preserve"> de la anulabilidad de los actos inválidos y de la responsabilidad de los actos ilícitos, que </w:t>
      </w:r>
      <w:r w:rsidRPr="00F11975">
        <w:rPr>
          <w:rFonts w:ascii="Palatino Linotype" w:hAnsi="Palatino Linotype" w:cs="Arial"/>
          <w:i/>
          <w:color w:val="000000" w:themeColor="text1"/>
        </w:rPr>
        <w:lastRenderedPageBreak/>
        <w:t>constituyen las desobediencias de sus garantías primarias</w:t>
      </w:r>
      <w:r w:rsidRPr="00F11975">
        <w:rPr>
          <w:rFonts w:ascii="Palatino Linotype" w:hAnsi="Palatino Linotype" w:cs="Arial"/>
          <w:color w:val="000000" w:themeColor="text1"/>
          <w:vertAlign w:val="superscript"/>
        </w:rPr>
        <w:footnoteReference w:id="28"/>
      </w:r>
      <w:r w:rsidRPr="00F11975">
        <w:rPr>
          <w:rFonts w:ascii="Palatino Linotype" w:hAnsi="Palatino Linotype" w:cs="Arial"/>
          <w:iCs/>
          <w:color w:val="000000" w:themeColor="text1"/>
        </w:rPr>
        <w:t>;</w:t>
      </w:r>
      <w:r w:rsidRPr="00F11975">
        <w:rPr>
          <w:rFonts w:ascii="Palatino Linotype" w:hAnsi="Palatino Linotype" w:cs="Arial"/>
          <w:color w:val="000000" w:themeColor="text1"/>
        </w:rPr>
        <w:t xml:space="preserve"> esto refiere que, ante la falta de respuesta por parte del </w:t>
      </w:r>
      <w:r w:rsidRPr="00F11975">
        <w:rPr>
          <w:rFonts w:ascii="Palatino Linotype" w:hAnsi="Palatino Linotype" w:cs="Arial"/>
          <w:b/>
          <w:color w:val="000000" w:themeColor="text1"/>
        </w:rPr>
        <w:t>SUJETO OBLIGADO</w:t>
      </w:r>
      <w:r w:rsidRPr="00F11975">
        <w:rPr>
          <w:rFonts w:ascii="Palatino Linotype" w:hAnsi="Palatino Linotype" w:cs="Arial"/>
          <w:color w:val="000000" w:themeColor="text1"/>
        </w:rPr>
        <w:t xml:space="preserve">, </w:t>
      </w:r>
      <w:r w:rsidR="003B1649" w:rsidRPr="00F11975">
        <w:rPr>
          <w:rFonts w:ascii="Palatino Linotype" w:hAnsi="Palatino Linotype" w:cs="Arial"/>
          <w:color w:val="000000" w:themeColor="text1"/>
        </w:rPr>
        <w:t>el</w:t>
      </w:r>
      <w:r w:rsidRPr="00F11975">
        <w:rPr>
          <w:rFonts w:ascii="Palatino Linotype" w:hAnsi="Palatino Linotype" w:cs="Arial"/>
          <w:color w:val="000000" w:themeColor="text1"/>
        </w:rPr>
        <w:t xml:space="preserve"> </w:t>
      </w:r>
      <w:r w:rsidRPr="00F11975">
        <w:rPr>
          <w:rFonts w:ascii="Palatino Linotype" w:hAnsi="Palatino Linotype" w:cs="Arial"/>
          <w:b/>
          <w:color w:val="000000" w:themeColor="text1"/>
        </w:rPr>
        <w:t>RECURRENTE</w:t>
      </w:r>
      <w:r w:rsidRPr="00F11975">
        <w:rPr>
          <w:rFonts w:ascii="Palatino Linotype" w:hAnsi="Palatino Linotype" w:cs="Arial"/>
          <w:color w:val="000000" w:themeColor="text1"/>
        </w:rPr>
        <w:t xml:space="preserve"> interpuso el recurso de revisión con el objeto de que este Órgano Garante determine si existió una violación al derecho de acceso a la información pública y que esta violación sea reparada por la autoridad competente.</w:t>
      </w:r>
    </w:p>
    <w:p w14:paraId="2DC0B4C8" w14:textId="77777777" w:rsidR="003B4587" w:rsidRPr="00F11975"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18B8D530" w14:textId="54E421BD" w:rsidR="00010C62" w:rsidRPr="00F11975"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eastAsia="Times New Roman" w:hAnsi="Palatino Linotype" w:cs="Arial"/>
        </w:rPr>
        <w:t xml:space="preserve">Por </w:t>
      </w:r>
      <w:r w:rsidRPr="00F11975">
        <w:rPr>
          <w:rFonts w:ascii="Palatino Linotype" w:hAnsi="Palatino Linotype" w:cs="Arial"/>
          <w:color w:val="000000" w:themeColor="text1"/>
        </w:rPr>
        <w:t>su parte, sobre</w:t>
      </w:r>
      <w:r w:rsidRPr="00F11975">
        <w:rPr>
          <w:rFonts w:ascii="Palatino Linotype" w:eastAsia="Times New Roman" w:hAnsi="Palatino Linotype"/>
        </w:rPr>
        <w:t xml:space="preserve"> las causales de responsabilidad administrativa que pueden infringir los servidores públicos de los Sujetos Obligados, el artículo 222 de la Ley de Transparencia y Acceso a la Información Pública del Estado de México y Municipios señala lo siguiente:</w:t>
      </w:r>
    </w:p>
    <w:p w14:paraId="07D0E33B" w14:textId="77777777" w:rsidR="003B4587" w:rsidRPr="00F11975"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F11975">
        <w:rPr>
          <w:rFonts w:ascii="Palatino Linotype" w:eastAsia="Times New Roman" w:hAnsi="Palatino Linotype" w:cs="Times New Roman"/>
          <w:b/>
          <w:i/>
          <w:sz w:val="22"/>
          <w:szCs w:val="22"/>
        </w:rPr>
        <w:t>Artículo 222.</w:t>
      </w:r>
      <w:r w:rsidRPr="00F11975">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73A9F3D2" w14:textId="77777777" w:rsidR="003B4587" w:rsidRPr="00F11975"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F11975">
        <w:rPr>
          <w:rFonts w:ascii="Palatino Linotype" w:eastAsia="Times New Roman" w:hAnsi="Palatino Linotype" w:cs="Times New Roman"/>
          <w:b/>
          <w:i/>
          <w:sz w:val="22"/>
          <w:szCs w:val="22"/>
        </w:rPr>
        <w:t>I. Cualquier acto u omisión que provoque la suspensión o deficiencia en la atención de las solicitudes de información</w:t>
      </w:r>
      <w:r w:rsidRPr="00F11975">
        <w:rPr>
          <w:rFonts w:ascii="Palatino Linotype" w:eastAsia="Times New Roman" w:hAnsi="Palatino Linotype" w:cs="Times New Roman"/>
          <w:i/>
          <w:sz w:val="22"/>
          <w:szCs w:val="22"/>
        </w:rPr>
        <w:t>;</w:t>
      </w:r>
    </w:p>
    <w:p w14:paraId="59FBB1A1" w14:textId="77777777" w:rsidR="003B4587" w:rsidRPr="00F11975"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F11975">
        <w:rPr>
          <w:rFonts w:ascii="Palatino Linotype" w:eastAsia="Times New Roman" w:hAnsi="Palatino Linotype" w:cs="Times New Roman"/>
          <w:b/>
          <w:i/>
          <w:sz w:val="22"/>
          <w:szCs w:val="22"/>
        </w:rPr>
        <w:t xml:space="preserve">II. La </w:t>
      </w:r>
      <w:r w:rsidRPr="00F11975">
        <w:rPr>
          <w:rFonts w:ascii="Palatino Linotype" w:eastAsia="Times New Roman" w:hAnsi="Palatino Linotype" w:cs="Times New Roman"/>
          <w:b/>
          <w:i/>
          <w:sz w:val="22"/>
          <w:szCs w:val="22"/>
          <w:u w:val="single"/>
        </w:rPr>
        <w:t>falta de respuesta a las solicitudes de información</w:t>
      </w:r>
      <w:r w:rsidRPr="00F11975">
        <w:rPr>
          <w:rFonts w:ascii="Palatino Linotype" w:eastAsia="Times New Roman" w:hAnsi="Palatino Linotype" w:cs="Times New Roman"/>
          <w:b/>
          <w:i/>
          <w:sz w:val="22"/>
          <w:szCs w:val="22"/>
        </w:rPr>
        <w:t xml:space="preserve"> en los plazos señalados en la normatividad aplicable</w:t>
      </w:r>
      <w:r w:rsidRPr="00F11975">
        <w:rPr>
          <w:rFonts w:ascii="Palatino Linotype" w:eastAsia="Times New Roman" w:hAnsi="Palatino Linotype" w:cs="Times New Roman"/>
          <w:i/>
          <w:sz w:val="22"/>
          <w:szCs w:val="22"/>
        </w:rPr>
        <w:t>;</w:t>
      </w:r>
    </w:p>
    <w:p w14:paraId="27DA4E86" w14:textId="77777777" w:rsidR="003B4587" w:rsidRPr="00F11975" w:rsidRDefault="003B4587" w:rsidP="003B4587">
      <w:pPr>
        <w:spacing w:line="276" w:lineRule="auto"/>
        <w:ind w:left="567" w:right="567"/>
        <w:contextualSpacing/>
        <w:jc w:val="both"/>
        <w:rPr>
          <w:rFonts w:ascii="Palatino Linotype" w:eastAsia="Times New Roman" w:hAnsi="Palatino Linotype" w:cs="Times New Roman"/>
          <w:iCs/>
          <w:sz w:val="22"/>
          <w:szCs w:val="22"/>
        </w:rPr>
      </w:pPr>
      <w:r w:rsidRPr="00F11975">
        <w:rPr>
          <w:rFonts w:ascii="Palatino Linotype" w:eastAsia="Times New Roman" w:hAnsi="Palatino Linotype" w:cs="Times New Roman"/>
          <w:i/>
          <w:sz w:val="22"/>
          <w:szCs w:val="22"/>
        </w:rPr>
        <w:t>(…)</w:t>
      </w:r>
    </w:p>
    <w:p w14:paraId="7D0326C5" w14:textId="77777777" w:rsidR="003B4587" w:rsidRPr="00F11975" w:rsidRDefault="003B4587" w:rsidP="003B4587">
      <w:pPr>
        <w:spacing w:line="276" w:lineRule="auto"/>
        <w:ind w:left="567" w:right="567"/>
        <w:contextualSpacing/>
        <w:jc w:val="both"/>
        <w:rPr>
          <w:rFonts w:ascii="Palatino Linotype" w:eastAsia="Times New Roman" w:hAnsi="Palatino Linotype" w:cs="Times New Roman"/>
          <w:iCs/>
          <w:sz w:val="22"/>
          <w:szCs w:val="22"/>
        </w:rPr>
      </w:pPr>
      <w:r w:rsidRPr="00F11975">
        <w:rPr>
          <w:rFonts w:ascii="Palatino Linotype" w:eastAsia="Times New Roman" w:hAnsi="Palatino Linotype" w:cs="Times New Roman"/>
          <w:iCs/>
          <w:sz w:val="22"/>
          <w:szCs w:val="22"/>
        </w:rPr>
        <w:t>(Énfasis añadido)</w:t>
      </w:r>
    </w:p>
    <w:p w14:paraId="164FBBEB" w14:textId="77777777" w:rsidR="003B4587" w:rsidRPr="00F11975" w:rsidRDefault="003B4587"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54B5EA09" w14:textId="6F958E58" w:rsidR="00010C62" w:rsidRPr="00F11975"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lang w:val="es-MX"/>
        </w:rPr>
        <w:t xml:space="preserve">En </w:t>
      </w:r>
      <w:r w:rsidRPr="00F11975">
        <w:rPr>
          <w:rFonts w:ascii="Palatino Linotype" w:hAnsi="Palatino Linotype" w:cs="Arial"/>
          <w:color w:val="000000" w:themeColor="text1"/>
        </w:rPr>
        <w:t xml:space="preserve">el presente asunto, de </w:t>
      </w:r>
      <w:r w:rsidR="003B1649" w:rsidRPr="00F11975">
        <w:rPr>
          <w:rFonts w:ascii="Palatino Linotype" w:hAnsi="Palatino Linotype" w:cs="Arial"/>
          <w:color w:val="000000" w:themeColor="text1"/>
        </w:rPr>
        <w:t xml:space="preserve">las </w:t>
      </w:r>
      <w:r w:rsidRPr="00F11975">
        <w:rPr>
          <w:rFonts w:ascii="Palatino Linotype" w:hAnsi="Palatino Linotype" w:cs="Arial"/>
          <w:color w:val="000000" w:themeColor="text1"/>
        </w:rPr>
        <w:t xml:space="preserve">constancias que obran en el expediente digital del SAIMEX, dentro del apartado de </w:t>
      </w:r>
      <w:r w:rsidRPr="00F11975">
        <w:rPr>
          <w:rFonts w:ascii="Palatino Linotype" w:hAnsi="Palatino Linotype" w:cs="Arial"/>
          <w:i/>
          <w:iCs/>
          <w:color w:val="000000" w:themeColor="text1"/>
        </w:rPr>
        <w:t>Requerimientos</w:t>
      </w:r>
      <w:r w:rsidRPr="00F11975">
        <w:rPr>
          <w:rFonts w:ascii="Palatino Linotype" w:hAnsi="Palatino Linotype" w:cs="Arial"/>
          <w:color w:val="000000" w:themeColor="text1"/>
        </w:rPr>
        <w:t xml:space="preserve">, </w:t>
      </w:r>
      <w:bookmarkStart w:id="32" w:name="_Hlk68613656"/>
      <w:r w:rsidRPr="00F11975">
        <w:rPr>
          <w:rFonts w:ascii="Palatino Linotype" w:hAnsi="Palatino Linotype" w:cs="Arial"/>
          <w:color w:val="000000" w:themeColor="text1"/>
        </w:rPr>
        <w:t xml:space="preserve">se aprecia que </w:t>
      </w:r>
      <w:r w:rsidR="000D4C21" w:rsidRPr="00F11975">
        <w:rPr>
          <w:rFonts w:ascii="Palatino Linotype" w:hAnsi="Palatino Linotype" w:cs="Arial"/>
          <w:color w:val="000000" w:themeColor="text1"/>
        </w:rPr>
        <w:t xml:space="preserve">el </w:t>
      </w:r>
      <w:r w:rsidR="005E3545" w:rsidRPr="00F11975">
        <w:rPr>
          <w:rFonts w:ascii="Palatino Linotype" w:hAnsi="Palatino Linotype" w:cs="Arial"/>
          <w:color w:val="000000" w:themeColor="text1"/>
        </w:rPr>
        <w:t>doce (12</w:t>
      </w:r>
      <w:r w:rsidR="000D4C21" w:rsidRPr="00F11975">
        <w:rPr>
          <w:rFonts w:ascii="Palatino Linotype" w:hAnsi="Palatino Linotype" w:cs="Arial"/>
          <w:color w:val="000000" w:themeColor="text1"/>
        </w:rPr>
        <w:t xml:space="preserve">) de enero de dos mil veintidós, </w:t>
      </w:r>
      <w:r w:rsidRPr="00F11975">
        <w:rPr>
          <w:rFonts w:ascii="Palatino Linotype" w:hAnsi="Palatino Linotype" w:cs="Arial"/>
          <w:color w:val="000000" w:themeColor="text1"/>
        </w:rPr>
        <w:t>la Unidad de Transparencia turnó la solicitud de</w:t>
      </w:r>
      <w:bookmarkEnd w:id="32"/>
      <w:r w:rsidR="000D4C21" w:rsidRPr="00F11975">
        <w:rPr>
          <w:rFonts w:ascii="Palatino Linotype" w:hAnsi="Palatino Linotype" w:cs="Arial"/>
          <w:color w:val="000000" w:themeColor="text1"/>
        </w:rPr>
        <w:t xml:space="preserve"> información </w:t>
      </w:r>
      <w:r w:rsidR="00C26989" w:rsidRPr="00F11975">
        <w:rPr>
          <w:rFonts w:ascii="Palatino Linotype" w:hAnsi="Palatino Linotype" w:cs="Arial"/>
          <w:b/>
          <w:bCs/>
          <w:color w:val="000000" w:themeColor="text1"/>
        </w:rPr>
        <w:t>00957/NAUCALPA/IP/2021</w:t>
      </w:r>
      <w:r w:rsidR="000D4C21" w:rsidRPr="00F11975">
        <w:rPr>
          <w:rFonts w:ascii="Palatino Linotype" w:hAnsi="Palatino Linotype" w:cs="Arial"/>
          <w:color w:val="000000" w:themeColor="text1"/>
        </w:rPr>
        <w:t xml:space="preserve"> al Servidor Público Habilitado </w:t>
      </w:r>
      <w:r w:rsidR="005E3545" w:rsidRPr="00F11975">
        <w:rPr>
          <w:rFonts w:ascii="Palatino Linotype" w:hAnsi="Palatino Linotype" w:cs="Arial"/>
          <w:i/>
          <w:iCs/>
          <w:color w:val="000000" w:themeColor="text1"/>
        </w:rPr>
        <w:t xml:space="preserve">DIRECTOR GENERAL </w:t>
      </w:r>
      <w:r w:rsidR="005E3545" w:rsidRPr="00F11975">
        <w:rPr>
          <w:rFonts w:ascii="Palatino Linotype" w:hAnsi="Palatino Linotype" w:cs="Arial"/>
          <w:i/>
          <w:iCs/>
          <w:color w:val="000000" w:themeColor="text1"/>
        </w:rPr>
        <w:lastRenderedPageBreak/>
        <w:t>DE SEGURIDAD CIUDADANA Y TRÁNSITO MUNICIPAL</w:t>
      </w:r>
      <w:r w:rsidR="005E3545" w:rsidRPr="00F11975">
        <w:rPr>
          <w:rFonts w:ascii="Palatino Linotype" w:hAnsi="Palatino Linotype" w:cs="Arial"/>
          <w:color w:val="000000" w:themeColor="text1"/>
        </w:rPr>
        <w:t>, quien no atendió el requerimiento de mérito, toda vez que éste aún aparece con el status ‘Pendiente de respuesta’</w:t>
      </w:r>
      <w:r w:rsidR="000D4C21" w:rsidRPr="00F11975">
        <w:rPr>
          <w:rFonts w:ascii="Palatino Linotype" w:hAnsi="Palatino Linotype" w:cs="Arial"/>
          <w:color w:val="000000" w:themeColor="text1"/>
        </w:rPr>
        <w:t>, tal y</w:t>
      </w:r>
      <w:r w:rsidRPr="00F11975">
        <w:rPr>
          <w:rFonts w:ascii="Palatino Linotype" w:hAnsi="Palatino Linotype" w:cs="Arial"/>
          <w:color w:val="000000" w:themeColor="text1"/>
        </w:rPr>
        <w:t xml:space="preserve"> como lo muestran las siguientes capturas de imagen:</w:t>
      </w:r>
    </w:p>
    <w:p w14:paraId="0CCBE3AE" w14:textId="77777777" w:rsidR="00010C62" w:rsidRPr="00F11975" w:rsidRDefault="00010C62"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002E19BB" w14:textId="75FFD92D" w:rsidR="000D4C21" w:rsidRPr="00F11975" w:rsidRDefault="005E3545" w:rsidP="003B4587">
      <w:pPr>
        <w:pStyle w:val="Prrafodelista"/>
        <w:tabs>
          <w:tab w:val="left" w:pos="426"/>
        </w:tabs>
        <w:spacing w:before="240" w:after="240" w:line="360" w:lineRule="auto"/>
        <w:ind w:left="0" w:right="51"/>
        <w:jc w:val="center"/>
        <w:rPr>
          <w:rFonts w:ascii="Palatino Linotype" w:hAnsi="Palatino Linotype"/>
          <w:color w:val="000000" w:themeColor="text1"/>
        </w:rPr>
      </w:pPr>
      <w:r w:rsidRPr="00F11975">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1F4629C7" wp14:editId="05B38C47">
                <wp:simplePos x="0" y="0"/>
                <wp:positionH relativeFrom="column">
                  <wp:posOffset>443618</wp:posOffset>
                </wp:positionH>
                <wp:positionV relativeFrom="paragraph">
                  <wp:posOffset>720684</wp:posOffset>
                </wp:positionV>
                <wp:extent cx="4633603" cy="206581"/>
                <wp:effectExtent l="57150" t="19050" r="71755" b="98425"/>
                <wp:wrapNone/>
                <wp:docPr id="18" name="Rectángulo 18"/>
                <wp:cNvGraphicFramePr/>
                <a:graphic xmlns:a="http://schemas.openxmlformats.org/drawingml/2006/main">
                  <a:graphicData uri="http://schemas.microsoft.com/office/word/2010/wordprocessingShape">
                    <wps:wsp>
                      <wps:cNvSpPr/>
                      <wps:spPr>
                        <a:xfrm>
                          <a:off x="0" y="0"/>
                          <a:ext cx="4633603" cy="20658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D3D957" id="Rectángulo 18" o:spid="_x0000_s1026" style="position:absolute;margin-left:34.95pt;margin-top:56.75pt;width:364.85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" filled="f" strokecolor="red" strokeweight="1.5pt">
                <v:shadow on="t" color="black" opacity="22937f" origin=",.5" offset="0,.63889mm"/>
              </v:rect>
            </w:pict>
          </mc:Fallback>
        </mc:AlternateContent>
      </w:r>
      <w:r w:rsidRPr="00F11975">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46AC00BB" wp14:editId="6102F81F">
                <wp:simplePos x="0" y="0"/>
                <wp:positionH relativeFrom="column">
                  <wp:posOffset>445844</wp:posOffset>
                </wp:positionH>
                <wp:positionV relativeFrom="paragraph">
                  <wp:posOffset>137556</wp:posOffset>
                </wp:positionV>
                <wp:extent cx="1407226" cy="95002"/>
                <wp:effectExtent l="57150" t="19050" r="78740" b="95885"/>
                <wp:wrapNone/>
                <wp:docPr id="17" name="Rectángulo 17"/>
                <wp:cNvGraphicFramePr/>
                <a:graphic xmlns:a="http://schemas.openxmlformats.org/drawingml/2006/main">
                  <a:graphicData uri="http://schemas.microsoft.com/office/word/2010/wordprocessingShape">
                    <wps:wsp>
                      <wps:cNvSpPr/>
                      <wps:spPr>
                        <a:xfrm>
                          <a:off x="0" y="0"/>
                          <a:ext cx="1407226" cy="950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9E7F4" id="Rectángulo 17" o:spid="_x0000_s1026" style="position:absolute;margin-left:35.1pt;margin-top:10.85pt;width:110.8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" filled="f" strokecolor="red" strokeweight="1.5pt">
                <v:shadow on="t" color="black" opacity="22937f" origin=",.5" offset="0,.63889mm"/>
              </v:rect>
            </w:pict>
          </mc:Fallback>
        </mc:AlternateContent>
      </w:r>
      <w:r w:rsidRPr="00F11975">
        <w:rPr>
          <w:rFonts w:ascii="Palatino Linotype" w:hAnsi="Palatino Linotype"/>
          <w:noProof/>
          <w:color w:val="000000" w:themeColor="text1"/>
          <w:lang w:val="es-MX" w:eastAsia="es-MX"/>
        </w:rPr>
        <w:drawing>
          <wp:inline distT="0" distB="0" distL="0" distR="0" wp14:anchorId="58AE1C44" wp14:editId="03CCCD05">
            <wp:extent cx="4783455" cy="2313248"/>
            <wp:effectExtent l="57150" t="57150" r="93345" b="8763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21"/>
                    <a:stretch>
                      <a:fillRect/>
                    </a:stretch>
                  </pic:blipFill>
                  <pic:spPr>
                    <a:xfrm>
                      <a:off x="0" y="0"/>
                      <a:ext cx="4798742" cy="23206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3B82FD" w14:textId="31FEB7C8" w:rsidR="005E3545" w:rsidRPr="00F11975" w:rsidRDefault="00FD369C" w:rsidP="003B4587">
      <w:pPr>
        <w:pStyle w:val="Prrafodelista"/>
        <w:tabs>
          <w:tab w:val="left" w:pos="426"/>
        </w:tabs>
        <w:spacing w:before="240" w:after="240" w:line="360" w:lineRule="auto"/>
        <w:ind w:left="0" w:right="51"/>
        <w:jc w:val="center"/>
        <w:rPr>
          <w:rFonts w:ascii="Palatino Linotype" w:hAnsi="Palatino Linotype"/>
          <w:color w:val="000000" w:themeColor="text1"/>
        </w:rPr>
      </w:pPr>
      <w:r w:rsidRPr="00F11975">
        <w:rPr>
          <w:rFonts w:ascii="Palatino Linotype" w:hAnsi="Palatino Linotype"/>
          <w:noProof/>
          <w:color w:val="000000" w:themeColor="text1"/>
          <w:lang w:val="es-MX" w:eastAsia="es-MX"/>
        </w:rPr>
        <w:drawing>
          <wp:inline distT="0" distB="0" distL="0" distR="0" wp14:anchorId="13DD43D5" wp14:editId="115D6D83">
            <wp:extent cx="4814257" cy="591024"/>
            <wp:effectExtent l="57150" t="57150" r="100965" b="952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6958" cy="5999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DA0379" w14:textId="77777777" w:rsidR="003B4587" w:rsidRPr="00F11975" w:rsidRDefault="003B4587"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5BEDEA38" w14:textId="4C8FA0CD" w:rsidR="00010C62" w:rsidRPr="00F11975"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lang w:val="es-MX"/>
        </w:rPr>
        <w:t xml:space="preserve">En </w:t>
      </w:r>
      <w:r w:rsidRPr="00F11975">
        <w:rPr>
          <w:rFonts w:ascii="Palatino Linotype" w:hAnsi="Palatino Linotype" w:cs="Arial"/>
          <w:color w:val="000000" w:themeColor="text1"/>
        </w:rPr>
        <w:t xml:space="preserve">consecuencia, toda vez que el </w:t>
      </w:r>
      <w:r w:rsidR="00C26989" w:rsidRPr="00F11975">
        <w:rPr>
          <w:rFonts w:ascii="Palatino Linotype" w:hAnsi="Palatino Linotype" w:cs="Arial"/>
          <w:color w:val="000000" w:themeColor="text1"/>
        </w:rPr>
        <w:t>Ayuntamiento de Naucalpan de Juárez</w:t>
      </w:r>
      <w:r w:rsidRPr="00F11975">
        <w:rPr>
          <w:rFonts w:ascii="Palatino Linotype" w:hAnsi="Palatino Linotype" w:cs="Arial"/>
          <w:color w:val="000000" w:themeColor="text1"/>
        </w:rPr>
        <w:t xml:space="preserve"> </w:t>
      </w:r>
      <w:r w:rsidRPr="00F11975">
        <w:rPr>
          <w:rFonts w:ascii="Palatino Linotype" w:hAnsi="Palatino Linotype" w:cs="Arial"/>
          <w:b/>
          <w:bCs/>
          <w:color w:val="000000" w:themeColor="text1"/>
        </w:rPr>
        <w:t>no respondió a la solicitud de información</w:t>
      </w:r>
      <w:r w:rsidRPr="00F11975">
        <w:rPr>
          <w:rFonts w:ascii="Palatino Linotype" w:hAnsi="Palatino Linotype" w:cs="Arial"/>
          <w:color w:val="000000" w:themeColor="text1"/>
        </w:rPr>
        <w:t xml:space="preserve">, se dará vista al área competente para que, en ejercicio de sus atribuciones, realice las investigaciones pertinentes por las omisiones detectadas atribuibles al </w:t>
      </w:r>
      <w:r w:rsidRPr="00F11975">
        <w:rPr>
          <w:rFonts w:ascii="Palatino Linotype" w:hAnsi="Palatino Linotype" w:cs="Arial"/>
          <w:b/>
          <w:color w:val="000000" w:themeColor="text1"/>
        </w:rPr>
        <w:t>SUJETO OBLIGADO</w:t>
      </w:r>
      <w:r w:rsidRPr="00F11975">
        <w:rPr>
          <w:rFonts w:ascii="Palatino Linotype" w:hAnsi="Palatino Linotype" w:cs="Arial"/>
          <w:color w:val="000000" w:themeColor="text1"/>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F11975">
        <w:rPr>
          <w:rFonts w:ascii="Palatino Linotype" w:hAnsi="Palatino Linotype" w:cs="Arial"/>
          <w:b/>
          <w:color w:val="000000" w:themeColor="text1"/>
        </w:rPr>
        <w:t>SUJETO OBLIGADO</w:t>
      </w:r>
      <w:r w:rsidRPr="00F11975">
        <w:rPr>
          <w:rFonts w:ascii="Palatino Linotype" w:hAnsi="Palatino Linotype" w:cs="Arial"/>
          <w:color w:val="000000" w:themeColor="text1"/>
        </w:rPr>
        <w:t xml:space="preserve"> incurrió, toda vez que la naturaleza de investigar y </w:t>
      </w:r>
      <w:r w:rsidRPr="00F11975">
        <w:rPr>
          <w:rFonts w:ascii="Palatino Linotype" w:hAnsi="Palatino Linotype" w:cs="Arial"/>
          <w:color w:val="000000" w:themeColor="text1"/>
        </w:rPr>
        <w:lastRenderedPageBreak/>
        <w:t>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70D10096" w14:textId="77777777" w:rsidR="00FF457A" w:rsidRPr="00F11975" w:rsidRDefault="00FF457A" w:rsidP="00FF457A">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6DDBDB90" w:rsidR="00953B03" w:rsidRPr="00F11975" w:rsidRDefault="00FA5426"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3" w:name="_Toc88151644"/>
      <w:r w:rsidRPr="00F11975">
        <w:rPr>
          <w:rFonts w:ascii="Palatino Linotype" w:hAnsi="Palatino Linotype"/>
          <w:b/>
          <w:bCs/>
          <w:color w:val="000000" w:themeColor="text1"/>
        </w:rPr>
        <w:t>OCTAVO</w:t>
      </w:r>
      <w:r w:rsidR="00953B03" w:rsidRPr="00F11975">
        <w:rPr>
          <w:rFonts w:ascii="Palatino Linotype" w:hAnsi="Palatino Linotype"/>
          <w:b/>
          <w:bCs/>
          <w:color w:val="000000" w:themeColor="text1"/>
        </w:rPr>
        <w:t>. Decisión</w:t>
      </w:r>
      <w:bookmarkEnd w:id="33"/>
    </w:p>
    <w:p w14:paraId="2B8DED45" w14:textId="77777777" w:rsidR="00953B03" w:rsidRPr="00F11975"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001E352D" w:rsidR="00953B03" w:rsidRPr="00F11975" w:rsidRDefault="00B25ECD"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Luego de analizar </w:t>
      </w:r>
      <w:r w:rsidR="0057116B" w:rsidRPr="00F11975">
        <w:rPr>
          <w:rFonts w:ascii="Palatino Linotype" w:hAnsi="Palatino Linotype"/>
          <w:color w:val="000000" w:themeColor="text1"/>
        </w:rPr>
        <w:t xml:space="preserve">la información presentada por el </w:t>
      </w:r>
      <w:r w:rsidR="0057116B" w:rsidRPr="00F11975">
        <w:rPr>
          <w:rFonts w:ascii="Palatino Linotype" w:hAnsi="Palatino Linotype"/>
          <w:b/>
          <w:color w:val="000000" w:themeColor="text1"/>
        </w:rPr>
        <w:t>SUJETO OBLIGADO</w:t>
      </w:r>
      <w:r w:rsidR="0057116B" w:rsidRPr="00F11975">
        <w:rPr>
          <w:rFonts w:ascii="Palatino Linotype" w:hAnsi="Palatino Linotype"/>
          <w:color w:val="000000" w:themeColor="text1"/>
        </w:rPr>
        <w:t xml:space="preserve"> en vía de </w:t>
      </w:r>
      <w:r w:rsidR="00FD369C" w:rsidRPr="00F11975">
        <w:rPr>
          <w:rFonts w:ascii="Palatino Linotype" w:hAnsi="Palatino Linotype"/>
          <w:color w:val="000000" w:themeColor="text1"/>
        </w:rPr>
        <w:t>Informe Justificado</w:t>
      </w:r>
      <w:r w:rsidR="0057116B" w:rsidRPr="00F11975">
        <w:rPr>
          <w:rFonts w:ascii="Palatino Linotype" w:hAnsi="Palatino Linotype"/>
          <w:color w:val="000000" w:themeColor="text1"/>
        </w:rPr>
        <w:t>, se estableció que ést</w:t>
      </w:r>
      <w:r w:rsidR="00F06B8D" w:rsidRPr="00F11975">
        <w:rPr>
          <w:rFonts w:ascii="Palatino Linotype" w:hAnsi="Palatino Linotype"/>
          <w:color w:val="000000" w:themeColor="text1"/>
        </w:rPr>
        <w:t>a</w:t>
      </w:r>
      <w:r w:rsidR="0057116B" w:rsidRPr="00F11975">
        <w:rPr>
          <w:rFonts w:ascii="Palatino Linotype" w:hAnsi="Palatino Linotype"/>
          <w:color w:val="000000" w:themeColor="text1"/>
        </w:rPr>
        <w:t xml:space="preserve"> </w:t>
      </w:r>
      <w:r w:rsidR="00F06B8D" w:rsidRPr="00F11975">
        <w:rPr>
          <w:rFonts w:ascii="Palatino Linotype" w:hAnsi="Palatino Linotype"/>
          <w:color w:val="000000" w:themeColor="text1"/>
        </w:rPr>
        <w:t xml:space="preserve">no lograba colmar el derecho de acceso a la información ejercido por el </w:t>
      </w:r>
      <w:r w:rsidR="00F06B8D" w:rsidRPr="00F11975">
        <w:rPr>
          <w:rFonts w:ascii="Palatino Linotype" w:hAnsi="Palatino Linotype"/>
          <w:b/>
          <w:bCs/>
          <w:color w:val="000000" w:themeColor="text1"/>
        </w:rPr>
        <w:t>RECURRENTE</w:t>
      </w:r>
      <w:r w:rsidR="00F06B8D" w:rsidRPr="00F11975">
        <w:rPr>
          <w:rFonts w:ascii="Palatino Linotype" w:hAnsi="Palatino Linotype"/>
          <w:color w:val="000000" w:themeColor="text1"/>
        </w:rPr>
        <w:t xml:space="preserve"> </w:t>
      </w:r>
      <w:r w:rsidR="005F4202" w:rsidRPr="00F11975">
        <w:rPr>
          <w:rFonts w:ascii="Palatino Linotype" w:hAnsi="Palatino Linotype"/>
          <w:color w:val="000000" w:themeColor="text1"/>
        </w:rPr>
        <w:t>a través de</w:t>
      </w:r>
      <w:r w:rsidR="0057116B" w:rsidRPr="00F11975">
        <w:rPr>
          <w:rFonts w:ascii="Palatino Linotype" w:hAnsi="Palatino Linotype"/>
          <w:color w:val="000000" w:themeColor="text1"/>
        </w:rPr>
        <w:t xml:space="preserve"> la solicitud de información </w:t>
      </w:r>
      <w:r w:rsidR="00C26989" w:rsidRPr="00F11975">
        <w:rPr>
          <w:rFonts w:ascii="Palatino Linotype" w:hAnsi="Palatino Linotype"/>
          <w:b/>
          <w:color w:val="000000" w:themeColor="text1"/>
        </w:rPr>
        <w:t>00957/NAUCALPA/IP/2021</w:t>
      </w:r>
      <w:r w:rsidR="0057116B" w:rsidRPr="00F11975">
        <w:rPr>
          <w:rFonts w:ascii="Palatino Linotype" w:hAnsi="Palatino Linotype"/>
          <w:color w:val="000000" w:themeColor="text1"/>
        </w:rPr>
        <w:t xml:space="preserve">, </w:t>
      </w:r>
      <w:r w:rsidR="00FD369C" w:rsidRPr="00F11975">
        <w:rPr>
          <w:rFonts w:ascii="Palatino Linotype" w:hAnsi="Palatino Linotype"/>
          <w:color w:val="000000" w:themeColor="text1"/>
        </w:rPr>
        <w:t>por lo tanto, una vez establecida su competencia para poseer, generar y administrar la información, se ordenó su búsqueda y entrega completa, de ser procedente en versión pública.</w:t>
      </w:r>
    </w:p>
    <w:p w14:paraId="07E67D9C" w14:textId="306D7B6D" w:rsidR="00F6300E" w:rsidRPr="00F11975"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044B2782" w:rsidR="00F01443" w:rsidRPr="00F11975"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rPr>
        <w:t xml:space="preserve">Por </w:t>
      </w:r>
      <w:r w:rsidRPr="00F11975">
        <w:rPr>
          <w:rFonts w:ascii="Palatino Linotype" w:eastAsia="MS Mincho" w:hAnsi="Palatino Linotype" w:cstheme="majorBidi"/>
        </w:rPr>
        <w:t>lo tanto,</w:t>
      </w:r>
      <w:r w:rsidRPr="00F11975">
        <w:rPr>
          <w:rFonts w:ascii="Palatino Linotype" w:eastAsia="MS Mincho" w:hAnsi="Palatino Linotype" w:cstheme="majorBidi"/>
          <w:lang w:val="es-ES"/>
        </w:rPr>
        <w:t xml:space="preserve"> en consecuencia y en mérito de lo expuesto en líneas anteriores, resultan fundadas las razones o motivos de inconformidad hechos valer por </w:t>
      </w:r>
      <w:r w:rsidR="003B1649" w:rsidRPr="00F11975">
        <w:rPr>
          <w:rFonts w:ascii="Palatino Linotype" w:eastAsia="MS Mincho" w:hAnsi="Palatino Linotype" w:cstheme="majorBidi"/>
          <w:lang w:val="es-ES"/>
        </w:rPr>
        <w:t>el</w:t>
      </w:r>
      <w:r w:rsidRPr="00F11975">
        <w:rPr>
          <w:rFonts w:ascii="Palatino Linotype" w:eastAsia="MS Mincho" w:hAnsi="Palatino Linotype" w:cstheme="majorBidi"/>
          <w:lang w:val="es-ES"/>
        </w:rPr>
        <w:t xml:space="preserve"> </w:t>
      </w:r>
      <w:r w:rsidRPr="00F11975">
        <w:rPr>
          <w:rFonts w:ascii="Palatino Linotype" w:eastAsia="MS Mincho" w:hAnsi="Palatino Linotype" w:cstheme="majorBidi"/>
          <w:b/>
          <w:lang w:val="es-ES"/>
        </w:rPr>
        <w:t>RECURRENTE</w:t>
      </w:r>
      <w:r w:rsidRPr="00F11975">
        <w:rPr>
          <w:rFonts w:ascii="Palatino Linotype" w:eastAsia="MS Mincho" w:hAnsi="Palatino Linotype" w:cstheme="majorBidi"/>
          <w:lang w:val="es-ES"/>
        </w:rPr>
        <w:t xml:space="preserve"> dentro del recurso de revisión </w:t>
      </w:r>
      <w:r w:rsidR="00FD369C" w:rsidRPr="00F11975">
        <w:rPr>
          <w:rFonts w:ascii="Palatino Linotype" w:eastAsia="MS Mincho" w:hAnsi="Palatino Linotype" w:cstheme="majorBidi"/>
          <w:b/>
          <w:lang w:val="es-ES"/>
        </w:rPr>
        <w:t>00001</w:t>
      </w:r>
      <w:r w:rsidR="00DB7106" w:rsidRPr="00F11975">
        <w:rPr>
          <w:rFonts w:ascii="Palatino Linotype" w:eastAsia="MS Mincho" w:hAnsi="Palatino Linotype" w:cstheme="majorBidi"/>
          <w:b/>
          <w:lang w:val="es-ES"/>
        </w:rPr>
        <w:t>/INFOEM/IP/RR</w:t>
      </w:r>
      <w:r w:rsidR="00FD369C" w:rsidRPr="00F11975">
        <w:rPr>
          <w:rFonts w:ascii="Palatino Linotype" w:eastAsia="MS Mincho" w:hAnsi="Palatino Linotype" w:cstheme="majorBidi"/>
          <w:b/>
          <w:lang w:val="es-ES"/>
        </w:rPr>
        <w:t>-E</w:t>
      </w:r>
      <w:r w:rsidR="00DB7106" w:rsidRPr="00F11975">
        <w:rPr>
          <w:rFonts w:ascii="Palatino Linotype" w:eastAsia="MS Mincho" w:hAnsi="Palatino Linotype" w:cstheme="majorBidi"/>
          <w:b/>
          <w:lang w:val="es-ES"/>
        </w:rPr>
        <w:t>/2022</w:t>
      </w:r>
      <w:r w:rsidRPr="00F11975">
        <w:rPr>
          <w:rFonts w:ascii="Palatino Linotype" w:eastAsia="MS Mincho" w:hAnsi="Palatino Linotype" w:cstheme="majorBidi"/>
          <w:lang w:val="es-ES"/>
        </w:rPr>
        <w:t xml:space="preserve">; por ello, y con fundamento en la fracción </w:t>
      </w:r>
      <w:r w:rsidR="006A1D78" w:rsidRPr="00F11975">
        <w:rPr>
          <w:rFonts w:ascii="Palatino Linotype" w:eastAsia="MS Mincho" w:hAnsi="Palatino Linotype" w:cstheme="majorBidi"/>
          <w:lang w:val="es-ES"/>
        </w:rPr>
        <w:t>IV</w:t>
      </w:r>
      <w:r w:rsidRPr="00F11975">
        <w:rPr>
          <w:rFonts w:ascii="Palatino Linotype" w:eastAsia="MS Mincho" w:hAnsi="Palatino Linotype" w:cstheme="majorBidi"/>
          <w:lang w:val="es-ES"/>
        </w:rPr>
        <w:t xml:space="preserve"> del numeral 186 de la Ley de Transparencia y Acceso a la Información Pública del Estado de México y Municipios, se </w:t>
      </w:r>
      <w:r w:rsidR="006A1D78" w:rsidRPr="00F11975">
        <w:rPr>
          <w:rFonts w:ascii="Palatino Linotype" w:eastAsia="MS Mincho" w:hAnsi="Palatino Linotype" w:cstheme="majorBidi"/>
          <w:b/>
          <w:lang w:val="es-ES"/>
        </w:rPr>
        <w:t>ORDENA</w:t>
      </w:r>
      <w:r w:rsidRPr="00F11975">
        <w:rPr>
          <w:rFonts w:ascii="Palatino Linotype" w:eastAsia="MS Mincho" w:hAnsi="Palatino Linotype" w:cstheme="majorBidi"/>
          <w:lang w:val="es-ES"/>
        </w:rPr>
        <w:t xml:space="preserve"> </w:t>
      </w:r>
      <w:r w:rsidR="006A1D78" w:rsidRPr="00F11975">
        <w:rPr>
          <w:rFonts w:ascii="Palatino Linotype" w:eastAsia="MS Mincho" w:hAnsi="Palatino Linotype" w:cstheme="majorBidi"/>
          <w:lang w:val="es-ES"/>
        </w:rPr>
        <w:t>atender la solicitud de información</w:t>
      </w:r>
      <w:r w:rsidRPr="00F11975">
        <w:rPr>
          <w:rFonts w:ascii="Palatino Linotype" w:eastAsia="MS Mincho" w:hAnsi="Palatino Linotype" w:cstheme="majorBidi"/>
          <w:lang w:val="es-ES"/>
        </w:rPr>
        <w:t xml:space="preserve"> </w:t>
      </w:r>
      <w:r w:rsidR="00C26989" w:rsidRPr="00F11975">
        <w:rPr>
          <w:rFonts w:ascii="Palatino Linotype" w:eastAsia="MS Mincho" w:hAnsi="Palatino Linotype" w:cstheme="majorBidi"/>
          <w:b/>
          <w:lang w:val="es-ES"/>
        </w:rPr>
        <w:t>00957/NAUCALPA/IP/2021</w:t>
      </w:r>
      <w:r w:rsidRPr="00F11975">
        <w:rPr>
          <w:rFonts w:ascii="Palatino Linotype" w:eastAsia="MS Mincho" w:hAnsi="Palatino Linotype" w:cstheme="majorBidi"/>
          <w:lang w:val="es-ES"/>
        </w:rPr>
        <w:t>.</w:t>
      </w:r>
      <w:r w:rsidR="00FD369C" w:rsidRPr="00F11975">
        <w:rPr>
          <w:rFonts w:ascii="Palatino Linotype" w:eastAsia="MS Mincho" w:hAnsi="Palatino Linotype" w:cstheme="majorBidi"/>
          <w:lang w:val="es-ES"/>
        </w:rPr>
        <w:t xml:space="preserve"> Por otro lado, y con fundamento en lo establecido por el artículo 192, fracción V, de la Ley de mérito, se </w:t>
      </w:r>
      <w:r w:rsidR="00FD369C" w:rsidRPr="00F11975">
        <w:rPr>
          <w:rFonts w:ascii="Palatino Linotype" w:eastAsia="MS Mincho" w:hAnsi="Palatino Linotype" w:cstheme="majorBidi"/>
          <w:b/>
          <w:bCs/>
          <w:lang w:val="es-ES"/>
        </w:rPr>
        <w:t>SOBRESEE</w:t>
      </w:r>
      <w:r w:rsidR="00FD369C" w:rsidRPr="00F11975">
        <w:rPr>
          <w:rFonts w:ascii="Palatino Linotype" w:eastAsia="MS Mincho" w:hAnsi="Palatino Linotype" w:cstheme="majorBidi"/>
          <w:lang w:val="es-ES"/>
        </w:rPr>
        <w:t xml:space="preserve"> el recurso de revisión </w:t>
      </w:r>
      <w:r w:rsidR="00FD369C" w:rsidRPr="00F11975">
        <w:rPr>
          <w:rFonts w:ascii="Palatino Linotype" w:eastAsia="MS Mincho" w:hAnsi="Palatino Linotype" w:cstheme="majorBidi"/>
          <w:b/>
          <w:bCs/>
          <w:lang w:val="es-ES"/>
        </w:rPr>
        <w:t>01895/INFOEM/IP/RR/2022</w:t>
      </w:r>
      <w:r w:rsidR="00FD369C" w:rsidRPr="00F11975">
        <w:rPr>
          <w:rFonts w:ascii="Palatino Linotype" w:eastAsia="MS Mincho" w:hAnsi="Palatino Linotype" w:cstheme="majorBidi"/>
          <w:lang w:val="es-ES"/>
        </w:rPr>
        <w:t>.</w:t>
      </w:r>
    </w:p>
    <w:p w14:paraId="370E910A" w14:textId="77777777" w:rsidR="00F01443" w:rsidRPr="00F1197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02392C9" w14:textId="61083763" w:rsidR="00B069DF" w:rsidRPr="00F11975" w:rsidRDefault="00F01801" w:rsidP="00B069D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1975">
        <w:rPr>
          <w:rFonts w:ascii="Palatino Linotype" w:hAnsi="Palatino Linotype"/>
          <w:color w:val="000000" w:themeColor="text1"/>
          <w:lang w:val="es-ES"/>
        </w:rPr>
        <w:lastRenderedPageBreak/>
        <w:t xml:space="preserve">Por </w:t>
      </w:r>
      <w:r w:rsidR="00B41516" w:rsidRPr="00F11975">
        <w:rPr>
          <w:rFonts w:ascii="Palatino Linotype" w:hAnsi="Palatino Linotype"/>
          <w:color w:val="000000" w:themeColor="text1"/>
        </w:rPr>
        <w:t xml:space="preserve">lo anteriormente expuesto y fundado, </w:t>
      </w:r>
      <w:r w:rsidR="003E6079" w:rsidRPr="00F11975">
        <w:rPr>
          <w:rFonts w:ascii="Palatino Linotype" w:hAnsi="Palatino Linotype"/>
          <w:color w:val="000000" w:themeColor="text1"/>
        </w:rPr>
        <w:t>e</w:t>
      </w:r>
      <w:r w:rsidR="00B41516" w:rsidRPr="00F11975">
        <w:rPr>
          <w:rFonts w:ascii="Palatino Linotype" w:hAnsi="Palatino Linotype"/>
          <w:color w:val="000000" w:themeColor="text1"/>
        </w:rPr>
        <w:t xml:space="preserve">ste </w:t>
      </w:r>
      <w:r w:rsidR="00B41516" w:rsidRPr="00F11975">
        <w:rPr>
          <w:rFonts w:ascii="Palatino Linotype" w:hAnsi="Palatino Linotype"/>
          <w:b/>
          <w:color w:val="000000" w:themeColor="text1"/>
        </w:rPr>
        <w:t>ÓRGANO GARANTE</w:t>
      </w:r>
      <w:r w:rsidR="00B41516" w:rsidRPr="00F11975">
        <w:rPr>
          <w:rFonts w:ascii="Palatino Linotype" w:hAnsi="Palatino Linotype"/>
          <w:color w:val="000000" w:themeColor="text1"/>
        </w:rPr>
        <w:t xml:space="preserve"> emite los siguientes:</w:t>
      </w:r>
      <w:r w:rsidR="003E6079" w:rsidRPr="00F11975">
        <w:rPr>
          <w:rFonts w:ascii="Palatino Linotype" w:hAnsi="Palatino Linotype"/>
          <w:color w:val="000000" w:themeColor="text1"/>
        </w:rPr>
        <w:t xml:space="preserve"> </w:t>
      </w:r>
      <w:r w:rsidR="00D71057" w:rsidRPr="00F11975">
        <w:rPr>
          <w:rFonts w:ascii="Palatino Linotype" w:hAnsi="Palatino Linotype"/>
          <w:color w:val="000000" w:themeColor="text1"/>
        </w:rPr>
        <w:t>--------------------------------------------------------------------------</w:t>
      </w:r>
      <w:r w:rsidR="00E10AC3" w:rsidRPr="00F11975">
        <w:rPr>
          <w:rFonts w:ascii="Palatino Linotype" w:hAnsi="Palatino Linotype"/>
          <w:color w:val="000000" w:themeColor="text1"/>
        </w:rPr>
        <w:t>-----------------</w:t>
      </w:r>
      <w:r w:rsidR="00895335" w:rsidRPr="00F11975">
        <w:rPr>
          <w:rFonts w:ascii="Palatino Linotype" w:hAnsi="Palatino Linotype"/>
          <w:color w:val="000000" w:themeColor="text1"/>
        </w:rPr>
        <w:t>--</w:t>
      </w:r>
      <w:r w:rsidR="003E6079" w:rsidRPr="00F11975">
        <w:rPr>
          <w:rFonts w:ascii="Palatino Linotype" w:hAnsi="Palatino Linotype"/>
          <w:color w:val="000000" w:themeColor="text1"/>
        </w:rPr>
        <w:t>-------------------------------------------------------------------------------------------------------------</w:t>
      </w:r>
      <w:r w:rsidR="00895335" w:rsidRPr="00F11975">
        <w:rPr>
          <w:rFonts w:ascii="Palatino Linotype" w:hAnsi="Palatino Linotype"/>
          <w:color w:val="000000" w:themeColor="text1"/>
        </w:rPr>
        <w:t>--</w:t>
      </w:r>
    </w:p>
    <w:p w14:paraId="1341CA47" w14:textId="52376192" w:rsidR="00B069DF" w:rsidRPr="00F11975" w:rsidRDefault="00B069DF">
      <w:pPr>
        <w:rPr>
          <w:rFonts w:ascii="Palatino Linotype" w:hAnsi="Palatino Linotype"/>
          <w:color w:val="000000" w:themeColor="text1"/>
        </w:rPr>
      </w:pPr>
    </w:p>
    <w:p w14:paraId="18C7D92B" w14:textId="552D21CB" w:rsidR="009959DB" w:rsidRPr="00F11975" w:rsidRDefault="009959DB" w:rsidP="009959DB">
      <w:pPr>
        <w:pStyle w:val="Ttulo1"/>
        <w:spacing w:line="360" w:lineRule="auto"/>
        <w:jc w:val="center"/>
        <w:rPr>
          <w:b/>
          <w:color w:val="000000" w:themeColor="text1"/>
          <w:szCs w:val="24"/>
        </w:rPr>
      </w:pPr>
      <w:bookmarkStart w:id="34" w:name="_Toc495427547"/>
      <w:bookmarkStart w:id="35" w:name="_Toc497905366"/>
      <w:bookmarkStart w:id="36" w:name="_Toc88151645"/>
      <w:r w:rsidRPr="00F11975">
        <w:rPr>
          <w:b/>
          <w:color w:val="000000" w:themeColor="text1"/>
          <w:szCs w:val="24"/>
        </w:rPr>
        <w:t>R E S O L U T I V O S</w:t>
      </w:r>
      <w:bookmarkEnd w:id="27"/>
      <w:bookmarkEnd w:id="28"/>
      <w:bookmarkEnd w:id="34"/>
      <w:bookmarkEnd w:id="35"/>
      <w:bookmarkEnd w:id="36"/>
    </w:p>
    <w:p w14:paraId="56F5A589" w14:textId="77777777" w:rsidR="00D06E4E" w:rsidRPr="00F11975" w:rsidRDefault="00D06E4E" w:rsidP="00D06E4E">
      <w:pPr>
        <w:rPr>
          <w:lang w:val="es-MX" w:eastAsia="en-US"/>
        </w:rPr>
      </w:pPr>
    </w:p>
    <w:p w14:paraId="67A78F7D" w14:textId="13A1121C" w:rsidR="00CA0640" w:rsidRPr="00F11975" w:rsidRDefault="00CA0640" w:rsidP="00CA0640">
      <w:pPr>
        <w:spacing w:line="360" w:lineRule="auto"/>
        <w:jc w:val="both"/>
        <w:rPr>
          <w:rFonts w:ascii="Palatino Linotype" w:eastAsia="Times New Roman" w:hAnsi="Palatino Linotype" w:cs="Times New Roman"/>
        </w:rPr>
      </w:pPr>
      <w:r w:rsidRPr="00F11975">
        <w:rPr>
          <w:rFonts w:ascii="Palatino Linotype" w:eastAsia="Times New Roman" w:hAnsi="Palatino Linotype" w:cs="Arial"/>
          <w:b/>
          <w:sz w:val="28"/>
          <w:szCs w:val="28"/>
        </w:rPr>
        <w:t>PRIMERO</w:t>
      </w:r>
      <w:r w:rsidRPr="00F11975">
        <w:rPr>
          <w:rFonts w:ascii="Palatino Linotype" w:eastAsia="Times New Roman" w:hAnsi="Palatino Linotype" w:cs="Arial"/>
          <w:b/>
        </w:rPr>
        <w:t xml:space="preserve">. </w:t>
      </w:r>
      <w:r w:rsidRPr="00F11975">
        <w:rPr>
          <w:rFonts w:ascii="Palatino Linotype" w:eastAsia="Times New Roman" w:hAnsi="Palatino Linotype" w:cs="Arial"/>
        </w:rPr>
        <w:t>Resultan</w:t>
      </w:r>
      <w:r w:rsidR="00B53905" w:rsidRPr="00F11975">
        <w:rPr>
          <w:rFonts w:ascii="Palatino Linotype" w:eastAsia="Times New Roman" w:hAnsi="Palatino Linotype" w:cs="Arial"/>
        </w:rPr>
        <w:t xml:space="preserve"> </w:t>
      </w:r>
      <w:r w:rsidRPr="00F11975">
        <w:rPr>
          <w:rFonts w:ascii="Palatino Linotype" w:eastAsia="Times New Roman" w:hAnsi="Palatino Linotype" w:cs="Arial"/>
        </w:rPr>
        <w:t>fundadas las</w:t>
      </w:r>
      <w:r w:rsidRPr="00F11975">
        <w:rPr>
          <w:rFonts w:ascii="Palatino Linotype" w:eastAsia="Times New Roman" w:hAnsi="Palatino Linotype" w:cs="Arial"/>
          <w:b/>
        </w:rPr>
        <w:t xml:space="preserve"> </w:t>
      </w:r>
      <w:r w:rsidRPr="00F11975">
        <w:rPr>
          <w:rFonts w:ascii="Palatino Linotype" w:eastAsia="Times New Roman" w:hAnsi="Palatino Linotype" w:cs="Arial"/>
          <w:lang w:val="es-ES"/>
        </w:rPr>
        <w:t xml:space="preserve">razones o motivos de inconformidad hechos valer </w:t>
      </w:r>
      <w:r w:rsidRPr="00F11975">
        <w:rPr>
          <w:rFonts w:ascii="Palatino Linotype" w:eastAsia="Calibri" w:hAnsi="Palatino Linotype" w:cs="Arial"/>
          <w:lang w:val="es-ES"/>
        </w:rPr>
        <w:t xml:space="preserve">en el recurso de revisión </w:t>
      </w:r>
      <w:r w:rsidR="00FD369C" w:rsidRPr="00F11975">
        <w:rPr>
          <w:rFonts w:ascii="Palatino Linotype" w:eastAsia="Times New Roman" w:hAnsi="Palatino Linotype" w:cs="Times New Roman"/>
          <w:b/>
        </w:rPr>
        <w:t>00001</w:t>
      </w:r>
      <w:r w:rsidR="00DB7106" w:rsidRPr="00F11975">
        <w:rPr>
          <w:rFonts w:ascii="Palatino Linotype" w:eastAsia="Times New Roman" w:hAnsi="Palatino Linotype" w:cs="Times New Roman"/>
          <w:b/>
        </w:rPr>
        <w:t>/INFOEM/IP/RR</w:t>
      </w:r>
      <w:r w:rsidR="00FD369C" w:rsidRPr="00F11975">
        <w:rPr>
          <w:rFonts w:ascii="Palatino Linotype" w:eastAsia="Times New Roman" w:hAnsi="Palatino Linotype" w:cs="Times New Roman"/>
          <w:b/>
        </w:rPr>
        <w:t>-E</w:t>
      </w:r>
      <w:r w:rsidR="00DB7106" w:rsidRPr="00F11975">
        <w:rPr>
          <w:rFonts w:ascii="Palatino Linotype" w:eastAsia="Times New Roman" w:hAnsi="Palatino Linotype" w:cs="Times New Roman"/>
          <w:b/>
        </w:rPr>
        <w:t>/2022</w:t>
      </w:r>
      <w:r w:rsidR="00353D24" w:rsidRPr="00F11975">
        <w:rPr>
          <w:rFonts w:ascii="Palatino Linotype" w:eastAsia="Times New Roman" w:hAnsi="Palatino Linotype" w:cs="Times New Roman"/>
          <w:bCs/>
        </w:rPr>
        <w:t>,</w:t>
      </w:r>
      <w:r w:rsidRPr="00F11975">
        <w:rPr>
          <w:rFonts w:ascii="Palatino Linotype" w:eastAsia="Times New Roman" w:hAnsi="Palatino Linotype" w:cs="Times New Roman"/>
          <w:b/>
        </w:rPr>
        <w:t xml:space="preserve"> </w:t>
      </w:r>
      <w:r w:rsidRPr="00F11975">
        <w:rPr>
          <w:rFonts w:ascii="Palatino Linotype" w:eastAsia="Times New Roman" w:hAnsi="Palatino Linotype" w:cs="Times New Roman"/>
        </w:rPr>
        <w:t>en términos de</w:t>
      </w:r>
      <w:r w:rsidR="006A1D78" w:rsidRPr="00F11975">
        <w:rPr>
          <w:rFonts w:ascii="Palatino Linotype" w:eastAsia="Times New Roman" w:hAnsi="Palatino Linotype" w:cs="Times New Roman"/>
        </w:rPr>
        <w:t xml:space="preserve"> </w:t>
      </w:r>
      <w:r w:rsidRPr="00F11975">
        <w:rPr>
          <w:rFonts w:ascii="Palatino Linotype" w:eastAsia="Times New Roman" w:hAnsi="Palatino Linotype" w:cs="Times New Roman"/>
        </w:rPr>
        <w:t>l</w:t>
      </w:r>
      <w:r w:rsidR="006A1D78" w:rsidRPr="00F11975">
        <w:rPr>
          <w:rFonts w:ascii="Palatino Linotype" w:eastAsia="Times New Roman" w:hAnsi="Palatino Linotype" w:cs="Times New Roman"/>
        </w:rPr>
        <w:t>os</w:t>
      </w:r>
      <w:r w:rsidRPr="00F11975">
        <w:rPr>
          <w:rFonts w:ascii="Palatino Linotype" w:eastAsia="Times New Roman" w:hAnsi="Palatino Linotype" w:cs="Times New Roman"/>
          <w:b/>
          <w:bCs/>
        </w:rPr>
        <w:t xml:space="preserve"> Considerando</w:t>
      </w:r>
      <w:r w:rsidR="006A1D78" w:rsidRPr="00F11975">
        <w:rPr>
          <w:rFonts w:ascii="Palatino Linotype" w:eastAsia="Times New Roman" w:hAnsi="Palatino Linotype" w:cs="Times New Roman"/>
          <w:b/>
          <w:bCs/>
        </w:rPr>
        <w:t xml:space="preserve">s </w:t>
      </w:r>
      <w:r w:rsidR="00B53905" w:rsidRPr="00F11975">
        <w:rPr>
          <w:rFonts w:ascii="Palatino Linotype" w:eastAsia="Times New Roman" w:hAnsi="Palatino Linotype" w:cs="Times New Roman"/>
          <w:b/>
        </w:rPr>
        <w:t>QUINTO</w:t>
      </w:r>
      <w:r w:rsidR="00A01696" w:rsidRPr="00F11975">
        <w:rPr>
          <w:rFonts w:ascii="Palatino Linotype" w:eastAsia="Times New Roman" w:hAnsi="Palatino Linotype" w:cs="Times New Roman"/>
        </w:rPr>
        <w:t xml:space="preserve"> </w:t>
      </w:r>
      <w:r w:rsidR="005F4202" w:rsidRPr="00F11975">
        <w:rPr>
          <w:rFonts w:ascii="Palatino Linotype" w:eastAsia="Times New Roman" w:hAnsi="Palatino Linotype" w:cs="Times New Roman"/>
        </w:rPr>
        <w:t xml:space="preserve">y </w:t>
      </w:r>
      <w:r w:rsidR="005F4202" w:rsidRPr="00F11975">
        <w:rPr>
          <w:rFonts w:ascii="Palatino Linotype" w:eastAsia="Times New Roman" w:hAnsi="Palatino Linotype" w:cs="Times New Roman"/>
          <w:b/>
          <w:bCs/>
        </w:rPr>
        <w:t>SEXTO</w:t>
      </w:r>
      <w:r w:rsidR="005F4202" w:rsidRPr="00F11975">
        <w:rPr>
          <w:rFonts w:ascii="Palatino Linotype" w:eastAsia="Times New Roman" w:hAnsi="Palatino Linotype" w:cs="Times New Roman"/>
        </w:rPr>
        <w:t xml:space="preserve"> </w:t>
      </w:r>
      <w:r w:rsidR="00A01696" w:rsidRPr="00F11975">
        <w:rPr>
          <w:rFonts w:ascii="Palatino Linotype" w:eastAsia="Times New Roman" w:hAnsi="Palatino Linotype" w:cs="Times New Roman"/>
        </w:rPr>
        <w:t>d</w:t>
      </w:r>
      <w:r w:rsidRPr="00F11975">
        <w:rPr>
          <w:rFonts w:ascii="Palatino Linotype" w:eastAsia="Times New Roman" w:hAnsi="Palatino Linotype" w:cs="Times New Roman"/>
        </w:rPr>
        <w:t>e la presente resolución.</w:t>
      </w:r>
    </w:p>
    <w:p w14:paraId="223895AA" w14:textId="77777777" w:rsidR="00CA0640" w:rsidRPr="00F11975" w:rsidRDefault="00CA0640" w:rsidP="00CA0640">
      <w:pPr>
        <w:spacing w:line="360" w:lineRule="auto"/>
        <w:contextualSpacing/>
        <w:jc w:val="both"/>
        <w:rPr>
          <w:rFonts w:ascii="Palatino Linotype" w:eastAsia="Calibri" w:hAnsi="Palatino Linotype" w:cs="Arial"/>
          <w:b/>
          <w:bCs/>
          <w:lang w:val="es-ES"/>
        </w:rPr>
      </w:pPr>
    </w:p>
    <w:p w14:paraId="6FD259C5" w14:textId="46488049" w:rsidR="00CA0640" w:rsidRPr="00F11975" w:rsidRDefault="00CA0640" w:rsidP="00CA0640">
      <w:pPr>
        <w:spacing w:line="360" w:lineRule="auto"/>
        <w:contextualSpacing/>
        <w:jc w:val="both"/>
        <w:rPr>
          <w:rFonts w:ascii="Palatino Linotype" w:eastAsia="Times New Roman" w:hAnsi="Palatino Linotype" w:cs="Arial"/>
          <w:color w:val="000000"/>
        </w:rPr>
      </w:pPr>
      <w:r w:rsidRPr="00F11975">
        <w:rPr>
          <w:rFonts w:ascii="Palatino Linotype" w:eastAsia="Calibri" w:hAnsi="Palatino Linotype" w:cs="Arial"/>
          <w:b/>
          <w:bCs/>
          <w:sz w:val="28"/>
          <w:szCs w:val="28"/>
          <w:lang w:val="es-ES"/>
        </w:rPr>
        <w:t>SEGUNDO</w:t>
      </w:r>
      <w:r w:rsidRPr="00F11975">
        <w:rPr>
          <w:rFonts w:ascii="Palatino Linotype" w:eastAsia="Calibri" w:hAnsi="Palatino Linotype" w:cs="Arial"/>
          <w:b/>
          <w:bCs/>
          <w:lang w:val="es-ES"/>
        </w:rPr>
        <w:t xml:space="preserve">. </w:t>
      </w:r>
      <w:r w:rsidRPr="00F11975">
        <w:rPr>
          <w:rFonts w:ascii="Palatino Linotype" w:eastAsia="Calibri" w:hAnsi="Palatino Linotype" w:cs="Arial"/>
          <w:lang w:val="es-ES"/>
        </w:rPr>
        <w:t xml:space="preserve">Se </w:t>
      </w:r>
      <w:r w:rsidR="006A1D78" w:rsidRPr="00F11975">
        <w:rPr>
          <w:rFonts w:ascii="Palatino Linotype" w:eastAsia="Calibri" w:hAnsi="Palatino Linotype" w:cs="Arial"/>
          <w:b/>
          <w:lang w:val="es-ES"/>
        </w:rPr>
        <w:t>ORDENA</w:t>
      </w:r>
      <w:r w:rsidRPr="00F11975">
        <w:rPr>
          <w:rFonts w:ascii="Palatino Linotype" w:eastAsia="Calibri" w:hAnsi="Palatino Linotype" w:cs="Arial"/>
          <w:lang w:val="es-ES"/>
        </w:rPr>
        <w:t xml:space="preserve"> </w:t>
      </w:r>
      <w:r w:rsidR="006A1D78" w:rsidRPr="00F11975">
        <w:rPr>
          <w:rFonts w:ascii="Palatino Linotype" w:eastAsia="Calibri" w:hAnsi="Palatino Linotype" w:cs="Arial"/>
          <w:lang w:val="es-ES"/>
        </w:rPr>
        <w:t>al</w:t>
      </w:r>
      <w:r w:rsidRPr="00F11975">
        <w:rPr>
          <w:rFonts w:ascii="Palatino Linotype" w:eastAsia="Calibri" w:hAnsi="Palatino Linotype" w:cs="Arial"/>
          <w:lang w:val="es-ES"/>
        </w:rPr>
        <w:t xml:space="preserve"> </w:t>
      </w:r>
      <w:r w:rsidR="00C26989" w:rsidRPr="00F11975">
        <w:rPr>
          <w:rFonts w:ascii="Palatino Linotype" w:eastAsia="Calibri" w:hAnsi="Palatino Linotype" w:cs="Arial"/>
          <w:b/>
        </w:rPr>
        <w:t>Ayuntamiento de Naucalpan de Juárez</w:t>
      </w:r>
      <w:r w:rsidRPr="00F11975">
        <w:rPr>
          <w:rFonts w:ascii="Palatino Linotype" w:eastAsia="Calibri" w:hAnsi="Palatino Linotype" w:cs="Arial"/>
          <w:bCs/>
        </w:rPr>
        <w:t xml:space="preserve"> </w:t>
      </w:r>
      <w:r w:rsidR="006A1D78" w:rsidRPr="00F11975">
        <w:rPr>
          <w:rFonts w:ascii="Palatino Linotype" w:eastAsia="Calibri" w:hAnsi="Palatino Linotype" w:cs="Arial"/>
          <w:bCs/>
        </w:rPr>
        <w:t xml:space="preserve">dar atención </w:t>
      </w:r>
      <w:r w:rsidRPr="00F11975">
        <w:rPr>
          <w:rFonts w:ascii="Palatino Linotype" w:eastAsia="Calibri" w:hAnsi="Palatino Linotype" w:cs="Arial"/>
          <w:bCs/>
        </w:rPr>
        <w:t xml:space="preserve">a la solicitud </w:t>
      </w:r>
      <w:r w:rsidR="00C26989" w:rsidRPr="00F11975">
        <w:rPr>
          <w:rFonts w:ascii="Palatino Linotype" w:eastAsia="Calibri" w:hAnsi="Palatino Linotype" w:cs="Arial"/>
          <w:b/>
        </w:rPr>
        <w:t>00957/NAUCALPA/IP/2021</w:t>
      </w:r>
      <w:r w:rsidRPr="00F11975">
        <w:rPr>
          <w:rFonts w:ascii="Palatino Linotype" w:eastAsia="Calibri" w:hAnsi="Palatino Linotype" w:cs="Arial"/>
          <w:b/>
        </w:rPr>
        <w:t xml:space="preserve"> </w:t>
      </w:r>
      <w:r w:rsidRPr="00F11975">
        <w:rPr>
          <w:rFonts w:ascii="Palatino Linotype" w:eastAsia="Calibri" w:hAnsi="Palatino Linotype" w:cs="Arial"/>
        </w:rPr>
        <w:t xml:space="preserve">y </w:t>
      </w:r>
      <w:r w:rsidRPr="00F11975">
        <w:rPr>
          <w:rFonts w:ascii="Palatino Linotype" w:eastAsia="Calibri" w:hAnsi="Palatino Linotype" w:cs="Arial"/>
          <w:lang w:val="es-ES"/>
        </w:rPr>
        <w:t xml:space="preserve">entregar, </w:t>
      </w:r>
      <w:bookmarkStart w:id="37" w:name="_Toc460947013"/>
      <w:r w:rsidR="008705E1" w:rsidRPr="00F11975">
        <w:rPr>
          <w:rFonts w:ascii="Palatino Linotype" w:eastAsia="Calibri" w:hAnsi="Palatino Linotype" w:cs="Arial"/>
          <w:lang w:val="es-ES"/>
        </w:rPr>
        <w:t>a través del Sistema de Acceso a la Información Pública Mexiquense (SAIMEX)</w:t>
      </w:r>
      <w:r w:rsidR="00FD369C" w:rsidRPr="00F11975">
        <w:rPr>
          <w:rFonts w:ascii="Palatino Linotype" w:eastAsia="Calibri" w:hAnsi="Palatino Linotype" w:cs="Arial"/>
          <w:lang w:val="es-ES"/>
        </w:rPr>
        <w:t xml:space="preserve"> y correo electrónico</w:t>
      </w:r>
      <w:r w:rsidRPr="00F11975">
        <w:rPr>
          <w:rFonts w:ascii="Palatino Linotype" w:eastAsia="Times New Roman" w:hAnsi="Palatino Linotype" w:cs="Arial"/>
          <w:color w:val="000000"/>
        </w:rPr>
        <w:t>,</w:t>
      </w:r>
      <w:r w:rsidR="00FD369C" w:rsidRPr="00F11975">
        <w:rPr>
          <w:rFonts w:ascii="Palatino Linotype" w:eastAsia="Times New Roman" w:hAnsi="Palatino Linotype" w:cs="Arial"/>
          <w:color w:val="000000"/>
        </w:rPr>
        <w:t xml:space="preserve"> en versión pública de ser procedente, </w:t>
      </w:r>
      <w:r w:rsidR="00F62820" w:rsidRPr="00F11975">
        <w:rPr>
          <w:rFonts w:ascii="Palatino Linotype" w:eastAsia="Times New Roman" w:hAnsi="Palatino Linotype" w:cs="Arial"/>
          <w:color w:val="000000"/>
        </w:rPr>
        <w:t xml:space="preserve">preferentemente en datos abiertos, o en el formato en el que se encuentren, </w:t>
      </w:r>
      <w:r w:rsidR="00FD369C" w:rsidRPr="00F11975">
        <w:rPr>
          <w:rFonts w:ascii="Palatino Linotype" w:eastAsia="Times New Roman" w:hAnsi="Palatino Linotype" w:cs="Arial"/>
          <w:color w:val="000000"/>
        </w:rPr>
        <w:t>los documentos donde conste</w:t>
      </w:r>
      <w:r w:rsidRPr="00F11975">
        <w:rPr>
          <w:rFonts w:ascii="Palatino Linotype" w:eastAsia="Times New Roman" w:hAnsi="Palatino Linotype" w:cs="Arial"/>
          <w:color w:val="000000"/>
        </w:rPr>
        <w:t xml:space="preserve"> </w:t>
      </w:r>
      <w:r w:rsidR="00A01696" w:rsidRPr="00F11975">
        <w:rPr>
          <w:rFonts w:ascii="Palatino Linotype" w:eastAsia="Times New Roman" w:hAnsi="Palatino Linotype" w:cs="Arial"/>
          <w:color w:val="000000"/>
        </w:rPr>
        <w:t>la siguiente información</w:t>
      </w:r>
      <w:r w:rsidRPr="00F11975">
        <w:rPr>
          <w:rFonts w:ascii="Palatino Linotype" w:eastAsia="Times New Roman" w:hAnsi="Palatino Linotype" w:cs="Arial"/>
          <w:color w:val="000000"/>
        </w:rPr>
        <w:t xml:space="preserve">: </w:t>
      </w:r>
    </w:p>
    <w:p w14:paraId="73CAD18D" w14:textId="77777777" w:rsidR="00CA0640" w:rsidRPr="00F11975" w:rsidRDefault="00CA0640" w:rsidP="00CA0640">
      <w:pPr>
        <w:spacing w:line="360" w:lineRule="auto"/>
        <w:ind w:right="616"/>
        <w:jc w:val="both"/>
        <w:rPr>
          <w:rFonts w:ascii="Palatino Linotype" w:hAnsi="Palatino Linotype"/>
          <w:b/>
          <w:bCs/>
        </w:rPr>
      </w:pPr>
      <w:bookmarkStart w:id="38" w:name="_Hlk22229143"/>
    </w:p>
    <w:bookmarkEnd w:id="38"/>
    <w:p w14:paraId="7D7827B9" w14:textId="49A71527" w:rsidR="0018484F" w:rsidRPr="00F11975" w:rsidRDefault="00FD369C" w:rsidP="00EB1EAE">
      <w:pPr>
        <w:pStyle w:val="Prrafodelista"/>
        <w:numPr>
          <w:ilvl w:val="0"/>
          <w:numId w:val="3"/>
        </w:numPr>
        <w:tabs>
          <w:tab w:val="left" w:pos="993"/>
        </w:tabs>
        <w:spacing w:line="360" w:lineRule="auto"/>
        <w:ind w:left="851" w:right="567" w:hanging="284"/>
        <w:jc w:val="both"/>
        <w:rPr>
          <w:rFonts w:ascii="Palatino Linotype" w:hAnsi="Palatino Linotype"/>
          <w:color w:val="000000"/>
        </w:rPr>
      </w:pPr>
      <w:r w:rsidRPr="00F11975">
        <w:rPr>
          <w:rFonts w:ascii="Palatino Linotype" w:hAnsi="Palatino Linotype"/>
          <w:b/>
          <w:bCs/>
          <w:color w:val="000000"/>
        </w:rPr>
        <w:t>Registro</w:t>
      </w:r>
      <w:r w:rsidR="00657652" w:rsidRPr="00F11975">
        <w:rPr>
          <w:rFonts w:ascii="Palatino Linotype" w:hAnsi="Palatino Linotype"/>
          <w:b/>
          <w:bCs/>
          <w:color w:val="000000"/>
        </w:rPr>
        <w:t>s</w:t>
      </w:r>
      <w:r w:rsidRPr="00F11975">
        <w:rPr>
          <w:rFonts w:ascii="Palatino Linotype" w:hAnsi="Palatino Linotype"/>
          <w:b/>
          <w:bCs/>
          <w:color w:val="000000"/>
        </w:rPr>
        <w:t xml:space="preserve"> o base de datos de la incidencia delictiva, o reporte de incidentes atendidos por elementos de la Dirección de Seguridad Ciudadana y Tránsito Municipal, por el periodo comprendido del uno (01) de enero de dos mil diez al veintidós (22) de diciembre de dos mil veintiuno,</w:t>
      </w:r>
      <w:r w:rsidR="00657652" w:rsidRPr="00F11975">
        <w:rPr>
          <w:rFonts w:ascii="Palatino Linotype" w:hAnsi="Palatino Linotype"/>
          <w:b/>
          <w:bCs/>
          <w:color w:val="000000"/>
        </w:rPr>
        <w:t xml:space="preserve"> donde se señale:</w:t>
      </w:r>
    </w:p>
    <w:p w14:paraId="69BDAD88" w14:textId="77777777" w:rsidR="00657652" w:rsidRPr="00F11975" w:rsidRDefault="00657652" w:rsidP="00657652">
      <w:pPr>
        <w:pStyle w:val="Prrafodelista"/>
        <w:numPr>
          <w:ilvl w:val="1"/>
          <w:numId w:val="3"/>
        </w:numPr>
        <w:tabs>
          <w:tab w:val="left" w:pos="993"/>
        </w:tabs>
        <w:spacing w:line="360" w:lineRule="auto"/>
        <w:ind w:right="567"/>
        <w:jc w:val="both"/>
        <w:rPr>
          <w:rFonts w:ascii="Palatino Linotype" w:hAnsi="Palatino Linotype"/>
          <w:color w:val="000000"/>
        </w:rPr>
      </w:pPr>
      <w:r w:rsidRPr="00F11975">
        <w:rPr>
          <w:rFonts w:ascii="Palatino Linotype" w:hAnsi="Palatino Linotype"/>
          <w:b/>
          <w:bCs/>
          <w:color w:val="000000"/>
        </w:rPr>
        <w:t>Tipo de incidente o evento;</w:t>
      </w:r>
    </w:p>
    <w:p w14:paraId="52111F2D" w14:textId="035B9DCF" w:rsidR="00657652" w:rsidRPr="00F11975" w:rsidRDefault="00657652" w:rsidP="00657652">
      <w:pPr>
        <w:pStyle w:val="Prrafodelista"/>
        <w:numPr>
          <w:ilvl w:val="1"/>
          <w:numId w:val="3"/>
        </w:numPr>
        <w:tabs>
          <w:tab w:val="left" w:pos="993"/>
        </w:tabs>
        <w:spacing w:line="360" w:lineRule="auto"/>
        <w:ind w:right="567"/>
        <w:jc w:val="both"/>
        <w:rPr>
          <w:rFonts w:ascii="Palatino Linotype" w:hAnsi="Palatino Linotype"/>
          <w:color w:val="000000"/>
        </w:rPr>
      </w:pPr>
      <w:r w:rsidRPr="00F11975">
        <w:rPr>
          <w:rFonts w:ascii="Palatino Linotype" w:hAnsi="Palatino Linotype"/>
          <w:b/>
          <w:bCs/>
          <w:color w:val="000000"/>
        </w:rPr>
        <w:t>Hora;</w:t>
      </w:r>
    </w:p>
    <w:p w14:paraId="2CDBB2C6" w14:textId="77777777" w:rsidR="00657652" w:rsidRPr="00F11975" w:rsidRDefault="00657652" w:rsidP="00657652">
      <w:pPr>
        <w:pStyle w:val="Prrafodelista"/>
        <w:numPr>
          <w:ilvl w:val="1"/>
          <w:numId w:val="3"/>
        </w:numPr>
        <w:tabs>
          <w:tab w:val="left" w:pos="993"/>
        </w:tabs>
        <w:spacing w:line="360" w:lineRule="auto"/>
        <w:ind w:right="567"/>
        <w:jc w:val="both"/>
        <w:rPr>
          <w:rFonts w:ascii="Palatino Linotype" w:hAnsi="Palatino Linotype"/>
          <w:color w:val="000000"/>
        </w:rPr>
      </w:pPr>
      <w:r w:rsidRPr="00F11975">
        <w:rPr>
          <w:rFonts w:ascii="Palatino Linotype" w:hAnsi="Palatino Linotype"/>
          <w:b/>
          <w:bCs/>
          <w:color w:val="000000"/>
        </w:rPr>
        <w:t>Fecha;</w:t>
      </w:r>
    </w:p>
    <w:p w14:paraId="25ACE007" w14:textId="77777777" w:rsidR="00657652" w:rsidRPr="00F11975" w:rsidRDefault="00657652" w:rsidP="00657652">
      <w:pPr>
        <w:pStyle w:val="Prrafodelista"/>
        <w:numPr>
          <w:ilvl w:val="1"/>
          <w:numId w:val="3"/>
        </w:numPr>
        <w:tabs>
          <w:tab w:val="left" w:pos="993"/>
        </w:tabs>
        <w:spacing w:line="360" w:lineRule="auto"/>
        <w:ind w:right="567"/>
        <w:jc w:val="both"/>
        <w:rPr>
          <w:rFonts w:ascii="Palatino Linotype" w:hAnsi="Palatino Linotype"/>
          <w:color w:val="000000"/>
        </w:rPr>
      </w:pPr>
      <w:r w:rsidRPr="00F11975">
        <w:rPr>
          <w:rFonts w:ascii="Palatino Linotype" w:hAnsi="Palatino Linotype"/>
          <w:b/>
          <w:bCs/>
          <w:color w:val="000000"/>
        </w:rPr>
        <w:lastRenderedPageBreak/>
        <w:t>Lugar y/o ubicación; y</w:t>
      </w:r>
    </w:p>
    <w:p w14:paraId="29E36464" w14:textId="0E37E8C2" w:rsidR="00657652" w:rsidRPr="00F11975" w:rsidRDefault="00657652" w:rsidP="00657652">
      <w:pPr>
        <w:pStyle w:val="Prrafodelista"/>
        <w:numPr>
          <w:ilvl w:val="1"/>
          <w:numId w:val="3"/>
        </w:numPr>
        <w:tabs>
          <w:tab w:val="left" w:pos="993"/>
        </w:tabs>
        <w:spacing w:line="360" w:lineRule="auto"/>
        <w:ind w:right="567"/>
        <w:jc w:val="both"/>
        <w:rPr>
          <w:rFonts w:ascii="Palatino Linotype" w:hAnsi="Palatino Linotype"/>
          <w:color w:val="000000"/>
        </w:rPr>
      </w:pPr>
      <w:r w:rsidRPr="00F11975">
        <w:rPr>
          <w:rFonts w:ascii="Palatino Linotype" w:hAnsi="Palatino Linotype"/>
          <w:b/>
          <w:bCs/>
          <w:color w:val="000000"/>
        </w:rPr>
        <w:t>Coordenadas geográficas.</w:t>
      </w:r>
    </w:p>
    <w:p w14:paraId="48090139" w14:textId="77777777" w:rsidR="003B1649" w:rsidRPr="00F11975" w:rsidRDefault="003B1649" w:rsidP="003B1649">
      <w:pPr>
        <w:tabs>
          <w:tab w:val="left" w:pos="993"/>
        </w:tabs>
        <w:spacing w:line="360" w:lineRule="auto"/>
        <w:ind w:right="567"/>
        <w:jc w:val="both"/>
        <w:rPr>
          <w:rFonts w:ascii="Palatino Linotype" w:hAnsi="Palatino Linotype"/>
          <w:color w:val="000000"/>
        </w:rPr>
      </w:pPr>
    </w:p>
    <w:p w14:paraId="711EA80E" w14:textId="77777777" w:rsidR="00657652" w:rsidRPr="00F11975" w:rsidRDefault="00657652" w:rsidP="00657652">
      <w:pPr>
        <w:tabs>
          <w:tab w:val="left" w:pos="993"/>
        </w:tabs>
        <w:spacing w:line="360" w:lineRule="auto"/>
        <w:jc w:val="both"/>
        <w:rPr>
          <w:rFonts w:ascii="Palatino Linotype" w:eastAsia="Calibri" w:hAnsi="Palatino Linotype" w:cs="Arial"/>
        </w:rPr>
      </w:pPr>
      <w:r w:rsidRPr="00F11975">
        <w:rPr>
          <w:rFonts w:ascii="Palatino Linotype" w:hAnsi="Palatino Linotype"/>
          <w:color w:val="000000"/>
        </w:rPr>
        <w:t xml:space="preserve">Para </w:t>
      </w:r>
      <w:r w:rsidRPr="00F11975">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F11975">
        <w:rPr>
          <w:rFonts w:ascii="Palatino Linotype" w:eastAsia="Calibri" w:hAnsi="Palatino Linotype" w:cs="Arial"/>
          <w:b/>
        </w:rPr>
        <w:t>RECURRENTE</w:t>
      </w:r>
      <w:r w:rsidRPr="00F11975">
        <w:rPr>
          <w:rFonts w:ascii="Palatino Linotype" w:eastAsia="Calibri" w:hAnsi="Palatino Linotype" w:cs="Arial"/>
        </w:rPr>
        <w:t>.</w:t>
      </w:r>
    </w:p>
    <w:p w14:paraId="40221FB7" w14:textId="77777777" w:rsidR="00657652" w:rsidRPr="00F11975" w:rsidRDefault="00657652" w:rsidP="00657652">
      <w:pPr>
        <w:tabs>
          <w:tab w:val="left" w:pos="993"/>
        </w:tabs>
        <w:spacing w:line="360" w:lineRule="auto"/>
        <w:jc w:val="both"/>
        <w:rPr>
          <w:rFonts w:ascii="Palatino Linotype" w:hAnsi="Palatino Linotype"/>
          <w:color w:val="000000"/>
        </w:rPr>
      </w:pPr>
    </w:p>
    <w:p w14:paraId="7827886B" w14:textId="5569E5ED" w:rsidR="00657652" w:rsidRPr="00F11975" w:rsidRDefault="00657652" w:rsidP="00657652">
      <w:pPr>
        <w:tabs>
          <w:tab w:val="left" w:pos="993"/>
        </w:tabs>
        <w:spacing w:line="360" w:lineRule="auto"/>
        <w:jc w:val="both"/>
        <w:rPr>
          <w:rFonts w:ascii="Palatino Linotype" w:hAnsi="Palatino Linotype"/>
          <w:color w:val="000000"/>
        </w:rPr>
      </w:pPr>
      <w:r w:rsidRPr="00F11975">
        <w:rPr>
          <w:rFonts w:ascii="Palatino Linotype" w:hAnsi="Palatino Linotype"/>
          <w:color w:val="000000"/>
        </w:rPr>
        <w:t xml:space="preserve">Por otro lado, de ser el caso que la información que se ordena entregar en el inciso </w:t>
      </w:r>
      <w:r w:rsidRPr="00F11975">
        <w:rPr>
          <w:rFonts w:ascii="Palatino Linotype" w:hAnsi="Palatino Linotype"/>
          <w:b/>
          <w:bCs/>
          <w:color w:val="000000"/>
        </w:rPr>
        <w:t>e)</w:t>
      </w:r>
      <w:r w:rsidRPr="00F11975">
        <w:rPr>
          <w:rFonts w:ascii="Palatino Linotype" w:hAnsi="Palatino Linotype"/>
          <w:color w:val="000000"/>
        </w:rPr>
        <w:t xml:space="preserve"> no haya sido generada, poseída o administrada, el </w:t>
      </w:r>
      <w:r w:rsidRPr="00F11975">
        <w:rPr>
          <w:rFonts w:ascii="Palatino Linotype" w:hAnsi="Palatino Linotype"/>
          <w:b/>
          <w:bCs/>
          <w:color w:val="000000"/>
        </w:rPr>
        <w:t>SUJETO OBLIGADO</w:t>
      </w:r>
      <w:r w:rsidRPr="00F11975">
        <w:rPr>
          <w:rFonts w:ascii="Palatino Linotype" w:hAnsi="Palatino Linotype"/>
          <w:color w:val="000000"/>
        </w:rPr>
        <w:t> deberá explicar las razones por las que no se cuente con la información requerida de manera clara y precisa.</w:t>
      </w:r>
    </w:p>
    <w:p w14:paraId="6F36518A" w14:textId="299454D2" w:rsidR="00657652" w:rsidRPr="00F11975" w:rsidRDefault="00657652" w:rsidP="00CA0640">
      <w:pPr>
        <w:spacing w:line="360" w:lineRule="auto"/>
        <w:jc w:val="both"/>
        <w:rPr>
          <w:rFonts w:ascii="Palatino Linotype" w:eastAsia="MS Mincho" w:hAnsi="Palatino Linotype" w:cs="Times New Roman"/>
          <w:b/>
          <w:color w:val="000000"/>
          <w:sz w:val="28"/>
          <w:szCs w:val="28"/>
        </w:rPr>
      </w:pPr>
    </w:p>
    <w:p w14:paraId="54B391D7" w14:textId="01A30E1B" w:rsidR="00353D24" w:rsidRPr="00F11975" w:rsidRDefault="00353D24" w:rsidP="00353D24">
      <w:pPr>
        <w:spacing w:line="360" w:lineRule="auto"/>
        <w:jc w:val="both"/>
        <w:rPr>
          <w:rFonts w:ascii="Palatino Linotype" w:eastAsia="MS Mincho" w:hAnsi="Palatino Linotype" w:cs="Times New Roman"/>
          <w:color w:val="000000"/>
        </w:rPr>
      </w:pPr>
      <w:r w:rsidRPr="00F11975">
        <w:rPr>
          <w:rFonts w:ascii="Palatino Linotype" w:eastAsia="MS Mincho" w:hAnsi="Palatino Linotype" w:cs="Times New Roman"/>
          <w:b/>
          <w:color w:val="000000"/>
          <w:sz w:val="28"/>
          <w:szCs w:val="28"/>
        </w:rPr>
        <w:t>TERCERO</w:t>
      </w:r>
      <w:r w:rsidRPr="00F11975">
        <w:rPr>
          <w:rFonts w:ascii="Palatino Linotype" w:eastAsia="MS Mincho" w:hAnsi="Palatino Linotype" w:cs="Times New Roman"/>
          <w:b/>
          <w:color w:val="000000"/>
        </w:rPr>
        <w:t>.</w:t>
      </w:r>
      <w:r w:rsidRPr="00F11975">
        <w:rPr>
          <w:rFonts w:ascii="Palatino Linotype" w:eastAsia="MS Mincho" w:hAnsi="Palatino Linotype" w:cs="Times New Roman"/>
          <w:color w:val="000000"/>
        </w:rPr>
        <w:t xml:space="preserve"> Se </w:t>
      </w:r>
      <w:r w:rsidRPr="00F11975">
        <w:rPr>
          <w:rFonts w:ascii="Palatino Linotype" w:hAnsi="Palatino Linotype"/>
          <w:b/>
          <w:szCs w:val="20"/>
        </w:rPr>
        <w:t>SOBRESEE</w:t>
      </w:r>
      <w:r w:rsidRPr="00F11975">
        <w:rPr>
          <w:rFonts w:ascii="Palatino Linotype" w:hAnsi="Palatino Linotype"/>
          <w:szCs w:val="20"/>
        </w:rPr>
        <w:t xml:space="preserve"> el recurso de revisión número </w:t>
      </w:r>
      <w:r w:rsidRPr="00F11975">
        <w:rPr>
          <w:rFonts w:ascii="Palatino Linotype" w:hAnsi="Palatino Linotype"/>
          <w:b/>
          <w:szCs w:val="20"/>
        </w:rPr>
        <w:t>01895/INFOEM/IP/RR/2022</w:t>
      </w:r>
      <w:r w:rsidRPr="00F11975">
        <w:rPr>
          <w:rFonts w:ascii="Palatino Linotype" w:hAnsi="Palatino Linotype"/>
          <w:szCs w:val="20"/>
        </w:rPr>
        <w:t xml:space="preserve">, conforme al artículo 192, fracción V, de la Ley de Transparencia y Acceso a la Información Pública del Estado de México y Municipios, en términos del </w:t>
      </w:r>
      <w:r w:rsidRPr="00F11975">
        <w:rPr>
          <w:rFonts w:ascii="Palatino Linotype" w:hAnsi="Palatino Linotype"/>
          <w:b/>
          <w:bCs/>
          <w:szCs w:val="20"/>
        </w:rPr>
        <w:t>Considerando QUINTO</w:t>
      </w:r>
      <w:r w:rsidRPr="00F11975">
        <w:rPr>
          <w:rFonts w:ascii="Palatino Linotype" w:hAnsi="Palatino Linotype"/>
          <w:szCs w:val="20"/>
        </w:rPr>
        <w:t xml:space="preserve"> de la presente Resolución.</w:t>
      </w:r>
    </w:p>
    <w:p w14:paraId="60DB3600" w14:textId="77777777" w:rsidR="00353D24" w:rsidRPr="00F11975" w:rsidRDefault="00353D24" w:rsidP="00CA0640">
      <w:pPr>
        <w:spacing w:line="360" w:lineRule="auto"/>
        <w:jc w:val="both"/>
        <w:rPr>
          <w:rFonts w:ascii="Palatino Linotype" w:eastAsia="MS Mincho" w:hAnsi="Palatino Linotype" w:cs="Times New Roman"/>
          <w:b/>
          <w:color w:val="000000"/>
          <w:sz w:val="28"/>
          <w:szCs w:val="28"/>
        </w:rPr>
      </w:pPr>
    </w:p>
    <w:p w14:paraId="5463F9DB" w14:textId="3DD3B6D7" w:rsidR="00CA0640" w:rsidRPr="00F11975" w:rsidRDefault="00353D24" w:rsidP="00CA0640">
      <w:pPr>
        <w:spacing w:line="360" w:lineRule="auto"/>
        <w:jc w:val="both"/>
        <w:rPr>
          <w:rFonts w:ascii="Palatino Linotype" w:eastAsia="MS Mincho" w:hAnsi="Palatino Linotype" w:cs="Times New Roman"/>
          <w:color w:val="000000"/>
        </w:rPr>
      </w:pPr>
      <w:r w:rsidRPr="00F11975">
        <w:rPr>
          <w:rFonts w:ascii="Palatino Linotype" w:eastAsia="MS Mincho" w:hAnsi="Palatino Linotype" w:cs="Times New Roman"/>
          <w:b/>
          <w:color w:val="000000"/>
          <w:sz w:val="28"/>
          <w:szCs w:val="28"/>
        </w:rPr>
        <w:t>CUARTO</w:t>
      </w:r>
      <w:r w:rsidR="00CA0640" w:rsidRPr="00F11975">
        <w:rPr>
          <w:rFonts w:ascii="Palatino Linotype" w:eastAsia="MS Mincho" w:hAnsi="Palatino Linotype" w:cs="Times New Roman"/>
          <w:b/>
          <w:color w:val="000000"/>
        </w:rPr>
        <w:t>.</w:t>
      </w:r>
      <w:r w:rsidR="00CA0640" w:rsidRPr="00F11975">
        <w:rPr>
          <w:rFonts w:ascii="Palatino Linotype" w:eastAsia="MS Mincho" w:hAnsi="Palatino Linotype" w:cs="Times New Roman"/>
          <w:color w:val="000000"/>
        </w:rPr>
        <w:t xml:space="preserve"> Notifíquese al Titular de la Unidad de Transparencia del</w:t>
      </w:r>
      <w:r w:rsidR="00CA0640" w:rsidRPr="00F11975">
        <w:rPr>
          <w:rFonts w:ascii="Palatino Linotype" w:eastAsia="MS Mincho" w:hAnsi="Palatino Linotype" w:cs="Times New Roman"/>
          <w:b/>
          <w:color w:val="000000"/>
        </w:rPr>
        <w:t xml:space="preserve"> S</w:t>
      </w:r>
      <w:r w:rsidR="00B53905" w:rsidRPr="00F11975">
        <w:rPr>
          <w:rFonts w:ascii="Palatino Linotype" w:eastAsia="MS Mincho" w:hAnsi="Palatino Linotype" w:cs="Times New Roman"/>
          <w:b/>
          <w:color w:val="000000"/>
        </w:rPr>
        <w:t>UJETO OBLIGADO</w:t>
      </w:r>
      <w:r w:rsidR="00CA0640" w:rsidRPr="00F11975">
        <w:rPr>
          <w:rFonts w:ascii="Palatino Linotype" w:eastAsia="MS Mincho" w:hAnsi="Palatino Linotype" w:cs="Times New Roman"/>
          <w:color w:val="000000"/>
        </w:rPr>
        <w:t xml:space="preserve">, </w:t>
      </w:r>
      <w:r w:rsidR="00CE2304" w:rsidRPr="00F11975">
        <w:rPr>
          <w:rFonts w:ascii="Palatino Linotype" w:eastAsia="MS Mincho" w:hAnsi="Palatino Linotype" w:cs="Times New Roman"/>
          <w:color w:val="000000"/>
        </w:rPr>
        <w:t xml:space="preserve">vía Sistema de Acceso a la Información Mexiquense (SAIMEX), </w:t>
      </w:r>
      <w:r w:rsidR="00CA0640" w:rsidRPr="00F11975">
        <w:rPr>
          <w:rFonts w:ascii="Palatino Linotype" w:eastAsia="MS Mincho" w:hAnsi="Palatino Linotype" w:cs="Times New Roman"/>
          <w:color w:val="000000"/>
        </w:rPr>
        <w:t>para que conforme a los artículos 186</w:t>
      </w:r>
      <w:r w:rsidR="00CE2304" w:rsidRPr="00F11975">
        <w:rPr>
          <w:rFonts w:ascii="Palatino Linotype" w:eastAsia="MS Mincho" w:hAnsi="Palatino Linotype" w:cs="Times New Roman"/>
          <w:color w:val="000000"/>
        </w:rPr>
        <w:t>,</w:t>
      </w:r>
      <w:r w:rsidR="00CA0640" w:rsidRPr="00F11975">
        <w:rPr>
          <w:rFonts w:ascii="Palatino Linotype" w:eastAsia="MS Mincho" w:hAnsi="Palatino Linotype" w:cs="Times New Roman"/>
          <w:color w:val="000000"/>
        </w:rPr>
        <w:t xml:space="preserve"> último párrafo, 189</w:t>
      </w:r>
      <w:r w:rsidR="00CE2304" w:rsidRPr="00F11975">
        <w:rPr>
          <w:rFonts w:ascii="Palatino Linotype" w:eastAsia="MS Mincho" w:hAnsi="Palatino Linotype" w:cs="Times New Roman"/>
          <w:color w:val="000000"/>
        </w:rPr>
        <w:t>,</w:t>
      </w:r>
      <w:r w:rsidR="00CA0640" w:rsidRPr="00F11975">
        <w:rPr>
          <w:rFonts w:ascii="Palatino Linotype" w:eastAsia="MS Mincho" w:hAnsi="Palatino Linotype" w:cs="Times New Roman"/>
          <w:color w:val="000000"/>
        </w:rPr>
        <w:t xml:space="preserve"> párrafo segundo</w:t>
      </w:r>
      <w:r w:rsidR="00CE2304" w:rsidRPr="00F11975">
        <w:rPr>
          <w:rFonts w:ascii="Palatino Linotype" w:eastAsia="MS Mincho" w:hAnsi="Palatino Linotype" w:cs="Times New Roman"/>
          <w:color w:val="000000"/>
        </w:rPr>
        <w:t>,</w:t>
      </w:r>
      <w:r w:rsidR="00CA0640" w:rsidRPr="00F11975">
        <w:rPr>
          <w:rFonts w:ascii="Palatino Linotype" w:eastAsia="MS Mincho" w:hAnsi="Palatino Linotype" w:cs="Times New Roman"/>
          <w:color w:val="000000"/>
        </w:rPr>
        <w:t xml:space="preserve"> y 199 de la Ley de Transparencia y Acceso a la Información Pública del Estado de México y </w:t>
      </w:r>
      <w:r w:rsidR="00CA0640" w:rsidRPr="00F11975">
        <w:rPr>
          <w:rFonts w:ascii="Palatino Linotype" w:eastAsia="MS Mincho" w:hAnsi="Palatino Linotype" w:cs="Times New Roman"/>
          <w:color w:val="000000"/>
        </w:rPr>
        <w:lastRenderedPageBreak/>
        <w:t>Municipios, dé cumplimiento a lo ordenado dentro del plazo de diez</w:t>
      </w:r>
      <w:r w:rsidR="00CE2304" w:rsidRPr="00F11975">
        <w:rPr>
          <w:rFonts w:ascii="Palatino Linotype" w:eastAsia="MS Mincho" w:hAnsi="Palatino Linotype" w:cs="Times New Roman"/>
          <w:color w:val="000000"/>
        </w:rPr>
        <w:t xml:space="preserve"> (10)</w:t>
      </w:r>
      <w:r w:rsidR="00CA0640" w:rsidRPr="00F11975">
        <w:rPr>
          <w:rFonts w:ascii="Palatino Linotype" w:eastAsia="MS Mincho" w:hAnsi="Palatino Linotype" w:cs="Times New Roman"/>
          <w:color w:val="000000"/>
        </w:rPr>
        <w:t xml:space="preserve"> días hábiles, debiendo rendir a este Instituto el informe de cumplimiento de la resolución en un plazo de tres</w:t>
      </w:r>
      <w:r w:rsidR="00CE2304" w:rsidRPr="00F11975">
        <w:rPr>
          <w:rFonts w:ascii="Palatino Linotype" w:eastAsia="MS Mincho" w:hAnsi="Palatino Linotype" w:cs="Times New Roman"/>
          <w:color w:val="000000"/>
        </w:rPr>
        <w:t xml:space="preserve"> (03)</w:t>
      </w:r>
      <w:r w:rsidR="00CA0640" w:rsidRPr="00F11975">
        <w:rPr>
          <w:rFonts w:ascii="Palatino Linotype" w:eastAsia="MS Mincho" w:hAnsi="Palatino Linotype" w:cs="Times New Roman"/>
          <w:color w:val="000000"/>
        </w:rPr>
        <w:t xml:space="preserve"> días hábiles posteriores.</w:t>
      </w:r>
    </w:p>
    <w:p w14:paraId="1A751802" w14:textId="77777777" w:rsidR="00CA0640" w:rsidRPr="00F11975" w:rsidRDefault="00CA0640" w:rsidP="00CA0640">
      <w:pPr>
        <w:spacing w:line="360" w:lineRule="auto"/>
        <w:jc w:val="both"/>
        <w:rPr>
          <w:rFonts w:ascii="Palatino Linotype" w:eastAsia="MS Mincho" w:hAnsi="Palatino Linotype" w:cs="Times New Roman"/>
          <w:color w:val="000000"/>
        </w:rPr>
      </w:pPr>
    </w:p>
    <w:p w14:paraId="667576E1" w14:textId="36DAE8D8" w:rsidR="00CA0640" w:rsidRPr="00F11975" w:rsidRDefault="00353D24" w:rsidP="00CA0640">
      <w:pPr>
        <w:spacing w:line="360" w:lineRule="auto"/>
        <w:jc w:val="both"/>
        <w:rPr>
          <w:rFonts w:ascii="Palatino Linotype" w:eastAsia="MS Mincho" w:hAnsi="Palatino Linotype" w:cs="Times New Roman"/>
          <w:color w:val="000000"/>
        </w:rPr>
      </w:pPr>
      <w:r w:rsidRPr="00F11975">
        <w:rPr>
          <w:rFonts w:ascii="Palatino Linotype" w:eastAsia="MS Mincho" w:hAnsi="Palatino Linotype" w:cs="Times New Roman"/>
          <w:b/>
          <w:color w:val="000000"/>
          <w:sz w:val="28"/>
          <w:szCs w:val="28"/>
        </w:rPr>
        <w:t>QUINTO</w:t>
      </w:r>
      <w:r w:rsidR="00CA0640" w:rsidRPr="00F11975">
        <w:rPr>
          <w:rFonts w:ascii="Palatino Linotype" w:eastAsia="MS Mincho" w:hAnsi="Palatino Linotype" w:cs="Times New Roman"/>
          <w:b/>
          <w:color w:val="000000"/>
        </w:rPr>
        <w:t xml:space="preserve">. </w:t>
      </w:r>
      <w:r w:rsidR="00CA0640" w:rsidRPr="00F11975">
        <w:rPr>
          <w:rFonts w:ascii="Palatino Linotype" w:eastAsia="MS Mincho" w:hAnsi="Palatino Linotype" w:cs="Times New Roman"/>
          <w:color w:val="000000"/>
        </w:rPr>
        <w:t xml:space="preserve">Notifíquese al </w:t>
      </w:r>
      <w:r w:rsidR="00CA0640" w:rsidRPr="00F11975">
        <w:rPr>
          <w:rFonts w:ascii="Palatino Linotype" w:eastAsia="MS Mincho" w:hAnsi="Palatino Linotype" w:cs="Times New Roman"/>
          <w:b/>
          <w:bCs/>
          <w:color w:val="000000"/>
        </w:rPr>
        <w:t>RECURRENTE</w:t>
      </w:r>
      <w:r w:rsidR="00CA0640" w:rsidRPr="00F11975">
        <w:rPr>
          <w:rFonts w:ascii="Palatino Linotype" w:eastAsia="MS Mincho" w:hAnsi="Palatino Linotype" w:cs="Times New Roman"/>
          <w:color w:val="000000"/>
        </w:rPr>
        <w:t xml:space="preserve"> la presente resolución</w:t>
      </w:r>
      <w:r w:rsidR="00CE2304" w:rsidRPr="00F11975">
        <w:rPr>
          <w:rFonts w:ascii="Palatino Linotype" w:eastAsia="MS Mincho" w:hAnsi="Palatino Linotype" w:cs="Times New Roman"/>
          <w:color w:val="000000"/>
        </w:rPr>
        <w:t>, vía Sistema de Acceso a la Información Mexiquense (SAIMEX)</w:t>
      </w:r>
      <w:r w:rsidR="00657652" w:rsidRPr="00F11975">
        <w:rPr>
          <w:rFonts w:ascii="Palatino Linotype" w:eastAsia="MS Mincho" w:hAnsi="Palatino Linotype" w:cs="Times New Roman"/>
          <w:color w:val="000000"/>
        </w:rPr>
        <w:t xml:space="preserve"> y correo electrónico.</w:t>
      </w:r>
    </w:p>
    <w:p w14:paraId="435E92A5" w14:textId="77777777" w:rsidR="00CA0640" w:rsidRPr="00F11975" w:rsidRDefault="00CA0640" w:rsidP="00CA0640">
      <w:pPr>
        <w:spacing w:line="360" w:lineRule="auto"/>
        <w:jc w:val="both"/>
        <w:rPr>
          <w:rFonts w:ascii="Palatino Linotype" w:hAnsi="Palatino Linotype"/>
          <w:b/>
        </w:rPr>
      </w:pPr>
    </w:p>
    <w:p w14:paraId="1E2CA3C7" w14:textId="01CAA13A" w:rsidR="00CA0640" w:rsidRPr="00F11975" w:rsidRDefault="00353D24" w:rsidP="00CA0640">
      <w:pPr>
        <w:spacing w:line="360" w:lineRule="auto"/>
        <w:jc w:val="both"/>
        <w:rPr>
          <w:rFonts w:ascii="Palatino Linotype" w:eastAsia="MS Mincho" w:hAnsi="Palatino Linotype" w:cs="Times New Roman"/>
          <w:color w:val="000000"/>
          <w:lang w:val="es-ES"/>
        </w:rPr>
      </w:pPr>
      <w:r w:rsidRPr="00F11975">
        <w:rPr>
          <w:rFonts w:ascii="Palatino Linotype" w:eastAsia="MS Mincho" w:hAnsi="Palatino Linotype" w:cs="Times New Roman"/>
          <w:b/>
          <w:sz w:val="28"/>
          <w:szCs w:val="28"/>
        </w:rPr>
        <w:t>SEXTO</w:t>
      </w:r>
      <w:r w:rsidR="00CA0640" w:rsidRPr="00F11975">
        <w:rPr>
          <w:rFonts w:ascii="Palatino Linotype" w:eastAsia="MS Mincho" w:hAnsi="Palatino Linotype" w:cs="Times New Roman"/>
          <w:b/>
          <w:color w:val="000000"/>
        </w:rPr>
        <w:t xml:space="preserve">. </w:t>
      </w:r>
      <w:r w:rsidR="00CA0640" w:rsidRPr="00F11975">
        <w:rPr>
          <w:rFonts w:ascii="Palatino Linotype" w:eastAsia="MS Mincho" w:hAnsi="Palatino Linotype" w:cs="Times New Roman"/>
          <w:color w:val="000000"/>
        </w:rPr>
        <w:t xml:space="preserve">Se hace del conocimiento del </w:t>
      </w:r>
      <w:r w:rsidR="00CA0640" w:rsidRPr="00F11975">
        <w:rPr>
          <w:rFonts w:ascii="Palatino Linotype" w:eastAsia="MS Mincho" w:hAnsi="Palatino Linotype" w:cs="Times New Roman"/>
          <w:b/>
          <w:bCs/>
          <w:color w:val="000000"/>
        </w:rPr>
        <w:t>RECURRENTE</w:t>
      </w:r>
      <w:r w:rsidR="00CA0640" w:rsidRPr="00F11975">
        <w:rPr>
          <w:rFonts w:ascii="Palatino Linotype" w:hAnsi="Palatino Linotype"/>
          <w:b/>
        </w:rPr>
        <w:t xml:space="preserve"> </w:t>
      </w:r>
      <w:r w:rsidR="00CA0640" w:rsidRPr="00F11975">
        <w:rPr>
          <w:rFonts w:ascii="Palatino Linotype" w:eastAsia="MS Mincho" w:hAnsi="Palatino Linotype" w:cs="Times New Roman"/>
          <w:color w:val="000000"/>
        </w:rPr>
        <w:t xml:space="preserve">que, </w:t>
      </w:r>
      <w:bookmarkEnd w:id="37"/>
      <w:r w:rsidR="00CA0640" w:rsidRPr="00F11975">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CA0640" w:rsidRPr="00F11975">
        <w:rPr>
          <w:rFonts w:ascii="Palatino Linotype" w:eastAsia="MS Mincho" w:hAnsi="Palatino Linotype" w:cs="Times New Roman"/>
          <w:bCs/>
          <w:color w:val="000000"/>
          <w:lang w:val="es-ES"/>
        </w:rPr>
        <w:t xml:space="preserve">juicio de amparo </w:t>
      </w:r>
      <w:r w:rsidR="00CA0640" w:rsidRPr="00F11975">
        <w:rPr>
          <w:rFonts w:ascii="Palatino Linotype" w:eastAsia="MS Mincho" w:hAnsi="Palatino Linotype" w:cs="Times New Roman"/>
          <w:color w:val="000000"/>
          <w:lang w:val="es-ES"/>
        </w:rPr>
        <w:t>en los términos de las Leyes aplicables.</w:t>
      </w:r>
    </w:p>
    <w:p w14:paraId="4E3FFE65" w14:textId="77777777" w:rsidR="006A1D78" w:rsidRPr="00F11975" w:rsidRDefault="006A1D78" w:rsidP="00CA0640">
      <w:pPr>
        <w:spacing w:line="360" w:lineRule="auto"/>
        <w:jc w:val="both"/>
        <w:rPr>
          <w:rFonts w:ascii="Palatino Linotype" w:eastAsia="MS Mincho" w:hAnsi="Palatino Linotype" w:cs="Times New Roman"/>
          <w:color w:val="000000"/>
          <w:lang w:val="es-ES"/>
        </w:rPr>
      </w:pPr>
    </w:p>
    <w:p w14:paraId="5AB43F98" w14:textId="1A58EECA" w:rsidR="006A1D78" w:rsidRPr="00F11975" w:rsidRDefault="00353D24" w:rsidP="006A1D78">
      <w:pPr>
        <w:spacing w:line="360" w:lineRule="auto"/>
        <w:jc w:val="both"/>
        <w:rPr>
          <w:rFonts w:ascii="Palatino Linotype" w:eastAsia="MS Mincho" w:hAnsi="Palatino Linotype" w:cs="Times New Roman"/>
          <w:lang w:val="es-ES"/>
        </w:rPr>
      </w:pPr>
      <w:r w:rsidRPr="00F11975">
        <w:rPr>
          <w:rFonts w:ascii="Palatino Linotype" w:eastAsia="MS Mincho" w:hAnsi="Palatino Linotype" w:cs="Times New Roman"/>
          <w:b/>
          <w:color w:val="000000"/>
          <w:sz w:val="28"/>
          <w:lang w:val="es-ES"/>
        </w:rPr>
        <w:t>SÉPTIMO</w:t>
      </w:r>
      <w:r w:rsidR="006A1D78" w:rsidRPr="00F11975">
        <w:rPr>
          <w:rFonts w:ascii="Palatino Linotype" w:eastAsia="MS Mincho" w:hAnsi="Palatino Linotype" w:cs="Times New Roman"/>
          <w:b/>
          <w:color w:val="000000"/>
          <w:lang w:val="es-ES"/>
        </w:rPr>
        <w:t>.</w:t>
      </w:r>
      <w:r w:rsidR="006A1D78" w:rsidRPr="00F11975">
        <w:rPr>
          <w:rFonts w:ascii="Palatino Linotype" w:eastAsia="MS Mincho" w:hAnsi="Palatino Linotype" w:cs="Times New Roman"/>
          <w:color w:val="000000"/>
          <w:lang w:val="es-ES"/>
        </w:rPr>
        <w:t xml:space="preserve"> </w:t>
      </w:r>
      <w:r w:rsidR="005F4202" w:rsidRPr="00F11975">
        <w:rPr>
          <w:rFonts w:ascii="Palatino Linotype" w:eastAsia="MS Mincho" w:hAnsi="Palatino Linotype"/>
          <w:color w:val="000000"/>
        </w:rPr>
        <w:t xml:space="preserve">Se </w:t>
      </w:r>
      <w:r w:rsidR="005F4202" w:rsidRPr="00F11975">
        <w:rPr>
          <w:rFonts w:ascii="Palatino Linotype" w:eastAsia="MS Mincho" w:hAnsi="Palatino Linotype"/>
          <w:color w:val="000000" w:themeColor="text1"/>
        </w:rPr>
        <w:t xml:space="preserve">hace </w:t>
      </w:r>
      <w:r w:rsidR="00657652" w:rsidRPr="00F11975">
        <w:rPr>
          <w:rFonts w:ascii="Palatino Linotype" w:eastAsia="MS Mincho" w:hAnsi="Palatino Linotype" w:cs="Times New Roman"/>
          <w:color w:val="000000" w:themeColor="text1"/>
        </w:rPr>
        <w:t>del conocimiento del</w:t>
      </w:r>
      <w:r w:rsidR="00657652" w:rsidRPr="00F11975">
        <w:rPr>
          <w:rFonts w:ascii="Palatino Linotype" w:eastAsia="MS Mincho" w:hAnsi="Palatino Linotype" w:cs="Times New Roman"/>
          <w:b/>
          <w:color w:val="000000" w:themeColor="text1"/>
        </w:rPr>
        <w:t xml:space="preserve"> RECURRENTE </w:t>
      </w:r>
      <w:r w:rsidR="00657652" w:rsidRPr="00F11975">
        <w:rPr>
          <w:rFonts w:ascii="Palatino Linotype" w:eastAsia="MS Mincho" w:hAnsi="Palatino Linotype" w:cs="Times New Roman"/>
          <w:color w:val="000000" w:themeColor="text1"/>
        </w:rPr>
        <w:t xml:space="preserve">que, </w:t>
      </w:r>
      <w:r w:rsidR="00657652" w:rsidRPr="00F11975">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657652" w:rsidRPr="00F11975">
        <w:rPr>
          <w:rFonts w:ascii="Palatino Linotype" w:eastAsia="MS Mincho" w:hAnsi="Palatino Linotype" w:cs="Times New Roman"/>
          <w:bCs/>
          <w:color w:val="000000"/>
          <w:lang w:val="es-ES"/>
        </w:rPr>
        <w:t xml:space="preserve">juicio de amparo </w:t>
      </w:r>
      <w:r w:rsidR="00657652" w:rsidRPr="00F11975">
        <w:rPr>
          <w:rFonts w:ascii="Palatino Linotype" w:eastAsia="MS Mincho" w:hAnsi="Palatino Linotype" w:cs="Times New Roman"/>
          <w:color w:val="000000"/>
          <w:lang w:val="es-ES"/>
        </w:rPr>
        <w:t>en los términos de las Leyes aplicables.</w:t>
      </w:r>
    </w:p>
    <w:p w14:paraId="080F496D" w14:textId="77777777" w:rsidR="006A1D78" w:rsidRPr="00F11975" w:rsidRDefault="006A1D78" w:rsidP="00CA0640">
      <w:pPr>
        <w:spacing w:line="360" w:lineRule="auto"/>
        <w:jc w:val="both"/>
        <w:rPr>
          <w:rFonts w:ascii="Palatino Linotype" w:eastAsia="MS Mincho" w:hAnsi="Palatino Linotype" w:cs="Times New Roman"/>
          <w:color w:val="000000"/>
          <w:lang w:val="es-ES"/>
        </w:rPr>
      </w:pPr>
    </w:p>
    <w:p w14:paraId="4D88784E" w14:textId="315F716A" w:rsidR="006A1D78" w:rsidRPr="00F11975" w:rsidRDefault="00353D24" w:rsidP="006A1D78">
      <w:pPr>
        <w:spacing w:line="360" w:lineRule="auto"/>
        <w:jc w:val="both"/>
        <w:rPr>
          <w:rFonts w:ascii="Palatino Linotype" w:eastAsia="MS Mincho" w:hAnsi="Palatino Linotype" w:cs="Times New Roman"/>
          <w:b/>
        </w:rPr>
      </w:pPr>
      <w:r w:rsidRPr="00F11975">
        <w:rPr>
          <w:rFonts w:ascii="Palatino Linotype" w:eastAsia="MS Mincho" w:hAnsi="Palatino Linotype" w:cs="Times New Roman"/>
          <w:b/>
          <w:sz w:val="28"/>
          <w:lang w:val="es-ES"/>
        </w:rPr>
        <w:t>OCTAVO</w:t>
      </w:r>
      <w:r w:rsidR="006A1D78" w:rsidRPr="00F11975">
        <w:rPr>
          <w:rFonts w:ascii="Palatino Linotype" w:eastAsia="MS Mincho" w:hAnsi="Palatino Linotype" w:cs="Times New Roman"/>
          <w:b/>
          <w:lang w:val="es-ES"/>
        </w:rPr>
        <w:t xml:space="preserve">. </w:t>
      </w:r>
      <w:r w:rsidR="006A1D78" w:rsidRPr="00F11975">
        <w:rPr>
          <w:rFonts w:ascii="Palatino Linotype" w:eastAsia="MS Mincho" w:hAnsi="Palatino Linotype" w:cs="Times New Roman"/>
        </w:rPr>
        <w:t xml:space="preserve">Gírese oficio al Titular de la Contraloría Interna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6A1D78" w:rsidRPr="00F11975">
        <w:rPr>
          <w:rFonts w:ascii="Palatino Linotype" w:eastAsia="MS Mincho" w:hAnsi="Palatino Linotype" w:cs="Times New Roman"/>
          <w:b/>
        </w:rPr>
        <w:t xml:space="preserve">Considerando </w:t>
      </w:r>
      <w:r w:rsidR="005F4202" w:rsidRPr="00F11975">
        <w:rPr>
          <w:rFonts w:ascii="Palatino Linotype" w:eastAsia="MS Mincho" w:hAnsi="Palatino Linotype" w:cs="Times New Roman"/>
          <w:b/>
        </w:rPr>
        <w:t>SÉPTIMO</w:t>
      </w:r>
      <w:r w:rsidR="006A1D78" w:rsidRPr="00F11975">
        <w:rPr>
          <w:rFonts w:ascii="Palatino Linotype" w:eastAsia="MS Mincho" w:hAnsi="Palatino Linotype" w:cs="Times New Roman"/>
          <w:b/>
        </w:rPr>
        <w:t>.</w:t>
      </w:r>
    </w:p>
    <w:p w14:paraId="2502421C" w14:textId="62AEFF57" w:rsidR="00BD7F3D" w:rsidRPr="00F11975" w:rsidRDefault="00BD7F3D" w:rsidP="00CA0640">
      <w:pPr>
        <w:spacing w:line="360" w:lineRule="auto"/>
        <w:jc w:val="both"/>
        <w:rPr>
          <w:rFonts w:ascii="Palatino Linotype" w:eastAsia="MS Mincho" w:hAnsi="Palatino Linotype" w:cs="Times New Roman"/>
          <w:color w:val="000000"/>
          <w:lang w:val="es-ES"/>
        </w:rPr>
      </w:pPr>
    </w:p>
    <w:p w14:paraId="3A70F15B" w14:textId="3F19F656" w:rsidR="006A1D78" w:rsidRPr="00F11975" w:rsidRDefault="00353D24" w:rsidP="006A1D78">
      <w:pPr>
        <w:spacing w:line="360" w:lineRule="auto"/>
        <w:jc w:val="both"/>
        <w:rPr>
          <w:rFonts w:ascii="Palatino Linotype" w:eastAsia="MS Mincho" w:hAnsi="Palatino Linotype" w:cs="Times New Roman"/>
          <w:b/>
          <w:color w:val="000000"/>
          <w:lang w:val="es-ES"/>
        </w:rPr>
      </w:pPr>
      <w:r w:rsidRPr="00F11975">
        <w:rPr>
          <w:rFonts w:ascii="Palatino Linotype" w:eastAsia="MS Mincho" w:hAnsi="Palatino Linotype" w:cs="Times New Roman"/>
          <w:b/>
          <w:sz w:val="28"/>
        </w:rPr>
        <w:t>NOVENO</w:t>
      </w:r>
      <w:r w:rsidR="006A1D78" w:rsidRPr="00F11975">
        <w:rPr>
          <w:rFonts w:ascii="Palatino Linotype" w:eastAsia="MS Mincho" w:hAnsi="Palatino Linotype" w:cs="Times New Roman"/>
          <w:b/>
        </w:rPr>
        <w:t xml:space="preserve">. </w:t>
      </w:r>
      <w:r w:rsidR="006A1D78" w:rsidRPr="00F11975">
        <w:rPr>
          <w:rFonts w:ascii="Palatino Linotype" w:eastAsia="MS Mincho" w:hAnsi="Palatino Linotype" w:cs="Times New Roman"/>
          <w:bCs/>
        </w:rPr>
        <w:t xml:space="preserve">Con fundamento en el artículo 198 de la Ley de Transparencia y Acceso a la Información Pública del Estado de México y Municipios, se apercibe al </w:t>
      </w:r>
      <w:r w:rsidR="006A1D78" w:rsidRPr="00F11975">
        <w:rPr>
          <w:rFonts w:ascii="Palatino Linotype" w:eastAsia="MS Mincho" w:hAnsi="Palatino Linotype" w:cs="Times New Roman"/>
          <w:b/>
          <w:bCs/>
        </w:rPr>
        <w:t xml:space="preserve">SUJETO OBLIGADO </w:t>
      </w:r>
      <w:r w:rsidR="006A1D78" w:rsidRPr="00F11975">
        <w:rPr>
          <w:rFonts w:ascii="Palatino Linotype" w:eastAsia="MS Mincho" w:hAnsi="Palatino Linotype" w:cs="Times New Roman"/>
          <w:bCs/>
        </w:rPr>
        <w:t>de que, en caso de incumplimiento total o parcial de la presente resolución, se actuará de conformidad con lo dispuesto en los artículos 213, 214, 215, 216 y 217 de la Ley en cita.</w:t>
      </w:r>
    </w:p>
    <w:p w14:paraId="411F17DF" w14:textId="77777777" w:rsidR="00D06E4E" w:rsidRPr="00F11975" w:rsidRDefault="00D06E4E" w:rsidP="00CA0640">
      <w:pPr>
        <w:spacing w:line="360" w:lineRule="auto"/>
        <w:jc w:val="both"/>
        <w:rPr>
          <w:rFonts w:ascii="Palatino Linotype" w:eastAsia="MS Mincho" w:hAnsi="Palatino Linotype" w:cs="Times New Roman"/>
          <w:color w:val="000000"/>
          <w:lang w:val="es-ES"/>
        </w:rPr>
      </w:pPr>
    </w:p>
    <w:p w14:paraId="249B0676" w14:textId="744B828B" w:rsidR="00A8067E" w:rsidRDefault="00A8067E" w:rsidP="00A8067E">
      <w:pPr>
        <w:spacing w:before="240" w:after="240" w:line="360" w:lineRule="auto"/>
        <w:jc w:val="both"/>
        <w:rPr>
          <w:rFonts w:ascii="Palatino Linotype" w:hAnsi="Palatino Linotype"/>
        </w:rPr>
      </w:pPr>
      <w:r w:rsidRPr="00F1197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5F17F5" w:rsidRPr="00F11975">
        <w:rPr>
          <w:rFonts w:ascii="Palatino Linotype" w:hAnsi="Palatino Linotype"/>
        </w:rPr>
        <w:t xml:space="preserve"> EMITIENDO VOTO PARTICULAR CONCURRENTE</w:t>
      </w:r>
      <w:r w:rsidRPr="00F11975">
        <w:rPr>
          <w:rFonts w:ascii="Palatino Linotype" w:hAnsi="Palatino Linotype"/>
        </w:rPr>
        <w:t>; LUIS GUSTAVO PARRA NORIEGA</w:t>
      </w:r>
      <w:r w:rsidR="005F17F5" w:rsidRPr="00F11975">
        <w:rPr>
          <w:rFonts w:ascii="Palatino Linotype" w:hAnsi="Palatino Linotype"/>
        </w:rPr>
        <w:t xml:space="preserve"> EMITIENDO VOTO PARTICULAR CONCURRENTE</w:t>
      </w:r>
      <w:r w:rsidRPr="00F11975">
        <w:rPr>
          <w:rFonts w:ascii="Palatino Linotype" w:hAnsi="Palatino Linotype"/>
        </w:rPr>
        <w:t xml:space="preserve"> Y GUADALUPE RAMÍREZ PEÑA EN LA VIGÉSIMA NOVENA SESIÓN ORDINARIA CELEBRADA EL DIECISIETE (17) DE AGOSTO DE DOS MIL VEINTIDÓS, ANTE EL SECRETARIO TÉCNICO DEL PLENO ALEXIS TAPIA RAMÍREZ.</w:t>
      </w:r>
      <w:bookmarkStart w:id="39" w:name="_GoBack"/>
      <w:bookmarkEnd w:id="39"/>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976FB9">
      <w:headerReference w:type="default" r:id="rId23"/>
      <w:footerReference w:type="default" r:id="rId24"/>
      <w:headerReference w:type="first" r:id="rId25"/>
      <w:footerReference w:type="first" r:id="rId26"/>
      <w:pgSz w:w="12240" w:h="15840"/>
      <w:pgMar w:top="1574"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B0F19" w14:textId="77777777" w:rsidR="003E4675" w:rsidRDefault="003E4675" w:rsidP="00587366">
      <w:r>
        <w:separator/>
      </w:r>
    </w:p>
  </w:endnote>
  <w:endnote w:type="continuationSeparator" w:id="0">
    <w:p w14:paraId="4F948EAE" w14:textId="77777777" w:rsidR="003E4675" w:rsidRDefault="003E467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A4965" w:rsidRPr="00883450" w:rsidRDefault="005A496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11975">
              <w:rPr>
                <w:rFonts w:ascii="Palatino Linotype" w:hAnsi="Palatino Linotype"/>
                <w:b/>
                <w:bCs/>
                <w:noProof/>
                <w:sz w:val="22"/>
                <w:szCs w:val="20"/>
              </w:rPr>
              <w:t>77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11975">
              <w:rPr>
                <w:rFonts w:ascii="Palatino Linotype" w:hAnsi="Palatino Linotype"/>
                <w:b/>
                <w:bCs/>
                <w:noProof/>
                <w:sz w:val="22"/>
                <w:szCs w:val="20"/>
              </w:rPr>
              <w:t>78</w:t>
            </w:r>
            <w:r w:rsidRPr="00883450">
              <w:rPr>
                <w:rFonts w:ascii="Palatino Linotype" w:hAnsi="Palatino Linotype"/>
                <w:b/>
                <w:bCs/>
                <w:sz w:val="22"/>
                <w:szCs w:val="20"/>
              </w:rPr>
              <w:fldChar w:fldCharType="end"/>
            </w:r>
          </w:p>
        </w:sdtContent>
      </w:sdt>
    </w:sdtContent>
  </w:sdt>
  <w:p w14:paraId="6243EC1B" w14:textId="6DB5A8C5" w:rsidR="005A4965" w:rsidRDefault="005A49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5A4965" w:rsidRPr="00883450" w:rsidRDefault="005A496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11975" w:rsidRPr="00F1197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11975" w:rsidRPr="00F11975">
      <w:rPr>
        <w:rFonts w:ascii="Palatino Linotype" w:hAnsi="Palatino Linotype"/>
        <w:noProof/>
        <w:sz w:val="22"/>
        <w:szCs w:val="22"/>
        <w:lang w:val="es-ES"/>
      </w:rPr>
      <w:t>78</w:t>
    </w:r>
    <w:r w:rsidRPr="00883450">
      <w:rPr>
        <w:rFonts w:ascii="Palatino Linotype" w:hAnsi="Palatino Linotype"/>
        <w:sz w:val="22"/>
        <w:szCs w:val="22"/>
      </w:rPr>
      <w:fldChar w:fldCharType="end"/>
    </w:r>
  </w:p>
  <w:p w14:paraId="5F5C4865" w14:textId="5B4B7843" w:rsidR="005A4965" w:rsidRPr="00883450" w:rsidRDefault="005A496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F140C" w14:textId="77777777" w:rsidR="003E4675" w:rsidRDefault="003E4675" w:rsidP="00587366">
      <w:r>
        <w:separator/>
      </w:r>
    </w:p>
  </w:footnote>
  <w:footnote w:type="continuationSeparator" w:id="0">
    <w:p w14:paraId="503B1CFC" w14:textId="77777777" w:rsidR="003E4675" w:rsidRDefault="003E4675" w:rsidP="00587366">
      <w:r>
        <w:continuationSeparator/>
      </w:r>
    </w:p>
  </w:footnote>
  <w:footnote w:id="1">
    <w:p w14:paraId="6778B2F9" w14:textId="77777777" w:rsidR="005A4965" w:rsidRPr="00F75272" w:rsidRDefault="005A4965" w:rsidP="00F148CC">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461DEA6" w14:textId="77777777" w:rsidR="005A4965" w:rsidRPr="00C7183E" w:rsidRDefault="005A4965" w:rsidP="00CE7E8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7CCE20E5" w14:textId="77777777" w:rsidR="005A4965" w:rsidRDefault="005A4965" w:rsidP="00CE7E81">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0AD0F19F" w14:textId="77777777" w:rsidR="005A4965" w:rsidRDefault="005A4965" w:rsidP="00CE7E81">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765D2055" w14:textId="77777777" w:rsidR="005A4965" w:rsidRPr="009C43C2" w:rsidRDefault="005A4965" w:rsidP="001A461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DAE4361" w14:textId="77777777" w:rsidR="005A4965" w:rsidRPr="009C43C2" w:rsidRDefault="005A4965" w:rsidP="001A461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515BCCA9" w14:textId="77777777" w:rsidR="005A4965" w:rsidRPr="009C43C2" w:rsidRDefault="005A4965" w:rsidP="001A461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9C742F0" w14:textId="77777777" w:rsidR="005A4965" w:rsidRDefault="005A4965" w:rsidP="001A461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4573AD2D" w14:textId="77777777" w:rsidR="005A4965" w:rsidRDefault="005A4965" w:rsidP="00D4795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0">
    <w:p w14:paraId="4BC955CB" w14:textId="77777777" w:rsidR="005A4965" w:rsidRDefault="005A4965" w:rsidP="00D4795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1">
    <w:p w14:paraId="3BA7A8D4" w14:textId="77777777" w:rsidR="005A4965" w:rsidRDefault="005A4965" w:rsidP="00D4795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2A04B3BE" w14:textId="77777777" w:rsidR="005A4965" w:rsidRDefault="005A4965" w:rsidP="00D4795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11705AFD" w14:textId="77777777" w:rsidR="005A4965" w:rsidRDefault="005A4965" w:rsidP="00D4795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E5F6305" w14:textId="77777777" w:rsidR="005A4965" w:rsidRDefault="005A4965" w:rsidP="00D4795D">
      <w:pPr>
        <w:pBdr>
          <w:top w:val="nil"/>
          <w:left w:val="nil"/>
          <w:bottom w:val="nil"/>
          <w:right w:val="nil"/>
          <w:between w:val="nil"/>
        </w:pBdr>
        <w:rPr>
          <w:color w:val="000000"/>
          <w:sz w:val="20"/>
          <w:szCs w:val="20"/>
        </w:rPr>
      </w:pPr>
      <w:r>
        <w:rPr>
          <w:color w:val="000000"/>
          <w:sz w:val="20"/>
          <w:szCs w:val="20"/>
        </w:rPr>
        <w:t>(…)”</w:t>
      </w:r>
    </w:p>
  </w:footnote>
  <w:footnote w:id="12">
    <w:p w14:paraId="7F9577C8" w14:textId="66C1A7CE" w:rsidR="005A4965" w:rsidRDefault="005A4965">
      <w:pPr>
        <w:pStyle w:val="Textonotapie"/>
      </w:pPr>
      <w:r>
        <w:rPr>
          <w:rStyle w:val="Refdenotaalpie"/>
        </w:rPr>
        <w:footnoteRef/>
      </w:r>
      <w:r>
        <w:t xml:space="preserve"> Artículo 115, fracción II, Constitución Política de los Estados Unidos Mexicanos.</w:t>
      </w:r>
    </w:p>
  </w:footnote>
  <w:footnote w:id="13">
    <w:p w14:paraId="2647BCB4" w14:textId="320C24A4" w:rsidR="005A4965" w:rsidRDefault="005A4965">
      <w:pPr>
        <w:pStyle w:val="Textonotapie"/>
      </w:pPr>
      <w:r>
        <w:rPr>
          <w:rStyle w:val="Refdenotaalpie"/>
        </w:rPr>
        <w:footnoteRef/>
      </w:r>
      <w:r>
        <w:t xml:space="preserve"> Artículo 1, Ley General del Sistema Nacional de Seguridad Pública.</w:t>
      </w:r>
    </w:p>
  </w:footnote>
  <w:footnote w:id="14">
    <w:p w14:paraId="3D1122A8" w14:textId="77777777" w:rsidR="005A4965" w:rsidRDefault="005A4965" w:rsidP="002E4741">
      <w:pPr>
        <w:pStyle w:val="Textonotapie"/>
      </w:pPr>
      <w:r>
        <w:rPr>
          <w:rStyle w:val="Refdenotaalpie"/>
        </w:rPr>
        <w:footnoteRef/>
      </w:r>
      <w:r>
        <w:t xml:space="preserve"> Definición consultable en la página electrónica</w:t>
      </w:r>
      <w:r w:rsidRPr="00DE3D99">
        <w:rPr>
          <w:u w:val="single"/>
        </w:rPr>
        <w:t xml:space="preserve"> http://studylib.es/doc/5219284/redacci%C3%B3n-del-parte-de-novedades-y-el-parte-informativo</w:t>
      </w:r>
      <w:r>
        <w:t>.</w:t>
      </w:r>
    </w:p>
  </w:footnote>
  <w:footnote w:id="15">
    <w:p w14:paraId="56355CD8" w14:textId="69124805" w:rsidR="005A4965" w:rsidRPr="00DE3D99" w:rsidRDefault="005A4965" w:rsidP="002E4741">
      <w:pPr>
        <w:pStyle w:val="Textonotapie"/>
        <w:rPr>
          <w:u w:val="single"/>
        </w:rPr>
      </w:pPr>
      <w:r>
        <w:rPr>
          <w:rStyle w:val="Refdenotaalpie"/>
        </w:rPr>
        <w:footnoteRef/>
      </w:r>
      <w:r>
        <w:t xml:space="preserve"> 2010505. 1a. CCCLX/2015 (10a.). Primera Sala. Décima Época. Gaceta del Semanario Judicial de la Federación. Libro 24, Noviembre de 2015, Pág. 987.</w:t>
      </w:r>
    </w:p>
  </w:footnote>
  <w:footnote w:id="16">
    <w:p w14:paraId="0AF702E3" w14:textId="7F5BEE77" w:rsidR="00D1497E" w:rsidRDefault="00D1497E">
      <w:pPr>
        <w:pStyle w:val="Textonotapie"/>
      </w:pPr>
      <w:r>
        <w:rPr>
          <w:rStyle w:val="Refdenotaalpie"/>
        </w:rPr>
        <w:footnoteRef/>
      </w:r>
      <w:r>
        <w:t xml:space="preserve"> Artículo 86, Bando Municipal de Naucalpan de Juárez.</w:t>
      </w:r>
    </w:p>
  </w:footnote>
  <w:footnote w:id="17">
    <w:p w14:paraId="7867F0B0" w14:textId="25AD0B3D" w:rsidR="005A4965" w:rsidRDefault="005A4965">
      <w:pPr>
        <w:pStyle w:val="Textonotapie"/>
      </w:pPr>
      <w:r>
        <w:rPr>
          <w:rStyle w:val="Refdenotaalpie"/>
        </w:rPr>
        <w:footnoteRef/>
      </w:r>
      <w:r>
        <w:t xml:space="preserve"> Consultable en: </w:t>
      </w:r>
      <w:r w:rsidRPr="005F474D">
        <w:t>https://imco.org.mx/justiciapenal/blog/definicion/informe-de-investigacion-homologado/#:~:text=Documento%20que%20las%20polic%C3%ADas%20efect%C3%BAan,inventario%20de%20los%20objetos%20asegurados.</w:t>
      </w:r>
    </w:p>
  </w:footnote>
  <w:footnote w:id="18">
    <w:p w14:paraId="35BD7A1D" w14:textId="6C6AF636" w:rsidR="00F619CE" w:rsidRDefault="00F619CE">
      <w:pPr>
        <w:pStyle w:val="Textonotapie"/>
      </w:pPr>
      <w:r>
        <w:rPr>
          <w:rStyle w:val="Refdenotaalpie"/>
        </w:rPr>
        <w:footnoteRef/>
      </w:r>
      <w:r>
        <w:t xml:space="preserve"> Lineamiento Primero, Lineamientos para el Llenado, Entrega, Recepción, Registro, Resguardo y Consulta del Informe Policial Homologado.</w:t>
      </w:r>
    </w:p>
  </w:footnote>
  <w:footnote w:id="19">
    <w:p w14:paraId="3FB48824" w14:textId="4336C867" w:rsidR="00653267" w:rsidRDefault="00653267">
      <w:pPr>
        <w:pStyle w:val="Textonotapie"/>
      </w:pPr>
      <w:r>
        <w:rPr>
          <w:rStyle w:val="Refdenotaalpie"/>
        </w:rPr>
        <w:footnoteRef/>
      </w:r>
      <w:r>
        <w:t xml:space="preserve"> Lineamiento Primero, Lineamientos para el Llenado, Entrega, Recepción, Registro, Resguardo y Consulta del Informe Policial Homologado.</w:t>
      </w:r>
    </w:p>
  </w:footnote>
  <w:footnote w:id="20">
    <w:p w14:paraId="3EDE4F69" w14:textId="0068222A" w:rsidR="00371A50" w:rsidRDefault="00371A50">
      <w:pPr>
        <w:pStyle w:val="Textonotapie"/>
      </w:pPr>
      <w:r>
        <w:rPr>
          <w:rStyle w:val="Refdenotaalpie"/>
        </w:rPr>
        <w:footnoteRef/>
      </w:r>
      <w:r>
        <w:t xml:space="preserve"> Lineamiento Décimo Tercero, Lineamientos para el Llenado, Entrega, Recepción, Registro, Resguardo y Consulta del Informe Policial Homologado.</w:t>
      </w:r>
    </w:p>
  </w:footnote>
  <w:footnote w:id="21">
    <w:p w14:paraId="6A5AD287" w14:textId="6D719DEA" w:rsidR="00371A50" w:rsidRDefault="00371A50">
      <w:pPr>
        <w:pStyle w:val="Textonotapie"/>
      </w:pPr>
      <w:r>
        <w:rPr>
          <w:rStyle w:val="Refdenotaalpie"/>
        </w:rPr>
        <w:footnoteRef/>
      </w:r>
      <w:r>
        <w:t xml:space="preserve"> Lineamiento Décimo Cuarto, Ídem.</w:t>
      </w:r>
    </w:p>
  </w:footnote>
  <w:footnote w:id="22">
    <w:p w14:paraId="70872725" w14:textId="023409C9" w:rsidR="004D1903" w:rsidRDefault="004D1903">
      <w:pPr>
        <w:pStyle w:val="Textonotapie"/>
      </w:pPr>
      <w:r>
        <w:rPr>
          <w:rStyle w:val="Refdenotaalpie"/>
        </w:rPr>
        <w:footnoteRef/>
      </w:r>
      <w:r>
        <w:t xml:space="preserve"> Lineamiento Décimo Quinto, Lineamientos para el Llenado, Entrega, Recepción, Registro, Resguardo y Consulta del Informe Policial Homologado.</w:t>
      </w:r>
    </w:p>
  </w:footnote>
  <w:footnote w:id="23">
    <w:p w14:paraId="695A4E90" w14:textId="77777777" w:rsidR="00AB764F" w:rsidRPr="0090763E" w:rsidRDefault="00AB764F" w:rsidP="00AB764F">
      <w:pPr>
        <w:pStyle w:val="Textonotapie"/>
      </w:pPr>
      <w:r>
        <w:rPr>
          <w:rStyle w:val="Refdenotaalpie"/>
        </w:rPr>
        <w:footnoteRef/>
      </w:r>
      <w:r w:rsidRPr="00AB764F">
        <w:rPr>
          <w:lang w:val="en-US"/>
        </w:rPr>
        <w:t xml:space="preserve"> Open Knowledge Foundation, </w:t>
      </w:r>
      <w:r w:rsidRPr="00AB764F">
        <w:rPr>
          <w:i/>
          <w:iCs/>
          <w:lang w:val="en-US"/>
        </w:rPr>
        <w:t>¿Qué son los datos abiertos?</w:t>
      </w:r>
      <w:r w:rsidRPr="00AB764F">
        <w:rPr>
          <w:lang w:val="en-US"/>
        </w:rPr>
        <w:t xml:space="preserve"> Open Data Handbook. </w:t>
      </w:r>
      <w:r w:rsidRPr="0090763E">
        <w:t>Recuperado de: http://opendatahandbook.org/guide/es/what-is-open-data/</w:t>
      </w:r>
    </w:p>
  </w:footnote>
  <w:footnote w:id="24">
    <w:p w14:paraId="4884CA5F" w14:textId="77777777" w:rsidR="00AB764F" w:rsidRDefault="00AB764F" w:rsidP="00AB764F">
      <w:pPr>
        <w:pStyle w:val="Textonotapie"/>
        <w:jc w:val="both"/>
      </w:pPr>
      <w:r>
        <w:rPr>
          <w:rStyle w:val="Refdenotaalpie"/>
        </w:rPr>
        <w:footnoteRef/>
      </w:r>
      <w:r>
        <w:t xml:space="preserve"> Datos Abiertos. Comisión Intersecretarial para el Desarrollo del Gobierno Electrónico. Consultable en </w:t>
      </w:r>
      <w:r w:rsidRPr="00F412C7">
        <w:t>https://www.gob.mx/cidge/acciones-y-programas/datos-abiertos#:~:text=Los%20Datos%20Abiertos%20son%20informaci%C3%B3n,fin%20legal%20que%20se%20desee.</w:t>
      </w:r>
    </w:p>
  </w:footnote>
  <w:footnote w:id="25">
    <w:p w14:paraId="2954731C" w14:textId="77777777" w:rsidR="00AB764F" w:rsidRDefault="00AB764F" w:rsidP="00AB764F">
      <w:pPr>
        <w:pStyle w:val="Textonotapie"/>
      </w:pPr>
      <w:r>
        <w:rPr>
          <w:rStyle w:val="Refdenotaalpie"/>
        </w:rPr>
        <w:footnoteRef/>
      </w:r>
      <w:r>
        <w:t xml:space="preserve"> </w:t>
      </w:r>
      <w:r w:rsidRPr="00100574">
        <w:t>https://datos.cdmx.gob.mx/</w:t>
      </w:r>
    </w:p>
  </w:footnote>
  <w:footnote w:id="26">
    <w:p w14:paraId="61B50CD6" w14:textId="72E9B834" w:rsidR="004803C2" w:rsidRPr="004803C2" w:rsidRDefault="004803C2">
      <w:pPr>
        <w:pStyle w:val="Textonotapie"/>
      </w:pPr>
      <w:r>
        <w:rPr>
          <w:rStyle w:val="Refdenotaalpie"/>
        </w:rPr>
        <w:footnoteRef/>
      </w:r>
      <w:r>
        <w:t xml:space="preserve"> Definición de </w:t>
      </w:r>
      <w:r>
        <w:rPr>
          <w:i/>
          <w:iCs/>
        </w:rPr>
        <w:t>Litispendencia</w:t>
      </w:r>
      <w:r>
        <w:t xml:space="preserve">, Diccionario Legal en línea, consultable en </w:t>
      </w:r>
      <w:r w:rsidRPr="004803C2">
        <w:t>https://www.conceptosjuridicos.com/mx/litispendencia/</w:t>
      </w:r>
    </w:p>
  </w:footnote>
  <w:footnote w:id="27">
    <w:p w14:paraId="6D01FB4C" w14:textId="77777777" w:rsidR="00A24CE5" w:rsidRDefault="00A24CE5" w:rsidP="00A24CE5">
      <w:pPr>
        <w:pStyle w:val="Textonotapie"/>
      </w:pPr>
      <w:r>
        <w:rPr>
          <w:rStyle w:val="Refdenotaalpie"/>
        </w:rPr>
        <w:footnoteRef/>
      </w:r>
      <w:r>
        <w:t xml:space="preserve"> Jurisprudencia 203143, Segundo Tribunal Colegiado del Sexto Circuito, Novena Época.</w:t>
      </w:r>
    </w:p>
  </w:footnote>
  <w:footnote w:id="28">
    <w:p w14:paraId="4EEF3BA2" w14:textId="77777777" w:rsidR="005A4965" w:rsidRDefault="005A4965" w:rsidP="003B4587">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548"/>
    </w:tblGrid>
    <w:tr w:rsidR="005A4965" w:rsidRPr="00025127" w14:paraId="62793AF5" w14:textId="77777777" w:rsidTr="00DC0FDB">
      <w:trPr>
        <w:trHeight w:val="138"/>
        <w:jc w:val="right"/>
      </w:trPr>
      <w:tc>
        <w:tcPr>
          <w:tcW w:w="3402" w:type="dxa"/>
          <w:vAlign w:val="center"/>
        </w:tcPr>
        <w:p w14:paraId="4963E803" w14:textId="044769F3" w:rsidR="005A4965" w:rsidRPr="00025127" w:rsidRDefault="005A4965" w:rsidP="00DC0FDB">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48" w:type="dxa"/>
          <w:vAlign w:val="center"/>
        </w:tcPr>
        <w:p w14:paraId="18C897EE" w14:textId="2F621F89" w:rsidR="005A4965" w:rsidRPr="00025127" w:rsidRDefault="005A4965" w:rsidP="00DC0FDB">
          <w:pPr>
            <w:pStyle w:val="Encabezado"/>
            <w:jc w:val="both"/>
            <w:rPr>
              <w:rFonts w:ascii="Palatino Linotype" w:hAnsi="Palatino Linotype"/>
              <w:b/>
              <w:sz w:val="22"/>
              <w:szCs w:val="22"/>
            </w:rPr>
          </w:pPr>
          <w:r>
            <w:rPr>
              <w:rFonts w:ascii="Palatino Linotype" w:hAnsi="Palatino Linotype"/>
              <w:b/>
              <w:sz w:val="22"/>
              <w:szCs w:val="22"/>
            </w:rPr>
            <w:t>00001</w:t>
          </w:r>
          <w:r w:rsidRPr="00025127">
            <w:rPr>
              <w:rFonts w:ascii="Palatino Linotype" w:hAnsi="Palatino Linotype"/>
              <w:b/>
              <w:sz w:val="22"/>
              <w:szCs w:val="22"/>
            </w:rPr>
            <w:t>/INFOEM/IP/RR</w:t>
          </w:r>
          <w:r>
            <w:rPr>
              <w:rFonts w:ascii="Palatino Linotype" w:hAnsi="Palatino Linotype"/>
              <w:b/>
              <w:sz w:val="22"/>
              <w:szCs w:val="22"/>
            </w:rPr>
            <w:t>-E</w:t>
          </w:r>
          <w:r w:rsidRPr="00025127">
            <w:rPr>
              <w:rFonts w:ascii="Palatino Linotype" w:hAnsi="Palatino Linotype"/>
              <w:b/>
              <w:sz w:val="22"/>
              <w:szCs w:val="22"/>
            </w:rPr>
            <w:t>/</w:t>
          </w:r>
          <w:r>
            <w:rPr>
              <w:rFonts w:ascii="Palatino Linotype" w:hAnsi="Palatino Linotype"/>
              <w:b/>
              <w:sz w:val="22"/>
              <w:szCs w:val="22"/>
            </w:rPr>
            <w:t>2022 y acumulado</w:t>
          </w:r>
        </w:p>
      </w:tc>
    </w:tr>
    <w:tr w:rsidR="005A4965" w:rsidRPr="00025127" w14:paraId="7DE34DC2" w14:textId="77777777" w:rsidTr="00DC0FDB">
      <w:trPr>
        <w:trHeight w:val="233"/>
        <w:jc w:val="right"/>
      </w:trPr>
      <w:tc>
        <w:tcPr>
          <w:tcW w:w="3402" w:type="dxa"/>
          <w:vAlign w:val="center"/>
        </w:tcPr>
        <w:p w14:paraId="5FD7BD5E" w14:textId="77777777" w:rsidR="005A4965" w:rsidRPr="00025127" w:rsidRDefault="005A4965" w:rsidP="00DB7106">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48" w:type="dxa"/>
          <w:vAlign w:val="center"/>
        </w:tcPr>
        <w:p w14:paraId="72889C5B" w14:textId="02DE4729" w:rsidR="005A4965" w:rsidRPr="00025127" w:rsidRDefault="005A4965" w:rsidP="00DB7106">
          <w:pPr>
            <w:pStyle w:val="Encabezado"/>
            <w:rPr>
              <w:rFonts w:ascii="Palatino Linotype" w:hAnsi="Palatino Linotype"/>
              <w:b/>
              <w:sz w:val="22"/>
              <w:szCs w:val="22"/>
            </w:rPr>
          </w:pPr>
          <w:r>
            <w:rPr>
              <w:rFonts w:ascii="Palatino Linotype" w:hAnsi="Palatino Linotype"/>
              <w:b/>
              <w:bCs/>
              <w:color w:val="000000"/>
              <w:sz w:val="22"/>
              <w:szCs w:val="22"/>
            </w:rPr>
            <w:t>Ayuntamiento de Naucalpan de Juárez</w:t>
          </w:r>
        </w:p>
      </w:tc>
    </w:tr>
    <w:tr w:rsidR="005A4965" w:rsidRPr="00025127" w14:paraId="0616259E" w14:textId="77777777" w:rsidTr="00DC0FDB">
      <w:trPr>
        <w:trHeight w:val="321"/>
        <w:jc w:val="right"/>
      </w:trPr>
      <w:tc>
        <w:tcPr>
          <w:tcW w:w="3402" w:type="dxa"/>
          <w:vAlign w:val="center"/>
        </w:tcPr>
        <w:p w14:paraId="142B11AD" w14:textId="77777777" w:rsidR="005A4965" w:rsidRPr="00025127" w:rsidRDefault="005A4965" w:rsidP="00DC0FDB">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8" w:type="dxa"/>
          <w:vAlign w:val="center"/>
        </w:tcPr>
        <w:p w14:paraId="5351D99C" w14:textId="77777777" w:rsidR="005A4965" w:rsidRPr="00025127" w:rsidRDefault="005A4965" w:rsidP="00DC0FDB">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42B84681" w:rsidR="005A4965" w:rsidRDefault="005A4965" w:rsidP="00472C41">
    <w:pPr>
      <w:pStyle w:val="Encabezado"/>
    </w:pPr>
    <w:r>
      <w:rPr>
        <w:noProof/>
        <w:lang w:val="es-MX" w:eastAsia="es-MX"/>
      </w:rPr>
      <w:drawing>
        <wp:anchor distT="0" distB="0" distL="114300" distR="114300" simplePos="0" relativeHeight="251657216" behindDoc="1" locked="0" layoutInCell="0" allowOverlap="1" wp14:anchorId="1A29E15A" wp14:editId="528C3F8C">
          <wp:simplePos x="0" y="0"/>
          <wp:positionH relativeFrom="page">
            <wp:posOffset>57150</wp:posOffset>
          </wp:positionH>
          <wp:positionV relativeFrom="page">
            <wp:posOffset>-1600</wp:posOffset>
          </wp:positionV>
          <wp:extent cx="7694930" cy="10020300"/>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6"/>
    </w:tblGrid>
    <w:tr w:rsidR="005A4965" w:rsidRPr="00025127" w14:paraId="0A3256F2" w14:textId="77777777" w:rsidTr="00DC0FDB">
      <w:trPr>
        <w:trHeight w:val="138"/>
        <w:jc w:val="right"/>
      </w:trPr>
      <w:tc>
        <w:tcPr>
          <w:tcW w:w="3686" w:type="dxa"/>
          <w:vAlign w:val="center"/>
        </w:tcPr>
        <w:p w14:paraId="3D80769D" w14:textId="72823203" w:rsidR="005A4965" w:rsidRPr="00025127" w:rsidRDefault="005A4965"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686" w:type="dxa"/>
          <w:vAlign w:val="center"/>
        </w:tcPr>
        <w:p w14:paraId="0453495E" w14:textId="26099D6E" w:rsidR="005A4965" w:rsidRPr="00025127" w:rsidRDefault="005A4965" w:rsidP="005F1362">
          <w:pPr>
            <w:pStyle w:val="Encabezado"/>
            <w:rPr>
              <w:rFonts w:ascii="Palatino Linotype" w:hAnsi="Palatino Linotype"/>
              <w:b/>
              <w:sz w:val="22"/>
              <w:szCs w:val="22"/>
            </w:rPr>
          </w:pPr>
          <w:r>
            <w:rPr>
              <w:rFonts w:ascii="Palatino Linotype" w:hAnsi="Palatino Linotype"/>
              <w:b/>
              <w:sz w:val="22"/>
              <w:szCs w:val="22"/>
            </w:rPr>
            <w:t>00001</w:t>
          </w:r>
          <w:r w:rsidRPr="00025127">
            <w:rPr>
              <w:rFonts w:ascii="Palatino Linotype" w:hAnsi="Palatino Linotype"/>
              <w:b/>
              <w:sz w:val="22"/>
              <w:szCs w:val="22"/>
            </w:rPr>
            <w:t>/INFOEM/IP/RR</w:t>
          </w:r>
          <w:r>
            <w:rPr>
              <w:rFonts w:ascii="Palatino Linotype" w:hAnsi="Palatino Linotype"/>
              <w:b/>
              <w:sz w:val="22"/>
              <w:szCs w:val="22"/>
            </w:rPr>
            <w:t>-E</w:t>
          </w:r>
          <w:r w:rsidRPr="00025127">
            <w:rPr>
              <w:rFonts w:ascii="Palatino Linotype" w:hAnsi="Palatino Linotype"/>
              <w:b/>
              <w:sz w:val="22"/>
              <w:szCs w:val="22"/>
            </w:rPr>
            <w:t>/</w:t>
          </w:r>
          <w:r>
            <w:rPr>
              <w:rFonts w:ascii="Palatino Linotype" w:hAnsi="Palatino Linotype"/>
              <w:b/>
              <w:sz w:val="22"/>
              <w:szCs w:val="22"/>
            </w:rPr>
            <w:t>2022 y acumulado</w:t>
          </w:r>
        </w:p>
      </w:tc>
    </w:tr>
    <w:tr w:rsidR="005A4965" w:rsidRPr="00025127" w14:paraId="128C8B3C" w14:textId="77777777" w:rsidTr="00DC0FDB">
      <w:trPr>
        <w:trHeight w:val="233"/>
        <w:jc w:val="right"/>
      </w:trPr>
      <w:tc>
        <w:tcPr>
          <w:tcW w:w="3686" w:type="dxa"/>
          <w:vAlign w:val="center"/>
        </w:tcPr>
        <w:p w14:paraId="483E3371" w14:textId="66B1BC74" w:rsidR="005A4965" w:rsidRPr="00025127" w:rsidRDefault="005A4965"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686" w:type="dxa"/>
        </w:tcPr>
        <w:p w14:paraId="1548525E" w14:textId="195A76CB" w:rsidR="005A4965" w:rsidRPr="00025127" w:rsidRDefault="00F11975" w:rsidP="0058757A">
          <w:pPr>
            <w:pStyle w:val="Encabezado"/>
            <w:rPr>
              <w:rFonts w:ascii="Palatino Linotype" w:hAnsi="Palatino Linotype"/>
              <w:b/>
              <w:sz w:val="22"/>
              <w:szCs w:val="22"/>
            </w:rPr>
          </w:pPr>
          <w:r>
            <w:rPr>
              <w:rFonts w:ascii="Palatino Linotype" w:hAnsi="Palatino Linotype"/>
              <w:b/>
              <w:sz w:val="22"/>
              <w:szCs w:val="22"/>
            </w:rPr>
            <w:t>XXXXX XXXX XXXX</w:t>
          </w:r>
        </w:p>
      </w:tc>
    </w:tr>
    <w:tr w:rsidR="005A4965" w:rsidRPr="00025127" w14:paraId="41BE0704" w14:textId="77777777" w:rsidTr="00DC0FDB">
      <w:trPr>
        <w:trHeight w:val="321"/>
        <w:jc w:val="right"/>
      </w:trPr>
      <w:tc>
        <w:tcPr>
          <w:tcW w:w="3686" w:type="dxa"/>
          <w:vAlign w:val="center"/>
        </w:tcPr>
        <w:p w14:paraId="34C64148" w14:textId="10C6C8A9" w:rsidR="005A4965" w:rsidRPr="00025127" w:rsidRDefault="005A4965"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686" w:type="dxa"/>
          <w:vAlign w:val="center"/>
        </w:tcPr>
        <w:p w14:paraId="34C341BF" w14:textId="4B3232DA" w:rsidR="005A4965" w:rsidRPr="00025127" w:rsidRDefault="005A4965" w:rsidP="00DB7106">
          <w:pPr>
            <w:pStyle w:val="Encabezado"/>
            <w:rPr>
              <w:rFonts w:ascii="Palatino Linotype" w:hAnsi="Palatino Linotype"/>
              <w:b/>
              <w:sz w:val="22"/>
              <w:szCs w:val="22"/>
            </w:rPr>
          </w:pPr>
          <w:r>
            <w:rPr>
              <w:rFonts w:ascii="Palatino Linotype" w:hAnsi="Palatino Linotype"/>
              <w:b/>
              <w:bCs/>
              <w:color w:val="000000"/>
              <w:sz w:val="22"/>
              <w:szCs w:val="22"/>
            </w:rPr>
            <w:t>Ayuntamiento de Naucalpan de Juárez</w:t>
          </w:r>
        </w:p>
      </w:tc>
    </w:tr>
    <w:tr w:rsidR="005A4965" w:rsidRPr="00025127" w14:paraId="0C8B6193" w14:textId="77777777" w:rsidTr="00DC0FDB">
      <w:trPr>
        <w:trHeight w:val="321"/>
        <w:jc w:val="right"/>
      </w:trPr>
      <w:tc>
        <w:tcPr>
          <w:tcW w:w="3686" w:type="dxa"/>
          <w:vAlign w:val="center"/>
        </w:tcPr>
        <w:p w14:paraId="321FFAFF" w14:textId="0E8C2CE7" w:rsidR="005A4965" w:rsidRPr="00025127" w:rsidRDefault="005A4965"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86" w:type="dxa"/>
          <w:vAlign w:val="center"/>
        </w:tcPr>
        <w:p w14:paraId="0FECDA9D" w14:textId="6D336FD0" w:rsidR="005A4965" w:rsidRPr="00025127" w:rsidRDefault="005A4965"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07C5962E" w:rsidR="005A4965" w:rsidRDefault="003E467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1.05pt;margin-top:-138.7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D41365"/>
    <w:multiLevelType w:val="hybridMultilevel"/>
    <w:tmpl w:val="A25AFABE"/>
    <w:lvl w:ilvl="0" w:tplc="FFFFFFFF">
      <w:start w:val="1"/>
      <w:numFmt w:val="decimal"/>
      <w:lvlText w:val="%1."/>
      <w:lvlJc w:val="left"/>
      <w:pPr>
        <w:ind w:left="0" w:firstLine="0"/>
      </w:pPr>
      <w:rPr>
        <w:rFonts w:ascii="Palatino Linotype" w:hAnsi="Palatino Linotype" w:hint="default"/>
        <w:b/>
        <w:i w:val="0"/>
        <w:sz w:val="24"/>
      </w:rPr>
    </w:lvl>
    <w:lvl w:ilvl="1" w:tplc="D1DEE398">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C304644"/>
    <w:multiLevelType w:val="hybridMultilevel"/>
    <w:tmpl w:val="6778FCD8"/>
    <w:lvl w:ilvl="0" w:tplc="FFFFFFFF">
      <w:start w:val="1"/>
      <w:numFmt w:val="decimal"/>
      <w:lvlText w:val="%1."/>
      <w:lvlJc w:val="left"/>
      <w:pPr>
        <w:ind w:left="0" w:firstLine="0"/>
      </w:pPr>
      <w:rPr>
        <w:rFonts w:ascii="Palatino Linotype" w:hAnsi="Palatino Linotype" w:hint="default"/>
        <w:b/>
        <w:i w:val="0"/>
        <w:sz w:val="24"/>
      </w:rPr>
    </w:lvl>
    <w:lvl w:ilvl="1" w:tplc="965A91C2">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7EE4BC1"/>
    <w:multiLevelType w:val="hybridMultilevel"/>
    <w:tmpl w:val="F03A6B5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31746F"/>
    <w:multiLevelType w:val="hybridMultilevel"/>
    <w:tmpl w:val="08D073E6"/>
    <w:lvl w:ilvl="0" w:tplc="FFFFFFFF">
      <w:start w:val="1"/>
      <w:numFmt w:val="decimal"/>
      <w:lvlText w:val="%1."/>
      <w:lvlJc w:val="left"/>
      <w:pPr>
        <w:ind w:left="0" w:firstLine="0"/>
      </w:pPr>
      <w:rPr>
        <w:rFonts w:ascii="Palatino Linotype" w:hAnsi="Palatino Linotype" w:hint="default"/>
        <w:b/>
        <w:i w:val="0"/>
        <w:sz w:val="24"/>
      </w:rPr>
    </w:lvl>
    <w:lvl w:ilvl="1" w:tplc="ABFC7980">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BF04DC8"/>
    <w:multiLevelType w:val="hybridMultilevel"/>
    <w:tmpl w:val="DCB23DCC"/>
    <w:lvl w:ilvl="0" w:tplc="FFFFFFFF">
      <w:start w:val="1"/>
      <w:numFmt w:val="decimal"/>
      <w:lvlText w:val="%1."/>
      <w:lvlJc w:val="left"/>
      <w:pPr>
        <w:ind w:left="0" w:firstLine="0"/>
      </w:pPr>
      <w:rPr>
        <w:rFonts w:ascii="Palatino Linotype" w:hAnsi="Palatino Linotype" w:hint="default"/>
        <w:b/>
        <w:i w:val="0"/>
        <w:sz w:val="24"/>
      </w:rPr>
    </w:lvl>
    <w:lvl w:ilvl="1" w:tplc="3C84FF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FE40587"/>
    <w:multiLevelType w:val="hybridMultilevel"/>
    <w:tmpl w:val="8828EDB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17">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1D048B"/>
    <w:multiLevelType w:val="hybridMultilevel"/>
    <w:tmpl w:val="3F4A486C"/>
    <w:lvl w:ilvl="0" w:tplc="FFFFFFFF">
      <w:start w:val="1"/>
      <w:numFmt w:val="decimal"/>
      <w:lvlText w:val="%1."/>
      <w:lvlJc w:val="left"/>
      <w:pPr>
        <w:ind w:left="0" w:firstLine="0"/>
      </w:pPr>
      <w:rPr>
        <w:rFonts w:ascii="Palatino Linotype" w:hAnsi="Palatino Linotype" w:hint="default"/>
        <w:b/>
        <w:i w:val="0"/>
        <w:sz w:val="24"/>
      </w:rPr>
    </w:lvl>
    <w:lvl w:ilvl="1" w:tplc="B108F130">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4317490"/>
    <w:multiLevelType w:val="hybridMultilevel"/>
    <w:tmpl w:val="9768D97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3F8D3A33"/>
    <w:multiLevelType w:val="hybridMultilevel"/>
    <w:tmpl w:val="CCA45654"/>
    <w:lvl w:ilvl="0" w:tplc="FFFFFFFF">
      <w:start w:val="1"/>
      <w:numFmt w:val="decimal"/>
      <w:lvlText w:val="%1."/>
      <w:lvlJc w:val="left"/>
      <w:pPr>
        <w:ind w:left="0" w:firstLine="0"/>
      </w:pPr>
      <w:rPr>
        <w:rFonts w:ascii="Palatino Linotype" w:hAnsi="Palatino Linotype" w:hint="default"/>
        <w:b/>
        <w:i w:val="0"/>
        <w:sz w:val="24"/>
      </w:rPr>
    </w:lvl>
    <w:lvl w:ilvl="1" w:tplc="52CCAE06">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70F5435"/>
    <w:multiLevelType w:val="hybridMultilevel"/>
    <w:tmpl w:val="35185D10"/>
    <w:lvl w:ilvl="0" w:tplc="FFFFFFFF">
      <w:start w:val="1"/>
      <w:numFmt w:val="decimal"/>
      <w:lvlText w:val="%1."/>
      <w:lvlJc w:val="left"/>
      <w:pPr>
        <w:ind w:left="0" w:firstLine="0"/>
      </w:pPr>
      <w:rPr>
        <w:rFonts w:ascii="Palatino Linotype" w:hAnsi="Palatino Linotype" w:hint="default"/>
        <w:b/>
        <w:i w:val="0"/>
        <w:sz w:val="24"/>
      </w:rPr>
    </w:lvl>
    <w:lvl w:ilvl="1" w:tplc="83B8A362">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E294A54"/>
    <w:multiLevelType w:val="hybridMultilevel"/>
    <w:tmpl w:val="654A2D58"/>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51B84D27"/>
    <w:multiLevelType w:val="hybridMultilevel"/>
    <w:tmpl w:val="A35C7A1C"/>
    <w:lvl w:ilvl="0" w:tplc="FFFFFFFF">
      <w:start w:val="1"/>
      <w:numFmt w:val="decimal"/>
      <w:lvlText w:val="%1."/>
      <w:lvlJc w:val="left"/>
      <w:pPr>
        <w:ind w:left="0" w:firstLine="0"/>
      </w:pPr>
      <w:rPr>
        <w:rFonts w:ascii="Palatino Linotype" w:hAnsi="Palatino Linotype" w:hint="default"/>
        <w:b/>
        <w:i w:val="0"/>
        <w:sz w:val="24"/>
      </w:rPr>
    </w:lvl>
    <w:lvl w:ilvl="1" w:tplc="F6DAB566">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3593636"/>
    <w:multiLevelType w:val="hybridMultilevel"/>
    <w:tmpl w:val="68C0FCA6"/>
    <w:lvl w:ilvl="0" w:tplc="FFFFFFFF">
      <w:start w:val="1"/>
      <w:numFmt w:val="decimal"/>
      <w:lvlText w:val="%1."/>
      <w:lvlJc w:val="left"/>
      <w:pPr>
        <w:ind w:left="0" w:firstLine="0"/>
      </w:pPr>
      <w:rPr>
        <w:rFonts w:ascii="Palatino Linotype" w:hAnsi="Palatino Linotype" w:hint="default"/>
        <w:b/>
        <w:i w:val="0"/>
        <w:sz w:val="24"/>
      </w:rPr>
    </w:lvl>
    <w:lvl w:ilvl="1" w:tplc="27A42E94">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7103856"/>
    <w:multiLevelType w:val="hybridMultilevel"/>
    <w:tmpl w:val="A0DA35A4"/>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1EDEB64A">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D6B2121"/>
    <w:multiLevelType w:val="hybridMultilevel"/>
    <w:tmpl w:val="72689612"/>
    <w:lvl w:ilvl="0" w:tplc="FFFFFFFF">
      <w:start w:val="1"/>
      <w:numFmt w:val="decimal"/>
      <w:lvlText w:val="%1."/>
      <w:lvlJc w:val="left"/>
      <w:pPr>
        <w:ind w:left="0" w:firstLine="0"/>
      </w:pPr>
      <w:rPr>
        <w:rFonts w:ascii="Palatino Linotype" w:hAnsi="Palatino Linotype" w:hint="default"/>
        <w:b/>
        <w:i w:val="0"/>
        <w:sz w:val="24"/>
      </w:rPr>
    </w:lvl>
    <w:lvl w:ilvl="1" w:tplc="D3004922">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DFD75F3"/>
    <w:multiLevelType w:val="hybridMultilevel"/>
    <w:tmpl w:val="CBA06E02"/>
    <w:lvl w:ilvl="0" w:tplc="FFFFFFFF">
      <w:start w:val="1"/>
      <w:numFmt w:val="decimal"/>
      <w:lvlText w:val="%1."/>
      <w:lvlJc w:val="left"/>
      <w:pPr>
        <w:ind w:left="0" w:firstLine="0"/>
      </w:pPr>
      <w:rPr>
        <w:rFonts w:ascii="Palatino Linotype" w:hAnsi="Palatino Linotype" w:hint="default"/>
        <w:b/>
        <w:i w:val="0"/>
        <w:sz w:val="24"/>
      </w:rPr>
    </w:lvl>
    <w:lvl w:ilvl="1" w:tplc="CA92B832">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3433EDE"/>
    <w:multiLevelType w:val="hybridMultilevel"/>
    <w:tmpl w:val="4170D9B6"/>
    <w:lvl w:ilvl="0" w:tplc="FFFFFFFF">
      <w:start w:val="1"/>
      <w:numFmt w:val="decimal"/>
      <w:lvlText w:val="%1."/>
      <w:lvlJc w:val="left"/>
      <w:pPr>
        <w:ind w:left="0" w:firstLine="0"/>
      </w:pPr>
      <w:rPr>
        <w:rFonts w:ascii="Palatino Linotype" w:hAnsi="Palatino Linotype" w:hint="default"/>
        <w:b/>
        <w:i w:val="0"/>
        <w:sz w:val="24"/>
      </w:rPr>
    </w:lvl>
    <w:lvl w:ilvl="1" w:tplc="D6B80CE0">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4B23D9E"/>
    <w:multiLevelType w:val="hybridMultilevel"/>
    <w:tmpl w:val="4FA8597A"/>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7326B0"/>
    <w:multiLevelType w:val="hybridMultilevel"/>
    <w:tmpl w:val="A6F8ECB8"/>
    <w:lvl w:ilvl="0" w:tplc="FFFFFFFF">
      <w:start w:val="1"/>
      <w:numFmt w:val="decimal"/>
      <w:lvlText w:val="%1."/>
      <w:lvlJc w:val="left"/>
      <w:pPr>
        <w:ind w:left="0" w:firstLine="0"/>
      </w:pPr>
      <w:rPr>
        <w:rFonts w:ascii="Palatino Linotype" w:hAnsi="Palatino Linotype" w:hint="default"/>
        <w:b/>
        <w:i w:val="0"/>
        <w:sz w:val="24"/>
      </w:rPr>
    </w:lvl>
    <w:lvl w:ilvl="1" w:tplc="F50A3934">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C694434"/>
    <w:multiLevelType w:val="hybridMultilevel"/>
    <w:tmpl w:val="B7247BA6"/>
    <w:lvl w:ilvl="0" w:tplc="FFFFFFFF">
      <w:start w:val="1"/>
      <w:numFmt w:val="decimal"/>
      <w:lvlText w:val="%1."/>
      <w:lvlJc w:val="left"/>
      <w:pPr>
        <w:ind w:left="0" w:firstLine="0"/>
      </w:pPr>
      <w:rPr>
        <w:rFonts w:ascii="Palatino Linotype" w:hAnsi="Palatino Linotype" w:hint="default"/>
        <w:b/>
        <w:i w:val="0"/>
        <w:sz w:val="24"/>
      </w:rPr>
    </w:lvl>
    <w:lvl w:ilvl="1" w:tplc="27C623E2">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EFB5BE7"/>
    <w:multiLevelType w:val="hybridMultilevel"/>
    <w:tmpl w:val="038A406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4A82977"/>
    <w:multiLevelType w:val="hybridMultilevel"/>
    <w:tmpl w:val="88989936"/>
    <w:lvl w:ilvl="0" w:tplc="FFFFFFFF">
      <w:start w:val="1"/>
      <w:numFmt w:val="decimal"/>
      <w:lvlText w:val="%1."/>
      <w:lvlJc w:val="left"/>
      <w:pPr>
        <w:ind w:left="0" w:firstLine="0"/>
      </w:pPr>
      <w:rPr>
        <w:rFonts w:ascii="Palatino Linotype" w:hAnsi="Palatino Linotype" w:hint="default"/>
        <w:b/>
        <w:i w:val="0"/>
        <w:sz w:val="24"/>
      </w:rPr>
    </w:lvl>
    <w:lvl w:ilvl="1" w:tplc="2A1CCC7C">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75BC0FED"/>
    <w:multiLevelType w:val="hybridMultilevel"/>
    <w:tmpl w:val="62EEA86E"/>
    <w:lvl w:ilvl="0" w:tplc="FFFFFFFF">
      <w:start w:val="1"/>
      <w:numFmt w:val="decimal"/>
      <w:lvlText w:val="%1."/>
      <w:lvlJc w:val="left"/>
      <w:pPr>
        <w:ind w:left="0" w:firstLine="0"/>
      </w:pPr>
      <w:rPr>
        <w:rFonts w:ascii="Palatino Linotype" w:hAnsi="Palatino Linotype" w:hint="default"/>
        <w:b/>
        <w:i w:val="0"/>
        <w:sz w:val="24"/>
      </w:rPr>
    </w:lvl>
    <w:lvl w:ilvl="1" w:tplc="27B226F0">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AB9608C"/>
    <w:multiLevelType w:val="hybridMultilevel"/>
    <w:tmpl w:val="D74E5F82"/>
    <w:lvl w:ilvl="0" w:tplc="FFFFFFFF">
      <w:start w:val="1"/>
      <w:numFmt w:val="decimal"/>
      <w:lvlText w:val="%1."/>
      <w:lvlJc w:val="left"/>
      <w:pPr>
        <w:ind w:left="0" w:firstLine="0"/>
      </w:pPr>
      <w:rPr>
        <w:rFonts w:ascii="Palatino Linotype" w:hAnsi="Palatino Linotype" w:hint="default"/>
        <w:b/>
        <w:i w:val="0"/>
        <w:sz w:val="24"/>
      </w:rPr>
    </w:lvl>
    <w:lvl w:ilvl="1" w:tplc="7BAAA5BE">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ED80A52"/>
    <w:multiLevelType w:val="hybridMultilevel"/>
    <w:tmpl w:val="D63C486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F8B61602">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4"/>
  </w:num>
  <w:num w:numId="3">
    <w:abstractNumId w:val="10"/>
  </w:num>
  <w:num w:numId="4">
    <w:abstractNumId w:val="0"/>
  </w:num>
  <w:num w:numId="5">
    <w:abstractNumId w:val="26"/>
  </w:num>
  <w:num w:numId="6">
    <w:abstractNumId w:val="12"/>
  </w:num>
  <w:num w:numId="7">
    <w:abstractNumId w:val="13"/>
  </w:num>
  <w:num w:numId="8">
    <w:abstractNumId w:val="21"/>
  </w:num>
  <w:num w:numId="9">
    <w:abstractNumId w:val="24"/>
  </w:num>
  <w:num w:numId="10">
    <w:abstractNumId w:val="20"/>
  </w:num>
  <w:num w:numId="11">
    <w:abstractNumId w:val="16"/>
  </w:num>
  <w:num w:numId="12">
    <w:abstractNumId w:val="18"/>
  </w:num>
  <w:num w:numId="13">
    <w:abstractNumId w:val="4"/>
  </w:num>
  <w:num w:numId="14">
    <w:abstractNumId w:val="27"/>
  </w:num>
  <w:num w:numId="15">
    <w:abstractNumId w:val="22"/>
  </w:num>
  <w:num w:numId="16">
    <w:abstractNumId w:val="19"/>
  </w:num>
  <w:num w:numId="17">
    <w:abstractNumId w:val="5"/>
  </w:num>
  <w:num w:numId="18">
    <w:abstractNumId w:val="2"/>
  </w:num>
  <w:num w:numId="19">
    <w:abstractNumId w:val="17"/>
  </w:num>
  <w:num w:numId="20">
    <w:abstractNumId w:val="15"/>
  </w:num>
  <w:num w:numId="21">
    <w:abstractNumId w:val="28"/>
  </w:num>
  <w:num w:numId="22">
    <w:abstractNumId w:val="3"/>
  </w:num>
  <w:num w:numId="23">
    <w:abstractNumId w:val="7"/>
  </w:num>
  <w:num w:numId="24">
    <w:abstractNumId w:val="8"/>
  </w:num>
  <w:num w:numId="25">
    <w:abstractNumId w:val="1"/>
  </w:num>
  <w:num w:numId="26">
    <w:abstractNumId w:val="25"/>
  </w:num>
  <w:num w:numId="27">
    <w:abstractNumId w:val="23"/>
  </w:num>
  <w:num w:numId="28">
    <w:abstractNumId w:val="6"/>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0C62"/>
    <w:rsid w:val="0001106B"/>
    <w:rsid w:val="00012472"/>
    <w:rsid w:val="0001398B"/>
    <w:rsid w:val="0001407B"/>
    <w:rsid w:val="000203D3"/>
    <w:rsid w:val="000204A6"/>
    <w:rsid w:val="000211F8"/>
    <w:rsid w:val="0002146F"/>
    <w:rsid w:val="00022034"/>
    <w:rsid w:val="00022D89"/>
    <w:rsid w:val="000236A3"/>
    <w:rsid w:val="00024F35"/>
    <w:rsid w:val="00025127"/>
    <w:rsid w:val="00025266"/>
    <w:rsid w:val="0003063D"/>
    <w:rsid w:val="00031D37"/>
    <w:rsid w:val="00031F10"/>
    <w:rsid w:val="00031F98"/>
    <w:rsid w:val="00032493"/>
    <w:rsid w:val="00035678"/>
    <w:rsid w:val="00035A99"/>
    <w:rsid w:val="0004072A"/>
    <w:rsid w:val="0004193F"/>
    <w:rsid w:val="00042380"/>
    <w:rsid w:val="00044DB9"/>
    <w:rsid w:val="0004686A"/>
    <w:rsid w:val="000468E2"/>
    <w:rsid w:val="00046CEE"/>
    <w:rsid w:val="000478BA"/>
    <w:rsid w:val="0005237C"/>
    <w:rsid w:val="00052A3C"/>
    <w:rsid w:val="00053E92"/>
    <w:rsid w:val="00054A03"/>
    <w:rsid w:val="00056A79"/>
    <w:rsid w:val="0005777B"/>
    <w:rsid w:val="00060F66"/>
    <w:rsid w:val="00061344"/>
    <w:rsid w:val="000622ED"/>
    <w:rsid w:val="0006247F"/>
    <w:rsid w:val="00062648"/>
    <w:rsid w:val="000631D9"/>
    <w:rsid w:val="0006381D"/>
    <w:rsid w:val="00063D06"/>
    <w:rsid w:val="0006407E"/>
    <w:rsid w:val="000643F4"/>
    <w:rsid w:val="00064577"/>
    <w:rsid w:val="00064A37"/>
    <w:rsid w:val="00064B95"/>
    <w:rsid w:val="0006702E"/>
    <w:rsid w:val="00067217"/>
    <w:rsid w:val="0007221E"/>
    <w:rsid w:val="00074573"/>
    <w:rsid w:val="000800AC"/>
    <w:rsid w:val="0008230A"/>
    <w:rsid w:val="00082D11"/>
    <w:rsid w:val="00082E28"/>
    <w:rsid w:val="000834FE"/>
    <w:rsid w:val="0008465D"/>
    <w:rsid w:val="0008481A"/>
    <w:rsid w:val="00084E31"/>
    <w:rsid w:val="0008542A"/>
    <w:rsid w:val="00090D6F"/>
    <w:rsid w:val="00093FC7"/>
    <w:rsid w:val="00094F2A"/>
    <w:rsid w:val="000953E2"/>
    <w:rsid w:val="00095BB9"/>
    <w:rsid w:val="000A1DE7"/>
    <w:rsid w:val="000A26B8"/>
    <w:rsid w:val="000A3F90"/>
    <w:rsid w:val="000A4554"/>
    <w:rsid w:val="000A45FD"/>
    <w:rsid w:val="000A4E44"/>
    <w:rsid w:val="000A556A"/>
    <w:rsid w:val="000A77ED"/>
    <w:rsid w:val="000B0370"/>
    <w:rsid w:val="000B5AB1"/>
    <w:rsid w:val="000B5D79"/>
    <w:rsid w:val="000B6D31"/>
    <w:rsid w:val="000B7C4F"/>
    <w:rsid w:val="000C0061"/>
    <w:rsid w:val="000C0663"/>
    <w:rsid w:val="000C0BBB"/>
    <w:rsid w:val="000C0E0F"/>
    <w:rsid w:val="000C10B9"/>
    <w:rsid w:val="000C1D19"/>
    <w:rsid w:val="000C2E5F"/>
    <w:rsid w:val="000C3423"/>
    <w:rsid w:val="000C3861"/>
    <w:rsid w:val="000C48CA"/>
    <w:rsid w:val="000C4A8E"/>
    <w:rsid w:val="000C4E18"/>
    <w:rsid w:val="000C5A04"/>
    <w:rsid w:val="000C5AF7"/>
    <w:rsid w:val="000D0855"/>
    <w:rsid w:val="000D11CC"/>
    <w:rsid w:val="000D1E0F"/>
    <w:rsid w:val="000D3275"/>
    <w:rsid w:val="000D4C21"/>
    <w:rsid w:val="000D5A1D"/>
    <w:rsid w:val="000D62FF"/>
    <w:rsid w:val="000D69DF"/>
    <w:rsid w:val="000D7369"/>
    <w:rsid w:val="000E07DC"/>
    <w:rsid w:val="000E1389"/>
    <w:rsid w:val="000E2665"/>
    <w:rsid w:val="000E2A46"/>
    <w:rsid w:val="000E5176"/>
    <w:rsid w:val="000E5233"/>
    <w:rsid w:val="000E67FC"/>
    <w:rsid w:val="000E77B8"/>
    <w:rsid w:val="000F088A"/>
    <w:rsid w:val="000F1731"/>
    <w:rsid w:val="000F1B9F"/>
    <w:rsid w:val="000F2739"/>
    <w:rsid w:val="000F2EDD"/>
    <w:rsid w:val="000F3457"/>
    <w:rsid w:val="000F37A8"/>
    <w:rsid w:val="000F6D7E"/>
    <w:rsid w:val="00100187"/>
    <w:rsid w:val="0010029F"/>
    <w:rsid w:val="00100DDD"/>
    <w:rsid w:val="00102A60"/>
    <w:rsid w:val="00102D65"/>
    <w:rsid w:val="00103662"/>
    <w:rsid w:val="00103888"/>
    <w:rsid w:val="00107499"/>
    <w:rsid w:val="00107557"/>
    <w:rsid w:val="001101D1"/>
    <w:rsid w:val="0011095C"/>
    <w:rsid w:val="00110BA3"/>
    <w:rsid w:val="0011167C"/>
    <w:rsid w:val="00111F02"/>
    <w:rsid w:val="0011279B"/>
    <w:rsid w:val="00112B02"/>
    <w:rsid w:val="001148DD"/>
    <w:rsid w:val="00114A21"/>
    <w:rsid w:val="00117441"/>
    <w:rsid w:val="0012006D"/>
    <w:rsid w:val="00121F4A"/>
    <w:rsid w:val="00122E4B"/>
    <w:rsid w:val="0012380D"/>
    <w:rsid w:val="00124015"/>
    <w:rsid w:val="001245B1"/>
    <w:rsid w:val="00124CF1"/>
    <w:rsid w:val="00125009"/>
    <w:rsid w:val="001250B4"/>
    <w:rsid w:val="001253D1"/>
    <w:rsid w:val="0012579F"/>
    <w:rsid w:val="00125B1B"/>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F19"/>
    <w:rsid w:val="001534BC"/>
    <w:rsid w:val="00153833"/>
    <w:rsid w:val="00153FA4"/>
    <w:rsid w:val="00154304"/>
    <w:rsid w:val="0015466E"/>
    <w:rsid w:val="00154765"/>
    <w:rsid w:val="001548CB"/>
    <w:rsid w:val="00154EF0"/>
    <w:rsid w:val="00156A23"/>
    <w:rsid w:val="001611E5"/>
    <w:rsid w:val="00161E95"/>
    <w:rsid w:val="00162516"/>
    <w:rsid w:val="00162F76"/>
    <w:rsid w:val="00163780"/>
    <w:rsid w:val="00163B1F"/>
    <w:rsid w:val="001648EE"/>
    <w:rsid w:val="00164B65"/>
    <w:rsid w:val="001656F2"/>
    <w:rsid w:val="0016620D"/>
    <w:rsid w:val="00166794"/>
    <w:rsid w:val="0017273C"/>
    <w:rsid w:val="001732E3"/>
    <w:rsid w:val="00174E02"/>
    <w:rsid w:val="0017653A"/>
    <w:rsid w:val="001775DF"/>
    <w:rsid w:val="001814EF"/>
    <w:rsid w:val="0018484F"/>
    <w:rsid w:val="00185460"/>
    <w:rsid w:val="001862A3"/>
    <w:rsid w:val="00192E4B"/>
    <w:rsid w:val="00194D62"/>
    <w:rsid w:val="00196407"/>
    <w:rsid w:val="00197091"/>
    <w:rsid w:val="001972CC"/>
    <w:rsid w:val="001A032D"/>
    <w:rsid w:val="001A138D"/>
    <w:rsid w:val="001A2857"/>
    <w:rsid w:val="001A2A89"/>
    <w:rsid w:val="001A3634"/>
    <w:rsid w:val="001A4610"/>
    <w:rsid w:val="001A4D5D"/>
    <w:rsid w:val="001A5150"/>
    <w:rsid w:val="001A58B9"/>
    <w:rsid w:val="001A61E1"/>
    <w:rsid w:val="001A6C1E"/>
    <w:rsid w:val="001B1CAB"/>
    <w:rsid w:val="001B30F9"/>
    <w:rsid w:val="001B3659"/>
    <w:rsid w:val="001B40F3"/>
    <w:rsid w:val="001B53A0"/>
    <w:rsid w:val="001B5F70"/>
    <w:rsid w:val="001B6845"/>
    <w:rsid w:val="001C0AED"/>
    <w:rsid w:val="001C13B1"/>
    <w:rsid w:val="001C1C2A"/>
    <w:rsid w:val="001C1CDE"/>
    <w:rsid w:val="001C263B"/>
    <w:rsid w:val="001C2713"/>
    <w:rsid w:val="001C2E8B"/>
    <w:rsid w:val="001C2EF3"/>
    <w:rsid w:val="001C34D6"/>
    <w:rsid w:val="001C54A9"/>
    <w:rsid w:val="001C6012"/>
    <w:rsid w:val="001C67B0"/>
    <w:rsid w:val="001C79FA"/>
    <w:rsid w:val="001D07C9"/>
    <w:rsid w:val="001D3AB5"/>
    <w:rsid w:val="001D7D8F"/>
    <w:rsid w:val="001D7DF0"/>
    <w:rsid w:val="001D7E82"/>
    <w:rsid w:val="001E018C"/>
    <w:rsid w:val="001E0AD2"/>
    <w:rsid w:val="001E2683"/>
    <w:rsid w:val="001E3F91"/>
    <w:rsid w:val="001E4152"/>
    <w:rsid w:val="001E489D"/>
    <w:rsid w:val="001E5C94"/>
    <w:rsid w:val="001E6822"/>
    <w:rsid w:val="001E74A5"/>
    <w:rsid w:val="001E7B9E"/>
    <w:rsid w:val="001F025B"/>
    <w:rsid w:val="001F22CA"/>
    <w:rsid w:val="001F2B8C"/>
    <w:rsid w:val="001F783F"/>
    <w:rsid w:val="001F7AFD"/>
    <w:rsid w:val="001F7DE2"/>
    <w:rsid w:val="002001BE"/>
    <w:rsid w:val="002031F3"/>
    <w:rsid w:val="00204C86"/>
    <w:rsid w:val="002058A7"/>
    <w:rsid w:val="00205A1A"/>
    <w:rsid w:val="00207665"/>
    <w:rsid w:val="00210BAB"/>
    <w:rsid w:val="00211229"/>
    <w:rsid w:val="00212C9C"/>
    <w:rsid w:val="00212FCA"/>
    <w:rsid w:val="00213108"/>
    <w:rsid w:val="0021453E"/>
    <w:rsid w:val="0021475E"/>
    <w:rsid w:val="00215103"/>
    <w:rsid w:val="00217466"/>
    <w:rsid w:val="002179AC"/>
    <w:rsid w:val="00220ADB"/>
    <w:rsid w:val="002217BA"/>
    <w:rsid w:val="00221E74"/>
    <w:rsid w:val="00223507"/>
    <w:rsid w:val="00223ACC"/>
    <w:rsid w:val="0022448D"/>
    <w:rsid w:val="002245F6"/>
    <w:rsid w:val="00224ECD"/>
    <w:rsid w:val="00225DB7"/>
    <w:rsid w:val="002275DE"/>
    <w:rsid w:val="00230170"/>
    <w:rsid w:val="002305CF"/>
    <w:rsid w:val="00232470"/>
    <w:rsid w:val="0023280C"/>
    <w:rsid w:val="00233E08"/>
    <w:rsid w:val="002345FF"/>
    <w:rsid w:val="00237611"/>
    <w:rsid w:val="002408D7"/>
    <w:rsid w:val="00240B92"/>
    <w:rsid w:val="002426EA"/>
    <w:rsid w:val="00244476"/>
    <w:rsid w:val="002457CF"/>
    <w:rsid w:val="002470E8"/>
    <w:rsid w:val="002473B3"/>
    <w:rsid w:val="002507D8"/>
    <w:rsid w:val="00250892"/>
    <w:rsid w:val="00252A20"/>
    <w:rsid w:val="00252B41"/>
    <w:rsid w:val="0025524F"/>
    <w:rsid w:val="00257E5F"/>
    <w:rsid w:val="00260414"/>
    <w:rsid w:val="00260C1D"/>
    <w:rsid w:val="00261001"/>
    <w:rsid w:val="00261A42"/>
    <w:rsid w:val="00261D84"/>
    <w:rsid w:val="002629A6"/>
    <w:rsid w:val="00263F23"/>
    <w:rsid w:val="00264D02"/>
    <w:rsid w:val="0026500D"/>
    <w:rsid w:val="00265CD7"/>
    <w:rsid w:val="002665BD"/>
    <w:rsid w:val="00271B06"/>
    <w:rsid w:val="00272FEC"/>
    <w:rsid w:val="00273013"/>
    <w:rsid w:val="00273C37"/>
    <w:rsid w:val="0027430D"/>
    <w:rsid w:val="002746D9"/>
    <w:rsid w:val="00274ED2"/>
    <w:rsid w:val="002765F2"/>
    <w:rsid w:val="00277A35"/>
    <w:rsid w:val="00277A81"/>
    <w:rsid w:val="00280994"/>
    <w:rsid w:val="00280E3F"/>
    <w:rsid w:val="00280F05"/>
    <w:rsid w:val="0028170A"/>
    <w:rsid w:val="0028248C"/>
    <w:rsid w:val="00286DDB"/>
    <w:rsid w:val="002871EB"/>
    <w:rsid w:val="00293169"/>
    <w:rsid w:val="0029414D"/>
    <w:rsid w:val="002948C4"/>
    <w:rsid w:val="00297E45"/>
    <w:rsid w:val="002A0AD4"/>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716"/>
    <w:rsid w:val="002B4D21"/>
    <w:rsid w:val="002B657F"/>
    <w:rsid w:val="002C0074"/>
    <w:rsid w:val="002C0159"/>
    <w:rsid w:val="002C0804"/>
    <w:rsid w:val="002C0DC5"/>
    <w:rsid w:val="002C1007"/>
    <w:rsid w:val="002C287A"/>
    <w:rsid w:val="002C2D44"/>
    <w:rsid w:val="002C4715"/>
    <w:rsid w:val="002C4780"/>
    <w:rsid w:val="002C47ED"/>
    <w:rsid w:val="002C484A"/>
    <w:rsid w:val="002C570D"/>
    <w:rsid w:val="002C6561"/>
    <w:rsid w:val="002C6DB3"/>
    <w:rsid w:val="002D0E3D"/>
    <w:rsid w:val="002D10C8"/>
    <w:rsid w:val="002D1A38"/>
    <w:rsid w:val="002D1AA7"/>
    <w:rsid w:val="002D2E16"/>
    <w:rsid w:val="002D35AE"/>
    <w:rsid w:val="002D373C"/>
    <w:rsid w:val="002E126F"/>
    <w:rsid w:val="002E160F"/>
    <w:rsid w:val="002E1C05"/>
    <w:rsid w:val="002E3095"/>
    <w:rsid w:val="002E3FAE"/>
    <w:rsid w:val="002E4741"/>
    <w:rsid w:val="002E482C"/>
    <w:rsid w:val="002E5399"/>
    <w:rsid w:val="002E5A0B"/>
    <w:rsid w:val="002E6295"/>
    <w:rsid w:val="002E6531"/>
    <w:rsid w:val="002E66CA"/>
    <w:rsid w:val="002E689B"/>
    <w:rsid w:val="002E6CFE"/>
    <w:rsid w:val="002E74CE"/>
    <w:rsid w:val="002E76FD"/>
    <w:rsid w:val="002E7AD0"/>
    <w:rsid w:val="002F05BD"/>
    <w:rsid w:val="002F1871"/>
    <w:rsid w:val="002F3672"/>
    <w:rsid w:val="002F37C1"/>
    <w:rsid w:val="002F72FA"/>
    <w:rsid w:val="002F7D11"/>
    <w:rsid w:val="003007E0"/>
    <w:rsid w:val="0030150B"/>
    <w:rsid w:val="00301B41"/>
    <w:rsid w:val="00301D47"/>
    <w:rsid w:val="003030B1"/>
    <w:rsid w:val="00303704"/>
    <w:rsid w:val="00303717"/>
    <w:rsid w:val="00303EAF"/>
    <w:rsid w:val="00304013"/>
    <w:rsid w:val="00304137"/>
    <w:rsid w:val="003046AA"/>
    <w:rsid w:val="003049F3"/>
    <w:rsid w:val="00304CDF"/>
    <w:rsid w:val="00305BB3"/>
    <w:rsid w:val="00305F6D"/>
    <w:rsid w:val="00306041"/>
    <w:rsid w:val="003064B8"/>
    <w:rsid w:val="00306E7D"/>
    <w:rsid w:val="00307227"/>
    <w:rsid w:val="0030794F"/>
    <w:rsid w:val="003105D0"/>
    <w:rsid w:val="003105D6"/>
    <w:rsid w:val="00310B1D"/>
    <w:rsid w:val="00310CFF"/>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03E7"/>
    <w:rsid w:val="00332003"/>
    <w:rsid w:val="00332E6B"/>
    <w:rsid w:val="003337F3"/>
    <w:rsid w:val="00333BE8"/>
    <w:rsid w:val="003344DB"/>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752"/>
    <w:rsid w:val="0035104F"/>
    <w:rsid w:val="00352901"/>
    <w:rsid w:val="00353D24"/>
    <w:rsid w:val="00355AEE"/>
    <w:rsid w:val="00355D3B"/>
    <w:rsid w:val="0035606B"/>
    <w:rsid w:val="0036073F"/>
    <w:rsid w:val="003629EE"/>
    <w:rsid w:val="003643B3"/>
    <w:rsid w:val="003708DD"/>
    <w:rsid w:val="00370B8E"/>
    <w:rsid w:val="00370BB1"/>
    <w:rsid w:val="00371A50"/>
    <w:rsid w:val="003721B2"/>
    <w:rsid w:val="00372328"/>
    <w:rsid w:val="00374CE8"/>
    <w:rsid w:val="003762FD"/>
    <w:rsid w:val="00377278"/>
    <w:rsid w:val="0038132B"/>
    <w:rsid w:val="003828C0"/>
    <w:rsid w:val="00383E66"/>
    <w:rsid w:val="003849B6"/>
    <w:rsid w:val="00384AE2"/>
    <w:rsid w:val="00385699"/>
    <w:rsid w:val="00387DC9"/>
    <w:rsid w:val="00390D23"/>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38B3"/>
    <w:rsid w:val="003A6417"/>
    <w:rsid w:val="003A65FE"/>
    <w:rsid w:val="003A6A5A"/>
    <w:rsid w:val="003A7221"/>
    <w:rsid w:val="003A730E"/>
    <w:rsid w:val="003B1649"/>
    <w:rsid w:val="003B1CEE"/>
    <w:rsid w:val="003B2199"/>
    <w:rsid w:val="003B2856"/>
    <w:rsid w:val="003B2A0D"/>
    <w:rsid w:val="003B31FA"/>
    <w:rsid w:val="003B4587"/>
    <w:rsid w:val="003B55AD"/>
    <w:rsid w:val="003B7EC4"/>
    <w:rsid w:val="003C183D"/>
    <w:rsid w:val="003C4444"/>
    <w:rsid w:val="003C4A31"/>
    <w:rsid w:val="003C5173"/>
    <w:rsid w:val="003C7282"/>
    <w:rsid w:val="003D00D5"/>
    <w:rsid w:val="003D0A29"/>
    <w:rsid w:val="003D0BC7"/>
    <w:rsid w:val="003D10F4"/>
    <w:rsid w:val="003D181D"/>
    <w:rsid w:val="003D20C4"/>
    <w:rsid w:val="003D4163"/>
    <w:rsid w:val="003D46D0"/>
    <w:rsid w:val="003D5661"/>
    <w:rsid w:val="003D792A"/>
    <w:rsid w:val="003E038D"/>
    <w:rsid w:val="003E4675"/>
    <w:rsid w:val="003E4701"/>
    <w:rsid w:val="003E6079"/>
    <w:rsid w:val="003E6128"/>
    <w:rsid w:val="003E6679"/>
    <w:rsid w:val="003E6D0F"/>
    <w:rsid w:val="003E712E"/>
    <w:rsid w:val="003E7E07"/>
    <w:rsid w:val="003F140F"/>
    <w:rsid w:val="003F15DB"/>
    <w:rsid w:val="003F2702"/>
    <w:rsid w:val="003F2778"/>
    <w:rsid w:val="003F36A4"/>
    <w:rsid w:val="003F4900"/>
    <w:rsid w:val="003F70CA"/>
    <w:rsid w:val="003F7823"/>
    <w:rsid w:val="00400E76"/>
    <w:rsid w:val="0040137F"/>
    <w:rsid w:val="00402179"/>
    <w:rsid w:val="0040278D"/>
    <w:rsid w:val="00403249"/>
    <w:rsid w:val="0040560A"/>
    <w:rsid w:val="004078C8"/>
    <w:rsid w:val="004102DE"/>
    <w:rsid w:val="00412696"/>
    <w:rsid w:val="00412E24"/>
    <w:rsid w:val="004147B1"/>
    <w:rsid w:val="00416727"/>
    <w:rsid w:val="0041774A"/>
    <w:rsid w:val="0042068A"/>
    <w:rsid w:val="00422449"/>
    <w:rsid w:val="0042267F"/>
    <w:rsid w:val="0042437A"/>
    <w:rsid w:val="00424E72"/>
    <w:rsid w:val="00425F0D"/>
    <w:rsid w:val="00426D7C"/>
    <w:rsid w:val="00427621"/>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65B36"/>
    <w:rsid w:val="00470027"/>
    <w:rsid w:val="0047025A"/>
    <w:rsid w:val="00472C41"/>
    <w:rsid w:val="00473115"/>
    <w:rsid w:val="004738D8"/>
    <w:rsid w:val="00473BD2"/>
    <w:rsid w:val="00474477"/>
    <w:rsid w:val="004764CB"/>
    <w:rsid w:val="00476730"/>
    <w:rsid w:val="004769A5"/>
    <w:rsid w:val="004773A3"/>
    <w:rsid w:val="004773E6"/>
    <w:rsid w:val="004803C2"/>
    <w:rsid w:val="00480E10"/>
    <w:rsid w:val="00481605"/>
    <w:rsid w:val="00481A7B"/>
    <w:rsid w:val="00482D08"/>
    <w:rsid w:val="0048386B"/>
    <w:rsid w:val="00483C14"/>
    <w:rsid w:val="004858CD"/>
    <w:rsid w:val="00485DB6"/>
    <w:rsid w:val="0048628A"/>
    <w:rsid w:val="0048658E"/>
    <w:rsid w:val="004911B6"/>
    <w:rsid w:val="00491C96"/>
    <w:rsid w:val="004923B6"/>
    <w:rsid w:val="00494294"/>
    <w:rsid w:val="00495611"/>
    <w:rsid w:val="00496117"/>
    <w:rsid w:val="004961DA"/>
    <w:rsid w:val="00496359"/>
    <w:rsid w:val="00497926"/>
    <w:rsid w:val="004A115C"/>
    <w:rsid w:val="004A14BE"/>
    <w:rsid w:val="004A2BF5"/>
    <w:rsid w:val="004A3085"/>
    <w:rsid w:val="004A4BD5"/>
    <w:rsid w:val="004A4CFD"/>
    <w:rsid w:val="004A677C"/>
    <w:rsid w:val="004A6C04"/>
    <w:rsid w:val="004B05A5"/>
    <w:rsid w:val="004B0EB6"/>
    <w:rsid w:val="004B176B"/>
    <w:rsid w:val="004B293C"/>
    <w:rsid w:val="004B3A2A"/>
    <w:rsid w:val="004B3D59"/>
    <w:rsid w:val="004B58EA"/>
    <w:rsid w:val="004B5F17"/>
    <w:rsid w:val="004B73EF"/>
    <w:rsid w:val="004C09B4"/>
    <w:rsid w:val="004C20F2"/>
    <w:rsid w:val="004C251E"/>
    <w:rsid w:val="004C2E3D"/>
    <w:rsid w:val="004C3DB1"/>
    <w:rsid w:val="004C3F25"/>
    <w:rsid w:val="004C4E77"/>
    <w:rsid w:val="004C525E"/>
    <w:rsid w:val="004C6796"/>
    <w:rsid w:val="004C67E2"/>
    <w:rsid w:val="004C7263"/>
    <w:rsid w:val="004C7A27"/>
    <w:rsid w:val="004D0490"/>
    <w:rsid w:val="004D12F1"/>
    <w:rsid w:val="004D1805"/>
    <w:rsid w:val="004D1903"/>
    <w:rsid w:val="004D1CB6"/>
    <w:rsid w:val="004D2229"/>
    <w:rsid w:val="004D257A"/>
    <w:rsid w:val="004D2676"/>
    <w:rsid w:val="004D3142"/>
    <w:rsid w:val="004D37D7"/>
    <w:rsid w:val="004D3E01"/>
    <w:rsid w:val="004D4509"/>
    <w:rsid w:val="004D52DD"/>
    <w:rsid w:val="004D5928"/>
    <w:rsid w:val="004D68F8"/>
    <w:rsid w:val="004D6D19"/>
    <w:rsid w:val="004E11D8"/>
    <w:rsid w:val="004E6E3A"/>
    <w:rsid w:val="004E79C2"/>
    <w:rsid w:val="004F0C96"/>
    <w:rsid w:val="004F0D63"/>
    <w:rsid w:val="004F0F98"/>
    <w:rsid w:val="004F20EF"/>
    <w:rsid w:val="004F28A0"/>
    <w:rsid w:val="004F39A4"/>
    <w:rsid w:val="004F44C7"/>
    <w:rsid w:val="004F489F"/>
    <w:rsid w:val="004F4958"/>
    <w:rsid w:val="004F747C"/>
    <w:rsid w:val="004F766F"/>
    <w:rsid w:val="004F785F"/>
    <w:rsid w:val="004F78B7"/>
    <w:rsid w:val="004F7944"/>
    <w:rsid w:val="00500224"/>
    <w:rsid w:val="00501B93"/>
    <w:rsid w:val="005041C2"/>
    <w:rsid w:val="005042A4"/>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30CD"/>
    <w:rsid w:val="005248B9"/>
    <w:rsid w:val="005255D3"/>
    <w:rsid w:val="005256B7"/>
    <w:rsid w:val="00525C4F"/>
    <w:rsid w:val="00526446"/>
    <w:rsid w:val="00527495"/>
    <w:rsid w:val="00527E7A"/>
    <w:rsid w:val="00531594"/>
    <w:rsid w:val="00537D3A"/>
    <w:rsid w:val="00537E2C"/>
    <w:rsid w:val="00540208"/>
    <w:rsid w:val="00542797"/>
    <w:rsid w:val="00542B3A"/>
    <w:rsid w:val="0054355C"/>
    <w:rsid w:val="00544ADC"/>
    <w:rsid w:val="00544B9C"/>
    <w:rsid w:val="00544E13"/>
    <w:rsid w:val="00544EC9"/>
    <w:rsid w:val="00546FBD"/>
    <w:rsid w:val="0055159A"/>
    <w:rsid w:val="005516E0"/>
    <w:rsid w:val="00551A9B"/>
    <w:rsid w:val="005520BF"/>
    <w:rsid w:val="00552213"/>
    <w:rsid w:val="005546E8"/>
    <w:rsid w:val="005547AF"/>
    <w:rsid w:val="0055544F"/>
    <w:rsid w:val="0055637D"/>
    <w:rsid w:val="00556B04"/>
    <w:rsid w:val="00556F72"/>
    <w:rsid w:val="00556F82"/>
    <w:rsid w:val="00560C00"/>
    <w:rsid w:val="00561ED1"/>
    <w:rsid w:val="00562B0A"/>
    <w:rsid w:val="00562CCE"/>
    <w:rsid w:val="005669D6"/>
    <w:rsid w:val="0056788F"/>
    <w:rsid w:val="00567998"/>
    <w:rsid w:val="0057116B"/>
    <w:rsid w:val="0057243A"/>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253"/>
    <w:rsid w:val="005A158D"/>
    <w:rsid w:val="005A1FAB"/>
    <w:rsid w:val="005A228F"/>
    <w:rsid w:val="005A2A65"/>
    <w:rsid w:val="005A2F65"/>
    <w:rsid w:val="005A3513"/>
    <w:rsid w:val="005A3581"/>
    <w:rsid w:val="005A3BD7"/>
    <w:rsid w:val="005A4965"/>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6961"/>
    <w:rsid w:val="005C6F55"/>
    <w:rsid w:val="005D0EB4"/>
    <w:rsid w:val="005D1765"/>
    <w:rsid w:val="005D18A6"/>
    <w:rsid w:val="005D27DD"/>
    <w:rsid w:val="005D3493"/>
    <w:rsid w:val="005D622E"/>
    <w:rsid w:val="005D6617"/>
    <w:rsid w:val="005D6FF0"/>
    <w:rsid w:val="005E0297"/>
    <w:rsid w:val="005E11D5"/>
    <w:rsid w:val="005E1DC2"/>
    <w:rsid w:val="005E34D4"/>
    <w:rsid w:val="005E3545"/>
    <w:rsid w:val="005E362D"/>
    <w:rsid w:val="005E3716"/>
    <w:rsid w:val="005E3AE2"/>
    <w:rsid w:val="005E3FDE"/>
    <w:rsid w:val="005E40B5"/>
    <w:rsid w:val="005E55F2"/>
    <w:rsid w:val="005E6507"/>
    <w:rsid w:val="005E68FC"/>
    <w:rsid w:val="005E7271"/>
    <w:rsid w:val="005E7CC9"/>
    <w:rsid w:val="005F0007"/>
    <w:rsid w:val="005F05DE"/>
    <w:rsid w:val="005F0E6C"/>
    <w:rsid w:val="005F1362"/>
    <w:rsid w:val="005F17F5"/>
    <w:rsid w:val="005F1BAD"/>
    <w:rsid w:val="005F1F60"/>
    <w:rsid w:val="005F4202"/>
    <w:rsid w:val="005F474D"/>
    <w:rsid w:val="005F487C"/>
    <w:rsid w:val="005F53A4"/>
    <w:rsid w:val="005F5FE1"/>
    <w:rsid w:val="005F62B2"/>
    <w:rsid w:val="005F715E"/>
    <w:rsid w:val="006010DA"/>
    <w:rsid w:val="006017AB"/>
    <w:rsid w:val="00604AC3"/>
    <w:rsid w:val="00605865"/>
    <w:rsid w:val="00605AE1"/>
    <w:rsid w:val="0061122E"/>
    <w:rsid w:val="00611DC1"/>
    <w:rsid w:val="00613655"/>
    <w:rsid w:val="006144EE"/>
    <w:rsid w:val="00617125"/>
    <w:rsid w:val="00617813"/>
    <w:rsid w:val="006206CC"/>
    <w:rsid w:val="00622B06"/>
    <w:rsid w:val="00624425"/>
    <w:rsid w:val="006257C2"/>
    <w:rsid w:val="00627163"/>
    <w:rsid w:val="0063034E"/>
    <w:rsid w:val="00630D1C"/>
    <w:rsid w:val="00634476"/>
    <w:rsid w:val="006351D1"/>
    <w:rsid w:val="00637475"/>
    <w:rsid w:val="0064393B"/>
    <w:rsid w:val="006439A1"/>
    <w:rsid w:val="00644375"/>
    <w:rsid w:val="00644A5C"/>
    <w:rsid w:val="0064671E"/>
    <w:rsid w:val="00646A08"/>
    <w:rsid w:val="00650392"/>
    <w:rsid w:val="0065061D"/>
    <w:rsid w:val="00651701"/>
    <w:rsid w:val="00653267"/>
    <w:rsid w:val="0065715E"/>
    <w:rsid w:val="00657652"/>
    <w:rsid w:val="00657670"/>
    <w:rsid w:val="00657DBF"/>
    <w:rsid w:val="00657DE0"/>
    <w:rsid w:val="00661B0B"/>
    <w:rsid w:val="00662C69"/>
    <w:rsid w:val="006633C0"/>
    <w:rsid w:val="00663470"/>
    <w:rsid w:val="00663CC7"/>
    <w:rsid w:val="0066458B"/>
    <w:rsid w:val="00664637"/>
    <w:rsid w:val="00664805"/>
    <w:rsid w:val="00664FB5"/>
    <w:rsid w:val="006674A0"/>
    <w:rsid w:val="006718FB"/>
    <w:rsid w:val="006720F3"/>
    <w:rsid w:val="00672744"/>
    <w:rsid w:val="00673161"/>
    <w:rsid w:val="00673695"/>
    <w:rsid w:val="00673DB5"/>
    <w:rsid w:val="00674701"/>
    <w:rsid w:val="00674A46"/>
    <w:rsid w:val="00674CFC"/>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427"/>
    <w:rsid w:val="00693EA7"/>
    <w:rsid w:val="00693FA4"/>
    <w:rsid w:val="006942A3"/>
    <w:rsid w:val="00694C00"/>
    <w:rsid w:val="006958A7"/>
    <w:rsid w:val="00695F94"/>
    <w:rsid w:val="006964F5"/>
    <w:rsid w:val="00696EF8"/>
    <w:rsid w:val="00697159"/>
    <w:rsid w:val="00697365"/>
    <w:rsid w:val="006A1047"/>
    <w:rsid w:val="006A11C8"/>
    <w:rsid w:val="006A1D78"/>
    <w:rsid w:val="006A2CF3"/>
    <w:rsid w:val="006A2D34"/>
    <w:rsid w:val="006A2EDE"/>
    <w:rsid w:val="006A2EFB"/>
    <w:rsid w:val="006A3D7A"/>
    <w:rsid w:val="006A5C6A"/>
    <w:rsid w:val="006A6B66"/>
    <w:rsid w:val="006A6C69"/>
    <w:rsid w:val="006A7978"/>
    <w:rsid w:val="006A79C3"/>
    <w:rsid w:val="006B004E"/>
    <w:rsid w:val="006B0198"/>
    <w:rsid w:val="006B12E8"/>
    <w:rsid w:val="006B1C19"/>
    <w:rsid w:val="006B2C18"/>
    <w:rsid w:val="006B31E7"/>
    <w:rsid w:val="006B65D4"/>
    <w:rsid w:val="006B672A"/>
    <w:rsid w:val="006B7A58"/>
    <w:rsid w:val="006C26B3"/>
    <w:rsid w:val="006C2FEE"/>
    <w:rsid w:val="006C4B56"/>
    <w:rsid w:val="006C50B1"/>
    <w:rsid w:val="006C50C2"/>
    <w:rsid w:val="006C563A"/>
    <w:rsid w:val="006C6C8C"/>
    <w:rsid w:val="006C6E1A"/>
    <w:rsid w:val="006D20E8"/>
    <w:rsid w:val="006D24C4"/>
    <w:rsid w:val="006D27EF"/>
    <w:rsid w:val="006D425C"/>
    <w:rsid w:val="006D52D1"/>
    <w:rsid w:val="006D77A2"/>
    <w:rsid w:val="006E013D"/>
    <w:rsid w:val="006E1056"/>
    <w:rsid w:val="006E1D33"/>
    <w:rsid w:val="006E3A2A"/>
    <w:rsid w:val="006E3C4C"/>
    <w:rsid w:val="006E4BD4"/>
    <w:rsid w:val="006E4E2A"/>
    <w:rsid w:val="006E5950"/>
    <w:rsid w:val="006E6B65"/>
    <w:rsid w:val="006E6C14"/>
    <w:rsid w:val="006E7CC5"/>
    <w:rsid w:val="006F1E31"/>
    <w:rsid w:val="006F2C12"/>
    <w:rsid w:val="006F2F92"/>
    <w:rsid w:val="006F3266"/>
    <w:rsid w:val="006F428C"/>
    <w:rsid w:val="006F51AA"/>
    <w:rsid w:val="006F69E5"/>
    <w:rsid w:val="007050B1"/>
    <w:rsid w:val="00705527"/>
    <w:rsid w:val="00706EB9"/>
    <w:rsid w:val="00707096"/>
    <w:rsid w:val="007127BB"/>
    <w:rsid w:val="007136BC"/>
    <w:rsid w:val="00714576"/>
    <w:rsid w:val="00714FEC"/>
    <w:rsid w:val="0071556C"/>
    <w:rsid w:val="00715A04"/>
    <w:rsid w:val="00715B7D"/>
    <w:rsid w:val="00721335"/>
    <w:rsid w:val="00721924"/>
    <w:rsid w:val="00721F66"/>
    <w:rsid w:val="00722B93"/>
    <w:rsid w:val="0072445A"/>
    <w:rsid w:val="00727A27"/>
    <w:rsid w:val="00731F1F"/>
    <w:rsid w:val="0073324B"/>
    <w:rsid w:val="007337E6"/>
    <w:rsid w:val="00735304"/>
    <w:rsid w:val="00735A75"/>
    <w:rsid w:val="007365AD"/>
    <w:rsid w:val="00740BA4"/>
    <w:rsid w:val="00742486"/>
    <w:rsid w:val="00742B6A"/>
    <w:rsid w:val="00744109"/>
    <w:rsid w:val="0074433B"/>
    <w:rsid w:val="007446C2"/>
    <w:rsid w:val="0074517C"/>
    <w:rsid w:val="0074628D"/>
    <w:rsid w:val="007473D2"/>
    <w:rsid w:val="007479C2"/>
    <w:rsid w:val="00750A50"/>
    <w:rsid w:val="00750A80"/>
    <w:rsid w:val="00751061"/>
    <w:rsid w:val="0075151E"/>
    <w:rsid w:val="0075265E"/>
    <w:rsid w:val="0075440D"/>
    <w:rsid w:val="00754EF8"/>
    <w:rsid w:val="00755369"/>
    <w:rsid w:val="0075604A"/>
    <w:rsid w:val="0075650E"/>
    <w:rsid w:val="007577BB"/>
    <w:rsid w:val="00757995"/>
    <w:rsid w:val="00760EA4"/>
    <w:rsid w:val="00762697"/>
    <w:rsid w:val="007644E6"/>
    <w:rsid w:val="007652EA"/>
    <w:rsid w:val="00766CDD"/>
    <w:rsid w:val="007674F3"/>
    <w:rsid w:val="00767CD2"/>
    <w:rsid w:val="00770859"/>
    <w:rsid w:val="0077358D"/>
    <w:rsid w:val="00774A5F"/>
    <w:rsid w:val="00774DFD"/>
    <w:rsid w:val="007753FA"/>
    <w:rsid w:val="0077544D"/>
    <w:rsid w:val="00775D67"/>
    <w:rsid w:val="00776C78"/>
    <w:rsid w:val="0078079A"/>
    <w:rsid w:val="0078249C"/>
    <w:rsid w:val="00784AA0"/>
    <w:rsid w:val="00784F3D"/>
    <w:rsid w:val="00785E63"/>
    <w:rsid w:val="007860B9"/>
    <w:rsid w:val="0078698F"/>
    <w:rsid w:val="00786DD5"/>
    <w:rsid w:val="00787184"/>
    <w:rsid w:val="007914E4"/>
    <w:rsid w:val="00791E58"/>
    <w:rsid w:val="00793B21"/>
    <w:rsid w:val="007A0692"/>
    <w:rsid w:val="007A082B"/>
    <w:rsid w:val="007A0A0E"/>
    <w:rsid w:val="007A11AA"/>
    <w:rsid w:val="007A1303"/>
    <w:rsid w:val="007A2C90"/>
    <w:rsid w:val="007A4419"/>
    <w:rsid w:val="007A65E0"/>
    <w:rsid w:val="007A70B9"/>
    <w:rsid w:val="007A729D"/>
    <w:rsid w:val="007A7602"/>
    <w:rsid w:val="007A7A58"/>
    <w:rsid w:val="007A7E06"/>
    <w:rsid w:val="007B02B9"/>
    <w:rsid w:val="007B0B65"/>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C7306"/>
    <w:rsid w:val="007D0C01"/>
    <w:rsid w:val="007D26D2"/>
    <w:rsid w:val="007D3FBD"/>
    <w:rsid w:val="007D49A0"/>
    <w:rsid w:val="007D5830"/>
    <w:rsid w:val="007D7EF3"/>
    <w:rsid w:val="007D7FCC"/>
    <w:rsid w:val="007E0553"/>
    <w:rsid w:val="007E317A"/>
    <w:rsid w:val="007E5125"/>
    <w:rsid w:val="007E5DB4"/>
    <w:rsid w:val="007E6334"/>
    <w:rsid w:val="007E72DF"/>
    <w:rsid w:val="007F0617"/>
    <w:rsid w:val="007F0DA6"/>
    <w:rsid w:val="007F313E"/>
    <w:rsid w:val="007F372C"/>
    <w:rsid w:val="007F3993"/>
    <w:rsid w:val="007F5AD6"/>
    <w:rsid w:val="007F6F57"/>
    <w:rsid w:val="007F729E"/>
    <w:rsid w:val="00800E69"/>
    <w:rsid w:val="00800EFF"/>
    <w:rsid w:val="00802BFE"/>
    <w:rsid w:val="00803827"/>
    <w:rsid w:val="0080391F"/>
    <w:rsid w:val="008039C2"/>
    <w:rsid w:val="008046E4"/>
    <w:rsid w:val="00804992"/>
    <w:rsid w:val="008055FF"/>
    <w:rsid w:val="00806782"/>
    <w:rsid w:val="00810F94"/>
    <w:rsid w:val="008118AF"/>
    <w:rsid w:val="00814A17"/>
    <w:rsid w:val="00815CB1"/>
    <w:rsid w:val="008167F5"/>
    <w:rsid w:val="0081794B"/>
    <w:rsid w:val="00817D8E"/>
    <w:rsid w:val="008200A3"/>
    <w:rsid w:val="00820BF2"/>
    <w:rsid w:val="00824C4E"/>
    <w:rsid w:val="00826125"/>
    <w:rsid w:val="008263E3"/>
    <w:rsid w:val="00826F38"/>
    <w:rsid w:val="0083128D"/>
    <w:rsid w:val="00831969"/>
    <w:rsid w:val="00831B64"/>
    <w:rsid w:val="00833E4C"/>
    <w:rsid w:val="00834316"/>
    <w:rsid w:val="00834FED"/>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3125"/>
    <w:rsid w:val="008662C0"/>
    <w:rsid w:val="008705E1"/>
    <w:rsid w:val="0087153F"/>
    <w:rsid w:val="008724D7"/>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0CED"/>
    <w:rsid w:val="00892C05"/>
    <w:rsid w:val="00893857"/>
    <w:rsid w:val="0089412A"/>
    <w:rsid w:val="00895335"/>
    <w:rsid w:val="00895536"/>
    <w:rsid w:val="008965EF"/>
    <w:rsid w:val="00896AD4"/>
    <w:rsid w:val="00897752"/>
    <w:rsid w:val="008A2368"/>
    <w:rsid w:val="008A2811"/>
    <w:rsid w:val="008A3FC8"/>
    <w:rsid w:val="008A4B99"/>
    <w:rsid w:val="008A52F3"/>
    <w:rsid w:val="008A5456"/>
    <w:rsid w:val="008A7F7D"/>
    <w:rsid w:val="008B01C8"/>
    <w:rsid w:val="008B02CB"/>
    <w:rsid w:val="008B1A5A"/>
    <w:rsid w:val="008B1A5B"/>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0EF"/>
    <w:rsid w:val="008D5A97"/>
    <w:rsid w:val="008D6697"/>
    <w:rsid w:val="008D728C"/>
    <w:rsid w:val="008D7CA5"/>
    <w:rsid w:val="008E0674"/>
    <w:rsid w:val="008E11CC"/>
    <w:rsid w:val="008E1B8F"/>
    <w:rsid w:val="008E2B17"/>
    <w:rsid w:val="008E3E12"/>
    <w:rsid w:val="008E4DCD"/>
    <w:rsid w:val="008E5767"/>
    <w:rsid w:val="008E580D"/>
    <w:rsid w:val="008F12E6"/>
    <w:rsid w:val="008F1558"/>
    <w:rsid w:val="008F2B44"/>
    <w:rsid w:val="008F4BAF"/>
    <w:rsid w:val="008F5927"/>
    <w:rsid w:val="008F5F96"/>
    <w:rsid w:val="008F7752"/>
    <w:rsid w:val="0090042D"/>
    <w:rsid w:val="0090162B"/>
    <w:rsid w:val="0090174A"/>
    <w:rsid w:val="00902E52"/>
    <w:rsid w:val="009036B3"/>
    <w:rsid w:val="0090620F"/>
    <w:rsid w:val="009071FE"/>
    <w:rsid w:val="00907761"/>
    <w:rsid w:val="00907A46"/>
    <w:rsid w:val="0091242A"/>
    <w:rsid w:val="00912E53"/>
    <w:rsid w:val="0091395C"/>
    <w:rsid w:val="00913AA4"/>
    <w:rsid w:val="00915778"/>
    <w:rsid w:val="009164DD"/>
    <w:rsid w:val="00920EB8"/>
    <w:rsid w:val="009210C9"/>
    <w:rsid w:val="00924A4D"/>
    <w:rsid w:val="00925C68"/>
    <w:rsid w:val="009315B0"/>
    <w:rsid w:val="009316E9"/>
    <w:rsid w:val="00931C93"/>
    <w:rsid w:val="00931EE2"/>
    <w:rsid w:val="00931FD8"/>
    <w:rsid w:val="0093282F"/>
    <w:rsid w:val="0093416D"/>
    <w:rsid w:val="00937309"/>
    <w:rsid w:val="00937D66"/>
    <w:rsid w:val="0094065A"/>
    <w:rsid w:val="00940FE2"/>
    <w:rsid w:val="00943E62"/>
    <w:rsid w:val="00945A61"/>
    <w:rsid w:val="00950154"/>
    <w:rsid w:val="00950C6E"/>
    <w:rsid w:val="00951ECA"/>
    <w:rsid w:val="00953054"/>
    <w:rsid w:val="009531D6"/>
    <w:rsid w:val="0095382C"/>
    <w:rsid w:val="00953B03"/>
    <w:rsid w:val="009548C1"/>
    <w:rsid w:val="00956219"/>
    <w:rsid w:val="009563A5"/>
    <w:rsid w:val="00956823"/>
    <w:rsid w:val="00956868"/>
    <w:rsid w:val="009572EE"/>
    <w:rsid w:val="0095765F"/>
    <w:rsid w:val="009606E6"/>
    <w:rsid w:val="009609D2"/>
    <w:rsid w:val="00960CFA"/>
    <w:rsid w:val="00962F40"/>
    <w:rsid w:val="0096334F"/>
    <w:rsid w:val="00963968"/>
    <w:rsid w:val="009670E9"/>
    <w:rsid w:val="00967BF7"/>
    <w:rsid w:val="00970F70"/>
    <w:rsid w:val="00971056"/>
    <w:rsid w:val="0097210F"/>
    <w:rsid w:val="0097252B"/>
    <w:rsid w:val="00972668"/>
    <w:rsid w:val="009727B4"/>
    <w:rsid w:val="00972C36"/>
    <w:rsid w:val="00972DF8"/>
    <w:rsid w:val="009750AA"/>
    <w:rsid w:val="00976FB9"/>
    <w:rsid w:val="00977D37"/>
    <w:rsid w:val="0098037B"/>
    <w:rsid w:val="009813EA"/>
    <w:rsid w:val="009830D3"/>
    <w:rsid w:val="00983B8F"/>
    <w:rsid w:val="00985227"/>
    <w:rsid w:val="0098595E"/>
    <w:rsid w:val="0098598B"/>
    <w:rsid w:val="00986073"/>
    <w:rsid w:val="00986760"/>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876"/>
    <w:rsid w:val="009A593A"/>
    <w:rsid w:val="009A5FBB"/>
    <w:rsid w:val="009B0F5C"/>
    <w:rsid w:val="009B11D6"/>
    <w:rsid w:val="009B1D53"/>
    <w:rsid w:val="009B2205"/>
    <w:rsid w:val="009B2EE9"/>
    <w:rsid w:val="009B4864"/>
    <w:rsid w:val="009B5504"/>
    <w:rsid w:val="009B5D1A"/>
    <w:rsid w:val="009B649B"/>
    <w:rsid w:val="009B6F16"/>
    <w:rsid w:val="009C0940"/>
    <w:rsid w:val="009C0950"/>
    <w:rsid w:val="009C1D99"/>
    <w:rsid w:val="009C1F8B"/>
    <w:rsid w:val="009C20A8"/>
    <w:rsid w:val="009C5057"/>
    <w:rsid w:val="009D1780"/>
    <w:rsid w:val="009D2384"/>
    <w:rsid w:val="009D3240"/>
    <w:rsid w:val="009D3A6E"/>
    <w:rsid w:val="009D61D9"/>
    <w:rsid w:val="009D624D"/>
    <w:rsid w:val="009E0AB4"/>
    <w:rsid w:val="009E10C7"/>
    <w:rsid w:val="009E1D6A"/>
    <w:rsid w:val="009E360A"/>
    <w:rsid w:val="009E38A4"/>
    <w:rsid w:val="009E4942"/>
    <w:rsid w:val="009E56A9"/>
    <w:rsid w:val="009E6E48"/>
    <w:rsid w:val="009F0B67"/>
    <w:rsid w:val="009F1566"/>
    <w:rsid w:val="009F1E4B"/>
    <w:rsid w:val="009F307E"/>
    <w:rsid w:val="009F50DE"/>
    <w:rsid w:val="009F6770"/>
    <w:rsid w:val="009F6D34"/>
    <w:rsid w:val="009F74A2"/>
    <w:rsid w:val="009F7BB0"/>
    <w:rsid w:val="00A01696"/>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38C8"/>
    <w:rsid w:val="00A24131"/>
    <w:rsid w:val="00A24CE5"/>
    <w:rsid w:val="00A27A7F"/>
    <w:rsid w:val="00A3276A"/>
    <w:rsid w:val="00A34294"/>
    <w:rsid w:val="00A349D2"/>
    <w:rsid w:val="00A34C05"/>
    <w:rsid w:val="00A35492"/>
    <w:rsid w:val="00A4044E"/>
    <w:rsid w:val="00A42475"/>
    <w:rsid w:val="00A42869"/>
    <w:rsid w:val="00A4379F"/>
    <w:rsid w:val="00A43872"/>
    <w:rsid w:val="00A4434D"/>
    <w:rsid w:val="00A44BE6"/>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4C83"/>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067E"/>
    <w:rsid w:val="00A816EE"/>
    <w:rsid w:val="00A81AB5"/>
    <w:rsid w:val="00A82668"/>
    <w:rsid w:val="00A82724"/>
    <w:rsid w:val="00A82C5A"/>
    <w:rsid w:val="00A83119"/>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07A5"/>
    <w:rsid w:val="00AB1B91"/>
    <w:rsid w:val="00AB2744"/>
    <w:rsid w:val="00AB274F"/>
    <w:rsid w:val="00AB5F30"/>
    <w:rsid w:val="00AB61E4"/>
    <w:rsid w:val="00AB6590"/>
    <w:rsid w:val="00AB6BE3"/>
    <w:rsid w:val="00AB764F"/>
    <w:rsid w:val="00AC2197"/>
    <w:rsid w:val="00AC37C3"/>
    <w:rsid w:val="00AC3E65"/>
    <w:rsid w:val="00AC535B"/>
    <w:rsid w:val="00AC5F6A"/>
    <w:rsid w:val="00AD0B3C"/>
    <w:rsid w:val="00AD0FC3"/>
    <w:rsid w:val="00AD1CC0"/>
    <w:rsid w:val="00AD22B5"/>
    <w:rsid w:val="00AD33D3"/>
    <w:rsid w:val="00AD3DB4"/>
    <w:rsid w:val="00AD5133"/>
    <w:rsid w:val="00AD5712"/>
    <w:rsid w:val="00AD697A"/>
    <w:rsid w:val="00AD6AC5"/>
    <w:rsid w:val="00AD76A1"/>
    <w:rsid w:val="00AE1DDF"/>
    <w:rsid w:val="00AE48E8"/>
    <w:rsid w:val="00AE7F20"/>
    <w:rsid w:val="00AF0E7C"/>
    <w:rsid w:val="00AF1F04"/>
    <w:rsid w:val="00AF3B55"/>
    <w:rsid w:val="00AF3D59"/>
    <w:rsid w:val="00AF6794"/>
    <w:rsid w:val="00AF6F48"/>
    <w:rsid w:val="00AF717E"/>
    <w:rsid w:val="00B016F7"/>
    <w:rsid w:val="00B02BDD"/>
    <w:rsid w:val="00B04E10"/>
    <w:rsid w:val="00B055B9"/>
    <w:rsid w:val="00B069DF"/>
    <w:rsid w:val="00B13243"/>
    <w:rsid w:val="00B13511"/>
    <w:rsid w:val="00B13D85"/>
    <w:rsid w:val="00B16296"/>
    <w:rsid w:val="00B16CC7"/>
    <w:rsid w:val="00B1786A"/>
    <w:rsid w:val="00B17B13"/>
    <w:rsid w:val="00B206D8"/>
    <w:rsid w:val="00B20C75"/>
    <w:rsid w:val="00B230E5"/>
    <w:rsid w:val="00B23E88"/>
    <w:rsid w:val="00B25ECD"/>
    <w:rsid w:val="00B267A4"/>
    <w:rsid w:val="00B27F36"/>
    <w:rsid w:val="00B312C7"/>
    <w:rsid w:val="00B316B9"/>
    <w:rsid w:val="00B31E90"/>
    <w:rsid w:val="00B32E58"/>
    <w:rsid w:val="00B335A2"/>
    <w:rsid w:val="00B342D1"/>
    <w:rsid w:val="00B34371"/>
    <w:rsid w:val="00B357DD"/>
    <w:rsid w:val="00B36BEC"/>
    <w:rsid w:val="00B37104"/>
    <w:rsid w:val="00B406E3"/>
    <w:rsid w:val="00B41453"/>
    <w:rsid w:val="00B41516"/>
    <w:rsid w:val="00B41B70"/>
    <w:rsid w:val="00B4320F"/>
    <w:rsid w:val="00B433EB"/>
    <w:rsid w:val="00B447D7"/>
    <w:rsid w:val="00B44F9F"/>
    <w:rsid w:val="00B451F7"/>
    <w:rsid w:val="00B452A3"/>
    <w:rsid w:val="00B4545E"/>
    <w:rsid w:val="00B47889"/>
    <w:rsid w:val="00B47D0D"/>
    <w:rsid w:val="00B52B7D"/>
    <w:rsid w:val="00B531D2"/>
    <w:rsid w:val="00B537D8"/>
    <w:rsid w:val="00B53905"/>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76ACA"/>
    <w:rsid w:val="00B808A4"/>
    <w:rsid w:val="00B81371"/>
    <w:rsid w:val="00B818B8"/>
    <w:rsid w:val="00B83E2E"/>
    <w:rsid w:val="00B855AA"/>
    <w:rsid w:val="00B8780A"/>
    <w:rsid w:val="00B902E7"/>
    <w:rsid w:val="00B922D9"/>
    <w:rsid w:val="00B926D6"/>
    <w:rsid w:val="00B93351"/>
    <w:rsid w:val="00B945F2"/>
    <w:rsid w:val="00B9530A"/>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D025A"/>
    <w:rsid w:val="00BD02D5"/>
    <w:rsid w:val="00BD08F3"/>
    <w:rsid w:val="00BD0DA4"/>
    <w:rsid w:val="00BD1B67"/>
    <w:rsid w:val="00BD2E8E"/>
    <w:rsid w:val="00BD335B"/>
    <w:rsid w:val="00BD33B6"/>
    <w:rsid w:val="00BD3D7F"/>
    <w:rsid w:val="00BD4097"/>
    <w:rsid w:val="00BD4163"/>
    <w:rsid w:val="00BD4E41"/>
    <w:rsid w:val="00BD4F95"/>
    <w:rsid w:val="00BD517B"/>
    <w:rsid w:val="00BD629A"/>
    <w:rsid w:val="00BD650E"/>
    <w:rsid w:val="00BD6560"/>
    <w:rsid w:val="00BD687D"/>
    <w:rsid w:val="00BD7F3D"/>
    <w:rsid w:val="00BE00FA"/>
    <w:rsid w:val="00BE0C95"/>
    <w:rsid w:val="00BE462E"/>
    <w:rsid w:val="00BE545A"/>
    <w:rsid w:val="00BE57A2"/>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097"/>
    <w:rsid w:val="00C04666"/>
    <w:rsid w:val="00C04D22"/>
    <w:rsid w:val="00C06C02"/>
    <w:rsid w:val="00C11482"/>
    <w:rsid w:val="00C1254E"/>
    <w:rsid w:val="00C12E38"/>
    <w:rsid w:val="00C14CDF"/>
    <w:rsid w:val="00C150E0"/>
    <w:rsid w:val="00C150F6"/>
    <w:rsid w:val="00C15F97"/>
    <w:rsid w:val="00C16762"/>
    <w:rsid w:val="00C17637"/>
    <w:rsid w:val="00C179FC"/>
    <w:rsid w:val="00C17EAC"/>
    <w:rsid w:val="00C203F6"/>
    <w:rsid w:val="00C20EB1"/>
    <w:rsid w:val="00C2139F"/>
    <w:rsid w:val="00C24101"/>
    <w:rsid w:val="00C24FF3"/>
    <w:rsid w:val="00C2575E"/>
    <w:rsid w:val="00C26121"/>
    <w:rsid w:val="00C26989"/>
    <w:rsid w:val="00C27ABF"/>
    <w:rsid w:val="00C3086E"/>
    <w:rsid w:val="00C30D35"/>
    <w:rsid w:val="00C315FB"/>
    <w:rsid w:val="00C31713"/>
    <w:rsid w:val="00C317BD"/>
    <w:rsid w:val="00C320B3"/>
    <w:rsid w:val="00C33279"/>
    <w:rsid w:val="00C345F7"/>
    <w:rsid w:val="00C34B8F"/>
    <w:rsid w:val="00C35264"/>
    <w:rsid w:val="00C35332"/>
    <w:rsid w:val="00C37421"/>
    <w:rsid w:val="00C41015"/>
    <w:rsid w:val="00C41131"/>
    <w:rsid w:val="00C411C1"/>
    <w:rsid w:val="00C41845"/>
    <w:rsid w:val="00C41F94"/>
    <w:rsid w:val="00C422BD"/>
    <w:rsid w:val="00C42ED3"/>
    <w:rsid w:val="00C45581"/>
    <w:rsid w:val="00C45BF0"/>
    <w:rsid w:val="00C46213"/>
    <w:rsid w:val="00C4712A"/>
    <w:rsid w:val="00C47468"/>
    <w:rsid w:val="00C47CDC"/>
    <w:rsid w:val="00C47F06"/>
    <w:rsid w:val="00C50A2B"/>
    <w:rsid w:val="00C51671"/>
    <w:rsid w:val="00C5280A"/>
    <w:rsid w:val="00C52ACE"/>
    <w:rsid w:val="00C5401F"/>
    <w:rsid w:val="00C54922"/>
    <w:rsid w:val="00C55FE8"/>
    <w:rsid w:val="00C56CFB"/>
    <w:rsid w:val="00C601EF"/>
    <w:rsid w:val="00C6220B"/>
    <w:rsid w:val="00C62658"/>
    <w:rsid w:val="00C634D6"/>
    <w:rsid w:val="00C63CF2"/>
    <w:rsid w:val="00C6440A"/>
    <w:rsid w:val="00C648FC"/>
    <w:rsid w:val="00C663BE"/>
    <w:rsid w:val="00C71858"/>
    <w:rsid w:val="00C722C5"/>
    <w:rsid w:val="00C74346"/>
    <w:rsid w:val="00C744AE"/>
    <w:rsid w:val="00C74781"/>
    <w:rsid w:val="00C76903"/>
    <w:rsid w:val="00C76B87"/>
    <w:rsid w:val="00C80034"/>
    <w:rsid w:val="00C820D3"/>
    <w:rsid w:val="00C83EA7"/>
    <w:rsid w:val="00C84559"/>
    <w:rsid w:val="00C84E31"/>
    <w:rsid w:val="00C862C4"/>
    <w:rsid w:val="00C86977"/>
    <w:rsid w:val="00C86B34"/>
    <w:rsid w:val="00C86FFF"/>
    <w:rsid w:val="00C91060"/>
    <w:rsid w:val="00C95593"/>
    <w:rsid w:val="00CA0640"/>
    <w:rsid w:val="00CA2022"/>
    <w:rsid w:val="00CA4741"/>
    <w:rsid w:val="00CA7F49"/>
    <w:rsid w:val="00CB3C69"/>
    <w:rsid w:val="00CB57BF"/>
    <w:rsid w:val="00CB58C6"/>
    <w:rsid w:val="00CB5AEC"/>
    <w:rsid w:val="00CB7F82"/>
    <w:rsid w:val="00CC10A6"/>
    <w:rsid w:val="00CC10B3"/>
    <w:rsid w:val="00CC27BA"/>
    <w:rsid w:val="00CC2DE4"/>
    <w:rsid w:val="00CC360E"/>
    <w:rsid w:val="00CC3B04"/>
    <w:rsid w:val="00CC3D18"/>
    <w:rsid w:val="00CC3FC7"/>
    <w:rsid w:val="00CC48D6"/>
    <w:rsid w:val="00CD0A99"/>
    <w:rsid w:val="00CD32FE"/>
    <w:rsid w:val="00CD3E7D"/>
    <w:rsid w:val="00CD4A82"/>
    <w:rsid w:val="00CD5036"/>
    <w:rsid w:val="00CD50A3"/>
    <w:rsid w:val="00CD6866"/>
    <w:rsid w:val="00CD76D4"/>
    <w:rsid w:val="00CD7893"/>
    <w:rsid w:val="00CE03CC"/>
    <w:rsid w:val="00CE2304"/>
    <w:rsid w:val="00CE7E6A"/>
    <w:rsid w:val="00CE7E81"/>
    <w:rsid w:val="00CF030B"/>
    <w:rsid w:val="00CF23A2"/>
    <w:rsid w:val="00CF4325"/>
    <w:rsid w:val="00CF5D77"/>
    <w:rsid w:val="00CF6EB2"/>
    <w:rsid w:val="00CF730F"/>
    <w:rsid w:val="00CF7758"/>
    <w:rsid w:val="00D00269"/>
    <w:rsid w:val="00D02F72"/>
    <w:rsid w:val="00D05303"/>
    <w:rsid w:val="00D06E4E"/>
    <w:rsid w:val="00D07DC4"/>
    <w:rsid w:val="00D10AB0"/>
    <w:rsid w:val="00D12EE7"/>
    <w:rsid w:val="00D132A5"/>
    <w:rsid w:val="00D1373C"/>
    <w:rsid w:val="00D1497E"/>
    <w:rsid w:val="00D16B19"/>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1E23"/>
    <w:rsid w:val="00D32293"/>
    <w:rsid w:val="00D33323"/>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6D3C"/>
    <w:rsid w:val="00D47265"/>
    <w:rsid w:val="00D47500"/>
    <w:rsid w:val="00D4793C"/>
    <w:rsid w:val="00D4795D"/>
    <w:rsid w:val="00D56190"/>
    <w:rsid w:val="00D60582"/>
    <w:rsid w:val="00D607B9"/>
    <w:rsid w:val="00D61222"/>
    <w:rsid w:val="00D63800"/>
    <w:rsid w:val="00D63990"/>
    <w:rsid w:val="00D65068"/>
    <w:rsid w:val="00D65243"/>
    <w:rsid w:val="00D658A1"/>
    <w:rsid w:val="00D65BBD"/>
    <w:rsid w:val="00D67E99"/>
    <w:rsid w:val="00D71057"/>
    <w:rsid w:val="00D71B4D"/>
    <w:rsid w:val="00D72699"/>
    <w:rsid w:val="00D730F6"/>
    <w:rsid w:val="00D738F0"/>
    <w:rsid w:val="00D75E6C"/>
    <w:rsid w:val="00D76D0C"/>
    <w:rsid w:val="00D82474"/>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4807"/>
    <w:rsid w:val="00D95D9B"/>
    <w:rsid w:val="00D963CC"/>
    <w:rsid w:val="00D97332"/>
    <w:rsid w:val="00DA22D8"/>
    <w:rsid w:val="00DA2D95"/>
    <w:rsid w:val="00DA3A4F"/>
    <w:rsid w:val="00DA42C0"/>
    <w:rsid w:val="00DA52A2"/>
    <w:rsid w:val="00DA57B0"/>
    <w:rsid w:val="00DA5EB1"/>
    <w:rsid w:val="00DA7E2F"/>
    <w:rsid w:val="00DB0C0B"/>
    <w:rsid w:val="00DB2446"/>
    <w:rsid w:val="00DB31E7"/>
    <w:rsid w:val="00DB3A66"/>
    <w:rsid w:val="00DB4BEF"/>
    <w:rsid w:val="00DB546B"/>
    <w:rsid w:val="00DB7106"/>
    <w:rsid w:val="00DB74A4"/>
    <w:rsid w:val="00DB78B2"/>
    <w:rsid w:val="00DC073A"/>
    <w:rsid w:val="00DC0A7B"/>
    <w:rsid w:val="00DC0FDB"/>
    <w:rsid w:val="00DC1539"/>
    <w:rsid w:val="00DC2022"/>
    <w:rsid w:val="00DC230C"/>
    <w:rsid w:val="00DC27E7"/>
    <w:rsid w:val="00DC2A7E"/>
    <w:rsid w:val="00DC2CE7"/>
    <w:rsid w:val="00DC301A"/>
    <w:rsid w:val="00DC5188"/>
    <w:rsid w:val="00DC6294"/>
    <w:rsid w:val="00DC6AEA"/>
    <w:rsid w:val="00DC7377"/>
    <w:rsid w:val="00DD2912"/>
    <w:rsid w:val="00DD353B"/>
    <w:rsid w:val="00DD417A"/>
    <w:rsid w:val="00DD45C1"/>
    <w:rsid w:val="00DD4849"/>
    <w:rsid w:val="00DD5FE5"/>
    <w:rsid w:val="00DE0107"/>
    <w:rsid w:val="00DE0FC0"/>
    <w:rsid w:val="00DE190A"/>
    <w:rsid w:val="00DE1A76"/>
    <w:rsid w:val="00DE31D8"/>
    <w:rsid w:val="00DE3A31"/>
    <w:rsid w:val="00DE4F75"/>
    <w:rsid w:val="00DE5F76"/>
    <w:rsid w:val="00DF06B6"/>
    <w:rsid w:val="00DF09A4"/>
    <w:rsid w:val="00DF0DF7"/>
    <w:rsid w:val="00DF13A5"/>
    <w:rsid w:val="00DF1C93"/>
    <w:rsid w:val="00DF1E5D"/>
    <w:rsid w:val="00DF29CB"/>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35B7"/>
    <w:rsid w:val="00E13B5F"/>
    <w:rsid w:val="00E14266"/>
    <w:rsid w:val="00E14307"/>
    <w:rsid w:val="00E15911"/>
    <w:rsid w:val="00E15C7F"/>
    <w:rsid w:val="00E16412"/>
    <w:rsid w:val="00E165DD"/>
    <w:rsid w:val="00E16A98"/>
    <w:rsid w:val="00E227C3"/>
    <w:rsid w:val="00E22843"/>
    <w:rsid w:val="00E23111"/>
    <w:rsid w:val="00E23A43"/>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7A5"/>
    <w:rsid w:val="00E528D2"/>
    <w:rsid w:val="00E54E89"/>
    <w:rsid w:val="00E57E0F"/>
    <w:rsid w:val="00E601CE"/>
    <w:rsid w:val="00E602CF"/>
    <w:rsid w:val="00E614C1"/>
    <w:rsid w:val="00E61567"/>
    <w:rsid w:val="00E61EE8"/>
    <w:rsid w:val="00E62061"/>
    <w:rsid w:val="00E62441"/>
    <w:rsid w:val="00E63879"/>
    <w:rsid w:val="00E647FF"/>
    <w:rsid w:val="00E650C6"/>
    <w:rsid w:val="00E65FD0"/>
    <w:rsid w:val="00E66894"/>
    <w:rsid w:val="00E66A80"/>
    <w:rsid w:val="00E66EE6"/>
    <w:rsid w:val="00E7063D"/>
    <w:rsid w:val="00E71329"/>
    <w:rsid w:val="00E71633"/>
    <w:rsid w:val="00E7218C"/>
    <w:rsid w:val="00E72689"/>
    <w:rsid w:val="00E730AA"/>
    <w:rsid w:val="00E74C7A"/>
    <w:rsid w:val="00E76F52"/>
    <w:rsid w:val="00E82A09"/>
    <w:rsid w:val="00E82B54"/>
    <w:rsid w:val="00E8312D"/>
    <w:rsid w:val="00E8380C"/>
    <w:rsid w:val="00E838B2"/>
    <w:rsid w:val="00E84521"/>
    <w:rsid w:val="00E84D6B"/>
    <w:rsid w:val="00E856B0"/>
    <w:rsid w:val="00E85D85"/>
    <w:rsid w:val="00E86868"/>
    <w:rsid w:val="00E86C2A"/>
    <w:rsid w:val="00E86CA1"/>
    <w:rsid w:val="00E87F07"/>
    <w:rsid w:val="00E90973"/>
    <w:rsid w:val="00E91D00"/>
    <w:rsid w:val="00E91E35"/>
    <w:rsid w:val="00E937B5"/>
    <w:rsid w:val="00E9442F"/>
    <w:rsid w:val="00E94495"/>
    <w:rsid w:val="00E9486B"/>
    <w:rsid w:val="00E95534"/>
    <w:rsid w:val="00E96326"/>
    <w:rsid w:val="00E969D2"/>
    <w:rsid w:val="00E97D83"/>
    <w:rsid w:val="00EA0CA1"/>
    <w:rsid w:val="00EA0CBC"/>
    <w:rsid w:val="00EA1772"/>
    <w:rsid w:val="00EA1D8B"/>
    <w:rsid w:val="00EA3249"/>
    <w:rsid w:val="00EA3C59"/>
    <w:rsid w:val="00EA5118"/>
    <w:rsid w:val="00EA6C56"/>
    <w:rsid w:val="00EB02F9"/>
    <w:rsid w:val="00EB0666"/>
    <w:rsid w:val="00EB0C63"/>
    <w:rsid w:val="00EB0DF0"/>
    <w:rsid w:val="00EB1A2C"/>
    <w:rsid w:val="00EB1EAE"/>
    <w:rsid w:val="00EB2513"/>
    <w:rsid w:val="00EB37E2"/>
    <w:rsid w:val="00EB3DF7"/>
    <w:rsid w:val="00EB40DC"/>
    <w:rsid w:val="00EB4A53"/>
    <w:rsid w:val="00EB5616"/>
    <w:rsid w:val="00EB6293"/>
    <w:rsid w:val="00EB743F"/>
    <w:rsid w:val="00EC064C"/>
    <w:rsid w:val="00EC0BFA"/>
    <w:rsid w:val="00EC0D38"/>
    <w:rsid w:val="00EC0FD0"/>
    <w:rsid w:val="00EC115D"/>
    <w:rsid w:val="00EC152A"/>
    <w:rsid w:val="00EC3328"/>
    <w:rsid w:val="00EC34A9"/>
    <w:rsid w:val="00EC3934"/>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E63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B8D"/>
    <w:rsid w:val="00F06D58"/>
    <w:rsid w:val="00F06DC1"/>
    <w:rsid w:val="00F07353"/>
    <w:rsid w:val="00F104AB"/>
    <w:rsid w:val="00F10D6B"/>
    <w:rsid w:val="00F11975"/>
    <w:rsid w:val="00F12C08"/>
    <w:rsid w:val="00F12CDC"/>
    <w:rsid w:val="00F13E45"/>
    <w:rsid w:val="00F147C6"/>
    <w:rsid w:val="00F148CC"/>
    <w:rsid w:val="00F168EF"/>
    <w:rsid w:val="00F20933"/>
    <w:rsid w:val="00F21705"/>
    <w:rsid w:val="00F231FC"/>
    <w:rsid w:val="00F24AB7"/>
    <w:rsid w:val="00F2567E"/>
    <w:rsid w:val="00F25E84"/>
    <w:rsid w:val="00F26068"/>
    <w:rsid w:val="00F2706D"/>
    <w:rsid w:val="00F2723F"/>
    <w:rsid w:val="00F27ADB"/>
    <w:rsid w:val="00F307CE"/>
    <w:rsid w:val="00F31178"/>
    <w:rsid w:val="00F32971"/>
    <w:rsid w:val="00F3400B"/>
    <w:rsid w:val="00F35C44"/>
    <w:rsid w:val="00F37B6F"/>
    <w:rsid w:val="00F40C05"/>
    <w:rsid w:val="00F40E86"/>
    <w:rsid w:val="00F42168"/>
    <w:rsid w:val="00F4229C"/>
    <w:rsid w:val="00F425B3"/>
    <w:rsid w:val="00F44617"/>
    <w:rsid w:val="00F44A3D"/>
    <w:rsid w:val="00F44C78"/>
    <w:rsid w:val="00F452C0"/>
    <w:rsid w:val="00F459E6"/>
    <w:rsid w:val="00F53C70"/>
    <w:rsid w:val="00F5557D"/>
    <w:rsid w:val="00F562A9"/>
    <w:rsid w:val="00F60C62"/>
    <w:rsid w:val="00F619CE"/>
    <w:rsid w:val="00F62820"/>
    <w:rsid w:val="00F6300E"/>
    <w:rsid w:val="00F6301A"/>
    <w:rsid w:val="00F645AF"/>
    <w:rsid w:val="00F66BC9"/>
    <w:rsid w:val="00F67946"/>
    <w:rsid w:val="00F72B99"/>
    <w:rsid w:val="00F72CCD"/>
    <w:rsid w:val="00F72E61"/>
    <w:rsid w:val="00F72E9F"/>
    <w:rsid w:val="00F73166"/>
    <w:rsid w:val="00F736F9"/>
    <w:rsid w:val="00F739E9"/>
    <w:rsid w:val="00F76964"/>
    <w:rsid w:val="00F81620"/>
    <w:rsid w:val="00F84240"/>
    <w:rsid w:val="00F85237"/>
    <w:rsid w:val="00F8564F"/>
    <w:rsid w:val="00F872DA"/>
    <w:rsid w:val="00F87DAE"/>
    <w:rsid w:val="00F9000A"/>
    <w:rsid w:val="00F9002A"/>
    <w:rsid w:val="00F906D0"/>
    <w:rsid w:val="00F90CC8"/>
    <w:rsid w:val="00F92547"/>
    <w:rsid w:val="00F93FEB"/>
    <w:rsid w:val="00F94E43"/>
    <w:rsid w:val="00F95F1D"/>
    <w:rsid w:val="00F96156"/>
    <w:rsid w:val="00F97AFE"/>
    <w:rsid w:val="00F97E65"/>
    <w:rsid w:val="00FA0128"/>
    <w:rsid w:val="00FA0F09"/>
    <w:rsid w:val="00FA1786"/>
    <w:rsid w:val="00FA17C2"/>
    <w:rsid w:val="00FA215F"/>
    <w:rsid w:val="00FA3191"/>
    <w:rsid w:val="00FA5426"/>
    <w:rsid w:val="00FA5AE3"/>
    <w:rsid w:val="00FA73DD"/>
    <w:rsid w:val="00FB0A63"/>
    <w:rsid w:val="00FB13C2"/>
    <w:rsid w:val="00FB27FA"/>
    <w:rsid w:val="00FB35D3"/>
    <w:rsid w:val="00FB380D"/>
    <w:rsid w:val="00FB3FB7"/>
    <w:rsid w:val="00FB6BE7"/>
    <w:rsid w:val="00FB76C5"/>
    <w:rsid w:val="00FB7FBE"/>
    <w:rsid w:val="00FC0824"/>
    <w:rsid w:val="00FC0C57"/>
    <w:rsid w:val="00FC16B9"/>
    <w:rsid w:val="00FC1DA7"/>
    <w:rsid w:val="00FC2414"/>
    <w:rsid w:val="00FC2C4D"/>
    <w:rsid w:val="00FC2E20"/>
    <w:rsid w:val="00FC44A1"/>
    <w:rsid w:val="00FC4DEB"/>
    <w:rsid w:val="00FC50CE"/>
    <w:rsid w:val="00FC62AC"/>
    <w:rsid w:val="00FC77FF"/>
    <w:rsid w:val="00FC7C2B"/>
    <w:rsid w:val="00FC7E40"/>
    <w:rsid w:val="00FD1351"/>
    <w:rsid w:val="00FD369C"/>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4052"/>
    <w:rsid w:val="00FF457A"/>
    <w:rsid w:val="00FF5CF2"/>
    <w:rsid w:val="00FF608E"/>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98598B"/>
    <w:pPr>
      <w:tabs>
        <w:tab w:val="right" w:leader="dot" w:pos="9676"/>
      </w:tabs>
      <w:spacing w:after="100" w:line="36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4"/>
      </w:numPr>
      <w:contextualSpacing/>
    </w:pPr>
    <w:rPr>
      <w:rFonts w:ascii="Times New Roman" w:eastAsia="Times New Roman" w:hAnsi="Times New Roman" w:cs="Times New Roman"/>
      <w:sz w:val="20"/>
      <w:szCs w:val="20"/>
      <w:lang w:val="es-MX"/>
    </w:rPr>
  </w:style>
  <w:style w:type="paragraph" w:styleId="Revisin">
    <w:name w:val="Revision"/>
    <w:hidden/>
    <w:uiPriority w:val="99"/>
    <w:semiHidden/>
    <w:rsid w:val="00976FB9"/>
  </w:style>
  <w:style w:type="character" w:customStyle="1" w:styleId="UnresolvedMention">
    <w:name w:val="Unresolved Mention"/>
    <w:basedOn w:val="Fuentedeprrafopredeter"/>
    <w:uiPriority w:val="99"/>
    <w:semiHidden/>
    <w:unhideWhenUsed/>
    <w:rsid w:val="00480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972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9974450">
      <w:bodyDiv w:val="1"/>
      <w:marLeft w:val="0"/>
      <w:marRight w:val="0"/>
      <w:marTop w:val="0"/>
      <w:marBottom w:val="0"/>
      <w:divBdr>
        <w:top w:val="none" w:sz="0" w:space="0" w:color="auto"/>
        <w:left w:val="none" w:sz="0" w:space="0" w:color="auto"/>
        <w:bottom w:val="none" w:sz="0" w:space="0" w:color="auto"/>
        <w:right w:val="none" w:sz="0" w:space="0" w:color="auto"/>
      </w:divBdr>
    </w:div>
    <w:div w:id="21831980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6071">
      <w:bodyDiv w:val="1"/>
      <w:marLeft w:val="0"/>
      <w:marRight w:val="0"/>
      <w:marTop w:val="0"/>
      <w:marBottom w:val="0"/>
      <w:divBdr>
        <w:top w:val="none" w:sz="0" w:space="0" w:color="auto"/>
        <w:left w:val="none" w:sz="0" w:space="0" w:color="auto"/>
        <w:bottom w:val="none" w:sz="0" w:space="0" w:color="auto"/>
        <w:right w:val="none" w:sz="0" w:space="0" w:color="auto"/>
      </w:divBdr>
      <w:divsChild>
        <w:div w:id="527380259">
          <w:marLeft w:val="0"/>
          <w:marRight w:val="0"/>
          <w:marTop w:val="0"/>
          <w:marBottom w:val="101"/>
          <w:divBdr>
            <w:top w:val="none" w:sz="0" w:space="0" w:color="auto"/>
            <w:left w:val="none" w:sz="0" w:space="0" w:color="auto"/>
            <w:bottom w:val="none" w:sz="0" w:space="0" w:color="auto"/>
            <w:right w:val="none" w:sz="0" w:space="0" w:color="auto"/>
          </w:divBdr>
        </w:div>
        <w:div w:id="1499924848">
          <w:marLeft w:val="864"/>
          <w:marRight w:val="0"/>
          <w:marTop w:val="0"/>
          <w:marBottom w:val="101"/>
          <w:divBdr>
            <w:top w:val="none" w:sz="0" w:space="0" w:color="auto"/>
            <w:left w:val="none" w:sz="0" w:space="0" w:color="auto"/>
            <w:bottom w:val="none" w:sz="0" w:space="0" w:color="auto"/>
            <w:right w:val="none" w:sz="0" w:space="0" w:color="auto"/>
          </w:divBdr>
        </w:div>
        <w:div w:id="431510518">
          <w:marLeft w:val="864"/>
          <w:marRight w:val="0"/>
          <w:marTop w:val="0"/>
          <w:marBottom w:val="101"/>
          <w:divBdr>
            <w:top w:val="none" w:sz="0" w:space="0" w:color="auto"/>
            <w:left w:val="none" w:sz="0" w:space="0" w:color="auto"/>
            <w:bottom w:val="none" w:sz="0" w:space="0" w:color="auto"/>
            <w:right w:val="none" w:sz="0" w:space="0" w:color="auto"/>
          </w:divBdr>
        </w:div>
        <w:div w:id="637801339">
          <w:marLeft w:val="0"/>
          <w:marRight w:val="0"/>
          <w:marTop w:val="0"/>
          <w:marBottom w:val="101"/>
          <w:divBdr>
            <w:top w:val="none" w:sz="0" w:space="0" w:color="auto"/>
            <w:left w:val="none" w:sz="0" w:space="0" w:color="auto"/>
            <w:bottom w:val="none" w:sz="0" w:space="0" w:color="auto"/>
            <w:right w:val="none" w:sz="0" w:space="0" w:color="auto"/>
          </w:divBdr>
        </w:div>
        <w:div w:id="1420254556">
          <w:marLeft w:val="0"/>
          <w:marRight w:val="0"/>
          <w:marTop w:val="0"/>
          <w:marBottom w:val="101"/>
          <w:divBdr>
            <w:top w:val="none" w:sz="0" w:space="0" w:color="auto"/>
            <w:left w:val="none" w:sz="0" w:space="0" w:color="auto"/>
            <w:bottom w:val="none" w:sz="0" w:space="0" w:color="auto"/>
            <w:right w:val="none" w:sz="0" w:space="0" w:color="auto"/>
          </w:divBdr>
        </w:div>
        <w:div w:id="1190755220">
          <w:marLeft w:val="0"/>
          <w:marRight w:val="0"/>
          <w:marTop w:val="0"/>
          <w:marBottom w:val="101"/>
          <w:divBdr>
            <w:top w:val="none" w:sz="0" w:space="0" w:color="auto"/>
            <w:left w:val="none" w:sz="0" w:space="0" w:color="auto"/>
            <w:bottom w:val="none" w:sz="0" w:space="0" w:color="auto"/>
            <w:right w:val="none" w:sz="0" w:space="0" w:color="auto"/>
          </w:divBdr>
        </w:div>
        <w:div w:id="446706659">
          <w:marLeft w:val="0"/>
          <w:marRight w:val="0"/>
          <w:marTop w:val="0"/>
          <w:marBottom w:val="101"/>
          <w:divBdr>
            <w:top w:val="none" w:sz="0" w:space="0" w:color="auto"/>
            <w:left w:val="none" w:sz="0" w:space="0" w:color="auto"/>
            <w:bottom w:val="none" w:sz="0" w:space="0" w:color="auto"/>
            <w:right w:val="none" w:sz="0" w:space="0" w:color="auto"/>
          </w:divBdr>
        </w:div>
        <w:div w:id="731119737">
          <w:marLeft w:val="0"/>
          <w:marRight w:val="0"/>
          <w:marTop w:val="0"/>
          <w:marBottom w:val="101"/>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647955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976546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39301368">
      <w:bodyDiv w:val="1"/>
      <w:marLeft w:val="0"/>
      <w:marRight w:val="0"/>
      <w:marTop w:val="0"/>
      <w:marBottom w:val="0"/>
      <w:divBdr>
        <w:top w:val="none" w:sz="0" w:space="0" w:color="auto"/>
        <w:left w:val="none" w:sz="0" w:space="0" w:color="auto"/>
        <w:bottom w:val="none" w:sz="0" w:space="0" w:color="auto"/>
        <w:right w:val="none" w:sz="0" w:space="0" w:color="auto"/>
      </w:divBdr>
    </w:div>
    <w:div w:id="1159926493">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7370370">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3521112">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895634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05921806">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37767145">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65717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FA98E-EE3D-416E-9038-B56ED626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78</Pages>
  <Words>16759</Words>
  <Characters>92179</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2019-12-11T01:19:00Z</cp:lastPrinted>
  <dcterms:created xsi:type="dcterms:W3CDTF">2022-08-03T01:23:00Z</dcterms:created>
  <dcterms:modified xsi:type="dcterms:W3CDTF">2022-09-08T15:04:00Z</dcterms:modified>
</cp:coreProperties>
</file>