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7819" w14:textId="12F90B35" w:rsidR="00E167CA" w:rsidRPr="00AD2A55" w:rsidRDefault="00E167CA" w:rsidP="00E167C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nueve de marzo de dos mil veintidós</w:t>
      </w:r>
      <w:r w:rsidRPr="00AD2A55">
        <w:rPr>
          <w:rFonts w:ascii="Palatino Linotype" w:eastAsia="Times New Roman" w:hAnsi="Palatino Linotype" w:cs="Arial"/>
          <w:color w:val="000000"/>
          <w:sz w:val="24"/>
          <w:szCs w:val="24"/>
          <w:lang w:eastAsia="es-MX"/>
        </w:rPr>
        <w:t>.</w:t>
      </w:r>
    </w:p>
    <w:p w14:paraId="72660217" w14:textId="77777777" w:rsidR="00E167CA" w:rsidRPr="00AD2A55" w:rsidRDefault="00E167CA" w:rsidP="00E167C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E6B103C" w14:textId="178800AD" w:rsidR="00E167CA" w:rsidRPr="00AD2A55" w:rsidRDefault="00E167CA" w:rsidP="00E167C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sidRPr="00F840E5">
        <w:rPr>
          <w:rFonts w:ascii="Palatino Linotype" w:hAnsi="Palatino Linotype" w:cs="Arial"/>
          <w:bCs/>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06465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w:t>
      </w:r>
      <w:r w:rsidR="001B317D">
        <w:rPr>
          <w:rFonts w:ascii="Palatino Linotype" w:hAnsi="Palatino Linotype" w:cs="Arial"/>
          <w:sz w:val="24"/>
          <w:szCs w:val="24"/>
        </w:rPr>
        <w:t xml:space="preserve">  </w:t>
      </w:r>
      <w:r w:rsidR="001B317D">
        <w:rPr>
          <w:rFonts w:ascii="Palatino Linotype" w:hAnsi="Palatino Linotype" w:cs="Arial"/>
          <w:b/>
          <w:bCs/>
          <w:sz w:val="24"/>
          <w:szCs w:val="24"/>
        </w:rPr>
        <w:t>XXXXXXXXXXX</w:t>
      </w:r>
      <w:r>
        <w:rPr>
          <w:rFonts w:ascii="Palatino Linotype" w:hAnsi="Palatino Linotype" w:cs="Arial"/>
          <w:sz w:val="24"/>
          <w:szCs w:val="24"/>
        </w:rPr>
        <w:t xml:space="preserve">, se le denominara </w:t>
      </w:r>
      <w:r w:rsidRPr="00030EFF">
        <w:rPr>
          <w:rFonts w:ascii="Palatino Linotype" w:hAnsi="Palatino Linotype" w:cs="Arial"/>
          <w:b/>
          <w:bCs/>
          <w:sz w:val="24"/>
          <w:szCs w:val="24"/>
        </w:rPr>
        <w:t>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C5AAC94" w14:textId="77777777" w:rsidR="00E167CA" w:rsidRPr="00AD2A55" w:rsidRDefault="00E167CA" w:rsidP="00E167CA">
      <w:pPr>
        <w:tabs>
          <w:tab w:val="left" w:pos="1701"/>
        </w:tabs>
        <w:spacing w:after="0" w:line="360" w:lineRule="auto"/>
        <w:jc w:val="both"/>
        <w:rPr>
          <w:rFonts w:ascii="Palatino Linotype" w:hAnsi="Palatino Linotype" w:cs="Arial"/>
          <w:sz w:val="24"/>
          <w:szCs w:val="24"/>
        </w:rPr>
      </w:pPr>
    </w:p>
    <w:p w14:paraId="3D9BA15A" w14:textId="77777777" w:rsidR="00E167CA" w:rsidRPr="006F4C89" w:rsidRDefault="00E167CA" w:rsidP="00E167CA">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689CFA4" w14:textId="77777777" w:rsidR="00E167CA" w:rsidRPr="00AD2A55" w:rsidRDefault="00E167CA" w:rsidP="00E167CA">
      <w:pPr>
        <w:spacing w:after="0" w:line="360" w:lineRule="auto"/>
        <w:jc w:val="center"/>
        <w:rPr>
          <w:rFonts w:ascii="Palatino Linotype" w:hAnsi="Palatino Linotype" w:cs="Arial"/>
          <w:b/>
          <w:sz w:val="24"/>
          <w:szCs w:val="24"/>
        </w:rPr>
      </w:pPr>
    </w:p>
    <w:p w14:paraId="3FEF872B" w14:textId="77777777" w:rsidR="00E167CA" w:rsidRPr="000C59C0" w:rsidRDefault="00E167CA" w:rsidP="00E167CA">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PRIMERO. De la solicitud de información.</w:t>
      </w:r>
    </w:p>
    <w:p w14:paraId="63214620" w14:textId="17303E4A" w:rsidR="00E167CA" w:rsidRDefault="00E167CA" w:rsidP="00E167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veinte de once de noviembre dos mil veintiuno</w:t>
      </w:r>
      <w:r w:rsidRPr="00AD2A55">
        <w:rPr>
          <w:rFonts w:ascii="Palatino Linotype" w:hAnsi="Palatino Linotype" w:cs="Arial"/>
          <w:sz w:val="24"/>
          <w:szCs w:val="24"/>
        </w:rPr>
        <w:t xml:space="preserve">, </w:t>
      </w:r>
      <w:r>
        <w:rPr>
          <w:rFonts w:ascii="Palatino Linotype" w:hAnsi="Palatino Linotype" w:cs="Arial"/>
          <w:sz w:val="24"/>
          <w:szCs w:val="24"/>
        </w:rPr>
        <w:t xml:space="preserve">el </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E167CA">
        <w:rPr>
          <w:rFonts w:ascii="Palatino Linotype" w:hAnsi="Palatino Linotype" w:cs="Arial"/>
          <w:b/>
          <w:sz w:val="24"/>
          <w:szCs w:val="24"/>
        </w:rPr>
        <w:t xml:space="preserve">00861/NAUCALPA/IP/2021 </w:t>
      </w:r>
      <w:r w:rsidRPr="00AD2A55">
        <w:rPr>
          <w:rFonts w:ascii="Palatino Linotype" w:hAnsi="Palatino Linotype" w:cs="Arial"/>
          <w:sz w:val="24"/>
          <w:szCs w:val="24"/>
        </w:rPr>
        <w:t>mediante la cual solicitó información en el tenor siguiente:</w:t>
      </w:r>
    </w:p>
    <w:p w14:paraId="0E8C1ABC" w14:textId="77777777" w:rsidR="00E167CA" w:rsidRDefault="00E167CA" w:rsidP="00E167CA">
      <w:pPr>
        <w:spacing w:after="0" w:line="360" w:lineRule="auto"/>
        <w:jc w:val="both"/>
        <w:rPr>
          <w:rFonts w:ascii="Palatino Linotype" w:hAnsi="Palatino Linotype" w:cs="Arial"/>
          <w:sz w:val="24"/>
          <w:szCs w:val="24"/>
        </w:rPr>
      </w:pPr>
    </w:p>
    <w:p w14:paraId="2FEA615C" w14:textId="1FCC3D6E" w:rsidR="00E167CA" w:rsidRPr="00C60AB2" w:rsidRDefault="00E167CA" w:rsidP="00E167CA">
      <w:pPr>
        <w:jc w:val="both"/>
        <w:rPr>
          <w:rFonts w:ascii="Palatino Linotype" w:hAnsi="Palatino Linotype"/>
          <w:i/>
          <w:color w:val="000000"/>
        </w:rPr>
      </w:pPr>
      <w:r w:rsidRPr="000A1BB5">
        <w:rPr>
          <w:rFonts w:ascii="Palatino Linotype" w:hAnsi="Palatino Linotype"/>
          <w:i/>
          <w:color w:val="000000"/>
        </w:rPr>
        <w:t>“</w:t>
      </w:r>
      <w:r w:rsidRPr="00E167CA">
        <w:rPr>
          <w:rFonts w:ascii="Palatino Linotype" w:hAnsi="Palatino Linotype"/>
          <w:i/>
          <w:color w:val="000000"/>
        </w:rPr>
        <w:t xml:space="preserve">Solicito copia de los permisos para la excavación, demolición, construcción del predio ubicado en Calle </w:t>
      </w:r>
      <w:proofErr w:type="spellStart"/>
      <w:r w:rsidR="00773B75">
        <w:rPr>
          <w:rFonts w:ascii="Palatino Linotype" w:hAnsi="Palatino Linotype"/>
          <w:i/>
          <w:color w:val="000000"/>
        </w:rPr>
        <w:t>xxxxxxx</w:t>
      </w:r>
      <w:proofErr w:type="spellEnd"/>
      <w:r w:rsidRPr="00E167CA">
        <w:rPr>
          <w:rFonts w:ascii="Palatino Linotype" w:hAnsi="Palatino Linotype"/>
          <w:i/>
          <w:color w:val="000000"/>
        </w:rPr>
        <w:t xml:space="preserve"> #</w:t>
      </w:r>
      <w:r w:rsidR="00773B75">
        <w:rPr>
          <w:rFonts w:ascii="Palatino Linotype" w:hAnsi="Palatino Linotype"/>
          <w:i/>
          <w:color w:val="000000"/>
        </w:rPr>
        <w:t>xxx</w:t>
      </w:r>
      <w:r w:rsidRPr="00E167CA">
        <w:rPr>
          <w:rFonts w:ascii="Palatino Linotype" w:hAnsi="Palatino Linotype"/>
          <w:i/>
          <w:color w:val="000000"/>
        </w:rPr>
        <w:t xml:space="preserve"> colonia </w:t>
      </w:r>
      <w:proofErr w:type="spellStart"/>
      <w:r w:rsidR="00773B75">
        <w:rPr>
          <w:rFonts w:ascii="Palatino Linotype" w:hAnsi="Palatino Linotype"/>
          <w:i/>
          <w:color w:val="000000"/>
        </w:rPr>
        <w:t>xxxxxxxxxxxxx</w:t>
      </w:r>
      <w:proofErr w:type="spellEnd"/>
      <w:r w:rsidRPr="00E167CA">
        <w:rPr>
          <w:rFonts w:ascii="Palatino Linotype" w:hAnsi="Palatino Linotype"/>
          <w:i/>
          <w:color w:val="000000"/>
        </w:rPr>
        <w:t xml:space="preserve"> en Naucalpan de Juárez</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4DA5CFB4" w14:textId="77777777" w:rsidR="00E167CA" w:rsidRDefault="00E167CA" w:rsidP="00E167CA">
      <w:pPr>
        <w:spacing w:after="0" w:line="360" w:lineRule="auto"/>
        <w:ind w:right="850"/>
        <w:jc w:val="both"/>
        <w:rPr>
          <w:rFonts w:ascii="Palatino Linotype" w:eastAsia="Times New Roman" w:hAnsi="Palatino Linotype" w:cs="Times New Roman"/>
          <w:b/>
          <w:sz w:val="24"/>
          <w:szCs w:val="24"/>
          <w:lang w:val="es-ES_tradnl" w:eastAsia="es-ES"/>
        </w:rPr>
      </w:pPr>
    </w:p>
    <w:p w14:paraId="6D1DF897" w14:textId="15D660DD" w:rsidR="00E167CA" w:rsidRPr="00B34BE7" w:rsidRDefault="00E167CA" w:rsidP="00E167CA">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Consulta directa</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b/>
          <w:sz w:val="24"/>
          <w:szCs w:val="24"/>
          <w:lang w:val="es-ES_tradnl" w:eastAsia="es-ES"/>
        </w:rPr>
        <w:t>sin costo)</w:t>
      </w:r>
      <w:r w:rsidRPr="00B34BE7">
        <w:rPr>
          <w:rFonts w:ascii="Palatino Linotype" w:eastAsia="Times New Roman" w:hAnsi="Palatino Linotype" w:cs="Times New Roman"/>
          <w:sz w:val="24"/>
          <w:szCs w:val="24"/>
          <w:lang w:val="es-ES_tradnl" w:eastAsia="es-ES"/>
        </w:rPr>
        <w:t>.</w:t>
      </w:r>
    </w:p>
    <w:p w14:paraId="31D6AEA5" w14:textId="77777777" w:rsidR="00E167CA" w:rsidRDefault="00E167CA" w:rsidP="00E167CA">
      <w:pPr>
        <w:spacing w:after="0" w:line="360" w:lineRule="auto"/>
        <w:ind w:right="850"/>
        <w:jc w:val="both"/>
        <w:rPr>
          <w:rFonts w:ascii="Palatino Linotype" w:eastAsia="Times New Roman" w:hAnsi="Palatino Linotype" w:cs="Times New Roman"/>
          <w:b/>
          <w:sz w:val="24"/>
          <w:szCs w:val="24"/>
          <w:lang w:val="es-ES_tradnl" w:eastAsia="es-ES"/>
        </w:rPr>
      </w:pPr>
    </w:p>
    <w:p w14:paraId="13F6B81A" w14:textId="00420795" w:rsidR="00E167CA" w:rsidRDefault="00E167CA" w:rsidP="00E167CA">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D217CBB" w14:textId="77777777" w:rsidR="00E167CA" w:rsidRDefault="00E167CA" w:rsidP="00E167CA">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78BAD7C4" w14:textId="77777777" w:rsidR="00E167CA" w:rsidRDefault="00E167CA" w:rsidP="00E167CA">
      <w:pPr>
        <w:spacing w:after="0" w:line="360" w:lineRule="auto"/>
        <w:jc w:val="both"/>
        <w:rPr>
          <w:rFonts w:ascii="Palatino Linotype" w:hAnsi="Palatino Linotype"/>
          <w:sz w:val="24"/>
          <w:szCs w:val="24"/>
        </w:rPr>
      </w:pPr>
    </w:p>
    <w:p w14:paraId="32F46AA2" w14:textId="1402CDEC" w:rsidR="00E167CA" w:rsidRDefault="00E167CA" w:rsidP="00E167CA">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24174D53" wp14:editId="70105E67">
                <wp:simplePos x="0" y="0"/>
                <wp:positionH relativeFrom="column">
                  <wp:posOffset>1910715</wp:posOffset>
                </wp:positionH>
                <wp:positionV relativeFrom="paragraph">
                  <wp:posOffset>474345</wp:posOffset>
                </wp:positionV>
                <wp:extent cx="381000" cy="257175"/>
                <wp:effectExtent l="19050" t="19050" r="19050" b="47625"/>
                <wp:wrapNone/>
                <wp:docPr id="4" name="Flecha: hacia la izquierd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571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3109A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150.45pt;margin-top:37.35pt;width:3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" adj="7290" fillcolor="red" strokecolor="red" strokeweight="1pt">
                <v:path arrowok="t"/>
              </v:shape>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2C25DC2F" wp14:editId="1F8ECC10">
                <wp:simplePos x="0" y="0"/>
                <wp:positionH relativeFrom="column">
                  <wp:posOffset>434340</wp:posOffset>
                </wp:positionH>
                <wp:positionV relativeFrom="paragraph">
                  <wp:posOffset>1029335</wp:posOffset>
                </wp:positionV>
                <wp:extent cx="4905375" cy="638175"/>
                <wp:effectExtent l="19050" t="19050" r="28575" b="2857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5375" cy="6381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AA00174" id="Rectángulo redondeado 9" o:spid="_x0000_s1026" style="position:absolute;margin-left:34.2pt;margin-top:81.05pt;width:386.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" filled="f" strokecolor="red" strokeweight="3pt">
                <v:stroke joinstyle="miter"/>
                <v:path arrowok="t"/>
              </v:roundrect>
            </w:pict>
          </mc:Fallback>
        </mc:AlternateContent>
      </w:r>
      <w:r w:rsidRPr="00684AC8">
        <w:rPr>
          <w:noProof/>
        </w:rPr>
        <w:t xml:space="preserve"> </w:t>
      </w:r>
      <w:bookmarkStart w:id="0" w:name="_GoBack"/>
      <w:r>
        <w:rPr>
          <w:noProof/>
          <w:lang w:eastAsia="es-MX"/>
        </w:rPr>
        <w:drawing>
          <wp:inline distT="0" distB="0" distL="0" distR="0" wp14:anchorId="45823396" wp14:editId="476F843D">
            <wp:extent cx="5124450" cy="2819400"/>
            <wp:effectExtent l="114300" t="95250" r="114300" b="9525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25463" t="29689" r="25264" b="26513"/>
                    <a:stretch/>
                  </pic:blipFill>
                  <pic:spPr bwMode="auto">
                    <a:xfrm>
                      <a:off x="0" y="0"/>
                      <a:ext cx="5129436" cy="282214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bookmarkEnd w:id="0"/>
    </w:p>
    <w:p w14:paraId="65ABA4C9" w14:textId="77777777" w:rsidR="00E167CA" w:rsidRDefault="00E167CA" w:rsidP="00E167CA">
      <w:pPr>
        <w:spacing w:after="0" w:line="360" w:lineRule="auto"/>
        <w:jc w:val="center"/>
        <w:rPr>
          <w:rFonts w:ascii="Palatino Linotype" w:hAnsi="Palatino Linotype"/>
          <w:sz w:val="24"/>
          <w:szCs w:val="24"/>
        </w:rPr>
      </w:pPr>
    </w:p>
    <w:p w14:paraId="29DD76BC" w14:textId="77777777" w:rsidR="00E167CA" w:rsidRPr="000C59C0" w:rsidRDefault="00E167CA" w:rsidP="00E167CA">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TERCERO. Del recurso de revisión.</w:t>
      </w:r>
    </w:p>
    <w:p w14:paraId="3020E689" w14:textId="4C3B807D" w:rsidR="00E167CA" w:rsidRDefault="00E167CA" w:rsidP="00E167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5D5032">
        <w:rPr>
          <w:rFonts w:ascii="Palatino Linotype" w:hAnsi="Palatino Linotype" w:cs="Arial"/>
          <w:sz w:val="24"/>
          <w:szCs w:val="24"/>
        </w:rPr>
        <w:t>dieciséis</w:t>
      </w:r>
      <w:r>
        <w:rPr>
          <w:rFonts w:ascii="Palatino Linotype" w:hAnsi="Palatino Linotype" w:cs="Arial"/>
          <w:sz w:val="24"/>
          <w:szCs w:val="24"/>
        </w:rPr>
        <w:t xml:space="preserve"> de </w:t>
      </w:r>
      <w:r w:rsidR="005D5032">
        <w:rPr>
          <w:rFonts w:ascii="Palatino Linotype" w:hAnsi="Palatino Linotype" w:cs="Arial"/>
          <w:sz w:val="24"/>
          <w:szCs w:val="24"/>
        </w:rPr>
        <w:t>diciemb</w:t>
      </w:r>
      <w:r>
        <w:rPr>
          <w:rFonts w:ascii="Palatino Linotype" w:hAnsi="Palatino Linotype" w:cs="Arial"/>
          <w:sz w:val="24"/>
          <w:szCs w:val="24"/>
        </w:rPr>
        <w:t>re de dos mil veintiuno, el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w:t>
      </w:r>
      <w:r w:rsidR="005D5032">
        <w:rPr>
          <w:rFonts w:ascii="Palatino Linotype" w:hAnsi="Palatino Linotype" w:cs="Arial"/>
          <w:b/>
          <w:sz w:val="24"/>
          <w:szCs w:val="24"/>
        </w:rPr>
        <w:t>646</w:t>
      </w:r>
      <w:r>
        <w:rPr>
          <w:rFonts w:ascii="Palatino Linotype" w:hAnsi="Palatino Linotype" w:cs="Arial"/>
          <w:b/>
          <w:sz w:val="24"/>
          <w:szCs w:val="24"/>
        </w:rPr>
        <w:t>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7938E03F" w14:textId="77777777" w:rsidR="00E167CA" w:rsidRPr="000A1BB5" w:rsidRDefault="00E167CA" w:rsidP="00E167CA">
      <w:pPr>
        <w:spacing w:after="0" w:line="360" w:lineRule="auto"/>
        <w:jc w:val="both"/>
        <w:rPr>
          <w:rFonts w:ascii="Palatino Linotype" w:hAnsi="Palatino Linotype" w:cs="Arial"/>
          <w:sz w:val="16"/>
          <w:szCs w:val="24"/>
        </w:rPr>
      </w:pPr>
    </w:p>
    <w:p w14:paraId="15FFBFDC" w14:textId="77777777" w:rsidR="00E167CA" w:rsidRPr="00AD2A55" w:rsidRDefault="00E167CA" w:rsidP="00E167C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Acto Impugnado:</w:t>
      </w:r>
    </w:p>
    <w:p w14:paraId="0F700EDA" w14:textId="34FC74A8" w:rsidR="00E167CA" w:rsidRPr="00E070A1" w:rsidRDefault="00E167CA" w:rsidP="00E167CA">
      <w:pPr>
        <w:ind w:left="851" w:right="708"/>
        <w:jc w:val="both"/>
        <w:rPr>
          <w:rFonts w:ascii="Palatino Linotype" w:hAnsi="Palatino Linotype"/>
          <w:i/>
          <w:color w:val="000000"/>
        </w:rPr>
      </w:pPr>
      <w:r w:rsidRPr="00E070A1">
        <w:rPr>
          <w:rFonts w:ascii="Palatino Linotype" w:hAnsi="Palatino Linotype"/>
          <w:i/>
          <w:color w:val="000000"/>
        </w:rPr>
        <w:t>“</w:t>
      </w:r>
      <w:r w:rsidR="005D5032" w:rsidRPr="005D5032">
        <w:rPr>
          <w:rFonts w:ascii="Palatino Linotype" w:hAnsi="Palatino Linotype"/>
          <w:i/>
          <w:color w:val="000000"/>
        </w:rPr>
        <w:t>FALTA DE RESPUESTA</w:t>
      </w:r>
      <w:r w:rsidR="005D5032" w:rsidRPr="00E070A1">
        <w:rPr>
          <w:rFonts w:ascii="Palatino Linotype" w:hAnsi="Palatino Linotype"/>
          <w:i/>
          <w:color w:val="000000"/>
        </w:rPr>
        <w:t>” (</w:t>
      </w:r>
      <w:r w:rsidRPr="00E070A1">
        <w:rPr>
          <w:rFonts w:ascii="Palatino Linotype" w:hAnsi="Palatino Linotype"/>
          <w:i/>
          <w:color w:val="000000"/>
        </w:rPr>
        <w:t>Sic).</w:t>
      </w:r>
    </w:p>
    <w:p w14:paraId="58F66FF3" w14:textId="77777777" w:rsidR="00E167CA" w:rsidRPr="000A1BB5" w:rsidRDefault="00E167CA" w:rsidP="00E167CA">
      <w:pPr>
        <w:spacing w:after="0" w:line="360" w:lineRule="auto"/>
        <w:jc w:val="both"/>
        <w:rPr>
          <w:rFonts w:ascii="Palatino Linotype" w:hAnsi="Palatino Linotype" w:cs="Arial"/>
          <w:b/>
          <w:sz w:val="20"/>
          <w:szCs w:val="24"/>
        </w:rPr>
      </w:pPr>
    </w:p>
    <w:p w14:paraId="0131A44F" w14:textId="77777777" w:rsidR="00E167CA" w:rsidRPr="00AD2A55" w:rsidRDefault="00E167CA" w:rsidP="00E167C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687914CF" w14:textId="39B29466" w:rsidR="00E167CA" w:rsidRDefault="00E167CA" w:rsidP="00E167CA">
      <w:pPr>
        <w:ind w:left="851" w:right="850"/>
        <w:jc w:val="both"/>
        <w:rPr>
          <w:rFonts w:ascii="Palatino Linotype" w:hAnsi="Palatino Linotype"/>
          <w:i/>
          <w:color w:val="000000"/>
        </w:rPr>
      </w:pPr>
      <w:r w:rsidRPr="000A1BB5">
        <w:rPr>
          <w:rFonts w:ascii="Palatino Linotype" w:hAnsi="Palatino Linotype" w:cs="Arial"/>
          <w:i/>
        </w:rPr>
        <w:t>“</w:t>
      </w:r>
      <w:r w:rsidR="005D5032" w:rsidRPr="005D5032">
        <w:rPr>
          <w:rFonts w:ascii="Palatino Linotype" w:hAnsi="Palatino Linotype"/>
          <w:i/>
          <w:color w:val="000000"/>
        </w:rPr>
        <w:t>No obtuve la información solicitada</w:t>
      </w:r>
      <w:r w:rsidRPr="000A1BB5">
        <w:rPr>
          <w:rFonts w:ascii="Palatino Linotype" w:hAnsi="Palatino Linotype"/>
          <w:i/>
          <w:color w:val="000000"/>
        </w:rPr>
        <w:t>” (Sic).</w:t>
      </w:r>
    </w:p>
    <w:p w14:paraId="08202631" w14:textId="77777777" w:rsidR="00E167CA" w:rsidRPr="0042488A" w:rsidRDefault="00E167CA" w:rsidP="00E167CA">
      <w:pPr>
        <w:tabs>
          <w:tab w:val="left" w:pos="6263"/>
        </w:tabs>
        <w:spacing w:after="0" w:line="360" w:lineRule="auto"/>
        <w:rPr>
          <w:rFonts w:ascii="Palatino Linotype" w:hAnsi="Palatino Linotype" w:cs="Arial"/>
          <w:b/>
          <w:i/>
          <w:sz w:val="24"/>
          <w:szCs w:val="36"/>
        </w:rPr>
      </w:pPr>
    </w:p>
    <w:p w14:paraId="5465CE56" w14:textId="77777777" w:rsidR="00E167CA" w:rsidRPr="000C59C0" w:rsidRDefault="00E167CA" w:rsidP="00E167CA">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CUARTO. Del turno del recurso de revisión.</w:t>
      </w:r>
    </w:p>
    <w:p w14:paraId="60A99D58" w14:textId="64761C30" w:rsidR="00E167CA" w:rsidRDefault="00E167CA" w:rsidP="00E167CA">
      <w:pPr>
        <w:spacing w:after="0" w:line="360" w:lineRule="auto"/>
        <w:jc w:val="both"/>
        <w:rPr>
          <w:rFonts w:ascii="Palatino Linotype" w:hAnsi="Palatino Linotype" w:cs="Arial"/>
          <w:sz w:val="24"/>
          <w:szCs w:val="24"/>
        </w:rPr>
      </w:pPr>
      <w:r w:rsidRPr="008B3E12">
        <w:rPr>
          <w:rFonts w:ascii="Palatino Linotype" w:hAnsi="Palatino Linotype" w:cs="Arial"/>
          <w:sz w:val="24"/>
          <w:szCs w:val="24"/>
        </w:rPr>
        <w:t>Medio de impugnación que le fue</w:t>
      </w:r>
      <w:r>
        <w:rPr>
          <w:rFonts w:ascii="Palatino Linotype" w:hAnsi="Palatino Linotype" w:cs="Arial"/>
          <w:sz w:val="24"/>
          <w:szCs w:val="24"/>
        </w:rPr>
        <w:t xml:space="preserve"> turnado</w:t>
      </w:r>
      <w:r w:rsidRPr="00CF567E">
        <w:rPr>
          <w:rFonts w:ascii="Palatino Linotype" w:hAnsi="Palatino Linotype" w:cs="Arial"/>
          <w:sz w:val="24"/>
          <w:szCs w:val="24"/>
        </w:rPr>
        <w:t xml:space="preserve"> a</w:t>
      </w:r>
      <w:r>
        <w:rPr>
          <w:rFonts w:ascii="Palatino Linotype" w:hAnsi="Palatino Linotype" w:cs="Arial"/>
          <w:sz w:val="24"/>
          <w:szCs w:val="24"/>
        </w:rPr>
        <w:t>l Comisionado</w:t>
      </w:r>
      <w:r w:rsidRPr="00CF567E">
        <w:rPr>
          <w:rFonts w:ascii="Palatino Linotype" w:hAnsi="Palatino Linotype" w:cs="Arial"/>
          <w:sz w:val="24"/>
          <w:szCs w:val="24"/>
        </w:rPr>
        <w:t xml:space="preserve"> </w:t>
      </w:r>
      <w:r>
        <w:rPr>
          <w:rFonts w:ascii="Palatino Linotype" w:hAnsi="Palatino Linotype" w:cs="Arial"/>
          <w:b/>
          <w:sz w:val="24"/>
          <w:szCs w:val="24"/>
        </w:rPr>
        <w:t>José</w:t>
      </w:r>
      <w:r w:rsidRPr="00CF567E">
        <w:rPr>
          <w:rFonts w:ascii="Palatino Linotype" w:hAnsi="Palatino Linotype" w:cs="Arial"/>
          <w:b/>
          <w:sz w:val="24"/>
          <w:szCs w:val="24"/>
        </w:rPr>
        <w:t xml:space="preserve"> Martínez </w:t>
      </w:r>
      <w:r>
        <w:rPr>
          <w:rFonts w:ascii="Palatino Linotype" w:hAnsi="Palatino Linotype" w:cs="Arial"/>
          <w:b/>
          <w:sz w:val="24"/>
          <w:szCs w:val="24"/>
        </w:rPr>
        <w:t>Vilchis</w:t>
      </w:r>
      <w:r w:rsidRPr="00CF567E">
        <w:rPr>
          <w:rFonts w:ascii="Palatino Linotype" w:hAnsi="Palatino Linotype" w:cs="Arial"/>
          <w:sz w:val="24"/>
          <w:szCs w:val="24"/>
        </w:rPr>
        <w:t xml:space="preserve">, por medio del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CF567E">
        <w:rPr>
          <w:rFonts w:ascii="Palatino Linotype" w:hAnsi="Palatino Linotype" w:cs="Arial"/>
          <w:sz w:val="24"/>
          <w:szCs w:val="24"/>
        </w:rPr>
        <w:t>SAIMEX</w:t>
      </w:r>
      <w:r>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Pr>
          <w:rFonts w:ascii="Palatino Linotype" w:hAnsi="Palatino Linotype" w:cs="Arial"/>
          <w:sz w:val="24"/>
          <w:szCs w:val="24"/>
        </w:rPr>
        <w:t>veinti</w:t>
      </w:r>
      <w:r w:rsidR="00B91847">
        <w:rPr>
          <w:rFonts w:ascii="Palatino Linotype" w:hAnsi="Palatino Linotype" w:cs="Arial"/>
          <w:sz w:val="24"/>
          <w:szCs w:val="24"/>
        </w:rPr>
        <w:t>dós</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B91847">
        <w:rPr>
          <w:rFonts w:ascii="Palatino Linotype" w:hAnsi="Palatino Linotype" w:cs="Arial"/>
          <w:sz w:val="24"/>
          <w:szCs w:val="24"/>
        </w:rPr>
        <w:t>diciem</w:t>
      </w:r>
      <w:r>
        <w:rPr>
          <w:rFonts w:ascii="Palatino Linotype" w:hAnsi="Palatino Linotype" w:cs="Arial"/>
          <w:sz w:val="24"/>
          <w:szCs w:val="24"/>
        </w:rPr>
        <w:t>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w:t>
      </w:r>
      <w:r>
        <w:rPr>
          <w:rFonts w:ascii="Palatino Linotype" w:hAnsi="Palatino Linotype" w:cs="Arial"/>
          <w:sz w:val="24"/>
          <w:szCs w:val="24"/>
        </w:rPr>
        <w:t xml:space="preserve">otorgándose a las partes un plazo de siete días para que manifestaran </w:t>
      </w:r>
      <w:r>
        <w:rPr>
          <w:rFonts w:ascii="Palatino Linotype" w:hAnsi="Palatino Linotype"/>
          <w:sz w:val="24"/>
          <w:szCs w:val="24"/>
        </w:rPr>
        <w:t>lo que a su derecho conviniera, el Sujeto Obligado rindiera el informe justificado correspondiente, ofrecieran pruebas que estimaran convenientes y esgrimieran alegatos</w:t>
      </w:r>
      <w:r>
        <w:rPr>
          <w:rFonts w:ascii="Palatino Linotype" w:hAnsi="Palatino Linotype" w:cs="Arial"/>
          <w:sz w:val="24"/>
          <w:szCs w:val="24"/>
        </w:rPr>
        <w:t xml:space="preserve"> en términos del precepto legal referido.</w:t>
      </w:r>
    </w:p>
    <w:p w14:paraId="2E8B6ECA" w14:textId="77777777" w:rsidR="00E167CA" w:rsidRPr="00250F94" w:rsidRDefault="00E167CA" w:rsidP="00E167CA">
      <w:pPr>
        <w:spacing w:after="0" w:line="360" w:lineRule="auto"/>
        <w:jc w:val="both"/>
        <w:rPr>
          <w:rFonts w:ascii="Palatino Linotype" w:hAnsi="Palatino Linotype" w:cs="Arial"/>
          <w:b/>
          <w:sz w:val="24"/>
          <w:szCs w:val="36"/>
        </w:rPr>
      </w:pPr>
    </w:p>
    <w:p w14:paraId="36261765" w14:textId="77777777" w:rsidR="00E167CA" w:rsidRPr="00AD2A55" w:rsidRDefault="00E167CA" w:rsidP="00E167CA">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6E5C59A0" w14:textId="0C7397A2" w:rsidR="00E167CA" w:rsidRDefault="00E167CA" w:rsidP="00E167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del recurso de revisión </w:t>
      </w:r>
      <w:r>
        <w:rPr>
          <w:rFonts w:ascii="Palatino Linotype" w:hAnsi="Palatino Linotype" w:cs="Arial"/>
          <w:b/>
          <w:bCs/>
          <w:sz w:val="24"/>
          <w:szCs w:val="24"/>
          <w:lang w:eastAsia="es-MX"/>
        </w:rPr>
        <w:t>0</w:t>
      </w:r>
      <w:r w:rsidR="00AA161D">
        <w:rPr>
          <w:rFonts w:ascii="Palatino Linotype" w:hAnsi="Palatino Linotype" w:cs="Arial"/>
          <w:b/>
          <w:bCs/>
          <w:sz w:val="24"/>
          <w:szCs w:val="24"/>
          <w:lang w:eastAsia="es-MX"/>
        </w:rPr>
        <w:t>646</w:t>
      </w:r>
      <w:r>
        <w:rPr>
          <w:rFonts w:ascii="Palatino Linotype" w:hAnsi="Palatino Linotype" w:cs="Arial"/>
          <w:b/>
          <w:bCs/>
          <w:sz w:val="24"/>
          <w:szCs w:val="24"/>
          <w:lang w:eastAsia="es-MX"/>
        </w:rPr>
        <w:t>5/INFOEM/IP/RR/2021</w:t>
      </w:r>
      <w:r>
        <w:rPr>
          <w:rFonts w:ascii="Palatino Linotype" w:hAnsi="Palatino Linotype" w:cs="Arial"/>
          <w:sz w:val="24"/>
          <w:szCs w:val="24"/>
        </w:rPr>
        <w:t>, se aprecia que tanto el Sujeto Obligado como el Recurrente no emitieron manifestación alguna que a su derecho conviniera, como se muestra en la siguiente imagen:</w:t>
      </w:r>
    </w:p>
    <w:p w14:paraId="67E74A74" w14:textId="77777777" w:rsidR="00E167CA" w:rsidRDefault="00E167CA" w:rsidP="00E167CA">
      <w:pPr>
        <w:spacing w:after="0" w:line="360" w:lineRule="auto"/>
        <w:jc w:val="both"/>
        <w:rPr>
          <w:rFonts w:ascii="Palatino Linotype" w:hAnsi="Palatino Linotype" w:cs="Arial"/>
          <w:sz w:val="24"/>
          <w:szCs w:val="24"/>
        </w:rPr>
      </w:pPr>
    </w:p>
    <w:p w14:paraId="2F2043BF" w14:textId="0D924326" w:rsidR="00E167CA" w:rsidRPr="006C092A" w:rsidRDefault="00E167CA" w:rsidP="00E167CA">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28175EEA" wp14:editId="5E384F79">
                <wp:simplePos x="0" y="0"/>
                <wp:positionH relativeFrom="column">
                  <wp:posOffset>2577465</wp:posOffset>
                </wp:positionH>
                <wp:positionV relativeFrom="paragraph">
                  <wp:posOffset>191135</wp:posOffset>
                </wp:positionV>
                <wp:extent cx="314325" cy="257175"/>
                <wp:effectExtent l="19050" t="19050" r="28575" b="47625"/>
                <wp:wrapNone/>
                <wp:docPr id="7" name="Flecha izquierd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57175"/>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5F0E48" id="Flecha izquierda 7" o:spid="_x0000_s1026" type="#_x0000_t66" style="position:absolute;margin-left:202.95pt;margin-top:15.05pt;width:24.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" adj="8836" fillcolor="red" strokecolor="white [3212]" strokeweight="1pt">
                <v:path arrowok="t"/>
              </v:shape>
            </w:pict>
          </mc:Fallback>
        </mc:AlternateContent>
      </w:r>
      <w:r w:rsidR="00AA161D" w:rsidRPr="00AA161D">
        <w:rPr>
          <w:noProof/>
        </w:rPr>
        <w:t xml:space="preserve"> </w:t>
      </w:r>
      <w:r w:rsidR="00AA161D">
        <w:rPr>
          <w:noProof/>
          <w:lang w:eastAsia="es-MX"/>
        </w:rPr>
        <w:drawing>
          <wp:inline distT="0" distB="0" distL="0" distR="0" wp14:anchorId="38A64F2D" wp14:editId="13411E20">
            <wp:extent cx="5043343" cy="1647825"/>
            <wp:effectExtent l="114300" t="95250" r="119380" b="85725"/>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rotWithShape="1">
                    <a:blip r:embed="rId8"/>
                    <a:srcRect l="24802" t="29100" r="25099" b="41799"/>
                    <a:stretch/>
                  </pic:blipFill>
                  <pic:spPr bwMode="auto">
                    <a:xfrm>
                      <a:off x="0" y="0"/>
                      <a:ext cx="5056267" cy="165204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3D3B6AE" w14:textId="77777777" w:rsidR="00E167CA" w:rsidRDefault="00E167CA" w:rsidP="00E167CA">
      <w:pPr>
        <w:spacing w:after="0" w:line="360" w:lineRule="auto"/>
        <w:jc w:val="center"/>
        <w:rPr>
          <w:noProof/>
        </w:rPr>
      </w:pPr>
      <w:r w:rsidRPr="00B34BE7">
        <w:rPr>
          <w:rFonts w:ascii="Palatino Linotype" w:hAnsi="Palatino Linotype" w:cs="Arial"/>
          <w:noProof/>
          <w:sz w:val="24"/>
          <w:szCs w:val="24"/>
          <w:lang w:eastAsia="es-MX"/>
        </w:rPr>
        <w:t xml:space="preserve">  </w: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6C13DED7" w14:textId="77777777" w:rsidR="00E167CA" w:rsidRPr="00B34BE7" w:rsidRDefault="00E167CA" w:rsidP="00E167CA">
      <w:pPr>
        <w:spacing w:after="0" w:line="360" w:lineRule="auto"/>
        <w:jc w:val="both"/>
        <w:rPr>
          <w:rFonts w:ascii="Palatino Linotype" w:hAnsi="Palatino Linotype" w:cs="Arial"/>
          <w:b/>
          <w:sz w:val="28"/>
          <w:szCs w:val="24"/>
        </w:rPr>
      </w:pPr>
      <w:bookmarkStart w:id="1" w:name="_Hlk86237002"/>
      <w:r w:rsidRPr="00B34BE7">
        <w:rPr>
          <w:rFonts w:ascii="Palatino Linotype" w:hAnsi="Palatino Linotype" w:cs="Arial"/>
          <w:b/>
          <w:sz w:val="28"/>
          <w:szCs w:val="24"/>
        </w:rPr>
        <w:t>S</w:t>
      </w:r>
      <w:r>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bookmarkEnd w:id="1"/>
    <w:p w14:paraId="5158CFB2" w14:textId="608A9DBD" w:rsidR="00E167CA" w:rsidRDefault="00E167CA" w:rsidP="00E167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ve</w:t>
      </w:r>
      <w:r w:rsidR="00AA161D">
        <w:rPr>
          <w:rFonts w:ascii="Palatino Linotype" w:hAnsi="Palatino Linotype" w:cs="Arial"/>
          <w:sz w:val="24"/>
          <w:szCs w:val="24"/>
        </w:rPr>
        <w:t>inticinco</w:t>
      </w:r>
      <w:r>
        <w:rPr>
          <w:rFonts w:ascii="Palatino Linotype" w:hAnsi="Palatino Linotype" w:cs="Arial"/>
          <w:sz w:val="24"/>
          <w:szCs w:val="24"/>
        </w:rPr>
        <w:t xml:space="preserve"> de e</w:t>
      </w:r>
      <w:r w:rsidR="00AA161D">
        <w:rPr>
          <w:rFonts w:ascii="Palatino Linotype" w:hAnsi="Palatino Linotype" w:cs="Arial"/>
          <w:sz w:val="24"/>
          <w:szCs w:val="24"/>
        </w:rPr>
        <w:t>nero</w:t>
      </w:r>
      <w:r>
        <w:rPr>
          <w:rFonts w:ascii="Palatino Linotype" w:hAnsi="Palatino Linotype" w:cs="Arial"/>
          <w:sz w:val="24"/>
          <w:szCs w:val="24"/>
        </w:rPr>
        <w:t xml:space="preserve"> de dos mil veinti</w:t>
      </w:r>
      <w:r w:rsidR="00AA161D">
        <w:rPr>
          <w:rFonts w:ascii="Palatino Linotype" w:hAnsi="Palatino Linotype" w:cs="Arial"/>
          <w:sz w:val="24"/>
          <w:szCs w:val="24"/>
        </w:rPr>
        <w:t>dós</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724C797" w14:textId="77777777" w:rsidR="00E167CA" w:rsidRDefault="00E167CA" w:rsidP="00E167CA">
      <w:pPr>
        <w:spacing w:after="0" w:line="360" w:lineRule="auto"/>
        <w:jc w:val="both"/>
        <w:rPr>
          <w:rFonts w:ascii="Palatino Linotype" w:hAnsi="Palatino Linotype" w:cs="Arial"/>
          <w:sz w:val="24"/>
          <w:szCs w:val="24"/>
        </w:rPr>
      </w:pPr>
    </w:p>
    <w:p w14:paraId="3EC1531E" w14:textId="77777777" w:rsidR="00AA161D" w:rsidRPr="00C220D0" w:rsidRDefault="00AA161D" w:rsidP="00AA161D">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99E6CB5" w14:textId="40399D12" w:rsidR="00AA161D" w:rsidRPr="00667998" w:rsidRDefault="000809FF" w:rsidP="00AA161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AA161D" w:rsidRPr="00667998">
        <w:rPr>
          <w:rFonts w:ascii="Palatino Linotype" w:hAnsi="Palatino Linotype" w:cs="Arial"/>
          <w:sz w:val="24"/>
          <w:szCs w:val="24"/>
        </w:rPr>
        <w:t xml:space="preserve">n fecha </w:t>
      </w:r>
      <w:r w:rsidR="00AA161D">
        <w:rPr>
          <w:rFonts w:ascii="Palatino Linotype" w:hAnsi="Palatino Linotype" w:cs="Arial"/>
          <w:sz w:val="24"/>
          <w:szCs w:val="24"/>
        </w:rPr>
        <w:t>veintiuno de febrero</w:t>
      </w:r>
      <w:r w:rsidR="00AA161D" w:rsidRPr="00667998">
        <w:rPr>
          <w:rFonts w:ascii="Palatino Linotype" w:hAnsi="Palatino Linotype" w:cs="Arial"/>
          <w:sz w:val="24"/>
          <w:szCs w:val="24"/>
        </w:rPr>
        <w:t xml:space="preserve"> del año </w:t>
      </w:r>
      <w:r w:rsidR="00AA161D">
        <w:rPr>
          <w:rFonts w:ascii="Palatino Linotype" w:hAnsi="Palatino Linotype" w:cs="Arial"/>
          <w:sz w:val="24"/>
          <w:szCs w:val="24"/>
        </w:rPr>
        <w:t>dos mil veintidós</w:t>
      </w:r>
      <w:r w:rsidR="00AA161D"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FD18DA1" w14:textId="77777777" w:rsidR="000809FF" w:rsidRDefault="000809FF" w:rsidP="00E167CA">
      <w:pPr>
        <w:spacing w:after="0" w:line="360" w:lineRule="auto"/>
        <w:jc w:val="both"/>
        <w:rPr>
          <w:rFonts w:ascii="Palatino Linotype" w:hAnsi="Palatino Linotype" w:cs="Arial"/>
          <w:sz w:val="24"/>
          <w:szCs w:val="24"/>
        </w:rPr>
      </w:pPr>
    </w:p>
    <w:p w14:paraId="182F893E" w14:textId="77777777" w:rsidR="00E167CA" w:rsidRDefault="00E167CA" w:rsidP="00E167CA">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55081A6E" w14:textId="77777777" w:rsidR="000809FF" w:rsidRDefault="000809FF" w:rsidP="00E167CA">
      <w:pPr>
        <w:spacing w:after="0" w:line="360" w:lineRule="auto"/>
        <w:jc w:val="both"/>
        <w:rPr>
          <w:rFonts w:ascii="Palatino Linotype" w:hAnsi="Palatino Linotype" w:cs="Arial"/>
          <w:b/>
          <w:sz w:val="28"/>
          <w:szCs w:val="28"/>
        </w:rPr>
      </w:pPr>
    </w:p>
    <w:p w14:paraId="75F9BE61" w14:textId="77777777" w:rsidR="000809FF" w:rsidRDefault="000809FF" w:rsidP="00E167CA">
      <w:pPr>
        <w:spacing w:after="0" w:line="360" w:lineRule="auto"/>
        <w:jc w:val="both"/>
        <w:rPr>
          <w:rFonts w:ascii="Palatino Linotype" w:hAnsi="Palatino Linotype" w:cs="Arial"/>
          <w:b/>
          <w:sz w:val="28"/>
          <w:szCs w:val="28"/>
        </w:rPr>
      </w:pPr>
    </w:p>
    <w:p w14:paraId="4F496E5E" w14:textId="77777777" w:rsidR="000809FF" w:rsidRDefault="000809FF" w:rsidP="00E167CA">
      <w:pPr>
        <w:spacing w:after="0" w:line="360" w:lineRule="auto"/>
        <w:jc w:val="both"/>
        <w:rPr>
          <w:rFonts w:ascii="Palatino Linotype" w:hAnsi="Palatino Linotype" w:cs="Arial"/>
          <w:b/>
          <w:sz w:val="28"/>
          <w:szCs w:val="28"/>
        </w:rPr>
      </w:pPr>
    </w:p>
    <w:p w14:paraId="045D8FD8" w14:textId="09099297" w:rsidR="00E167CA" w:rsidRPr="003E3774" w:rsidRDefault="00E167CA" w:rsidP="00E167CA">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14641309" w14:textId="77777777" w:rsidR="00E167CA" w:rsidRDefault="00E167CA" w:rsidP="00E167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4B7485">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E3AF145" w14:textId="77777777" w:rsidR="00E167CA" w:rsidRDefault="00E167CA" w:rsidP="00E167CA">
      <w:pPr>
        <w:spacing w:after="0" w:line="360" w:lineRule="auto"/>
        <w:jc w:val="both"/>
        <w:rPr>
          <w:rFonts w:ascii="Palatino Linotype" w:hAnsi="Palatino Linotype" w:cs="Arial"/>
          <w:sz w:val="24"/>
          <w:szCs w:val="24"/>
        </w:rPr>
      </w:pPr>
    </w:p>
    <w:p w14:paraId="1646DC54" w14:textId="77777777" w:rsidR="00E167CA" w:rsidRPr="000C59C0" w:rsidRDefault="00E167CA" w:rsidP="00E167CA">
      <w:pPr>
        <w:autoSpaceDE w:val="0"/>
        <w:autoSpaceDN w:val="0"/>
        <w:adjustRightInd w:val="0"/>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 xml:space="preserve">SEGUNDO.  De los alcances del Recurso de Revisión. </w:t>
      </w:r>
    </w:p>
    <w:p w14:paraId="377F4A73" w14:textId="77777777" w:rsidR="00E167CA" w:rsidRDefault="00E167CA" w:rsidP="00E167C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548333" w14:textId="4046FD39" w:rsidR="00AA161D" w:rsidRDefault="000809FF" w:rsidP="000809FF">
      <w:pPr>
        <w:tabs>
          <w:tab w:val="left" w:pos="5430"/>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7A5BE336" w14:textId="77777777" w:rsidR="000809FF" w:rsidRDefault="000809FF" w:rsidP="00AA161D">
      <w:pPr>
        <w:pStyle w:val="Prrafodelista"/>
        <w:autoSpaceDE w:val="0"/>
        <w:autoSpaceDN w:val="0"/>
        <w:adjustRightInd w:val="0"/>
        <w:spacing w:line="360" w:lineRule="auto"/>
        <w:ind w:left="0"/>
        <w:jc w:val="both"/>
        <w:rPr>
          <w:rFonts w:ascii="Palatino Linotype" w:hAnsi="Palatino Linotype" w:cs="Arial"/>
          <w:b/>
          <w:sz w:val="28"/>
        </w:rPr>
      </w:pPr>
    </w:p>
    <w:p w14:paraId="57C28E35" w14:textId="77777777" w:rsidR="000809FF" w:rsidRDefault="000809FF" w:rsidP="00AA161D">
      <w:pPr>
        <w:pStyle w:val="Prrafodelista"/>
        <w:autoSpaceDE w:val="0"/>
        <w:autoSpaceDN w:val="0"/>
        <w:adjustRightInd w:val="0"/>
        <w:spacing w:line="360" w:lineRule="auto"/>
        <w:ind w:left="0"/>
        <w:jc w:val="both"/>
        <w:rPr>
          <w:rFonts w:ascii="Palatino Linotype" w:hAnsi="Palatino Linotype" w:cs="Arial"/>
          <w:b/>
          <w:sz w:val="28"/>
        </w:rPr>
      </w:pPr>
    </w:p>
    <w:p w14:paraId="721B7419" w14:textId="322886A7" w:rsidR="00AA161D" w:rsidRPr="00667998" w:rsidRDefault="00AA161D" w:rsidP="00AA161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2241C697" w14:textId="77777777" w:rsidR="00AA161D" w:rsidRPr="00667998" w:rsidRDefault="00AA161D" w:rsidP="00AA161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6C4AB9" w14:textId="77777777" w:rsidR="00AA161D" w:rsidRPr="00667998" w:rsidRDefault="00AA161D" w:rsidP="00AA161D">
      <w:pPr>
        <w:pStyle w:val="Prrafodelista"/>
        <w:autoSpaceDE w:val="0"/>
        <w:autoSpaceDN w:val="0"/>
        <w:adjustRightInd w:val="0"/>
        <w:spacing w:line="360" w:lineRule="auto"/>
        <w:ind w:left="0"/>
        <w:jc w:val="both"/>
        <w:rPr>
          <w:rFonts w:ascii="Palatino Linotype" w:hAnsi="Palatino Linotype" w:cs="Arial"/>
        </w:rPr>
      </w:pPr>
    </w:p>
    <w:p w14:paraId="657B7A10" w14:textId="77777777" w:rsidR="00AA161D" w:rsidRDefault="00AA161D" w:rsidP="00AA161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D06B65E" w14:textId="77777777" w:rsidR="00AA161D" w:rsidRPr="00667998" w:rsidRDefault="00AA161D" w:rsidP="00AA161D">
      <w:pPr>
        <w:pStyle w:val="Prrafodelista"/>
        <w:autoSpaceDE w:val="0"/>
        <w:autoSpaceDN w:val="0"/>
        <w:adjustRightInd w:val="0"/>
        <w:spacing w:line="360" w:lineRule="auto"/>
        <w:ind w:left="0"/>
        <w:jc w:val="both"/>
        <w:rPr>
          <w:rFonts w:ascii="Palatino Linotype" w:hAnsi="Palatino Linotype" w:cs="Arial"/>
        </w:rPr>
      </w:pPr>
    </w:p>
    <w:p w14:paraId="158F05F9" w14:textId="77777777" w:rsidR="00AA161D" w:rsidRDefault="00AA161D" w:rsidP="00AA161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1814A635" w14:textId="77777777" w:rsidR="00E167CA" w:rsidRPr="00907ADE" w:rsidRDefault="00E167CA" w:rsidP="00E167CA">
      <w:pPr>
        <w:pStyle w:val="Prrafodelista"/>
        <w:autoSpaceDE w:val="0"/>
        <w:autoSpaceDN w:val="0"/>
        <w:adjustRightInd w:val="0"/>
        <w:spacing w:line="360" w:lineRule="auto"/>
        <w:ind w:left="0"/>
        <w:jc w:val="both"/>
        <w:rPr>
          <w:rFonts w:ascii="Palatino Linotype" w:hAnsi="Palatino Linotype" w:cs="Arial"/>
          <w:b/>
        </w:rPr>
      </w:pPr>
    </w:p>
    <w:p w14:paraId="6B38EBE9" w14:textId="77777777" w:rsidR="00E167CA" w:rsidRPr="00907ADE" w:rsidRDefault="00E167CA" w:rsidP="00E167CA">
      <w:pPr>
        <w:pStyle w:val="Prrafodelista"/>
        <w:autoSpaceDE w:val="0"/>
        <w:autoSpaceDN w:val="0"/>
        <w:adjustRightInd w:val="0"/>
        <w:spacing w:line="360" w:lineRule="auto"/>
        <w:ind w:left="0"/>
        <w:jc w:val="both"/>
        <w:rPr>
          <w:rFonts w:ascii="Palatino Linotype" w:hAnsi="Palatino Linotype" w:cs="Arial"/>
          <w:sz w:val="28"/>
          <w:szCs w:val="28"/>
        </w:rPr>
      </w:pPr>
      <w:r w:rsidRPr="00907ADE">
        <w:rPr>
          <w:rFonts w:ascii="Palatino Linotype" w:hAnsi="Palatino Linotype" w:cs="Arial"/>
          <w:b/>
          <w:sz w:val="28"/>
          <w:szCs w:val="28"/>
        </w:rPr>
        <w:t>CUARTO. Del estudio y resolución del asunto.</w:t>
      </w:r>
      <w:r w:rsidRPr="00907ADE">
        <w:rPr>
          <w:rFonts w:ascii="Palatino Linotype" w:hAnsi="Palatino Linotype" w:cs="Arial"/>
          <w:sz w:val="28"/>
          <w:szCs w:val="28"/>
        </w:rPr>
        <w:t xml:space="preserve"> </w:t>
      </w:r>
    </w:p>
    <w:p w14:paraId="01BF2D61" w14:textId="77777777" w:rsidR="00E167CA" w:rsidRDefault="00E167CA" w:rsidP="00E167C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E3C8CBA" w14:textId="77777777" w:rsidR="00E167CA" w:rsidRDefault="00E167CA" w:rsidP="00E167CA">
      <w:pPr>
        <w:autoSpaceDE w:val="0"/>
        <w:autoSpaceDN w:val="0"/>
        <w:adjustRightInd w:val="0"/>
        <w:spacing w:after="0" w:line="360" w:lineRule="auto"/>
        <w:jc w:val="both"/>
        <w:rPr>
          <w:rFonts w:ascii="Palatino Linotype" w:hAnsi="Palatino Linotype" w:cs="Arial"/>
          <w:szCs w:val="24"/>
        </w:rPr>
      </w:pPr>
    </w:p>
    <w:p w14:paraId="13EF6EAD" w14:textId="77777777" w:rsidR="00E167CA" w:rsidRDefault="00E167CA" w:rsidP="00E167C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En primera instancia, al referirnos al acto impugnado por el Recurrente, concatenado con los motivos o razones de inconformidad emitidos, se distingue que se adolece, de forma toral, de la falta de respuesta a la solicitud de acceso a la información formulada, actualizando con ello lo </w:t>
      </w:r>
      <w:r>
        <w:rPr>
          <w:rFonts w:ascii="Palatino Linotype" w:eastAsia="Calibri" w:hAnsi="Palatino Linotype" w:cs="Arial"/>
          <w:color w:val="000000" w:themeColor="text1"/>
        </w:rPr>
        <w:t xml:space="preserve">establecido en la fracción VII del artículo 179 de la </w:t>
      </w:r>
      <w:r>
        <w:rPr>
          <w:rFonts w:ascii="Palatino Linotype" w:eastAsia="Calibri" w:hAnsi="Palatino Linotype" w:cs="Arial"/>
          <w:b/>
          <w:color w:val="000000" w:themeColor="text1"/>
        </w:rPr>
        <w:t>Ley de Transparencia y Acceso a la Información Pública del Estado de México y Municipios</w:t>
      </w:r>
      <w:r>
        <w:rPr>
          <w:rFonts w:ascii="Palatino Linotype" w:eastAsia="Calibri" w:hAnsi="Palatino Linotype" w:cs="Arial"/>
          <w:color w:val="000000" w:themeColor="text1"/>
        </w:rPr>
        <w:t>,</w:t>
      </w:r>
      <w:r>
        <w:rPr>
          <w:rFonts w:ascii="Palatino Linotype" w:eastAsia="Calibri" w:hAnsi="Palatino Linotype" w:cs="Arial"/>
          <w:b/>
          <w:color w:val="000000" w:themeColor="text1"/>
        </w:rPr>
        <w:t xml:space="preserve"> </w:t>
      </w:r>
      <w:r>
        <w:rPr>
          <w:rFonts w:ascii="Palatino Linotype" w:hAnsi="Palatino Linotype" w:cs="Arial"/>
        </w:rPr>
        <w:t>resultando procedente la interposición del recurso de revisión cuando no se dé respuesta a una solicitud de información.</w:t>
      </w:r>
    </w:p>
    <w:p w14:paraId="6375A8AE" w14:textId="77777777" w:rsidR="00E167CA" w:rsidRDefault="00E167CA" w:rsidP="00E167CA">
      <w:pPr>
        <w:pStyle w:val="Prrafodelista"/>
        <w:autoSpaceDE w:val="0"/>
        <w:autoSpaceDN w:val="0"/>
        <w:adjustRightInd w:val="0"/>
        <w:spacing w:line="360" w:lineRule="auto"/>
        <w:ind w:left="0"/>
        <w:jc w:val="both"/>
        <w:rPr>
          <w:rFonts w:ascii="Palatino Linotype" w:hAnsi="Palatino Linotype" w:cs="Arial"/>
          <w:sz w:val="22"/>
        </w:rPr>
      </w:pPr>
    </w:p>
    <w:p w14:paraId="33D50024" w14:textId="77777777" w:rsidR="00E167CA" w:rsidRDefault="00E167CA" w:rsidP="00E167C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resultan </w:t>
      </w:r>
      <w:r>
        <w:rPr>
          <w:rFonts w:ascii="Palatino Linotype" w:hAnsi="Palatino Linotype"/>
          <w:b/>
        </w:rPr>
        <w:t>fundadas y procedentes</w:t>
      </w:r>
      <w:r>
        <w:rPr>
          <w:rFonts w:ascii="Palatino Linotype" w:hAnsi="Palatino Linotype"/>
        </w:rPr>
        <w:t xml:space="preserve">, en virtud de que como consta en las constancias que </w:t>
      </w:r>
      <w:proofErr w:type="gramStart"/>
      <w:r>
        <w:rPr>
          <w:rFonts w:ascii="Palatino Linotype" w:hAnsi="Palatino Linotype"/>
        </w:rPr>
        <w:t>obran</w:t>
      </w:r>
      <w:proofErr w:type="gramEnd"/>
      <w:r>
        <w:rPr>
          <w:rFonts w:ascii="Palatino Linotype" w:hAnsi="Palatino Linotype"/>
        </w:rPr>
        <w:t xml:space="preserve"> en el expediente electrónico SAIMEX, se acredita que el </w:t>
      </w:r>
      <w:r>
        <w:rPr>
          <w:rFonts w:ascii="Palatino Linotype" w:hAnsi="Palatino Linotype" w:cs="Arial"/>
          <w:lang w:eastAsia="es-MX"/>
        </w:rPr>
        <w:t>sujeto fue omiso en dar respuesta a la solicitud de información.</w:t>
      </w:r>
    </w:p>
    <w:p w14:paraId="0D733242"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p>
    <w:p w14:paraId="175BC4E7"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las cosas, ante la omisión del Sujeto Obligado para dar respuesta al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 advierte lo que en la doctrina se le conoce como </w:t>
      </w:r>
      <w:r>
        <w:rPr>
          <w:rFonts w:ascii="Palatino Linotype" w:eastAsia="Times New Roman" w:hAnsi="Palatino Linotype" w:cs="Times New Roman"/>
          <w:b/>
          <w:bCs/>
          <w:i/>
          <w:sz w:val="24"/>
          <w:szCs w:val="24"/>
          <w:lang w:eastAsia="es-ES"/>
        </w:rPr>
        <w:t>negativa ficta</w:t>
      </w:r>
      <w:r>
        <w:rPr>
          <w:rFonts w:ascii="Palatino Linotype" w:eastAsia="Times New Roman" w:hAnsi="Palatino Linotype" w:cs="Times New Roman"/>
          <w:b/>
          <w:bCs/>
          <w:sz w:val="24"/>
          <w:szCs w:val="24"/>
          <w:lang w:eastAsia="es-ES"/>
        </w:rPr>
        <w:t>,</w:t>
      </w:r>
      <w:r>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69D8ADD"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p>
    <w:p w14:paraId="54E51BEC"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contexto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Pr>
          <w:rFonts w:ascii="Palatino Linotype" w:eastAsia="Times New Roman" w:hAnsi="Palatino Linotype" w:cs="Times New Roman"/>
          <w:i/>
          <w:sz w:val="24"/>
          <w:szCs w:val="24"/>
          <w:lang w:eastAsia="es-ES"/>
        </w:rPr>
        <w:t>Estado de Derecho</w:t>
      </w:r>
      <w:r>
        <w:rPr>
          <w:rFonts w:ascii="Palatino Linotype" w:eastAsia="Times New Roman" w:hAnsi="Palatino Linotype" w:cs="Times New Roman"/>
          <w:sz w:val="24"/>
          <w:szCs w:val="24"/>
          <w:lang w:eastAsia="es-ES"/>
        </w:rPr>
        <w:t xml:space="preserve"> en el que, el particular, tiene siempre una vía de defensa.</w:t>
      </w:r>
    </w:p>
    <w:p w14:paraId="746D0C31" w14:textId="77777777" w:rsidR="00E167CA" w:rsidRPr="007D7085" w:rsidRDefault="00E167CA" w:rsidP="00E167CA">
      <w:pPr>
        <w:pStyle w:val="Prrafodelista"/>
        <w:autoSpaceDE w:val="0"/>
        <w:autoSpaceDN w:val="0"/>
        <w:adjustRightInd w:val="0"/>
        <w:spacing w:line="360" w:lineRule="auto"/>
        <w:ind w:left="0"/>
        <w:jc w:val="both"/>
        <w:rPr>
          <w:rFonts w:ascii="Palatino Linotype" w:hAnsi="Palatino Linotype" w:cs="Arial"/>
          <w:szCs w:val="28"/>
        </w:rPr>
      </w:pPr>
    </w:p>
    <w:p w14:paraId="16799D61"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sentido en el marco del derecho de acceso a la información pública, la figura de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y 160, de la Ley local en la materia, que a la letra citan:</w:t>
      </w:r>
    </w:p>
    <w:p w14:paraId="5297432A" w14:textId="77777777" w:rsidR="00E167CA" w:rsidRDefault="00E167CA" w:rsidP="00E167CA">
      <w:pPr>
        <w:pStyle w:val="infoemcitas"/>
        <w:ind w:left="567" w:right="567"/>
        <w:rPr>
          <w:lang w:eastAsia="es-ES"/>
        </w:rPr>
      </w:pPr>
      <w:r>
        <w:rPr>
          <w:b/>
          <w:lang w:eastAsia="es-ES"/>
        </w:rPr>
        <w:t>“Artículo 4.</w:t>
      </w:r>
      <w:r>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F8938D" w14:textId="77777777" w:rsidR="00E167CA" w:rsidRDefault="00E167CA" w:rsidP="00E167CA">
      <w:pPr>
        <w:pStyle w:val="infoemcitas"/>
        <w:ind w:left="567" w:right="567"/>
        <w:rPr>
          <w:lang w:eastAsia="es-ES"/>
        </w:rPr>
      </w:pPr>
      <w:r>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415446" w14:textId="77777777" w:rsidR="00E167CA" w:rsidRDefault="00E167CA" w:rsidP="00E167CA">
      <w:pPr>
        <w:pStyle w:val="infoemcitas"/>
        <w:ind w:left="567" w:right="567"/>
        <w:rPr>
          <w:lang w:eastAsia="es-ES"/>
        </w:rPr>
      </w:pPr>
      <w:r>
        <w:rPr>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3B4AE948" w14:textId="77777777" w:rsidR="00E167CA" w:rsidRDefault="00E167CA" w:rsidP="00E167CA">
      <w:pPr>
        <w:pStyle w:val="infoemcitas"/>
        <w:ind w:left="567" w:right="567"/>
        <w:rPr>
          <w:lang w:eastAsia="es-ES"/>
        </w:rPr>
      </w:pPr>
      <w:r>
        <w:rPr>
          <w:b/>
          <w:lang w:eastAsia="es-ES"/>
        </w:rPr>
        <w:t>Artículo 12.</w:t>
      </w:r>
      <w:r>
        <w:rPr>
          <w:lang w:eastAsia="es-ES"/>
        </w:rPr>
        <w:t xml:space="preserve"> Quienes generen, recopilen, administren, manejen, procesen, archiven o conserven información pública serán responsables de la misma en los términos de las disposiciones jurídicas aplicables.</w:t>
      </w:r>
    </w:p>
    <w:p w14:paraId="43E43F8E" w14:textId="77777777" w:rsidR="00E167CA" w:rsidRDefault="00E167CA" w:rsidP="00E167CA">
      <w:pPr>
        <w:pStyle w:val="infoemcitas"/>
        <w:ind w:left="567" w:right="567"/>
        <w:rPr>
          <w:lang w:eastAsia="es-ES"/>
        </w:rPr>
      </w:pPr>
      <w:r>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667009B" w14:textId="77777777" w:rsidR="00E167CA" w:rsidRDefault="00E167CA" w:rsidP="00E167CA">
      <w:pPr>
        <w:pStyle w:val="infoemcitas"/>
        <w:ind w:left="567" w:right="567"/>
        <w:rPr>
          <w:lang w:eastAsia="es-ES"/>
        </w:rPr>
      </w:pPr>
      <w:r>
        <w:rPr>
          <w:lang w:eastAsia="es-ES"/>
        </w:rPr>
        <w:t>(…)</w:t>
      </w:r>
    </w:p>
    <w:p w14:paraId="588F01DD" w14:textId="77777777" w:rsidR="00E167CA" w:rsidRDefault="00E167CA" w:rsidP="00E167CA">
      <w:pPr>
        <w:pStyle w:val="infoemcitas"/>
        <w:ind w:left="567" w:right="567"/>
        <w:rPr>
          <w:lang w:eastAsia="es-ES"/>
        </w:rPr>
      </w:pPr>
      <w:r>
        <w:rPr>
          <w:b/>
          <w:lang w:eastAsia="es-ES"/>
        </w:rPr>
        <w:t>Artículo 160.</w:t>
      </w:r>
      <w:r>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1476709" w14:textId="77777777" w:rsidR="00E167CA" w:rsidRDefault="00E167CA" w:rsidP="00E167CA">
      <w:pPr>
        <w:pStyle w:val="infoemcitas"/>
        <w:ind w:left="567" w:right="567"/>
        <w:rPr>
          <w:b/>
          <w:bCs/>
          <w:lang w:eastAsia="es-ES"/>
        </w:rPr>
      </w:pPr>
      <w:r>
        <w:rPr>
          <w:lang w:eastAsia="es-ES"/>
        </w:rPr>
        <w:t xml:space="preserve">En caso que la información solicitada consista en bases de datos se deberá privilegiar la entrega de la misma en formatos abiertos.” </w:t>
      </w:r>
      <w:r>
        <w:rPr>
          <w:b/>
          <w:bCs/>
          <w:lang w:eastAsia="es-ES"/>
        </w:rPr>
        <w:t>[Sic]</w:t>
      </w:r>
    </w:p>
    <w:p w14:paraId="2B487F64"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p>
    <w:p w14:paraId="174BDEDF" w14:textId="77777777" w:rsidR="00E167CA" w:rsidRDefault="00E167CA" w:rsidP="00E167C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w:t>
      </w:r>
      <w:r>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Pr>
          <w:rFonts w:ascii="Palatino Linotype" w:eastAsia="Times New Roman" w:hAnsi="Palatino Linotype" w:cs="Times New Roman"/>
          <w:bCs/>
          <w:sz w:val="24"/>
          <w:szCs w:val="24"/>
          <w:lang w:eastAsia="es-ES"/>
        </w:rPr>
        <w:t>de la Ley local en la materia, que se reproduce de la siguiente forma</w:t>
      </w:r>
      <w:r>
        <w:rPr>
          <w:rFonts w:ascii="Palatino Linotype" w:eastAsia="Times New Roman" w:hAnsi="Palatino Linotype" w:cs="Times New Roman"/>
          <w:sz w:val="24"/>
          <w:szCs w:val="24"/>
          <w:lang w:eastAsia="es-ES"/>
        </w:rPr>
        <w:t>:</w:t>
      </w:r>
    </w:p>
    <w:p w14:paraId="54B1D130" w14:textId="77777777" w:rsidR="00E167CA" w:rsidRDefault="00E167CA" w:rsidP="0079082B">
      <w:pPr>
        <w:pStyle w:val="infoemcitas"/>
        <w:spacing w:before="0" w:after="0"/>
        <w:ind w:left="567" w:right="567"/>
        <w:rPr>
          <w:b/>
          <w:bCs/>
          <w:lang w:eastAsia="es-ES"/>
        </w:rPr>
      </w:pPr>
      <w:r>
        <w:rPr>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Pr>
          <w:b/>
          <w:bCs/>
          <w:lang w:eastAsia="es-ES"/>
        </w:rPr>
        <w:t>[Sic]</w:t>
      </w:r>
    </w:p>
    <w:p w14:paraId="44B2FB29" w14:textId="77777777" w:rsidR="00E167CA" w:rsidRDefault="00E167CA" w:rsidP="0079082B">
      <w:pPr>
        <w:spacing w:after="0" w:line="360" w:lineRule="auto"/>
        <w:jc w:val="both"/>
        <w:rPr>
          <w:rFonts w:ascii="Palatino Linotype" w:eastAsia="Times New Roman" w:hAnsi="Palatino Linotype" w:cs="Times New Roman"/>
          <w:sz w:val="24"/>
          <w:szCs w:val="24"/>
          <w:lang w:eastAsia="es-ES"/>
        </w:rPr>
      </w:pPr>
    </w:p>
    <w:p w14:paraId="215A3873" w14:textId="77777777" w:rsidR="00E167CA" w:rsidRDefault="00E167CA" w:rsidP="0079082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y que señala:</w:t>
      </w:r>
    </w:p>
    <w:p w14:paraId="1D34647A" w14:textId="77777777" w:rsidR="00E167CA" w:rsidRDefault="00E167CA" w:rsidP="00E167CA">
      <w:pPr>
        <w:pStyle w:val="infoemcitas"/>
        <w:tabs>
          <w:tab w:val="left" w:pos="8221"/>
        </w:tabs>
        <w:ind w:left="567" w:right="567"/>
        <w:rPr>
          <w:lang w:eastAsia="es-ES"/>
        </w:rPr>
      </w:pPr>
      <w:r>
        <w:rPr>
          <w:b/>
          <w:lang w:eastAsia="es-ES"/>
        </w:rPr>
        <w:t>“A</w:t>
      </w:r>
      <w:r>
        <w:rPr>
          <w:b/>
          <w:bCs/>
          <w:lang w:eastAsia="es-ES"/>
        </w:rPr>
        <w:t>rtículo 24.</w:t>
      </w:r>
      <w:r>
        <w:rPr>
          <w:bCs/>
          <w:lang w:eastAsia="es-ES"/>
        </w:rPr>
        <w:t xml:space="preserve"> </w:t>
      </w:r>
      <w:r>
        <w:rPr>
          <w:lang w:eastAsia="es-ES"/>
        </w:rPr>
        <w:t>Para el cumplimiento de los objetivos de esta Ley, los sujetos obligados deberán cumplir con las siguientes obligaciones, según corresponda, de acuerdo a su naturaleza:</w:t>
      </w:r>
    </w:p>
    <w:p w14:paraId="7DFF67D8" w14:textId="77777777" w:rsidR="00E167CA" w:rsidRDefault="00E167CA" w:rsidP="00E167CA">
      <w:pPr>
        <w:pStyle w:val="infoemcitas"/>
        <w:tabs>
          <w:tab w:val="left" w:pos="8221"/>
        </w:tabs>
        <w:ind w:left="567" w:right="567"/>
        <w:rPr>
          <w:lang w:eastAsia="es-ES"/>
        </w:rPr>
      </w:pPr>
      <w:r>
        <w:rPr>
          <w:bCs/>
          <w:lang w:eastAsia="es-ES"/>
        </w:rPr>
        <w:t>(..</w:t>
      </w:r>
      <w:r>
        <w:rPr>
          <w:lang w:eastAsia="es-ES"/>
        </w:rPr>
        <w:t>.)</w:t>
      </w:r>
    </w:p>
    <w:p w14:paraId="4A3FCD44" w14:textId="77777777" w:rsidR="00E167CA" w:rsidRDefault="00E167CA" w:rsidP="00E167CA">
      <w:pPr>
        <w:pStyle w:val="infoemcitas"/>
        <w:tabs>
          <w:tab w:val="left" w:pos="8221"/>
        </w:tabs>
        <w:ind w:left="567" w:right="567"/>
        <w:rPr>
          <w:bCs/>
          <w:lang w:eastAsia="es-ES"/>
        </w:rPr>
      </w:pPr>
      <w:r>
        <w:rPr>
          <w:bCs/>
          <w:lang w:eastAsia="es-ES"/>
        </w:rPr>
        <w:t>XI. Dar acceso a la información pública que le sea requerida, en los términos de la Ley General, esta Ley y demás disposiciones jurídicas aplicables;</w:t>
      </w:r>
    </w:p>
    <w:p w14:paraId="0CB29707" w14:textId="77777777" w:rsidR="00E167CA" w:rsidRDefault="00E167CA" w:rsidP="00E167CA">
      <w:pPr>
        <w:pStyle w:val="infoemcitas"/>
        <w:tabs>
          <w:tab w:val="left" w:pos="8221"/>
        </w:tabs>
        <w:ind w:left="567" w:right="567"/>
        <w:rPr>
          <w:b/>
          <w:lang w:eastAsia="es-ES"/>
        </w:rPr>
      </w:pPr>
      <w:r>
        <w:rPr>
          <w:bCs/>
          <w:lang w:eastAsia="es-ES"/>
        </w:rPr>
        <w:t xml:space="preserve">(…)” </w:t>
      </w:r>
      <w:r>
        <w:rPr>
          <w:b/>
          <w:lang w:eastAsia="es-ES"/>
        </w:rPr>
        <w:t>[Sic]</w:t>
      </w:r>
    </w:p>
    <w:p w14:paraId="66630959" w14:textId="77777777" w:rsidR="0079082B" w:rsidRDefault="0079082B" w:rsidP="0079082B">
      <w:pPr>
        <w:pStyle w:val="Prrafodelista"/>
        <w:autoSpaceDE w:val="0"/>
        <w:autoSpaceDN w:val="0"/>
        <w:adjustRightInd w:val="0"/>
        <w:spacing w:line="360" w:lineRule="auto"/>
        <w:ind w:left="0"/>
        <w:jc w:val="both"/>
        <w:rPr>
          <w:rFonts w:ascii="Palatino Linotype" w:hAnsi="Palatino Linotype" w:cs="Arial"/>
        </w:rPr>
      </w:pPr>
    </w:p>
    <w:p w14:paraId="7453FF95" w14:textId="646734D7" w:rsidR="00E167CA" w:rsidRDefault="00E167CA" w:rsidP="007908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w:t>
      </w:r>
      <w:r w:rsidRPr="00AD2A55">
        <w:rPr>
          <w:rFonts w:ascii="Palatino Linotype" w:hAnsi="Palatino Linotype" w:cs="Arial"/>
        </w:rPr>
        <w:t xml:space="preserve">Sistema de </w:t>
      </w:r>
      <w:r w:rsidRPr="00AD2A55">
        <w:rPr>
          <w:rFonts w:ascii="Palatino Linotype" w:hAnsi="Palatino Linotype" w:cs="Arial"/>
        </w:rPr>
        <w:lastRenderedPageBreak/>
        <w:t>Acceso a la Información Mexiquense (</w:t>
      </w:r>
      <w:r w:rsidRPr="00AD2A55">
        <w:rPr>
          <w:rFonts w:ascii="Palatino Linotype" w:hAnsi="Palatino Linotype" w:cs="Arial"/>
          <w:b/>
        </w:rPr>
        <w:t>SAIMEX)</w:t>
      </w:r>
      <w:r>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AD2A55">
        <w:rPr>
          <w:rFonts w:ascii="Palatino Linotype" w:hAnsi="Palatino Linotype" w:cs="Arial"/>
        </w:rPr>
        <w:t>Sistema de Acceso a la Información Mexiquense (</w:t>
      </w:r>
      <w:r w:rsidRPr="00AD2A55">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por motivo de la solicitud que dio origen a este recurso, el sujeto obligado fue omiso en dar respuesta a la solicitud.</w:t>
      </w:r>
    </w:p>
    <w:p w14:paraId="5580DA09" w14:textId="77777777" w:rsidR="00E167CA" w:rsidRPr="003E2A30" w:rsidRDefault="00E167CA" w:rsidP="00E167CA">
      <w:pPr>
        <w:pStyle w:val="Prrafodelista"/>
        <w:autoSpaceDE w:val="0"/>
        <w:autoSpaceDN w:val="0"/>
        <w:adjustRightInd w:val="0"/>
        <w:spacing w:line="360" w:lineRule="auto"/>
        <w:ind w:left="0"/>
        <w:jc w:val="both"/>
        <w:rPr>
          <w:rFonts w:ascii="Palatino Linotype" w:hAnsi="Palatino Linotype" w:cs="Arial"/>
          <w:szCs w:val="28"/>
        </w:rPr>
      </w:pPr>
    </w:p>
    <w:p w14:paraId="4B395C1E" w14:textId="77777777" w:rsidR="00E167CA" w:rsidRDefault="00E167CA" w:rsidP="00E167CA">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28FC45C" w14:textId="77777777" w:rsidR="00E167CA" w:rsidRPr="003E2A30" w:rsidRDefault="00E167CA" w:rsidP="00E167CA">
      <w:pPr>
        <w:pStyle w:val="Prrafodelista"/>
        <w:autoSpaceDE w:val="0"/>
        <w:autoSpaceDN w:val="0"/>
        <w:adjustRightInd w:val="0"/>
        <w:spacing w:line="360" w:lineRule="auto"/>
        <w:ind w:left="0"/>
        <w:jc w:val="both"/>
        <w:rPr>
          <w:rFonts w:ascii="Palatino Linotype" w:hAnsi="Palatino Linotype" w:cs="Arial"/>
          <w:szCs w:val="28"/>
        </w:rPr>
      </w:pPr>
    </w:p>
    <w:p w14:paraId="106CF8FB" w14:textId="77777777" w:rsidR="00E167CA" w:rsidRDefault="00E167CA" w:rsidP="00E167CA">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Pr>
          <w:rFonts w:ascii="Palatino Linotype" w:eastAsia="Calibri" w:hAnsi="Palatino Linotype"/>
          <w:b/>
          <w:i/>
        </w:rPr>
        <w:t>garantizar</w:t>
      </w:r>
      <w:r>
        <w:rPr>
          <w:rFonts w:ascii="Palatino Linotype" w:eastAsia="Calibri" w:hAnsi="Palatino Linotype"/>
          <w:i/>
        </w:rPr>
        <w:t xml:space="preserve"> los derechos humanos. </w:t>
      </w:r>
    </w:p>
    <w:p w14:paraId="3F987CE4" w14:textId="77777777" w:rsidR="00E167CA" w:rsidRPr="003E2A30" w:rsidRDefault="00E167CA" w:rsidP="00E167CA">
      <w:pPr>
        <w:pStyle w:val="Prrafodelista"/>
        <w:autoSpaceDE w:val="0"/>
        <w:autoSpaceDN w:val="0"/>
        <w:adjustRightInd w:val="0"/>
        <w:spacing w:line="360" w:lineRule="auto"/>
        <w:ind w:left="0"/>
        <w:jc w:val="both"/>
        <w:rPr>
          <w:rFonts w:ascii="Palatino Linotype" w:eastAsia="Calibri" w:hAnsi="Palatino Linotype"/>
          <w:i/>
          <w:szCs w:val="48"/>
        </w:rPr>
      </w:pPr>
    </w:p>
    <w:p w14:paraId="57FC0A26" w14:textId="77777777" w:rsidR="00E167CA" w:rsidRDefault="00E167CA" w:rsidP="00E167CA">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w:t>
      </w:r>
      <w:r>
        <w:rPr>
          <w:rFonts w:ascii="Palatino Linotype" w:eastAsia="Calibri" w:hAnsi="Palatino Linotype"/>
        </w:rPr>
        <w:lastRenderedPageBreak/>
        <w:t xml:space="preserve">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B1E2D0A" w14:textId="77777777" w:rsidR="00E167CA" w:rsidRDefault="00E167CA" w:rsidP="00E167CA">
      <w:pPr>
        <w:pStyle w:val="Prrafodelista"/>
        <w:autoSpaceDE w:val="0"/>
        <w:autoSpaceDN w:val="0"/>
        <w:adjustRightInd w:val="0"/>
        <w:spacing w:line="360" w:lineRule="auto"/>
        <w:ind w:left="0"/>
        <w:jc w:val="both"/>
        <w:rPr>
          <w:rFonts w:ascii="Palatino Linotype" w:eastAsia="Calibri" w:hAnsi="Palatino Linotype"/>
          <w:i/>
        </w:rPr>
      </w:pPr>
    </w:p>
    <w:p w14:paraId="4FB2E5A6" w14:textId="77777777" w:rsidR="00E167CA" w:rsidRDefault="00E167CA" w:rsidP="00E167CA">
      <w:pPr>
        <w:spacing w:after="0" w:line="360" w:lineRule="auto"/>
        <w:ind w:firstLine="1"/>
        <w:jc w:val="both"/>
        <w:rPr>
          <w:rFonts w:ascii="Palatino Linotype" w:hAnsi="Palatino Linotype"/>
          <w:bCs/>
          <w:sz w:val="24"/>
          <w:szCs w:val="24"/>
        </w:rPr>
      </w:pPr>
      <w:r>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Pr>
          <w:rFonts w:ascii="Palatino Linotype" w:hAnsi="Palatino Linotype"/>
          <w:sz w:val="24"/>
          <w:szCs w:val="24"/>
          <w:lang w:eastAsia="es-MX"/>
        </w:rPr>
        <w:t xml:space="preserve">con base en ello, recordemos que el requerimiento solicitado se centra en obtener: </w:t>
      </w:r>
      <w:r>
        <w:rPr>
          <w:rFonts w:ascii="Palatino Linotype" w:hAnsi="Palatino Linotype"/>
          <w:bCs/>
          <w:sz w:val="24"/>
          <w:szCs w:val="24"/>
        </w:rPr>
        <w:t xml:space="preserve">el saldo que el Municipio de </w:t>
      </w:r>
      <w:proofErr w:type="spellStart"/>
      <w:r>
        <w:rPr>
          <w:rFonts w:ascii="Palatino Linotype" w:hAnsi="Palatino Linotype"/>
          <w:bCs/>
          <w:sz w:val="24"/>
          <w:szCs w:val="24"/>
        </w:rPr>
        <w:t>Nopaltepec</w:t>
      </w:r>
      <w:proofErr w:type="spellEnd"/>
      <w:r>
        <w:rPr>
          <w:rFonts w:ascii="Palatino Linotype" w:hAnsi="Palatino Linotype"/>
          <w:bCs/>
          <w:sz w:val="24"/>
          <w:szCs w:val="24"/>
        </w:rPr>
        <w:t xml:space="preserve">  tiene con los proveedores.</w:t>
      </w:r>
    </w:p>
    <w:p w14:paraId="1D20E574" w14:textId="77777777" w:rsidR="00E167CA" w:rsidRDefault="00E167CA" w:rsidP="00E167CA">
      <w:pPr>
        <w:spacing w:after="0" w:line="360" w:lineRule="auto"/>
        <w:jc w:val="both"/>
        <w:rPr>
          <w:rFonts w:ascii="Palatino Linotype" w:hAnsi="Palatino Linotype"/>
          <w:bCs/>
          <w:sz w:val="24"/>
          <w:szCs w:val="24"/>
        </w:rPr>
      </w:pPr>
    </w:p>
    <w:p w14:paraId="120F45F2" w14:textId="77777777" w:rsidR="00E167CA" w:rsidRDefault="00E167CA" w:rsidP="00E167CA">
      <w:pPr>
        <w:spacing w:after="0" w:line="360" w:lineRule="auto"/>
        <w:jc w:val="both"/>
        <w:rPr>
          <w:rFonts w:ascii="Palatino Linotype" w:hAnsi="Palatino Linotype"/>
          <w:bCs/>
          <w:sz w:val="24"/>
          <w:szCs w:val="24"/>
        </w:rPr>
      </w:pPr>
      <w:r>
        <w:rPr>
          <w:rFonts w:ascii="Palatino Linotype" w:hAnsi="Palatino Linotype"/>
          <w:bCs/>
          <w:sz w:val="24"/>
          <w:szCs w:val="24"/>
        </w:rPr>
        <w:t>Cabe señalar que el Titular de la Unidad de Transparencia, solicito al área competente diera respuesta al requerimiento solicitado, sin embargo, esta no proporciono respuesta alguna, como se muestra en la siguiente imagen:</w:t>
      </w:r>
    </w:p>
    <w:p w14:paraId="6EFB0E3B" w14:textId="768D4D97" w:rsidR="00E167CA" w:rsidRDefault="0079082B" w:rsidP="00E167CA">
      <w:pPr>
        <w:spacing w:after="0" w:line="360" w:lineRule="auto"/>
        <w:jc w:val="center"/>
        <w:rPr>
          <w:rFonts w:ascii="Palatino Linotype" w:hAnsi="Palatino Linotype"/>
          <w:bCs/>
          <w:sz w:val="24"/>
          <w:szCs w:val="24"/>
        </w:rPr>
      </w:pPr>
      <w:r>
        <w:rPr>
          <w:noProof/>
          <w:lang w:eastAsia="es-MX"/>
        </w:rPr>
        <w:drawing>
          <wp:inline distT="0" distB="0" distL="0" distR="0" wp14:anchorId="25E68DD9" wp14:editId="4A41BFF1">
            <wp:extent cx="5182319" cy="1138555"/>
            <wp:effectExtent l="114300" t="76200" r="113665" b="8064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9"/>
                    <a:srcRect l="18432" t="23959" r="18325" b="55274"/>
                    <a:stretch/>
                  </pic:blipFill>
                  <pic:spPr bwMode="auto">
                    <a:xfrm>
                      <a:off x="0" y="0"/>
                      <a:ext cx="5252642" cy="115400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05DEBEA" w14:textId="77777777" w:rsidR="00E167CA" w:rsidRDefault="00E167CA" w:rsidP="00E167CA">
      <w:pPr>
        <w:spacing w:after="0" w:line="360" w:lineRule="auto"/>
        <w:jc w:val="both"/>
        <w:rPr>
          <w:rFonts w:ascii="Palatino Linotype" w:hAnsi="Palatino Linotype"/>
          <w:bCs/>
          <w:sz w:val="24"/>
          <w:szCs w:val="24"/>
        </w:rPr>
      </w:pPr>
    </w:p>
    <w:p w14:paraId="1E303ADD" w14:textId="64E79A6C" w:rsidR="00E167CA" w:rsidRDefault="00E167CA" w:rsidP="005C7EF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Dicho lo anterior, considerando la información requerida por </w:t>
      </w:r>
      <w:r w:rsidRPr="00C24174">
        <w:rPr>
          <w:rFonts w:ascii="Palatino Linotype" w:hAnsi="Palatino Linotype" w:cs="Arial"/>
          <w:b/>
          <w:bCs/>
        </w:rPr>
        <w:t>e</w:t>
      </w:r>
      <w:r>
        <w:rPr>
          <w:rFonts w:ascii="Palatino Linotype" w:hAnsi="Palatino Linotype" w:cs="Arial"/>
          <w:b/>
        </w:rPr>
        <w:t xml:space="preserve">l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14:paraId="241C178C" w14:textId="77777777" w:rsidR="005C7EF5" w:rsidRDefault="005C7EF5" w:rsidP="005C7EF5">
      <w:pPr>
        <w:pStyle w:val="Prrafodelista"/>
        <w:autoSpaceDE w:val="0"/>
        <w:autoSpaceDN w:val="0"/>
        <w:adjustRightInd w:val="0"/>
        <w:spacing w:line="360" w:lineRule="auto"/>
        <w:ind w:left="0"/>
        <w:jc w:val="both"/>
        <w:rPr>
          <w:rFonts w:ascii="Palatino Linotype" w:hAnsi="Palatino Linotype" w:cs="Arial"/>
        </w:rPr>
      </w:pPr>
    </w:p>
    <w:p w14:paraId="7F5294B3" w14:textId="67D09E6D" w:rsidR="005C7EF5" w:rsidRPr="00750341" w:rsidRDefault="00E167CA" w:rsidP="005C7EF5">
      <w:pPr>
        <w:spacing w:after="0" w:line="360" w:lineRule="auto"/>
        <w:jc w:val="both"/>
        <w:rPr>
          <w:rFonts w:ascii="Palatino Linotype" w:hAnsi="Palatino Linotype"/>
          <w:sz w:val="24"/>
          <w:szCs w:val="24"/>
          <w:lang w:val="es-ES_tradnl"/>
        </w:rPr>
      </w:pPr>
      <w:r>
        <w:rPr>
          <w:rFonts w:ascii="Palatino Linotype" w:hAnsi="Palatino Linotype"/>
          <w:bCs/>
          <w:sz w:val="24"/>
          <w:szCs w:val="24"/>
        </w:rPr>
        <w:t xml:space="preserve">Para conocer si el Sujeto Obligado se encuentra constreñido a generar, poseer o administrar la información solicitada es necesario remitirnos a lo que establece </w:t>
      </w:r>
      <w:r w:rsidR="005C7EF5">
        <w:rPr>
          <w:rFonts w:ascii="Palatino Linotype" w:hAnsi="Palatino Linotype"/>
          <w:bCs/>
          <w:sz w:val="24"/>
          <w:szCs w:val="24"/>
        </w:rPr>
        <w:t xml:space="preserve">el </w:t>
      </w:r>
      <w:r w:rsidR="005C7EF5" w:rsidRPr="00750341">
        <w:rPr>
          <w:rFonts w:ascii="Palatino Linotype" w:hAnsi="Palatino Linotype"/>
          <w:sz w:val="24"/>
          <w:szCs w:val="24"/>
          <w:lang w:val="es-ES_tradnl"/>
        </w:rPr>
        <w:t>Código Administrativo</w:t>
      </w:r>
      <w:r w:rsidR="005C7EF5">
        <w:rPr>
          <w:rFonts w:ascii="Palatino Linotype" w:hAnsi="Palatino Linotype"/>
          <w:sz w:val="24"/>
          <w:szCs w:val="24"/>
          <w:lang w:val="es-ES_tradnl"/>
        </w:rPr>
        <w:t xml:space="preserve"> en sus</w:t>
      </w:r>
      <w:r w:rsidR="005C7EF5" w:rsidRPr="00750341">
        <w:rPr>
          <w:rFonts w:ascii="Palatino Linotype" w:hAnsi="Palatino Linotype"/>
          <w:sz w:val="24"/>
          <w:szCs w:val="24"/>
          <w:lang w:val="es-ES_tradnl"/>
        </w:rPr>
        <w:t xml:space="preserve"> artículos 18.6, fracción II y 18.7 del multicitado.</w:t>
      </w:r>
    </w:p>
    <w:p w14:paraId="66632D12" w14:textId="77777777" w:rsidR="005C7EF5" w:rsidRPr="00750341" w:rsidRDefault="005C7EF5" w:rsidP="005C7EF5">
      <w:pPr>
        <w:spacing w:before="240" w:after="240" w:line="360" w:lineRule="auto"/>
        <w:ind w:left="708"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r w:rsidRPr="0068273A">
        <w:rPr>
          <w:rFonts w:ascii="Palatino Linotype" w:hAnsi="Palatino Linotype"/>
          <w:b/>
          <w:bCs/>
          <w:i/>
          <w:sz w:val="24"/>
          <w:szCs w:val="24"/>
          <w:lang w:val="es-ES_tradnl"/>
        </w:rPr>
        <w:t>Artículo 18.6</w:t>
      </w:r>
      <w:r w:rsidRPr="00750341">
        <w:rPr>
          <w:rFonts w:ascii="Palatino Linotype" w:hAnsi="Palatino Linotype"/>
          <w:i/>
          <w:sz w:val="24"/>
          <w:szCs w:val="24"/>
          <w:lang w:val="es-ES_tradnl"/>
        </w:rPr>
        <w:t>.- Son atribuciones de los Municipios:</w:t>
      </w:r>
    </w:p>
    <w:p w14:paraId="05C4EED3" w14:textId="77777777" w:rsidR="005C7EF5" w:rsidRPr="00750341" w:rsidRDefault="005C7EF5" w:rsidP="005C7EF5">
      <w:pPr>
        <w:spacing w:before="240" w:after="240" w:line="360" w:lineRule="auto"/>
        <w:ind w:left="708"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6F0ABB9D" w14:textId="77777777" w:rsidR="005C7EF5" w:rsidRPr="00750341" w:rsidRDefault="005C7EF5" w:rsidP="005C7EF5">
      <w:pPr>
        <w:spacing w:before="240" w:after="240" w:line="360" w:lineRule="auto"/>
        <w:ind w:left="708"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II. Expedir licencias, permisos y constancias en materia de construcción, de conformidad con lo dispuesto por este Libro, las Normas Técnicas, los planes municipales de desarrollo urbano y demás normatividad aplicable (…)”</w:t>
      </w:r>
    </w:p>
    <w:p w14:paraId="09CC6143" w14:textId="77777777" w:rsidR="005C7EF5" w:rsidRPr="00750341" w:rsidRDefault="005C7EF5" w:rsidP="005C7EF5">
      <w:pPr>
        <w:spacing w:before="240" w:after="240" w:line="360" w:lineRule="auto"/>
        <w:ind w:left="708"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r w:rsidRPr="0068273A">
        <w:rPr>
          <w:rFonts w:ascii="Palatino Linotype" w:hAnsi="Palatino Linotype"/>
          <w:b/>
          <w:bCs/>
          <w:i/>
          <w:sz w:val="24"/>
          <w:szCs w:val="24"/>
          <w:lang w:val="es-ES_tradnl"/>
        </w:rPr>
        <w:t>Artículo 18.7.-</w:t>
      </w:r>
      <w:r w:rsidRPr="00750341">
        <w:rPr>
          <w:rFonts w:ascii="Palatino Linotype" w:hAnsi="Palatino Linotype"/>
          <w:i/>
          <w:sz w:val="24"/>
          <w:szCs w:val="24"/>
          <w:lang w:val="es-ES_tradnl"/>
        </w:rPr>
        <w:t xml:space="preserve"> Para la emisión de las licencias, permisos y constancias de que trata este Libro, los Municipios deberán contar con servidores públicos especializados en la materia.”</w:t>
      </w:r>
    </w:p>
    <w:p w14:paraId="00BBF81F" w14:textId="77777777" w:rsidR="005C7EF5" w:rsidRPr="00750341" w:rsidRDefault="005C7EF5" w:rsidP="005C7EF5">
      <w:pPr>
        <w:spacing w:before="240" w:after="240" w:line="360" w:lineRule="auto"/>
        <w:ind w:left="708"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(Énfasis añadido.)</w:t>
      </w:r>
    </w:p>
    <w:p w14:paraId="462A7A41" w14:textId="77777777" w:rsidR="005C7EF5" w:rsidRPr="00750341" w:rsidRDefault="005C7EF5" w:rsidP="005C7EF5">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Así también, la Ley Orgánica Municipal del Estado de México y Municipios establece lo siguiente:</w:t>
      </w:r>
    </w:p>
    <w:p w14:paraId="7B536D62" w14:textId="77777777" w:rsidR="005C7EF5" w:rsidRDefault="005C7EF5" w:rsidP="005C7EF5">
      <w:pPr>
        <w:tabs>
          <w:tab w:val="left" w:pos="709"/>
        </w:tabs>
        <w:spacing w:before="240" w:line="360" w:lineRule="auto"/>
        <w:ind w:left="708" w:right="567"/>
        <w:jc w:val="both"/>
        <w:rPr>
          <w:rFonts w:ascii="Palatino Linotype" w:hAnsi="Palatino Linotype"/>
          <w:b/>
          <w:bCs/>
          <w:i/>
          <w:lang w:val="es-ES_tradnl"/>
        </w:rPr>
      </w:pPr>
    </w:p>
    <w:p w14:paraId="4FE2F082" w14:textId="77777777" w:rsidR="005C7EF5" w:rsidRDefault="005C7EF5" w:rsidP="005C7EF5">
      <w:pPr>
        <w:tabs>
          <w:tab w:val="left" w:pos="709"/>
        </w:tabs>
        <w:spacing w:before="240" w:line="360" w:lineRule="auto"/>
        <w:ind w:left="708" w:right="567"/>
        <w:jc w:val="both"/>
        <w:rPr>
          <w:rFonts w:ascii="Palatino Linotype" w:hAnsi="Palatino Linotype"/>
          <w:b/>
          <w:bCs/>
          <w:i/>
          <w:lang w:val="es-ES_tradnl"/>
        </w:rPr>
      </w:pPr>
    </w:p>
    <w:p w14:paraId="66A0E3E8" w14:textId="4A984D86"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68273A">
        <w:rPr>
          <w:rFonts w:ascii="Palatino Linotype" w:hAnsi="Palatino Linotype"/>
          <w:b/>
          <w:bCs/>
          <w:i/>
          <w:lang w:val="es-ES_tradnl"/>
        </w:rPr>
        <w:t xml:space="preserve">Artículo 96. </w:t>
      </w:r>
      <w:proofErr w:type="spellStart"/>
      <w:r w:rsidRPr="0068273A">
        <w:rPr>
          <w:rFonts w:ascii="Palatino Linotype" w:hAnsi="Palatino Linotype"/>
          <w:b/>
          <w:bCs/>
          <w:i/>
          <w:lang w:val="es-ES_tradnl"/>
        </w:rPr>
        <w:t>Sexies</w:t>
      </w:r>
      <w:proofErr w:type="spellEnd"/>
      <w:r w:rsidRPr="0068273A">
        <w:rPr>
          <w:rFonts w:ascii="Palatino Linotype" w:hAnsi="Palatino Linotype"/>
          <w:b/>
          <w:bCs/>
          <w:i/>
          <w:lang w:val="es-ES_tradnl"/>
        </w:rPr>
        <w:t>.</w:t>
      </w:r>
      <w:r w:rsidRPr="00750341">
        <w:rPr>
          <w:rFonts w:ascii="Palatino Linotype" w:hAnsi="Palatino Linotype"/>
          <w:i/>
          <w:lang w:val="es-ES_tradnl"/>
        </w:rPr>
        <w:t xml:space="preserve"> El Director de Desarrollo Urbano o el Titular de la Unidad Administrativa equivalente, tiene las atribuciones siguientes: </w:t>
      </w:r>
    </w:p>
    <w:p w14:paraId="45542DD9"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 xml:space="preserve">I. Ejecutar la </w:t>
      </w:r>
      <w:proofErr w:type="spellStart"/>
      <w:r w:rsidRPr="00750341">
        <w:rPr>
          <w:rFonts w:ascii="Palatino Linotype" w:hAnsi="Palatino Linotype"/>
          <w:i/>
          <w:lang w:val="es-ES_tradnl"/>
        </w:rPr>
        <w:t>política</w:t>
      </w:r>
      <w:proofErr w:type="spellEnd"/>
      <w:r w:rsidRPr="00750341">
        <w:rPr>
          <w:rFonts w:ascii="Palatino Linotype" w:hAnsi="Palatino Linotype"/>
          <w:i/>
          <w:lang w:val="es-ES_tradnl"/>
        </w:rPr>
        <w:t xml:space="preserve"> en materia de reordenamiento urbano; </w:t>
      </w:r>
    </w:p>
    <w:p w14:paraId="496FAD41"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 xml:space="preserve">II. Formular y conducir las </w:t>
      </w:r>
      <w:proofErr w:type="spellStart"/>
      <w:r w:rsidRPr="00750341">
        <w:rPr>
          <w:rFonts w:ascii="Palatino Linotype" w:hAnsi="Palatino Linotype"/>
          <w:i/>
          <w:lang w:val="es-ES_tradnl"/>
        </w:rPr>
        <w:t>políticas</w:t>
      </w:r>
      <w:proofErr w:type="spellEnd"/>
      <w:r w:rsidRPr="00750341">
        <w:rPr>
          <w:rFonts w:ascii="Palatino Linotype" w:hAnsi="Palatino Linotype"/>
          <w:i/>
          <w:lang w:val="es-ES_tradnl"/>
        </w:rPr>
        <w:t xml:space="preserve"> municipales de asentamientos humanos, urbanismo y vivienda; </w:t>
      </w:r>
    </w:p>
    <w:p w14:paraId="5C568522"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 xml:space="preserve">III. Aplicar y vigilar el cumplimiento de las disposiciones legales en materia de ordenamiento territorial de los asentamientos humanos, del desarrollo urbano y vivienda; </w:t>
      </w:r>
    </w:p>
    <w:p w14:paraId="7E3E401D"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 xml:space="preserve">IV. Proponer el plan municipal de desarrollo urbano, </w:t>
      </w:r>
      <w:proofErr w:type="spellStart"/>
      <w:r w:rsidRPr="00750341">
        <w:rPr>
          <w:rFonts w:ascii="Palatino Linotype" w:hAnsi="Palatino Linotype"/>
          <w:i/>
          <w:lang w:val="es-ES_tradnl"/>
        </w:rPr>
        <w:t>asi</w:t>
      </w:r>
      <w:proofErr w:type="spellEnd"/>
      <w:r w:rsidRPr="00750341">
        <w:rPr>
          <w:rFonts w:ascii="Palatino Linotype" w:hAnsi="Palatino Linotype"/>
          <w:i/>
          <w:lang w:val="es-ES_tradnl"/>
        </w:rPr>
        <w:t>́ como sus modificaciones, y los parciales que de ellos deriven;</w:t>
      </w:r>
      <w:r w:rsidRPr="00750341">
        <w:rPr>
          <w:rFonts w:ascii="Palatino Linotype" w:hAnsi="Palatino Linotype"/>
          <w:i/>
          <w:lang w:val="es-ES_tradnl"/>
        </w:rPr>
        <w:br/>
        <w:t xml:space="preserve">V. Participar en la </w:t>
      </w:r>
      <w:proofErr w:type="spellStart"/>
      <w:r w:rsidRPr="00750341">
        <w:rPr>
          <w:rFonts w:ascii="Palatino Linotype" w:hAnsi="Palatino Linotype"/>
          <w:i/>
          <w:lang w:val="es-ES_tradnl"/>
        </w:rPr>
        <w:t>elaboración</w:t>
      </w:r>
      <w:proofErr w:type="spellEnd"/>
      <w:r w:rsidRPr="00750341">
        <w:rPr>
          <w:rFonts w:ascii="Palatino Linotype" w:hAnsi="Palatino Linotype"/>
          <w:i/>
          <w:lang w:val="es-ES_tradnl"/>
        </w:rPr>
        <w:t xml:space="preserve"> o </w:t>
      </w:r>
      <w:proofErr w:type="spellStart"/>
      <w:r w:rsidRPr="00750341">
        <w:rPr>
          <w:rFonts w:ascii="Palatino Linotype" w:hAnsi="Palatino Linotype"/>
          <w:i/>
          <w:lang w:val="es-ES_tradnl"/>
        </w:rPr>
        <w:t>modificación</w:t>
      </w:r>
      <w:proofErr w:type="spellEnd"/>
      <w:r w:rsidRPr="00750341">
        <w:rPr>
          <w:rFonts w:ascii="Palatino Linotype" w:hAnsi="Palatino Linotype"/>
          <w:i/>
          <w:lang w:val="es-ES_tradnl"/>
        </w:rPr>
        <w:t xml:space="preserve"> del respectivo plan regional de desarrollo urbano o de los parciales que </w:t>
      </w:r>
      <w:proofErr w:type="spellStart"/>
      <w:r w:rsidRPr="00750341">
        <w:rPr>
          <w:rFonts w:ascii="Palatino Linotype" w:hAnsi="Palatino Linotype"/>
          <w:i/>
          <w:lang w:val="es-ES_tradnl"/>
        </w:rPr>
        <w:t>de</w:t>
      </w:r>
      <w:proofErr w:type="spellEnd"/>
      <w:r w:rsidRPr="00750341">
        <w:rPr>
          <w:rFonts w:ascii="Palatino Linotype" w:hAnsi="Palatino Linotype"/>
          <w:i/>
          <w:lang w:val="es-ES_tradnl"/>
        </w:rPr>
        <w:t xml:space="preserve"> </w:t>
      </w:r>
      <w:proofErr w:type="spellStart"/>
      <w:r w:rsidRPr="00750341">
        <w:rPr>
          <w:rFonts w:ascii="Palatino Linotype" w:hAnsi="Palatino Linotype"/>
          <w:i/>
          <w:lang w:val="es-ES_tradnl"/>
        </w:rPr>
        <w:t>éste</w:t>
      </w:r>
      <w:proofErr w:type="spellEnd"/>
      <w:r w:rsidRPr="00750341">
        <w:rPr>
          <w:rFonts w:ascii="Palatino Linotype" w:hAnsi="Palatino Linotype"/>
          <w:i/>
          <w:lang w:val="es-ES_tradnl"/>
        </w:rPr>
        <w:t xml:space="preserve"> deriven, cuando incluya parte o la totalidad de su territorio; </w:t>
      </w:r>
    </w:p>
    <w:p w14:paraId="352EA5C7"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 xml:space="preserve">VI. Analizar las </w:t>
      </w:r>
      <w:proofErr w:type="spellStart"/>
      <w:r w:rsidRPr="00750341">
        <w:rPr>
          <w:rFonts w:ascii="Palatino Linotype" w:hAnsi="Palatino Linotype"/>
          <w:i/>
          <w:lang w:val="es-ES_tradnl"/>
        </w:rPr>
        <w:t>cédulas</w:t>
      </w:r>
      <w:proofErr w:type="spellEnd"/>
      <w:r w:rsidRPr="00750341">
        <w:rPr>
          <w:rFonts w:ascii="Palatino Linotype" w:hAnsi="Palatino Linotype"/>
          <w:i/>
          <w:lang w:val="es-ES_tradnl"/>
        </w:rPr>
        <w:t xml:space="preserve"> informativas de </w:t>
      </w:r>
      <w:proofErr w:type="spellStart"/>
      <w:r w:rsidRPr="00750341">
        <w:rPr>
          <w:rFonts w:ascii="Palatino Linotype" w:hAnsi="Palatino Linotype"/>
          <w:i/>
          <w:lang w:val="es-ES_tradnl"/>
        </w:rPr>
        <w:t>zonificación</w:t>
      </w:r>
      <w:proofErr w:type="spellEnd"/>
      <w:r w:rsidRPr="00750341">
        <w:rPr>
          <w:rFonts w:ascii="Palatino Linotype" w:hAnsi="Palatino Linotype"/>
          <w:i/>
          <w:lang w:val="es-ES_tradnl"/>
        </w:rPr>
        <w:t xml:space="preserve">, licencias de uso de suelo y licencias de </w:t>
      </w:r>
      <w:proofErr w:type="spellStart"/>
      <w:r w:rsidRPr="00750341">
        <w:rPr>
          <w:rFonts w:ascii="Palatino Linotype" w:hAnsi="Palatino Linotype"/>
          <w:i/>
          <w:lang w:val="es-ES_tradnl"/>
        </w:rPr>
        <w:t>construcción</w:t>
      </w:r>
      <w:proofErr w:type="spellEnd"/>
      <w:r w:rsidRPr="00750341">
        <w:rPr>
          <w:rFonts w:ascii="Palatino Linotype" w:hAnsi="Palatino Linotype"/>
          <w:i/>
          <w:lang w:val="es-ES_tradnl"/>
        </w:rPr>
        <w:t xml:space="preserve">; </w:t>
      </w:r>
    </w:p>
    <w:p w14:paraId="599A85E7"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 xml:space="preserve">VII. Vigilar la </w:t>
      </w:r>
      <w:proofErr w:type="spellStart"/>
      <w:r w:rsidRPr="00750341">
        <w:rPr>
          <w:rFonts w:ascii="Palatino Linotype" w:hAnsi="Palatino Linotype"/>
          <w:i/>
          <w:lang w:val="es-ES_tradnl"/>
        </w:rPr>
        <w:t>utilización</w:t>
      </w:r>
      <w:proofErr w:type="spellEnd"/>
      <w:r w:rsidRPr="00750341">
        <w:rPr>
          <w:rFonts w:ascii="Palatino Linotype" w:hAnsi="Palatino Linotype"/>
          <w:i/>
          <w:lang w:val="es-ES_tradnl"/>
        </w:rPr>
        <w:t xml:space="preserve"> y aprovechamiento del suelo con fines urbanos, en su </w:t>
      </w:r>
      <w:proofErr w:type="spellStart"/>
      <w:r w:rsidRPr="00750341">
        <w:rPr>
          <w:rFonts w:ascii="Palatino Linotype" w:hAnsi="Palatino Linotype"/>
          <w:i/>
          <w:lang w:val="es-ES_tradnl"/>
        </w:rPr>
        <w:t>circunscripción</w:t>
      </w:r>
      <w:proofErr w:type="spellEnd"/>
      <w:r w:rsidRPr="00750341">
        <w:rPr>
          <w:rFonts w:ascii="Palatino Linotype" w:hAnsi="Palatino Linotype"/>
          <w:i/>
          <w:lang w:val="es-ES_tradnl"/>
        </w:rPr>
        <w:t xml:space="preserve"> territorial; </w:t>
      </w:r>
    </w:p>
    <w:p w14:paraId="180FDB1E"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VIII. Proponer al Presidente Municipal, convenios, contratos y acuerdos, y</w:t>
      </w:r>
      <w:r w:rsidRPr="00750341">
        <w:rPr>
          <w:rFonts w:ascii="Palatino Linotype" w:hAnsi="Palatino Linotype"/>
          <w:i/>
          <w:lang w:val="es-ES_tradnl"/>
        </w:rPr>
        <w:br/>
        <w:t xml:space="preserve">IX. Las </w:t>
      </w:r>
      <w:proofErr w:type="spellStart"/>
      <w:r w:rsidRPr="00750341">
        <w:rPr>
          <w:rFonts w:ascii="Palatino Linotype" w:hAnsi="Palatino Linotype"/>
          <w:i/>
          <w:lang w:val="es-ES_tradnl"/>
        </w:rPr>
        <w:t>demás</w:t>
      </w:r>
      <w:proofErr w:type="spellEnd"/>
      <w:r w:rsidRPr="00750341">
        <w:rPr>
          <w:rFonts w:ascii="Palatino Linotype" w:hAnsi="Palatino Linotype"/>
          <w:i/>
          <w:lang w:val="es-ES_tradnl"/>
        </w:rPr>
        <w:t xml:space="preserve"> que le sean conferidas por el Presidente Municipal o por el Ayuntamiento y las establecidas en las disposiciones </w:t>
      </w:r>
      <w:proofErr w:type="spellStart"/>
      <w:r w:rsidRPr="00750341">
        <w:rPr>
          <w:rFonts w:ascii="Palatino Linotype" w:hAnsi="Palatino Linotype"/>
          <w:i/>
          <w:lang w:val="es-ES_tradnl"/>
        </w:rPr>
        <w:t>jurídicas</w:t>
      </w:r>
      <w:proofErr w:type="spellEnd"/>
      <w:r w:rsidRPr="00750341">
        <w:rPr>
          <w:rFonts w:ascii="Palatino Linotype" w:hAnsi="Palatino Linotype"/>
          <w:i/>
          <w:lang w:val="es-ES_tradnl"/>
        </w:rPr>
        <w:t xml:space="preserve"> aplicables. </w:t>
      </w:r>
    </w:p>
    <w:p w14:paraId="2DAE37C9" w14:textId="77777777" w:rsidR="000809FF" w:rsidRDefault="000809FF" w:rsidP="005C7EF5">
      <w:pPr>
        <w:tabs>
          <w:tab w:val="left" w:pos="709"/>
        </w:tabs>
        <w:spacing w:before="240" w:line="360" w:lineRule="auto"/>
        <w:ind w:right="51"/>
        <w:jc w:val="both"/>
        <w:rPr>
          <w:rFonts w:ascii="Palatino Linotype" w:hAnsi="Palatino Linotype"/>
          <w:sz w:val="24"/>
          <w:lang w:val="es-ES_tradnl"/>
        </w:rPr>
      </w:pPr>
    </w:p>
    <w:p w14:paraId="3355CC77" w14:textId="018D8830" w:rsidR="005C7EF5" w:rsidRPr="00750341" w:rsidRDefault="005C7EF5" w:rsidP="005C7EF5">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14:paraId="7D91BE67"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68273A">
        <w:rPr>
          <w:rFonts w:ascii="Palatino Linotype" w:hAnsi="Palatino Linotype"/>
          <w:b/>
          <w:bCs/>
          <w:i/>
          <w:lang w:val="es-ES_tradnl"/>
        </w:rPr>
        <w:t>Artículo 19.</w:t>
      </w:r>
      <w:r w:rsidRPr="00750341">
        <w:rPr>
          <w:rFonts w:ascii="Palatino Linotype" w:hAnsi="Palatino Linotype"/>
          <w:i/>
          <w:lang w:val="es-ES_tradnl"/>
        </w:rPr>
        <w:t xml:space="preserve"> Se presume que la información debe existir si se refiere a las facultades, competencias y funciones que los ordenamientos jurídicos aplicables otorgan a los sujetos obligados.</w:t>
      </w:r>
    </w:p>
    <w:p w14:paraId="5B427911"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En los casos en que ciertas facultades, competencias o funciones no se hayan ejercido, se debe motivar la respuesta en función de las causas que motiven tal circunstancia.</w:t>
      </w:r>
    </w:p>
    <w:p w14:paraId="202B6090" w14:textId="77777777" w:rsidR="005C7EF5" w:rsidRPr="00750341" w:rsidRDefault="005C7EF5" w:rsidP="005C7EF5">
      <w:pPr>
        <w:tabs>
          <w:tab w:val="left" w:pos="709"/>
        </w:tabs>
        <w:spacing w:before="240" w:line="360" w:lineRule="auto"/>
        <w:ind w:left="708" w:right="567"/>
        <w:jc w:val="both"/>
        <w:rPr>
          <w:rFonts w:ascii="Palatino Linotype" w:hAnsi="Palatino Linotype"/>
          <w:i/>
          <w:lang w:val="es-ES_tradnl"/>
        </w:rPr>
      </w:pPr>
      <w:r w:rsidRPr="00750341">
        <w:rPr>
          <w:rFonts w:ascii="Palatino Linotype" w:hAnsi="Palatino Linotype"/>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3B24308E" w14:textId="77777777" w:rsidR="005C7EF5" w:rsidRPr="00750341" w:rsidRDefault="005C7EF5" w:rsidP="005C7EF5">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w:t>
      </w:r>
      <w:r w:rsidRPr="00750341">
        <w:rPr>
          <w:rFonts w:ascii="Palatino Linotype" w:hAnsi="Palatino Linotype"/>
          <w:sz w:val="24"/>
          <w:lang w:val="es-ES_tradnl"/>
        </w:rPr>
        <w:lastRenderedPageBreak/>
        <w:t xml:space="preserve">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766792EC" w14:textId="72DF48F5" w:rsidR="005C7EF5" w:rsidRDefault="005C7EF5" w:rsidP="005C7EF5">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En ese tenor y previo al ingreso del considerando relativo a la versión pública, debe enfatizarse que el nombre de los particulares a quienes les haya sido extendida l</w:t>
      </w:r>
      <w:r>
        <w:rPr>
          <w:rFonts w:ascii="Palatino Linotype" w:hAnsi="Palatino Linotype"/>
          <w:sz w:val="24"/>
          <w:lang w:val="es-ES_tradnl"/>
        </w:rPr>
        <w:t>os</w:t>
      </w:r>
      <w:r w:rsidRPr="00750341">
        <w:rPr>
          <w:rFonts w:ascii="Palatino Linotype" w:hAnsi="Palatino Linotype"/>
          <w:sz w:val="24"/>
          <w:lang w:val="es-ES_tradnl"/>
        </w:rPr>
        <w:t xml:space="preserve"> </w:t>
      </w:r>
      <w:r w:rsidRPr="005C7EF5">
        <w:rPr>
          <w:rFonts w:ascii="Palatino Linotype" w:hAnsi="Palatino Linotype"/>
          <w:sz w:val="24"/>
          <w:lang w:val="es-ES_tradnl"/>
        </w:rPr>
        <w:t>permisos para la excavación, demolición, construcción del predio</w:t>
      </w:r>
      <w:r>
        <w:rPr>
          <w:rFonts w:ascii="Palatino Linotype" w:hAnsi="Palatino Linotype"/>
          <w:sz w:val="24"/>
          <w:lang w:val="es-ES_tradnl"/>
        </w:rPr>
        <w:t xml:space="preserve"> señalado en la solicitud de información, </w:t>
      </w:r>
      <w:r w:rsidRPr="00750341">
        <w:rPr>
          <w:rFonts w:ascii="Palatino Linotype" w:hAnsi="Palatino Linotype"/>
          <w:sz w:val="24"/>
          <w:lang w:val="es-ES_tradnl"/>
        </w:rPr>
        <w:t>deberá ser protegido y consecuentemente testado, siempre y cuando las licencias de los predios no correspondan a uso y aprovechamiento comercial, industrial y de prestación de servicios, pues de ser el caso entonces deberá dejarse a la vista.</w:t>
      </w:r>
    </w:p>
    <w:p w14:paraId="6A6BC444" w14:textId="5153BEBF" w:rsidR="007A1035" w:rsidRDefault="007A1035" w:rsidP="007A1035">
      <w:pPr>
        <w:spacing w:after="0" w:line="360" w:lineRule="auto"/>
        <w:ind w:right="-93"/>
        <w:jc w:val="both"/>
        <w:rPr>
          <w:rFonts w:ascii="Palatino Linotype" w:hAnsi="Palatino Linotype" w:cs="Arial"/>
          <w:sz w:val="24"/>
          <w:szCs w:val="24"/>
        </w:rPr>
      </w:pPr>
      <w:r>
        <w:rPr>
          <w:rFonts w:ascii="Palatino Linotype" w:hAnsi="Palatino Linotype" w:cs="Arial"/>
          <w:sz w:val="24"/>
          <w:szCs w:val="24"/>
        </w:rPr>
        <w:t>Finalmente, es importante señalar</w:t>
      </w:r>
      <w:r w:rsidRPr="003E47D7">
        <w:rPr>
          <w:rFonts w:ascii="Palatino Linotype" w:hAnsi="Palatino Linotype" w:cs="Arial"/>
          <w:sz w:val="24"/>
          <w:szCs w:val="24"/>
        </w:rPr>
        <w:t>,</w:t>
      </w:r>
      <w:r>
        <w:rPr>
          <w:rFonts w:ascii="Palatino Linotype" w:hAnsi="Palatino Linotype" w:cs="Arial"/>
          <w:sz w:val="24"/>
          <w:szCs w:val="24"/>
        </w:rPr>
        <w:t xml:space="preserve"> que el Recurrente eligió modalidad de entrega Consulta directa (sin costo), por lo que es necesario traer a colación lo dispuesto</w:t>
      </w:r>
      <w:r w:rsidRPr="003E47D7">
        <w:rPr>
          <w:rFonts w:ascii="Palatino Linotype" w:hAnsi="Palatino Linotype" w:cs="Arial"/>
          <w:sz w:val="24"/>
          <w:szCs w:val="24"/>
        </w:rPr>
        <w:t xml:space="preserve"> por el artículo 164 de la </w:t>
      </w:r>
      <w:r w:rsidRPr="003E47D7">
        <w:rPr>
          <w:rFonts w:ascii="Palatino Linotype" w:eastAsia="Palatino Linotype" w:hAnsi="Palatino Linotype" w:cs="Palatino Linotype"/>
          <w:sz w:val="24"/>
          <w:szCs w:val="24"/>
        </w:rPr>
        <w:t xml:space="preserve">Ley de </w:t>
      </w:r>
      <w:r w:rsidRPr="003E47D7">
        <w:rPr>
          <w:rFonts w:ascii="Palatino Linotype" w:hAnsi="Palatino Linotype" w:cs="Arial"/>
          <w:sz w:val="24"/>
          <w:szCs w:val="24"/>
        </w:rPr>
        <w:t>Transparencia y Acceso a la Información Pública del Estado de México y Municipios que señala lo conducente:</w:t>
      </w:r>
    </w:p>
    <w:p w14:paraId="14C988E5" w14:textId="77777777" w:rsidR="007A1035" w:rsidRPr="003E47D7" w:rsidRDefault="007A1035" w:rsidP="007A1035">
      <w:pPr>
        <w:spacing w:after="0" w:line="360" w:lineRule="auto"/>
        <w:ind w:right="-93"/>
        <w:jc w:val="both"/>
        <w:rPr>
          <w:rFonts w:ascii="Palatino Linotype" w:hAnsi="Palatino Linotype" w:cs="Arial"/>
          <w:sz w:val="24"/>
          <w:szCs w:val="24"/>
        </w:rPr>
      </w:pPr>
    </w:p>
    <w:p w14:paraId="3DCDACCC" w14:textId="77777777" w:rsidR="007A1035" w:rsidRPr="00230DB0" w:rsidRDefault="007A1035" w:rsidP="007A1035">
      <w:pPr>
        <w:spacing w:after="0"/>
        <w:ind w:left="851" w:right="899"/>
        <w:jc w:val="both"/>
        <w:rPr>
          <w:rFonts w:ascii="Palatino Linotype" w:hAnsi="Palatino Linotype" w:cs="Arial"/>
          <w:i/>
        </w:rPr>
      </w:pPr>
      <w:r>
        <w:rPr>
          <w:rFonts w:ascii="Palatino Linotype" w:hAnsi="Palatino Linotype" w:cs="Arial"/>
          <w:i/>
        </w:rPr>
        <w:t>“</w:t>
      </w:r>
      <w:r w:rsidRPr="007A1035">
        <w:rPr>
          <w:rFonts w:ascii="Palatino Linotype" w:hAnsi="Palatino Linotype" w:cs="Arial"/>
          <w:b/>
          <w:bCs/>
          <w:i/>
        </w:rPr>
        <w:t>Artículo 164</w:t>
      </w:r>
      <w:r w:rsidRPr="00230DB0">
        <w:rPr>
          <w:rFonts w:ascii="Palatino Linotype" w:hAnsi="Palatino Linotype" w:cs="Arial"/>
          <w:i/>
        </w:rPr>
        <w:t xml:space="preserve">. </w:t>
      </w:r>
      <w:r w:rsidRPr="007A1035">
        <w:rPr>
          <w:rFonts w:ascii="Palatino Linotype" w:hAnsi="Palatino Linotype" w:cs="Arial"/>
          <w:i/>
          <w:u w:val="single"/>
        </w:rPr>
        <w:t>El acceso se dará en la modalidad de entrega y, en su caso, de envío elegidos por el solicitante</w:t>
      </w:r>
      <w:r w:rsidRPr="00230DB0">
        <w:rPr>
          <w:rFonts w:ascii="Palatino Linotype" w:hAnsi="Palatino Linotype" w:cs="Arial"/>
          <w:i/>
        </w:rPr>
        <w:t xml:space="preserve">. Cuando la información no pueda entregarse o enviarse en la modalidad solicitada, el sujeto obligado deberá ofrecer otra u otras modalidades de entrega. </w:t>
      </w:r>
    </w:p>
    <w:p w14:paraId="166AF570" w14:textId="77777777" w:rsidR="007A1035" w:rsidRPr="00230DB0" w:rsidRDefault="007A1035" w:rsidP="007A1035">
      <w:pPr>
        <w:ind w:left="851" w:right="899"/>
        <w:jc w:val="both"/>
        <w:rPr>
          <w:rFonts w:ascii="Palatino Linotype" w:hAnsi="Palatino Linotype" w:cs="Arial"/>
          <w:i/>
        </w:rPr>
      </w:pPr>
      <w:r w:rsidRPr="00230DB0">
        <w:rPr>
          <w:rFonts w:ascii="Palatino Linotype" w:hAnsi="Palatino Linotype" w:cs="Arial"/>
          <w:i/>
        </w:rPr>
        <w:t>En cualquier caso, se deberá fundar y motivar la necesidad de ofrecer otras modalidades.</w:t>
      </w:r>
      <w:r>
        <w:rPr>
          <w:rFonts w:ascii="Palatino Linotype" w:hAnsi="Palatino Linotype" w:cs="Arial"/>
          <w:i/>
        </w:rPr>
        <w:t>” (Sic)</w:t>
      </w:r>
    </w:p>
    <w:p w14:paraId="20568FAC" w14:textId="77777777" w:rsidR="007A1035" w:rsidRPr="003E47D7" w:rsidRDefault="007A1035" w:rsidP="007A1035">
      <w:pPr>
        <w:tabs>
          <w:tab w:val="left" w:pos="709"/>
        </w:tabs>
        <w:spacing w:before="240" w:after="240" w:line="360" w:lineRule="auto"/>
        <w:jc w:val="both"/>
        <w:rPr>
          <w:rFonts w:ascii="Palatino Linotype" w:hAnsi="Palatino Linotype"/>
          <w:bCs/>
          <w:sz w:val="24"/>
          <w:szCs w:val="24"/>
        </w:rPr>
      </w:pPr>
      <w:r w:rsidRPr="003E47D7">
        <w:rPr>
          <w:rFonts w:ascii="Palatino Linotype" w:hAnsi="Palatino Linotype"/>
          <w:bCs/>
          <w:iCs/>
          <w:sz w:val="24"/>
          <w:szCs w:val="24"/>
        </w:rPr>
        <w:lastRenderedPageBreak/>
        <w:t xml:space="preserve">Al respecto, </w:t>
      </w:r>
      <w:r w:rsidRPr="003E47D7">
        <w:rPr>
          <w:rFonts w:ascii="Palatino Linotype" w:hAnsi="Palatino Linotype"/>
          <w:bCs/>
          <w:sz w:val="24"/>
          <w:szCs w:val="24"/>
        </w:rPr>
        <w:t xml:space="preserve">el artículo 155, fracción V, de la Ley de Transparencia y Acceso a la Información Pública del Estado de México y Municipios, precisa que para presentar una solicitud, el particular podrá señalar </w:t>
      </w:r>
      <w:r w:rsidRPr="003E47D7">
        <w:rPr>
          <w:rFonts w:ascii="Palatino Linotype" w:hAnsi="Palatino Linotype"/>
          <w:b/>
          <w:bCs/>
          <w:sz w:val="24"/>
          <w:szCs w:val="24"/>
        </w:rPr>
        <w:t>la modalidad en la que prefiere se otorgue el acceso a la información</w:t>
      </w:r>
      <w:r w:rsidRPr="003E47D7">
        <w:rPr>
          <w:rFonts w:ascii="Palatino Linotype" w:hAnsi="Palatino Linotype"/>
          <w:bCs/>
          <w:sz w:val="24"/>
          <w:szCs w:val="24"/>
        </w:rPr>
        <w:t xml:space="preserve">, la cual podrá ser verbal, siempre y cuando sea para fines de orientación, </w:t>
      </w:r>
      <w:r w:rsidRPr="003E47D7">
        <w:rPr>
          <w:rFonts w:ascii="Palatino Linotype" w:hAnsi="Palatino Linotype"/>
          <w:bCs/>
          <w:sz w:val="24"/>
          <w:szCs w:val="24"/>
          <w:u w:val="single"/>
        </w:rPr>
        <w:t>mediante consulta directa</w:t>
      </w:r>
      <w:r w:rsidRPr="003E47D7">
        <w:rPr>
          <w:rFonts w:ascii="Palatino Linotype" w:hAnsi="Palatino Linotype"/>
          <w:bCs/>
          <w:sz w:val="24"/>
          <w:szCs w:val="24"/>
        </w:rPr>
        <w:t xml:space="preserve">, </w:t>
      </w:r>
      <w:r w:rsidRPr="003E47D7">
        <w:rPr>
          <w:rFonts w:ascii="Palatino Linotype" w:hAnsi="Palatino Linotype"/>
          <w:sz w:val="24"/>
          <w:szCs w:val="24"/>
        </w:rPr>
        <w:t>mediante la expedición de copias simples o certificadas</w:t>
      </w:r>
      <w:r w:rsidRPr="003E47D7">
        <w:rPr>
          <w:rFonts w:ascii="Palatino Linotype" w:hAnsi="Palatino Linotype"/>
          <w:bCs/>
          <w:sz w:val="24"/>
          <w:szCs w:val="24"/>
        </w:rPr>
        <w:t xml:space="preserve"> o la reproducción en cualquier otro medio, incluidos los electrónicos, es de agregar que el numeral 158 de la Ley en cita, dispone que de manera excepcional, cuando de manera fundada y motivada lo determine el Sujeto Obligado, en los casos en que la entrega de la información que se encuentre a su disposición.</w:t>
      </w:r>
    </w:p>
    <w:p w14:paraId="33D285FD" w14:textId="77777777" w:rsidR="007A1035" w:rsidRPr="003E47D7" w:rsidRDefault="007A1035" w:rsidP="007A1035">
      <w:pPr>
        <w:tabs>
          <w:tab w:val="left" w:pos="709"/>
        </w:tabs>
        <w:spacing w:before="240" w:after="240" w:line="360" w:lineRule="auto"/>
        <w:jc w:val="both"/>
        <w:rPr>
          <w:rFonts w:ascii="Palatino Linotype" w:hAnsi="Palatino Linotype"/>
          <w:b/>
          <w:bCs/>
          <w:sz w:val="24"/>
          <w:szCs w:val="24"/>
        </w:rPr>
      </w:pPr>
      <w:r w:rsidRPr="003E47D7">
        <w:rPr>
          <w:rFonts w:ascii="Palatino Linotype" w:hAnsi="Palatino Linotype"/>
          <w:bCs/>
          <w:sz w:val="24"/>
          <w:szCs w:val="24"/>
        </w:rPr>
        <w:t xml:space="preserve">En ese orden de ideas, </w:t>
      </w:r>
      <w:r w:rsidRPr="00833B72">
        <w:rPr>
          <w:rFonts w:ascii="Palatino Linotype" w:hAnsi="Palatino Linotype"/>
          <w:bCs/>
          <w:sz w:val="24"/>
          <w:szCs w:val="24"/>
          <w:u w:val="single"/>
        </w:rPr>
        <w:t>el artículo 164 alusivo</w:t>
      </w:r>
      <w:r w:rsidRPr="003E47D7">
        <w:rPr>
          <w:rFonts w:ascii="Palatino Linotype" w:hAnsi="Palatino Linotype"/>
          <w:bCs/>
          <w:sz w:val="24"/>
          <w:szCs w:val="24"/>
        </w:rPr>
        <w:t xml:space="preserve">, </w:t>
      </w:r>
      <w:r w:rsidRPr="00833B72">
        <w:rPr>
          <w:rFonts w:ascii="Palatino Linotype" w:hAnsi="Palatino Linotype"/>
          <w:b/>
          <w:sz w:val="24"/>
          <w:szCs w:val="24"/>
        </w:rPr>
        <w:t>prevé que el acceso se dará en la modalidad de entrega y, en su caso, de envío elegidos por al solicitante</w:t>
      </w:r>
      <w:r w:rsidRPr="003E47D7">
        <w:rPr>
          <w:rFonts w:ascii="Palatino Linotype" w:hAnsi="Palatino Linotype"/>
          <w:bCs/>
          <w:sz w:val="24"/>
          <w:szCs w:val="24"/>
        </w:rPr>
        <w:t>. Cuando la información no pueda entregarse o enviarse en la modalidad elegida, el sujeto obligado deberá ofrecer otra u otras modalidades de entrega. En cualquier caso, se deberá fundar y motivar la necesidad de ofrecer otras modalidades.</w:t>
      </w:r>
    </w:p>
    <w:p w14:paraId="2E6AFFD8" w14:textId="77777777" w:rsidR="007A1035" w:rsidRPr="003E47D7" w:rsidRDefault="007A1035" w:rsidP="007A1035">
      <w:pPr>
        <w:tabs>
          <w:tab w:val="left" w:pos="709"/>
        </w:tabs>
        <w:spacing w:before="240" w:after="240" w:line="360" w:lineRule="auto"/>
        <w:jc w:val="both"/>
        <w:rPr>
          <w:rFonts w:ascii="Palatino Linotype" w:hAnsi="Palatino Linotype"/>
          <w:bCs/>
          <w:sz w:val="24"/>
          <w:szCs w:val="24"/>
        </w:rPr>
      </w:pPr>
      <w:r w:rsidRPr="003E47D7">
        <w:rPr>
          <w:rFonts w:ascii="Palatino Linotype" w:hAnsi="Palatino Linotype"/>
          <w:bCs/>
          <w:sz w:val="24"/>
          <w:szCs w:val="24"/>
        </w:rPr>
        <w:t>Así, cuando se justifique el impedimento, los Sujetos Obligados deberán ofrecer al particular otras modalidades de entrega que permita la información; lo anterior, es robustecido con el Criterio 08/17, emitido por el Pleno del Instituto Nacional de Transparencia, Acceso a la Información y Protección de Datos Personales, el cual establece lo siguiente:</w:t>
      </w:r>
    </w:p>
    <w:p w14:paraId="59E5DF81" w14:textId="77777777" w:rsidR="007A1035" w:rsidRDefault="007A1035" w:rsidP="007A1035">
      <w:pPr>
        <w:tabs>
          <w:tab w:val="left" w:pos="709"/>
        </w:tabs>
        <w:ind w:left="851" w:right="851"/>
        <w:jc w:val="both"/>
        <w:rPr>
          <w:rFonts w:ascii="Palatino Linotype" w:hAnsi="Palatino Linotype"/>
          <w:bCs/>
          <w:i/>
        </w:rPr>
      </w:pPr>
      <w:r w:rsidRPr="001D6F70">
        <w:rPr>
          <w:rFonts w:ascii="Palatino Linotype" w:hAnsi="Palatino Linotype"/>
          <w:b/>
          <w:bCs/>
          <w:i/>
        </w:rPr>
        <w:t>“Modalidad de entrega. Procedencia de proporcionar la información solicitada en una diversa a la elegida por el solicitante.</w:t>
      </w:r>
      <w:r w:rsidRPr="001D6F70">
        <w:rPr>
          <w:rFonts w:ascii="Palatino Linotype" w:hAnsi="Palatino Linotype"/>
          <w:bCs/>
          <w:i/>
        </w:rPr>
        <w:t xml:space="preserve"> De una interpretación a los artículos 133 de la Ley General de Transparencia y Acceso a la Información Pública y 136 de la Ley Federal de Transparencia y Acceso a la Información Pública, </w:t>
      </w:r>
      <w:r w:rsidRPr="001D6F70">
        <w:rPr>
          <w:rFonts w:ascii="Palatino Linotype" w:hAnsi="Palatino Linotype"/>
          <w:bCs/>
          <w:i/>
        </w:rPr>
        <w:lastRenderedPageBreak/>
        <w:t>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Pr>
          <w:rFonts w:ascii="Palatino Linotype" w:hAnsi="Palatino Linotype"/>
          <w:bCs/>
          <w:i/>
        </w:rPr>
        <w:t>(Sic)</w:t>
      </w:r>
    </w:p>
    <w:p w14:paraId="62BC3021" w14:textId="77777777" w:rsidR="007A1035" w:rsidRPr="001D6F70" w:rsidRDefault="007A1035" w:rsidP="000809FF">
      <w:pPr>
        <w:tabs>
          <w:tab w:val="left" w:pos="709"/>
        </w:tabs>
        <w:spacing w:after="0"/>
        <w:ind w:left="851" w:right="851"/>
        <w:jc w:val="both"/>
        <w:rPr>
          <w:rFonts w:ascii="Palatino Linotype" w:hAnsi="Palatino Linotype"/>
          <w:bCs/>
          <w:i/>
        </w:rPr>
      </w:pPr>
    </w:p>
    <w:p w14:paraId="688F3AC7" w14:textId="5B5AEDBC" w:rsidR="007A1035" w:rsidRDefault="007A1035" w:rsidP="000809FF">
      <w:pPr>
        <w:tabs>
          <w:tab w:val="left" w:pos="709"/>
        </w:tabs>
        <w:spacing w:after="0" w:line="360" w:lineRule="auto"/>
        <w:jc w:val="both"/>
        <w:rPr>
          <w:rFonts w:ascii="Palatino Linotype" w:hAnsi="Palatino Linotype"/>
          <w:bCs/>
          <w:sz w:val="24"/>
          <w:szCs w:val="24"/>
        </w:rPr>
      </w:pPr>
      <w:r w:rsidRPr="003E47D7">
        <w:rPr>
          <w:rFonts w:ascii="Palatino Linotype" w:hAnsi="Palatino Linotype"/>
          <w:bCs/>
          <w:sz w:val="24"/>
          <w:szCs w:val="24"/>
        </w:rPr>
        <w:t xml:space="preserve">Del citado criterio, se desprende que cuando no sea posible atender la modalidad elegida por los solicitantes, la obligación de acceso a la información se tendrá por cumplida cuando </w:t>
      </w:r>
      <w:r w:rsidRPr="00833B72">
        <w:rPr>
          <w:rFonts w:ascii="Palatino Linotype" w:hAnsi="Palatino Linotype"/>
          <w:b/>
          <w:sz w:val="24"/>
          <w:szCs w:val="24"/>
          <w:u w:val="single"/>
        </w:rPr>
        <w:t>el Sujeto Obligado justifique el impedimento para atender la misma</w:t>
      </w:r>
      <w:r w:rsidRPr="003E47D7">
        <w:rPr>
          <w:rFonts w:ascii="Palatino Linotype" w:hAnsi="Palatino Linotype"/>
          <w:bCs/>
          <w:sz w:val="24"/>
          <w:szCs w:val="24"/>
        </w:rPr>
        <w:t xml:space="preserve"> y </w:t>
      </w:r>
      <w:r w:rsidRPr="003E47D7">
        <w:rPr>
          <w:rFonts w:ascii="Palatino Linotype" w:hAnsi="Palatino Linotype"/>
          <w:bCs/>
          <w:sz w:val="24"/>
          <w:szCs w:val="24"/>
          <w:u w:val="single"/>
        </w:rPr>
        <w:t>se notifique al particular la puesta a disposición de la información en todas las modalidades que lo permitan</w:t>
      </w:r>
      <w:r w:rsidRPr="003E47D7">
        <w:rPr>
          <w:rFonts w:ascii="Palatino Linotype" w:hAnsi="Palatino Linotype"/>
          <w:bCs/>
          <w:sz w:val="24"/>
          <w:szCs w:val="24"/>
        </w:rPr>
        <w:t xml:space="preserve">, procurando reducir los costos de entrega. </w:t>
      </w:r>
    </w:p>
    <w:p w14:paraId="4A5F2C53" w14:textId="77777777" w:rsidR="000809FF" w:rsidRDefault="000809FF" w:rsidP="000809FF">
      <w:pPr>
        <w:tabs>
          <w:tab w:val="left" w:pos="709"/>
        </w:tabs>
        <w:spacing w:after="0" w:line="360" w:lineRule="auto"/>
        <w:jc w:val="both"/>
        <w:rPr>
          <w:rFonts w:ascii="Palatino Linotype" w:hAnsi="Palatino Linotype"/>
          <w:bCs/>
          <w:sz w:val="24"/>
          <w:szCs w:val="24"/>
        </w:rPr>
      </w:pPr>
    </w:p>
    <w:p w14:paraId="59CEC77F" w14:textId="65617BF0" w:rsidR="007A1035" w:rsidRDefault="007A1035" w:rsidP="000809FF">
      <w:pPr>
        <w:tabs>
          <w:tab w:val="left" w:pos="709"/>
        </w:tabs>
        <w:spacing w:after="0" w:line="360" w:lineRule="auto"/>
        <w:jc w:val="both"/>
        <w:rPr>
          <w:rFonts w:ascii="Palatino Linotype" w:hAnsi="Palatino Linotype"/>
          <w:bCs/>
          <w:sz w:val="24"/>
          <w:szCs w:val="24"/>
        </w:rPr>
      </w:pPr>
      <w:r>
        <w:rPr>
          <w:rFonts w:ascii="Palatino Linotype" w:hAnsi="Palatino Linotype"/>
          <w:bCs/>
          <w:sz w:val="24"/>
          <w:szCs w:val="24"/>
        </w:rPr>
        <w:t xml:space="preserve">En ese sentido del análisis que integran el expediente electrónico no se aprecia que el Sujeto Obligado haya entregado respuesta al Recurrente en alguna modalidad de entrega, por lo anterior se ordena al Sujeto Obligado a entregar la información requerida al Recurrente en la modalidad elegida en la solicitud de información siendo esta </w:t>
      </w:r>
      <w:r w:rsidRPr="007A1035">
        <w:rPr>
          <w:rFonts w:ascii="Palatino Linotype" w:hAnsi="Palatino Linotype"/>
          <w:bCs/>
          <w:sz w:val="24"/>
          <w:szCs w:val="24"/>
          <w:u w:val="single"/>
        </w:rPr>
        <w:t>consulta directa sin costo</w:t>
      </w:r>
      <w:r>
        <w:rPr>
          <w:rFonts w:ascii="Palatino Linotype" w:hAnsi="Palatino Linotype"/>
          <w:bCs/>
          <w:sz w:val="24"/>
          <w:szCs w:val="24"/>
        </w:rPr>
        <w:t>, tal y como se advierte en la siguiente imagen ilustrativa:</w:t>
      </w:r>
    </w:p>
    <w:p w14:paraId="67DC9DD9" w14:textId="77777777" w:rsidR="000809FF" w:rsidRDefault="000809FF" w:rsidP="000809FF">
      <w:pPr>
        <w:tabs>
          <w:tab w:val="left" w:pos="709"/>
        </w:tabs>
        <w:spacing w:after="0" w:line="360" w:lineRule="auto"/>
        <w:jc w:val="both"/>
        <w:rPr>
          <w:rFonts w:ascii="Palatino Linotype" w:hAnsi="Palatino Linotype"/>
          <w:bCs/>
          <w:sz w:val="24"/>
          <w:szCs w:val="24"/>
        </w:rPr>
      </w:pPr>
    </w:p>
    <w:p w14:paraId="6CC83FDB" w14:textId="21713F32" w:rsidR="007A1035" w:rsidRDefault="007A1035" w:rsidP="007A1035">
      <w:pPr>
        <w:jc w:val="center"/>
      </w:pPr>
      <w:r>
        <w:rPr>
          <w:noProof/>
          <w:lang w:eastAsia="es-MX"/>
        </w:rPr>
        <mc:AlternateContent>
          <mc:Choice Requires="wps">
            <w:drawing>
              <wp:anchor distT="0" distB="0" distL="114300" distR="114300" simplePos="0" relativeHeight="251663360" behindDoc="0" locked="0" layoutInCell="1" allowOverlap="1" wp14:anchorId="060AABC4" wp14:editId="4E87A4C4">
                <wp:simplePos x="0" y="0"/>
                <wp:positionH relativeFrom="column">
                  <wp:posOffset>4752447</wp:posOffset>
                </wp:positionH>
                <wp:positionV relativeFrom="paragraph">
                  <wp:posOffset>1333632</wp:posOffset>
                </wp:positionV>
                <wp:extent cx="429523" cy="343260"/>
                <wp:effectExtent l="19050" t="19050" r="27940" b="38100"/>
                <wp:wrapNone/>
                <wp:docPr id="8" name="Flecha: a la derecha 8"/>
                <wp:cNvGraphicFramePr/>
                <a:graphic xmlns:a="http://schemas.openxmlformats.org/drawingml/2006/main">
                  <a:graphicData uri="http://schemas.microsoft.com/office/word/2010/wordprocessingShape">
                    <wps:wsp>
                      <wps:cNvSpPr/>
                      <wps:spPr>
                        <a:xfrm rot="10800000">
                          <a:off x="0" y="0"/>
                          <a:ext cx="429523" cy="343260"/>
                        </a:xfrm>
                        <a:prstGeom prst="rightArrow">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74D1F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6" type="#_x0000_t13" style="position:absolute;margin-left:374.2pt;margin-top:105pt;width:33.8pt;height:27.0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" adj="12969" fillcolor="red" strokecolor="#c00000" strokeweight="1pt"/>
            </w:pict>
          </mc:Fallback>
        </mc:AlternateContent>
      </w:r>
      <w:r w:rsidRPr="007A1035">
        <w:rPr>
          <w:noProof/>
        </w:rPr>
        <w:t xml:space="preserve"> </w:t>
      </w:r>
      <w:r>
        <w:rPr>
          <w:noProof/>
          <w:lang w:eastAsia="es-MX"/>
        </w:rPr>
        <w:drawing>
          <wp:inline distT="0" distB="0" distL="0" distR="0" wp14:anchorId="3529669F" wp14:editId="23B53F86">
            <wp:extent cx="5113322" cy="1759430"/>
            <wp:effectExtent l="114300" t="95250" r="106680" b="88900"/>
            <wp:docPr id="15" name="Imagen 1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Texto, Aplicación&#10;&#10;Descripción generada automáticamente"/>
                    <pic:cNvPicPr/>
                  </pic:nvPicPr>
                  <pic:blipFill rotWithShape="1">
                    <a:blip r:embed="rId10"/>
                    <a:srcRect l="26813" t="34075" r="27497" b="37971"/>
                    <a:stretch/>
                  </pic:blipFill>
                  <pic:spPr bwMode="auto">
                    <a:xfrm>
                      <a:off x="0" y="0"/>
                      <a:ext cx="5172128" cy="177966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491C622" w14:textId="77777777" w:rsidR="007A1035" w:rsidRDefault="007A1035" w:rsidP="00E167CA">
      <w:pPr>
        <w:spacing w:after="0" w:line="360" w:lineRule="auto"/>
        <w:jc w:val="both"/>
        <w:rPr>
          <w:rFonts w:ascii="Palatino Linotype" w:hAnsi="Palatino Linotype"/>
          <w:bCs/>
          <w:sz w:val="24"/>
          <w:szCs w:val="24"/>
        </w:rPr>
      </w:pPr>
    </w:p>
    <w:p w14:paraId="3DCD3C95" w14:textId="77777777" w:rsidR="00E167CA" w:rsidRDefault="00E167CA" w:rsidP="00E167CA">
      <w:pPr>
        <w:tabs>
          <w:tab w:val="left" w:pos="709"/>
        </w:tabs>
        <w:spacing w:after="0" w:line="360" w:lineRule="auto"/>
        <w:jc w:val="both"/>
        <w:rPr>
          <w:rFonts w:ascii="Palatino Linotype" w:hAnsi="Palatino Linotype"/>
          <w:sz w:val="2"/>
          <w:szCs w:val="24"/>
        </w:rPr>
      </w:pPr>
    </w:p>
    <w:p w14:paraId="0599FBEC" w14:textId="77777777" w:rsidR="00E167CA" w:rsidRPr="00FA40A7" w:rsidRDefault="00E167CA" w:rsidP="00E167CA">
      <w:pPr>
        <w:pStyle w:val="Prrafodelista"/>
        <w:numPr>
          <w:ilvl w:val="0"/>
          <w:numId w:val="2"/>
        </w:numPr>
        <w:spacing w:line="360" w:lineRule="auto"/>
        <w:ind w:left="567" w:hanging="283"/>
        <w:jc w:val="both"/>
        <w:rPr>
          <w:rFonts w:ascii="Palatino Linotype" w:hAnsi="Palatino Linotype" w:cs="Arial"/>
          <w:b/>
          <w:i/>
          <w:sz w:val="28"/>
          <w:lang w:eastAsia="es-MX"/>
        </w:rPr>
      </w:pPr>
      <w:r w:rsidRPr="00FA40A7">
        <w:rPr>
          <w:rFonts w:ascii="Palatino Linotype" w:hAnsi="Palatino Linotype" w:cs="Arial"/>
          <w:b/>
          <w:i/>
          <w:sz w:val="28"/>
          <w:lang w:eastAsia="es-MX"/>
        </w:rPr>
        <w:t>De la Versión Pública</w:t>
      </w:r>
    </w:p>
    <w:p w14:paraId="7F622D66" w14:textId="4EC09C05" w:rsidR="00E167CA" w:rsidRDefault="00E167CA" w:rsidP="00E167CA">
      <w:pPr>
        <w:spacing w:after="0" w:line="360" w:lineRule="auto"/>
        <w:jc w:val="both"/>
        <w:rPr>
          <w:rFonts w:ascii="Palatino Linotype" w:hAnsi="Palatino Linotype" w:cs="Arial"/>
          <w:sz w:val="24"/>
          <w:lang w:val="es-ES_tradnl"/>
        </w:rPr>
      </w:pPr>
      <w:r w:rsidRPr="003B212E">
        <w:rPr>
          <w:rFonts w:ascii="Palatino Linotype" w:eastAsia="Calibri" w:hAnsi="Palatino Linotype" w:cs="Arial"/>
          <w:sz w:val="24"/>
        </w:rPr>
        <w:t xml:space="preserve">Ahora bien, por cuanto hace a aquellas documentales que por su propia y especial naturaleza tengan el carácter de privadas, tales como: los planos arquitectónicos, estructurales, de instalaciones hidráulicas, sanitarias, eléctricas y especiales; así como, los planos autorizados de la construcción existente; </w:t>
      </w:r>
      <w:r w:rsidR="005C7EF5">
        <w:rPr>
          <w:rFonts w:ascii="Palatino Linotype" w:eastAsia="Calibri" w:hAnsi="Palatino Linotype" w:cs="Arial"/>
          <w:sz w:val="24"/>
        </w:rPr>
        <w:t>el</w:t>
      </w:r>
      <w:r w:rsidRPr="003B212E">
        <w:rPr>
          <w:rFonts w:ascii="Palatino Linotype" w:eastAsia="Calibri" w:hAnsi="Palatino Linotype" w:cs="Arial"/>
          <w:b/>
          <w:sz w:val="24"/>
        </w:rPr>
        <w:t xml:space="preserve"> </w:t>
      </w:r>
      <w:r w:rsidR="005C7EF5" w:rsidRPr="003B212E">
        <w:rPr>
          <w:rFonts w:ascii="Palatino Linotype" w:eastAsia="Calibri" w:hAnsi="Palatino Linotype" w:cs="Arial"/>
          <w:b/>
          <w:sz w:val="24"/>
        </w:rPr>
        <w:t>Sujeto Obligado</w:t>
      </w:r>
      <w:r w:rsidRPr="003B212E">
        <w:rPr>
          <w:rFonts w:ascii="Palatino Linotype" w:eastAsia="Calibri" w:hAnsi="Palatino Linotype" w:cs="Arial"/>
          <w:b/>
          <w:sz w:val="24"/>
        </w:rPr>
        <w:t xml:space="preserve">, </w:t>
      </w:r>
      <w:r w:rsidRPr="003B212E">
        <w:rPr>
          <w:rFonts w:ascii="Palatino Linotype" w:hAnsi="Palatino Linotype"/>
          <w:color w:val="000000"/>
          <w:sz w:val="24"/>
        </w:rPr>
        <w:t xml:space="preserve">en términos del artículo 143 de la Ley de Transparencia y Acceso a la Información Pública del Estado de México y Municipios, deberá proceder a clasificar la información requerida </w:t>
      </w:r>
      <w:r w:rsidRPr="003B212E">
        <w:rPr>
          <w:rFonts w:ascii="Palatino Linotype" w:hAnsi="Palatino Linotype" w:cs="Arial"/>
          <w:sz w:val="24"/>
          <w:lang w:val="es-ES_tradnl"/>
        </w:rPr>
        <w:t>mediante las formalidades de Ley, es decir,</w:t>
      </w:r>
      <w:r w:rsidRPr="003B212E">
        <w:rPr>
          <w:rFonts w:ascii="Palatino Linotype" w:hAnsi="Palatino Linotype" w:cs="Arial"/>
          <w:sz w:val="24"/>
        </w:rPr>
        <w:t xml:space="preserve"> que su Comité de Transparencia emita el Acuerdo de Clasificación correspondiente</w:t>
      </w:r>
      <w:r w:rsidRPr="003B212E">
        <w:rPr>
          <w:rFonts w:ascii="Palatino Linotype" w:hAnsi="Palatino Linotype" w:cs="Arial"/>
          <w:sz w:val="24"/>
          <w:lang w:val="es-ES_tradnl"/>
        </w:rPr>
        <w:t xml:space="preserve"> debidamente fundado y motivado, en </w:t>
      </w:r>
      <w:r w:rsidRPr="003B212E">
        <w:rPr>
          <w:rFonts w:ascii="Palatino Linotype" w:hAnsi="Palatino Linotype" w:cs="Arial"/>
          <w:noProof/>
          <w:sz w:val="24"/>
          <w:lang w:eastAsia="es-MX"/>
        </w:rPr>
        <w:t>términos</w:t>
      </w:r>
      <w:r w:rsidRPr="003B212E">
        <w:rPr>
          <w:rFonts w:ascii="Palatino Linotype" w:hAnsi="Palatino Linotype" w:cs="Arial"/>
          <w:sz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474A9BF" w14:textId="77777777" w:rsidR="00E167CA" w:rsidRPr="003B212E" w:rsidRDefault="00E167CA" w:rsidP="00E167CA">
      <w:pPr>
        <w:pStyle w:val="Sinespaciado"/>
      </w:pPr>
    </w:p>
    <w:p w14:paraId="3AA102CB" w14:textId="77777777" w:rsidR="00E167CA" w:rsidRPr="009D4428" w:rsidRDefault="00E167CA" w:rsidP="00E167CA">
      <w:pPr>
        <w:spacing w:after="0"/>
        <w:ind w:left="709" w:right="709"/>
        <w:jc w:val="center"/>
        <w:rPr>
          <w:rFonts w:ascii="Palatino Linotype" w:hAnsi="Palatino Linotype" w:cs="Arial"/>
          <w:b/>
          <w:i/>
        </w:rPr>
      </w:pPr>
      <w:r w:rsidRPr="009D4428">
        <w:rPr>
          <w:rFonts w:ascii="Palatino Linotype" w:hAnsi="Palatino Linotype" w:cs="Arial"/>
          <w:b/>
          <w:i/>
        </w:rPr>
        <w:t>Ley de Transparencia y Acceso a la Información Pública del Estado de México y Municipios</w:t>
      </w:r>
    </w:p>
    <w:p w14:paraId="4DF4E9B5" w14:textId="77777777" w:rsidR="00E167CA" w:rsidRDefault="00E167CA" w:rsidP="00E167CA">
      <w:pPr>
        <w:autoSpaceDE w:val="0"/>
        <w:autoSpaceDN w:val="0"/>
        <w:adjustRightInd w:val="0"/>
        <w:spacing w:after="0"/>
        <w:ind w:left="709" w:right="709"/>
        <w:jc w:val="both"/>
        <w:rPr>
          <w:rFonts w:ascii="Palatino Linotype" w:hAnsi="Palatino Linotype" w:cs="Arial"/>
          <w:i/>
          <w:lang w:eastAsia="es-MX"/>
        </w:rPr>
      </w:pPr>
    </w:p>
    <w:p w14:paraId="47B694ED"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r w:rsidRPr="009D4428">
        <w:rPr>
          <w:rFonts w:ascii="Palatino Linotype" w:hAnsi="Palatino Linotype" w:cs="Arial"/>
          <w:b/>
          <w:i/>
          <w:lang w:eastAsia="es-MX"/>
        </w:rPr>
        <w:t xml:space="preserve">Artículo 49. </w:t>
      </w:r>
      <w:r w:rsidRPr="009D4428">
        <w:rPr>
          <w:rFonts w:ascii="Palatino Linotype" w:hAnsi="Palatino Linotype" w:cs="Arial"/>
          <w:i/>
          <w:lang w:eastAsia="es-MX"/>
        </w:rPr>
        <w:t xml:space="preserve">Los </w:t>
      </w:r>
      <w:r w:rsidRPr="009D4428">
        <w:rPr>
          <w:rFonts w:ascii="Palatino Linotype" w:hAnsi="Palatino Linotype" w:cs="Arial"/>
          <w:i/>
        </w:rPr>
        <w:t>Comités</w:t>
      </w:r>
      <w:r w:rsidRPr="009D4428">
        <w:rPr>
          <w:rFonts w:ascii="Palatino Linotype" w:hAnsi="Palatino Linotype" w:cs="Arial"/>
          <w:i/>
          <w:lang w:eastAsia="es-MX"/>
        </w:rPr>
        <w:t xml:space="preserve"> de Transparencia </w:t>
      </w:r>
      <w:r w:rsidRPr="009D4428">
        <w:rPr>
          <w:rFonts w:ascii="Palatino Linotype" w:hAnsi="Palatino Linotype"/>
          <w:i/>
        </w:rPr>
        <w:t>tendrán</w:t>
      </w:r>
      <w:r w:rsidRPr="009D4428">
        <w:rPr>
          <w:rFonts w:ascii="Palatino Linotype" w:hAnsi="Palatino Linotype" w:cs="Arial"/>
          <w:i/>
          <w:lang w:eastAsia="es-MX"/>
        </w:rPr>
        <w:t xml:space="preserve"> las siguientes atribuciones:</w:t>
      </w:r>
    </w:p>
    <w:p w14:paraId="427C2F93"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VIII.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Aprobar</w:t>
      </w:r>
      <w:r w:rsidRPr="009D4428">
        <w:rPr>
          <w:rFonts w:ascii="Palatino Linotype" w:hAnsi="Palatino Linotype" w:cs="Arial"/>
          <w:i/>
          <w:lang w:eastAsia="es-MX"/>
        </w:rPr>
        <w:t xml:space="preserve">, </w:t>
      </w:r>
      <w:r w:rsidRPr="009D4428">
        <w:rPr>
          <w:rFonts w:ascii="Palatino Linotype" w:hAnsi="Palatino Linotype" w:cs="Arial"/>
          <w:i/>
        </w:rPr>
        <w:t>modificar</w:t>
      </w:r>
      <w:r w:rsidRPr="009D4428">
        <w:rPr>
          <w:rFonts w:ascii="Palatino Linotype" w:hAnsi="Palatino Linotype" w:cs="Arial"/>
          <w:i/>
          <w:lang w:eastAsia="es-MX"/>
        </w:rPr>
        <w:t xml:space="preserve"> o revocar </w:t>
      </w:r>
      <w:r w:rsidRPr="009D4428">
        <w:rPr>
          <w:rFonts w:ascii="Palatino Linotype" w:hAnsi="Palatino Linotype" w:cs="Arial"/>
          <w:b/>
          <w:i/>
          <w:u w:val="single"/>
          <w:lang w:eastAsia="es-MX"/>
        </w:rPr>
        <w:t>la clasificación de la información</w:t>
      </w:r>
      <w:r w:rsidRPr="009D4428">
        <w:rPr>
          <w:rFonts w:ascii="Palatino Linotype" w:hAnsi="Palatino Linotype" w:cs="Arial"/>
          <w:i/>
          <w:lang w:eastAsia="es-MX"/>
        </w:rPr>
        <w:t>;</w:t>
      </w:r>
    </w:p>
    <w:p w14:paraId="3139EE53"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Artículo 132.</w:t>
      </w:r>
      <w:r w:rsidRPr="009D4428">
        <w:rPr>
          <w:rFonts w:ascii="Palatino Linotype" w:hAnsi="Palatino Linotype" w:cs="Arial"/>
          <w:i/>
          <w:lang w:eastAsia="es-MX"/>
        </w:rPr>
        <w:t xml:space="preserve"> La clasificación de la información se llevará a cabo en el momento en que:</w:t>
      </w:r>
    </w:p>
    <w:p w14:paraId="1678AA6A" w14:textId="77777777" w:rsidR="00E167CA" w:rsidRPr="003B212E"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2E2E6A31"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Se determine mediante resolución de autoridad competente</w:t>
      </w:r>
      <w:r w:rsidRPr="009D4428">
        <w:rPr>
          <w:rFonts w:ascii="Palatino Linotype" w:hAnsi="Palatino Linotype" w:cs="Arial"/>
          <w:i/>
          <w:lang w:eastAsia="es-MX"/>
        </w:rPr>
        <w:t>; o</w:t>
      </w:r>
    </w:p>
    <w:p w14:paraId="45ACB0CB" w14:textId="77777777" w:rsidR="00E167CA" w:rsidRDefault="00E167CA" w:rsidP="00E167CA">
      <w:pPr>
        <w:spacing w:after="0"/>
        <w:ind w:left="709" w:right="709"/>
        <w:jc w:val="center"/>
        <w:rPr>
          <w:rFonts w:ascii="Palatino Linotype" w:hAnsi="Palatino Linotype" w:cs="Arial"/>
          <w:b/>
          <w:i/>
          <w:lang w:eastAsia="es-MX"/>
        </w:rPr>
      </w:pPr>
    </w:p>
    <w:p w14:paraId="0D07312B" w14:textId="77777777" w:rsidR="00E167CA" w:rsidRPr="009D4428" w:rsidRDefault="00E167CA" w:rsidP="00E167CA">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lastRenderedPageBreak/>
        <w:t xml:space="preserve">Lineamientos Generales en materia de Clasificación y Desclasificación de la </w:t>
      </w:r>
      <w:r w:rsidRPr="009D4428">
        <w:rPr>
          <w:rFonts w:ascii="Palatino Linotype" w:hAnsi="Palatino Linotype" w:cs="Arial"/>
          <w:b/>
          <w:i/>
        </w:rPr>
        <w:t>Información, así como para la elaboración de Versiones Públicas</w:t>
      </w:r>
    </w:p>
    <w:p w14:paraId="67F5F4CB" w14:textId="77777777" w:rsidR="00E167CA" w:rsidRDefault="00E167CA" w:rsidP="00E167CA">
      <w:pPr>
        <w:autoSpaceDE w:val="0"/>
        <w:autoSpaceDN w:val="0"/>
        <w:adjustRightInd w:val="0"/>
        <w:spacing w:after="0"/>
        <w:ind w:left="709" w:right="709"/>
        <w:jc w:val="both"/>
        <w:rPr>
          <w:rFonts w:ascii="Palatino Linotype" w:hAnsi="Palatino Linotype" w:cs="Arial"/>
          <w:i/>
          <w:lang w:eastAsia="es-MX"/>
        </w:rPr>
      </w:pPr>
    </w:p>
    <w:p w14:paraId="61BCF619"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r w:rsidRPr="009D4428">
        <w:rPr>
          <w:rFonts w:ascii="Palatino Linotype" w:hAnsi="Palatino Linotype" w:cs="Arial"/>
          <w:b/>
          <w:i/>
          <w:lang w:eastAsia="es-MX"/>
        </w:rPr>
        <w:t>Cuarto.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Para clasificar la información como</w:t>
      </w:r>
      <w:r w:rsidRPr="009D4428">
        <w:rPr>
          <w:rFonts w:ascii="Palatino Linotype" w:hAnsi="Palatino Linotype" w:cs="Arial"/>
          <w:i/>
          <w:lang w:eastAsia="es-MX"/>
        </w:rPr>
        <w:t xml:space="preserve"> reservada o </w:t>
      </w:r>
      <w:r w:rsidRPr="009D4428">
        <w:rPr>
          <w:rFonts w:ascii="Palatino Linotype" w:hAnsi="Palatino Linotype" w:cs="Arial"/>
          <w:b/>
          <w:i/>
          <w:u w:val="single"/>
          <w:lang w:eastAsia="es-MX"/>
        </w:rPr>
        <w:t>confidencial, de manera total</w:t>
      </w:r>
      <w:r w:rsidRPr="009D4428">
        <w:rPr>
          <w:rFonts w:ascii="Palatino Linotype" w:hAnsi="Palatino Linotype" w:cs="Arial"/>
          <w:i/>
          <w:lang w:eastAsia="es-MX"/>
        </w:rPr>
        <w:t xml:space="preserve"> o parcial, </w:t>
      </w:r>
      <w:r w:rsidRPr="009D4428">
        <w:rPr>
          <w:rFonts w:ascii="Palatino Linotype" w:hAnsi="Palatino Linotype" w:cs="Arial"/>
          <w:b/>
          <w:i/>
          <w:u w:val="single"/>
          <w:lang w:eastAsia="es-MX"/>
        </w:rPr>
        <w:t xml:space="preserve">el titular del </w:t>
      </w:r>
      <w:r w:rsidRPr="009D4428">
        <w:rPr>
          <w:rFonts w:ascii="Palatino Linotype" w:hAnsi="Palatino Linotype" w:cs="Arial"/>
          <w:b/>
          <w:bCs/>
          <w:i/>
          <w:noProof/>
          <w:u w:val="single"/>
        </w:rPr>
        <w:t>área</w:t>
      </w:r>
      <w:r w:rsidRPr="009D4428">
        <w:rPr>
          <w:rFonts w:ascii="Palatino Linotype" w:hAnsi="Palatino Linotype" w:cs="Arial"/>
          <w:b/>
          <w:i/>
          <w:u w:val="single"/>
          <w:lang w:eastAsia="es-MX"/>
        </w:rPr>
        <w:t xml:space="preserve"> del sujeto </w:t>
      </w:r>
      <w:r w:rsidRPr="009D4428">
        <w:rPr>
          <w:rFonts w:ascii="Palatino Linotype" w:hAnsi="Palatino Linotype" w:cs="Arial"/>
          <w:b/>
          <w:i/>
          <w:u w:val="single"/>
        </w:rPr>
        <w:t>obligado</w:t>
      </w:r>
      <w:r w:rsidRPr="009D4428">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9D4428">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14:paraId="2939FB91"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 xml:space="preserve">Los sujetos obligados deberán aplicar, de manera estricta, las excepciones al derecho de acceso a la </w:t>
      </w:r>
      <w:r w:rsidRPr="009D4428">
        <w:rPr>
          <w:rFonts w:ascii="Palatino Linotype" w:hAnsi="Palatino Linotype" w:cs="Arial"/>
          <w:bCs/>
          <w:i/>
          <w:noProof/>
        </w:rPr>
        <w:t>información</w:t>
      </w:r>
      <w:r w:rsidRPr="009D4428">
        <w:rPr>
          <w:rFonts w:ascii="Palatino Linotype" w:hAnsi="Palatino Linotype" w:cs="Arial"/>
          <w:i/>
          <w:lang w:eastAsia="es-MX"/>
        </w:rPr>
        <w:t xml:space="preserve"> y sólo </w:t>
      </w:r>
      <w:r w:rsidRPr="009D4428">
        <w:rPr>
          <w:rFonts w:ascii="Palatino Linotype" w:hAnsi="Palatino Linotype" w:cs="Arial"/>
          <w:i/>
        </w:rPr>
        <w:t>podrán</w:t>
      </w:r>
      <w:r w:rsidRPr="009D4428">
        <w:rPr>
          <w:rFonts w:ascii="Palatino Linotype" w:hAnsi="Palatino Linotype" w:cs="Arial"/>
          <w:i/>
          <w:lang w:eastAsia="es-MX"/>
        </w:rPr>
        <w:t xml:space="preserve"> invocarlas cuando acrediten su procedencia.</w:t>
      </w:r>
    </w:p>
    <w:p w14:paraId="3074C564" w14:textId="77777777" w:rsidR="00E167CA" w:rsidRDefault="00E167CA" w:rsidP="00E167CA">
      <w:pPr>
        <w:autoSpaceDE w:val="0"/>
        <w:autoSpaceDN w:val="0"/>
        <w:adjustRightInd w:val="0"/>
        <w:spacing w:after="0"/>
        <w:ind w:left="709" w:right="709"/>
        <w:jc w:val="both"/>
        <w:rPr>
          <w:rFonts w:ascii="Palatino Linotype" w:hAnsi="Palatino Linotype" w:cs="Arial"/>
          <w:b/>
          <w:i/>
          <w:lang w:eastAsia="es-MX"/>
        </w:rPr>
      </w:pPr>
    </w:p>
    <w:p w14:paraId="0AC54D65"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Quinto.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9D4428">
        <w:rPr>
          <w:rFonts w:ascii="Palatino Linotype" w:hAnsi="Palatino Linotype" w:cs="Arial"/>
          <w:i/>
          <w:lang w:eastAsia="es-MX"/>
        </w:rPr>
        <w:t xml:space="preserve"> la Ley General, la Ley Federal y </w:t>
      </w:r>
      <w:r w:rsidRPr="009D4428">
        <w:rPr>
          <w:rFonts w:ascii="Palatino Linotype" w:hAnsi="Palatino Linotype" w:cs="Arial"/>
          <w:b/>
          <w:i/>
          <w:u w:val="single"/>
          <w:lang w:eastAsia="es-MX"/>
        </w:rPr>
        <w:t xml:space="preserve">leyes estatales, </w:t>
      </w:r>
      <w:r w:rsidRPr="009D4428">
        <w:rPr>
          <w:rFonts w:ascii="Palatino Linotype" w:hAnsi="Palatino Linotype" w:cs="Arial"/>
          <w:b/>
          <w:i/>
          <w:u w:val="single"/>
        </w:rPr>
        <w:t>corresponderá</w:t>
      </w:r>
      <w:r w:rsidRPr="009D4428">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9D4428">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4E36DAC8" w14:textId="77777777" w:rsidR="00E167CA" w:rsidRDefault="00E167CA" w:rsidP="00E167CA">
      <w:pPr>
        <w:autoSpaceDE w:val="0"/>
        <w:autoSpaceDN w:val="0"/>
        <w:adjustRightInd w:val="0"/>
        <w:spacing w:after="0"/>
        <w:ind w:left="709" w:right="709"/>
        <w:jc w:val="both"/>
        <w:rPr>
          <w:rFonts w:ascii="Palatino Linotype" w:hAnsi="Palatino Linotype" w:cs="Arial"/>
          <w:b/>
          <w:i/>
          <w:lang w:eastAsia="es-MX"/>
        </w:rPr>
      </w:pPr>
    </w:p>
    <w:p w14:paraId="29740240"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Sexto.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Los sujetos obligados no podrán emitir acuerdos de carácter general</w:t>
      </w:r>
      <w:r w:rsidRPr="009D4428">
        <w:rPr>
          <w:rFonts w:ascii="Palatino Linotype" w:hAnsi="Palatino Linotype" w:cs="Arial"/>
          <w:i/>
          <w:lang w:eastAsia="es-MX"/>
        </w:rPr>
        <w:t xml:space="preserve"> ni particular que clasifiquen </w:t>
      </w:r>
      <w:r w:rsidRPr="009D4428">
        <w:rPr>
          <w:rFonts w:ascii="Palatino Linotype" w:hAnsi="Palatino Linotype" w:cs="Arial"/>
          <w:bCs/>
          <w:i/>
          <w:noProof/>
        </w:rPr>
        <w:t>documentos</w:t>
      </w:r>
      <w:r w:rsidRPr="009D4428">
        <w:rPr>
          <w:rFonts w:ascii="Palatino Linotype" w:hAnsi="Palatino Linotype" w:cs="Arial"/>
          <w:i/>
          <w:lang w:eastAsia="es-MX"/>
        </w:rPr>
        <w:t xml:space="preserve"> o expedientes como reservados, ni clasificar documentos antes de que se genere la información o cuando éstos no obren en sus archivos.</w:t>
      </w:r>
    </w:p>
    <w:p w14:paraId="628711B0" w14:textId="77777777" w:rsidR="00E167CA" w:rsidRDefault="00E167CA" w:rsidP="00E167CA">
      <w:pPr>
        <w:spacing w:after="0"/>
        <w:ind w:left="709" w:right="709"/>
        <w:jc w:val="both"/>
        <w:rPr>
          <w:rFonts w:ascii="Palatino Linotype" w:hAnsi="Palatino Linotype" w:cs="Arial"/>
          <w:b/>
          <w:i/>
          <w:u w:val="single"/>
          <w:lang w:eastAsia="es-MX"/>
        </w:rPr>
      </w:pPr>
    </w:p>
    <w:p w14:paraId="72BE6EDE" w14:textId="77777777" w:rsidR="00E167CA" w:rsidRPr="009D4428" w:rsidRDefault="00E167CA" w:rsidP="00E167CA">
      <w:pPr>
        <w:spacing w:after="0"/>
        <w:ind w:left="709" w:right="709"/>
        <w:jc w:val="both"/>
        <w:rPr>
          <w:rFonts w:ascii="Palatino Linotype" w:hAnsi="Palatino Linotype" w:cs="Arial"/>
          <w:i/>
          <w:lang w:eastAsia="es-MX"/>
        </w:rPr>
      </w:pPr>
      <w:r w:rsidRPr="009D4428">
        <w:rPr>
          <w:rFonts w:ascii="Palatino Linotype" w:hAnsi="Palatino Linotype" w:cs="Arial"/>
          <w:b/>
          <w:i/>
          <w:u w:val="single"/>
          <w:lang w:eastAsia="es-MX"/>
        </w:rPr>
        <w:t xml:space="preserve">La clasificación de </w:t>
      </w:r>
      <w:r w:rsidRPr="009D4428">
        <w:rPr>
          <w:rFonts w:ascii="Palatino Linotype" w:hAnsi="Palatino Linotype" w:cs="Arial"/>
          <w:b/>
          <w:i/>
          <w:u w:val="single"/>
        </w:rPr>
        <w:t>información</w:t>
      </w:r>
      <w:r w:rsidRPr="009D4428">
        <w:rPr>
          <w:rFonts w:ascii="Palatino Linotype" w:hAnsi="Palatino Linotype" w:cs="Arial"/>
          <w:b/>
          <w:i/>
          <w:u w:val="single"/>
          <w:lang w:eastAsia="es-MX"/>
        </w:rPr>
        <w:t xml:space="preserve"> se realizará conforme a un análisis caso por caso</w:t>
      </w:r>
      <w:r w:rsidRPr="009D4428">
        <w:rPr>
          <w:rFonts w:ascii="Palatino Linotype" w:hAnsi="Palatino Linotype" w:cs="Arial"/>
          <w:i/>
          <w:lang w:eastAsia="es-MX"/>
        </w:rPr>
        <w:t xml:space="preserve">, mediante la aplicación </w:t>
      </w:r>
      <w:r w:rsidRPr="009D4428">
        <w:rPr>
          <w:rFonts w:ascii="Palatino Linotype" w:hAnsi="Palatino Linotype" w:cs="Arial"/>
          <w:bCs/>
          <w:i/>
          <w:noProof/>
        </w:rPr>
        <w:t>de</w:t>
      </w:r>
      <w:r w:rsidRPr="009D4428">
        <w:rPr>
          <w:rFonts w:ascii="Palatino Linotype" w:hAnsi="Palatino Linotype" w:cs="Arial"/>
          <w:i/>
          <w:lang w:eastAsia="es-MX"/>
        </w:rPr>
        <w:t xml:space="preserve"> la prueba de daño y de interés público.</w:t>
      </w:r>
    </w:p>
    <w:p w14:paraId="0EB02400"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Séptimo.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La clasificación </w:t>
      </w:r>
      <w:r w:rsidRPr="009D4428">
        <w:rPr>
          <w:rFonts w:ascii="Palatino Linotype" w:hAnsi="Palatino Linotype" w:cs="Arial"/>
          <w:b/>
          <w:bCs/>
          <w:i/>
          <w:noProof/>
          <w:u w:val="single"/>
        </w:rPr>
        <w:t>de</w:t>
      </w:r>
      <w:r w:rsidRPr="009D4428">
        <w:rPr>
          <w:rFonts w:ascii="Palatino Linotype" w:hAnsi="Palatino Linotype" w:cs="Arial"/>
          <w:b/>
          <w:i/>
          <w:u w:val="single"/>
          <w:lang w:eastAsia="es-MX"/>
        </w:rPr>
        <w:t xml:space="preserve"> la </w:t>
      </w:r>
      <w:r w:rsidRPr="009D4428">
        <w:rPr>
          <w:rFonts w:ascii="Palatino Linotype" w:hAnsi="Palatino Linotype" w:cs="Arial"/>
          <w:b/>
          <w:i/>
          <w:u w:val="single"/>
        </w:rPr>
        <w:t>información</w:t>
      </w:r>
      <w:r w:rsidRPr="009D4428">
        <w:rPr>
          <w:rFonts w:ascii="Palatino Linotype" w:hAnsi="Palatino Linotype" w:cs="Arial"/>
          <w:b/>
          <w:i/>
          <w:u w:val="single"/>
          <w:lang w:eastAsia="es-MX"/>
        </w:rPr>
        <w:t xml:space="preserve"> se llevará a cabo en el momento en que</w:t>
      </w:r>
      <w:r w:rsidRPr="009D4428">
        <w:rPr>
          <w:rFonts w:ascii="Palatino Linotype" w:hAnsi="Palatino Linotype" w:cs="Arial"/>
          <w:i/>
          <w:lang w:eastAsia="es-MX"/>
        </w:rPr>
        <w:t>:</w:t>
      </w:r>
    </w:p>
    <w:p w14:paraId="1661D677" w14:textId="77777777" w:rsidR="00E167CA" w:rsidRDefault="00E167CA" w:rsidP="00E167CA">
      <w:pPr>
        <w:autoSpaceDE w:val="0"/>
        <w:autoSpaceDN w:val="0"/>
        <w:adjustRightInd w:val="0"/>
        <w:spacing w:after="0"/>
        <w:ind w:left="709" w:right="709"/>
        <w:jc w:val="both"/>
        <w:rPr>
          <w:rFonts w:ascii="Palatino Linotype" w:hAnsi="Palatino Linotype" w:cs="Arial"/>
          <w:b/>
          <w:i/>
          <w:lang w:eastAsia="es-MX"/>
        </w:rPr>
      </w:pPr>
    </w:p>
    <w:p w14:paraId="426D4B21"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w:t>
      </w:r>
      <w:r w:rsidRPr="009D4428">
        <w:rPr>
          <w:rFonts w:ascii="Palatino Linotype" w:hAnsi="Palatino Linotype" w:cs="Arial"/>
          <w:i/>
          <w:lang w:eastAsia="es-MX"/>
        </w:rPr>
        <w:t xml:space="preserve"> Se reciba una solicitud de acceso a la información;</w:t>
      </w:r>
    </w:p>
    <w:p w14:paraId="75E7F7CB"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Se determine </w:t>
      </w:r>
      <w:r w:rsidRPr="009D4428">
        <w:rPr>
          <w:rFonts w:ascii="Palatino Linotype" w:hAnsi="Palatino Linotype" w:cs="Arial"/>
          <w:b/>
          <w:bCs/>
          <w:i/>
          <w:noProof/>
          <w:u w:val="single"/>
        </w:rPr>
        <w:t>mediante</w:t>
      </w:r>
      <w:r w:rsidRPr="009D4428">
        <w:rPr>
          <w:rFonts w:ascii="Palatino Linotype" w:hAnsi="Palatino Linotype" w:cs="Arial"/>
          <w:b/>
          <w:i/>
          <w:u w:val="single"/>
          <w:lang w:eastAsia="es-MX"/>
        </w:rPr>
        <w:t xml:space="preserve"> resolución de autoridad competente</w:t>
      </w:r>
      <w:r w:rsidRPr="009D4428">
        <w:rPr>
          <w:rFonts w:ascii="Palatino Linotype" w:hAnsi="Palatino Linotype" w:cs="Arial"/>
          <w:i/>
          <w:lang w:eastAsia="es-MX"/>
        </w:rPr>
        <w:t>, o</w:t>
      </w:r>
    </w:p>
    <w:p w14:paraId="5F1A1989"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lastRenderedPageBreak/>
        <w:t>III.</w:t>
      </w:r>
      <w:r w:rsidRPr="009D4428">
        <w:rPr>
          <w:rFonts w:ascii="Palatino Linotype" w:hAnsi="Palatino Linotype" w:cs="Arial"/>
          <w:i/>
          <w:lang w:eastAsia="es-MX"/>
        </w:rPr>
        <w:t xml:space="preserve"> Se generen </w:t>
      </w:r>
      <w:r w:rsidRPr="009D4428">
        <w:rPr>
          <w:rFonts w:ascii="Palatino Linotype" w:hAnsi="Palatino Linotype" w:cs="Arial"/>
          <w:bCs/>
          <w:i/>
          <w:noProof/>
        </w:rPr>
        <w:t>versiones</w:t>
      </w:r>
      <w:r w:rsidRPr="009D4428">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0752811A" w14:textId="77777777" w:rsidR="00E167CA" w:rsidRDefault="00E167CA" w:rsidP="00E167CA">
      <w:pPr>
        <w:autoSpaceDE w:val="0"/>
        <w:autoSpaceDN w:val="0"/>
        <w:adjustRightInd w:val="0"/>
        <w:spacing w:after="0"/>
        <w:ind w:left="709" w:right="709"/>
        <w:jc w:val="both"/>
        <w:rPr>
          <w:rFonts w:ascii="Palatino Linotype" w:hAnsi="Palatino Linotype" w:cs="Arial"/>
          <w:i/>
          <w:lang w:eastAsia="es-MX"/>
        </w:rPr>
      </w:pPr>
    </w:p>
    <w:p w14:paraId="032F7E3E"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 xml:space="preserve">Los titulares de las áreas deberán revisar la clasificación al momento de la recepción de una solicitud de </w:t>
      </w:r>
      <w:r w:rsidRPr="009D4428">
        <w:rPr>
          <w:rFonts w:ascii="Palatino Linotype" w:hAnsi="Palatino Linotype" w:cs="Arial"/>
          <w:bCs/>
          <w:i/>
          <w:noProof/>
        </w:rPr>
        <w:t>acceso</w:t>
      </w:r>
      <w:r w:rsidRPr="009D4428">
        <w:rPr>
          <w:rFonts w:ascii="Palatino Linotype" w:hAnsi="Palatino Linotype" w:cs="Arial"/>
          <w:i/>
          <w:lang w:eastAsia="es-MX"/>
        </w:rPr>
        <w:t xml:space="preserve"> a la información, para verificar si encuadra en una causal de reserva o de confidencialidad.</w:t>
      </w:r>
    </w:p>
    <w:p w14:paraId="500AC20D" w14:textId="77777777" w:rsidR="00E167CA" w:rsidRDefault="00E167CA" w:rsidP="00E167CA">
      <w:pPr>
        <w:autoSpaceDE w:val="0"/>
        <w:autoSpaceDN w:val="0"/>
        <w:adjustRightInd w:val="0"/>
        <w:spacing w:after="0"/>
        <w:ind w:left="709" w:right="709"/>
        <w:jc w:val="both"/>
        <w:rPr>
          <w:rFonts w:ascii="Palatino Linotype" w:hAnsi="Palatino Linotype" w:cs="Arial"/>
          <w:b/>
          <w:i/>
          <w:lang w:eastAsia="es-MX"/>
        </w:rPr>
      </w:pPr>
    </w:p>
    <w:p w14:paraId="47C34909"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Octavo.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9D4428">
        <w:rPr>
          <w:rFonts w:ascii="Palatino Linotype" w:hAnsi="Palatino Linotype" w:cs="Arial"/>
          <w:b/>
          <w:bCs/>
          <w:i/>
          <w:noProof/>
          <w:u w:val="single"/>
        </w:rPr>
        <w:t>expresamente</w:t>
      </w:r>
      <w:r w:rsidRPr="009D4428">
        <w:rPr>
          <w:rFonts w:ascii="Palatino Linotype" w:hAnsi="Palatino Linotype" w:cs="Arial"/>
          <w:b/>
          <w:i/>
          <w:u w:val="single"/>
          <w:lang w:eastAsia="es-MX"/>
        </w:rPr>
        <w:t xml:space="preserve"> le otorga el carácter de</w:t>
      </w:r>
      <w:r w:rsidRPr="009D4428">
        <w:rPr>
          <w:rFonts w:ascii="Palatino Linotype" w:hAnsi="Palatino Linotype" w:cs="Arial"/>
          <w:i/>
          <w:lang w:eastAsia="es-MX"/>
        </w:rPr>
        <w:t xml:space="preserve"> reservada o </w:t>
      </w:r>
      <w:r w:rsidRPr="009D4428">
        <w:rPr>
          <w:rFonts w:ascii="Palatino Linotype" w:hAnsi="Palatino Linotype" w:cs="Arial"/>
          <w:b/>
          <w:i/>
          <w:u w:val="single"/>
          <w:lang w:eastAsia="es-MX"/>
        </w:rPr>
        <w:t>confidencial</w:t>
      </w:r>
      <w:r w:rsidRPr="009D4428">
        <w:rPr>
          <w:rFonts w:ascii="Palatino Linotype" w:hAnsi="Palatino Linotype" w:cs="Arial"/>
          <w:i/>
          <w:lang w:eastAsia="es-MX"/>
        </w:rPr>
        <w:t>.</w:t>
      </w:r>
    </w:p>
    <w:p w14:paraId="29D5C6B9" w14:textId="77777777" w:rsidR="00E167CA" w:rsidRDefault="00E167CA" w:rsidP="00E167CA">
      <w:pPr>
        <w:autoSpaceDE w:val="0"/>
        <w:autoSpaceDN w:val="0"/>
        <w:adjustRightInd w:val="0"/>
        <w:spacing w:after="0"/>
        <w:ind w:left="709" w:right="709"/>
        <w:jc w:val="both"/>
        <w:rPr>
          <w:rFonts w:ascii="Palatino Linotype" w:hAnsi="Palatino Linotype" w:cs="Arial"/>
          <w:b/>
          <w:i/>
          <w:u w:val="single"/>
          <w:lang w:eastAsia="es-MX"/>
        </w:rPr>
      </w:pPr>
    </w:p>
    <w:p w14:paraId="093562A1" w14:textId="77777777" w:rsidR="00E167CA" w:rsidRPr="009D4428" w:rsidRDefault="00E167CA" w:rsidP="00E167CA">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b/>
          <w:i/>
          <w:u w:val="single"/>
          <w:lang w:eastAsia="es-MX"/>
        </w:rPr>
        <w:t xml:space="preserve">Para </w:t>
      </w:r>
      <w:r w:rsidRPr="009D4428">
        <w:rPr>
          <w:rFonts w:ascii="Palatino Linotype" w:hAnsi="Palatino Linotype" w:cs="Arial"/>
          <w:b/>
          <w:bCs/>
          <w:i/>
          <w:noProof/>
          <w:u w:val="single"/>
        </w:rPr>
        <w:t xml:space="preserve">motivar la clasificación se deberán señalar las razones o circunstancias especiales que lo </w:t>
      </w:r>
      <w:r w:rsidRPr="009D4428">
        <w:rPr>
          <w:rFonts w:ascii="Palatino Linotype" w:hAnsi="Palatino Linotype" w:cs="Arial"/>
          <w:b/>
          <w:i/>
          <w:u w:val="single"/>
          <w:lang w:eastAsia="es-MX"/>
        </w:rPr>
        <w:t>llevaron</w:t>
      </w:r>
      <w:r w:rsidRPr="009D4428">
        <w:rPr>
          <w:rFonts w:ascii="Palatino Linotype" w:hAnsi="Palatino Linotype" w:cs="Arial"/>
          <w:b/>
          <w:bCs/>
          <w:i/>
          <w:noProof/>
          <w:u w:val="single"/>
        </w:rPr>
        <w:t xml:space="preserve"> a concluir que el caso particular se ajusta al supuesto previsto por la norma legal invocada </w:t>
      </w:r>
      <w:r w:rsidRPr="009D4428">
        <w:rPr>
          <w:rFonts w:ascii="Palatino Linotype" w:hAnsi="Palatino Linotype" w:cs="Arial"/>
          <w:bCs/>
          <w:i/>
          <w:noProof/>
        </w:rPr>
        <w:t>como fundamento.</w:t>
      </w:r>
    </w:p>
    <w:p w14:paraId="60156F89" w14:textId="77777777" w:rsidR="00E167CA" w:rsidRPr="009D4428" w:rsidRDefault="00E167CA" w:rsidP="00E167CA">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9D4428">
        <w:rPr>
          <w:rFonts w:ascii="Palatino Linotype" w:hAnsi="Palatino Linotype" w:cs="Arial"/>
          <w:i/>
          <w:lang w:eastAsia="es-MX"/>
        </w:rPr>
        <w:t>de</w:t>
      </w:r>
      <w:r w:rsidRPr="009D4428">
        <w:rPr>
          <w:rFonts w:ascii="Palatino Linotype" w:hAnsi="Palatino Linotype" w:cs="Arial"/>
          <w:bCs/>
          <w:i/>
          <w:noProof/>
        </w:rPr>
        <w:t xml:space="preserve"> </w:t>
      </w:r>
      <w:r w:rsidRPr="009D4428">
        <w:rPr>
          <w:rFonts w:ascii="Palatino Linotype" w:hAnsi="Palatino Linotype" w:cs="Arial"/>
          <w:i/>
          <w:lang w:eastAsia="es-MX"/>
        </w:rPr>
        <w:t>reserva</w:t>
      </w:r>
      <w:r w:rsidRPr="009D4428">
        <w:rPr>
          <w:rFonts w:ascii="Palatino Linotype" w:hAnsi="Palatino Linotype" w:cs="Arial"/>
          <w:bCs/>
          <w:i/>
          <w:noProof/>
        </w:rPr>
        <w:t>.</w:t>
      </w:r>
    </w:p>
    <w:p w14:paraId="3164CBB0" w14:textId="77777777" w:rsidR="00E167CA" w:rsidRDefault="00E167CA" w:rsidP="00E167CA">
      <w:pPr>
        <w:autoSpaceDE w:val="0"/>
        <w:autoSpaceDN w:val="0"/>
        <w:adjustRightInd w:val="0"/>
        <w:spacing w:after="0"/>
        <w:ind w:left="709" w:right="709"/>
        <w:jc w:val="both"/>
        <w:rPr>
          <w:rFonts w:ascii="Palatino Linotype" w:hAnsi="Palatino Linotype" w:cs="Arial"/>
          <w:i/>
          <w:lang w:eastAsia="es-MX"/>
        </w:rPr>
      </w:pPr>
    </w:p>
    <w:p w14:paraId="02E6EE84" w14:textId="77777777" w:rsidR="00E167CA" w:rsidRPr="009D4428" w:rsidRDefault="00E167CA" w:rsidP="00E167CA">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i/>
          <w:lang w:eastAsia="es-MX"/>
        </w:rPr>
        <w:t>Tratándose</w:t>
      </w:r>
      <w:r w:rsidRPr="009D4428">
        <w:rPr>
          <w:rFonts w:ascii="Palatino Linotype" w:hAnsi="Palatino Linotype" w:cs="Arial"/>
          <w:bCs/>
          <w:i/>
          <w:noProof/>
        </w:rPr>
        <w:t xml:space="preserve"> de información clasificada como confidencial respecto de la cual se haya </w:t>
      </w:r>
      <w:r w:rsidRPr="009D4428">
        <w:rPr>
          <w:rFonts w:ascii="Palatino Linotype" w:hAnsi="Palatino Linotype" w:cs="Arial"/>
          <w:i/>
          <w:lang w:eastAsia="es-MX"/>
        </w:rPr>
        <w:t>determinado</w:t>
      </w:r>
      <w:r w:rsidRPr="009D4428">
        <w:rPr>
          <w:rFonts w:ascii="Palatino Linotype" w:hAnsi="Palatino Linotype" w:cs="Arial"/>
          <w:bCs/>
          <w:i/>
          <w:noProof/>
        </w:rPr>
        <w:t xml:space="preserve"> </w:t>
      </w:r>
      <w:r w:rsidRPr="009D4428">
        <w:rPr>
          <w:rFonts w:ascii="Palatino Linotype" w:hAnsi="Palatino Linotype" w:cs="Arial"/>
          <w:i/>
          <w:lang w:eastAsia="es-MX"/>
        </w:rPr>
        <w:t>su</w:t>
      </w:r>
      <w:r w:rsidRPr="009D4428">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7058EDAE"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Cs/>
          <w:i/>
          <w:noProof/>
        </w:rPr>
        <w:t>Los documentos contenidos</w:t>
      </w:r>
      <w:r w:rsidRPr="009D4428">
        <w:rPr>
          <w:rFonts w:ascii="Palatino Linotype" w:hAnsi="Palatino Linotype" w:cs="Arial"/>
          <w:i/>
          <w:lang w:eastAsia="es-MX"/>
        </w:rPr>
        <w:t xml:space="preserve"> en los archivos históricos y los identificados como históricos confidenciales no serán susceptibles de clasificación como reservados.</w:t>
      </w:r>
    </w:p>
    <w:p w14:paraId="1EA3211B" w14:textId="77777777" w:rsidR="00E167CA" w:rsidRDefault="00E167CA" w:rsidP="00E167CA">
      <w:pPr>
        <w:autoSpaceDE w:val="0"/>
        <w:autoSpaceDN w:val="0"/>
        <w:adjustRightInd w:val="0"/>
        <w:spacing w:after="0"/>
        <w:ind w:left="709" w:right="709"/>
        <w:jc w:val="both"/>
        <w:rPr>
          <w:rFonts w:ascii="Palatino Linotype" w:hAnsi="Palatino Linotype" w:cs="Arial"/>
          <w:b/>
          <w:i/>
          <w:lang w:eastAsia="es-MX"/>
        </w:rPr>
      </w:pPr>
    </w:p>
    <w:p w14:paraId="7339BAC8"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Décimo.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9D4428">
        <w:rPr>
          <w:rFonts w:ascii="Palatino Linotype" w:hAnsi="Palatino Linotype" w:cs="Arial"/>
          <w:b/>
          <w:i/>
          <w:u w:val="single"/>
        </w:rPr>
        <w:t>documentos</w:t>
      </w:r>
      <w:r w:rsidRPr="009D4428">
        <w:rPr>
          <w:rFonts w:ascii="Palatino Linotype" w:hAnsi="Palatino Linotype" w:cs="Arial"/>
          <w:b/>
          <w:i/>
          <w:u w:val="single"/>
          <w:lang w:eastAsia="es-MX"/>
        </w:rPr>
        <w:t xml:space="preserve"> clasificados</w:t>
      </w:r>
      <w:r w:rsidRPr="009D4428">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8BF90C8" w14:textId="77777777" w:rsidR="00E167CA" w:rsidRDefault="00E167CA" w:rsidP="00E167CA">
      <w:pPr>
        <w:autoSpaceDE w:val="0"/>
        <w:autoSpaceDN w:val="0"/>
        <w:adjustRightInd w:val="0"/>
        <w:spacing w:after="0"/>
        <w:ind w:left="709" w:right="709"/>
        <w:jc w:val="both"/>
        <w:rPr>
          <w:rFonts w:ascii="Palatino Linotype" w:hAnsi="Palatino Linotype" w:cs="Arial"/>
          <w:i/>
          <w:lang w:eastAsia="es-MX"/>
        </w:rPr>
      </w:pPr>
    </w:p>
    <w:p w14:paraId="38220187"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lastRenderedPageBreak/>
        <w:t xml:space="preserve">En ausencia de los titulares de las áreas, la información será clasificada o desclasificada por la persona que lo supla, en términos de la normativa </w:t>
      </w:r>
      <w:r w:rsidRPr="009D4428">
        <w:rPr>
          <w:rFonts w:ascii="Palatino Linotype" w:hAnsi="Palatino Linotype" w:cs="Arial"/>
          <w:i/>
        </w:rPr>
        <w:t>que</w:t>
      </w:r>
      <w:r w:rsidRPr="009D4428">
        <w:rPr>
          <w:rFonts w:ascii="Palatino Linotype" w:hAnsi="Palatino Linotype" w:cs="Arial"/>
          <w:i/>
          <w:lang w:eastAsia="es-MX"/>
        </w:rPr>
        <w:t xml:space="preserve"> rija la actuación del sujeto obligado.</w:t>
      </w:r>
    </w:p>
    <w:p w14:paraId="0BA16CB7" w14:textId="77777777" w:rsidR="00E167CA" w:rsidRDefault="00E167CA" w:rsidP="00E167CA">
      <w:pPr>
        <w:autoSpaceDE w:val="0"/>
        <w:autoSpaceDN w:val="0"/>
        <w:adjustRightInd w:val="0"/>
        <w:spacing w:after="0"/>
        <w:ind w:left="709" w:right="709"/>
        <w:jc w:val="both"/>
        <w:rPr>
          <w:rFonts w:ascii="Palatino Linotype" w:hAnsi="Palatino Linotype" w:cs="Arial"/>
          <w:b/>
          <w:i/>
          <w:lang w:eastAsia="es-MX"/>
        </w:rPr>
      </w:pPr>
    </w:p>
    <w:p w14:paraId="4AD465B2"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Décimo primero.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En el intercambio de información entre sujetos obligados para el ejercicio de sus atribuciones, los documentos que se encuentren clasificados deberán llevar la leyenda correspondiente</w:t>
      </w:r>
      <w:r w:rsidRPr="009D4428">
        <w:rPr>
          <w:rFonts w:ascii="Palatino Linotype" w:hAnsi="Palatino Linotype" w:cs="Arial"/>
          <w:i/>
          <w:lang w:eastAsia="es-MX"/>
        </w:rPr>
        <w:t xml:space="preserve"> de conformidad con lo dispuesto en el Capítulo VIII de los presentes lineamientos.</w:t>
      </w:r>
    </w:p>
    <w:p w14:paraId="514E46DD" w14:textId="77777777" w:rsidR="00E167CA" w:rsidRDefault="00E167CA" w:rsidP="00E167CA">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43016706" w14:textId="77777777" w:rsidR="00E167CA" w:rsidRPr="009D4428" w:rsidRDefault="00E167CA" w:rsidP="00E167CA">
      <w:pPr>
        <w:autoSpaceDE w:val="0"/>
        <w:autoSpaceDN w:val="0"/>
        <w:adjustRightInd w:val="0"/>
        <w:spacing w:after="0"/>
        <w:ind w:left="709" w:right="709"/>
        <w:jc w:val="both"/>
        <w:rPr>
          <w:rFonts w:ascii="Palatino Linotype" w:hAnsi="Palatino Linotype" w:cs="Arial"/>
          <w:i/>
          <w:lang w:eastAsia="es-MX"/>
        </w:rPr>
      </w:pPr>
    </w:p>
    <w:p w14:paraId="27DA29BF" w14:textId="77777777" w:rsidR="00E167CA" w:rsidRPr="009D4428" w:rsidRDefault="00E167CA" w:rsidP="00E167CA">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CAPÍTULO VIII</w:t>
      </w:r>
    </w:p>
    <w:p w14:paraId="778052AF" w14:textId="77777777" w:rsidR="00E167CA" w:rsidRPr="009D4428" w:rsidRDefault="00E167CA" w:rsidP="00E167CA">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DE LA LEYENDA DE CLASIFICACIÓN</w:t>
      </w:r>
    </w:p>
    <w:p w14:paraId="10F0FCA9" w14:textId="77777777" w:rsidR="00E167CA" w:rsidRPr="009D4428" w:rsidRDefault="00E167CA" w:rsidP="00E167CA">
      <w:pPr>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 xml:space="preserve">Quincuagésimo. </w:t>
      </w:r>
      <w:r w:rsidRPr="009D4428">
        <w:rPr>
          <w:rFonts w:ascii="Palatino Linotype" w:hAnsi="Palatino Linotype" w:cs="Arial"/>
          <w:b/>
          <w:i/>
          <w:u w:val="single"/>
          <w:lang w:eastAsia="es-MX"/>
        </w:rPr>
        <w:t>Los titulares de las áreas de los sujetos obligados podrán utilizar los formatos contenidos en el presente Capítulo como modelo</w:t>
      </w:r>
      <w:r w:rsidRPr="009D4428">
        <w:rPr>
          <w:rFonts w:ascii="Palatino Linotype" w:hAnsi="Palatino Linotype" w:cs="Arial"/>
          <w:i/>
          <w:lang w:eastAsia="es-MX"/>
        </w:rPr>
        <w:t xml:space="preserve"> para señalar la clasificación de documentos o expedientes, sin perjuicio de que establezcan los propios.</w:t>
      </w:r>
    </w:p>
    <w:p w14:paraId="0819A741" w14:textId="77777777" w:rsidR="00E167CA" w:rsidRPr="009D4428" w:rsidRDefault="00E167CA" w:rsidP="00E167CA">
      <w:pPr>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5B322381" w14:textId="77777777" w:rsidR="00E167CA" w:rsidRDefault="00E167CA" w:rsidP="00E167CA">
      <w:pPr>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 xml:space="preserve">Quincuagésimo tercero. </w:t>
      </w:r>
      <w:r w:rsidRPr="009D4428">
        <w:rPr>
          <w:rFonts w:ascii="Palatino Linotype" w:hAnsi="Palatino Linotype" w:cs="Arial"/>
          <w:b/>
          <w:i/>
          <w:u w:val="single"/>
          <w:lang w:eastAsia="es-MX"/>
        </w:rPr>
        <w:t>El formato para señalar la clasificación parcial de un documento</w:t>
      </w:r>
      <w:r w:rsidRPr="009D4428">
        <w:rPr>
          <w:rFonts w:ascii="Palatino Linotype" w:hAnsi="Palatino Linotype" w:cs="Arial"/>
          <w:i/>
          <w:lang w:eastAsia="es-MX"/>
        </w:rPr>
        <w:t>, es el siguiente:</w:t>
      </w:r>
    </w:p>
    <w:p w14:paraId="2D89033A" w14:textId="77777777" w:rsidR="00E167CA" w:rsidRPr="009D4428" w:rsidRDefault="00E167CA" w:rsidP="00E167CA">
      <w:pPr>
        <w:spacing w:after="0"/>
        <w:ind w:left="709" w:right="709"/>
        <w:jc w:val="both"/>
        <w:rPr>
          <w:rFonts w:ascii="Palatino Linotype" w:hAnsi="Palatino Linotype" w:cs="Arial"/>
          <w:i/>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E167CA" w:rsidRPr="009D4428" w14:paraId="059199E9" w14:textId="77777777" w:rsidTr="00D1769B">
        <w:trPr>
          <w:jc w:val="center"/>
        </w:trPr>
        <w:tc>
          <w:tcPr>
            <w:tcW w:w="1129" w:type="dxa"/>
            <w:tcBorders>
              <w:top w:val="nil"/>
              <w:left w:val="nil"/>
              <w:bottom w:val="single" w:sz="4" w:space="0" w:color="auto"/>
              <w:right w:val="single" w:sz="4" w:space="0" w:color="auto"/>
            </w:tcBorders>
          </w:tcPr>
          <w:p w14:paraId="7C4D891B" w14:textId="77777777" w:rsidR="00E167CA" w:rsidRPr="009D4428" w:rsidRDefault="00E167CA" w:rsidP="00D1769B">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91C420" w14:textId="77777777" w:rsidR="00E167CA" w:rsidRPr="003B212E" w:rsidRDefault="00E167CA" w:rsidP="00D1769B">
            <w:pPr>
              <w:jc w:val="center"/>
              <w:rPr>
                <w:rFonts w:ascii="Palatino Linotype" w:hAnsi="Palatino Linotype"/>
                <w:b/>
                <w:i/>
              </w:rPr>
            </w:pPr>
            <w:r w:rsidRPr="003B212E">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1DC816" w14:textId="77777777" w:rsidR="00E167CA" w:rsidRPr="003B212E" w:rsidRDefault="00E167CA" w:rsidP="00D1769B">
            <w:pPr>
              <w:jc w:val="center"/>
              <w:rPr>
                <w:rFonts w:ascii="Palatino Linotype" w:hAnsi="Palatino Linotype"/>
                <w:b/>
                <w:i/>
              </w:rPr>
            </w:pPr>
            <w:r w:rsidRPr="003B212E">
              <w:rPr>
                <w:rFonts w:ascii="Palatino Linotype" w:hAnsi="Palatino Linotype"/>
                <w:b/>
                <w:i/>
              </w:rPr>
              <w:t>Dónde:</w:t>
            </w:r>
          </w:p>
        </w:tc>
      </w:tr>
      <w:tr w:rsidR="00E167CA" w:rsidRPr="009D4428" w14:paraId="01E709E2" w14:textId="77777777" w:rsidTr="00D1769B">
        <w:trPr>
          <w:jc w:val="center"/>
        </w:trPr>
        <w:tc>
          <w:tcPr>
            <w:tcW w:w="1129" w:type="dxa"/>
            <w:vMerge w:val="restart"/>
            <w:tcBorders>
              <w:top w:val="single" w:sz="4" w:space="0" w:color="auto"/>
            </w:tcBorders>
            <w:vAlign w:val="center"/>
          </w:tcPr>
          <w:p w14:paraId="3DCA2FAD"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Sello oficial o logotipo del sujeto obligado</w:t>
            </w:r>
          </w:p>
        </w:tc>
        <w:tc>
          <w:tcPr>
            <w:tcW w:w="1990" w:type="dxa"/>
            <w:tcBorders>
              <w:top w:val="single" w:sz="4" w:space="0" w:color="auto"/>
            </w:tcBorders>
          </w:tcPr>
          <w:p w14:paraId="1093C3E3"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Fecha de clasificación</w:t>
            </w:r>
          </w:p>
        </w:tc>
        <w:tc>
          <w:tcPr>
            <w:tcW w:w="4531" w:type="dxa"/>
            <w:tcBorders>
              <w:top w:val="single" w:sz="4" w:space="0" w:color="auto"/>
            </w:tcBorders>
          </w:tcPr>
          <w:p w14:paraId="0FCE8C3F"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Se anotará la fecha en la que el Comité de Transparencia confirmó la clasificación del documento, en su caso.</w:t>
            </w:r>
          </w:p>
        </w:tc>
      </w:tr>
      <w:tr w:rsidR="00E167CA" w:rsidRPr="009D4428" w14:paraId="5E6E55C8" w14:textId="77777777" w:rsidTr="00D1769B">
        <w:trPr>
          <w:jc w:val="center"/>
        </w:trPr>
        <w:tc>
          <w:tcPr>
            <w:tcW w:w="1129" w:type="dxa"/>
            <w:vMerge/>
          </w:tcPr>
          <w:p w14:paraId="1772D109" w14:textId="77777777" w:rsidR="00E167CA" w:rsidRPr="009D4428" w:rsidRDefault="00E167CA" w:rsidP="00D1769B">
            <w:pPr>
              <w:jc w:val="both"/>
              <w:rPr>
                <w:rFonts w:ascii="Palatino Linotype" w:hAnsi="Palatino Linotype" w:cs="Arial"/>
                <w:i/>
                <w:lang w:eastAsia="es-MX"/>
              </w:rPr>
            </w:pPr>
          </w:p>
        </w:tc>
        <w:tc>
          <w:tcPr>
            <w:tcW w:w="1990" w:type="dxa"/>
          </w:tcPr>
          <w:p w14:paraId="2ACA0703"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Área</w:t>
            </w:r>
          </w:p>
        </w:tc>
        <w:tc>
          <w:tcPr>
            <w:tcW w:w="4531" w:type="dxa"/>
          </w:tcPr>
          <w:p w14:paraId="237BC62C"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Se señalará el nombre del área del cual es titular quien clasifica.</w:t>
            </w:r>
          </w:p>
        </w:tc>
      </w:tr>
      <w:tr w:rsidR="00E167CA" w:rsidRPr="009D4428" w14:paraId="54ADB383" w14:textId="77777777" w:rsidTr="00D1769B">
        <w:trPr>
          <w:jc w:val="center"/>
        </w:trPr>
        <w:tc>
          <w:tcPr>
            <w:tcW w:w="1129" w:type="dxa"/>
            <w:vMerge/>
          </w:tcPr>
          <w:p w14:paraId="49DDC4A7" w14:textId="77777777" w:rsidR="00E167CA" w:rsidRPr="009D4428" w:rsidRDefault="00E167CA" w:rsidP="00D1769B">
            <w:pPr>
              <w:jc w:val="both"/>
              <w:rPr>
                <w:rFonts w:ascii="Palatino Linotype" w:hAnsi="Palatino Linotype" w:cs="Arial"/>
                <w:i/>
                <w:lang w:eastAsia="es-MX"/>
              </w:rPr>
            </w:pPr>
          </w:p>
        </w:tc>
        <w:tc>
          <w:tcPr>
            <w:tcW w:w="1990" w:type="dxa"/>
          </w:tcPr>
          <w:p w14:paraId="5BCE2331"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Información reservada</w:t>
            </w:r>
          </w:p>
        </w:tc>
        <w:tc>
          <w:tcPr>
            <w:tcW w:w="4531" w:type="dxa"/>
          </w:tcPr>
          <w:p w14:paraId="0E28F78E"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9D4428">
              <w:rPr>
                <w:rFonts w:ascii="Palatino Linotype" w:hAnsi="Palatino Linotype" w:cs="Arial"/>
                <w:i/>
                <w:lang w:eastAsia="es-MX"/>
              </w:rPr>
              <w:t>anotarán</w:t>
            </w:r>
            <w:proofErr w:type="gramEnd"/>
            <w:r w:rsidRPr="009D4428">
              <w:rPr>
                <w:rFonts w:ascii="Palatino Linotype" w:hAnsi="Palatino Linotype" w:cs="Arial"/>
                <w:i/>
                <w:lang w:eastAsia="es-MX"/>
              </w:rPr>
              <w:t xml:space="preserve"> todas las páginas que lo conforman. Si el documento no contiene información reservada, se tachará este apartado.</w:t>
            </w:r>
          </w:p>
        </w:tc>
      </w:tr>
      <w:tr w:rsidR="00E167CA" w:rsidRPr="009D4428" w14:paraId="0F09C738" w14:textId="77777777" w:rsidTr="00D1769B">
        <w:trPr>
          <w:jc w:val="center"/>
        </w:trPr>
        <w:tc>
          <w:tcPr>
            <w:tcW w:w="1129" w:type="dxa"/>
            <w:vMerge/>
          </w:tcPr>
          <w:p w14:paraId="26CC99E2" w14:textId="77777777" w:rsidR="00E167CA" w:rsidRPr="009D4428" w:rsidRDefault="00E167CA" w:rsidP="00D1769B">
            <w:pPr>
              <w:jc w:val="both"/>
              <w:rPr>
                <w:rFonts w:ascii="Palatino Linotype" w:hAnsi="Palatino Linotype" w:cs="Arial"/>
                <w:i/>
                <w:lang w:eastAsia="es-MX"/>
              </w:rPr>
            </w:pPr>
          </w:p>
        </w:tc>
        <w:tc>
          <w:tcPr>
            <w:tcW w:w="1990" w:type="dxa"/>
          </w:tcPr>
          <w:p w14:paraId="12383F28"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Periodo de reserva</w:t>
            </w:r>
          </w:p>
        </w:tc>
        <w:tc>
          <w:tcPr>
            <w:tcW w:w="4531" w:type="dxa"/>
          </w:tcPr>
          <w:p w14:paraId="12DBA306"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Se anotará el número de años o meses por los que se mantendrá el documento o las partes del mismo como reservado.</w:t>
            </w:r>
          </w:p>
        </w:tc>
      </w:tr>
      <w:tr w:rsidR="00E167CA" w:rsidRPr="009D4428" w14:paraId="40213F5C" w14:textId="77777777" w:rsidTr="00D1769B">
        <w:trPr>
          <w:jc w:val="center"/>
        </w:trPr>
        <w:tc>
          <w:tcPr>
            <w:tcW w:w="1129" w:type="dxa"/>
            <w:vMerge/>
          </w:tcPr>
          <w:p w14:paraId="052C5F01" w14:textId="77777777" w:rsidR="00E167CA" w:rsidRPr="009D4428" w:rsidRDefault="00E167CA" w:rsidP="00D1769B">
            <w:pPr>
              <w:jc w:val="both"/>
              <w:rPr>
                <w:rFonts w:ascii="Palatino Linotype" w:hAnsi="Palatino Linotype" w:cs="Arial"/>
                <w:i/>
                <w:lang w:eastAsia="es-MX"/>
              </w:rPr>
            </w:pPr>
          </w:p>
        </w:tc>
        <w:tc>
          <w:tcPr>
            <w:tcW w:w="1990" w:type="dxa"/>
          </w:tcPr>
          <w:p w14:paraId="12454A8F"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Fundamento legal</w:t>
            </w:r>
          </w:p>
        </w:tc>
        <w:tc>
          <w:tcPr>
            <w:tcW w:w="4531" w:type="dxa"/>
          </w:tcPr>
          <w:p w14:paraId="074A1556"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Se señalará el nombre del ordenamiento, el o los artículos, fracción(es), párrafo(s) con base en los cuales se sustente la reserva.</w:t>
            </w:r>
          </w:p>
        </w:tc>
      </w:tr>
      <w:tr w:rsidR="00E167CA" w:rsidRPr="009D4428" w14:paraId="0FF3A38F" w14:textId="77777777" w:rsidTr="00D1769B">
        <w:trPr>
          <w:jc w:val="center"/>
        </w:trPr>
        <w:tc>
          <w:tcPr>
            <w:tcW w:w="1129" w:type="dxa"/>
            <w:vMerge/>
          </w:tcPr>
          <w:p w14:paraId="56889253" w14:textId="77777777" w:rsidR="00E167CA" w:rsidRPr="009D4428" w:rsidRDefault="00E167CA" w:rsidP="00D1769B">
            <w:pPr>
              <w:jc w:val="both"/>
              <w:rPr>
                <w:rFonts w:ascii="Palatino Linotype" w:hAnsi="Palatino Linotype" w:cs="Arial"/>
                <w:i/>
                <w:lang w:eastAsia="es-MX"/>
              </w:rPr>
            </w:pPr>
          </w:p>
        </w:tc>
        <w:tc>
          <w:tcPr>
            <w:tcW w:w="1990" w:type="dxa"/>
          </w:tcPr>
          <w:p w14:paraId="50625531"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Ampliación del periodo de reserva</w:t>
            </w:r>
          </w:p>
        </w:tc>
        <w:tc>
          <w:tcPr>
            <w:tcW w:w="4531" w:type="dxa"/>
          </w:tcPr>
          <w:p w14:paraId="676B06E0"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E167CA" w:rsidRPr="009D4428" w14:paraId="25ED9E86" w14:textId="77777777" w:rsidTr="00D1769B">
        <w:trPr>
          <w:jc w:val="center"/>
        </w:trPr>
        <w:tc>
          <w:tcPr>
            <w:tcW w:w="1129" w:type="dxa"/>
            <w:vMerge/>
          </w:tcPr>
          <w:p w14:paraId="10D652CF" w14:textId="77777777" w:rsidR="00E167CA" w:rsidRPr="009D4428" w:rsidRDefault="00E167CA" w:rsidP="00D1769B">
            <w:pPr>
              <w:jc w:val="both"/>
              <w:rPr>
                <w:rFonts w:ascii="Palatino Linotype" w:hAnsi="Palatino Linotype" w:cs="Arial"/>
                <w:i/>
                <w:lang w:eastAsia="es-MX"/>
              </w:rPr>
            </w:pPr>
          </w:p>
        </w:tc>
        <w:tc>
          <w:tcPr>
            <w:tcW w:w="1990" w:type="dxa"/>
          </w:tcPr>
          <w:p w14:paraId="093388F9" w14:textId="77777777" w:rsidR="00E167CA" w:rsidRPr="009D4428" w:rsidRDefault="00E167CA" w:rsidP="00D1769B">
            <w:pPr>
              <w:jc w:val="center"/>
              <w:rPr>
                <w:rFonts w:ascii="Palatino Linotype" w:hAnsi="Palatino Linotype" w:cs="Arial"/>
                <w:i/>
                <w:u w:val="single"/>
                <w:lang w:eastAsia="es-MX"/>
              </w:rPr>
            </w:pPr>
            <w:r w:rsidRPr="009D4428">
              <w:rPr>
                <w:rFonts w:ascii="Palatino Linotype" w:hAnsi="Palatino Linotype" w:cs="Arial"/>
                <w:i/>
                <w:u w:val="single"/>
                <w:lang w:eastAsia="es-MX"/>
              </w:rPr>
              <w:t>Confidencial</w:t>
            </w:r>
          </w:p>
        </w:tc>
        <w:tc>
          <w:tcPr>
            <w:tcW w:w="4531" w:type="dxa"/>
          </w:tcPr>
          <w:p w14:paraId="191A6DA9"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 xml:space="preserve">Se indicarán, en su caso, las partes o páginas del documento que se clasifica como confidencial. </w:t>
            </w:r>
            <w:r w:rsidRPr="009D4428">
              <w:rPr>
                <w:rFonts w:ascii="Palatino Linotype" w:hAnsi="Palatino Linotype" w:cs="Arial"/>
                <w:i/>
                <w:u w:val="single"/>
                <w:lang w:eastAsia="es-MX"/>
              </w:rPr>
              <w:t>Si el documento fuera confidencial en su totalidad, se anotarán todas las páginas que lo conforman</w:t>
            </w:r>
            <w:r w:rsidRPr="009D4428">
              <w:rPr>
                <w:rFonts w:ascii="Palatino Linotype" w:hAnsi="Palatino Linotype" w:cs="Arial"/>
                <w:i/>
                <w:lang w:eastAsia="es-MX"/>
              </w:rPr>
              <w:t>. Si el documento no contiene información confidencial, se tachará este apartado.</w:t>
            </w:r>
          </w:p>
        </w:tc>
      </w:tr>
      <w:tr w:rsidR="00E167CA" w:rsidRPr="009D4428" w14:paraId="0EB76845" w14:textId="77777777" w:rsidTr="00D1769B">
        <w:trPr>
          <w:jc w:val="center"/>
        </w:trPr>
        <w:tc>
          <w:tcPr>
            <w:tcW w:w="1129" w:type="dxa"/>
            <w:vMerge/>
          </w:tcPr>
          <w:p w14:paraId="27E74203" w14:textId="77777777" w:rsidR="00E167CA" w:rsidRPr="009D4428" w:rsidRDefault="00E167CA" w:rsidP="00D1769B">
            <w:pPr>
              <w:jc w:val="both"/>
              <w:rPr>
                <w:rFonts w:ascii="Palatino Linotype" w:hAnsi="Palatino Linotype" w:cs="Arial"/>
                <w:i/>
                <w:lang w:eastAsia="es-MX"/>
              </w:rPr>
            </w:pPr>
          </w:p>
        </w:tc>
        <w:tc>
          <w:tcPr>
            <w:tcW w:w="1990" w:type="dxa"/>
          </w:tcPr>
          <w:p w14:paraId="6DDC43EE"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Fundamento legal</w:t>
            </w:r>
          </w:p>
        </w:tc>
        <w:tc>
          <w:tcPr>
            <w:tcW w:w="4531" w:type="dxa"/>
          </w:tcPr>
          <w:p w14:paraId="3626EF4F"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Se señalará el nombre del ordenamiento, el o los artículos, fracción(es), párrafo(s) con base en los cuales se sustente la confidencialidad.</w:t>
            </w:r>
          </w:p>
        </w:tc>
      </w:tr>
      <w:tr w:rsidR="00E167CA" w:rsidRPr="009D4428" w14:paraId="33A0FE0C" w14:textId="77777777" w:rsidTr="00D1769B">
        <w:trPr>
          <w:jc w:val="center"/>
        </w:trPr>
        <w:tc>
          <w:tcPr>
            <w:tcW w:w="1129" w:type="dxa"/>
            <w:vMerge/>
          </w:tcPr>
          <w:p w14:paraId="2D27C5E1" w14:textId="77777777" w:rsidR="00E167CA" w:rsidRPr="009D4428" w:rsidRDefault="00E167CA" w:rsidP="00D1769B">
            <w:pPr>
              <w:jc w:val="both"/>
              <w:rPr>
                <w:rFonts w:ascii="Palatino Linotype" w:hAnsi="Palatino Linotype" w:cs="Arial"/>
                <w:i/>
                <w:lang w:eastAsia="es-MX"/>
              </w:rPr>
            </w:pPr>
          </w:p>
        </w:tc>
        <w:tc>
          <w:tcPr>
            <w:tcW w:w="1990" w:type="dxa"/>
          </w:tcPr>
          <w:p w14:paraId="69DF2606"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Rúbrica del titular del área</w:t>
            </w:r>
          </w:p>
        </w:tc>
        <w:tc>
          <w:tcPr>
            <w:tcW w:w="4531" w:type="dxa"/>
          </w:tcPr>
          <w:p w14:paraId="30C2937D"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Rúbrica autógrafa de quien clasifica.</w:t>
            </w:r>
          </w:p>
        </w:tc>
      </w:tr>
      <w:tr w:rsidR="00E167CA" w:rsidRPr="009D4428" w14:paraId="53542FCE" w14:textId="77777777" w:rsidTr="00D1769B">
        <w:trPr>
          <w:jc w:val="center"/>
        </w:trPr>
        <w:tc>
          <w:tcPr>
            <w:tcW w:w="1129" w:type="dxa"/>
            <w:vMerge/>
          </w:tcPr>
          <w:p w14:paraId="423EF1D1" w14:textId="77777777" w:rsidR="00E167CA" w:rsidRPr="009D4428" w:rsidRDefault="00E167CA" w:rsidP="00D1769B">
            <w:pPr>
              <w:jc w:val="both"/>
              <w:rPr>
                <w:rFonts w:ascii="Palatino Linotype" w:hAnsi="Palatino Linotype" w:cs="Arial"/>
                <w:i/>
                <w:lang w:eastAsia="es-MX"/>
              </w:rPr>
            </w:pPr>
          </w:p>
        </w:tc>
        <w:tc>
          <w:tcPr>
            <w:tcW w:w="1990" w:type="dxa"/>
          </w:tcPr>
          <w:p w14:paraId="03CFC881"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Fecha de desclasificación</w:t>
            </w:r>
          </w:p>
        </w:tc>
        <w:tc>
          <w:tcPr>
            <w:tcW w:w="4531" w:type="dxa"/>
          </w:tcPr>
          <w:p w14:paraId="554BADB7" w14:textId="77777777" w:rsidR="00E167CA" w:rsidRPr="009D4428" w:rsidRDefault="00E167CA" w:rsidP="00D1769B">
            <w:pPr>
              <w:jc w:val="both"/>
              <w:rPr>
                <w:rFonts w:ascii="Palatino Linotype" w:hAnsi="Palatino Linotype" w:cs="Arial"/>
                <w:i/>
                <w:lang w:eastAsia="es-MX"/>
              </w:rPr>
            </w:pPr>
            <w:r w:rsidRPr="009D4428">
              <w:rPr>
                <w:rFonts w:ascii="Palatino Linotype" w:hAnsi="Palatino Linotype" w:cs="Arial"/>
                <w:i/>
                <w:lang w:eastAsia="es-MX"/>
              </w:rPr>
              <w:t>Se anotará la fecha en que se desclasifica el documento.</w:t>
            </w:r>
          </w:p>
        </w:tc>
      </w:tr>
      <w:tr w:rsidR="00E167CA" w:rsidRPr="009D4428" w14:paraId="7614F3D2" w14:textId="77777777" w:rsidTr="00D1769B">
        <w:trPr>
          <w:jc w:val="center"/>
        </w:trPr>
        <w:tc>
          <w:tcPr>
            <w:tcW w:w="1129" w:type="dxa"/>
            <w:vMerge/>
          </w:tcPr>
          <w:p w14:paraId="5FBAC202" w14:textId="77777777" w:rsidR="00E167CA" w:rsidRPr="009D4428" w:rsidRDefault="00E167CA" w:rsidP="00D1769B">
            <w:pPr>
              <w:jc w:val="both"/>
              <w:rPr>
                <w:rFonts w:ascii="Palatino Linotype" w:hAnsi="Palatino Linotype" w:cs="Arial"/>
                <w:i/>
                <w:lang w:eastAsia="es-MX"/>
              </w:rPr>
            </w:pPr>
          </w:p>
        </w:tc>
        <w:tc>
          <w:tcPr>
            <w:tcW w:w="1990" w:type="dxa"/>
          </w:tcPr>
          <w:p w14:paraId="1AB1AE35" w14:textId="77777777" w:rsidR="00E167CA" w:rsidRPr="009D4428" w:rsidRDefault="00E167CA" w:rsidP="00D1769B">
            <w:pPr>
              <w:jc w:val="center"/>
              <w:rPr>
                <w:rFonts w:ascii="Palatino Linotype" w:hAnsi="Palatino Linotype" w:cs="Arial"/>
                <w:i/>
                <w:lang w:eastAsia="es-MX"/>
              </w:rPr>
            </w:pPr>
            <w:r w:rsidRPr="009D4428">
              <w:rPr>
                <w:rFonts w:ascii="Palatino Linotype" w:hAnsi="Palatino Linotype" w:cs="Arial"/>
                <w:i/>
                <w:lang w:eastAsia="es-MX"/>
              </w:rPr>
              <w:t>Rúbrica y cargo del servidor público</w:t>
            </w:r>
          </w:p>
        </w:tc>
        <w:tc>
          <w:tcPr>
            <w:tcW w:w="4531" w:type="dxa"/>
            <w:vAlign w:val="center"/>
          </w:tcPr>
          <w:p w14:paraId="2D74D4D0" w14:textId="77777777" w:rsidR="00E167CA" w:rsidRPr="009D4428" w:rsidRDefault="00E167CA" w:rsidP="00D1769B">
            <w:pPr>
              <w:rPr>
                <w:rFonts w:ascii="Palatino Linotype" w:hAnsi="Palatino Linotype" w:cs="Arial"/>
                <w:i/>
                <w:lang w:eastAsia="es-MX"/>
              </w:rPr>
            </w:pPr>
            <w:r w:rsidRPr="009D4428">
              <w:rPr>
                <w:rFonts w:ascii="Palatino Linotype" w:hAnsi="Palatino Linotype" w:cs="Arial"/>
                <w:i/>
                <w:lang w:eastAsia="es-MX"/>
              </w:rPr>
              <w:t>Rúbrica autógrafa de quien desclasifica.</w:t>
            </w:r>
          </w:p>
        </w:tc>
      </w:tr>
    </w:tbl>
    <w:p w14:paraId="1CDAAB57" w14:textId="77777777" w:rsidR="00E167CA" w:rsidRDefault="00E167CA" w:rsidP="00E167CA">
      <w:pPr>
        <w:pStyle w:val="Sinespaciado"/>
      </w:pPr>
    </w:p>
    <w:p w14:paraId="0BEBD963" w14:textId="77777777" w:rsidR="00E167CA" w:rsidRDefault="00E167CA" w:rsidP="00E167CA">
      <w:pPr>
        <w:spacing w:after="0" w:line="360" w:lineRule="auto"/>
        <w:jc w:val="both"/>
        <w:rPr>
          <w:rFonts w:ascii="Palatino Linotype" w:hAnsi="Palatino Linotype" w:cs="Arial"/>
          <w:sz w:val="24"/>
        </w:rPr>
      </w:pPr>
    </w:p>
    <w:p w14:paraId="71FF67F4" w14:textId="77777777" w:rsidR="00E167CA" w:rsidRDefault="00E167CA" w:rsidP="00E167CA">
      <w:pPr>
        <w:spacing w:after="0" w:line="360" w:lineRule="auto"/>
        <w:jc w:val="both"/>
        <w:rPr>
          <w:rFonts w:ascii="Palatino Linotype" w:hAnsi="Palatino Linotype" w:cs="Arial"/>
          <w:sz w:val="24"/>
        </w:rPr>
      </w:pPr>
      <w:r w:rsidRPr="00E82890">
        <w:rPr>
          <w:rFonts w:ascii="Palatino Linotype" w:hAnsi="Palatino Linotype" w:cs="Arial"/>
          <w:sz w:val="24"/>
        </w:rPr>
        <w:t>Por lo tanto,</w:t>
      </w:r>
      <w:r w:rsidRPr="00E82890">
        <w:rPr>
          <w:rFonts w:ascii="Palatino Linotype" w:hAnsi="Palatino Linotype"/>
          <w:sz w:val="24"/>
        </w:rPr>
        <w:t xml:space="preserve"> es importante referir que el</w:t>
      </w:r>
      <w:r w:rsidRPr="00E82890">
        <w:rPr>
          <w:rFonts w:ascii="Palatino Linotype" w:hAnsi="Palatino Linotype"/>
          <w:b/>
          <w:sz w:val="24"/>
        </w:rPr>
        <w:t xml:space="preserve"> Sujeto Obligado</w:t>
      </w:r>
      <w:r w:rsidRPr="00E82890">
        <w:rPr>
          <w:rFonts w:ascii="Palatino Linotype" w:hAnsi="Palatino Linotype"/>
          <w:sz w:val="24"/>
        </w:rPr>
        <w:t xml:space="preserve"> deberá seguir el procedimiento legal establecido para su </w:t>
      </w:r>
      <w:r w:rsidRPr="00E82890">
        <w:rPr>
          <w:rFonts w:ascii="Palatino Linotype" w:hAnsi="Palatino Linotype"/>
          <w:sz w:val="24"/>
          <w:lang w:eastAsia="es-MX"/>
        </w:rPr>
        <w:t>clasificación</w:t>
      </w:r>
      <w:r w:rsidRPr="00E82890">
        <w:rPr>
          <w:rFonts w:ascii="Palatino Linotype" w:hAnsi="Palatino Linotype"/>
          <w:sz w:val="24"/>
        </w:rPr>
        <w:t>, esto es, que su Comité de</w:t>
      </w:r>
      <w:r w:rsidRPr="00E82890">
        <w:rPr>
          <w:rFonts w:ascii="Palatino Linotype" w:hAnsi="Palatino Linotype" w:cs="Arial"/>
          <w:sz w:val="24"/>
        </w:rPr>
        <w:t xml:space="preserve"> Transparencia emita </w:t>
      </w:r>
      <w:r w:rsidRPr="00E82890">
        <w:rPr>
          <w:rFonts w:ascii="Palatino Linotype" w:hAnsi="Palatino Linotype" w:cs="Arial"/>
          <w:sz w:val="24"/>
          <w:lang w:val="es-ES_tradnl"/>
        </w:rPr>
        <w:t>un</w:t>
      </w:r>
      <w:r w:rsidRPr="00E82890">
        <w:rPr>
          <w:rFonts w:ascii="Palatino Linotype" w:hAnsi="Palatino Linotype" w:cs="Arial"/>
          <w:sz w:val="24"/>
        </w:rPr>
        <w:t xml:space="preserve"> Acuerdo de Clasificación que cumpla con las formalidades antes citadas</w:t>
      </w:r>
      <w:r w:rsidRPr="00E82890">
        <w:rPr>
          <w:rFonts w:ascii="Palatino Linotype" w:hAnsi="Palatino Linotype" w:cs="Arial"/>
          <w:b/>
          <w:sz w:val="24"/>
        </w:rPr>
        <w:t xml:space="preserve"> </w:t>
      </w:r>
      <w:r w:rsidRPr="00E82890">
        <w:rPr>
          <w:rFonts w:ascii="Palatino Linotype" w:hAnsi="Palatino Linotype" w:cs="Arial"/>
          <w:sz w:val="24"/>
        </w:rPr>
        <w:t xml:space="preserve">que la sustente, en el </w:t>
      </w:r>
      <w:r w:rsidRPr="00E82890">
        <w:rPr>
          <w:rFonts w:ascii="Palatino Linotype" w:hAnsi="Palatino Linotype" w:cs="Arial"/>
          <w:sz w:val="24"/>
          <w:lang w:eastAsia="es-MX"/>
        </w:rPr>
        <w:t>que</w:t>
      </w:r>
      <w:r w:rsidRPr="00E82890">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E82890">
        <w:rPr>
          <w:rFonts w:ascii="Palatino Linotype" w:hAnsi="Palatino Linotype" w:cs="Arial"/>
          <w:sz w:val="24"/>
        </w:rPr>
        <w:lastRenderedPageBreak/>
        <w:t>puntual las razones de ello se estaría violentando el Derecho de Acceso a la Información del solicitante.</w:t>
      </w:r>
    </w:p>
    <w:p w14:paraId="004E8CD7" w14:textId="77777777" w:rsidR="007A1035" w:rsidRDefault="007A1035" w:rsidP="00E167CA">
      <w:pPr>
        <w:spacing w:after="0" w:line="360" w:lineRule="auto"/>
        <w:jc w:val="both"/>
        <w:rPr>
          <w:rFonts w:ascii="Palatino Linotype" w:hAnsi="Palatino Linotype" w:cs="Arial"/>
          <w:sz w:val="24"/>
        </w:rPr>
      </w:pPr>
    </w:p>
    <w:p w14:paraId="404CA8C9" w14:textId="77777777" w:rsidR="00E167CA" w:rsidRPr="00FA40A7" w:rsidRDefault="00E167CA" w:rsidP="00E167CA">
      <w:pPr>
        <w:pStyle w:val="Prrafodelista"/>
        <w:numPr>
          <w:ilvl w:val="0"/>
          <w:numId w:val="2"/>
        </w:numPr>
        <w:autoSpaceDE w:val="0"/>
        <w:autoSpaceDN w:val="0"/>
        <w:adjustRightInd w:val="0"/>
        <w:spacing w:line="360" w:lineRule="auto"/>
        <w:ind w:left="567" w:hanging="283"/>
        <w:jc w:val="both"/>
        <w:rPr>
          <w:rFonts w:ascii="Palatino Linotype" w:hAnsi="Palatino Linotype"/>
          <w:b/>
          <w:i/>
          <w:sz w:val="28"/>
          <w:u w:val="single"/>
        </w:rPr>
      </w:pPr>
      <w:r w:rsidRPr="00FA40A7">
        <w:rPr>
          <w:rFonts w:ascii="Palatino Linotype" w:hAnsi="Palatino Linotype"/>
          <w:b/>
          <w:i/>
          <w:sz w:val="28"/>
          <w:u w:val="single"/>
        </w:rPr>
        <w:t xml:space="preserve">Vista al Órgano de Control Interno. </w:t>
      </w:r>
    </w:p>
    <w:p w14:paraId="57F40581" w14:textId="77777777" w:rsidR="00E167CA" w:rsidRDefault="00E167CA" w:rsidP="00E167C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7840193" w14:textId="77777777" w:rsidR="00E167CA" w:rsidRDefault="00E167CA" w:rsidP="00E167CA">
      <w:pPr>
        <w:tabs>
          <w:tab w:val="left" w:pos="709"/>
        </w:tabs>
        <w:spacing w:after="0" w:line="360" w:lineRule="auto"/>
        <w:jc w:val="both"/>
        <w:rPr>
          <w:rFonts w:ascii="Palatino Linotype" w:hAnsi="Palatino Linotype"/>
          <w:sz w:val="12"/>
          <w:szCs w:val="24"/>
        </w:rPr>
      </w:pPr>
    </w:p>
    <w:p w14:paraId="2E3D4AD5" w14:textId="77777777" w:rsidR="00E167CA" w:rsidRDefault="00E167CA" w:rsidP="00E167C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06C8C79" w14:textId="77777777" w:rsidR="00E167CA" w:rsidRDefault="00E167CA" w:rsidP="00E167CA">
      <w:pPr>
        <w:tabs>
          <w:tab w:val="left" w:pos="709"/>
        </w:tabs>
        <w:spacing w:after="0" w:line="360" w:lineRule="auto"/>
        <w:jc w:val="both"/>
        <w:rPr>
          <w:rFonts w:ascii="Palatino Linotype" w:hAnsi="Palatino Linotype"/>
          <w:sz w:val="14"/>
          <w:szCs w:val="24"/>
        </w:rPr>
      </w:pPr>
    </w:p>
    <w:p w14:paraId="5F55AF2F"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36</w:t>
      </w:r>
      <w:r>
        <w:rPr>
          <w:rFonts w:ascii="Palatino Linotype" w:hAnsi="Palatino Linotype"/>
          <w:i/>
          <w:szCs w:val="24"/>
        </w:rPr>
        <w:t>. El Instituto tendrá, en el ámbito de su competencia, las siguientes atribuciones:</w:t>
      </w:r>
    </w:p>
    <w:p w14:paraId="752E84E0"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14AC72C6"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X</w:t>
      </w:r>
      <w:r>
        <w:rPr>
          <w:rFonts w:ascii="Palatino Linotype" w:hAnsi="Palatino Linotype"/>
          <w:i/>
          <w:szCs w:val="24"/>
        </w:rPr>
        <w:t xml:space="preserve">. Hacer del conocimiento del órgano de control interno o equivalente de cada Sujeto Obligado las infracciones a esta Ley; </w:t>
      </w:r>
    </w:p>
    <w:p w14:paraId="36BBD0E6"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5E49DF85" w14:textId="77777777" w:rsidR="00E167CA" w:rsidRDefault="00E167CA" w:rsidP="00E167CA">
      <w:pPr>
        <w:tabs>
          <w:tab w:val="left" w:pos="709"/>
        </w:tabs>
        <w:spacing w:after="0" w:line="360" w:lineRule="auto"/>
        <w:jc w:val="both"/>
        <w:rPr>
          <w:rFonts w:ascii="Palatino Linotype" w:hAnsi="Palatino Linotype"/>
          <w:sz w:val="16"/>
          <w:szCs w:val="24"/>
        </w:rPr>
      </w:pPr>
    </w:p>
    <w:p w14:paraId="5310D498" w14:textId="77777777" w:rsidR="00E167CA" w:rsidRDefault="00E167CA" w:rsidP="00E167C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47B8BEE8" w14:textId="77777777" w:rsidR="00E167CA" w:rsidRDefault="00E167CA" w:rsidP="00E167CA">
      <w:pPr>
        <w:tabs>
          <w:tab w:val="left" w:pos="709"/>
        </w:tabs>
        <w:spacing w:after="0" w:line="360" w:lineRule="auto"/>
        <w:jc w:val="both"/>
        <w:rPr>
          <w:rFonts w:ascii="Palatino Linotype" w:hAnsi="Palatino Linotype"/>
          <w:sz w:val="18"/>
          <w:szCs w:val="24"/>
        </w:rPr>
      </w:pPr>
    </w:p>
    <w:p w14:paraId="1580B582"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190</w:t>
      </w:r>
      <w:r>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5BFECEF" w14:textId="77777777" w:rsidR="00E167CA" w:rsidRDefault="00E167CA" w:rsidP="00E167CA">
      <w:pPr>
        <w:tabs>
          <w:tab w:val="left" w:pos="709"/>
        </w:tabs>
        <w:spacing w:after="0" w:line="240" w:lineRule="auto"/>
        <w:ind w:left="567" w:right="567"/>
        <w:jc w:val="both"/>
        <w:rPr>
          <w:rFonts w:ascii="Palatino Linotype" w:hAnsi="Palatino Linotype"/>
          <w:i/>
          <w:szCs w:val="24"/>
        </w:rPr>
      </w:pPr>
    </w:p>
    <w:p w14:paraId="2EF142D9"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222</w:t>
      </w:r>
      <w:r>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89E573F"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6D85F29C"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 Cualquier acto u omisión que provoque la suspensión o deficiencia en la atención de las solicitudes de información;</w:t>
      </w:r>
    </w:p>
    <w:p w14:paraId="46B94C13"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II. La falta de respuesta a las solicitudes de información en los plazos señalados en la normatividad aplicable;</w:t>
      </w:r>
    </w:p>
    <w:p w14:paraId="4DA8430D"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4B2134DF" w14:textId="77777777" w:rsidR="00E167CA" w:rsidRDefault="00E167CA" w:rsidP="00E167CA">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223</w:t>
      </w:r>
      <w:r>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3F61F1C" w14:textId="77777777" w:rsidR="00E167CA" w:rsidRDefault="00E167CA" w:rsidP="00E167CA">
      <w:pPr>
        <w:spacing w:after="0" w:line="360" w:lineRule="auto"/>
        <w:jc w:val="both"/>
        <w:rPr>
          <w:rFonts w:ascii="Palatino Linotype" w:hAnsi="Palatino Linotype"/>
          <w:bCs/>
          <w:sz w:val="24"/>
          <w:szCs w:val="24"/>
        </w:rPr>
      </w:pPr>
    </w:p>
    <w:p w14:paraId="241455AE" w14:textId="77777777" w:rsidR="00E167CA" w:rsidRDefault="00E167CA" w:rsidP="00E167CA">
      <w:pPr>
        <w:spacing w:after="0" w:line="360" w:lineRule="auto"/>
        <w:jc w:val="both"/>
        <w:rPr>
          <w:rFonts w:ascii="Palatino Linotype" w:hAnsi="Palatino Linotype"/>
          <w:bCs/>
          <w:sz w:val="24"/>
          <w:szCs w:val="24"/>
        </w:rPr>
      </w:pPr>
      <w:r>
        <w:rPr>
          <w:rFonts w:ascii="Palatino Linotype" w:hAnsi="Palatino Linotype"/>
          <w:bCs/>
          <w:sz w:val="24"/>
          <w:szCs w:val="24"/>
        </w:rPr>
        <w:t xml:space="preserve">De ahí que deba arribarse a las siguientes consideraciones: </w:t>
      </w:r>
    </w:p>
    <w:p w14:paraId="1DA144F3" w14:textId="0A08CE2F" w:rsidR="005C7EF5" w:rsidRPr="005C7EF5" w:rsidRDefault="00E167CA" w:rsidP="00E167CA">
      <w:pPr>
        <w:pStyle w:val="Prrafodelista"/>
        <w:numPr>
          <w:ilvl w:val="0"/>
          <w:numId w:val="1"/>
        </w:numPr>
        <w:tabs>
          <w:tab w:val="left" w:pos="709"/>
        </w:tabs>
        <w:spacing w:line="360" w:lineRule="auto"/>
        <w:contextualSpacing/>
        <w:jc w:val="both"/>
        <w:rPr>
          <w:rFonts w:ascii="Palatino Linotype" w:hAnsi="Palatino Linotype"/>
        </w:rPr>
      </w:pPr>
      <w:r w:rsidRPr="005C7EF5">
        <w:rPr>
          <w:rFonts w:ascii="Palatino Linotype" w:hAnsi="Palatino Linotype"/>
          <w:bCs/>
        </w:rPr>
        <w:t xml:space="preserve">A través del derecho de acceso a la información pública se requirió que se informe sobre </w:t>
      </w:r>
      <w:r w:rsidR="005C7EF5">
        <w:rPr>
          <w:rFonts w:ascii="Palatino Linotype" w:hAnsi="Palatino Linotype"/>
          <w:bCs/>
        </w:rPr>
        <w:t xml:space="preserve">los </w:t>
      </w:r>
      <w:r w:rsidR="005C7EF5" w:rsidRPr="005C7EF5">
        <w:rPr>
          <w:rFonts w:ascii="Palatino Linotype" w:hAnsi="Palatino Linotype"/>
          <w:bCs/>
        </w:rPr>
        <w:t>permisos para la excavación, demolición, construcción del predio</w:t>
      </w:r>
      <w:r w:rsidR="005C7EF5">
        <w:rPr>
          <w:rFonts w:ascii="Palatino Linotype" w:hAnsi="Palatino Linotype"/>
          <w:bCs/>
        </w:rPr>
        <w:t xml:space="preserve"> señalado en la solicitud de información.</w:t>
      </w:r>
    </w:p>
    <w:p w14:paraId="00D39D81" w14:textId="18C440EF" w:rsidR="00E167CA" w:rsidRPr="005C7EF5" w:rsidRDefault="00E167CA" w:rsidP="00E167CA">
      <w:pPr>
        <w:pStyle w:val="Prrafodelista"/>
        <w:numPr>
          <w:ilvl w:val="0"/>
          <w:numId w:val="1"/>
        </w:numPr>
        <w:tabs>
          <w:tab w:val="left" w:pos="709"/>
        </w:tabs>
        <w:spacing w:line="360" w:lineRule="auto"/>
        <w:contextualSpacing/>
        <w:jc w:val="both"/>
        <w:rPr>
          <w:rFonts w:ascii="Palatino Linotype" w:hAnsi="Palatino Linotype"/>
        </w:rPr>
      </w:pPr>
      <w:r w:rsidRPr="005C7EF5">
        <w:rPr>
          <w:rFonts w:ascii="Palatino Linotype" w:hAnsi="Palatino Linotype"/>
        </w:rPr>
        <w:t xml:space="preserve">No brindo respuesta en tiempo y forma, sin </w:t>
      </w:r>
      <w:r w:rsidR="005C7EF5" w:rsidRPr="005C7EF5">
        <w:rPr>
          <w:rFonts w:ascii="Palatino Linotype" w:hAnsi="Palatino Linotype"/>
        </w:rPr>
        <w:t>embargo,</w:t>
      </w:r>
      <w:r w:rsidRPr="005C7EF5">
        <w:rPr>
          <w:rFonts w:ascii="Palatino Linotype" w:hAnsi="Palatino Linotype"/>
        </w:rPr>
        <w:t xml:space="preserve"> si se advierte que se turnó a un área que pudiera contar la información, sin </w:t>
      </w:r>
      <w:r w:rsidR="005B7A62" w:rsidRPr="005C7EF5">
        <w:rPr>
          <w:rFonts w:ascii="Palatino Linotype" w:hAnsi="Palatino Linotype"/>
        </w:rPr>
        <w:t>embargo,</w:t>
      </w:r>
      <w:r w:rsidRPr="005C7EF5">
        <w:rPr>
          <w:rFonts w:ascii="Palatino Linotype" w:hAnsi="Palatino Linotype"/>
        </w:rPr>
        <w:t xml:space="preserve"> est</w:t>
      </w:r>
      <w:r w:rsidR="005C7EF5">
        <w:rPr>
          <w:rFonts w:ascii="Palatino Linotype" w:hAnsi="Palatino Linotype"/>
        </w:rPr>
        <w:t>á</w:t>
      </w:r>
      <w:r w:rsidRPr="005C7EF5">
        <w:rPr>
          <w:rFonts w:ascii="Palatino Linotype" w:hAnsi="Palatino Linotype"/>
        </w:rPr>
        <w:t xml:space="preserve"> no proporcionó respuesta alguna, configurándose una negativa a proporcionar la información.</w:t>
      </w:r>
    </w:p>
    <w:p w14:paraId="514E00B4" w14:textId="5A19A2D1" w:rsidR="00E167CA" w:rsidRDefault="00E167CA" w:rsidP="00E167CA">
      <w:pPr>
        <w:pStyle w:val="Prrafodelista"/>
        <w:numPr>
          <w:ilvl w:val="0"/>
          <w:numId w:val="1"/>
        </w:numPr>
        <w:spacing w:line="360" w:lineRule="auto"/>
        <w:contextualSpacing/>
        <w:jc w:val="both"/>
        <w:rPr>
          <w:rFonts w:ascii="Palatino Linotype" w:hAnsi="Palatino Linotype"/>
        </w:rPr>
      </w:pPr>
      <w:r>
        <w:rPr>
          <w:rFonts w:ascii="Palatino Linotype" w:eastAsia="MS Mincho" w:hAnsi="Palatino Linotype"/>
        </w:rPr>
        <w:lastRenderedPageBreak/>
        <w:t xml:space="preserve">De una interpretación sistemática a diversa normatividad que es aplicable al Sujeto Obligado, se determinó que existen obligaciones que el Ayuntamiento de </w:t>
      </w:r>
      <w:r w:rsidR="005C7EF5">
        <w:rPr>
          <w:rFonts w:ascii="Palatino Linotype" w:eastAsia="MS Mincho" w:hAnsi="Palatino Linotype"/>
        </w:rPr>
        <w:t>Naucalpan de Juárez</w:t>
      </w:r>
      <w:r>
        <w:rPr>
          <w:rFonts w:ascii="Palatino Linotype" w:eastAsia="MS Mincho" w:hAnsi="Palatino Linotype"/>
        </w:rPr>
        <w:t xml:space="preserve"> debe cumplir y donde puede constar la información solicitada por el particular.</w:t>
      </w:r>
    </w:p>
    <w:p w14:paraId="387DE4FD" w14:textId="77777777" w:rsidR="00E167CA" w:rsidRDefault="00E167CA" w:rsidP="00E167CA">
      <w:pPr>
        <w:pStyle w:val="Prrafodelista"/>
        <w:spacing w:line="360" w:lineRule="auto"/>
        <w:ind w:left="720"/>
        <w:contextualSpacing/>
        <w:jc w:val="both"/>
        <w:rPr>
          <w:rFonts w:ascii="Palatino Linotype" w:hAnsi="Palatino Linotype"/>
        </w:rPr>
      </w:pPr>
    </w:p>
    <w:p w14:paraId="50C69CEB" w14:textId="0799745E" w:rsidR="00E167CA" w:rsidRDefault="00EA1D4A" w:rsidP="00E167CA">
      <w:pPr>
        <w:spacing w:after="0" w:line="360" w:lineRule="auto"/>
        <w:jc w:val="both"/>
        <w:rPr>
          <w:rFonts w:ascii="Palatino Linotype" w:hAnsi="Palatino Linotype"/>
          <w:sz w:val="24"/>
          <w:szCs w:val="24"/>
        </w:rPr>
      </w:pPr>
      <w:bookmarkStart w:id="2" w:name="_Hlk88228096"/>
      <w:r>
        <w:rPr>
          <w:rFonts w:ascii="Palatino Linotype" w:hAnsi="Palatino Linotype" w:cs="Arial"/>
          <w:sz w:val="24"/>
          <w:szCs w:val="24"/>
          <w:lang w:eastAsia="es-MX"/>
        </w:rPr>
        <w:t>Final</w:t>
      </w:r>
      <w:r>
        <w:rPr>
          <w:rFonts w:ascii="Palatino Linotype" w:hAnsi="Palatino Linotype"/>
          <w:sz w:val="24"/>
          <w:szCs w:val="24"/>
        </w:rPr>
        <w:t>mente,</w:t>
      </w:r>
      <w:r w:rsidR="00E167CA">
        <w:rPr>
          <w:rFonts w:ascii="Palatino Linotype" w:hAnsi="Palatino Linotype"/>
          <w:sz w:val="24"/>
          <w:szCs w:val="24"/>
        </w:rPr>
        <w:t xml:space="preserve"> y en mérito de lo expuesto en líneas anteriores, resultan fundados los motivos de inconformidad vertidos por el Recurrente, por ello con fundamento en el artículo 186 fracción IV de la Ley de Transparencia y Acceso a la Información Pública del Estado de México y Municipios, se ordena de respuesta a la solicitud de información </w:t>
      </w:r>
      <w:r w:rsidR="005C7EF5" w:rsidRPr="005C7EF5">
        <w:rPr>
          <w:rFonts w:ascii="Palatino Linotype" w:hAnsi="Palatino Linotype" w:cs="Arial"/>
          <w:b/>
          <w:sz w:val="24"/>
          <w:szCs w:val="24"/>
        </w:rPr>
        <w:t>00861/NAUCALPA/IP/2021</w:t>
      </w:r>
      <w:r w:rsidR="00E167CA">
        <w:rPr>
          <w:rFonts w:ascii="Palatino Linotype" w:hAnsi="Palatino Linotype" w:cs="Arial"/>
          <w:b/>
          <w:sz w:val="24"/>
          <w:szCs w:val="24"/>
        </w:rPr>
        <w:t xml:space="preserve">, </w:t>
      </w:r>
      <w:r w:rsidR="00E167CA">
        <w:rPr>
          <w:rFonts w:ascii="Palatino Linotype" w:hAnsi="Palatino Linotype"/>
          <w:sz w:val="24"/>
          <w:szCs w:val="24"/>
        </w:rPr>
        <w:t>que han sido materia del presente fallo.</w:t>
      </w:r>
      <w:bookmarkEnd w:id="2"/>
    </w:p>
    <w:p w14:paraId="6E7EC97F" w14:textId="77777777" w:rsidR="00E167CA" w:rsidRDefault="00E167CA" w:rsidP="00E167CA">
      <w:pPr>
        <w:autoSpaceDE w:val="0"/>
        <w:autoSpaceDN w:val="0"/>
        <w:adjustRightInd w:val="0"/>
        <w:spacing w:after="0" w:line="360" w:lineRule="auto"/>
        <w:jc w:val="both"/>
        <w:rPr>
          <w:rFonts w:ascii="Palatino Linotype" w:hAnsi="Palatino Linotype" w:cs="Arial"/>
          <w:sz w:val="24"/>
          <w:szCs w:val="24"/>
        </w:rPr>
      </w:pPr>
    </w:p>
    <w:p w14:paraId="1104FD15" w14:textId="77777777" w:rsidR="00E167CA" w:rsidRDefault="00E167CA" w:rsidP="00E167CA">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076DD07F" w14:textId="77777777" w:rsidR="00E167CA" w:rsidRPr="00B34BE7" w:rsidRDefault="00E167CA" w:rsidP="00E167CA">
      <w:pPr>
        <w:autoSpaceDE w:val="0"/>
        <w:autoSpaceDN w:val="0"/>
        <w:adjustRightInd w:val="0"/>
        <w:spacing w:after="0" w:line="360" w:lineRule="auto"/>
        <w:jc w:val="both"/>
        <w:rPr>
          <w:rFonts w:ascii="Palatino Linotype" w:hAnsi="Palatino Linotype" w:cs="Arial"/>
          <w:sz w:val="24"/>
          <w:szCs w:val="24"/>
        </w:rPr>
      </w:pPr>
    </w:p>
    <w:p w14:paraId="1AE43EA7" w14:textId="77777777" w:rsidR="00E167CA" w:rsidRDefault="00E167CA" w:rsidP="00E167CA">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41444E15" w14:textId="77777777" w:rsidR="00E167CA" w:rsidRPr="0072128F" w:rsidRDefault="00E167CA" w:rsidP="00E167CA">
      <w:pPr>
        <w:pStyle w:val="Prrafodelista"/>
        <w:spacing w:line="360" w:lineRule="auto"/>
        <w:ind w:left="426"/>
        <w:jc w:val="center"/>
        <w:rPr>
          <w:rFonts w:ascii="Palatino Linotype" w:hAnsi="Palatino Linotype"/>
          <w:b/>
          <w:color w:val="000000"/>
          <w:szCs w:val="22"/>
        </w:rPr>
      </w:pPr>
    </w:p>
    <w:p w14:paraId="7474450E" w14:textId="77777777" w:rsidR="00E167CA" w:rsidRDefault="00E167CA" w:rsidP="00E167CA">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B34BE7">
        <w:rPr>
          <w:rFonts w:ascii="Palatino Linotype" w:eastAsia="Times New Roman" w:hAnsi="Palatino Linotype" w:cs="Arial"/>
          <w:b/>
          <w:sz w:val="24"/>
          <w:szCs w:val="24"/>
        </w:rPr>
        <w:t xml:space="preserve"> </w:t>
      </w:r>
      <w:r w:rsidRPr="00B34BE7">
        <w:rPr>
          <w:rFonts w:ascii="Palatino Linotype" w:eastAsia="Times New Roman" w:hAnsi="Palatino Linotype" w:cs="Arial"/>
          <w:sz w:val="24"/>
          <w:szCs w:val="24"/>
        </w:rPr>
        <w:t>de la presente resolución.</w:t>
      </w:r>
    </w:p>
    <w:p w14:paraId="2B8A2A97" w14:textId="77777777" w:rsidR="00E167CA" w:rsidRPr="00B34BE7" w:rsidRDefault="00E167CA" w:rsidP="00E167CA">
      <w:pPr>
        <w:autoSpaceDE w:val="0"/>
        <w:autoSpaceDN w:val="0"/>
        <w:adjustRightInd w:val="0"/>
        <w:spacing w:after="0" w:line="360" w:lineRule="auto"/>
        <w:ind w:right="49"/>
        <w:jc w:val="both"/>
        <w:rPr>
          <w:rFonts w:ascii="Palatino Linotype" w:eastAsia="Times New Roman" w:hAnsi="Palatino Linotype" w:cs="Arial"/>
          <w:sz w:val="24"/>
          <w:szCs w:val="24"/>
        </w:rPr>
      </w:pPr>
    </w:p>
    <w:p w14:paraId="6E90AA1C" w14:textId="3A96D327" w:rsidR="00E167CA" w:rsidRPr="00EA1D4A" w:rsidRDefault="00E167CA" w:rsidP="00E167CA">
      <w:pPr>
        <w:spacing w:after="0" w:line="360" w:lineRule="auto"/>
        <w:jc w:val="both"/>
        <w:rPr>
          <w:rFonts w:ascii="Palatino Linotype" w:hAnsi="Palatino Linotype"/>
          <w:sz w:val="24"/>
          <w:szCs w:val="24"/>
          <w:shd w:val="clear" w:color="auto" w:fill="FFFFFF"/>
        </w:rPr>
      </w:pPr>
      <w:r w:rsidRPr="00EA1D4A">
        <w:rPr>
          <w:rFonts w:ascii="Palatino Linotype" w:hAnsi="Palatino Linotype" w:cs="Calibri"/>
          <w:b/>
          <w:bCs/>
          <w:sz w:val="28"/>
          <w:szCs w:val="24"/>
          <w:shd w:val="clear" w:color="auto" w:fill="FFFFFF"/>
          <w:lang w:val="es-ES_tradnl"/>
        </w:rPr>
        <w:t>SEGUNDO</w:t>
      </w:r>
      <w:r w:rsidRPr="00EA1D4A">
        <w:rPr>
          <w:rFonts w:ascii="Palatino Linotype" w:hAnsi="Palatino Linotype"/>
          <w:sz w:val="28"/>
          <w:szCs w:val="24"/>
          <w:shd w:val="clear" w:color="auto" w:fill="FFFFFF"/>
        </w:rPr>
        <w:t>.</w:t>
      </w:r>
      <w:r w:rsidRPr="00EA1D4A">
        <w:rPr>
          <w:rFonts w:ascii="Palatino Linotype" w:hAnsi="Palatino Linotype"/>
          <w:sz w:val="24"/>
          <w:szCs w:val="24"/>
          <w:shd w:val="clear" w:color="auto" w:fill="FFFFFF"/>
        </w:rPr>
        <w:t> Se</w:t>
      </w:r>
      <w:r w:rsidRPr="00EA1D4A">
        <w:rPr>
          <w:rFonts w:ascii="Palatino Linotype" w:hAnsi="Palatino Linotype"/>
          <w:b/>
          <w:bCs/>
          <w:sz w:val="24"/>
          <w:szCs w:val="24"/>
          <w:shd w:val="clear" w:color="auto" w:fill="FFFFFF"/>
        </w:rPr>
        <w:t> ORDENA </w:t>
      </w:r>
      <w:r w:rsidRPr="00EA1D4A">
        <w:rPr>
          <w:rFonts w:ascii="Palatino Linotype" w:hAnsi="Palatino Linotype"/>
          <w:sz w:val="24"/>
          <w:szCs w:val="24"/>
          <w:shd w:val="clear" w:color="auto" w:fill="FFFFFF"/>
        </w:rPr>
        <w:t xml:space="preserve">al </w:t>
      </w:r>
      <w:r w:rsidRPr="00EA1D4A">
        <w:rPr>
          <w:rFonts w:ascii="Palatino Linotype" w:hAnsi="Palatino Linotype"/>
          <w:b/>
          <w:sz w:val="24"/>
          <w:szCs w:val="24"/>
          <w:shd w:val="clear" w:color="auto" w:fill="FFFFFF"/>
        </w:rPr>
        <w:t>Sujeto Obligado</w:t>
      </w:r>
      <w:r w:rsidRPr="00EA1D4A">
        <w:rPr>
          <w:rFonts w:ascii="Palatino Linotype" w:hAnsi="Palatino Linotype"/>
          <w:sz w:val="24"/>
          <w:szCs w:val="24"/>
          <w:shd w:val="clear" w:color="auto" w:fill="FFFFFF"/>
        </w:rPr>
        <w:t>, atienda la solicitud de información número</w:t>
      </w:r>
      <w:r w:rsidR="00EA1D4A" w:rsidRPr="00EA1D4A">
        <w:rPr>
          <w:rFonts w:ascii="Palatino Linotype" w:hAnsi="Palatino Linotype"/>
          <w:sz w:val="24"/>
          <w:szCs w:val="24"/>
          <w:shd w:val="clear" w:color="auto" w:fill="FFFFFF"/>
        </w:rPr>
        <w:t xml:space="preserve"> </w:t>
      </w:r>
      <w:r w:rsidR="005C7EF5" w:rsidRPr="00EA1D4A">
        <w:rPr>
          <w:rFonts w:ascii="Palatino Linotype" w:hAnsi="Palatino Linotype" w:cs="Arial"/>
          <w:b/>
          <w:sz w:val="24"/>
          <w:szCs w:val="24"/>
        </w:rPr>
        <w:t>00861/NAUCALPA/IP/2021</w:t>
      </w:r>
      <w:r w:rsidRPr="00EA1D4A">
        <w:rPr>
          <w:rFonts w:ascii="Palatino Linotype" w:hAnsi="Palatino Linotype"/>
          <w:sz w:val="24"/>
          <w:szCs w:val="24"/>
          <w:shd w:val="clear" w:color="auto" w:fill="FFFFFF"/>
        </w:rPr>
        <w:t xml:space="preserve">, en términos del Considerando </w:t>
      </w:r>
      <w:r w:rsidRPr="00EA1D4A">
        <w:rPr>
          <w:rFonts w:ascii="Palatino Linotype" w:hAnsi="Palatino Linotype"/>
          <w:b/>
          <w:sz w:val="24"/>
          <w:szCs w:val="24"/>
          <w:shd w:val="clear" w:color="auto" w:fill="FFFFFF"/>
        </w:rPr>
        <w:t>Cuarto</w:t>
      </w:r>
      <w:r w:rsidRPr="00EA1D4A">
        <w:rPr>
          <w:rFonts w:ascii="Palatino Linotype" w:hAnsi="Palatino Linotype"/>
          <w:sz w:val="24"/>
          <w:szCs w:val="24"/>
          <w:shd w:val="clear" w:color="auto" w:fill="FFFFFF"/>
        </w:rPr>
        <w:t xml:space="preserve"> de esta resolución y haga entrega a la parte recurrente vía Sistema de Acceso a la Información Mexiquense (SAIMEX).</w:t>
      </w:r>
    </w:p>
    <w:p w14:paraId="3EDAEA69" w14:textId="77777777" w:rsidR="00E167CA" w:rsidRDefault="00E167CA" w:rsidP="00E167CA">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4"/>
        </w:rPr>
        <w:lastRenderedPageBreak/>
        <w:t>TERCER</w:t>
      </w:r>
      <w:r w:rsidRPr="00B34BE7">
        <w:rPr>
          <w:rFonts w:ascii="Palatino Linotype" w:hAnsi="Palatino Linotype" w:cs="Arial"/>
          <w:b/>
          <w:sz w:val="28"/>
          <w:szCs w:val="24"/>
        </w:rPr>
        <w:t xml:space="preserve">O. </w:t>
      </w:r>
      <w:r>
        <w:rPr>
          <w:rFonts w:ascii="Palatino Linotype" w:hAnsi="Palatino Linotype" w:cs="Arial"/>
          <w:b/>
          <w:sz w:val="24"/>
          <w:szCs w:val="24"/>
        </w:rPr>
        <w:t xml:space="preserve">NOTIFÍQUESE, </w:t>
      </w:r>
      <w:r w:rsidRPr="005C7EF5">
        <w:rPr>
          <w:rFonts w:ascii="Palatino Linotype" w:hAnsi="Palatino Linotype" w:cs="Arial"/>
          <w:bCs/>
          <w:sz w:val="24"/>
          <w:szCs w:val="24"/>
        </w:rPr>
        <w:t>vía Sistema de Acceso a la Información Mexiquense</w:t>
      </w:r>
      <w:r>
        <w:rPr>
          <w:rFonts w:ascii="Palatino Linotype" w:hAnsi="Palatino Linotype" w:cs="Arial"/>
          <w:b/>
          <w:sz w:val="24"/>
          <w:szCs w:val="24"/>
        </w:rPr>
        <w:t xml:space="preserve"> (SAIMEX) </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eastAsia="Times New Roman" w:hAnsi="Palatino Linotype" w:cs="Arial"/>
          <w:bCs/>
          <w:sz w:val="24"/>
          <w:szCs w:val="24"/>
        </w:rPr>
        <w:t>e informe a este Instituto en un plazo de tres días hábiles siguientes sobre el cumplimiento dado a la presente resolución</w:t>
      </w:r>
      <w:r>
        <w:rPr>
          <w:rFonts w:ascii="Palatino Linotype" w:eastAsia="Times New Roman" w:hAnsi="Palatino Linotype" w:cs="Arial"/>
          <w:sz w:val="24"/>
          <w:szCs w:val="24"/>
        </w:rPr>
        <w:t xml:space="preserve"> tal y como lo disponen los artículos 198 y 199 de la citada ley. </w:t>
      </w:r>
    </w:p>
    <w:p w14:paraId="6F5F89E5" w14:textId="77777777" w:rsidR="00E167CA" w:rsidRPr="003204EE" w:rsidRDefault="00E167CA" w:rsidP="00E167CA">
      <w:pPr>
        <w:autoSpaceDE w:val="0"/>
        <w:autoSpaceDN w:val="0"/>
        <w:adjustRightInd w:val="0"/>
        <w:spacing w:after="0" w:line="360" w:lineRule="auto"/>
        <w:jc w:val="both"/>
        <w:rPr>
          <w:rFonts w:ascii="Palatino Linotype" w:hAnsi="Palatino Linotype" w:cs="Arial"/>
          <w:b/>
          <w:sz w:val="24"/>
        </w:rPr>
      </w:pPr>
    </w:p>
    <w:p w14:paraId="3F3A0888" w14:textId="54869D74" w:rsidR="00E167CA" w:rsidRDefault="00E167CA" w:rsidP="00E167C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3204EE">
        <w:rPr>
          <w:rFonts w:ascii="Palatino Linotype" w:hAnsi="Palatino Linotype" w:cs="Arial"/>
          <w:b/>
          <w:bCs/>
          <w:sz w:val="24"/>
          <w:szCs w:val="24"/>
        </w:rPr>
        <w:t>a</w:t>
      </w:r>
      <w:r w:rsidRPr="00411E22">
        <w:rPr>
          <w:rFonts w:ascii="Palatino Linotype" w:hAnsi="Palatino Linotype" w:cs="Arial"/>
          <w:b/>
          <w:sz w:val="24"/>
          <w:szCs w:val="24"/>
        </w:rPr>
        <w:t>l</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w:t>
      </w:r>
      <w:r>
        <w:rPr>
          <w:rFonts w:ascii="Palatino Linotype" w:hAnsi="Palatino Linotype" w:cs="Arial"/>
          <w:sz w:val="24"/>
          <w:szCs w:val="24"/>
        </w:rPr>
        <w:t xml:space="preserve"> </w:t>
      </w:r>
      <w:r w:rsidRPr="005C7EF5">
        <w:rPr>
          <w:rFonts w:ascii="Palatino Linotype" w:hAnsi="Palatino Linotype" w:cs="Arial"/>
          <w:bCs/>
          <w:sz w:val="24"/>
          <w:szCs w:val="24"/>
        </w:rPr>
        <w:t>vía Sistema de Acceso a la Información Mexiquense</w:t>
      </w:r>
      <w:r>
        <w:rPr>
          <w:rFonts w:ascii="Palatino Linotype" w:hAnsi="Palatino Linotype" w:cs="Arial"/>
          <w:b/>
          <w:sz w:val="24"/>
          <w:szCs w:val="24"/>
        </w:rPr>
        <w:t xml:space="preserve"> (SAIMEX) </w:t>
      </w:r>
      <w:r w:rsidRPr="00B34BE7">
        <w:rPr>
          <w:rFonts w:ascii="Palatino Linotype" w:hAnsi="Palatino Linotype" w:cs="Arial"/>
          <w:sz w:val="24"/>
          <w:szCs w:val="24"/>
        </w:rPr>
        <w:t xml:space="preserve">y hágase de su conocimiento que en caso de considerar que le causa algún perjuicio, podrá promover el Juicio de Amparo en los términos de las leyes aplicables, </w:t>
      </w:r>
      <w:r w:rsidR="005C7EF5" w:rsidRPr="00B34BE7">
        <w:rPr>
          <w:rFonts w:ascii="Palatino Linotype" w:hAnsi="Palatino Linotype" w:cs="Arial"/>
          <w:sz w:val="24"/>
          <w:szCs w:val="24"/>
        </w:rPr>
        <w:t>de acuerdo con</w:t>
      </w:r>
      <w:r w:rsidRPr="00B34BE7">
        <w:rPr>
          <w:rFonts w:ascii="Palatino Linotype" w:hAnsi="Palatino Linotype" w:cs="Arial"/>
          <w:sz w:val="24"/>
          <w:szCs w:val="24"/>
        </w:rPr>
        <w:t xml:space="preserve"> lo estipulado por el artículo 196, de la Ley de Transparencia y Acceso a la Información Pública del Estado de México y Municipios.</w:t>
      </w:r>
    </w:p>
    <w:p w14:paraId="30662A71" w14:textId="77777777" w:rsidR="00E167CA" w:rsidRPr="003204EE" w:rsidRDefault="00E167CA" w:rsidP="00E167CA">
      <w:pPr>
        <w:autoSpaceDE w:val="0"/>
        <w:autoSpaceDN w:val="0"/>
        <w:adjustRightInd w:val="0"/>
        <w:spacing w:after="0" w:line="360" w:lineRule="auto"/>
        <w:jc w:val="both"/>
        <w:rPr>
          <w:rFonts w:ascii="Palatino Linotype" w:hAnsi="Palatino Linotype" w:cs="Arial"/>
          <w:sz w:val="24"/>
          <w:szCs w:val="24"/>
        </w:rPr>
      </w:pPr>
    </w:p>
    <w:p w14:paraId="5A76ED24" w14:textId="4B535490" w:rsidR="00E167CA" w:rsidRDefault="00E167CA" w:rsidP="00E167CA">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Cuarto</w:t>
      </w:r>
      <w:r w:rsidRPr="00B34BE7">
        <w:rPr>
          <w:rFonts w:ascii="Palatino Linotype" w:eastAsia="MS Mincho" w:hAnsi="Palatino Linotype" w:cs="Times New Roman"/>
          <w:sz w:val="24"/>
        </w:rPr>
        <w:t xml:space="preserve"> de la presente resolución. </w:t>
      </w:r>
    </w:p>
    <w:p w14:paraId="1F7471D8" w14:textId="77777777" w:rsidR="00E167CA" w:rsidRPr="00B34BE7" w:rsidRDefault="00E167CA" w:rsidP="00E167CA">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lastRenderedPageBreak/>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Se hace del conocimiento de</w:t>
      </w:r>
      <w:r w:rsidRPr="003204EE">
        <w:rPr>
          <w:rFonts w:ascii="Palatino Linotype" w:eastAsia="Calibri" w:hAnsi="Palatino Linotype" w:cs="Tahoma"/>
          <w:iCs/>
          <w:sz w:val="24"/>
          <w:szCs w:val="24"/>
          <w:lang w:val="es-ES" w:eastAsia="es-ES_tradnl"/>
        </w:rPr>
        <w:t>l</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5140374C" w14:textId="77777777" w:rsidR="00E167CA" w:rsidRDefault="00E167CA" w:rsidP="00E167CA">
      <w:pPr>
        <w:autoSpaceDE w:val="0"/>
        <w:autoSpaceDN w:val="0"/>
        <w:adjustRightInd w:val="0"/>
        <w:spacing w:after="0" w:line="360" w:lineRule="auto"/>
        <w:jc w:val="both"/>
        <w:rPr>
          <w:sz w:val="28"/>
          <w:szCs w:val="28"/>
        </w:rPr>
      </w:pPr>
    </w:p>
    <w:p w14:paraId="2796318F" w14:textId="77777777" w:rsidR="00E167CA" w:rsidRPr="00B34BE7" w:rsidRDefault="00E167CA" w:rsidP="00E167CA">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7F7F159" w14:textId="77777777" w:rsidR="00E167CA" w:rsidRDefault="00E167CA" w:rsidP="00E167CA">
      <w:pPr>
        <w:autoSpaceDE w:val="0"/>
        <w:autoSpaceDN w:val="0"/>
        <w:adjustRightInd w:val="0"/>
        <w:spacing w:after="0" w:line="240" w:lineRule="auto"/>
        <w:jc w:val="both"/>
        <w:rPr>
          <w:rFonts w:ascii="Palatino Linotype" w:eastAsiaTheme="minorEastAsia" w:hAnsi="Palatino Linotype"/>
          <w:color w:val="000000" w:themeColor="text1"/>
          <w:sz w:val="24"/>
          <w:szCs w:val="24"/>
          <w:lang w:val="es-ES_tradnl" w:eastAsia="es-ES"/>
        </w:rPr>
      </w:pPr>
    </w:p>
    <w:p w14:paraId="0DF2B83B" w14:textId="2B8C5264" w:rsidR="00E167CA" w:rsidRDefault="007A1035" w:rsidP="00E167CA">
      <w:pPr>
        <w:autoSpaceDE w:val="0"/>
        <w:autoSpaceDN w:val="0"/>
        <w:adjustRightInd w:val="0"/>
        <w:spacing w:after="0" w:line="360" w:lineRule="auto"/>
        <w:jc w:val="both"/>
        <w:outlineLvl w:val="8"/>
        <w:rPr>
          <w:rFonts w:ascii="Palatino Linotype" w:hAnsi="Palatino Linotype"/>
          <w:sz w:val="16"/>
          <w:szCs w:val="16"/>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NOVENA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NUEVE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E167CA">
        <w:rPr>
          <w:rFonts w:ascii="Palatino Linotype" w:eastAsiaTheme="minorEastAsia" w:hAnsi="Palatino Linotype"/>
          <w:color w:val="000000" w:themeColor="text1"/>
          <w:sz w:val="24"/>
          <w:szCs w:val="24"/>
          <w:lang w:val="es-ES_tradnl" w:eastAsia="es-ES"/>
        </w:rPr>
        <w:t>.</w:t>
      </w:r>
      <w:r w:rsidR="00E167CA" w:rsidRPr="00B34BE7">
        <w:rPr>
          <w:rFonts w:ascii="Palatino Linotype" w:hAnsi="Palatino Linotype" w:cs="Arial"/>
          <w:sz w:val="24"/>
          <w:szCs w:val="24"/>
        </w:rPr>
        <w:t>---------------------------------------------------------------------------------------------------------------------------</w:t>
      </w:r>
      <w:r w:rsidR="00E167CA">
        <w:rPr>
          <w:rFonts w:ascii="Palatino Linotype" w:hAnsi="Palatino Linotype" w:cs="Arial"/>
          <w:sz w:val="24"/>
          <w:szCs w:val="24"/>
        </w:rPr>
        <w:t>--</w:t>
      </w:r>
      <w:r w:rsidR="00813597">
        <w:rPr>
          <w:rFonts w:ascii="Palatino Linotype" w:hAnsi="Palatino Linotype" w:cs="Arial"/>
          <w:sz w:val="24"/>
          <w:szCs w:val="24"/>
        </w:rPr>
        <w:t>--------------------------------</w:t>
      </w:r>
      <w:r w:rsidR="00E167CA">
        <w:rPr>
          <w:rFonts w:ascii="Palatino Linotype" w:hAnsi="Palatino Linotype" w:cs="Arial"/>
          <w:sz w:val="24"/>
          <w:szCs w:val="24"/>
        </w:rPr>
        <w:t>------------------------------------------------------</w:t>
      </w:r>
    </w:p>
    <w:p w14:paraId="33925B31" w14:textId="77777777" w:rsidR="00E167CA" w:rsidRDefault="00E167CA" w:rsidP="00E167CA">
      <w:pPr>
        <w:autoSpaceDE w:val="0"/>
        <w:autoSpaceDN w:val="0"/>
        <w:adjustRightInd w:val="0"/>
        <w:spacing w:after="0" w:line="240" w:lineRule="auto"/>
        <w:jc w:val="both"/>
        <w:outlineLvl w:val="8"/>
        <w:rPr>
          <w:rFonts w:ascii="Palatino Linotype" w:hAnsi="Palatino Linotype"/>
          <w:sz w:val="16"/>
          <w:szCs w:val="16"/>
        </w:rPr>
      </w:pPr>
    </w:p>
    <w:p w14:paraId="10C143A4" w14:textId="77777777" w:rsidR="00E167CA" w:rsidRPr="00BA103F" w:rsidRDefault="00E167CA" w:rsidP="00E167CA">
      <w:pPr>
        <w:spacing w:after="0" w:line="360" w:lineRule="auto"/>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614CA013" w14:textId="77777777" w:rsidR="00E167CA" w:rsidRPr="00B34BE7" w:rsidRDefault="00E167CA" w:rsidP="00E167CA">
      <w:pPr>
        <w:spacing w:after="0" w:line="360" w:lineRule="auto"/>
        <w:rPr>
          <w:rFonts w:ascii="Palatino Linotype" w:hAnsi="Palatino Linotype"/>
          <w:b/>
          <w:sz w:val="24"/>
          <w:szCs w:val="24"/>
        </w:rPr>
      </w:pPr>
    </w:p>
    <w:p w14:paraId="53A5ED44" w14:textId="77777777" w:rsidR="00E167CA" w:rsidRPr="00B34BE7" w:rsidRDefault="00E167CA" w:rsidP="00E167CA">
      <w:pPr>
        <w:spacing w:after="0" w:line="360" w:lineRule="auto"/>
        <w:rPr>
          <w:rFonts w:ascii="Palatino Linotype" w:hAnsi="Palatino Linotype"/>
          <w:b/>
          <w:sz w:val="24"/>
          <w:szCs w:val="24"/>
        </w:rPr>
      </w:pPr>
    </w:p>
    <w:p w14:paraId="1F8C26EB" w14:textId="77777777" w:rsidR="00E167CA" w:rsidRPr="00B34BE7" w:rsidRDefault="00E167CA" w:rsidP="00E167CA">
      <w:pPr>
        <w:spacing w:after="0" w:line="360" w:lineRule="auto"/>
        <w:rPr>
          <w:rFonts w:ascii="Palatino Linotype" w:hAnsi="Palatino Linotype"/>
          <w:b/>
          <w:sz w:val="24"/>
          <w:szCs w:val="24"/>
        </w:rPr>
      </w:pPr>
    </w:p>
    <w:p w14:paraId="5EBDB759" w14:textId="77777777" w:rsidR="00E167CA" w:rsidRDefault="00E167CA" w:rsidP="00E167CA">
      <w:pPr>
        <w:spacing w:after="0" w:line="360" w:lineRule="auto"/>
        <w:rPr>
          <w:rFonts w:ascii="Palatino Linotype" w:hAnsi="Palatino Linotype" w:cs="Arial"/>
          <w:sz w:val="24"/>
          <w:szCs w:val="24"/>
        </w:rPr>
      </w:pPr>
    </w:p>
    <w:p w14:paraId="2F2FB117" w14:textId="77777777" w:rsidR="00E167CA" w:rsidRDefault="00E167CA" w:rsidP="00E167CA">
      <w:pPr>
        <w:spacing w:after="0" w:line="360" w:lineRule="auto"/>
        <w:rPr>
          <w:rFonts w:ascii="Palatino Linotype" w:hAnsi="Palatino Linotype" w:cs="Arial"/>
          <w:sz w:val="24"/>
          <w:szCs w:val="24"/>
        </w:rPr>
      </w:pPr>
    </w:p>
    <w:p w14:paraId="53A99E70" w14:textId="77777777" w:rsidR="00E167CA" w:rsidRPr="00B34BE7" w:rsidRDefault="00E167CA" w:rsidP="00E167CA">
      <w:pPr>
        <w:spacing w:after="0" w:line="360" w:lineRule="auto"/>
        <w:rPr>
          <w:rFonts w:ascii="Palatino Linotype" w:hAnsi="Palatino Linotype" w:cs="Arial"/>
          <w:sz w:val="24"/>
          <w:szCs w:val="24"/>
        </w:rPr>
      </w:pPr>
    </w:p>
    <w:p w14:paraId="2D301BC9" w14:textId="77777777" w:rsidR="00E167CA" w:rsidRDefault="00E167CA" w:rsidP="00E167CA">
      <w:pPr>
        <w:spacing w:after="0" w:line="360" w:lineRule="auto"/>
        <w:rPr>
          <w:rFonts w:ascii="Palatino Linotype" w:hAnsi="Palatino Linotype" w:cs="Arial"/>
          <w:sz w:val="24"/>
          <w:szCs w:val="24"/>
        </w:rPr>
      </w:pPr>
    </w:p>
    <w:p w14:paraId="29A6B37B" w14:textId="77777777" w:rsidR="00E167CA" w:rsidRDefault="00E167CA" w:rsidP="00E167CA">
      <w:pPr>
        <w:spacing w:after="0" w:line="360" w:lineRule="auto"/>
        <w:rPr>
          <w:rFonts w:ascii="Palatino Linotype" w:hAnsi="Palatino Linotype" w:cs="Arial"/>
          <w:sz w:val="24"/>
          <w:szCs w:val="24"/>
        </w:rPr>
      </w:pPr>
    </w:p>
    <w:p w14:paraId="7B4037C4" w14:textId="77777777" w:rsidR="00E167CA" w:rsidRDefault="00E167CA" w:rsidP="00E167CA">
      <w:pPr>
        <w:spacing w:after="0" w:line="360" w:lineRule="auto"/>
        <w:rPr>
          <w:rFonts w:ascii="Palatino Linotype" w:hAnsi="Palatino Linotype" w:cs="Arial"/>
          <w:sz w:val="24"/>
          <w:szCs w:val="24"/>
        </w:rPr>
      </w:pPr>
    </w:p>
    <w:p w14:paraId="69A86258" w14:textId="77777777" w:rsidR="00E167CA" w:rsidRDefault="00E167CA" w:rsidP="00E167CA">
      <w:pPr>
        <w:spacing w:after="0" w:line="360" w:lineRule="auto"/>
        <w:rPr>
          <w:rFonts w:ascii="Palatino Linotype" w:hAnsi="Palatino Linotype" w:cs="Arial"/>
          <w:sz w:val="24"/>
          <w:szCs w:val="24"/>
        </w:rPr>
      </w:pPr>
    </w:p>
    <w:p w14:paraId="7BD1CBD1" w14:textId="77777777" w:rsidR="00E167CA" w:rsidRDefault="00E167CA" w:rsidP="00E167CA">
      <w:pPr>
        <w:spacing w:after="0" w:line="360" w:lineRule="auto"/>
        <w:rPr>
          <w:rFonts w:ascii="Palatino Linotype" w:hAnsi="Palatino Linotype" w:cs="Arial"/>
          <w:sz w:val="24"/>
          <w:szCs w:val="24"/>
        </w:rPr>
      </w:pPr>
    </w:p>
    <w:p w14:paraId="3A8508D0" w14:textId="77777777" w:rsidR="00E167CA" w:rsidRDefault="00E167CA" w:rsidP="00E167CA">
      <w:pPr>
        <w:spacing w:after="0" w:line="360" w:lineRule="auto"/>
        <w:rPr>
          <w:rFonts w:ascii="Palatino Linotype" w:hAnsi="Palatino Linotype" w:cs="Arial"/>
          <w:sz w:val="24"/>
          <w:szCs w:val="24"/>
        </w:rPr>
      </w:pPr>
    </w:p>
    <w:p w14:paraId="1CAFDF05" w14:textId="77777777" w:rsidR="00E167CA" w:rsidRDefault="00E167CA" w:rsidP="00E167CA">
      <w:pPr>
        <w:spacing w:after="0" w:line="360" w:lineRule="auto"/>
        <w:rPr>
          <w:rFonts w:ascii="Palatino Linotype" w:hAnsi="Palatino Linotype" w:cs="Arial"/>
          <w:sz w:val="24"/>
          <w:szCs w:val="24"/>
        </w:rPr>
      </w:pPr>
    </w:p>
    <w:p w14:paraId="220B72EC" w14:textId="77777777" w:rsidR="00E167CA" w:rsidRDefault="00E167CA" w:rsidP="00E167CA">
      <w:pPr>
        <w:spacing w:after="0" w:line="360" w:lineRule="auto"/>
        <w:rPr>
          <w:rFonts w:ascii="Palatino Linotype" w:hAnsi="Palatino Linotype" w:cs="Arial"/>
          <w:sz w:val="24"/>
          <w:szCs w:val="24"/>
        </w:rPr>
      </w:pPr>
    </w:p>
    <w:p w14:paraId="2C4492BD" w14:textId="77777777" w:rsidR="00E167CA" w:rsidRDefault="00E167CA" w:rsidP="00E167CA">
      <w:pPr>
        <w:spacing w:after="0" w:line="360" w:lineRule="auto"/>
        <w:rPr>
          <w:rFonts w:ascii="Palatino Linotype" w:hAnsi="Palatino Linotype" w:cs="Arial"/>
          <w:sz w:val="24"/>
          <w:szCs w:val="24"/>
        </w:rPr>
      </w:pPr>
    </w:p>
    <w:p w14:paraId="5DBE2FAE" w14:textId="77777777" w:rsidR="00E167CA" w:rsidRDefault="00E167CA" w:rsidP="00E167CA">
      <w:pPr>
        <w:spacing w:after="0" w:line="360" w:lineRule="auto"/>
        <w:rPr>
          <w:rFonts w:ascii="Palatino Linotype" w:hAnsi="Palatino Linotype" w:cs="Arial"/>
          <w:sz w:val="24"/>
          <w:szCs w:val="24"/>
        </w:rPr>
      </w:pPr>
    </w:p>
    <w:p w14:paraId="643809F0" w14:textId="77777777" w:rsidR="00E167CA" w:rsidRPr="00B34BE7" w:rsidRDefault="00E167CA" w:rsidP="00E167CA">
      <w:pPr>
        <w:spacing w:after="0" w:line="360" w:lineRule="auto"/>
        <w:rPr>
          <w:rFonts w:ascii="Palatino Linotype" w:hAnsi="Palatino Linotype" w:cs="Arial"/>
          <w:sz w:val="24"/>
          <w:szCs w:val="24"/>
        </w:rPr>
      </w:pPr>
    </w:p>
    <w:p w14:paraId="54E23353" w14:textId="77777777" w:rsidR="00E167CA" w:rsidRPr="00B34BE7" w:rsidRDefault="00E167CA" w:rsidP="00E167CA">
      <w:pPr>
        <w:spacing w:after="0" w:line="240" w:lineRule="auto"/>
        <w:jc w:val="both"/>
        <w:rPr>
          <w:rFonts w:ascii="Palatino Linotype" w:hAnsi="Palatino Linotype" w:cs="Arial"/>
          <w:sz w:val="16"/>
          <w:szCs w:val="24"/>
        </w:rPr>
      </w:pPr>
    </w:p>
    <w:p w14:paraId="04D7C9A7" w14:textId="77777777" w:rsidR="00E167CA" w:rsidRPr="00B34BE7" w:rsidRDefault="00E167CA" w:rsidP="00E167CA">
      <w:pPr>
        <w:spacing w:after="0" w:line="240" w:lineRule="auto"/>
        <w:jc w:val="both"/>
        <w:rPr>
          <w:rFonts w:ascii="Palatino Linotype" w:hAnsi="Palatino Linotype" w:cs="Arial"/>
          <w:sz w:val="16"/>
          <w:szCs w:val="24"/>
        </w:rPr>
      </w:pPr>
    </w:p>
    <w:p w14:paraId="655FBE9E" w14:textId="77777777" w:rsidR="00E167CA" w:rsidRPr="00B34BE7" w:rsidRDefault="00E167CA" w:rsidP="00E167CA">
      <w:pPr>
        <w:spacing w:after="0" w:line="240" w:lineRule="auto"/>
        <w:jc w:val="both"/>
        <w:rPr>
          <w:rFonts w:ascii="Palatino Linotype" w:hAnsi="Palatino Linotype" w:cs="Arial"/>
          <w:sz w:val="16"/>
          <w:szCs w:val="24"/>
        </w:rPr>
      </w:pPr>
    </w:p>
    <w:p w14:paraId="2520A105" w14:textId="77777777" w:rsidR="00E167CA" w:rsidRPr="00B34BE7" w:rsidRDefault="00E167CA" w:rsidP="00E167CA">
      <w:pPr>
        <w:spacing w:after="0" w:line="240" w:lineRule="auto"/>
        <w:jc w:val="both"/>
        <w:rPr>
          <w:rFonts w:ascii="Palatino Linotype" w:hAnsi="Palatino Linotype" w:cs="Arial"/>
          <w:sz w:val="16"/>
          <w:szCs w:val="24"/>
        </w:rPr>
      </w:pPr>
    </w:p>
    <w:p w14:paraId="6FCE0CB0" w14:textId="77777777" w:rsidR="00E167CA" w:rsidRDefault="00E167CA" w:rsidP="00E167CA"/>
    <w:p w14:paraId="4EC9ADE7" w14:textId="77777777" w:rsidR="00E167CA" w:rsidRDefault="00E167CA" w:rsidP="00E167CA"/>
    <w:p w14:paraId="2A215B66" w14:textId="77777777" w:rsidR="00E167CA" w:rsidRDefault="00E167CA" w:rsidP="00E167CA"/>
    <w:p w14:paraId="5CBC21C8" w14:textId="77777777" w:rsidR="00E167CA" w:rsidRDefault="00E167CA" w:rsidP="00E167CA"/>
    <w:p w14:paraId="3868EBAB" w14:textId="77777777" w:rsidR="00E167CA" w:rsidRDefault="00E167CA" w:rsidP="00E167CA"/>
    <w:sectPr w:rsidR="00E167CA"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3FD7" w14:textId="77777777" w:rsidR="00C31200" w:rsidRDefault="00C31200" w:rsidP="00E167CA">
      <w:pPr>
        <w:spacing w:after="0" w:line="240" w:lineRule="auto"/>
      </w:pPr>
      <w:r>
        <w:separator/>
      </w:r>
    </w:p>
  </w:endnote>
  <w:endnote w:type="continuationSeparator" w:id="0">
    <w:p w14:paraId="50A1710D" w14:textId="77777777" w:rsidR="00C31200" w:rsidRDefault="00C31200" w:rsidP="00E1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8EBD4" w14:textId="77777777" w:rsidR="00FB1C60" w:rsidRPr="000B69FA" w:rsidRDefault="005B7A62"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3B7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00773B75">
      <w:rPr>
        <w:rFonts w:ascii="Palatino Linotype" w:hAnsi="Palatino Linotype"/>
        <w:bCs/>
        <w:noProof/>
        <w:sz w:val="20"/>
      </w:rPr>
      <w:fldChar w:fldCharType="begin"/>
    </w:r>
    <w:r w:rsidR="00773B75">
      <w:rPr>
        <w:rFonts w:ascii="Palatino Linotype" w:hAnsi="Palatino Linotype"/>
        <w:bCs/>
        <w:noProof/>
        <w:sz w:val="20"/>
      </w:rPr>
      <w:instrText>NUMPAGES  \* Arabic  \* MERGEFORMAT</w:instrText>
    </w:r>
    <w:r w:rsidR="00773B75">
      <w:rPr>
        <w:rFonts w:ascii="Palatino Linotype" w:hAnsi="Palatino Linotype"/>
        <w:bCs/>
        <w:noProof/>
        <w:sz w:val="20"/>
      </w:rPr>
      <w:fldChar w:fldCharType="separate"/>
    </w:r>
    <w:r w:rsidR="00773B75">
      <w:rPr>
        <w:rFonts w:ascii="Palatino Linotype" w:hAnsi="Palatino Linotype"/>
        <w:bCs/>
        <w:noProof/>
        <w:sz w:val="20"/>
      </w:rPr>
      <w:t>30</w:t>
    </w:r>
    <w:r w:rsidR="00773B75">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9B19" w14:textId="77777777" w:rsidR="00FB1C60" w:rsidRPr="000B69FA" w:rsidRDefault="005B7A62"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3B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773B75">
      <w:rPr>
        <w:rFonts w:ascii="Palatino Linotype" w:hAnsi="Palatino Linotype"/>
        <w:bCs/>
        <w:noProof/>
        <w:sz w:val="20"/>
      </w:rPr>
      <w:fldChar w:fldCharType="begin"/>
    </w:r>
    <w:r w:rsidR="00773B75">
      <w:rPr>
        <w:rFonts w:ascii="Palatino Linotype" w:hAnsi="Palatino Linotype"/>
        <w:bCs/>
        <w:noProof/>
        <w:sz w:val="20"/>
      </w:rPr>
      <w:instrText>NUMPAGES  \* Arabic  \* MERGEFORMAT</w:instrText>
    </w:r>
    <w:r w:rsidR="00773B75">
      <w:rPr>
        <w:rFonts w:ascii="Palatino Linotype" w:hAnsi="Palatino Linotype"/>
        <w:bCs/>
        <w:noProof/>
        <w:sz w:val="20"/>
      </w:rPr>
      <w:fldChar w:fldCharType="separate"/>
    </w:r>
    <w:r w:rsidR="00773B75">
      <w:rPr>
        <w:rFonts w:ascii="Palatino Linotype" w:hAnsi="Palatino Linotype"/>
        <w:bCs/>
        <w:noProof/>
        <w:sz w:val="20"/>
      </w:rPr>
      <w:t>30</w:t>
    </w:r>
    <w:r w:rsidR="00773B75">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A9145" w14:textId="77777777" w:rsidR="00C31200" w:rsidRDefault="00C31200" w:rsidP="00E167CA">
      <w:pPr>
        <w:spacing w:after="0" w:line="240" w:lineRule="auto"/>
      </w:pPr>
      <w:r>
        <w:separator/>
      </w:r>
    </w:p>
  </w:footnote>
  <w:footnote w:type="continuationSeparator" w:id="0">
    <w:p w14:paraId="467369D1" w14:textId="77777777" w:rsidR="00C31200" w:rsidRDefault="00C31200" w:rsidP="00E167CA">
      <w:pPr>
        <w:spacing w:after="0" w:line="240" w:lineRule="auto"/>
      </w:pPr>
      <w:r>
        <w:continuationSeparator/>
      </w:r>
    </w:p>
  </w:footnote>
  <w:footnote w:id="1">
    <w:p w14:paraId="79A580C3" w14:textId="77777777" w:rsidR="00AA161D" w:rsidRPr="00481AAF" w:rsidRDefault="00AA161D" w:rsidP="00AA161D">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D49BD3D" w14:textId="77777777" w:rsidR="00AA161D" w:rsidRPr="00946E1F" w:rsidRDefault="00AA161D" w:rsidP="00AA161D">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9C4B1" w14:textId="77777777" w:rsidR="00E87472" w:rsidRDefault="00773B75">
    <w:pPr>
      <w:pStyle w:val="Encabezado"/>
    </w:pPr>
    <w:r>
      <w:rPr>
        <w:noProof/>
      </w:rPr>
      <w:pict w14:anchorId="5A36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1" o:spid="_x0000_s2050"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2781B" w14:textId="77777777" w:rsidR="00FB1C60" w:rsidRDefault="00773B75">
    <w:pPr>
      <w:pStyle w:val="Encabezado"/>
    </w:pPr>
    <w:r>
      <w:rPr>
        <w:noProof/>
      </w:rPr>
      <w:pict w14:anchorId="001C2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2" o:spid="_x0000_s2051" type="#_x0000_t75" style="position:absolute;margin-left:-85.2pt;margin-top:-151.25pt;width:736.5pt;height:960pt;z-index:-251658752;mso-position-horizontal-relative:margin;mso-position-vertical-relative:margin" o:allowincell="f">
          <v:imagedata r:id="rId1" o:title="HOJA RESOLUCIÓN"/>
          <w10:wrap anchorx="margin" anchory="margin"/>
        </v:shape>
      </w:pict>
    </w:r>
  </w:p>
  <w:tbl>
    <w:tblPr>
      <w:tblW w:w="10083" w:type="dxa"/>
      <w:tblInd w:w="-851" w:type="dxa"/>
      <w:tblLayout w:type="fixed"/>
      <w:tblCellMar>
        <w:left w:w="70" w:type="dxa"/>
        <w:right w:w="70" w:type="dxa"/>
      </w:tblCellMar>
      <w:tblLook w:val="04A0" w:firstRow="1" w:lastRow="0" w:firstColumn="1" w:lastColumn="0" w:noHBand="0" w:noVBand="1"/>
    </w:tblPr>
    <w:tblGrid>
      <w:gridCol w:w="6091"/>
      <w:gridCol w:w="3992"/>
    </w:tblGrid>
    <w:tr w:rsidR="00FB1C60" w14:paraId="5EB98311" w14:textId="77777777" w:rsidTr="00E167CA">
      <w:trPr>
        <w:trHeight w:val="498"/>
      </w:trPr>
      <w:tc>
        <w:tcPr>
          <w:tcW w:w="6091" w:type="dxa"/>
          <w:hideMark/>
        </w:tcPr>
        <w:p w14:paraId="18A68BF6" w14:textId="77777777" w:rsidR="00FB1C60" w:rsidRDefault="005B7A62"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92" w:type="dxa"/>
          <w:hideMark/>
        </w:tcPr>
        <w:p w14:paraId="4854226D" w14:textId="73C00EED" w:rsidR="00FB1C60" w:rsidRPr="00F4453F" w:rsidRDefault="005B7A62" w:rsidP="00E167CA">
          <w:pPr>
            <w:spacing w:after="0" w:line="240" w:lineRule="auto"/>
            <w:jc w:val="both"/>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E167CA">
            <w:rPr>
              <w:rFonts w:ascii="Palatino Linotype" w:eastAsia="Times New Roman" w:hAnsi="Palatino Linotype" w:cs="Times New Roman"/>
              <w:b/>
              <w:lang w:val="es-ES_tradnl" w:eastAsia="es-ES"/>
            </w:rPr>
            <w:t>646</w:t>
          </w:r>
          <w:r>
            <w:rPr>
              <w:rFonts w:ascii="Palatino Linotype" w:eastAsia="Times New Roman" w:hAnsi="Palatino Linotype" w:cs="Times New Roman"/>
              <w:b/>
              <w:lang w:val="es-ES_tradnl" w:eastAsia="es-ES"/>
            </w:rPr>
            <w:t>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1225C98E" w14:textId="77777777" w:rsidTr="00E167CA">
      <w:trPr>
        <w:trHeight w:val="530"/>
      </w:trPr>
      <w:tc>
        <w:tcPr>
          <w:tcW w:w="6091" w:type="dxa"/>
          <w:hideMark/>
        </w:tcPr>
        <w:p w14:paraId="0DE60A5B" w14:textId="77777777" w:rsidR="00FB1C60" w:rsidRDefault="005B7A62"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92" w:type="dxa"/>
          <w:hideMark/>
        </w:tcPr>
        <w:p w14:paraId="4D27FD1B" w14:textId="4A6C9724" w:rsidR="00FB1C60" w:rsidRDefault="005B7A62" w:rsidP="00E167CA">
          <w:pPr>
            <w:spacing w:after="0" w:line="240" w:lineRule="auto"/>
            <w:ind w:right="214"/>
            <w:jc w:val="both"/>
            <w:rPr>
              <w:rFonts w:ascii="Palatino Linotype" w:hAnsi="Palatino Linotype" w:cs="Arial"/>
              <w:szCs w:val="20"/>
            </w:rPr>
          </w:pPr>
          <w:r>
            <w:rPr>
              <w:rFonts w:ascii="Palatino Linotype" w:hAnsi="Palatino Linotype" w:cs="Arial"/>
              <w:szCs w:val="20"/>
            </w:rPr>
            <w:t xml:space="preserve">Ayuntamiento de </w:t>
          </w:r>
          <w:r w:rsidR="00E167CA">
            <w:rPr>
              <w:rFonts w:ascii="Palatino Linotype" w:hAnsi="Palatino Linotype" w:cs="Arial"/>
              <w:szCs w:val="20"/>
            </w:rPr>
            <w:t>Naucalpan de Juárez</w:t>
          </w:r>
        </w:p>
      </w:tc>
    </w:tr>
    <w:tr w:rsidR="00FB1C60" w14:paraId="74E8A70D" w14:textId="77777777" w:rsidTr="00E167CA">
      <w:trPr>
        <w:trHeight w:val="752"/>
      </w:trPr>
      <w:tc>
        <w:tcPr>
          <w:tcW w:w="6091" w:type="dxa"/>
          <w:hideMark/>
        </w:tcPr>
        <w:p w14:paraId="4EB210C5" w14:textId="77777777" w:rsidR="00FB1C60" w:rsidRDefault="005B7A62"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92" w:type="dxa"/>
          <w:hideMark/>
        </w:tcPr>
        <w:p w14:paraId="203A3AA6" w14:textId="77777777" w:rsidR="00FB1C60" w:rsidRDefault="005B7A62" w:rsidP="00E167CA">
          <w:pPr>
            <w:spacing w:after="0" w:line="240" w:lineRule="auto"/>
            <w:ind w:left="-778" w:right="214" w:firstLine="567"/>
            <w:jc w:val="both"/>
            <w:rPr>
              <w:rFonts w:ascii="Palatino Linotype" w:hAnsi="Palatino Linotype" w:cs="Arial"/>
              <w:szCs w:val="20"/>
            </w:rPr>
          </w:pPr>
          <w:r>
            <w:rPr>
              <w:rFonts w:ascii="Palatino Linotype" w:hAnsi="Palatino Linotype" w:cs="Arial"/>
              <w:szCs w:val="20"/>
            </w:rPr>
            <w:t xml:space="preserve">    José Martínez Vilchis</w:t>
          </w:r>
        </w:p>
      </w:tc>
    </w:tr>
  </w:tbl>
  <w:p w14:paraId="1C5D9922" w14:textId="77777777" w:rsidR="00FB1C60" w:rsidRDefault="00773B7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CellMar>
        <w:left w:w="70" w:type="dxa"/>
        <w:right w:w="70" w:type="dxa"/>
      </w:tblCellMar>
      <w:tblLook w:val="04A0" w:firstRow="1" w:lastRow="0" w:firstColumn="1" w:lastColumn="0" w:noHBand="0" w:noVBand="1"/>
    </w:tblPr>
    <w:tblGrid>
      <w:gridCol w:w="5240"/>
      <w:gridCol w:w="4825"/>
    </w:tblGrid>
    <w:tr w:rsidR="00FB1C60" w:rsidRPr="00633CD9" w14:paraId="6C9F3D69" w14:textId="77777777" w:rsidTr="00E167CA">
      <w:trPr>
        <w:trHeight w:val="709"/>
      </w:trPr>
      <w:tc>
        <w:tcPr>
          <w:tcW w:w="5240" w:type="dxa"/>
          <w:hideMark/>
        </w:tcPr>
        <w:p w14:paraId="3A8310C6" w14:textId="77777777" w:rsidR="00FB1C60" w:rsidRDefault="005B7A62"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5" w:type="dxa"/>
          <w:hideMark/>
        </w:tcPr>
        <w:p w14:paraId="512752C5" w14:textId="09AE472D" w:rsidR="00FB1C60" w:rsidRPr="00B4142F" w:rsidRDefault="005B7A62" w:rsidP="00E167CA">
          <w:pPr>
            <w:spacing w:after="120" w:line="256" w:lineRule="auto"/>
            <w:ind w:left="78" w:right="214"/>
            <w:rPr>
              <w:rFonts w:ascii="Palatino Linotype" w:hAnsi="Palatino Linotype" w:cs="Arial"/>
              <w:szCs w:val="20"/>
            </w:rPr>
          </w:pPr>
          <w:r>
            <w:rPr>
              <w:rFonts w:ascii="Palatino Linotype" w:hAnsi="Palatino Linotype" w:cs="Arial"/>
              <w:szCs w:val="20"/>
            </w:rPr>
            <w:t>0</w:t>
          </w:r>
          <w:r w:rsidR="00E167CA">
            <w:rPr>
              <w:rFonts w:ascii="Palatino Linotype" w:hAnsi="Palatino Linotype" w:cs="Arial"/>
              <w:szCs w:val="20"/>
            </w:rPr>
            <w:t>646</w:t>
          </w:r>
          <w:r>
            <w:rPr>
              <w:rFonts w:ascii="Palatino Linotype" w:hAnsi="Palatino Linotype" w:cs="Arial"/>
              <w:szCs w:val="20"/>
            </w:rPr>
            <w:t>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3EF4D0A4" w14:textId="77777777" w:rsidTr="00E167CA">
      <w:trPr>
        <w:trHeight w:val="196"/>
      </w:trPr>
      <w:tc>
        <w:tcPr>
          <w:tcW w:w="5240" w:type="dxa"/>
          <w:hideMark/>
        </w:tcPr>
        <w:p w14:paraId="3403C9ED" w14:textId="77777777" w:rsidR="00FB1C60" w:rsidRDefault="005B7A62"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5" w:type="dxa"/>
          <w:hideMark/>
        </w:tcPr>
        <w:p w14:paraId="1066486A" w14:textId="35B04EED" w:rsidR="00FB1C60" w:rsidRPr="00840752" w:rsidRDefault="001B317D" w:rsidP="00E167CA">
          <w:pPr>
            <w:spacing w:after="120" w:line="256" w:lineRule="auto"/>
            <w:ind w:left="78" w:right="214"/>
            <w:rPr>
              <w:rFonts w:ascii="Palatino Linotype" w:hAnsi="Palatino Linotype" w:cs="Arial"/>
              <w:szCs w:val="20"/>
            </w:rPr>
          </w:pPr>
          <w:r>
            <w:rPr>
              <w:rFonts w:ascii="Palatino Linotype" w:hAnsi="Palatino Linotype" w:cs="Arial"/>
              <w:szCs w:val="20"/>
            </w:rPr>
            <w:t>XXXXXXXXXXXXX</w:t>
          </w:r>
        </w:p>
      </w:tc>
    </w:tr>
    <w:tr w:rsidR="00FB1C60" w:rsidRPr="00633CD9" w14:paraId="614FD402" w14:textId="77777777" w:rsidTr="00E167CA">
      <w:trPr>
        <w:trHeight w:val="242"/>
      </w:trPr>
      <w:tc>
        <w:tcPr>
          <w:tcW w:w="5240" w:type="dxa"/>
          <w:hideMark/>
        </w:tcPr>
        <w:p w14:paraId="50F4FE04" w14:textId="77777777" w:rsidR="00FB1C60" w:rsidRDefault="005B7A62"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5" w:type="dxa"/>
          <w:hideMark/>
        </w:tcPr>
        <w:p w14:paraId="61C1C282" w14:textId="1FF4D51D" w:rsidR="00FB1C60" w:rsidRDefault="005B7A62" w:rsidP="00E167CA">
          <w:pPr>
            <w:spacing w:after="120" w:line="256" w:lineRule="auto"/>
            <w:ind w:left="78" w:right="214"/>
            <w:rPr>
              <w:rFonts w:ascii="Palatino Linotype" w:hAnsi="Palatino Linotype" w:cs="Arial"/>
              <w:szCs w:val="20"/>
            </w:rPr>
          </w:pPr>
          <w:r>
            <w:rPr>
              <w:rFonts w:ascii="Palatino Linotype" w:hAnsi="Palatino Linotype" w:cs="Arial"/>
              <w:szCs w:val="20"/>
            </w:rPr>
            <w:t xml:space="preserve">Ayuntamiento de </w:t>
          </w:r>
          <w:r w:rsidR="00E167CA">
            <w:rPr>
              <w:rFonts w:ascii="Palatino Linotype" w:hAnsi="Palatino Linotype" w:cs="Arial"/>
              <w:szCs w:val="20"/>
            </w:rPr>
            <w:t>Naucalpan de Juárez</w:t>
          </w:r>
        </w:p>
      </w:tc>
    </w:tr>
    <w:tr w:rsidR="00FB1C60" w14:paraId="67313C50" w14:textId="77777777" w:rsidTr="00E167CA">
      <w:trPr>
        <w:trHeight w:val="342"/>
      </w:trPr>
      <w:tc>
        <w:tcPr>
          <w:tcW w:w="5240" w:type="dxa"/>
          <w:hideMark/>
        </w:tcPr>
        <w:p w14:paraId="4E854850" w14:textId="77777777" w:rsidR="00FB1C60" w:rsidRDefault="005B7A62"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5" w:type="dxa"/>
          <w:hideMark/>
        </w:tcPr>
        <w:p w14:paraId="6A33FB01" w14:textId="77777777" w:rsidR="00FB1C60" w:rsidRDefault="005B7A62" w:rsidP="00E167CA">
          <w:pPr>
            <w:spacing w:after="120" w:line="256" w:lineRule="auto"/>
            <w:ind w:left="78" w:right="214"/>
            <w:rPr>
              <w:rFonts w:ascii="Palatino Linotype" w:hAnsi="Palatino Linotype" w:cs="Arial"/>
              <w:szCs w:val="20"/>
            </w:rPr>
          </w:pPr>
          <w:r>
            <w:rPr>
              <w:rFonts w:ascii="Palatino Linotype" w:hAnsi="Palatino Linotype" w:cs="Arial"/>
              <w:szCs w:val="20"/>
            </w:rPr>
            <w:t>José Martínez Vilchis</w:t>
          </w:r>
        </w:p>
      </w:tc>
    </w:tr>
  </w:tbl>
  <w:p w14:paraId="66E3B8EE" w14:textId="77777777" w:rsidR="00FB1C60" w:rsidRDefault="00773B75">
    <w:pPr>
      <w:pStyle w:val="Encabezado"/>
    </w:pPr>
    <w:r>
      <w:rPr>
        <w:rFonts w:asciiTheme="minorHAnsi" w:hAnsiTheme="minorHAnsi" w:cstheme="minorBidi"/>
        <w:noProof/>
        <w:szCs w:val="22"/>
      </w:rPr>
      <w:pict w14:anchorId="53CB3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0" o:spid="_x0000_s2049" type="#_x0000_t75" style="position:absolute;margin-left:-85.05pt;margin-top:-141.1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96E6C"/>
    <w:multiLevelType w:val="hybridMultilevel"/>
    <w:tmpl w:val="E6A6FC08"/>
    <w:lvl w:ilvl="0" w:tplc="3A7C01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CA"/>
    <w:rsid w:val="000809FF"/>
    <w:rsid w:val="001B317D"/>
    <w:rsid w:val="005B7A62"/>
    <w:rsid w:val="005C7EF5"/>
    <w:rsid w:val="005D5032"/>
    <w:rsid w:val="00652F10"/>
    <w:rsid w:val="00773B75"/>
    <w:rsid w:val="0079082B"/>
    <w:rsid w:val="007A1035"/>
    <w:rsid w:val="00813597"/>
    <w:rsid w:val="00A92D9A"/>
    <w:rsid w:val="00AA161D"/>
    <w:rsid w:val="00B91847"/>
    <w:rsid w:val="00C31200"/>
    <w:rsid w:val="00E167CA"/>
    <w:rsid w:val="00E6214F"/>
    <w:rsid w:val="00EA1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EA25D"/>
  <w15:chartTrackingRefBased/>
  <w15:docId w15:val="{6BBD69C6-26CA-4664-87B6-54552DBE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7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7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67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67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67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67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67C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167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167CA"/>
    <w:rPr>
      <w:rFonts w:ascii="Times New Roman" w:eastAsia="Times New Roman" w:hAnsi="Times New Roman" w:cs="Times New Roman"/>
      <w:sz w:val="24"/>
      <w:szCs w:val="24"/>
      <w:lang w:eastAsia="es-ES"/>
    </w:rPr>
  </w:style>
  <w:style w:type="table" w:customStyle="1" w:styleId="Tablaconcuadrcula7">
    <w:name w:val="Tabla con cuadrícula7"/>
    <w:basedOn w:val="Tablanormal"/>
    <w:next w:val="Tablaconcuadrcula"/>
    <w:uiPriority w:val="39"/>
    <w:rsid w:val="00E1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E167CA"/>
    <w:rPr>
      <w:color w:val="0563C1" w:themeColor="hyperlink"/>
      <w:u w:val="single"/>
    </w:rPr>
  </w:style>
  <w:style w:type="character" w:customStyle="1" w:styleId="apple-converted-space">
    <w:name w:val="apple-converted-space"/>
    <w:basedOn w:val="Fuentedeprrafopredeter"/>
    <w:rsid w:val="00E167CA"/>
  </w:style>
  <w:style w:type="paragraph" w:customStyle="1" w:styleId="infoemcitas">
    <w:name w:val="infoem citas"/>
    <w:basedOn w:val="Normal"/>
    <w:qFormat/>
    <w:rsid w:val="00E167CA"/>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E1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A1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6276</Words>
  <Characters>34521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2022-03-31T23:50:00Z</dcterms:created>
  <dcterms:modified xsi:type="dcterms:W3CDTF">2022-04-08T18:31:00Z</dcterms:modified>
</cp:coreProperties>
</file>