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79494"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0" w:name="_GoBack"/>
      <w:bookmarkEnd w:id="0"/>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dieciocho de mayo de dos mil veintidós.</w:t>
      </w:r>
    </w:p>
    <w:p w14:paraId="452BA65E"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69A2B42"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02019/INFOEM/IP/RR/2022</w:t>
      </w:r>
      <w:r>
        <w:rPr>
          <w:rFonts w:ascii="Palatino Linotype" w:eastAsia="Palatino Linotype" w:hAnsi="Palatino Linotype" w:cs="Palatino Linotype"/>
          <w:color w:val="000000"/>
          <w:sz w:val="24"/>
          <w:szCs w:val="24"/>
        </w:rPr>
        <w:t xml:space="preserve">, interpuesto por una persona de manera anónima,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Pr>
          <w:rFonts w:ascii="Palatino Linotype" w:eastAsia="Palatino Linotype" w:hAnsi="Palatino Linotype" w:cs="Palatino Linotype"/>
          <w:b/>
          <w:color w:val="000000"/>
          <w:sz w:val="24"/>
          <w:szCs w:val="24"/>
        </w:rPr>
        <w:t>Ayuntamiento de Metepec</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537A44EA"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B298DB" w14:textId="77777777" w:rsidR="004B4AB3" w:rsidRDefault="00835C06">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229EC6DA"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03F6300"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6"/>
          <w:szCs w:val="26"/>
        </w:rPr>
        <w:t>1.</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Solicitud de acceso a la información.</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color w:val="000000"/>
          <w:sz w:val="24"/>
          <w:szCs w:val="24"/>
        </w:rPr>
        <w:t xml:space="preserve">Con fecha </w:t>
      </w:r>
      <w:r>
        <w:rPr>
          <w:rFonts w:ascii="Palatino Linotype" w:eastAsia="Palatino Linotype" w:hAnsi="Palatino Linotype" w:cs="Palatino Linotype"/>
          <w:b/>
          <w:color w:val="000000"/>
          <w:sz w:val="24"/>
          <w:szCs w:val="24"/>
        </w:rPr>
        <w:t>diez de enero de dos mil veintidós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Mexiquense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ante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solicitud de información registrada con el número de expediente</w:t>
      </w:r>
      <w:r>
        <w:rPr>
          <w:rFonts w:ascii="Palatino Linotype" w:eastAsia="Palatino Linotype" w:hAnsi="Palatino Linotype" w:cs="Palatino Linotype"/>
          <w:b/>
          <w:color w:val="000000"/>
          <w:sz w:val="24"/>
          <w:szCs w:val="24"/>
        </w:rPr>
        <w:t xml:space="preserve"> 00644/METEPEC/IP/2022</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14:paraId="5AC5CD9E"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16DFF56"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solicita conocer el personal con el que cuentan las siguientes áreas que ha mencionado el Presidente Municipal: Dirección de Juventud, Dirección de Opinión Pública,” (Sic)</w:t>
      </w:r>
    </w:p>
    <w:p w14:paraId="23E97763"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95CF3B"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Pr>
          <w:rFonts w:ascii="Palatino Linotype" w:eastAsia="Palatino Linotype" w:hAnsi="Palatino Linotype" w:cs="Palatino Linotype"/>
          <w:color w:val="000000"/>
          <w:sz w:val="24"/>
          <w:szCs w:val="24"/>
        </w:rPr>
        <w:t>.</w:t>
      </w:r>
    </w:p>
    <w:p w14:paraId="643BE219"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5DC6DA"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6"/>
          <w:szCs w:val="26"/>
        </w:rPr>
        <w:lastRenderedPageBreak/>
        <w:t xml:space="preserve">2. Prórroga para dar respuesta a la solicitud.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veintinueve de enero de dos mil veintidós</w:t>
      </w:r>
      <w:r>
        <w:rPr>
          <w:rFonts w:ascii="Palatino Linotype" w:eastAsia="Palatino Linotype" w:hAnsi="Palatino Linotype" w:cs="Palatino Linotype"/>
          <w:color w:val="000000"/>
          <w:sz w:val="24"/>
          <w:szCs w:val="24"/>
        </w:rPr>
        <w:t>, el Sujeto Obligado hizo del conocimiento del Recurrente que se aprobó la prórroga para dar atención a la solicitud de información conforme al acuerdo emitido por el Comité de Transparencia en la Primera Sesión Extraordinaria celebrada el veintiuno de enero de dos mil veintidós.</w:t>
      </w:r>
    </w:p>
    <w:p w14:paraId="70A27701" w14:textId="77777777" w:rsidR="004B4AB3" w:rsidRDefault="00835C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6"/>
          <w:szCs w:val="26"/>
        </w:rPr>
        <w:t xml:space="preserve">3. Respuesta del Sujeto Obligado. </w:t>
      </w:r>
      <w:r>
        <w:rPr>
          <w:rFonts w:ascii="Palatino Linotype" w:eastAsia="Palatino Linotype" w:hAnsi="Palatino Linotype" w:cs="Palatino Linotype"/>
          <w:sz w:val="24"/>
          <w:szCs w:val="24"/>
        </w:rPr>
        <w:t xml:space="preserve">Con fecha </w:t>
      </w:r>
      <w:r>
        <w:rPr>
          <w:rFonts w:ascii="Palatino Linotype" w:eastAsia="Palatino Linotype" w:hAnsi="Palatino Linotype" w:cs="Palatino Linotype"/>
          <w:b/>
          <w:sz w:val="24"/>
          <w:szCs w:val="24"/>
        </w:rPr>
        <w:t xml:space="preserve">once de febrero de dos mil veintidós,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envió su respuesta a la solicitud de</w:t>
      </w:r>
      <w:r>
        <w:rPr>
          <w:rFonts w:ascii="Palatino Linotype" w:eastAsia="Palatino Linotype" w:hAnsi="Palatino Linotype" w:cs="Palatino Linotype"/>
        </w:rPr>
        <w:t xml:space="preserve"> acceso a la información a través de </w:t>
      </w:r>
      <w:r>
        <w:rPr>
          <w:rFonts w:ascii="Palatino Linotype" w:eastAsia="Palatino Linotype" w:hAnsi="Palatino Linotype" w:cs="Palatino Linotype"/>
          <w:b/>
        </w:rPr>
        <w:t>SAIMEX</w:t>
      </w:r>
      <w:r>
        <w:rPr>
          <w:rFonts w:ascii="Palatino Linotype" w:eastAsia="Palatino Linotype" w:hAnsi="Palatino Linotype" w:cs="Palatino Linotype"/>
        </w:rPr>
        <w:t xml:space="preserve">, sustancialmente en los términos siguientes: </w:t>
      </w:r>
    </w:p>
    <w:tbl>
      <w:tblPr>
        <w:tblStyle w:val="a"/>
        <w:tblW w:w="9072" w:type="dxa"/>
        <w:jc w:val="center"/>
        <w:tblInd w:w="0" w:type="dxa"/>
        <w:tblLayout w:type="fixed"/>
        <w:tblLook w:val="0400" w:firstRow="0" w:lastRow="0" w:firstColumn="0" w:lastColumn="0" w:noHBand="0" w:noVBand="1"/>
      </w:tblPr>
      <w:tblGrid>
        <w:gridCol w:w="9072"/>
      </w:tblGrid>
      <w:tr w:rsidR="004B4AB3" w14:paraId="09997039" w14:textId="77777777">
        <w:trPr>
          <w:trHeight w:val="150"/>
          <w:jc w:val="center"/>
        </w:trPr>
        <w:tc>
          <w:tcPr>
            <w:tcW w:w="9072" w:type="dxa"/>
            <w:vAlign w:val="center"/>
          </w:tcPr>
          <w:p w14:paraId="23BC4B17" w14:textId="77777777" w:rsidR="004B4AB3" w:rsidRDefault="00835C0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B4AB3" w14:paraId="7C6FD87D" w14:textId="77777777">
        <w:trPr>
          <w:trHeight w:val="375"/>
          <w:jc w:val="center"/>
        </w:trPr>
        <w:tc>
          <w:tcPr>
            <w:tcW w:w="9072" w:type="dxa"/>
            <w:vAlign w:val="center"/>
          </w:tcPr>
          <w:p w14:paraId="5E72FD64" w14:textId="77777777" w:rsidR="004B4AB3" w:rsidRDefault="004B4AB3">
            <w:pPr>
              <w:spacing w:after="0" w:line="240" w:lineRule="auto"/>
              <w:ind w:left="567" w:right="567"/>
              <w:rPr>
                <w:rFonts w:ascii="Palatino Linotype" w:eastAsia="Palatino Linotype" w:hAnsi="Palatino Linotype" w:cs="Palatino Linotype"/>
                <w:i/>
              </w:rPr>
            </w:pPr>
          </w:p>
        </w:tc>
      </w:tr>
      <w:tr w:rsidR="004B4AB3" w14:paraId="1AC133AF" w14:textId="77777777">
        <w:trPr>
          <w:trHeight w:val="150"/>
          <w:jc w:val="center"/>
        </w:trPr>
        <w:tc>
          <w:tcPr>
            <w:tcW w:w="9072" w:type="dxa"/>
            <w:vAlign w:val="center"/>
          </w:tcPr>
          <w:p w14:paraId="69D13A94" w14:textId="77777777" w:rsidR="004B4AB3" w:rsidRDefault="00835C0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C. SOLICITANTE P R E S E N T E. En respuesta a la solicitud número 00644/METEPEC/IP/2022,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tc>
      </w:tr>
      <w:tr w:rsidR="004B4AB3" w14:paraId="70B60885" w14:textId="77777777">
        <w:trPr>
          <w:trHeight w:val="375"/>
          <w:jc w:val="center"/>
        </w:trPr>
        <w:tc>
          <w:tcPr>
            <w:tcW w:w="9072" w:type="dxa"/>
            <w:vAlign w:val="center"/>
          </w:tcPr>
          <w:p w14:paraId="00E873FB" w14:textId="77777777" w:rsidR="004B4AB3" w:rsidRDefault="004B4AB3">
            <w:pPr>
              <w:spacing w:after="0" w:line="240" w:lineRule="auto"/>
              <w:ind w:left="567" w:right="567"/>
              <w:rPr>
                <w:rFonts w:ascii="Palatino Linotype" w:eastAsia="Palatino Linotype" w:hAnsi="Palatino Linotype" w:cs="Palatino Linotype"/>
                <w:i/>
              </w:rPr>
            </w:pPr>
          </w:p>
        </w:tc>
      </w:tr>
      <w:tr w:rsidR="004B4AB3" w14:paraId="34CC6331" w14:textId="77777777">
        <w:trPr>
          <w:trHeight w:val="150"/>
          <w:jc w:val="center"/>
        </w:trPr>
        <w:tc>
          <w:tcPr>
            <w:tcW w:w="9072" w:type="dxa"/>
            <w:vAlign w:val="center"/>
          </w:tcPr>
          <w:p w14:paraId="1271DA32" w14:textId="77777777" w:rsidR="004B4AB3" w:rsidRDefault="004B4AB3">
            <w:pPr>
              <w:spacing w:after="0" w:line="240" w:lineRule="auto"/>
              <w:ind w:left="567" w:right="567"/>
              <w:jc w:val="center"/>
              <w:rPr>
                <w:rFonts w:ascii="Palatino Linotype" w:eastAsia="Palatino Linotype" w:hAnsi="Palatino Linotype" w:cs="Palatino Linotype"/>
                <w:i/>
              </w:rPr>
            </w:pPr>
          </w:p>
        </w:tc>
      </w:tr>
      <w:tr w:rsidR="004B4AB3" w14:paraId="2594614C" w14:textId="77777777">
        <w:trPr>
          <w:trHeight w:val="150"/>
          <w:jc w:val="center"/>
        </w:trPr>
        <w:tc>
          <w:tcPr>
            <w:tcW w:w="9072" w:type="dxa"/>
            <w:vAlign w:val="center"/>
          </w:tcPr>
          <w:p w14:paraId="20061D07" w14:textId="77777777" w:rsidR="004B4AB3" w:rsidRDefault="004B4AB3">
            <w:pPr>
              <w:spacing w:after="0" w:line="240" w:lineRule="auto"/>
              <w:ind w:left="567" w:right="567"/>
              <w:rPr>
                <w:rFonts w:ascii="Palatino Linotype" w:eastAsia="Palatino Linotype" w:hAnsi="Palatino Linotype" w:cs="Palatino Linotype"/>
                <w:i/>
              </w:rPr>
            </w:pPr>
          </w:p>
        </w:tc>
      </w:tr>
      <w:tr w:rsidR="004B4AB3" w14:paraId="7603975F" w14:textId="77777777">
        <w:trPr>
          <w:trHeight w:val="150"/>
          <w:jc w:val="center"/>
        </w:trPr>
        <w:tc>
          <w:tcPr>
            <w:tcW w:w="9072" w:type="dxa"/>
            <w:vAlign w:val="center"/>
          </w:tcPr>
          <w:p w14:paraId="48656C96" w14:textId="77777777" w:rsidR="004B4AB3" w:rsidRDefault="00835C06">
            <w:pPr>
              <w:spacing w:after="0" w:line="240" w:lineRule="auto"/>
              <w:ind w:left="567" w:right="567"/>
              <w:rPr>
                <w:rFonts w:ascii="Palatino Linotype" w:eastAsia="Palatino Linotype" w:hAnsi="Palatino Linotype" w:cs="Palatino Linotype"/>
                <w:i/>
              </w:rPr>
            </w:pPr>
            <w:r>
              <w:rPr>
                <w:rFonts w:ascii="Palatino Linotype" w:eastAsia="Palatino Linotype" w:hAnsi="Palatino Linotype" w:cs="Palatino Linotype"/>
                <w:i/>
              </w:rPr>
              <w:t>ATENTAMENTE</w:t>
            </w:r>
          </w:p>
        </w:tc>
      </w:tr>
      <w:tr w:rsidR="004B4AB3" w14:paraId="76758255" w14:textId="77777777">
        <w:trPr>
          <w:trHeight w:val="225"/>
          <w:jc w:val="center"/>
        </w:trPr>
        <w:tc>
          <w:tcPr>
            <w:tcW w:w="9072" w:type="dxa"/>
            <w:vAlign w:val="center"/>
          </w:tcPr>
          <w:p w14:paraId="02D31266" w14:textId="77777777" w:rsidR="004B4AB3" w:rsidRDefault="004B4AB3">
            <w:pPr>
              <w:spacing w:after="0" w:line="240" w:lineRule="auto"/>
              <w:ind w:left="567" w:right="567"/>
              <w:rPr>
                <w:rFonts w:ascii="Palatino Linotype" w:eastAsia="Palatino Linotype" w:hAnsi="Palatino Linotype" w:cs="Palatino Linotype"/>
                <w:i/>
              </w:rPr>
            </w:pPr>
          </w:p>
        </w:tc>
      </w:tr>
      <w:tr w:rsidR="004B4AB3" w14:paraId="047E82DC" w14:textId="77777777">
        <w:trPr>
          <w:trHeight w:val="150"/>
          <w:jc w:val="center"/>
        </w:trPr>
        <w:tc>
          <w:tcPr>
            <w:tcW w:w="9072" w:type="dxa"/>
            <w:vAlign w:val="center"/>
          </w:tcPr>
          <w:p w14:paraId="1515E853"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rPr>
              <w:lastRenderedPageBreak/>
              <w:t>Lic. Gerardo Arturo Ozuna Martínez</w:t>
            </w:r>
            <w:r>
              <w:rPr>
                <w:rFonts w:ascii="Palatino Linotype" w:eastAsia="Palatino Linotype" w:hAnsi="Palatino Linotype" w:cs="Palatino Linotype"/>
                <w:i/>
                <w:color w:val="000000"/>
              </w:rPr>
              <w:t>” (Sic)</w:t>
            </w:r>
          </w:p>
        </w:tc>
      </w:tr>
    </w:tbl>
    <w:p w14:paraId="046EE913"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su respuesta se anexó el documento denominado “</w:t>
      </w:r>
      <w:hyperlink r:id="rId8">
        <w:r>
          <w:rPr>
            <w:rFonts w:ascii="Palatino Linotype" w:eastAsia="Palatino Linotype" w:hAnsi="Palatino Linotype" w:cs="Palatino Linotype"/>
            <w:i/>
            <w:color w:val="000000"/>
            <w:sz w:val="24"/>
            <w:szCs w:val="24"/>
          </w:rPr>
          <w:t>folio 00644 2022.pdf</w:t>
        </w:r>
      </w:hyperlink>
      <w:r>
        <w:rPr>
          <w:rFonts w:ascii="Palatino Linotype" w:eastAsia="Palatino Linotype" w:hAnsi="Palatino Linotype" w:cs="Palatino Linotype"/>
          <w:color w:val="000000"/>
          <w:sz w:val="24"/>
          <w:szCs w:val="24"/>
        </w:rPr>
        <w:t xml:space="preserve">”, que consiste en el oficio número DA/0625/2022, de fecha cuatro de febrero de dos mil veintidós, en el cual el Director de Administración señala que la Subdirección de Recursos Humanos, informa que en el organigrama autorizado, las áreas que se mencionan no existen por lo cual no obra documento alguno en sus archivos relacionado con los solicitado, como se advierte a continuación: </w:t>
      </w:r>
    </w:p>
    <w:p w14:paraId="2DF02564" w14:textId="77777777" w:rsidR="004B4AB3" w:rsidRDefault="00835C06">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rPr>
      </w:pPr>
      <w:r>
        <w:rPr>
          <w:noProof/>
        </w:rPr>
        <w:lastRenderedPageBreak/>
        <w:drawing>
          <wp:inline distT="0" distB="0" distL="0" distR="0" wp14:anchorId="78DF4424" wp14:editId="28461F47">
            <wp:extent cx="5083563" cy="624059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31740" t="13163" r="32901" b="5518"/>
                    <a:stretch>
                      <a:fillRect/>
                    </a:stretch>
                  </pic:blipFill>
                  <pic:spPr>
                    <a:xfrm>
                      <a:off x="0" y="0"/>
                      <a:ext cx="5083563" cy="6240597"/>
                    </a:xfrm>
                    <a:prstGeom prst="rect">
                      <a:avLst/>
                    </a:prstGeom>
                    <a:ln/>
                  </pic:spPr>
                </pic:pic>
              </a:graphicData>
            </a:graphic>
          </wp:inline>
        </w:drawing>
      </w:r>
    </w:p>
    <w:p w14:paraId="70D73C99"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6"/>
          <w:szCs w:val="26"/>
        </w:rPr>
        <w:lastRenderedPageBreak/>
        <w:t xml:space="preserve">4. </w:t>
      </w:r>
      <w:r>
        <w:rPr>
          <w:rFonts w:ascii="Palatino Linotype" w:eastAsia="Palatino Linotype" w:hAnsi="Palatino Linotype" w:cs="Palatino Linotype"/>
          <w:b/>
          <w:sz w:val="24"/>
          <w:szCs w:val="24"/>
        </w:rPr>
        <w:t xml:space="preserve">Interposición del Recurso de Revisión. </w:t>
      </w:r>
      <w:r>
        <w:rPr>
          <w:rFonts w:ascii="Palatino Linotype" w:eastAsia="Palatino Linotype" w:hAnsi="Palatino Linotype" w:cs="Palatino Linotype"/>
          <w:sz w:val="24"/>
          <w:szCs w:val="24"/>
        </w:rPr>
        <w:t xml:space="preserve">Inconforme con la respuesta, el día </w:t>
      </w:r>
      <w:r>
        <w:rPr>
          <w:rFonts w:ascii="Palatino Linotype" w:eastAsia="Palatino Linotype" w:hAnsi="Palatino Linotype" w:cs="Palatino Linotype"/>
          <w:b/>
          <w:sz w:val="24"/>
          <w:szCs w:val="24"/>
        </w:rPr>
        <w:t>veintiocho de febrero del dos mil veintidós</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materia del presente estudio, en el que señaló como:</w:t>
      </w:r>
    </w:p>
    <w:p w14:paraId="0C3CC088"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B2DA21" w14:textId="77777777" w:rsidR="004B4AB3" w:rsidRDefault="00835C0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14:paraId="1566EAB9" w14:textId="77777777" w:rsidR="004B4AB3" w:rsidRDefault="00835C06">
      <w:pPr>
        <w:spacing w:after="0"/>
        <w:ind w:left="567" w:right="616"/>
        <w:jc w:val="both"/>
        <w:rPr>
          <w:rFonts w:ascii="Palatino Linotype" w:eastAsia="Palatino Linotype" w:hAnsi="Palatino Linotype" w:cs="Palatino Linotype"/>
          <w:b/>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respuesta proporcionada por el Sujeto Obligado</w:t>
      </w:r>
      <w:r>
        <w:rPr>
          <w:rFonts w:ascii="Palatino Linotype" w:eastAsia="Palatino Linotype" w:hAnsi="Palatino Linotype" w:cs="Palatino Linotype"/>
          <w:i/>
        </w:rPr>
        <w:t>."(Sic)</w:t>
      </w:r>
    </w:p>
    <w:p w14:paraId="284780AB" w14:textId="77777777" w:rsidR="004B4AB3" w:rsidRDefault="004B4AB3">
      <w:pPr>
        <w:spacing w:after="0" w:line="360" w:lineRule="auto"/>
        <w:jc w:val="both"/>
        <w:rPr>
          <w:rFonts w:ascii="Palatino Linotype" w:eastAsia="Palatino Linotype" w:hAnsi="Palatino Linotype" w:cs="Palatino Linotype"/>
          <w:sz w:val="24"/>
          <w:szCs w:val="24"/>
        </w:rPr>
      </w:pPr>
    </w:p>
    <w:p w14:paraId="5A1FE235"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w:t>
      </w:r>
    </w:p>
    <w:p w14:paraId="1435ED0A" w14:textId="77777777" w:rsidR="004B4AB3" w:rsidRDefault="00835C06">
      <w:pPr>
        <w:spacing w:after="0"/>
        <w:ind w:left="567" w:right="616"/>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w:t>
      </w:r>
      <w:r>
        <w:rPr>
          <w:rFonts w:ascii="Palatino Linotype" w:eastAsia="Palatino Linotype" w:hAnsi="Palatino Linotype" w:cs="Palatino Linotype"/>
          <w:i/>
          <w:color w:val="000000"/>
        </w:rPr>
        <w:lastRenderedPageBreak/>
        <w:t>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Pr>
          <w:rFonts w:ascii="Verdana" w:eastAsia="Verdana" w:hAnsi="Verdana" w:cs="Verdana"/>
          <w:color w:val="000000"/>
          <w:sz w:val="14"/>
          <w:szCs w:val="14"/>
        </w:rPr>
        <w:t>.</w:t>
      </w:r>
      <w:r>
        <w:rPr>
          <w:rFonts w:ascii="Palatino Linotype" w:eastAsia="Palatino Linotype" w:hAnsi="Palatino Linotype" w:cs="Palatino Linotype"/>
          <w:i/>
        </w:rPr>
        <w:t>” (Sic)</w:t>
      </w:r>
    </w:p>
    <w:p w14:paraId="73D34DAE"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57FD22"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5</w:t>
      </w:r>
      <w:r>
        <w:rPr>
          <w:rFonts w:ascii="Palatino Linotype" w:eastAsia="Palatino Linotype" w:hAnsi="Palatino Linotype" w:cs="Palatino Linotype"/>
          <w:b/>
          <w:sz w:val="24"/>
          <w:szCs w:val="24"/>
        </w:rPr>
        <w:t xml:space="preserve">. Turno. </w:t>
      </w:r>
      <w:r>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recurso de revisión </w:t>
      </w:r>
      <w:r>
        <w:rPr>
          <w:rFonts w:ascii="Palatino Linotype" w:eastAsia="Palatino Linotype" w:hAnsi="Palatino Linotype" w:cs="Palatino Linotype"/>
          <w:b/>
          <w:sz w:val="24"/>
          <w:szCs w:val="24"/>
        </w:rPr>
        <w:t>02019/INFOEM/IP/RR/2022</w:t>
      </w:r>
      <w:r>
        <w:rPr>
          <w:rFonts w:ascii="Palatino Linotype" w:eastAsia="Palatino Linotype" w:hAnsi="Palatino Linotype" w:cs="Palatino Linotype"/>
          <w:sz w:val="24"/>
          <w:szCs w:val="24"/>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para su análisis, estudio, elaboración del proyecto y presentación ante el Pleno de este Instituto.</w:t>
      </w:r>
    </w:p>
    <w:p w14:paraId="2696AAA4" w14:textId="77777777" w:rsidR="004B4AB3" w:rsidRDefault="004B4AB3">
      <w:pPr>
        <w:spacing w:after="0" w:line="360" w:lineRule="auto"/>
        <w:jc w:val="both"/>
        <w:rPr>
          <w:rFonts w:ascii="Palatino Linotype" w:eastAsia="Palatino Linotype" w:hAnsi="Palatino Linotype" w:cs="Palatino Linotype"/>
          <w:sz w:val="24"/>
          <w:szCs w:val="24"/>
        </w:rPr>
      </w:pPr>
    </w:p>
    <w:p w14:paraId="7D1D0C46"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w:t>
      </w:r>
      <w:r>
        <w:rPr>
          <w:rFonts w:ascii="Palatino Linotype" w:eastAsia="Palatino Linotype" w:hAnsi="Palatino Linotype" w:cs="Palatino Linotype"/>
          <w:b/>
          <w:i/>
          <w:sz w:val="24"/>
          <w:szCs w:val="24"/>
        </w:rPr>
        <w:t xml:space="preserve"> </w:t>
      </w:r>
      <w:r>
        <w:rPr>
          <w:rFonts w:ascii="Palatino Linotype" w:eastAsia="Palatino Linotype" w:hAnsi="Palatino Linotype" w:cs="Palatino Linotype"/>
          <w:b/>
          <w:sz w:val="24"/>
          <w:szCs w:val="24"/>
        </w:rPr>
        <w:t>Admisión del Recursos de Revisión.</w:t>
      </w:r>
      <w:r>
        <w:rPr>
          <w:rFonts w:ascii="Palatino Linotype" w:eastAsia="Palatino Linotype" w:hAnsi="Palatino Linotype" w:cs="Palatino Linotype"/>
          <w:sz w:val="24"/>
          <w:szCs w:val="24"/>
        </w:rPr>
        <w:t xml:space="preserve"> Con fecha</w:t>
      </w:r>
      <w:r>
        <w:rPr>
          <w:rFonts w:ascii="Palatino Linotype" w:eastAsia="Palatino Linotype" w:hAnsi="Palatino Linotype" w:cs="Palatino Linotype"/>
          <w:b/>
          <w:sz w:val="24"/>
          <w:szCs w:val="24"/>
        </w:rPr>
        <w:t xml:space="preserve"> cuatro de marzo del dos mil veintidós, </w:t>
      </w: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w:t>
      </w:r>
      <w:r>
        <w:rPr>
          <w:rFonts w:ascii="Palatino Linotype" w:eastAsia="Palatino Linotype" w:hAnsi="Palatino Linotype" w:cs="Palatino Linotype"/>
          <w:sz w:val="24"/>
          <w:szCs w:val="24"/>
        </w:rPr>
        <w:lastRenderedPageBreak/>
        <w:t xml:space="preserve">ofrecieran pruebas, formularan alegatos y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presentara su informe justificado.</w:t>
      </w:r>
    </w:p>
    <w:p w14:paraId="5E6CCA32" w14:textId="77777777" w:rsidR="004B4AB3" w:rsidRDefault="004B4AB3">
      <w:pPr>
        <w:spacing w:after="0" w:line="360" w:lineRule="auto"/>
        <w:jc w:val="both"/>
        <w:rPr>
          <w:rFonts w:ascii="Palatino Linotype" w:eastAsia="Palatino Linotype" w:hAnsi="Palatino Linotype" w:cs="Palatino Linotype"/>
          <w:sz w:val="24"/>
          <w:szCs w:val="24"/>
        </w:rPr>
      </w:pPr>
    </w:p>
    <w:p w14:paraId="0E95C83E"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6.</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Manifestaciones</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fecha d</w:t>
      </w:r>
      <w:r>
        <w:rPr>
          <w:rFonts w:ascii="Palatino Linotype" w:eastAsia="Palatino Linotype" w:hAnsi="Palatino Linotype" w:cs="Palatino Linotype"/>
          <w:b/>
          <w:sz w:val="24"/>
          <w:szCs w:val="24"/>
        </w:rPr>
        <w:t xml:space="preserve">iecinueve de abril de dos mil veintidós </w:t>
      </w:r>
      <w:r>
        <w:rPr>
          <w:rFonts w:ascii="Palatino Linotype" w:eastAsia="Palatino Linotype" w:hAnsi="Palatino Linotype" w:cs="Palatino Linotype"/>
          <w:sz w:val="24"/>
          <w:szCs w:val="24"/>
        </w:rPr>
        <w:t>presentó su informe justificado</w:t>
      </w:r>
      <w:r>
        <w:rPr>
          <w:rFonts w:ascii="Palatino Linotype" w:eastAsia="Palatino Linotype" w:hAnsi="Palatino Linotype" w:cs="Palatino Linotype"/>
          <w:color w:val="000000"/>
          <w:sz w:val="24"/>
          <w:szCs w:val="24"/>
        </w:rPr>
        <w:t>, por su parte el recurrente no realizó manifestación alguna, como se observa a continuación:</w:t>
      </w:r>
    </w:p>
    <w:p w14:paraId="232FB177"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noProof/>
          <w:color w:val="FF0000"/>
          <w:sz w:val="24"/>
          <w:szCs w:val="24"/>
        </w:rPr>
        <w:drawing>
          <wp:inline distT="0" distB="0" distL="0" distR="0" wp14:anchorId="252AA68F" wp14:editId="70448587">
            <wp:extent cx="5791835" cy="21564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91835" cy="2156460"/>
                    </a:xfrm>
                    <a:prstGeom prst="rect">
                      <a:avLst/>
                    </a:prstGeom>
                    <a:ln/>
                  </pic:spPr>
                </pic:pic>
              </a:graphicData>
            </a:graphic>
          </wp:inline>
        </w:drawing>
      </w:r>
    </w:p>
    <w:p w14:paraId="77B7EBE2"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E12C25"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7. </w:t>
      </w:r>
      <w:r>
        <w:rPr>
          <w:rFonts w:ascii="Palatino Linotype" w:eastAsia="Palatino Linotype" w:hAnsi="Palatino Linotype" w:cs="Palatino Linotype"/>
          <w:b/>
          <w:sz w:val="24"/>
          <w:szCs w:val="24"/>
        </w:rPr>
        <w:t>Ampliación del término para resolver</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once  de mayo de dos mil veintidós</w:t>
      </w:r>
      <w:r>
        <w:rPr>
          <w:rFonts w:ascii="Palatino Linotype" w:eastAsia="Palatino Linotype" w:hAnsi="Palatino Linotype" w:cs="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A6768C7" w14:textId="77777777" w:rsidR="004B4AB3" w:rsidRDefault="004B4AB3">
      <w:pPr>
        <w:spacing w:after="0" w:line="360" w:lineRule="auto"/>
        <w:jc w:val="both"/>
        <w:rPr>
          <w:rFonts w:ascii="Palatino Linotype" w:eastAsia="Palatino Linotype" w:hAnsi="Palatino Linotype" w:cs="Palatino Linotype"/>
          <w:sz w:val="24"/>
          <w:szCs w:val="24"/>
        </w:rPr>
      </w:pPr>
    </w:p>
    <w:p w14:paraId="3C2B4BE5"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8. Cierre de Instrucción.</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once de mayo de dos mil veintidós,</w:t>
      </w:r>
      <w:r>
        <w:rPr>
          <w:rFonts w:ascii="Palatino Linotype" w:eastAsia="Palatino Linotype" w:hAnsi="Palatino Linotype" w:cs="Palatino Linotype"/>
          <w:sz w:val="24"/>
          <w:szCs w:val="24"/>
        </w:rPr>
        <w:t xml:space="preserve"> la Comisionada ponente determinó el cierre de instrucción en términos de la fracción VI del artículo </w:t>
      </w:r>
      <w:r>
        <w:rPr>
          <w:rFonts w:ascii="Palatino Linotype" w:eastAsia="Palatino Linotype" w:hAnsi="Palatino Linotype" w:cs="Palatino Linotype"/>
          <w:sz w:val="24"/>
          <w:szCs w:val="24"/>
        </w:rPr>
        <w:lastRenderedPageBreak/>
        <w:t>185 de la Ley de Transparencia y Acceso a la información Pública del Estado de México y Municipios.</w:t>
      </w:r>
    </w:p>
    <w:p w14:paraId="640B7378" w14:textId="77777777" w:rsidR="004B4AB3" w:rsidRDefault="00835C06">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14:paraId="2659B649"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B2D361"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PRIMERO. Competencia. </w:t>
      </w: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64074F"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7917B9" w14:textId="77777777" w:rsidR="004B4AB3" w:rsidRDefault="00835C06">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rPr>
        <w:t xml:space="preserve">SEGUNDO. </w:t>
      </w:r>
      <w:r>
        <w:rPr>
          <w:rFonts w:ascii="Palatino Linotype" w:eastAsia="Palatino Linotype" w:hAnsi="Palatino Linotype" w:cs="Palatino Linotype"/>
          <w:b/>
          <w:sz w:val="24"/>
          <w:szCs w:val="24"/>
        </w:rPr>
        <w:t>Oportunidad y Procedibilidad del Recurso de Revisión</w:t>
      </w:r>
      <w:r>
        <w:rPr>
          <w:rFonts w:ascii="Palatino Linotype" w:eastAsia="Palatino Linotype" w:hAnsi="Palatino Linotype" w:cs="Palatino Linotype"/>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en el estudio se advierte que el presente recurso fue interpuesto dentro del plazo de quince días hábiles, previsto en el primer artículo </w:t>
      </w:r>
      <w:r>
        <w:rPr>
          <w:rFonts w:ascii="Palatino Linotype" w:eastAsia="Palatino Linotype" w:hAnsi="Palatino Linotype" w:cs="Palatino Linotype"/>
          <w:sz w:val="24"/>
          <w:szCs w:val="24"/>
        </w:rPr>
        <w:lastRenderedPageBreak/>
        <w:t xml:space="preserve">señalado anteriormente como referencia, toda vez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remitió la respuesta a la solicitud de información el día </w:t>
      </w:r>
      <w:r>
        <w:rPr>
          <w:rFonts w:ascii="Palatino Linotype" w:eastAsia="Palatino Linotype" w:hAnsi="Palatino Linotype" w:cs="Palatino Linotype"/>
          <w:b/>
          <w:sz w:val="24"/>
          <w:szCs w:val="24"/>
        </w:rPr>
        <w:t xml:space="preserve">once de febrero de dos mil veintidós, </w:t>
      </w:r>
      <w:r>
        <w:rPr>
          <w:rFonts w:ascii="Palatino Linotype" w:eastAsia="Palatino Linotype" w:hAnsi="Palatino Linotype" w:cs="Palatino Linotype"/>
          <w:sz w:val="24"/>
          <w:szCs w:val="24"/>
        </w:rPr>
        <w:t xml:space="preserve">mientras que el recurso de revisión interpuesto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tuvo por presentado el día </w:t>
      </w:r>
      <w:r>
        <w:rPr>
          <w:rFonts w:ascii="Palatino Linotype" w:eastAsia="Palatino Linotype" w:hAnsi="Palatino Linotype" w:cs="Palatino Linotype"/>
          <w:b/>
          <w:sz w:val="24"/>
          <w:szCs w:val="24"/>
        </w:rPr>
        <w:t>veintiocho de febrero de dos mil veintidós</w:t>
      </w:r>
      <w:r>
        <w:rPr>
          <w:rFonts w:ascii="Palatino Linotype" w:eastAsia="Palatino Linotype" w:hAnsi="Palatino Linotype" w:cs="Palatino Linotype"/>
          <w:sz w:val="24"/>
          <w:szCs w:val="24"/>
        </w:rPr>
        <w:t>, esto es, al onceavo día en que tuvo conocimiento de la respuesta impugnada.</w:t>
      </w:r>
    </w:p>
    <w:p w14:paraId="198FECA0" w14:textId="77777777" w:rsidR="004B4AB3" w:rsidRDefault="00835C06">
      <w:pPr>
        <w:spacing w:before="240" w:after="240" w:line="360" w:lineRule="auto"/>
        <w:jc w:val="both"/>
        <w:rPr>
          <w:rFonts w:ascii="Palatino Linotype" w:eastAsia="Palatino Linotype" w:hAnsi="Palatino Linotype" w:cs="Palatino Linotype"/>
          <w:sz w:val="24"/>
          <w:szCs w:val="24"/>
        </w:rPr>
      </w:pPr>
      <w:bookmarkStart w:id="1" w:name="_heading=h.3znysh7" w:colFirst="0" w:colLast="0"/>
      <w:bookmarkEnd w:id="1"/>
      <w:r>
        <w:rPr>
          <w:rFonts w:ascii="Palatino Linotype" w:eastAsia="Palatino Linotype" w:hAnsi="Palatino Linotype" w:cs="Palatino Linotype"/>
          <w:sz w:val="24"/>
          <w:szCs w:val="24"/>
        </w:rPr>
        <w:t xml:space="preserve">En este sentido, al considerar la fecha en que se formuló la solicitud y la fecha en que respondió a ésta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así como la fecha en que se interpuso el recurso de revisión, se concluye que el presente recurso de revisión se encuentra dentro de los márgenes temporales previstos las disposiciones legales referidas.</w:t>
      </w:r>
    </w:p>
    <w:p w14:paraId="4175767D" w14:textId="77777777" w:rsidR="004B4AB3" w:rsidRDefault="00835C06">
      <w:pPr>
        <w:spacing w:before="240" w:after="240" w:line="360" w:lineRule="auto"/>
        <w:jc w:val="both"/>
        <w:rPr>
          <w:rFonts w:ascii="Palatino Linotype" w:eastAsia="Palatino Linotype" w:hAnsi="Palatino Linotype" w:cs="Palatino Linotype"/>
          <w:sz w:val="24"/>
          <w:szCs w:val="24"/>
        </w:rPr>
      </w:pPr>
      <w:bookmarkStart w:id="2" w:name="_heading=h.17dp8vu" w:colFirst="0" w:colLast="0"/>
      <w:bookmarkEnd w:id="2"/>
      <w:r>
        <w:rPr>
          <w:rFonts w:ascii="Palatino Linotype" w:eastAsia="Palatino Linotype" w:hAnsi="Palatino Linotype" w:cs="Palatino Linotype"/>
          <w:color w:val="000000"/>
          <w:sz w:val="24"/>
          <w:szCs w:val="24"/>
        </w:rPr>
        <w:t xml:space="preserve">Al mismo tiempo, por cuanto hace a la procedibilidad del recurso de revisión, es de suma importancia señalar que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 xml:space="preserve">no proporcionó nombre o seudónimo con el cual sea identificado, </w:t>
      </w:r>
      <w:r>
        <w:rPr>
          <w:rFonts w:ascii="Palatino Linotype" w:eastAsia="Palatino Linotype" w:hAnsi="Palatino Linotype" w:cs="Palatino Linotype"/>
          <w:color w:val="000000"/>
          <w:sz w:val="24"/>
          <w:szCs w:val="24"/>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4F745F" w14:textId="77777777" w:rsidR="004B4AB3" w:rsidRDefault="00835C06">
      <w:pPr>
        <w:spacing w:before="240" w:after="240" w:line="276"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Las solicitudes anónimas</w:t>
      </w:r>
      <w:r>
        <w:rPr>
          <w:rFonts w:ascii="Palatino Linotype" w:eastAsia="Palatino Linotype" w:hAnsi="Palatino Linotype" w:cs="Palatino Linotype"/>
          <w:i/>
          <w:color w:val="000000"/>
        </w:rPr>
        <w:t xml:space="preserve">, con nombre incompleto o seudónimo </w:t>
      </w:r>
      <w:r>
        <w:rPr>
          <w:rFonts w:ascii="Palatino Linotype" w:eastAsia="Palatino Linotype" w:hAnsi="Palatino Linotype" w:cs="Palatino Linotype"/>
          <w:b/>
          <w:i/>
          <w:color w:val="000000"/>
        </w:rPr>
        <w:t>serán procedentes para su trámite por parte del sujeto obligado ante quien se presente</w:t>
      </w:r>
      <w:r>
        <w:rPr>
          <w:rFonts w:ascii="Palatino Linotype" w:eastAsia="Palatino Linotype" w:hAnsi="Palatino Linotype" w:cs="Palatino Linotype"/>
          <w:i/>
          <w:color w:val="000000"/>
        </w:rPr>
        <w:t>. No podrá requerirse información adicional con motivo del nombre proporcionado por el solicitante."</w:t>
      </w:r>
    </w:p>
    <w:p w14:paraId="4D304DFB" w14:textId="77777777" w:rsidR="004B4AB3" w:rsidRDefault="00835C06">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tras la revisión del escrito de interposición, se concluye la acreditación plena de todos y cada uno de los elementos formales exigidos por el artículo 180 de la Ley de </w:t>
      </w:r>
      <w:r>
        <w:rPr>
          <w:rFonts w:ascii="Palatino Linotype" w:eastAsia="Palatino Linotype" w:hAnsi="Palatino Linotype" w:cs="Palatino Linotype"/>
          <w:sz w:val="24"/>
          <w:szCs w:val="24"/>
        </w:rPr>
        <w:lastRenderedPageBreak/>
        <w:t>Transparencia y Acceso a la Información Pública del Estado de México y Municipios, y en consecuencia resulta conforme a derecho entrar al estudio de fondo y resolver el presente medio de impugnación.</w:t>
      </w:r>
    </w:p>
    <w:p w14:paraId="512C7E7C" w14:textId="77777777" w:rsidR="004B4AB3" w:rsidRDefault="00835C06">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se advierte que resulta procedente la interposición del recurso, según lo manifestado por el recurrente en sus motivos de inconformidad, de acuerdo al artículo 179, fracción III del ordenamiento legal citado, que a la letra dice: </w:t>
      </w:r>
    </w:p>
    <w:p w14:paraId="32FD2EE5" w14:textId="77777777" w:rsidR="004B4AB3" w:rsidRDefault="00835C06">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4"/>
          <w:szCs w:val="24"/>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5FCC47C" w14:textId="77777777" w:rsidR="004B4AB3" w:rsidRDefault="00835C06">
      <w:pPr>
        <w:spacing w:before="240" w:after="240" w:line="276" w:lineRule="auto"/>
        <w:ind w:left="993"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14:paraId="3D0A92DA" w14:textId="77777777" w:rsidR="004B4AB3" w:rsidRDefault="00835C06">
      <w:pPr>
        <w:spacing w:before="240" w:after="240" w:line="276" w:lineRule="auto"/>
        <w:ind w:left="993"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La declaración de inexistencia de la información;”</w:t>
      </w:r>
    </w:p>
    <w:p w14:paraId="59B08BD0" w14:textId="77777777" w:rsidR="004B4AB3" w:rsidRDefault="00835C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TERCERO.</w:t>
      </w: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b/>
        </w:rPr>
        <w:t>Materia de Revisión</w:t>
      </w:r>
      <w:r>
        <w:rPr>
          <w:rFonts w:ascii="Palatino Linotype" w:eastAsia="Palatino Linotype" w:hAnsi="Palatino Linotype" w:cs="Palatino Linotype"/>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información remitida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64F08380" w14:textId="77777777" w:rsidR="004B4AB3" w:rsidRDefault="00835C06">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CUARTO. Estudio de fondo del asunto. </w:t>
      </w:r>
      <w:r>
        <w:rPr>
          <w:rFonts w:ascii="Palatino Linotype" w:eastAsia="Palatino Linotype" w:hAnsi="Palatino Linotype" w:cs="Palatino Linotype"/>
          <w:color w:val="000000"/>
          <w:sz w:val="24"/>
          <w:szCs w:val="24"/>
        </w:rPr>
        <w:t xml:space="preserve">Derivado del análisis del recurso de revisión materia del presente estudio, es pertinente recordar que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solicitó al Ayuntamiento de Metepec, lo siguiente:</w:t>
      </w:r>
    </w:p>
    <w:p w14:paraId="79F1B6A3" w14:textId="77777777" w:rsidR="004B4AB3" w:rsidRDefault="00835C0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Conocer el personal con que cuentan las áreas de la Dirección de Juventud y la Dirección de Opinión Pública.</w:t>
      </w:r>
    </w:p>
    <w:p w14:paraId="48F8960F"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lastRenderedPageBreak/>
        <w:t>Por su parte, el Sujeto Obligado respondió mediante el oficio DA/0625/2022 emitido por la Dirección de Administración, en el que señaló que la Subdirección de Recursos Humanos informa que las áreas referidas por el particular en su solicitud no existen en el organigrama autorizado.</w:t>
      </w:r>
    </w:p>
    <w:p w14:paraId="03A18742"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CE9F3A"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transgredido,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w:t>
      </w:r>
    </w:p>
    <w:p w14:paraId="1FBF7360"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EB9F4A8"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Se debe resaltar que el Sujeto Obligado realizó manifestaciones durante la etapa de instrucción en el presente procedimiento a efecto de ratificar su respuesta inicial. </w:t>
      </w:r>
    </w:p>
    <w:p w14:paraId="0EEB8F26"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DF6E88"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establecido lo anterior, este Organismo Garante considera viable realizar el estudio en aras de establecer si la respuesta del Sujeto Obligado colma la pretensión del Recurrente, así como calificar los motivos de inconformidad del particular. </w:t>
      </w:r>
    </w:p>
    <w:p w14:paraId="7FA04D6A"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C6DF02"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3F66212D"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137FD5"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Artículo 6o.</w:t>
      </w:r>
      <w:r>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eastAsia="Palatino Linotype" w:hAnsi="Palatino Linotype" w:cs="Palatino Linotype"/>
          <w:b/>
          <w:i/>
          <w:color w:val="000000"/>
        </w:rPr>
        <w:t>El derecho a la información será garantizado por el Estado.</w:t>
      </w:r>
      <w:r>
        <w:rPr>
          <w:rFonts w:ascii="Palatino Linotype" w:eastAsia="Palatino Linotype" w:hAnsi="Palatino Linotype" w:cs="Palatino Linotype"/>
          <w:i/>
          <w:color w:val="000000"/>
        </w:rPr>
        <w:t xml:space="preserve"> </w:t>
      </w:r>
    </w:p>
    <w:p w14:paraId="231BE8F8" w14:textId="77777777" w:rsidR="004B4AB3" w:rsidRDefault="004B4AB3">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00C53CBA"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29B75BC0" w14:textId="77777777" w:rsidR="004B4AB3" w:rsidRDefault="004B4AB3">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A47A6B8"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efectos de lo dispuesto en el presente artículo se observará lo siguiente:</w:t>
      </w:r>
    </w:p>
    <w:p w14:paraId="29D3E19C" w14:textId="77777777" w:rsidR="004B4AB3" w:rsidRDefault="004B4AB3">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082EA2D"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795E8547" w14:textId="77777777" w:rsidR="004B4AB3" w:rsidRDefault="004B4AB3">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A2BF931"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 Toda la información en posesión de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cualquier autoridad</w:t>
      </w:r>
      <w:r>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Pr>
          <w:rFonts w:ascii="Palatino Linotype" w:eastAsia="Palatino Linotype" w:hAnsi="Palatino Linotype" w:cs="Palatino Linotype"/>
          <w:b/>
          <w:i/>
          <w:color w:val="000000"/>
        </w:rPr>
        <w:t>en el ámbito federal, estatal y municipal, es pública</w:t>
      </w:r>
      <w:r>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color w:val="000000"/>
        </w:rPr>
        <w:t>Los sujetos obligados deberán documentar todo acto que derive del ejercicio de sus facultades, competencias o funciones</w:t>
      </w:r>
      <w:r>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4403A524"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5AE335D6"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99531D3"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4BA558BF"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la información completa y actualizada sobre el ejercicio de los </w:t>
      </w:r>
      <w:r>
        <w:rPr>
          <w:rFonts w:ascii="Palatino Linotype" w:eastAsia="Palatino Linotype" w:hAnsi="Palatino Linotype" w:cs="Palatino Linotype"/>
          <w:b/>
          <w:i/>
          <w:color w:val="000000"/>
        </w:rPr>
        <w:lastRenderedPageBreak/>
        <w:t xml:space="preserve">recursos públicos </w:t>
      </w:r>
      <w:r>
        <w:rPr>
          <w:rFonts w:ascii="Palatino Linotype" w:eastAsia="Palatino Linotype" w:hAnsi="Palatino Linotype" w:cs="Palatino Linotype"/>
          <w:i/>
          <w:color w:val="000000"/>
        </w:rPr>
        <w:t>y los indicadores que permitan rendir cuenta del cumplimiento de sus objetivos y de los resultados obtenidos.</w:t>
      </w:r>
    </w:p>
    <w:p w14:paraId="214A8336"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429870B4"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6D288B2B"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76FF266"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2CB2FD9C"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ley establecerá aquella información que se considere reservada o confidencial.</w:t>
      </w:r>
    </w:p>
    <w:p w14:paraId="69B8193E"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AD5BFA"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3AE7AB5"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A65961"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5</w:t>
      </w:r>
      <w:r>
        <w:rPr>
          <w:rFonts w:ascii="Palatino Linotype" w:eastAsia="Palatino Linotype" w:hAnsi="Palatino Linotype" w:cs="Palatino Linotype"/>
          <w:i/>
          <w:color w:val="000000"/>
        </w:rPr>
        <w:t xml:space="preserve">. … </w:t>
      </w:r>
    </w:p>
    <w:p w14:paraId="73BFC018"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1E393B1A" w14:textId="77777777" w:rsidR="004B4AB3" w:rsidRDefault="004B4AB3">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49D1AF5"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A1FD98E" w14:textId="77777777" w:rsidR="004B4AB3" w:rsidRDefault="004B4AB3">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62EA1166"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Este derecho se regirá por los principios y bases siguientes:</w:t>
      </w:r>
    </w:p>
    <w:p w14:paraId="48AA56B6" w14:textId="77777777" w:rsidR="004B4AB3" w:rsidRDefault="004B4AB3">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9CD6A18"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Pr>
          <w:rFonts w:ascii="Palatino Linotype" w:eastAsia="Palatino Linotype" w:hAnsi="Palatino Linotype" w:cs="Palatino Linotype"/>
          <w:i/>
          <w:color w:val="000000"/>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6BFCB9"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11CB3587"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3BD13A3C"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64B3E07E"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3B833AA"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CA2DE32" w14:textId="77777777" w:rsidR="004B4AB3" w:rsidRDefault="00835C0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7F32EB0B"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6FFEC1"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668D1265" w14:textId="77777777" w:rsidR="004B4AB3" w:rsidRDefault="004B4AB3">
      <w:pPr>
        <w:spacing w:after="0" w:line="360" w:lineRule="auto"/>
        <w:jc w:val="both"/>
        <w:rPr>
          <w:rFonts w:ascii="Palatino Linotype" w:eastAsia="Palatino Linotype" w:hAnsi="Palatino Linotype" w:cs="Palatino Linotype"/>
          <w:sz w:val="24"/>
          <w:szCs w:val="24"/>
        </w:rPr>
      </w:pPr>
    </w:p>
    <w:p w14:paraId="4D079631" w14:textId="77777777" w:rsidR="004B4AB3" w:rsidRDefault="00835C0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719A60D" w14:textId="77777777" w:rsidR="004B4AB3" w:rsidRDefault="00835C0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E0408CD" w14:textId="77777777" w:rsidR="004B4AB3" w:rsidRDefault="00835C0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IV.</w:t>
      </w:r>
      <w:r>
        <w:rPr>
          <w:rFonts w:ascii="Palatino Linotype" w:eastAsia="Palatino Linotype" w:hAnsi="Palatino Linotype" w:cs="Palatino Linotype"/>
          <w:i/>
        </w:rPr>
        <w:t xml:space="preserve"> Los ayuntamientos y las dependencias, organismos, órganos y entidades de la administración municipal;</w:t>
      </w:r>
    </w:p>
    <w:p w14:paraId="2BD296A3" w14:textId="77777777" w:rsidR="004B4AB3" w:rsidRDefault="00835C06">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8E9AFED"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0EE03A"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DBCF5B2"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2AABB1"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segundo término, se advierte que el Recurrente solicitó que se le respondiera el personal con el que cuentan la Dirección de Juventud y la Dirección de Opinión Pública, a lo que el Sujeto Obligado respondió que dichas áreas no existen dentro de su organigrama autorizado, por lo que este Instituto procedió a revisar el Bando Municipal de Metepec, Estado de México 2022, en el que se advierte que en su artículo 35  lo siguiente:</w:t>
      </w:r>
    </w:p>
    <w:p w14:paraId="61099338" w14:textId="77777777" w:rsidR="004B4AB3" w:rsidRDefault="004B4AB3">
      <w:pPr>
        <w:spacing w:after="0" w:line="240" w:lineRule="auto"/>
        <w:ind w:left="567" w:right="616"/>
        <w:jc w:val="both"/>
        <w:rPr>
          <w:rFonts w:ascii="Palatino Linotype" w:eastAsia="Palatino Linotype" w:hAnsi="Palatino Linotype" w:cs="Palatino Linotype"/>
          <w:i/>
        </w:rPr>
      </w:pPr>
    </w:p>
    <w:p w14:paraId="4761B717" w14:textId="77777777" w:rsidR="004B4AB3" w:rsidRDefault="00835C06">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35.-</w:t>
      </w:r>
      <w:r>
        <w:rPr>
          <w:rFonts w:ascii="Palatino Linotype" w:eastAsia="Palatino Linotype" w:hAnsi="Palatino Linotype" w:cs="Palatino Linotype"/>
          <w:i/>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0AB9CED7" w14:textId="77777777" w:rsidR="004B4AB3" w:rsidRDefault="004B4AB3">
      <w:pPr>
        <w:spacing w:after="0" w:line="240" w:lineRule="auto"/>
        <w:ind w:left="567" w:right="616"/>
        <w:jc w:val="both"/>
        <w:rPr>
          <w:rFonts w:ascii="Palatino Linotype" w:eastAsia="Palatino Linotype" w:hAnsi="Palatino Linotype" w:cs="Palatino Linotype"/>
          <w:i/>
        </w:rPr>
      </w:pPr>
    </w:p>
    <w:p w14:paraId="1540CDA6" w14:textId="77777777" w:rsidR="004B4AB3" w:rsidRDefault="00835C06">
      <w:pPr>
        <w:spacing w:after="0" w:line="240" w:lineRule="auto"/>
        <w:ind w:left="993" w:right="616"/>
        <w:jc w:val="both"/>
        <w:rPr>
          <w:rFonts w:ascii="Palatino Linotype" w:eastAsia="Palatino Linotype" w:hAnsi="Palatino Linotype" w:cs="Palatino Linotype"/>
          <w:i/>
        </w:rPr>
      </w:pPr>
      <w:r>
        <w:rPr>
          <w:rFonts w:ascii="Palatino Linotype" w:eastAsia="Palatino Linotype" w:hAnsi="Palatino Linotype" w:cs="Palatino Linotype"/>
          <w:i/>
        </w:rPr>
        <w:t>I. Presidencia Municipal;</w:t>
      </w:r>
    </w:p>
    <w:p w14:paraId="721E0DFA" w14:textId="77777777" w:rsidR="004B4AB3" w:rsidRDefault="00835C06">
      <w:pPr>
        <w:spacing w:after="0" w:line="240" w:lineRule="auto"/>
        <w:ind w:left="993" w:right="616"/>
        <w:jc w:val="both"/>
        <w:rPr>
          <w:rFonts w:ascii="Palatino Linotype" w:eastAsia="Palatino Linotype" w:hAnsi="Palatino Linotype" w:cs="Palatino Linotype"/>
          <w:i/>
        </w:rPr>
      </w:pPr>
      <w:r>
        <w:rPr>
          <w:rFonts w:ascii="Palatino Linotype" w:eastAsia="Palatino Linotype" w:hAnsi="Palatino Linotype" w:cs="Palatino Linotype"/>
          <w:i/>
        </w:rPr>
        <w:t>II. Secretaría del Ayuntamiento;</w:t>
      </w:r>
    </w:p>
    <w:p w14:paraId="060B2443" w14:textId="77777777" w:rsidR="004B4AB3" w:rsidRDefault="00835C06">
      <w:pPr>
        <w:spacing w:after="0" w:line="240" w:lineRule="auto"/>
        <w:ind w:left="993" w:right="616"/>
        <w:jc w:val="both"/>
        <w:rPr>
          <w:rFonts w:ascii="Palatino Linotype" w:eastAsia="Palatino Linotype" w:hAnsi="Palatino Linotype" w:cs="Palatino Linotype"/>
          <w:i/>
        </w:rPr>
      </w:pPr>
      <w:r>
        <w:rPr>
          <w:rFonts w:ascii="Palatino Linotype" w:eastAsia="Palatino Linotype" w:hAnsi="Palatino Linotype" w:cs="Palatino Linotype"/>
          <w:i/>
        </w:rPr>
        <w:t>III. Tesorería Municipal;</w:t>
      </w:r>
    </w:p>
    <w:p w14:paraId="747ADC4D" w14:textId="77777777" w:rsidR="004B4AB3" w:rsidRDefault="00835C06">
      <w:pPr>
        <w:spacing w:after="0" w:line="240" w:lineRule="auto"/>
        <w:ind w:left="993" w:right="616"/>
        <w:jc w:val="both"/>
        <w:rPr>
          <w:rFonts w:ascii="Palatino Linotype" w:eastAsia="Palatino Linotype" w:hAnsi="Palatino Linotype" w:cs="Palatino Linotype"/>
          <w:i/>
        </w:rPr>
      </w:pPr>
      <w:r>
        <w:rPr>
          <w:rFonts w:ascii="Palatino Linotype" w:eastAsia="Palatino Linotype" w:hAnsi="Palatino Linotype" w:cs="Palatino Linotype"/>
          <w:i/>
        </w:rPr>
        <w:t>IV. Contraloría Interna Municipal;</w:t>
      </w:r>
    </w:p>
    <w:p w14:paraId="28627E7E" w14:textId="77777777" w:rsidR="004B4AB3" w:rsidRDefault="00835C06">
      <w:pPr>
        <w:spacing w:after="0" w:line="240" w:lineRule="auto"/>
        <w:ind w:left="993" w:right="616"/>
        <w:jc w:val="both"/>
        <w:rPr>
          <w:rFonts w:ascii="Palatino Linotype" w:eastAsia="Palatino Linotype" w:hAnsi="Palatino Linotype" w:cs="Palatino Linotype"/>
          <w:i/>
        </w:rPr>
      </w:pPr>
      <w:r>
        <w:rPr>
          <w:rFonts w:ascii="Palatino Linotype" w:eastAsia="Palatino Linotype" w:hAnsi="Palatino Linotype" w:cs="Palatino Linotype"/>
          <w:i/>
        </w:rPr>
        <w:t>V. Consejería Jurídica;</w:t>
      </w:r>
    </w:p>
    <w:p w14:paraId="659B7FD0" w14:textId="77777777" w:rsidR="004B4AB3" w:rsidRDefault="00835C06">
      <w:pPr>
        <w:spacing w:after="0" w:line="240" w:lineRule="auto"/>
        <w:ind w:left="993" w:right="616"/>
        <w:jc w:val="both"/>
        <w:rPr>
          <w:rFonts w:ascii="Palatino Linotype" w:eastAsia="Palatino Linotype" w:hAnsi="Palatino Linotype" w:cs="Palatino Linotype"/>
          <w:i/>
        </w:rPr>
      </w:pPr>
      <w:r>
        <w:rPr>
          <w:rFonts w:ascii="Palatino Linotype" w:eastAsia="Palatino Linotype" w:hAnsi="Palatino Linotype" w:cs="Palatino Linotype"/>
          <w:i/>
        </w:rPr>
        <w:t>VI. Direcciones de:</w:t>
      </w:r>
    </w:p>
    <w:p w14:paraId="198338D0"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a) Administración;</w:t>
      </w:r>
    </w:p>
    <w:p w14:paraId="5A274CC4"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b) Cultura;</w:t>
      </w:r>
    </w:p>
    <w:p w14:paraId="30B8E6CD"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c) Desarrollo Económico, Turístico y Artesanal;</w:t>
      </w:r>
    </w:p>
    <w:p w14:paraId="407B1A05"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d) Desarrollo Social y Asuntos Indígenas;</w:t>
      </w:r>
    </w:p>
    <w:p w14:paraId="4DA1F999"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e) Desarrollo Urbano y Metropolitano;</w:t>
      </w:r>
    </w:p>
    <w:p w14:paraId="59F13CDF"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f) Educación;</w:t>
      </w:r>
    </w:p>
    <w:p w14:paraId="16B90C22"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g) Gobernación;</w:t>
      </w:r>
    </w:p>
    <w:p w14:paraId="54133504"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h) Gobierno por Resultados;</w:t>
      </w:r>
    </w:p>
    <w:p w14:paraId="7FE5AAEC"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i) Igualdad de Género;</w:t>
      </w:r>
    </w:p>
    <w:p w14:paraId="28DB2316"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j) Medio Ambiente;</w:t>
      </w:r>
    </w:p>
    <w:p w14:paraId="79DDC680"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k) Obras Públicas;</w:t>
      </w:r>
    </w:p>
    <w:p w14:paraId="4C150F97"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l) Seguridad Pública; y</w:t>
      </w:r>
    </w:p>
    <w:p w14:paraId="5F03EDB1" w14:textId="77777777" w:rsidR="004B4AB3" w:rsidRDefault="00835C06">
      <w:pPr>
        <w:spacing w:after="0" w:line="240" w:lineRule="auto"/>
        <w:ind w:left="1418" w:right="616"/>
        <w:jc w:val="both"/>
        <w:rPr>
          <w:rFonts w:ascii="Palatino Linotype" w:eastAsia="Palatino Linotype" w:hAnsi="Palatino Linotype" w:cs="Palatino Linotype"/>
          <w:i/>
        </w:rPr>
      </w:pPr>
      <w:r>
        <w:rPr>
          <w:rFonts w:ascii="Palatino Linotype" w:eastAsia="Palatino Linotype" w:hAnsi="Palatino Linotype" w:cs="Palatino Linotype"/>
          <w:i/>
        </w:rPr>
        <w:t>m) Servicios Públicos.</w:t>
      </w:r>
    </w:p>
    <w:p w14:paraId="34C29756" w14:textId="77777777" w:rsidR="004B4AB3" w:rsidRDefault="004B4AB3">
      <w:pPr>
        <w:spacing w:after="0" w:line="360" w:lineRule="auto"/>
        <w:jc w:val="both"/>
        <w:rPr>
          <w:rFonts w:ascii="Palatino Linotype" w:eastAsia="Palatino Linotype" w:hAnsi="Palatino Linotype" w:cs="Palatino Linotype"/>
          <w:sz w:val="24"/>
          <w:szCs w:val="24"/>
        </w:rPr>
      </w:pPr>
    </w:p>
    <w:p w14:paraId="283497A2"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desprende que, tal como lo señaló el Sujeto Obligado, las áreas referidas por el Recurrente no existen dentro de las direcciones que conforman la administración pública municipal centralizada, aunado a que la respuesta fue proporcionada por el servidor público habilitado competente. </w:t>
      </w:r>
    </w:p>
    <w:p w14:paraId="04A9F015" w14:textId="77777777" w:rsidR="004B4AB3" w:rsidRDefault="004B4AB3">
      <w:pPr>
        <w:spacing w:after="0" w:line="360" w:lineRule="auto"/>
        <w:jc w:val="both"/>
        <w:rPr>
          <w:rFonts w:ascii="Palatino Linotype" w:eastAsia="Palatino Linotype" w:hAnsi="Palatino Linotype" w:cs="Palatino Linotype"/>
          <w:sz w:val="24"/>
          <w:szCs w:val="24"/>
        </w:rPr>
      </w:pPr>
    </w:p>
    <w:p w14:paraId="066BFB06"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forma que el Sujeto Obligado emitió pronunciamientos tendientes a satisfacer el derecho de acceso a la información pública del particular, por lo que este Organismo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7789BACA" w14:textId="77777777" w:rsidR="004B4AB3" w:rsidRDefault="004B4AB3">
      <w:pPr>
        <w:spacing w:after="0" w:line="360" w:lineRule="auto"/>
        <w:jc w:val="both"/>
        <w:rPr>
          <w:rFonts w:ascii="Palatino Linotype" w:eastAsia="Palatino Linotype" w:hAnsi="Palatino Linotype" w:cs="Palatino Linotype"/>
          <w:sz w:val="24"/>
          <w:szCs w:val="24"/>
        </w:rPr>
      </w:pPr>
    </w:p>
    <w:p w14:paraId="79CFDEA0" w14:textId="77777777" w:rsidR="004B4AB3" w:rsidRDefault="00835C06">
      <w:pPr>
        <w:spacing w:after="0" w:line="24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69C9B15" w14:textId="77777777" w:rsidR="004B4AB3" w:rsidRDefault="004B4AB3">
      <w:pPr>
        <w:spacing w:after="0" w:line="360" w:lineRule="auto"/>
        <w:jc w:val="both"/>
        <w:rPr>
          <w:rFonts w:ascii="Palatino Linotype" w:eastAsia="Palatino Linotype" w:hAnsi="Palatino Linotype" w:cs="Palatino Linotype"/>
          <w:sz w:val="24"/>
          <w:szCs w:val="24"/>
        </w:rPr>
      </w:pPr>
    </w:p>
    <w:p w14:paraId="30F65151" w14:textId="77777777" w:rsidR="004B4AB3" w:rsidRDefault="00835C0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toda vez que ha quedado establecido que el Sujeto Obligado atendió la solicitud del hoy Recurrente correctamente, este Organismo Garante considera que los motivos de inconformidad planteados por el particular devienen infundados y, en consecuencia, es procedente confirmar la respuesta del Sujeto Obligado, puesto que se colmó a plenitud la pretensión del Recurrente. </w:t>
      </w:r>
    </w:p>
    <w:p w14:paraId="749A5E59" w14:textId="77777777" w:rsidR="004B4AB3" w:rsidRDefault="004B4AB3">
      <w:pPr>
        <w:spacing w:after="0" w:line="360" w:lineRule="auto"/>
        <w:jc w:val="both"/>
        <w:rPr>
          <w:rFonts w:ascii="Palatino Linotype" w:eastAsia="Palatino Linotype" w:hAnsi="Palatino Linotype" w:cs="Palatino Linotype"/>
          <w:sz w:val="24"/>
          <w:szCs w:val="24"/>
        </w:rPr>
      </w:pPr>
    </w:p>
    <w:p w14:paraId="612278F0" w14:textId="77777777" w:rsidR="004B4AB3" w:rsidRDefault="00835C0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Pr>
          <w:rFonts w:ascii="Palatino Linotype" w:eastAsia="Palatino Linotype" w:hAnsi="Palatino Linotype" w:cs="Palatino Linotype"/>
          <w:b/>
          <w:color w:val="000000"/>
          <w:sz w:val="24"/>
          <w:szCs w:val="24"/>
        </w:rPr>
        <w:t xml:space="preserve">00644/METEPEC/IP/2022 </w:t>
      </w:r>
      <w:r>
        <w:rPr>
          <w:rFonts w:ascii="Palatino Linotype" w:eastAsia="Palatino Linotype" w:hAnsi="Palatino Linotype" w:cs="Palatino Linotype"/>
          <w:color w:val="000000"/>
          <w:sz w:val="24"/>
          <w:szCs w:val="24"/>
        </w:rPr>
        <w:t>que ha sido materia del presente fallo, por lo que este Pleno:</w:t>
      </w:r>
    </w:p>
    <w:p w14:paraId="02866BBA"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DF7E8E" w14:textId="77777777" w:rsidR="004B4AB3" w:rsidRDefault="00835C06">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 E S U E L V E</w:t>
      </w:r>
    </w:p>
    <w:p w14:paraId="0E071271" w14:textId="77777777" w:rsidR="004B4AB3" w:rsidRDefault="004B4AB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14:paraId="405B1F0A"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PRIMERO. </w:t>
      </w:r>
      <w:r>
        <w:rPr>
          <w:rFonts w:ascii="Palatino Linotype" w:eastAsia="Palatino Linotype" w:hAnsi="Palatino Linotype" w:cs="Palatino Linotype"/>
          <w:color w:val="222222"/>
          <w:highlight w:val="white"/>
        </w:rPr>
        <w:t xml:space="preserve">Resultan infundados los motivos de inconformidad aducidos por el </w:t>
      </w:r>
      <w:r>
        <w:rPr>
          <w:rFonts w:ascii="Palatino Linotype" w:eastAsia="Palatino Linotype" w:hAnsi="Palatino Linotype" w:cs="Palatino Linotype"/>
          <w:b/>
          <w:color w:val="222222"/>
          <w:highlight w:val="white"/>
        </w:rPr>
        <w:t>RECURRENTE</w:t>
      </w:r>
      <w:r>
        <w:rPr>
          <w:rFonts w:ascii="Palatino Linotype" w:eastAsia="Palatino Linotype" w:hAnsi="Palatino Linotype" w:cs="Palatino Linotype"/>
          <w:color w:val="222222"/>
          <w:highlight w:val="white"/>
        </w:rPr>
        <w:t xml:space="preserve"> en el recurso de revisión </w:t>
      </w:r>
      <w:r>
        <w:rPr>
          <w:rFonts w:ascii="Palatino Linotype" w:eastAsia="Palatino Linotype" w:hAnsi="Palatino Linotype" w:cs="Palatino Linotype"/>
          <w:b/>
          <w:color w:val="222222"/>
          <w:highlight w:val="white"/>
        </w:rPr>
        <w:t xml:space="preserve">02019/INFOEM/IP/RR/2022 </w:t>
      </w:r>
      <w:r>
        <w:rPr>
          <w:rFonts w:ascii="Palatino Linotype" w:eastAsia="Palatino Linotype" w:hAnsi="Palatino Linotype" w:cs="Palatino Linotype"/>
          <w:color w:val="222222"/>
          <w:highlight w:val="white"/>
        </w:rPr>
        <w:t>por lo que, en términos del Considerando Cuarto de esta Resolución s</w:t>
      </w:r>
      <w:r>
        <w:rPr>
          <w:rFonts w:ascii="Palatino Linotype" w:eastAsia="Palatino Linotype" w:hAnsi="Palatino Linotype" w:cs="Palatino Linotype"/>
          <w:color w:val="000000"/>
          <w:sz w:val="24"/>
          <w:szCs w:val="24"/>
        </w:rPr>
        <w:t xml:space="preserve">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p>
    <w:p w14:paraId="02C29FFF"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F80B98C"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vía</w:t>
      </w:r>
      <w:r>
        <w:rPr>
          <w:rFonts w:ascii="Palatino Linotype" w:eastAsia="Palatino Linotype" w:hAnsi="Palatino Linotype" w:cs="Palatino Linotype"/>
          <w:sz w:val="24"/>
          <w:szCs w:val="24"/>
        </w:rPr>
        <w:t xml:space="preserve">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 para su conocimiento.</w:t>
      </w:r>
    </w:p>
    <w:p w14:paraId="085B2DBF" w14:textId="77777777" w:rsidR="004B4AB3" w:rsidRDefault="00835C06">
      <w:pPr>
        <w:spacing w:before="240" w:after="240" w:line="360" w:lineRule="auto"/>
        <w:jc w:val="both"/>
        <w:rPr>
          <w:rFonts w:ascii="Palatino Linotype" w:eastAsia="Palatino Linotype" w:hAnsi="Palatino Linotype" w:cs="Palatino Linotype"/>
          <w:sz w:val="24"/>
          <w:szCs w:val="24"/>
        </w:rPr>
      </w:pPr>
      <w:bookmarkStart w:id="3" w:name="_heading=h.4d34og8" w:colFirst="0" w:colLast="0"/>
      <w:bookmarkEnd w:id="3"/>
      <w:r>
        <w:rPr>
          <w:rFonts w:ascii="Palatino Linotype" w:eastAsia="Palatino Linotype" w:hAnsi="Palatino Linotype" w:cs="Palatino Linotype"/>
          <w:b/>
          <w:sz w:val="24"/>
          <w:szCs w:val="24"/>
        </w:rPr>
        <w:t xml:space="preserve">TERCERO.  Notifíquese, </w:t>
      </w:r>
      <w:r>
        <w:rPr>
          <w:rFonts w:ascii="Palatino Linotype" w:eastAsia="Palatino Linotype" w:hAnsi="Palatino Linotype" w:cs="Palatino Linotype"/>
          <w:sz w:val="24"/>
          <w:szCs w:val="24"/>
        </w:rPr>
        <w:t xml:space="preserve">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CC79EFF" w14:textId="77777777" w:rsidR="004B4AB3" w:rsidRDefault="00835C06">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612B5BF3"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577365C6"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bookmarkStart w:id="4" w:name="_heading=h.gjdgxs" w:colFirst="0" w:colLast="0"/>
      <w:bookmarkEnd w:id="4"/>
    </w:p>
    <w:p w14:paraId="0114375F"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F9CF433"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43514DAD"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211DC2B0"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0DC28F71"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C0589AF" w14:textId="77777777" w:rsidR="004B4AB3" w:rsidRDefault="004B4A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B800225" w14:textId="77777777" w:rsidR="004B4AB3" w:rsidRDefault="004B4AB3"/>
    <w:sectPr w:rsidR="004B4AB3">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43D66" w14:textId="77777777" w:rsidR="008105B1" w:rsidRDefault="008105B1">
      <w:pPr>
        <w:spacing w:after="0" w:line="240" w:lineRule="auto"/>
      </w:pPr>
      <w:r>
        <w:separator/>
      </w:r>
    </w:p>
  </w:endnote>
  <w:endnote w:type="continuationSeparator" w:id="0">
    <w:p w14:paraId="55EEC75E" w14:textId="77777777" w:rsidR="008105B1" w:rsidRDefault="0081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CB123" w14:textId="77777777" w:rsidR="004B4AB3" w:rsidRDefault="00835C0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731F">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731F">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59046208" w14:textId="77777777" w:rsidR="004B4AB3" w:rsidRDefault="004B4AB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00AC" w14:textId="77777777" w:rsidR="004B4AB3" w:rsidRDefault="00835C0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731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731F">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7122A87D" w14:textId="77777777" w:rsidR="004B4AB3" w:rsidRDefault="004B4AB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251D" w14:textId="77777777" w:rsidR="008105B1" w:rsidRDefault="008105B1">
      <w:pPr>
        <w:spacing w:after="0" w:line="240" w:lineRule="auto"/>
      </w:pPr>
      <w:r>
        <w:separator/>
      </w:r>
    </w:p>
  </w:footnote>
  <w:footnote w:type="continuationSeparator" w:id="0">
    <w:p w14:paraId="24C25DFC" w14:textId="77777777" w:rsidR="008105B1" w:rsidRDefault="00810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8C211" w14:textId="77777777" w:rsidR="004B4AB3" w:rsidRDefault="008105B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09053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5762D" w14:textId="77777777" w:rsidR="004B4AB3" w:rsidRDefault="004B4AB3">
    <w:pPr>
      <w:widowControl w:val="0"/>
      <w:pBdr>
        <w:top w:val="nil"/>
        <w:left w:val="nil"/>
        <w:bottom w:val="nil"/>
        <w:right w:val="nil"/>
        <w:between w:val="nil"/>
      </w:pBdr>
      <w:spacing w:after="0" w:line="276" w:lineRule="auto"/>
    </w:pPr>
  </w:p>
  <w:tbl>
    <w:tblPr>
      <w:tblStyle w:val="a0"/>
      <w:tblW w:w="9214" w:type="dxa"/>
      <w:tblInd w:w="0" w:type="dxa"/>
      <w:tblLayout w:type="fixed"/>
      <w:tblLook w:val="0400" w:firstRow="0" w:lastRow="0" w:firstColumn="0" w:lastColumn="0" w:noHBand="0" w:noVBand="1"/>
    </w:tblPr>
    <w:tblGrid>
      <w:gridCol w:w="5103"/>
      <w:gridCol w:w="4111"/>
    </w:tblGrid>
    <w:tr w:rsidR="004B4AB3" w14:paraId="2B7E17BE" w14:textId="77777777">
      <w:trPr>
        <w:trHeight w:val="227"/>
      </w:trPr>
      <w:tc>
        <w:tcPr>
          <w:tcW w:w="5103" w:type="dxa"/>
        </w:tcPr>
        <w:p w14:paraId="07B3664E" w14:textId="77777777" w:rsidR="004B4AB3" w:rsidRDefault="00835C06">
          <w:pPr>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08687C88" w14:textId="77777777" w:rsidR="004B4AB3" w:rsidRDefault="00835C06">
          <w:pPr>
            <w:spacing w:after="0" w:line="36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02019/INFOEM/IP/RR/2022</w:t>
          </w:r>
        </w:p>
      </w:tc>
    </w:tr>
    <w:tr w:rsidR="004B4AB3" w14:paraId="593C3747" w14:textId="77777777">
      <w:trPr>
        <w:trHeight w:val="242"/>
      </w:trPr>
      <w:tc>
        <w:tcPr>
          <w:tcW w:w="5103" w:type="dxa"/>
        </w:tcPr>
        <w:p w14:paraId="1F619F8E" w14:textId="77777777" w:rsidR="004B4AB3" w:rsidRDefault="00835C06">
          <w:pPr>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7F32C1A8" w14:textId="77777777" w:rsidR="004B4AB3" w:rsidRDefault="00835C06">
          <w:pPr>
            <w:spacing w:line="240" w:lineRule="auto"/>
            <w:ind w:right="71"/>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Metepec</w:t>
          </w:r>
        </w:p>
      </w:tc>
    </w:tr>
    <w:tr w:rsidR="004B4AB3" w14:paraId="47EF1F67" w14:textId="77777777">
      <w:trPr>
        <w:trHeight w:val="342"/>
      </w:trPr>
      <w:tc>
        <w:tcPr>
          <w:tcW w:w="5103" w:type="dxa"/>
        </w:tcPr>
        <w:p w14:paraId="76217256" w14:textId="77777777" w:rsidR="004B4AB3" w:rsidRDefault="00835C06">
          <w:pPr>
            <w:tabs>
              <w:tab w:val="left" w:pos="4892"/>
            </w:tabs>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7C2C3B62" w14:textId="77777777" w:rsidR="004B4AB3" w:rsidRDefault="00835C06">
          <w:pPr>
            <w:spacing w:after="0" w:line="36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B94958C" w14:textId="77777777" w:rsidR="004B4AB3" w:rsidRDefault="008105B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8BCB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0.05pt;margin-top:-143.4pt;width:609.4pt;height:793.75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AE81" w14:textId="77777777" w:rsidR="004B4AB3" w:rsidRDefault="004B4AB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1"/>
      <w:tblW w:w="9214" w:type="dxa"/>
      <w:tblInd w:w="0" w:type="dxa"/>
      <w:tblLayout w:type="fixed"/>
      <w:tblLook w:val="0400" w:firstRow="0" w:lastRow="0" w:firstColumn="0" w:lastColumn="0" w:noHBand="0" w:noVBand="1"/>
    </w:tblPr>
    <w:tblGrid>
      <w:gridCol w:w="5103"/>
      <w:gridCol w:w="4111"/>
    </w:tblGrid>
    <w:tr w:rsidR="004B4AB3" w14:paraId="4ABFF8DD" w14:textId="77777777">
      <w:trPr>
        <w:trHeight w:val="227"/>
      </w:trPr>
      <w:tc>
        <w:tcPr>
          <w:tcW w:w="5103" w:type="dxa"/>
        </w:tcPr>
        <w:p w14:paraId="43A16DD8" w14:textId="77777777" w:rsidR="004B4AB3" w:rsidRDefault="00835C06">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22FFCF49" w14:textId="77777777" w:rsidR="004B4AB3" w:rsidRDefault="00835C06">
          <w:pPr>
            <w:spacing w:after="0" w:line="36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02019/INFOEM/IP/RR/2022</w:t>
          </w:r>
        </w:p>
      </w:tc>
    </w:tr>
    <w:tr w:rsidR="004B4AB3" w14:paraId="26CE423C" w14:textId="77777777">
      <w:trPr>
        <w:trHeight w:val="196"/>
      </w:trPr>
      <w:tc>
        <w:tcPr>
          <w:tcW w:w="5103" w:type="dxa"/>
        </w:tcPr>
        <w:p w14:paraId="41BB0BDA" w14:textId="77777777" w:rsidR="004B4AB3" w:rsidRDefault="00835C06">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111" w:type="dxa"/>
        </w:tcPr>
        <w:p w14:paraId="3FC294AB" w14:textId="77777777" w:rsidR="004B4AB3" w:rsidRDefault="004B4AB3">
          <w:pPr>
            <w:spacing w:after="0" w:line="360" w:lineRule="auto"/>
            <w:ind w:right="68"/>
            <w:jc w:val="right"/>
            <w:rPr>
              <w:rFonts w:ascii="Palatino Linotype" w:eastAsia="Palatino Linotype" w:hAnsi="Palatino Linotype" w:cs="Palatino Linotype"/>
              <w:sz w:val="24"/>
              <w:szCs w:val="24"/>
            </w:rPr>
          </w:pPr>
        </w:p>
      </w:tc>
    </w:tr>
    <w:tr w:rsidR="004B4AB3" w14:paraId="0E5C7CF7" w14:textId="77777777">
      <w:trPr>
        <w:trHeight w:val="242"/>
      </w:trPr>
      <w:tc>
        <w:tcPr>
          <w:tcW w:w="5103" w:type="dxa"/>
        </w:tcPr>
        <w:p w14:paraId="51CFB0AB" w14:textId="77777777" w:rsidR="004B4AB3" w:rsidRDefault="00835C06">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27B964CB" w14:textId="77777777" w:rsidR="004B4AB3" w:rsidRDefault="00835C06">
          <w:pPr>
            <w:spacing w:line="240" w:lineRule="auto"/>
            <w:ind w:left="-70"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Metepec</w:t>
          </w:r>
        </w:p>
      </w:tc>
    </w:tr>
    <w:tr w:rsidR="004B4AB3" w14:paraId="28BBBE13" w14:textId="77777777">
      <w:trPr>
        <w:trHeight w:val="342"/>
      </w:trPr>
      <w:tc>
        <w:tcPr>
          <w:tcW w:w="5103" w:type="dxa"/>
        </w:tcPr>
        <w:p w14:paraId="0D32D292" w14:textId="77777777" w:rsidR="004B4AB3" w:rsidRDefault="00835C06">
          <w:pPr>
            <w:tabs>
              <w:tab w:val="left" w:pos="4892"/>
            </w:tabs>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71C4DF69" w14:textId="77777777" w:rsidR="004B4AB3" w:rsidRDefault="00835C06">
          <w:pPr>
            <w:spacing w:after="0" w:line="36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577AD5A" w14:textId="77777777" w:rsidR="004B4AB3" w:rsidRDefault="008105B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A6DE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9.85pt;margin-top:-157.2pt;width:609.4pt;height:793.75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B64F18"/>
    <w:multiLevelType w:val="multilevel"/>
    <w:tmpl w:val="251AB6D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663AE9"/>
    <w:multiLevelType w:val="multilevel"/>
    <w:tmpl w:val="65920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B3"/>
    <w:rsid w:val="00015554"/>
    <w:rsid w:val="004B4AB3"/>
    <w:rsid w:val="008105B1"/>
    <w:rsid w:val="00835C06"/>
    <w:rsid w:val="00AE731F"/>
    <w:rsid w:val="00B073AF"/>
    <w:rsid w:val="00B17B9E"/>
    <w:rsid w:val="00C86E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6C7526"/>
  <w15:docId w15:val="{FB90B75E-7F6A-4C6E-A9C0-716D915C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style>
  <w:style w:type="paragraph" w:customStyle="1" w:styleId="paragraph">
    <w:name w:val="paragraph"/>
    <w:basedOn w:val="Normal"/>
    <w:rsid w:val="00A405F6"/>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3157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AVWdCKEaE+JX4yWWzrsa2OJzDg==">AMUW2mW5VNzhGp96P1xWtDE0rgLZwzOchBrP8LnKABAw6+ip930MyjRYaiT2d4IgzSpzCbHicDOk/+Q9vz71ZcN5q7EZRXSmGn0MsSVdbZlE/mjBqVIlXJS8WFU61mlzMKbDeAtmwxkZLRiASgwrC/dGWX8b8tF0C/mRinJNMD971cSzg8z+9BE=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4309</Words>
  <Characters>23700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cp:lastModifiedBy>
  <cp:revision>2</cp:revision>
  <cp:lastPrinted>2022-05-22T05:11:00Z</cp:lastPrinted>
  <dcterms:created xsi:type="dcterms:W3CDTF">2022-06-07T00:54:00Z</dcterms:created>
  <dcterms:modified xsi:type="dcterms:W3CDTF">2022-06-07T00:54:00Z</dcterms:modified>
</cp:coreProperties>
</file>