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0417" w:rsidRDefault="00780A47">
      <w:pPr>
        <w:spacing w:before="240" w:after="240" w:line="360" w:lineRule="auto"/>
        <w:jc w:val="both"/>
        <w:rPr>
          <w:rFonts w:ascii="Palatino Linotype" w:eastAsia="Palatino Linotype" w:hAnsi="Palatino Linotype" w:cs="Palatino Linotype"/>
        </w:rPr>
      </w:pPr>
      <w:bookmarkStart w:id="0" w:name="_GoBack"/>
      <w:bookmarkEnd w:id="0"/>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ocho de junio de dos mil veintidós. </w:t>
      </w:r>
    </w:p>
    <w:p w:rsidR="00B70417" w:rsidRDefault="00780A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VISTOS</w:t>
      </w:r>
      <w:r>
        <w:rPr>
          <w:rFonts w:ascii="Palatino Linotype" w:eastAsia="Palatino Linotype" w:hAnsi="Palatino Linotype" w:cs="Palatino Linotype"/>
        </w:rPr>
        <w:t xml:space="preserve"> los expedientes formados con motivo de los recursos de revisión </w:t>
      </w:r>
      <w:r>
        <w:rPr>
          <w:rFonts w:ascii="Palatino Linotype" w:eastAsia="Palatino Linotype" w:hAnsi="Palatino Linotype" w:cs="Palatino Linotype"/>
          <w:b/>
        </w:rPr>
        <w:t xml:space="preserve">02014/INFOEM/IP/RR/2022  </w:t>
      </w:r>
      <w:r>
        <w:rPr>
          <w:rFonts w:ascii="Palatino Linotype" w:eastAsia="Palatino Linotype" w:hAnsi="Palatino Linotype" w:cs="Palatino Linotype"/>
        </w:rPr>
        <w:t xml:space="preserve">y </w:t>
      </w:r>
      <w:r>
        <w:rPr>
          <w:rFonts w:ascii="Palatino Linotype" w:eastAsia="Palatino Linotype" w:hAnsi="Palatino Linotype" w:cs="Palatino Linotype"/>
          <w:b/>
        </w:rPr>
        <w:t>02247/INFOEM/IP/RR/2022</w:t>
      </w:r>
      <w:r>
        <w:rPr>
          <w:rFonts w:ascii="Palatino Linotype" w:eastAsia="Palatino Linotype" w:hAnsi="Palatino Linotype" w:cs="Palatino Linotype"/>
        </w:rPr>
        <w:t xml:space="preserve">, </w:t>
      </w:r>
      <w:r>
        <w:rPr>
          <w:rFonts w:ascii="Palatino Linotype" w:eastAsia="Palatino Linotype" w:hAnsi="Palatino Linotype" w:cs="Palatino Linotype"/>
          <w:b/>
        </w:rPr>
        <w:t>acumulados,</w:t>
      </w:r>
      <w:r>
        <w:rPr>
          <w:rFonts w:ascii="Palatino Linotype" w:eastAsia="Palatino Linotype" w:hAnsi="Palatino Linotype" w:cs="Palatino Linotype"/>
        </w:rPr>
        <w:t xml:space="preserve"> interpuestos por</w:t>
      </w:r>
      <w:r>
        <w:rPr>
          <w:rFonts w:ascii="Palatino Linotype" w:eastAsia="Palatino Linotype" w:hAnsi="Palatino Linotype" w:cs="Palatino Linotype"/>
          <w:b/>
        </w:rPr>
        <w:t xml:space="preserve"> un particular que no proporcionó nombre o seudónimo, </w:t>
      </w:r>
      <w:r>
        <w:rPr>
          <w:rFonts w:ascii="Palatino Linotype" w:eastAsia="Palatino Linotype" w:hAnsi="Palatino Linotype" w:cs="Palatino Linotype"/>
        </w:rPr>
        <w:t>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las respuestas a sus solicitudes por parte del </w:t>
      </w:r>
      <w:r>
        <w:rPr>
          <w:rFonts w:ascii="Palatino Linotype" w:eastAsia="Palatino Linotype" w:hAnsi="Palatino Linotype" w:cs="Palatino Linotype"/>
          <w:b/>
        </w:rPr>
        <w:t xml:space="preserve">Ayuntamiento de Metepec,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B70417" w:rsidRDefault="00780A47">
      <w:pPr>
        <w:spacing w:before="240" w:after="24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I. A N T E C E D E N T E S</w:t>
      </w:r>
    </w:p>
    <w:p w:rsidR="00B70417" w:rsidRDefault="00780A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Solicitudes de acceso a la información.</w:t>
      </w:r>
      <w:r>
        <w:rPr>
          <w:rFonts w:ascii="Palatino Linotype" w:eastAsia="Palatino Linotype" w:hAnsi="Palatino Linotype" w:cs="Palatino Linotype"/>
        </w:rPr>
        <w:t xml:space="preserve"> Con fechas  </w:t>
      </w:r>
      <w:r>
        <w:rPr>
          <w:rFonts w:ascii="Palatino Linotype" w:eastAsia="Palatino Linotype" w:hAnsi="Palatino Linotype" w:cs="Palatino Linotype"/>
          <w:b/>
        </w:rPr>
        <w:t xml:space="preserve">diez y doce de enero de dos mil veintidós, </w:t>
      </w:r>
      <w:r>
        <w:rPr>
          <w:rFonts w:ascii="Palatino Linotype" w:eastAsia="Palatino Linotype" w:hAnsi="Palatino Linotype" w:cs="Palatino Linotype"/>
        </w:rPr>
        <w:t xml:space="preserve">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presentó, través del Sistema de Acceso a la Información Mexiquense, en lo subsecuente el </w:t>
      </w:r>
      <w:r>
        <w:rPr>
          <w:rFonts w:ascii="Palatino Linotype" w:eastAsia="Palatino Linotype" w:hAnsi="Palatino Linotype" w:cs="Palatino Linotype"/>
          <w:b/>
        </w:rPr>
        <w:t xml:space="preserve">SAIMEX, </w:t>
      </w:r>
      <w:r>
        <w:rPr>
          <w:rFonts w:ascii="Palatino Linotype" w:eastAsia="Palatino Linotype" w:hAnsi="Palatino Linotype" w:cs="Palatino Linotype"/>
        </w:rPr>
        <w:t xml:space="preserve">ante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las solicitudes de acceso a la información pública, a las que se les asignaron los números </w:t>
      </w:r>
      <w:r>
        <w:rPr>
          <w:rFonts w:ascii="Palatino Linotype" w:eastAsia="Palatino Linotype" w:hAnsi="Palatino Linotype" w:cs="Palatino Linotype"/>
          <w:b/>
        </w:rPr>
        <w:t xml:space="preserve">00332/METEPEC/IP/2022 </w:t>
      </w:r>
      <w:r>
        <w:rPr>
          <w:rFonts w:ascii="Palatino Linotype" w:eastAsia="Palatino Linotype" w:hAnsi="Palatino Linotype" w:cs="Palatino Linotype"/>
        </w:rPr>
        <w:t xml:space="preserve">y </w:t>
      </w:r>
      <w:r>
        <w:rPr>
          <w:rFonts w:ascii="Palatino Linotype" w:eastAsia="Palatino Linotype" w:hAnsi="Palatino Linotype" w:cs="Palatino Linotype"/>
          <w:b/>
        </w:rPr>
        <w:t xml:space="preserve">01003/METEPEC/IP/2022, </w:t>
      </w:r>
      <w:r>
        <w:rPr>
          <w:rFonts w:ascii="Palatino Linotype" w:eastAsia="Palatino Linotype" w:hAnsi="Palatino Linotype" w:cs="Palatino Linotype"/>
        </w:rPr>
        <w:t>mediante las cuales requirió la información siguiente:</w:t>
      </w:r>
    </w:p>
    <w:tbl>
      <w:tblPr>
        <w:tblStyle w:val="a7"/>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281"/>
      </w:tblGrid>
      <w:tr w:rsidR="00B70417">
        <w:trPr>
          <w:jc w:val="center"/>
        </w:trPr>
        <w:tc>
          <w:tcPr>
            <w:tcW w:w="2547" w:type="dxa"/>
            <w:vAlign w:val="center"/>
          </w:tcPr>
          <w:p w:rsidR="00B70417" w:rsidRDefault="00780A47">
            <w:pPr>
              <w:jc w:val="center"/>
              <w:rPr>
                <w:rFonts w:ascii="Palatino Linotype" w:eastAsia="Palatino Linotype" w:hAnsi="Palatino Linotype" w:cs="Palatino Linotype"/>
              </w:rPr>
            </w:pPr>
            <w:bookmarkStart w:id="1" w:name="_heading=h.gjdgxs" w:colFirst="0" w:colLast="0"/>
            <w:bookmarkEnd w:id="1"/>
            <w:r>
              <w:rPr>
                <w:rFonts w:ascii="Palatino Linotype" w:eastAsia="Palatino Linotype" w:hAnsi="Palatino Linotype" w:cs="Palatino Linotype"/>
                <w:b/>
                <w:sz w:val="20"/>
                <w:szCs w:val="20"/>
              </w:rPr>
              <w:t>Solicitud 00332/METEPEC/IP/2022</w:t>
            </w:r>
          </w:p>
        </w:tc>
        <w:tc>
          <w:tcPr>
            <w:tcW w:w="6281" w:type="dxa"/>
            <w:vAlign w:val="center"/>
          </w:tcPr>
          <w:p w:rsidR="00B70417" w:rsidRDefault="00780A47">
            <w:pPr>
              <w:jc w:val="center"/>
              <w:rPr>
                <w:rFonts w:ascii="Palatino Linotype" w:eastAsia="Palatino Linotype" w:hAnsi="Palatino Linotype" w:cs="Palatino Linotype"/>
                <w:i/>
              </w:rPr>
            </w:pPr>
            <w:r>
              <w:rPr>
                <w:rFonts w:ascii="Palatino Linotype" w:eastAsia="Palatino Linotype" w:hAnsi="Palatino Linotype" w:cs="Palatino Linotype"/>
                <w:i/>
                <w:sz w:val="20"/>
                <w:szCs w:val="20"/>
              </w:rPr>
              <w:t>“Se solicita conocer los manuales, procedimientos o políticas para la atención de personas con discapacidad, adultos mayores y demás grupos vulnerables en las oficinas municipales para la realización de trámites, pagos, servicios."” (sic)</w:t>
            </w:r>
          </w:p>
        </w:tc>
      </w:tr>
      <w:tr w:rsidR="00B70417">
        <w:trPr>
          <w:jc w:val="center"/>
        </w:trPr>
        <w:tc>
          <w:tcPr>
            <w:tcW w:w="2547" w:type="dxa"/>
            <w:vAlign w:val="center"/>
          </w:tcPr>
          <w:p w:rsidR="00B70417" w:rsidRDefault="00780A47">
            <w:pPr>
              <w:jc w:val="center"/>
              <w:rPr>
                <w:rFonts w:ascii="Palatino Linotype" w:eastAsia="Palatino Linotype" w:hAnsi="Palatino Linotype" w:cs="Palatino Linotype"/>
              </w:rPr>
            </w:pPr>
            <w:r>
              <w:rPr>
                <w:rFonts w:ascii="Palatino Linotype" w:eastAsia="Palatino Linotype" w:hAnsi="Palatino Linotype" w:cs="Palatino Linotype"/>
                <w:b/>
                <w:sz w:val="20"/>
                <w:szCs w:val="20"/>
              </w:rPr>
              <w:t>Solicitud 01003/METEPEC/IP/2022</w:t>
            </w:r>
          </w:p>
        </w:tc>
        <w:tc>
          <w:tcPr>
            <w:tcW w:w="6281" w:type="dxa"/>
            <w:vAlign w:val="center"/>
          </w:tcPr>
          <w:p w:rsidR="00B70417" w:rsidRDefault="00780A47">
            <w:pPr>
              <w:pBdr>
                <w:top w:val="nil"/>
                <w:left w:val="nil"/>
                <w:bottom w:val="nil"/>
                <w:right w:val="nil"/>
                <w:between w:val="nil"/>
              </w:pBdr>
              <w:jc w:val="center"/>
              <w:rPr>
                <w:rFonts w:ascii="Palatino Linotype" w:eastAsia="Palatino Linotype" w:hAnsi="Palatino Linotype" w:cs="Palatino Linotype"/>
                <w:sz w:val="20"/>
                <w:szCs w:val="20"/>
              </w:rPr>
            </w:pPr>
            <w:r>
              <w:rPr>
                <w:rFonts w:ascii="Palatino Linotype" w:eastAsia="Palatino Linotype" w:hAnsi="Palatino Linotype" w:cs="Palatino Linotype"/>
                <w:i/>
                <w:sz w:val="20"/>
                <w:szCs w:val="20"/>
              </w:rPr>
              <w:t>“Se requieren todos los manuales de procedimientos y de organización de todas las áreas que hayan contado con uno desde el 2013 hasta el 2021.” (sic)</w:t>
            </w:r>
          </w:p>
        </w:tc>
      </w:tr>
    </w:tbl>
    <w:p w:rsidR="00B70417" w:rsidRDefault="00B70417">
      <w:pPr>
        <w:spacing w:line="360" w:lineRule="auto"/>
        <w:ind w:right="900"/>
        <w:jc w:val="both"/>
        <w:rPr>
          <w:rFonts w:ascii="Palatino Linotype" w:eastAsia="Palatino Linotype" w:hAnsi="Palatino Linotype" w:cs="Palatino Linotype"/>
        </w:rPr>
      </w:pPr>
    </w:p>
    <w:p w:rsidR="00B70417" w:rsidRDefault="00780A47">
      <w:pPr>
        <w:spacing w:line="360" w:lineRule="auto"/>
        <w:ind w:right="90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adjuntó archivos a sus solicitudes.</w:t>
      </w:r>
    </w:p>
    <w:p w:rsidR="00B70417" w:rsidRDefault="00780A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 SAIMEX en ambos casos.</w:t>
      </w:r>
    </w:p>
    <w:p w:rsidR="00B70417" w:rsidRDefault="00780A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Prórroga. </w:t>
      </w:r>
      <w:r>
        <w:rPr>
          <w:rFonts w:ascii="Palatino Linotype" w:eastAsia="Palatino Linotype" w:hAnsi="Palatino Linotype" w:cs="Palatino Linotype"/>
        </w:rPr>
        <w:t xml:space="preserve">Con fechas  </w:t>
      </w:r>
      <w:r>
        <w:rPr>
          <w:rFonts w:ascii="Palatino Linotype" w:eastAsia="Palatino Linotype" w:hAnsi="Palatino Linotype" w:cs="Palatino Linotype"/>
          <w:b/>
        </w:rPr>
        <w:t>veintinueve y treinta y uno de enero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solicitó prórroga mediante </w:t>
      </w:r>
      <w:r>
        <w:rPr>
          <w:rFonts w:ascii="Palatino Linotype" w:eastAsia="Palatino Linotype" w:hAnsi="Palatino Linotype" w:cs="Palatino Linotype"/>
          <w:b/>
        </w:rPr>
        <w:t xml:space="preserve">SAIMEX, </w:t>
      </w:r>
      <w:r>
        <w:rPr>
          <w:rFonts w:ascii="Palatino Linotype" w:eastAsia="Palatino Linotype" w:hAnsi="Palatino Linotype" w:cs="Palatino Linotype"/>
        </w:rPr>
        <w:t>argumentando lo siguiente:</w:t>
      </w:r>
    </w:p>
    <w:p w:rsidR="00B70417" w:rsidRDefault="00780A47">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“...METEPEC, ESTADO DE MEXICO, ENERO DEL AÑO 2022. ASUNTO: EL QUE SE INDICA A QUIEN CORRESPONDA P R E S E N T E. Por medio de este conducto y con fundamento en lo dispuesto por los artículos 53, fracción VI y 163 de la Ley de Transparencia y Acceso a la Información Pública del Estado de México y Municipios, me permito notificarle la ampliación del plazo por siete días más, aprobado por el comité de transparencia del Ayuntamiento de Metepec, Estado de México, mediante la primera sesión extraordinaria de fecha 21 de enero de 2022 Por lo anterior, se adjunta el acta del comité No CT/MET/1RASE/2022...”</w:t>
      </w:r>
    </w:p>
    <w:p w:rsidR="00B70417" w:rsidRDefault="00780A47">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anexó el archivo “</w:t>
      </w:r>
      <w:r>
        <w:rPr>
          <w:rFonts w:ascii="Palatino Linotype" w:eastAsia="Palatino Linotype" w:hAnsi="Palatino Linotype" w:cs="Palatino Linotype"/>
          <w:i/>
        </w:rPr>
        <w:t>acta primera sesion extraordinaria 2022.pdf</w:t>
      </w:r>
      <w:r>
        <w:rPr>
          <w:rFonts w:ascii="Palatino Linotype" w:eastAsia="Palatino Linotype" w:hAnsi="Palatino Linotype" w:cs="Palatino Linotype"/>
        </w:rPr>
        <w:t xml:space="preserve">”, que contiene el Acta de la Primera Sesión Extraordinaria del Comité de Transparencia, celebrada el día veintiuno de enero de dos mil veintidós, mediante la cual, como punto tres del orden del día,  se aprobó por unanimidad de votos, la ampliación de término hasta por siete días hábiles, de las solicitudes de información ingresadas a través del SAIMEX, pendientes de respuesta del año 2021 identificadas con los folios del 00720/METEPEC/IP/2021 al 00745/METEPEC/IP/2021, así como las solicitudes del presente año identificadas con los folios 00001/METEPEC/IP/2022 al 01500/METEPEC/IP/2022, con fundamento en lo señalado en los artículos 49 fracción II y 165 párrafo segundo de la Ley de Transparencia y Acceso a la Información Pública del Estado de México y Municipios, argumentando el Secretario del </w:t>
      </w:r>
      <w:r>
        <w:rPr>
          <w:rFonts w:ascii="Palatino Linotype" w:eastAsia="Palatino Linotype" w:hAnsi="Palatino Linotype" w:cs="Palatino Linotype"/>
        </w:rPr>
        <w:lastRenderedPageBreak/>
        <w:t>Ayuntamiento en su carácter de Presidente del Comité de Transparencia, que derivado de la carga excesiva y atípica de solicitudes de acceso a la información ingresadas a través del portal SAIMEX, el municipio de Metepec es el municipio con el mayor número de solicitudes en todo el Estado de México, aunado a que como consecuencia del inicio de la actual administración municipal 2022-2024, las dependencias municipales están trabajando con el recurso humano y material con el que se cuenta al momento, asimismo, la administración anterior 2019-2021, dejó sin atender un gran número de solicitudes requisitadas por la ciudadanía a lo largo del mes de diciembre.</w:t>
      </w:r>
    </w:p>
    <w:p w:rsidR="00B70417" w:rsidRDefault="00780A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Respuesta. </w:t>
      </w:r>
      <w:r>
        <w:rPr>
          <w:rFonts w:ascii="Palatino Linotype" w:eastAsia="Palatino Linotype" w:hAnsi="Palatino Linotype" w:cs="Palatino Linotype"/>
        </w:rPr>
        <w:t xml:space="preserve"> Con fechas</w:t>
      </w:r>
      <w:r>
        <w:rPr>
          <w:rFonts w:ascii="Palatino Linotype" w:eastAsia="Palatino Linotype" w:hAnsi="Palatino Linotype" w:cs="Palatino Linotype"/>
          <w:b/>
        </w:rPr>
        <w:t xml:space="preserve"> siete y once de febrero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 respuesta a las solicitudes de acceso a la información a través de SAIMEX, sustancialmente en los términos siguientes:</w:t>
      </w:r>
    </w:p>
    <w:tbl>
      <w:tblPr>
        <w:tblStyle w:val="a8"/>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6"/>
        <w:gridCol w:w="6092"/>
      </w:tblGrid>
      <w:tr w:rsidR="00B70417">
        <w:trPr>
          <w:jc w:val="center"/>
        </w:trPr>
        <w:tc>
          <w:tcPr>
            <w:tcW w:w="2736" w:type="dxa"/>
            <w:vAlign w:val="center"/>
          </w:tcPr>
          <w:p w:rsidR="00B70417" w:rsidRDefault="00780A47">
            <w:pPr>
              <w:jc w:val="center"/>
              <w:rPr>
                <w:rFonts w:ascii="Palatino Linotype" w:eastAsia="Palatino Linotype" w:hAnsi="Palatino Linotype" w:cs="Palatino Linotype"/>
              </w:rPr>
            </w:pPr>
            <w:r>
              <w:rPr>
                <w:rFonts w:ascii="Palatino Linotype" w:eastAsia="Palatino Linotype" w:hAnsi="Palatino Linotype" w:cs="Palatino Linotype"/>
                <w:b/>
                <w:sz w:val="20"/>
                <w:szCs w:val="20"/>
              </w:rPr>
              <w:t>Solicitud 00332/METEPEC/IP/2022</w:t>
            </w:r>
          </w:p>
        </w:tc>
        <w:tc>
          <w:tcPr>
            <w:tcW w:w="6092" w:type="dxa"/>
            <w:vMerge w:val="restart"/>
            <w:vAlign w:val="center"/>
          </w:tcPr>
          <w:p w:rsidR="00B70417" w:rsidRDefault="00780A47">
            <w:pPr>
              <w:jc w:val="center"/>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(sic)</w:t>
            </w:r>
          </w:p>
        </w:tc>
      </w:tr>
      <w:tr w:rsidR="00B70417">
        <w:trPr>
          <w:jc w:val="center"/>
        </w:trPr>
        <w:tc>
          <w:tcPr>
            <w:tcW w:w="2736" w:type="dxa"/>
            <w:vAlign w:val="center"/>
          </w:tcPr>
          <w:p w:rsidR="00B70417" w:rsidRDefault="00780A47">
            <w:pPr>
              <w:jc w:val="center"/>
              <w:rPr>
                <w:rFonts w:ascii="Palatino Linotype" w:eastAsia="Palatino Linotype" w:hAnsi="Palatino Linotype" w:cs="Palatino Linotype"/>
              </w:rPr>
            </w:pPr>
            <w:r>
              <w:rPr>
                <w:rFonts w:ascii="Palatino Linotype" w:eastAsia="Palatino Linotype" w:hAnsi="Palatino Linotype" w:cs="Palatino Linotype"/>
                <w:b/>
                <w:sz w:val="20"/>
                <w:szCs w:val="20"/>
              </w:rPr>
              <w:t>Solicitud 01003/METEPEC/IP/2022</w:t>
            </w:r>
          </w:p>
        </w:tc>
        <w:tc>
          <w:tcPr>
            <w:tcW w:w="6092" w:type="dxa"/>
            <w:vMerge/>
            <w:vAlign w:val="center"/>
          </w:tcPr>
          <w:p w:rsidR="00B70417" w:rsidRDefault="00B70417">
            <w:pPr>
              <w:widowControl w:val="0"/>
              <w:pBdr>
                <w:top w:val="nil"/>
                <w:left w:val="nil"/>
                <w:bottom w:val="nil"/>
                <w:right w:val="nil"/>
                <w:between w:val="nil"/>
              </w:pBdr>
              <w:spacing w:line="276" w:lineRule="auto"/>
              <w:rPr>
                <w:rFonts w:ascii="Palatino Linotype" w:eastAsia="Palatino Linotype" w:hAnsi="Palatino Linotype" w:cs="Palatino Linotype"/>
              </w:rPr>
            </w:pPr>
          </w:p>
        </w:tc>
      </w:tr>
    </w:tbl>
    <w:p w:rsidR="00B70417" w:rsidRDefault="00780A4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los archivos:</w:t>
      </w:r>
    </w:p>
    <w:p w:rsidR="00B70417" w:rsidRDefault="00780A4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w:t>
      </w:r>
      <w:r>
        <w:rPr>
          <w:rFonts w:ascii="Palatino Linotype" w:eastAsia="Palatino Linotype" w:hAnsi="Palatino Linotype" w:cs="Palatino Linotype"/>
          <w:i/>
        </w:rPr>
        <w:t>332.pdf”,</w:t>
      </w:r>
      <w:r>
        <w:rPr>
          <w:rFonts w:ascii="Palatino Linotype" w:eastAsia="Palatino Linotype" w:hAnsi="Palatino Linotype" w:cs="Palatino Linotype"/>
        </w:rPr>
        <w:t xml:space="preserve"> que contiene el oficio TM/0304/2022 de fecha treinta y uno de enero de dos mil veintidós signado por el Tesorero Municipal, mediante el cual refiere que la información se encuentra para consulta en el link: </w:t>
      </w:r>
      <w:hyperlink r:id="rId8">
        <w:r>
          <w:rPr>
            <w:rFonts w:ascii="Palatino Linotype" w:eastAsia="Palatino Linotype" w:hAnsi="Palatino Linotype" w:cs="Palatino Linotype"/>
            <w:u w:val="single"/>
          </w:rPr>
          <w:t>http://metepec.gob.mx/pagina/archivo-municipal.php</w:t>
        </w:r>
      </w:hyperlink>
      <w:r>
        <w:rPr>
          <w:rFonts w:ascii="Palatino Linotype" w:eastAsia="Palatino Linotype" w:hAnsi="Palatino Linotype" w:cs="Palatino Linotype"/>
        </w:rPr>
        <w:t>.</w:t>
      </w:r>
    </w:p>
    <w:p w:rsidR="00B70417" w:rsidRDefault="00780A4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i/>
        </w:rPr>
        <w:lastRenderedPageBreak/>
        <w:t xml:space="preserve">- “01003METEPECIP22.pdf”, </w:t>
      </w:r>
      <w:r>
        <w:rPr>
          <w:rFonts w:ascii="Palatino Linotype" w:eastAsia="Palatino Linotype" w:hAnsi="Palatino Linotype" w:cs="Palatino Linotype"/>
        </w:rPr>
        <w:t>que contiene el oficio OFICIO/204/DGPR/2022 de fecha veintisiete de enero de dos mil veintidós signado por el Director de Gobierno por Resultados, mediante el cual refiere que los Manuales de Organización y de Procedimientos, se encuentran en el link: Metepec.gob.mx/pagina, agregando que los manuales del año en curso están en proceso de elaboración, y adjunta un documento con un listado de todos los manuales solicitados anteriormente.</w:t>
      </w:r>
    </w:p>
    <w:p w:rsidR="00B70417" w:rsidRDefault="00780A4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i/>
        </w:rPr>
        <w:t xml:space="preserve">- “GACETAS.pdf”, </w:t>
      </w:r>
      <w:r>
        <w:rPr>
          <w:rFonts w:ascii="Palatino Linotype" w:eastAsia="Palatino Linotype" w:hAnsi="Palatino Linotype" w:cs="Palatino Linotype"/>
        </w:rPr>
        <w:t>que consiste en una relación de Manuales de Organización y Manuales de Procedimientos publicados de 2013 a 2022, que contiene número progresivo, gaceta en la que se publicó, Dependencia, fecha y el link en el que se encuentra publicado.</w:t>
      </w:r>
    </w:p>
    <w:p w:rsidR="00B70417" w:rsidRDefault="00780A4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4. Interposición de los recursos de revisión. </w:t>
      </w:r>
      <w:r>
        <w:rPr>
          <w:rFonts w:ascii="Palatino Linotype" w:eastAsia="Palatino Linotype" w:hAnsi="Palatino Linotype" w:cs="Palatino Linotype"/>
        </w:rPr>
        <w:t xml:space="preserve">Inconforme con los términos de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con fecha </w:t>
      </w:r>
      <w:r>
        <w:rPr>
          <w:rFonts w:ascii="Palatino Linotype" w:eastAsia="Palatino Linotype" w:hAnsi="Palatino Linotype" w:cs="Palatino Linotype"/>
          <w:b/>
        </w:rPr>
        <w:t>veintiocho de febrero de dos mil veintidós,</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los recursos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 en ambos casos:</w:t>
      </w:r>
    </w:p>
    <w:p w:rsidR="00B70417" w:rsidRDefault="00780A47">
      <w:pPr>
        <w:tabs>
          <w:tab w:val="left" w:pos="2745"/>
        </w:tabs>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p>
    <w:p w:rsidR="00B70417" w:rsidRDefault="00780A47">
      <w:pPr>
        <w:tabs>
          <w:tab w:val="left" w:pos="993"/>
        </w:tabs>
        <w:spacing w:before="240" w:after="240" w:line="360" w:lineRule="auto"/>
        <w:ind w:left="851" w:right="902"/>
        <w:jc w:val="center"/>
        <w:rPr>
          <w:rFonts w:ascii="Palatino Linotype" w:eastAsia="Palatino Linotype" w:hAnsi="Palatino Linotype" w:cs="Palatino Linotype"/>
          <w:b/>
          <w:sz w:val="28"/>
          <w:szCs w:val="28"/>
        </w:rPr>
      </w:pPr>
      <w:r>
        <w:rPr>
          <w:rFonts w:ascii="Palatino Linotype" w:eastAsia="Palatino Linotype" w:hAnsi="Palatino Linotype" w:cs="Palatino Linotype"/>
          <w:i/>
          <w:sz w:val="22"/>
          <w:szCs w:val="22"/>
        </w:rPr>
        <w:t>“La respuesta proporcionada por el Sujeto Obligado.” (sic)</w:t>
      </w:r>
    </w:p>
    <w:p w:rsidR="00B70417" w:rsidRDefault="00780A47">
      <w:pPr>
        <w:tabs>
          <w:tab w:val="left" w:pos="1695"/>
        </w:tabs>
        <w:spacing w:line="360" w:lineRule="auto"/>
        <w:jc w:val="both"/>
        <w:rPr>
          <w:rFonts w:ascii="Palatino Linotype" w:eastAsia="Palatino Linotype" w:hAnsi="Palatino Linotype" w:cs="Palatino Linotype"/>
          <w:sz w:val="2"/>
          <w:szCs w:val="2"/>
        </w:rPr>
      </w:pPr>
      <w:r>
        <w:rPr>
          <w:rFonts w:ascii="Palatino Linotype" w:eastAsia="Palatino Linotype" w:hAnsi="Palatino Linotype" w:cs="Palatino Linotype"/>
          <w:b/>
        </w:rPr>
        <w:tab/>
      </w:r>
    </w:p>
    <w:p w:rsidR="00B70417" w:rsidRDefault="00780A4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Y Razones o motivos de inconformidad</w:t>
      </w:r>
      <w:r>
        <w:rPr>
          <w:rFonts w:ascii="Palatino Linotype" w:eastAsia="Palatino Linotype" w:hAnsi="Palatino Linotype" w:cs="Palatino Linotype"/>
        </w:rPr>
        <w:t>:</w:t>
      </w:r>
    </w:p>
    <w:p w:rsidR="00B70417" w:rsidRDefault="00B70417">
      <w:pPr>
        <w:spacing w:line="360" w:lineRule="auto"/>
        <w:jc w:val="both"/>
        <w:rPr>
          <w:rFonts w:ascii="Palatino Linotype" w:eastAsia="Palatino Linotype" w:hAnsi="Palatino Linotype" w:cs="Palatino Linotype"/>
          <w:sz w:val="2"/>
          <w:szCs w:val="2"/>
        </w:rPr>
      </w:pPr>
    </w:p>
    <w:p w:rsidR="00B70417" w:rsidRDefault="00780A47">
      <w:pPr>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w:t>
      </w:r>
      <w:r>
        <w:rPr>
          <w:rFonts w:ascii="Palatino Linotype" w:eastAsia="Palatino Linotype" w:hAnsi="Palatino Linotype" w:cs="Palatino Linotype"/>
          <w:i/>
          <w:sz w:val="22"/>
          <w:szCs w:val="22"/>
        </w:rPr>
        <w:lastRenderedPageBreak/>
        <w:t>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w:t>
      </w:r>
    </w:p>
    <w:p w:rsidR="00B70417" w:rsidRDefault="00780A47">
      <w:pPr>
        <w:spacing w:before="240" w:after="240" w:line="360" w:lineRule="auto"/>
        <w:ind w:right="51"/>
        <w:jc w:val="both"/>
        <w:rPr>
          <w:rFonts w:ascii="Palatino Linotype" w:eastAsia="Palatino Linotype" w:hAnsi="Palatino Linotype" w:cs="Palatino Linotype"/>
          <w:i/>
          <w:sz w:val="22"/>
          <w:szCs w:val="22"/>
        </w:rPr>
      </w:pPr>
      <w:r>
        <w:rPr>
          <w:rFonts w:ascii="Palatino Linotype" w:eastAsia="Palatino Linotype" w:hAnsi="Palatino Linotype" w:cs="Palatino Linotype"/>
          <w:b/>
        </w:rPr>
        <w:t xml:space="preserve">Anexos: </w:t>
      </w:r>
      <w:r>
        <w:rPr>
          <w:rFonts w:ascii="Palatino Linotype" w:eastAsia="Palatino Linotype" w:hAnsi="Palatino Linotype" w:cs="Palatino Linotype"/>
        </w:rPr>
        <w:t xml:space="preserve">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adjuntó archivos. </w:t>
      </w:r>
    </w:p>
    <w:p w:rsidR="00B70417" w:rsidRDefault="00780A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5.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De conformidad con el artículo 185 fracción I de la Ley de Transparencia y Acceso a la Información Pública del Estado de México y Municipios vigente, los presentes recursos de revisión se turnó por el sistema electrónico del Instituto de Transparencia, Acceso a la Información Pública y Protección de Datos Personales del Estado de México y Municipios, a los Comisionados</w:t>
      </w:r>
      <w:r>
        <w:rPr>
          <w:rFonts w:ascii="Palatino Linotype" w:eastAsia="Palatino Linotype" w:hAnsi="Palatino Linotype" w:cs="Palatino Linotype"/>
          <w:b/>
        </w:rPr>
        <w:t xml:space="preserve"> Guadalupe Ramírez Peña </w:t>
      </w:r>
      <w:r>
        <w:rPr>
          <w:rFonts w:ascii="Palatino Linotype" w:eastAsia="Palatino Linotype" w:hAnsi="Palatino Linotype" w:cs="Palatino Linotype"/>
        </w:rPr>
        <w:t>y</w:t>
      </w:r>
      <w:r>
        <w:rPr>
          <w:rFonts w:ascii="Palatino Linotype" w:eastAsia="Palatino Linotype" w:hAnsi="Palatino Linotype" w:cs="Palatino Linotype"/>
          <w:b/>
        </w:rPr>
        <w:t xml:space="preserve">  María del Rosario Mejía Ayala, </w:t>
      </w:r>
      <w:r>
        <w:rPr>
          <w:rFonts w:ascii="Palatino Linotype" w:eastAsia="Palatino Linotype" w:hAnsi="Palatino Linotype" w:cs="Palatino Linotype"/>
        </w:rPr>
        <w:t>a efecto de que analizaran sobre su admisión o su desechamiento.</w:t>
      </w:r>
    </w:p>
    <w:p w:rsidR="00B70417" w:rsidRDefault="00780A47">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6.</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 los Recursos de revisión.</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Con fechas</w:t>
      </w:r>
      <w:r>
        <w:rPr>
          <w:rFonts w:ascii="Palatino Linotype" w:eastAsia="Palatino Linotype" w:hAnsi="Palatino Linotype" w:cs="Palatino Linotype"/>
          <w:b/>
        </w:rPr>
        <w:t xml:space="preserve"> uno y cuatro de marzo de  dos mil veintidós,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los recursos de revisión que ahora se resuelven,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presentara su informe justificado.</w:t>
      </w:r>
    </w:p>
    <w:p w:rsidR="00B70417" w:rsidRDefault="00780A47">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7. Acumulación de los recursos de revisión. </w:t>
      </w:r>
      <w:r>
        <w:rPr>
          <w:rFonts w:ascii="Palatino Linotype" w:eastAsia="Palatino Linotype" w:hAnsi="Palatino Linotype" w:cs="Palatino Linotype"/>
        </w:rPr>
        <w:t xml:space="preserve">Al respecto cabe señalar, que el Pleno de este Instituto, en la </w:t>
      </w:r>
      <w:r>
        <w:rPr>
          <w:rFonts w:ascii="Palatino Linotype" w:eastAsia="Palatino Linotype" w:hAnsi="Palatino Linotype" w:cs="Palatino Linotype"/>
          <w:b/>
        </w:rPr>
        <w:t>Novena Sesión Ordinaria</w:t>
      </w:r>
      <w:r>
        <w:rPr>
          <w:rFonts w:ascii="Palatino Linotype" w:eastAsia="Palatino Linotype" w:hAnsi="Palatino Linotype" w:cs="Palatino Linotype"/>
        </w:rPr>
        <w:t xml:space="preserve"> de fecha</w:t>
      </w:r>
      <w:r>
        <w:rPr>
          <w:rFonts w:ascii="Palatino Linotype" w:eastAsia="Palatino Linotype" w:hAnsi="Palatino Linotype" w:cs="Palatino Linotype"/>
          <w:b/>
        </w:rPr>
        <w:t xml:space="preserve"> nueve de marzo de dos mil veintidós</w:t>
      </w:r>
      <w:r>
        <w:rPr>
          <w:rFonts w:ascii="Palatino Linotype" w:eastAsia="Palatino Linotype" w:hAnsi="Palatino Linotype" w:cs="Palatino Linotype"/>
        </w:rPr>
        <w:t xml:space="preserve">, ordenó la acumulación de los expedientes citados y el turno de los mismos a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para que formulara y presentara el proyecto de resolución correspondiente, notificándose a las partes.</w:t>
      </w:r>
    </w:p>
    <w:p w:rsidR="00B70417" w:rsidRDefault="00780A47">
      <w:pPr>
        <w:widowControl w:val="0"/>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Lo anterior de conformidad con lo dispuesto en el artículo 18 del Código de Procedimientos Administrativos del Estado de México, de aplicación supletoria en términos del artículo 195 de la Ley de Transparencia y Acceso a la Información </w:t>
      </w:r>
      <w:r>
        <w:rPr>
          <w:rFonts w:ascii="Palatino Linotype" w:eastAsia="Palatino Linotype" w:hAnsi="Palatino Linotype" w:cs="Palatino Linotype"/>
        </w:rPr>
        <w:lastRenderedPageBreak/>
        <w:t xml:space="preserve">Pública del Estado de México y Municipios, que a la letra señalan:  </w:t>
      </w:r>
    </w:p>
    <w:p w:rsidR="00B70417" w:rsidRDefault="00780A47">
      <w:pPr>
        <w:widowControl w:val="0"/>
        <w:spacing w:before="240" w:after="240"/>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Código de Procedimientos Administrativos del Estado de México</w:t>
      </w:r>
    </w:p>
    <w:p w:rsidR="00B70417" w:rsidRDefault="00780A47">
      <w:pPr>
        <w:widowControl w:val="0"/>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autoridad administrativa o el Tribunal acordarán la acumulación de los expedientes del procedimiento y proceso administrativo que ante ellos se sigan, de oficio</w:t>
      </w:r>
      <w:r>
        <w:rPr>
          <w:rFonts w:ascii="Palatino Linotype" w:eastAsia="Palatino Linotype" w:hAnsi="Palatino Linotype" w:cs="Palatino Linotype"/>
          <w:i/>
          <w:sz w:val="22"/>
          <w:szCs w:val="22"/>
        </w:rPr>
        <w:t xml:space="preserve"> o a petición de parte, </w:t>
      </w:r>
      <w:r>
        <w:rPr>
          <w:rFonts w:ascii="Palatino Linotype" w:eastAsia="Palatino Linotype" w:hAnsi="Palatino Linotype" w:cs="Palatino Linotype"/>
          <w:b/>
          <w:i/>
          <w:sz w:val="22"/>
          <w:szCs w:val="22"/>
        </w:rPr>
        <w:t>cuando las partes</w:t>
      </w:r>
      <w:r>
        <w:rPr>
          <w:rFonts w:ascii="Palatino Linotype" w:eastAsia="Palatino Linotype" w:hAnsi="Palatino Linotype" w:cs="Palatino Linotype"/>
          <w:i/>
          <w:sz w:val="22"/>
          <w:szCs w:val="22"/>
        </w:rPr>
        <w:t xml:space="preserve"> o los actos administrativos sean iguales, se trate de actos conexos o </w:t>
      </w:r>
      <w:r>
        <w:rPr>
          <w:rFonts w:ascii="Palatino Linotype" w:eastAsia="Palatino Linotype" w:hAnsi="Palatino Linotype" w:cs="Palatino Linotype"/>
          <w:b/>
          <w:i/>
          <w:sz w:val="22"/>
          <w:szCs w:val="22"/>
        </w:rPr>
        <w:t>resulte conveniente el trámite unificado de los asuntos, para evitar la emisión de resoluciones contradictorias</w:t>
      </w:r>
      <w:r>
        <w:rPr>
          <w:rFonts w:ascii="Palatino Linotype" w:eastAsia="Palatino Linotype" w:hAnsi="Palatino Linotype" w:cs="Palatino Linotype"/>
          <w:i/>
          <w:sz w:val="22"/>
          <w:szCs w:val="22"/>
        </w:rPr>
        <w:t>. La misma regla se aplicará, en lo conducente, para la separación de los expedientes.”</w:t>
      </w:r>
    </w:p>
    <w:p w:rsidR="00B70417" w:rsidRDefault="00780A47">
      <w:pPr>
        <w:widowControl w:val="0"/>
        <w:spacing w:before="120" w:after="120"/>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Ley de Transparencia y Acceso a la Información Pública del Estado de México y Municipios</w:t>
      </w:r>
    </w:p>
    <w:p w:rsidR="00B70417" w:rsidRDefault="00780A47">
      <w:pPr>
        <w:widowControl w:val="0"/>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195.-</w:t>
      </w:r>
      <w:r>
        <w:rPr>
          <w:rFonts w:ascii="Palatino Linotype" w:eastAsia="Palatino Linotype" w:hAnsi="Palatino Linotype" w:cs="Palatino Linotype"/>
          <w:i/>
          <w:sz w:val="22"/>
          <w:szCs w:val="22"/>
        </w:rPr>
        <w:t xml:space="preserve"> En la tramitación del recurso de revisión se aplicará supletoriamente las disposiciones contenidas en el Código de Procedimientos Administrativos del Estado de México.”</w:t>
      </w:r>
    </w:p>
    <w:p w:rsidR="00B70417" w:rsidRDefault="00780A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8. Manifestaciones</w:t>
      </w:r>
      <w:r>
        <w:rPr>
          <w:rFonts w:ascii="Palatino Linotype" w:eastAsia="Palatino Linotype" w:hAnsi="Palatino Linotype" w:cs="Palatino Linotype"/>
        </w:rPr>
        <w:t>.</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 xml:space="preserve">De las constancias que obran en los expedientes electrónicos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se desprende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rindió sus informes justificados, del mismo modo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omitió realizar manifestaciones, como se observa a continuación:</w:t>
      </w:r>
    </w:p>
    <w:p w:rsidR="00B70417" w:rsidRDefault="00780A47">
      <w:pPr>
        <w:spacing w:before="240" w:after="240"/>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610225" cy="1447800"/>
            <wp:effectExtent l="0" t="0" r="0" b="0"/>
            <wp:docPr id="3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b="25489"/>
                    <a:stretch>
                      <a:fillRect/>
                    </a:stretch>
                  </pic:blipFill>
                  <pic:spPr>
                    <a:xfrm>
                      <a:off x="0" y="0"/>
                      <a:ext cx="5610225" cy="1447800"/>
                    </a:xfrm>
                    <a:prstGeom prst="rect">
                      <a:avLst/>
                    </a:prstGeom>
                    <a:ln/>
                  </pic:spPr>
                </pic:pic>
              </a:graphicData>
            </a:graphic>
          </wp:inline>
        </w:drawing>
      </w:r>
    </w:p>
    <w:p w:rsidR="00B70417" w:rsidRDefault="00780A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610225" cy="1419225"/>
            <wp:effectExtent l="0" t="0" r="0" b="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b="27670"/>
                    <a:stretch>
                      <a:fillRect/>
                    </a:stretch>
                  </pic:blipFill>
                  <pic:spPr>
                    <a:xfrm>
                      <a:off x="0" y="0"/>
                      <a:ext cx="5610225" cy="1419225"/>
                    </a:xfrm>
                    <a:prstGeom prst="rect">
                      <a:avLst/>
                    </a:prstGeom>
                    <a:ln/>
                  </pic:spPr>
                </pic:pic>
              </a:graphicData>
            </a:graphic>
          </wp:inline>
        </w:drawing>
      </w:r>
    </w:p>
    <w:p w:rsidR="00B70417" w:rsidRDefault="00780A47">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9.</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 los expedientes, con fecha </w:t>
      </w:r>
      <w:r>
        <w:rPr>
          <w:rFonts w:ascii="Palatino Linotype" w:eastAsia="Palatino Linotype" w:hAnsi="Palatino Linotype" w:cs="Palatino Linotype"/>
          <w:b/>
        </w:rPr>
        <w:t>diecisiete de marzo de dos mil veintidós,</w:t>
      </w:r>
      <w:r>
        <w:rPr>
          <w:rFonts w:ascii="Palatino Linotype" w:eastAsia="Palatino Linotype" w:hAnsi="Palatino Linotype" w:cs="Palatino Linotype"/>
        </w:rPr>
        <w:t xml:space="preserve"> se determinó el cierre de instrucción en términos de la fracción VI del artículo 185 de la Ley de Transparencia y Acceso a la Información Pública del Estado de México y Municipios.</w:t>
      </w:r>
    </w:p>
    <w:p w:rsidR="00B70417" w:rsidRDefault="00780A47">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10. Ampliación del término para resolver</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trece de mayo de dos mil veintidós</w:t>
      </w:r>
      <w:r>
        <w:rPr>
          <w:rFonts w:ascii="Palatino Linotype" w:eastAsia="Palatino Linotype" w:hAnsi="Palatino Linotype" w:cs="Palatino Linotype"/>
        </w:rPr>
        <w:t>, se amplió el término para resolver los recursos de revisión en términos del artículo 181 párrafo tercero de la Ley de Transparencia y Acceso a la Información Pública del Estado de México y Municipios por un plazo de quince días hábiles.</w:t>
      </w:r>
    </w:p>
    <w:p w:rsidR="00B70417" w:rsidRDefault="00780A47">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B70417" w:rsidRDefault="00780A47">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rsidR="00B70417" w:rsidRDefault="00780A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los presentes recursos de revisión interpuestos </w:t>
      </w:r>
      <w:r>
        <w:rPr>
          <w:rFonts w:ascii="Palatino Linotype" w:eastAsia="Palatino Linotype" w:hAnsi="Palatino Linotype" w:cs="Palatino Linotype"/>
        </w:rPr>
        <w:lastRenderedPageBreak/>
        <w:t>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B70417" w:rsidRDefault="00780A47">
      <w:pPr>
        <w:spacing w:before="240" w:after="240" w:line="360" w:lineRule="auto"/>
        <w:jc w:val="both"/>
        <w:rPr>
          <w:rFonts w:ascii="Palatino Linotype" w:eastAsia="Palatino Linotype" w:hAnsi="Palatino Linotype" w:cs="Palatino Linotype"/>
        </w:rPr>
      </w:pPr>
      <w:bookmarkStart w:id="2" w:name="_heading=h.30j0zll" w:colFirst="0" w:colLast="0"/>
      <w:bookmarkEnd w:id="2"/>
      <w:r>
        <w:rPr>
          <w:rFonts w:ascii="Palatino Linotype" w:eastAsia="Palatino Linotype" w:hAnsi="Palatino Linotype" w:cs="Palatino Linotype"/>
          <w:b/>
        </w:rPr>
        <w:t>Segundo. Oportunidad y Procedibilidad de los Recursos de Revisión</w:t>
      </w:r>
      <w:r>
        <w:rPr>
          <w:rFonts w:ascii="Palatino Linotype" w:eastAsia="Palatino Linotype" w:hAnsi="Palatino Linotype" w:cs="Palatino Linotype"/>
        </w:rPr>
        <w:t>.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rsidR="00B70417" w:rsidRDefault="00780A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Los recursos de revisión fueron interpuestos dentro del plazo de quince días hábiles, previstos en el artículo 178 de la Ley de Transparencia y Acceso a la Información Pública del Estado de México y Municipios,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las respuestas a las solicitudes de información los días </w:t>
      </w:r>
      <w:r>
        <w:rPr>
          <w:rFonts w:ascii="Palatino Linotype" w:eastAsia="Palatino Linotype" w:hAnsi="Palatino Linotype" w:cs="Palatino Linotype"/>
          <w:b/>
        </w:rPr>
        <w:t xml:space="preserve">siete y once de febrero de dos mil veintidós, </w:t>
      </w:r>
      <w:r>
        <w:rPr>
          <w:rFonts w:ascii="Palatino Linotype" w:eastAsia="Palatino Linotype" w:hAnsi="Palatino Linotype" w:cs="Palatino Linotype"/>
        </w:rPr>
        <w:t xml:space="preserve">mientras que los recursos de revisión interpuestos por la parte recurrente, se tuvieron por presentados el día </w:t>
      </w:r>
      <w:r>
        <w:rPr>
          <w:rFonts w:ascii="Palatino Linotype" w:eastAsia="Palatino Linotype" w:hAnsi="Palatino Linotype" w:cs="Palatino Linotype"/>
          <w:b/>
        </w:rPr>
        <w:t xml:space="preserve"> veintiocho de febrero de dos mil veintidós</w:t>
      </w:r>
      <w:r>
        <w:rPr>
          <w:rFonts w:ascii="Palatino Linotype" w:eastAsia="Palatino Linotype" w:hAnsi="Palatino Linotype" w:cs="Palatino Linotype"/>
        </w:rPr>
        <w:t>, esto es, al décimo primero y décimo cuarto día hábil posterior en que tuvo conocimiento de la respuesta impugnada, en cada uno de las solicitudes de información.</w:t>
      </w:r>
    </w:p>
    <w:p w:rsidR="00B70417" w:rsidRDefault="00780A47">
      <w:pPr>
        <w:spacing w:before="240" w:after="240" w:line="360" w:lineRule="auto"/>
        <w:jc w:val="both"/>
        <w:rPr>
          <w:rFonts w:ascii="Palatino Linotype" w:eastAsia="Palatino Linotype" w:hAnsi="Palatino Linotype" w:cs="Palatino Linotype"/>
        </w:rPr>
      </w:pPr>
      <w:bookmarkStart w:id="3" w:name="_heading=h.1fob9te" w:colFirst="0" w:colLast="0"/>
      <w:bookmarkEnd w:id="3"/>
      <w:r>
        <w:rPr>
          <w:rFonts w:ascii="Palatino Linotype" w:eastAsia="Palatino Linotype" w:hAnsi="Palatino Linotype" w:cs="Palatino Linotype"/>
        </w:rPr>
        <w:lastRenderedPageBreak/>
        <w:t xml:space="preserve">En este sentido, al considerar las fechas en que se formularon las solicitudes y la fecha en que respondió a estas el </w:t>
      </w:r>
      <w:r>
        <w:rPr>
          <w:rFonts w:ascii="Palatino Linotype" w:eastAsia="Palatino Linotype" w:hAnsi="Palatino Linotype" w:cs="Palatino Linotype"/>
          <w:b/>
        </w:rPr>
        <w:t>Sujeto Obligado</w:t>
      </w:r>
      <w:r>
        <w:rPr>
          <w:rFonts w:ascii="Palatino Linotype" w:eastAsia="Palatino Linotype" w:hAnsi="Palatino Linotype" w:cs="Palatino Linotype"/>
        </w:rPr>
        <w:t>; así como la fecha en que se interpusieron los recursos de revisión, se concluye que el presente recurso de revisión se encuentra dentro de los márgenes temporales previstos las disposiciones legales referidas.</w:t>
      </w:r>
    </w:p>
    <w:p w:rsidR="00B70417" w:rsidRDefault="00780A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B70417" w:rsidRDefault="00780A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 efecto de sustentar lo anterior, es de suma importancia mencionar que si bien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no proporcionó un nombre </w:t>
      </w:r>
      <w:r>
        <w:rPr>
          <w:rFonts w:ascii="Palatino Linotype" w:eastAsia="Palatino Linotype" w:hAnsi="Palatino Linotype" w:cs="Palatino Linotype"/>
        </w:rPr>
        <w:t>como se advierte en el detalle de seguimiento del SAIMEX, sin embargo,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B70417" w:rsidRDefault="00780A47">
      <w:pPr>
        <w:spacing w:before="120" w:after="120"/>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Las solicitudes anónimas</w:t>
      </w:r>
      <w:r>
        <w:rPr>
          <w:rFonts w:ascii="Palatino Linotype" w:eastAsia="Palatino Linotype" w:hAnsi="Palatino Linotype" w:cs="Palatino Linotype"/>
          <w:i/>
          <w:sz w:val="22"/>
          <w:szCs w:val="22"/>
        </w:rPr>
        <w:t xml:space="preserve">, con nombre incompleto o seudónimo </w:t>
      </w:r>
      <w:r>
        <w:rPr>
          <w:rFonts w:ascii="Palatino Linotype" w:eastAsia="Palatino Linotype" w:hAnsi="Palatino Linotype" w:cs="Palatino Linotype"/>
          <w:b/>
          <w:i/>
          <w:sz w:val="22"/>
          <w:szCs w:val="22"/>
        </w:rPr>
        <w:t>serán procedentes para su trámite por parte del sujeto obligado ante quien se presente</w:t>
      </w:r>
      <w:r>
        <w:rPr>
          <w:rFonts w:ascii="Palatino Linotype" w:eastAsia="Palatino Linotype" w:hAnsi="Palatino Linotype" w:cs="Palatino Linotype"/>
          <w:i/>
          <w:sz w:val="22"/>
          <w:szCs w:val="22"/>
        </w:rPr>
        <w:t>. No podrá requerirse información adicional con motivo del nombre proporcionado por el solicitante."</w:t>
      </w:r>
    </w:p>
    <w:p w:rsidR="00B70417" w:rsidRDefault="00780A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Pr>
          <w:rFonts w:ascii="Palatino Linotype" w:eastAsia="Palatino Linotype" w:hAnsi="Palatino Linotype" w:cs="Palatino Linotype"/>
          <w:b/>
        </w:rPr>
        <w:t>Recurrente</w:t>
      </w:r>
      <w:r>
        <w:rPr>
          <w:rFonts w:ascii="Palatino Linotype" w:eastAsia="Palatino Linotype" w:hAnsi="Palatino Linotype" w:cs="Palatino Linotype"/>
        </w:rPr>
        <w:t>, por lo que, en el presente caso, al haber sido presentado el recurso de revisión vía SAIMEX, dicho requisito resulta innecesario.</w:t>
      </w:r>
    </w:p>
    <w:p w:rsidR="00B70417" w:rsidRDefault="00780A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 los recursos, según lo manifestado por el recurrente en sus motivos de inconformidad, de acuerdo al artículo 179, fracción I del ordenamiento legal citado, que a la letra dice: </w:t>
      </w:r>
    </w:p>
    <w:p w:rsidR="00B70417" w:rsidRDefault="00780A4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B70417" w:rsidRDefault="00780A4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i/>
          <w:sz w:val="22"/>
          <w:szCs w:val="22"/>
        </w:rPr>
        <w:t>La negativa a la información solicitada</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rsidR="00B70417" w:rsidRDefault="00780A47">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las respuestas otorgadas por el Sujeto Obligado son adecuadas y suficientes para satisfacer el derecho de acceso a la información pública </w:t>
      </w:r>
      <w:r>
        <w:rPr>
          <w:rFonts w:ascii="Palatino Linotype" w:eastAsia="Palatino Linotype" w:hAnsi="Palatino Linotype" w:cs="Palatino Linotype"/>
        </w:rPr>
        <w:t>de la parte Recurrente, o en su defecto, en caso de ser procedente, ordenar la entrega de información oportuna.</w:t>
      </w:r>
    </w:p>
    <w:p w:rsidR="00B70417" w:rsidRDefault="00780A47">
      <w:pPr>
        <w:tabs>
          <w:tab w:val="left" w:pos="1134"/>
        </w:tabs>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 xml:space="preserve">Del análisis de las solicitudes de información motivo de los recursos de revisión que ahora se resuelven se advierte que la parte Solicitante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le proporcione información, consistente en lo siguiente:</w:t>
      </w:r>
    </w:p>
    <w:p w:rsidR="00B70417" w:rsidRDefault="00780A47">
      <w:pPr>
        <w:numPr>
          <w:ilvl w:val="0"/>
          <w:numId w:val="2"/>
        </w:numPr>
        <w:pBdr>
          <w:top w:val="nil"/>
          <w:left w:val="nil"/>
          <w:bottom w:val="nil"/>
          <w:right w:val="nil"/>
          <w:between w:val="nil"/>
        </w:pBdr>
        <w:spacing w:before="240" w:after="240" w:line="360" w:lineRule="auto"/>
        <w:ind w:left="714" w:hanging="357"/>
        <w:jc w:val="both"/>
        <w:rPr>
          <w:rFonts w:ascii="Palatino Linotype" w:eastAsia="Palatino Linotype" w:hAnsi="Palatino Linotype" w:cs="Palatino Linotype"/>
        </w:rPr>
      </w:pPr>
      <w:bookmarkStart w:id="4" w:name="_heading=h.3znysh7" w:colFirst="0" w:colLast="0"/>
      <w:bookmarkEnd w:id="4"/>
      <w:r>
        <w:rPr>
          <w:rFonts w:ascii="Palatino Linotype" w:eastAsia="Palatino Linotype" w:hAnsi="Palatino Linotype" w:cs="Palatino Linotype"/>
        </w:rPr>
        <w:lastRenderedPageBreak/>
        <w:t>Manuales, procedimientos o políticas para la atención de personas con discapacidad, adultos mayores y demás grupos vulnerables en las oficinas municipales para la realización de trámites, pagos, servicios.</w:t>
      </w:r>
    </w:p>
    <w:p w:rsidR="00B70417" w:rsidRDefault="00780A47">
      <w:pPr>
        <w:numPr>
          <w:ilvl w:val="0"/>
          <w:numId w:val="2"/>
        </w:numPr>
        <w:pBdr>
          <w:top w:val="nil"/>
          <w:left w:val="nil"/>
          <w:bottom w:val="nil"/>
          <w:right w:val="nil"/>
          <w:between w:val="nil"/>
        </w:pBdr>
        <w:spacing w:before="240" w:after="240" w:line="360" w:lineRule="auto"/>
        <w:ind w:left="714" w:hanging="357"/>
        <w:jc w:val="both"/>
        <w:rPr>
          <w:rFonts w:ascii="Palatino Linotype" w:eastAsia="Palatino Linotype" w:hAnsi="Palatino Linotype" w:cs="Palatino Linotype"/>
        </w:rPr>
      </w:pPr>
      <w:r>
        <w:rPr>
          <w:rFonts w:ascii="Palatino Linotype" w:eastAsia="Palatino Linotype" w:hAnsi="Palatino Linotype" w:cs="Palatino Linotype"/>
        </w:rPr>
        <w:t>Todos los manuales de procedimientos y de organización de todas las áreas que hayan contado con uno desde el 2013 hasta el 2021.</w:t>
      </w:r>
    </w:p>
    <w:p w:rsidR="00B70417" w:rsidRDefault="00780A4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la Unidad de Transparencia, hizo del conocimiento de la persona solicitante el pronunciamiento vertido por el Tesorero Municipal, quien proporcionó la dirección electrónica a través de la cual el particular podría consultar la información solicitada, y por el Director de Gobierno por resultados, quien proporcionó la dirección electrónica mediante la cual la cual el particular podría consultar los Manuales de Organización y de Procedimiento, asimismo proporcionó la relación Manuales de Organización y Manuales de Procedimientos publicados de 2013 a 2022, que contiene número progresivo, gaceta en la que se publicó, dependencia, fecha y el link en el que se encuentra publicado.</w:t>
      </w:r>
    </w:p>
    <w:p w:rsidR="00B70417" w:rsidRDefault="00780A47">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Bajo tales argumentos, al no estar conforme con los términos de la respuesta proporcionada, el particular interpuso los recursos de revisión que nos ocupan, mediante los cuales señaló como motivo de inconformidad,  que 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era deficiente al incumplir con las diversas disposiciones señaladas por la Ley de Transparencia y Acceso a la Información Pública y demás normatividad aplicable, solicitando al Pleno del Instituto de Transparencia, Acceso a la Información Pública y Protección de Datos Personales del Estado de México y Municipios tenga a bien ordenar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w:t>
      </w:r>
      <w:r>
        <w:rPr>
          <w:rFonts w:ascii="Palatino Linotype" w:eastAsia="Palatino Linotype" w:hAnsi="Palatino Linotype" w:cs="Palatino Linotype"/>
        </w:rPr>
        <w:lastRenderedPageBreak/>
        <w:t xml:space="preserve">entrega de la información solicitada, asimismo, de conformidad con el artículo 223 de la Ley de transparencia local, solicitó dar vista a la Contraloría Interna y Órgano de Control y Vigilancia en términos de la Ley de Responsabilidades de los Servidores Públicos del Estado y Municipios, para que determine el grado de responsabilidad en que hubiera incurrido el </w:t>
      </w:r>
      <w:r>
        <w:rPr>
          <w:rFonts w:ascii="Palatino Linotype" w:eastAsia="Palatino Linotype" w:hAnsi="Palatino Linotype" w:cs="Palatino Linotype"/>
          <w:b/>
        </w:rPr>
        <w:t>Sujeto Obligado.</w:t>
      </w:r>
    </w:p>
    <w:p w:rsidR="00B70417" w:rsidRDefault="00780A47">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Una vez admitidos los presentes recursos de revisión, en términos del artículo 185 fracción II</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siendo ambas partes omisas en ejercer dicha prerrogativa, como se señaló en el antecedente 8 de la presente resolución.</w:t>
      </w:r>
    </w:p>
    <w:p w:rsidR="00B70417" w:rsidRDefault="00780A4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esta tesitura, de las constancias que integran los expedientes electrónicos  relacionados con los recursos de revisión materia de estudio, se colige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niega la competencia para conocer de la información solicitada, sino por el contrario, con la respuesta pronunciada asevera que es competente para conocer de la solicitud de información</w:t>
      </w:r>
      <w:r>
        <w:rPr>
          <w:rFonts w:ascii="Palatino Linotype" w:eastAsia="Palatino Linotype" w:hAnsi="Palatino Linotype" w:cs="Palatino Linotype"/>
          <w:i/>
          <w:sz w:val="20"/>
          <w:szCs w:val="20"/>
        </w:rPr>
        <w:t xml:space="preserve">, </w:t>
      </w:r>
      <w:r>
        <w:rPr>
          <w:rFonts w:ascii="Palatino Linotype" w:eastAsia="Palatino Linotype" w:hAnsi="Palatino Linotype" w:cs="Palatino Linotype"/>
        </w:rPr>
        <w:t xml:space="preserve">lo anterior es así, ya que el estudio enunciado tiene por objeto determinar si </w:t>
      </w:r>
      <w:r>
        <w:t>los</w:t>
      </w:r>
      <w:r>
        <w:rPr>
          <w:rFonts w:ascii="Palatino Linotype" w:eastAsia="Palatino Linotype" w:hAnsi="Palatino Linotype" w:cs="Palatino Linotype"/>
        </w:rPr>
        <w:t xml:space="preserve"> Sujeto</w:t>
      </w:r>
      <w:r>
        <w:t>s</w:t>
      </w:r>
      <w:r>
        <w:rPr>
          <w:rFonts w:ascii="Palatino Linotype" w:eastAsia="Palatino Linotype" w:hAnsi="Palatino Linotype" w:cs="Palatino Linotype"/>
        </w:rPr>
        <w:t xml:space="preserve"> Obligado</w:t>
      </w:r>
      <w:r>
        <w:t>s</w:t>
      </w:r>
      <w:r>
        <w:rPr>
          <w:rFonts w:ascii="Palatino Linotype" w:eastAsia="Palatino Linotype" w:hAnsi="Palatino Linotype" w:cs="Palatino Linotype"/>
        </w:rPr>
        <w:t xml:space="preserve"> genera, posee o administra  la información solicitada, sin embargo, en aquellos casos en que </w:t>
      </w:r>
      <w:r>
        <w:t>e</w:t>
      </w:r>
      <w:r>
        <w:rPr>
          <w:rFonts w:ascii="Palatino Linotype" w:eastAsia="Palatino Linotype" w:hAnsi="Palatino Linotype" w:cs="Palatino Linotype"/>
        </w:rPr>
        <w:t>st</w:t>
      </w:r>
      <w:r>
        <w:t xml:space="preserve">os </w:t>
      </w:r>
      <w:r>
        <w:rPr>
          <w:rFonts w:ascii="Palatino Linotype" w:eastAsia="Palatino Linotype" w:hAnsi="Palatino Linotype" w:cs="Palatino Linotype"/>
        </w:rPr>
        <w:t>ha</w:t>
      </w:r>
      <w:r>
        <w:t>n</w:t>
      </w:r>
      <w:r>
        <w:rPr>
          <w:rFonts w:ascii="Palatino Linotype" w:eastAsia="Palatino Linotype" w:hAnsi="Palatino Linotype" w:cs="Palatino Linotype"/>
        </w:rPr>
        <w:t xml:space="preserve"> asumido la competencia, sería ocioso y a nada práctico nos conduciría su estudio, ya que, se insiste, el ente obligado asumió la competencia referida, motivo por el cual se </w:t>
      </w:r>
      <w:r>
        <w:rPr>
          <w:rFonts w:ascii="Palatino Linotype" w:eastAsia="Palatino Linotype" w:hAnsi="Palatino Linotype" w:cs="Palatino Linotype"/>
        </w:rPr>
        <w:lastRenderedPageBreak/>
        <w:t xml:space="preserve">actualiza el supuesto previsto en el artículo 12 de la legislación aplicable en la materia. </w:t>
      </w:r>
    </w:p>
    <w:p w:rsidR="00B70417" w:rsidRDefault="00780A47">
      <w:pPr>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w:t>
      </w:r>
      <w:r>
        <w:rPr>
          <w:rFonts w:ascii="Palatino Linotype" w:eastAsia="Palatino Linotype" w:hAnsi="Palatino Linotype" w:cs="Palatino Linotype"/>
          <w:i/>
          <w:sz w:val="22"/>
          <w:szCs w:val="22"/>
        </w:rPr>
        <w:t xml:space="preserve"> en los términos de las disposiciones jurídicas aplicables. </w:t>
      </w:r>
    </w:p>
    <w:p w:rsidR="00B70417" w:rsidRDefault="00780A47">
      <w:pPr>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La obligación de proporcionar información no comprende el procesamiento de la misma, ni el presentarla conforme al interés del solicitante; no estarán obligados a generarla, resumirla, efectuar cálculos o practicar investigaciones.”</w:t>
      </w:r>
    </w:p>
    <w:p w:rsidR="00B70417" w:rsidRDefault="00780A47">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consiguiente, se procede al análisis de los requerimientos planteados por la persona solicitante y la respuesta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efecto de determinar si el derecho de acceso se satisfizo con la misma, o en su defecto, señalar los documentos que en el ejercicio de sus atribuciones pudo haber generado, y que, de manera enunciativa más no limitativa, pudieran colmar dicho derecho. </w:t>
      </w:r>
    </w:p>
    <w:p w:rsidR="00B70417" w:rsidRDefault="00780A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las cosas, en primer lugar, conviene referir que en observancia de lo previsto en los artículos 53 fracción II</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xml:space="preserve"> y 162</w:t>
      </w:r>
      <w:r>
        <w:rPr>
          <w:rFonts w:ascii="Palatino Linotype" w:eastAsia="Palatino Linotype" w:hAnsi="Palatino Linotype" w:cs="Palatino Linotype"/>
          <w:vertAlign w:val="superscript"/>
        </w:rPr>
        <w:footnoteReference w:id="3"/>
      </w:r>
      <w:r>
        <w:rPr>
          <w:rFonts w:ascii="Palatino Linotype" w:eastAsia="Palatino Linotype" w:hAnsi="Palatino Linotype" w:cs="Palatino Linotype"/>
        </w:rPr>
        <w:t xml:space="preserve"> de la Ley de Transparencia y Acceso a la Información Pública del Estado de México y Municipios, la Unidad de Transparencia turnó la solicitud de información a las áreas que, de acuerdo con sus facultades, competencias y funciones, pudieran contar con la información materia </w:t>
      </w:r>
      <w:r>
        <w:rPr>
          <w:rFonts w:ascii="Palatino Linotype" w:eastAsia="Palatino Linotype" w:hAnsi="Palatino Linotype" w:cs="Palatino Linotype"/>
        </w:rPr>
        <w:lastRenderedPageBreak/>
        <w:t>de la solicitud, esto es a la Tesorería Municipal y la Dirección de Gobierno por Resultados.</w:t>
      </w:r>
    </w:p>
    <w:p w:rsidR="00B70417" w:rsidRDefault="00780A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cabe mencionar que la Tesorería Municipal es la dependencia encargada de la recaudación de los ingresos municipales, la administración de la hacienda municipal, llevar los registros contables, financieros y administrativos de los ingresos, así como de la conducción de la disciplina financiera y coordinar las diferentes fuentes de captación y proponer la política tributaria del Ayuntamiento, de conformidad con los artículos 93 y 95, fracciones I y IV de la Ley Orgánica Municipal del Estado de México y 3.47 del Código de Reglamentación Municipal de Metepec, a saber:</w:t>
      </w:r>
    </w:p>
    <w:p w:rsidR="00B70417" w:rsidRDefault="00780A47">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Artículo 93</w:t>
      </w:r>
      <w:r>
        <w:rPr>
          <w:rFonts w:ascii="Palatino Linotype" w:eastAsia="Palatino Linotype" w:hAnsi="Palatino Linotype" w:cs="Palatino Linotype"/>
          <w:i/>
          <w:sz w:val="22"/>
          <w:szCs w:val="22"/>
        </w:rPr>
        <w:t xml:space="preserve">.- La </w:t>
      </w:r>
      <w:r>
        <w:rPr>
          <w:rFonts w:ascii="Palatino Linotype" w:eastAsia="Palatino Linotype" w:hAnsi="Palatino Linotype" w:cs="Palatino Linotype"/>
          <w:b/>
          <w:i/>
          <w:sz w:val="22"/>
          <w:szCs w:val="22"/>
        </w:rPr>
        <w:t>tesorería municipal</w:t>
      </w:r>
      <w:r>
        <w:rPr>
          <w:rFonts w:ascii="Palatino Linotype" w:eastAsia="Palatino Linotype" w:hAnsi="Palatino Linotype" w:cs="Palatino Linotype"/>
          <w:i/>
          <w:sz w:val="22"/>
          <w:szCs w:val="22"/>
        </w:rPr>
        <w:t xml:space="preserve"> es el órgano </w:t>
      </w:r>
      <w:r>
        <w:rPr>
          <w:rFonts w:ascii="Palatino Linotype" w:eastAsia="Palatino Linotype" w:hAnsi="Palatino Linotype" w:cs="Palatino Linotype"/>
          <w:b/>
          <w:i/>
          <w:sz w:val="22"/>
          <w:szCs w:val="22"/>
        </w:rPr>
        <w:t>encargado de la recaudación de los ingresos municipales</w:t>
      </w:r>
      <w:r>
        <w:rPr>
          <w:rFonts w:ascii="Palatino Linotype" w:eastAsia="Palatino Linotype" w:hAnsi="Palatino Linotype" w:cs="Palatino Linotype"/>
          <w:i/>
          <w:sz w:val="22"/>
          <w:szCs w:val="22"/>
        </w:rPr>
        <w:t xml:space="preserve"> y responsable de realizar las erogaciones que haga el ayuntamiento.</w:t>
      </w:r>
    </w:p>
    <w:p w:rsidR="00B70417" w:rsidRDefault="00780A47">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70417" w:rsidRDefault="00780A47">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95</w:t>
      </w:r>
      <w:r>
        <w:rPr>
          <w:rFonts w:ascii="Palatino Linotype" w:eastAsia="Palatino Linotype" w:hAnsi="Palatino Linotype" w:cs="Palatino Linotype"/>
          <w:i/>
          <w:sz w:val="22"/>
          <w:szCs w:val="22"/>
        </w:rPr>
        <w:t xml:space="preserve">.- Son atribuciones del tesorero municipal: </w:t>
      </w:r>
    </w:p>
    <w:p w:rsidR="00B70417" w:rsidRDefault="00780A47">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Administrar la hacienda pública municipal</w:t>
      </w:r>
      <w:r>
        <w:rPr>
          <w:rFonts w:ascii="Palatino Linotype" w:eastAsia="Palatino Linotype" w:hAnsi="Palatino Linotype" w:cs="Palatino Linotype"/>
          <w:i/>
          <w:sz w:val="22"/>
          <w:szCs w:val="22"/>
        </w:rPr>
        <w:t>, de conformidad con las disposiciones legales aplicables;</w:t>
      </w:r>
    </w:p>
    <w:p w:rsidR="00B70417" w:rsidRDefault="00780A47">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70417" w:rsidRDefault="00780A47">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Llevar los registros contables, financieros y administrativos de los ingresos</w:t>
      </w:r>
      <w:r>
        <w:rPr>
          <w:rFonts w:ascii="Palatino Linotype" w:eastAsia="Palatino Linotype" w:hAnsi="Palatino Linotype" w:cs="Palatino Linotype"/>
          <w:i/>
          <w:sz w:val="22"/>
          <w:szCs w:val="22"/>
        </w:rPr>
        <w:t>, egresos, e inventarios;”</w:t>
      </w:r>
    </w:p>
    <w:p w:rsidR="00B70417" w:rsidRDefault="00780A4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3.47</w:t>
      </w:r>
      <w:r>
        <w:rPr>
          <w:rFonts w:ascii="Palatino Linotype" w:eastAsia="Palatino Linotype" w:hAnsi="Palatino Linotype" w:cs="Palatino Linotype"/>
          <w:i/>
          <w:sz w:val="22"/>
          <w:szCs w:val="22"/>
        </w:rPr>
        <w:t xml:space="preserve">.- La </w:t>
      </w:r>
      <w:r>
        <w:rPr>
          <w:rFonts w:ascii="Palatino Linotype" w:eastAsia="Palatino Linotype" w:hAnsi="Palatino Linotype" w:cs="Palatino Linotype"/>
          <w:b/>
          <w:i/>
          <w:sz w:val="22"/>
          <w:szCs w:val="22"/>
        </w:rPr>
        <w:t>Tesorería Municipal</w:t>
      </w:r>
      <w:r>
        <w:rPr>
          <w:rFonts w:ascii="Palatino Linotype" w:eastAsia="Palatino Linotype" w:hAnsi="Palatino Linotype" w:cs="Palatino Linotype"/>
          <w:i/>
          <w:sz w:val="22"/>
          <w:szCs w:val="22"/>
        </w:rPr>
        <w:t xml:space="preserve"> es la </w:t>
      </w:r>
      <w:r>
        <w:rPr>
          <w:rFonts w:ascii="Palatino Linotype" w:eastAsia="Palatino Linotype" w:hAnsi="Palatino Linotype" w:cs="Palatino Linotype"/>
          <w:b/>
          <w:i/>
          <w:sz w:val="22"/>
          <w:szCs w:val="22"/>
        </w:rPr>
        <w:t>encargada de conducir la disciplina presupuestal del Municipio y coordinar las diferentes fuentes de captació</w:t>
      </w:r>
      <w:r>
        <w:rPr>
          <w:rFonts w:ascii="Palatino Linotype" w:eastAsia="Palatino Linotype" w:hAnsi="Palatino Linotype" w:cs="Palatino Linotype"/>
          <w:i/>
          <w:sz w:val="22"/>
          <w:szCs w:val="22"/>
        </w:rPr>
        <w:t xml:space="preserve">n, en coordinación con las entidades federales, estatales y municipales, buscando lograr la realización de los objetivos contemplados en el Plan de Desarrollo Municipal, </w:t>
      </w:r>
      <w:r>
        <w:rPr>
          <w:rFonts w:ascii="Palatino Linotype" w:eastAsia="Palatino Linotype" w:hAnsi="Palatino Linotype" w:cs="Palatino Linotype"/>
          <w:b/>
          <w:i/>
          <w:sz w:val="22"/>
          <w:szCs w:val="22"/>
        </w:rPr>
        <w:t>a través de una adecuada integración del presupuesto de ingresos</w:t>
      </w:r>
      <w:r>
        <w:rPr>
          <w:rFonts w:ascii="Palatino Linotype" w:eastAsia="Palatino Linotype" w:hAnsi="Palatino Linotype" w:cs="Palatino Linotype"/>
          <w:i/>
          <w:sz w:val="22"/>
          <w:szCs w:val="22"/>
        </w:rPr>
        <w:t xml:space="preserve"> y egresos del Municipio, para la correcta administración de la hacienda municipal.</w:t>
      </w:r>
    </w:p>
    <w:p w:rsidR="00B70417" w:rsidRDefault="00780A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Además conviene referir que, de conformidad con el artículo 3.48, fracciones IV, V, XII, XIII, XV, XVI, XXII, XXIV y XXXIX  del Código de Reglamentación Municipal de Metepec, la Tesorería Municipal se encarga de los siguientes trámites y servicios</w:t>
      </w:r>
    </w:p>
    <w:p w:rsidR="00B70417" w:rsidRDefault="00780A4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 48</w:t>
      </w:r>
    </w:p>
    <w:p w:rsidR="00B70417" w:rsidRDefault="00780A47">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70417" w:rsidRDefault="00780A47">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Expedir certificaciones de no adeudo, de clave catastral y demás constancias de la información y documentación a su cargo; de acuerdo a lo establecido en el Registro Municipal de Trámites y Servicios;</w:t>
      </w:r>
    </w:p>
    <w:p w:rsidR="00B70417" w:rsidRDefault="00780A47">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Expedir previa acreditación de interés legítimo, copias certificadas de los documentos que amparen el pago de un crédito fiscal y en aquellos en los que conste el cumplimiento de obligaciones fiscales;</w:t>
      </w:r>
    </w:p>
    <w:p w:rsidR="00B70417" w:rsidRDefault="00780A47">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70417" w:rsidRDefault="00780A47">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XII</w:t>
      </w:r>
      <w:r>
        <w:rPr>
          <w:rFonts w:ascii="Palatino Linotype" w:eastAsia="Palatino Linotype" w:hAnsi="Palatino Linotype" w:cs="Palatino Linotype"/>
          <w:i/>
          <w:sz w:val="22"/>
          <w:szCs w:val="22"/>
        </w:rPr>
        <w:t>.  Emitir y controlar las formas numeradas y valoradas para la recaudación de los ingresos de la Hacienda Pública Municipal, así como para el pago de las obligaciones a cargo de la misma;</w:t>
      </w:r>
    </w:p>
    <w:p w:rsidR="00B70417" w:rsidRDefault="00780A47">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70417" w:rsidRDefault="00780A47">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XIII. </w:t>
      </w:r>
      <w:r>
        <w:rPr>
          <w:rFonts w:ascii="Palatino Linotype" w:eastAsia="Palatino Linotype" w:hAnsi="Palatino Linotype" w:cs="Palatino Linotype"/>
          <w:i/>
          <w:sz w:val="22"/>
          <w:szCs w:val="22"/>
        </w:rPr>
        <w:t xml:space="preserve"> Mejorar constantemente los procesos de recaudación e informar de ello al Ayuntamiento en términos de las leyes correspondientes;</w:t>
      </w:r>
    </w:p>
    <w:p w:rsidR="00B70417" w:rsidRDefault="00780A47">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70417" w:rsidRDefault="00780A47">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w:t>
      </w:r>
      <w:r>
        <w:rPr>
          <w:rFonts w:ascii="Palatino Linotype" w:eastAsia="Palatino Linotype" w:hAnsi="Palatino Linotype" w:cs="Palatino Linotype"/>
          <w:i/>
          <w:sz w:val="22"/>
          <w:szCs w:val="22"/>
        </w:rPr>
        <w:t xml:space="preserve">  Procurar el cobro de las sanciones pecuniarias correspondientes a las infracciones cometidas por particulares en razón a la contravención de las disposiciones contenidas a los ordenamientos municipales;</w:t>
      </w:r>
    </w:p>
    <w:p w:rsidR="00B70417" w:rsidRDefault="00780A47">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w:t>
      </w:r>
      <w:r>
        <w:rPr>
          <w:rFonts w:ascii="Palatino Linotype" w:eastAsia="Palatino Linotype" w:hAnsi="Palatino Linotype" w:cs="Palatino Linotype"/>
          <w:i/>
          <w:sz w:val="22"/>
          <w:szCs w:val="22"/>
        </w:rPr>
        <w:t xml:space="preserve">  Realizar el cobro de los estacionamientos ubicados en los parques públicos municipales, en términos de la normatividad vigente;</w:t>
      </w:r>
    </w:p>
    <w:p w:rsidR="00B70417" w:rsidRDefault="00780A47">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70417" w:rsidRDefault="00780A47">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XXII</w:t>
      </w:r>
      <w:r>
        <w:rPr>
          <w:rFonts w:ascii="Palatino Linotype" w:eastAsia="Palatino Linotype" w:hAnsi="Palatino Linotype" w:cs="Palatino Linotype"/>
          <w:i/>
          <w:sz w:val="22"/>
          <w:szCs w:val="22"/>
        </w:rPr>
        <w:t>.  Constatar la veracidad de los datos manifestados por los contribuyentes mediante la realización de los estudios técnicos catastrales o visitas domiciliarias, en los términos que establece la norma aplicable;</w:t>
      </w:r>
    </w:p>
    <w:p w:rsidR="00B70417" w:rsidRDefault="00780A47">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70417" w:rsidRDefault="00780A47">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XXIV</w:t>
      </w:r>
      <w:r>
        <w:rPr>
          <w:rFonts w:ascii="Palatino Linotype" w:eastAsia="Palatino Linotype" w:hAnsi="Palatino Linotype" w:cs="Palatino Linotype"/>
          <w:i/>
          <w:sz w:val="22"/>
          <w:szCs w:val="22"/>
        </w:rPr>
        <w:t>. Habilitar y tener bajo su cargo las oficinas receptoras, unidades móviles y personal necesario para la recaudación dentro del territorio municipal;</w:t>
      </w:r>
    </w:p>
    <w:p w:rsidR="00B70417" w:rsidRDefault="00780A47">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70417" w:rsidRDefault="00780A47">
      <w:pPr>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XXXIX</w:t>
      </w:r>
      <w:r>
        <w:rPr>
          <w:rFonts w:ascii="Palatino Linotype" w:eastAsia="Palatino Linotype" w:hAnsi="Palatino Linotype" w:cs="Palatino Linotype"/>
          <w:i/>
          <w:sz w:val="22"/>
          <w:szCs w:val="22"/>
        </w:rPr>
        <w:t>. Proponer la liquidación, recaudación y fiscalización de las contribuciones en los términos de los ordenamientos jurídicos de la materia;</w:t>
      </w:r>
    </w:p>
    <w:p w:rsidR="00B70417" w:rsidRDefault="00780A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Como se advierte,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la Tesorería Municipal presta diferentes servicios, entre los que destaca la expedición de certificaciones de no adeudo, de clave catastral y demás constancias, copias certificadas, cobro de sanciones pecuniarias correspondientes a las infracciones cometidas por particulares, entre otros, por lo que el Servidor Público Habilitado, en atención a la solicitud de información </w:t>
      </w:r>
      <w:r>
        <w:rPr>
          <w:rFonts w:ascii="Palatino Linotype" w:eastAsia="Palatino Linotype" w:hAnsi="Palatino Linotype" w:cs="Palatino Linotype"/>
          <w:b/>
        </w:rPr>
        <w:t>00332/METEPEC/IP/2022</w:t>
      </w:r>
      <w:r>
        <w:rPr>
          <w:rFonts w:ascii="Palatino Linotype" w:eastAsia="Palatino Linotype" w:hAnsi="Palatino Linotype" w:cs="Palatino Linotype"/>
        </w:rPr>
        <w:t xml:space="preserve">, refirió que la información relativa a los manuales, procedimientos o políticas para la atención de personas con discapacidad, adultos mayores y demás grupos vulnerables en las oficinas municipales para la realización de trámites, pagos, servicios, podía ser consultada en la dirección electrónica: </w:t>
      </w:r>
      <w:hyperlink r:id="rId11">
        <w:r>
          <w:rPr>
            <w:rFonts w:ascii="Palatino Linotype" w:eastAsia="Palatino Linotype" w:hAnsi="Palatino Linotype" w:cs="Palatino Linotype"/>
            <w:u w:val="single"/>
          </w:rPr>
          <w:t>http://metepec.gob.mx/pagina/archivo-municipal.php</w:t>
        </w:r>
      </w:hyperlink>
      <w:r>
        <w:rPr>
          <w:rFonts w:ascii="Palatino Linotype" w:eastAsia="Palatino Linotype" w:hAnsi="Palatino Linotype" w:cs="Palatino Linotype"/>
        </w:rPr>
        <w:t xml:space="preserve">. </w:t>
      </w:r>
    </w:p>
    <w:p w:rsidR="00B70417" w:rsidRDefault="00780A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tal sentido, debemos traer a colación el artículo 161</w:t>
      </w:r>
      <w:r>
        <w:rPr>
          <w:rFonts w:ascii="Palatino Linotype" w:eastAsia="Palatino Linotype" w:hAnsi="Palatino Linotype" w:cs="Palatino Linotype"/>
          <w:vertAlign w:val="superscript"/>
        </w:rPr>
        <w:footnoteReference w:id="4"/>
      </w:r>
      <w:r>
        <w:rPr>
          <w:rFonts w:ascii="Palatino Linotype" w:eastAsia="Palatino Linotype" w:hAnsi="Palatino Linotype" w:cs="Palatino Linotype"/>
        </w:rPr>
        <w:t xml:space="preserve"> de la Ley de Transparencia y Acceso a la Información Pública del Estado de México y Municipios</w:t>
      </w:r>
      <w:r>
        <w:rPr>
          <w:rFonts w:ascii="Palatino Linotype" w:eastAsia="Palatino Linotype" w:hAnsi="Palatino Linotype" w:cs="Palatino Linotype"/>
          <w:i/>
        </w:rPr>
        <w:t xml:space="preserve">, </w:t>
      </w:r>
      <w:r>
        <w:rPr>
          <w:rFonts w:ascii="Palatino Linotype" w:eastAsia="Palatino Linotype" w:hAnsi="Palatino Linotype" w:cs="Palatino Linotype"/>
        </w:rPr>
        <w:t>el cual establece las características que debe tener la información desde el momento en el que se genera, su publicación y entrega; así como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rsidR="00B70417" w:rsidRDefault="00780A47">
      <w:pPr>
        <w:spacing w:before="120" w:after="120" w:line="276" w:lineRule="auto"/>
        <w:ind w:left="284" w:right="51"/>
        <w:jc w:val="both"/>
        <w:rPr>
          <w:rFonts w:ascii="Palatino Linotype" w:eastAsia="Palatino Linotype" w:hAnsi="Palatino Linotype" w:cs="Palatino Linotype"/>
        </w:rPr>
      </w:pPr>
      <w:r>
        <w:rPr>
          <w:rFonts w:ascii="Palatino Linotype" w:eastAsia="Palatino Linotype" w:hAnsi="Palatino Linotype" w:cs="Palatino Linotype"/>
        </w:rPr>
        <w:t>a) La fuente</w:t>
      </w:r>
    </w:p>
    <w:p w:rsidR="00B70417" w:rsidRDefault="00780A47">
      <w:pPr>
        <w:spacing w:before="120" w:after="120" w:line="276" w:lineRule="auto"/>
        <w:ind w:left="284" w:right="51"/>
        <w:jc w:val="both"/>
        <w:rPr>
          <w:rFonts w:ascii="Palatino Linotype" w:eastAsia="Palatino Linotype" w:hAnsi="Palatino Linotype" w:cs="Palatino Linotype"/>
        </w:rPr>
      </w:pPr>
      <w:r>
        <w:rPr>
          <w:rFonts w:ascii="Palatino Linotype" w:eastAsia="Palatino Linotype" w:hAnsi="Palatino Linotype" w:cs="Palatino Linotype"/>
        </w:rPr>
        <w:t>b) El lugar y</w:t>
      </w:r>
    </w:p>
    <w:p w:rsidR="00B70417" w:rsidRDefault="00780A47">
      <w:pPr>
        <w:spacing w:before="120" w:after="120" w:line="276" w:lineRule="auto"/>
        <w:ind w:left="284"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c) La forma</w:t>
      </w:r>
    </w:p>
    <w:p w:rsidR="00B70417" w:rsidRDefault="00780A4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Asimismo, se establece que la fuente de la información deberá ser:</w:t>
      </w:r>
    </w:p>
    <w:p w:rsidR="00B70417" w:rsidRDefault="00780A47">
      <w:pPr>
        <w:spacing w:before="120" w:after="120" w:line="276" w:lineRule="auto"/>
        <w:ind w:left="284" w:right="51"/>
        <w:jc w:val="both"/>
        <w:rPr>
          <w:rFonts w:ascii="Palatino Linotype" w:eastAsia="Palatino Linotype" w:hAnsi="Palatino Linotype" w:cs="Palatino Linotype"/>
        </w:rPr>
      </w:pPr>
      <w:r>
        <w:rPr>
          <w:rFonts w:ascii="Palatino Linotype" w:eastAsia="Palatino Linotype" w:hAnsi="Palatino Linotype" w:cs="Palatino Linotype"/>
        </w:rPr>
        <w:t>a) Precisa</w:t>
      </w:r>
    </w:p>
    <w:p w:rsidR="00B70417" w:rsidRDefault="00780A47">
      <w:pPr>
        <w:spacing w:before="120" w:after="120" w:line="276" w:lineRule="auto"/>
        <w:ind w:left="284" w:right="51"/>
        <w:jc w:val="both"/>
        <w:rPr>
          <w:rFonts w:ascii="Palatino Linotype" w:eastAsia="Palatino Linotype" w:hAnsi="Palatino Linotype" w:cs="Palatino Linotype"/>
        </w:rPr>
      </w:pPr>
      <w:r>
        <w:rPr>
          <w:rFonts w:ascii="Palatino Linotype" w:eastAsia="Palatino Linotype" w:hAnsi="Palatino Linotype" w:cs="Palatino Linotype"/>
        </w:rPr>
        <w:t>b) Concreta</w:t>
      </w:r>
    </w:p>
    <w:p w:rsidR="00B70417" w:rsidRDefault="00780A47">
      <w:pPr>
        <w:spacing w:before="120" w:after="120" w:line="276" w:lineRule="auto"/>
        <w:ind w:left="284" w:right="51"/>
        <w:jc w:val="both"/>
        <w:rPr>
          <w:rFonts w:ascii="Palatino Linotype" w:eastAsia="Palatino Linotype" w:hAnsi="Palatino Linotype" w:cs="Palatino Linotype"/>
        </w:rPr>
      </w:pPr>
      <w:r>
        <w:rPr>
          <w:rFonts w:ascii="Palatino Linotype" w:eastAsia="Palatino Linotype" w:hAnsi="Palatino Linotype" w:cs="Palatino Linotype"/>
        </w:rPr>
        <w:t>c) Y no debe implicar que el solicitante realice una búsqueda en toda la información que se encuentre disponible.</w:t>
      </w:r>
    </w:p>
    <w:p w:rsidR="00B70417" w:rsidRDefault="00780A4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Imperativos legales que establecen el procedimiento que deben seguir los Sujetos Obligados para que pueda tomarse como válida su orientación sobre la forma en que puede consultar la información requerida.</w:t>
      </w:r>
    </w:p>
    <w:p w:rsidR="00B70417" w:rsidRDefault="00780A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Derivado de lo anterior, este Organismo Garante se dio a la tarea de consultar la información contenida en la dirección electrónica proporcionada por el Tesorero Municipal, observando lo siguiente:</w:t>
      </w:r>
    </w:p>
    <w:p w:rsidR="00B70417" w:rsidRDefault="00780A47">
      <w:pPr>
        <w:spacing w:before="240" w:after="240" w:line="360" w:lineRule="auto"/>
        <w:jc w:val="center"/>
        <w:rPr>
          <w:rFonts w:ascii="Palatino Linotype" w:eastAsia="Palatino Linotype" w:hAnsi="Palatino Linotype" w:cs="Palatino Linotype"/>
        </w:rPr>
      </w:pPr>
      <w:r>
        <w:rPr>
          <w:noProof/>
          <w:lang w:val="es-MX"/>
        </w:rPr>
        <w:drawing>
          <wp:inline distT="0" distB="0" distL="0" distR="0">
            <wp:extent cx="3240000" cy="3146215"/>
            <wp:effectExtent l="0" t="0" r="0" b="0"/>
            <wp:docPr id="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b="6085"/>
                    <a:stretch>
                      <a:fillRect/>
                    </a:stretch>
                  </pic:blipFill>
                  <pic:spPr>
                    <a:xfrm>
                      <a:off x="0" y="0"/>
                      <a:ext cx="3240000" cy="3146215"/>
                    </a:xfrm>
                    <a:prstGeom prst="rect">
                      <a:avLst/>
                    </a:prstGeom>
                    <a:ln/>
                  </pic:spPr>
                </pic:pic>
              </a:graphicData>
            </a:graphic>
          </wp:inline>
        </w:drawing>
      </w:r>
    </w:p>
    <w:p w:rsidR="00B70417" w:rsidRDefault="00780A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Como puede advertirse, la dirección electrónica proporcionada dirige a la página oficial del </w:t>
      </w:r>
      <w:r>
        <w:rPr>
          <w:rFonts w:ascii="Palatino Linotype" w:eastAsia="Palatino Linotype" w:hAnsi="Palatino Linotype" w:cs="Palatino Linotype"/>
          <w:b/>
        </w:rPr>
        <w:t>Sujeto Obligado</w:t>
      </w:r>
      <w:r>
        <w:rPr>
          <w:rFonts w:ascii="Palatino Linotype" w:eastAsia="Palatino Linotype" w:hAnsi="Palatino Linotype" w:cs="Palatino Linotype"/>
        </w:rPr>
        <w:t>, concretamente al apartado en el que se encuentra publicada diversa información, como el marco normativo aplicable, las gacetas municipales, el atlas de riesgo, el registro municipal para unidades económicas, el presupuesto municipal, entre otra información.</w:t>
      </w:r>
    </w:p>
    <w:p w:rsidR="00B70417" w:rsidRDefault="00780A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la fuente proporcionada, además de no haberse hecho del conocimiento de la persona solicitante en el plazo que establece el artículo 161 de la Ley de la Materia Local, no es precisa ni concreta, pues implica que el particular realice una búsqueda en toda la información que se encuentre disponible en la página electrónica proporcionada, en virtud de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omitió señalar el procedimiento mediante el cual podía obtener la información que es de su interés.</w:t>
      </w:r>
    </w:p>
    <w:p w:rsidR="00B70417" w:rsidRDefault="00780A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igual forma, es de señalar que la Unidad de Transparencia únicamente turnó la solicitud a la Tesorería Municipal, no obstante, la solicitud no se limita a los trámites y servicios que presta dicha unidad administrativa, por lo que es oportuno referir que de conformidad con el Registro Municipal de Trámites y Servicios</w:t>
      </w:r>
      <w:r>
        <w:rPr>
          <w:rFonts w:ascii="Palatino Linotype" w:eastAsia="Palatino Linotype" w:hAnsi="Palatino Linotype" w:cs="Palatino Linotype"/>
          <w:vertAlign w:val="superscript"/>
        </w:rPr>
        <w:footnoteReference w:id="5"/>
      </w:r>
      <w:r>
        <w:rPr>
          <w:rFonts w:ascii="Palatino Linotype" w:eastAsia="Palatino Linotype" w:hAnsi="Palatino Linotype" w:cs="Palatino Linotype"/>
        </w:rPr>
        <w:t xml:space="preserve">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 este cuenta con los siguientes trámites:</w:t>
      </w:r>
    </w:p>
    <w:p w:rsidR="00B70417" w:rsidRDefault="00B70417">
      <w:pPr>
        <w:spacing w:before="240" w:after="240" w:line="360" w:lineRule="auto"/>
        <w:jc w:val="both"/>
        <w:rPr>
          <w:rFonts w:ascii="Palatino Linotype" w:eastAsia="Palatino Linotype" w:hAnsi="Palatino Linotype" w:cs="Palatino Linotype"/>
        </w:rPr>
      </w:pPr>
    </w:p>
    <w:tbl>
      <w:tblPr>
        <w:tblStyle w:val="a9"/>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414"/>
        <w:gridCol w:w="4414"/>
      </w:tblGrid>
      <w:tr w:rsidR="00B70417">
        <w:tc>
          <w:tcPr>
            <w:tcW w:w="4414" w:type="dxa"/>
          </w:tcPr>
          <w:p w:rsidR="00B70417" w:rsidRDefault="00780A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2628000" cy="207498"/>
                  <wp:effectExtent l="0" t="0" r="0" b="0"/>
                  <wp:docPr id="3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t="1" b="95352"/>
                          <a:stretch>
                            <a:fillRect/>
                          </a:stretch>
                        </pic:blipFill>
                        <pic:spPr>
                          <a:xfrm>
                            <a:off x="0" y="0"/>
                            <a:ext cx="2628000" cy="207498"/>
                          </a:xfrm>
                          <a:prstGeom prst="rect">
                            <a:avLst/>
                          </a:prstGeom>
                          <a:ln/>
                        </pic:spPr>
                      </pic:pic>
                    </a:graphicData>
                  </a:graphic>
                </wp:inline>
              </w:drawing>
            </w:r>
          </w:p>
          <w:p w:rsidR="00B70417" w:rsidRDefault="00780A47">
            <w:pPr>
              <w:spacing w:before="240" w:after="240" w:line="360" w:lineRule="auto"/>
              <w:jc w:val="center"/>
              <w:rPr>
                <w:rFonts w:ascii="Palatino Linotype" w:eastAsia="Palatino Linotype" w:hAnsi="Palatino Linotype" w:cs="Palatino Linotype"/>
              </w:rPr>
            </w:pPr>
            <w:r>
              <w:rPr>
                <w:noProof/>
                <w:lang w:val="es-MX"/>
              </w:rPr>
              <w:drawing>
                <wp:inline distT="0" distB="0" distL="114300" distR="114300">
                  <wp:extent cx="2592070" cy="4325620"/>
                  <wp:effectExtent l="0" t="0" r="0" b="0"/>
                  <wp:docPr id="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592070" cy="4325620"/>
                          </a:xfrm>
                          <a:prstGeom prst="rect">
                            <a:avLst/>
                          </a:prstGeom>
                          <a:ln/>
                        </pic:spPr>
                      </pic:pic>
                    </a:graphicData>
                  </a:graphic>
                </wp:inline>
              </w:drawing>
            </w:r>
          </w:p>
        </w:tc>
        <w:tc>
          <w:tcPr>
            <w:tcW w:w="4414" w:type="dxa"/>
          </w:tcPr>
          <w:p w:rsidR="00B70417" w:rsidRDefault="00780A47">
            <w:pPr>
              <w:spacing w:before="240" w:after="240" w:line="360" w:lineRule="auto"/>
              <w:jc w:val="center"/>
              <w:rPr>
                <w:rFonts w:ascii="Palatino Linotype" w:eastAsia="Palatino Linotype" w:hAnsi="Palatino Linotype" w:cs="Palatino Linotype"/>
              </w:rPr>
            </w:pPr>
            <w:r>
              <w:rPr>
                <w:noProof/>
                <w:lang w:val="es-MX"/>
              </w:rPr>
              <w:drawing>
                <wp:inline distT="0" distB="0" distL="114300" distR="114300">
                  <wp:extent cx="2528570" cy="4834255"/>
                  <wp:effectExtent l="0" t="0" r="0" b="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528570" cy="4834255"/>
                          </a:xfrm>
                          <a:prstGeom prst="rect">
                            <a:avLst/>
                          </a:prstGeom>
                          <a:ln/>
                        </pic:spPr>
                      </pic:pic>
                    </a:graphicData>
                  </a:graphic>
                </wp:inline>
              </w:drawing>
            </w:r>
          </w:p>
        </w:tc>
      </w:tr>
    </w:tbl>
    <w:p w:rsidR="00B70417" w:rsidRDefault="00B70417">
      <w:pPr>
        <w:spacing w:before="240" w:after="240" w:line="360" w:lineRule="auto"/>
        <w:jc w:val="both"/>
        <w:rPr>
          <w:rFonts w:ascii="Palatino Linotype" w:eastAsia="Palatino Linotype" w:hAnsi="Palatino Linotype" w:cs="Palatino Linotype"/>
        </w:rPr>
      </w:pPr>
    </w:p>
    <w:tbl>
      <w:tblPr>
        <w:tblStyle w:val="aa"/>
        <w:tblW w:w="883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467"/>
        <w:gridCol w:w="4371"/>
      </w:tblGrid>
      <w:tr w:rsidR="00B70417">
        <w:tc>
          <w:tcPr>
            <w:tcW w:w="4467" w:type="dxa"/>
          </w:tcPr>
          <w:p w:rsidR="00B70417" w:rsidRDefault="00780A47">
            <w:pPr>
              <w:jc w:val="center"/>
              <w:rPr>
                <w:rFonts w:ascii="Palatino Linotype" w:eastAsia="Palatino Linotype" w:hAnsi="Palatino Linotype" w:cs="Palatino Linotype"/>
              </w:rPr>
            </w:pPr>
            <w:r>
              <w:rPr>
                <w:noProof/>
                <w:lang w:val="es-MX"/>
              </w:rPr>
              <w:lastRenderedPageBreak/>
              <w:drawing>
                <wp:inline distT="0" distB="0" distL="114300" distR="114300">
                  <wp:extent cx="2695575" cy="7291069"/>
                  <wp:effectExtent l="0" t="0" r="0" b="0"/>
                  <wp:docPr id="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2695575" cy="7291069"/>
                          </a:xfrm>
                          <a:prstGeom prst="rect">
                            <a:avLst/>
                          </a:prstGeom>
                          <a:ln/>
                        </pic:spPr>
                      </pic:pic>
                    </a:graphicData>
                  </a:graphic>
                </wp:inline>
              </w:drawing>
            </w:r>
          </w:p>
        </w:tc>
        <w:tc>
          <w:tcPr>
            <w:tcW w:w="4371" w:type="dxa"/>
          </w:tcPr>
          <w:p w:rsidR="00B70417" w:rsidRDefault="00780A47">
            <w:pPr>
              <w:jc w:val="center"/>
              <w:rPr>
                <w:rFonts w:ascii="Palatino Linotype" w:eastAsia="Palatino Linotype" w:hAnsi="Palatino Linotype" w:cs="Palatino Linotype"/>
              </w:rPr>
            </w:pPr>
            <w:r>
              <w:rPr>
                <w:noProof/>
                <w:lang w:val="es-MX"/>
              </w:rPr>
              <w:drawing>
                <wp:inline distT="0" distB="0" distL="114300" distR="114300">
                  <wp:extent cx="2632075" cy="771525"/>
                  <wp:effectExtent l="0" t="0" r="0" b="0"/>
                  <wp:docPr id="4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2632075" cy="771525"/>
                          </a:xfrm>
                          <a:prstGeom prst="rect">
                            <a:avLst/>
                          </a:prstGeom>
                          <a:ln/>
                        </pic:spPr>
                      </pic:pic>
                    </a:graphicData>
                  </a:graphic>
                </wp:inline>
              </w:drawing>
            </w:r>
            <w:r>
              <w:rPr>
                <w:noProof/>
                <w:lang w:val="es-MX"/>
              </w:rPr>
              <w:drawing>
                <wp:inline distT="0" distB="0" distL="114300" distR="114300">
                  <wp:extent cx="2632075" cy="3283584"/>
                  <wp:effectExtent l="0" t="0" r="0" b="0"/>
                  <wp:docPr id="4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2632075" cy="3283584"/>
                          </a:xfrm>
                          <a:prstGeom prst="rect">
                            <a:avLst/>
                          </a:prstGeom>
                          <a:ln/>
                        </pic:spPr>
                      </pic:pic>
                    </a:graphicData>
                  </a:graphic>
                </wp:inline>
              </w:drawing>
            </w:r>
          </w:p>
        </w:tc>
      </w:tr>
    </w:tbl>
    <w:p w:rsidR="00B70417" w:rsidRDefault="00780A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tal sentido, a efecto de satisfacer el Derecho de Acceso a la Información de la persona solicitante, la Unidad de Transparencia deberá turnar la solicitud de información a todas las áreas que, de acuerdo a sus atribuciones o funciones, resulten competentes para contar con la información que es materia de estudio, a efecto de que realicen la búsqueda exhaustiva y razonable de la misma, en observancia del procedimiento previsto en los artículos 162, 164 y 165, párrafo primero de la Ley de Transparencia y Acceso a la Información Pública del Estado de México y Municipios, que son del tenor literal siguiente:</w:t>
      </w:r>
    </w:p>
    <w:p w:rsidR="00B70417" w:rsidRDefault="00780A47">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 “Artículo 162.</w:t>
      </w:r>
      <w:r>
        <w:rPr>
          <w:rFonts w:ascii="Palatino Linotype" w:eastAsia="Palatino Linotype" w:hAnsi="Palatino Linotype" w:cs="Palatino Linotype"/>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rsidR="00B70417" w:rsidRDefault="00780A47">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164.</w:t>
      </w:r>
      <w:r>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rsidR="00B70417" w:rsidRDefault="00780A47">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cualquier caso, se deberá fundar y motivar la necesidad de ofrecer otras modalidades.  </w:t>
      </w:r>
    </w:p>
    <w:p w:rsidR="00B70417" w:rsidRDefault="00780A47">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165.</w:t>
      </w:r>
      <w:r>
        <w:rPr>
          <w:rFonts w:ascii="Palatino Linotype" w:eastAsia="Palatino Linotype" w:hAnsi="Palatino Linotype" w:cs="Palatino Linotype"/>
          <w:i/>
          <w:sz w:val="22"/>
          <w:szCs w:val="22"/>
        </w:rPr>
        <w:t xml:space="preserve"> Los sujetos obligados establecerán la forma y términos en que darán trámite interno a las solicitudes en materia de acceso a la información…”</w:t>
      </w:r>
    </w:p>
    <w:p w:rsidR="00B70417" w:rsidRDefault="00780A4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Del cuerpo normativo transcrito, se advierte que las Unidades de Transparencia deberán garantizar que las solicitudes se turnen a todas las áreas que cuenten con la información o que deban tenerla de acuerdo a sus facultades, competencias o funciones.</w:t>
      </w:r>
    </w:p>
    <w:p w:rsidR="00B70417" w:rsidRDefault="00780A4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Siendo la Unidad de Transparencia la responsable de hacer las notificaciones correspondientes, además de llevar a cabo</w:t>
      </w:r>
      <w:r w:rsidR="00AB060D">
        <w:rPr>
          <w:rFonts w:ascii="Palatino Linotype" w:eastAsia="Palatino Linotype" w:hAnsi="Palatino Linotype" w:cs="Palatino Linotype"/>
        </w:rPr>
        <w:t xml:space="preserve"> </w:t>
      </w:r>
      <w:r>
        <w:rPr>
          <w:rFonts w:ascii="Palatino Linotype" w:eastAsia="Palatino Linotype" w:hAnsi="Palatino Linotype" w:cs="Palatino Linotype"/>
        </w:rPr>
        <w:t>todas las gestiones necesarias para facilitar el acceso a la información.</w:t>
      </w:r>
    </w:p>
    <w:p w:rsidR="00B70417" w:rsidRDefault="00780A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 efecto de robustecer lo anterior, no obsta mencionar que el artículo 115, párrafo segundo de la Constitución Política de los Estados Unidos Mexicanos, establece como atribución de los ayuntamientos aprobar, de acuerdo con las leyes en materia Municipal expedidas por las legislaturas de los Estados, los bandos, los reglamentos, circulares y disposiciones administrativas de observancia general dentro de sus respectivas jurisdicciones, que organicen la Administración Pública Municipal, regulen las materias, procedimientos, funciones y servicios públicos de su competencia, a saber:</w:t>
      </w:r>
    </w:p>
    <w:p w:rsidR="00B70417" w:rsidRDefault="00780A47">
      <w:pPr>
        <w:spacing w:line="276" w:lineRule="auto"/>
        <w:ind w:left="851" w:right="95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115.</w:t>
      </w:r>
      <w:r>
        <w:rPr>
          <w:rFonts w:ascii="Palatino Linotype" w:eastAsia="Palatino Linotype" w:hAnsi="Palatino Linotype" w:cs="Palatino Linotype"/>
          <w:i/>
          <w:sz w:val="22"/>
          <w:szCs w:val="22"/>
        </w:rPr>
        <w:t>..</w:t>
      </w:r>
    </w:p>
    <w:p w:rsidR="00B70417" w:rsidRDefault="00780A47">
      <w:pPr>
        <w:spacing w:line="276" w:lineRule="auto"/>
        <w:ind w:left="1134" w:right="95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municipios estarán investidos de personalidad jurídica y manejarán su patrimonio conforme a la ley.</w:t>
      </w:r>
    </w:p>
    <w:p w:rsidR="00B70417" w:rsidRDefault="00B70417">
      <w:pPr>
        <w:spacing w:line="276" w:lineRule="auto"/>
        <w:ind w:left="1134" w:right="956"/>
        <w:jc w:val="both"/>
        <w:rPr>
          <w:rFonts w:ascii="Palatino Linotype" w:eastAsia="Palatino Linotype" w:hAnsi="Palatino Linotype" w:cs="Palatino Linotype"/>
          <w:i/>
          <w:sz w:val="22"/>
          <w:szCs w:val="22"/>
        </w:rPr>
      </w:pPr>
    </w:p>
    <w:p w:rsidR="00B70417" w:rsidRDefault="00780A47">
      <w:pPr>
        <w:spacing w:line="276" w:lineRule="auto"/>
        <w:ind w:left="1134" w:right="95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ayuntamientos tendrán facultades para aprobar</w:t>
      </w:r>
      <w:r>
        <w:rPr>
          <w:rFonts w:ascii="Palatino Linotype" w:eastAsia="Palatino Linotype" w:hAnsi="Palatino Linotype" w:cs="Palatino Linotype"/>
          <w:i/>
          <w:sz w:val="22"/>
          <w:szCs w:val="22"/>
        </w:rPr>
        <w:t xml:space="preserve">, de acuerdo con las leyes en materia municipal que deberán expedir las legislaturas de los Estados, </w:t>
      </w:r>
      <w:r>
        <w:rPr>
          <w:rFonts w:ascii="Palatino Linotype" w:eastAsia="Palatino Linotype" w:hAnsi="Palatino Linotype" w:cs="Palatino Linotype"/>
          <w:b/>
          <w:i/>
          <w:sz w:val="22"/>
          <w:szCs w:val="22"/>
        </w:rPr>
        <w:t xml:space="preserve">los bandos de policía y gobierno, los reglamentos, circulares y disposiciones administrativas de observancia general </w:t>
      </w:r>
      <w:r>
        <w:rPr>
          <w:rFonts w:ascii="Palatino Linotype" w:eastAsia="Palatino Linotype" w:hAnsi="Palatino Linotype" w:cs="Palatino Linotype"/>
          <w:i/>
          <w:sz w:val="22"/>
          <w:szCs w:val="22"/>
        </w:rPr>
        <w:t xml:space="preserve">dentro de sus respectivas jurisdicciones, </w:t>
      </w:r>
      <w:r>
        <w:rPr>
          <w:rFonts w:ascii="Palatino Linotype" w:eastAsia="Palatino Linotype" w:hAnsi="Palatino Linotype" w:cs="Palatino Linotype"/>
          <w:b/>
          <w:i/>
          <w:sz w:val="22"/>
          <w:szCs w:val="22"/>
        </w:rPr>
        <w:t>que organicen la administración pública municipal, regulen las materias, procedimientos, funciones y servicios públicos de su competencia y aseguren la participación ciudadana y vecinal</w:t>
      </w:r>
      <w:r>
        <w:rPr>
          <w:rFonts w:ascii="Palatino Linotype" w:eastAsia="Palatino Linotype" w:hAnsi="Palatino Linotype" w:cs="Palatino Linotype"/>
          <w:i/>
          <w:sz w:val="22"/>
          <w:szCs w:val="22"/>
        </w:rPr>
        <w:t>.”</w:t>
      </w:r>
    </w:p>
    <w:p w:rsidR="00B70417" w:rsidRDefault="00780A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su parte, la Constitución Política del Estado Libre y Soberano de México en su artículo 124, y la Ley Orgánica Municipal del Estado de México en sus artículos 31 fracción I, 86, 91, fracción VIII y 164, disponen lo siguiente:</w:t>
      </w:r>
    </w:p>
    <w:p w:rsidR="00B70417" w:rsidRDefault="00780A47">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124.-</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ayuntamientos expedirán</w:t>
      </w:r>
      <w:r>
        <w:rPr>
          <w:rFonts w:ascii="Palatino Linotype" w:eastAsia="Palatino Linotype" w:hAnsi="Palatino Linotype" w:cs="Palatino Linotype"/>
          <w:i/>
          <w:sz w:val="22"/>
          <w:szCs w:val="22"/>
        </w:rPr>
        <w:t xml:space="preserve"> el Bando Municipal, que será promulgado y publicado el 5 de febrero de cada año; </w:t>
      </w:r>
      <w:r>
        <w:rPr>
          <w:rFonts w:ascii="Palatino Linotype" w:eastAsia="Palatino Linotype" w:hAnsi="Palatino Linotype" w:cs="Palatino Linotype"/>
          <w:b/>
          <w:i/>
          <w:sz w:val="22"/>
          <w:szCs w:val="22"/>
        </w:rPr>
        <w:t>los reglamentos; y todas las normas necesarias para su organización y funcionamiento</w:t>
      </w:r>
      <w:r>
        <w:rPr>
          <w:rFonts w:ascii="Palatino Linotype" w:eastAsia="Palatino Linotype" w:hAnsi="Palatino Linotype" w:cs="Palatino Linotype"/>
          <w:i/>
          <w:sz w:val="22"/>
          <w:szCs w:val="22"/>
        </w:rPr>
        <w:t xml:space="preserve">, conforme a las previsiones de la Constitución General de la República, de la presente Constitución, de la Ley Orgánica Municipal y demás ordenamientos aplicables. </w:t>
      </w:r>
    </w:p>
    <w:p w:rsidR="00B70417" w:rsidRDefault="00B70417">
      <w:pPr>
        <w:spacing w:line="276" w:lineRule="auto"/>
        <w:ind w:left="851" w:right="902"/>
        <w:jc w:val="both"/>
        <w:rPr>
          <w:rFonts w:ascii="Palatino Linotype" w:eastAsia="Palatino Linotype" w:hAnsi="Palatino Linotype" w:cs="Palatino Linotype"/>
          <w:i/>
          <w:sz w:val="22"/>
          <w:szCs w:val="22"/>
        </w:rPr>
      </w:pPr>
    </w:p>
    <w:p w:rsidR="00B70417" w:rsidRDefault="00780A47">
      <w:pPr>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no promulgarse un nuevo bando municipal el día señalado, se publicará y observará el inmediato anterior.”</w:t>
      </w:r>
    </w:p>
    <w:p w:rsidR="00B70417" w:rsidRDefault="00B70417">
      <w:pPr>
        <w:ind w:left="851" w:right="902"/>
        <w:jc w:val="both"/>
        <w:rPr>
          <w:rFonts w:ascii="Palatino Linotype" w:eastAsia="Palatino Linotype" w:hAnsi="Palatino Linotype" w:cs="Palatino Linotype"/>
          <w:b/>
          <w:i/>
          <w:sz w:val="22"/>
          <w:szCs w:val="22"/>
        </w:rPr>
      </w:pPr>
    </w:p>
    <w:p w:rsidR="00B70417" w:rsidRDefault="00780A4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31</w:t>
      </w:r>
      <w:r>
        <w:rPr>
          <w:rFonts w:ascii="Palatino Linotype" w:eastAsia="Palatino Linotype" w:hAnsi="Palatino Linotype" w:cs="Palatino Linotype"/>
          <w:i/>
          <w:sz w:val="22"/>
          <w:szCs w:val="22"/>
        </w:rPr>
        <w:t xml:space="preserve">.- Son </w:t>
      </w:r>
      <w:r>
        <w:rPr>
          <w:rFonts w:ascii="Palatino Linotype" w:eastAsia="Palatino Linotype" w:hAnsi="Palatino Linotype" w:cs="Palatino Linotype"/>
          <w:b/>
          <w:i/>
          <w:sz w:val="22"/>
          <w:szCs w:val="22"/>
        </w:rPr>
        <w:t>atribuciones de los ayuntamientos</w:t>
      </w:r>
      <w:r>
        <w:rPr>
          <w:rFonts w:ascii="Palatino Linotype" w:eastAsia="Palatino Linotype" w:hAnsi="Palatino Linotype" w:cs="Palatino Linotype"/>
          <w:i/>
          <w:sz w:val="22"/>
          <w:szCs w:val="22"/>
        </w:rPr>
        <w:t>:</w:t>
      </w:r>
    </w:p>
    <w:p w:rsidR="00B70417" w:rsidRDefault="00780A47">
      <w:pPr>
        <w:ind w:left="993"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Expedir y reformar</w:t>
      </w:r>
      <w:r>
        <w:rPr>
          <w:rFonts w:ascii="Palatino Linotype" w:eastAsia="Palatino Linotype" w:hAnsi="Palatino Linotype" w:cs="Palatino Linotype"/>
          <w:i/>
          <w:sz w:val="22"/>
          <w:szCs w:val="22"/>
        </w:rPr>
        <w:t xml:space="preserve"> el Bando Municipal, así como </w:t>
      </w:r>
      <w:r>
        <w:rPr>
          <w:rFonts w:ascii="Palatino Linotype" w:eastAsia="Palatino Linotype" w:hAnsi="Palatino Linotype" w:cs="Palatino Linotype"/>
          <w:b/>
          <w:i/>
          <w:sz w:val="22"/>
          <w:szCs w:val="22"/>
        </w:rPr>
        <w:t>los reglamentos, circulares y disposiciones administrativas</w:t>
      </w:r>
      <w:r>
        <w:rPr>
          <w:rFonts w:ascii="Palatino Linotype" w:eastAsia="Palatino Linotype" w:hAnsi="Palatino Linotype" w:cs="Palatino Linotype"/>
          <w:i/>
          <w:sz w:val="22"/>
          <w:szCs w:val="22"/>
        </w:rPr>
        <w:t xml:space="preserve"> de observancia general dentro del territorio del municipio, </w:t>
      </w:r>
      <w:r>
        <w:rPr>
          <w:rFonts w:ascii="Palatino Linotype" w:eastAsia="Palatino Linotype" w:hAnsi="Palatino Linotype" w:cs="Palatino Linotype"/>
          <w:b/>
          <w:i/>
          <w:sz w:val="22"/>
          <w:szCs w:val="22"/>
        </w:rPr>
        <w:t>que sean necesarios para su organización, prestación de los servicios públicos y, en general, para el cumplimiento de sus atribuciones;</w:t>
      </w:r>
    </w:p>
    <w:p w:rsidR="00B70417" w:rsidRDefault="00780A4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70417" w:rsidRDefault="00780A4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86</w:t>
      </w:r>
      <w:r>
        <w:rPr>
          <w:rFonts w:ascii="Palatino Linotype" w:eastAsia="Palatino Linotype" w:hAnsi="Palatino Linotype" w:cs="Palatino Linotype"/>
          <w:i/>
          <w:sz w:val="22"/>
          <w:szCs w:val="22"/>
        </w:rPr>
        <w:t xml:space="preserve">.- Para el ejercicio de sus atribuciones y responsabilidades ejecutivas, </w:t>
      </w:r>
      <w:r>
        <w:rPr>
          <w:rFonts w:ascii="Palatino Linotype" w:eastAsia="Palatino Linotype" w:hAnsi="Palatino Linotype" w:cs="Palatino Linotype"/>
          <w:b/>
          <w:i/>
          <w:sz w:val="22"/>
          <w:szCs w:val="22"/>
        </w:rPr>
        <w:t>el ayuntamiento se auxiliará con las dependencias y entidades de la administración pública municipal</w:t>
      </w:r>
      <w:r>
        <w:rPr>
          <w:rFonts w:ascii="Palatino Linotype" w:eastAsia="Palatino Linotype" w:hAnsi="Palatino Linotype" w:cs="Palatino Linotype"/>
          <w:i/>
          <w:sz w:val="22"/>
          <w:szCs w:val="22"/>
        </w:rPr>
        <w:t xml:space="preserve">, que en cada caso acuerde el cabildo a propuesta del presidente municipal, las que estarán subordinadas a este servidor público. </w:t>
      </w:r>
      <w:r>
        <w:rPr>
          <w:rFonts w:ascii="Palatino Linotype" w:eastAsia="Palatino Linotype" w:hAnsi="Palatino Linotype" w:cs="Palatino Linotype"/>
          <w:b/>
          <w:i/>
          <w:sz w:val="22"/>
          <w:szCs w:val="22"/>
        </w:rPr>
        <w:t xml:space="preserve">El servidor público titular </w:t>
      </w:r>
      <w:r>
        <w:rPr>
          <w:rFonts w:ascii="Palatino Linotype" w:eastAsia="Palatino Linotype" w:hAnsi="Palatino Linotype" w:cs="Palatino Linotype"/>
          <w:i/>
          <w:sz w:val="22"/>
          <w:szCs w:val="22"/>
        </w:rPr>
        <w:t xml:space="preserve">de las referidas dependencias y entidades de la administración municipal, </w:t>
      </w:r>
      <w:r>
        <w:rPr>
          <w:rFonts w:ascii="Palatino Linotype" w:eastAsia="Palatino Linotype" w:hAnsi="Palatino Linotype" w:cs="Palatino Linotype"/>
          <w:b/>
          <w:i/>
          <w:sz w:val="22"/>
          <w:szCs w:val="22"/>
        </w:rPr>
        <w:t>ejercerá las funciones</w:t>
      </w:r>
      <w:r>
        <w:rPr>
          <w:rFonts w:ascii="Palatino Linotype" w:eastAsia="Palatino Linotype" w:hAnsi="Palatino Linotype" w:cs="Palatino Linotype"/>
          <w:i/>
          <w:sz w:val="22"/>
          <w:szCs w:val="22"/>
        </w:rPr>
        <w:t xml:space="preserve"> propias de su competencia y será responsable por el ejercicio de dichas funciones</w:t>
      </w:r>
      <w:r>
        <w:rPr>
          <w:rFonts w:ascii="Palatino Linotype" w:eastAsia="Palatino Linotype" w:hAnsi="Palatino Linotype" w:cs="Palatino Linotype"/>
          <w:b/>
          <w:i/>
          <w:sz w:val="22"/>
          <w:szCs w:val="22"/>
        </w:rPr>
        <w:t xml:space="preserve"> y atribuciones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contenidas en la Ley, sus reglamentos interiores, manuales, acuerdos, circulares y otras disposiciones legales que tiendan a regular el funcionamiento del Municipio.</w:t>
      </w:r>
    </w:p>
    <w:p w:rsidR="00B70417" w:rsidRDefault="00B70417">
      <w:pPr>
        <w:ind w:left="851" w:right="902"/>
        <w:jc w:val="both"/>
        <w:rPr>
          <w:rFonts w:ascii="Palatino Linotype" w:eastAsia="Palatino Linotype" w:hAnsi="Palatino Linotype" w:cs="Palatino Linotype"/>
          <w:i/>
          <w:sz w:val="22"/>
          <w:szCs w:val="22"/>
        </w:rPr>
      </w:pPr>
    </w:p>
    <w:p w:rsidR="00B70417" w:rsidRDefault="00780A4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91</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Secretaría del Ayuntamiento</w:t>
      </w:r>
      <w:r>
        <w:rPr>
          <w:rFonts w:ascii="Palatino Linotype" w:eastAsia="Palatino Linotype" w:hAnsi="Palatino Linotype" w:cs="Palatino Linotype"/>
          <w:i/>
          <w:sz w:val="22"/>
          <w:szCs w:val="22"/>
        </w:rPr>
        <w:t xml:space="preserve"> estará a cargo de un Secretario, el que, sin ser miembro del mismo, deberá ser nombrado por el propio Ayuntamiento a propuesta del Presidente Municipal como lo marca el artículo 31 de la presente ley. Sus faltas temporales serán cubiertas por quien designe el Ayuntamiento y </w:t>
      </w:r>
      <w:r>
        <w:rPr>
          <w:rFonts w:ascii="Palatino Linotype" w:eastAsia="Palatino Linotype" w:hAnsi="Palatino Linotype" w:cs="Palatino Linotype"/>
          <w:b/>
          <w:i/>
          <w:sz w:val="22"/>
          <w:szCs w:val="22"/>
        </w:rPr>
        <w:t>sus atribuciones son las siguientes</w:t>
      </w:r>
      <w:r>
        <w:rPr>
          <w:rFonts w:ascii="Palatino Linotype" w:eastAsia="Palatino Linotype" w:hAnsi="Palatino Linotype" w:cs="Palatino Linotype"/>
          <w:i/>
          <w:sz w:val="22"/>
          <w:szCs w:val="22"/>
        </w:rPr>
        <w:t>:</w:t>
      </w:r>
    </w:p>
    <w:p w:rsidR="00B70417" w:rsidRDefault="00780A4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70417" w:rsidRDefault="00780A47">
      <w:pPr>
        <w:ind w:left="993"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VIII. Publicar los reglamentos, circulares y demás disposiciones municipales de observancia general;</w:t>
      </w:r>
    </w:p>
    <w:p w:rsidR="00B70417" w:rsidRDefault="00780A4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70417" w:rsidRDefault="00780A47">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164</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ayuntamientos podrán expedir los reglamentos, circulares y disposiciones administrativas que regulen el régimen de las diversas esferas de competencia municipal</w:t>
      </w:r>
      <w:r>
        <w:rPr>
          <w:rFonts w:ascii="Palatino Linotype" w:eastAsia="Palatino Linotype" w:hAnsi="Palatino Linotype" w:cs="Palatino Linotype"/>
          <w:i/>
          <w:sz w:val="22"/>
          <w:szCs w:val="22"/>
        </w:rPr>
        <w:t>.</w:t>
      </w:r>
    </w:p>
    <w:p w:rsidR="00B70417" w:rsidRDefault="00780A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su parte, el Código Reglamentario de Metepec, en sus artículos 3.30, fracción II y 3.196, establece lo siguiente:</w:t>
      </w:r>
    </w:p>
    <w:p w:rsidR="00B70417" w:rsidRDefault="00780A4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3.30.-</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Corresponderá a las y los titulares de las dependencias y organismos de la Administración Pública Municipal</w:t>
      </w:r>
      <w:r>
        <w:rPr>
          <w:rFonts w:ascii="Palatino Linotype" w:eastAsia="Palatino Linotype" w:hAnsi="Palatino Linotype" w:cs="Palatino Linotype"/>
          <w:i/>
          <w:sz w:val="22"/>
          <w:szCs w:val="22"/>
        </w:rPr>
        <w:t>, cumplir con las siguientes atribuciones:</w:t>
      </w:r>
    </w:p>
    <w:p w:rsidR="00B70417" w:rsidRDefault="00780A4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70417" w:rsidRDefault="00780A4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Elaborar y aplicar los manuales,</w:t>
      </w:r>
      <w:r>
        <w:rPr>
          <w:rFonts w:ascii="Palatino Linotype" w:eastAsia="Palatino Linotype" w:hAnsi="Palatino Linotype" w:cs="Palatino Linotype"/>
          <w:i/>
          <w:sz w:val="22"/>
          <w:szCs w:val="22"/>
        </w:rPr>
        <w:t xml:space="preserve"> así como publicarlos en la Gaceta Municipal para su obligación y vigencia;</w:t>
      </w:r>
    </w:p>
    <w:p w:rsidR="00B70417" w:rsidRDefault="00780A4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3.196</w:t>
      </w:r>
      <w:r>
        <w:rPr>
          <w:rFonts w:ascii="Palatino Linotype" w:eastAsia="Palatino Linotype" w:hAnsi="Palatino Linotype" w:cs="Palatino Linotype"/>
          <w:i/>
          <w:sz w:val="22"/>
          <w:szCs w:val="22"/>
        </w:rPr>
        <w:t xml:space="preserve">.- La </w:t>
      </w:r>
      <w:r>
        <w:rPr>
          <w:rFonts w:ascii="Palatino Linotype" w:eastAsia="Palatino Linotype" w:hAnsi="Palatino Linotype" w:cs="Palatino Linotype"/>
          <w:b/>
          <w:i/>
          <w:sz w:val="22"/>
          <w:szCs w:val="22"/>
        </w:rPr>
        <w:t>Dirección de Gobierno por Resultados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es la dependencia encargada</w:t>
      </w:r>
      <w:r>
        <w:rPr>
          <w:rFonts w:ascii="Palatino Linotype" w:eastAsia="Palatino Linotype" w:hAnsi="Palatino Linotype" w:cs="Palatino Linotype"/>
          <w:i/>
          <w:sz w:val="22"/>
          <w:szCs w:val="22"/>
        </w:rPr>
        <w:t xml:space="preserve"> de ejercer las atribuciones conferidas por la Presidencia Municipal, para desarrollar asuntos relacionados a proyectos de innovación y esquemas de mejora continua en la Administración Pública Municipal; de planeación, programación y evaluación de la gestión; </w:t>
      </w:r>
      <w:r>
        <w:rPr>
          <w:rFonts w:ascii="Palatino Linotype" w:eastAsia="Palatino Linotype" w:hAnsi="Palatino Linotype" w:cs="Palatino Linotype"/>
          <w:b/>
          <w:i/>
          <w:sz w:val="22"/>
          <w:szCs w:val="22"/>
        </w:rPr>
        <w:t>de organización de la administración mediante la definición de organigramas, manuales y estudios administrativos y de la mejora regulatoria.</w:t>
      </w:r>
      <w:r>
        <w:rPr>
          <w:rFonts w:ascii="Palatino Linotype" w:eastAsia="Palatino Linotype" w:hAnsi="Palatino Linotype" w:cs="Palatino Linotype"/>
          <w:i/>
          <w:sz w:val="22"/>
          <w:szCs w:val="22"/>
        </w:rPr>
        <w:t>”</w:t>
      </w:r>
    </w:p>
    <w:p w:rsidR="00B70417" w:rsidRDefault="00780A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no obsta mencionar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como parte de sus obligaciones de transparencia, se encuentra constreñido a poner a disposición del público de manera permanente y actualizada de forma sencilla, precisa y entendible, en los respectivos medios electrónicos, entre otra información, la relativa al marco normativo que incluye reglamentos, manuales de organización y procedimientos, reglas de operación, entre otros, como se desprende del artículo 92, fracción I de la Ley de Transparencia y Acceso a la Información Pública del Estado de México y Municipios, a saber:</w:t>
      </w:r>
    </w:p>
    <w:p w:rsidR="00B70417" w:rsidRDefault="00780A4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92</w:t>
      </w:r>
      <w:r>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w:t>
      </w:r>
      <w:r>
        <w:rPr>
          <w:rFonts w:ascii="Palatino Linotype" w:eastAsia="Palatino Linotype" w:hAnsi="Palatino Linotype" w:cs="Palatino Linotype"/>
          <w:i/>
          <w:sz w:val="22"/>
          <w:szCs w:val="22"/>
        </w:rPr>
        <w:lastRenderedPageBreak/>
        <w:t>respectivos medios electrónicos, de acuerdo con sus facultades, atribuciones, funciones u objeto social, según corresponda, la información, por lo menos, de los temas, documentos y políticas que a continuación se señalan:</w:t>
      </w:r>
    </w:p>
    <w:p w:rsidR="00B70417" w:rsidRDefault="00780A4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marco normativo</w:t>
      </w:r>
      <w:r>
        <w:rPr>
          <w:rFonts w:ascii="Palatino Linotype" w:eastAsia="Palatino Linotype" w:hAnsi="Palatino Linotype" w:cs="Palatino Linotype"/>
          <w:i/>
          <w:sz w:val="22"/>
          <w:szCs w:val="22"/>
        </w:rPr>
        <w:t xml:space="preserve"> aplicable al sujeto obligado, en el que deberá incluirse leyes, códigos, reglamentos, decretos de creación, acuerdos, convenios, </w:t>
      </w:r>
      <w:r>
        <w:rPr>
          <w:rFonts w:ascii="Palatino Linotype" w:eastAsia="Palatino Linotype" w:hAnsi="Palatino Linotype" w:cs="Palatino Linotype"/>
          <w:b/>
          <w:i/>
          <w:sz w:val="22"/>
          <w:szCs w:val="22"/>
        </w:rPr>
        <w:t>manuales de organización y procedimientos, reglas de operación, criterios, políticas,</w:t>
      </w:r>
      <w:r>
        <w:rPr>
          <w:rFonts w:ascii="Palatino Linotype" w:eastAsia="Palatino Linotype" w:hAnsi="Palatino Linotype" w:cs="Palatino Linotype"/>
          <w:i/>
          <w:sz w:val="22"/>
          <w:szCs w:val="22"/>
        </w:rPr>
        <w:t xml:space="preserve"> entre otros;” </w:t>
      </w:r>
    </w:p>
    <w:p w:rsidR="00B70417" w:rsidRDefault="00780A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hasta aquí expuesto, se advierte la evidente competencia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para generar, administrar o poseer la información materia del requerimiento en estudio, toda vez que la normatividad le confiere atribuciones para expedir los dispositivos normativos que regulan su funcionamiento, por lo que este Organismo Garante estima procedente ordenar, previa búsqueda exhaustiva y razonable en las áreas que resulten competentes, como la Secretaria del Ayuntamiento, la Dirección de Gobierno por Resultados, o en su defecto, cada una de las áreas que brindan servicios, haga entrega de los manuales, procedimientos o políticas que regulan la atención de personas con discapacidad, adultos mayores y demás grupos vulnerables en las oficinas municipales, respecto de los trámites y servicios que brindan.</w:t>
      </w:r>
    </w:p>
    <w:p w:rsidR="00B70417" w:rsidRDefault="00780A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otro lado, si derivado de la búsqueda exhaustiva y razonable de la información, no se llegara a encontrar soporte documental relativo a los manuales, procedimientos o políticas que regulan la atención de personas con discapacidad, adultos mayores y demás grupos vulnerables en las oficinas municipales, se deberá  atender las formalidades que establece el artículo 19, párrafo segundo de la Ley de Transparencia y Acceso a la Información Pública del Estado de México y Municipios, que es del tenor literal siguiente:</w:t>
      </w:r>
    </w:p>
    <w:p w:rsidR="00B70417" w:rsidRDefault="00780A4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19</w:t>
      </w:r>
      <w:r>
        <w:rPr>
          <w:rFonts w:ascii="Palatino Linotype" w:eastAsia="Palatino Linotype" w:hAnsi="Palatino Linotype" w:cs="Palatino Linotype"/>
          <w:i/>
          <w:sz w:val="22"/>
          <w:szCs w:val="22"/>
        </w:rPr>
        <w:t>…</w:t>
      </w:r>
    </w:p>
    <w:p w:rsidR="00B70417" w:rsidRDefault="00780A4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rsidR="00B70417" w:rsidRDefault="00780A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El cual se refiere a aquellas atribuciones, competencias o funciones contempladas en alguna hipótesis jurídica, cuya realización se encuentre supeditada a los siguientes supuestos:</w:t>
      </w:r>
    </w:p>
    <w:p w:rsidR="00B70417" w:rsidRDefault="00780A47">
      <w:pPr>
        <w:spacing w:before="240" w:after="240" w:line="360" w:lineRule="auto"/>
        <w:ind w:left="284"/>
        <w:jc w:val="both"/>
        <w:rPr>
          <w:rFonts w:ascii="Palatino Linotype" w:eastAsia="Palatino Linotype" w:hAnsi="Palatino Linotype" w:cs="Palatino Linotype"/>
        </w:rPr>
      </w:pPr>
      <w:r>
        <w:rPr>
          <w:rFonts w:ascii="Palatino Linotype" w:eastAsia="Palatino Linotype" w:hAnsi="Palatino Linotype" w:cs="Palatino Linotype"/>
        </w:rPr>
        <w:t>a) Que dependa de que un tercero demande la emisión de un acto de autoridad -</w:t>
      </w:r>
      <w:r>
        <w:rPr>
          <w:rFonts w:ascii="Palatino Linotype" w:eastAsia="Palatino Linotype" w:hAnsi="Palatino Linotype" w:cs="Palatino Linotype"/>
          <w:sz w:val="22"/>
          <w:szCs w:val="22"/>
        </w:rPr>
        <w:t>la expedición de una licencia, (ejemplo)</w:t>
      </w:r>
      <w:r>
        <w:rPr>
          <w:rFonts w:ascii="Palatino Linotype" w:eastAsia="Palatino Linotype" w:hAnsi="Palatino Linotype" w:cs="Palatino Linotype"/>
        </w:rPr>
        <w:t xml:space="preserve">; </w:t>
      </w:r>
    </w:p>
    <w:p w:rsidR="00B70417" w:rsidRDefault="00780A47">
      <w:pPr>
        <w:spacing w:before="240" w:after="240" w:line="360" w:lineRule="auto"/>
        <w:ind w:left="284"/>
        <w:jc w:val="both"/>
        <w:rPr>
          <w:rFonts w:ascii="Palatino Linotype" w:eastAsia="Palatino Linotype" w:hAnsi="Palatino Linotype" w:cs="Palatino Linotype"/>
        </w:rPr>
      </w:pPr>
      <w:r>
        <w:rPr>
          <w:rFonts w:ascii="Palatino Linotype" w:eastAsia="Palatino Linotype" w:hAnsi="Palatino Linotype" w:cs="Palatino Linotype"/>
        </w:rPr>
        <w:t xml:space="preserve">b) De un acontecimiento de realización probable </w:t>
      </w:r>
      <w:r>
        <w:rPr>
          <w:rFonts w:ascii="Palatino Linotype" w:eastAsia="Palatino Linotype" w:hAnsi="Palatino Linotype" w:cs="Palatino Linotype"/>
          <w:sz w:val="22"/>
          <w:szCs w:val="22"/>
        </w:rPr>
        <w:t xml:space="preserve">-la cuenta pública correspondiente a un ejercicio fiscal </w:t>
      </w:r>
      <w:r>
        <w:rPr>
          <w:rFonts w:ascii="Palatino Linotype" w:eastAsia="Palatino Linotype" w:hAnsi="Palatino Linotype" w:cs="Palatino Linotype"/>
          <w:sz w:val="22"/>
          <w:szCs w:val="22"/>
          <w:u w:val="single"/>
        </w:rPr>
        <w:t>en curso</w:t>
      </w:r>
      <w:r>
        <w:rPr>
          <w:rFonts w:ascii="Palatino Linotype" w:eastAsia="Palatino Linotype" w:hAnsi="Palatino Linotype" w:cs="Palatino Linotype"/>
          <w:sz w:val="22"/>
          <w:szCs w:val="22"/>
        </w:rPr>
        <w:t>, por ejemplo-</w:t>
      </w:r>
      <w:r>
        <w:rPr>
          <w:rFonts w:ascii="Palatino Linotype" w:eastAsia="Palatino Linotype" w:hAnsi="Palatino Linotype" w:cs="Palatino Linotype"/>
        </w:rPr>
        <w:t>;</w:t>
      </w:r>
    </w:p>
    <w:p w:rsidR="00B70417" w:rsidRDefault="00780A47">
      <w:pPr>
        <w:spacing w:before="240" w:after="240" w:line="360" w:lineRule="auto"/>
        <w:ind w:left="284"/>
        <w:jc w:val="both"/>
        <w:rPr>
          <w:rFonts w:ascii="Palatino Linotype" w:eastAsia="Palatino Linotype" w:hAnsi="Palatino Linotype" w:cs="Palatino Linotype"/>
        </w:rPr>
      </w:pPr>
      <w:r>
        <w:rPr>
          <w:rFonts w:ascii="Palatino Linotype" w:eastAsia="Palatino Linotype" w:hAnsi="Palatino Linotype" w:cs="Palatino Linotype"/>
        </w:rPr>
        <w:t xml:space="preserve">c) Una facultad potestativa </w:t>
      </w:r>
      <w:r>
        <w:rPr>
          <w:rFonts w:ascii="Palatino Linotype" w:eastAsia="Palatino Linotype" w:hAnsi="Palatino Linotype" w:cs="Palatino Linotype"/>
          <w:sz w:val="22"/>
          <w:szCs w:val="22"/>
        </w:rPr>
        <w:t>-la firma de convenio de colaboración, por ejemplo</w:t>
      </w:r>
      <w:r>
        <w:rPr>
          <w:rFonts w:ascii="Palatino Linotype" w:eastAsia="Palatino Linotype" w:hAnsi="Palatino Linotype" w:cs="Palatino Linotype"/>
        </w:rPr>
        <w:t>-.</w:t>
      </w:r>
    </w:p>
    <w:p w:rsidR="00B70417" w:rsidRDefault="00780A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que los Sujetos Obligados, al emitir su respuesta o cumplir con una resolución emitida por éste Organismo Garante, deben manifestar, de manera precisa y clara, las razones que expliquen las causas por las que no se ha realizado el acto de autoridad, y, en consecuencia, no se ha documentado atribución alguna, configurándose por tanto, un hecho negativo que no puede probarse por ser lógica y materialmente imposible.</w:t>
      </w:r>
    </w:p>
    <w:p w:rsidR="00B70417" w:rsidRDefault="00780A47">
      <w:pPr>
        <w:spacing w:before="240" w:after="240"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rPr>
        <w:t xml:space="preserve">Siendo improcedente, en tal supuesto, la entrega de documento alguno, o en su caso, el Acuerdo de Inexistencia, toda vez que el pronunciamiento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declararía en automática la inexistencia de la información solicitada de modo que no existe obligación de justificar o allegar pruebas, y por ende no tiene aplicación lo </w:t>
      </w:r>
      <w:r>
        <w:rPr>
          <w:rFonts w:ascii="Palatino Linotype" w:eastAsia="Palatino Linotype" w:hAnsi="Palatino Linotype" w:cs="Palatino Linotype"/>
        </w:rPr>
        <w:lastRenderedPageBreak/>
        <w:t>estatuido en el artículo 49, fracción XIII</w:t>
      </w:r>
      <w:r>
        <w:rPr>
          <w:rFonts w:ascii="Palatino Linotype" w:eastAsia="Palatino Linotype" w:hAnsi="Palatino Linotype" w:cs="Palatino Linotype"/>
          <w:vertAlign w:val="superscript"/>
        </w:rPr>
        <w:footnoteReference w:id="6"/>
      </w:r>
      <w:r>
        <w:rPr>
          <w:rFonts w:ascii="Palatino Linotype" w:eastAsia="Palatino Linotype" w:hAnsi="Palatino Linotype" w:cs="Palatino Linotype"/>
        </w:rPr>
        <w:t xml:space="preserve"> de la Ley de Transparencia y Acceso a la Información Pública del Estado de México y Municipios.</w:t>
      </w:r>
    </w:p>
    <w:p w:rsidR="00B70417" w:rsidRDefault="00780A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otro lado, respecto de la solicitud 01003/METEPEC/IP/2022, mediante la cual se requirieron todos los manuales de procedimientos y de organización de todas las áreas que cuenten con los mismos desde el año 2013 a 2021, fue atendida por la  Dirección de Gobierno por Resultados, al ser la dependencia encargada de ejercer las atribuciones conferidas por la Presidencia Municipal, para desarrollar asuntos relacionados a proyectos de innovación y esquemas de mejora continua en la Administración Pública Municipal; de planeación, programación y evaluación de la gestión; de organización de la administración mediante la definición de organigramas, manuales y estudios administrativos y de la mejora regulatoria,  de conformidad con el artículo 3.196 del Código de Reglamentación de Metepec, teniendo a su cargo las siguientes atribuciones en su parte conducente:</w:t>
      </w:r>
    </w:p>
    <w:p w:rsidR="00B70417" w:rsidRDefault="00780A4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3.197</w:t>
      </w:r>
      <w:r>
        <w:rPr>
          <w:rFonts w:ascii="Palatino Linotype" w:eastAsia="Palatino Linotype" w:hAnsi="Palatino Linotype" w:cs="Palatino Linotype"/>
          <w:i/>
          <w:sz w:val="22"/>
          <w:szCs w:val="22"/>
        </w:rPr>
        <w:t>.- La Dirección de Gobierno por Resultados, tiene a su cargo las siguientes atribuciones:</w:t>
      </w:r>
    </w:p>
    <w:p w:rsidR="00B70417" w:rsidRDefault="00780A4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70417" w:rsidRDefault="00780A4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XIX</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Coordinar la elaboración y actualización permanente de los manuales de organización y de los manuales de procedimientos de la administración municipal</w:t>
      </w:r>
      <w:r>
        <w:rPr>
          <w:rFonts w:ascii="Palatino Linotype" w:eastAsia="Palatino Linotype" w:hAnsi="Palatino Linotype" w:cs="Palatino Linotype"/>
          <w:i/>
          <w:sz w:val="22"/>
          <w:szCs w:val="22"/>
        </w:rPr>
        <w:t>;</w:t>
      </w:r>
    </w:p>
    <w:p w:rsidR="00B70417" w:rsidRDefault="00780A4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Brindar asesoría a las dependencias y organismos de la Administración Pública Municipal, en la instrumentación de sus manuales</w:t>
      </w:r>
      <w:r>
        <w:rPr>
          <w:rFonts w:ascii="Palatino Linotype" w:eastAsia="Palatino Linotype" w:hAnsi="Palatino Linotype" w:cs="Palatino Linotype"/>
          <w:i/>
          <w:sz w:val="22"/>
          <w:szCs w:val="22"/>
        </w:rPr>
        <w:t xml:space="preserve"> y asegurar la vinculación de éstos con la reglamentación municipal y normatividad aplicable;</w:t>
      </w:r>
    </w:p>
    <w:p w:rsidR="00B70417" w:rsidRDefault="00780A47">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XXI.</w:t>
      </w:r>
      <w:r>
        <w:rPr>
          <w:rFonts w:ascii="Palatino Linotype" w:eastAsia="Palatino Linotype" w:hAnsi="Palatino Linotype" w:cs="Palatino Linotype"/>
          <w:i/>
          <w:sz w:val="22"/>
          <w:szCs w:val="22"/>
        </w:rPr>
        <w:t xml:space="preserve"> Promover ante la secretaría del ayuntamiento la publicación de los manuales de la administración municipal, previamente validados por la Presidenta Municipal, Titular de la Dependencia u Organismos que corresponde y el Director de Gobierno por Resultados.”</w:t>
      </w:r>
    </w:p>
    <w:p w:rsidR="00B70417" w:rsidRDefault="00780A47">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sentido, recordemos que en atención a la solicitud, el Director de Gobierno por Resultados hizo del conocimiento de la persona solicitante que los manuales de organización y de procedimientos se encontraban en las Gacetas del Gobierno de Metepec publicadas en la dirección electrónica: Metepec.gob.mx/pagina/, asimismo, adjuntó un listado de todos los manuales solicitados anteriormente, y, finalmente, refirió que por inicio de la administración, los manuales del presente año están en proceso de elaboración.</w:t>
      </w:r>
    </w:p>
    <w:p w:rsidR="00B70417" w:rsidRDefault="00780A47">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sentido, este Organismo Garante procedió a consultar la información contenida en la página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a efecto de determinar si cumple con los elementos que prevé el artículo 161 de la Ley de la Materia invocado con anotación, observando lo siguiente:</w:t>
      </w:r>
    </w:p>
    <w:p w:rsidR="00B70417" w:rsidRDefault="00780A47">
      <w:pPr>
        <w:pBdr>
          <w:top w:val="nil"/>
          <w:left w:val="nil"/>
          <w:bottom w:val="nil"/>
          <w:right w:val="nil"/>
          <w:between w:val="nil"/>
        </w:pBdr>
        <w:spacing w:before="280" w:after="28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148000" cy="2728434"/>
            <wp:effectExtent l="0" t="0" r="0" b="0"/>
            <wp:docPr id="4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5148000" cy="2728434"/>
                    </a:xfrm>
                    <a:prstGeom prst="rect">
                      <a:avLst/>
                    </a:prstGeom>
                    <a:ln/>
                  </pic:spPr>
                </pic:pic>
              </a:graphicData>
            </a:graphic>
          </wp:inline>
        </w:drawing>
      </w:r>
    </w:p>
    <w:p w:rsidR="00B70417" w:rsidRDefault="00780A47">
      <w:pPr>
        <w:pBdr>
          <w:top w:val="nil"/>
          <w:left w:val="nil"/>
          <w:bottom w:val="nil"/>
          <w:right w:val="nil"/>
          <w:between w:val="nil"/>
        </w:pBdr>
        <w:spacing w:before="280" w:after="280" w:line="360" w:lineRule="auto"/>
        <w:jc w:val="both"/>
        <w:rPr>
          <w:rFonts w:ascii="Palatino Linotype" w:eastAsia="Palatino Linotype" w:hAnsi="Palatino Linotype" w:cs="Palatino Linotype"/>
        </w:rPr>
      </w:pPr>
      <w:bookmarkStart w:id="5" w:name="_heading=h.1t3h5sf" w:colFirst="0" w:colLast="0"/>
      <w:bookmarkEnd w:id="5"/>
      <w:r>
        <w:rPr>
          <w:rFonts w:ascii="Palatino Linotype" w:eastAsia="Palatino Linotype" w:hAnsi="Palatino Linotype" w:cs="Palatino Linotype"/>
        </w:rPr>
        <w:lastRenderedPageBreak/>
        <w:t xml:space="preserve">La dirección electrónica proporcionada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dirige a su página oficial, sin embargo, al igual que en el caso anterior, además de no observar el plazo que contempla el artículo 161 de la Ley de Transparencia Local,  no se hizo referencia al procedimiento mediante el cual la persona solicitante podría llevar a cabo la consulta de la información, por lo que la fuente no es precisa, ni concreta, al tener que realizar una búsqueda en toda la información disponible en el portal electrónico.</w:t>
      </w:r>
    </w:p>
    <w:p w:rsidR="00B70417" w:rsidRDefault="00780A47">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otro lado, también anexó el listado con las direcciones electrónicas, en las que se encuentran publicados los manuales de organización y los manuales de procedimientos, de 2013 a 2021, del cual se anexa la primera página a manera de referencia para un mejor entendimiento:</w:t>
      </w:r>
    </w:p>
    <w:p w:rsidR="00B70417" w:rsidRDefault="00780A47">
      <w:pPr>
        <w:pBdr>
          <w:top w:val="nil"/>
          <w:left w:val="nil"/>
          <w:bottom w:val="nil"/>
          <w:right w:val="nil"/>
          <w:between w:val="nil"/>
        </w:pBdr>
        <w:spacing w:before="280" w:after="28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3348000" cy="3941520"/>
            <wp:effectExtent l="0" t="0" r="0" b="0"/>
            <wp:docPr id="4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3348000" cy="3941520"/>
                    </a:xfrm>
                    <a:prstGeom prst="rect">
                      <a:avLst/>
                    </a:prstGeom>
                    <a:ln/>
                  </pic:spPr>
                </pic:pic>
              </a:graphicData>
            </a:graphic>
          </wp:inline>
        </w:drawing>
      </w:r>
    </w:p>
    <w:p w:rsidR="00B70417" w:rsidRDefault="00780A47">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Como se advierte, el Director de Gobierno por Resultados, reconoció la existencia de la siguiente documentación:</w:t>
      </w:r>
    </w:p>
    <w:tbl>
      <w:tblPr>
        <w:tblStyle w:val="ab"/>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B70417">
        <w:trPr>
          <w:jc w:val="center"/>
        </w:trPr>
        <w:tc>
          <w:tcPr>
            <w:tcW w:w="2942" w:type="dxa"/>
            <w:shd w:val="clear" w:color="auto" w:fill="D9D9D9"/>
            <w:vAlign w:val="center"/>
          </w:tcPr>
          <w:p w:rsidR="00B70417" w:rsidRDefault="00780A47">
            <w:pPr>
              <w:pBdr>
                <w:top w:val="nil"/>
                <w:left w:val="nil"/>
                <w:bottom w:val="nil"/>
                <w:right w:val="nil"/>
                <w:between w:val="nil"/>
              </w:pBd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ADMINISTRACIÓN</w:t>
            </w:r>
          </w:p>
        </w:tc>
        <w:tc>
          <w:tcPr>
            <w:tcW w:w="2943" w:type="dxa"/>
            <w:shd w:val="clear" w:color="auto" w:fill="D9D9D9"/>
            <w:vAlign w:val="center"/>
          </w:tcPr>
          <w:p w:rsidR="00B70417" w:rsidRDefault="00780A47">
            <w:pPr>
              <w:pBdr>
                <w:top w:val="nil"/>
                <w:left w:val="nil"/>
                <w:bottom w:val="nil"/>
                <w:right w:val="nil"/>
                <w:between w:val="nil"/>
              </w:pBd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MANUAL DE ORGANIZACIÓN</w:t>
            </w:r>
          </w:p>
        </w:tc>
        <w:tc>
          <w:tcPr>
            <w:tcW w:w="2943" w:type="dxa"/>
            <w:shd w:val="clear" w:color="auto" w:fill="D9D9D9"/>
            <w:vAlign w:val="center"/>
          </w:tcPr>
          <w:p w:rsidR="00B70417" w:rsidRDefault="00780A47">
            <w:pPr>
              <w:pBdr>
                <w:top w:val="nil"/>
                <w:left w:val="nil"/>
                <w:bottom w:val="nil"/>
                <w:right w:val="nil"/>
                <w:between w:val="nil"/>
              </w:pBd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MANUAL DE PROCEDIMIENTOS</w:t>
            </w:r>
          </w:p>
        </w:tc>
      </w:tr>
      <w:tr w:rsidR="00B70417">
        <w:trPr>
          <w:jc w:val="center"/>
        </w:trPr>
        <w:tc>
          <w:tcPr>
            <w:tcW w:w="2942" w:type="dxa"/>
            <w:vAlign w:val="center"/>
          </w:tcPr>
          <w:p w:rsidR="00B70417" w:rsidRDefault="00780A47">
            <w:pPr>
              <w:pBdr>
                <w:top w:val="nil"/>
                <w:left w:val="nil"/>
                <w:bottom w:val="nil"/>
                <w:right w:val="nil"/>
                <w:between w:val="nil"/>
              </w:pBdr>
              <w:spacing w:before="120" w:after="12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2013 – 2015</w:t>
            </w:r>
          </w:p>
        </w:tc>
        <w:tc>
          <w:tcPr>
            <w:tcW w:w="2943" w:type="dxa"/>
            <w:vAlign w:val="center"/>
          </w:tcPr>
          <w:p w:rsidR="00B70417" w:rsidRDefault="00780A47">
            <w:pPr>
              <w:pBdr>
                <w:top w:val="nil"/>
                <w:left w:val="nil"/>
                <w:bottom w:val="nil"/>
                <w:right w:val="nil"/>
                <w:between w:val="nil"/>
              </w:pBdr>
              <w:spacing w:before="120" w:after="120"/>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8</w:t>
            </w:r>
          </w:p>
        </w:tc>
        <w:tc>
          <w:tcPr>
            <w:tcW w:w="2943" w:type="dxa"/>
            <w:vAlign w:val="center"/>
          </w:tcPr>
          <w:p w:rsidR="00B70417" w:rsidRDefault="00780A47">
            <w:pPr>
              <w:pBdr>
                <w:top w:val="nil"/>
                <w:left w:val="nil"/>
                <w:bottom w:val="nil"/>
                <w:right w:val="nil"/>
                <w:between w:val="nil"/>
              </w:pBdr>
              <w:spacing w:before="120" w:after="120"/>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1</w:t>
            </w:r>
          </w:p>
        </w:tc>
      </w:tr>
      <w:tr w:rsidR="00B70417">
        <w:trPr>
          <w:jc w:val="center"/>
        </w:trPr>
        <w:tc>
          <w:tcPr>
            <w:tcW w:w="2942" w:type="dxa"/>
            <w:vAlign w:val="center"/>
          </w:tcPr>
          <w:p w:rsidR="00B70417" w:rsidRDefault="00780A47">
            <w:pPr>
              <w:pBdr>
                <w:top w:val="nil"/>
                <w:left w:val="nil"/>
                <w:bottom w:val="nil"/>
                <w:right w:val="nil"/>
                <w:between w:val="nil"/>
              </w:pBdr>
              <w:spacing w:before="120" w:after="12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2016 – 2018</w:t>
            </w:r>
          </w:p>
        </w:tc>
        <w:tc>
          <w:tcPr>
            <w:tcW w:w="2943" w:type="dxa"/>
            <w:vAlign w:val="center"/>
          </w:tcPr>
          <w:p w:rsidR="00B70417" w:rsidRDefault="00780A47">
            <w:pPr>
              <w:pBdr>
                <w:top w:val="nil"/>
                <w:left w:val="nil"/>
                <w:bottom w:val="nil"/>
                <w:right w:val="nil"/>
                <w:between w:val="nil"/>
              </w:pBdr>
              <w:spacing w:before="120" w:after="120"/>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33</w:t>
            </w:r>
          </w:p>
        </w:tc>
        <w:tc>
          <w:tcPr>
            <w:tcW w:w="2943" w:type="dxa"/>
            <w:vAlign w:val="center"/>
          </w:tcPr>
          <w:p w:rsidR="00B70417" w:rsidRDefault="00780A47">
            <w:pPr>
              <w:pBdr>
                <w:top w:val="nil"/>
                <w:left w:val="nil"/>
                <w:bottom w:val="nil"/>
                <w:right w:val="nil"/>
                <w:between w:val="nil"/>
              </w:pBdr>
              <w:spacing w:before="120" w:after="120"/>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31</w:t>
            </w:r>
          </w:p>
        </w:tc>
      </w:tr>
      <w:tr w:rsidR="00B70417">
        <w:trPr>
          <w:jc w:val="center"/>
        </w:trPr>
        <w:tc>
          <w:tcPr>
            <w:tcW w:w="2942" w:type="dxa"/>
            <w:vAlign w:val="center"/>
          </w:tcPr>
          <w:p w:rsidR="00B70417" w:rsidRDefault="00780A47">
            <w:pPr>
              <w:pBdr>
                <w:top w:val="nil"/>
                <w:left w:val="nil"/>
                <w:bottom w:val="nil"/>
                <w:right w:val="nil"/>
                <w:between w:val="nil"/>
              </w:pBdr>
              <w:spacing w:before="120" w:after="12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2019 – 2021</w:t>
            </w:r>
          </w:p>
        </w:tc>
        <w:tc>
          <w:tcPr>
            <w:tcW w:w="2943" w:type="dxa"/>
            <w:vAlign w:val="center"/>
          </w:tcPr>
          <w:p w:rsidR="00B70417" w:rsidRDefault="00780A47">
            <w:pPr>
              <w:pBdr>
                <w:top w:val="nil"/>
                <w:left w:val="nil"/>
                <w:bottom w:val="nil"/>
                <w:right w:val="nil"/>
                <w:between w:val="nil"/>
              </w:pBdr>
              <w:spacing w:before="120" w:after="120"/>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43</w:t>
            </w:r>
          </w:p>
        </w:tc>
        <w:tc>
          <w:tcPr>
            <w:tcW w:w="2943" w:type="dxa"/>
            <w:vAlign w:val="center"/>
          </w:tcPr>
          <w:p w:rsidR="00B70417" w:rsidRDefault="00780A47">
            <w:pPr>
              <w:pBdr>
                <w:top w:val="nil"/>
                <w:left w:val="nil"/>
                <w:bottom w:val="nil"/>
                <w:right w:val="nil"/>
                <w:between w:val="nil"/>
              </w:pBdr>
              <w:spacing w:before="120" w:after="120"/>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47</w:t>
            </w:r>
          </w:p>
        </w:tc>
      </w:tr>
    </w:tbl>
    <w:p w:rsidR="00B70417" w:rsidRDefault="00780A47">
      <w:pPr>
        <w:spacing w:before="240" w:after="360" w:line="360" w:lineRule="auto"/>
        <w:ind w:right="18"/>
        <w:jc w:val="both"/>
        <w:rPr>
          <w:rFonts w:ascii="Palatino Linotype" w:eastAsia="Palatino Linotype" w:hAnsi="Palatino Linotype" w:cs="Palatino Linotype"/>
        </w:rPr>
      </w:pPr>
      <w:bookmarkStart w:id="6" w:name="_heading=h.2et92p0" w:colFirst="0" w:colLast="0"/>
      <w:bookmarkEnd w:id="6"/>
      <w:r>
        <w:rPr>
          <w:rFonts w:ascii="Palatino Linotype" w:eastAsia="Palatino Linotype" w:hAnsi="Palatino Linotype" w:cs="Palatino Linotype"/>
        </w:rPr>
        <w:t>Por lo que, al haber existido un pronunciamiento por parte del Servidor Público Habilitado competente respecto de la materia de la solicitud, este Organismo Garante no está facultado para manifestarse sobre la veracidad de lo expresado por parte de este, pues no existe precepto legal alguno en la Ley de la materia que lo faculte para ello.</w:t>
      </w:r>
    </w:p>
    <w:p w:rsidR="00B70417" w:rsidRDefault="00780A47">
      <w:pPr>
        <w:spacing w:before="240" w:after="360" w:line="360" w:lineRule="auto"/>
        <w:ind w:right="18"/>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se sustenta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rsidR="00B70417" w:rsidRDefault="00780A47">
      <w:pPr>
        <w:spacing w:before="240"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w:t>
      </w:r>
      <w:r>
        <w:rPr>
          <w:rFonts w:ascii="Palatino Linotype" w:eastAsia="Palatino Linotype" w:hAnsi="Palatino Linotype" w:cs="Palatino Linotype"/>
          <w:i/>
          <w:sz w:val="22"/>
          <w:szCs w:val="22"/>
        </w:rPr>
        <w:lastRenderedPageBreak/>
        <w:t>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B70417" w:rsidRDefault="00780A47">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sentido, este Organismo Garante procedió a examinar el contenido de las direcciones electrónicas señaladas, a efecto de determinar si la información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cumplía con los elementos que contempla el artículo 161 de la Ley de la Materia, así como si es suficiente para tener por atendido el derecho de acceso a la información de la persona solicitante, concluyendo lo siguiente:</w:t>
      </w:r>
    </w:p>
    <w:p w:rsidR="00B70417" w:rsidRDefault="00780A47">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Administración 2013 – 2015: La totalidad de las direcciones electrónicas proporcionadas no dirigen a una página concreta, sino al buscador o motor de búsqueda</w:t>
      </w:r>
      <w:r>
        <w:rPr>
          <w:rFonts w:ascii="Palatino Linotype" w:eastAsia="Palatino Linotype" w:hAnsi="Palatino Linotype" w:cs="Palatino Linotype"/>
          <w:vertAlign w:val="superscript"/>
        </w:rPr>
        <w:footnoteReference w:id="7"/>
      </w:r>
      <w:r>
        <w:rPr>
          <w:rFonts w:ascii="Palatino Linotype" w:eastAsia="Palatino Linotype" w:hAnsi="Palatino Linotype" w:cs="Palatino Linotype"/>
        </w:rPr>
        <w:t>.</w:t>
      </w:r>
    </w:p>
    <w:p w:rsidR="00B70417" w:rsidRDefault="00780A47">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Administración 2016 – 2018: La totalidad de las direcciones electrónicas proporcionadas no fueron localizadas en el servidor, marcando el código “error 404”, que significa que el contenido de la página web ha sido eliminado o se ha trasladado a otra dirección </w:t>
      </w:r>
      <w:r>
        <w:rPr>
          <w:rFonts w:ascii="Palatino Linotype" w:eastAsia="Palatino Linotype" w:hAnsi="Palatino Linotype" w:cs="Palatino Linotype"/>
          <w:i/>
        </w:rPr>
        <w:t>URL.</w:t>
      </w:r>
    </w:p>
    <w:p w:rsidR="00B70417" w:rsidRDefault="00780A47">
      <w:pPr>
        <w:pBdr>
          <w:top w:val="nil"/>
          <w:left w:val="nil"/>
          <w:bottom w:val="nil"/>
          <w:right w:val="nil"/>
          <w:between w:val="nil"/>
        </w:pBdr>
        <w:spacing w:before="280" w:after="280"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 Administración 2019 – 2021: De las 47 direcciones electrónicas proporcionadas 18 no dirigen a una página concreta, sino al buscador o motor de búsqueda, mientras que 29 no fueron localizadas en el servidor, marcando el código “error 404”, que </w:t>
      </w:r>
      <w:r>
        <w:rPr>
          <w:rFonts w:ascii="Palatino Linotype" w:eastAsia="Palatino Linotype" w:hAnsi="Palatino Linotype" w:cs="Palatino Linotype"/>
        </w:rPr>
        <w:lastRenderedPageBreak/>
        <w:t xml:space="preserve">significa que el contenido de la página web ha sido eliminado o se ha trasladado a otra dirección </w:t>
      </w:r>
      <w:r>
        <w:rPr>
          <w:rFonts w:ascii="Palatino Linotype" w:eastAsia="Palatino Linotype" w:hAnsi="Palatino Linotype" w:cs="Palatino Linotype"/>
          <w:i/>
        </w:rPr>
        <w:t>URL.</w:t>
      </w:r>
    </w:p>
    <w:p w:rsidR="00B70417" w:rsidRDefault="00780A47">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A modo de ilustrar lo anterior, se agregan las siguientes imágenes:</w:t>
      </w:r>
    </w:p>
    <w:p w:rsidR="00B70417" w:rsidRDefault="00780A47">
      <w:pPr>
        <w:pBdr>
          <w:top w:val="nil"/>
          <w:left w:val="nil"/>
          <w:bottom w:val="nil"/>
          <w:right w:val="nil"/>
          <w:between w:val="nil"/>
        </w:pBdr>
        <w:spacing w:before="280" w:after="28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3492000" cy="3519474"/>
            <wp:effectExtent l="0" t="0" r="0" b="0"/>
            <wp:docPr id="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b="5745"/>
                    <a:stretch>
                      <a:fillRect/>
                    </a:stretch>
                  </pic:blipFill>
                  <pic:spPr>
                    <a:xfrm>
                      <a:off x="0" y="0"/>
                      <a:ext cx="3492000" cy="3519474"/>
                    </a:xfrm>
                    <a:prstGeom prst="rect">
                      <a:avLst/>
                    </a:prstGeom>
                    <a:ln/>
                  </pic:spPr>
                </pic:pic>
              </a:graphicData>
            </a:graphic>
          </wp:inline>
        </w:drawing>
      </w:r>
    </w:p>
    <w:p w:rsidR="00B70417" w:rsidRDefault="00780A47">
      <w:pPr>
        <w:spacing w:before="240" w:after="240" w:line="360" w:lineRule="auto"/>
        <w:ind w:right="49"/>
        <w:jc w:val="center"/>
        <w:rPr>
          <w:rFonts w:ascii="Palatino Linotype" w:eastAsia="Palatino Linotype" w:hAnsi="Palatino Linotype" w:cs="Palatino Linotype"/>
        </w:rPr>
      </w:pPr>
      <w:r>
        <w:rPr>
          <w:noProof/>
          <w:lang w:val="es-MX"/>
        </w:rPr>
        <w:drawing>
          <wp:inline distT="0" distB="0" distL="0" distR="0">
            <wp:extent cx="5256000" cy="2278396"/>
            <wp:effectExtent l="0" t="0" r="0" b="0"/>
            <wp:docPr id="4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5256000" cy="2278396"/>
                    </a:xfrm>
                    <a:prstGeom prst="rect">
                      <a:avLst/>
                    </a:prstGeom>
                    <a:ln/>
                  </pic:spPr>
                </pic:pic>
              </a:graphicData>
            </a:graphic>
          </wp:inline>
        </w:drawing>
      </w:r>
    </w:p>
    <w:p w:rsidR="00B70417" w:rsidRDefault="00780A4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Bajo tales consideraciones, respecto de las direcciones electrónicas que dirigen al buscador o motor de búsqueda, es evidente que las mismas no fueron proporcionadas de manera correcta, incumpliendo con el procedimiento que debe observar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que dicha  orientación pueda tomarse como válida a efecto de consultar la información requerida.</w:t>
      </w:r>
    </w:p>
    <w:p w:rsidR="00B70417" w:rsidRDefault="00780A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otro lado, respecto de las direcciones que marcan el código “error 404”, es de señalar que este Organismo Garante no cuenta con elementos suficientes para determinar si la información que se encontraba alojada en las páginas proporcionadas era suficiente para tener por atendido el derecho de acceso a la información accionado por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toda vez que como se expresó en líneas anteriores, la información pudo haber sido eliminada o trasladada a otra dirección </w:t>
      </w:r>
      <w:r>
        <w:rPr>
          <w:rFonts w:ascii="Palatino Linotype" w:eastAsia="Palatino Linotype" w:hAnsi="Palatino Linotype" w:cs="Palatino Linotype"/>
          <w:i/>
        </w:rPr>
        <w:t>URL</w:t>
      </w:r>
      <w:r>
        <w:rPr>
          <w:rFonts w:ascii="Palatino Linotype" w:eastAsia="Palatino Linotype" w:hAnsi="Palatino Linotype" w:cs="Palatino Linotype"/>
        </w:rPr>
        <w:t>.</w:t>
      </w:r>
    </w:p>
    <w:p w:rsidR="00B70417" w:rsidRDefault="00780A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Derivado de lo expuesto, se determina que se deberá hacer entrega de los Manuales de Organización y los Manuales de Procedimientos generados desde el año 2013 hasta el año 2021, conforme al listado proporcionado en respuesta, efecto de tener por colmado el requerimiento de información de la persona solicitante.</w:t>
      </w:r>
    </w:p>
    <w:p w:rsidR="00B70417" w:rsidRDefault="00780A4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Lo anterior en observancia de lo previsto en el primer párrafo del artículo 166 de la Ley de Transparencia y Acceso a la Información Pública del Estado de México y Municipios, al señalar que la obligación de acceso a la información pública se tendrá por cumplida únicamente cuando los solicitantes tengan a su disposición la información requerida, o cuando realicen la consulta de la misma en el lugar en el que ésta se localice.</w:t>
      </w:r>
    </w:p>
    <w:p w:rsidR="00B70417" w:rsidRDefault="00780A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Finalmente, no escapa de la óptica de este Organismo Garante que la persona solicitante, a través de sus recursos de revisión, solicitó a este Instituto, se le diera vista a la Contraloría Interna y Órgano de Control y Vigilancia en términos de la Ley de Responsabilidades de los Servidores Públicos del Estado y Municipios, a efectos de que dicho Órgano determinara el grado de responsabilidad, al considerar posibles causas de responsabilidad administrativa por el incumplimiento a las disposiciones previstas en los artículos 161, 163 segundo párrafo y 177 de la Ley de Transparencia y Acceso a la Información Pública del Estado de México y Municipios, sin embargo, es preciso hacer de su conocimiento que el recurso de revisión no es la vía para instaurar procedimientos de responsabilidad administrativa, no obstante, se dejan a salvo sus derechos para que en caso de considerarlo oportuno a sus intereses, ejerza dicha acción ante las instancias correspondientes.</w:t>
      </w:r>
    </w:p>
    <w:p w:rsidR="00B70417" w:rsidRDefault="00780A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B70417" w:rsidRDefault="00780A47">
      <w:pPr>
        <w:numPr>
          <w:ilvl w:val="0"/>
          <w:numId w:val="3"/>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R E S U E L V E:</w:t>
      </w:r>
    </w:p>
    <w:p w:rsidR="00B70417" w:rsidRDefault="00780A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w:t>
      </w:r>
      <w:r>
        <w:rPr>
          <w:rFonts w:ascii="Palatino Linotype" w:eastAsia="Palatino Linotype" w:hAnsi="Palatino Linotype" w:cs="Palatino Linotype"/>
          <w:b/>
        </w:rPr>
        <w:t>fundadas</w:t>
      </w:r>
      <w:r>
        <w:rPr>
          <w:rFonts w:ascii="Palatino Linotype" w:eastAsia="Palatino Linotype" w:hAnsi="Palatino Linotype" w:cs="Palatino Linotype"/>
        </w:rPr>
        <w:t xml:space="preserve"> las razones o motivos de inconformidad hechos valer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los recursos de revisión con número </w:t>
      </w:r>
      <w:r>
        <w:rPr>
          <w:rFonts w:ascii="Palatino Linotype" w:eastAsia="Palatino Linotype" w:hAnsi="Palatino Linotype" w:cs="Palatino Linotype"/>
          <w:b/>
        </w:rPr>
        <w:t xml:space="preserve">02014/INFOEM/IP/RR/2022 </w:t>
      </w:r>
      <w:r>
        <w:rPr>
          <w:rFonts w:ascii="Palatino Linotype" w:eastAsia="Palatino Linotype" w:hAnsi="Palatino Linotype" w:cs="Palatino Linotype"/>
        </w:rPr>
        <w:t>y</w:t>
      </w:r>
      <w:r>
        <w:rPr>
          <w:rFonts w:ascii="Palatino Linotype" w:eastAsia="Palatino Linotype" w:hAnsi="Palatino Linotype" w:cs="Palatino Linotype"/>
          <w:b/>
        </w:rPr>
        <w:t xml:space="preserve"> 02247/INFOEM/IP/RR/2022, </w:t>
      </w:r>
      <w:r>
        <w:rPr>
          <w:rFonts w:ascii="Palatino Linotype" w:eastAsia="Palatino Linotype" w:hAnsi="Palatino Linotype" w:cs="Palatino Linotype"/>
        </w:rPr>
        <w:t xml:space="preserve">por ende, en términos de </w:t>
      </w:r>
      <w:r>
        <w:rPr>
          <w:rFonts w:ascii="Palatino Linotype" w:eastAsia="Palatino Linotype" w:hAnsi="Palatino Linotype" w:cs="Palatino Linotype"/>
        </w:rPr>
        <w:lastRenderedPageBreak/>
        <w:t xml:space="preserve">los argumentos de derecho señalados en el considerando </w:t>
      </w:r>
      <w:r>
        <w:rPr>
          <w:rFonts w:ascii="Palatino Linotype" w:eastAsia="Palatino Linotype" w:hAnsi="Palatino Linotype" w:cs="Palatino Linotype"/>
          <w:b/>
        </w:rPr>
        <w:t>Cuarto</w:t>
      </w:r>
      <w:r>
        <w:rPr>
          <w:rFonts w:ascii="Palatino Linotype" w:eastAsia="Palatino Linotype" w:hAnsi="Palatino Linotype" w:cs="Palatino Linotype"/>
        </w:rPr>
        <w:t>, se</w:t>
      </w:r>
      <w:r>
        <w:rPr>
          <w:rFonts w:ascii="Palatino Linotype" w:eastAsia="Palatino Linotype" w:hAnsi="Palatino Linotype" w:cs="Palatino Linotype"/>
          <w:b/>
        </w:rPr>
        <w:t xml:space="preserve"> Revoca </w:t>
      </w:r>
      <w:r>
        <w:rPr>
          <w:rFonts w:ascii="Palatino Linotype" w:eastAsia="Palatino Linotype" w:hAnsi="Palatino Linotype" w:cs="Palatino Linotype"/>
        </w:rPr>
        <w:t xml:space="preserve">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B70417" w:rsidRDefault="00780A47">
      <w:pPr>
        <w:spacing w:before="240" w:after="240" w:line="360" w:lineRule="auto"/>
        <w:jc w:val="both"/>
        <w:rPr>
          <w:rFonts w:ascii="Palatino Linotype" w:eastAsia="Palatino Linotype" w:hAnsi="Palatino Linotype" w:cs="Palatino Linotype"/>
        </w:rPr>
      </w:pPr>
      <w:bookmarkStart w:id="7" w:name="_heading=h.tyjcwt" w:colFirst="0" w:colLast="0"/>
      <w:bookmarkEnd w:id="7"/>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Ordena</w:t>
      </w:r>
      <w:r>
        <w:rPr>
          <w:rFonts w:ascii="Palatino Linotype" w:eastAsia="Palatino Linotype" w:hAnsi="Palatino Linotype" w:cs="Palatino Linotype"/>
        </w:rPr>
        <w:t xml:space="preserve">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de esta resolución, previa búsqueda exhaustiva y razonable, haga entrega vía SAIMEX, de lo siguiente:</w:t>
      </w:r>
    </w:p>
    <w:p w:rsidR="00B70417" w:rsidRDefault="00780A47">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Manuales, procedimientos o políticas que regulan la atención de personas con discapacidad, adultos mayores y demás grupos vulnerables en las oficinas municipales, respecto de los trámites y servicios que brindan.</w:t>
      </w:r>
    </w:p>
    <w:p w:rsidR="00B70417" w:rsidRDefault="00780A47">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Manuales de Organización y Manuales de Procedimientos generados desde el año 2013 hasta el año 2021, conforme al listado proporcionado en respuesta.</w:t>
      </w:r>
    </w:p>
    <w:p w:rsidR="00B70417" w:rsidRDefault="00780A47">
      <w:pPr>
        <w:spacing w:before="280" w:after="280"/>
        <w:ind w:left="360" w:right="49"/>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En el supuesto que la información ordenada en el punto 1 no obre en los archivos del </w:t>
      </w:r>
      <w:r>
        <w:rPr>
          <w:rFonts w:ascii="Palatino Linotype" w:eastAsia="Palatino Linotype" w:hAnsi="Palatino Linotype" w:cs="Palatino Linotype"/>
          <w:b/>
          <w:i/>
          <w:sz w:val="20"/>
          <w:szCs w:val="20"/>
        </w:rPr>
        <w:t>Sujeto Obligado,</w:t>
      </w:r>
      <w:r>
        <w:rPr>
          <w:rFonts w:ascii="Palatino Linotype" w:eastAsia="Palatino Linotype" w:hAnsi="Palatino Linotype" w:cs="Palatino Linotype"/>
          <w:i/>
          <w:sz w:val="20"/>
          <w:szCs w:val="20"/>
        </w:rPr>
        <w:t xml:space="preserve"> deberá hacerlo del conocimiento de la parte </w:t>
      </w:r>
      <w:r>
        <w:rPr>
          <w:rFonts w:ascii="Palatino Linotype" w:eastAsia="Palatino Linotype" w:hAnsi="Palatino Linotype" w:cs="Palatino Linotype"/>
          <w:b/>
          <w:i/>
          <w:sz w:val="20"/>
          <w:szCs w:val="20"/>
        </w:rPr>
        <w:t>Recurrente</w:t>
      </w:r>
      <w:r>
        <w:rPr>
          <w:rFonts w:ascii="Palatino Linotype" w:eastAsia="Palatino Linotype" w:hAnsi="Palatino Linotype" w:cs="Palatino Linotype"/>
          <w:i/>
          <w:sz w:val="20"/>
          <w:szCs w:val="20"/>
        </w:rPr>
        <w:t>, en términos del artículo 19, párrafo segundo de la Ley de Transparencia y Acceso a la Información Pública del Estado de México y Municipios.</w:t>
      </w:r>
    </w:p>
    <w:p w:rsidR="00B70417" w:rsidRDefault="00780A47">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Tercero. Notifíquese, </w:t>
      </w:r>
      <w:r>
        <w:rPr>
          <w:rFonts w:ascii="Palatino Linotype" w:eastAsia="Palatino Linotype" w:hAnsi="Palatino Linotype" w:cs="Palatino Linotype"/>
        </w:rPr>
        <w:t xml:space="preserve">vía </w:t>
      </w:r>
      <w:r>
        <w:rPr>
          <w:rFonts w:ascii="Palatino Linotype" w:eastAsia="Palatino Linotype" w:hAnsi="Palatino Linotype" w:cs="Palatino Linotype"/>
          <w:b/>
        </w:rPr>
        <w:t xml:space="preserve">SAIMEX, </w:t>
      </w:r>
      <w:r>
        <w:rPr>
          <w:rFonts w:ascii="Palatino Linotype" w:eastAsia="Palatino Linotype" w:hAnsi="Palatino Linotype" w:cs="Palatino Linotype"/>
        </w:rPr>
        <w:t>al Responsable de la Unidad de Transparencia del Sujeto Obligado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Pr>
          <w:rFonts w:ascii="Palatino Linotype" w:eastAsia="Palatino Linotype" w:hAnsi="Palatino Linotype" w:cs="Palatino Linotype"/>
          <w:b/>
        </w:rPr>
        <w:t>.</w:t>
      </w:r>
    </w:p>
    <w:p w:rsidR="00B70417" w:rsidRDefault="00780A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w:t>
      </w:r>
      <w:r>
        <w:rPr>
          <w:rFonts w:ascii="Palatino Linotype" w:eastAsia="Palatino Linotype" w:hAnsi="Palatino Linotype" w:cs="Palatino Linotype"/>
        </w:rPr>
        <w:lastRenderedPageBreak/>
        <w:t>procedente, el Sujeto Obligado de manera fundada y motivada, podrá solicitar una ampliación de plazo para el cumplimiento de la presente resolución.</w:t>
      </w:r>
    </w:p>
    <w:p w:rsidR="00B70417" w:rsidRDefault="00780A47">
      <w:pPr>
        <w:spacing w:before="240" w:after="240" w:line="360" w:lineRule="auto"/>
        <w:jc w:val="both"/>
        <w:rPr>
          <w:rFonts w:ascii="Palatino Linotype" w:eastAsia="Palatino Linotype" w:hAnsi="Palatino Linotype" w:cs="Palatino Linotype"/>
        </w:rPr>
      </w:pPr>
      <w:bookmarkStart w:id="8" w:name="_heading=h.3dy6vkm" w:colFirst="0" w:colLast="0"/>
      <w:bookmarkEnd w:id="8"/>
      <w:r>
        <w:rPr>
          <w:rFonts w:ascii="Palatino Linotype" w:eastAsia="Palatino Linotype" w:hAnsi="Palatino Linotype" w:cs="Palatino Linotype"/>
          <w:b/>
        </w:rPr>
        <w:t xml:space="preserve">Cuarto.  Notifíquese, </w:t>
      </w:r>
      <w:r>
        <w:rPr>
          <w:rFonts w:ascii="Palatino Linotype" w:eastAsia="Palatino Linotype" w:hAnsi="Palatino Linotype" w:cs="Palatino Linotype"/>
        </w:rPr>
        <w:t xml:space="preserve">vía </w:t>
      </w:r>
      <w:r>
        <w:rPr>
          <w:rFonts w:ascii="Palatino Linotype" w:eastAsia="Palatino Linotype" w:hAnsi="Palatino Linotype" w:cs="Palatino Linotype"/>
          <w:b/>
        </w:rPr>
        <w:t>SAIMEX</w:t>
      </w:r>
      <w:r>
        <w:rPr>
          <w:rFonts w:ascii="Palatino Linotype" w:eastAsia="Palatino Linotype" w:hAnsi="Palatino Linotype" w:cs="Palatino Linotype"/>
        </w:rPr>
        <w:t xml:space="preserve">, 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B70417" w:rsidRDefault="00780A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SHARON CRISTINA MORALES MARTÍNEZ; MARÍA DEL ROSARIO MEJÍA AYALA; GUADALUPE RAMÍREZ PEÑA Y LUIS GUSTAVO PARRA NORIEGA; EN LA VIGÉSIMO PRIMERA SESIÓN ORDINARIA CELEBRADA EL OCHO DE JUNIO DE DOS MIL VEINTIDÓS, ANTE EL SECRETARIO TÉCNICO DEL PLENO, ALEXIS TAPIA RAMÍREZ.</w:t>
      </w:r>
    </w:p>
    <w:p w:rsidR="00AB060D" w:rsidRDefault="00AB060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53606</wp:posOffset>
                </wp:positionV>
                <wp:extent cx="5497033" cy="1871330"/>
                <wp:effectExtent l="38100" t="38100" r="66040" b="91440"/>
                <wp:wrapNone/>
                <wp:docPr id="1" name="Conector recto 1"/>
                <wp:cNvGraphicFramePr/>
                <a:graphic xmlns:a="http://schemas.openxmlformats.org/drawingml/2006/main">
                  <a:graphicData uri="http://schemas.microsoft.com/office/word/2010/wordprocessingShape">
                    <wps:wsp>
                      <wps:cNvCnPr/>
                      <wps:spPr>
                        <a:xfrm>
                          <a:off x="0" y="0"/>
                          <a:ext cx="5497033" cy="187133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EA3661" id="Conector recto 1"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1.65pt,4.2pt" to="814.5pt,1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" strokecolor="black [3200]" strokeweight="2pt">
                <v:shadow on="t" color="black" opacity="24903f" origin=",.5" offset="0,.55556mm"/>
                <w10:wrap anchorx="margin"/>
              </v:line>
            </w:pict>
          </mc:Fallback>
        </mc:AlternateContent>
      </w:r>
    </w:p>
    <w:p w:rsidR="00B70417" w:rsidRDefault="00B70417">
      <w:pPr>
        <w:spacing w:before="240" w:after="240" w:line="360" w:lineRule="auto"/>
        <w:jc w:val="both"/>
        <w:rPr>
          <w:rFonts w:ascii="Palatino Linotype" w:eastAsia="Palatino Linotype" w:hAnsi="Palatino Linotype" w:cs="Palatino Linotype"/>
        </w:rPr>
      </w:pPr>
    </w:p>
    <w:p w:rsidR="00B70417" w:rsidRDefault="00B70417">
      <w:pPr>
        <w:spacing w:before="240" w:after="240" w:line="360" w:lineRule="auto"/>
        <w:jc w:val="both"/>
        <w:rPr>
          <w:rFonts w:ascii="Palatino Linotype" w:eastAsia="Palatino Linotype" w:hAnsi="Palatino Linotype" w:cs="Palatino Linotype"/>
        </w:rPr>
      </w:pPr>
    </w:p>
    <w:p w:rsidR="00B70417" w:rsidRDefault="00B70417">
      <w:pPr>
        <w:spacing w:before="240" w:after="240"/>
        <w:jc w:val="both"/>
        <w:rPr>
          <w:rFonts w:ascii="Palatino Linotype" w:eastAsia="Palatino Linotype" w:hAnsi="Palatino Linotype" w:cs="Palatino Linotype"/>
          <w:sz w:val="20"/>
          <w:szCs w:val="20"/>
        </w:rPr>
      </w:pPr>
    </w:p>
    <w:p w:rsidR="00B70417" w:rsidRDefault="00B70417">
      <w:pPr>
        <w:spacing w:before="240" w:after="240"/>
        <w:jc w:val="both"/>
        <w:rPr>
          <w:rFonts w:ascii="Palatino Linotype" w:eastAsia="Palatino Linotype" w:hAnsi="Palatino Linotype" w:cs="Palatino Linotype"/>
          <w:sz w:val="20"/>
          <w:szCs w:val="20"/>
        </w:rPr>
      </w:pPr>
    </w:p>
    <w:p w:rsidR="00B70417" w:rsidRDefault="00B70417">
      <w:pPr>
        <w:spacing w:before="240" w:after="240"/>
        <w:jc w:val="both"/>
        <w:rPr>
          <w:rFonts w:ascii="Palatino Linotype" w:eastAsia="Palatino Linotype" w:hAnsi="Palatino Linotype" w:cs="Palatino Linotype"/>
          <w:sz w:val="20"/>
          <w:szCs w:val="20"/>
        </w:rPr>
      </w:pPr>
    </w:p>
    <w:p w:rsidR="00B70417" w:rsidRDefault="00B70417">
      <w:pPr>
        <w:spacing w:before="240" w:after="240"/>
        <w:jc w:val="both"/>
        <w:rPr>
          <w:rFonts w:ascii="Palatino Linotype" w:eastAsia="Palatino Linotype" w:hAnsi="Palatino Linotype" w:cs="Palatino Linotype"/>
          <w:sz w:val="20"/>
          <w:szCs w:val="20"/>
        </w:rPr>
      </w:pPr>
    </w:p>
    <w:p w:rsidR="00B70417" w:rsidRDefault="00B70417">
      <w:pPr>
        <w:spacing w:before="240" w:after="240"/>
        <w:jc w:val="both"/>
        <w:rPr>
          <w:rFonts w:ascii="Palatino Linotype" w:eastAsia="Palatino Linotype" w:hAnsi="Palatino Linotype" w:cs="Palatino Linotype"/>
          <w:sz w:val="20"/>
          <w:szCs w:val="20"/>
        </w:rPr>
      </w:pPr>
    </w:p>
    <w:p w:rsidR="00B70417" w:rsidRDefault="00B70417">
      <w:pPr>
        <w:spacing w:before="240" w:after="240"/>
        <w:jc w:val="both"/>
        <w:rPr>
          <w:rFonts w:ascii="Palatino Linotype" w:eastAsia="Palatino Linotype" w:hAnsi="Palatino Linotype" w:cs="Palatino Linotype"/>
          <w:sz w:val="20"/>
          <w:szCs w:val="20"/>
        </w:rPr>
      </w:pPr>
    </w:p>
    <w:p w:rsidR="00B70417" w:rsidRDefault="00B70417">
      <w:pPr>
        <w:spacing w:before="240" w:after="240"/>
        <w:jc w:val="both"/>
        <w:rPr>
          <w:rFonts w:ascii="Palatino Linotype" w:eastAsia="Palatino Linotype" w:hAnsi="Palatino Linotype" w:cs="Palatino Linotype"/>
          <w:sz w:val="20"/>
          <w:szCs w:val="20"/>
        </w:rPr>
      </w:pPr>
    </w:p>
    <w:p w:rsidR="00B70417" w:rsidRDefault="00B70417">
      <w:pPr>
        <w:spacing w:before="240" w:after="240"/>
        <w:jc w:val="both"/>
        <w:rPr>
          <w:rFonts w:ascii="Palatino Linotype" w:eastAsia="Palatino Linotype" w:hAnsi="Palatino Linotype" w:cs="Palatino Linotype"/>
          <w:sz w:val="20"/>
          <w:szCs w:val="20"/>
        </w:rPr>
      </w:pPr>
    </w:p>
    <w:p w:rsidR="00B70417" w:rsidRDefault="00B70417">
      <w:pPr>
        <w:spacing w:before="240" w:after="240"/>
        <w:jc w:val="both"/>
        <w:rPr>
          <w:rFonts w:ascii="Palatino Linotype" w:eastAsia="Palatino Linotype" w:hAnsi="Palatino Linotype" w:cs="Palatino Linotype"/>
          <w:sz w:val="20"/>
          <w:szCs w:val="20"/>
        </w:rPr>
      </w:pPr>
    </w:p>
    <w:p w:rsidR="00B70417" w:rsidRDefault="00B70417">
      <w:pPr>
        <w:spacing w:before="240" w:after="240"/>
        <w:jc w:val="both"/>
        <w:rPr>
          <w:rFonts w:ascii="Palatino Linotype" w:eastAsia="Palatino Linotype" w:hAnsi="Palatino Linotype" w:cs="Palatino Linotype"/>
          <w:sz w:val="20"/>
          <w:szCs w:val="20"/>
        </w:rPr>
      </w:pPr>
    </w:p>
    <w:p w:rsidR="00B70417" w:rsidRDefault="00B70417">
      <w:pPr>
        <w:spacing w:before="240" w:after="240"/>
        <w:jc w:val="both"/>
        <w:rPr>
          <w:rFonts w:ascii="Palatino Linotype" w:eastAsia="Palatino Linotype" w:hAnsi="Palatino Linotype" w:cs="Palatino Linotype"/>
          <w:sz w:val="20"/>
          <w:szCs w:val="20"/>
        </w:rPr>
      </w:pPr>
    </w:p>
    <w:p w:rsidR="00B70417" w:rsidRDefault="00B70417">
      <w:pPr>
        <w:spacing w:before="240" w:after="240"/>
        <w:jc w:val="both"/>
        <w:rPr>
          <w:rFonts w:ascii="Palatino Linotype" w:eastAsia="Palatino Linotype" w:hAnsi="Palatino Linotype" w:cs="Palatino Linotype"/>
          <w:sz w:val="20"/>
          <w:szCs w:val="20"/>
        </w:rPr>
      </w:pPr>
    </w:p>
    <w:p w:rsidR="00B70417" w:rsidRDefault="00B70417">
      <w:pPr>
        <w:spacing w:before="240" w:after="240"/>
        <w:jc w:val="both"/>
        <w:rPr>
          <w:rFonts w:ascii="Palatino Linotype" w:eastAsia="Palatino Linotype" w:hAnsi="Palatino Linotype" w:cs="Palatino Linotype"/>
          <w:sz w:val="20"/>
          <w:szCs w:val="20"/>
        </w:rPr>
      </w:pPr>
    </w:p>
    <w:p w:rsidR="00B70417" w:rsidRDefault="00B70417">
      <w:pPr>
        <w:spacing w:before="240" w:after="240"/>
        <w:jc w:val="both"/>
        <w:rPr>
          <w:rFonts w:ascii="Palatino Linotype" w:eastAsia="Palatino Linotype" w:hAnsi="Palatino Linotype" w:cs="Palatino Linotype"/>
          <w:sz w:val="20"/>
          <w:szCs w:val="20"/>
        </w:rPr>
      </w:pPr>
    </w:p>
    <w:p w:rsidR="00B70417" w:rsidRDefault="00B70417">
      <w:pPr>
        <w:spacing w:before="240" w:after="240"/>
        <w:jc w:val="both"/>
        <w:rPr>
          <w:rFonts w:ascii="Palatino Linotype" w:eastAsia="Palatino Linotype" w:hAnsi="Palatino Linotype" w:cs="Palatino Linotype"/>
          <w:sz w:val="20"/>
          <w:szCs w:val="20"/>
        </w:rPr>
      </w:pPr>
    </w:p>
    <w:p w:rsidR="00B70417" w:rsidRDefault="00B70417">
      <w:pPr>
        <w:spacing w:before="240" w:after="240"/>
        <w:jc w:val="both"/>
        <w:rPr>
          <w:rFonts w:ascii="Palatino Linotype" w:eastAsia="Palatino Linotype" w:hAnsi="Palatino Linotype" w:cs="Palatino Linotype"/>
          <w:sz w:val="20"/>
          <w:szCs w:val="20"/>
        </w:rPr>
      </w:pPr>
    </w:p>
    <w:p w:rsidR="00B70417" w:rsidRDefault="00B70417">
      <w:pPr>
        <w:spacing w:before="240" w:after="240"/>
        <w:jc w:val="both"/>
        <w:rPr>
          <w:rFonts w:ascii="Palatino Linotype" w:eastAsia="Palatino Linotype" w:hAnsi="Palatino Linotype" w:cs="Palatino Linotype"/>
          <w:sz w:val="20"/>
          <w:szCs w:val="20"/>
        </w:rPr>
      </w:pPr>
    </w:p>
    <w:p w:rsidR="00B70417" w:rsidRDefault="00B70417">
      <w:pPr>
        <w:spacing w:before="240" w:after="240"/>
        <w:jc w:val="both"/>
        <w:rPr>
          <w:rFonts w:ascii="Palatino Linotype" w:eastAsia="Palatino Linotype" w:hAnsi="Palatino Linotype" w:cs="Palatino Linotype"/>
          <w:sz w:val="20"/>
          <w:szCs w:val="20"/>
        </w:rPr>
      </w:pPr>
    </w:p>
    <w:p w:rsidR="00B70417" w:rsidRDefault="00B70417">
      <w:pPr>
        <w:spacing w:before="240" w:after="240"/>
        <w:jc w:val="both"/>
        <w:rPr>
          <w:rFonts w:ascii="Palatino Linotype" w:eastAsia="Palatino Linotype" w:hAnsi="Palatino Linotype" w:cs="Palatino Linotype"/>
          <w:sz w:val="20"/>
          <w:szCs w:val="20"/>
        </w:rPr>
      </w:pPr>
    </w:p>
    <w:p w:rsidR="00B70417" w:rsidRDefault="00B70417">
      <w:pPr>
        <w:spacing w:before="240" w:after="240"/>
        <w:jc w:val="both"/>
        <w:rPr>
          <w:rFonts w:ascii="Palatino Linotype" w:eastAsia="Palatino Linotype" w:hAnsi="Palatino Linotype" w:cs="Palatino Linotype"/>
          <w:sz w:val="20"/>
          <w:szCs w:val="20"/>
        </w:rPr>
      </w:pPr>
    </w:p>
    <w:p w:rsidR="00B70417" w:rsidRDefault="00B70417">
      <w:pPr>
        <w:spacing w:before="240" w:after="240"/>
        <w:jc w:val="both"/>
        <w:rPr>
          <w:rFonts w:ascii="Palatino Linotype" w:eastAsia="Palatino Linotype" w:hAnsi="Palatino Linotype" w:cs="Palatino Linotype"/>
          <w:sz w:val="20"/>
          <w:szCs w:val="20"/>
        </w:rPr>
      </w:pPr>
    </w:p>
    <w:sectPr w:rsidR="00B70417">
      <w:headerReference w:type="default" r:id="rId22"/>
      <w:footerReference w:type="default" r:id="rId23"/>
      <w:headerReference w:type="first" r:id="rId24"/>
      <w:footerReference w:type="first" r:id="rId2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4EE1" w:rsidRDefault="00780A47">
      <w:r>
        <w:separator/>
      </w:r>
    </w:p>
  </w:endnote>
  <w:endnote w:type="continuationSeparator" w:id="0">
    <w:p w:rsidR="003D4EE1" w:rsidRDefault="00780A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altName w:val="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417" w:rsidRDefault="00780A4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F0BDC">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F0BDC">
      <w:rPr>
        <w:rFonts w:ascii="Palatino Linotype" w:eastAsia="Palatino Linotype" w:hAnsi="Palatino Linotype" w:cs="Palatino Linotype"/>
        <w:b/>
        <w:noProof/>
        <w:color w:val="000000"/>
        <w:sz w:val="20"/>
        <w:szCs w:val="20"/>
      </w:rPr>
      <w:t>38</w:t>
    </w:r>
    <w:r>
      <w:rPr>
        <w:rFonts w:ascii="Palatino Linotype" w:eastAsia="Palatino Linotype" w:hAnsi="Palatino Linotype" w:cs="Palatino Linotype"/>
        <w:b/>
        <w:color w:val="000000"/>
        <w:sz w:val="20"/>
        <w:szCs w:val="20"/>
      </w:rPr>
      <w:fldChar w:fldCharType="end"/>
    </w:r>
  </w:p>
  <w:p w:rsidR="00B70417" w:rsidRDefault="00B70417">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417" w:rsidRDefault="00780A4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F0BDC">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F0BDC">
      <w:rPr>
        <w:rFonts w:ascii="Palatino Linotype" w:eastAsia="Palatino Linotype" w:hAnsi="Palatino Linotype" w:cs="Palatino Linotype"/>
        <w:b/>
        <w:noProof/>
        <w:color w:val="000000"/>
        <w:sz w:val="20"/>
        <w:szCs w:val="20"/>
      </w:rPr>
      <w:t>38</w:t>
    </w:r>
    <w:r>
      <w:rPr>
        <w:rFonts w:ascii="Palatino Linotype" w:eastAsia="Palatino Linotype" w:hAnsi="Palatino Linotype" w:cs="Palatino Linotype"/>
        <w:b/>
        <w:color w:val="000000"/>
        <w:sz w:val="20"/>
        <w:szCs w:val="20"/>
      </w:rPr>
      <w:fldChar w:fldCharType="end"/>
    </w:r>
  </w:p>
  <w:p w:rsidR="00B70417" w:rsidRDefault="00B70417">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4EE1" w:rsidRDefault="00780A47">
      <w:r>
        <w:separator/>
      </w:r>
    </w:p>
  </w:footnote>
  <w:footnote w:type="continuationSeparator" w:id="0">
    <w:p w:rsidR="003D4EE1" w:rsidRDefault="00780A47">
      <w:r>
        <w:continuationSeparator/>
      </w:r>
    </w:p>
  </w:footnote>
  <w:footnote w:id="1">
    <w:p w:rsidR="00B70417" w:rsidRDefault="00780A47">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Artículo 185. El Instituto resolverá el recurso de revisión conforme a lo siguiente: (…)</w:t>
      </w:r>
    </w:p>
    <w:p w:rsidR="00B70417" w:rsidRDefault="00780A47">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rsidR="00B70417" w:rsidRDefault="00780A47">
      <w:pPr>
        <w:ind w:right="49"/>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sz w:val="16"/>
          <w:szCs w:val="16"/>
        </w:rPr>
        <w:t xml:space="preserve"> </w:t>
      </w:r>
      <w:r>
        <w:rPr>
          <w:rFonts w:ascii="Palatino Linotype" w:eastAsia="Palatino Linotype" w:hAnsi="Palatino Linotype" w:cs="Palatino Linotype"/>
          <w:b/>
          <w:i/>
          <w:sz w:val="16"/>
          <w:szCs w:val="16"/>
        </w:rPr>
        <w:t>Artículo 53.</w:t>
      </w:r>
      <w:r>
        <w:rPr>
          <w:rFonts w:ascii="Palatino Linotype" w:eastAsia="Palatino Linotype" w:hAnsi="Palatino Linotype" w:cs="Palatino Linotype"/>
          <w:i/>
          <w:sz w:val="16"/>
          <w:szCs w:val="16"/>
        </w:rPr>
        <w:t xml:space="preserve"> Las </w:t>
      </w:r>
      <w:r>
        <w:rPr>
          <w:rFonts w:ascii="Palatino Linotype" w:eastAsia="Palatino Linotype" w:hAnsi="Palatino Linotype" w:cs="Palatino Linotype"/>
          <w:b/>
          <w:i/>
          <w:sz w:val="16"/>
          <w:szCs w:val="16"/>
        </w:rPr>
        <w:t>Unidades de Transparencia</w:t>
      </w:r>
      <w:r>
        <w:rPr>
          <w:rFonts w:ascii="Palatino Linotype" w:eastAsia="Palatino Linotype" w:hAnsi="Palatino Linotype" w:cs="Palatino Linotype"/>
          <w:i/>
          <w:sz w:val="16"/>
          <w:szCs w:val="16"/>
        </w:rPr>
        <w:t xml:space="preserve"> tendrán las siguientes funciones:</w:t>
      </w:r>
    </w:p>
    <w:p w:rsidR="00B70417" w:rsidRDefault="00780A47">
      <w:pPr>
        <w:ind w:right="49"/>
        <w:jc w:val="both"/>
        <w:rPr>
          <w:rFonts w:ascii="Palatino Linotype" w:eastAsia="Palatino Linotype" w:hAnsi="Palatino Linotype" w:cs="Palatino Linotype"/>
          <w:sz w:val="16"/>
          <w:szCs w:val="16"/>
        </w:rPr>
      </w:pPr>
      <w:r>
        <w:rPr>
          <w:rFonts w:ascii="Palatino Linotype" w:eastAsia="Palatino Linotype" w:hAnsi="Palatino Linotype" w:cs="Palatino Linotype"/>
          <w:b/>
          <w:i/>
          <w:sz w:val="16"/>
          <w:szCs w:val="16"/>
        </w:rPr>
        <w:t>II.</w:t>
      </w:r>
      <w:r>
        <w:rPr>
          <w:rFonts w:ascii="Palatino Linotype" w:eastAsia="Palatino Linotype" w:hAnsi="Palatino Linotype" w:cs="Palatino Linotype"/>
          <w:i/>
          <w:sz w:val="16"/>
          <w:szCs w:val="16"/>
        </w:rPr>
        <w:t xml:space="preserve"> Recibir, tramitar y dar respuesta a las solicitudes de acceso a la información;</w:t>
      </w:r>
    </w:p>
  </w:footnote>
  <w:footnote w:id="3">
    <w:p w:rsidR="00B70417" w:rsidRDefault="00780A47">
      <w:pPr>
        <w:pBdr>
          <w:top w:val="nil"/>
          <w:left w:val="nil"/>
          <w:bottom w:val="nil"/>
          <w:right w:val="nil"/>
          <w:between w:val="nil"/>
        </w:pBdr>
        <w:ind w:right="49"/>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i/>
          <w:color w:val="000000"/>
          <w:sz w:val="16"/>
          <w:szCs w:val="16"/>
        </w:rPr>
        <w:t>Artículo 162.</w:t>
      </w:r>
      <w:r>
        <w:rPr>
          <w:rFonts w:ascii="Palatino Linotype" w:eastAsia="Palatino Linotype" w:hAnsi="Palatino Linotype" w:cs="Palatino Linotype"/>
          <w:i/>
          <w:color w:val="000000"/>
          <w:sz w:val="16"/>
          <w:szCs w:val="16"/>
        </w:rPr>
        <w:t xml:space="preserve"> Las </w:t>
      </w:r>
      <w:r>
        <w:rPr>
          <w:rFonts w:ascii="Palatino Linotype" w:eastAsia="Palatino Linotype" w:hAnsi="Palatino Linotype" w:cs="Palatino Linotype"/>
          <w:b/>
          <w:i/>
          <w:color w:val="000000"/>
          <w:sz w:val="16"/>
          <w:szCs w:val="16"/>
        </w:rPr>
        <w:t>unidades de transparencia</w:t>
      </w:r>
      <w:r>
        <w:rPr>
          <w:rFonts w:ascii="Palatino Linotype" w:eastAsia="Palatino Linotype" w:hAnsi="Palatino Linotype" w:cs="Palatino Linotype"/>
          <w:i/>
          <w:color w:val="000000"/>
          <w:sz w:val="16"/>
          <w:szCs w:val="16"/>
        </w:rPr>
        <w:t xml:space="preserve"> deberán </w:t>
      </w:r>
      <w:r>
        <w:rPr>
          <w:rFonts w:ascii="Palatino Linotype" w:eastAsia="Palatino Linotype" w:hAnsi="Palatino Linotype" w:cs="Palatino Linotype"/>
          <w:b/>
          <w:i/>
          <w:color w:val="000000"/>
          <w:sz w:val="16"/>
          <w:szCs w:val="16"/>
        </w:rPr>
        <w:t>garantizar que las solicitudes se turnen a todas las Áreas competentes</w:t>
      </w:r>
      <w:r>
        <w:rPr>
          <w:rFonts w:ascii="Palatino Linotype" w:eastAsia="Palatino Linotype" w:hAnsi="Palatino Linotype" w:cs="Palatino Linotype"/>
          <w:i/>
          <w:color w:val="000000"/>
          <w:sz w:val="16"/>
          <w:szCs w:val="16"/>
        </w:rPr>
        <w:t xml:space="preserve"> que </w:t>
      </w:r>
      <w:r>
        <w:rPr>
          <w:rFonts w:ascii="Palatino Linotype" w:eastAsia="Palatino Linotype" w:hAnsi="Palatino Linotype" w:cs="Palatino Linotype"/>
          <w:b/>
          <w:i/>
          <w:color w:val="000000"/>
          <w:sz w:val="16"/>
          <w:szCs w:val="16"/>
        </w:rPr>
        <w:t>cuenten con la información o deban tenerla de acuerdo a sus facultades, competencias y funciones,</w:t>
      </w:r>
      <w:r>
        <w:rPr>
          <w:rFonts w:ascii="Palatino Linotype" w:eastAsia="Palatino Linotype" w:hAnsi="Palatino Linotype" w:cs="Palatino Linotype"/>
          <w:i/>
          <w:color w:val="000000"/>
          <w:sz w:val="16"/>
          <w:szCs w:val="16"/>
        </w:rPr>
        <w:t xml:space="preserve"> con el objeto de que realicen una </w:t>
      </w:r>
      <w:r>
        <w:rPr>
          <w:rFonts w:ascii="Palatino Linotype" w:eastAsia="Palatino Linotype" w:hAnsi="Palatino Linotype" w:cs="Palatino Linotype"/>
          <w:b/>
          <w:i/>
          <w:color w:val="000000"/>
          <w:sz w:val="16"/>
          <w:szCs w:val="16"/>
        </w:rPr>
        <w:t>búsqueda exhaustiva y razonable</w:t>
      </w:r>
      <w:r>
        <w:rPr>
          <w:rFonts w:ascii="Palatino Linotype" w:eastAsia="Palatino Linotype" w:hAnsi="Palatino Linotype" w:cs="Palatino Linotype"/>
          <w:i/>
          <w:color w:val="000000"/>
          <w:sz w:val="16"/>
          <w:szCs w:val="16"/>
        </w:rPr>
        <w:t xml:space="preserve"> de la información solicitada</w:t>
      </w:r>
    </w:p>
  </w:footnote>
  <w:footnote w:id="4">
    <w:p w:rsidR="00B70417" w:rsidRDefault="00780A4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161</w:t>
      </w:r>
      <w:r>
        <w:rPr>
          <w:rFonts w:ascii="Palatino Linotype" w:eastAsia="Palatino Linotype" w:hAnsi="Palatino Linotype" w:cs="Palatino Linotype"/>
          <w:color w:val="000000"/>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 w:id="5">
    <w:p w:rsidR="00B70417" w:rsidRDefault="00780A47">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http://metepec.gob.mx/pagina/remtys.php</w:t>
      </w:r>
    </w:p>
  </w:footnote>
  <w:footnote w:id="6">
    <w:p w:rsidR="00B70417" w:rsidRDefault="00780A4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rsidR="00B70417" w:rsidRDefault="00780A47">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XIII. Dictaminar las declaratorias de inexistencia de la información que les remitan las unidades administrativas y resolver en consecuencia;</w:t>
      </w:r>
    </w:p>
  </w:footnote>
  <w:footnote w:id="7">
    <w:p w:rsidR="00B70417" w:rsidRDefault="00780A4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Un motor de búsqueda o buscador es un mecanismo que recopila la información disponible en los servidores web y la distribuye a los usuarios por medio del proceso de crawling, en el que las arañas de los buscadores mapean los datos almacenados en la red.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417" w:rsidRDefault="00780A47">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-1080133</wp:posOffset>
          </wp:positionH>
          <wp:positionV relativeFrom="paragraph">
            <wp:posOffset>-450213</wp:posOffset>
          </wp:positionV>
          <wp:extent cx="7809865" cy="10165715"/>
          <wp:effectExtent l="0" t="0" r="0" b="0"/>
          <wp:wrapNone/>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d"/>
      <w:tblW w:w="5953" w:type="dxa"/>
      <w:tblInd w:w="3261" w:type="dxa"/>
      <w:tblLayout w:type="fixed"/>
      <w:tblLook w:val="0400" w:firstRow="0" w:lastRow="0" w:firstColumn="0" w:lastColumn="0" w:noHBand="0" w:noVBand="1"/>
    </w:tblPr>
    <w:tblGrid>
      <w:gridCol w:w="2489"/>
      <w:gridCol w:w="3464"/>
    </w:tblGrid>
    <w:tr w:rsidR="00B70417">
      <w:tc>
        <w:tcPr>
          <w:tcW w:w="2489" w:type="dxa"/>
          <w:shd w:val="clear" w:color="auto" w:fill="auto"/>
        </w:tcPr>
        <w:p w:rsidR="00B70417" w:rsidRDefault="00780A4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B70417" w:rsidRDefault="00780A4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02014/INFOEM/IP/RR/2022 y acumulado</w:t>
          </w:r>
        </w:p>
      </w:tc>
    </w:tr>
    <w:tr w:rsidR="00B70417">
      <w:trPr>
        <w:trHeight w:val="228"/>
      </w:trPr>
      <w:tc>
        <w:tcPr>
          <w:tcW w:w="2489" w:type="dxa"/>
          <w:shd w:val="clear" w:color="auto" w:fill="auto"/>
          <w:vAlign w:val="center"/>
        </w:tcPr>
        <w:p w:rsidR="00B70417" w:rsidRDefault="00780A4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B70417" w:rsidRDefault="00780A47">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B70417">
      <w:tc>
        <w:tcPr>
          <w:tcW w:w="2489" w:type="dxa"/>
          <w:shd w:val="clear" w:color="auto" w:fill="auto"/>
          <w:vAlign w:val="center"/>
        </w:tcPr>
        <w:p w:rsidR="00B70417" w:rsidRDefault="00780A47">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B70417" w:rsidRDefault="00780A4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B70417" w:rsidRDefault="00780A47">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417" w:rsidRDefault="00B70417">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c"/>
      <w:tblW w:w="5670" w:type="dxa"/>
      <w:tblInd w:w="3261" w:type="dxa"/>
      <w:tblLayout w:type="fixed"/>
      <w:tblLook w:val="0400" w:firstRow="0" w:lastRow="0" w:firstColumn="0" w:lastColumn="0" w:noHBand="0" w:noVBand="1"/>
    </w:tblPr>
    <w:tblGrid>
      <w:gridCol w:w="2551"/>
      <w:gridCol w:w="3119"/>
    </w:tblGrid>
    <w:tr w:rsidR="00B70417">
      <w:tc>
        <w:tcPr>
          <w:tcW w:w="2551" w:type="dxa"/>
          <w:shd w:val="clear" w:color="auto" w:fill="auto"/>
          <w:vAlign w:val="center"/>
        </w:tcPr>
        <w:p w:rsidR="00B70417" w:rsidRDefault="00780A4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B70417" w:rsidRDefault="00780A47">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02014/INFOEM/IP/RR/2022 y acumulado</w:t>
          </w:r>
        </w:p>
      </w:tc>
    </w:tr>
    <w:tr w:rsidR="00B70417">
      <w:trPr>
        <w:trHeight w:val="130"/>
      </w:trPr>
      <w:tc>
        <w:tcPr>
          <w:tcW w:w="2551" w:type="dxa"/>
          <w:shd w:val="clear" w:color="auto" w:fill="auto"/>
          <w:vAlign w:val="center"/>
        </w:tcPr>
        <w:p w:rsidR="00B70417" w:rsidRDefault="00780A4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B70417" w:rsidRDefault="00B70417">
          <w:pPr>
            <w:ind w:left="-45"/>
            <w:jc w:val="both"/>
            <w:rPr>
              <w:rFonts w:ascii="Palatino Linotype" w:eastAsia="Palatino Linotype" w:hAnsi="Palatino Linotype" w:cs="Palatino Linotype"/>
              <w:b/>
              <w:sz w:val="22"/>
              <w:szCs w:val="22"/>
            </w:rPr>
          </w:pPr>
        </w:p>
      </w:tc>
    </w:tr>
    <w:tr w:rsidR="00B70417">
      <w:trPr>
        <w:trHeight w:val="228"/>
      </w:trPr>
      <w:tc>
        <w:tcPr>
          <w:tcW w:w="2551" w:type="dxa"/>
          <w:shd w:val="clear" w:color="auto" w:fill="auto"/>
          <w:vAlign w:val="center"/>
        </w:tcPr>
        <w:p w:rsidR="00B70417" w:rsidRDefault="00780A4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B70417" w:rsidRDefault="00780A47">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B70417">
      <w:tc>
        <w:tcPr>
          <w:tcW w:w="2551" w:type="dxa"/>
          <w:shd w:val="clear" w:color="auto" w:fill="auto"/>
          <w:vAlign w:val="center"/>
        </w:tcPr>
        <w:p w:rsidR="00B70417" w:rsidRDefault="00780A4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B70417" w:rsidRDefault="00780A47">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B70417" w:rsidRDefault="00780A47">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column">
            <wp:posOffset>-1090928</wp:posOffset>
          </wp:positionH>
          <wp:positionV relativeFrom="paragraph">
            <wp:posOffset>-1154428</wp:posOffset>
          </wp:positionV>
          <wp:extent cx="7809865" cy="10165715"/>
          <wp:effectExtent l="0" t="0" r="0" b="0"/>
          <wp:wrapNone/>
          <wp:docPr id="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A871D4"/>
    <w:multiLevelType w:val="multilevel"/>
    <w:tmpl w:val="4564A12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4CEA69E8"/>
    <w:multiLevelType w:val="multilevel"/>
    <w:tmpl w:val="6E228430"/>
    <w:lvl w:ilvl="0">
      <w:start w:val="1"/>
      <w:numFmt w:val="decimal"/>
      <w:pStyle w:val="Listaconvietas3"/>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4D7C6340"/>
    <w:multiLevelType w:val="multilevel"/>
    <w:tmpl w:val="B3AEB304"/>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417"/>
    <w:rsid w:val="003D4EE1"/>
    <w:rsid w:val="00780A47"/>
    <w:rsid w:val="00AB060D"/>
    <w:rsid w:val="00B70417"/>
    <w:rsid w:val="00BF0B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D74458-A200-4407-A3EC-14611448B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metepec.gob.mx/pagina/archivo-municipal.php"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etepec.gob.mx/pagina/archivo-municipal.php"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1X1Dy6Mxy3sgtCZMB0cajJ43hag==">AMUW2mWjHna09SllgqsbnKCqNyw2xwsjJXIlNKD+yPR4isfK5m3zvWH0WlmAIt5kkld09MPDAE4rVq+6y+nG0MxMgRRqGkCThJROejt/vKyS16IwHgSEAtYlmywTDmoGK4pVUt/MqWJKI5o3Is4c0IhP+uZS+MHdKmX2rg+LD4upGG0D10PcoQoB4dAqPW0CA9Lj/HHdycakzVEEDW9scMdR5o/y4kLSi2ZGz9IeDyQUNiBFsEYt0Wg=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8156</Words>
  <Characters>44864</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dcterms:created xsi:type="dcterms:W3CDTF">2022-07-07T19:28:00Z</dcterms:created>
  <dcterms:modified xsi:type="dcterms:W3CDTF">2022-07-07T19:28:00Z</dcterms:modified>
</cp:coreProperties>
</file>