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6BBF6" w14:textId="32D38E7F" w:rsidR="00C853D1" w:rsidRPr="00B377FD" w:rsidRDefault="00C853D1" w:rsidP="00E321DD">
      <w:pPr>
        <w:spacing w:after="0" w:line="360" w:lineRule="auto"/>
        <w:rPr>
          <w:rFonts w:eastAsia="Times New Roman" w:cs="Tahoma"/>
          <w:bCs/>
          <w:color w:val="auto"/>
          <w:lang w:eastAsia="es-ES"/>
        </w:rPr>
      </w:pPr>
      <w:r w:rsidRPr="00B377FD">
        <w:rPr>
          <w:rFonts w:eastAsia="Calibri" w:cs="Tahoma"/>
          <w:bCs/>
          <w:color w:val="000000"/>
        </w:rPr>
        <w:t xml:space="preserve">Resolución del Pleno del Instituto de Transparencia, Acceso a la Información Pública y </w:t>
      </w:r>
      <w:r w:rsidRPr="00B377FD">
        <w:rPr>
          <w:rFonts w:eastAsia="Times New Roman" w:cs="Tahoma"/>
          <w:bCs/>
          <w:color w:val="auto"/>
          <w:lang w:eastAsia="es-ES"/>
        </w:rPr>
        <w:t xml:space="preserve">Protección de Datos Personales del Estado de México y Municipios, con domicilio en Metepec, Estado de México, de fecha </w:t>
      </w:r>
      <w:r w:rsidR="00E97EB7">
        <w:rPr>
          <w:rFonts w:eastAsia="Times New Roman" w:cs="Tahoma"/>
          <w:bCs/>
          <w:color w:val="auto"/>
          <w:lang w:eastAsia="es-ES"/>
        </w:rPr>
        <w:t>veintisiete</w:t>
      </w:r>
      <w:r w:rsidR="006063A4">
        <w:rPr>
          <w:rFonts w:eastAsia="Times New Roman" w:cs="Tahoma"/>
          <w:bCs/>
          <w:color w:val="auto"/>
          <w:lang w:eastAsia="es-ES"/>
        </w:rPr>
        <w:t xml:space="preserve"> de enero de dos mil veintidós. </w:t>
      </w:r>
    </w:p>
    <w:p w14:paraId="1D95A1A3" w14:textId="77777777" w:rsidR="00C853D1" w:rsidRPr="00B377FD" w:rsidRDefault="00C853D1" w:rsidP="00E321DD">
      <w:pPr>
        <w:tabs>
          <w:tab w:val="left" w:pos="2839"/>
        </w:tabs>
        <w:spacing w:after="0" w:line="360" w:lineRule="auto"/>
        <w:rPr>
          <w:rFonts w:eastAsia="Times New Roman" w:cs="Tahoma"/>
          <w:bCs/>
          <w:color w:val="auto"/>
          <w:lang w:eastAsia="es-ES"/>
        </w:rPr>
      </w:pPr>
    </w:p>
    <w:p w14:paraId="1066B8D1" w14:textId="65E34878" w:rsidR="00C853D1" w:rsidRPr="00B377FD" w:rsidRDefault="00C853D1" w:rsidP="00E321DD">
      <w:pPr>
        <w:spacing w:after="0" w:line="360" w:lineRule="auto"/>
        <w:rPr>
          <w:rFonts w:eastAsia="Calibri" w:cs="Tahoma"/>
          <w:color w:val="0D0D0D"/>
        </w:rPr>
      </w:pPr>
      <w:r w:rsidRPr="00B377FD">
        <w:rPr>
          <w:rFonts w:eastAsia="Times New Roman" w:cs="Tahoma"/>
          <w:b/>
          <w:bCs/>
          <w:color w:val="auto"/>
          <w:lang w:eastAsia="es-ES"/>
        </w:rPr>
        <w:t>VISTO</w:t>
      </w:r>
      <w:r w:rsidRPr="00B377FD">
        <w:rPr>
          <w:rFonts w:eastAsia="Calibri" w:cs="Tahoma"/>
          <w:bCs/>
          <w:color w:val="0D0D0D"/>
        </w:rPr>
        <w:t xml:space="preserve"> el expediente conformado con motivo del Recurso de Revisión </w:t>
      </w:r>
      <w:r w:rsidR="00DE22C4">
        <w:rPr>
          <w:rFonts w:eastAsia="Calibri" w:cs="Tahoma"/>
          <w:color w:val="000000"/>
        </w:rPr>
        <w:t>06001/INFOEM/IP/RR/2021</w:t>
      </w:r>
      <w:r w:rsidRPr="005751D5">
        <w:rPr>
          <w:rFonts w:eastAsia="Calibri" w:cs="Tahoma"/>
          <w:color w:val="000000"/>
        </w:rPr>
        <w:t>,</w:t>
      </w:r>
      <w:r w:rsidRPr="005F4D23">
        <w:rPr>
          <w:rFonts w:eastAsia="Calibri" w:cs="Tahoma"/>
          <w:color w:val="000000"/>
        </w:rPr>
        <w:t xml:space="preserve"> interpuesto por</w:t>
      </w:r>
      <w:r w:rsidRPr="005F4D23">
        <w:rPr>
          <w:rFonts w:eastAsia="Calibri" w:cs="Tahoma"/>
        </w:rPr>
        <w:t xml:space="preserve">, en lo sucesivo, el </w:t>
      </w:r>
      <w:r w:rsidRPr="005F4D23">
        <w:rPr>
          <w:rFonts w:eastAsia="Calibri" w:cs="Tahoma"/>
          <w:color w:val="0D0D0D"/>
        </w:rPr>
        <w:t>Recurrente o Particular, en contra de la respuesta del Sujeto Obligado,</w:t>
      </w:r>
      <w:r>
        <w:rPr>
          <w:rFonts w:eastAsia="Calibri" w:cs="Tahoma"/>
          <w:color w:val="000000"/>
        </w:rPr>
        <w:t xml:space="preserve"> </w:t>
      </w:r>
      <w:r w:rsidR="002562D5">
        <w:rPr>
          <w:rFonts w:eastAsia="Calibri" w:cs="Tahoma"/>
          <w:color w:val="000000"/>
        </w:rPr>
        <w:t>Ayuntamiento de Atenco</w:t>
      </w:r>
      <w:r w:rsidRPr="005F4D23">
        <w:rPr>
          <w:rFonts w:eastAsia="Calibri" w:cs="Tahoma"/>
          <w:color w:val="000000"/>
        </w:rPr>
        <w:t xml:space="preserve">, a la solicitud de acceso a la información </w:t>
      </w:r>
      <w:r w:rsidR="002562D5">
        <w:rPr>
          <w:rFonts w:eastAsia="Calibri" w:cs="Tahoma"/>
          <w:color w:val="000000"/>
        </w:rPr>
        <w:t>00134/ATENCO/IP/2021</w:t>
      </w:r>
      <w:r w:rsidRPr="005F4D23">
        <w:rPr>
          <w:rFonts w:eastAsia="Calibri" w:cs="Tahoma"/>
          <w:color w:val="000000"/>
        </w:rPr>
        <w:t>, se</w:t>
      </w:r>
      <w:r w:rsidRPr="00B377FD">
        <w:rPr>
          <w:rFonts w:eastAsia="Calibri" w:cs="Tahoma"/>
          <w:color w:val="000000"/>
        </w:rPr>
        <w:t xml:space="preserve"> emite la presente Resolución, con base en los Antecedentes y Considerandos que se exponen a continuación:</w:t>
      </w:r>
    </w:p>
    <w:p w14:paraId="4FCCF228" w14:textId="77777777" w:rsidR="00C853D1" w:rsidRPr="00B377FD" w:rsidRDefault="00C853D1" w:rsidP="00E321DD">
      <w:pPr>
        <w:spacing w:after="0" w:line="360" w:lineRule="auto"/>
        <w:rPr>
          <w:rFonts w:eastAsia="Calibri" w:cs="Tahoma"/>
          <w:color w:val="000000"/>
        </w:rPr>
      </w:pPr>
    </w:p>
    <w:p w14:paraId="0472C645" w14:textId="77777777" w:rsidR="00C853D1" w:rsidRPr="00B377FD" w:rsidRDefault="00C853D1" w:rsidP="00E321DD">
      <w:pPr>
        <w:tabs>
          <w:tab w:val="center" w:pos="4522"/>
          <w:tab w:val="left" w:pos="7245"/>
        </w:tabs>
        <w:spacing w:after="0" w:line="360" w:lineRule="auto"/>
        <w:jc w:val="center"/>
        <w:rPr>
          <w:rFonts w:eastAsia="Calibri" w:cs="Tahoma"/>
          <w:b/>
          <w:color w:val="000000"/>
        </w:rPr>
      </w:pPr>
      <w:r w:rsidRPr="00B377FD">
        <w:rPr>
          <w:rFonts w:eastAsia="Calibri" w:cs="Tahoma"/>
          <w:b/>
          <w:color w:val="000000"/>
        </w:rPr>
        <w:t>A N T E C E D E N T E S:</w:t>
      </w:r>
    </w:p>
    <w:p w14:paraId="422D0175" w14:textId="77777777" w:rsidR="00C853D1" w:rsidRPr="00B377FD" w:rsidRDefault="00C853D1" w:rsidP="00E321DD">
      <w:pPr>
        <w:spacing w:after="0" w:line="360" w:lineRule="auto"/>
      </w:pPr>
    </w:p>
    <w:p w14:paraId="539DCEC7" w14:textId="77777777" w:rsidR="00C853D1" w:rsidRPr="00B377FD" w:rsidRDefault="00C853D1" w:rsidP="00E321DD">
      <w:pPr>
        <w:tabs>
          <w:tab w:val="left" w:pos="567"/>
        </w:tabs>
        <w:spacing w:after="0" w:line="360" w:lineRule="auto"/>
        <w:rPr>
          <w:rFonts w:eastAsia="Times New Roman" w:cs="Tahoma"/>
          <w:b/>
          <w:color w:val="auto"/>
          <w:lang w:eastAsia="es-ES"/>
        </w:rPr>
      </w:pPr>
      <w:r w:rsidRPr="00B377FD">
        <w:rPr>
          <w:rFonts w:eastAsia="Times New Roman" w:cs="Tahoma"/>
          <w:b/>
          <w:color w:val="auto"/>
          <w:lang w:eastAsia="es-ES"/>
        </w:rPr>
        <w:t>I. Presentación de la solicitud de información:</w:t>
      </w:r>
    </w:p>
    <w:p w14:paraId="681289FF" w14:textId="77777777" w:rsidR="00C853D1" w:rsidRPr="00B377FD" w:rsidRDefault="00C853D1" w:rsidP="00E321DD">
      <w:pPr>
        <w:tabs>
          <w:tab w:val="left" w:pos="567"/>
        </w:tabs>
        <w:spacing w:after="0" w:line="360" w:lineRule="auto"/>
        <w:rPr>
          <w:rFonts w:eastAsia="Times New Roman" w:cs="Tahoma"/>
          <w:color w:val="auto"/>
          <w:lang w:eastAsia="es-ES"/>
        </w:rPr>
      </w:pPr>
    </w:p>
    <w:p w14:paraId="2A44F672" w14:textId="603AC2BE" w:rsidR="00C853D1" w:rsidRPr="00BC2DAE" w:rsidRDefault="00C853D1" w:rsidP="00E321DD">
      <w:pPr>
        <w:spacing w:after="0" w:line="360" w:lineRule="auto"/>
        <w:rPr>
          <w:rFonts w:eastAsia="Times New Roman" w:cs="Tahoma"/>
          <w:color w:val="auto"/>
          <w:lang w:eastAsia="es-ES"/>
        </w:rPr>
      </w:pPr>
      <w:r w:rsidRPr="00B377FD">
        <w:rPr>
          <w:rFonts w:eastAsia="Times New Roman" w:cs="Tahoma"/>
          <w:color w:val="auto"/>
          <w:lang w:eastAsia="es-ES"/>
        </w:rPr>
        <w:t xml:space="preserve">Con fecha </w:t>
      </w:r>
      <w:r w:rsidR="009945E1">
        <w:rPr>
          <w:rFonts w:eastAsia="Times New Roman" w:cs="Tahoma"/>
          <w:color w:val="auto"/>
          <w:lang w:eastAsia="es-ES"/>
        </w:rPr>
        <w:t>diecinueve de noviembre de dos mil veintiuno</w:t>
      </w:r>
      <w:r w:rsidRPr="00B377FD">
        <w:rPr>
          <w:rFonts w:eastAsia="Times New Roman" w:cs="Tahoma"/>
          <w:color w:val="auto"/>
          <w:lang w:eastAsia="es-ES"/>
        </w:rPr>
        <w:t xml:space="preserve">, </w:t>
      </w:r>
      <w:r>
        <w:rPr>
          <w:rFonts w:eastAsia="Times New Roman" w:cs="Tahoma"/>
          <w:color w:val="auto"/>
          <w:lang w:eastAsia="es-ES"/>
        </w:rPr>
        <w:t>el</w:t>
      </w:r>
      <w:r w:rsidRPr="00B377FD">
        <w:rPr>
          <w:rFonts w:eastAsia="Times New Roman" w:cs="Tahoma"/>
          <w:color w:val="auto"/>
          <w:lang w:eastAsia="es-ES"/>
        </w:rPr>
        <w:t xml:space="preserve"> Particular presentó una solicitud de acceso a la información pública, a través del Sistema de Acceso a la Información Mexiquense (SAIMEX), ante el </w:t>
      </w:r>
      <w:r w:rsidR="002562D5">
        <w:rPr>
          <w:rFonts w:eastAsia="Calibri" w:cs="Tahoma"/>
        </w:rPr>
        <w:t>Ayuntamiento de Atenco</w:t>
      </w:r>
      <w:r>
        <w:rPr>
          <w:rFonts w:eastAsia="Calibri" w:cs="Tahoma"/>
        </w:rPr>
        <w:t>,</w:t>
      </w:r>
      <w:r w:rsidRPr="00B377FD">
        <w:rPr>
          <w:rFonts w:eastAsia="Calibri" w:cs="Tahoma"/>
        </w:rPr>
        <w:t xml:space="preserve"> en los siguientes términos: </w:t>
      </w:r>
    </w:p>
    <w:p w14:paraId="32AF4217" w14:textId="77777777" w:rsidR="00C853D1" w:rsidRPr="00B377FD" w:rsidRDefault="00C853D1" w:rsidP="00E321DD">
      <w:pPr>
        <w:spacing w:after="0" w:line="360" w:lineRule="auto"/>
        <w:rPr>
          <w:rFonts w:eastAsia="Calibri" w:cs="Tahoma"/>
        </w:rPr>
      </w:pPr>
    </w:p>
    <w:p w14:paraId="08873B8F" w14:textId="77777777" w:rsidR="00C853D1" w:rsidRPr="003D30B4" w:rsidRDefault="00C853D1" w:rsidP="00E321DD">
      <w:pPr>
        <w:tabs>
          <w:tab w:val="left" w:pos="4667"/>
        </w:tabs>
        <w:spacing w:after="0" w:line="360" w:lineRule="auto"/>
        <w:ind w:left="567" w:right="567"/>
        <w:rPr>
          <w:rFonts w:eastAsia="Times New Roman" w:cs="Tahoma"/>
          <w:b/>
          <w:i/>
          <w:iCs/>
          <w:color w:val="auto"/>
          <w:sz w:val="20"/>
          <w:szCs w:val="20"/>
          <w:lang w:eastAsia="es-ES"/>
        </w:rPr>
      </w:pPr>
      <w:r w:rsidRPr="003D30B4">
        <w:rPr>
          <w:rFonts w:eastAsia="Times New Roman" w:cs="Tahoma"/>
          <w:b/>
          <w:i/>
          <w:iCs/>
          <w:color w:val="auto"/>
          <w:sz w:val="20"/>
          <w:szCs w:val="20"/>
          <w:lang w:eastAsia="es-ES"/>
        </w:rPr>
        <w:t>“DESCRIPCIÓN CLARA Y PRECISA DE LA INFORMACIÓN SOLICITADA.</w:t>
      </w:r>
    </w:p>
    <w:p w14:paraId="47049033" w14:textId="27DFB6E7" w:rsidR="00C853D1" w:rsidRPr="003D30B4" w:rsidRDefault="00E03053" w:rsidP="00E321DD">
      <w:pPr>
        <w:tabs>
          <w:tab w:val="left" w:pos="4667"/>
        </w:tabs>
        <w:spacing w:after="0" w:line="360" w:lineRule="auto"/>
        <w:ind w:left="567" w:right="567"/>
        <w:rPr>
          <w:rFonts w:eastAsia="Times New Roman" w:cs="Tahoma"/>
          <w:bCs/>
          <w:i/>
          <w:iCs/>
          <w:color w:val="auto"/>
          <w:sz w:val="20"/>
          <w:szCs w:val="20"/>
          <w:lang w:eastAsia="es-ES"/>
        </w:rPr>
      </w:pPr>
      <w:r w:rsidRPr="00E03053">
        <w:rPr>
          <w:rFonts w:eastAsia="Times New Roman" w:cs="Tahoma"/>
          <w:bCs/>
          <w:i/>
          <w:iCs/>
          <w:color w:val="auto"/>
          <w:sz w:val="20"/>
          <w:szCs w:val="20"/>
          <w:lang w:eastAsia="es-ES"/>
        </w:rPr>
        <w:t>Atlas de Riesgo Municipal</w:t>
      </w:r>
      <w:r w:rsidR="00BC2DAE" w:rsidRPr="003D30B4">
        <w:rPr>
          <w:rFonts w:eastAsia="Times New Roman" w:cs="Tahoma"/>
          <w:bCs/>
          <w:i/>
          <w:iCs/>
          <w:color w:val="auto"/>
          <w:sz w:val="20"/>
          <w:szCs w:val="20"/>
          <w:lang w:eastAsia="es-ES"/>
        </w:rPr>
        <w:t>.</w:t>
      </w:r>
      <w:r w:rsidR="00C853D1" w:rsidRPr="003D30B4">
        <w:rPr>
          <w:rFonts w:eastAsia="Times New Roman" w:cs="Tahoma"/>
          <w:bCs/>
          <w:i/>
          <w:iCs/>
          <w:color w:val="auto"/>
          <w:sz w:val="20"/>
          <w:szCs w:val="20"/>
          <w:lang w:eastAsia="es-ES"/>
        </w:rPr>
        <w:t xml:space="preserve">” (Sic) </w:t>
      </w:r>
    </w:p>
    <w:p w14:paraId="151CD7A9" w14:textId="77777777" w:rsidR="00C853D1" w:rsidRPr="003D30B4" w:rsidRDefault="00C853D1" w:rsidP="00E321DD">
      <w:pPr>
        <w:tabs>
          <w:tab w:val="left" w:pos="4667"/>
        </w:tabs>
        <w:spacing w:after="0" w:line="360" w:lineRule="auto"/>
        <w:ind w:left="567" w:right="567"/>
        <w:rPr>
          <w:rFonts w:eastAsia="Times New Roman" w:cs="Tahoma"/>
          <w:b/>
          <w:bCs/>
          <w:i/>
          <w:iCs/>
          <w:color w:val="auto"/>
          <w:sz w:val="20"/>
          <w:lang w:eastAsia="es-ES"/>
        </w:rPr>
      </w:pPr>
    </w:p>
    <w:p w14:paraId="0E8A2DCA" w14:textId="77777777" w:rsidR="00C853D1" w:rsidRPr="00B377FD" w:rsidRDefault="00C853D1" w:rsidP="00E321DD">
      <w:pPr>
        <w:tabs>
          <w:tab w:val="left" w:pos="4667"/>
        </w:tabs>
        <w:spacing w:after="0" w:line="360" w:lineRule="auto"/>
        <w:ind w:left="567" w:right="567"/>
        <w:rPr>
          <w:rFonts w:eastAsia="Times New Roman" w:cs="Tahoma"/>
          <w:b/>
          <w:bCs/>
          <w:i/>
          <w:iCs/>
          <w:color w:val="auto"/>
          <w:sz w:val="20"/>
          <w:lang w:eastAsia="es-ES"/>
        </w:rPr>
      </w:pPr>
      <w:r w:rsidRPr="003D30B4">
        <w:rPr>
          <w:rFonts w:eastAsia="Times New Roman" w:cs="Tahoma"/>
          <w:b/>
          <w:bCs/>
          <w:i/>
          <w:iCs/>
          <w:color w:val="auto"/>
          <w:sz w:val="20"/>
          <w:lang w:eastAsia="es-ES"/>
        </w:rPr>
        <w:t>“MODALIDAD DE ENTREGA</w:t>
      </w:r>
    </w:p>
    <w:p w14:paraId="59678C94" w14:textId="1E32CB35" w:rsidR="00C853D1" w:rsidRDefault="00C853D1" w:rsidP="00E321DD">
      <w:pPr>
        <w:spacing w:after="0" w:line="360" w:lineRule="auto"/>
        <w:ind w:left="567" w:right="567"/>
        <w:rPr>
          <w:rFonts w:eastAsia="Times New Roman" w:cs="Arial"/>
          <w:bCs/>
          <w:i/>
          <w:iCs/>
          <w:color w:val="auto"/>
          <w:sz w:val="20"/>
          <w:lang w:eastAsia="es-ES"/>
        </w:rPr>
      </w:pPr>
      <w:r w:rsidRPr="00B377FD">
        <w:rPr>
          <w:rFonts w:eastAsia="Times New Roman" w:cs="Arial"/>
          <w:bCs/>
          <w:i/>
          <w:iCs/>
          <w:color w:val="auto"/>
          <w:sz w:val="20"/>
          <w:lang w:eastAsia="es-ES"/>
        </w:rPr>
        <w:t>A través del SAIMEX”</w:t>
      </w:r>
    </w:p>
    <w:p w14:paraId="1DAA8380" w14:textId="77777777" w:rsidR="00682222" w:rsidRPr="00682222" w:rsidRDefault="00682222" w:rsidP="00E321DD">
      <w:pPr>
        <w:spacing w:after="0" w:line="360" w:lineRule="auto"/>
        <w:ind w:left="567" w:right="567"/>
        <w:rPr>
          <w:rFonts w:eastAsia="Times New Roman" w:cs="Arial"/>
          <w:bCs/>
          <w:i/>
          <w:iCs/>
          <w:color w:val="auto"/>
          <w:sz w:val="20"/>
          <w:lang w:eastAsia="es-ES"/>
        </w:rPr>
      </w:pPr>
    </w:p>
    <w:p w14:paraId="7488ED31" w14:textId="77777777" w:rsidR="00C853D1" w:rsidRPr="00B377FD" w:rsidRDefault="00C853D1" w:rsidP="00E321DD">
      <w:pPr>
        <w:autoSpaceDE w:val="0"/>
        <w:autoSpaceDN w:val="0"/>
        <w:adjustRightInd w:val="0"/>
        <w:spacing w:after="0" w:line="360" w:lineRule="auto"/>
        <w:rPr>
          <w:b/>
          <w:bCs/>
        </w:rPr>
      </w:pPr>
      <w:r w:rsidRPr="00B377FD">
        <w:rPr>
          <w:rFonts w:cs="Tahoma"/>
          <w:b/>
        </w:rPr>
        <w:t>II.</w:t>
      </w:r>
      <w:r w:rsidRPr="00B377FD">
        <w:rPr>
          <w:b/>
          <w:bCs/>
        </w:rPr>
        <w:t xml:space="preserve"> Respuesta del Sujeto Obligado. </w:t>
      </w:r>
    </w:p>
    <w:p w14:paraId="4400726D" w14:textId="77777777" w:rsidR="00C853D1" w:rsidRPr="00B377FD" w:rsidRDefault="00C853D1" w:rsidP="00E321DD">
      <w:pPr>
        <w:spacing w:after="0" w:line="360" w:lineRule="auto"/>
      </w:pPr>
    </w:p>
    <w:p w14:paraId="7E6985A4" w14:textId="4222FBED" w:rsidR="006005B3" w:rsidRPr="006005B3" w:rsidRDefault="00C853D1" w:rsidP="00E321DD">
      <w:pPr>
        <w:spacing w:after="0" w:line="360" w:lineRule="auto"/>
        <w:rPr>
          <w:i/>
          <w:iCs/>
          <w:sz w:val="20"/>
          <w:szCs w:val="20"/>
        </w:rPr>
      </w:pPr>
      <w:r w:rsidRPr="00B377FD">
        <w:lastRenderedPageBreak/>
        <w:t>Con fecha</w:t>
      </w:r>
      <w:r w:rsidR="00752FE2">
        <w:t xml:space="preserve"> veinticinco de noviembre de dos mil veintiuno, </w:t>
      </w:r>
      <w:r w:rsidR="00854B30">
        <w:t xml:space="preserve">el Sujeto Obligado notificó, </w:t>
      </w:r>
      <w:r w:rsidR="00854B30" w:rsidRPr="00B377FD">
        <w:t>a través del Sistema de Acceso a la Información Mexiquense (SAIMEX), la respuesta a la solicitud</w:t>
      </w:r>
      <w:r w:rsidR="00854B30">
        <w:t xml:space="preserve"> de acceso a la información pública, mediante el oficio</w:t>
      </w:r>
      <w:r w:rsidR="005B259A">
        <w:t xml:space="preserve"> número</w:t>
      </w:r>
      <w:r w:rsidR="00BF3C91">
        <w:t xml:space="preserve"> PMA/UT/SOL/2021/152</w:t>
      </w:r>
      <w:r w:rsidR="00983BA0">
        <w:t xml:space="preserve">, </w:t>
      </w:r>
      <w:r w:rsidR="005B259A">
        <w:t>de la misma fecha</w:t>
      </w:r>
      <w:r w:rsidR="00F87D29">
        <w:t>, suscrito por el Titular de</w:t>
      </w:r>
      <w:r w:rsidR="005B259A">
        <w:t xml:space="preserve"> la Unidad de Transparencia y </w:t>
      </w:r>
      <w:r w:rsidR="00F66280">
        <w:t xml:space="preserve">dirigido al Solicitante, por medio del cual  manifiesta </w:t>
      </w:r>
      <w:r w:rsidR="005B259A">
        <w:t>que proporciona la respuesta del servidor público habilitado.</w:t>
      </w:r>
    </w:p>
    <w:p w14:paraId="559FA9D2" w14:textId="77777777" w:rsidR="00752FE2" w:rsidRDefault="00752FE2" w:rsidP="00E321DD">
      <w:pPr>
        <w:spacing w:after="0" w:line="360" w:lineRule="auto"/>
      </w:pPr>
    </w:p>
    <w:p w14:paraId="74726A93" w14:textId="2218BF09" w:rsidR="00FF38D9" w:rsidRDefault="005B259A" w:rsidP="00E321DD">
      <w:pPr>
        <w:spacing w:after="0" w:line="360" w:lineRule="auto"/>
      </w:pPr>
      <w:r>
        <w:t>E</w:t>
      </w:r>
      <w:r w:rsidR="00131B7C">
        <w:t xml:space="preserve">l Sujeto Obligado </w:t>
      </w:r>
      <w:r>
        <w:t>adjuntó</w:t>
      </w:r>
      <w:r w:rsidR="00131B7C">
        <w:t xml:space="preserve"> la digitalización </w:t>
      </w:r>
      <w:r>
        <w:t>oficio número</w:t>
      </w:r>
      <w:r w:rsidR="00FF38D9">
        <w:t xml:space="preserve"> </w:t>
      </w:r>
      <w:r w:rsidR="00B65260">
        <w:t>DPCYBA/326/202</w:t>
      </w:r>
      <w:r>
        <w:t xml:space="preserve">1, del </w:t>
      </w:r>
      <w:r w:rsidR="00B65260">
        <w:t xml:space="preserve">veintidós de noviembre de dos mil veintiuno, suscrito por el </w:t>
      </w:r>
      <w:r>
        <w:t>Director de Protección Civil y</w:t>
      </w:r>
      <w:r w:rsidR="00B65260">
        <w:t xml:space="preserve"> </w:t>
      </w:r>
      <w:r w:rsidR="00522E54">
        <w:t xml:space="preserve">dirigido al Titular de la Unidad de Transparencia, de cuyo contenido se desprende lo siguiente: </w:t>
      </w:r>
    </w:p>
    <w:p w14:paraId="46927F1E" w14:textId="77777777" w:rsidR="00522E54" w:rsidRDefault="00522E54" w:rsidP="00E321DD">
      <w:pPr>
        <w:spacing w:after="0" w:line="360" w:lineRule="auto"/>
      </w:pPr>
    </w:p>
    <w:p w14:paraId="3199972C" w14:textId="653BA67C" w:rsidR="00522E54" w:rsidRPr="00B93328" w:rsidRDefault="00522E54" w:rsidP="00E321DD">
      <w:pPr>
        <w:spacing w:after="0" w:line="360" w:lineRule="auto"/>
        <w:ind w:left="567" w:right="567"/>
        <w:rPr>
          <w:i/>
          <w:iCs/>
          <w:sz w:val="20"/>
          <w:szCs w:val="20"/>
        </w:rPr>
      </w:pPr>
      <w:r w:rsidRPr="00B93328">
        <w:rPr>
          <w:i/>
          <w:iCs/>
          <w:sz w:val="20"/>
          <w:szCs w:val="20"/>
        </w:rPr>
        <w:t xml:space="preserve">“… </w:t>
      </w:r>
      <w:r w:rsidR="00B96B3D" w:rsidRPr="00B93328">
        <w:rPr>
          <w:i/>
          <w:iCs/>
          <w:sz w:val="20"/>
          <w:szCs w:val="20"/>
        </w:rPr>
        <w:t>Con fundamento en lo dispuesto por el artículo 161 de la Ley de Transparencia y Acceso a la Información Pública del Estado de México y Municipios, se advierte que la información solicita</w:t>
      </w:r>
      <w:r w:rsidR="00703537" w:rsidRPr="00B93328">
        <w:rPr>
          <w:i/>
          <w:iCs/>
          <w:sz w:val="20"/>
          <w:szCs w:val="20"/>
        </w:rPr>
        <w:t xml:space="preserve">da, se encuentra contenida en el criterio Fracción I J Atlas de Riesgo, en el ejercicio de las funciones por este Sujeto Obligado, por lo que se encuentra disponible al público de manera permanente, de forma sencilla, precisa y entendible en la plataforma de Información Pública de Oficio Mexiquense (IPOMEX). </w:t>
      </w:r>
    </w:p>
    <w:p w14:paraId="0913E1AF" w14:textId="058AA7F3" w:rsidR="00703537" w:rsidRPr="00B93328" w:rsidRDefault="00703537" w:rsidP="00E321DD">
      <w:pPr>
        <w:spacing w:after="0" w:line="360" w:lineRule="auto"/>
        <w:ind w:left="567" w:right="567"/>
        <w:jc w:val="center"/>
        <w:rPr>
          <w:i/>
          <w:iCs/>
          <w:sz w:val="20"/>
          <w:szCs w:val="20"/>
        </w:rPr>
      </w:pPr>
      <w:r w:rsidRPr="00B93328">
        <w:rPr>
          <w:i/>
          <w:iCs/>
          <w:sz w:val="20"/>
          <w:szCs w:val="20"/>
        </w:rPr>
        <w:t>…</w:t>
      </w:r>
    </w:p>
    <w:p w14:paraId="18714F07" w14:textId="7744BB9A" w:rsidR="00703537" w:rsidRPr="00B93328" w:rsidRDefault="006222E1" w:rsidP="00E321DD">
      <w:pPr>
        <w:spacing w:after="0" w:line="360" w:lineRule="auto"/>
        <w:ind w:left="567" w:right="567"/>
        <w:rPr>
          <w:i/>
          <w:iCs/>
          <w:sz w:val="20"/>
          <w:szCs w:val="20"/>
        </w:rPr>
      </w:pPr>
      <w:r w:rsidRPr="00B93328">
        <w:rPr>
          <w:i/>
          <w:iCs/>
          <w:sz w:val="20"/>
          <w:szCs w:val="20"/>
        </w:rPr>
        <w:t xml:space="preserve">Precisado lo anterior, se informa que la información solicitada a este Sujeto Obligado, se encuentra disponible para su consulta, en la plataforma </w:t>
      </w:r>
      <w:r w:rsidR="00BD2753" w:rsidRPr="00B93328">
        <w:rPr>
          <w:i/>
          <w:iCs/>
          <w:sz w:val="20"/>
          <w:szCs w:val="20"/>
        </w:rPr>
        <w:t xml:space="preserve">de Información Pública de Oficio Mexiquense (IPOMEX), en la siguiente dirección electrónica: </w:t>
      </w:r>
    </w:p>
    <w:p w14:paraId="3B3F8E23" w14:textId="77777777" w:rsidR="00BD2753" w:rsidRPr="00B93328" w:rsidRDefault="00BD2753" w:rsidP="00E321DD">
      <w:pPr>
        <w:spacing w:after="0" w:line="360" w:lineRule="auto"/>
        <w:ind w:left="567" w:right="567"/>
        <w:rPr>
          <w:i/>
          <w:iCs/>
          <w:sz w:val="20"/>
          <w:szCs w:val="20"/>
        </w:rPr>
      </w:pPr>
    </w:p>
    <w:p w14:paraId="2602B593" w14:textId="1AE41D20" w:rsidR="00BD2753" w:rsidRDefault="00BD2753" w:rsidP="00E321DD">
      <w:pPr>
        <w:spacing w:after="0" w:line="360" w:lineRule="auto"/>
        <w:ind w:left="567" w:right="567"/>
        <w:jc w:val="center"/>
        <w:rPr>
          <w:i/>
          <w:iCs/>
          <w:sz w:val="20"/>
          <w:szCs w:val="20"/>
        </w:rPr>
      </w:pPr>
      <w:r w:rsidRPr="00B93328">
        <w:rPr>
          <w:i/>
          <w:iCs/>
          <w:sz w:val="20"/>
          <w:szCs w:val="20"/>
        </w:rPr>
        <w:t>AYUNTAMIENTO DE ATENCO (ipomex</w:t>
      </w:r>
      <w:r w:rsidR="00610DE9" w:rsidRPr="00B93328">
        <w:rPr>
          <w:i/>
          <w:iCs/>
          <w:sz w:val="20"/>
          <w:szCs w:val="20"/>
        </w:rPr>
        <w:t>.org.mx) ARTÍCULO 94. FRACCIÓN I J</w:t>
      </w:r>
    </w:p>
    <w:p w14:paraId="299C1E1A" w14:textId="77777777" w:rsidR="00791177" w:rsidRPr="00B93328" w:rsidRDefault="00791177" w:rsidP="00E321DD">
      <w:pPr>
        <w:spacing w:after="0" w:line="360" w:lineRule="auto"/>
        <w:ind w:left="567" w:right="567"/>
        <w:jc w:val="center"/>
        <w:rPr>
          <w:i/>
          <w:iCs/>
          <w:sz w:val="20"/>
          <w:szCs w:val="20"/>
        </w:rPr>
      </w:pPr>
    </w:p>
    <w:p w14:paraId="022F78B4" w14:textId="4A51C8A7" w:rsidR="00BD2753" w:rsidRPr="00B93328" w:rsidRDefault="00AC0198" w:rsidP="00E321DD">
      <w:pPr>
        <w:spacing w:after="0" w:line="360" w:lineRule="auto"/>
        <w:ind w:left="567" w:right="567"/>
        <w:jc w:val="center"/>
        <w:rPr>
          <w:i/>
          <w:iCs/>
          <w:sz w:val="20"/>
          <w:szCs w:val="20"/>
        </w:rPr>
      </w:pPr>
      <w:r w:rsidRPr="00B93328">
        <w:rPr>
          <w:i/>
          <w:iCs/>
          <w:noProof/>
          <w:sz w:val="20"/>
          <w:szCs w:val="20"/>
          <w:lang w:eastAsia="es-MX"/>
        </w:rPr>
        <w:drawing>
          <wp:inline distT="0" distB="0" distL="0" distR="0" wp14:anchorId="3E8B8536" wp14:editId="2453C47B">
            <wp:extent cx="3125037" cy="1441133"/>
            <wp:effectExtent l="0" t="0" r="0" b="698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145748" cy="1450684"/>
                    </a:xfrm>
                    <a:prstGeom prst="rect">
                      <a:avLst/>
                    </a:prstGeom>
                  </pic:spPr>
                </pic:pic>
              </a:graphicData>
            </a:graphic>
          </wp:inline>
        </w:drawing>
      </w:r>
    </w:p>
    <w:p w14:paraId="59C3492C" w14:textId="77777777" w:rsidR="006005B3" w:rsidRPr="00B93328" w:rsidRDefault="006005B3" w:rsidP="00E321DD">
      <w:pPr>
        <w:spacing w:after="0" w:line="360" w:lineRule="auto"/>
        <w:ind w:left="567" w:right="567"/>
        <w:rPr>
          <w:i/>
          <w:iCs/>
          <w:sz w:val="20"/>
          <w:szCs w:val="20"/>
        </w:rPr>
      </w:pPr>
    </w:p>
    <w:p w14:paraId="75C82574" w14:textId="38B0371F" w:rsidR="006005B3" w:rsidRDefault="00AC0198" w:rsidP="00E321DD">
      <w:pPr>
        <w:spacing w:after="0" w:line="360" w:lineRule="auto"/>
        <w:ind w:left="567" w:right="567"/>
        <w:jc w:val="center"/>
        <w:rPr>
          <w:i/>
          <w:iCs/>
          <w:sz w:val="20"/>
          <w:szCs w:val="20"/>
        </w:rPr>
      </w:pPr>
      <w:r w:rsidRPr="00B93328">
        <w:rPr>
          <w:i/>
          <w:iCs/>
          <w:sz w:val="20"/>
          <w:szCs w:val="20"/>
        </w:rPr>
        <w:t xml:space="preserve">Asimismo, en: </w:t>
      </w:r>
      <w:r w:rsidR="009A4D83" w:rsidRPr="00B93328">
        <w:rPr>
          <w:i/>
          <w:iCs/>
          <w:sz w:val="20"/>
          <w:szCs w:val="20"/>
        </w:rPr>
        <w:t>AYUNTAMIENTO</w:t>
      </w:r>
      <w:r w:rsidR="008363D9" w:rsidRPr="00B93328">
        <w:rPr>
          <w:i/>
          <w:iCs/>
          <w:sz w:val="20"/>
          <w:szCs w:val="20"/>
        </w:rPr>
        <w:t xml:space="preserve"> DE ATENCO – Atlas de Riesgos (ipomex.org.mx)</w:t>
      </w:r>
    </w:p>
    <w:p w14:paraId="0067CFD0" w14:textId="77777777" w:rsidR="00791177" w:rsidRPr="00B93328" w:rsidRDefault="00791177" w:rsidP="00E321DD">
      <w:pPr>
        <w:spacing w:after="0" w:line="360" w:lineRule="auto"/>
        <w:ind w:left="567" w:right="567"/>
        <w:jc w:val="center"/>
        <w:rPr>
          <w:i/>
          <w:iCs/>
          <w:sz w:val="20"/>
          <w:szCs w:val="20"/>
        </w:rPr>
      </w:pPr>
    </w:p>
    <w:p w14:paraId="5064E5DF" w14:textId="4B767190" w:rsidR="006005B3" w:rsidRPr="00B93328" w:rsidRDefault="00AB4F65" w:rsidP="00E321DD">
      <w:pPr>
        <w:spacing w:after="0" w:line="360" w:lineRule="auto"/>
        <w:ind w:left="567" w:right="567"/>
        <w:jc w:val="center"/>
        <w:rPr>
          <w:i/>
          <w:iCs/>
          <w:sz w:val="20"/>
          <w:szCs w:val="20"/>
        </w:rPr>
      </w:pPr>
      <w:r w:rsidRPr="00B93328">
        <w:rPr>
          <w:i/>
          <w:iCs/>
          <w:noProof/>
          <w:sz w:val="20"/>
          <w:szCs w:val="20"/>
          <w:lang w:eastAsia="es-MX"/>
        </w:rPr>
        <w:drawing>
          <wp:inline distT="0" distB="0" distL="0" distR="0" wp14:anchorId="17D7594E" wp14:editId="7178C6B4">
            <wp:extent cx="3217026" cy="1405759"/>
            <wp:effectExtent l="0" t="0" r="2540" b="4445"/>
            <wp:docPr id="6" name="Imagen 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scala de tiemp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247549" cy="1419097"/>
                    </a:xfrm>
                    <a:prstGeom prst="rect">
                      <a:avLst/>
                    </a:prstGeom>
                  </pic:spPr>
                </pic:pic>
              </a:graphicData>
            </a:graphic>
          </wp:inline>
        </w:drawing>
      </w:r>
    </w:p>
    <w:p w14:paraId="582FA554" w14:textId="23A5623E" w:rsidR="00AB4F65" w:rsidRPr="00B93328" w:rsidRDefault="00710F0F" w:rsidP="00E321DD">
      <w:pPr>
        <w:spacing w:after="0" w:line="360" w:lineRule="auto"/>
        <w:ind w:left="567" w:right="567"/>
        <w:jc w:val="center"/>
        <w:rPr>
          <w:i/>
          <w:iCs/>
          <w:sz w:val="20"/>
          <w:szCs w:val="20"/>
        </w:rPr>
      </w:pPr>
      <w:r w:rsidRPr="00B93328">
        <w:rPr>
          <w:i/>
          <w:iCs/>
          <w:sz w:val="20"/>
          <w:szCs w:val="20"/>
        </w:rPr>
        <w:t>Y</w:t>
      </w:r>
    </w:p>
    <w:p w14:paraId="4F406AAB" w14:textId="57FA7AA4" w:rsidR="006005B3" w:rsidRDefault="00153770" w:rsidP="00E321DD">
      <w:pPr>
        <w:spacing w:after="0" w:line="360" w:lineRule="auto"/>
        <w:ind w:left="567" w:right="567"/>
        <w:rPr>
          <w:i/>
          <w:iCs/>
          <w:sz w:val="20"/>
          <w:szCs w:val="20"/>
        </w:rPr>
      </w:pPr>
      <w:r w:rsidRPr="00B93328">
        <w:rPr>
          <w:i/>
          <w:iCs/>
          <w:sz w:val="20"/>
          <w:szCs w:val="20"/>
        </w:rPr>
        <w:t>rmgir.proyectomesoamerica.org/PDFMunicipales/2016/AR_ATENCO</w:t>
      </w:r>
      <w:r w:rsidR="000B7972" w:rsidRPr="00B93328">
        <w:rPr>
          <w:i/>
          <w:iCs/>
          <w:sz w:val="20"/>
          <w:szCs w:val="20"/>
        </w:rPr>
        <w:t>_MEX_2016.pdf</w:t>
      </w:r>
    </w:p>
    <w:p w14:paraId="33989A64" w14:textId="77777777" w:rsidR="00791177" w:rsidRPr="00B93328" w:rsidRDefault="00791177" w:rsidP="00E321DD">
      <w:pPr>
        <w:spacing w:after="0" w:line="360" w:lineRule="auto"/>
        <w:ind w:left="567" w:right="567"/>
        <w:rPr>
          <w:i/>
          <w:iCs/>
          <w:sz w:val="20"/>
          <w:szCs w:val="20"/>
        </w:rPr>
      </w:pPr>
    </w:p>
    <w:p w14:paraId="52118FF0" w14:textId="53E3DE6D" w:rsidR="00710F0F" w:rsidRPr="00B93328" w:rsidRDefault="00710F0F" w:rsidP="00E321DD">
      <w:pPr>
        <w:spacing w:after="0" w:line="360" w:lineRule="auto"/>
        <w:ind w:left="567" w:right="567"/>
        <w:jc w:val="center"/>
        <w:rPr>
          <w:i/>
          <w:iCs/>
          <w:sz w:val="20"/>
          <w:szCs w:val="20"/>
        </w:rPr>
      </w:pPr>
      <w:r w:rsidRPr="00B93328">
        <w:rPr>
          <w:i/>
          <w:iCs/>
          <w:noProof/>
          <w:sz w:val="20"/>
          <w:szCs w:val="20"/>
          <w:lang w:eastAsia="es-MX"/>
        </w:rPr>
        <w:drawing>
          <wp:inline distT="0" distB="0" distL="0" distR="0" wp14:anchorId="67D8EAA4" wp14:editId="068DB7D8">
            <wp:extent cx="3432406" cy="1093207"/>
            <wp:effectExtent l="0" t="0" r="0" b="0"/>
            <wp:docPr id="7"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3462" cy="1099913"/>
                    </a:xfrm>
                    <a:prstGeom prst="rect">
                      <a:avLst/>
                    </a:prstGeom>
                  </pic:spPr>
                </pic:pic>
              </a:graphicData>
            </a:graphic>
          </wp:inline>
        </w:drawing>
      </w:r>
    </w:p>
    <w:p w14:paraId="0F8BD4CA" w14:textId="77777777" w:rsidR="006005B3" w:rsidRPr="00B93328" w:rsidRDefault="006005B3" w:rsidP="00E321DD">
      <w:pPr>
        <w:spacing w:after="0" w:line="360" w:lineRule="auto"/>
        <w:ind w:left="567" w:right="567"/>
        <w:rPr>
          <w:i/>
          <w:iCs/>
          <w:sz w:val="20"/>
          <w:szCs w:val="20"/>
        </w:rPr>
      </w:pPr>
    </w:p>
    <w:p w14:paraId="754F27F4" w14:textId="0F11F566" w:rsidR="006005B3" w:rsidRPr="00B93328" w:rsidRDefault="000F06A0" w:rsidP="00E321DD">
      <w:pPr>
        <w:spacing w:after="0" w:line="360" w:lineRule="auto"/>
        <w:ind w:left="567" w:right="567"/>
        <w:rPr>
          <w:i/>
          <w:iCs/>
          <w:sz w:val="20"/>
          <w:szCs w:val="20"/>
        </w:rPr>
      </w:pPr>
      <w:r w:rsidRPr="00B93328">
        <w:rPr>
          <w:i/>
          <w:iCs/>
          <w:sz w:val="20"/>
          <w:szCs w:val="20"/>
        </w:rPr>
        <w:t xml:space="preserve">Asimismo, no omito mencionar que el presente documento ATLAS DE RIEGO ATENCO ACTUALIZACIÓN 2021 de Protección Civil, se encuentra en posesión de la Coordinación General de Protección Civil del Estado de México. El cual se hizo llegar a través de medios digitales y se recibió en físico la “Carta de </w:t>
      </w:r>
      <w:r w:rsidR="0059118C" w:rsidRPr="00B93328">
        <w:rPr>
          <w:i/>
          <w:iCs/>
          <w:sz w:val="20"/>
          <w:szCs w:val="20"/>
        </w:rPr>
        <w:t>Aceptación” el día 14 de abril de 2021 firmada y sellada por el Lic. Ricardo de la Cruz Mu</w:t>
      </w:r>
      <w:r w:rsidR="00B93328" w:rsidRPr="00B93328">
        <w:rPr>
          <w:i/>
          <w:iCs/>
          <w:sz w:val="20"/>
          <w:szCs w:val="20"/>
        </w:rPr>
        <w:t>salem, Coordinador General de Protección Civil del Estado de México para su publicación</w:t>
      </w:r>
    </w:p>
    <w:p w14:paraId="00C1B8A6" w14:textId="6AA7EE8F" w:rsidR="00B93328" w:rsidRPr="00B93328" w:rsidRDefault="00B93328" w:rsidP="00E321DD">
      <w:pPr>
        <w:spacing w:after="0" w:line="360" w:lineRule="auto"/>
        <w:ind w:left="567" w:right="567"/>
        <w:rPr>
          <w:i/>
          <w:iCs/>
          <w:sz w:val="20"/>
          <w:szCs w:val="20"/>
        </w:rPr>
      </w:pPr>
      <w:r w:rsidRPr="00B93328">
        <w:rPr>
          <w:i/>
          <w:iCs/>
          <w:sz w:val="20"/>
          <w:szCs w:val="20"/>
        </w:rPr>
        <w:t xml:space="preserve">…” (Sic) </w:t>
      </w:r>
    </w:p>
    <w:p w14:paraId="5A132506" w14:textId="77777777" w:rsidR="00C853D1" w:rsidRPr="00B430D2" w:rsidRDefault="00C853D1" w:rsidP="00E321DD">
      <w:pPr>
        <w:spacing w:after="0" w:line="360" w:lineRule="auto"/>
        <w:ind w:right="567"/>
        <w:rPr>
          <w:i/>
          <w:iCs/>
          <w:szCs w:val="20"/>
        </w:rPr>
      </w:pPr>
    </w:p>
    <w:p w14:paraId="2B803E22" w14:textId="77777777" w:rsidR="00C853D1" w:rsidRPr="00B377FD" w:rsidRDefault="00C853D1" w:rsidP="00E321DD">
      <w:pPr>
        <w:spacing w:after="0" w:line="360" w:lineRule="auto"/>
        <w:rPr>
          <w:b/>
        </w:rPr>
      </w:pPr>
      <w:r w:rsidRPr="00B377FD">
        <w:rPr>
          <w:b/>
        </w:rPr>
        <w:t xml:space="preserve">III. Interposición del Recurso de Revisión. </w:t>
      </w:r>
    </w:p>
    <w:p w14:paraId="71DC67DA" w14:textId="77777777" w:rsidR="00C853D1" w:rsidRPr="00B430D2" w:rsidRDefault="00C853D1" w:rsidP="00E321DD">
      <w:pPr>
        <w:spacing w:after="0" w:line="360" w:lineRule="auto"/>
        <w:rPr>
          <w:bCs/>
          <w:sz w:val="24"/>
        </w:rPr>
      </w:pPr>
    </w:p>
    <w:p w14:paraId="2F891DAB" w14:textId="66E1F70D" w:rsidR="00C853D1" w:rsidRPr="00B377FD" w:rsidRDefault="00C853D1" w:rsidP="00E321DD">
      <w:pPr>
        <w:spacing w:after="0" w:line="360" w:lineRule="auto"/>
        <w:rPr>
          <w:bCs/>
        </w:rPr>
      </w:pPr>
      <w:r w:rsidRPr="00B377FD">
        <w:rPr>
          <w:bCs/>
        </w:rPr>
        <w:t>Con fecha</w:t>
      </w:r>
      <w:r w:rsidR="00827B0C">
        <w:rPr>
          <w:bCs/>
        </w:rPr>
        <w:t xml:space="preserve"> </w:t>
      </w:r>
      <w:r w:rsidR="003A3F8C">
        <w:rPr>
          <w:bCs/>
        </w:rPr>
        <w:t>treinta de noviembre de dos mil veintiuno</w:t>
      </w:r>
      <w:r w:rsidRPr="00B377FD">
        <w:rPr>
          <w:bCs/>
        </w:rPr>
        <w:t xml:space="preserve">, se recibió en este Instituto, a través del </w:t>
      </w:r>
      <w:r w:rsidRPr="00B377FD">
        <w:rPr>
          <w:bCs/>
          <w:lang w:val="es-ES"/>
        </w:rPr>
        <w:t>Sistema de Acceso a la Información Mexiquense (SAIMEX)</w:t>
      </w:r>
      <w:r w:rsidRPr="00B377FD">
        <w:rPr>
          <w:bCs/>
        </w:rPr>
        <w:t xml:space="preserve">, Recurso de Revisión interpuesto </w:t>
      </w:r>
      <w:r w:rsidRPr="00B377FD">
        <w:rPr>
          <w:bCs/>
        </w:rPr>
        <w:lastRenderedPageBreak/>
        <w:t>por la parte Recurrente, en contra de la respuesta por el Sujeto Obligado</w:t>
      </w:r>
      <w:r>
        <w:rPr>
          <w:bCs/>
        </w:rPr>
        <w:t>,</w:t>
      </w:r>
      <w:r w:rsidRPr="00B377FD">
        <w:rPr>
          <w:bCs/>
        </w:rPr>
        <w:t xml:space="preserve"> a la solicitud de información, en los siguientes términos:</w:t>
      </w:r>
    </w:p>
    <w:p w14:paraId="3A43EC2F" w14:textId="77777777" w:rsidR="00C853D1" w:rsidRPr="00B377FD" w:rsidRDefault="00C853D1" w:rsidP="00E321DD">
      <w:pPr>
        <w:spacing w:after="0" w:line="360" w:lineRule="auto"/>
        <w:rPr>
          <w:bCs/>
        </w:rPr>
      </w:pPr>
    </w:p>
    <w:p w14:paraId="5AC8905A" w14:textId="77777777" w:rsidR="00C853D1" w:rsidRPr="00B377FD" w:rsidRDefault="00C853D1" w:rsidP="00E321DD">
      <w:pPr>
        <w:spacing w:after="0" w:line="360" w:lineRule="auto"/>
        <w:ind w:left="567" w:right="567"/>
        <w:rPr>
          <w:bCs/>
          <w:i/>
          <w:sz w:val="20"/>
          <w:szCs w:val="20"/>
        </w:rPr>
      </w:pPr>
      <w:r w:rsidRPr="00B377FD">
        <w:rPr>
          <w:b/>
          <w:bCs/>
          <w:i/>
          <w:sz w:val="20"/>
          <w:szCs w:val="20"/>
        </w:rPr>
        <w:t>“ACTO IMPUGNADO</w:t>
      </w:r>
    </w:p>
    <w:p w14:paraId="5B56BF42" w14:textId="3FA038F4" w:rsidR="00C853D1" w:rsidRPr="00B377FD" w:rsidRDefault="00A06873" w:rsidP="00E321DD">
      <w:pPr>
        <w:spacing w:after="0" w:line="360" w:lineRule="auto"/>
        <w:ind w:left="567" w:right="567"/>
        <w:rPr>
          <w:i/>
          <w:sz w:val="20"/>
          <w:szCs w:val="20"/>
        </w:rPr>
      </w:pPr>
      <w:r w:rsidRPr="00A06873">
        <w:rPr>
          <w:i/>
          <w:sz w:val="20"/>
          <w:szCs w:val="20"/>
        </w:rPr>
        <w:t>No presenta la información completa, únicamente se limita a manifestar que el Atlas de Riesgo Actualizado 2021 se encuentra en posesión del Coordinador General de Protección Civil, sin que exhiba documento fehaciente que acredite su dicho, limitando hacer manifestaciones puramente subjetivas, amen que el mismo es necesario para detectar, clasificar y zonificar las áreas de peligros, vulnerabilidad y riesgo por fenómenos perturbadores de origen natural respecto de fenómenos que afectan al municipio en la actualidad</w:t>
      </w:r>
      <w:r w:rsidR="00C853D1" w:rsidRPr="006B47BC">
        <w:rPr>
          <w:i/>
          <w:sz w:val="20"/>
          <w:szCs w:val="20"/>
        </w:rPr>
        <w:t>.</w:t>
      </w:r>
      <w:r w:rsidR="00C853D1" w:rsidRPr="00B377FD">
        <w:rPr>
          <w:i/>
          <w:sz w:val="20"/>
          <w:szCs w:val="20"/>
        </w:rPr>
        <w:t>” (Sic.)</w:t>
      </w:r>
    </w:p>
    <w:p w14:paraId="29F43CC4" w14:textId="77777777" w:rsidR="00C853D1" w:rsidRDefault="00C853D1" w:rsidP="00E321DD">
      <w:pPr>
        <w:spacing w:after="0" w:line="360" w:lineRule="auto"/>
        <w:ind w:left="567" w:right="567"/>
        <w:rPr>
          <w:i/>
          <w:sz w:val="20"/>
          <w:szCs w:val="20"/>
        </w:rPr>
      </w:pPr>
    </w:p>
    <w:p w14:paraId="19CBF35D" w14:textId="77777777" w:rsidR="00C853D1" w:rsidRPr="00B377FD" w:rsidRDefault="00C853D1" w:rsidP="00E321DD">
      <w:pPr>
        <w:spacing w:after="0" w:line="360" w:lineRule="auto"/>
        <w:ind w:left="567" w:right="567"/>
        <w:rPr>
          <w:b/>
          <w:i/>
          <w:sz w:val="20"/>
          <w:szCs w:val="20"/>
        </w:rPr>
      </w:pPr>
      <w:r w:rsidRPr="00B377FD">
        <w:rPr>
          <w:b/>
          <w:i/>
          <w:sz w:val="20"/>
          <w:szCs w:val="20"/>
        </w:rPr>
        <w:t>“RAZONES O MOTIVOS DE LA INCONFORMIDAD</w:t>
      </w:r>
    </w:p>
    <w:p w14:paraId="4043E730" w14:textId="761AD4B0" w:rsidR="00C853D1" w:rsidRPr="00B377FD" w:rsidRDefault="00A06873" w:rsidP="00E321DD">
      <w:pPr>
        <w:spacing w:after="0" w:line="360" w:lineRule="auto"/>
        <w:ind w:left="567" w:right="567"/>
        <w:rPr>
          <w:i/>
          <w:sz w:val="20"/>
          <w:szCs w:val="20"/>
        </w:rPr>
      </w:pPr>
      <w:r w:rsidRPr="00A06873">
        <w:rPr>
          <w:i/>
          <w:sz w:val="20"/>
          <w:szCs w:val="20"/>
        </w:rPr>
        <w:t>No presenta la información completa, únicamente se limita a manifestar que el Atlas de Riesgo Actualizado 2021 se encuentra en posesión del Coordinador General de Protección Civil, sin que exhiba documento fehaciente que acredite su dicho, limitando hacer manifestaciones puramente subjetivas, amen que el mismo es necesario para detectar, clasificar y zonificar las áreas de peligros, vulnerabilidad y riesgo por fenómenos perturbadores de origen natural respecto de fenómenos que afectan al municipio en la actualidad.</w:t>
      </w:r>
      <w:r w:rsidR="00827B0C" w:rsidRPr="00B30B2A">
        <w:rPr>
          <w:i/>
          <w:sz w:val="20"/>
          <w:szCs w:val="20"/>
        </w:rPr>
        <w:t>.</w:t>
      </w:r>
      <w:r w:rsidR="00C853D1" w:rsidRPr="00B30B2A">
        <w:rPr>
          <w:i/>
          <w:sz w:val="20"/>
          <w:szCs w:val="20"/>
        </w:rPr>
        <w:t>” (Sic.)</w:t>
      </w:r>
    </w:p>
    <w:p w14:paraId="08852F84" w14:textId="77777777" w:rsidR="00682222" w:rsidRPr="00B377FD" w:rsidRDefault="00682222" w:rsidP="00E321DD">
      <w:pPr>
        <w:spacing w:after="0" w:line="360" w:lineRule="auto"/>
      </w:pPr>
    </w:p>
    <w:p w14:paraId="5CD0FCF6" w14:textId="77777777" w:rsidR="00C853D1" w:rsidRPr="00B377FD" w:rsidRDefault="00C853D1" w:rsidP="00E321DD">
      <w:pPr>
        <w:spacing w:after="0" w:line="360" w:lineRule="auto"/>
        <w:rPr>
          <w:b/>
          <w:bCs/>
        </w:rPr>
      </w:pPr>
      <w:r w:rsidRPr="00B377FD">
        <w:rPr>
          <w:b/>
        </w:rPr>
        <w:t xml:space="preserve">IV. </w:t>
      </w:r>
      <w:r w:rsidRPr="00B377FD">
        <w:rPr>
          <w:b/>
          <w:bCs/>
        </w:rPr>
        <w:t xml:space="preserve">Trámite del </w:t>
      </w:r>
      <w:r w:rsidRPr="00B377FD">
        <w:rPr>
          <w:b/>
        </w:rPr>
        <w:t xml:space="preserve">Recurso de Revisión </w:t>
      </w:r>
      <w:r w:rsidRPr="00B377FD">
        <w:rPr>
          <w:b/>
          <w:bCs/>
        </w:rPr>
        <w:t>ante este Instituto.</w:t>
      </w:r>
    </w:p>
    <w:p w14:paraId="58854E98" w14:textId="77777777" w:rsidR="00C853D1" w:rsidRPr="00B377FD" w:rsidRDefault="00C853D1" w:rsidP="00E321DD">
      <w:pPr>
        <w:spacing w:after="0" w:line="360" w:lineRule="auto"/>
        <w:rPr>
          <w:b/>
          <w:bCs/>
        </w:rPr>
      </w:pPr>
    </w:p>
    <w:p w14:paraId="0D250646" w14:textId="3992E57F" w:rsidR="00C853D1" w:rsidRPr="00B377FD" w:rsidRDefault="00C853D1" w:rsidP="00E321DD">
      <w:pPr>
        <w:spacing w:after="0" w:line="360" w:lineRule="auto"/>
        <w:rPr>
          <w:b/>
          <w:bCs/>
        </w:rPr>
      </w:pPr>
      <w:r w:rsidRPr="00B377FD">
        <w:rPr>
          <w:b/>
          <w:bCs/>
        </w:rPr>
        <w:t xml:space="preserve">a) Turno del Medio de Impugnación. </w:t>
      </w:r>
      <w:r>
        <w:rPr>
          <w:bCs/>
        </w:rPr>
        <w:t xml:space="preserve">El </w:t>
      </w:r>
      <w:r w:rsidR="00F42167">
        <w:rPr>
          <w:bCs/>
        </w:rPr>
        <w:t>treinta de noviembre de dos mil veintiuno</w:t>
      </w:r>
      <w:r w:rsidRPr="00B377FD">
        <w:rPr>
          <w:bCs/>
        </w:rPr>
        <w:t xml:space="preserve">, el </w:t>
      </w:r>
      <w:r w:rsidRPr="00B377FD">
        <w:rPr>
          <w:lang w:val="es-ES"/>
        </w:rPr>
        <w:t>Sistema de Acceso a la Información Mexiquense (SAIMEX),</w:t>
      </w:r>
      <w:r w:rsidRPr="00B377FD">
        <w:rPr>
          <w:bCs/>
        </w:rPr>
        <w:t xml:space="preserve"> asignó el número de expediente </w:t>
      </w:r>
      <w:r w:rsidR="00DE22C4">
        <w:rPr>
          <w:b/>
          <w:bCs/>
        </w:rPr>
        <w:t>06001/INFOEM/IP/RR/2021</w:t>
      </w:r>
      <w:r w:rsidRPr="00B377FD">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B377FD" w:rsidRDefault="00C853D1" w:rsidP="00E321DD">
      <w:pPr>
        <w:spacing w:after="0" w:line="360" w:lineRule="auto"/>
        <w:rPr>
          <w:bCs/>
        </w:rPr>
      </w:pPr>
    </w:p>
    <w:p w14:paraId="03479276" w14:textId="73EBD6FA" w:rsidR="00C853D1" w:rsidRPr="00B377FD" w:rsidRDefault="00C853D1" w:rsidP="00E321DD">
      <w:pPr>
        <w:spacing w:after="0" w:line="360" w:lineRule="auto"/>
      </w:pPr>
      <w:r w:rsidRPr="00B377FD">
        <w:rPr>
          <w:b/>
          <w:bCs/>
        </w:rPr>
        <w:lastRenderedPageBreak/>
        <w:t>b) Admisión del Recurso de Revisión</w:t>
      </w:r>
      <w:r w:rsidRPr="00B377FD">
        <w:rPr>
          <w:b/>
          <w:bCs/>
          <w:lang w:val="es-ES_tradnl"/>
        </w:rPr>
        <w:t xml:space="preserve">. </w:t>
      </w:r>
      <w:r w:rsidRPr="00B377FD">
        <w:rPr>
          <w:bCs/>
          <w:lang w:val="es-ES_tradnl"/>
        </w:rPr>
        <w:t xml:space="preserve">El </w:t>
      </w:r>
      <w:r w:rsidR="00146C2E" w:rsidRPr="00146C2E">
        <w:rPr>
          <w:bCs/>
        </w:rPr>
        <w:t>tres de diciembre de dos mil veintiuno</w:t>
      </w:r>
      <w:r w:rsidRPr="00B377FD">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B377FD" w:rsidRDefault="00C853D1" w:rsidP="00E321DD">
      <w:pPr>
        <w:spacing w:after="0" w:line="360" w:lineRule="auto"/>
      </w:pPr>
    </w:p>
    <w:p w14:paraId="04262801" w14:textId="4E990A19" w:rsidR="00E8645F" w:rsidRDefault="00C853D1" w:rsidP="00E321DD">
      <w:pPr>
        <w:spacing w:after="0" w:line="360" w:lineRule="auto"/>
        <w:rPr>
          <w:bCs/>
        </w:rPr>
      </w:pPr>
      <w:r w:rsidRPr="0042422A">
        <w:rPr>
          <w:b/>
        </w:rPr>
        <w:t xml:space="preserve">c) Informe Justificado. </w:t>
      </w:r>
      <w:r w:rsidR="006507ED" w:rsidRPr="0042422A">
        <w:rPr>
          <w:bCs/>
        </w:rPr>
        <w:t>El</w:t>
      </w:r>
      <w:r w:rsidR="00E8645F">
        <w:rPr>
          <w:bCs/>
        </w:rPr>
        <w:t xml:space="preserve"> nueve de diciembre de dos mil veintiuno</w:t>
      </w:r>
      <w:r w:rsidR="00E8346C" w:rsidRPr="0042422A">
        <w:rPr>
          <w:bCs/>
        </w:rPr>
        <w:t>, el Sujeto Obligado rindió su Informe Justificado,</w:t>
      </w:r>
      <w:r w:rsidR="000039BC" w:rsidRPr="0042422A">
        <w:rPr>
          <w:bCs/>
        </w:rPr>
        <w:t xml:space="preserve"> </w:t>
      </w:r>
      <w:r w:rsidR="005C7B4A">
        <w:rPr>
          <w:bCs/>
        </w:rPr>
        <w:t xml:space="preserve">por medio del </w:t>
      </w:r>
      <w:r w:rsidR="00BC661D">
        <w:rPr>
          <w:bCs/>
        </w:rPr>
        <w:t>oficio sin número</w:t>
      </w:r>
      <w:r w:rsidR="003D2AE0">
        <w:rPr>
          <w:bCs/>
        </w:rPr>
        <w:t>, de la misma fecha de recepción,</w:t>
      </w:r>
      <w:r w:rsidR="00BC661D">
        <w:rPr>
          <w:bCs/>
        </w:rPr>
        <w:t xml:space="preserve"> suscrito por el Titular de la Unidad de Transparencia</w:t>
      </w:r>
      <w:r w:rsidR="003D2AE0">
        <w:rPr>
          <w:bCs/>
        </w:rPr>
        <w:t xml:space="preserve"> y dirigido al Comisionado Ponente</w:t>
      </w:r>
      <w:r w:rsidR="00BC661D">
        <w:rPr>
          <w:bCs/>
        </w:rPr>
        <w:t xml:space="preserve">, </w:t>
      </w:r>
      <w:r w:rsidR="003D2AE0">
        <w:rPr>
          <w:bCs/>
        </w:rPr>
        <w:t>cuyo contenido es el siguiente</w:t>
      </w:r>
      <w:r w:rsidR="002D26A2">
        <w:rPr>
          <w:bCs/>
        </w:rPr>
        <w:t xml:space="preserve">: </w:t>
      </w:r>
    </w:p>
    <w:p w14:paraId="24FA1B90" w14:textId="77777777" w:rsidR="002D26A2" w:rsidRDefault="002D26A2" w:rsidP="00E321DD">
      <w:pPr>
        <w:spacing w:after="0" w:line="360" w:lineRule="auto"/>
        <w:rPr>
          <w:bCs/>
        </w:rPr>
      </w:pPr>
    </w:p>
    <w:p w14:paraId="617CA949" w14:textId="0C4D64C7" w:rsidR="002D26A2" w:rsidRPr="0016417A" w:rsidRDefault="002D26A2" w:rsidP="00E321DD">
      <w:pPr>
        <w:spacing w:after="0" w:line="360" w:lineRule="auto"/>
        <w:ind w:left="567" w:right="567"/>
        <w:rPr>
          <w:bCs/>
          <w:i/>
          <w:iCs/>
          <w:sz w:val="20"/>
          <w:szCs w:val="20"/>
        </w:rPr>
      </w:pPr>
      <w:r w:rsidRPr="0016417A">
        <w:rPr>
          <w:bCs/>
          <w:i/>
          <w:iCs/>
          <w:sz w:val="20"/>
          <w:szCs w:val="20"/>
        </w:rPr>
        <w:t>“…</w:t>
      </w:r>
    </w:p>
    <w:p w14:paraId="315F6753" w14:textId="0FF8888D" w:rsidR="002D26A2" w:rsidRDefault="00E8631A" w:rsidP="00E321DD">
      <w:pPr>
        <w:spacing w:after="0" w:line="360" w:lineRule="auto"/>
        <w:ind w:left="567" w:right="567"/>
        <w:rPr>
          <w:bCs/>
          <w:i/>
          <w:iCs/>
          <w:sz w:val="20"/>
          <w:szCs w:val="20"/>
        </w:rPr>
      </w:pPr>
      <w:r w:rsidRPr="0016417A">
        <w:rPr>
          <w:bCs/>
          <w:i/>
          <w:iCs/>
          <w:sz w:val="20"/>
          <w:szCs w:val="20"/>
        </w:rPr>
        <w:t xml:space="preserve">VI.- Por lo anterior, con la finalidad de garantizar la transparencia y el derecho de acceso a la información pública en posesión de los sujetos obligados, de acuerdo al principio de máxima </w:t>
      </w:r>
      <w:r w:rsidR="000244CD" w:rsidRPr="0016417A">
        <w:rPr>
          <w:bCs/>
          <w:i/>
          <w:iCs/>
          <w:sz w:val="20"/>
          <w:szCs w:val="20"/>
        </w:rPr>
        <w:t>publicidad de la información, y en apego a los criterios de publicidad, veracidad, oportunidad, precisión y suficiencia en beneficio del solicitante</w:t>
      </w:r>
      <w:r w:rsidR="00400EC8" w:rsidRPr="0016417A">
        <w:rPr>
          <w:bCs/>
          <w:i/>
          <w:iCs/>
          <w:sz w:val="20"/>
          <w:szCs w:val="20"/>
        </w:rPr>
        <w:t xml:space="preserve">, se pone a disposición “Carta </w:t>
      </w:r>
      <w:r w:rsidR="00F91CA3" w:rsidRPr="0016417A">
        <w:rPr>
          <w:bCs/>
          <w:i/>
          <w:iCs/>
          <w:sz w:val="20"/>
          <w:szCs w:val="20"/>
        </w:rPr>
        <w:t xml:space="preserve">de aceptación” expedida por la Coordinación General de Protección Civil del Estado de México, así como la dirección electrónica donde se encuentra disponible de atlas de riego Atenco 2021 para su consulta. </w:t>
      </w:r>
    </w:p>
    <w:p w14:paraId="14D3DD34" w14:textId="77777777" w:rsidR="00F92DFC" w:rsidRPr="0016417A" w:rsidRDefault="00F92DFC" w:rsidP="00E321DD">
      <w:pPr>
        <w:spacing w:after="0" w:line="360" w:lineRule="auto"/>
        <w:ind w:left="567" w:right="567"/>
        <w:rPr>
          <w:bCs/>
          <w:i/>
          <w:iCs/>
          <w:sz w:val="20"/>
          <w:szCs w:val="20"/>
        </w:rPr>
      </w:pPr>
    </w:p>
    <w:p w14:paraId="5DFBEC09" w14:textId="77777777" w:rsidR="003D2AE0" w:rsidRDefault="00F91CA3" w:rsidP="00E321DD">
      <w:pPr>
        <w:spacing w:after="0" w:line="360" w:lineRule="auto"/>
        <w:ind w:left="567" w:right="567"/>
        <w:rPr>
          <w:bCs/>
          <w:i/>
          <w:iCs/>
          <w:sz w:val="20"/>
          <w:szCs w:val="20"/>
        </w:rPr>
      </w:pPr>
      <w:r w:rsidRPr="0016417A">
        <w:rPr>
          <w:bCs/>
          <w:i/>
          <w:iCs/>
          <w:sz w:val="20"/>
          <w:szCs w:val="20"/>
        </w:rPr>
        <w:t>VI</w:t>
      </w:r>
      <w:r w:rsidR="008F4AAA" w:rsidRPr="0016417A">
        <w:rPr>
          <w:bCs/>
          <w:i/>
          <w:iCs/>
          <w:sz w:val="20"/>
          <w:szCs w:val="20"/>
        </w:rPr>
        <w:t>.- En esa tesitura, se actualiza la hipótesis prevista en el artículo 192 fracción III de la Ley de Transparencia y Acceso a la Información Pública del Estado de México que dispone:</w:t>
      </w:r>
    </w:p>
    <w:p w14:paraId="57ECFB21" w14:textId="5ED9A0D5" w:rsidR="008F4AAA" w:rsidRPr="0016417A" w:rsidRDefault="003D2AE0" w:rsidP="00E321DD">
      <w:pPr>
        <w:spacing w:after="0" w:line="360" w:lineRule="auto"/>
        <w:ind w:left="567" w:right="567"/>
        <w:rPr>
          <w:bCs/>
          <w:i/>
          <w:iCs/>
          <w:sz w:val="20"/>
          <w:szCs w:val="20"/>
        </w:rPr>
      </w:pPr>
      <w:r>
        <w:rPr>
          <w:bCs/>
          <w:i/>
          <w:iCs/>
          <w:sz w:val="20"/>
          <w:szCs w:val="20"/>
        </w:rPr>
        <w:t>…</w:t>
      </w:r>
    </w:p>
    <w:p w14:paraId="588A0429" w14:textId="3455D096" w:rsidR="008F4AAA" w:rsidRPr="0016417A" w:rsidRDefault="008F4AAA" w:rsidP="00E321DD">
      <w:pPr>
        <w:spacing w:after="0" w:line="360" w:lineRule="auto"/>
        <w:ind w:left="567" w:right="567"/>
        <w:rPr>
          <w:bCs/>
          <w:i/>
          <w:iCs/>
          <w:sz w:val="20"/>
          <w:szCs w:val="20"/>
        </w:rPr>
      </w:pPr>
      <w:r w:rsidRPr="0016417A">
        <w:rPr>
          <w:bCs/>
          <w:i/>
          <w:iCs/>
          <w:sz w:val="20"/>
          <w:szCs w:val="20"/>
        </w:rPr>
        <w:t xml:space="preserve">En ese orden de ideas y para mayor compresión, </w:t>
      </w:r>
      <w:r w:rsidR="00D33D97" w:rsidRPr="0016417A">
        <w:rPr>
          <w:bCs/>
          <w:i/>
          <w:iCs/>
          <w:sz w:val="20"/>
          <w:szCs w:val="20"/>
        </w:rPr>
        <w:t>se desglosa los elementos del artículo 192 fracción III de la Ley en materia previamente transcrito</w:t>
      </w:r>
      <w:r w:rsidR="000D1F0E" w:rsidRPr="0016417A">
        <w:rPr>
          <w:bCs/>
          <w:i/>
          <w:iCs/>
          <w:sz w:val="20"/>
          <w:szCs w:val="20"/>
        </w:rPr>
        <w:t>, de manera tal que produce del sobreseimiento del presente recurso de revisión, en virtud que en este acto se modifica el acto impugnado, dejando sin efecto o materia el presente medio de impugnación.</w:t>
      </w:r>
    </w:p>
    <w:p w14:paraId="57742142" w14:textId="77777777" w:rsidR="000D1F0E" w:rsidRPr="0016417A" w:rsidRDefault="000D1F0E" w:rsidP="00E321DD">
      <w:pPr>
        <w:spacing w:after="0" w:line="360" w:lineRule="auto"/>
        <w:ind w:left="567" w:right="567"/>
        <w:rPr>
          <w:bCs/>
          <w:i/>
          <w:iCs/>
          <w:sz w:val="20"/>
          <w:szCs w:val="20"/>
        </w:rPr>
      </w:pPr>
    </w:p>
    <w:p w14:paraId="57893B49" w14:textId="5235E15B" w:rsidR="000D1F0E" w:rsidRPr="0016417A" w:rsidRDefault="000D1F0E" w:rsidP="00E321DD">
      <w:pPr>
        <w:spacing w:after="0" w:line="360" w:lineRule="auto"/>
        <w:ind w:left="567" w:right="567"/>
        <w:rPr>
          <w:bCs/>
          <w:i/>
          <w:iCs/>
          <w:sz w:val="20"/>
          <w:szCs w:val="20"/>
        </w:rPr>
      </w:pPr>
      <w:r w:rsidRPr="0016417A">
        <w:rPr>
          <w:bCs/>
          <w:i/>
          <w:iCs/>
          <w:sz w:val="20"/>
          <w:szCs w:val="20"/>
        </w:rPr>
        <w:lastRenderedPageBreak/>
        <w:t>1. El sujeto obligado responsable.</w:t>
      </w:r>
    </w:p>
    <w:p w14:paraId="166729CC" w14:textId="4A9B93CC" w:rsidR="000D1F0E" w:rsidRPr="0016417A" w:rsidRDefault="000D1F0E" w:rsidP="00E321DD">
      <w:pPr>
        <w:spacing w:after="0" w:line="360" w:lineRule="auto"/>
        <w:ind w:left="567" w:right="567"/>
        <w:rPr>
          <w:bCs/>
          <w:i/>
          <w:iCs/>
          <w:sz w:val="20"/>
          <w:szCs w:val="20"/>
        </w:rPr>
      </w:pPr>
      <w:r w:rsidRPr="0016417A">
        <w:rPr>
          <w:bCs/>
          <w:i/>
          <w:iCs/>
          <w:sz w:val="20"/>
          <w:szCs w:val="20"/>
        </w:rPr>
        <w:t>2. Acto.</w:t>
      </w:r>
    </w:p>
    <w:p w14:paraId="0786B177" w14:textId="087E29C2" w:rsidR="000D1F0E" w:rsidRPr="0016417A" w:rsidRDefault="000D1F0E" w:rsidP="00E321DD">
      <w:pPr>
        <w:spacing w:after="0" w:line="360" w:lineRule="auto"/>
        <w:ind w:left="567" w:right="567"/>
        <w:rPr>
          <w:bCs/>
          <w:i/>
          <w:iCs/>
          <w:sz w:val="20"/>
          <w:szCs w:val="20"/>
        </w:rPr>
      </w:pPr>
      <w:r w:rsidRPr="0016417A">
        <w:rPr>
          <w:bCs/>
          <w:i/>
          <w:iCs/>
          <w:sz w:val="20"/>
          <w:szCs w:val="20"/>
        </w:rPr>
        <w:t>3. Que se modifique o revoque, y</w:t>
      </w:r>
    </w:p>
    <w:p w14:paraId="10993F37" w14:textId="08B3CC1B" w:rsidR="000D1F0E" w:rsidRPr="0016417A" w:rsidRDefault="000D1F0E" w:rsidP="00E321DD">
      <w:pPr>
        <w:spacing w:after="0" w:line="360" w:lineRule="auto"/>
        <w:ind w:left="567" w:right="567"/>
        <w:rPr>
          <w:bCs/>
          <w:i/>
          <w:iCs/>
          <w:sz w:val="20"/>
          <w:szCs w:val="20"/>
        </w:rPr>
      </w:pPr>
      <w:r w:rsidRPr="0016417A">
        <w:rPr>
          <w:bCs/>
          <w:i/>
          <w:iCs/>
          <w:sz w:val="20"/>
          <w:szCs w:val="20"/>
        </w:rPr>
        <w:t xml:space="preserve">4. De tal manera que el medio de impugnación quede sin efecto o materia. </w:t>
      </w:r>
    </w:p>
    <w:p w14:paraId="316B66EB" w14:textId="77777777" w:rsidR="000D1F0E" w:rsidRPr="0016417A" w:rsidRDefault="000D1F0E" w:rsidP="00E321DD">
      <w:pPr>
        <w:spacing w:after="0" w:line="360" w:lineRule="auto"/>
        <w:ind w:left="567" w:right="567"/>
        <w:rPr>
          <w:bCs/>
          <w:i/>
          <w:iCs/>
          <w:sz w:val="20"/>
          <w:szCs w:val="20"/>
        </w:rPr>
      </w:pPr>
    </w:p>
    <w:p w14:paraId="4FEBA9B4" w14:textId="3B70FCFA" w:rsidR="000D1F0E" w:rsidRPr="0016417A" w:rsidRDefault="000D1F0E" w:rsidP="00E321DD">
      <w:pPr>
        <w:spacing w:after="0" w:line="360" w:lineRule="auto"/>
        <w:ind w:left="567" w:right="567"/>
        <w:rPr>
          <w:bCs/>
          <w:i/>
          <w:iCs/>
          <w:sz w:val="20"/>
          <w:szCs w:val="20"/>
        </w:rPr>
      </w:pPr>
      <w:r w:rsidRPr="0016417A">
        <w:rPr>
          <w:bCs/>
          <w:i/>
          <w:iCs/>
          <w:sz w:val="20"/>
          <w:szCs w:val="20"/>
        </w:rPr>
        <w:t xml:space="preserve">El primer elemento normativo, se actualiza ya que en efecto el sujeto obligado responsable es el Ayuntamiento de Atenco. </w:t>
      </w:r>
    </w:p>
    <w:p w14:paraId="0FDAFC61" w14:textId="77777777" w:rsidR="000D1F0E" w:rsidRPr="0016417A" w:rsidRDefault="000D1F0E" w:rsidP="00E321DD">
      <w:pPr>
        <w:spacing w:after="0" w:line="360" w:lineRule="auto"/>
        <w:ind w:left="567" w:right="567"/>
        <w:rPr>
          <w:bCs/>
          <w:i/>
          <w:iCs/>
          <w:sz w:val="20"/>
          <w:szCs w:val="20"/>
        </w:rPr>
      </w:pPr>
    </w:p>
    <w:p w14:paraId="20D17316" w14:textId="32B9F607" w:rsidR="000D1F0E" w:rsidRPr="0016417A" w:rsidRDefault="000D1F0E" w:rsidP="00E321DD">
      <w:pPr>
        <w:spacing w:after="0" w:line="360" w:lineRule="auto"/>
        <w:ind w:left="567" w:right="567"/>
        <w:rPr>
          <w:bCs/>
          <w:i/>
          <w:iCs/>
          <w:sz w:val="20"/>
          <w:szCs w:val="20"/>
        </w:rPr>
      </w:pPr>
      <w:r w:rsidRPr="0016417A">
        <w:rPr>
          <w:bCs/>
          <w:i/>
          <w:iCs/>
          <w:sz w:val="20"/>
          <w:szCs w:val="20"/>
        </w:rPr>
        <w:t xml:space="preserve">El segundo elemento normativo, es la inexistencia de un acto, en el caso concreto que </w:t>
      </w:r>
      <w:r w:rsidR="00067CC4" w:rsidRPr="0016417A">
        <w:rPr>
          <w:bCs/>
          <w:i/>
          <w:iCs/>
          <w:sz w:val="20"/>
          <w:szCs w:val="20"/>
        </w:rPr>
        <w:t xml:space="preserve">nos ocupa se actualiza con la respuesta y anexos del Servidor Público Habilitado de la Dirección de Protección Civil. </w:t>
      </w:r>
    </w:p>
    <w:p w14:paraId="2576B199" w14:textId="77777777" w:rsidR="00067CC4" w:rsidRPr="0016417A" w:rsidRDefault="00067CC4" w:rsidP="00E321DD">
      <w:pPr>
        <w:spacing w:after="0" w:line="360" w:lineRule="auto"/>
        <w:ind w:left="567" w:right="567"/>
        <w:rPr>
          <w:bCs/>
          <w:i/>
          <w:iCs/>
          <w:sz w:val="20"/>
          <w:szCs w:val="20"/>
        </w:rPr>
      </w:pPr>
    </w:p>
    <w:p w14:paraId="58A3C739" w14:textId="4088DBD7" w:rsidR="004C112D" w:rsidRPr="0016417A" w:rsidRDefault="004C112D" w:rsidP="00E321DD">
      <w:pPr>
        <w:spacing w:after="0" w:line="360" w:lineRule="auto"/>
        <w:ind w:left="567" w:right="567"/>
        <w:rPr>
          <w:bCs/>
          <w:i/>
          <w:iCs/>
          <w:sz w:val="20"/>
          <w:szCs w:val="20"/>
        </w:rPr>
      </w:pPr>
      <w:r w:rsidRPr="0016417A">
        <w:rPr>
          <w:bCs/>
          <w:i/>
          <w:iCs/>
          <w:sz w:val="20"/>
          <w:szCs w:val="20"/>
        </w:rPr>
        <w:t xml:space="preserve">Por cuanto hace al tercer elemento normativo respecto a la modificación, la cual ocurre cuando quien emite su respuesta con posterioridad cambia la información proporcionada en un principio, cuyos resultados no dejan </w:t>
      </w:r>
      <w:r w:rsidR="00ED221F" w:rsidRPr="0016417A">
        <w:rPr>
          <w:bCs/>
          <w:i/>
          <w:iCs/>
          <w:sz w:val="20"/>
          <w:szCs w:val="20"/>
        </w:rPr>
        <w:t xml:space="preserve">sin efecto la respuesta dada, sino que tiene objeto añadir, suprimir o sustituir datos, lo cual puede ser formal o parcial, pues se satisface la pretensión de lo pedido o exigido por la prenombrada, pues a través </w:t>
      </w:r>
      <w:r w:rsidR="0016417A" w:rsidRPr="0016417A">
        <w:rPr>
          <w:bCs/>
          <w:i/>
          <w:iCs/>
          <w:sz w:val="20"/>
          <w:szCs w:val="20"/>
        </w:rPr>
        <w:t>del presente informe justificado se entrega la información faltante solicitada</w:t>
      </w:r>
    </w:p>
    <w:p w14:paraId="4295B3FA" w14:textId="053ADD8E" w:rsidR="0016417A" w:rsidRDefault="0016417A" w:rsidP="00E321DD">
      <w:pPr>
        <w:spacing w:after="0" w:line="360" w:lineRule="auto"/>
        <w:ind w:left="567" w:right="567"/>
        <w:rPr>
          <w:bCs/>
          <w:i/>
          <w:iCs/>
          <w:sz w:val="20"/>
          <w:szCs w:val="20"/>
        </w:rPr>
      </w:pPr>
      <w:r w:rsidRPr="0016417A">
        <w:rPr>
          <w:bCs/>
          <w:i/>
          <w:iCs/>
          <w:sz w:val="20"/>
          <w:szCs w:val="20"/>
        </w:rPr>
        <w:t xml:space="preserve">…” (Sic) </w:t>
      </w:r>
    </w:p>
    <w:p w14:paraId="51BB60D5" w14:textId="77777777" w:rsidR="008977A8" w:rsidRPr="008977A8" w:rsidRDefault="008977A8" w:rsidP="00E321DD">
      <w:pPr>
        <w:spacing w:after="0" w:line="360" w:lineRule="auto"/>
        <w:rPr>
          <w:bCs/>
        </w:rPr>
      </w:pPr>
    </w:p>
    <w:p w14:paraId="52D433B0" w14:textId="12608800" w:rsidR="00A12FDD" w:rsidRDefault="003D2AE0" w:rsidP="00E321DD">
      <w:pPr>
        <w:spacing w:after="0" w:line="360" w:lineRule="auto"/>
        <w:rPr>
          <w:bCs/>
        </w:rPr>
      </w:pPr>
      <w:r>
        <w:rPr>
          <w:bCs/>
        </w:rPr>
        <w:t>E</w:t>
      </w:r>
      <w:r w:rsidR="007C5F56">
        <w:rPr>
          <w:bCs/>
        </w:rPr>
        <w:t>l Sujeto Obligado, adjunt</w:t>
      </w:r>
      <w:r>
        <w:rPr>
          <w:bCs/>
        </w:rPr>
        <w:t>ó</w:t>
      </w:r>
      <w:r w:rsidR="007C5F56">
        <w:rPr>
          <w:bCs/>
        </w:rPr>
        <w:t xml:space="preserve"> la digitalización </w:t>
      </w:r>
      <w:r w:rsidR="00A12FDD">
        <w:rPr>
          <w:bCs/>
        </w:rPr>
        <w:t>de lo siguientes documentos:</w:t>
      </w:r>
    </w:p>
    <w:p w14:paraId="0A5A0183" w14:textId="77777777" w:rsidR="00A12FDD" w:rsidRDefault="00A12FDD" w:rsidP="00E321DD">
      <w:pPr>
        <w:spacing w:after="0" w:line="360" w:lineRule="auto"/>
        <w:rPr>
          <w:bCs/>
        </w:rPr>
      </w:pPr>
    </w:p>
    <w:p w14:paraId="433BB401" w14:textId="5BBCE814" w:rsidR="008977A8" w:rsidRPr="008977A8" w:rsidRDefault="00A12FDD" w:rsidP="00E321DD">
      <w:pPr>
        <w:spacing w:after="0" w:line="360" w:lineRule="auto"/>
        <w:rPr>
          <w:bCs/>
        </w:rPr>
      </w:pPr>
      <w:r>
        <w:rPr>
          <w:bCs/>
        </w:rPr>
        <w:t>i) O</w:t>
      </w:r>
      <w:r w:rsidR="007C5F56">
        <w:rPr>
          <w:bCs/>
        </w:rPr>
        <w:t xml:space="preserve">ficio número </w:t>
      </w:r>
      <w:r w:rsidR="008A0CDE">
        <w:rPr>
          <w:bCs/>
        </w:rPr>
        <w:t xml:space="preserve">DPCYBA/351/2021, </w:t>
      </w:r>
      <w:r w:rsidR="003D2AE0">
        <w:rPr>
          <w:bCs/>
        </w:rPr>
        <w:t xml:space="preserve">del </w:t>
      </w:r>
      <w:r w:rsidR="008A0CDE">
        <w:rPr>
          <w:bCs/>
        </w:rPr>
        <w:t xml:space="preserve">ocho de diciembre de dos mil veintiuno, </w:t>
      </w:r>
      <w:r w:rsidR="00D621FF">
        <w:rPr>
          <w:bCs/>
        </w:rPr>
        <w:t xml:space="preserve">suscrito por Director de Protección Civil y dirigido a la Titular de la Unidad de Transparencia, por medio del cual manifiesta y expone: </w:t>
      </w:r>
    </w:p>
    <w:p w14:paraId="0F2560C4" w14:textId="77777777" w:rsidR="000D1F0E" w:rsidRDefault="000D1F0E" w:rsidP="00E321DD">
      <w:pPr>
        <w:spacing w:after="0" w:line="360" w:lineRule="auto"/>
        <w:rPr>
          <w:bCs/>
        </w:rPr>
      </w:pPr>
    </w:p>
    <w:p w14:paraId="422BB4B3" w14:textId="067FB062" w:rsidR="008F4AAA" w:rsidRPr="00EA5A4F" w:rsidRDefault="00471540" w:rsidP="00E321DD">
      <w:pPr>
        <w:spacing w:after="0" w:line="360" w:lineRule="auto"/>
        <w:ind w:left="567" w:right="567"/>
        <w:rPr>
          <w:bCs/>
          <w:i/>
          <w:iCs/>
          <w:sz w:val="20"/>
          <w:szCs w:val="20"/>
        </w:rPr>
      </w:pPr>
      <w:r w:rsidRPr="00EA5A4F">
        <w:rPr>
          <w:bCs/>
          <w:i/>
          <w:iCs/>
          <w:sz w:val="20"/>
          <w:szCs w:val="20"/>
        </w:rPr>
        <w:t>“…</w:t>
      </w:r>
    </w:p>
    <w:p w14:paraId="36755A74" w14:textId="21676C12" w:rsidR="00471540" w:rsidRPr="00EA5A4F" w:rsidRDefault="00471540" w:rsidP="00E321DD">
      <w:pPr>
        <w:spacing w:after="0" w:line="360" w:lineRule="auto"/>
        <w:ind w:left="567" w:right="567"/>
        <w:rPr>
          <w:bCs/>
          <w:i/>
          <w:iCs/>
          <w:sz w:val="20"/>
          <w:szCs w:val="20"/>
        </w:rPr>
      </w:pPr>
      <w:r w:rsidRPr="00EA5A4F">
        <w:rPr>
          <w:bCs/>
          <w:i/>
          <w:iCs/>
          <w:sz w:val="20"/>
          <w:szCs w:val="20"/>
        </w:rPr>
        <w:t xml:space="preserve">Se advierte que la información solicitada, se encuentra contenida en el criterio MUNICIPIO: ATENCO, en el ejercicio de las funciones por este Sujeto Obligado, por lo que se encuentra disponible </w:t>
      </w:r>
      <w:r w:rsidRPr="00EA5A4F">
        <w:rPr>
          <w:bCs/>
          <w:i/>
          <w:iCs/>
          <w:sz w:val="20"/>
          <w:szCs w:val="20"/>
        </w:rPr>
        <w:lastRenderedPageBreak/>
        <w:t xml:space="preserve">de manera permanente, de forma sencilla, precisa y entendible en la Plataforma ATLAS MUNICIPALES DEL ESTADO DE MÉXICO. </w:t>
      </w:r>
    </w:p>
    <w:p w14:paraId="6174483A" w14:textId="77777777" w:rsidR="00471540" w:rsidRPr="00EA5A4F" w:rsidRDefault="00471540" w:rsidP="00E321DD">
      <w:pPr>
        <w:spacing w:after="0" w:line="360" w:lineRule="auto"/>
        <w:ind w:left="567" w:right="567"/>
        <w:rPr>
          <w:bCs/>
          <w:i/>
          <w:iCs/>
          <w:sz w:val="20"/>
          <w:szCs w:val="20"/>
        </w:rPr>
      </w:pPr>
    </w:p>
    <w:p w14:paraId="209F2F04" w14:textId="40FB0FFA" w:rsidR="004873C7" w:rsidRPr="00EA5A4F" w:rsidRDefault="004873C7" w:rsidP="00E321DD">
      <w:pPr>
        <w:spacing w:after="0" w:line="360" w:lineRule="auto"/>
        <w:ind w:left="567" w:right="567"/>
        <w:rPr>
          <w:bCs/>
          <w:i/>
          <w:iCs/>
          <w:sz w:val="20"/>
          <w:szCs w:val="20"/>
        </w:rPr>
      </w:pPr>
      <w:r w:rsidRPr="00EA5A4F">
        <w:rPr>
          <w:bCs/>
          <w:i/>
          <w:iCs/>
          <w:sz w:val="20"/>
          <w:szCs w:val="20"/>
        </w:rPr>
        <w:t xml:space="preserve">Precisando lo anterior, se informa que la información solicitada a este Sujeto </w:t>
      </w:r>
      <w:r w:rsidR="0003533B" w:rsidRPr="00EA5A4F">
        <w:rPr>
          <w:bCs/>
          <w:i/>
          <w:iCs/>
          <w:sz w:val="20"/>
          <w:szCs w:val="20"/>
        </w:rPr>
        <w:t>Obligado</w:t>
      </w:r>
      <w:r w:rsidRPr="00EA5A4F">
        <w:rPr>
          <w:bCs/>
          <w:i/>
          <w:iCs/>
          <w:sz w:val="20"/>
          <w:szCs w:val="20"/>
        </w:rPr>
        <w:t xml:space="preserve"> se encuentra disponible para su consulta, en la siguiente dirección electrónica: </w:t>
      </w:r>
    </w:p>
    <w:p w14:paraId="3E099FDE" w14:textId="77777777" w:rsidR="0003533B" w:rsidRPr="00EA5A4F" w:rsidRDefault="0003533B" w:rsidP="00E321DD">
      <w:pPr>
        <w:spacing w:after="0" w:line="360" w:lineRule="auto"/>
        <w:ind w:left="567" w:right="567"/>
        <w:rPr>
          <w:bCs/>
          <w:i/>
          <w:iCs/>
          <w:sz w:val="20"/>
          <w:szCs w:val="20"/>
        </w:rPr>
      </w:pPr>
    </w:p>
    <w:p w14:paraId="31839CF4" w14:textId="3108ACBA" w:rsidR="00471540" w:rsidRPr="00EA5A4F" w:rsidRDefault="005A30FF" w:rsidP="00E321DD">
      <w:pPr>
        <w:spacing w:after="0" w:line="360" w:lineRule="auto"/>
        <w:ind w:left="567" w:right="567"/>
        <w:rPr>
          <w:bCs/>
          <w:i/>
          <w:iCs/>
          <w:sz w:val="20"/>
          <w:szCs w:val="20"/>
        </w:rPr>
      </w:pPr>
      <w:hyperlink r:id="rId11" w:history="1">
        <w:r w:rsidR="00D91122" w:rsidRPr="00EA5A4F">
          <w:rPr>
            <w:rStyle w:val="Hipervnculo"/>
            <w:bCs/>
            <w:i/>
            <w:iCs/>
            <w:sz w:val="20"/>
            <w:szCs w:val="20"/>
          </w:rPr>
          <w:t>http://rmgir.proyectomesoamerica.org/postal/apps/webappvierwer/index.html?id=054783b466bd47819fa4eed6c41c5274</w:t>
        </w:r>
      </w:hyperlink>
      <w:r w:rsidR="002728D4" w:rsidRPr="00EA5A4F">
        <w:rPr>
          <w:bCs/>
          <w:i/>
          <w:iCs/>
          <w:sz w:val="20"/>
          <w:szCs w:val="20"/>
        </w:rPr>
        <w:t xml:space="preserve"> </w:t>
      </w:r>
    </w:p>
    <w:p w14:paraId="66AD711A" w14:textId="77777777" w:rsidR="0003533B" w:rsidRPr="00EA5A4F" w:rsidRDefault="0003533B" w:rsidP="00E321DD">
      <w:pPr>
        <w:spacing w:after="0" w:line="360" w:lineRule="auto"/>
        <w:ind w:left="567" w:right="567"/>
        <w:rPr>
          <w:bCs/>
          <w:i/>
          <w:iCs/>
          <w:sz w:val="20"/>
          <w:szCs w:val="20"/>
        </w:rPr>
      </w:pPr>
    </w:p>
    <w:p w14:paraId="40617D94" w14:textId="17447380" w:rsidR="00471540" w:rsidRPr="00EA5A4F" w:rsidRDefault="00154A63" w:rsidP="00E321DD">
      <w:pPr>
        <w:spacing w:after="0" w:line="360" w:lineRule="auto"/>
        <w:ind w:left="567" w:right="567"/>
        <w:jc w:val="center"/>
        <w:rPr>
          <w:bCs/>
          <w:i/>
          <w:iCs/>
          <w:sz w:val="20"/>
          <w:szCs w:val="20"/>
        </w:rPr>
      </w:pPr>
      <w:r w:rsidRPr="00EA5A4F">
        <w:rPr>
          <w:bCs/>
          <w:i/>
          <w:iCs/>
          <w:noProof/>
          <w:sz w:val="20"/>
          <w:szCs w:val="20"/>
          <w:lang w:eastAsia="es-MX"/>
        </w:rPr>
        <w:drawing>
          <wp:inline distT="0" distB="0" distL="0" distR="0" wp14:anchorId="380FC1ED" wp14:editId="72E8A3B0">
            <wp:extent cx="2854713" cy="1566164"/>
            <wp:effectExtent l="0" t="0" r="3175" b="0"/>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2861050" cy="1569641"/>
                    </a:xfrm>
                    <a:prstGeom prst="rect">
                      <a:avLst/>
                    </a:prstGeom>
                  </pic:spPr>
                </pic:pic>
              </a:graphicData>
            </a:graphic>
          </wp:inline>
        </w:drawing>
      </w:r>
    </w:p>
    <w:p w14:paraId="68B9E051" w14:textId="77777777" w:rsidR="0003533B" w:rsidRPr="00EA5A4F" w:rsidRDefault="0003533B" w:rsidP="00E321DD">
      <w:pPr>
        <w:spacing w:after="0" w:line="360" w:lineRule="auto"/>
        <w:ind w:left="567" w:right="567"/>
        <w:rPr>
          <w:bCs/>
          <w:i/>
          <w:iCs/>
          <w:sz w:val="20"/>
          <w:szCs w:val="20"/>
        </w:rPr>
      </w:pPr>
    </w:p>
    <w:p w14:paraId="74B5A537" w14:textId="7AA0AF0D" w:rsidR="00471540" w:rsidRPr="00EA5A4F" w:rsidRDefault="005954D9" w:rsidP="00E321DD">
      <w:pPr>
        <w:spacing w:after="0" w:line="360" w:lineRule="auto"/>
        <w:ind w:left="567" w:right="567"/>
        <w:jc w:val="center"/>
        <w:rPr>
          <w:bCs/>
          <w:i/>
          <w:iCs/>
          <w:sz w:val="20"/>
          <w:szCs w:val="20"/>
        </w:rPr>
      </w:pPr>
      <w:r w:rsidRPr="00EA5A4F">
        <w:rPr>
          <w:bCs/>
          <w:i/>
          <w:iCs/>
          <w:sz w:val="20"/>
          <w:szCs w:val="20"/>
        </w:rPr>
        <w:t>Asimismo, en:</w:t>
      </w:r>
    </w:p>
    <w:p w14:paraId="6BCFAAB6" w14:textId="602F35CD" w:rsidR="005954D9" w:rsidRPr="00EA5A4F" w:rsidRDefault="005954D9" w:rsidP="00E321DD">
      <w:pPr>
        <w:spacing w:after="0" w:line="360" w:lineRule="auto"/>
        <w:ind w:left="567" w:right="567"/>
        <w:jc w:val="center"/>
        <w:rPr>
          <w:bCs/>
          <w:i/>
          <w:iCs/>
          <w:sz w:val="20"/>
          <w:szCs w:val="20"/>
        </w:rPr>
      </w:pPr>
      <w:r w:rsidRPr="00EA5A4F">
        <w:rPr>
          <w:bCs/>
          <w:i/>
          <w:iCs/>
          <w:noProof/>
          <w:sz w:val="20"/>
          <w:szCs w:val="20"/>
          <w:lang w:eastAsia="es-MX"/>
        </w:rPr>
        <w:drawing>
          <wp:inline distT="0" distB="0" distL="0" distR="0" wp14:anchorId="0E2FED17" wp14:editId="46F2C290">
            <wp:extent cx="2532184" cy="1411982"/>
            <wp:effectExtent l="0" t="0" r="1905" b="0"/>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5936" cy="1419650"/>
                    </a:xfrm>
                    <a:prstGeom prst="rect">
                      <a:avLst/>
                    </a:prstGeom>
                  </pic:spPr>
                </pic:pic>
              </a:graphicData>
            </a:graphic>
          </wp:inline>
        </w:drawing>
      </w:r>
    </w:p>
    <w:p w14:paraId="5E31BEE4" w14:textId="77777777" w:rsidR="008F4AAA" w:rsidRPr="00EA5A4F" w:rsidRDefault="008F4AAA" w:rsidP="00E321DD">
      <w:pPr>
        <w:spacing w:after="0" w:line="360" w:lineRule="auto"/>
        <w:ind w:left="567" w:right="567"/>
        <w:rPr>
          <w:bCs/>
          <w:i/>
          <w:iCs/>
          <w:sz w:val="20"/>
          <w:szCs w:val="20"/>
        </w:rPr>
      </w:pPr>
    </w:p>
    <w:p w14:paraId="68717969" w14:textId="01687FA3" w:rsidR="008F4AAA" w:rsidRPr="00EA5A4F" w:rsidRDefault="00B8239C" w:rsidP="00E321DD">
      <w:pPr>
        <w:spacing w:after="0" w:line="360" w:lineRule="auto"/>
        <w:ind w:left="567" w:right="567"/>
        <w:jc w:val="center"/>
        <w:rPr>
          <w:bCs/>
          <w:i/>
          <w:iCs/>
          <w:sz w:val="20"/>
          <w:szCs w:val="20"/>
        </w:rPr>
      </w:pPr>
      <w:r w:rsidRPr="00EA5A4F">
        <w:rPr>
          <w:bCs/>
          <w:i/>
          <w:iCs/>
          <w:sz w:val="20"/>
          <w:szCs w:val="20"/>
        </w:rPr>
        <w:t>Y;</w:t>
      </w:r>
    </w:p>
    <w:p w14:paraId="243EAC0A" w14:textId="535C294C" w:rsidR="00B8239C" w:rsidRPr="00EA5A4F" w:rsidRDefault="005A30FF" w:rsidP="00E321DD">
      <w:pPr>
        <w:spacing w:after="0" w:line="360" w:lineRule="auto"/>
        <w:ind w:left="567" w:right="567"/>
        <w:jc w:val="center"/>
        <w:rPr>
          <w:bCs/>
          <w:i/>
          <w:iCs/>
          <w:sz w:val="20"/>
          <w:szCs w:val="20"/>
        </w:rPr>
      </w:pPr>
      <w:hyperlink r:id="rId14" w:history="1">
        <w:r w:rsidR="005C39E2" w:rsidRPr="00EA5A4F">
          <w:rPr>
            <w:rStyle w:val="Hipervnculo"/>
            <w:bCs/>
            <w:i/>
            <w:iCs/>
            <w:sz w:val="20"/>
            <w:szCs w:val="20"/>
          </w:rPr>
          <w:t>http://rmgir.proyectomesoamerica.org/PDFMunicipales/EdoMex/Atlas_Atenco_Abr2021_081.pdf</w:t>
        </w:r>
      </w:hyperlink>
    </w:p>
    <w:p w14:paraId="418CF24E" w14:textId="0717620A" w:rsidR="008F4AAA" w:rsidRPr="00EA5A4F" w:rsidRDefault="005C39E2" w:rsidP="00E321DD">
      <w:pPr>
        <w:spacing w:after="0" w:line="360" w:lineRule="auto"/>
        <w:ind w:left="567" w:right="567"/>
        <w:jc w:val="center"/>
        <w:rPr>
          <w:bCs/>
          <w:i/>
          <w:iCs/>
          <w:sz w:val="20"/>
          <w:szCs w:val="20"/>
        </w:rPr>
      </w:pPr>
      <w:r w:rsidRPr="00EA5A4F">
        <w:rPr>
          <w:bCs/>
          <w:i/>
          <w:iCs/>
          <w:noProof/>
          <w:sz w:val="20"/>
          <w:szCs w:val="20"/>
          <w:lang w:eastAsia="es-MX"/>
        </w:rPr>
        <w:lastRenderedPageBreak/>
        <w:drawing>
          <wp:inline distT="0" distB="0" distL="0" distR="0" wp14:anchorId="2718CC49" wp14:editId="092EF4FC">
            <wp:extent cx="2389251" cy="1594624"/>
            <wp:effectExtent l="0" t="0" r="0" b="5715"/>
            <wp:docPr id="11" name="Imagen 11" descr="Imagen que contiene foto, firmar, alimentos,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foto, firmar, alimentos, calle&#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397725" cy="1600280"/>
                    </a:xfrm>
                    <a:prstGeom prst="rect">
                      <a:avLst/>
                    </a:prstGeom>
                  </pic:spPr>
                </pic:pic>
              </a:graphicData>
            </a:graphic>
          </wp:inline>
        </w:drawing>
      </w:r>
    </w:p>
    <w:p w14:paraId="1C09EC99" w14:textId="77777777" w:rsidR="00E8645F" w:rsidRPr="00EA5A4F" w:rsidRDefault="00E8645F" w:rsidP="00E321DD">
      <w:pPr>
        <w:spacing w:after="0" w:line="360" w:lineRule="auto"/>
        <w:ind w:left="567" w:right="567"/>
        <w:rPr>
          <w:bCs/>
          <w:i/>
          <w:iCs/>
          <w:sz w:val="20"/>
          <w:szCs w:val="20"/>
        </w:rPr>
      </w:pPr>
    </w:p>
    <w:p w14:paraId="30A703AD" w14:textId="34AC0387" w:rsidR="00E8645F" w:rsidRPr="00EA5A4F" w:rsidRDefault="005C39E2" w:rsidP="00E321DD">
      <w:pPr>
        <w:spacing w:after="0" w:line="360" w:lineRule="auto"/>
        <w:ind w:left="567" w:right="567"/>
        <w:rPr>
          <w:bCs/>
          <w:i/>
          <w:iCs/>
          <w:sz w:val="20"/>
          <w:szCs w:val="20"/>
        </w:rPr>
      </w:pPr>
      <w:r w:rsidRPr="00EA5A4F">
        <w:rPr>
          <w:bCs/>
          <w:i/>
          <w:iCs/>
          <w:sz w:val="20"/>
          <w:szCs w:val="20"/>
        </w:rPr>
        <w:t xml:space="preserve">Asimismo, no omito mencionar que en relación de la actualización y aprobación del Atlas de riesgo de Atenco 2021, adjunto al presente el oficio emitido por parte del Coordinador General de Protección Civil del Estado de México. </w:t>
      </w:r>
    </w:p>
    <w:p w14:paraId="7630E61B" w14:textId="5A8E982E" w:rsidR="005C39E2" w:rsidRPr="00EA5A4F" w:rsidRDefault="005C39E2" w:rsidP="00E321DD">
      <w:pPr>
        <w:spacing w:after="0" w:line="360" w:lineRule="auto"/>
        <w:ind w:left="567" w:right="567"/>
        <w:rPr>
          <w:bCs/>
          <w:i/>
          <w:iCs/>
          <w:sz w:val="20"/>
          <w:szCs w:val="20"/>
        </w:rPr>
      </w:pPr>
      <w:r w:rsidRPr="00EA5A4F">
        <w:rPr>
          <w:bCs/>
          <w:i/>
          <w:iCs/>
          <w:sz w:val="20"/>
          <w:szCs w:val="20"/>
        </w:rPr>
        <w:t xml:space="preserve">…” </w:t>
      </w:r>
      <w:r w:rsidR="00A12FDD" w:rsidRPr="00EA5A4F">
        <w:rPr>
          <w:bCs/>
          <w:i/>
          <w:iCs/>
          <w:sz w:val="20"/>
          <w:szCs w:val="20"/>
        </w:rPr>
        <w:t xml:space="preserve">(Sic) </w:t>
      </w:r>
    </w:p>
    <w:p w14:paraId="759DAA41" w14:textId="77777777" w:rsidR="00E8645F" w:rsidRDefault="00E8645F" w:rsidP="00E321DD">
      <w:pPr>
        <w:spacing w:after="0" w:line="360" w:lineRule="auto"/>
        <w:rPr>
          <w:bCs/>
        </w:rPr>
      </w:pPr>
    </w:p>
    <w:p w14:paraId="174AE35C" w14:textId="2C67B226" w:rsidR="00004D4E" w:rsidRDefault="00004D4E" w:rsidP="00E321DD">
      <w:pPr>
        <w:spacing w:after="0" w:line="360" w:lineRule="auto"/>
        <w:rPr>
          <w:bCs/>
        </w:rPr>
      </w:pPr>
      <w:r>
        <w:rPr>
          <w:bCs/>
        </w:rPr>
        <w:t xml:space="preserve">ii) </w:t>
      </w:r>
      <w:r w:rsidR="00C442B0">
        <w:rPr>
          <w:bCs/>
        </w:rPr>
        <w:t>Oficio número</w:t>
      </w:r>
      <w:r w:rsidR="00832F06">
        <w:rPr>
          <w:bCs/>
        </w:rPr>
        <w:t xml:space="preserve"> 20505000L/1977/2021, </w:t>
      </w:r>
      <w:r w:rsidR="003D2AE0">
        <w:rPr>
          <w:bCs/>
        </w:rPr>
        <w:t>del</w:t>
      </w:r>
      <w:r w:rsidR="00832F06">
        <w:rPr>
          <w:bCs/>
        </w:rPr>
        <w:t xml:space="preserve"> catorce de abril de dos mil </w:t>
      </w:r>
      <w:r w:rsidR="00032A6A">
        <w:rPr>
          <w:bCs/>
        </w:rPr>
        <w:t xml:space="preserve">veintiuno, suscrito </w:t>
      </w:r>
      <w:r w:rsidR="0018728D">
        <w:rPr>
          <w:bCs/>
        </w:rPr>
        <w:t xml:space="preserve">por el Coordinador General y dirigido al Presidente Constitucional de Atenco, </w:t>
      </w:r>
      <w:r w:rsidR="00915490">
        <w:rPr>
          <w:bCs/>
        </w:rPr>
        <w:t xml:space="preserve">de cuyo análisis se desprende lo siguiente: </w:t>
      </w:r>
    </w:p>
    <w:p w14:paraId="5625E75C" w14:textId="77777777" w:rsidR="00004D4E" w:rsidRDefault="00004D4E" w:rsidP="00E321DD">
      <w:pPr>
        <w:spacing w:after="0" w:line="360" w:lineRule="auto"/>
        <w:rPr>
          <w:bCs/>
        </w:rPr>
      </w:pPr>
    </w:p>
    <w:p w14:paraId="6082AF2A" w14:textId="2B70C744" w:rsidR="00004D4E" w:rsidRPr="009050DD" w:rsidRDefault="002E4606" w:rsidP="00E321DD">
      <w:pPr>
        <w:spacing w:after="0" w:line="360" w:lineRule="auto"/>
        <w:ind w:left="567" w:right="567"/>
        <w:rPr>
          <w:bCs/>
          <w:i/>
          <w:iCs/>
          <w:sz w:val="20"/>
          <w:szCs w:val="20"/>
        </w:rPr>
      </w:pPr>
      <w:r w:rsidRPr="009050DD">
        <w:rPr>
          <w:bCs/>
          <w:i/>
          <w:iCs/>
          <w:sz w:val="20"/>
          <w:szCs w:val="20"/>
        </w:rPr>
        <w:t>“…</w:t>
      </w:r>
    </w:p>
    <w:p w14:paraId="356527D1" w14:textId="667944BD" w:rsidR="002E4606" w:rsidRPr="009050DD" w:rsidRDefault="002E4606" w:rsidP="00E321DD">
      <w:pPr>
        <w:spacing w:after="0" w:line="360" w:lineRule="auto"/>
        <w:ind w:left="567" w:right="567"/>
        <w:rPr>
          <w:bCs/>
          <w:i/>
          <w:iCs/>
          <w:sz w:val="20"/>
          <w:szCs w:val="20"/>
        </w:rPr>
      </w:pPr>
      <w:r w:rsidRPr="009050DD">
        <w:rPr>
          <w:bCs/>
          <w:i/>
          <w:iCs/>
          <w:sz w:val="20"/>
          <w:szCs w:val="20"/>
        </w:rPr>
        <w:t xml:space="preserve">El Gobierno del Estado de México a través de la Coordinación General de Protección Civil, realiza acciones de colaboración con los municipios del Estado, para la </w:t>
      </w:r>
      <w:r w:rsidR="0082435C" w:rsidRPr="009050DD">
        <w:rPr>
          <w:bCs/>
          <w:i/>
          <w:iCs/>
          <w:sz w:val="20"/>
          <w:szCs w:val="20"/>
        </w:rPr>
        <w:t xml:space="preserve">elaboración de los Atlas de Riesgo, mismo </w:t>
      </w:r>
      <w:r w:rsidR="00DF635B" w:rsidRPr="009050DD">
        <w:rPr>
          <w:bCs/>
          <w:i/>
          <w:iCs/>
          <w:sz w:val="20"/>
          <w:szCs w:val="20"/>
        </w:rPr>
        <w:t xml:space="preserve">que son un sistema de información e instrumentos de </w:t>
      </w:r>
      <w:r w:rsidR="003D2AE0" w:rsidRPr="009050DD">
        <w:rPr>
          <w:bCs/>
          <w:i/>
          <w:iCs/>
          <w:sz w:val="20"/>
          <w:szCs w:val="20"/>
        </w:rPr>
        <w:t>diagnóstico</w:t>
      </w:r>
      <w:r w:rsidR="00DF635B" w:rsidRPr="009050DD">
        <w:rPr>
          <w:bCs/>
          <w:i/>
          <w:iCs/>
          <w:sz w:val="20"/>
          <w:szCs w:val="20"/>
        </w:rPr>
        <w:t xml:space="preserve">, planeación </w:t>
      </w:r>
      <w:r w:rsidR="00D143A9" w:rsidRPr="009050DD">
        <w:rPr>
          <w:bCs/>
          <w:i/>
          <w:iCs/>
          <w:sz w:val="20"/>
          <w:szCs w:val="20"/>
        </w:rPr>
        <w:t xml:space="preserve">para la prevención, mitigación de riesgos de origen natural y antropogénicos, para que sirvan de herramienta para la toma de decisiones y de la gestión integral de riesgo. </w:t>
      </w:r>
    </w:p>
    <w:p w14:paraId="25C29DC9" w14:textId="77777777" w:rsidR="00D143A9" w:rsidRPr="009050DD" w:rsidRDefault="00D143A9" w:rsidP="00E321DD">
      <w:pPr>
        <w:spacing w:after="0" w:line="360" w:lineRule="auto"/>
        <w:ind w:left="567" w:right="567"/>
        <w:rPr>
          <w:bCs/>
          <w:i/>
          <w:iCs/>
          <w:sz w:val="20"/>
          <w:szCs w:val="20"/>
        </w:rPr>
      </w:pPr>
    </w:p>
    <w:p w14:paraId="5E906C06" w14:textId="707D4F32" w:rsidR="009050DD" w:rsidRPr="009050DD" w:rsidRDefault="00D143A9" w:rsidP="00E321DD">
      <w:pPr>
        <w:spacing w:after="0" w:line="360" w:lineRule="auto"/>
        <w:ind w:left="567" w:right="567"/>
        <w:rPr>
          <w:bCs/>
          <w:i/>
          <w:iCs/>
          <w:sz w:val="20"/>
          <w:szCs w:val="20"/>
        </w:rPr>
      </w:pPr>
      <w:r w:rsidRPr="009050DD">
        <w:rPr>
          <w:bCs/>
          <w:i/>
          <w:iCs/>
          <w:sz w:val="20"/>
          <w:szCs w:val="20"/>
        </w:rPr>
        <w:t>Por lo anterior y en atención</w:t>
      </w:r>
      <w:r w:rsidR="00585550" w:rsidRPr="009050DD">
        <w:rPr>
          <w:bCs/>
          <w:i/>
          <w:iCs/>
          <w:sz w:val="20"/>
          <w:szCs w:val="20"/>
        </w:rPr>
        <w:t xml:space="preserve"> a su oficio PM/093/2021 de fecha 25 de marzo del presente año, mediante el cual presenta para su evaluación </w:t>
      </w:r>
      <w:r w:rsidR="00337EFA" w:rsidRPr="009050DD">
        <w:rPr>
          <w:bCs/>
          <w:i/>
          <w:iCs/>
          <w:sz w:val="20"/>
          <w:szCs w:val="20"/>
        </w:rPr>
        <w:t>y aprobación la actualización del Atlas de Riesgo de su Municipio</w:t>
      </w:r>
      <w:r w:rsidR="00C76DC3" w:rsidRPr="009050DD">
        <w:rPr>
          <w:bCs/>
          <w:i/>
          <w:iCs/>
          <w:sz w:val="20"/>
          <w:szCs w:val="20"/>
        </w:rPr>
        <w:t xml:space="preserve">, mismo que fue elaborado por la Unidad de Protección Civil junto con esta Coordinación General, con el fin de dar cumplimiento al artículo 81 de la Ley Orgánica Municipal </w:t>
      </w:r>
      <w:r w:rsidR="00E90F09" w:rsidRPr="009050DD">
        <w:rPr>
          <w:bCs/>
          <w:i/>
          <w:iCs/>
          <w:sz w:val="20"/>
          <w:szCs w:val="20"/>
        </w:rPr>
        <w:t xml:space="preserve">y al artículo 6.14 del Libro Sexto del Código Administrativo del Estado de México, se da por actualizado y </w:t>
      </w:r>
      <w:r w:rsidR="00E90F09" w:rsidRPr="009050DD">
        <w:rPr>
          <w:bCs/>
          <w:i/>
          <w:iCs/>
          <w:sz w:val="20"/>
          <w:szCs w:val="20"/>
        </w:rPr>
        <w:lastRenderedPageBreak/>
        <w:t>aprobado el Atlas de Riesgo de Atenco 2021, para construir ciudades con seguridad, resi</w:t>
      </w:r>
      <w:r w:rsidR="009050DD" w:rsidRPr="009050DD">
        <w:rPr>
          <w:bCs/>
          <w:i/>
          <w:iCs/>
          <w:sz w:val="20"/>
          <w:szCs w:val="20"/>
        </w:rPr>
        <w:t>lientes y sostenibles</w:t>
      </w:r>
    </w:p>
    <w:p w14:paraId="4255BC23" w14:textId="4F388B14" w:rsidR="009050DD" w:rsidRPr="009050DD" w:rsidRDefault="009050DD" w:rsidP="00E321DD">
      <w:pPr>
        <w:spacing w:after="0" w:line="360" w:lineRule="auto"/>
        <w:ind w:left="567" w:right="567"/>
        <w:rPr>
          <w:bCs/>
          <w:i/>
          <w:iCs/>
          <w:sz w:val="20"/>
          <w:szCs w:val="20"/>
        </w:rPr>
      </w:pPr>
      <w:r w:rsidRPr="009050DD">
        <w:rPr>
          <w:bCs/>
          <w:i/>
          <w:iCs/>
          <w:sz w:val="20"/>
          <w:szCs w:val="20"/>
        </w:rPr>
        <w:t xml:space="preserve">…” (Sic) </w:t>
      </w:r>
    </w:p>
    <w:p w14:paraId="35EA4B6F" w14:textId="503D76C8" w:rsidR="004548CD" w:rsidRDefault="004548CD" w:rsidP="00E321DD">
      <w:pPr>
        <w:spacing w:after="0" w:line="360" w:lineRule="auto"/>
        <w:rPr>
          <w:rFonts w:eastAsia="Palatino Linotype" w:cs="Palatino Linotype"/>
          <w:b/>
          <w:bCs/>
        </w:rPr>
      </w:pPr>
    </w:p>
    <w:p w14:paraId="6C1B7DFE" w14:textId="33732D73" w:rsidR="004122A9" w:rsidRPr="00573501" w:rsidRDefault="0033783C" w:rsidP="00E321DD">
      <w:pPr>
        <w:spacing w:after="0" w:line="360" w:lineRule="auto"/>
        <w:rPr>
          <w:rFonts w:cs="Tahoma"/>
        </w:rPr>
      </w:pPr>
      <w:r>
        <w:rPr>
          <w:rFonts w:cs="Tahoma"/>
          <w:b/>
          <w:bCs/>
        </w:rPr>
        <w:t>d</w:t>
      </w:r>
      <w:r w:rsidR="00C21871" w:rsidRPr="00897D57">
        <w:rPr>
          <w:rFonts w:cs="Tahoma"/>
          <w:b/>
          <w:bCs/>
        </w:rPr>
        <w:t xml:space="preserve">) Vista del Informe Justificado: </w:t>
      </w:r>
      <w:r w:rsidR="00C21871" w:rsidRPr="00897D57">
        <w:rPr>
          <w:rFonts w:cs="Tahoma"/>
        </w:rPr>
        <w:t>El</w:t>
      </w:r>
      <w:r w:rsidR="00C21871" w:rsidRPr="0033487D">
        <w:rPr>
          <w:rFonts w:cs="Tahoma"/>
        </w:rPr>
        <w:t xml:space="preserve"> </w:t>
      </w:r>
      <w:r w:rsidR="00573501">
        <w:rPr>
          <w:rFonts w:cs="Tahoma"/>
        </w:rPr>
        <w:t xml:space="preserve">trece </w:t>
      </w:r>
      <w:r w:rsidR="00C21871" w:rsidRPr="0033487D">
        <w:rPr>
          <w:rFonts w:cs="Tahoma"/>
        </w:rPr>
        <w:t xml:space="preserve">de </w:t>
      </w:r>
      <w:r w:rsidR="00E80DA9">
        <w:rPr>
          <w:rFonts w:cs="Tahoma"/>
        </w:rPr>
        <w:t>enero de dos mil veintidós</w:t>
      </w:r>
      <w:r w:rsidR="00C21871" w:rsidRPr="0033487D">
        <w:rPr>
          <w:rFonts w:cs="Tahoma"/>
        </w:rPr>
        <w:t xml:space="preserve">, se dictó acuerdo, por medio del cual </w:t>
      </w:r>
      <w:r w:rsidR="00C21871" w:rsidRPr="0033487D">
        <w:rPr>
          <w:rFonts w:cs="Tahoma"/>
          <w:b/>
        </w:rPr>
        <w:t>se pu</w:t>
      </w:r>
      <w:r w:rsidR="00682222">
        <w:rPr>
          <w:rFonts w:cs="Tahoma"/>
          <w:b/>
        </w:rPr>
        <w:t>s</w:t>
      </w:r>
      <w:r w:rsidR="00C21871" w:rsidRPr="0033487D">
        <w:rPr>
          <w:rFonts w:cs="Tahoma"/>
          <w:b/>
        </w:rPr>
        <w:t>o a la vista del Recurrente el Informe Justificado y sus anexos</w:t>
      </w:r>
      <w:r w:rsidR="00C21871" w:rsidRPr="0033487D">
        <w:rPr>
          <w:rFonts w:cs="Tahoma"/>
        </w:rPr>
        <w:t>, entregados por el Sujeto Obligado, a fin de que en un término no mayor a tres días hábiles manifestará lo que a derecho corresponda, acto que fue notificado</w:t>
      </w:r>
      <w:r w:rsidR="004122A9" w:rsidRPr="004122A9">
        <w:rPr>
          <w:rFonts w:eastAsia="Palatino Linotype" w:cs="Palatino Linotype"/>
          <w:lang w:val="es-ES"/>
        </w:rPr>
        <w:t xml:space="preserve"> </w:t>
      </w:r>
      <w:r w:rsidR="004122A9" w:rsidRPr="004109D6">
        <w:rPr>
          <w:rFonts w:eastAsia="Palatino Linotype" w:cs="Palatino Linotype"/>
          <w:lang w:val="es-ES"/>
        </w:rPr>
        <w:t>mediante el Sistema de Acceso a la Información Mexiquense (SAIMEX</w:t>
      </w:r>
      <w:r w:rsidR="004122A9" w:rsidRPr="00D9260D">
        <w:rPr>
          <w:rFonts w:eastAsia="Palatino Linotype" w:cs="Palatino Linotype"/>
          <w:lang w:val="es-ES"/>
        </w:rPr>
        <w:t>)</w:t>
      </w:r>
      <w:r w:rsidR="00573501">
        <w:rPr>
          <w:rFonts w:eastAsia="Palatino Linotype" w:cs="Palatino Linotype"/>
          <w:lang w:val="es-ES"/>
        </w:rPr>
        <w:t xml:space="preserve">. </w:t>
      </w:r>
    </w:p>
    <w:p w14:paraId="7BB2ECE6" w14:textId="77777777" w:rsidR="00C21871" w:rsidRPr="004548CD" w:rsidRDefault="00C21871" w:rsidP="00E321DD">
      <w:pPr>
        <w:spacing w:after="0" w:line="360" w:lineRule="auto"/>
        <w:rPr>
          <w:rFonts w:eastAsia="Palatino Linotype" w:cs="Palatino Linotype"/>
          <w:b/>
          <w:bCs/>
        </w:rPr>
      </w:pPr>
    </w:p>
    <w:p w14:paraId="39328222" w14:textId="5A09547A" w:rsidR="004548CD" w:rsidRPr="004109D6" w:rsidRDefault="0033783C" w:rsidP="00E321DD">
      <w:pPr>
        <w:spacing w:after="0" w:line="360" w:lineRule="auto"/>
        <w:rPr>
          <w:rFonts w:eastAsia="Palatino Linotype" w:cs="Palatino Linotype"/>
          <w:b/>
          <w:bCs/>
        </w:rPr>
      </w:pPr>
      <w:r>
        <w:rPr>
          <w:rFonts w:eastAsia="Times New Roman" w:cs="Tahoma"/>
          <w:b/>
          <w:color w:val="auto"/>
          <w:szCs w:val="24"/>
          <w:lang w:eastAsia="es-ES"/>
        </w:rPr>
        <w:t>e</w:t>
      </w:r>
      <w:r w:rsidR="004548CD" w:rsidRPr="00BB7445">
        <w:rPr>
          <w:rFonts w:eastAsia="Times New Roman" w:cs="Tahoma"/>
          <w:b/>
          <w:color w:val="auto"/>
          <w:szCs w:val="24"/>
          <w:lang w:eastAsia="es-ES"/>
        </w:rPr>
        <w:t>) Cierre de instrucción.</w:t>
      </w:r>
      <w:r w:rsidR="004548CD" w:rsidRPr="00BB7445">
        <w:rPr>
          <w:rFonts w:eastAsia="Times New Roman" w:cs="Tahoma"/>
          <w:color w:val="auto"/>
          <w:szCs w:val="24"/>
          <w:lang w:eastAsia="es-ES"/>
        </w:rPr>
        <w:t xml:space="preserve"> </w:t>
      </w:r>
      <w:r w:rsidR="004548CD" w:rsidRPr="00EA6E98">
        <w:rPr>
          <w:rFonts w:eastAsia="Times New Roman" w:cs="Tahoma"/>
          <w:color w:val="auto"/>
          <w:szCs w:val="24"/>
          <w:lang w:eastAsia="es-ES"/>
        </w:rPr>
        <w:t>El</w:t>
      </w:r>
      <w:r w:rsidR="00843AB9">
        <w:rPr>
          <w:rFonts w:eastAsia="Times New Roman" w:cs="Tahoma"/>
          <w:color w:val="auto"/>
          <w:szCs w:val="24"/>
          <w:lang w:eastAsia="es-ES"/>
        </w:rPr>
        <w:t xml:space="preserve"> </w:t>
      </w:r>
      <w:r w:rsidR="00936663">
        <w:rPr>
          <w:rFonts w:eastAsia="Times New Roman" w:cs="Tahoma"/>
          <w:color w:val="auto"/>
          <w:szCs w:val="24"/>
          <w:lang w:eastAsia="es-ES"/>
        </w:rPr>
        <w:t>veintiuno de enero de dos mil veintidós</w:t>
      </w:r>
      <w:r w:rsidR="004548CD" w:rsidRPr="00BB7445">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4109D6">
        <w:rPr>
          <w:rFonts w:eastAsia="Palatino Linotype" w:cs="Palatino Linotype"/>
          <w:lang w:val="es-ES"/>
        </w:rPr>
        <w:t>acto que fue notificado a las partes, mediante el Sistema de Acceso a la Información Mexiquense (SAIMEX</w:t>
      </w:r>
      <w:r w:rsidR="004548CD" w:rsidRPr="00D9260D">
        <w:rPr>
          <w:rFonts w:eastAsia="Palatino Linotype" w:cs="Palatino Linotype"/>
          <w:lang w:val="es-ES"/>
        </w:rPr>
        <w:t>), el mismo día.</w:t>
      </w:r>
    </w:p>
    <w:p w14:paraId="61B73302" w14:textId="77777777" w:rsidR="004548CD" w:rsidRDefault="004548CD" w:rsidP="00E321DD">
      <w:pPr>
        <w:spacing w:after="0" w:line="360" w:lineRule="auto"/>
        <w:rPr>
          <w:rFonts w:eastAsia="Times New Roman" w:cs="Tahoma"/>
          <w:color w:val="auto"/>
          <w:szCs w:val="24"/>
          <w:lang w:eastAsia="es-ES"/>
        </w:rPr>
      </w:pPr>
    </w:p>
    <w:p w14:paraId="5795BBB6" w14:textId="77777777" w:rsidR="00C853D1" w:rsidRPr="000E7D3A" w:rsidRDefault="00C853D1" w:rsidP="00E321DD">
      <w:pPr>
        <w:spacing w:after="0" w:line="360" w:lineRule="auto"/>
        <w:rPr>
          <w:rFonts w:eastAsia="Times New Roman" w:cs="Tahoma"/>
          <w:color w:val="auto"/>
          <w:szCs w:val="24"/>
          <w:lang w:eastAsia="es-ES"/>
        </w:rPr>
      </w:pPr>
      <w:r w:rsidRPr="000E7D3A">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B377FD" w:rsidRDefault="00C853D1" w:rsidP="00E321DD">
      <w:pPr>
        <w:spacing w:after="0" w:line="360" w:lineRule="auto"/>
        <w:rPr>
          <w:rFonts w:eastAsia="Times New Roman" w:cs="Tahoma"/>
          <w:bCs/>
          <w:iCs/>
          <w:color w:val="auto"/>
          <w:lang w:val="es-ES" w:eastAsia="es-ES"/>
        </w:rPr>
      </w:pPr>
    </w:p>
    <w:p w14:paraId="4647AD46" w14:textId="77777777" w:rsidR="00C853D1" w:rsidRPr="00B377FD" w:rsidRDefault="00C853D1" w:rsidP="00E321DD">
      <w:pPr>
        <w:spacing w:after="0" w:line="360" w:lineRule="auto"/>
        <w:jc w:val="center"/>
        <w:rPr>
          <w:rFonts w:eastAsia="Times New Roman" w:cs="Tahoma"/>
          <w:b/>
          <w:color w:val="auto"/>
          <w:lang w:val="es-ES" w:eastAsia="es-ES"/>
        </w:rPr>
      </w:pPr>
      <w:r w:rsidRPr="00B377FD">
        <w:rPr>
          <w:rFonts w:eastAsia="Times New Roman" w:cs="Tahoma"/>
          <w:b/>
          <w:color w:val="auto"/>
          <w:lang w:val="es-ES" w:eastAsia="es-ES"/>
        </w:rPr>
        <w:t>C O N S I D E R A N D O S:</w:t>
      </w:r>
    </w:p>
    <w:p w14:paraId="46CF2E78" w14:textId="77777777" w:rsidR="00C853D1" w:rsidRPr="00B377FD" w:rsidRDefault="00C853D1" w:rsidP="00E321DD">
      <w:pPr>
        <w:spacing w:after="0" w:line="360" w:lineRule="auto"/>
        <w:rPr>
          <w:b/>
        </w:rPr>
      </w:pPr>
    </w:p>
    <w:p w14:paraId="15369BD8" w14:textId="77777777" w:rsidR="00C853D1" w:rsidRPr="00B377FD" w:rsidRDefault="00C853D1" w:rsidP="00E321DD">
      <w:pPr>
        <w:autoSpaceDE w:val="0"/>
        <w:autoSpaceDN w:val="0"/>
        <w:adjustRightInd w:val="0"/>
        <w:spacing w:after="0" w:line="360" w:lineRule="auto"/>
        <w:rPr>
          <w:rFonts w:eastAsia="Times New Roman" w:cs="Tahoma"/>
          <w:b/>
          <w:color w:val="auto"/>
          <w:szCs w:val="24"/>
          <w:lang w:val="es-ES" w:eastAsia="es-ES"/>
        </w:rPr>
      </w:pPr>
      <w:r w:rsidRPr="00B377FD">
        <w:rPr>
          <w:rFonts w:eastAsia="Calibri" w:cs="Tahoma"/>
          <w:b/>
          <w:color w:val="000000"/>
          <w:szCs w:val="24"/>
          <w:lang w:val="es-ES" w:eastAsia="es-MX"/>
        </w:rPr>
        <w:t>PRIMERO</w:t>
      </w:r>
      <w:r w:rsidRPr="00B377FD">
        <w:rPr>
          <w:rFonts w:eastAsia="Calibri" w:cs="Tahoma"/>
          <w:color w:val="000000"/>
          <w:szCs w:val="24"/>
          <w:lang w:val="es-ES" w:eastAsia="es-MX"/>
        </w:rPr>
        <w:t xml:space="preserve">. </w:t>
      </w:r>
      <w:r w:rsidRPr="00B377FD">
        <w:rPr>
          <w:rFonts w:eastAsia="Times New Roman" w:cs="Tahoma"/>
          <w:b/>
          <w:color w:val="auto"/>
          <w:szCs w:val="24"/>
          <w:lang w:val="es-ES" w:eastAsia="es-ES"/>
        </w:rPr>
        <w:t>Competencia.</w:t>
      </w:r>
    </w:p>
    <w:p w14:paraId="6B0576AC" w14:textId="77777777" w:rsidR="00C853D1" w:rsidRPr="00B377FD" w:rsidRDefault="00C853D1" w:rsidP="00E321DD">
      <w:pPr>
        <w:autoSpaceDE w:val="0"/>
        <w:autoSpaceDN w:val="0"/>
        <w:adjustRightInd w:val="0"/>
        <w:spacing w:after="0" w:line="360" w:lineRule="auto"/>
        <w:rPr>
          <w:rFonts w:eastAsia="Times New Roman" w:cs="Tahoma"/>
          <w:b/>
          <w:color w:val="auto"/>
          <w:szCs w:val="24"/>
          <w:lang w:val="es-ES" w:eastAsia="es-ES"/>
        </w:rPr>
      </w:pPr>
    </w:p>
    <w:p w14:paraId="4BA69015" w14:textId="35E55F5D" w:rsidR="00C853D1" w:rsidRPr="00837E85" w:rsidRDefault="00C853D1" w:rsidP="00E321DD">
      <w:pPr>
        <w:spacing w:after="0" w:line="360" w:lineRule="auto"/>
        <w:rPr>
          <w:rFonts w:eastAsia="Times New Roman" w:cs="Tahoma"/>
          <w:bCs/>
          <w:color w:val="auto"/>
          <w:lang w:eastAsia="es-ES"/>
        </w:rPr>
      </w:pPr>
      <w:r w:rsidRPr="00837E85">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w:t>
      </w:r>
      <w:r w:rsidRPr="00837E85">
        <w:rPr>
          <w:rFonts w:eastAsia="Times New Roman" w:cs="Tahoma"/>
          <w:bCs/>
          <w:color w:val="auto"/>
          <w:lang w:eastAsia="es-ES"/>
        </w:rPr>
        <w:lastRenderedPageBreak/>
        <w:t xml:space="preserve">artículos 6°, apartado A, de la Constitución Política de los Estados Unidos Mexicanos; 5°, párrafos </w:t>
      </w:r>
      <w:r w:rsidR="003D2AE0">
        <w:rPr>
          <w:rFonts w:eastAsia="Times New Roman" w:cs="Tahoma"/>
          <w:bCs/>
          <w:color w:val="auto"/>
          <w:lang w:eastAsia="es-ES"/>
        </w:rPr>
        <w:t>trigésimo</w:t>
      </w:r>
      <w:r w:rsidR="00682222">
        <w:rPr>
          <w:rFonts w:eastAsia="Times New Roman" w:cs="Tahoma"/>
          <w:bCs/>
          <w:color w:val="auto"/>
          <w:lang w:val="x-none" w:eastAsia="es-ES"/>
        </w:rPr>
        <w:t>, trigésimo primero</w:t>
      </w:r>
      <w:r w:rsidRPr="00837E85">
        <w:rPr>
          <w:rFonts w:eastAsia="Times New Roman" w:cs="Tahoma"/>
          <w:bCs/>
          <w:color w:val="auto"/>
          <w:lang w:eastAsia="es-ES"/>
        </w:rPr>
        <w:t xml:space="preserve"> y trigésimo </w:t>
      </w:r>
      <w:r w:rsidR="00682222">
        <w:rPr>
          <w:rFonts w:eastAsia="Times New Roman" w:cs="Tahoma"/>
          <w:bCs/>
          <w:color w:val="auto"/>
          <w:lang w:eastAsia="es-ES"/>
        </w:rPr>
        <w:t>segundo</w:t>
      </w:r>
      <w:r w:rsidRPr="00837E85">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37E85">
        <w:rPr>
          <w:rFonts w:eastAsia="Times New Roman" w:cs="Times New Roman"/>
          <w:bCs/>
          <w:color w:val="auto"/>
          <w:lang w:eastAsia="es-ES"/>
        </w:rPr>
        <w:t xml:space="preserve"> 7°, </w:t>
      </w:r>
      <w:r w:rsidRPr="00837E85">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4FF2492C" w14:textId="77777777" w:rsidR="00C853D1" w:rsidRPr="00B377FD" w:rsidRDefault="00C853D1" w:rsidP="00E321DD">
      <w:pPr>
        <w:spacing w:after="0" w:line="360" w:lineRule="auto"/>
        <w:rPr>
          <w:rFonts w:eastAsia="Times New Roman" w:cs="Tahoma"/>
          <w:bCs/>
          <w:color w:val="auto"/>
          <w:lang w:eastAsia="es-ES"/>
        </w:rPr>
      </w:pPr>
    </w:p>
    <w:p w14:paraId="1CEE0B22" w14:textId="77777777" w:rsidR="00C853D1" w:rsidRPr="00B377FD" w:rsidRDefault="00C853D1" w:rsidP="00E321DD">
      <w:pPr>
        <w:autoSpaceDE w:val="0"/>
        <w:autoSpaceDN w:val="0"/>
        <w:adjustRightInd w:val="0"/>
        <w:spacing w:after="0" w:line="360" w:lineRule="auto"/>
        <w:rPr>
          <w:rFonts w:eastAsia="Times New Roman" w:cs="Tahoma"/>
          <w:color w:val="auto"/>
          <w:szCs w:val="24"/>
          <w:lang w:val="es-ES" w:eastAsia="es-ES"/>
        </w:rPr>
      </w:pPr>
      <w:r w:rsidRPr="00B377FD">
        <w:rPr>
          <w:rFonts w:eastAsia="Calibri" w:cs="Tahoma"/>
          <w:b/>
          <w:color w:val="000000"/>
          <w:szCs w:val="24"/>
          <w:lang w:val="es-ES" w:eastAsia="es-MX"/>
        </w:rPr>
        <w:t>SEGUNDO</w:t>
      </w:r>
      <w:r w:rsidRPr="00B377FD">
        <w:rPr>
          <w:rFonts w:eastAsia="Calibri" w:cs="Tahoma"/>
          <w:color w:val="000000"/>
          <w:szCs w:val="24"/>
          <w:lang w:val="es-ES" w:eastAsia="es-MX"/>
        </w:rPr>
        <w:t xml:space="preserve">. </w:t>
      </w:r>
      <w:r w:rsidRPr="00B377FD">
        <w:rPr>
          <w:rFonts w:eastAsia="Times New Roman" w:cs="Tahoma"/>
          <w:b/>
          <w:color w:val="auto"/>
          <w:szCs w:val="24"/>
          <w:lang w:val="es-ES" w:eastAsia="es-ES"/>
        </w:rPr>
        <w:t>Causales de improcedencia y sobreseimiento.</w:t>
      </w:r>
      <w:r w:rsidRPr="00B377FD">
        <w:rPr>
          <w:rFonts w:eastAsia="Times New Roman" w:cs="Tahoma"/>
          <w:color w:val="auto"/>
          <w:szCs w:val="24"/>
          <w:lang w:val="es-ES" w:eastAsia="es-ES"/>
        </w:rPr>
        <w:t xml:space="preserve"> </w:t>
      </w:r>
    </w:p>
    <w:p w14:paraId="732DCB46" w14:textId="77777777" w:rsidR="00C853D1" w:rsidRPr="00B377FD" w:rsidRDefault="00C853D1" w:rsidP="00E321DD">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B377FD" w:rsidRDefault="00C853D1" w:rsidP="00E321DD">
      <w:pPr>
        <w:autoSpaceDE w:val="0"/>
        <w:autoSpaceDN w:val="0"/>
        <w:adjustRightInd w:val="0"/>
        <w:spacing w:after="0" w:line="360" w:lineRule="auto"/>
        <w:rPr>
          <w:rFonts w:eastAsia="Times New Roman" w:cs="Tahoma"/>
          <w:color w:val="auto"/>
          <w:szCs w:val="24"/>
          <w:lang w:val="es-ES" w:eastAsia="es-ES"/>
        </w:rPr>
      </w:pPr>
      <w:r w:rsidRPr="00B377FD">
        <w:rPr>
          <w:rFonts w:eastAsia="Times New Roman" w:cs="Tahoma"/>
          <w:color w:val="auto"/>
          <w:szCs w:val="24"/>
          <w:lang w:val="es-ES" w:eastAsia="es-ES"/>
        </w:rPr>
        <w:t xml:space="preserve">De las constancias que forma parte del Recurso de Revisión que se analiza, se advierte que previo al estudio del fondo de la </w:t>
      </w:r>
      <w:r w:rsidRPr="00B377FD">
        <w:rPr>
          <w:rFonts w:eastAsia="Times New Roman" w:cs="Tahoma"/>
          <w:i/>
          <w:color w:val="auto"/>
          <w:szCs w:val="24"/>
          <w:lang w:val="es-ES" w:eastAsia="es-ES"/>
        </w:rPr>
        <w:t>litis</w:t>
      </w:r>
      <w:r w:rsidRPr="00B377FD">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B377FD" w:rsidRDefault="00C853D1" w:rsidP="00E321DD">
      <w:pPr>
        <w:autoSpaceDE w:val="0"/>
        <w:autoSpaceDN w:val="0"/>
        <w:adjustRightInd w:val="0"/>
        <w:spacing w:after="0" w:line="360" w:lineRule="auto"/>
        <w:rPr>
          <w:rFonts w:eastAsia="Times New Roman" w:cs="Tahoma"/>
          <w:color w:val="auto"/>
          <w:szCs w:val="24"/>
          <w:lang w:val="es-ES" w:eastAsia="es-ES"/>
        </w:rPr>
      </w:pPr>
    </w:p>
    <w:p w14:paraId="0D0DB2F6" w14:textId="77777777" w:rsidR="00C853D1" w:rsidRPr="00B377FD" w:rsidRDefault="00C853D1" w:rsidP="00E321DD">
      <w:pPr>
        <w:autoSpaceDE w:val="0"/>
        <w:autoSpaceDN w:val="0"/>
        <w:adjustRightInd w:val="0"/>
        <w:spacing w:after="0" w:line="360" w:lineRule="auto"/>
        <w:rPr>
          <w:rFonts w:eastAsia="Calibri" w:cs="Tahoma"/>
          <w:color w:val="000000"/>
          <w:szCs w:val="24"/>
          <w:lang w:val="es-ES" w:eastAsia="es-MX"/>
        </w:rPr>
      </w:pPr>
      <w:r w:rsidRPr="00B377FD">
        <w:rPr>
          <w:rFonts w:eastAsia="Calibri" w:cs="Tahoma"/>
          <w:b/>
          <w:color w:val="000000"/>
          <w:szCs w:val="24"/>
          <w:lang w:val="es-ES" w:eastAsia="es-MX"/>
        </w:rPr>
        <w:t>Causales de improcedencia.</w:t>
      </w:r>
      <w:r w:rsidRPr="00B377FD">
        <w:rPr>
          <w:rFonts w:eastAsia="Calibri" w:cs="Tahoma"/>
          <w:color w:val="000000"/>
          <w:szCs w:val="24"/>
          <w:lang w:val="es-ES" w:eastAsia="es-MX"/>
        </w:rPr>
        <w:t xml:space="preserve"> </w:t>
      </w:r>
    </w:p>
    <w:p w14:paraId="61973DFD" w14:textId="77777777" w:rsidR="00C853D1" w:rsidRPr="00B377FD" w:rsidRDefault="00C853D1" w:rsidP="00E321DD">
      <w:pPr>
        <w:autoSpaceDE w:val="0"/>
        <w:autoSpaceDN w:val="0"/>
        <w:adjustRightInd w:val="0"/>
        <w:spacing w:after="0" w:line="360" w:lineRule="auto"/>
        <w:rPr>
          <w:rFonts w:eastAsia="Calibri" w:cs="Tahoma"/>
          <w:color w:val="000000"/>
          <w:szCs w:val="24"/>
          <w:lang w:val="es-ES" w:eastAsia="es-MX"/>
        </w:rPr>
      </w:pPr>
    </w:p>
    <w:p w14:paraId="0231FCB7" w14:textId="77777777" w:rsidR="00C853D1" w:rsidRPr="00B377FD" w:rsidRDefault="00C853D1" w:rsidP="00E321DD">
      <w:pPr>
        <w:autoSpaceDE w:val="0"/>
        <w:autoSpaceDN w:val="0"/>
        <w:adjustRightInd w:val="0"/>
        <w:spacing w:after="0" w:line="360" w:lineRule="auto"/>
        <w:rPr>
          <w:rFonts w:eastAsia="Calibri" w:cs="Tahoma"/>
          <w:color w:val="000000"/>
          <w:lang w:val="es-ES" w:eastAsia="es-MX"/>
        </w:rPr>
      </w:pPr>
      <w:r w:rsidRPr="00B377FD">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B377FD">
        <w:rPr>
          <w:rFonts w:eastAsia="Calibri" w:cs="Tahoma"/>
          <w:b/>
          <w:bCs/>
          <w:color w:val="000000"/>
          <w:lang w:eastAsia="es-MX"/>
        </w:rPr>
        <w:t xml:space="preserve"> </w:t>
      </w:r>
      <w:r w:rsidRPr="00B377FD">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B377FD" w:rsidRDefault="00C853D1" w:rsidP="00E321DD">
      <w:pPr>
        <w:autoSpaceDE w:val="0"/>
        <w:autoSpaceDN w:val="0"/>
        <w:adjustRightInd w:val="0"/>
        <w:spacing w:after="0" w:line="360" w:lineRule="auto"/>
        <w:rPr>
          <w:rFonts w:eastAsia="Calibri" w:cs="Tahoma"/>
          <w:color w:val="000000"/>
          <w:lang w:eastAsia="es-MX"/>
        </w:rPr>
      </w:pPr>
    </w:p>
    <w:p w14:paraId="0EA74A57" w14:textId="77777777" w:rsidR="00C853D1" w:rsidRPr="00B377FD" w:rsidRDefault="00C853D1" w:rsidP="00E321DD">
      <w:pPr>
        <w:autoSpaceDE w:val="0"/>
        <w:autoSpaceDN w:val="0"/>
        <w:adjustRightInd w:val="0"/>
        <w:spacing w:after="0" w:line="360" w:lineRule="auto"/>
        <w:rPr>
          <w:rFonts w:eastAsia="Calibri" w:cs="Tahoma"/>
          <w:color w:val="000000"/>
          <w:lang w:eastAsia="es-MX"/>
        </w:rPr>
      </w:pPr>
      <w:r w:rsidRPr="00B377FD">
        <w:rPr>
          <w:rFonts w:eastAsia="Calibri" w:cs="Tahoma"/>
          <w:color w:val="000000"/>
          <w:lang w:eastAsia="es-MX"/>
        </w:rPr>
        <w:lastRenderedPageBreak/>
        <w:t xml:space="preserve">En el presente caso, </w:t>
      </w:r>
      <w:r w:rsidRPr="00B377FD">
        <w:rPr>
          <w:rFonts w:eastAsia="Calibri" w:cs="Tahoma"/>
          <w:b/>
          <w:color w:val="000000"/>
          <w:lang w:eastAsia="es-MX"/>
        </w:rPr>
        <w:t>no se actualiza ninguna de las causales de improcedencia</w:t>
      </w:r>
      <w:r w:rsidRPr="00B377FD">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B377FD" w:rsidRDefault="00C853D1" w:rsidP="00E321DD">
      <w:pPr>
        <w:spacing w:after="0" w:line="360" w:lineRule="auto"/>
        <w:rPr>
          <w:rFonts w:eastAsia="Times New Roman" w:cs="Tahoma"/>
          <w:b/>
          <w:bCs/>
          <w:color w:val="auto"/>
          <w:lang w:eastAsia="es-ES"/>
        </w:rPr>
      </w:pPr>
    </w:p>
    <w:p w14:paraId="009D8158" w14:textId="07726C65" w:rsidR="00C853D1" w:rsidRPr="00554471" w:rsidRDefault="00DD116F" w:rsidP="00E321DD">
      <w:pPr>
        <w:spacing w:after="0" w:line="360" w:lineRule="auto"/>
        <w:rPr>
          <w:rFonts w:eastAsia="Times New Roman" w:cs="Tahoma"/>
          <w:color w:val="auto"/>
          <w:lang w:val="es-ES" w:eastAsia="es-ES"/>
        </w:rPr>
      </w:pPr>
      <w:r>
        <w:rPr>
          <w:rFonts w:eastAsia="Times New Roman" w:cs="Tahoma"/>
          <w:color w:val="auto"/>
          <w:lang w:eastAsia="es-ES"/>
        </w:rPr>
        <w:t xml:space="preserve">Asimismo, </w:t>
      </w:r>
      <w:r w:rsidR="00C853D1" w:rsidRPr="00554471">
        <w:rPr>
          <w:rFonts w:eastAsia="Times New Roman" w:cs="Tahoma"/>
          <w:color w:val="auto"/>
          <w:lang w:eastAsia="es-ES"/>
        </w:rPr>
        <w:t>se actualiza la causal de procedencia del Recurso de Revisión señalada en el artículo 179, fracciones V</w:t>
      </w:r>
      <w:r w:rsidR="003D2AE0">
        <w:rPr>
          <w:rFonts w:eastAsia="Times New Roman" w:cs="Tahoma"/>
          <w:color w:val="auto"/>
          <w:lang w:eastAsia="es-ES"/>
        </w:rPr>
        <w:t>I</w:t>
      </w:r>
      <w:r w:rsidR="00682222">
        <w:rPr>
          <w:rFonts w:eastAsia="Times New Roman" w:cs="Tahoma"/>
          <w:color w:val="auto"/>
          <w:lang w:eastAsia="es-ES"/>
        </w:rPr>
        <w:t>,</w:t>
      </w:r>
      <w:r w:rsidR="00C853D1" w:rsidRPr="00554471">
        <w:rPr>
          <w:rFonts w:eastAsia="Times New Roman" w:cs="Tahoma"/>
          <w:color w:val="auto"/>
          <w:lang w:eastAsia="es-ES"/>
        </w:rPr>
        <w:t xml:space="preserve"> de la Ley en cita, </w:t>
      </w:r>
      <w:r w:rsidR="00C853D1" w:rsidRPr="00554471">
        <w:rPr>
          <w:rFonts w:eastAsia="Calibri" w:cs="Tahoma"/>
          <w:color w:val="000000"/>
          <w:lang w:eastAsia="es-MX"/>
        </w:rPr>
        <w:t xml:space="preserve">pues la Recurrente se inconformó </w:t>
      </w:r>
      <w:r w:rsidR="00C853D1" w:rsidRPr="00554471">
        <w:rPr>
          <w:rFonts w:eastAsia="Times New Roman" w:cs="Tahoma"/>
          <w:color w:val="auto"/>
          <w:lang w:val="es-ES" w:eastAsia="es-ES"/>
        </w:rPr>
        <w:t xml:space="preserve">con la </w:t>
      </w:r>
      <w:r w:rsidR="00682222">
        <w:rPr>
          <w:rFonts w:eastAsia="Times New Roman" w:cs="Tahoma"/>
          <w:color w:val="auto"/>
          <w:lang w:val="es-ES" w:eastAsia="es-ES"/>
        </w:rPr>
        <w:t>entrega de información</w:t>
      </w:r>
      <w:r w:rsidR="00682222">
        <w:rPr>
          <w:rFonts w:eastAsia="Times New Roman" w:cs="Tahoma"/>
          <w:color w:val="auto"/>
          <w:lang w:val="x-none" w:eastAsia="es-ES"/>
        </w:rPr>
        <w:t xml:space="preserve"> </w:t>
      </w:r>
      <w:r w:rsidR="003D2AE0">
        <w:rPr>
          <w:rFonts w:eastAsia="Times New Roman" w:cs="Tahoma"/>
          <w:color w:val="auto"/>
          <w:lang w:eastAsia="es-ES"/>
        </w:rPr>
        <w:t>que no corresponde con lo solicitado</w:t>
      </w:r>
      <w:r w:rsidR="00682222">
        <w:rPr>
          <w:rFonts w:eastAsia="Times New Roman" w:cs="Tahoma"/>
          <w:color w:val="auto"/>
          <w:lang w:val="x-none" w:eastAsia="es-ES"/>
        </w:rPr>
        <w:t>.</w:t>
      </w:r>
    </w:p>
    <w:p w14:paraId="3577CA43" w14:textId="77777777" w:rsidR="00C853D1" w:rsidRPr="00B377FD" w:rsidRDefault="00C853D1" w:rsidP="00E321DD">
      <w:pPr>
        <w:spacing w:after="0" w:line="360" w:lineRule="auto"/>
        <w:rPr>
          <w:rFonts w:eastAsia="Times New Roman" w:cs="Tahoma"/>
          <w:b/>
          <w:bCs/>
          <w:color w:val="auto"/>
          <w:lang w:eastAsia="es-ES"/>
        </w:rPr>
      </w:pPr>
    </w:p>
    <w:p w14:paraId="4F973625" w14:textId="6FFAE9BE" w:rsidR="00C853D1" w:rsidRDefault="005544FF" w:rsidP="00E321DD">
      <w:pPr>
        <w:spacing w:after="0" w:line="360" w:lineRule="auto"/>
        <w:rPr>
          <w:rFonts w:eastAsia="Times New Roman" w:cs="Tahoma"/>
          <w:b/>
          <w:bCs/>
          <w:color w:val="auto"/>
          <w:lang w:eastAsia="es-ES"/>
        </w:rPr>
      </w:pPr>
      <w:r>
        <w:rPr>
          <w:rFonts w:eastAsia="Times New Roman" w:cs="Tahoma"/>
          <w:b/>
          <w:bCs/>
          <w:color w:val="auto"/>
          <w:lang w:eastAsia="es-ES"/>
        </w:rPr>
        <w:t>TERCERO</w:t>
      </w:r>
      <w:r w:rsidR="00255DFB">
        <w:rPr>
          <w:rFonts w:eastAsia="Times New Roman" w:cs="Tahoma"/>
          <w:b/>
          <w:bCs/>
          <w:color w:val="auto"/>
          <w:lang w:eastAsia="es-ES"/>
        </w:rPr>
        <w:t xml:space="preserve">. </w:t>
      </w:r>
      <w:r w:rsidR="00C853D1" w:rsidRPr="00B377FD">
        <w:rPr>
          <w:rFonts w:eastAsia="Times New Roman" w:cs="Tahoma"/>
          <w:b/>
          <w:bCs/>
          <w:color w:val="auto"/>
          <w:lang w:eastAsia="es-ES"/>
        </w:rPr>
        <w:t>Causales de sobreseimiento.</w:t>
      </w:r>
    </w:p>
    <w:p w14:paraId="3FF75C55" w14:textId="77777777" w:rsidR="00CD573E" w:rsidRPr="00B5139B" w:rsidRDefault="00CD573E" w:rsidP="00E321DD">
      <w:pPr>
        <w:spacing w:after="0" w:line="360" w:lineRule="auto"/>
        <w:rPr>
          <w:rFonts w:eastAsia="Times New Roman" w:cs="Tahoma"/>
          <w:color w:val="auto"/>
          <w:lang w:eastAsia="es-ES"/>
        </w:rPr>
      </w:pPr>
    </w:p>
    <w:p w14:paraId="4B588399" w14:textId="77777777" w:rsidR="00B5139B" w:rsidRPr="00B5139B" w:rsidRDefault="00B5139B" w:rsidP="00E321DD">
      <w:pPr>
        <w:spacing w:after="0" w:line="360" w:lineRule="auto"/>
        <w:rPr>
          <w:rFonts w:eastAsia="Times New Roman" w:cs="Tahoma"/>
          <w:bCs/>
          <w:color w:val="auto"/>
          <w:lang w:eastAsia="es-ES"/>
        </w:rPr>
      </w:pPr>
      <w:r w:rsidRPr="00B5139B">
        <w:rPr>
          <w:rFonts w:eastAsia="Times New Roman" w:cs="Tahoma"/>
          <w:bCs/>
          <w:color w:val="auto"/>
          <w:lang w:eastAsia="es-ES"/>
        </w:rPr>
        <w:t>Por ser de previo y especial pronunciamiento, este Instituto analiza si se actualiza alguna causal de sobreseimiento.</w:t>
      </w:r>
    </w:p>
    <w:p w14:paraId="1DBD67CA" w14:textId="77777777" w:rsidR="00B5139B" w:rsidRPr="00B5139B" w:rsidRDefault="00B5139B" w:rsidP="00E321DD">
      <w:pPr>
        <w:spacing w:after="0" w:line="360" w:lineRule="auto"/>
        <w:rPr>
          <w:rFonts w:eastAsia="Times New Roman" w:cs="Tahoma"/>
          <w:bCs/>
          <w:color w:val="auto"/>
          <w:lang w:eastAsia="es-ES"/>
        </w:rPr>
      </w:pPr>
    </w:p>
    <w:p w14:paraId="064376BF" w14:textId="77777777" w:rsidR="00B5139B" w:rsidRPr="00B5139B" w:rsidRDefault="00B5139B" w:rsidP="00E321DD">
      <w:pPr>
        <w:spacing w:after="0" w:line="360" w:lineRule="auto"/>
        <w:rPr>
          <w:rFonts w:eastAsia="Times New Roman" w:cs="Tahoma"/>
          <w:bCs/>
          <w:color w:val="auto"/>
          <w:lang w:eastAsia="es-ES"/>
        </w:rPr>
      </w:pPr>
      <w:r w:rsidRPr="00B5139B">
        <w:rPr>
          <w:rFonts w:eastAsia="Times New Roman" w:cs="Tahoma"/>
          <w:bCs/>
          <w:color w:val="auto"/>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B5139B">
        <w:rPr>
          <w:rFonts w:eastAsia="Times New Roman" w:cs="Tahoma"/>
          <w:b/>
          <w:bCs/>
          <w:color w:val="auto"/>
          <w:lang w:eastAsia="es-ES"/>
        </w:rPr>
        <w:t>que no se actualizan los supuestos de sobreseimiento previstos en las fracciones I, II, IV y V</w:t>
      </w:r>
      <w:r w:rsidRPr="00B5139B">
        <w:rPr>
          <w:rFonts w:eastAsia="Times New Roman" w:cs="Tahoma"/>
          <w:bCs/>
          <w:color w:val="auto"/>
          <w:lang w:eastAsia="es-ES"/>
        </w:rPr>
        <w:t xml:space="preserve">, del artículo en comento, lo anterior, en virtud de que no hay constancias en el expediente en que se actúa, de que la Recurrente se haya desistido del recurso, haya fallecido, o bien, se haya actualizado alguna causal de improcedencia. </w:t>
      </w:r>
    </w:p>
    <w:p w14:paraId="652F2000" w14:textId="77777777" w:rsidR="00B5139B" w:rsidRPr="00B5139B" w:rsidRDefault="00B5139B" w:rsidP="00E321DD">
      <w:pPr>
        <w:spacing w:after="0" w:line="360" w:lineRule="auto"/>
        <w:rPr>
          <w:rFonts w:eastAsia="Times New Roman" w:cs="Tahoma"/>
          <w:bCs/>
          <w:color w:val="auto"/>
          <w:lang w:eastAsia="es-ES"/>
        </w:rPr>
      </w:pPr>
    </w:p>
    <w:p w14:paraId="5BEB9D0E" w14:textId="77777777" w:rsidR="00B5139B" w:rsidRPr="00B5139B" w:rsidRDefault="00B5139B" w:rsidP="00E321DD">
      <w:pPr>
        <w:spacing w:after="0" w:line="360" w:lineRule="auto"/>
        <w:rPr>
          <w:rFonts w:eastAsia="Times New Roman" w:cs="Tahoma"/>
          <w:bCs/>
          <w:color w:val="auto"/>
          <w:lang w:eastAsia="es-ES"/>
        </w:rPr>
      </w:pPr>
      <w:r w:rsidRPr="00B5139B">
        <w:rPr>
          <w:rFonts w:eastAsia="Times New Roman" w:cs="Tahoma"/>
          <w:bCs/>
          <w:color w:val="auto"/>
          <w:lang w:eastAsia="es-ES"/>
        </w:rPr>
        <w:t xml:space="preserve">No obstante, por lo que hace a la hipótesis prevista en la </w:t>
      </w:r>
      <w:r w:rsidRPr="00B5139B">
        <w:rPr>
          <w:rFonts w:eastAsia="Times New Roman" w:cs="Tahoma"/>
          <w:b/>
          <w:color w:val="auto"/>
          <w:lang w:eastAsia="es-ES"/>
        </w:rPr>
        <w:t>fracción III</w:t>
      </w:r>
      <w:r w:rsidRPr="00B5139B">
        <w:rPr>
          <w:rFonts w:eastAsia="Times New Roman" w:cs="Tahoma"/>
          <w:bCs/>
          <w:color w:val="auto"/>
          <w:lang w:eastAsia="es-ES"/>
        </w:rPr>
        <w:t xml:space="preserve">, del artículo 192 de la Ley de la Materia, a saber, que el Sujeto Obligado durante la sustanciación del Recurso de Revisión modifique su respuesta </w:t>
      </w:r>
    </w:p>
    <w:p w14:paraId="621AE979" w14:textId="6F0145FC" w:rsidR="00A60138" w:rsidRDefault="00A60138" w:rsidP="00E321DD">
      <w:pPr>
        <w:spacing w:after="0" w:line="360" w:lineRule="auto"/>
        <w:rPr>
          <w:rFonts w:eastAsia="Times New Roman" w:cs="Tahoma"/>
          <w:bCs/>
          <w:color w:val="auto"/>
          <w:lang w:eastAsia="es-ES"/>
        </w:rPr>
      </w:pPr>
      <w:r w:rsidRPr="00A60138">
        <w:rPr>
          <w:rFonts w:eastAsia="Times New Roman" w:cs="Tahoma"/>
          <w:bCs/>
          <w:color w:val="auto"/>
          <w:lang w:eastAsia="es-ES"/>
        </w:rPr>
        <w:lastRenderedPageBreak/>
        <w:t>En razón de lo anterior, y con la finalidad de verificar si se actualiza la causal de sobreseimiento, es necesario recapitular que el hoy Recurrente solicitó</w:t>
      </w:r>
      <w:r w:rsidR="001C7F83">
        <w:rPr>
          <w:rFonts w:eastAsia="Times New Roman" w:cs="Tahoma"/>
          <w:bCs/>
          <w:color w:val="auto"/>
          <w:lang w:eastAsia="es-ES"/>
        </w:rPr>
        <w:t xml:space="preserve"> el </w:t>
      </w:r>
      <w:r>
        <w:rPr>
          <w:rFonts w:eastAsia="Times New Roman" w:cs="Tahoma"/>
          <w:bCs/>
          <w:color w:val="auto"/>
          <w:lang w:eastAsia="es-ES"/>
        </w:rPr>
        <w:t>Atlas de Rie</w:t>
      </w:r>
      <w:r w:rsidR="00C90D06">
        <w:rPr>
          <w:rFonts w:eastAsia="Times New Roman" w:cs="Tahoma"/>
          <w:bCs/>
          <w:color w:val="auto"/>
          <w:lang w:eastAsia="es-ES"/>
        </w:rPr>
        <w:t>sgo del Municipio de</w:t>
      </w:r>
      <w:r w:rsidR="00C90D06" w:rsidRPr="00C90D06">
        <w:rPr>
          <w:rFonts w:eastAsia="Times New Roman" w:cs="Tahoma"/>
          <w:bCs/>
          <w:color w:val="auto"/>
          <w:lang w:eastAsia="es-ES"/>
        </w:rPr>
        <w:t xml:space="preserve"> Atenco</w:t>
      </w:r>
      <w:r w:rsidR="00C90D06">
        <w:rPr>
          <w:rFonts w:eastAsia="Times New Roman" w:cs="Tahoma"/>
          <w:bCs/>
          <w:color w:val="auto"/>
          <w:lang w:eastAsia="es-ES"/>
        </w:rPr>
        <w:t xml:space="preserve">. </w:t>
      </w:r>
    </w:p>
    <w:p w14:paraId="4B899BA2" w14:textId="77777777" w:rsidR="00A60138" w:rsidRDefault="00A60138" w:rsidP="00E321DD">
      <w:pPr>
        <w:spacing w:after="0" w:line="360" w:lineRule="auto"/>
        <w:rPr>
          <w:rFonts w:eastAsia="Times New Roman" w:cs="Tahoma"/>
          <w:bCs/>
          <w:color w:val="auto"/>
          <w:lang w:eastAsia="es-ES"/>
        </w:rPr>
      </w:pPr>
    </w:p>
    <w:p w14:paraId="18F53C49" w14:textId="77777777" w:rsidR="00D07102" w:rsidRDefault="00183683" w:rsidP="00E321DD">
      <w:pPr>
        <w:spacing w:after="0" w:line="360" w:lineRule="auto"/>
        <w:rPr>
          <w:rFonts w:eastAsia="Times New Roman" w:cs="Tahoma"/>
          <w:bCs/>
          <w:color w:val="auto"/>
          <w:lang w:eastAsia="es-ES"/>
        </w:rPr>
      </w:pPr>
      <w:r>
        <w:rPr>
          <w:rFonts w:eastAsia="Times New Roman" w:cs="Tahoma"/>
          <w:bCs/>
          <w:color w:val="auto"/>
          <w:lang w:eastAsia="es-ES"/>
        </w:rPr>
        <w:t>En respuesta el Sujeto Obligado</w:t>
      </w:r>
      <w:r w:rsidR="003D2AE0">
        <w:rPr>
          <w:rFonts w:eastAsia="Times New Roman" w:cs="Tahoma"/>
          <w:bCs/>
          <w:color w:val="auto"/>
          <w:lang w:eastAsia="es-ES"/>
        </w:rPr>
        <w:t xml:space="preserve">, a través de la Dirección </w:t>
      </w:r>
      <w:r w:rsidR="006F6F8B">
        <w:rPr>
          <w:rFonts w:eastAsia="Times New Roman" w:cs="Tahoma"/>
          <w:bCs/>
          <w:color w:val="auto"/>
          <w:lang w:eastAsia="es-ES"/>
        </w:rPr>
        <w:t>de Protección Civil</w:t>
      </w:r>
      <w:r w:rsidR="00D6556B">
        <w:rPr>
          <w:rFonts w:eastAsia="Times New Roman" w:cs="Tahoma"/>
          <w:bCs/>
          <w:color w:val="auto"/>
          <w:lang w:eastAsia="es-ES"/>
        </w:rPr>
        <w:t>,</w:t>
      </w:r>
      <w:r w:rsidR="00D07102">
        <w:rPr>
          <w:rFonts w:eastAsia="Times New Roman" w:cs="Tahoma"/>
          <w:bCs/>
          <w:color w:val="auto"/>
          <w:lang w:eastAsia="es-ES"/>
        </w:rPr>
        <w:t xml:space="preserve"> realizó lo siguiente:</w:t>
      </w:r>
    </w:p>
    <w:p w14:paraId="607CC82B" w14:textId="77777777" w:rsidR="00D07102" w:rsidRDefault="00D07102" w:rsidP="00E321DD">
      <w:pPr>
        <w:spacing w:after="0" w:line="360" w:lineRule="auto"/>
        <w:rPr>
          <w:rFonts w:eastAsia="Times New Roman" w:cs="Tahoma"/>
          <w:bCs/>
          <w:color w:val="auto"/>
          <w:lang w:eastAsia="es-ES"/>
        </w:rPr>
      </w:pPr>
    </w:p>
    <w:p w14:paraId="351CB92B" w14:textId="56829B6E" w:rsidR="00D07102" w:rsidRDefault="00D07102" w:rsidP="00E321DD">
      <w:pPr>
        <w:pStyle w:val="Prrafodelista"/>
        <w:numPr>
          <w:ilvl w:val="0"/>
          <w:numId w:val="26"/>
        </w:numPr>
        <w:spacing w:line="360" w:lineRule="auto"/>
        <w:jc w:val="both"/>
        <w:rPr>
          <w:rFonts w:ascii="Palatino Linotype" w:hAnsi="Palatino Linotype" w:cs="Tahoma"/>
          <w:bCs/>
        </w:rPr>
      </w:pPr>
      <w:r w:rsidRPr="00D07102">
        <w:rPr>
          <w:rFonts w:ascii="Palatino Linotype" w:hAnsi="Palatino Linotype" w:cs="Tahoma"/>
          <w:bCs/>
        </w:rPr>
        <w:t>P</w:t>
      </w:r>
      <w:r w:rsidR="00D6556B" w:rsidRPr="00D07102">
        <w:rPr>
          <w:rFonts w:ascii="Palatino Linotype" w:hAnsi="Palatino Linotype" w:cs="Tahoma"/>
          <w:bCs/>
        </w:rPr>
        <w:t>roporcion</w:t>
      </w:r>
      <w:r w:rsidR="003D2AE0" w:rsidRPr="00D07102">
        <w:rPr>
          <w:rFonts w:ascii="Palatino Linotype" w:hAnsi="Palatino Linotype" w:cs="Tahoma"/>
          <w:bCs/>
        </w:rPr>
        <w:t>ó</w:t>
      </w:r>
      <w:r w:rsidR="00D6556B" w:rsidRPr="00D07102">
        <w:rPr>
          <w:rFonts w:ascii="Palatino Linotype" w:hAnsi="Palatino Linotype" w:cs="Tahoma"/>
          <w:bCs/>
        </w:rPr>
        <w:t xml:space="preserve"> </w:t>
      </w:r>
      <w:r w:rsidR="0051666D" w:rsidRPr="00D07102">
        <w:rPr>
          <w:rFonts w:ascii="Palatino Linotype" w:hAnsi="Palatino Linotype" w:cs="Tahoma"/>
          <w:bCs/>
        </w:rPr>
        <w:t xml:space="preserve">dos </w:t>
      </w:r>
      <w:r w:rsidR="00F030AA" w:rsidRPr="00D07102">
        <w:rPr>
          <w:rFonts w:ascii="Palatino Linotype" w:hAnsi="Palatino Linotype" w:cs="Tahoma"/>
          <w:bCs/>
        </w:rPr>
        <w:t xml:space="preserve">enlaces </w:t>
      </w:r>
      <w:r w:rsidR="003D2AE0" w:rsidRPr="00D07102">
        <w:rPr>
          <w:rFonts w:ascii="Palatino Linotype" w:hAnsi="Palatino Linotype" w:cs="Tahoma"/>
          <w:bCs/>
        </w:rPr>
        <w:t>referentes al</w:t>
      </w:r>
      <w:r w:rsidR="0057605F" w:rsidRPr="00D07102">
        <w:rPr>
          <w:rFonts w:ascii="Palatino Linotype" w:hAnsi="Palatino Linotype" w:cs="Tahoma"/>
          <w:bCs/>
        </w:rPr>
        <w:t xml:space="preserve"> Portal de Información Pública</w:t>
      </w:r>
      <w:r w:rsidR="003D2AE0" w:rsidRPr="00D07102">
        <w:rPr>
          <w:rFonts w:ascii="Palatino Linotype" w:hAnsi="Palatino Linotype" w:cs="Tahoma"/>
          <w:bCs/>
        </w:rPr>
        <w:t xml:space="preserve"> de Oficio Mexiquense</w:t>
      </w:r>
      <w:r w:rsidR="0057605F" w:rsidRPr="00D07102">
        <w:rPr>
          <w:rFonts w:ascii="Palatino Linotype" w:hAnsi="Palatino Linotype" w:cs="Tahoma"/>
          <w:bCs/>
        </w:rPr>
        <w:t xml:space="preserve"> del Ayuntamiento de Atenco</w:t>
      </w:r>
      <w:r>
        <w:rPr>
          <w:rFonts w:ascii="Palatino Linotype" w:hAnsi="Palatino Linotype" w:cs="Tahoma"/>
          <w:bCs/>
        </w:rPr>
        <w:t xml:space="preserve"> y </w:t>
      </w:r>
      <w:r w:rsidR="003D2AE0" w:rsidRPr="00D07102">
        <w:rPr>
          <w:rFonts w:ascii="Palatino Linotype" w:hAnsi="Palatino Linotype" w:cs="Tahoma"/>
          <w:bCs/>
        </w:rPr>
        <w:t>precisó</w:t>
      </w:r>
      <w:r w:rsidR="0051666D" w:rsidRPr="00D07102">
        <w:rPr>
          <w:rFonts w:ascii="Palatino Linotype" w:hAnsi="Palatino Linotype" w:cs="Tahoma"/>
          <w:bCs/>
        </w:rPr>
        <w:t xml:space="preserve"> el procedimiento para acceder a la </w:t>
      </w:r>
      <w:r w:rsidR="006B698A" w:rsidRPr="00D07102">
        <w:rPr>
          <w:rFonts w:ascii="Palatino Linotype" w:hAnsi="Palatino Linotype" w:cs="Tahoma"/>
          <w:bCs/>
        </w:rPr>
        <w:t>información</w:t>
      </w:r>
      <w:r>
        <w:rPr>
          <w:rFonts w:ascii="Palatino Linotype" w:hAnsi="Palatino Linotype" w:cs="Tahoma"/>
          <w:bCs/>
        </w:rPr>
        <w:t xml:space="preserve">; </w:t>
      </w:r>
    </w:p>
    <w:p w14:paraId="2B69E59D" w14:textId="77777777" w:rsidR="00D07102" w:rsidRDefault="00D07102" w:rsidP="00E321DD">
      <w:pPr>
        <w:pStyle w:val="Prrafodelista"/>
        <w:spacing w:line="360" w:lineRule="auto"/>
        <w:jc w:val="both"/>
        <w:rPr>
          <w:rFonts w:ascii="Palatino Linotype" w:hAnsi="Palatino Linotype" w:cs="Tahoma"/>
          <w:bCs/>
        </w:rPr>
      </w:pPr>
    </w:p>
    <w:p w14:paraId="45258620" w14:textId="318A8DAD" w:rsidR="00D07102" w:rsidRDefault="00D07102" w:rsidP="00E321DD">
      <w:pPr>
        <w:pStyle w:val="Prrafodelista"/>
        <w:numPr>
          <w:ilvl w:val="0"/>
          <w:numId w:val="26"/>
        </w:numPr>
        <w:spacing w:line="360" w:lineRule="auto"/>
        <w:jc w:val="both"/>
        <w:rPr>
          <w:rFonts w:ascii="Palatino Linotype" w:hAnsi="Palatino Linotype" w:cs="Tahoma"/>
          <w:bCs/>
        </w:rPr>
      </w:pPr>
      <w:r>
        <w:rPr>
          <w:rFonts w:ascii="Palatino Linotype" w:hAnsi="Palatino Linotype" w:cs="Tahoma"/>
          <w:bCs/>
        </w:rPr>
        <w:t>Entregó el vínculo para acceder</w:t>
      </w:r>
      <w:r w:rsidR="006B0C57" w:rsidRPr="00D07102">
        <w:rPr>
          <w:rFonts w:ascii="Palatino Linotype" w:hAnsi="Palatino Linotype" w:cs="Tahoma"/>
          <w:bCs/>
        </w:rPr>
        <w:t xml:space="preserve"> a</w:t>
      </w:r>
      <w:r w:rsidR="00E20137" w:rsidRPr="00D07102">
        <w:rPr>
          <w:rFonts w:ascii="Palatino Linotype" w:hAnsi="Palatino Linotype" w:cs="Tahoma"/>
          <w:bCs/>
        </w:rPr>
        <w:t>l Altas de Riesgo</w:t>
      </w:r>
      <w:r w:rsidR="001E4456" w:rsidRPr="00D07102">
        <w:rPr>
          <w:rFonts w:ascii="Palatino Linotype" w:hAnsi="Palatino Linotype" w:cs="Tahoma"/>
          <w:bCs/>
        </w:rPr>
        <w:t>s</w:t>
      </w:r>
      <w:r w:rsidR="00E20137" w:rsidRPr="00D07102">
        <w:rPr>
          <w:rFonts w:ascii="Palatino Linotype" w:hAnsi="Palatino Linotype" w:cs="Tahoma"/>
          <w:bCs/>
        </w:rPr>
        <w:t xml:space="preserve"> de dos mil dieciseises del Sujeto Obligado</w:t>
      </w:r>
      <w:r>
        <w:rPr>
          <w:rFonts w:ascii="Palatino Linotype" w:hAnsi="Palatino Linotype" w:cs="Tahoma"/>
          <w:bCs/>
        </w:rPr>
        <w:t>, y</w:t>
      </w:r>
    </w:p>
    <w:p w14:paraId="277AEAB3" w14:textId="77777777" w:rsidR="00D07102" w:rsidRDefault="00D07102" w:rsidP="00E321DD">
      <w:pPr>
        <w:pStyle w:val="Prrafodelista"/>
        <w:spacing w:line="360" w:lineRule="auto"/>
        <w:jc w:val="both"/>
        <w:rPr>
          <w:rFonts w:ascii="Palatino Linotype" w:hAnsi="Palatino Linotype" w:cs="Tahoma"/>
          <w:bCs/>
        </w:rPr>
      </w:pPr>
    </w:p>
    <w:p w14:paraId="454A77BA" w14:textId="7D04CC45" w:rsidR="00F030AA" w:rsidRPr="00D07102" w:rsidRDefault="00D07102" w:rsidP="00E321DD">
      <w:pPr>
        <w:pStyle w:val="Prrafodelista"/>
        <w:numPr>
          <w:ilvl w:val="0"/>
          <w:numId w:val="26"/>
        </w:numPr>
        <w:spacing w:line="360" w:lineRule="auto"/>
        <w:jc w:val="both"/>
        <w:rPr>
          <w:rFonts w:ascii="Palatino Linotype" w:hAnsi="Palatino Linotype" w:cs="Tahoma"/>
          <w:bCs/>
        </w:rPr>
      </w:pPr>
      <w:r>
        <w:rPr>
          <w:rFonts w:ascii="Palatino Linotype" w:eastAsia="Calibri" w:hAnsi="Palatino Linotype" w:cs="Tahoma"/>
        </w:rPr>
        <w:t xml:space="preserve">Señaló </w:t>
      </w:r>
      <w:r w:rsidR="00073282" w:rsidRPr="00D07102">
        <w:rPr>
          <w:rFonts w:ascii="Palatino Linotype" w:eastAsia="Calibri" w:hAnsi="Palatino Linotype" w:cs="Tahoma"/>
        </w:rPr>
        <w:t xml:space="preserve">que </w:t>
      </w:r>
      <w:r>
        <w:rPr>
          <w:rFonts w:ascii="Palatino Linotype" w:eastAsia="Calibri" w:hAnsi="Palatino Linotype" w:cs="Tahoma"/>
        </w:rPr>
        <w:t>e</w:t>
      </w:r>
      <w:r w:rsidR="00073282" w:rsidRPr="00D07102">
        <w:rPr>
          <w:rFonts w:ascii="Palatino Linotype" w:eastAsia="Calibri" w:hAnsi="Palatino Linotype" w:cs="Tahoma"/>
        </w:rPr>
        <w:t>l Atlas de Riego</w:t>
      </w:r>
      <w:r w:rsidR="001E4456" w:rsidRPr="00D07102">
        <w:rPr>
          <w:rFonts w:ascii="Palatino Linotype" w:eastAsia="Calibri" w:hAnsi="Palatino Linotype" w:cs="Tahoma"/>
        </w:rPr>
        <w:t>s</w:t>
      </w:r>
      <w:r>
        <w:rPr>
          <w:rFonts w:ascii="Palatino Linotype" w:eastAsia="Calibri" w:hAnsi="Palatino Linotype" w:cs="Tahoma"/>
        </w:rPr>
        <w:t>,</w:t>
      </w:r>
      <w:r w:rsidR="001E4456" w:rsidRPr="00D07102">
        <w:rPr>
          <w:rFonts w:ascii="Palatino Linotype" w:eastAsia="Calibri" w:hAnsi="Palatino Linotype" w:cs="Tahoma"/>
        </w:rPr>
        <w:t xml:space="preserve"> de dos mil veintiuno, se </w:t>
      </w:r>
      <w:r>
        <w:rPr>
          <w:rFonts w:ascii="Palatino Linotype" w:eastAsia="Calibri" w:hAnsi="Palatino Linotype" w:cs="Tahoma"/>
        </w:rPr>
        <w:t>encontraba</w:t>
      </w:r>
      <w:r w:rsidR="001E4456" w:rsidRPr="00D07102">
        <w:rPr>
          <w:rFonts w:ascii="Palatino Linotype" w:eastAsia="Calibri" w:hAnsi="Palatino Linotype" w:cs="Tahoma"/>
        </w:rPr>
        <w:t xml:space="preserve"> en posesión de la Coordinación General de Protección Civil del Estado de México</w:t>
      </w:r>
      <w:r>
        <w:rPr>
          <w:rFonts w:ascii="Palatino Linotype" w:eastAsia="Calibri" w:hAnsi="Palatino Linotype" w:cs="Tahoma"/>
        </w:rPr>
        <w:t>, para su aprobación</w:t>
      </w:r>
      <w:r w:rsidR="001E4456" w:rsidRPr="00D07102">
        <w:rPr>
          <w:rFonts w:ascii="Palatino Linotype" w:eastAsia="Calibri" w:hAnsi="Palatino Linotype" w:cs="Tahoma"/>
        </w:rPr>
        <w:t xml:space="preserve">. </w:t>
      </w:r>
    </w:p>
    <w:p w14:paraId="2D1AE40E" w14:textId="77777777" w:rsidR="00F030AA" w:rsidRDefault="00F030AA" w:rsidP="00E321DD">
      <w:pPr>
        <w:spacing w:after="0" w:line="360" w:lineRule="auto"/>
        <w:rPr>
          <w:rFonts w:eastAsia="Times New Roman" w:cs="Tahoma"/>
          <w:bCs/>
          <w:color w:val="auto"/>
          <w:lang w:eastAsia="es-ES"/>
        </w:rPr>
      </w:pPr>
    </w:p>
    <w:p w14:paraId="7B017023" w14:textId="5CCCB860" w:rsidR="000557B6" w:rsidRDefault="000557B6" w:rsidP="00E321DD">
      <w:pPr>
        <w:spacing w:after="0" w:line="360" w:lineRule="auto"/>
        <w:rPr>
          <w:rFonts w:eastAsia="Times New Roman" w:cs="Tahoma"/>
          <w:bCs/>
          <w:color w:val="auto"/>
          <w:lang w:eastAsia="es-ES"/>
        </w:rPr>
      </w:pPr>
      <w:r w:rsidRPr="000557B6">
        <w:rPr>
          <w:rFonts w:eastAsia="Times New Roman" w:cs="Tahoma"/>
          <w:bCs/>
          <w:color w:val="auto"/>
          <w:lang w:eastAsia="es-ES"/>
        </w:rPr>
        <w:t xml:space="preserve">Ante dicha contestación, el ahora Recurrente se agravió de la entrega de información </w:t>
      </w:r>
      <w:r w:rsidR="00D07102">
        <w:rPr>
          <w:rFonts w:eastAsia="Times New Roman" w:cs="Tahoma"/>
          <w:bCs/>
          <w:color w:val="auto"/>
          <w:lang w:eastAsia="es-ES"/>
        </w:rPr>
        <w:t>que no corresponde con lo solicitado</w:t>
      </w:r>
      <w:r>
        <w:rPr>
          <w:rFonts w:eastAsia="Times New Roman" w:cs="Tahoma"/>
          <w:bCs/>
          <w:color w:val="auto"/>
          <w:lang w:eastAsia="es-ES"/>
        </w:rPr>
        <w:t>, al señalar que el Sujeto Obligado se limito a referir que el Atlas de Riesgos de dos mil veintiuno esta</w:t>
      </w:r>
      <w:r w:rsidR="00D07102">
        <w:rPr>
          <w:rFonts w:eastAsia="Times New Roman" w:cs="Tahoma"/>
          <w:bCs/>
          <w:color w:val="auto"/>
          <w:lang w:eastAsia="es-ES"/>
        </w:rPr>
        <w:t xml:space="preserve">ba </w:t>
      </w:r>
      <w:r>
        <w:rPr>
          <w:rFonts w:eastAsia="Times New Roman" w:cs="Tahoma"/>
          <w:bCs/>
          <w:color w:val="auto"/>
          <w:lang w:eastAsia="es-ES"/>
        </w:rPr>
        <w:t xml:space="preserve">en posesión de </w:t>
      </w:r>
      <w:r>
        <w:rPr>
          <w:rFonts w:eastAsia="Calibri" w:cs="Tahoma"/>
        </w:rPr>
        <w:t xml:space="preserve">Coordinación General de Protección Civil del Estado de México, circunstancia que </w:t>
      </w:r>
      <w:r w:rsidR="00B207E3">
        <w:rPr>
          <w:rFonts w:eastAsia="Calibri" w:cs="Tahoma"/>
        </w:rPr>
        <w:t>actualiza la causal de pro</w:t>
      </w:r>
      <w:r w:rsidR="00A406DA">
        <w:rPr>
          <w:rFonts w:eastAsia="Calibri" w:cs="Tahoma"/>
        </w:rPr>
        <w:t xml:space="preserve">cedencia prevista en la fracción </w:t>
      </w:r>
      <w:r w:rsidR="00D07102">
        <w:rPr>
          <w:rFonts w:eastAsia="Calibri" w:cs="Tahoma"/>
        </w:rPr>
        <w:t>VI,</w:t>
      </w:r>
      <w:r w:rsidR="00A406DA">
        <w:rPr>
          <w:rFonts w:eastAsia="Calibri" w:cs="Tahoma"/>
        </w:rPr>
        <w:t xml:space="preserve"> del artículo 179 de la Ley de Transparencia y Acceso a la Información Pública del Estado de México y </w:t>
      </w:r>
      <w:r w:rsidR="000C4826">
        <w:rPr>
          <w:rFonts w:eastAsia="Calibri" w:cs="Tahoma"/>
        </w:rPr>
        <w:t>Municipios</w:t>
      </w:r>
      <w:r w:rsidR="00A406DA">
        <w:rPr>
          <w:rFonts w:eastAsia="Calibri" w:cs="Tahoma"/>
        </w:rPr>
        <w:t xml:space="preserve">. </w:t>
      </w:r>
    </w:p>
    <w:p w14:paraId="58BBCBCA" w14:textId="77777777" w:rsidR="000557B6" w:rsidRDefault="000557B6" w:rsidP="00E321DD">
      <w:pPr>
        <w:spacing w:after="0" w:line="360" w:lineRule="auto"/>
        <w:rPr>
          <w:rFonts w:eastAsia="Times New Roman" w:cs="Tahoma"/>
          <w:bCs/>
          <w:color w:val="auto"/>
          <w:lang w:eastAsia="es-ES"/>
        </w:rPr>
      </w:pPr>
    </w:p>
    <w:p w14:paraId="29AD3FAD" w14:textId="0E42E96E" w:rsidR="000557B6" w:rsidRDefault="00D003D4" w:rsidP="00E321DD">
      <w:pPr>
        <w:spacing w:after="0" w:line="360" w:lineRule="auto"/>
        <w:rPr>
          <w:rFonts w:eastAsia="Times New Roman" w:cs="Tahoma"/>
          <w:bCs/>
          <w:iCs/>
          <w:color w:val="000000"/>
          <w:lang w:eastAsia="es-ES"/>
        </w:rPr>
      </w:pPr>
      <w:r w:rsidRPr="004C5501">
        <w:rPr>
          <w:rFonts w:eastAsia="Times New Roman" w:cs="Tahoma"/>
          <w:bCs/>
          <w:iCs/>
          <w:color w:val="000000"/>
          <w:lang w:eastAsia="es-ES"/>
        </w:rPr>
        <w:t xml:space="preserve">Así las cosas, una vez interpuesto y notificado el Recurso de Revisión a las partes, </w:t>
      </w:r>
      <w:r w:rsidRPr="0020524D">
        <w:rPr>
          <w:rFonts w:eastAsia="Times New Roman" w:cs="Tahoma"/>
          <w:bCs/>
          <w:iCs/>
          <w:color w:val="000000"/>
          <w:lang w:eastAsia="es-ES"/>
        </w:rPr>
        <w:t>el Sujeto Obligado</w:t>
      </w:r>
      <w:r w:rsidR="009C4A81">
        <w:rPr>
          <w:rFonts w:eastAsia="Times New Roman" w:cs="Tahoma"/>
          <w:bCs/>
          <w:iCs/>
          <w:color w:val="000000"/>
          <w:lang w:eastAsia="es-ES"/>
        </w:rPr>
        <w:t xml:space="preserve"> a través </w:t>
      </w:r>
      <w:r w:rsidR="00D07102">
        <w:rPr>
          <w:rFonts w:eastAsia="Times New Roman" w:cs="Tahoma"/>
          <w:bCs/>
          <w:iCs/>
          <w:color w:val="000000"/>
          <w:lang w:eastAsia="es-ES"/>
        </w:rPr>
        <w:t>de la Dirección</w:t>
      </w:r>
      <w:r w:rsidR="008E6EA7">
        <w:rPr>
          <w:rFonts w:eastAsia="Times New Roman" w:cs="Tahoma"/>
          <w:bCs/>
          <w:iCs/>
          <w:color w:val="000000"/>
          <w:lang w:eastAsia="es-ES"/>
        </w:rPr>
        <w:t xml:space="preserve"> de Protección Civil, p</w:t>
      </w:r>
      <w:r w:rsidR="00D07102">
        <w:rPr>
          <w:rFonts w:eastAsia="Times New Roman" w:cs="Tahoma"/>
          <w:bCs/>
          <w:iCs/>
          <w:color w:val="000000"/>
          <w:lang w:eastAsia="es-ES"/>
        </w:rPr>
        <w:t xml:space="preserve">or medio del cual proporcionó el oficio </w:t>
      </w:r>
      <w:r w:rsidR="00D07102">
        <w:rPr>
          <w:rFonts w:cs="Tahoma"/>
          <w:bCs/>
        </w:rPr>
        <w:t>20505000L/1977/2021, por medio del cual el Coordinador General de Protección Civil</w:t>
      </w:r>
      <w:r w:rsidR="002704FC">
        <w:rPr>
          <w:rFonts w:cs="Tahoma"/>
          <w:bCs/>
        </w:rPr>
        <w:t xml:space="preserve"> aprobó y </w:t>
      </w:r>
      <w:r w:rsidR="002704FC">
        <w:rPr>
          <w:rFonts w:cs="Tahoma"/>
          <w:bCs/>
        </w:rPr>
        <w:lastRenderedPageBreak/>
        <w:t>tuvo por actualizado al Atlas de Riesgos de Atenco, dos mil veintiuno; además proporcionó un vínculo electrónico, donde se localizaba lo peticionado.</w:t>
      </w:r>
    </w:p>
    <w:p w14:paraId="57E33C5F" w14:textId="77777777" w:rsidR="000557B6" w:rsidRDefault="000557B6" w:rsidP="00E321DD">
      <w:pPr>
        <w:spacing w:after="0" w:line="360" w:lineRule="auto"/>
        <w:rPr>
          <w:rFonts w:eastAsia="Times New Roman" w:cs="Tahoma"/>
          <w:bCs/>
          <w:color w:val="auto"/>
          <w:lang w:eastAsia="es-ES"/>
        </w:rPr>
      </w:pPr>
    </w:p>
    <w:p w14:paraId="1C2D70BC" w14:textId="5B24292F" w:rsidR="00014E78" w:rsidRPr="00014E78" w:rsidRDefault="00014E78" w:rsidP="00E321DD">
      <w:pPr>
        <w:spacing w:after="0" w:line="360" w:lineRule="auto"/>
        <w:rPr>
          <w:rFonts w:eastAsia="Times New Roman" w:cs="Tahoma"/>
          <w:bCs/>
          <w:iCs/>
          <w:color w:val="auto"/>
          <w:lang w:eastAsia="es-ES"/>
        </w:rPr>
      </w:pPr>
      <w:r w:rsidRPr="00014E78">
        <w:rPr>
          <w:rFonts w:eastAsia="Times New Roman" w:cs="Tahoma"/>
          <w:bCs/>
          <w:iCs/>
          <w:color w:val="auto"/>
          <w:lang w:eastAsia="es-ES"/>
        </w:rPr>
        <w:t xml:space="preserve">Lo anterior, se desprende de las documentales que obran en el expediente de referencia, materia de la presente resolución, consistente en: </w:t>
      </w:r>
      <w:r w:rsidR="007A27A0">
        <w:rPr>
          <w:rFonts w:eastAsia="Times New Roman" w:cs="Tahoma"/>
          <w:bCs/>
          <w:iCs/>
          <w:color w:val="auto"/>
          <w:lang w:eastAsia="es-ES"/>
        </w:rPr>
        <w:t>la solicitud de información</w:t>
      </w:r>
      <w:r w:rsidR="002704FC">
        <w:rPr>
          <w:rFonts w:eastAsia="Times New Roman" w:cs="Tahoma"/>
          <w:bCs/>
          <w:iCs/>
          <w:color w:val="auto"/>
          <w:lang w:eastAsia="es-ES"/>
        </w:rPr>
        <w:t>;</w:t>
      </w:r>
      <w:r w:rsidR="007A27A0">
        <w:rPr>
          <w:rFonts w:eastAsia="Times New Roman" w:cs="Tahoma"/>
          <w:bCs/>
          <w:iCs/>
          <w:color w:val="auto"/>
          <w:lang w:eastAsia="es-ES"/>
        </w:rPr>
        <w:t xml:space="preserve"> </w:t>
      </w:r>
      <w:r w:rsidR="004949CC">
        <w:rPr>
          <w:rFonts w:eastAsia="Times New Roman" w:cs="Tahoma"/>
          <w:bCs/>
          <w:iCs/>
          <w:color w:val="auto"/>
          <w:lang w:eastAsia="es-ES"/>
        </w:rPr>
        <w:t>la respuesta del Sujeto Obligado</w:t>
      </w:r>
      <w:r w:rsidR="002704FC">
        <w:rPr>
          <w:rFonts w:eastAsia="Times New Roman" w:cs="Tahoma"/>
          <w:bCs/>
          <w:iCs/>
          <w:color w:val="auto"/>
          <w:lang w:eastAsia="es-ES"/>
        </w:rPr>
        <w:t>;</w:t>
      </w:r>
      <w:r w:rsidR="004949CC">
        <w:rPr>
          <w:rFonts w:eastAsia="Times New Roman" w:cs="Tahoma"/>
          <w:bCs/>
          <w:iCs/>
          <w:color w:val="auto"/>
          <w:lang w:eastAsia="es-ES"/>
        </w:rPr>
        <w:t xml:space="preserve"> el escrito recursal y el Informe Justificado del Ente Recurrido</w:t>
      </w:r>
      <w:r w:rsidRPr="00014E78">
        <w:rPr>
          <w:rFonts w:eastAsia="Times New Roman" w:cs="Tahoma"/>
          <w:bCs/>
          <w:iCs/>
          <w:color w:val="auto"/>
          <w:lang w:eastAsia="es-ES"/>
        </w:rPr>
        <w:t>, instrumentales que se toman en cuenta a efecto de resolver el presente medio de impugnación, conforme a lo dispuesto por el artículo 185, fracción IV, de la Ley de Transparencia y Acceso a la Información Pública del Estado de México y Municipios.</w:t>
      </w:r>
    </w:p>
    <w:p w14:paraId="0301DD11" w14:textId="77777777" w:rsidR="00F030AA" w:rsidRDefault="00F030AA" w:rsidP="00E321DD">
      <w:pPr>
        <w:spacing w:after="0" w:line="360" w:lineRule="auto"/>
        <w:rPr>
          <w:rFonts w:eastAsia="Times New Roman" w:cs="Tahoma"/>
          <w:bCs/>
          <w:color w:val="auto"/>
          <w:lang w:eastAsia="es-ES"/>
        </w:rPr>
      </w:pPr>
    </w:p>
    <w:p w14:paraId="2C1891B6" w14:textId="088C75AB" w:rsidR="008A0209" w:rsidRPr="008A0209" w:rsidRDefault="00C70FDD" w:rsidP="00E321DD">
      <w:pPr>
        <w:spacing w:after="0" w:line="360" w:lineRule="auto"/>
        <w:rPr>
          <w:rFonts w:eastAsia="Times New Roman" w:cs="Tahoma"/>
          <w:color w:val="auto"/>
          <w:lang w:eastAsia="es-ES"/>
        </w:rPr>
      </w:pPr>
      <w:r>
        <w:rPr>
          <w:rFonts w:eastAsia="Times New Roman" w:cs="Tahoma"/>
          <w:color w:val="auto"/>
          <w:lang w:eastAsia="es-ES"/>
        </w:rPr>
        <w:t xml:space="preserve">Señalado lo anterior, </w:t>
      </w:r>
      <w:r w:rsidR="005C3843">
        <w:rPr>
          <w:rFonts w:eastAsia="Times New Roman" w:cs="Tahoma"/>
          <w:color w:val="auto"/>
          <w:lang w:eastAsia="es-ES"/>
        </w:rPr>
        <w:t xml:space="preserve">sobre la información peticionada </w:t>
      </w:r>
      <w:r w:rsidR="00E2443E">
        <w:rPr>
          <w:rFonts w:eastAsia="Times New Roman" w:cs="Tahoma"/>
          <w:color w:val="auto"/>
          <w:lang w:eastAsia="es-ES"/>
        </w:rPr>
        <w:t xml:space="preserve">es </w:t>
      </w:r>
      <w:r w:rsidR="00584335">
        <w:rPr>
          <w:rFonts w:eastAsia="Times New Roman" w:cs="Tahoma"/>
          <w:color w:val="auto"/>
          <w:lang w:eastAsia="es-ES"/>
        </w:rPr>
        <w:t>el Glosario de Términos</w:t>
      </w:r>
      <w:r w:rsidR="008A0209">
        <w:rPr>
          <w:rFonts w:eastAsia="Times New Roman" w:cs="Tahoma"/>
          <w:color w:val="auto"/>
          <w:lang w:eastAsia="es-ES"/>
        </w:rPr>
        <w:t xml:space="preserve"> de la C</w:t>
      </w:r>
      <w:r w:rsidR="008A0209" w:rsidRPr="008A0209">
        <w:rPr>
          <w:rFonts w:eastAsia="Times New Roman" w:cs="Tahoma"/>
          <w:color w:val="auto"/>
          <w:lang w:eastAsia="es-ES"/>
        </w:rPr>
        <w:t>oordinación General de Protección Civil y Gestión Integral del Riesgo</w:t>
      </w:r>
      <w:r w:rsidR="008A0209">
        <w:rPr>
          <w:rFonts w:eastAsia="Times New Roman" w:cs="Tahoma"/>
          <w:color w:val="auto"/>
          <w:lang w:eastAsia="es-ES"/>
        </w:rPr>
        <w:t xml:space="preserve">, (consultado en: </w:t>
      </w:r>
      <w:hyperlink r:id="rId16" w:history="1">
        <w:r w:rsidR="00846A4F" w:rsidRPr="00B73967">
          <w:rPr>
            <w:rStyle w:val="Hipervnculo"/>
            <w:rFonts w:eastAsia="Times New Roman" w:cs="Tahoma"/>
            <w:lang w:eastAsia="es-ES"/>
          </w:rPr>
          <w:t>https://cgproteccioncivil.edomex.gob.mx/glosario_terminos</w:t>
        </w:r>
      </w:hyperlink>
      <w:r w:rsidR="00846A4F">
        <w:rPr>
          <w:rFonts w:eastAsia="Times New Roman" w:cs="Tahoma"/>
          <w:color w:val="auto"/>
          <w:lang w:eastAsia="es-ES"/>
        </w:rPr>
        <w:t xml:space="preserve">, el diecinueve de </w:t>
      </w:r>
      <w:r w:rsidR="005F3D26">
        <w:rPr>
          <w:rFonts w:eastAsia="Times New Roman" w:cs="Tahoma"/>
          <w:color w:val="auto"/>
          <w:lang w:eastAsia="es-ES"/>
        </w:rPr>
        <w:t xml:space="preserve">enero de dos mil veintidós) </w:t>
      </w:r>
      <w:r w:rsidR="008124C7">
        <w:rPr>
          <w:rFonts w:eastAsia="Times New Roman" w:cs="Tahoma"/>
          <w:color w:val="auto"/>
          <w:lang w:eastAsia="es-ES"/>
        </w:rPr>
        <w:t xml:space="preserve">establece que el </w:t>
      </w:r>
      <w:r w:rsidR="008D1869" w:rsidRPr="005043B3">
        <w:rPr>
          <w:rFonts w:eastAsia="Times New Roman" w:cs="Tahoma"/>
          <w:b/>
          <w:bCs/>
          <w:color w:val="auto"/>
          <w:lang w:eastAsia="es-ES"/>
        </w:rPr>
        <w:t xml:space="preserve">Atlas de Riegos </w:t>
      </w:r>
      <w:r w:rsidR="000771BF" w:rsidRPr="005043B3">
        <w:rPr>
          <w:rFonts w:eastAsia="Times New Roman" w:cs="Tahoma"/>
          <w:b/>
          <w:bCs/>
          <w:color w:val="auto"/>
          <w:lang w:eastAsia="es-ES"/>
        </w:rPr>
        <w:t>es una</w:t>
      </w:r>
      <w:r w:rsidR="008D1869" w:rsidRPr="005043B3">
        <w:rPr>
          <w:rFonts w:eastAsia="Times New Roman" w:cs="Tahoma"/>
          <w:b/>
          <w:bCs/>
          <w:color w:val="auto"/>
          <w:lang w:eastAsia="es-ES"/>
        </w:rPr>
        <w:t xml:space="preserve"> </w:t>
      </w:r>
      <w:r w:rsidR="00F35856" w:rsidRPr="005043B3">
        <w:rPr>
          <w:rFonts w:eastAsia="Times New Roman" w:cs="Tahoma"/>
          <w:b/>
          <w:bCs/>
          <w:color w:val="auto"/>
          <w:lang w:eastAsia="es-ES"/>
        </w:rPr>
        <w:t>seri</w:t>
      </w:r>
      <w:r w:rsidR="000771BF" w:rsidRPr="005043B3">
        <w:rPr>
          <w:rFonts w:eastAsia="Times New Roman" w:cs="Tahoma"/>
          <w:b/>
          <w:bCs/>
          <w:color w:val="auto"/>
          <w:lang w:eastAsia="es-ES"/>
        </w:rPr>
        <w:t xml:space="preserve">e </w:t>
      </w:r>
      <w:r w:rsidR="00F35856" w:rsidRPr="005043B3">
        <w:rPr>
          <w:rFonts w:eastAsia="Times New Roman" w:cs="Tahoma"/>
          <w:b/>
          <w:bCs/>
          <w:color w:val="auto"/>
          <w:lang w:eastAsia="es-ES"/>
        </w:rPr>
        <w:t xml:space="preserve">de mapas </w:t>
      </w:r>
      <w:r w:rsidR="001160C5" w:rsidRPr="005043B3">
        <w:rPr>
          <w:rFonts w:eastAsia="Times New Roman" w:cs="Tahoma"/>
          <w:b/>
          <w:bCs/>
          <w:color w:val="auto"/>
          <w:lang w:eastAsia="es-ES"/>
        </w:rPr>
        <w:t xml:space="preserve">con diversas características y escalas, que informen por si mismos de los eventos naturales y sociales, que pueden representar </w:t>
      </w:r>
      <w:r w:rsidR="0020477F" w:rsidRPr="005043B3">
        <w:rPr>
          <w:rFonts w:eastAsia="Times New Roman" w:cs="Tahoma"/>
          <w:b/>
          <w:bCs/>
          <w:color w:val="auto"/>
          <w:lang w:eastAsia="es-ES"/>
        </w:rPr>
        <w:t>algún tipo de desastre para la población</w:t>
      </w:r>
      <w:r w:rsidR="0020477F">
        <w:rPr>
          <w:rFonts w:eastAsia="Times New Roman" w:cs="Tahoma"/>
          <w:color w:val="auto"/>
          <w:lang w:eastAsia="es-ES"/>
        </w:rPr>
        <w:t xml:space="preserve">. </w:t>
      </w:r>
    </w:p>
    <w:p w14:paraId="7FA1D81C" w14:textId="77777777" w:rsidR="00B5139B" w:rsidRDefault="00B5139B" w:rsidP="00E321DD">
      <w:pPr>
        <w:spacing w:after="0" w:line="360" w:lineRule="auto"/>
        <w:rPr>
          <w:rFonts w:eastAsia="Times New Roman" w:cs="Tahoma"/>
          <w:color w:val="auto"/>
          <w:lang w:eastAsia="es-ES"/>
        </w:rPr>
      </w:pPr>
    </w:p>
    <w:p w14:paraId="7293C363" w14:textId="144B2796" w:rsidR="00400CAF" w:rsidRPr="00400CAF" w:rsidRDefault="002704FC" w:rsidP="00E321DD">
      <w:pPr>
        <w:spacing w:after="0" w:line="360" w:lineRule="auto"/>
        <w:rPr>
          <w:rFonts w:eastAsia="Times New Roman" w:cs="Tahoma"/>
          <w:color w:val="auto"/>
          <w:lang w:eastAsia="es-ES"/>
        </w:rPr>
      </w:pPr>
      <w:r>
        <w:rPr>
          <w:rFonts w:eastAsia="Times New Roman" w:cs="Tahoma"/>
          <w:color w:val="auto"/>
          <w:lang w:eastAsia="es-ES"/>
        </w:rPr>
        <w:t>En ese orden de ideas</w:t>
      </w:r>
      <w:r w:rsidR="001B3CC7">
        <w:rPr>
          <w:rFonts w:eastAsia="Times New Roman" w:cs="Tahoma"/>
          <w:color w:val="auto"/>
          <w:lang w:eastAsia="es-ES"/>
        </w:rPr>
        <w:t>, el artículo 6.</w:t>
      </w:r>
      <w:r w:rsidR="00B02C46">
        <w:rPr>
          <w:rFonts w:eastAsia="Times New Roman" w:cs="Tahoma"/>
          <w:color w:val="auto"/>
          <w:lang w:eastAsia="es-ES"/>
        </w:rPr>
        <w:t xml:space="preserve">19 Ter, </w:t>
      </w:r>
      <w:r w:rsidR="00D87AAA">
        <w:rPr>
          <w:rFonts w:eastAsia="Times New Roman" w:cs="Tahoma"/>
          <w:color w:val="auto"/>
          <w:lang w:eastAsia="es-ES"/>
        </w:rPr>
        <w:t>fracción I</w:t>
      </w:r>
      <w:r>
        <w:rPr>
          <w:rFonts w:eastAsia="Times New Roman" w:cs="Tahoma"/>
          <w:color w:val="auto"/>
          <w:lang w:eastAsia="es-ES"/>
        </w:rPr>
        <w:t>,</w:t>
      </w:r>
      <w:r w:rsidR="00D87AAA">
        <w:rPr>
          <w:rFonts w:eastAsia="Times New Roman" w:cs="Tahoma"/>
          <w:color w:val="auto"/>
          <w:lang w:eastAsia="es-ES"/>
        </w:rPr>
        <w:t xml:space="preserve"> </w:t>
      </w:r>
      <w:r w:rsidR="00B02C46">
        <w:rPr>
          <w:rFonts w:eastAsia="Times New Roman" w:cs="Tahoma"/>
          <w:color w:val="auto"/>
          <w:lang w:eastAsia="es-ES"/>
        </w:rPr>
        <w:t xml:space="preserve">del </w:t>
      </w:r>
      <w:r w:rsidR="00D53B52">
        <w:rPr>
          <w:rFonts w:eastAsia="Times New Roman" w:cs="Tahoma"/>
          <w:color w:val="auto"/>
          <w:lang w:eastAsia="es-ES"/>
        </w:rPr>
        <w:t xml:space="preserve">Código Administrativo del Estado de México </w:t>
      </w:r>
      <w:r w:rsidR="00400CAF">
        <w:rPr>
          <w:rFonts w:eastAsia="Times New Roman" w:cs="Tahoma"/>
          <w:color w:val="auto"/>
          <w:lang w:eastAsia="es-ES"/>
        </w:rPr>
        <w:t xml:space="preserve">precisa </w:t>
      </w:r>
      <w:r>
        <w:rPr>
          <w:rFonts w:eastAsia="Times New Roman" w:cs="Tahoma"/>
          <w:color w:val="auto"/>
          <w:lang w:eastAsia="es-ES"/>
        </w:rPr>
        <w:t xml:space="preserve">que el </w:t>
      </w:r>
      <w:r w:rsidR="00EF2D7A" w:rsidRPr="004047DA">
        <w:rPr>
          <w:rFonts w:eastAsia="Times New Roman" w:cs="Tahoma"/>
          <w:b/>
          <w:bCs/>
          <w:color w:val="auto"/>
          <w:lang w:eastAsia="es-ES"/>
        </w:rPr>
        <w:t xml:space="preserve">Atlas de Riesgos </w:t>
      </w:r>
      <w:r>
        <w:rPr>
          <w:rFonts w:eastAsia="Times New Roman" w:cs="Tahoma"/>
          <w:b/>
          <w:bCs/>
          <w:color w:val="auto"/>
          <w:lang w:eastAsia="es-ES"/>
        </w:rPr>
        <w:t>es un documento en donde deberán</w:t>
      </w:r>
      <w:r w:rsidR="00400CAF" w:rsidRPr="00400CAF">
        <w:rPr>
          <w:rFonts w:eastAsia="Times New Roman" w:cs="Tahoma"/>
          <w:b/>
          <w:bCs/>
          <w:color w:val="auto"/>
          <w:lang w:val="es-ES" w:eastAsia="es-ES"/>
        </w:rPr>
        <w:t xml:space="preserve"> incluir el análisis y evaluación de las características del fenómeno perturbador, tales como, intensidad, probabilidad de ocurrencia, vulnerabilidades, identificación de zonas geográficas y comunidades que podrían verse afectadas</w:t>
      </w:r>
      <w:r w:rsidR="004047DA">
        <w:rPr>
          <w:rFonts w:eastAsia="Times New Roman" w:cs="Tahoma"/>
          <w:color w:val="auto"/>
          <w:lang w:val="es-ES" w:eastAsia="es-ES"/>
        </w:rPr>
        <w:t xml:space="preserve">. </w:t>
      </w:r>
    </w:p>
    <w:p w14:paraId="5C25B18D" w14:textId="119FB594" w:rsidR="00B5139B" w:rsidRDefault="00B5139B" w:rsidP="00E321DD">
      <w:pPr>
        <w:spacing w:after="0" w:line="360" w:lineRule="auto"/>
        <w:rPr>
          <w:rFonts w:eastAsia="Times New Roman" w:cs="Tahoma"/>
          <w:color w:val="auto"/>
          <w:lang w:val="es-ES" w:eastAsia="es-ES"/>
        </w:rPr>
      </w:pPr>
    </w:p>
    <w:p w14:paraId="370597D4" w14:textId="36A0A304" w:rsidR="00F1378E" w:rsidRDefault="00F1378E" w:rsidP="00E321DD">
      <w:pPr>
        <w:spacing w:after="0" w:line="360" w:lineRule="auto"/>
        <w:rPr>
          <w:rFonts w:eastAsia="Times New Roman" w:cs="Tahoma"/>
          <w:color w:val="auto"/>
          <w:lang w:val="es-ES" w:eastAsia="es-ES"/>
        </w:rPr>
      </w:pPr>
      <w:r>
        <w:rPr>
          <w:rFonts w:eastAsia="Times New Roman" w:cs="Tahoma"/>
          <w:color w:val="auto"/>
          <w:lang w:val="es-ES" w:eastAsia="es-ES"/>
        </w:rPr>
        <w:t>Conforme a lo anterior, se logra observar que la pretensión del ahora Recurrente, de conformidad con su solicitud de información y Medio de Impugnación, es obtener el Atlas de Riesgo del Municipio de Atenco, dos mil veintiuno.</w:t>
      </w:r>
    </w:p>
    <w:p w14:paraId="140F36C1" w14:textId="77777777" w:rsidR="00F1378E" w:rsidRDefault="00F1378E" w:rsidP="00E321DD">
      <w:pPr>
        <w:spacing w:after="0" w:line="360" w:lineRule="auto"/>
        <w:rPr>
          <w:rFonts w:eastAsia="Times New Roman" w:cs="Tahoma"/>
          <w:color w:val="auto"/>
          <w:lang w:val="es-ES" w:eastAsia="es-ES"/>
        </w:rPr>
      </w:pPr>
    </w:p>
    <w:p w14:paraId="12A3E11C" w14:textId="710109C1" w:rsidR="00FC3D38" w:rsidRPr="00FC3D38" w:rsidRDefault="00FC3D38" w:rsidP="00E321DD">
      <w:pPr>
        <w:spacing w:after="0" w:line="360" w:lineRule="auto"/>
        <w:rPr>
          <w:rFonts w:eastAsia="Times New Roman" w:cs="Tahoma"/>
          <w:bCs/>
          <w:color w:val="auto"/>
          <w:lang w:eastAsia="es-ES"/>
        </w:rPr>
      </w:pPr>
      <w:r w:rsidRPr="00FC3D38">
        <w:rPr>
          <w:rFonts w:eastAsia="Times New Roman" w:cs="Tahoma"/>
          <w:bCs/>
          <w:color w:val="auto"/>
          <w:lang w:eastAsia="es-ES"/>
        </w:rPr>
        <w:lastRenderedPageBreak/>
        <w:t xml:space="preserve">Establecida dicha circunstancia, se procede analizar la información proporcionada por el Sujeto Obligado, por lo que, en principio, cabe precisar que el Sujeto Obligado turno la solicitud de información, tanto en respuesta, como en la sustanciación del Medio de Impugnación </w:t>
      </w:r>
      <w:r w:rsidR="002876F9">
        <w:rPr>
          <w:rFonts w:eastAsia="Times New Roman" w:cs="Tahoma"/>
          <w:bCs/>
          <w:color w:val="auto"/>
          <w:lang w:eastAsia="es-ES"/>
        </w:rPr>
        <w:t>a la Dirección</w:t>
      </w:r>
      <w:r w:rsidR="0071169C">
        <w:rPr>
          <w:rFonts w:eastAsia="Times New Roman" w:cs="Tahoma"/>
          <w:bCs/>
          <w:color w:val="auto"/>
          <w:lang w:eastAsia="es-ES"/>
        </w:rPr>
        <w:t xml:space="preserve"> de Protección Civil</w:t>
      </w:r>
      <w:r w:rsidRPr="00FC3D38">
        <w:rPr>
          <w:rFonts w:eastAsia="Times New Roman" w:cs="Tahoma"/>
          <w:bCs/>
          <w:iCs/>
          <w:color w:val="auto"/>
          <w:lang w:val="es-ES" w:eastAsia="es-ES"/>
        </w:rPr>
        <w:t xml:space="preserve">; por lo que, </w:t>
      </w:r>
      <w:r w:rsidRPr="00FC3D38">
        <w:rPr>
          <w:rFonts w:eastAsia="Times New Roman" w:cs="Tahoma"/>
          <w:bCs/>
          <w:color w:val="auto"/>
          <w:lang w:eastAsia="es-ES"/>
        </w:rPr>
        <w:t xml:space="preserve">es necesario hacer referencia al procedimiento de búsqueda, </w:t>
      </w:r>
      <w:r w:rsidRPr="00FC3D38">
        <w:rPr>
          <w:rFonts w:eastAsia="Times New Roman" w:cs="Tahoma"/>
          <w:bCs/>
          <w:color w:val="auto"/>
          <w:lang w:val="es-ES" w:eastAsia="es-ES"/>
        </w:rPr>
        <w:t>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33FFB588" w14:textId="77777777" w:rsidR="00FC3D38" w:rsidRPr="00FC3D38" w:rsidRDefault="00FC3D38" w:rsidP="00E321DD">
      <w:pPr>
        <w:spacing w:after="0" w:line="360" w:lineRule="auto"/>
        <w:rPr>
          <w:rFonts w:eastAsia="Times New Roman" w:cs="Tahoma"/>
          <w:bCs/>
          <w:color w:val="auto"/>
          <w:lang w:val="es-ES" w:eastAsia="es-ES"/>
        </w:rPr>
      </w:pPr>
    </w:p>
    <w:p w14:paraId="09CA0BA9" w14:textId="23C44F1E" w:rsidR="00FC3D38" w:rsidRPr="007E1917" w:rsidRDefault="00FC3D38" w:rsidP="00E321DD">
      <w:pPr>
        <w:numPr>
          <w:ilvl w:val="0"/>
          <w:numId w:val="1"/>
        </w:numPr>
        <w:spacing w:after="0" w:line="360" w:lineRule="auto"/>
        <w:rPr>
          <w:rFonts w:eastAsia="Times New Roman" w:cs="Tahoma"/>
          <w:bCs/>
          <w:color w:val="auto"/>
          <w:lang w:val="es-ES" w:eastAsia="es-ES"/>
        </w:rPr>
      </w:pPr>
      <w:r w:rsidRPr="00FC3D38">
        <w:rPr>
          <w:rFonts w:eastAsia="Times New Roman" w:cs="Tahoma"/>
          <w:bCs/>
          <w:color w:val="auto"/>
          <w:lang w:val="es-ES"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72E0C04" w14:textId="77777777" w:rsidR="00FC3D38" w:rsidRPr="00FC3D38" w:rsidRDefault="00FC3D38" w:rsidP="00E321DD">
      <w:pPr>
        <w:numPr>
          <w:ilvl w:val="0"/>
          <w:numId w:val="1"/>
        </w:numPr>
        <w:spacing w:after="0" w:line="360" w:lineRule="auto"/>
        <w:rPr>
          <w:rFonts w:eastAsia="Times New Roman" w:cs="Tahoma"/>
          <w:bCs/>
          <w:color w:val="auto"/>
          <w:lang w:val="es-ES" w:eastAsia="es-ES"/>
        </w:rPr>
      </w:pPr>
      <w:r w:rsidRPr="00FC3D38">
        <w:rPr>
          <w:rFonts w:eastAsia="Times New Roman" w:cs="Tahoma"/>
          <w:bCs/>
          <w:color w:val="auto"/>
          <w:lang w:val="es-ES"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C8FC315" w14:textId="77777777" w:rsidR="00FC3D38" w:rsidRPr="00FC3D38" w:rsidRDefault="00FC3D38" w:rsidP="00E321DD">
      <w:pPr>
        <w:spacing w:after="0" w:line="360" w:lineRule="auto"/>
        <w:rPr>
          <w:rFonts w:eastAsia="Times New Roman" w:cs="Tahoma"/>
          <w:b/>
          <w:bCs/>
          <w:color w:val="auto"/>
          <w:lang w:eastAsia="es-ES"/>
        </w:rPr>
      </w:pPr>
    </w:p>
    <w:p w14:paraId="3F83D63B" w14:textId="4F75DE4A" w:rsidR="00DB2E63" w:rsidRPr="00DB2E63" w:rsidRDefault="00FC3D38" w:rsidP="00E321DD">
      <w:pPr>
        <w:spacing w:after="0" w:line="360" w:lineRule="auto"/>
        <w:rPr>
          <w:rFonts w:eastAsia="Times New Roman" w:cs="Tahoma"/>
          <w:b/>
          <w:bCs/>
          <w:color w:val="auto"/>
          <w:lang w:eastAsia="es-ES"/>
        </w:rPr>
      </w:pPr>
      <w:r w:rsidRPr="00FC3D38">
        <w:rPr>
          <w:rFonts w:eastAsia="Times New Roman" w:cs="Tahoma"/>
          <w:bCs/>
          <w:color w:val="auto"/>
          <w:lang w:eastAsia="es-ES"/>
        </w:rPr>
        <w:t xml:space="preserve">Atendiendo a lo dispuesto en los preceptos legales de referencia, es necesario traer a colación </w:t>
      </w:r>
      <w:r w:rsidR="00DB2E63">
        <w:rPr>
          <w:rFonts w:eastAsia="Times New Roman" w:cs="Tahoma"/>
          <w:bCs/>
          <w:color w:val="auto"/>
          <w:lang w:eastAsia="es-ES"/>
        </w:rPr>
        <w:t>el art</w:t>
      </w:r>
      <w:proofErr w:type="spellStart"/>
      <w:r w:rsidR="00DB2E63">
        <w:rPr>
          <w:rFonts w:eastAsia="Times New Roman" w:cs="Tahoma"/>
          <w:bCs/>
          <w:color w:val="auto"/>
          <w:lang w:val="x-none" w:eastAsia="es-ES"/>
        </w:rPr>
        <w:t>ículo</w:t>
      </w:r>
      <w:proofErr w:type="spellEnd"/>
      <w:r w:rsidR="00DB2E63">
        <w:rPr>
          <w:rFonts w:eastAsia="Times New Roman" w:cs="Tahoma"/>
          <w:bCs/>
          <w:color w:val="auto"/>
          <w:lang w:val="x-none" w:eastAsia="es-ES"/>
        </w:rPr>
        <w:t xml:space="preserve"> 209, fracción III, </w:t>
      </w:r>
      <w:r w:rsidR="00484FBC">
        <w:rPr>
          <w:rFonts w:eastAsia="Times New Roman" w:cs="Tahoma"/>
          <w:bCs/>
          <w:color w:val="auto"/>
          <w:lang w:eastAsia="es-ES"/>
        </w:rPr>
        <w:t xml:space="preserve">del </w:t>
      </w:r>
      <w:r w:rsidR="00DB2E63">
        <w:rPr>
          <w:rFonts w:eastAsia="Times New Roman" w:cs="Tahoma"/>
          <w:bCs/>
          <w:color w:val="auto"/>
          <w:lang w:eastAsia="es-ES"/>
        </w:rPr>
        <w:t xml:space="preserve">Reglamento </w:t>
      </w:r>
      <w:proofErr w:type="spellStart"/>
      <w:r w:rsidR="00DB2E63">
        <w:rPr>
          <w:rFonts w:eastAsia="Times New Roman" w:cs="Tahoma"/>
          <w:bCs/>
          <w:color w:val="auto"/>
          <w:lang w:eastAsia="es-ES"/>
        </w:rPr>
        <w:t>Org</w:t>
      </w:r>
      <w:r w:rsidR="00DB2E63">
        <w:rPr>
          <w:rFonts w:eastAsia="Times New Roman" w:cs="Tahoma"/>
          <w:bCs/>
          <w:color w:val="auto"/>
          <w:lang w:val="x-none" w:eastAsia="es-ES"/>
        </w:rPr>
        <w:t>ánico</w:t>
      </w:r>
      <w:proofErr w:type="spellEnd"/>
      <w:r w:rsidR="00DB2E63">
        <w:rPr>
          <w:rFonts w:eastAsia="Times New Roman" w:cs="Tahoma"/>
          <w:bCs/>
          <w:color w:val="auto"/>
          <w:lang w:val="x-none" w:eastAsia="es-ES"/>
        </w:rPr>
        <w:t xml:space="preserve"> de la Administración Pública de Atenco, 2019-2021, que establece que el Sujeto Obligado cuenta con diversas unidades administrativas para el ejercicio de sus funciones, entre las cuales se encuentra la Dirección de Protección Civil y Bomberos, encargada de </w:t>
      </w:r>
      <w:r w:rsidR="00DB2E63">
        <w:rPr>
          <w:rFonts w:eastAsia="Times New Roman" w:cs="Tahoma"/>
          <w:b/>
          <w:bCs/>
          <w:color w:val="auto"/>
          <w:lang w:val="x-none" w:eastAsia="es-ES"/>
        </w:rPr>
        <w:t>elaborar el Atlas Municipal de Riesgos y el Plan Municipal de Emergencias.</w:t>
      </w:r>
    </w:p>
    <w:p w14:paraId="5B72A79C" w14:textId="77777777" w:rsidR="00FC3D38" w:rsidRDefault="00FC3D38" w:rsidP="00E321DD">
      <w:pPr>
        <w:spacing w:after="0" w:line="360" w:lineRule="auto"/>
        <w:rPr>
          <w:rFonts w:eastAsia="Times New Roman" w:cs="Tahoma"/>
          <w:color w:val="auto"/>
          <w:lang w:val="es-ES" w:eastAsia="es-ES"/>
        </w:rPr>
      </w:pPr>
    </w:p>
    <w:p w14:paraId="399A263F" w14:textId="1781BEC4" w:rsidR="00146004" w:rsidRPr="00146004" w:rsidRDefault="00146004" w:rsidP="00E321DD">
      <w:pPr>
        <w:spacing w:after="0" w:line="360" w:lineRule="auto"/>
        <w:rPr>
          <w:rFonts w:eastAsia="Times New Roman" w:cs="Tahoma"/>
          <w:bCs/>
          <w:iCs/>
          <w:color w:val="auto"/>
          <w:lang w:eastAsia="es-ES"/>
        </w:rPr>
      </w:pPr>
      <w:r w:rsidRPr="00146004">
        <w:rPr>
          <w:rFonts w:eastAsia="Times New Roman" w:cs="Tahoma"/>
          <w:bCs/>
          <w:iCs/>
          <w:color w:val="auto"/>
          <w:lang w:eastAsia="es-ES"/>
        </w:rPr>
        <w:lastRenderedPageBreak/>
        <w:t xml:space="preserve">De lo anteriormente expuesto, se advierte que el Sujeto Obligado turno la solicitud de información al área administrativa competente, a saber, </w:t>
      </w:r>
      <w:r>
        <w:rPr>
          <w:rFonts w:eastAsia="Times New Roman" w:cs="Tahoma"/>
          <w:bCs/>
          <w:iCs/>
          <w:color w:val="auto"/>
          <w:lang w:eastAsia="es-ES"/>
        </w:rPr>
        <w:t>la Dirección de Protección Civil</w:t>
      </w:r>
      <w:r w:rsidR="00DB2E63">
        <w:rPr>
          <w:rFonts w:eastAsia="Times New Roman" w:cs="Tahoma"/>
          <w:bCs/>
          <w:iCs/>
          <w:color w:val="auto"/>
          <w:lang w:eastAsia="es-ES"/>
        </w:rPr>
        <w:t xml:space="preserve"> y Bomberos</w:t>
      </w:r>
      <w:r w:rsidR="003A64AB">
        <w:rPr>
          <w:rFonts w:eastAsia="Times New Roman" w:cs="Tahoma"/>
          <w:bCs/>
          <w:iCs/>
          <w:color w:val="auto"/>
          <w:lang w:eastAsia="es-ES"/>
        </w:rPr>
        <w:t xml:space="preserve">, </w:t>
      </w:r>
      <w:r w:rsidR="00DB2E63">
        <w:rPr>
          <w:rFonts w:eastAsia="Times New Roman" w:cs="Tahoma"/>
          <w:bCs/>
          <w:iCs/>
          <w:color w:val="auto"/>
          <w:lang w:eastAsia="es-ES"/>
        </w:rPr>
        <w:t>encargada de elaborar el documento solicitado por el Particular</w:t>
      </w:r>
      <w:r w:rsidR="00B95F2B">
        <w:rPr>
          <w:rFonts w:eastAsia="Times New Roman" w:cs="Tahoma"/>
          <w:color w:val="auto"/>
          <w:lang w:val="es-ES" w:eastAsia="es-ES"/>
        </w:rPr>
        <w:t xml:space="preserve">, </w:t>
      </w:r>
      <w:r w:rsidRPr="00146004">
        <w:rPr>
          <w:rFonts w:eastAsia="Times New Roman" w:cs="Tahoma"/>
          <w:bCs/>
          <w:color w:val="auto"/>
          <w:lang w:eastAsia="es-ES"/>
        </w:rPr>
        <w:t>por lo que, cumplió con lo establecido en el artículo 162 de la Ley de Transparencia y Acceso a la Información Pública del Estado de México y Municipios.</w:t>
      </w:r>
    </w:p>
    <w:p w14:paraId="67C1CFE2" w14:textId="77777777" w:rsidR="00FC3D38" w:rsidRPr="00146004" w:rsidRDefault="00FC3D38" w:rsidP="00E321DD">
      <w:pPr>
        <w:spacing w:after="0" w:line="360" w:lineRule="auto"/>
        <w:rPr>
          <w:rFonts w:eastAsia="Times New Roman" w:cs="Tahoma"/>
          <w:color w:val="auto"/>
          <w:lang w:eastAsia="es-ES"/>
        </w:rPr>
      </w:pPr>
    </w:p>
    <w:p w14:paraId="201ACF51" w14:textId="2418C0CD" w:rsidR="00FE7A78" w:rsidRPr="00132D55" w:rsidRDefault="00132D55" w:rsidP="00E321DD">
      <w:pPr>
        <w:tabs>
          <w:tab w:val="left" w:pos="1701"/>
        </w:tabs>
        <w:spacing w:after="0" w:line="360" w:lineRule="auto"/>
        <w:rPr>
          <w:rFonts w:eastAsia="Times New Roman" w:cs="Tahoma"/>
          <w:color w:val="auto"/>
          <w:lang w:val="es-ES" w:eastAsia="es-ES"/>
        </w:rPr>
      </w:pPr>
      <w:r>
        <w:rPr>
          <w:rFonts w:eastAsia="Times New Roman" w:cs="Tahoma"/>
          <w:color w:val="auto"/>
          <w:lang w:val="es-ES" w:eastAsia="es-ES"/>
        </w:rPr>
        <w:t xml:space="preserve">En ese contexto, dicha </w:t>
      </w:r>
      <w:r>
        <w:rPr>
          <w:rFonts w:eastAsia="Times New Roman" w:cs="Tahoma"/>
          <w:color w:val="auto"/>
          <w:lang w:val="x-none" w:eastAsia="es-ES"/>
        </w:rPr>
        <w:t xml:space="preserve">área en respuesta entregó </w:t>
      </w:r>
      <w:r w:rsidR="001A57FD">
        <w:rPr>
          <w:rFonts w:eastAsia="Times New Roman" w:cs="Tahoma"/>
          <w:color w:val="auto"/>
          <w:lang w:val="es-ES" w:eastAsia="es-ES"/>
        </w:rPr>
        <w:t>un enlace</w:t>
      </w:r>
      <w:r>
        <w:rPr>
          <w:rFonts w:eastAsia="Times New Roman" w:cs="Tahoma"/>
          <w:color w:val="auto"/>
          <w:lang w:val="es-ES" w:eastAsia="es-ES"/>
        </w:rPr>
        <w:t xml:space="preserve"> (</w:t>
      </w:r>
      <w:r w:rsidRPr="00FE7A78">
        <w:rPr>
          <w:rFonts w:eastAsia="Times New Roman" w:cs="Tahoma"/>
          <w:i/>
          <w:iCs/>
          <w:color w:val="auto"/>
          <w:lang w:eastAsia="es-ES"/>
        </w:rPr>
        <w:t>rmgir.proyectomesoamerica.org/PDFMunicipales/2016/AR_ATENCO_MEX_2016.pdf</w:t>
      </w:r>
      <w:r>
        <w:rPr>
          <w:rFonts w:eastAsia="Times New Roman" w:cs="Tahoma"/>
          <w:color w:val="auto"/>
          <w:lang w:val="es-ES" w:eastAsia="es-ES"/>
        </w:rPr>
        <w:t>),</w:t>
      </w:r>
      <w:r w:rsidR="001A57FD">
        <w:rPr>
          <w:rFonts w:eastAsia="Times New Roman" w:cs="Tahoma"/>
          <w:color w:val="auto"/>
          <w:lang w:val="es-ES" w:eastAsia="es-ES"/>
        </w:rPr>
        <w:t xml:space="preserve"> </w:t>
      </w:r>
      <w:r>
        <w:rPr>
          <w:rFonts w:eastAsia="Times New Roman" w:cs="Tahoma"/>
          <w:color w:val="auto"/>
          <w:lang w:val="es-ES" w:eastAsia="es-ES"/>
        </w:rPr>
        <w:t>el cual da acceso al</w:t>
      </w:r>
      <w:r w:rsidR="001A57FD">
        <w:rPr>
          <w:rFonts w:eastAsia="Times New Roman" w:cs="Tahoma"/>
          <w:color w:val="auto"/>
          <w:lang w:val="es-ES" w:eastAsia="es-ES"/>
        </w:rPr>
        <w:t xml:space="preserve"> </w:t>
      </w:r>
      <w:r w:rsidR="007425A1">
        <w:rPr>
          <w:rFonts w:eastAsia="Times New Roman" w:cs="Tahoma"/>
          <w:color w:val="auto"/>
          <w:lang w:val="es-ES" w:eastAsia="es-ES"/>
        </w:rPr>
        <w:t>Atlas de Riesgos</w:t>
      </w:r>
      <w:r>
        <w:rPr>
          <w:rFonts w:eastAsia="Times New Roman" w:cs="Tahoma"/>
          <w:color w:val="auto"/>
          <w:lang w:val="es-ES" w:eastAsia="es-ES"/>
        </w:rPr>
        <w:t xml:space="preserve"> del Municipio de Atenco,</w:t>
      </w:r>
      <w:r w:rsidR="007425A1">
        <w:rPr>
          <w:rFonts w:eastAsia="Times New Roman" w:cs="Tahoma"/>
          <w:color w:val="auto"/>
          <w:lang w:val="es-ES" w:eastAsia="es-ES"/>
        </w:rPr>
        <w:t xml:space="preserve"> de dos mil dieciséis, </w:t>
      </w:r>
      <w:r>
        <w:rPr>
          <w:rFonts w:eastAsia="Times New Roman" w:cs="Tahoma"/>
          <w:color w:val="auto"/>
          <w:lang w:val="es-ES" w:eastAsia="es-ES"/>
        </w:rPr>
        <w:t>tal como se muestra a continuación</w:t>
      </w:r>
      <w:r>
        <w:rPr>
          <w:rFonts w:eastAsia="Times New Roman" w:cs="Tahoma"/>
          <w:color w:val="auto"/>
          <w:lang w:val="x-none" w:eastAsia="es-ES"/>
        </w:rPr>
        <w:t>:</w:t>
      </w:r>
    </w:p>
    <w:p w14:paraId="39B9B1A2" w14:textId="77777777" w:rsidR="00FE7A78" w:rsidRDefault="00FE7A78" w:rsidP="00E321DD">
      <w:pPr>
        <w:spacing w:after="0" w:line="360" w:lineRule="auto"/>
        <w:rPr>
          <w:rFonts w:eastAsia="Times New Roman" w:cs="Tahoma"/>
          <w:color w:val="auto"/>
          <w:lang w:eastAsia="es-ES"/>
        </w:rPr>
      </w:pPr>
    </w:p>
    <w:p w14:paraId="742A8D7A" w14:textId="73C62474" w:rsidR="00FE7A78" w:rsidRPr="00FE7A78" w:rsidRDefault="00144657" w:rsidP="00E321DD">
      <w:pPr>
        <w:spacing w:after="0" w:line="360" w:lineRule="auto"/>
        <w:jc w:val="center"/>
        <w:rPr>
          <w:rFonts w:eastAsia="Times New Roman" w:cs="Tahoma"/>
          <w:color w:val="auto"/>
          <w:lang w:eastAsia="es-ES"/>
        </w:rPr>
      </w:pPr>
      <w:r>
        <w:rPr>
          <w:rFonts w:eastAsia="Times New Roman" w:cs="Tahoma"/>
          <w:noProof/>
          <w:color w:val="auto"/>
          <w:lang w:eastAsia="es-MX"/>
        </w:rPr>
        <w:drawing>
          <wp:inline distT="0" distB="0" distL="0" distR="0" wp14:anchorId="13715CB8" wp14:editId="48C42F79">
            <wp:extent cx="3028868" cy="701748"/>
            <wp:effectExtent l="0" t="0" r="0" b="0"/>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rotWithShape="1">
                    <a:blip r:embed="rId17" cstate="print">
                      <a:extLst>
                        <a:ext uri="{28A0092B-C50C-407E-A947-70E740481C1C}">
                          <a14:useLocalDpi xmlns:a14="http://schemas.microsoft.com/office/drawing/2010/main" val="0"/>
                        </a:ext>
                      </a:extLst>
                    </a:blip>
                    <a:srcRect b="37810"/>
                    <a:stretch/>
                  </pic:blipFill>
                  <pic:spPr bwMode="auto">
                    <a:xfrm>
                      <a:off x="0" y="0"/>
                      <a:ext cx="3056569" cy="708166"/>
                    </a:xfrm>
                    <a:prstGeom prst="rect">
                      <a:avLst/>
                    </a:prstGeom>
                    <a:ln>
                      <a:noFill/>
                    </a:ln>
                    <a:extLst>
                      <a:ext uri="{53640926-AAD7-44D8-BBD7-CCE9431645EC}">
                        <a14:shadowObscured xmlns:a14="http://schemas.microsoft.com/office/drawing/2010/main"/>
                      </a:ext>
                    </a:extLst>
                  </pic:spPr>
                </pic:pic>
              </a:graphicData>
            </a:graphic>
          </wp:inline>
        </w:drawing>
      </w:r>
    </w:p>
    <w:p w14:paraId="6AAFBFB2" w14:textId="77777777" w:rsidR="00132D55" w:rsidRDefault="00132D55" w:rsidP="00E321DD">
      <w:pPr>
        <w:spacing w:after="0" w:line="360" w:lineRule="auto"/>
        <w:rPr>
          <w:rFonts w:eastAsia="Times New Roman" w:cs="Tahoma"/>
          <w:color w:val="auto"/>
          <w:lang w:eastAsia="es-ES"/>
        </w:rPr>
      </w:pPr>
    </w:p>
    <w:p w14:paraId="3F97CC58" w14:textId="6600BA84" w:rsidR="00B5139B" w:rsidRDefault="00132D55" w:rsidP="00E321DD">
      <w:pPr>
        <w:spacing w:after="0" w:line="360" w:lineRule="auto"/>
        <w:rPr>
          <w:rFonts w:eastAsia="Times New Roman" w:cs="Tahoma"/>
          <w:color w:val="auto"/>
          <w:lang w:eastAsia="es-ES"/>
        </w:rPr>
      </w:pPr>
      <w:r>
        <w:rPr>
          <w:rFonts w:eastAsia="Times New Roman" w:cs="Tahoma"/>
          <w:color w:val="auto"/>
          <w:lang w:eastAsia="es-ES"/>
        </w:rPr>
        <w:t xml:space="preserve">Conforme a lo anterior, se logra observar que el Sujeto Obligado </w:t>
      </w:r>
      <w:proofErr w:type="spellStart"/>
      <w:r>
        <w:rPr>
          <w:rFonts w:eastAsia="Times New Roman" w:cs="Tahoma"/>
          <w:color w:val="auto"/>
          <w:lang w:eastAsia="es-ES"/>
        </w:rPr>
        <w:t>proporcion</w:t>
      </w:r>
      <w:r>
        <w:rPr>
          <w:rFonts w:eastAsia="Times New Roman" w:cs="Tahoma"/>
          <w:color w:val="auto"/>
          <w:lang w:val="x-none" w:eastAsia="es-ES"/>
        </w:rPr>
        <w:t>ó</w:t>
      </w:r>
      <w:proofErr w:type="spellEnd"/>
      <w:r>
        <w:rPr>
          <w:rFonts w:eastAsia="Times New Roman" w:cs="Tahoma"/>
          <w:color w:val="auto"/>
          <w:lang w:val="x-none" w:eastAsia="es-ES"/>
        </w:rPr>
        <w:t xml:space="preserve"> información relacionada con lo solicitado,</w:t>
      </w:r>
      <w:r w:rsidR="00E321DD">
        <w:rPr>
          <w:rFonts w:eastAsia="Times New Roman" w:cs="Tahoma"/>
          <w:color w:val="auto"/>
          <w:lang w:val="x-none" w:eastAsia="es-ES"/>
        </w:rPr>
        <w:t xml:space="preserve"> al corresponder al documento solicitado, sin embargo, corresponde al aplicable en el dos mil dieciséis y no al dos mil veintiuno, por lo que, es claro que la expresión documental no corresponde con lo solicitado y resulta incongruente la respuesta, pues la pretensión del ahora Recurrente es obtener la información actualizada a la fecha de la solicitud.</w:t>
      </w:r>
    </w:p>
    <w:p w14:paraId="62D159FD" w14:textId="5D64DDE6" w:rsidR="00132D55" w:rsidRDefault="00132D55" w:rsidP="00E321DD">
      <w:pPr>
        <w:spacing w:after="0" w:line="360" w:lineRule="auto"/>
        <w:rPr>
          <w:rFonts w:eastAsia="Times New Roman" w:cs="Tahoma"/>
          <w:color w:val="auto"/>
          <w:lang w:eastAsia="es-ES"/>
        </w:rPr>
      </w:pPr>
    </w:p>
    <w:p w14:paraId="2AC2C4AF" w14:textId="295E23ED" w:rsidR="00E321DD" w:rsidRPr="001C45FF" w:rsidRDefault="00E321DD" w:rsidP="00E321DD">
      <w:pPr>
        <w:spacing w:after="0" w:line="360" w:lineRule="auto"/>
        <w:rPr>
          <w:rFonts w:cs="Tahoma"/>
          <w:bCs/>
          <w:iCs/>
          <w:lang w:val="es-ES" w:eastAsia="es-MX"/>
        </w:rPr>
      </w:pPr>
      <w:r>
        <w:rPr>
          <w:rFonts w:cs="Tahoma"/>
          <w:lang w:val="es-ES"/>
        </w:rPr>
        <w:t>S</w:t>
      </w:r>
      <w:r w:rsidRPr="00554C3E">
        <w:rPr>
          <w:rFonts w:cs="Tahoma"/>
          <w:lang w:val="es-ES"/>
        </w:rPr>
        <w:t>obre dicha situación, el artículo 1.8, fracción IX, del Código Administrativo del Estado de México, establece que para que un acto administrativo tenga validez, deberá guardar congruencia con lo solicitado</w:t>
      </w:r>
      <w:r>
        <w:rPr>
          <w:rFonts w:cs="Tahoma"/>
          <w:lang w:val="es-ES"/>
        </w:rPr>
        <w:t xml:space="preserve">; </w:t>
      </w:r>
      <w:r>
        <w:rPr>
          <w:lang w:val="es-ES"/>
        </w:rPr>
        <w:t>a</w:t>
      </w:r>
      <w:r w:rsidRPr="00554C3E">
        <w:rPr>
          <w:lang w:val="es-ES"/>
        </w:rPr>
        <w:t>simismo,</w:t>
      </w:r>
      <w:r w:rsidRPr="00554C3E">
        <w:rPr>
          <w:rFonts w:cs="Tahoma"/>
          <w:lang w:eastAsia="es-MX"/>
        </w:rPr>
        <w:t xml:space="preserve"> resulta necesario traer</w:t>
      </w:r>
      <w:r w:rsidRPr="00554C3E">
        <w:rPr>
          <w:rFonts w:eastAsia="Calibri" w:cs="Tahoma"/>
          <w:bCs/>
          <w:lang w:val="es-ES"/>
        </w:rPr>
        <w:t xml:space="preserve"> por analogía, el Criterio 02/17, emitido por el Instituto Nacional de Transparencia, Acceso a la Información y Protección de Datos Personales, que señala lo siguiente:</w:t>
      </w:r>
    </w:p>
    <w:p w14:paraId="0D004744" w14:textId="77777777" w:rsidR="00E321DD" w:rsidRPr="00554C3E" w:rsidRDefault="00E321DD" w:rsidP="00E321DD">
      <w:pPr>
        <w:spacing w:after="0" w:line="360" w:lineRule="auto"/>
        <w:ind w:left="567" w:right="567"/>
        <w:rPr>
          <w:rFonts w:eastAsia="Calibri" w:cs="Tahoma"/>
          <w:i/>
          <w:sz w:val="20"/>
          <w:szCs w:val="20"/>
        </w:rPr>
      </w:pPr>
      <w:r w:rsidRPr="00554C3E">
        <w:rPr>
          <w:rFonts w:eastAsia="Calibri" w:cs="Tahoma"/>
          <w:b/>
          <w:bCs/>
          <w:i/>
          <w:sz w:val="20"/>
          <w:szCs w:val="20"/>
        </w:rPr>
        <w:lastRenderedPageBreak/>
        <w:t xml:space="preserve">“Congruencia y exhaustividad. Sus alcances para garantizar el derecho de acceso a la información. </w:t>
      </w:r>
      <w:r w:rsidRPr="00554C3E">
        <w:rPr>
          <w:rFonts w:eastAsia="Calibri" w:cs="Tahoma"/>
          <w:bCs/>
          <w:i/>
          <w:sz w:val="20"/>
          <w:szCs w:val="20"/>
        </w:rPr>
        <w:t xml:space="preserve">De conformidad con el artículo </w:t>
      </w:r>
      <w:r w:rsidRPr="00554C3E">
        <w:rPr>
          <w:rFonts w:eastAsia="Calibri" w:cs="Tahoma"/>
          <w:bCs/>
          <w:i/>
          <w:sz w:val="20"/>
          <w:szCs w:val="20"/>
          <w:lang w:val="es-ES_tradnl"/>
        </w:rPr>
        <w:t>3 de la Ley Federal de Procedimiento Administrativo</w:t>
      </w:r>
      <w:r w:rsidRPr="00554C3E">
        <w:rPr>
          <w:rFonts w:eastAsia="Calibri" w:cs="Tahoma"/>
          <w:bCs/>
          <w:i/>
          <w:sz w:val="20"/>
          <w:szCs w:val="20"/>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54C3E">
        <w:rPr>
          <w:rFonts w:eastAsia="Calibri" w:cs="Tahoma"/>
          <w:i/>
          <w:sz w:val="20"/>
          <w:szCs w:val="20"/>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EBABF70" w14:textId="77777777" w:rsidR="00E321DD" w:rsidRPr="00554C3E" w:rsidRDefault="00E321DD" w:rsidP="00E321DD">
      <w:pPr>
        <w:spacing w:after="0" w:line="360" w:lineRule="auto"/>
        <w:rPr>
          <w:lang w:val="es-ES"/>
        </w:rPr>
      </w:pPr>
    </w:p>
    <w:p w14:paraId="15F01DC3" w14:textId="1FC125F3" w:rsidR="00132D55" w:rsidRDefault="00E321DD" w:rsidP="00E321DD">
      <w:pPr>
        <w:spacing w:after="0" w:line="360" w:lineRule="auto"/>
        <w:rPr>
          <w:rFonts w:eastAsia="Times New Roman" w:cs="Tahoma"/>
          <w:color w:val="auto"/>
          <w:lang w:eastAsia="es-ES"/>
        </w:rPr>
      </w:pPr>
      <w:r w:rsidRPr="00554C3E">
        <w:t xml:space="preserve">Del citado criterio, se desprende que </w:t>
      </w:r>
      <w:r w:rsidRPr="00554C3E">
        <w:rPr>
          <w:bCs/>
        </w:rPr>
        <w:t>todo acto administrativo debe apegarse al</w:t>
      </w:r>
      <w:r w:rsidRPr="00554C3E">
        <w:rPr>
          <w:lang w:val="es-ES"/>
        </w:rPr>
        <w:t xml:space="preserve"> </w:t>
      </w:r>
      <w:r w:rsidRPr="00554C3E">
        <w:rPr>
          <w:b/>
          <w:lang w:val="es-ES"/>
        </w:rPr>
        <w:t xml:space="preserve">Principio de Congruencia, </w:t>
      </w:r>
      <w:r w:rsidRPr="00554C3E">
        <w:rPr>
          <w:lang w:val="es-ES"/>
        </w:rPr>
        <w:t>el cual</w:t>
      </w:r>
      <w:r w:rsidRPr="00554C3E">
        <w:rPr>
          <w:b/>
          <w:lang w:val="es-ES"/>
        </w:rPr>
        <w:t xml:space="preserve"> </w:t>
      </w:r>
      <w:r w:rsidRPr="00554C3E">
        <w:rPr>
          <w:lang w:val="es-ES"/>
        </w:rPr>
        <w:t xml:space="preserve">implica que exista concordancia entre el requerimiento formulado y la respuesta entregada; por tales consideraciones y toda vez que el </w:t>
      </w:r>
      <w:r w:rsidRPr="00554C3E">
        <w:t>Sujeto Obligado</w:t>
      </w:r>
      <w:r w:rsidRPr="00554C3E">
        <w:rPr>
          <w:lang w:val="es-ES"/>
        </w:rPr>
        <w:t xml:space="preserve"> incumplió con el principio mencionado, no se puede validar la respuesta </w:t>
      </w:r>
      <w:r>
        <w:rPr>
          <w:lang w:val="es-ES"/>
        </w:rPr>
        <w:t>primigenia</w:t>
      </w:r>
    </w:p>
    <w:p w14:paraId="588A0536" w14:textId="4FD9AC33" w:rsidR="00132D55" w:rsidRDefault="00132D55" w:rsidP="00E321DD">
      <w:pPr>
        <w:spacing w:after="0" w:line="360" w:lineRule="auto"/>
        <w:rPr>
          <w:rFonts w:eastAsia="Times New Roman" w:cs="Tahoma"/>
          <w:color w:val="auto"/>
          <w:lang w:eastAsia="es-ES"/>
        </w:rPr>
      </w:pPr>
    </w:p>
    <w:p w14:paraId="6CB000F5" w14:textId="5FA0944D" w:rsidR="00E321DD" w:rsidRDefault="00E321DD" w:rsidP="00E321DD">
      <w:pPr>
        <w:spacing w:after="0" w:line="360" w:lineRule="auto"/>
        <w:rPr>
          <w:rFonts w:eastAsia="Times New Roman" w:cs="Tahoma"/>
          <w:color w:val="auto"/>
          <w:lang w:eastAsia="es-ES"/>
        </w:rPr>
      </w:pPr>
      <w:r>
        <w:rPr>
          <w:rFonts w:eastAsia="Times New Roman" w:cs="Tahoma"/>
          <w:color w:val="auto"/>
          <w:lang w:eastAsia="es-ES"/>
        </w:rPr>
        <w:t>Lo anterior es as</w:t>
      </w:r>
      <w:r>
        <w:rPr>
          <w:rFonts w:eastAsia="Times New Roman" w:cs="Tahoma"/>
          <w:color w:val="auto"/>
          <w:lang w:val="x-none" w:eastAsia="es-ES"/>
        </w:rPr>
        <w:t xml:space="preserve">í, toda vez que mediante el oficio número 20505000L/1977/2021, el Coordinador General de Protección Civil del Estado de México, aprobó y tuvo por actualizado el Atlas de Riesgos de Atenco 2021, el catorce de abril de dos mil veintiuno, por lo que, a la fecha de presentación de la solicitud, ya contaba con el documento peticionado. </w:t>
      </w:r>
    </w:p>
    <w:p w14:paraId="222DED35" w14:textId="77777777" w:rsidR="00E321DD" w:rsidRDefault="00E321DD" w:rsidP="00E321DD">
      <w:pPr>
        <w:spacing w:after="0" w:line="360" w:lineRule="auto"/>
        <w:rPr>
          <w:rFonts w:eastAsia="Times New Roman" w:cs="Tahoma"/>
          <w:color w:val="auto"/>
          <w:lang w:eastAsia="es-ES"/>
        </w:rPr>
      </w:pPr>
    </w:p>
    <w:p w14:paraId="3F3AD472" w14:textId="7398FCB0" w:rsidR="0056659F" w:rsidRPr="0056659F" w:rsidRDefault="00E321DD" w:rsidP="00E321DD">
      <w:pPr>
        <w:spacing w:after="0" w:line="360" w:lineRule="auto"/>
        <w:rPr>
          <w:rFonts w:eastAsia="Times New Roman" w:cs="Tahoma"/>
          <w:color w:val="auto"/>
          <w:lang w:eastAsia="es-ES"/>
        </w:rPr>
      </w:pPr>
      <w:r>
        <w:rPr>
          <w:rFonts w:eastAsia="Times New Roman" w:cs="Tahoma"/>
          <w:color w:val="auto"/>
          <w:lang w:eastAsia="es-ES"/>
        </w:rPr>
        <w:t>No obstante lo anterior, durante</w:t>
      </w:r>
      <w:r w:rsidR="0056659F" w:rsidRPr="0056659F">
        <w:rPr>
          <w:iCs/>
          <w:lang w:val="es-ES"/>
        </w:rPr>
        <w:t xml:space="preserve"> la sustanciación del Medio de Impugnación, el Sujeto Obligado modificó su actuar y proporcionó</w:t>
      </w:r>
      <w:r w:rsidR="000444C5">
        <w:rPr>
          <w:iCs/>
          <w:lang w:val="es-ES"/>
        </w:rPr>
        <w:t xml:space="preserve"> </w:t>
      </w:r>
      <w:r>
        <w:rPr>
          <w:iCs/>
          <w:lang w:val="es-ES"/>
        </w:rPr>
        <w:t xml:space="preserve">el enlace </w:t>
      </w:r>
      <w:proofErr w:type="spellStart"/>
      <w:r>
        <w:rPr>
          <w:iCs/>
          <w:lang w:val="es-ES"/>
        </w:rPr>
        <w:t>electr</w:t>
      </w:r>
      <w:proofErr w:type="spellEnd"/>
      <w:r w:rsidR="007E1917">
        <w:rPr>
          <w:iCs/>
          <w:lang w:val="x-none"/>
        </w:rPr>
        <w:t>ó</w:t>
      </w:r>
      <w:r>
        <w:rPr>
          <w:iCs/>
          <w:lang w:val="x-none"/>
        </w:rPr>
        <w:t xml:space="preserve">nico (consultado el </w:t>
      </w:r>
      <w:r w:rsidR="007E1917">
        <w:rPr>
          <w:iCs/>
          <w:lang w:val="x-none"/>
        </w:rPr>
        <w:t xml:space="preserve">diecisiete de enero de dos mil veintidós, a las trece horas con quince minutos </w:t>
      </w:r>
      <w:hyperlink r:id="rId18" w:history="1">
        <w:r w:rsidR="007E1917" w:rsidRPr="009D6F52">
          <w:rPr>
            <w:rStyle w:val="Hipervnculo"/>
            <w:bCs/>
            <w:iCs/>
          </w:rPr>
          <w:t>http://rmgir.proyectomesoamerica.org/PDFMunicipales/EdoMex/Atlas_Atenco_Abr2021_081.pdf</w:t>
        </w:r>
      </w:hyperlink>
      <w:r w:rsidR="007E1917">
        <w:rPr>
          <w:bCs/>
          <w:iCs/>
        </w:rPr>
        <w:t xml:space="preserve">), de cuya </w:t>
      </w:r>
      <w:proofErr w:type="spellStart"/>
      <w:r w:rsidR="007E1917">
        <w:rPr>
          <w:bCs/>
          <w:iCs/>
        </w:rPr>
        <w:t>revisi</w:t>
      </w:r>
      <w:proofErr w:type="spellEnd"/>
      <w:r w:rsidR="007E1917">
        <w:rPr>
          <w:bCs/>
          <w:iCs/>
          <w:lang w:val="x-none"/>
        </w:rPr>
        <w:t>ón</w:t>
      </w:r>
      <w:bookmarkStart w:id="0" w:name="_GoBack"/>
      <w:bookmarkEnd w:id="0"/>
      <w:r w:rsidR="007E1917">
        <w:rPr>
          <w:bCs/>
          <w:iCs/>
          <w:lang w:val="x-none"/>
        </w:rPr>
        <w:t xml:space="preserve"> se logra advertir que remite al Atlas de Riesgos del Municipio de Atenco, dos mil veintiuno, tal como se muestra a continuación:</w:t>
      </w:r>
      <w:r w:rsidR="006D671E">
        <w:rPr>
          <w:bCs/>
          <w:iCs/>
        </w:rPr>
        <w:t xml:space="preserve"> </w:t>
      </w:r>
    </w:p>
    <w:p w14:paraId="235ED63B" w14:textId="77777777" w:rsidR="0056659F" w:rsidRDefault="0056659F" w:rsidP="00E321DD">
      <w:pPr>
        <w:spacing w:after="0" w:line="360" w:lineRule="auto"/>
      </w:pPr>
    </w:p>
    <w:p w14:paraId="1AF261CA" w14:textId="4F2C215B" w:rsidR="0056659F" w:rsidRDefault="00CD0D73" w:rsidP="00E321DD">
      <w:pPr>
        <w:spacing w:after="0" w:line="360" w:lineRule="auto"/>
        <w:jc w:val="center"/>
      </w:pPr>
      <w:r>
        <w:rPr>
          <w:noProof/>
          <w:lang w:eastAsia="es-MX"/>
        </w:rPr>
        <w:drawing>
          <wp:inline distT="0" distB="0" distL="0" distR="0" wp14:anchorId="6B08733A" wp14:editId="51A36126">
            <wp:extent cx="2913321" cy="1958611"/>
            <wp:effectExtent l="0" t="0" r="0" b="0"/>
            <wp:docPr id="2" name="Imagen 2"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letrero de color blanco&#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3231" cy="1985442"/>
                    </a:xfrm>
                    <a:prstGeom prst="rect">
                      <a:avLst/>
                    </a:prstGeom>
                  </pic:spPr>
                </pic:pic>
              </a:graphicData>
            </a:graphic>
          </wp:inline>
        </w:drawing>
      </w:r>
    </w:p>
    <w:p w14:paraId="3002FDC5" w14:textId="73316606" w:rsidR="00CD0D73" w:rsidRDefault="00CD0D73" w:rsidP="00E321DD">
      <w:pPr>
        <w:spacing w:after="0" w:line="360" w:lineRule="auto"/>
      </w:pPr>
    </w:p>
    <w:p w14:paraId="4923F68E" w14:textId="529923E8" w:rsidR="007E1917" w:rsidRDefault="007E1917" w:rsidP="00E321DD">
      <w:pPr>
        <w:spacing w:after="0" w:line="360" w:lineRule="auto"/>
      </w:pPr>
      <w:r>
        <w:t>Como se logra observar, el Sujeto Obligado, en cumplimiento al art</w:t>
      </w:r>
      <w:proofErr w:type="spellStart"/>
      <w:r>
        <w:rPr>
          <w:lang w:val="x-none"/>
        </w:rPr>
        <w:t>ículo</w:t>
      </w:r>
      <w:proofErr w:type="spellEnd"/>
      <w:r>
        <w:rPr>
          <w:lang w:val="x-none"/>
        </w:rPr>
        <w:t xml:space="preserve"> 161 de la Ley de Transparencia y Acceso a la Información Pública del Estado de México y Municipios, entregó la fuente, el lugar y la forma para acceder al documento requerido por el ahora Recurrente.</w:t>
      </w:r>
    </w:p>
    <w:p w14:paraId="0B93C6A7" w14:textId="77777777" w:rsidR="007E1917" w:rsidRDefault="007E1917" w:rsidP="00E321DD">
      <w:pPr>
        <w:spacing w:after="0" w:line="360" w:lineRule="auto"/>
      </w:pPr>
    </w:p>
    <w:p w14:paraId="64D050C5" w14:textId="45897279" w:rsidR="00F023B3" w:rsidRPr="007E1917" w:rsidRDefault="007E1917" w:rsidP="00E321DD">
      <w:pPr>
        <w:spacing w:after="0" w:line="360" w:lineRule="auto"/>
        <w:rPr>
          <w:bCs/>
          <w:iCs/>
        </w:rPr>
      </w:pPr>
      <w:r>
        <w:rPr>
          <w:bCs/>
          <w:iCs/>
        </w:rPr>
        <w:t xml:space="preserve">Conforme a dicha circunstancia, se advierte que el Ayuntamiento de Atenco, durante la </w:t>
      </w:r>
      <w:r w:rsidR="00122732">
        <w:rPr>
          <w:bCs/>
          <w:iCs/>
        </w:rPr>
        <w:t>sustanciación</w:t>
      </w:r>
      <w:r>
        <w:rPr>
          <w:bCs/>
          <w:iCs/>
          <w:lang w:val="x-none"/>
        </w:rPr>
        <w:t xml:space="preserve"> del Medio de Impugnación, dio acceso al documento que da cuenta de lo solicitado, a saber, el Atlas de Riesgos del Municipio de Atenco, dos mil veintiuno; dicha situación, toma sustento en el</w:t>
      </w:r>
      <w:r>
        <w:rPr>
          <w:bCs/>
          <w:iCs/>
        </w:rPr>
        <w:t xml:space="preserve"> </w:t>
      </w:r>
      <w:r w:rsidR="00F023B3" w:rsidRPr="00F023B3">
        <w:rPr>
          <w:bCs/>
          <w:iCs/>
        </w:rPr>
        <w:t>artículo</w:t>
      </w:r>
      <w:r w:rsidR="00F023B3" w:rsidRPr="00F023B3">
        <w:rPr>
          <w:iCs/>
        </w:rPr>
        <w:t xml:space="preserve"> 12 de la Ley de Transparencia y Acceso a la Información Pública del Estado de México y Municipios, </w:t>
      </w:r>
      <w:r>
        <w:rPr>
          <w:iCs/>
        </w:rPr>
        <w:t xml:space="preserve">que </w:t>
      </w:r>
      <w:r w:rsidR="00F023B3" w:rsidRPr="00F023B3">
        <w:rPr>
          <w:iCs/>
        </w:rPr>
        <w:t xml:space="preserve">establece que los sujetos obligados sólo están constreñidos a </w:t>
      </w:r>
      <w:r w:rsidR="00F023B3" w:rsidRPr="00F023B3">
        <w:rPr>
          <w:b/>
          <w:bCs/>
          <w:iCs/>
        </w:rPr>
        <w:t>proporcionar la información pública que obre en sus archivos, en el estado en que esta se encuentre;</w:t>
      </w:r>
      <w:r w:rsidR="00F023B3" w:rsidRPr="00F023B3">
        <w:rPr>
          <w:iCs/>
        </w:rPr>
        <w:t xml:space="preserve"> por lo que, la entrega no comprende el procesamiento de la misma, ni presentarla conforme al interés del Solicitante.</w:t>
      </w:r>
    </w:p>
    <w:p w14:paraId="26B793E6" w14:textId="77777777" w:rsidR="00F023B3" w:rsidRPr="00F023B3" w:rsidRDefault="00F023B3" w:rsidP="00E321DD">
      <w:pPr>
        <w:spacing w:after="0" w:line="360" w:lineRule="auto"/>
        <w:rPr>
          <w:iCs/>
        </w:rPr>
      </w:pPr>
    </w:p>
    <w:p w14:paraId="24A10C64" w14:textId="212F3584" w:rsidR="002D2CFF" w:rsidRPr="0037585A" w:rsidRDefault="00F023B3" w:rsidP="007E1917">
      <w:pPr>
        <w:spacing w:after="0" w:line="360" w:lineRule="auto"/>
        <w:rPr>
          <w:iCs/>
          <w:lang w:val="es-ES"/>
        </w:rPr>
      </w:pPr>
      <w:r w:rsidRPr="00F023B3">
        <w:rPr>
          <w:iCs/>
        </w:rPr>
        <w:t xml:space="preserve">De esta manera, </w:t>
      </w:r>
      <w:r w:rsidRPr="00F023B3">
        <w:rPr>
          <w:iCs/>
          <w:lang w:val="es-ES"/>
        </w:rPr>
        <w:t xml:space="preserve">el derecho de acceso a la información pública se satisface en aquellos casos en que se entregue el soporte documental en el que conste la información solicitada, sin necesidad de elaborar documentos </w:t>
      </w:r>
      <w:r w:rsidRPr="00F023B3">
        <w:rPr>
          <w:i/>
          <w:iCs/>
        </w:rPr>
        <w:t>ad hoc</w:t>
      </w:r>
      <w:r w:rsidRPr="00F023B3">
        <w:rPr>
          <w:iC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7784283B" w14:textId="77777777" w:rsidR="007E1917" w:rsidRDefault="007E1917" w:rsidP="00E321DD">
      <w:pPr>
        <w:spacing w:after="0" w:line="360" w:lineRule="auto"/>
        <w:rPr>
          <w:lang w:val="es-ES"/>
        </w:rPr>
      </w:pPr>
    </w:p>
    <w:p w14:paraId="2411A9EF" w14:textId="44C33BA2" w:rsidR="007E1917" w:rsidRDefault="0037585A" w:rsidP="007E1917">
      <w:pPr>
        <w:spacing w:after="0" w:line="360" w:lineRule="auto"/>
        <w:rPr>
          <w:lang w:val="es-ES"/>
        </w:rPr>
      </w:pPr>
      <w:r w:rsidRPr="0037585A">
        <w:rPr>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sidR="007E1917">
        <w:rPr>
          <w:lang w:val="es-ES"/>
        </w:rPr>
        <w:t xml:space="preserve">; lo cual </w:t>
      </w:r>
      <w:r w:rsidR="00122732">
        <w:rPr>
          <w:lang w:val="es-ES"/>
        </w:rPr>
        <w:t>aconteció</w:t>
      </w:r>
      <w:r w:rsidR="007E1917">
        <w:rPr>
          <w:lang w:val="x-none"/>
        </w:rPr>
        <w:t xml:space="preserve"> pues entregó la expresión documental requerida.</w:t>
      </w:r>
    </w:p>
    <w:p w14:paraId="24826329" w14:textId="6742F024" w:rsidR="007E1917" w:rsidRDefault="007E1917" w:rsidP="007E1917">
      <w:pPr>
        <w:spacing w:after="0" w:line="360" w:lineRule="auto"/>
      </w:pPr>
    </w:p>
    <w:p w14:paraId="750D5724" w14:textId="183EC85D" w:rsidR="00B1206D" w:rsidRPr="007E1917" w:rsidRDefault="007E1917" w:rsidP="007E1917">
      <w:pPr>
        <w:spacing w:after="0" w:line="360" w:lineRule="auto"/>
        <w:rPr>
          <w:b/>
        </w:rPr>
      </w:pPr>
      <w:r>
        <w:t xml:space="preserve">Por todo lo expuesto y toda vez </w:t>
      </w:r>
      <w:r w:rsidR="00122732">
        <w:t>que,</w:t>
      </w:r>
      <w:r>
        <w:t xml:space="preserve"> </w:t>
      </w:r>
      <w:r w:rsidR="00122732">
        <w:t>durante</w:t>
      </w:r>
      <w:r>
        <w:t xml:space="preserve"> la </w:t>
      </w:r>
      <w:r w:rsidR="00122732">
        <w:t>sustanciación</w:t>
      </w:r>
      <w:r>
        <w:rPr>
          <w:lang w:val="x-none"/>
        </w:rPr>
        <w:t xml:space="preserve"> del presente Medio de Impugnación, el Ente Recurrido</w:t>
      </w:r>
      <w:r w:rsidRPr="007E1917">
        <w:rPr>
          <w:b/>
          <w:lang w:val="x-none"/>
        </w:rPr>
        <w:t>, modificó su actuar</w:t>
      </w:r>
      <w:r>
        <w:rPr>
          <w:b/>
          <w:lang w:val="x-none"/>
        </w:rPr>
        <w:t>, al dar acceso a la información que da cuenta de lo peticionado, en términos de los artículos 12 y 160 de la Ley de la materia, se considera que la impugnación que se dirime ha quedado sin materia.</w:t>
      </w:r>
    </w:p>
    <w:p w14:paraId="54D4C359" w14:textId="77777777" w:rsidR="00B1206D" w:rsidRDefault="00B1206D" w:rsidP="00E321DD">
      <w:pPr>
        <w:spacing w:after="0" w:line="360" w:lineRule="auto"/>
      </w:pPr>
    </w:p>
    <w:p w14:paraId="2AB278B3" w14:textId="77777777" w:rsidR="005D495B" w:rsidRPr="005D495B" w:rsidRDefault="005D495B" w:rsidP="00E321DD">
      <w:pPr>
        <w:spacing w:after="0" w:line="360" w:lineRule="auto"/>
        <w:ind w:right="-28"/>
        <w:rPr>
          <w:rFonts w:eastAsia="Times New Roman" w:cs="Tahoma"/>
          <w:b/>
          <w:bCs/>
          <w:color w:val="auto"/>
          <w:szCs w:val="24"/>
          <w:lang w:val="es-ES" w:eastAsia="es-ES"/>
        </w:rPr>
      </w:pPr>
      <w:r w:rsidRPr="005D495B">
        <w:rPr>
          <w:rFonts w:eastAsia="Times New Roman" w:cs="Tahoma"/>
          <w:b/>
          <w:bCs/>
          <w:color w:val="auto"/>
          <w:szCs w:val="24"/>
          <w:lang w:val="es-ES" w:eastAsia="es-ES"/>
        </w:rPr>
        <w:t xml:space="preserve">CUARTO. Decisión. </w:t>
      </w:r>
    </w:p>
    <w:p w14:paraId="1BCD3762" w14:textId="77777777" w:rsidR="005D495B" w:rsidRPr="005D495B" w:rsidRDefault="005D495B" w:rsidP="00E321DD">
      <w:pPr>
        <w:spacing w:after="0" w:line="360" w:lineRule="auto"/>
        <w:ind w:right="-28"/>
        <w:rPr>
          <w:rFonts w:eastAsia="Times New Roman" w:cs="Tahoma"/>
          <w:b/>
          <w:bCs/>
          <w:color w:val="auto"/>
          <w:szCs w:val="24"/>
          <w:lang w:val="es-ES" w:eastAsia="es-ES"/>
        </w:rPr>
      </w:pPr>
    </w:p>
    <w:p w14:paraId="2AD2619A" w14:textId="77777777" w:rsidR="005D495B" w:rsidRPr="005D495B" w:rsidRDefault="005D495B" w:rsidP="00E321DD">
      <w:pPr>
        <w:spacing w:after="0" w:line="360" w:lineRule="auto"/>
        <w:ind w:right="-28"/>
        <w:rPr>
          <w:rFonts w:eastAsia="Times New Roman" w:cs="Tahoma"/>
          <w:bCs/>
          <w:color w:val="auto"/>
          <w:szCs w:val="24"/>
          <w:lang w:val="es-ES" w:eastAsia="es-ES"/>
        </w:rPr>
      </w:pPr>
      <w:r w:rsidRPr="005D495B">
        <w:rPr>
          <w:rFonts w:eastAsia="Times New Roman" w:cs="Tahoma"/>
          <w:bCs/>
          <w:color w:val="auto"/>
          <w:szCs w:val="24"/>
          <w:lang w:val="es-ES" w:eastAsia="es-ES"/>
        </w:rPr>
        <w:t xml:space="preserve">Con fundamento en lo dispuesto en el artículo 186, fracción I de la Ley de Transparencia y Acceso a la Información Pública del Estado de México y Municipios, se considera procedente </w:t>
      </w:r>
      <w:r w:rsidRPr="005D495B">
        <w:rPr>
          <w:rFonts w:eastAsia="Times New Roman" w:cs="Tahoma"/>
          <w:b/>
          <w:bCs/>
          <w:color w:val="auto"/>
          <w:szCs w:val="24"/>
          <w:lang w:val="es-ES" w:eastAsia="es-ES"/>
        </w:rPr>
        <w:t xml:space="preserve">SOBRESEER </w:t>
      </w:r>
      <w:r w:rsidRPr="005D495B">
        <w:rPr>
          <w:rFonts w:eastAsia="Times New Roman" w:cs="Tahoma"/>
          <w:bCs/>
          <w:color w:val="auto"/>
          <w:szCs w:val="24"/>
          <w:lang w:val="es-ES" w:eastAsia="es-ES"/>
        </w:rPr>
        <w:t>los Recursos de Revisión, en virtud de que se actualiza la hipótesis normativa prevista en la fracción III, del artículo 192, del citado ordenamiento legal.</w:t>
      </w:r>
    </w:p>
    <w:p w14:paraId="7726842E" w14:textId="77777777" w:rsidR="00682222" w:rsidRPr="005D495B" w:rsidRDefault="00682222" w:rsidP="00E321DD">
      <w:pPr>
        <w:spacing w:after="0" w:line="360" w:lineRule="auto"/>
        <w:ind w:right="-28"/>
        <w:rPr>
          <w:rFonts w:eastAsia="Times New Roman" w:cs="Tahoma"/>
          <w:bCs/>
          <w:color w:val="auto"/>
          <w:szCs w:val="24"/>
          <w:lang w:val="es-ES" w:eastAsia="es-ES"/>
        </w:rPr>
      </w:pPr>
    </w:p>
    <w:p w14:paraId="0FF7C8D6" w14:textId="77777777" w:rsidR="00A94E9D" w:rsidRPr="00A94E9D" w:rsidRDefault="00A94E9D" w:rsidP="00E321DD">
      <w:pPr>
        <w:spacing w:after="0" w:line="360" w:lineRule="auto"/>
        <w:ind w:right="-28"/>
        <w:rPr>
          <w:rFonts w:eastAsia="Times New Roman" w:cs="Tahoma"/>
          <w:b/>
          <w:bCs/>
          <w:iCs/>
          <w:color w:val="auto"/>
          <w:szCs w:val="24"/>
          <w:lang w:eastAsia="es-ES"/>
        </w:rPr>
      </w:pPr>
      <w:r w:rsidRPr="00A94E9D">
        <w:rPr>
          <w:rFonts w:eastAsia="Times New Roman" w:cs="Tahoma"/>
          <w:b/>
          <w:bCs/>
          <w:iCs/>
          <w:color w:val="auto"/>
          <w:szCs w:val="24"/>
          <w:lang w:eastAsia="es-ES"/>
        </w:rPr>
        <w:t>Términos de la Resolución para conocimiento del Particular.</w:t>
      </w:r>
    </w:p>
    <w:p w14:paraId="2FE066A0" w14:textId="77777777" w:rsidR="00A94E9D" w:rsidRPr="00A94E9D" w:rsidRDefault="00A94E9D" w:rsidP="00E321DD">
      <w:pPr>
        <w:spacing w:after="0" w:line="360" w:lineRule="auto"/>
        <w:ind w:right="-28"/>
        <w:rPr>
          <w:rFonts w:eastAsia="Times New Roman" w:cs="Tahoma"/>
          <w:bCs/>
          <w:iCs/>
          <w:color w:val="auto"/>
          <w:szCs w:val="24"/>
          <w:lang w:eastAsia="es-ES"/>
        </w:rPr>
      </w:pPr>
    </w:p>
    <w:p w14:paraId="1DCF8BDA" w14:textId="3CC3C62D" w:rsidR="00A94E9D" w:rsidRPr="007E1917" w:rsidRDefault="00A94E9D" w:rsidP="00E321DD">
      <w:pPr>
        <w:spacing w:after="0" w:line="360" w:lineRule="auto"/>
        <w:ind w:right="-28"/>
        <w:rPr>
          <w:rFonts w:eastAsia="Times New Roman" w:cs="Tahoma"/>
          <w:bCs/>
          <w:iCs/>
          <w:color w:val="auto"/>
          <w:szCs w:val="24"/>
          <w:lang w:val="es-ES" w:eastAsia="es-ES"/>
        </w:rPr>
      </w:pPr>
      <w:r w:rsidRPr="00A94E9D">
        <w:rPr>
          <w:rFonts w:eastAsia="Times New Roman" w:cs="Tahoma"/>
          <w:bCs/>
          <w:iCs/>
          <w:color w:val="auto"/>
          <w:szCs w:val="24"/>
          <w:lang w:val="es-ES" w:eastAsia="es-ES"/>
        </w:rPr>
        <w:t xml:space="preserve">Se le hace del conocimiento del Particular, que, si bien en un principio se le daba la razón, pues el Sujeto Obligado había entregado </w:t>
      </w:r>
      <w:r w:rsidR="007E1917">
        <w:rPr>
          <w:rFonts w:eastAsia="Times New Roman" w:cs="Tahoma"/>
          <w:bCs/>
          <w:iCs/>
          <w:color w:val="auto"/>
          <w:szCs w:val="24"/>
          <w:lang w:val="es-ES" w:eastAsia="es-ES"/>
        </w:rPr>
        <w:t>un documento que no da cuenta de lo peticionado</w:t>
      </w:r>
      <w:r w:rsidRPr="00A94E9D">
        <w:rPr>
          <w:rFonts w:eastAsia="Times New Roman" w:cs="Tahoma"/>
          <w:bCs/>
          <w:iCs/>
          <w:color w:val="auto"/>
          <w:szCs w:val="24"/>
          <w:lang w:val="es-ES" w:eastAsia="es-ES"/>
        </w:rPr>
        <w:t xml:space="preserve">, lo cierto es que durante la sustanciación del Medio de Impugnación, </w:t>
      </w:r>
      <w:r w:rsidR="007E1917">
        <w:rPr>
          <w:rFonts w:eastAsia="Times New Roman" w:cs="Tahoma"/>
          <w:bCs/>
          <w:iCs/>
          <w:color w:val="auto"/>
          <w:szCs w:val="24"/>
          <w:lang w:val="es-ES" w:eastAsia="es-ES"/>
        </w:rPr>
        <w:t xml:space="preserve">dio acceso al </w:t>
      </w:r>
      <w:r w:rsidR="00064DB1">
        <w:rPr>
          <w:rFonts w:eastAsia="Times New Roman" w:cs="Tahoma"/>
          <w:bCs/>
          <w:iCs/>
          <w:color w:val="auto"/>
          <w:szCs w:val="24"/>
          <w:lang w:val="es-ES" w:eastAsia="es-ES"/>
        </w:rPr>
        <w:t>Atlas de Riesgos de</w:t>
      </w:r>
      <w:r w:rsidR="007E1917">
        <w:rPr>
          <w:rFonts w:eastAsia="Times New Roman" w:cs="Tahoma"/>
          <w:bCs/>
          <w:iCs/>
          <w:color w:val="auto"/>
          <w:szCs w:val="24"/>
          <w:lang w:val="es-ES" w:eastAsia="es-ES"/>
        </w:rPr>
        <w:t>l Municipio de Atenco,</w:t>
      </w:r>
      <w:r w:rsidR="00064DB1">
        <w:rPr>
          <w:rFonts w:eastAsia="Times New Roman" w:cs="Tahoma"/>
          <w:bCs/>
          <w:iCs/>
          <w:color w:val="auto"/>
          <w:szCs w:val="24"/>
          <w:lang w:val="es-ES" w:eastAsia="es-ES"/>
        </w:rPr>
        <w:t xml:space="preserve"> dos mil veintiuno, </w:t>
      </w:r>
      <w:r w:rsidRPr="00A94E9D">
        <w:rPr>
          <w:rFonts w:eastAsia="Times New Roman" w:cs="Tahoma"/>
          <w:bCs/>
          <w:iCs/>
          <w:color w:val="auto"/>
          <w:szCs w:val="24"/>
          <w:lang w:val="es-ES" w:eastAsia="es-ES"/>
        </w:rPr>
        <w:t xml:space="preserve">documento </w:t>
      </w:r>
      <w:r w:rsidR="00064DB1">
        <w:rPr>
          <w:rFonts w:eastAsia="Times New Roman" w:cs="Tahoma"/>
          <w:bCs/>
          <w:iCs/>
          <w:color w:val="auto"/>
          <w:szCs w:val="24"/>
          <w:lang w:val="es-ES" w:eastAsia="es-ES"/>
        </w:rPr>
        <w:t>que es su interés</w:t>
      </w:r>
      <w:r w:rsidR="007E1917">
        <w:rPr>
          <w:rFonts w:eastAsia="Times New Roman" w:cs="Tahoma"/>
          <w:bCs/>
          <w:iCs/>
          <w:color w:val="auto"/>
          <w:szCs w:val="24"/>
          <w:lang w:val="es-ES" w:eastAsia="es-ES"/>
        </w:rPr>
        <w:t xml:space="preserve">; </w:t>
      </w:r>
      <w:r w:rsidR="007A29F7">
        <w:rPr>
          <w:rFonts w:eastAsia="Times New Roman" w:cs="Tahoma"/>
          <w:bCs/>
          <w:iCs/>
          <w:color w:val="auto"/>
          <w:szCs w:val="24"/>
          <w:lang w:val="es-ES_tradnl" w:eastAsia="es-ES"/>
        </w:rPr>
        <w:t>l</w:t>
      </w:r>
      <w:r w:rsidRPr="00A94E9D">
        <w:rPr>
          <w:rFonts w:eastAsia="Times New Roman" w:cs="Tahoma"/>
          <w:bCs/>
          <w:iCs/>
          <w:color w:val="auto"/>
          <w:szCs w:val="24"/>
          <w:lang w:val="es-ES_tradnl" w:eastAsia="es-ES"/>
        </w:rPr>
        <w:t xml:space="preserve">a labor </w:t>
      </w:r>
      <w:r w:rsidR="007E1917">
        <w:rPr>
          <w:rFonts w:eastAsia="Times New Roman" w:cs="Tahoma"/>
          <w:bCs/>
          <w:iCs/>
          <w:color w:val="auto"/>
          <w:szCs w:val="24"/>
          <w:lang w:val="es-ES_tradnl" w:eastAsia="es-ES"/>
        </w:rPr>
        <w:t>de este Instituto</w:t>
      </w:r>
      <w:r w:rsidRPr="00A94E9D">
        <w:rPr>
          <w:rFonts w:eastAsia="Times New Roman" w:cs="Tahoma"/>
          <w:bCs/>
          <w:iCs/>
          <w:color w:val="auto"/>
          <w:szCs w:val="24"/>
          <w:lang w:val="es-ES_tradnl" w:eastAsia="es-ES"/>
        </w:rPr>
        <w:t>, es apoyar a la población a acceder a la información pública y garantizar la protección de los datos personales.</w:t>
      </w:r>
    </w:p>
    <w:p w14:paraId="457213AE" w14:textId="77777777" w:rsidR="00C853D1" w:rsidRPr="00DA1662" w:rsidRDefault="00C853D1" w:rsidP="00E321DD">
      <w:pPr>
        <w:spacing w:after="0" w:line="360" w:lineRule="auto"/>
      </w:pPr>
    </w:p>
    <w:p w14:paraId="415F6C37" w14:textId="77777777" w:rsidR="001C45FF" w:rsidRDefault="001C45FF" w:rsidP="00E321DD">
      <w:pPr>
        <w:spacing w:after="0" w:line="360" w:lineRule="auto"/>
      </w:pPr>
    </w:p>
    <w:p w14:paraId="4469D1A7" w14:textId="1B951550" w:rsidR="00C853D1" w:rsidRPr="00B377FD" w:rsidRDefault="00C853D1" w:rsidP="00E321DD">
      <w:pPr>
        <w:spacing w:after="0" w:line="360" w:lineRule="auto"/>
        <w:rPr>
          <w:rFonts w:eastAsia="Calibri" w:cs="Tahoma"/>
          <w:bCs/>
          <w:color w:val="auto"/>
        </w:rPr>
      </w:pPr>
      <w:r w:rsidRPr="00DA1662">
        <w:t>Por</w:t>
      </w:r>
      <w:r w:rsidRPr="00B377FD">
        <w:rPr>
          <w:rFonts w:eastAsia="Calibri" w:cs="Tahoma"/>
          <w:bCs/>
          <w:color w:val="auto"/>
        </w:rPr>
        <w:t xml:space="preserve"> lo expuesto y fundado, este Pleno:</w:t>
      </w:r>
    </w:p>
    <w:p w14:paraId="2A9CCC89" w14:textId="77777777" w:rsidR="00C853D1" w:rsidRPr="00B377FD" w:rsidRDefault="00C853D1" w:rsidP="00E321DD">
      <w:pPr>
        <w:spacing w:after="0" w:line="360" w:lineRule="auto"/>
        <w:ind w:right="-28"/>
        <w:rPr>
          <w:rFonts w:eastAsia="Calibri" w:cs="Tahoma"/>
          <w:bCs/>
          <w:color w:val="auto"/>
        </w:rPr>
      </w:pPr>
    </w:p>
    <w:p w14:paraId="48552151" w14:textId="77777777" w:rsidR="00B14753" w:rsidRPr="00B14753" w:rsidRDefault="00B14753" w:rsidP="00E321DD">
      <w:pPr>
        <w:spacing w:after="0" w:line="360" w:lineRule="auto"/>
        <w:jc w:val="center"/>
        <w:rPr>
          <w:rFonts w:eastAsia="Calibri" w:cs="Tahoma"/>
          <w:b/>
          <w:bCs/>
          <w:iCs/>
          <w:color w:val="auto"/>
        </w:rPr>
      </w:pPr>
      <w:r w:rsidRPr="00B14753">
        <w:rPr>
          <w:rFonts w:eastAsia="Calibri" w:cs="Tahoma"/>
          <w:b/>
          <w:bCs/>
          <w:iCs/>
          <w:color w:val="auto"/>
        </w:rPr>
        <w:t>R E S U E L V E:</w:t>
      </w:r>
    </w:p>
    <w:p w14:paraId="04EBEAB0" w14:textId="77777777" w:rsidR="00B14753" w:rsidRPr="00B14753" w:rsidRDefault="00B14753" w:rsidP="00E321DD">
      <w:pPr>
        <w:spacing w:after="0" w:line="360" w:lineRule="auto"/>
        <w:rPr>
          <w:rFonts w:eastAsia="Calibri" w:cs="Tahoma"/>
          <w:b/>
          <w:bCs/>
          <w:iCs/>
          <w:color w:val="auto"/>
        </w:rPr>
      </w:pPr>
    </w:p>
    <w:p w14:paraId="69970647" w14:textId="1277B762" w:rsidR="00B14753" w:rsidRPr="00B14753" w:rsidRDefault="00B14753" w:rsidP="00E321DD">
      <w:pPr>
        <w:spacing w:after="0" w:line="360" w:lineRule="auto"/>
        <w:rPr>
          <w:rFonts w:eastAsia="Calibri" w:cs="Tahoma"/>
          <w:b/>
          <w:bCs/>
          <w:iCs/>
          <w:color w:val="auto"/>
        </w:rPr>
      </w:pPr>
      <w:r w:rsidRPr="00B14753">
        <w:rPr>
          <w:rFonts w:eastAsia="Calibri" w:cs="Tahoma"/>
          <w:b/>
          <w:bCs/>
          <w:iCs/>
          <w:color w:val="auto"/>
        </w:rPr>
        <w:t xml:space="preserve">PRIMERO. </w:t>
      </w:r>
      <w:r w:rsidRPr="00B14753">
        <w:rPr>
          <w:rFonts w:eastAsia="Calibri" w:cs="Tahoma"/>
          <w:iCs/>
          <w:color w:val="auto"/>
        </w:rPr>
        <w:t xml:space="preserve">Se </w:t>
      </w:r>
      <w:r w:rsidRPr="00B14753">
        <w:rPr>
          <w:rFonts w:eastAsia="Calibri" w:cs="Tahoma"/>
          <w:b/>
          <w:bCs/>
          <w:iCs/>
          <w:color w:val="auto"/>
        </w:rPr>
        <w:t xml:space="preserve">SOBRESEE </w:t>
      </w:r>
      <w:r w:rsidRPr="00B14753">
        <w:rPr>
          <w:rFonts w:eastAsia="Calibri" w:cs="Tahoma"/>
          <w:iCs/>
          <w:color w:val="auto"/>
        </w:rPr>
        <w:t>el Recurso de Revisión con número</w:t>
      </w:r>
      <w:r w:rsidRPr="00B14753">
        <w:rPr>
          <w:rFonts w:eastAsia="Calibri" w:cs="Tahoma"/>
          <w:b/>
          <w:bCs/>
          <w:iCs/>
          <w:color w:val="auto"/>
        </w:rPr>
        <w:t xml:space="preserve"> </w:t>
      </w:r>
      <w:r w:rsidR="00886274" w:rsidRPr="00886274">
        <w:rPr>
          <w:rFonts w:eastAsia="Calibri" w:cs="Tahoma"/>
          <w:b/>
          <w:bCs/>
          <w:iCs/>
          <w:color w:val="auto"/>
        </w:rPr>
        <w:t>06001/INFOEM/IP/RR/2021</w:t>
      </w:r>
      <w:r w:rsidRPr="00B14753">
        <w:rPr>
          <w:rFonts w:eastAsia="Calibri" w:cs="Tahoma"/>
          <w:b/>
          <w:bCs/>
          <w:iCs/>
          <w:color w:val="auto"/>
        </w:rPr>
        <w:t xml:space="preserve">, </w:t>
      </w:r>
      <w:r w:rsidRPr="00B14753">
        <w:rPr>
          <w:rFonts w:eastAsia="Calibri" w:cs="Tahoma"/>
          <w:iCs/>
          <w:color w:val="auto"/>
        </w:rPr>
        <w:t>porque el Sujeto Obligado, al modificar la respuesta a la solicitud de acceso a la información con número</w:t>
      </w:r>
      <w:r w:rsidRPr="00B14753">
        <w:rPr>
          <w:rFonts w:eastAsia="Calibri" w:cs="Tahoma"/>
          <w:b/>
          <w:bCs/>
          <w:iCs/>
          <w:color w:val="auto"/>
        </w:rPr>
        <w:t xml:space="preserve"> </w:t>
      </w:r>
      <w:r w:rsidR="00886274" w:rsidRPr="001C45FF">
        <w:rPr>
          <w:rFonts w:eastAsia="Calibri" w:cs="Tahoma"/>
          <w:bCs/>
          <w:iCs/>
          <w:color w:val="auto"/>
        </w:rPr>
        <w:t>00134/ATENCO/IP/2021</w:t>
      </w:r>
      <w:r w:rsidRPr="001C45FF">
        <w:rPr>
          <w:rFonts w:eastAsia="Calibri" w:cs="Tahoma"/>
          <w:bCs/>
          <w:iCs/>
          <w:color w:val="auto"/>
        </w:rPr>
        <w:t>,</w:t>
      </w:r>
      <w:r w:rsidRPr="00B14753">
        <w:rPr>
          <w:rFonts w:eastAsia="Calibri" w:cs="Tahoma"/>
          <w:b/>
          <w:bCs/>
          <w:iCs/>
          <w:color w:val="auto"/>
        </w:rPr>
        <w:t xml:space="preserve"> </w:t>
      </w:r>
      <w:r w:rsidRPr="00B14753">
        <w:rPr>
          <w:rFonts w:eastAsia="Calibri" w:cs="Tahoma"/>
          <w:iCs/>
          <w:color w:val="auto"/>
        </w:rPr>
        <w:t>el Medio de Impugnación, quedó sin materia, en términos de los Considerandos</w:t>
      </w:r>
      <w:r w:rsidRPr="00B14753">
        <w:rPr>
          <w:rFonts w:eastAsia="Calibri" w:cs="Tahoma"/>
          <w:b/>
          <w:bCs/>
          <w:iCs/>
          <w:color w:val="auto"/>
        </w:rPr>
        <w:t xml:space="preserve"> TERCERO y CUARTO </w:t>
      </w:r>
      <w:r w:rsidRPr="00B14753">
        <w:rPr>
          <w:rFonts w:eastAsia="Calibri" w:cs="Tahoma"/>
          <w:iCs/>
          <w:color w:val="auto"/>
        </w:rPr>
        <w:t>de la presente Resolución.</w:t>
      </w:r>
    </w:p>
    <w:p w14:paraId="61D8AF4D" w14:textId="77777777" w:rsidR="00B14753" w:rsidRPr="00B14753" w:rsidRDefault="00B14753" w:rsidP="00E321DD">
      <w:pPr>
        <w:spacing w:after="0" w:line="360" w:lineRule="auto"/>
        <w:rPr>
          <w:rFonts w:eastAsia="Calibri" w:cs="Tahoma"/>
          <w:b/>
          <w:bCs/>
          <w:i/>
          <w:iCs/>
          <w:color w:val="auto"/>
        </w:rPr>
      </w:pPr>
    </w:p>
    <w:p w14:paraId="50CA1130" w14:textId="77777777" w:rsidR="00B14753" w:rsidRPr="00B14753" w:rsidRDefault="00B14753" w:rsidP="00E321DD">
      <w:pPr>
        <w:spacing w:after="0" w:line="360" w:lineRule="auto"/>
        <w:rPr>
          <w:rFonts w:eastAsia="Calibri" w:cs="Tahoma"/>
          <w:b/>
          <w:bCs/>
          <w:iCs/>
          <w:color w:val="auto"/>
        </w:rPr>
      </w:pPr>
      <w:r w:rsidRPr="00B14753">
        <w:rPr>
          <w:rFonts w:eastAsia="Calibri" w:cs="Tahoma"/>
          <w:b/>
          <w:bCs/>
          <w:iCs/>
          <w:color w:val="auto"/>
        </w:rPr>
        <w:t xml:space="preserve">SEGUNDO. NOTIFÍQUESE </w:t>
      </w:r>
      <w:r w:rsidRPr="00B14753">
        <w:rPr>
          <w:rFonts w:eastAsia="Calibri" w:cs="Tahoma"/>
          <w:iCs/>
          <w:color w:val="auto"/>
        </w:rPr>
        <w:t>la presente Resolución al Titular de la Unidad de Transparencia del Sujeto Obligado.</w:t>
      </w:r>
    </w:p>
    <w:p w14:paraId="73022DB5" w14:textId="77777777" w:rsidR="00B14753" w:rsidRPr="00B14753" w:rsidRDefault="00B14753" w:rsidP="00E321DD">
      <w:pPr>
        <w:spacing w:after="0" w:line="360" w:lineRule="auto"/>
        <w:rPr>
          <w:rFonts w:eastAsia="Calibri" w:cs="Tahoma"/>
          <w:b/>
          <w:bCs/>
          <w:i/>
          <w:iCs/>
          <w:color w:val="auto"/>
        </w:rPr>
      </w:pPr>
    </w:p>
    <w:p w14:paraId="42C8D564" w14:textId="039BE2DF" w:rsidR="00782132" w:rsidRDefault="00B14753" w:rsidP="00E321DD">
      <w:pPr>
        <w:spacing w:after="0" w:line="360" w:lineRule="auto"/>
        <w:rPr>
          <w:rFonts w:eastAsia="Calibri" w:cs="Tahoma"/>
          <w:b/>
          <w:bCs/>
          <w:iCs/>
          <w:color w:val="auto"/>
        </w:rPr>
      </w:pPr>
      <w:r w:rsidRPr="00B14753">
        <w:rPr>
          <w:rFonts w:eastAsia="Calibri" w:cs="Tahoma"/>
          <w:b/>
          <w:bCs/>
          <w:iCs/>
          <w:color w:val="auto"/>
        </w:rPr>
        <w:t xml:space="preserve">TERCERO. NOTIFÍQUESE </w:t>
      </w:r>
      <w:r w:rsidRPr="00B14753">
        <w:rPr>
          <w:rFonts w:eastAsia="Calibri" w:cs="Tahoma"/>
          <w:iCs/>
          <w:color w:val="auto"/>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B177627" w14:textId="77777777" w:rsidR="00B14753" w:rsidRPr="00B14753" w:rsidRDefault="00B14753" w:rsidP="00E321DD">
      <w:pPr>
        <w:spacing w:after="0" w:line="360" w:lineRule="auto"/>
        <w:rPr>
          <w:rFonts w:eastAsia="Calibri" w:cs="Tahoma"/>
          <w:b/>
          <w:bCs/>
          <w:iCs/>
          <w:color w:val="auto"/>
        </w:rPr>
      </w:pPr>
    </w:p>
    <w:p w14:paraId="61493576" w14:textId="23F9B3CA" w:rsidR="00C853D1" w:rsidRDefault="00C853D1" w:rsidP="00E321DD">
      <w:pPr>
        <w:spacing w:after="0" w:line="360" w:lineRule="auto"/>
        <w:rPr>
          <w:rFonts w:eastAsia="Calibri" w:cs="Tahoma"/>
          <w:bCs/>
        </w:rPr>
      </w:pPr>
      <w:r w:rsidRPr="00BB7445">
        <w:rPr>
          <w:rFonts w:eastAsia="Calibri" w:cs="Tahoma"/>
          <w:bCs/>
        </w:rPr>
        <w:t xml:space="preserve">ASÍ LO RESUELVE, POR </w:t>
      </w:r>
      <w:r w:rsidRPr="00BB7445">
        <w:rPr>
          <w:rFonts w:eastAsia="Calibri" w:cs="Tahoma"/>
          <w:b/>
        </w:rPr>
        <w:t>UNANIMIDAD</w:t>
      </w:r>
      <w:r w:rsidRPr="00BB7445">
        <w:rPr>
          <w:rFonts w:eastAsia="Calibri" w:cs="Tahoma"/>
          <w:bCs/>
        </w:rPr>
        <w:t xml:space="preserve"> DE VOTOS EL PLENO DEL INSTITUTO DE TRANSPARENCIA, ACCESO A LA INFORMACIÓN PÚBLICA Y PROTECCIÓN DE DATOS </w:t>
      </w:r>
      <w:r w:rsidR="00E565A0" w:rsidRPr="00BB7445">
        <w:rPr>
          <w:rFonts w:eastAsia="Calibri" w:cs="Tahoma"/>
          <w:bCs/>
        </w:rPr>
        <w:t xml:space="preserve">PERSONALES DEL ESTADO DE MÉXICO Y MUNICIPIOS, CONFORMADO POR LOS COMISIONADOS JOSÉ </w:t>
      </w:r>
      <w:r w:rsidR="001D7492" w:rsidRPr="00BB7445">
        <w:rPr>
          <w:rFonts w:eastAsia="Calibri" w:cs="Tahoma"/>
          <w:bCs/>
        </w:rPr>
        <w:t>MARTÍNEZ VILCHIS,</w:t>
      </w:r>
      <w:r w:rsidR="001D7492">
        <w:rPr>
          <w:rFonts w:eastAsia="Calibri" w:cs="Tahoma"/>
          <w:bCs/>
        </w:rPr>
        <w:t xml:space="preserve"> </w:t>
      </w:r>
      <w:r w:rsidR="001D7492" w:rsidRPr="00BB7445">
        <w:rPr>
          <w:rFonts w:eastAsia="Calibri" w:cs="Tahoma"/>
          <w:bCs/>
        </w:rPr>
        <w:t>MARÍA DEL ROSARIO MEJÍA AYALA</w:t>
      </w:r>
      <w:r w:rsidR="001D7492">
        <w:rPr>
          <w:rFonts w:eastAsia="Calibri" w:cs="Tahoma"/>
          <w:bCs/>
        </w:rPr>
        <w:t xml:space="preserve">, </w:t>
      </w:r>
      <w:r w:rsidR="001D7492" w:rsidRPr="00BB7445">
        <w:rPr>
          <w:rFonts w:eastAsia="Calibri" w:cs="Tahoma"/>
          <w:bCs/>
        </w:rPr>
        <w:t>SHARON CRISTINA MORALES MARTÍNEZ</w:t>
      </w:r>
      <w:r w:rsidR="001D7492">
        <w:rPr>
          <w:rFonts w:eastAsia="Calibri" w:cs="Tahoma"/>
          <w:bCs/>
        </w:rPr>
        <w:t xml:space="preserve"> (CON AUSENCIA JUSTIFICADA), </w:t>
      </w:r>
      <w:r w:rsidR="001D7492" w:rsidRPr="00BB7445">
        <w:rPr>
          <w:rFonts w:eastAsia="Calibri" w:cs="Tahoma"/>
          <w:bCs/>
        </w:rPr>
        <w:t>LUIS GUSTAVO PARRA NORIEGA</w:t>
      </w:r>
      <w:r w:rsidR="001D7492">
        <w:rPr>
          <w:rFonts w:eastAsia="Calibri" w:cs="Tahoma"/>
          <w:bCs/>
        </w:rPr>
        <w:t xml:space="preserve"> Y </w:t>
      </w:r>
      <w:r w:rsidR="001D7492" w:rsidRPr="00BB7445">
        <w:rPr>
          <w:rFonts w:eastAsia="Calibri" w:cs="Tahoma"/>
          <w:bCs/>
        </w:rPr>
        <w:t>GUADALUPE RAMÍREZ PEÑA</w:t>
      </w:r>
      <w:r w:rsidR="001D7492">
        <w:rPr>
          <w:rFonts w:eastAsia="Calibri" w:cs="Tahoma"/>
          <w:bCs/>
        </w:rPr>
        <w:t xml:space="preserve">, </w:t>
      </w:r>
      <w:r w:rsidR="001D7492" w:rsidRPr="00BB7445">
        <w:rPr>
          <w:rFonts w:eastAsia="Calibri" w:cs="Tahoma"/>
          <w:bCs/>
        </w:rPr>
        <w:t xml:space="preserve">EN LA </w:t>
      </w:r>
      <w:r w:rsidR="001D7492">
        <w:rPr>
          <w:rFonts w:eastAsia="Calibri" w:cs="Tahoma"/>
          <w:bCs/>
        </w:rPr>
        <w:t>TERCERA SESIÓN ORDINARIA, CELEBRADA EL VEINTISIETE DE ENERO DE DOS MIL VEINTIDÓS</w:t>
      </w:r>
      <w:r w:rsidR="001D7492" w:rsidRPr="00BB7445">
        <w:rPr>
          <w:rFonts w:eastAsia="Calibri" w:cs="Tahoma"/>
          <w:bCs/>
        </w:rPr>
        <w:t>, ANTE EL SECRETARIO TÉCNICO DEL PLENO, ALEXIS TAPIA RAMÍREZ.</w:t>
      </w:r>
    </w:p>
    <w:p w14:paraId="189BD5D9" w14:textId="5AA6579D" w:rsidR="00C853D1" w:rsidRDefault="00C853D1" w:rsidP="00E321DD">
      <w:pPr>
        <w:spacing w:after="0" w:line="360" w:lineRule="auto"/>
        <w:jc w:val="left"/>
        <w:rPr>
          <w:rFonts w:eastAsia="Calibri" w:cs="Tahoma"/>
          <w:b/>
          <w:bCs/>
        </w:rPr>
      </w:pPr>
      <w:r>
        <w:rPr>
          <w:rFonts w:eastAsia="Calibri" w:cs="Tahoma"/>
          <w:b/>
          <w:bCs/>
        </w:rPr>
        <w:br w:type="page"/>
      </w:r>
    </w:p>
    <w:p w14:paraId="3A7BF8F4" w14:textId="77777777" w:rsidR="00A6477D" w:rsidRDefault="00A6477D" w:rsidP="00E321DD">
      <w:pPr>
        <w:spacing w:after="0" w:line="360" w:lineRule="auto"/>
      </w:pPr>
    </w:p>
    <w:sectPr w:rsidR="00A6477D" w:rsidSect="002C59A0">
      <w:headerReference w:type="even" r:id="rId20"/>
      <w:headerReference w:type="default" r:id="rId21"/>
      <w:footerReference w:type="even" r:id="rId22"/>
      <w:footerReference w:type="default" r:id="rId23"/>
      <w:headerReference w:type="first" r:id="rId24"/>
      <w:footerReference w:type="first" r:id="rId25"/>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BF891" w14:textId="77777777" w:rsidR="005A30FF" w:rsidRDefault="005A30FF" w:rsidP="00C853D1">
      <w:pPr>
        <w:spacing w:after="0" w:line="240" w:lineRule="auto"/>
      </w:pPr>
      <w:r>
        <w:separator/>
      </w:r>
    </w:p>
  </w:endnote>
  <w:endnote w:type="continuationSeparator" w:id="0">
    <w:p w14:paraId="6AD9DDB3" w14:textId="77777777" w:rsidR="005A30FF" w:rsidRDefault="005A30FF"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77BD">
              <w:rPr>
                <w:b/>
                <w:bCs/>
                <w:noProof/>
              </w:rPr>
              <w:t>1</w:t>
            </w:r>
            <w:r>
              <w:rPr>
                <w:b/>
                <w:bCs/>
                <w:sz w:val="24"/>
                <w:szCs w:val="24"/>
              </w:rPr>
              <w:fldChar w:fldCharType="end"/>
            </w:r>
          </w:p>
        </w:sdtContent>
      </w:sdt>
    </w:sdtContent>
  </w:sdt>
  <w:p w14:paraId="5F4318B3" w14:textId="77777777" w:rsidR="002C59A0" w:rsidRDefault="002C59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752A">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752A">
              <w:rPr>
                <w:b/>
                <w:bCs/>
                <w:noProof/>
              </w:rPr>
              <w:t>20</w:t>
            </w:r>
            <w:r>
              <w:rPr>
                <w:b/>
                <w:bCs/>
                <w:sz w:val="24"/>
                <w:szCs w:val="24"/>
              </w:rPr>
              <w:fldChar w:fldCharType="end"/>
            </w:r>
          </w:p>
        </w:sdtContent>
      </w:sdt>
    </w:sdtContent>
  </w:sdt>
  <w:p w14:paraId="3F35B7C0" w14:textId="77777777" w:rsidR="002C59A0" w:rsidRDefault="002C59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752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752A">
              <w:rPr>
                <w:b/>
                <w:bCs/>
                <w:noProof/>
              </w:rPr>
              <w:t>20</w:t>
            </w:r>
            <w:r>
              <w:rPr>
                <w:b/>
                <w:bCs/>
                <w:sz w:val="24"/>
                <w:szCs w:val="24"/>
              </w:rPr>
              <w:fldChar w:fldCharType="end"/>
            </w:r>
          </w:p>
        </w:sdtContent>
      </w:sdt>
    </w:sdtContent>
  </w:sdt>
  <w:p w14:paraId="1A7218CE" w14:textId="77777777" w:rsidR="002C59A0" w:rsidRDefault="002C59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E0647" w14:textId="77777777" w:rsidR="005A30FF" w:rsidRDefault="005A30FF" w:rsidP="00C853D1">
      <w:pPr>
        <w:spacing w:after="0" w:line="240" w:lineRule="auto"/>
      </w:pPr>
      <w:r>
        <w:separator/>
      </w:r>
    </w:p>
  </w:footnote>
  <w:footnote w:type="continuationSeparator" w:id="0">
    <w:p w14:paraId="7A2102C1" w14:textId="77777777" w:rsidR="005A30FF" w:rsidRDefault="005A30FF" w:rsidP="00C85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2C59A0" w14:paraId="282B3A75" w14:textId="77777777" w:rsidTr="002C59A0">
      <w:trPr>
        <w:trHeight w:val="141"/>
      </w:trPr>
      <w:tc>
        <w:tcPr>
          <w:tcW w:w="2404" w:type="dxa"/>
        </w:tcPr>
        <w:p w14:paraId="57F547E7"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2C59A0" w:rsidRPr="00A8173F" w:rsidRDefault="002C59A0" w:rsidP="002C59A0">
          <w:pPr>
            <w:tabs>
              <w:tab w:val="right" w:pos="8838"/>
            </w:tabs>
            <w:ind w:left="-28" w:right="683"/>
            <w:rPr>
              <w:rFonts w:eastAsia="Calibri" w:cs="Tahoma"/>
            </w:rPr>
          </w:pPr>
          <w:r w:rsidRPr="00A8173F">
            <w:rPr>
              <w:rFonts w:eastAsia="Calibri" w:cs="Tahoma"/>
              <w:lang w:val="es-MX"/>
            </w:rPr>
            <w:t>04196/INFOEM/IP/RR/2020</w:t>
          </w:r>
        </w:p>
      </w:tc>
    </w:tr>
    <w:tr w:rsidR="002C59A0" w14:paraId="46AFE2B4" w14:textId="77777777" w:rsidTr="002C59A0">
      <w:trPr>
        <w:trHeight w:val="276"/>
      </w:trPr>
      <w:tc>
        <w:tcPr>
          <w:tcW w:w="2404" w:type="dxa"/>
        </w:tcPr>
        <w:p w14:paraId="1D6E5B2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2C59A0" w:rsidRPr="00A8173F" w:rsidRDefault="002C59A0" w:rsidP="002C59A0">
          <w:pPr>
            <w:tabs>
              <w:tab w:val="right" w:pos="8838"/>
            </w:tabs>
            <w:ind w:right="116"/>
            <w:rPr>
              <w:rFonts w:eastAsia="Calibri" w:cs="Tahoma"/>
              <w:lang w:val="es-MX"/>
            </w:rPr>
          </w:pPr>
          <w:r w:rsidRPr="00A8173F">
            <w:rPr>
              <w:rFonts w:eastAsia="Calibri" w:cs="Tahoma"/>
              <w:lang w:val="es-MX"/>
            </w:rPr>
            <w:t>Ayuntamiento de Chapultepec</w:t>
          </w:r>
        </w:p>
      </w:tc>
    </w:tr>
    <w:tr w:rsidR="002C59A0" w14:paraId="1FA679E9" w14:textId="77777777" w:rsidTr="002C59A0">
      <w:trPr>
        <w:trHeight w:val="276"/>
      </w:trPr>
      <w:tc>
        <w:tcPr>
          <w:tcW w:w="2404" w:type="dxa"/>
        </w:tcPr>
        <w:p w14:paraId="6498FD30"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2C59A0" w:rsidRPr="00A8173F" w:rsidRDefault="002C59A0"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2C59A0" w:rsidRDefault="005A30FF">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93B3" w14:textId="77777777" w:rsidR="002C59A0" w:rsidRPr="004A705D" w:rsidRDefault="002C59A0">
    <w:pPr>
      <w:rPr>
        <w:sz w:val="18"/>
        <w:szCs w:val="18"/>
      </w:rPr>
    </w:pPr>
  </w:p>
  <w:tbl>
    <w:tblPr>
      <w:tblStyle w:val="Tablaconcuadrcula"/>
      <w:tblW w:w="6521"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2C59A0" w14:paraId="1E2FF18B" w14:textId="77777777" w:rsidTr="003D2AE0">
      <w:trPr>
        <w:trHeight w:val="141"/>
      </w:trPr>
      <w:tc>
        <w:tcPr>
          <w:tcW w:w="2404" w:type="dxa"/>
        </w:tcPr>
        <w:p w14:paraId="6B6D03E8" w14:textId="77777777" w:rsidR="002C59A0" w:rsidRPr="001B5FB6" w:rsidRDefault="002C59A0"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14:paraId="503BB8DE" w14:textId="0571F627" w:rsidR="002C59A0" w:rsidRPr="00C853D1" w:rsidRDefault="00DE22C4" w:rsidP="00682222">
          <w:pPr>
            <w:tabs>
              <w:tab w:val="right" w:pos="8838"/>
            </w:tabs>
            <w:ind w:left="-28" w:right="454"/>
            <w:rPr>
              <w:rFonts w:eastAsia="Calibri" w:cs="Tahoma"/>
            </w:rPr>
          </w:pPr>
          <w:r w:rsidRPr="00DE22C4">
            <w:rPr>
              <w:rFonts w:eastAsia="Calibri" w:cs="Tahoma"/>
              <w:lang w:val="es-MX"/>
            </w:rPr>
            <w:t>06001/INFOEM/IP/RR/2021</w:t>
          </w:r>
        </w:p>
      </w:tc>
    </w:tr>
    <w:tr w:rsidR="002C59A0" w14:paraId="110906AA" w14:textId="77777777" w:rsidTr="003D2AE0">
      <w:trPr>
        <w:trHeight w:val="276"/>
      </w:trPr>
      <w:tc>
        <w:tcPr>
          <w:tcW w:w="2404" w:type="dxa"/>
        </w:tcPr>
        <w:p w14:paraId="3052339E"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4117" w:type="dxa"/>
        </w:tcPr>
        <w:p w14:paraId="5C93113C" w14:textId="3A8B364D" w:rsidR="002C59A0" w:rsidRPr="00A8173F" w:rsidRDefault="00DE22C4" w:rsidP="00682222">
          <w:pPr>
            <w:tabs>
              <w:tab w:val="right" w:pos="8838"/>
            </w:tabs>
            <w:ind w:right="454"/>
            <w:rPr>
              <w:rFonts w:eastAsia="Calibri" w:cs="Tahoma"/>
              <w:lang w:val="es-MX"/>
            </w:rPr>
          </w:pPr>
          <w:bookmarkStart w:id="1" w:name="_Hlk93346769"/>
          <w:r w:rsidRPr="00DE22C4">
            <w:rPr>
              <w:rFonts w:eastAsia="Calibri" w:cs="Tahoma"/>
              <w:lang w:val="es-MX"/>
            </w:rPr>
            <w:t>Ayuntamiento de Atenco</w:t>
          </w:r>
          <w:bookmarkEnd w:id="1"/>
        </w:p>
      </w:tc>
    </w:tr>
    <w:tr w:rsidR="002C59A0" w14:paraId="065F2043" w14:textId="77777777" w:rsidTr="003D2AE0">
      <w:trPr>
        <w:trHeight w:val="276"/>
      </w:trPr>
      <w:tc>
        <w:tcPr>
          <w:tcW w:w="2404" w:type="dxa"/>
        </w:tcPr>
        <w:p w14:paraId="22514F66"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14:paraId="245FB2E7" w14:textId="77777777" w:rsidR="002C59A0" w:rsidRPr="00A8173F" w:rsidRDefault="002C59A0"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2C59A0" w:rsidRDefault="005A30FF">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2C59A0" w:rsidRPr="005C106F" w14:paraId="5D26797B" w14:textId="77777777" w:rsidTr="002C59A0">
      <w:trPr>
        <w:trHeight w:val="1546"/>
      </w:trPr>
      <w:tc>
        <w:tcPr>
          <w:tcW w:w="2127" w:type="dxa"/>
          <w:shd w:val="clear" w:color="auto" w:fill="auto"/>
        </w:tcPr>
        <w:p w14:paraId="76E7DE43" w14:textId="77777777" w:rsidR="002C59A0" w:rsidRPr="005C106F" w:rsidRDefault="002C59A0"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2C59A0" w14:paraId="5CB74832" w14:textId="77777777" w:rsidTr="005B259A">
            <w:trPr>
              <w:trHeight w:val="141"/>
            </w:trPr>
            <w:tc>
              <w:tcPr>
                <w:tcW w:w="2404" w:type="dxa"/>
                <w:vAlign w:val="bottom"/>
              </w:tcPr>
              <w:p w14:paraId="38469831"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4150" w:type="dxa"/>
              </w:tcPr>
              <w:p w14:paraId="0749605A" w14:textId="77777777" w:rsidR="002C59A0" w:rsidRDefault="002C59A0" w:rsidP="002C59A0">
                <w:pPr>
                  <w:tabs>
                    <w:tab w:val="right" w:pos="8838"/>
                  </w:tabs>
                  <w:ind w:left="-28" w:right="-107"/>
                  <w:rPr>
                    <w:rFonts w:eastAsia="Calibri" w:cs="Tahoma"/>
                    <w:lang w:val="es-MX"/>
                  </w:rPr>
                </w:pPr>
              </w:p>
              <w:p w14:paraId="25021A4A" w14:textId="7C0A544F" w:rsidR="002C59A0" w:rsidRPr="00DE22C4" w:rsidRDefault="00DE22C4" w:rsidP="002C59A0">
                <w:pPr>
                  <w:tabs>
                    <w:tab w:val="right" w:pos="8838"/>
                  </w:tabs>
                  <w:ind w:left="-28" w:right="-107"/>
                  <w:rPr>
                    <w:rFonts w:eastAsia="Calibri" w:cs="Tahoma"/>
                  </w:rPr>
                </w:pPr>
                <w:r w:rsidRPr="00DE22C4">
                  <w:rPr>
                    <w:rFonts w:eastAsia="Calibri" w:cs="Tahoma"/>
                    <w:lang w:val="es-MX"/>
                  </w:rPr>
                  <w:t>06001/INFOEM/IP/RR/2021</w:t>
                </w:r>
              </w:p>
            </w:tc>
          </w:tr>
          <w:tr w:rsidR="002C59A0" w14:paraId="65D6C982" w14:textId="77777777" w:rsidTr="005B259A">
            <w:trPr>
              <w:trHeight w:val="141"/>
            </w:trPr>
            <w:tc>
              <w:tcPr>
                <w:tcW w:w="2404" w:type="dxa"/>
              </w:tcPr>
              <w:p w14:paraId="7E5992A8"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4D5C37D5" w14:textId="7B2019B1" w:rsidR="002C59A0" w:rsidRPr="003405AF" w:rsidRDefault="002C59A0" w:rsidP="002C59A0">
                <w:pPr>
                  <w:tabs>
                    <w:tab w:val="right" w:pos="8838"/>
                  </w:tabs>
                  <w:ind w:right="-107"/>
                  <w:rPr>
                    <w:rFonts w:eastAsia="Calibri" w:cs="Tahoma"/>
                    <w:lang w:val="es-MX"/>
                  </w:rPr>
                </w:pPr>
              </w:p>
            </w:tc>
          </w:tr>
          <w:tr w:rsidR="002C59A0" w14:paraId="40A995EA" w14:textId="77777777" w:rsidTr="005B259A">
            <w:trPr>
              <w:trHeight w:val="276"/>
            </w:trPr>
            <w:tc>
              <w:tcPr>
                <w:tcW w:w="2404" w:type="dxa"/>
              </w:tcPr>
              <w:p w14:paraId="7BFD65FA"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4150" w:type="dxa"/>
              </w:tcPr>
              <w:p w14:paraId="433E1B49" w14:textId="0D5EAC8C" w:rsidR="002C59A0" w:rsidRPr="008F42C0" w:rsidRDefault="008F42C0" w:rsidP="002C59A0">
                <w:pPr>
                  <w:tabs>
                    <w:tab w:val="right" w:pos="8838"/>
                  </w:tabs>
                  <w:ind w:right="-107"/>
                  <w:rPr>
                    <w:rFonts w:eastAsia="Calibri" w:cs="Tahoma"/>
                    <w:lang w:val="es-MX"/>
                  </w:rPr>
                </w:pPr>
                <w:r w:rsidRPr="008F42C0">
                  <w:rPr>
                    <w:rFonts w:eastAsia="Calibri" w:cs="Tahoma"/>
                    <w:lang w:val="es-MX"/>
                  </w:rPr>
                  <w:t>Ayuntamiento de Atenco</w:t>
                </w:r>
              </w:p>
            </w:tc>
          </w:tr>
          <w:tr w:rsidR="002C59A0" w14:paraId="386AB112" w14:textId="77777777" w:rsidTr="005B259A">
            <w:trPr>
              <w:trHeight w:val="276"/>
            </w:trPr>
            <w:tc>
              <w:tcPr>
                <w:tcW w:w="2404" w:type="dxa"/>
              </w:tcPr>
              <w:p w14:paraId="44E8F60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4150" w:type="dxa"/>
              </w:tcPr>
              <w:p w14:paraId="3833DB23" w14:textId="77777777" w:rsidR="002C59A0" w:rsidRPr="00A8173F" w:rsidRDefault="002C59A0"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2C59A0" w:rsidRPr="005C106F" w:rsidRDefault="002C59A0" w:rsidP="002C59A0">
          <w:pPr>
            <w:tabs>
              <w:tab w:val="right" w:pos="8838"/>
            </w:tabs>
            <w:ind w:left="-28"/>
            <w:rPr>
              <w:rFonts w:ascii="Arial" w:eastAsia="Calibri" w:hAnsi="Arial" w:cs="Arial"/>
              <w:b/>
            </w:rPr>
          </w:pPr>
        </w:p>
      </w:tc>
    </w:tr>
  </w:tbl>
  <w:p w14:paraId="280F3B20" w14:textId="77777777" w:rsidR="002C59A0" w:rsidRDefault="005A30FF">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C34D58"/>
    <w:multiLevelType w:val="hybridMultilevel"/>
    <w:tmpl w:val="F17E220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23E82D33"/>
    <w:multiLevelType w:val="hybridMultilevel"/>
    <w:tmpl w:val="4FCA5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627DD0"/>
    <w:multiLevelType w:val="hybridMultilevel"/>
    <w:tmpl w:val="A61AD21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6F929F8"/>
    <w:multiLevelType w:val="hybridMultilevel"/>
    <w:tmpl w:val="77AC6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CD14F7C"/>
    <w:multiLevelType w:val="hybridMultilevel"/>
    <w:tmpl w:val="25D84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6E0EE2"/>
    <w:multiLevelType w:val="hybridMultilevel"/>
    <w:tmpl w:val="78469DE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777883"/>
    <w:multiLevelType w:val="hybridMultilevel"/>
    <w:tmpl w:val="F7E80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6114E44"/>
    <w:multiLevelType w:val="hybridMultilevel"/>
    <w:tmpl w:val="9FCE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E60DDA"/>
    <w:multiLevelType w:val="hybridMultilevel"/>
    <w:tmpl w:val="2582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480B7F"/>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C313A0"/>
    <w:multiLevelType w:val="hybridMultilevel"/>
    <w:tmpl w:val="4454BA6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B7531FB"/>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4E74"/>
    <w:multiLevelType w:val="hybridMultilevel"/>
    <w:tmpl w:val="EFD21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D92C0A"/>
    <w:multiLevelType w:val="hybridMultilevel"/>
    <w:tmpl w:val="70F4C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F06B06"/>
    <w:multiLevelType w:val="hybridMultilevel"/>
    <w:tmpl w:val="90FA2AB0"/>
    <w:lvl w:ilvl="0" w:tplc="7AA0B6C0">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10"/>
  </w:num>
  <w:num w:numId="5">
    <w:abstractNumId w:val="17"/>
  </w:num>
  <w:num w:numId="6">
    <w:abstractNumId w:val="15"/>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2"/>
  </w:num>
  <w:num w:numId="10">
    <w:abstractNumId w:val="4"/>
  </w:num>
  <w:num w:numId="11">
    <w:abstractNumId w:val="14"/>
  </w:num>
  <w:num w:numId="12">
    <w:abstractNumId w:val="12"/>
  </w:num>
  <w:num w:numId="13">
    <w:abstractNumId w:val="23"/>
  </w:num>
  <w:num w:numId="14">
    <w:abstractNumId w:val="16"/>
  </w:num>
  <w:num w:numId="15">
    <w:abstractNumId w:val="13"/>
  </w:num>
  <w:num w:numId="16">
    <w:abstractNumId w:val="19"/>
  </w:num>
  <w:num w:numId="17">
    <w:abstractNumId w:val="11"/>
  </w:num>
  <w:num w:numId="18">
    <w:abstractNumId w:val="20"/>
  </w:num>
  <w:num w:numId="19">
    <w:abstractNumId w:val="7"/>
  </w:num>
  <w:num w:numId="20">
    <w:abstractNumId w:val="0"/>
  </w:num>
  <w:num w:numId="21">
    <w:abstractNumId w:val="18"/>
  </w:num>
  <w:num w:numId="22">
    <w:abstractNumId w:val="8"/>
  </w:num>
  <w:num w:numId="23">
    <w:abstractNumId w:val="24"/>
  </w:num>
  <w:num w:numId="24">
    <w:abstractNumId w:val="5"/>
  </w:num>
  <w:num w:numId="25">
    <w:abstractNumId w:val="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F87"/>
    <w:rsid w:val="00002E53"/>
    <w:rsid w:val="000039BC"/>
    <w:rsid w:val="00004D4E"/>
    <w:rsid w:val="000051F1"/>
    <w:rsid w:val="00007008"/>
    <w:rsid w:val="0000778B"/>
    <w:rsid w:val="00007EB8"/>
    <w:rsid w:val="00011875"/>
    <w:rsid w:val="0001499A"/>
    <w:rsid w:val="00014E78"/>
    <w:rsid w:val="00017D8C"/>
    <w:rsid w:val="000223B0"/>
    <w:rsid w:val="000244CD"/>
    <w:rsid w:val="000277CA"/>
    <w:rsid w:val="00027FA3"/>
    <w:rsid w:val="00030561"/>
    <w:rsid w:val="00032A6A"/>
    <w:rsid w:val="0003533B"/>
    <w:rsid w:val="000444C5"/>
    <w:rsid w:val="000477C6"/>
    <w:rsid w:val="00052A57"/>
    <w:rsid w:val="000557B6"/>
    <w:rsid w:val="00062AAC"/>
    <w:rsid w:val="00062C8B"/>
    <w:rsid w:val="00064DB1"/>
    <w:rsid w:val="00067CC4"/>
    <w:rsid w:val="000705A9"/>
    <w:rsid w:val="00073282"/>
    <w:rsid w:val="00073E8E"/>
    <w:rsid w:val="000771BF"/>
    <w:rsid w:val="00081145"/>
    <w:rsid w:val="000939CD"/>
    <w:rsid w:val="00096694"/>
    <w:rsid w:val="000A2588"/>
    <w:rsid w:val="000A259F"/>
    <w:rsid w:val="000A61A2"/>
    <w:rsid w:val="000A785D"/>
    <w:rsid w:val="000B0EAF"/>
    <w:rsid w:val="000B7029"/>
    <w:rsid w:val="000B7972"/>
    <w:rsid w:val="000C4826"/>
    <w:rsid w:val="000C619B"/>
    <w:rsid w:val="000C715C"/>
    <w:rsid w:val="000D1A72"/>
    <w:rsid w:val="000D1F0E"/>
    <w:rsid w:val="000D2522"/>
    <w:rsid w:val="000D45D9"/>
    <w:rsid w:val="000D59F5"/>
    <w:rsid w:val="000D69EB"/>
    <w:rsid w:val="000D6E68"/>
    <w:rsid w:val="000D73F7"/>
    <w:rsid w:val="000E28E6"/>
    <w:rsid w:val="000E4E10"/>
    <w:rsid w:val="000F06A0"/>
    <w:rsid w:val="000F2A9A"/>
    <w:rsid w:val="000F3403"/>
    <w:rsid w:val="000F45A1"/>
    <w:rsid w:val="001004CE"/>
    <w:rsid w:val="00100EB3"/>
    <w:rsid w:val="0010232F"/>
    <w:rsid w:val="0010413E"/>
    <w:rsid w:val="001059E3"/>
    <w:rsid w:val="00105EF9"/>
    <w:rsid w:val="001105F1"/>
    <w:rsid w:val="00115309"/>
    <w:rsid w:val="001160C5"/>
    <w:rsid w:val="001202DE"/>
    <w:rsid w:val="00122732"/>
    <w:rsid w:val="00131B7C"/>
    <w:rsid w:val="00132D55"/>
    <w:rsid w:val="00134119"/>
    <w:rsid w:val="00134C39"/>
    <w:rsid w:val="00142455"/>
    <w:rsid w:val="00144657"/>
    <w:rsid w:val="00146004"/>
    <w:rsid w:val="00146731"/>
    <w:rsid w:val="00146C2E"/>
    <w:rsid w:val="00153770"/>
    <w:rsid w:val="00154A63"/>
    <w:rsid w:val="001601CC"/>
    <w:rsid w:val="00161E74"/>
    <w:rsid w:val="0016417A"/>
    <w:rsid w:val="00164599"/>
    <w:rsid w:val="001675D9"/>
    <w:rsid w:val="0017427D"/>
    <w:rsid w:val="00174F57"/>
    <w:rsid w:val="00175572"/>
    <w:rsid w:val="00180003"/>
    <w:rsid w:val="00183683"/>
    <w:rsid w:val="0018728D"/>
    <w:rsid w:val="001900B4"/>
    <w:rsid w:val="00190EBA"/>
    <w:rsid w:val="001935D3"/>
    <w:rsid w:val="00194DD1"/>
    <w:rsid w:val="0019678D"/>
    <w:rsid w:val="001976B0"/>
    <w:rsid w:val="001A212E"/>
    <w:rsid w:val="001A57FD"/>
    <w:rsid w:val="001A641F"/>
    <w:rsid w:val="001B3B40"/>
    <w:rsid w:val="001B3CC7"/>
    <w:rsid w:val="001B77BD"/>
    <w:rsid w:val="001C1007"/>
    <w:rsid w:val="001C3C7E"/>
    <w:rsid w:val="001C3D02"/>
    <w:rsid w:val="001C45FF"/>
    <w:rsid w:val="001C6764"/>
    <w:rsid w:val="001C7F83"/>
    <w:rsid w:val="001D02DD"/>
    <w:rsid w:val="001D37BB"/>
    <w:rsid w:val="001D7492"/>
    <w:rsid w:val="001E386E"/>
    <w:rsid w:val="001E4456"/>
    <w:rsid w:val="001E6D1F"/>
    <w:rsid w:val="001F686F"/>
    <w:rsid w:val="001F7C51"/>
    <w:rsid w:val="0020477F"/>
    <w:rsid w:val="00204AF1"/>
    <w:rsid w:val="002111A8"/>
    <w:rsid w:val="00213776"/>
    <w:rsid w:val="002144A3"/>
    <w:rsid w:val="00220583"/>
    <w:rsid w:val="0022261D"/>
    <w:rsid w:val="00235BA0"/>
    <w:rsid w:val="002402DE"/>
    <w:rsid w:val="002419E9"/>
    <w:rsid w:val="0024313A"/>
    <w:rsid w:val="00252EF3"/>
    <w:rsid w:val="0025433F"/>
    <w:rsid w:val="002557A7"/>
    <w:rsid w:val="00255DFB"/>
    <w:rsid w:val="002562D5"/>
    <w:rsid w:val="00257F3B"/>
    <w:rsid w:val="00260AAA"/>
    <w:rsid w:val="00261807"/>
    <w:rsid w:val="00261BED"/>
    <w:rsid w:val="002634E5"/>
    <w:rsid w:val="002704FC"/>
    <w:rsid w:val="002718A0"/>
    <w:rsid w:val="00271D9C"/>
    <w:rsid w:val="00272886"/>
    <w:rsid w:val="002728D4"/>
    <w:rsid w:val="00272B88"/>
    <w:rsid w:val="00273E3B"/>
    <w:rsid w:val="0028305A"/>
    <w:rsid w:val="002876F9"/>
    <w:rsid w:val="00292041"/>
    <w:rsid w:val="00296E2A"/>
    <w:rsid w:val="002B3565"/>
    <w:rsid w:val="002B3FDA"/>
    <w:rsid w:val="002B54AE"/>
    <w:rsid w:val="002C514D"/>
    <w:rsid w:val="002C59A0"/>
    <w:rsid w:val="002C6390"/>
    <w:rsid w:val="002C7309"/>
    <w:rsid w:val="002C752A"/>
    <w:rsid w:val="002D26A2"/>
    <w:rsid w:val="002D2CFF"/>
    <w:rsid w:val="002D2E5D"/>
    <w:rsid w:val="002E0552"/>
    <w:rsid w:val="002E05D6"/>
    <w:rsid w:val="002E25E7"/>
    <w:rsid w:val="002E333F"/>
    <w:rsid w:val="002E33E8"/>
    <w:rsid w:val="002E4606"/>
    <w:rsid w:val="002E5CED"/>
    <w:rsid w:val="002F5956"/>
    <w:rsid w:val="00300286"/>
    <w:rsid w:val="00311288"/>
    <w:rsid w:val="003114A1"/>
    <w:rsid w:val="00311811"/>
    <w:rsid w:val="003160D6"/>
    <w:rsid w:val="00316C63"/>
    <w:rsid w:val="00320671"/>
    <w:rsid w:val="00320B93"/>
    <w:rsid w:val="003265A2"/>
    <w:rsid w:val="00334B20"/>
    <w:rsid w:val="00336980"/>
    <w:rsid w:val="0033783C"/>
    <w:rsid w:val="00337EFA"/>
    <w:rsid w:val="0034462A"/>
    <w:rsid w:val="00344787"/>
    <w:rsid w:val="00345528"/>
    <w:rsid w:val="00350D55"/>
    <w:rsid w:val="00352133"/>
    <w:rsid w:val="003537E3"/>
    <w:rsid w:val="00355553"/>
    <w:rsid w:val="00360690"/>
    <w:rsid w:val="00362DE2"/>
    <w:rsid w:val="00363046"/>
    <w:rsid w:val="003647F7"/>
    <w:rsid w:val="00365075"/>
    <w:rsid w:val="00371DAE"/>
    <w:rsid w:val="00372BAB"/>
    <w:rsid w:val="0037585A"/>
    <w:rsid w:val="00376559"/>
    <w:rsid w:val="00380368"/>
    <w:rsid w:val="00381FDE"/>
    <w:rsid w:val="0038269E"/>
    <w:rsid w:val="00384A4A"/>
    <w:rsid w:val="0038779D"/>
    <w:rsid w:val="003936D2"/>
    <w:rsid w:val="003955C4"/>
    <w:rsid w:val="003975AD"/>
    <w:rsid w:val="00397660"/>
    <w:rsid w:val="003A1B84"/>
    <w:rsid w:val="003A3F8C"/>
    <w:rsid w:val="003A5C5E"/>
    <w:rsid w:val="003A64AB"/>
    <w:rsid w:val="003B0BA2"/>
    <w:rsid w:val="003B46DC"/>
    <w:rsid w:val="003C2ED7"/>
    <w:rsid w:val="003C470A"/>
    <w:rsid w:val="003C5669"/>
    <w:rsid w:val="003C5B59"/>
    <w:rsid w:val="003D15D4"/>
    <w:rsid w:val="003D2AE0"/>
    <w:rsid w:val="003D30B4"/>
    <w:rsid w:val="003D4A58"/>
    <w:rsid w:val="003D7905"/>
    <w:rsid w:val="003D7ED4"/>
    <w:rsid w:val="003E2FB0"/>
    <w:rsid w:val="003E6425"/>
    <w:rsid w:val="003E7060"/>
    <w:rsid w:val="003F0CE1"/>
    <w:rsid w:val="003F0E14"/>
    <w:rsid w:val="003F0F63"/>
    <w:rsid w:val="00400CAF"/>
    <w:rsid w:val="00400EC8"/>
    <w:rsid w:val="00401E13"/>
    <w:rsid w:val="00401FC7"/>
    <w:rsid w:val="004047DA"/>
    <w:rsid w:val="004059D0"/>
    <w:rsid w:val="004122A9"/>
    <w:rsid w:val="00415A15"/>
    <w:rsid w:val="00417D4D"/>
    <w:rsid w:val="00417EED"/>
    <w:rsid w:val="0042422A"/>
    <w:rsid w:val="00425CB1"/>
    <w:rsid w:val="00430B0D"/>
    <w:rsid w:val="00433CAA"/>
    <w:rsid w:val="00450E6E"/>
    <w:rsid w:val="00452038"/>
    <w:rsid w:val="004542DC"/>
    <w:rsid w:val="00454303"/>
    <w:rsid w:val="004548CD"/>
    <w:rsid w:val="00460EAD"/>
    <w:rsid w:val="00462A63"/>
    <w:rsid w:val="004633F1"/>
    <w:rsid w:val="00463A70"/>
    <w:rsid w:val="00464242"/>
    <w:rsid w:val="00465EC8"/>
    <w:rsid w:val="004673C4"/>
    <w:rsid w:val="00467751"/>
    <w:rsid w:val="00470A7A"/>
    <w:rsid w:val="00470AF6"/>
    <w:rsid w:val="00471540"/>
    <w:rsid w:val="00471A6E"/>
    <w:rsid w:val="00474538"/>
    <w:rsid w:val="00474E4C"/>
    <w:rsid w:val="00476ED1"/>
    <w:rsid w:val="0048288C"/>
    <w:rsid w:val="004829B9"/>
    <w:rsid w:val="00484FBC"/>
    <w:rsid w:val="0048648B"/>
    <w:rsid w:val="004873C7"/>
    <w:rsid w:val="0049061B"/>
    <w:rsid w:val="00491C3E"/>
    <w:rsid w:val="00494387"/>
    <w:rsid w:val="004949AC"/>
    <w:rsid w:val="004949CC"/>
    <w:rsid w:val="00496426"/>
    <w:rsid w:val="004A1E88"/>
    <w:rsid w:val="004A27DB"/>
    <w:rsid w:val="004A3490"/>
    <w:rsid w:val="004A528D"/>
    <w:rsid w:val="004B0D11"/>
    <w:rsid w:val="004B15BE"/>
    <w:rsid w:val="004B20A4"/>
    <w:rsid w:val="004B720F"/>
    <w:rsid w:val="004B726A"/>
    <w:rsid w:val="004C112D"/>
    <w:rsid w:val="004C1B53"/>
    <w:rsid w:val="004C34C6"/>
    <w:rsid w:val="004C3C1A"/>
    <w:rsid w:val="004D2468"/>
    <w:rsid w:val="004D4220"/>
    <w:rsid w:val="004D66A3"/>
    <w:rsid w:val="004E1BF6"/>
    <w:rsid w:val="004E2875"/>
    <w:rsid w:val="004E5602"/>
    <w:rsid w:val="004E617D"/>
    <w:rsid w:val="004E6D06"/>
    <w:rsid w:val="004F4445"/>
    <w:rsid w:val="004F6003"/>
    <w:rsid w:val="004F662C"/>
    <w:rsid w:val="004F736C"/>
    <w:rsid w:val="004F7666"/>
    <w:rsid w:val="004F7AF1"/>
    <w:rsid w:val="005043B3"/>
    <w:rsid w:val="00506F24"/>
    <w:rsid w:val="00513F33"/>
    <w:rsid w:val="00515CA2"/>
    <w:rsid w:val="0051666D"/>
    <w:rsid w:val="00517B06"/>
    <w:rsid w:val="00520182"/>
    <w:rsid w:val="00522E54"/>
    <w:rsid w:val="00522F3F"/>
    <w:rsid w:val="005230CF"/>
    <w:rsid w:val="005277CB"/>
    <w:rsid w:val="005302DA"/>
    <w:rsid w:val="00530C18"/>
    <w:rsid w:val="00533C3F"/>
    <w:rsid w:val="00534853"/>
    <w:rsid w:val="00534932"/>
    <w:rsid w:val="0053552A"/>
    <w:rsid w:val="0054028E"/>
    <w:rsid w:val="00540994"/>
    <w:rsid w:val="00550D10"/>
    <w:rsid w:val="00551230"/>
    <w:rsid w:val="00551263"/>
    <w:rsid w:val="005544FF"/>
    <w:rsid w:val="0056659F"/>
    <w:rsid w:val="005706CC"/>
    <w:rsid w:val="00571737"/>
    <w:rsid w:val="00572AAD"/>
    <w:rsid w:val="00573501"/>
    <w:rsid w:val="005747FF"/>
    <w:rsid w:val="0057605F"/>
    <w:rsid w:val="005816B1"/>
    <w:rsid w:val="00581915"/>
    <w:rsid w:val="00583138"/>
    <w:rsid w:val="00584335"/>
    <w:rsid w:val="00585550"/>
    <w:rsid w:val="005861E7"/>
    <w:rsid w:val="00587FE6"/>
    <w:rsid w:val="0059118C"/>
    <w:rsid w:val="00592DAF"/>
    <w:rsid w:val="00593E62"/>
    <w:rsid w:val="0059523B"/>
    <w:rsid w:val="005954D9"/>
    <w:rsid w:val="00596883"/>
    <w:rsid w:val="005A30FF"/>
    <w:rsid w:val="005B259A"/>
    <w:rsid w:val="005C3843"/>
    <w:rsid w:val="005C39E2"/>
    <w:rsid w:val="005C40CA"/>
    <w:rsid w:val="005C6308"/>
    <w:rsid w:val="005C7219"/>
    <w:rsid w:val="005C7B4A"/>
    <w:rsid w:val="005D2E05"/>
    <w:rsid w:val="005D3368"/>
    <w:rsid w:val="005D495B"/>
    <w:rsid w:val="005E0A33"/>
    <w:rsid w:val="005E5646"/>
    <w:rsid w:val="005F0AA5"/>
    <w:rsid w:val="005F0F77"/>
    <w:rsid w:val="005F251F"/>
    <w:rsid w:val="005F2BAD"/>
    <w:rsid w:val="005F3D26"/>
    <w:rsid w:val="005F4E56"/>
    <w:rsid w:val="005F69F1"/>
    <w:rsid w:val="006005B3"/>
    <w:rsid w:val="006026B5"/>
    <w:rsid w:val="00604FB9"/>
    <w:rsid w:val="006063A4"/>
    <w:rsid w:val="00607213"/>
    <w:rsid w:val="00607F00"/>
    <w:rsid w:val="00610DE9"/>
    <w:rsid w:val="006134B9"/>
    <w:rsid w:val="0061403D"/>
    <w:rsid w:val="00614CDB"/>
    <w:rsid w:val="00617B5D"/>
    <w:rsid w:val="00621E91"/>
    <w:rsid w:val="006222E1"/>
    <w:rsid w:val="00625925"/>
    <w:rsid w:val="00631373"/>
    <w:rsid w:val="00631FD1"/>
    <w:rsid w:val="0063438C"/>
    <w:rsid w:val="0063472D"/>
    <w:rsid w:val="00635177"/>
    <w:rsid w:val="0063599F"/>
    <w:rsid w:val="00642A56"/>
    <w:rsid w:val="006441E1"/>
    <w:rsid w:val="00644838"/>
    <w:rsid w:val="00644CE6"/>
    <w:rsid w:val="006473A8"/>
    <w:rsid w:val="006507ED"/>
    <w:rsid w:val="006510F8"/>
    <w:rsid w:val="00660363"/>
    <w:rsid w:val="00660E60"/>
    <w:rsid w:val="006631C9"/>
    <w:rsid w:val="006642B4"/>
    <w:rsid w:val="006703A5"/>
    <w:rsid w:val="006733E5"/>
    <w:rsid w:val="00673F60"/>
    <w:rsid w:val="00681988"/>
    <w:rsid w:val="00682222"/>
    <w:rsid w:val="00687641"/>
    <w:rsid w:val="006901C3"/>
    <w:rsid w:val="0069249E"/>
    <w:rsid w:val="0069459C"/>
    <w:rsid w:val="00695E03"/>
    <w:rsid w:val="006A0781"/>
    <w:rsid w:val="006A0B45"/>
    <w:rsid w:val="006A4247"/>
    <w:rsid w:val="006A4E8D"/>
    <w:rsid w:val="006B06CA"/>
    <w:rsid w:val="006B0C57"/>
    <w:rsid w:val="006B5B3E"/>
    <w:rsid w:val="006B698A"/>
    <w:rsid w:val="006C03ED"/>
    <w:rsid w:val="006C27AC"/>
    <w:rsid w:val="006D1782"/>
    <w:rsid w:val="006D4AB9"/>
    <w:rsid w:val="006D671E"/>
    <w:rsid w:val="006D6F5A"/>
    <w:rsid w:val="006E035D"/>
    <w:rsid w:val="006E0643"/>
    <w:rsid w:val="006E353E"/>
    <w:rsid w:val="006E5273"/>
    <w:rsid w:val="006F0508"/>
    <w:rsid w:val="006F3217"/>
    <w:rsid w:val="006F597C"/>
    <w:rsid w:val="006F6104"/>
    <w:rsid w:val="006F6F8B"/>
    <w:rsid w:val="00703537"/>
    <w:rsid w:val="00706604"/>
    <w:rsid w:val="00710F0F"/>
    <w:rsid w:val="0071169C"/>
    <w:rsid w:val="00721566"/>
    <w:rsid w:val="00723CF2"/>
    <w:rsid w:val="00724A49"/>
    <w:rsid w:val="007268C8"/>
    <w:rsid w:val="00732599"/>
    <w:rsid w:val="007359A2"/>
    <w:rsid w:val="00740CD0"/>
    <w:rsid w:val="007425A1"/>
    <w:rsid w:val="007430FE"/>
    <w:rsid w:val="00743B72"/>
    <w:rsid w:val="00744439"/>
    <w:rsid w:val="00745AEC"/>
    <w:rsid w:val="007474FF"/>
    <w:rsid w:val="00750797"/>
    <w:rsid w:val="00752FE2"/>
    <w:rsid w:val="007550F6"/>
    <w:rsid w:val="0075605D"/>
    <w:rsid w:val="0076077F"/>
    <w:rsid w:val="00762999"/>
    <w:rsid w:val="007716E2"/>
    <w:rsid w:val="007745CA"/>
    <w:rsid w:val="00782132"/>
    <w:rsid w:val="0079077D"/>
    <w:rsid w:val="00791177"/>
    <w:rsid w:val="00792748"/>
    <w:rsid w:val="00795613"/>
    <w:rsid w:val="007A0941"/>
    <w:rsid w:val="007A0978"/>
    <w:rsid w:val="007A0D0B"/>
    <w:rsid w:val="007A27A0"/>
    <w:rsid w:val="007A29F7"/>
    <w:rsid w:val="007A5334"/>
    <w:rsid w:val="007A66D1"/>
    <w:rsid w:val="007B18F1"/>
    <w:rsid w:val="007B41DD"/>
    <w:rsid w:val="007C5F56"/>
    <w:rsid w:val="007C7F7D"/>
    <w:rsid w:val="007D42C2"/>
    <w:rsid w:val="007D779A"/>
    <w:rsid w:val="007D7AB9"/>
    <w:rsid w:val="007E1917"/>
    <w:rsid w:val="007E2548"/>
    <w:rsid w:val="007E38E8"/>
    <w:rsid w:val="007E458B"/>
    <w:rsid w:val="007E5D97"/>
    <w:rsid w:val="007E600B"/>
    <w:rsid w:val="007F06F2"/>
    <w:rsid w:val="007F400F"/>
    <w:rsid w:val="007F7D92"/>
    <w:rsid w:val="008006C4"/>
    <w:rsid w:val="00800FED"/>
    <w:rsid w:val="00804053"/>
    <w:rsid w:val="00804248"/>
    <w:rsid w:val="00810184"/>
    <w:rsid w:val="008124C7"/>
    <w:rsid w:val="00815993"/>
    <w:rsid w:val="0081663D"/>
    <w:rsid w:val="00820C1B"/>
    <w:rsid w:val="00823130"/>
    <w:rsid w:val="0082435C"/>
    <w:rsid w:val="0082578E"/>
    <w:rsid w:val="008262C2"/>
    <w:rsid w:val="00827B0C"/>
    <w:rsid w:val="00831EAC"/>
    <w:rsid w:val="00832F06"/>
    <w:rsid w:val="00834A0C"/>
    <w:rsid w:val="008363D9"/>
    <w:rsid w:val="00836F1F"/>
    <w:rsid w:val="00842168"/>
    <w:rsid w:val="00843AB9"/>
    <w:rsid w:val="00845A32"/>
    <w:rsid w:val="00845AB7"/>
    <w:rsid w:val="00846A4F"/>
    <w:rsid w:val="008508E2"/>
    <w:rsid w:val="00850A5F"/>
    <w:rsid w:val="00852049"/>
    <w:rsid w:val="008538DF"/>
    <w:rsid w:val="00853ACB"/>
    <w:rsid w:val="00853F28"/>
    <w:rsid w:val="00854B30"/>
    <w:rsid w:val="0085649B"/>
    <w:rsid w:val="00857F62"/>
    <w:rsid w:val="00861DE9"/>
    <w:rsid w:val="008644E3"/>
    <w:rsid w:val="008702B3"/>
    <w:rsid w:val="00880F6A"/>
    <w:rsid w:val="00884AD3"/>
    <w:rsid w:val="00885EDF"/>
    <w:rsid w:val="00886274"/>
    <w:rsid w:val="00892595"/>
    <w:rsid w:val="008934EE"/>
    <w:rsid w:val="00893AC1"/>
    <w:rsid w:val="008949CD"/>
    <w:rsid w:val="008977A8"/>
    <w:rsid w:val="008977F6"/>
    <w:rsid w:val="00897AC3"/>
    <w:rsid w:val="00897D57"/>
    <w:rsid w:val="008A0209"/>
    <w:rsid w:val="008A0CDE"/>
    <w:rsid w:val="008A34BD"/>
    <w:rsid w:val="008A43BA"/>
    <w:rsid w:val="008B0792"/>
    <w:rsid w:val="008B2FFC"/>
    <w:rsid w:val="008B42C1"/>
    <w:rsid w:val="008B4F02"/>
    <w:rsid w:val="008B5B74"/>
    <w:rsid w:val="008C1062"/>
    <w:rsid w:val="008C4F3D"/>
    <w:rsid w:val="008C5A8C"/>
    <w:rsid w:val="008D1382"/>
    <w:rsid w:val="008D1869"/>
    <w:rsid w:val="008D4F4A"/>
    <w:rsid w:val="008D62B5"/>
    <w:rsid w:val="008E3B00"/>
    <w:rsid w:val="008E6EA7"/>
    <w:rsid w:val="008E702E"/>
    <w:rsid w:val="008F42C0"/>
    <w:rsid w:val="008F4AAA"/>
    <w:rsid w:val="008F5FA0"/>
    <w:rsid w:val="008F619E"/>
    <w:rsid w:val="00904433"/>
    <w:rsid w:val="009050DD"/>
    <w:rsid w:val="00911857"/>
    <w:rsid w:val="00912D87"/>
    <w:rsid w:val="009144C6"/>
    <w:rsid w:val="00915490"/>
    <w:rsid w:val="0091790E"/>
    <w:rsid w:val="009237C1"/>
    <w:rsid w:val="009264DB"/>
    <w:rsid w:val="00927AEA"/>
    <w:rsid w:val="0093192E"/>
    <w:rsid w:val="0093249D"/>
    <w:rsid w:val="009332AA"/>
    <w:rsid w:val="00936663"/>
    <w:rsid w:val="009366D5"/>
    <w:rsid w:val="009402FE"/>
    <w:rsid w:val="009418D2"/>
    <w:rsid w:val="00942065"/>
    <w:rsid w:val="009430B1"/>
    <w:rsid w:val="00943E54"/>
    <w:rsid w:val="009508A6"/>
    <w:rsid w:val="00951B5E"/>
    <w:rsid w:val="00951F34"/>
    <w:rsid w:val="00955A3E"/>
    <w:rsid w:val="009624B1"/>
    <w:rsid w:val="0096288F"/>
    <w:rsid w:val="00963588"/>
    <w:rsid w:val="0097775B"/>
    <w:rsid w:val="00977D0A"/>
    <w:rsid w:val="00983BA0"/>
    <w:rsid w:val="00993F22"/>
    <w:rsid w:val="009945E1"/>
    <w:rsid w:val="009A4D83"/>
    <w:rsid w:val="009A4F20"/>
    <w:rsid w:val="009A57DD"/>
    <w:rsid w:val="009A76DE"/>
    <w:rsid w:val="009B2A82"/>
    <w:rsid w:val="009B31FE"/>
    <w:rsid w:val="009B3CF0"/>
    <w:rsid w:val="009B772D"/>
    <w:rsid w:val="009C2FFE"/>
    <w:rsid w:val="009C4A81"/>
    <w:rsid w:val="009D6CD2"/>
    <w:rsid w:val="009D7F75"/>
    <w:rsid w:val="009E3B82"/>
    <w:rsid w:val="009E5AC3"/>
    <w:rsid w:val="009E6313"/>
    <w:rsid w:val="009F508D"/>
    <w:rsid w:val="00A01144"/>
    <w:rsid w:val="00A0114C"/>
    <w:rsid w:val="00A04D19"/>
    <w:rsid w:val="00A05BA1"/>
    <w:rsid w:val="00A06873"/>
    <w:rsid w:val="00A07BCD"/>
    <w:rsid w:val="00A1044E"/>
    <w:rsid w:val="00A12FDD"/>
    <w:rsid w:val="00A159E8"/>
    <w:rsid w:val="00A17DFE"/>
    <w:rsid w:val="00A22D36"/>
    <w:rsid w:val="00A26733"/>
    <w:rsid w:val="00A27233"/>
    <w:rsid w:val="00A3342E"/>
    <w:rsid w:val="00A37343"/>
    <w:rsid w:val="00A406DA"/>
    <w:rsid w:val="00A46802"/>
    <w:rsid w:val="00A477DA"/>
    <w:rsid w:val="00A47DC9"/>
    <w:rsid w:val="00A50618"/>
    <w:rsid w:val="00A519CC"/>
    <w:rsid w:val="00A556D2"/>
    <w:rsid w:val="00A60138"/>
    <w:rsid w:val="00A63D59"/>
    <w:rsid w:val="00A6477D"/>
    <w:rsid w:val="00A7345F"/>
    <w:rsid w:val="00A760F1"/>
    <w:rsid w:val="00A82B69"/>
    <w:rsid w:val="00A91D47"/>
    <w:rsid w:val="00A92676"/>
    <w:rsid w:val="00A944F4"/>
    <w:rsid w:val="00A94E9D"/>
    <w:rsid w:val="00AA31E7"/>
    <w:rsid w:val="00AA484B"/>
    <w:rsid w:val="00AA64FB"/>
    <w:rsid w:val="00AB0C45"/>
    <w:rsid w:val="00AB4F65"/>
    <w:rsid w:val="00AC0198"/>
    <w:rsid w:val="00AC4743"/>
    <w:rsid w:val="00AC5758"/>
    <w:rsid w:val="00AC6254"/>
    <w:rsid w:val="00AC6C45"/>
    <w:rsid w:val="00AD05DB"/>
    <w:rsid w:val="00AD4CDA"/>
    <w:rsid w:val="00AD546F"/>
    <w:rsid w:val="00AD5B92"/>
    <w:rsid w:val="00AD688C"/>
    <w:rsid w:val="00AE1BEB"/>
    <w:rsid w:val="00AE29CA"/>
    <w:rsid w:val="00AE3AE5"/>
    <w:rsid w:val="00AE4964"/>
    <w:rsid w:val="00AE6E01"/>
    <w:rsid w:val="00AF199D"/>
    <w:rsid w:val="00AF5CDA"/>
    <w:rsid w:val="00B02C46"/>
    <w:rsid w:val="00B042A0"/>
    <w:rsid w:val="00B1206D"/>
    <w:rsid w:val="00B125A8"/>
    <w:rsid w:val="00B14753"/>
    <w:rsid w:val="00B15379"/>
    <w:rsid w:val="00B207E3"/>
    <w:rsid w:val="00B20B03"/>
    <w:rsid w:val="00B25B74"/>
    <w:rsid w:val="00B265BF"/>
    <w:rsid w:val="00B30B2A"/>
    <w:rsid w:val="00B30D07"/>
    <w:rsid w:val="00B31157"/>
    <w:rsid w:val="00B332FC"/>
    <w:rsid w:val="00B33A5D"/>
    <w:rsid w:val="00B430D2"/>
    <w:rsid w:val="00B43451"/>
    <w:rsid w:val="00B50F7D"/>
    <w:rsid w:val="00B5139B"/>
    <w:rsid w:val="00B561F9"/>
    <w:rsid w:val="00B5695F"/>
    <w:rsid w:val="00B57547"/>
    <w:rsid w:val="00B57EC4"/>
    <w:rsid w:val="00B606C3"/>
    <w:rsid w:val="00B65260"/>
    <w:rsid w:val="00B65640"/>
    <w:rsid w:val="00B70C84"/>
    <w:rsid w:val="00B8071B"/>
    <w:rsid w:val="00B808EE"/>
    <w:rsid w:val="00B81498"/>
    <w:rsid w:val="00B8239C"/>
    <w:rsid w:val="00B84F70"/>
    <w:rsid w:val="00B85DBE"/>
    <w:rsid w:val="00B868F9"/>
    <w:rsid w:val="00B93328"/>
    <w:rsid w:val="00B935E7"/>
    <w:rsid w:val="00B95F2B"/>
    <w:rsid w:val="00B96B3D"/>
    <w:rsid w:val="00BA48D6"/>
    <w:rsid w:val="00BA6C07"/>
    <w:rsid w:val="00BA75B1"/>
    <w:rsid w:val="00BB1C7F"/>
    <w:rsid w:val="00BB672D"/>
    <w:rsid w:val="00BC012A"/>
    <w:rsid w:val="00BC0E74"/>
    <w:rsid w:val="00BC2DAE"/>
    <w:rsid w:val="00BC3F9C"/>
    <w:rsid w:val="00BC661D"/>
    <w:rsid w:val="00BC6B0D"/>
    <w:rsid w:val="00BC6F77"/>
    <w:rsid w:val="00BD2753"/>
    <w:rsid w:val="00BD6BDC"/>
    <w:rsid w:val="00BD70BD"/>
    <w:rsid w:val="00BD75FB"/>
    <w:rsid w:val="00BE0C4E"/>
    <w:rsid w:val="00BE2A2E"/>
    <w:rsid w:val="00BE47CE"/>
    <w:rsid w:val="00BF0782"/>
    <w:rsid w:val="00BF27F5"/>
    <w:rsid w:val="00BF3C91"/>
    <w:rsid w:val="00BF548C"/>
    <w:rsid w:val="00BF7714"/>
    <w:rsid w:val="00C00FE4"/>
    <w:rsid w:val="00C04DBE"/>
    <w:rsid w:val="00C113AE"/>
    <w:rsid w:val="00C160F9"/>
    <w:rsid w:val="00C171B9"/>
    <w:rsid w:val="00C21871"/>
    <w:rsid w:val="00C21CEE"/>
    <w:rsid w:val="00C228A9"/>
    <w:rsid w:val="00C252B9"/>
    <w:rsid w:val="00C26F66"/>
    <w:rsid w:val="00C334F1"/>
    <w:rsid w:val="00C35A21"/>
    <w:rsid w:val="00C41120"/>
    <w:rsid w:val="00C442B0"/>
    <w:rsid w:val="00C452FF"/>
    <w:rsid w:val="00C546C5"/>
    <w:rsid w:val="00C70FDD"/>
    <w:rsid w:val="00C72970"/>
    <w:rsid w:val="00C72F8C"/>
    <w:rsid w:val="00C74988"/>
    <w:rsid w:val="00C76DC3"/>
    <w:rsid w:val="00C84C2B"/>
    <w:rsid w:val="00C853D1"/>
    <w:rsid w:val="00C85A96"/>
    <w:rsid w:val="00C90D06"/>
    <w:rsid w:val="00C90D2B"/>
    <w:rsid w:val="00CA0C1D"/>
    <w:rsid w:val="00CA2F84"/>
    <w:rsid w:val="00CA5903"/>
    <w:rsid w:val="00CA7935"/>
    <w:rsid w:val="00CB2B7B"/>
    <w:rsid w:val="00CB5A9E"/>
    <w:rsid w:val="00CC12D9"/>
    <w:rsid w:val="00CC2EBD"/>
    <w:rsid w:val="00CC5561"/>
    <w:rsid w:val="00CC7111"/>
    <w:rsid w:val="00CC7EAC"/>
    <w:rsid w:val="00CD0D73"/>
    <w:rsid w:val="00CD4FB6"/>
    <w:rsid w:val="00CD573E"/>
    <w:rsid w:val="00CD69C5"/>
    <w:rsid w:val="00CF1FCE"/>
    <w:rsid w:val="00CF38E2"/>
    <w:rsid w:val="00CF5199"/>
    <w:rsid w:val="00CF7911"/>
    <w:rsid w:val="00D003D4"/>
    <w:rsid w:val="00D02413"/>
    <w:rsid w:val="00D04493"/>
    <w:rsid w:val="00D060B7"/>
    <w:rsid w:val="00D069DF"/>
    <w:rsid w:val="00D07102"/>
    <w:rsid w:val="00D104DB"/>
    <w:rsid w:val="00D10BBE"/>
    <w:rsid w:val="00D114F9"/>
    <w:rsid w:val="00D11E84"/>
    <w:rsid w:val="00D121F9"/>
    <w:rsid w:val="00D143A9"/>
    <w:rsid w:val="00D15032"/>
    <w:rsid w:val="00D1541D"/>
    <w:rsid w:val="00D16932"/>
    <w:rsid w:val="00D16C0D"/>
    <w:rsid w:val="00D237F3"/>
    <w:rsid w:val="00D2535A"/>
    <w:rsid w:val="00D257B6"/>
    <w:rsid w:val="00D33D97"/>
    <w:rsid w:val="00D349C8"/>
    <w:rsid w:val="00D5012F"/>
    <w:rsid w:val="00D53A0C"/>
    <w:rsid w:val="00D53B52"/>
    <w:rsid w:val="00D553B2"/>
    <w:rsid w:val="00D603BF"/>
    <w:rsid w:val="00D621FF"/>
    <w:rsid w:val="00D62C6E"/>
    <w:rsid w:val="00D6407D"/>
    <w:rsid w:val="00D6556B"/>
    <w:rsid w:val="00D733EF"/>
    <w:rsid w:val="00D752D2"/>
    <w:rsid w:val="00D76975"/>
    <w:rsid w:val="00D772C9"/>
    <w:rsid w:val="00D77542"/>
    <w:rsid w:val="00D87AAA"/>
    <w:rsid w:val="00D90E06"/>
    <w:rsid w:val="00D91122"/>
    <w:rsid w:val="00D93EFD"/>
    <w:rsid w:val="00D94C0C"/>
    <w:rsid w:val="00D96276"/>
    <w:rsid w:val="00DA3751"/>
    <w:rsid w:val="00DA55AE"/>
    <w:rsid w:val="00DA7965"/>
    <w:rsid w:val="00DB10DD"/>
    <w:rsid w:val="00DB268E"/>
    <w:rsid w:val="00DB2E63"/>
    <w:rsid w:val="00DB6D27"/>
    <w:rsid w:val="00DC6387"/>
    <w:rsid w:val="00DD116F"/>
    <w:rsid w:val="00DD2536"/>
    <w:rsid w:val="00DD5573"/>
    <w:rsid w:val="00DD6442"/>
    <w:rsid w:val="00DE22C4"/>
    <w:rsid w:val="00DE6290"/>
    <w:rsid w:val="00DF2DD7"/>
    <w:rsid w:val="00DF635B"/>
    <w:rsid w:val="00DF63B1"/>
    <w:rsid w:val="00DF6A4D"/>
    <w:rsid w:val="00E00CF7"/>
    <w:rsid w:val="00E010F7"/>
    <w:rsid w:val="00E03053"/>
    <w:rsid w:val="00E0369E"/>
    <w:rsid w:val="00E04D30"/>
    <w:rsid w:val="00E06552"/>
    <w:rsid w:val="00E160CE"/>
    <w:rsid w:val="00E1781D"/>
    <w:rsid w:val="00E20137"/>
    <w:rsid w:val="00E21BB3"/>
    <w:rsid w:val="00E240BC"/>
    <w:rsid w:val="00E2443E"/>
    <w:rsid w:val="00E278F2"/>
    <w:rsid w:val="00E305BE"/>
    <w:rsid w:val="00E30E7E"/>
    <w:rsid w:val="00E317EA"/>
    <w:rsid w:val="00E321DD"/>
    <w:rsid w:val="00E32D11"/>
    <w:rsid w:val="00E33E03"/>
    <w:rsid w:val="00E378A7"/>
    <w:rsid w:val="00E41E5D"/>
    <w:rsid w:val="00E43965"/>
    <w:rsid w:val="00E45953"/>
    <w:rsid w:val="00E46DA8"/>
    <w:rsid w:val="00E5473E"/>
    <w:rsid w:val="00E565A0"/>
    <w:rsid w:val="00E61E5E"/>
    <w:rsid w:val="00E80DA9"/>
    <w:rsid w:val="00E8346C"/>
    <w:rsid w:val="00E83494"/>
    <w:rsid w:val="00E8631A"/>
    <w:rsid w:val="00E8645F"/>
    <w:rsid w:val="00E86BBF"/>
    <w:rsid w:val="00E90F09"/>
    <w:rsid w:val="00E9186A"/>
    <w:rsid w:val="00E92B4A"/>
    <w:rsid w:val="00E93EDF"/>
    <w:rsid w:val="00E966F3"/>
    <w:rsid w:val="00E97929"/>
    <w:rsid w:val="00E97EB7"/>
    <w:rsid w:val="00EA1004"/>
    <w:rsid w:val="00EA2CF6"/>
    <w:rsid w:val="00EA5A4F"/>
    <w:rsid w:val="00EB051B"/>
    <w:rsid w:val="00EB0AEA"/>
    <w:rsid w:val="00EB1E57"/>
    <w:rsid w:val="00EB43DB"/>
    <w:rsid w:val="00EB4A38"/>
    <w:rsid w:val="00EB5FE7"/>
    <w:rsid w:val="00EC01B9"/>
    <w:rsid w:val="00EC023F"/>
    <w:rsid w:val="00ED0896"/>
    <w:rsid w:val="00ED221F"/>
    <w:rsid w:val="00ED23EB"/>
    <w:rsid w:val="00EE23E5"/>
    <w:rsid w:val="00EE53C5"/>
    <w:rsid w:val="00EF0402"/>
    <w:rsid w:val="00EF0D39"/>
    <w:rsid w:val="00EF2D7A"/>
    <w:rsid w:val="00EF639E"/>
    <w:rsid w:val="00F023B3"/>
    <w:rsid w:val="00F030AA"/>
    <w:rsid w:val="00F03666"/>
    <w:rsid w:val="00F05DDC"/>
    <w:rsid w:val="00F060A2"/>
    <w:rsid w:val="00F121AE"/>
    <w:rsid w:val="00F1378E"/>
    <w:rsid w:val="00F32F65"/>
    <w:rsid w:val="00F35856"/>
    <w:rsid w:val="00F35A10"/>
    <w:rsid w:val="00F4029B"/>
    <w:rsid w:val="00F41F85"/>
    <w:rsid w:val="00F42167"/>
    <w:rsid w:val="00F44120"/>
    <w:rsid w:val="00F516F1"/>
    <w:rsid w:val="00F54246"/>
    <w:rsid w:val="00F561D0"/>
    <w:rsid w:val="00F66280"/>
    <w:rsid w:val="00F7369F"/>
    <w:rsid w:val="00F762D3"/>
    <w:rsid w:val="00F81A9B"/>
    <w:rsid w:val="00F821C8"/>
    <w:rsid w:val="00F87D29"/>
    <w:rsid w:val="00F91CA3"/>
    <w:rsid w:val="00F926A0"/>
    <w:rsid w:val="00F92DFC"/>
    <w:rsid w:val="00FA0FDA"/>
    <w:rsid w:val="00FA3952"/>
    <w:rsid w:val="00FA5759"/>
    <w:rsid w:val="00FC28BB"/>
    <w:rsid w:val="00FC3844"/>
    <w:rsid w:val="00FC3D38"/>
    <w:rsid w:val="00FC4CB0"/>
    <w:rsid w:val="00FC6454"/>
    <w:rsid w:val="00FC6B3E"/>
    <w:rsid w:val="00FD1A44"/>
    <w:rsid w:val="00FE3038"/>
    <w:rsid w:val="00FE53FE"/>
    <w:rsid w:val="00FE5E84"/>
    <w:rsid w:val="00FE7A78"/>
    <w:rsid w:val="00FF38D9"/>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C715C"/>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715C"/>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UnresolvedMention">
    <w:name w:val="Unresolved Mention"/>
    <w:basedOn w:val="Fuentedeprrafopredeter"/>
    <w:uiPriority w:val="99"/>
    <w:semiHidden/>
    <w:unhideWhenUsed/>
    <w:rsid w:val="00E32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52694645">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png"/><Relationship Id="rId18" Type="http://schemas.openxmlformats.org/officeDocument/2006/relationships/hyperlink" Target="http://rmgir.proyectomesoamerica.org/PDFMunicipales/EdoMex/Atlas_Atenco_Abr2021_08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gproteccioncivil.edomex.gob.mx/glosario_termin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mgir.proyectomesoamerica.org/postal/apps/webappvierwer/index.html?id=054783b466bd47819fa4eed6c41c5274"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rmgir.proyectomesoamerica.org/PDFMunicipales/EdoMex/Atlas_Atenco_Abr2021_081.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93C1D-560E-404F-9C4C-FF9A2DDA4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4557</Words>
  <Characters>25065</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29563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10</cp:revision>
  <dcterms:created xsi:type="dcterms:W3CDTF">2022-01-18T21:39:00Z</dcterms:created>
  <dcterms:modified xsi:type="dcterms:W3CDTF">2022-05-06T18:42:00Z</dcterms:modified>
  <cp:category/>
</cp:coreProperties>
</file>