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E204A">
        <w:rPr>
          <w:rFonts w:ascii="Palatino Linotype" w:eastAsia="Palatino Linotype" w:hAnsi="Palatino Linotype" w:cs="Palatino Linotype"/>
          <w:b/>
        </w:rPr>
        <w:t>diecinueve de octu</w:t>
      </w:r>
      <w:r w:rsidR="00196FD8">
        <w:rPr>
          <w:rFonts w:ascii="Palatino Linotype" w:eastAsia="Palatino Linotype" w:hAnsi="Palatino Linotype" w:cs="Palatino Linotype"/>
          <w:b/>
        </w:rPr>
        <w:t>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2E204A">
        <w:rPr>
          <w:rFonts w:ascii="Palatino Linotype" w:eastAsia="Palatino Linotype" w:hAnsi="Palatino Linotype" w:cs="Palatino Linotype"/>
          <w:b/>
        </w:rPr>
        <w:t>1032</w:t>
      </w:r>
      <w:r w:rsidR="005B47E5" w:rsidRPr="005B47E5">
        <w:rPr>
          <w:rFonts w:ascii="Palatino Linotype" w:eastAsia="Palatino Linotype" w:hAnsi="Palatino Linotype" w:cs="Palatino Linotype"/>
          <w:b/>
        </w:rPr>
        <w:t>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F43951">
        <w:rPr>
          <w:rFonts w:ascii="Palatino Linotype" w:eastAsia="Palatino Linotype" w:hAnsi="Palatino Linotype" w:cs="Palatino Linotype"/>
          <w:b/>
        </w:rPr>
        <w:t>XX 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sidR="00196FD8">
        <w:rPr>
          <w:rFonts w:ascii="Palatino Linotype" w:eastAsia="Palatino Linotype" w:hAnsi="Palatino Linotype" w:cs="Palatino Linotype"/>
        </w:rPr>
        <w:t xml:space="preserve">será identificado como </w:t>
      </w:r>
      <w:r w:rsidR="00196FD8" w:rsidRPr="00196FD8">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2E204A">
        <w:rPr>
          <w:rFonts w:ascii="Palatino Linotype" w:eastAsia="Palatino Linotype" w:hAnsi="Palatino Linotype" w:cs="Palatino Linotype"/>
          <w:b/>
        </w:rPr>
        <w:t>Ayuntamiento de Tecámac</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515A88" w:rsidRDefault="00096237">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2E204A">
        <w:rPr>
          <w:rFonts w:ascii="Palatino Linotype" w:eastAsia="Palatino Linotype" w:hAnsi="Palatino Linotype" w:cs="Palatino Linotype"/>
          <w:b/>
        </w:rPr>
        <w:t>dos de may</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sidR="00196FD8">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sidR="002E204A" w:rsidRPr="002E204A">
        <w:rPr>
          <w:rFonts w:ascii="Palatino Linotype" w:eastAsia="Palatino Linotype" w:hAnsi="Palatino Linotype" w:cs="Palatino Linotype"/>
          <w:b/>
          <w:bCs/>
        </w:rPr>
        <w:t>00115/TECAMAC/IP/2022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0B55B6" w:rsidRPr="002E204A" w:rsidRDefault="00096237" w:rsidP="002E204A">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2E204A" w:rsidRPr="002E204A">
        <w:rPr>
          <w:rFonts w:ascii="Palatino Linotype" w:eastAsia="Palatino Linotype" w:hAnsi="Palatino Linotype" w:cs="Palatino Linotype"/>
          <w:b/>
          <w:i/>
          <w:sz w:val="22"/>
          <w:szCs w:val="22"/>
        </w:rPr>
        <w:t xml:space="preserve">Inversión total para la realización de la Feria Regional de Tecámac realizada del 29 de abril al domingo 8 de mayo. Copia de contratos celebrados para la realización, planeación, preparación, ejecución de la Feria. Copia de contratos celebrados para la presentación de los diversos participantes, incluyendo los artistas Edith Márquez, German Montero; Los Invasores De Nuevo León Oficial, Lagrimita y </w:t>
      </w:r>
      <w:proofErr w:type="spellStart"/>
      <w:r w:rsidR="002E204A" w:rsidRPr="002E204A">
        <w:rPr>
          <w:rFonts w:ascii="Palatino Linotype" w:eastAsia="Palatino Linotype" w:hAnsi="Palatino Linotype" w:cs="Palatino Linotype"/>
          <w:b/>
          <w:i/>
          <w:sz w:val="22"/>
          <w:szCs w:val="22"/>
        </w:rPr>
        <w:t>Costel</w:t>
      </w:r>
      <w:proofErr w:type="spellEnd"/>
      <w:r w:rsidR="002E204A" w:rsidRPr="002E204A">
        <w:rPr>
          <w:rFonts w:ascii="Palatino Linotype" w:eastAsia="Palatino Linotype" w:hAnsi="Palatino Linotype" w:cs="Palatino Linotype"/>
          <w:b/>
          <w:i/>
          <w:sz w:val="22"/>
          <w:szCs w:val="22"/>
        </w:rPr>
        <w:t xml:space="preserve"> Oficial y el resto</w:t>
      </w:r>
      <w:r>
        <w:rPr>
          <w:rFonts w:ascii="Palatino Linotype" w:eastAsia="Palatino Linotype" w:hAnsi="Palatino Linotype" w:cs="Palatino Linotype"/>
          <w:i/>
          <w:sz w:val="22"/>
          <w:szCs w:val="22"/>
        </w:rPr>
        <w:t>” (Sic)</w:t>
      </w:r>
      <w:r w:rsidR="00196FD8">
        <w:rPr>
          <w:rFonts w:ascii="Palatino Linotype" w:eastAsia="Palatino Linotype" w:hAnsi="Palatino Linotype" w:cs="Palatino Linotype"/>
          <w:i/>
          <w:sz w:val="22"/>
          <w:szCs w:val="22"/>
        </w:rPr>
        <w:t xml:space="preserve"> (Énfasis añadido)</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w:t>
      </w:r>
      <w:r w:rsidRPr="00196FD8">
        <w:rPr>
          <w:rFonts w:ascii="Palatino Linotype" w:eastAsia="Palatino Linotype" w:hAnsi="Palatino Linotype" w:cs="Palatino Linotype"/>
          <w:b/>
        </w:rPr>
        <w:t>Sistema de Acceso a la Información Mexiquense (SAIMEX)</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sidR="002E204A">
        <w:rPr>
          <w:rFonts w:ascii="Palatino Linotype" w:eastAsia="Palatino Linotype" w:hAnsi="Palatino Linotype" w:cs="Palatino Linotype"/>
          <w:b/>
        </w:rPr>
        <w:t>veinticuatro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2E204A" w:rsidRPr="002E204A" w:rsidRDefault="00096237" w:rsidP="002E204A">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E204A" w:rsidRPr="002E204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204A" w:rsidRPr="002E204A" w:rsidRDefault="002E204A" w:rsidP="002E204A">
      <w:pPr>
        <w:spacing w:before="240" w:after="240" w:line="276" w:lineRule="auto"/>
        <w:ind w:left="851" w:right="900"/>
        <w:jc w:val="both"/>
        <w:rPr>
          <w:rFonts w:ascii="Palatino Linotype" w:eastAsia="Palatino Linotype" w:hAnsi="Palatino Linotype" w:cs="Palatino Linotype"/>
          <w:b/>
          <w:i/>
          <w:sz w:val="22"/>
          <w:szCs w:val="22"/>
          <w:u w:val="single"/>
        </w:rPr>
      </w:pPr>
      <w:r w:rsidRPr="002E204A">
        <w:rPr>
          <w:rFonts w:ascii="Palatino Linotype" w:eastAsia="Palatino Linotype" w:hAnsi="Palatino Linotype" w:cs="Palatino Linotype"/>
          <w:b/>
          <w:i/>
          <w:sz w:val="22"/>
          <w:szCs w:val="22"/>
          <w:u w:val="single"/>
        </w:rPr>
        <w:t>Buenos Días: Le informamos que la información contable municipal se entrega en forma Trimestral, en el caso referente a solicitud es correspondiente al segundo trimestre de Abril a Junio, por lo cual la información del 2do trimestre se encuentra en proceso.</w:t>
      </w:r>
    </w:p>
    <w:p w:rsidR="002E204A" w:rsidRPr="002E204A" w:rsidRDefault="002E204A" w:rsidP="002E204A">
      <w:pPr>
        <w:spacing w:before="240" w:after="240" w:line="276" w:lineRule="auto"/>
        <w:ind w:left="851" w:right="900"/>
        <w:jc w:val="both"/>
        <w:rPr>
          <w:rFonts w:ascii="Palatino Linotype" w:eastAsia="Palatino Linotype" w:hAnsi="Palatino Linotype" w:cs="Palatino Linotype"/>
          <w:i/>
          <w:sz w:val="22"/>
          <w:szCs w:val="22"/>
        </w:rPr>
      </w:pPr>
      <w:r w:rsidRPr="002E204A">
        <w:rPr>
          <w:rFonts w:ascii="Palatino Linotype" w:eastAsia="Palatino Linotype" w:hAnsi="Palatino Linotype" w:cs="Palatino Linotype"/>
          <w:i/>
          <w:sz w:val="22"/>
          <w:szCs w:val="22"/>
        </w:rPr>
        <w:t>ATENTAMENTE</w:t>
      </w:r>
    </w:p>
    <w:p w:rsidR="00515A88" w:rsidRDefault="002E204A" w:rsidP="002E204A">
      <w:pPr>
        <w:spacing w:before="240" w:after="240" w:line="276" w:lineRule="auto"/>
        <w:ind w:left="851" w:right="900"/>
        <w:jc w:val="both"/>
        <w:rPr>
          <w:rFonts w:ascii="Palatino Linotype" w:eastAsia="Palatino Linotype" w:hAnsi="Palatino Linotype" w:cs="Palatino Linotype"/>
          <w:i/>
          <w:sz w:val="22"/>
          <w:szCs w:val="22"/>
        </w:rPr>
      </w:pPr>
      <w:r w:rsidRPr="002E204A">
        <w:rPr>
          <w:rFonts w:ascii="Palatino Linotype" w:eastAsia="Palatino Linotype" w:hAnsi="Palatino Linotype" w:cs="Palatino Linotype"/>
          <w:i/>
          <w:sz w:val="22"/>
          <w:szCs w:val="22"/>
        </w:rPr>
        <w:t>C. CARLOS ALONSO HERNÁNDEZ PELÁEZ</w:t>
      </w:r>
      <w:r w:rsidR="00096237">
        <w:rPr>
          <w:rFonts w:ascii="Palatino Linotype" w:eastAsia="Palatino Linotype" w:hAnsi="Palatino Linotype" w:cs="Palatino Linotype"/>
          <w:i/>
          <w:sz w:val="22"/>
          <w:szCs w:val="22"/>
        </w:rPr>
        <w:t>” (sic)</w:t>
      </w:r>
    </w:p>
    <w:p w:rsidR="00084E8B" w:rsidRPr="002E204A" w:rsidRDefault="00096237" w:rsidP="002E204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 Interpos</w:t>
      </w:r>
      <w:r w:rsidR="00655C32">
        <w:rPr>
          <w:rFonts w:ascii="Palatino Linotype" w:eastAsia="Palatino Linotype" w:hAnsi="Palatino Linotype" w:cs="Palatino Linotype"/>
          <w:b/>
        </w:rPr>
        <w:t xml:space="preserve">ición del recurso de revisión. </w:t>
      </w:r>
      <w:r>
        <w:rPr>
          <w:rFonts w:ascii="Palatino Linotype" w:eastAsia="Palatino Linotype" w:hAnsi="Palatino Linotype" w:cs="Palatino Linotype"/>
        </w:rPr>
        <w:t xml:space="preserve">El </w:t>
      </w:r>
      <w:r w:rsidR="002E204A">
        <w:rPr>
          <w:rFonts w:ascii="Palatino Linotype" w:eastAsia="Palatino Linotype" w:hAnsi="Palatino Linotype" w:cs="Palatino Linotype"/>
          <w:b/>
        </w:rPr>
        <w:t>treinta</w:t>
      </w:r>
      <w:r>
        <w:rPr>
          <w:rFonts w:ascii="Palatino Linotype" w:eastAsia="Palatino Linotype" w:hAnsi="Palatino Linotype" w:cs="Palatino Linotype"/>
          <w:b/>
        </w:rPr>
        <w:t xml:space="preserve"> de</w:t>
      </w:r>
      <w:r w:rsidRPr="00485FD2">
        <w:rPr>
          <w:rFonts w:ascii="Palatino Linotype" w:eastAsia="Palatino Linotype" w:hAnsi="Palatino Linotype" w:cs="Palatino Linotype"/>
          <w:b/>
          <w:color w:val="000000" w:themeColor="text1"/>
        </w:rPr>
        <w:t xml:space="preserve"> </w:t>
      </w:r>
      <w:r w:rsidR="002E204A">
        <w:rPr>
          <w:rFonts w:ascii="Palatino Linotype" w:eastAsia="Palatino Linotype" w:hAnsi="Palatino Linotype" w:cs="Palatino Linotype"/>
          <w:b/>
          <w:color w:val="000000" w:themeColor="text1"/>
        </w:rPr>
        <w:t>mayo</w:t>
      </w:r>
      <w:r w:rsidR="00084E8B" w:rsidRPr="00485FD2">
        <w:rPr>
          <w:rFonts w:ascii="Palatino Linotype" w:eastAsia="Palatino Linotype" w:hAnsi="Palatino Linotype" w:cs="Palatino Linotype"/>
          <w:b/>
          <w:color w:val="000000" w:themeColor="text1"/>
        </w:rPr>
        <w:t xml:space="preserve"> </w:t>
      </w:r>
      <w:r w:rsidR="00196FD8">
        <w:rPr>
          <w:rFonts w:ascii="Palatino Linotype" w:eastAsia="Palatino Linotype" w:hAnsi="Palatino Linotype" w:cs="Palatino Linotype"/>
          <w:b/>
        </w:rPr>
        <w:t>de dos mil veintidós,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inconforme con la respuesta, presentó el recurso de revisión a través del cual expresó lo siguiente:</w:t>
      </w:r>
    </w:p>
    <w:p w:rsidR="00515A88" w:rsidRDefault="00096237">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515A88"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E204A" w:rsidRPr="002E204A">
        <w:rPr>
          <w:rFonts w:ascii="Palatino Linotype" w:eastAsia="Palatino Linotype" w:hAnsi="Palatino Linotype" w:cs="Palatino Linotype"/>
          <w:i/>
          <w:color w:val="000000"/>
          <w:sz w:val="22"/>
          <w:szCs w:val="22"/>
        </w:rPr>
        <w:t>Negativa</w:t>
      </w:r>
      <w:r>
        <w:rPr>
          <w:rFonts w:ascii="Palatino Linotype" w:eastAsia="Palatino Linotype" w:hAnsi="Palatino Linotype" w:cs="Palatino Linotype"/>
          <w:i/>
          <w:color w:val="000000"/>
          <w:sz w:val="22"/>
          <w:szCs w:val="22"/>
        </w:rPr>
        <w:t>” (Sic)</w:t>
      </w:r>
    </w:p>
    <w:p w:rsidR="00515A88" w:rsidRDefault="00096237">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15A88"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E204A" w:rsidRPr="002E204A">
        <w:rPr>
          <w:rFonts w:ascii="Palatino Linotype" w:eastAsia="Palatino Linotype" w:hAnsi="Palatino Linotype" w:cs="Palatino Linotype"/>
          <w:b/>
          <w:i/>
          <w:color w:val="000000"/>
          <w:sz w:val="22"/>
          <w:szCs w:val="22"/>
        </w:rPr>
        <w:t>No estoy pidiendo información contable, sino documentos ya generados de un evento que ya se realizó</w:t>
      </w:r>
      <w:r>
        <w:rPr>
          <w:rFonts w:ascii="Palatino Linotype" w:eastAsia="Palatino Linotype" w:hAnsi="Palatino Linotype" w:cs="Palatino Linotype"/>
          <w:i/>
          <w:color w:val="000000"/>
          <w:sz w:val="22"/>
          <w:szCs w:val="22"/>
        </w:rPr>
        <w:t>” (Sic)</w:t>
      </w:r>
      <w:r w:rsidR="002E204A">
        <w:rPr>
          <w:rFonts w:ascii="Palatino Linotype" w:eastAsia="Palatino Linotype" w:hAnsi="Palatino Linotype" w:cs="Palatino Linotype"/>
          <w:i/>
          <w:color w:val="000000"/>
          <w:sz w:val="22"/>
          <w:szCs w:val="22"/>
        </w:rPr>
        <w:t xml:space="preserve"> (Énfasis añadido)</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515A88" w:rsidRDefault="0009623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sidR="00DC01FD">
        <w:rPr>
          <w:rFonts w:ascii="Palatino Linotype" w:eastAsia="Palatino Linotype" w:hAnsi="Palatino Linotype" w:cs="Palatino Linotype"/>
          <w:b/>
        </w:rPr>
        <w:t xml:space="preserve"> dos de junio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DC01FD">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814B2A" w:rsidRPr="00A00194" w:rsidRDefault="00096237" w:rsidP="00A00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sidR="00A00194" w:rsidRPr="00A00194">
        <w:rPr>
          <w:rFonts w:ascii="Palatino Linotype" w:eastAsia="Palatino Linotype" w:hAnsi="Palatino Linotype" w:cs="Palatino Linotype"/>
          <w:szCs w:val="28"/>
        </w:rPr>
        <w:t xml:space="preserve">Los </w:t>
      </w:r>
      <w:r w:rsidR="00A00194">
        <w:rPr>
          <w:rFonts w:ascii="Palatino Linotype" w:eastAsia="Palatino Linotype" w:hAnsi="Palatino Linotype" w:cs="Palatino Linotype"/>
          <w:szCs w:val="28"/>
        </w:rPr>
        <w:t xml:space="preserve">días siete y catorce de junio de dos mil veintidós, el particular remitió los soportes documentales </w:t>
      </w:r>
      <w:r w:rsidR="00A00194" w:rsidRPr="00A00194">
        <w:rPr>
          <w:rFonts w:ascii="Palatino Linotype" w:eastAsia="Palatino Linotype" w:hAnsi="Palatino Linotype" w:cs="Palatino Linotype"/>
          <w:b/>
          <w:i/>
          <w:szCs w:val="28"/>
        </w:rPr>
        <w:t>“Resprev.docx”</w:t>
      </w:r>
      <w:r w:rsidR="00A00194">
        <w:rPr>
          <w:rFonts w:ascii="Palatino Linotype" w:eastAsia="Palatino Linotype" w:hAnsi="Palatino Linotype" w:cs="Palatino Linotype"/>
          <w:szCs w:val="28"/>
        </w:rPr>
        <w:t xml:space="preserve"> en los cuales se advierte que expresa </w:t>
      </w:r>
      <w:r w:rsidR="00A00194" w:rsidRPr="00A00194">
        <w:rPr>
          <w:rFonts w:ascii="Palatino Linotype" w:eastAsia="Palatino Linotype" w:hAnsi="Palatino Linotype" w:cs="Palatino Linotype"/>
          <w:i/>
          <w:szCs w:val="28"/>
        </w:rPr>
        <w:t>“Los ya manifestados en la interposición del recurso de revisión”</w:t>
      </w:r>
      <w:r w:rsidR="00A00194">
        <w:rPr>
          <w:rFonts w:ascii="Palatino Linotype" w:eastAsia="Palatino Linotype" w:hAnsi="Palatino Linotype" w:cs="Palatino Linotype"/>
          <w:i/>
          <w:szCs w:val="28"/>
        </w:rPr>
        <w:t xml:space="preserve"> (Sic), </w:t>
      </w:r>
      <w:r w:rsidR="00A00194">
        <w:rPr>
          <w:rFonts w:ascii="Palatino Linotype" w:eastAsia="Palatino Linotype" w:hAnsi="Palatino Linotype" w:cs="Palatino Linotype"/>
          <w:szCs w:val="28"/>
        </w:rPr>
        <w:t xml:space="preserve">asimismo por cuanto hace al </w:t>
      </w:r>
      <w:r w:rsidR="00A00194" w:rsidRPr="00A00194">
        <w:rPr>
          <w:rFonts w:ascii="Palatino Linotype" w:eastAsia="Palatino Linotype" w:hAnsi="Palatino Linotype" w:cs="Palatino Linotype"/>
          <w:b/>
          <w:szCs w:val="28"/>
        </w:rPr>
        <w:t>Sujeto Obligado</w:t>
      </w:r>
      <w:r w:rsidR="00A00194">
        <w:rPr>
          <w:rFonts w:ascii="Palatino Linotype" w:eastAsia="Palatino Linotype" w:hAnsi="Palatino Linotype" w:cs="Palatino Linotype"/>
          <w:szCs w:val="28"/>
        </w:rPr>
        <w:t xml:space="preserve">, se tiene que no remitió su informe justificado, por lo que se tiene por </w:t>
      </w:r>
      <w:proofErr w:type="spellStart"/>
      <w:r w:rsidR="00A00194">
        <w:rPr>
          <w:rFonts w:ascii="Palatino Linotype" w:eastAsia="Palatino Linotype" w:hAnsi="Palatino Linotype" w:cs="Palatino Linotype"/>
          <w:szCs w:val="28"/>
        </w:rPr>
        <w:t>precluido</w:t>
      </w:r>
      <w:proofErr w:type="spellEnd"/>
      <w:r w:rsidR="00A00194">
        <w:rPr>
          <w:rFonts w:ascii="Palatino Linotype" w:eastAsia="Palatino Linotype" w:hAnsi="Palatino Linotype" w:cs="Palatino Linotype"/>
          <w:szCs w:val="28"/>
        </w:rPr>
        <w:t xml:space="preserve"> su derecho para tal efecto.</w:t>
      </w:r>
    </w:p>
    <w:p w:rsidR="000D3CB3" w:rsidRDefault="00A00194" w:rsidP="00BF46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476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b/>
          <w:lang w:eastAsia="es-ES"/>
        </w:rPr>
        <w:t xml:space="preserve">7. Ampliación de plazo. </w:t>
      </w:r>
      <w:r w:rsidR="00A00194">
        <w:rPr>
          <w:rFonts w:ascii="Palatino Linotype" w:eastAsia="Palatino Linotype" w:hAnsi="Palatino Linotype" w:cs="Palatino Linotype"/>
          <w:lang w:eastAsia="es-ES"/>
        </w:rPr>
        <w:t xml:space="preserve">El </w:t>
      </w:r>
      <w:r w:rsidR="00A00194" w:rsidRPr="00A00194">
        <w:rPr>
          <w:rFonts w:ascii="Palatino Linotype" w:eastAsia="Palatino Linotype" w:hAnsi="Palatino Linotype" w:cs="Palatino Linotype"/>
          <w:b/>
          <w:lang w:eastAsia="es-ES"/>
        </w:rPr>
        <w:t>once</w:t>
      </w:r>
      <w:r w:rsidRPr="00A00194">
        <w:rPr>
          <w:rFonts w:ascii="Palatino Linotype" w:eastAsia="Palatino Linotype" w:hAnsi="Palatino Linotype" w:cs="Palatino Linotype"/>
          <w:b/>
          <w:color w:val="FF0000"/>
          <w:lang w:eastAsia="es-ES"/>
        </w:rPr>
        <w:t xml:space="preserve"> </w:t>
      </w:r>
      <w:r w:rsidR="00A00194">
        <w:rPr>
          <w:rFonts w:ascii="Palatino Linotype" w:eastAsia="Palatino Linotype" w:hAnsi="Palatino Linotype" w:cs="Palatino Linotype"/>
          <w:b/>
          <w:lang w:eastAsia="es-ES"/>
        </w:rPr>
        <w:t>de octubre</w:t>
      </w:r>
      <w:r w:rsidRPr="00084E8B">
        <w:rPr>
          <w:rFonts w:ascii="Palatino Linotype" w:eastAsia="Palatino Linotype" w:hAnsi="Palatino Linotype" w:cs="Palatino Linotype"/>
          <w:b/>
          <w:lang w:eastAsia="es-ES"/>
        </w:rPr>
        <w:t xml:space="preserve"> de dos mil veintidós</w:t>
      </w:r>
      <w:r w:rsidRPr="00084E8B">
        <w:rPr>
          <w:rFonts w:ascii="Palatino Linotype" w:eastAsia="Palatino Linotype" w:hAnsi="Palatino Linotype" w:cs="Palatino Linotype"/>
          <w:lang w:eastAsia="es-ES"/>
        </w:rPr>
        <w:t xml:space="preserve">, se notificó a las partes el Acuerdo de Ampliación de Plazo para resolver los medios de impugnación que nos ocupan, en términos de lo dispuesto por el artículo 181, párrafo tercero de </w:t>
      </w:r>
      <w:r w:rsidRPr="00084E8B">
        <w:rPr>
          <w:rFonts w:ascii="Palatino Linotype" w:eastAsia="Palatino Linotype" w:hAnsi="Palatino Linotype" w:cs="Palatino Linotype"/>
          <w:lang w:eastAsia="es-ES"/>
        </w:rPr>
        <w:lastRenderedPageBreak/>
        <w:t>la Ley de Transparencia y Acceso a la Información Pública del Estado de México y Municipios.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lastRenderedPageBreak/>
        <w:t>Por ello, excepcionalmente, si un asunto es resuelto con posterioridad a los plazos señalados por la norma debe analizarse la razonabilidad del tiempo necesario para su resolución</w:t>
      </w:r>
      <w:r w:rsidR="007F24B3">
        <w:rPr>
          <w:rFonts w:ascii="Palatino Linotype" w:eastAsia="Palatino Linotype" w:hAnsi="Palatino Linotype" w:cs="Palatino Linotype"/>
          <w:lang w:eastAsia="es-ES"/>
        </w:rPr>
        <w:t>,</w:t>
      </w:r>
      <w:r w:rsidRPr="00084E8B">
        <w:rPr>
          <w:rFonts w:ascii="Palatino Linotype" w:eastAsia="Palatino Linotype" w:hAnsi="Palatino Linotype" w:cs="Palatino Linotype"/>
          <w:lang w:eastAsia="es-ES"/>
        </w:rPr>
        <w:t xml:space="preserve"> atentos a los siguientes criterios: </w:t>
      </w:r>
    </w:p>
    <w:p w:rsidR="00084E8B" w:rsidRPr="00A00194" w:rsidRDefault="00084E8B" w:rsidP="00A00194">
      <w:pPr>
        <w:pStyle w:val="Prrafodelista"/>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A00194">
        <w:rPr>
          <w:rFonts w:ascii="Palatino Linotype" w:eastAsia="Palatino Linotype" w:hAnsi="Palatino Linotype" w:cs="Palatino Linotype"/>
          <w:lang w:eastAsia="es-ES"/>
        </w:rPr>
        <w:t>Complejidad del Asunto: La complejidad de la prueba, la pluralidad de sujetos procesales, el tiempo transcurrido, las características y contexto del recurso. </w:t>
      </w:r>
    </w:p>
    <w:p w:rsidR="00084E8B" w:rsidRPr="00084E8B" w:rsidRDefault="00084E8B" w:rsidP="00084E8B">
      <w:pPr>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Actividad Procesal del interesado. Acciones u omisiones del interesado.</w:t>
      </w:r>
    </w:p>
    <w:p w:rsidR="00084E8B" w:rsidRPr="00BD6C32" w:rsidRDefault="00084E8B" w:rsidP="00BD6C32">
      <w:pPr>
        <w:pStyle w:val="Prrafodelista"/>
        <w:numPr>
          <w:ilvl w:val="0"/>
          <w:numId w:val="6"/>
        </w:numPr>
        <w:spacing w:before="240" w:after="240" w:line="360" w:lineRule="auto"/>
        <w:ind w:left="284" w:right="1183"/>
        <w:jc w:val="both"/>
        <w:rPr>
          <w:rFonts w:ascii="Palatino Linotype" w:eastAsia="Palatino Linotype" w:hAnsi="Palatino Linotype" w:cs="Palatino Linotype"/>
          <w:lang w:eastAsia="es-ES"/>
        </w:rPr>
      </w:pPr>
      <w:r w:rsidRPr="00BD6C32">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rsidR="00084E8B" w:rsidRPr="00084E8B" w:rsidRDefault="00084E8B" w:rsidP="00084E8B">
      <w:p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d</w:t>
      </w:r>
      <w:r w:rsidR="00BD6C32">
        <w:rPr>
          <w:rFonts w:ascii="Palatino Linotype" w:eastAsia="Palatino Linotype" w:hAnsi="Palatino Linotype" w:cs="Palatino Linotype"/>
          <w:lang w:eastAsia="es-ES"/>
        </w:rPr>
        <w:t>)</w:t>
      </w:r>
      <w:r w:rsidRPr="00084E8B">
        <w:rPr>
          <w:rFonts w:ascii="Palatino Linotype" w:eastAsia="Palatino Linotype" w:hAnsi="Palatino Linotype" w:cs="Palatino Linotype"/>
          <w:lang w:eastAsia="es-ES"/>
        </w:rPr>
        <w:t xml:space="preserve"> La afectación generada en la situación jurídica de la persona involucrada en el proceso: Violación a sus derechos humanos.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Argumento que encuentra sustento en la jurisprudencia P</w:t>
      </w:r>
      <w:proofErr w:type="gramStart"/>
      <w:r w:rsidRPr="00084E8B">
        <w:rPr>
          <w:rFonts w:ascii="Palatino Linotype" w:eastAsia="Palatino Linotype" w:hAnsi="Palatino Linotype" w:cs="Palatino Linotype"/>
          <w:lang w:eastAsia="es-ES"/>
        </w:rPr>
        <w:t>./</w:t>
      </w:r>
      <w:proofErr w:type="gramEnd"/>
      <w:r w:rsidRPr="00084E8B">
        <w:rPr>
          <w:rFonts w:ascii="Palatino Linotype" w:eastAsia="Palatino Linotype" w:hAnsi="Palatino Linotype" w:cs="Palatino Linotype"/>
          <w:lang w:eastAsia="es-ES"/>
        </w:rPr>
        <w:t xml:space="preserve">J. 32/92 emitida por el Pleno de la Suprema Corte de Justicia de la Nación de rubro </w:t>
      </w:r>
      <w:r w:rsidRPr="00084E8B">
        <w:rPr>
          <w:rFonts w:ascii="Palatino Linotype" w:eastAsia="Palatino Linotype" w:hAnsi="Palatino Linotype" w:cs="Palatino Linotype"/>
          <w:i/>
          <w:lang w:eastAsia="es-ES"/>
        </w:rPr>
        <w:t xml:space="preserve">“TÉRMINOS PROCESALES. PARA DETERMINAR SI UN FUNCIONARIO JUDICIAL ACTUÓ </w:t>
      </w:r>
      <w:r w:rsidRPr="00084E8B">
        <w:rPr>
          <w:rFonts w:ascii="Palatino Linotype" w:eastAsia="Palatino Linotype" w:hAnsi="Palatino Linotype" w:cs="Palatino Linotype"/>
          <w:i/>
          <w:lang w:eastAsia="es-ES"/>
        </w:rPr>
        <w:lastRenderedPageBreak/>
        <w:t>INDEBIDAMENTE POR NO RESPETARLOS SE DEBE ATENDER AL PRESUPUESTO QUE CONSIDERÓ EL LEGISLADOR AL FIJARLOS Y LAS CARACTERÍSTICAS DEL CASO.”</w:t>
      </w:r>
      <w:r w:rsidRPr="00084E8B">
        <w:rPr>
          <w:rFonts w:ascii="Palatino Linotype" w:eastAsia="Palatino Linotype" w:hAnsi="Palatino Linotype" w:cs="Palatino Linotype"/>
          <w:lang w:eastAsia="es-ES"/>
        </w:rPr>
        <w:t>, visible en la Gaceta del Seminario Judicial de la Federación con el registro digital 205635.</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w:t>
      </w:r>
      <w:r w:rsidRPr="00084E8B">
        <w:rPr>
          <w:rFonts w:ascii="Palatino Linotype" w:eastAsia="Palatino Linotype" w:hAnsi="Palatino Linotype" w:cs="Palatino Linotype"/>
          <w:i/>
          <w:lang w:eastAsia="es-ES"/>
        </w:rPr>
        <w:t>“PLAZO RAZONABLE PARA RESOLVER. DIMENSIÓN Y EFECTOS DE ESTE CONCEPTO CUANDO SE ADUCE EXCESIVA CARGA DE TRABAJO.”</w:t>
      </w:r>
      <w:r w:rsidRPr="00084E8B">
        <w:rPr>
          <w:rFonts w:ascii="Palatino Linotype" w:eastAsia="Palatino Linotype" w:hAnsi="Palatino Linotype" w:cs="Palatino Linotype"/>
          <w:lang w:eastAsia="es-ES"/>
        </w:rPr>
        <w:t xml:space="preserve"> consultable en el Seminario Judicial de la Federación y su gaceta, con el registro digital 2002351.</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i/>
          <w:lang w:eastAsia="es-ES"/>
        </w:rPr>
        <w:t xml:space="preserve">“PLAZO RAZONABLE PARA RESOLVER. CONCEPTO Y ELEMENTOS QUE LO INTEGRAN A LA LUZ DEL DERECHO INTERNACIONAL DE LOS DERECHOS </w:t>
      </w:r>
      <w:r w:rsidRPr="00084E8B">
        <w:rPr>
          <w:rFonts w:ascii="Palatino Linotype" w:eastAsia="Palatino Linotype" w:hAnsi="Palatino Linotype" w:cs="Palatino Linotype"/>
          <w:i/>
          <w:lang w:eastAsia="es-ES"/>
        </w:rPr>
        <w:lastRenderedPageBreak/>
        <w:t>HUMANOS.”</w:t>
      </w:r>
      <w:r w:rsidRPr="00084E8B">
        <w:rPr>
          <w:rFonts w:ascii="Palatino Linotype" w:eastAsia="Palatino Linotype" w:hAnsi="Palatino Linotype" w:cs="Palatino Linotype"/>
          <w:lang w:eastAsia="es-ES"/>
        </w:rPr>
        <w:t>, visible en el Seminario Judicial de la Federación y su gaceta, con el registro digital 2002350.</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rsidR="00515A88" w:rsidRDefault="00084E8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8</w:t>
      </w:r>
      <w:r w:rsidR="00096237">
        <w:rPr>
          <w:rFonts w:ascii="Palatino Linotype" w:eastAsia="Palatino Linotype" w:hAnsi="Palatino Linotype" w:cs="Palatino Linotype"/>
          <w:b/>
          <w:color w:val="000000"/>
        </w:rPr>
        <w:t xml:space="preserve">. </w:t>
      </w:r>
      <w:r w:rsidR="00096237">
        <w:rPr>
          <w:rFonts w:ascii="Palatino Linotype" w:eastAsia="Palatino Linotype" w:hAnsi="Palatino Linotype" w:cs="Palatino Linotype"/>
          <w:b/>
        </w:rPr>
        <w:t xml:space="preserve">Cierre de instrucción. </w:t>
      </w:r>
      <w:r w:rsidR="00096237">
        <w:rPr>
          <w:rFonts w:ascii="Palatino Linotype" w:eastAsia="Palatino Linotype" w:hAnsi="Palatino Linotype" w:cs="Palatino Linotype"/>
        </w:rPr>
        <w:t>Una vez transcurrido el periodo otorgado a las partes para realizar sus manifestaciones y no habiendo documentos que integrar al expediente, el</w:t>
      </w:r>
      <w:r w:rsidR="00096237">
        <w:rPr>
          <w:rFonts w:ascii="Palatino Linotype" w:eastAsia="Palatino Linotype" w:hAnsi="Palatino Linotype" w:cs="Palatino Linotype"/>
          <w:color w:val="000000"/>
        </w:rPr>
        <w:t xml:space="preserve"> </w:t>
      </w:r>
      <w:r w:rsidR="00A00194">
        <w:rPr>
          <w:rFonts w:ascii="Palatino Linotype" w:eastAsia="Palatino Linotype" w:hAnsi="Palatino Linotype" w:cs="Palatino Linotype"/>
          <w:b/>
          <w:color w:val="000000"/>
        </w:rPr>
        <w:t>once</w:t>
      </w:r>
      <w:r w:rsidR="00096237">
        <w:rPr>
          <w:rFonts w:ascii="Palatino Linotype" w:eastAsia="Palatino Linotype" w:hAnsi="Palatino Linotype" w:cs="Palatino Linotype"/>
          <w:b/>
          <w:color w:val="000000"/>
        </w:rPr>
        <w:t xml:space="preserve"> </w:t>
      </w:r>
      <w:r w:rsidR="00A00194">
        <w:rPr>
          <w:rFonts w:ascii="Palatino Linotype" w:eastAsia="Palatino Linotype" w:hAnsi="Palatino Linotype" w:cs="Palatino Linotype"/>
          <w:b/>
        </w:rPr>
        <w:t>de octu</w:t>
      </w:r>
      <w:r w:rsidR="00814B2A">
        <w:rPr>
          <w:rFonts w:ascii="Palatino Linotype" w:eastAsia="Palatino Linotype" w:hAnsi="Palatino Linotype" w:cs="Palatino Linotype"/>
          <w:b/>
        </w:rPr>
        <w:t>bre</w:t>
      </w:r>
      <w:r w:rsidR="00096237">
        <w:rPr>
          <w:rFonts w:ascii="Palatino Linotype" w:eastAsia="Palatino Linotype" w:hAnsi="Palatino Linotype" w:cs="Palatino Linotype"/>
          <w:b/>
        </w:rPr>
        <w:t xml:space="preserve"> de dos mil veintidós</w:t>
      </w:r>
      <w:r w:rsidR="0009623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084E8B" w:rsidRDefault="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En razón de que </w:t>
      </w:r>
      <w:r w:rsidRPr="00084E8B">
        <w:rPr>
          <w:rFonts w:ascii="Palatino Linotype" w:eastAsia="Palatino Linotype" w:hAnsi="Palatino Linotype" w:cs="Palatino Linotype"/>
          <w:color w:val="000000"/>
          <w:lang w:eastAsia="es-ES"/>
        </w:rPr>
        <w:t xml:space="preserve">fue debidamente sustanciado el expediente electrónico </w:t>
      </w:r>
      <w:r w:rsidRPr="00084E8B">
        <w:rPr>
          <w:rFonts w:ascii="Palatino Linotype" w:eastAsia="Palatino Linotype" w:hAnsi="Palatino Linotype" w:cs="Palatino Linotype"/>
          <w:lang w:eastAsia="es-ES"/>
        </w:rPr>
        <w:t xml:space="preserve">y no existen diligencias pendientes de desahogo, se emite la Resolución que conforme a Derecho proceda, de acuerdo con los siguientes: </w:t>
      </w:r>
    </w:p>
    <w:p w:rsidR="00515A88" w:rsidRDefault="00096237">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A835FF">
        <w:rPr>
          <w:rFonts w:ascii="Palatino Linotype" w:eastAsia="Palatino Linotype" w:hAnsi="Palatino Linotype" w:cs="Palatino Linotype"/>
          <w:b/>
        </w:rPr>
        <w:t>la parte R</w:t>
      </w:r>
      <w:r w:rsidRPr="00A835FF">
        <w:rPr>
          <w:rFonts w:ascii="Palatino Linotype" w:eastAsia="Palatino Linotype" w:hAnsi="Palatino Linotype" w:cs="Palatino Linotype"/>
          <w:b/>
        </w:rPr>
        <w:t>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rsidR="00515A88" w:rsidRDefault="00096237">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sidR="00A00194">
        <w:rPr>
          <w:rFonts w:ascii="Palatino Linotype" w:eastAsia="Palatino Linotype" w:hAnsi="Palatino Linotype" w:cs="Palatino Linotype"/>
          <w:b/>
        </w:rPr>
        <w:t>veinticuatro de mayo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se interpuso el </w:t>
      </w:r>
      <w:r w:rsidR="00A00194">
        <w:rPr>
          <w:rFonts w:ascii="Palatino Linotype" w:eastAsia="Palatino Linotype" w:hAnsi="Palatino Linotype" w:cs="Palatino Linotype"/>
          <w:b/>
        </w:rPr>
        <w:t>treinta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el </w:t>
      </w:r>
      <w:r w:rsidR="00A00194">
        <w:rPr>
          <w:rFonts w:ascii="Palatino Linotype" w:eastAsia="Palatino Linotype" w:hAnsi="Palatino Linotype" w:cs="Palatino Linotype"/>
          <w:b/>
        </w:rPr>
        <w:t>cuar</w:t>
      </w:r>
      <w:r w:rsidR="00983D45">
        <w:rPr>
          <w:rFonts w:ascii="Palatino Linotype" w:eastAsia="Palatino Linotype" w:hAnsi="Palatino Linotype" w:cs="Palatino Linotype"/>
          <w:b/>
        </w:rPr>
        <w:t>to</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posterior en que tuvo conocimiento de la respuesta impugnada.</w:t>
      </w:r>
    </w:p>
    <w:p w:rsidR="00A835FF" w:rsidRPr="00A835FF" w:rsidRDefault="00A835FF" w:rsidP="00A835F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eastAsia="es-ES"/>
        </w:rPr>
      </w:pPr>
      <w:r w:rsidRPr="00A835FF">
        <w:rPr>
          <w:rFonts w:ascii="Palatino Linotype" w:eastAsia="Palatino Linotype" w:hAnsi="Palatino Linotype" w:cs="Palatino Linotype"/>
          <w:color w:val="000000"/>
          <w:lang w:eastAsia="es-ES"/>
        </w:rPr>
        <w:t xml:space="preserve">Asimismo, por cuanto hace a la </w:t>
      </w:r>
      <w:proofErr w:type="spellStart"/>
      <w:r w:rsidRPr="00A835FF">
        <w:rPr>
          <w:rFonts w:ascii="Palatino Linotype" w:eastAsia="Palatino Linotype" w:hAnsi="Palatino Linotype" w:cs="Palatino Linotype"/>
          <w:color w:val="000000"/>
          <w:lang w:eastAsia="es-ES"/>
        </w:rPr>
        <w:t>procedibilidad</w:t>
      </w:r>
      <w:proofErr w:type="spellEnd"/>
      <w:r w:rsidRPr="00A835FF">
        <w:rPr>
          <w:rFonts w:ascii="Palatino Linotype" w:eastAsia="Palatino Linotype" w:hAnsi="Palatino Linotype" w:cs="Palatino Linotype"/>
          <w:color w:val="000000"/>
          <w:lang w:eastAsia="es-ES"/>
        </w:rPr>
        <w:t xml:space="preserve"> de los recursos de revisión, es de suma importancia señalar que </w:t>
      </w:r>
      <w:r>
        <w:rPr>
          <w:rFonts w:ascii="Palatino Linotype" w:eastAsia="Palatino Linotype" w:hAnsi="Palatino Linotype" w:cs="Palatino Linotype"/>
          <w:b/>
          <w:color w:val="000000"/>
          <w:lang w:eastAsia="es-ES"/>
        </w:rPr>
        <w:t>la parte</w:t>
      </w:r>
      <w:r w:rsidRPr="00A835FF">
        <w:rPr>
          <w:rFonts w:ascii="Palatino Linotype" w:eastAsia="Palatino Linotype" w:hAnsi="Palatino Linotype" w:cs="Palatino Linotype"/>
          <w:b/>
          <w:color w:val="000000"/>
          <w:lang w:eastAsia="es-ES"/>
        </w:rPr>
        <w:t xml:space="preserve"> Recurrente</w:t>
      </w:r>
      <w:r w:rsidRPr="00A835FF">
        <w:rPr>
          <w:rFonts w:ascii="Palatino Linotype" w:eastAsia="Palatino Linotype" w:hAnsi="Palatino Linotype" w:cs="Palatino Linotype"/>
          <w:color w:val="000000"/>
          <w:lang w:eastAsia="es-ES"/>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835FF" w:rsidRPr="00A835FF" w:rsidRDefault="00A835FF" w:rsidP="00A835F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lang w:eastAsia="es-ES"/>
        </w:rPr>
      </w:pPr>
      <w:r w:rsidRPr="00A835FF">
        <w:rPr>
          <w:rFonts w:ascii="Palatino Linotype" w:eastAsia="Palatino Linotype" w:hAnsi="Palatino Linotype" w:cs="Palatino Linotype"/>
          <w:i/>
          <w:color w:val="000000"/>
          <w:sz w:val="22"/>
          <w:szCs w:val="22"/>
          <w:lang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515A88" w:rsidRDefault="008A36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w:t>
      </w:r>
      <w:r w:rsidR="00096237">
        <w:rPr>
          <w:rFonts w:ascii="Palatino Linotype" w:eastAsia="Palatino Linotype" w:hAnsi="Palatino Linotype" w:cs="Palatino Linotype"/>
        </w:rPr>
        <w:t>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983D45">
        <w:rPr>
          <w:rFonts w:ascii="Palatino Linotype" w:eastAsia="Palatino Linotype" w:hAnsi="Palatino Linotype" w:cs="Palatino Linotype"/>
        </w:rPr>
        <w:t>erdo al artículo 179, fracción</w:t>
      </w:r>
      <w:r>
        <w:rPr>
          <w:rFonts w:ascii="Palatino Linotype" w:eastAsia="Palatino Linotype" w:hAnsi="Palatino Linotype" w:cs="Palatino Linotype"/>
        </w:rPr>
        <w:t xml:space="preserve"> I del ordenamiento legal citado, que a la letra dice: </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983D45" w:rsidRDefault="00983D45" w:rsidP="00983D4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835FF">
        <w:rPr>
          <w:rFonts w:ascii="Palatino Linotype" w:eastAsia="Palatino Linotype" w:hAnsi="Palatino Linotype" w:cs="Palatino Linotype"/>
        </w:rPr>
        <w:t xml:space="preserve">de </w:t>
      </w:r>
      <w:r w:rsidR="00A835FF" w:rsidRPr="00A835FF">
        <w:rPr>
          <w:rFonts w:ascii="Palatino Linotype" w:eastAsia="Palatino Linotype" w:hAnsi="Palatino Linotype" w:cs="Palatino Linotype"/>
          <w:b/>
        </w:rPr>
        <w:t>la parte</w:t>
      </w:r>
      <w:r w:rsidRPr="00A835FF">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o en su defecto, en caso de ser procedente, ordenar la entrega de información oportuna.</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lastRenderedPageBreak/>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983D45" w:rsidRDefault="00983D45" w:rsidP="00983D4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lastRenderedPageBreak/>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color w:val="000000"/>
        </w:rPr>
        <w:lastRenderedPageBreak/>
        <w:t>así lo establece el artículo 12 de la Ley de Transparencia y Acceso a la Información Pública del Estado de México y Municipios, el cual a la letra dice:</w:t>
      </w:r>
    </w:p>
    <w:p w:rsidR="00983D45" w:rsidRDefault="00983D45" w:rsidP="00983D4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983D45" w:rsidRDefault="00983D45" w:rsidP="00983D4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color w:val="000000"/>
          <w:sz w:val="22"/>
          <w:szCs w:val="22"/>
        </w:rPr>
        <w:lastRenderedPageBreak/>
        <w:t>necesidad de elaborar documentos ad hoc para atender las solicitudes de información."(Sic)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83D45" w:rsidRDefault="00983D45" w:rsidP="00983D45">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983D45"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983D45"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983D45" w:rsidRDefault="00983D45" w:rsidP="00983D45">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lastRenderedPageBreak/>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912B82" w:rsidRPr="00912B82" w:rsidRDefault="00912B82" w:rsidP="00912B82">
      <w:pPr>
        <w:pStyle w:val="Prrafodelista"/>
        <w:numPr>
          <w:ilvl w:val="0"/>
          <w:numId w:val="14"/>
        </w:numPr>
        <w:spacing w:before="240" w:after="240" w:line="360" w:lineRule="auto"/>
        <w:ind w:right="900"/>
        <w:jc w:val="both"/>
        <w:rPr>
          <w:rFonts w:ascii="Palatino Linotype" w:eastAsia="Palatino Linotype" w:hAnsi="Palatino Linotype" w:cs="Palatino Linotype"/>
          <w:b/>
          <w:sz w:val="22"/>
        </w:rPr>
      </w:pPr>
      <w:r w:rsidRPr="00912B82">
        <w:rPr>
          <w:rFonts w:ascii="Palatino Linotype" w:eastAsia="Palatino Linotype" w:hAnsi="Palatino Linotype" w:cs="Palatino Linotype"/>
          <w:b/>
          <w:sz w:val="22"/>
        </w:rPr>
        <w:t xml:space="preserve">Inversión total para la realización de la Feria Regional de Tecámac realizada del 29 de abril al domingo 8 de mayo. </w:t>
      </w:r>
    </w:p>
    <w:p w:rsidR="00912B82" w:rsidRPr="00912B82" w:rsidRDefault="00912B82" w:rsidP="00912B82">
      <w:pPr>
        <w:pStyle w:val="Prrafodelista"/>
        <w:numPr>
          <w:ilvl w:val="0"/>
          <w:numId w:val="14"/>
        </w:numPr>
        <w:spacing w:before="240" w:after="240" w:line="360" w:lineRule="auto"/>
        <w:ind w:right="900"/>
        <w:jc w:val="both"/>
        <w:rPr>
          <w:rFonts w:ascii="Palatino Linotype" w:eastAsia="Palatino Linotype" w:hAnsi="Palatino Linotype" w:cs="Palatino Linotype"/>
          <w:b/>
          <w:sz w:val="22"/>
        </w:rPr>
      </w:pPr>
      <w:r w:rsidRPr="00912B82">
        <w:rPr>
          <w:rFonts w:ascii="Palatino Linotype" w:eastAsia="Palatino Linotype" w:hAnsi="Palatino Linotype" w:cs="Palatino Linotype"/>
          <w:b/>
          <w:sz w:val="22"/>
        </w:rPr>
        <w:t xml:space="preserve">Copia de contratos celebrados para la realización, planeación, preparación, ejecución de la Feria. </w:t>
      </w:r>
    </w:p>
    <w:p w:rsidR="00912B82" w:rsidRPr="00912B82" w:rsidRDefault="00912B82" w:rsidP="00912B82">
      <w:pPr>
        <w:pStyle w:val="Prrafodelista"/>
        <w:numPr>
          <w:ilvl w:val="0"/>
          <w:numId w:val="14"/>
        </w:numPr>
        <w:spacing w:before="240" w:after="240" w:line="360" w:lineRule="auto"/>
        <w:ind w:right="900"/>
        <w:jc w:val="both"/>
        <w:rPr>
          <w:rFonts w:ascii="Palatino Linotype" w:eastAsia="Palatino Linotype" w:hAnsi="Palatino Linotype" w:cs="Palatino Linotype"/>
          <w:b/>
          <w:sz w:val="22"/>
        </w:rPr>
      </w:pPr>
      <w:r w:rsidRPr="00912B82">
        <w:rPr>
          <w:rFonts w:ascii="Palatino Linotype" w:eastAsia="Palatino Linotype" w:hAnsi="Palatino Linotype" w:cs="Palatino Linotype"/>
          <w:b/>
          <w:sz w:val="22"/>
        </w:rPr>
        <w:t xml:space="preserve">Copia de contratos celebrados para la presentación de los diversos participantes, incluyendo los artistas Edith Márquez, German Montero; Los Invasores De Nuevo León Oficial, Lagrimita y </w:t>
      </w:r>
      <w:proofErr w:type="spellStart"/>
      <w:r w:rsidRPr="00912B82">
        <w:rPr>
          <w:rFonts w:ascii="Palatino Linotype" w:eastAsia="Palatino Linotype" w:hAnsi="Palatino Linotype" w:cs="Palatino Linotype"/>
          <w:b/>
          <w:sz w:val="22"/>
        </w:rPr>
        <w:t>Costel</w:t>
      </w:r>
      <w:proofErr w:type="spellEnd"/>
      <w:r w:rsidRPr="00912B82">
        <w:rPr>
          <w:rFonts w:ascii="Palatino Linotype" w:eastAsia="Palatino Linotype" w:hAnsi="Palatino Linotype" w:cs="Palatino Linotype"/>
          <w:b/>
          <w:sz w:val="22"/>
        </w:rPr>
        <w:t xml:space="preserve"> Oficial y el resto. </w:t>
      </w:r>
    </w:p>
    <w:p w:rsidR="00912B82" w:rsidRPr="00912B82" w:rsidRDefault="00096237" w:rsidP="00912B82">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sidR="00912B82" w:rsidRPr="00912B82">
        <w:rPr>
          <w:rFonts w:ascii="Palatino Linotype" w:eastAsia="Palatino Linotype" w:hAnsi="Palatino Linotype" w:cs="Palatino Linotype"/>
        </w:rPr>
        <w:t xml:space="preserve">manifestó lo siguiente: </w:t>
      </w:r>
      <w:r w:rsidR="00912B82">
        <w:rPr>
          <w:rFonts w:ascii="Palatino Linotype" w:eastAsia="Palatino Linotype" w:hAnsi="Palatino Linotype" w:cs="Palatino Linotype"/>
        </w:rPr>
        <w:t>“</w:t>
      </w:r>
      <w:r w:rsidR="00912B82" w:rsidRPr="00912B82">
        <w:rPr>
          <w:rFonts w:ascii="Palatino Linotype" w:eastAsia="Palatino Linotype" w:hAnsi="Palatino Linotype" w:cs="Palatino Linotype"/>
          <w:b/>
          <w:i/>
        </w:rPr>
        <w:t xml:space="preserve">Buenos Días: Le informamos que </w:t>
      </w:r>
      <w:r w:rsidR="00912B82" w:rsidRPr="00625F4D">
        <w:rPr>
          <w:rFonts w:ascii="Palatino Linotype" w:eastAsia="Palatino Linotype" w:hAnsi="Palatino Linotype" w:cs="Palatino Linotype"/>
          <w:b/>
          <w:i/>
          <w:u w:val="single"/>
        </w:rPr>
        <w:t xml:space="preserve">la información contable municipal se entrega en forma Trimestral, </w:t>
      </w:r>
      <w:r w:rsidR="00912B82" w:rsidRPr="00625F4D">
        <w:rPr>
          <w:rFonts w:ascii="Palatino Linotype" w:eastAsia="Palatino Linotype" w:hAnsi="Palatino Linotype" w:cs="Palatino Linotype"/>
          <w:b/>
          <w:i/>
          <w:u w:val="single"/>
        </w:rPr>
        <w:lastRenderedPageBreak/>
        <w:t>en el caso referente a solicitud es correspondiente al segundo trimestre de Abril a Junio, por lo cual la información del 2do trimestre se encuentra en proceso</w:t>
      </w:r>
      <w:r w:rsidR="00912B82" w:rsidRPr="00912B82">
        <w:rPr>
          <w:rFonts w:ascii="Palatino Linotype" w:eastAsia="Palatino Linotype" w:hAnsi="Palatino Linotype" w:cs="Palatino Linotype"/>
          <w:b/>
          <w:i/>
        </w:rPr>
        <w:t>.” (Sic)</w:t>
      </w:r>
    </w:p>
    <w:p w:rsidR="00983D45" w:rsidRPr="00983D45" w:rsidRDefault="00912B82" w:rsidP="00983D45">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w:t>
      </w:r>
      <w:r w:rsidRPr="00912B82">
        <w:rPr>
          <w:rFonts w:ascii="Palatino Linotype" w:eastAsia="Palatino Linotype" w:hAnsi="Palatino Linotype" w:cs="Palatino Linotype"/>
          <w:b/>
        </w:rPr>
        <w:t>la parte</w:t>
      </w:r>
      <w:r w:rsidR="00983D45">
        <w:rPr>
          <w:rFonts w:ascii="Palatino Linotype" w:eastAsia="Palatino Linotype" w:hAnsi="Palatino Linotype" w:cs="Palatino Linotype"/>
        </w:rPr>
        <w:t xml:space="preserve"> </w:t>
      </w:r>
      <w:r w:rsidR="00983D45">
        <w:rPr>
          <w:rFonts w:ascii="Palatino Linotype" w:eastAsia="Palatino Linotype" w:hAnsi="Palatino Linotype" w:cs="Palatino Linotype"/>
          <w:b/>
        </w:rPr>
        <w:t>Recurrente</w:t>
      </w:r>
      <w:r w:rsidR="00983D45">
        <w:rPr>
          <w:rFonts w:ascii="Palatino Linotype" w:eastAsia="Palatino Linotype" w:hAnsi="Palatino Linotype" w:cs="Palatino Linotype"/>
        </w:rPr>
        <w:t xml:space="preserve"> interpuso el recurso de revisión que nos ocupa, expresando medularmente en sus razones o motivos de inconformidad lo siguiente: </w:t>
      </w:r>
      <w:r w:rsidRPr="00912B82">
        <w:rPr>
          <w:rFonts w:ascii="Palatino Linotype" w:eastAsia="Palatino Linotype" w:hAnsi="Palatino Linotype" w:cs="Palatino Linotype"/>
          <w:i/>
          <w:u w:val="single"/>
        </w:rPr>
        <w:t>“No estoy pidiendo información contable, sino documentos ya generados de un evento que ya se realizó”</w:t>
      </w:r>
      <w:r w:rsidRPr="00912B82">
        <w:rPr>
          <w:rFonts w:ascii="Palatino Linotype" w:eastAsia="Palatino Linotype" w:hAnsi="Palatino Linotype" w:cs="Palatino Linotype"/>
          <w:i/>
        </w:rPr>
        <w:t xml:space="preserve"> (Sic)</w:t>
      </w:r>
      <w:r w:rsidRPr="00912B82">
        <w:rPr>
          <w:rFonts w:ascii="Palatino Linotype" w:eastAsia="Palatino Linotype" w:hAnsi="Palatino Linotype" w:cs="Palatino Linotype"/>
          <w:b/>
          <w:i/>
        </w:rPr>
        <w:t xml:space="preserve"> </w:t>
      </w:r>
      <w:r w:rsidR="006B45DA" w:rsidRPr="006B45DA">
        <w:rPr>
          <w:rFonts w:ascii="Palatino Linotype" w:eastAsia="Palatino Linotype" w:hAnsi="Palatino Linotype" w:cs="Palatino Linotype"/>
          <w:i/>
        </w:rPr>
        <w:t>(Énfasis añadido)</w:t>
      </w:r>
    </w:p>
    <w:p w:rsidR="00912B82" w:rsidRPr="00912B82" w:rsidRDefault="0072557B" w:rsidP="00060573">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Admitido a trámite el recurso de r</w:t>
      </w:r>
      <w:r w:rsidR="001D25BD">
        <w:rPr>
          <w:rFonts w:ascii="Palatino Linotype" w:eastAsia="Palatino Linotype" w:hAnsi="Palatino Linotype" w:cs="Palatino Linotype"/>
        </w:rPr>
        <w:t xml:space="preserve">evisión, el </w:t>
      </w:r>
      <w:r w:rsidR="001D25BD" w:rsidRPr="00D26DF1">
        <w:rPr>
          <w:rFonts w:ascii="Palatino Linotype" w:eastAsia="Palatino Linotype" w:hAnsi="Palatino Linotype" w:cs="Palatino Linotype"/>
          <w:b/>
        </w:rPr>
        <w:t>Sujeto Obligado</w:t>
      </w:r>
      <w:r w:rsidR="001D25BD">
        <w:rPr>
          <w:rFonts w:ascii="Palatino Linotype" w:eastAsia="Palatino Linotype" w:hAnsi="Palatino Linotype" w:cs="Palatino Linotype"/>
        </w:rPr>
        <w:t xml:space="preserve"> </w:t>
      </w:r>
      <w:r w:rsidR="00912B82">
        <w:rPr>
          <w:rFonts w:ascii="Palatino Linotype" w:eastAsia="Palatino Linotype" w:hAnsi="Palatino Linotype" w:cs="Palatino Linotype"/>
        </w:rPr>
        <w:t>fue omiso en remitir su informe justificado, p</w:t>
      </w:r>
      <w:r w:rsidR="00EE1085" w:rsidRPr="00EE1085">
        <w:rPr>
          <w:rFonts w:ascii="Palatino Linotype" w:eastAsia="Palatino Linotype" w:hAnsi="Palatino Linotype" w:cs="Palatino Linotype"/>
        </w:rPr>
        <w:t xml:space="preserve">or su parte el </w:t>
      </w:r>
      <w:r w:rsidR="00EE1085" w:rsidRPr="00EE1085">
        <w:rPr>
          <w:rFonts w:ascii="Palatino Linotype" w:eastAsia="Palatino Linotype" w:hAnsi="Palatino Linotype" w:cs="Palatino Linotype"/>
          <w:b/>
        </w:rPr>
        <w:t xml:space="preserve">Recurrente </w:t>
      </w:r>
      <w:r w:rsidR="00912B82" w:rsidRPr="00912B82">
        <w:rPr>
          <w:rFonts w:ascii="Palatino Linotype" w:eastAsia="Palatino Linotype" w:hAnsi="Palatino Linotype" w:cs="Palatino Linotype"/>
        </w:rPr>
        <w:t xml:space="preserve">remitió los soportes documentales </w:t>
      </w:r>
      <w:r w:rsidR="00912B82" w:rsidRPr="0072557B">
        <w:rPr>
          <w:rFonts w:ascii="Palatino Linotype" w:eastAsia="Palatino Linotype" w:hAnsi="Palatino Linotype" w:cs="Palatino Linotype"/>
          <w:b/>
          <w:i/>
        </w:rPr>
        <w:t>“Resprev.docx”</w:t>
      </w:r>
      <w:r w:rsidR="00912B82" w:rsidRPr="00912B82">
        <w:rPr>
          <w:rFonts w:ascii="Palatino Linotype" w:eastAsia="Palatino Linotype" w:hAnsi="Palatino Linotype" w:cs="Palatino Linotype"/>
        </w:rPr>
        <w:t xml:space="preserve"> en los cuales se advierte que expresa </w:t>
      </w:r>
      <w:r w:rsidR="00912B82" w:rsidRPr="00912B82">
        <w:rPr>
          <w:rFonts w:ascii="Palatino Linotype" w:eastAsia="Palatino Linotype" w:hAnsi="Palatino Linotype" w:cs="Palatino Linotype"/>
          <w:i/>
        </w:rPr>
        <w:t>“Los ya manifestados en la interposición del recurso de revisión” (Sic)</w:t>
      </w:r>
    </w:p>
    <w:p w:rsidR="005779BC" w:rsidRPr="005162EE" w:rsidRDefault="001D25BD" w:rsidP="005779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Expuestas las posturas de las partes, resulta importante iniciar este análisis mencionando </w:t>
      </w:r>
      <w:r w:rsidR="005779BC" w:rsidRPr="005162EE">
        <w:rPr>
          <w:rFonts w:ascii="Palatino Linotype" w:eastAsia="Palatino Linotype" w:hAnsi="Palatino Linotype" w:cs="Palatino Linotype"/>
        </w:rPr>
        <w:t>el contenido de los artículos 162, 163, 164 y 165 de la Ley de Transparencia y Acceso a la Información Pública del Estado de México y Municipios, que rezan así:</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162.</w:t>
      </w:r>
      <w:r w:rsidRPr="005162EE">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163.</w:t>
      </w:r>
      <w:r w:rsidRPr="005162EE">
        <w:rPr>
          <w:rFonts w:ascii="Palatino Linotype" w:eastAsia="Palatino Linotype" w:hAnsi="Palatino Linotype" w:cs="Palatino Linotype"/>
          <w:i/>
          <w:sz w:val="22"/>
          <w:szCs w:val="22"/>
        </w:rPr>
        <w:t xml:space="preserve"> La </w:t>
      </w:r>
      <w:r w:rsidRPr="005162EE">
        <w:rPr>
          <w:rFonts w:ascii="Palatino Linotype" w:eastAsia="Palatino Linotype" w:hAnsi="Palatino Linotype" w:cs="Palatino Linotype"/>
          <w:b/>
          <w:i/>
          <w:sz w:val="22"/>
          <w:szCs w:val="22"/>
        </w:rPr>
        <w:t>Unidad de Transparencia deberá notificar la respuesta a la solicitud al interesado en el menor tiempo posible</w:t>
      </w:r>
      <w:r w:rsidRPr="005162EE">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w:t>
      </w:r>
      <w:r w:rsidRPr="005162EE">
        <w:rPr>
          <w:rFonts w:ascii="Palatino Linotype" w:eastAsia="Palatino Linotype" w:hAnsi="Palatino Linotype" w:cs="Palatino Linotype"/>
          <w:i/>
          <w:sz w:val="22"/>
          <w:szCs w:val="22"/>
        </w:rPr>
        <w:lastRenderedPageBreak/>
        <w:t xml:space="preserve">de su vencimiento. No podrán invocarse como causales de ampliación del plazo motivos que supongan negligencia o descuido del sujeto obligado en el desahogo de la solicitud.  </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164.</w:t>
      </w:r>
      <w:r w:rsidRPr="005162EE">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En cualquier caso, se deberá fundar y motivar la necesidad de ofrecer otras modalidades.  </w:t>
      </w:r>
    </w:p>
    <w:p w:rsidR="005779BC" w:rsidRPr="005162EE" w:rsidRDefault="005779BC" w:rsidP="005779BC">
      <w:pPr>
        <w:spacing w:after="120"/>
        <w:ind w:left="851" w:right="900"/>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165.</w:t>
      </w:r>
      <w:r w:rsidRPr="005162EE">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5779BC" w:rsidRPr="005162EE" w:rsidRDefault="005779BC" w:rsidP="005779BC">
      <w:pPr>
        <w:spacing w:before="240" w:after="240" w:line="360" w:lineRule="auto"/>
        <w:ind w:right="49"/>
        <w:jc w:val="both"/>
        <w:rPr>
          <w:rFonts w:ascii="Palatino Linotype" w:eastAsia="Palatino Linotype" w:hAnsi="Palatino Linotype" w:cs="Palatino Linotype"/>
        </w:rPr>
      </w:pPr>
      <w:r w:rsidRPr="005162EE">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5779BC" w:rsidRPr="005162EE" w:rsidRDefault="005779BC" w:rsidP="005779BC">
      <w:pPr>
        <w:spacing w:before="240" w:after="240" w:line="360" w:lineRule="auto"/>
        <w:ind w:right="49"/>
        <w:jc w:val="both"/>
        <w:rPr>
          <w:rFonts w:ascii="Palatino Linotype" w:eastAsia="Palatino Linotype" w:hAnsi="Palatino Linotype" w:cs="Palatino Linotype"/>
        </w:rPr>
      </w:pPr>
      <w:r w:rsidRPr="005162EE">
        <w:rPr>
          <w:rFonts w:ascii="Palatino Linotype" w:eastAsia="Palatino Linotype" w:hAnsi="Palatino Linotype" w:cs="Palatino Linotype"/>
        </w:rPr>
        <w:t>Siendo la Unidad de Transparencia la responsable de hacer las notificaciones correspondientes, ad</w:t>
      </w:r>
      <w:r>
        <w:rPr>
          <w:rFonts w:ascii="Palatino Linotype" w:eastAsia="Palatino Linotype" w:hAnsi="Palatino Linotype" w:cs="Palatino Linotype"/>
        </w:rPr>
        <w:t xml:space="preserve">emás de llevar a </w:t>
      </w:r>
      <w:proofErr w:type="gramStart"/>
      <w:r w:rsidRPr="005162EE">
        <w:rPr>
          <w:rFonts w:ascii="Palatino Linotype" w:eastAsia="Palatino Linotype" w:hAnsi="Palatino Linotype" w:cs="Palatino Linotype"/>
        </w:rPr>
        <w:t>cabo todas</w:t>
      </w:r>
      <w:proofErr w:type="gramEnd"/>
      <w:r w:rsidRPr="005162EE">
        <w:rPr>
          <w:rFonts w:ascii="Palatino Linotype" w:eastAsia="Palatino Linotype" w:hAnsi="Palatino Linotype" w:cs="Palatino Linotype"/>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rsidR="00912B82" w:rsidRDefault="005779BC" w:rsidP="00060573">
      <w:pPr>
        <w:spacing w:before="240" w:after="240" w:line="360" w:lineRule="auto"/>
        <w:ind w:right="49"/>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En el caso concreto, derivado de </w:t>
      </w:r>
      <w:r>
        <w:rPr>
          <w:rFonts w:ascii="Palatino Linotype" w:eastAsia="Palatino Linotype" w:hAnsi="Palatino Linotype" w:cs="Palatino Linotype"/>
        </w:rPr>
        <w:t>las constancias que obran en el</w:t>
      </w:r>
      <w:r w:rsidRPr="005162EE">
        <w:rPr>
          <w:rFonts w:ascii="Palatino Linotype" w:eastAsia="Palatino Linotype" w:hAnsi="Palatino Linotype" w:cs="Palatino Linotype"/>
        </w:rPr>
        <w:t xml:space="preserve"> expediente</w:t>
      </w:r>
      <w:r>
        <w:rPr>
          <w:rFonts w:ascii="Palatino Linotype" w:eastAsia="Palatino Linotype" w:hAnsi="Palatino Linotype" w:cs="Palatino Linotype"/>
        </w:rPr>
        <w:t xml:space="preserve"> electrónico </w:t>
      </w:r>
      <w:r w:rsidRPr="005162EE">
        <w:rPr>
          <w:rFonts w:ascii="Palatino Linotype" w:eastAsia="Palatino Linotype" w:hAnsi="Palatino Linotype" w:cs="Palatino Linotype"/>
        </w:rPr>
        <w:t>se advierte que la Unidad de Transparencia turnó</w:t>
      </w:r>
      <w:r>
        <w:rPr>
          <w:rFonts w:ascii="Palatino Linotype" w:eastAsia="Palatino Linotype" w:hAnsi="Palatino Linotype" w:cs="Palatino Linotype"/>
        </w:rPr>
        <w:t xml:space="preserve"> </w:t>
      </w:r>
      <w:r w:rsidR="0072557B">
        <w:rPr>
          <w:rFonts w:ascii="Palatino Linotype" w:eastAsia="Palatino Linotype" w:hAnsi="Palatino Linotype" w:cs="Palatino Linotype"/>
        </w:rPr>
        <w:t xml:space="preserve">la presente solicitud a la servidora pública habilitada de la Tesorería Municipal, sirven de ilustración las siguientes capturas de pantalla: </w:t>
      </w:r>
    </w:p>
    <w:p w:rsidR="0072557B" w:rsidRDefault="0072557B" w:rsidP="000605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1552" behindDoc="0" locked="0" layoutInCell="1" allowOverlap="1">
                <wp:simplePos x="0" y="0"/>
                <wp:positionH relativeFrom="column">
                  <wp:posOffset>1386840</wp:posOffset>
                </wp:positionH>
                <wp:positionV relativeFrom="paragraph">
                  <wp:posOffset>170815</wp:posOffset>
                </wp:positionV>
                <wp:extent cx="495300" cy="39052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495300" cy="390525"/>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D5FBA" id="Rectángulo 12" o:spid="_x0000_s1026" style="position:absolute;margin-left:109.2pt;margin-top:13.45pt;width:39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" filled="f" strokecolor="#002060" strokeweight="1.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extent cx="6136937" cy="981075"/>
            <wp:effectExtent l="19050" t="19050" r="165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308" cy="983532"/>
                    </a:xfrm>
                    <a:prstGeom prst="rect">
                      <a:avLst/>
                    </a:prstGeom>
                    <a:noFill/>
                    <a:ln>
                      <a:solidFill>
                        <a:schemeClr val="tx1"/>
                      </a:solidFill>
                    </a:ln>
                  </pic:spPr>
                </pic:pic>
              </a:graphicData>
            </a:graphic>
          </wp:inline>
        </w:drawing>
      </w:r>
    </w:p>
    <w:p w:rsidR="0072557B" w:rsidRDefault="0072557B" w:rsidP="0006057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72050" cy="34861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486150"/>
                    </a:xfrm>
                    <a:prstGeom prst="rect">
                      <a:avLst/>
                    </a:prstGeom>
                    <a:noFill/>
                    <a:ln>
                      <a:solidFill>
                        <a:schemeClr val="tx1"/>
                      </a:solidFill>
                    </a:ln>
                  </pic:spPr>
                </pic:pic>
              </a:graphicData>
            </a:graphic>
          </wp:inline>
        </w:drawing>
      </w:r>
    </w:p>
    <w:p w:rsidR="006C64D4" w:rsidRDefault="006C64D4" w:rsidP="006C64D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Resulta importante mencionar que en el presente asunto se pronunció la unidad administrativa competente que es la Tesorería Municipal, en virtud de que </w:t>
      </w:r>
      <w:r w:rsidRPr="006C64D4">
        <w:rPr>
          <w:rFonts w:ascii="Palatino Linotype" w:eastAsia="Palatino Linotype" w:hAnsi="Palatino Linotype" w:cs="Palatino Linotype"/>
        </w:rPr>
        <w:t>es la encargada de auxiliar a la Presidencia Municipal en l</w:t>
      </w:r>
      <w:r>
        <w:rPr>
          <w:rFonts w:ascii="Palatino Linotype" w:eastAsia="Palatino Linotype" w:hAnsi="Palatino Linotype" w:cs="Palatino Linotype"/>
        </w:rPr>
        <w:t xml:space="preserve">a adecuada administración de la </w:t>
      </w:r>
      <w:r w:rsidRPr="006C64D4">
        <w:rPr>
          <w:rFonts w:ascii="Palatino Linotype" w:eastAsia="Palatino Linotype" w:hAnsi="Palatino Linotype" w:cs="Palatino Linotype"/>
        </w:rPr>
        <w:t>hacienda pública</w:t>
      </w:r>
      <w:r>
        <w:rPr>
          <w:rFonts w:ascii="Palatino Linotype" w:eastAsia="Palatino Linotype" w:hAnsi="Palatino Linotype" w:cs="Palatino Linotype"/>
        </w:rPr>
        <w:t xml:space="preserve">, sirve de sustento la siguiente cita al Bando Municipal vigente: </w:t>
      </w:r>
    </w:p>
    <w:p w:rsidR="006C64D4" w:rsidRPr="006C64D4" w:rsidRDefault="006C64D4" w:rsidP="006C64D4">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6C64D4">
        <w:rPr>
          <w:rFonts w:ascii="Palatino Linotype" w:eastAsia="Palatino Linotype" w:hAnsi="Palatino Linotype" w:cs="Palatino Linotype"/>
          <w:b/>
          <w:i/>
          <w:sz w:val="22"/>
        </w:rPr>
        <w:t xml:space="preserve">Artículo 43. La Tesorería Municipal </w:t>
      </w:r>
      <w:r w:rsidRPr="00543ACC">
        <w:rPr>
          <w:rFonts w:ascii="Palatino Linotype" w:eastAsia="Palatino Linotype" w:hAnsi="Palatino Linotype" w:cs="Palatino Linotype"/>
          <w:b/>
          <w:i/>
          <w:sz w:val="22"/>
          <w:u w:val="single"/>
        </w:rPr>
        <w:t>es la encargada de auxiliar a la Presidencia Municipal en la adecuada administración de la hacienda pública</w:t>
      </w:r>
      <w:r w:rsidRPr="00543ACC">
        <w:rPr>
          <w:rFonts w:ascii="Palatino Linotype" w:eastAsia="Palatino Linotype" w:hAnsi="Palatino Linotype" w:cs="Palatino Linotype"/>
          <w:i/>
          <w:sz w:val="22"/>
          <w:u w:val="single"/>
        </w:rPr>
        <w:t>,</w:t>
      </w:r>
      <w:r w:rsidRPr="006C64D4">
        <w:rPr>
          <w:rFonts w:ascii="Palatino Linotype" w:eastAsia="Palatino Linotype" w:hAnsi="Palatino Linotype" w:cs="Palatino Linotype"/>
          <w:i/>
          <w:sz w:val="22"/>
        </w:rPr>
        <w:t xml:space="preserve"> encuentra sustento legal en lo previsto por los artículos 93, 94, 95 y 96 de la Ley Orgánica, su titular será denominado “Tesorera o Tesorero Municipal”, y tendrá a su cargo las siguientes áreas administrativos:</w:t>
      </w:r>
    </w:p>
    <w:p w:rsidR="006C64D4" w:rsidRPr="006C64D4" w:rsidRDefault="006C64D4" w:rsidP="006C64D4">
      <w:pPr>
        <w:spacing w:before="240" w:after="240" w:line="276" w:lineRule="auto"/>
        <w:ind w:left="567" w:right="900"/>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lastRenderedPageBreak/>
        <w:t xml:space="preserve">I. </w:t>
      </w:r>
      <w:proofErr w:type="spellStart"/>
      <w:r w:rsidRPr="006C64D4">
        <w:rPr>
          <w:rFonts w:ascii="Palatino Linotype" w:eastAsia="Palatino Linotype" w:hAnsi="Palatino Linotype" w:cs="Palatino Linotype"/>
          <w:i/>
          <w:sz w:val="22"/>
        </w:rPr>
        <w:t>Subtesorería</w:t>
      </w:r>
      <w:proofErr w:type="spellEnd"/>
      <w:r w:rsidRPr="006C64D4">
        <w:rPr>
          <w:rFonts w:ascii="Palatino Linotype" w:eastAsia="Palatino Linotype" w:hAnsi="Palatino Linotype" w:cs="Palatino Linotype"/>
          <w:i/>
          <w:sz w:val="22"/>
        </w:rPr>
        <w:t xml:space="preserve"> de Ingresos y Normatividad Fiscal; </w:t>
      </w:r>
    </w:p>
    <w:p w:rsidR="006C64D4" w:rsidRPr="006C64D4" w:rsidRDefault="006C64D4" w:rsidP="006C64D4">
      <w:pPr>
        <w:spacing w:before="240" w:after="240" w:line="276" w:lineRule="auto"/>
        <w:ind w:left="567" w:right="900"/>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a. Departamento Notificación y Ejecución Fiscal. </w:t>
      </w:r>
    </w:p>
    <w:p w:rsidR="006C64D4" w:rsidRPr="006C64D4" w:rsidRDefault="006C64D4" w:rsidP="006C64D4">
      <w:pPr>
        <w:spacing w:before="240" w:after="240" w:line="276" w:lineRule="auto"/>
        <w:ind w:left="567" w:right="900"/>
        <w:jc w:val="both"/>
        <w:rPr>
          <w:rFonts w:ascii="Palatino Linotype" w:eastAsia="Palatino Linotype" w:hAnsi="Palatino Linotype" w:cs="Palatino Linotype"/>
          <w:b/>
          <w:i/>
          <w:sz w:val="22"/>
        </w:rPr>
      </w:pPr>
      <w:r w:rsidRPr="006C64D4">
        <w:rPr>
          <w:rFonts w:ascii="Palatino Linotype" w:eastAsia="Palatino Linotype" w:hAnsi="Palatino Linotype" w:cs="Palatino Linotype"/>
          <w:b/>
          <w:i/>
          <w:sz w:val="22"/>
        </w:rPr>
        <w:t xml:space="preserve">II. </w:t>
      </w:r>
      <w:proofErr w:type="spellStart"/>
      <w:r w:rsidRPr="006C64D4">
        <w:rPr>
          <w:rFonts w:ascii="Palatino Linotype" w:eastAsia="Palatino Linotype" w:hAnsi="Palatino Linotype" w:cs="Palatino Linotype"/>
          <w:b/>
          <w:i/>
          <w:sz w:val="22"/>
        </w:rPr>
        <w:t>Subtesorería</w:t>
      </w:r>
      <w:proofErr w:type="spellEnd"/>
      <w:r w:rsidRPr="006C64D4">
        <w:rPr>
          <w:rFonts w:ascii="Palatino Linotype" w:eastAsia="Palatino Linotype" w:hAnsi="Palatino Linotype" w:cs="Palatino Linotype"/>
          <w:b/>
          <w:i/>
          <w:sz w:val="22"/>
        </w:rPr>
        <w:t xml:space="preserve"> de Egresos; </w:t>
      </w:r>
    </w:p>
    <w:p w:rsidR="006C64D4" w:rsidRPr="006C64D4" w:rsidRDefault="006C64D4" w:rsidP="006C64D4">
      <w:pPr>
        <w:spacing w:before="240" w:after="240" w:line="276" w:lineRule="auto"/>
        <w:ind w:left="567" w:right="900"/>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a. Dirección de Administración </w:t>
      </w:r>
    </w:p>
    <w:p w:rsidR="006C64D4" w:rsidRPr="00770FD4" w:rsidRDefault="006C64D4" w:rsidP="00BD6C32">
      <w:pPr>
        <w:spacing w:before="240" w:after="240" w:line="276" w:lineRule="auto"/>
        <w:ind w:left="567" w:right="49"/>
        <w:jc w:val="both"/>
        <w:rPr>
          <w:rFonts w:ascii="Palatino Linotype" w:eastAsia="Palatino Linotype" w:hAnsi="Palatino Linotype" w:cs="Palatino Linotype"/>
          <w:b/>
          <w:i/>
          <w:sz w:val="22"/>
        </w:rPr>
      </w:pPr>
      <w:r w:rsidRPr="00770FD4">
        <w:rPr>
          <w:rFonts w:ascii="Palatino Linotype" w:eastAsia="Palatino Linotype" w:hAnsi="Palatino Linotype" w:cs="Palatino Linotype"/>
          <w:b/>
          <w:i/>
          <w:sz w:val="22"/>
        </w:rPr>
        <w:t xml:space="preserve">1. Subdirección de Recursos Materiales. </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i. Departamento de Mantenimiento y Abastecimiento Vehicular.</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 ii. Departamento de Mantenimiento de Instalaciones Oficiales. </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iii. Departamento de Almacén Municipal. </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2. Subdirección de Recursos Humanos. </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b. Departamento de Programas Federales y Locales. </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III. Coordinación de Caja General y Cuenta Pública;</w:t>
      </w:r>
    </w:p>
    <w:p w:rsidR="006C64D4" w:rsidRPr="006C64D4" w:rsidRDefault="006C64D4" w:rsidP="00BD6C32">
      <w:pPr>
        <w:spacing w:before="240" w:after="240" w:line="276" w:lineRule="auto"/>
        <w:ind w:left="567" w:right="49"/>
        <w:jc w:val="both"/>
        <w:rPr>
          <w:rFonts w:ascii="Palatino Linotype" w:eastAsia="Palatino Linotype" w:hAnsi="Palatino Linotype" w:cs="Palatino Linotype"/>
          <w:i/>
          <w:sz w:val="22"/>
        </w:rPr>
      </w:pPr>
      <w:r w:rsidRPr="006C64D4">
        <w:rPr>
          <w:rFonts w:ascii="Palatino Linotype" w:eastAsia="Palatino Linotype" w:hAnsi="Palatino Linotype" w:cs="Palatino Linotype"/>
          <w:i/>
          <w:sz w:val="22"/>
        </w:rPr>
        <w:t xml:space="preserve"> IV. Departamento de Gestión Administrativa e Informática.</w:t>
      </w:r>
      <w:r>
        <w:rPr>
          <w:rFonts w:ascii="Palatino Linotype" w:eastAsia="Palatino Linotype" w:hAnsi="Palatino Linotype" w:cs="Palatino Linotype"/>
          <w:i/>
          <w:sz w:val="22"/>
        </w:rPr>
        <w:t>”(Sic) (Énfasis añadido)</w:t>
      </w:r>
    </w:p>
    <w:p w:rsidR="006C64D4" w:rsidRDefault="00543ACC" w:rsidP="00060573">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Aunado a lo anteriormente expuesto, de conformidad con el Código Reglamentario Municipal de Tecámac, Estado d</w:t>
      </w:r>
      <w:r w:rsidRPr="00543ACC">
        <w:rPr>
          <w:rFonts w:ascii="Palatino Linotype" w:eastAsia="Palatino Linotype" w:hAnsi="Palatino Linotype" w:cs="Palatino Linotype"/>
          <w:lang w:eastAsia="es-ES"/>
        </w:rPr>
        <w:t>e México</w:t>
      </w:r>
      <w:r>
        <w:rPr>
          <w:rFonts w:ascii="Palatino Linotype" w:eastAsia="Palatino Linotype" w:hAnsi="Palatino Linotype" w:cs="Palatino Linotype"/>
          <w:lang w:eastAsia="es-ES"/>
        </w:rPr>
        <w:t xml:space="preserve">, delega a la </w:t>
      </w:r>
      <w:proofErr w:type="spellStart"/>
      <w:r>
        <w:rPr>
          <w:rFonts w:ascii="Palatino Linotype" w:eastAsia="Palatino Linotype" w:hAnsi="Palatino Linotype" w:cs="Palatino Linotype"/>
          <w:lang w:eastAsia="es-ES"/>
        </w:rPr>
        <w:t>Subtesorería</w:t>
      </w:r>
      <w:proofErr w:type="spellEnd"/>
      <w:r>
        <w:rPr>
          <w:rFonts w:ascii="Palatino Linotype" w:eastAsia="Palatino Linotype" w:hAnsi="Palatino Linotype" w:cs="Palatino Linotype"/>
          <w:lang w:eastAsia="es-ES"/>
        </w:rPr>
        <w:t xml:space="preserve"> de Egresos y a la Subdirección de Recursos Materiales, el desempeño de las siguientes funciones: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Pr>
          <w:rFonts w:ascii="Palatino Linotype" w:eastAsia="Palatino Linotype" w:hAnsi="Palatino Linotype" w:cs="Palatino Linotype"/>
          <w:i/>
          <w:sz w:val="22"/>
          <w:lang w:eastAsia="es-ES"/>
        </w:rPr>
        <w:t>“</w:t>
      </w:r>
      <w:r w:rsidR="00543ACC" w:rsidRPr="005C600A">
        <w:rPr>
          <w:rFonts w:ascii="Palatino Linotype" w:eastAsia="Palatino Linotype" w:hAnsi="Palatino Linotype" w:cs="Palatino Linotype"/>
          <w:b/>
          <w:i/>
          <w:sz w:val="22"/>
          <w:lang w:eastAsia="es-ES"/>
        </w:rPr>
        <w:t xml:space="preserve">SECCIÓN TERCERA </w:t>
      </w:r>
    </w:p>
    <w:p w:rsidR="00543ACC" w:rsidRPr="005C600A" w:rsidRDefault="00543ACC"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SUBTESORERÍA DE EGRESOS </w:t>
      </w:r>
    </w:p>
    <w:p w:rsidR="00543ACC" w:rsidRPr="005C600A" w:rsidRDefault="00543ACC"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 xml:space="preserve">Artículo 2.150. La </w:t>
      </w:r>
      <w:proofErr w:type="spellStart"/>
      <w:r w:rsidRPr="005C600A">
        <w:rPr>
          <w:rFonts w:ascii="Palatino Linotype" w:eastAsia="Palatino Linotype" w:hAnsi="Palatino Linotype" w:cs="Palatino Linotype"/>
          <w:i/>
          <w:sz w:val="22"/>
          <w:lang w:eastAsia="es-ES"/>
        </w:rPr>
        <w:t>Subtesorería</w:t>
      </w:r>
      <w:proofErr w:type="spellEnd"/>
      <w:r w:rsidRPr="005C600A">
        <w:rPr>
          <w:rFonts w:ascii="Palatino Linotype" w:eastAsia="Palatino Linotype" w:hAnsi="Palatino Linotype" w:cs="Palatino Linotype"/>
          <w:i/>
          <w:sz w:val="22"/>
          <w:lang w:eastAsia="es-ES"/>
        </w:rPr>
        <w:t xml:space="preserve"> de Egresos tendrá las siguientes atribuciones:</w:t>
      </w:r>
    </w:p>
    <w:p w:rsidR="006C64D4" w:rsidRPr="005C600A" w:rsidRDefault="00543ACC"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I. Vigilar la administración y correcta aplicación del presupuesto municipal;</w:t>
      </w:r>
    </w:p>
    <w:p w:rsidR="00543ACC" w:rsidRPr="005C600A" w:rsidRDefault="00543ACC"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w:t>
      </w:r>
    </w:p>
    <w:p w:rsidR="00543ACC" w:rsidRPr="005C600A" w:rsidRDefault="00543ACC"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lastRenderedPageBreak/>
        <w:t>VII. Custodiar las facturas que previamente hayan sido revisadas para que se programe el pago de las mismas;</w:t>
      </w:r>
    </w:p>
    <w:p w:rsidR="00543ACC" w:rsidRP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IX. Realizar y registrar diariamente las operaciones bancarias que sean necesarias p que garantice la operación adecuada del Ayuntamiento de Tecámac;</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w:t>
      </w:r>
    </w:p>
    <w:p w:rsid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XV. Realizar corte diario de caja y supervisar los depósitos efectuados a las cuentas bancarias;</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SUBSECCIÓN PRIMERA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DIRECCIÓN DE ADMINISTRACIÓN</w:t>
      </w:r>
    </w:p>
    <w:p w:rsid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 xml:space="preserve">Artículo 2.151. El o la titular de la Dirección de Administración será denominado “Director” y para el adecuado desempeño de sus funciones se auxiliará de las siguientes áreas administrativas: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I. Subdirección de Recursos Materiales; </w:t>
      </w:r>
    </w:p>
    <w:p w:rsid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Pr>
          <w:rFonts w:ascii="Palatino Linotype" w:eastAsia="Palatino Linotype" w:hAnsi="Palatino Linotype" w:cs="Palatino Linotype"/>
          <w:i/>
          <w:sz w:val="22"/>
          <w:lang w:eastAsia="es-ES"/>
        </w:rPr>
        <w:t>…</w:t>
      </w:r>
    </w:p>
    <w:p w:rsid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i/>
          <w:sz w:val="22"/>
          <w:lang w:eastAsia="es-ES"/>
        </w:rPr>
        <w:t xml:space="preserve">SUBDIRECCIÓN DE RECURSOS MATERIALES </w:t>
      </w:r>
    </w:p>
    <w:p w:rsid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Artículo 2.153. La Subdirección de Recursos Materiales es la unidad administrativa dependiente de la Dirección de Administración que </w:t>
      </w:r>
      <w:r w:rsidRPr="005C600A">
        <w:rPr>
          <w:rFonts w:ascii="Palatino Linotype" w:eastAsia="Palatino Linotype" w:hAnsi="Palatino Linotype" w:cs="Palatino Linotype"/>
          <w:b/>
          <w:i/>
          <w:sz w:val="22"/>
          <w:u w:val="single"/>
          <w:lang w:eastAsia="es-ES"/>
        </w:rPr>
        <w:t>tiene bajo su responsabilidad la ejecución de los procedimientos administrativos necesarios para adquirir, arrendar y contratar los</w:t>
      </w:r>
      <w:r w:rsidRPr="005C600A">
        <w:rPr>
          <w:rFonts w:ascii="Palatino Linotype" w:eastAsia="Palatino Linotype" w:hAnsi="Palatino Linotype" w:cs="Palatino Linotype"/>
          <w:b/>
          <w:i/>
          <w:sz w:val="22"/>
          <w:lang w:eastAsia="es-ES"/>
        </w:rPr>
        <w:t xml:space="preserve"> bienes o </w:t>
      </w:r>
      <w:r w:rsidRPr="005C600A">
        <w:rPr>
          <w:rFonts w:ascii="Palatino Linotype" w:eastAsia="Palatino Linotype" w:hAnsi="Palatino Linotype" w:cs="Palatino Linotype"/>
          <w:b/>
          <w:i/>
          <w:sz w:val="22"/>
          <w:u w:val="single"/>
          <w:lang w:eastAsia="es-ES"/>
        </w:rPr>
        <w:t>servicios requeridos por el Gobierno y la Administración Pública Municipal centralizada</w:t>
      </w:r>
      <w:r w:rsidRPr="005C600A">
        <w:rPr>
          <w:rFonts w:ascii="Palatino Linotype" w:eastAsia="Palatino Linotype" w:hAnsi="Palatino Linotype" w:cs="Palatino Linotype"/>
          <w:b/>
          <w:i/>
          <w:sz w:val="22"/>
          <w:lang w:eastAsia="es-ES"/>
        </w:rPr>
        <w:t>, de conformidad con lo establecido en el Plan de Desarrollo y el presupuesto anual autorizado.</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Artículo 2.154. La Subdirección de Recursos Materiales desarrollará las funciones siguientes:</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lastRenderedPageBreak/>
        <w:t xml:space="preserve">I. Elaborar el Programa Anual de Adquisiciones de Bienes y Contratación de Servicios, conforme a los requerimientos que presenten las Coordinaciones, Direcciones y unidades administrativas, así como someterlo a consideración de la Dirección y el Comité de Adquisiciones;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II. Realizar las adquisiciones menores de bienes y servicios no contemplados en el Programa Anual de Adquisición de Bienes y Contratación de Servicios, así como someterlo a consideración de la Dirección y el Comité de adquisiciones;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III. Planear, organizar, coordinar y controlar las actividades referentes a adquisiciones, arrendamientos y contratación de servicios requeridos por las diversas áreas que componen el Ayuntamiento;</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 xml:space="preserve">IV. Establecer los instrumentos que permitan llevar a cabo los procedimientos de adquisiciones, arrendamientos y contratación de servicios; </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b/>
          <w:i/>
          <w:sz w:val="22"/>
          <w:lang w:eastAsia="es-ES"/>
        </w:rPr>
      </w:pPr>
      <w:r w:rsidRPr="005C600A">
        <w:rPr>
          <w:rFonts w:ascii="Palatino Linotype" w:eastAsia="Palatino Linotype" w:hAnsi="Palatino Linotype" w:cs="Palatino Linotype"/>
          <w:b/>
          <w:i/>
          <w:sz w:val="22"/>
          <w:lang w:eastAsia="es-ES"/>
        </w:rPr>
        <w:t>V. Participar en los actos relacionados con las adquisiciones, arrendamientos y contratación de servicios, que se llevan a cabo mediante licitación pública, invitación restringida y adjudicación directa;</w:t>
      </w:r>
    </w:p>
    <w:p w:rsid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Pr>
          <w:rFonts w:ascii="Palatino Linotype" w:eastAsia="Palatino Linotype" w:hAnsi="Palatino Linotype" w:cs="Palatino Linotype"/>
          <w:i/>
          <w:sz w:val="22"/>
          <w:lang w:eastAsia="es-ES"/>
        </w:rPr>
        <w:t>…</w:t>
      </w:r>
    </w:p>
    <w:p w:rsidR="005C600A" w:rsidRPr="005C600A" w:rsidRDefault="005C600A" w:rsidP="005C600A">
      <w:pPr>
        <w:spacing w:before="240" w:after="240" w:line="276" w:lineRule="auto"/>
        <w:ind w:left="567" w:right="900"/>
        <w:jc w:val="both"/>
        <w:rPr>
          <w:rFonts w:ascii="Palatino Linotype" w:eastAsia="Palatino Linotype" w:hAnsi="Palatino Linotype" w:cs="Palatino Linotype"/>
          <w:i/>
          <w:sz w:val="22"/>
          <w:lang w:eastAsia="es-ES"/>
        </w:rPr>
      </w:pPr>
      <w:r w:rsidRPr="005C600A">
        <w:rPr>
          <w:rFonts w:ascii="Palatino Linotype" w:eastAsia="Palatino Linotype" w:hAnsi="Palatino Linotype" w:cs="Palatino Linotype"/>
          <w:b/>
          <w:i/>
          <w:sz w:val="22"/>
          <w:lang w:eastAsia="es-ES"/>
        </w:rPr>
        <w:t>X. Archivar y resguardar toda la información generada por las adquisiciones de bienes, arrendamientos y contratación de servicios</w:t>
      </w:r>
      <w:r>
        <w:rPr>
          <w:rFonts w:ascii="Palatino Linotype" w:eastAsia="Palatino Linotype" w:hAnsi="Palatino Linotype" w:cs="Palatino Linotype"/>
          <w:b/>
          <w:i/>
          <w:sz w:val="22"/>
          <w:lang w:eastAsia="es-ES"/>
        </w:rPr>
        <w:t xml:space="preserve">” </w:t>
      </w:r>
      <w:r>
        <w:rPr>
          <w:rFonts w:ascii="Palatino Linotype" w:eastAsia="Palatino Linotype" w:hAnsi="Palatino Linotype" w:cs="Palatino Linotype"/>
          <w:i/>
          <w:sz w:val="22"/>
          <w:lang w:eastAsia="es-ES"/>
        </w:rPr>
        <w:t>(Sic) (Énfasis añadido)</w:t>
      </w:r>
    </w:p>
    <w:p w:rsidR="005C600A" w:rsidRDefault="00E56A55" w:rsidP="00060573">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 xml:space="preserve">De lo anteriormente citado, se advierte que la Tesorería Municipal es la unidad administrativa competente para atender estos requerimientos de información pues es la </w:t>
      </w:r>
      <w:r w:rsidRPr="00E56A55">
        <w:rPr>
          <w:rFonts w:ascii="Palatino Linotype" w:eastAsia="Palatino Linotype" w:hAnsi="Palatino Linotype" w:cs="Palatino Linotype"/>
          <w:lang w:eastAsia="es-ES"/>
        </w:rPr>
        <w:t>encargada de auxiliar a la Presidencia Municipal en la adecuada administración de la hacienda pública</w:t>
      </w:r>
      <w:r>
        <w:rPr>
          <w:rFonts w:ascii="Palatino Linotype" w:eastAsia="Palatino Linotype" w:hAnsi="Palatino Linotype" w:cs="Palatino Linotype"/>
          <w:lang w:eastAsia="es-ES"/>
        </w:rPr>
        <w:t xml:space="preserve"> y cuenta con la Dirección de Administración que a su vez delega en la Subdirección de Recursos Materiales, la e</w:t>
      </w:r>
      <w:r w:rsidRPr="00E56A55">
        <w:rPr>
          <w:rFonts w:ascii="Palatino Linotype" w:eastAsia="Palatino Linotype" w:hAnsi="Palatino Linotype" w:cs="Palatino Linotype"/>
          <w:lang w:eastAsia="es-ES"/>
        </w:rPr>
        <w:t xml:space="preserve">jecución de los procedimientos administrativos necesarios para adquirir, arrendar y contratar los </w:t>
      </w:r>
      <w:r w:rsidRPr="00E56A55">
        <w:rPr>
          <w:rFonts w:ascii="Palatino Linotype" w:eastAsia="Palatino Linotype" w:hAnsi="Palatino Linotype" w:cs="Palatino Linotype"/>
          <w:lang w:eastAsia="es-ES"/>
        </w:rPr>
        <w:lastRenderedPageBreak/>
        <w:t>bienes o servicios requeridos por el Gobierno y la Administración Pública Municipal centralizada</w:t>
      </w:r>
      <w:r>
        <w:rPr>
          <w:rFonts w:ascii="Palatino Linotype" w:eastAsia="Palatino Linotype" w:hAnsi="Palatino Linotype" w:cs="Palatino Linotype"/>
          <w:lang w:eastAsia="es-ES"/>
        </w:rPr>
        <w:t xml:space="preserve">. </w:t>
      </w:r>
    </w:p>
    <w:p w:rsidR="00575E5B" w:rsidRPr="002E718D" w:rsidRDefault="00575E5B" w:rsidP="00575E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Determinado lo anterior, se procede al análisis de</w:t>
      </w:r>
      <w:r w:rsidRPr="00FF0A54">
        <w:rPr>
          <w:rFonts w:ascii="Palatino Linotype" w:eastAsia="Palatino Linotype" w:hAnsi="Palatino Linotype" w:cs="Palatino Linotype"/>
        </w:rPr>
        <w:t xml:space="preserve"> los requerimientos del particular versarán sobre los </w:t>
      </w:r>
      <w:r>
        <w:rPr>
          <w:rFonts w:ascii="Palatino Linotype" w:eastAsia="Palatino Linotype" w:hAnsi="Palatino Linotype" w:cs="Palatino Linotype"/>
        </w:rPr>
        <w:t>documentos en los que obra la i</w:t>
      </w:r>
      <w:r w:rsidRPr="002E718D">
        <w:rPr>
          <w:rFonts w:ascii="Palatino Linotype" w:eastAsia="Palatino Linotype" w:hAnsi="Palatino Linotype" w:cs="Palatino Linotype"/>
        </w:rPr>
        <w:t xml:space="preserve">nversión total para la realización de la Feria Regional de Tecámac realizada del 29 de abril al domingo 8 de mayo. </w:t>
      </w:r>
    </w:p>
    <w:p w:rsidR="00575E5B" w:rsidRDefault="00575E5B" w:rsidP="00575E5B">
      <w:pPr>
        <w:spacing w:line="360" w:lineRule="auto"/>
        <w:jc w:val="both"/>
        <w:rPr>
          <w:rFonts w:ascii="Palatino Linotype" w:eastAsia="Palatino Linotype" w:hAnsi="Palatino Linotype" w:cs="Palatino Linotype"/>
          <w:color w:val="000000"/>
        </w:rPr>
      </w:pPr>
    </w:p>
    <w:p w:rsidR="00575E5B" w:rsidRDefault="00575E5B" w:rsidP="00575E5B">
      <w:pPr>
        <w:spacing w:line="360" w:lineRule="auto"/>
        <w:jc w:val="both"/>
        <w:rPr>
          <w:color w:val="000000"/>
        </w:rPr>
      </w:pPr>
      <w:r>
        <w:rPr>
          <w:rFonts w:ascii="Palatino Linotype" w:eastAsia="Palatino Linotype" w:hAnsi="Palatino Linotype" w:cs="Palatino Linotype"/>
          <w:color w:val="000000"/>
        </w:rPr>
        <w:t>En primera instancia,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342.-</w:t>
      </w:r>
      <w:r>
        <w:rPr>
          <w:rFonts w:ascii="Palatino Linotype" w:eastAsia="Palatino Linotype" w:hAnsi="Palatino Linotype" w:cs="Palatino Linotype"/>
          <w:i/>
          <w:color w:val="000000"/>
          <w:sz w:val="22"/>
          <w:szCs w:val="22"/>
        </w:rPr>
        <w:t xml:space="preserve"> -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i/>
          <w:color w:val="000000"/>
          <w:sz w:val="22"/>
          <w:szCs w:val="22"/>
        </w:rPr>
        <w:t>presupuestación</w:t>
      </w:r>
      <w:proofErr w:type="spellEnd"/>
      <w:r>
        <w:rPr>
          <w:rFonts w:ascii="Palatino Linotype" w:eastAsia="Palatino Linotype" w:hAnsi="Palatino Linotype" w:cs="Palatino Linotype"/>
          <w:i/>
          <w:color w:val="000000"/>
          <w:sz w:val="22"/>
          <w:szCs w:val="22"/>
        </w:rPr>
        <w:t>, evaluación y contabilidad gubernamental.</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 xml:space="preserve">En el caso de los municipios, el registro a que se refiere el párrafo anterior, se realizará conforme al sistema y a las disposiciones en materia de planeación, programación, </w:t>
      </w:r>
      <w:proofErr w:type="spellStart"/>
      <w:r>
        <w:rPr>
          <w:rFonts w:ascii="Palatino Linotype" w:eastAsia="Palatino Linotype" w:hAnsi="Palatino Linotype" w:cs="Palatino Linotype"/>
          <w:i/>
          <w:color w:val="000000"/>
          <w:sz w:val="22"/>
          <w:szCs w:val="22"/>
        </w:rPr>
        <w:t>presupuestación</w:t>
      </w:r>
      <w:proofErr w:type="spellEnd"/>
      <w:r>
        <w:rPr>
          <w:rFonts w:ascii="Palatino Linotype" w:eastAsia="Palatino Linotype" w:hAnsi="Palatino Linotype" w:cs="Palatino Linotype"/>
          <w:i/>
          <w:color w:val="000000"/>
          <w:sz w:val="22"/>
          <w:szCs w:val="22"/>
        </w:rPr>
        <w:t>, evaluación y contabilidad gubernamental, que se aprueben en el marco del Sistema de Coordinación Hacendaria del Estado de México.</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343.-</w:t>
      </w:r>
      <w:r>
        <w:rPr>
          <w:rFonts w:ascii="Palatino Linotype" w:eastAsia="Palatino Linotype" w:hAnsi="Palatino Linotype" w:cs="Palatino Linotype"/>
          <w:i/>
          <w:color w:val="000000"/>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sistema de contabilidad sobre base acumulativa total, se sustentará en las normas emitidas por el Consejo Nacional de Armonización Contable.</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 xml:space="preserve">Artículo 344.- Los Entes Públicos, a través de cualquiera de sus unidades administrativas, de acuerdo con su naturaleza jurídica y según </w:t>
      </w:r>
      <w:r>
        <w:rPr>
          <w:rFonts w:ascii="Palatino Linotype" w:eastAsia="Palatino Linotype" w:hAnsi="Palatino Linotype" w:cs="Palatino Linotype"/>
          <w:b/>
          <w:i/>
          <w:color w:val="000000"/>
          <w:sz w:val="22"/>
          <w:szCs w:val="22"/>
        </w:rPr>
        <w:lastRenderedPageBreak/>
        <w:t xml:space="preserve">corresponda, </w:t>
      </w:r>
      <w:r>
        <w:rPr>
          <w:rFonts w:ascii="Palatino Linotype" w:eastAsia="Palatino Linotype" w:hAnsi="Palatino Linotype" w:cs="Palatino Linotype"/>
          <w:b/>
          <w:i/>
          <w:color w:val="000000"/>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Pr>
          <w:rFonts w:ascii="Palatino Linotype" w:eastAsia="Palatino Linotype" w:hAnsi="Palatino Linotype" w:cs="Palatino Linotype"/>
          <w:b/>
          <w:i/>
          <w:color w:val="000000"/>
          <w:sz w:val="22"/>
          <w:szCs w:val="22"/>
        </w:rPr>
        <w:t>.</w:t>
      </w:r>
    </w:p>
    <w:p w:rsidR="00575E5B" w:rsidRDefault="00575E5B" w:rsidP="00575E5B">
      <w:pPr>
        <w:spacing w:line="276" w:lineRule="auto"/>
        <w:rPr>
          <w:color w:val="000000"/>
        </w:rPr>
      </w:pP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Pr>
          <w:rFonts w:ascii="Palatino Linotype" w:eastAsia="Palatino Linotype" w:hAnsi="Palatino Linotype" w:cs="Palatino Linotype"/>
          <w:i/>
          <w:color w:val="000000"/>
          <w:sz w:val="22"/>
          <w:szCs w:val="22"/>
        </w:rPr>
        <w:t>según corresponda, así como de los órganos internos de control, por un término de cinco años, contados a partir del ejercicio presupuestal siguiente al que corresponda,</w:t>
      </w:r>
      <w:r>
        <w:rPr>
          <w:rFonts w:ascii="Palatino Linotype" w:eastAsia="Palatino Linotype" w:hAnsi="Palatino Linotype" w:cs="Palatino Linotype"/>
          <w:b/>
          <w:i/>
          <w:color w:val="000000"/>
          <w:sz w:val="22"/>
          <w:szCs w:val="22"/>
        </w:rPr>
        <w:t xml:space="preserve"> en el caso de los Municipios, dicha obligación corresponderá a la Tesorería.</w:t>
      </w:r>
    </w:p>
    <w:p w:rsidR="00575E5B" w:rsidRDefault="00575E5B" w:rsidP="00575E5B">
      <w:pPr>
        <w:spacing w:line="276" w:lineRule="auto"/>
        <w:rPr>
          <w:color w:val="000000"/>
        </w:rPr>
      </w:pP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Tratándose de documentos de carácter histórico, se estará a lo dispuesto por la legislación de la materia.</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w:t>
      </w:r>
    </w:p>
    <w:p w:rsidR="00575E5B" w:rsidRPr="003A398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345.-</w:t>
      </w:r>
      <w:r>
        <w:rPr>
          <w:rFonts w:ascii="Palatino Linotype" w:eastAsia="Palatino Linotype" w:hAnsi="Palatino Linotype" w:cs="Palatino Linotype"/>
          <w:i/>
          <w:color w:val="000000"/>
          <w:sz w:val="22"/>
          <w:szCs w:val="22"/>
        </w:rPr>
        <w:t xml:space="preserve"> </w:t>
      </w:r>
      <w:r w:rsidRPr="003A398B">
        <w:rPr>
          <w:rFonts w:ascii="Palatino Linotype" w:eastAsia="Palatino Linotype" w:hAnsi="Palatino Linotype" w:cs="Palatino Linotype"/>
          <w:b/>
          <w:i/>
          <w:color w:val="000000"/>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3A398B">
        <w:rPr>
          <w:rFonts w:ascii="Palatino Linotype" w:eastAsia="Palatino Linotype" w:hAnsi="Palatino Linotype" w:cs="Palatino Linotype"/>
          <w:i/>
          <w:color w:val="000000"/>
          <w:sz w:val="22"/>
          <w:szCs w:val="22"/>
        </w:rPr>
        <w:t>registro contable.</w:t>
      </w:r>
    </w:p>
    <w:p w:rsidR="00575E5B" w:rsidRPr="003A398B" w:rsidRDefault="00575E5B" w:rsidP="00575E5B">
      <w:pPr>
        <w:pBdr>
          <w:top w:val="nil"/>
          <w:left w:val="nil"/>
          <w:bottom w:val="nil"/>
          <w:right w:val="nil"/>
          <w:between w:val="nil"/>
        </w:pBdr>
        <w:spacing w:before="120" w:after="120" w:line="276" w:lineRule="auto"/>
        <w:ind w:left="860" w:right="860"/>
        <w:jc w:val="both"/>
        <w:rPr>
          <w:color w:val="000000"/>
        </w:rPr>
      </w:pPr>
      <w:r w:rsidRPr="003A398B">
        <w:rPr>
          <w:rFonts w:ascii="Palatino Linotype" w:eastAsia="Palatino Linotype" w:hAnsi="Palatino Linotype" w:cs="Palatino Linotype"/>
          <w:i/>
          <w:color w:val="000000"/>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575E5B" w:rsidRDefault="00575E5B" w:rsidP="00575E5B">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plazo señalado en este artículo empezará a contar a partir de la publicación en el Periódico Oficial, del decreto correspondiente</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“(Sic)</w:t>
      </w:r>
    </w:p>
    <w:p w:rsidR="00575E5B" w:rsidRDefault="00575E5B" w:rsidP="00575E5B">
      <w:pPr>
        <w:pBdr>
          <w:top w:val="nil"/>
          <w:left w:val="nil"/>
          <w:bottom w:val="nil"/>
          <w:right w:val="nil"/>
          <w:between w:val="nil"/>
        </w:pBdr>
        <w:spacing w:before="120" w:after="120"/>
        <w:ind w:left="860" w:right="860"/>
        <w:jc w:val="both"/>
        <w:rPr>
          <w:color w:val="000000"/>
        </w:rPr>
      </w:pPr>
      <w:r>
        <w:rPr>
          <w:rFonts w:ascii="Palatino Linotype" w:eastAsia="Palatino Linotype" w:hAnsi="Palatino Linotype" w:cs="Palatino Linotype"/>
          <w:i/>
          <w:color w:val="000000"/>
          <w:sz w:val="22"/>
          <w:szCs w:val="22"/>
        </w:rPr>
        <w:lastRenderedPageBreak/>
        <w:t>(Énfasis añadido)</w:t>
      </w:r>
    </w:p>
    <w:p w:rsidR="00575E5B" w:rsidRDefault="00575E5B" w:rsidP="00575E5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evaluación y contabilidad gubernamental.</w:t>
      </w:r>
    </w:p>
    <w:p w:rsidR="00575E5B" w:rsidRPr="003A398B" w:rsidRDefault="00575E5B" w:rsidP="00575E5B">
      <w:pPr>
        <w:spacing w:before="240" w:after="240" w:line="360" w:lineRule="auto"/>
        <w:jc w:val="both"/>
        <w:rPr>
          <w:rFonts w:ascii="Palatino Linotype" w:hAnsi="Palatino Linotype" w:cs="Arial"/>
        </w:rPr>
      </w:pPr>
      <w:r w:rsidRPr="003A398B">
        <w:rPr>
          <w:rFonts w:ascii="Palatino Linotype" w:hAnsi="Palatino Linotype" w:cs="Arial"/>
          <w:lang w:eastAsia="es-ES"/>
        </w:rPr>
        <w:t xml:space="preserve">Al respecto, si bien es cierto que el Código Financiero del Estado de México y Municipios establece la obligación de los </w:t>
      </w:r>
      <w:r>
        <w:rPr>
          <w:rFonts w:ascii="Palatino Linotype" w:hAnsi="Palatino Linotype" w:cs="Arial"/>
          <w:lang w:eastAsia="es-ES"/>
        </w:rPr>
        <w:t xml:space="preserve">organismos </w:t>
      </w:r>
      <w:r w:rsidRPr="003A398B">
        <w:rPr>
          <w:rFonts w:ascii="Palatino Linotype" w:hAnsi="Palatino Linotype" w:cs="Arial"/>
          <w:lang w:eastAsia="es-ES"/>
        </w:rPr>
        <w:t>para llevar los registros contables y presupuestales; también lo es que, dicho ordenamiento jurídico no establece que debemos entender por registro contable y presupuestal</w:t>
      </w:r>
      <w:r w:rsidRPr="003A398B">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w:t>
      </w:r>
      <w:proofErr w:type="spellStart"/>
      <w:r w:rsidRPr="003A398B">
        <w:rPr>
          <w:rFonts w:ascii="Palatino Linotype" w:hAnsi="Palatino Linotype" w:cs="Arial"/>
        </w:rPr>
        <w:t>Presupuestación</w:t>
      </w:r>
      <w:proofErr w:type="spellEnd"/>
      <w:r w:rsidRPr="003A398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575E5B" w:rsidRPr="003A398B" w:rsidRDefault="00575E5B" w:rsidP="00575E5B">
      <w:pPr>
        <w:ind w:left="851" w:right="851"/>
        <w:jc w:val="both"/>
        <w:rPr>
          <w:rFonts w:ascii="Palatino Linotype" w:hAnsi="Palatino Linotype" w:cs="Arial"/>
          <w:b/>
          <w:i/>
          <w:sz w:val="22"/>
          <w:szCs w:val="22"/>
        </w:rPr>
      </w:pPr>
      <w:r w:rsidRPr="003A398B">
        <w:rPr>
          <w:rFonts w:ascii="Palatino Linotype" w:hAnsi="Palatino Linotype" w:cs="Arial"/>
          <w:b/>
          <w:i/>
          <w:sz w:val="22"/>
          <w:szCs w:val="22"/>
        </w:rPr>
        <w:t xml:space="preserve">“REGISTRO CONTABLE </w:t>
      </w:r>
    </w:p>
    <w:p w:rsidR="00575E5B" w:rsidRPr="003A398B" w:rsidRDefault="00575E5B" w:rsidP="00575E5B">
      <w:pPr>
        <w:ind w:left="851" w:right="851"/>
        <w:jc w:val="both"/>
        <w:rPr>
          <w:rFonts w:ascii="Palatino Linotype" w:hAnsi="Palatino Linotype" w:cs="Arial"/>
          <w:i/>
          <w:sz w:val="22"/>
          <w:szCs w:val="22"/>
          <w:lang w:eastAsia="es-ES"/>
        </w:rPr>
      </w:pPr>
      <w:r w:rsidRPr="003A398B">
        <w:rPr>
          <w:rFonts w:ascii="Palatino Linotype" w:hAnsi="Palatino Linotype" w:cs="Arial"/>
          <w:i/>
          <w:sz w:val="22"/>
          <w:szCs w:val="22"/>
        </w:rPr>
        <w:t xml:space="preserve">Asiento que se realiza en los libros de contabilidad de las actividades relacionadas con el ingreso y egresos de un ente económico.” </w:t>
      </w:r>
      <w:r w:rsidRPr="003A398B">
        <w:rPr>
          <w:rFonts w:ascii="Palatino Linotype" w:hAnsi="Palatino Linotype" w:cs="Arial"/>
          <w:i/>
          <w:sz w:val="22"/>
          <w:szCs w:val="22"/>
          <w:lang w:eastAsia="es-ES"/>
        </w:rPr>
        <w:t>(Sic)</w:t>
      </w:r>
    </w:p>
    <w:p w:rsidR="00575E5B" w:rsidRPr="003A398B" w:rsidRDefault="00575E5B" w:rsidP="00575E5B">
      <w:pPr>
        <w:ind w:left="851" w:right="851"/>
        <w:jc w:val="both"/>
        <w:rPr>
          <w:rFonts w:ascii="Palatino Linotype" w:hAnsi="Palatino Linotype" w:cs="Arial"/>
          <w:b/>
          <w:i/>
          <w:sz w:val="22"/>
          <w:szCs w:val="22"/>
        </w:rPr>
      </w:pPr>
    </w:p>
    <w:p w:rsidR="00575E5B" w:rsidRPr="003A398B" w:rsidRDefault="00575E5B" w:rsidP="00575E5B">
      <w:pPr>
        <w:ind w:left="851" w:right="851"/>
        <w:jc w:val="both"/>
        <w:rPr>
          <w:rFonts w:ascii="Palatino Linotype" w:hAnsi="Palatino Linotype" w:cs="Arial"/>
          <w:b/>
          <w:i/>
          <w:sz w:val="22"/>
          <w:szCs w:val="22"/>
        </w:rPr>
      </w:pPr>
      <w:r w:rsidRPr="003A398B">
        <w:rPr>
          <w:rFonts w:ascii="Palatino Linotype" w:hAnsi="Palatino Linotype" w:cs="Arial"/>
          <w:b/>
          <w:i/>
          <w:sz w:val="22"/>
          <w:szCs w:val="22"/>
        </w:rPr>
        <w:t>“REGISTRO PRESUPUESTARIO</w:t>
      </w:r>
    </w:p>
    <w:p w:rsidR="00575E5B" w:rsidRPr="003A398B" w:rsidRDefault="00575E5B" w:rsidP="00575E5B">
      <w:pPr>
        <w:ind w:left="851" w:right="851"/>
        <w:jc w:val="both"/>
        <w:rPr>
          <w:rFonts w:ascii="Palatino Linotype" w:hAnsi="Palatino Linotype" w:cs="Arial"/>
          <w:i/>
          <w:sz w:val="22"/>
          <w:szCs w:val="22"/>
          <w:lang w:eastAsia="es-ES"/>
        </w:rPr>
      </w:pPr>
      <w:r w:rsidRPr="003A398B">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3A398B">
        <w:rPr>
          <w:rFonts w:ascii="Palatino Linotype" w:hAnsi="Palatino Linotype" w:cs="Arial"/>
          <w:i/>
          <w:sz w:val="22"/>
          <w:szCs w:val="22"/>
          <w:lang w:eastAsia="es-ES"/>
        </w:rPr>
        <w:t>(Sic)</w:t>
      </w:r>
    </w:p>
    <w:p w:rsidR="00575E5B" w:rsidRPr="003A398B" w:rsidRDefault="00575E5B" w:rsidP="00575E5B">
      <w:pPr>
        <w:ind w:left="851" w:right="851"/>
        <w:jc w:val="both"/>
        <w:rPr>
          <w:rFonts w:ascii="Palatino Linotype" w:hAnsi="Palatino Linotype" w:cs="Arial"/>
          <w:i/>
          <w:sz w:val="22"/>
          <w:szCs w:val="22"/>
        </w:rPr>
      </w:pPr>
    </w:p>
    <w:p w:rsidR="00575E5B" w:rsidRPr="003A398B" w:rsidRDefault="00575E5B" w:rsidP="00575E5B">
      <w:pPr>
        <w:spacing w:before="240" w:after="240" w:line="360" w:lineRule="auto"/>
        <w:jc w:val="both"/>
        <w:rPr>
          <w:rFonts w:ascii="Palatino Linotype" w:hAnsi="Palatino Linotype" w:cs="Arial"/>
          <w:bCs/>
          <w:color w:val="000000"/>
          <w:lang w:eastAsia="es-ES"/>
        </w:rPr>
      </w:pPr>
      <w:r w:rsidRPr="003A398B">
        <w:rPr>
          <w:rFonts w:ascii="Palatino Linotype" w:hAnsi="Palatino Linotype" w:cs="Arial"/>
          <w:bCs/>
          <w:color w:val="000000"/>
          <w:lang w:eastAsia="es-ES"/>
        </w:rPr>
        <w:lastRenderedPageBreak/>
        <w:t>Por otra parte, se establece que el sistema de contabilidad sobre base acumulativa total se sustentará en los principios de contabilidad gubernamental.</w:t>
      </w:r>
    </w:p>
    <w:p w:rsidR="00575E5B" w:rsidRPr="003A398B" w:rsidRDefault="00575E5B" w:rsidP="00575E5B">
      <w:pPr>
        <w:autoSpaceDE w:val="0"/>
        <w:autoSpaceDN w:val="0"/>
        <w:adjustRightInd w:val="0"/>
        <w:spacing w:before="240" w:after="240" w:line="360" w:lineRule="auto"/>
        <w:jc w:val="both"/>
        <w:rPr>
          <w:rFonts w:ascii="Palatino Linotype" w:hAnsi="Palatino Linotype" w:cs="Arial"/>
        </w:rPr>
      </w:pPr>
      <w:r w:rsidRPr="003A398B">
        <w:rPr>
          <w:rFonts w:ascii="Palatino Linotype" w:hAnsi="Palatino Linotype" w:cs="Arial"/>
        </w:rPr>
        <w:t xml:space="preserve">Correlativo a lo anterior, es preciso referir una definición de </w:t>
      </w:r>
      <w:r w:rsidRPr="003A398B">
        <w:rPr>
          <w:rFonts w:ascii="Palatino Linotype" w:hAnsi="Palatino Linotype" w:cs="Arial"/>
          <w:i/>
        </w:rPr>
        <w:t>póliza contable</w:t>
      </w:r>
      <w:r w:rsidRPr="003A398B">
        <w:rPr>
          <w:rFonts w:ascii="Palatino Linotype" w:hAnsi="Palatino Linotype" w:cs="Arial"/>
        </w:rPr>
        <w:t xml:space="preserve">, la cual, primeramente, no está definida en el Código Financiero del Estado de México y Municipios; no obstante, los ya mencionados Glosarios la definen como: </w:t>
      </w:r>
    </w:p>
    <w:p w:rsidR="00575E5B" w:rsidRPr="003A398B" w:rsidRDefault="00575E5B" w:rsidP="00575E5B">
      <w:pPr>
        <w:ind w:left="851" w:right="851"/>
        <w:jc w:val="both"/>
        <w:rPr>
          <w:rFonts w:ascii="Palatino Linotype" w:hAnsi="Palatino Linotype" w:cs="Arial"/>
          <w:b/>
          <w:i/>
          <w:sz w:val="22"/>
          <w:szCs w:val="22"/>
        </w:rPr>
      </w:pPr>
      <w:r w:rsidRPr="003A398B">
        <w:rPr>
          <w:rFonts w:ascii="Palatino Linotype" w:hAnsi="Palatino Linotype" w:cs="Arial"/>
          <w:i/>
          <w:sz w:val="22"/>
          <w:szCs w:val="22"/>
        </w:rPr>
        <w:t>“</w:t>
      </w:r>
      <w:r w:rsidRPr="003A398B">
        <w:rPr>
          <w:rFonts w:ascii="Palatino Linotype" w:hAnsi="Palatino Linotype" w:cs="Arial"/>
          <w:b/>
          <w:i/>
          <w:sz w:val="22"/>
          <w:szCs w:val="22"/>
        </w:rPr>
        <w:t>PÓLIZA CONTABLE</w:t>
      </w:r>
    </w:p>
    <w:p w:rsidR="00575E5B" w:rsidRPr="003A398B" w:rsidRDefault="00575E5B" w:rsidP="00575E5B">
      <w:pPr>
        <w:ind w:left="851" w:right="851"/>
        <w:jc w:val="both"/>
        <w:rPr>
          <w:rFonts w:ascii="Palatino Linotype" w:hAnsi="Palatino Linotype" w:cs="Arial"/>
          <w:i/>
          <w:sz w:val="22"/>
          <w:szCs w:val="22"/>
        </w:rPr>
      </w:pPr>
      <w:r w:rsidRPr="003A398B">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3A398B">
        <w:rPr>
          <w:rFonts w:ascii="Palatino Linotype" w:hAnsi="Palatino Linotype" w:cs="Arial"/>
          <w:i/>
          <w:sz w:val="22"/>
          <w:szCs w:val="22"/>
        </w:rPr>
        <w:t>sic</w:t>
      </w:r>
      <w:proofErr w:type="gramEnd"/>
      <w:r w:rsidRPr="003A398B">
        <w:rPr>
          <w:rFonts w:ascii="Palatino Linotype" w:hAnsi="Palatino Linotype" w:cs="Arial"/>
          <w:i/>
          <w:sz w:val="22"/>
          <w:szCs w:val="22"/>
        </w:rPr>
        <w:t>)</w:t>
      </w:r>
    </w:p>
    <w:p w:rsidR="00575E5B" w:rsidRPr="003A398B" w:rsidRDefault="00575E5B" w:rsidP="00575E5B">
      <w:pPr>
        <w:ind w:left="851" w:right="851"/>
        <w:jc w:val="both"/>
        <w:rPr>
          <w:rFonts w:ascii="Palatino Linotype" w:hAnsi="Palatino Linotype" w:cs="Arial"/>
          <w:i/>
          <w:sz w:val="22"/>
          <w:szCs w:val="22"/>
        </w:rPr>
      </w:pPr>
    </w:p>
    <w:p w:rsidR="00575E5B" w:rsidRPr="003A398B" w:rsidRDefault="00575E5B" w:rsidP="00575E5B">
      <w:pPr>
        <w:spacing w:before="240" w:after="240" w:line="360" w:lineRule="auto"/>
        <w:jc w:val="both"/>
        <w:rPr>
          <w:rFonts w:ascii="Palatino Linotype" w:hAnsi="Palatino Linotype" w:cs="Arial"/>
        </w:rPr>
      </w:pPr>
      <w:r w:rsidRPr="003A398B">
        <w:rPr>
          <w:rFonts w:ascii="Palatino Linotype" w:hAnsi="Palatino Linotype" w:cs="Arial"/>
        </w:rPr>
        <w:t xml:space="preserve">Así, se advierte que la </w:t>
      </w:r>
      <w:r w:rsidRPr="003A398B">
        <w:rPr>
          <w:rFonts w:ascii="Palatino Linotype" w:hAnsi="Palatino Linotype" w:cs="Arial"/>
          <w:i/>
        </w:rPr>
        <w:t>póliza contable</w:t>
      </w:r>
      <w:r w:rsidRPr="003A398B">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575E5B" w:rsidRPr="003A398B" w:rsidRDefault="00575E5B" w:rsidP="00575E5B">
      <w:pPr>
        <w:spacing w:before="240" w:after="240" w:line="360" w:lineRule="auto"/>
        <w:jc w:val="both"/>
        <w:rPr>
          <w:rFonts w:ascii="Palatino Linotype" w:hAnsi="Palatino Linotype" w:cs="Arial"/>
        </w:rPr>
      </w:pPr>
      <w:r w:rsidRPr="003A398B">
        <w:rPr>
          <w:rFonts w:ascii="Palatino Linotype" w:hAnsi="Palatino Linotype" w:cs="Arial"/>
        </w:rPr>
        <w:t xml:space="preserve">En este sentido, existen diversos tipos de pólizas contables de acuerdo a las operaciones realizadas, dentro de las cuales, encontramos las llamadas </w:t>
      </w:r>
      <w:r w:rsidRPr="003A398B">
        <w:rPr>
          <w:rFonts w:ascii="Palatino Linotype" w:hAnsi="Palatino Linotype" w:cs="Arial"/>
          <w:i/>
        </w:rPr>
        <w:t>pólizas de egresos</w:t>
      </w:r>
      <w:r w:rsidRPr="003A398B">
        <w:rPr>
          <w:rFonts w:ascii="Palatino Linotype" w:hAnsi="Palatino Linotype" w:cs="Arial"/>
        </w:rPr>
        <w:t xml:space="preserve">, son aquellas en las cuales se anotan diariamente las operaciones que representan gastos, es decir, salidas de dinero para el </w:t>
      </w:r>
      <w:r w:rsidRPr="003A398B">
        <w:rPr>
          <w:rFonts w:ascii="Palatino Linotype" w:hAnsi="Palatino Linotype" w:cs="Arial"/>
          <w:b/>
        </w:rPr>
        <w:t>Sujeto Obligado</w:t>
      </w:r>
      <w:r w:rsidRPr="003A398B">
        <w:rPr>
          <w:rFonts w:ascii="Palatino Linotype" w:hAnsi="Palatino Linotype" w:cs="Arial"/>
        </w:rPr>
        <w:t xml:space="preserve">, las que además, deben encontrarse acompañadas de las documentales que sirven de soporte de dicho movimiento. </w:t>
      </w:r>
    </w:p>
    <w:p w:rsidR="00575E5B" w:rsidRPr="003A398B" w:rsidRDefault="00575E5B" w:rsidP="00575E5B">
      <w:pPr>
        <w:spacing w:before="240" w:after="240" w:line="360" w:lineRule="auto"/>
        <w:jc w:val="both"/>
        <w:rPr>
          <w:rFonts w:ascii="Palatino Linotype" w:hAnsi="Palatino Linotype" w:cs="Arial"/>
          <w:bCs/>
          <w:color w:val="000000"/>
          <w:lang w:eastAsia="es-ES"/>
        </w:rPr>
      </w:pPr>
      <w:r w:rsidRPr="003A398B">
        <w:rPr>
          <w:rFonts w:ascii="Palatino Linotype" w:hAnsi="Palatino Linotype" w:cs="Arial"/>
          <w:bCs/>
          <w:color w:val="000000"/>
          <w:lang w:eastAsia="es-ES"/>
        </w:rPr>
        <w:t xml:space="preserve">Asimismo, los Lineamientos para la integración y entrega del Informe Trimestral Municipal 2022, </w:t>
      </w:r>
      <w:r w:rsidRPr="003A398B">
        <w:rPr>
          <w:rFonts w:ascii="Palatino Linotype" w:hAnsi="Palatino Linotype" w:cs="Arial"/>
          <w:lang w:eastAsia="es-ES"/>
        </w:rPr>
        <w:t xml:space="preserve">emitidos por el Órgano Superior de Fiscalización del Estado de México, contienen los formatos e información que debe ser proporcionada para la </w:t>
      </w:r>
      <w:r w:rsidRPr="003A398B">
        <w:rPr>
          <w:rFonts w:ascii="Palatino Linotype" w:hAnsi="Palatino Linotype" w:cs="Arial"/>
          <w:lang w:eastAsia="es-ES"/>
        </w:rPr>
        <w:lastRenderedPageBreak/>
        <w:t>integración de lo</w:t>
      </w:r>
      <w:r>
        <w:rPr>
          <w:rFonts w:ascii="Palatino Linotype" w:hAnsi="Palatino Linotype" w:cs="Arial"/>
          <w:lang w:eastAsia="es-ES"/>
        </w:rPr>
        <w:t>s informes trimestrales</w:t>
      </w:r>
      <w:r w:rsidRPr="003A398B">
        <w:rPr>
          <w:rFonts w:ascii="Palatino Linotype" w:hAnsi="Palatino Linotype" w:cs="Arial"/>
          <w:lang w:eastAsia="es-ES"/>
        </w:rPr>
        <w:t xml:space="preserve">, reviste interés para nuestro estudio lo previsto en el módulo 1, el cual contiene la información relativa a las </w:t>
      </w:r>
      <w:r w:rsidRPr="003A398B">
        <w:rPr>
          <w:rFonts w:ascii="Palatino Linotype" w:hAnsi="Palatino Linotype" w:cs="Arial"/>
          <w:b/>
          <w:i/>
          <w:lang w:eastAsia="es-ES"/>
        </w:rPr>
        <w:t>póliza</w:t>
      </w:r>
      <w:r>
        <w:rPr>
          <w:rFonts w:ascii="Palatino Linotype" w:hAnsi="Palatino Linotype" w:cs="Arial"/>
          <w:b/>
          <w:i/>
          <w:lang w:eastAsia="es-ES"/>
        </w:rPr>
        <w:t>s</w:t>
      </w:r>
      <w:r w:rsidRPr="003A398B">
        <w:rPr>
          <w:rFonts w:ascii="Palatino Linotype" w:hAnsi="Palatino Linotype" w:cs="Arial"/>
          <w:b/>
          <w:i/>
          <w:lang w:eastAsia="es-ES"/>
        </w:rPr>
        <w:t xml:space="preserve"> de egresos</w:t>
      </w:r>
      <w:r w:rsidRPr="003A398B">
        <w:rPr>
          <w:rFonts w:ascii="Palatino Linotype" w:hAnsi="Palatino Linotype" w:cs="Arial"/>
          <w:i/>
          <w:lang w:eastAsia="es-ES"/>
        </w:rPr>
        <w:t xml:space="preserve">, </w:t>
      </w:r>
      <w:r w:rsidRPr="003A398B">
        <w:rPr>
          <w:rFonts w:ascii="Palatino Linotype" w:hAnsi="Palatino Linotype" w:cs="Arial"/>
          <w:lang w:eastAsia="es-ES"/>
        </w:rPr>
        <w:t>d</w:t>
      </w:r>
      <w:r w:rsidRPr="003A398B">
        <w:rPr>
          <w:rFonts w:ascii="Palatino Linotype" w:hAnsi="Palatino Linotype" w:cs="Arial"/>
          <w:bCs/>
          <w:lang w:eastAsia="es-ES"/>
        </w:rPr>
        <w:t xml:space="preserve">e tal manera que, dichos formatos constituyen un soporte documental </w:t>
      </w:r>
      <w:r>
        <w:rPr>
          <w:rFonts w:ascii="Palatino Linotype" w:hAnsi="Palatino Linotype" w:cs="Arial"/>
          <w:bCs/>
          <w:lang w:eastAsia="es-ES"/>
        </w:rPr>
        <w:t xml:space="preserve">con el cual de manera enunciativa más no limitativa, el </w:t>
      </w:r>
      <w:r w:rsidRPr="003A398B">
        <w:rPr>
          <w:rFonts w:ascii="Palatino Linotype" w:hAnsi="Palatino Linotype" w:cs="Arial"/>
          <w:b/>
          <w:bCs/>
          <w:lang w:eastAsia="es-ES"/>
        </w:rPr>
        <w:t>Sujeto Obligado</w:t>
      </w:r>
      <w:r>
        <w:rPr>
          <w:rFonts w:ascii="Palatino Linotype" w:hAnsi="Palatino Linotype" w:cs="Arial"/>
          <w:b/>
          <w:bCs/>
          <w:lang w:eastAsia="es-ES"/>
        </w:rPr>
        <w:t xml:space="preserve"> </w:t>
      </w:r>
      <w:r w:rsidRPr="00BB78F6">
        <w:rPr>
          <w:rFonts w:ascii="Palatino Linotype" w:hAnsi="Palatino Linotype" w:cs="Arial"/>
          <w:bCs/>
          <w:lang w:eastAsia="es-ES"/>
        </w:rPr>
        <w:t>pudiera atender los requerimientos de información</w:t>
      </w:r>
      <w:r>
        <w:rPr>
          <w:rFonts w:ascii="Palatino Linotype" w:hAnsi="Palatino Linotype" w:cs="Arial"/>
          <w:bCs/>
          <w:lang w:eastAsia="es-ES"/>
        </w:rPr>
        <w:t>, para una mayor referencia se inserta la captura de pantalla d</w:t>
      </w:r>
      <w:r w:rsidRPr="003A398B">
        <w:rPr>
          <w:rFonts w:ascii="Palatino Linotype" w:hAnsi="Palatino Linotype" w:cs="Arial"/>
          <w:bCs/>
          <w:lang w:eastAsia="es-ES"/>
        </w:rPr>
        <w:t>el</w:t>
      </w:r>
      <w:r>
        <w:rPr>
          <w:rFonts w:ascii="Palatino Linotype" w:hAnsi="Palatino Linotype" w:cs="Arial"/>
          <w:bCs/>
          <w:lang w:eastAsia="es-ES"/>
        </w:rPr>
        <w:t xml:space="preserve"> formato correspondiente al año</w:t>
      </w:r>
      <w:r w:rsidRPr="003A398B">
        <w:rPr>
          <w:rFonts w:ascii="Palatino Linotype" w:hAnsi="Palatino Linotype" w:cs="Arial"/>
          <w:bCs/>
          <w:lang w:eastAsia="es-ES"/>
        </w:rPr>
        <w:t xml:space="preserve"> 2022: </w:t>
      </w:r>
    </w:p>
    <w:p w:rsidR="00575E5B" w:rsidRPr="003A398B" w:rsidRDefault="00575E5B" w:rsidP="00575E5B">
      <w:pPr>
        <w:spacing w:before="240" w:after="240" w:line="360" w:lineRule="auto"/>
        <w:jc w:val="both"/>
        <w:rPr>
          <w:rFonts w:ascii="Palatino Linotype" w:hAnsi="Palatino Linotype" w:cs="Arial"/>
          <w:bCs/>
          <w:color w:val="000000"/>
          <w:highlight w:val="yellow"/>
          <w:lang w:eastAsia="es-ES"/>
        </w:rPr>
      </w:pPr>
      <w:r w:rsidRPr="003A398B">
        <w:rPr>
          <w:rFonts w:ascii="Palatino Linotype" w:hAnsi="Palatino Linotype" w:cs="Arial"/>
          <w:bCs/>
          <w:noProof/>
          <w:color w:val="000000"/>
          <w:highlight w:val="yellow"/>
          <w:lang w:val="es-MX"/>
        </w:rPr>
        <w:drawing>
          <wp:inline distT="0" distB="0" distL="0" distR="0" wp14:anchorId="31184EB2" wp14:editId="0C8FE14D">
            <wp:extent cx="5114925" cy="44844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410" cy="4489248"/>
                    </a:xfrm>
                    <a:prstGeom prst="rect">
                      <a:avLst/>
                    </a:prstGeom>
                    <a:noFill/>
                    <a:ln>
                      <a:noFill/>
                    </a:ln>
                  </pic:spPr>
                </pic:pic>
              </a:graphicData>
            </a:graphic>
          </wp:inline>
        </w:drawing>
      </w:r>
    </w:p>
    <w:p w:rsidR="00575E5B" w:rsidRPr="003A398B" w:rsidRDefault="00575E5B" w:rsidP="00575E5B">
      <w:pPr>
        <w:spacing w:before="240" w:after="240" w:line="360" w:lineRule="auto"/>
        <w:jc w:val="both"/>
        <w:rPr>
          <w:rFonts w:ascii="Palatino Linotype" w:hAnsi="Palatino Linotype" w:cs="Arial"/>
          <w:bCs/>
          <w:color w:val="000000"/>
          <w:highlight w:val="yellow"/>
          <w:lang w:eastAsia="es-ES"/>
        </w:rPr>
      </w:pPr>
      <w:r w:rsidRPr="003A398B">
        <w:rPr>
          <w:rFonts w:ascii="Palatino Linotype" w:hAnsi="Palatino Linotype" w:cs="Arial"/>
          <w:bCs/>
          <w:noProof/>
          <w:color w:val="000000"/>
          <w:highlight w:val="yellow"/>
          <w:lang w:val="es-MX"/>
        </w:rPr>
        <w:lastRenderedPageBreak/>
        <w:drawing>
          <wp:inline distT="0" distB="0" distL="0" distR="0" wp14:anchorId="06C30A43" wp14:editId="036D642A">
            <wp:extent cx="5275685" cy="64389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noFill/>
                    </a:ln>
                  </pic:spPr>
                </pic:pic>
              </a:graphicData>
            </a:graphic>
          </wp:inline>
        </w:drawing>
      </w:r>
    </w:p>
    <w:p w:rsidR="00575E5B" w:rsidRPr="003A398B" w:rsidRDefault="00575E5B" w:rsidP="00575E5B">
      <w:pPr>
        <w:spacing w:before="240" w:after="240" w:line="360" w:lineRule="auto"/>
        <w:jc w:val="both"/>
        <w:rPr>
          <w:rFonts w:ascii="Palatino Linotype" w:hAnsi="Palatino Linotype" w:cs="Arial"/>
          <w:bCs/>
          <w:color w:val="000000"/>
          <w:highlight w:val="yellow"/>
          <w:lang w:eastAsia="es-ES"/>
        </w:rPr>
      </w:pPr>
      <w:r w:rsidRPr="003A398B">
        <w:rPr>
          <w:rFonts w:ascii="Palatino Linotype" w:hAnsi="Palatino Linotype" w:cs="Arial"/>
          <w:bCs/>
          <w:noProof/>
          <w:color w:val="000000"/>
          <w:highlight w:val="yellow"/>
          <w:lang w:val="es-MX"/>
        </w:rPr>
        <w:lastRenderedPageBreak/>
        <w:drawing>
          <wp:inline distT="0" distB="0" distL="0" distR="0" wp14:anchorId="16A85F19" wp14:editId="545512A1">
            <wp:extent cx="5486400" cy="6772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rsidR="00575E5B" w:rsidRDefault="00575E5B" w:rsidP="00575E5B">
      <w:pPr>
        <w:spacing w:before="240" w:after="240" w:line="360" w:lineRule="auto"/>
        <w:jc w:val="both"/>
        <w:rPr>
          <w:rFonts w:ascii="Palatino Linotype" w:hAnsi="Palatino Linotype" w:cs="Arial"/>
          <w:bCs/>
          <w:color w:val="000000"/>
          <w:lang w:eastAsia="es-ES"/>
        </w:rPr>
      </w:pPr>
      <w:r w:rsidRPr="003A398B">
        <w:rPr>
          <w:rFonts w:ascii="Palatino Linotype" w:hAnsi="Palatino Linotype" w:cs="Arial"/>
          <w:bCs/>
          <w:color w:val="000000"/>
          <w:lang w:eastAsia="es-ES"/>
        </w:rPr>
        <w:t xml:space="preserve">Aunado a lo anterior, los citados Lineamientos especifican que las imágenes contenidas deben ser indexadas de manera que se permita su vinculación con la </w:t>
      </w:r>
      <w:r w:rsidRPr="003A398B">
        <w:rPr>
          <w:rFonts w:ascii="Palatino Linotype" w:hAnsi="Palatino Linotype" w:cs="Arial"/>
          <w:bCs/>
          <w:color w:val="000000"/>
          <w:lang w:eastAsia="es-ES"/>
        </w:rPr>
        <w:lastRenderedPageBreak/>
        <w:t xml:space="preserve">información financiera, de tal forma que al consultar la citada información financiera se pueda visualizar el soporte documental que justifique los registros contables. </w:t>
      </w:r>
    </w:p>
    <w:p w:rsidR="00575E5B" w:rsidRDefault="00575E5B" w:rsidP="00575E5B">
      <w:pPr>
        <w:spacing w:before="240" w:after="240" w:line="360" w:lineRule="auto"/>
        <w:jc w:val="both"/>
        <w:rPr>
          <w:rFonts w:ascii="Palatino Linotype" w:hAnsi="Palatino Linotype" w:cs="Arial"/>
          <w:bCs/>
          <w:color w:val="000000"/>
          <w:lang w:eastAsia="es-ES"/>
        </w:rPr>
      </w:pPr>
      <w:r>
        <w:rPr>
          <w:rFonts w:ascii="Palatino Linotype" w:hAnsi="Palatino Linotype" w:cs="Arial"/>
          <w:bCs/>
          <w:color w:val="000000"/>
          <w:lang w:eastAsia="es-ES"/>
        </w:rPr>
        <w:t>Es de precisar que de conformidad</w:t>
      </w:r>
      <w:r w:rsidRPr="002E718D">
        <w:rPr>
          <w:rFonts w:ascii="Palatino Linotype" w:hAnsi="Palatino Linotype" w:cs="Arial"/>
          <w:bCs/>
          <w:color w:val="000000"/>
          <w:lang w:eastAsia="es-ES"/>
        </w:rPr>
        <w:t xml:space="preserve"> con el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w:t>
      </w:r>
      <w:r>
        <w:rPr>
          <w:rFonts w:ascii="Palatino Linotype" w:hAnsi="Palatino Linotype" w:cs="Arial"/>
          <w:bCs/>
          <w:color w:val="000000"/>
          <w:lang w:eastAsia="es-ES"/>
        </w:rPr>
        <w:t xml:space="preserve"> </w:t>
      </w:r>
      <w:r w:rsidRPr="002E718D">
        <w:rPr>
          <w:rFonts w:ascii="Palatino Linotype" w:hAnsi="Palatino Linotype" w:cs="Arial"/>
          <w:bCs/>
          <w:color w:val="000000"/>
          <w:lang w:eastAsia="es-ES"/>
        </w:rPr>
        <w:t>veintidós,</w:t>
      </w:r>
      <w:r>
        <w:rPr>
          <w:rFonts w:ascii="Palatino Linotype" w:hAnsi="Palatino Linotype" w:cs="Arial"/>
          <w:bCs/>
          <w:color w:val="000000"/>
          <w:lang w:eastAsia="es-ES"/>
        </w:rPr>
        <w:t xml:space="preserve"> si bien es cierto que esta información se entrega en los informes trimestrales, no menos cierto es que se debe generar de manera mensual, sirve de mayor referencia la siguiente ilustración: </w:t>
      </w:r>
    </w:p>
    <w:p w:rsidR="00575E5B" w:rsidRPr="003A398B" w:rsidRDefault="00575E5B" w:rsidP="00575E5B">
      <w:pPr>
        <w:spacing w:before="240" w:after="240" w:line="360" w:lineRule="auto"/>
        <w:jc w:val="both"/>
        <w:rPr>
          <w:rFonts w:ascii="Palatino Linotype" w:hAnsi="Palatino Linotype" w:cs="Arial"/>
          <w:bCs/>
          <w:color w:val="000000"/>
          <w:lang w:eastAsia="es-ES"/>
        </w:rPr>
      </w:pPr>
      <w:r>
        <w:rPr>
          <w:rFonts w:ascii="Palatino Linotype" w:hAnsi="Palatino Linotype" w:cs="Arial"/>
          <w:bCs/>
          <w:noProof/>
          <w:color w:val="000000"/>
          <w:lang w:val="es-MX"/>
        </w:rPr>
        <mc:AlternateContent>
          <mc:Choice Requires="wps">
            <w:drawing>
              <wp:anchor distT="0" distB="0" distL="114300" distR="114300" simplePos="0" relativeHeight="251673600" behindDoc="0" locked="0" layoutInCell="1" allowOverlap="1" wp14:anchorId="5EB88E71" wp14:editId="693D6ABA">
                <wp:simplePos x="0" y="0"/>
                <wp:positionH relativeFrom="column">
                  <wp:posOffset>691515</wp:posOffset>
                </wp:positionH>
                <wp:positionV relativeFrom="paragraph">
                  <wp:posOffset>2766695</wp:posOffset>
                </wp:positionV>
                <wp:extent cx="4914900" cy="20002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4914900" cy="2000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F9EBB" id="Rectángulo 5" o:spid="_x0000_s1026" style="position:absolute;margin-left:54.45pt;margin-top:217.85pt;width:387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" filled="f" strokecolor="#002060" strokeweight="2.25pt">
                <v:shadow on="t" color="black" opacity="22937f" origin=",.5" offset="0,.63889mm"/>
              </v:rect>
            </w:pict>
          </mc:Fallback>
        </mc:AlternateContent>
      </w:r>
      <w:r>
        <w:rPr>
          <w:rFonts w:ascii="Palatino Linotype" w:hAnsi="Palatino Linotype" w:cs="Arial"/>
          <w:bCs/>
          <w:noProof/>
          <w:color w:val="000000"/>
          <w:lang w:val="es-MX"/>
        </w:rPr>
        <w:drawing>
          <wp:inline distT="0" distB="0" distL="0" distR="0" wp14:anchorId="74344E10" wp14:editId="15A3BC9E">
            <wp:extent cx="5610225" cy="3286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inline>
        </w:drawing>
      </w:r>
    </w:p>
    <w:p w:rsidR="00575E5B" w:rsidRPr="00420888" w:rsidRDefault="00575E5B" w:rsidP="00575E5B">
      <w:pPr>
        <w:pBdr>
          <w:top w:val="nil"/>
          <w:left w:val="nil"/>
          <w:bottom w:val="nil"/>
          <w:right w:val="nil"/>
          <w:between w:val="nil"/>
        </w:pBdr>
        <w:spacing w:before="240" w:after="240" w:line="360" w:lineRule="auto"/>
        <w:ind w:right="49"/>
        <w:jc w:val="both"/>
        <w:rPr>
          <w:rFonts w:ascii="Palatino Linotype" w:hAnsi="Palatino Linotype"/>
          <w:color w:val="000000"/>
        </w:rPr>
      </w:pPr>
      <w:r w:rsidRPr="00420888">
        <w:rPr>
          <w:rFonts w:ascii="Palatino Linotype" w:hAnsi="Palatino Linotype"/>
          <w:color w:val="000000"/>
        </w:rPr>
        <w:t xml:space="preserve">Por lo anterior, se debe concluir que el </w:t>
      </w:r>
      <w:r w:rsidRPr="00420888">
        <w:rPr>
          <w:rFonts w:ascii="Palatino Linotype" w:hAnsi="Palatino Linotype"/>
          <w:b/>
          <w:color w:val="000000"/>
        </w:rPr>
        <w:t>Sujeto Obligado</w:t>
      </w:r>
      <w:r w:rsidRPr="00420888">
        <w:rPr>
          <w:rFonts w:ascii="Palatino Linotype" w:hAnsi="Palatino Linotype"/>
          <w:color w:val="000000"/>
        </w:rPr>
        <w:t xml:space="preserve"> está constreñido a generar la información que integra el informe trimestral de manera mensual y por tanto a la fecha de ingreso</w:t>
      </w:r>
      <w:r>
        <w:rPr>
          <w:rFonts w:ascii="Palatino Linotype" w:hAnsi="Palatino Linotype"/>
          <w:color w:val="000000"/>
        </w:rPr>
        <w:t xml:space="preserve"> de la solicitud de información, ya debe </w:t>
      </w:r>
      <w:r w:rsidRPr="00420888">
        <w:rPr>
          <w:rFonts w:ascii="Palatino Linotype" w:hAnsi="Palatino Linotype"/>
          <w:color w:val="000000"/>
        </w:rPr>
        <w:t xml:space="preserve">contar con la información </w:t>
      </w:r>
      <w:r>
        <w:rPr>
          <w:rFonts w:ascii="Palatino Linotype" w:hAnsi="Palatino Linotype"/>
          <w:color w:val="000000"/>
        </w:rPr>
        <w:lastRenderedPageBreak/>
        <w:t>generada concerniente a la</w:t>
      </w:r>
      <w:r w:rsidRPr="00420888">
        <w:rPr>
          <w:rFonts w:ascii="Palatino Linotype" w:hAnsi="Palatino Linotype"/>
          <w:color w:val="000000"/>
        </w:rPr>
        <w:t xml:space="preserve"> inversión total para la realización de la Feria Regional de Tecámac realizada del 29 de abril al domingo 8 de mayo, por lo que no existe ya ningún imp</w:t>
      </w:r>
      <w:r>
        <w:rPr>
          <w:rFonts w:ascii="Palatino Linotype" w:hAnsi="Palatino Linotype"/>
          <w:color w:val="000000"/>
        </w:rPr>
        <w:t xml:space="preserve">edimento para que se entregue a </w:t>
      </w:r>
      <w:r w:rsidRPr="00420888">
        <w:rPr>
          <w:rFonts w:ascii="Palatino Linotype" w:hAnsi="Palatino Linotype"/>
          <w:b/>
          <w:color w:val="000000"/>
        </w:rPr>
        <w:t>la parte Recurrente</w:t>
      </w:r>
      <w:r w:rsidRPr="00420888">
        <w:rPr>
          <w:rFonts w:ascii="Palatino Linotype" w:hAnsi="Palatino Linotype"/>
          <w:color w:val="000000"/>
        </w:rPr>
        <w:t xml:space="preserve"> la información que requirió en su solicitud de información.</w:t>
      </w:r>
    </w:p>
    <w:p w:rsidR="00D0638C" w:rsidRDefault="00575E5B" w:rsidP="00D0638C">
      <w:pPr>
        <w:spacing w:before="240" w:after="240" w:line="360" w:lineRule="auto"/>
        <w:ind w:right="49"/>
        <w:jc w:val="both"/>
        <w:rPr>
          <w:rFonts w:ascii="Palatino Linotype" w:eastAsia="Palatino Linotype" w:hAnsi="Palatino Linotype" w:cs="Palatino Linotype"/>
        </w:rPr>
      </w:pPr>
      <w:r w:rsidRPr="00AE4DCA">
        <w:rPr>
          <w:rFonts w:ascii="Palatino Linotype" w:eastAsia="Palatino Linotype" w:hAnsi="Palatino Linotype" w:cs="Palatino Linotype"/>
          <w:color w:val="000000"/>
          <w:lang w:eastAsia="es-ES"/>
        </w:rPr>
        <w:t xml:space="preserve">Ahora, por cuanto hace a la copia de los </w:t>
      </w:r>
      <w:r w:rsidRPr="00AE4DCA">
        <w:rPr>
          <w:rFonts w:ascii="Palatino Linotype" w:eastAsia="Palatino Linotype" w:hAnsi="Palatino Linotype" w:cs="Palatino Linotype"/>
        </w:rPr>
        <w:t>contratos celebrados para la realización, planeación, preparación, ejecución de la Feria, así como para la presentación de los dive</w:t>
      </w:r>
      <w:r>
        <w:rPr>
          <w:rFonts w:ascii="Palatino Linotype" w:eastAsia="Palatino Linotype" w:hAnsi="Palatino Linotype" w:cs="Palatino Linotype"/>
        </w:rPr>
        <w:t>rsos participantes, incluyendo diversos</w:t>
      </w:r>
      <w:r w:rsidRPr="00AE4DCA">
        <w:rPr>
          <w:rFonts w:ascii="Palatino Linotype" w:eastAsia="Palatino Linotype" w:hAnsi="Palatino Linotype" w:cs="Palatino Linotype"/>
        </w:rPr>
        <w:t xml:space="preserve"> artistas</w:t>
      </w:r>
      <w:r>
        <w:rPr>
          <w:rFonts w:ascii="Palatino Linotype" w:eastAsia="Palatino Linotype" w:hAnsi="Palatino Linotype" w:cs="Palatino Linotype"/>
        </w:rPr>
        <w:t xml:space="preserve">, </w:t>
      </w:r>
      <w:r w:rsidR="00D0638C">
        <w:rPr>
          <w:rFonts w:ascii="Palatino Linotype" w:eastAsia="Palatino Linotype" w:hAnsi="Palatino Linotype" w:cs="Palatino Linotype"/>
        </w:rPr>
        <w:t>se tiene que e</w:t>
      </w:r>
      <w:r w:rsidR="00D0638C" w:rsidRPr="00B32A0B">
        <w:rPr>
          <w:rFonts w:ascii="Palatino Linotype" w:eastAsia="Palatino Linotype" w:hAnsi="Palatino Linotype" w:cs="Palatino Linotype"/>
        </w:rPr>
        <w:t xml:space="preserve">n el caso particular, </w:t>
      </w:r>
      <w:r w:rsidR="00D0638C">
        <w:rPr>
          <w:rFonts w:ascii="Palatino Linotype" w:eastAsia="Palatino Linotype" w:hAnsi="Palatino Linotype" w:cs="Palatino Linotype"/>
        </w:rPr>
        <w:t xml:space="preserve">la feria regional de Tecámac se llevó a cabo del </w:t>
      </w:r>
      <w:r w:rsidR="00D0638C" w:rsidRPr="00625F4D">
        <w:rPr>
          <w:rFonts w:ascii="Palatino Linotype" w:eastAsia="Palatino Linotype" w:hAnsi="Palatino Linotype" w:cs="Palatino Linotype"/>
        </w:rPr>
        <w:t>viernes 2</w:t>
      </w:r>
      <w:r w:rsidR="00D0638C">
        <w:rPr>
          <w:rFonts w:ascii="Palatino Linotype" w:eastAsia="Palatino Linotype" w:hAnsi="Palatino Linotype" w:cs="Palatino Linotype"/>
        </w:rPr>
        <w:t xml:space="preserve">9 de abril al domingo 8 de mayo de la presente anualidad y se contó con diversas participaciones de artistas, lo anterior encuentra sustento en las siguientes notas periodísticas: </w:t>
      </w:r>
    </w:p>
    <w:p w:rsidR="00D0638C" w:rsidRPr="006C64D4" w:rsidRDefault="00D0638C" w:rsidP="00D0638C">
      <w:pPr>
        <w:tabs>
          <w:tab w:val="left" w:pos="7938"/>
        </w:tabs>
        <w:spacing w:before="240" w:after="240" w:line="276" w:lineRule="auto"/>
        <w:ind w:left="567" w:right="900"/>
        <w:jc w:val="both"/>
        <w:rPr>
          <w:rFonts w:ascii="Palatino Linotype" w:eastAsia="Palatino Linotype" w:hAnsi="Palatino Linotype" w:cs="Palatino Linotype"/>
          <w:b/>
          <w:color w:val="000000"/>
          <w:sz w:val="22"/>
          <w:lang w:eastAsia="es-ES"/>
        </w:rPr>
      </w:pPr>
      <w:r>
        <w:rPr>
          <w:rFonts w:ascii="Palatino Linotype" w:eastAsia="Palatino Linotype" w:hAnsi="Palatino Linotype" w:cs="Palatino Linotype"/>
          <w:b/>
          <w:color w:val="000000"/>
          <w:sz w:val="22"/>
          <w:lang w:eastAsia="es-ES"/>
        </w:rPr>
        <w:t xml:space="preserve"> “</w:t>
      </w:r>
      <w:r w:rsidRPr="006C64D4">
        <w:rPr>
          <w:rFonts w:ascii="Palatino Linotype" w:eastAsia="Palatino Linotype" w:hAnsi="Palatino Linotype" w:cs="Palatino Linotype"/>
          <w:b/>
          <w:color w:val="000000"/>
          <w:sz w:val="22"/>
          <w:lang w:eastAsia="es-ES"/>
        </w:rPr>
        <w:t>Con eventos artísticos y culturales inició la Feria Regional de Tecámac</w:t>
      </w:r>
      <w:r>
        <w:rPr>
          <w:rFonts w:ascii="Palatino Linotype" w:eastAsia="Palatino Linotype" w:hAnsi="Palatino Linotype" w:cs="Palatino Linotype"/>
          <w:b/>
          <w:color w:val="000000"/>
          <w:sz w:val="22"/>
          <w:lang w:eastAsia="es-ES"/>
        </w:rPr>
        <w:t xml:space="preserve">” </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Pr>
          <w:rFonts w:ascii="Palatino Linotype" w:eastAsia="Palatino Linotype" w:hAnsi="Palatino Linotype" w:cs="Palatino Linotype"/>
          <w:color w:val="000000"/>
          <w:sz w:val="22"/>
          <w:lang w:eastAsia="es-ES"/>
        </w:rPr>
        <w:t xml:space="preserve">Publicada el 3 de mayo de 2022 en la liga electrónica: </w:t>
      </w:r>
      <w:hyperlink r:id="rId15" w:history="1">
        <w:r w:rsidRPr="0020444E">
          <w:rPr>
            <w:rStyle w:val="Hipervnculo"/>
            <w:rFonts w:ascii="Palatino Linotype" w:eastAsia="Palatino Linotype" w:hAnsi="Palatino Linotype" w:cs="Palatino Linotype"/>
            <w:sz w:val="22"/>
            <w:lang w:eastAsia="es-ES"/>
          </w:rPr>
          <w:t>https://889noticias.mx/noticias/con-eventos-artisticos-y-culturales-inicio-la-feria-regional-de-tecamac/</w:t>
        </w:r>
      </w:hyperlink>
      <w:r>
        <w:rPr>
          <w:rFonts w:ascii="Palatino Linotype" w:eastAsia="Palatino Linotype" w:hAnsi="Palatino Linotype" w:cs="Palatino Linotype"/>
          <w:color w:val="000000"/>
          <w:sz w:val="22"/>
          <w:lang w:eastAsia="es-ES"/>
        </w:rPr>
        <w:t xml:space="preserve"> </w:t>
      </w:r>
      <w:r w:rsidRPr="006C64D4">
        <w:rPr>
          <w:rFonts w:ascii="Palatino Linotype" w:eastAsia="Palatino Linotype" w:hAnsi="Palatino Linotype" w:cs="Palatino Linotype"/>
          <w:color w:val="000000"/>
          <w:sz w:val="22"/>
          <w:lang w:eastAsia="es-ES"/>
        </w:rPr>
        <w:t>(consultada el once de octubre de dos mil veintidós a las 18:17 horas)</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sidRPr="006C64D4">
        <w:rPr>
          <w:rFonts w:ascii="Palatino Linotype" w:eastAsia="Palatino Linotype" w:hAnsi="Palatino Linotype" w:cs="Palatino Linotype"/>
          <w:color w:val="000000"/>
          <w:sz w:val="22"/>
          <w:lang w:eastAsia="es-ES"/>
        </w:rPr>
        <w:t>Después de 2 años de suspensión debido a la pandemia originada por COVID 19 se retomó la tradicional Feria Regional en Tecámac, Estado de México.</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sidRPr="006C64D4">
        <w:rPr>
          <w:rFonts w:ascii="Palatino Linotype" w:eastAsia="Palatino Linotype" w:hAnsi="Palatino Linotype" w:cs="Palatino Linotype"/>
          <w:color w:val="000000"/>
          <w:sz w:val="22"/>
          <w:lang w:eastAsia="es-ES"/>
        </w:rPr>
        <w:t xml:space="preserve">Mariela Gutiérrez Escalante, Presidenta Municipal, dijo que los </w:t>
      </w:r>
      <w:proofErr w:type="spellStart"/>
      <w:r w:rsidRPr="006C64D4">
        <w:rPr>
          <w:rFonts w:ascii="Palatino Linotype" w:eastAsia="Palatino Linotype" w:hAnsi="Palatino Linotype" w:cs="Palatino Linotype"/>
          <w:color w:val="000000"/>
          <w:sz w:val="22"/>
          <w:lang w:eastAsia="es-ES"/>
        </w:rPr>
        <w:t>tecamaquenses</w:t>
      </w:r>
      <w:proofErr w:type="spellEnd"/>
      <w:r w:rsidRPr="006C64D4">
        <w:rPr>
          <w:rFonts w:ascii="Palatino Linotype" w:eastAsia="Palatino Linotype" w:hAnsi="Palatino Linotype" w:cs="Palatino Linotype"/>
          <w:color w:val="000000"/>
          <w:sz w:val="22"/>
          <w:lang w:eastAsia="es-ES"/>
        </w:rPr>
        <w:t xml:space="preserve"> tienen mucho que celebrar ya que el municipio se enfila a conso</w:t>
      </w:r>
      <w:r>
        <w:rPr>
          <w:rFonts w:ascii="Palatino Linotype" w:eastAsia="Palatino Linotype" w:hAnsi="Palatino Linotype" w:cs="Palatino Linotype"/>
          <w:color w:val="000000"/>
          <w:sz w:val="22"/>
          <w:lang w:eastAsia="es-ES"/>
        </w:rPr>
        <w:t>lidarse como una ciudad modelo.</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sidRPr="006C64D4">
        <w:rPr>
          <w:rFonts w:ascii="Palatino Linotype" w:eastAsia="Palatino Linotype" w:hAnsi="Palatino Linotype" w:cs="Palatino Linotype"/>
          <w:color w:val="000000"/>
          <w:sz w:val="22"/>
          <w:lang w:eastAsia="es-ES"/>
        </w:rPr>
        <w:t>La Feria Regional se realizará del 28 de abril al 8 de mayo con la presentación de diversos artistas así como muestra gastronómica, eventos culturales, obras de teatro, presentaciones de payasos y bailes folclóricos.</w:t>
      </w:r>
    </w:p>
    <w:p w:rsidR="00D0638C" w:rsidRPr="00625F4D"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sidRPr="00625F4D">
        <w:rPr>
          <w:rFonts w:ascii="Palatino Linotype" w:eastAsia="Palatino Linotype" w:hAnsi="Palatino Linotype" w:cs="Palatino Linotype"/>
          <w:color w:val="000000"/>
          <w:sz w:val="22"/>
          <w:lang w:eastAsia="es-ES"/>
        </w:rPr>
        <w:t>“</w:t>
      </w:r>
      <w:r w:rsidRPr="00625F4D">
        <w:rPr>
          <w:rFonts w:ascii="Palatino Linotype" w:eastAsia="Palatino Linotype" w:hAnsi="Palatino Linotype" w:cs="Palatino Linotype"/>
          <w:b/>
          <w:color w:val="000000"/>
          <w:sz w:val="22"/>
          <w:lang w:eastAsia="es-ES"/>
        </w:rPr>
        <w:t>Concluye con gran éxito la Feria Regional Tecámac 2022</w:t>
      </w:r>
      <w:r w:rsidRPr="00625F4D">
        <w:rPr>
          <w:rFonts w:ascii="Palatino Linotype" w:eastAsia="Palatino Linotype" w:hAnsi="Palatino Linotype" w:cs="Palatino Linotype"/>
          <w:color w:val="000000"/>
          <w:sz w:val="22"/>
          <w:lang w:eastAsia="es-ES"/>
        </w:rPr>
        <w:t>”</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sidRPr="00625F4D">
        <w:rPr>
          <w:rFonts w:ascii="Palatino Linotype" w:eastAsia="Palatino Linotype" w:hAnsi="Palatino Linotype" w:cs="Palatino Linotype"/>
          <w:color w:val="000000"/>
          <w:sz w:val="22"/>
          <w:lang w:eastAsia="es-ES"/>
        </w:rPr>
        <w:lastRenderedPageBreak/>
        <w:t xml:space="preserve">Publicada el 11 de mayo de 2022 en la liga electrónica: </w:t>
      </w:r>
      <w:hyperlink r:id="rId16" w:history="1">
        <w:r w:rsidRPr="00625F4D">
          <w:rPr>
            <w:rStyle w:val="Hipervnculo"/>
            <w:rFonts w:ascii="Palatino Linotype" w:eastAsia="Palatino Linotype" w:hAnsi="Palatino Linotype" w:cs="Palatino Linotype"/>
            <w:sz w:val="22"/>
            <w:lang w:eastAsia="es-ES"/>
          </w:rPr>
          <w:t>http://diario-puntual.com.mx/concluye-con-gran-exito-la-feria-regional-tecamac-2022/</w:t>
        </w:r>
      </w:hyperlink>
      <w:r w:rsidRPr="00625F4D">
        <w:rPr>
          <w:rFonts w:ascii="Palatino Linotype" w:eastAsia="Palatino Linotype" w:hAnsi="Palatino Linotype" w:cs="Palatino Linotype"/>
          <w:color w:val="000000"/>
          <w:sz w:val="22"/>
          <w:lang w:eastAsia="es-ES"/>
        </w:rPr>
        <w:t xml:space="preserve"> </w:t>
      </w:r>
      <w:r>
        <w:rPr>
          <w:rFonts w:ascii="Palatino Linotype" w:eastAsia="Palatino Linotype" w:hAnsi="Palatino Linotype" w:cs="Palatino Linotype"/>
          <w:color w:val="000000"/>
          <w:sz w:val="22"/>
          <w:lang w:eastAsia="es-ES"/>
        </w:rPr>
        <w:t xml:space="preserve">(consultada el once de octubre de dos mil veintidós a las 18:17 horas) </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Pr>
          <w:rFonts w:ascii="Palatino Linotype" w:eastAsia="Palatino Linotype" w:hAnsi="Palatino Linotype" w:cs="Palatino Linotype"/>
          <w:color w:val="000000"/>
          <w:sz w:val="22"/>
          <w:lang w:eastAsia="es-ES"/>
        </w:rPr>
        <w:t>Refiere que d</w:t>
      </w:r>
      <w:r w:rsidRPr="00625F4D">
        <w:rPr>
          <w:rFonts w:ascii="Palatino Linotype" w:eastAsia="Palatino Linotype" w:hAnsi="Palatino Linotype" w:cs="Palatino Linotype"/>
          <w:color w:val="000000"/>
          <w:sz w:val="22"/>
          <w:lang w:eastAsia="es-ES"/>
        </w:rPr>
        <w:t xml:space="preserve">urante los 10 días que duró la festividad, los habitantes de Tecámac y municipios vecinos apreciaron la grandeza cultural y artística del municipio, informó </w:t>
      </w:r>
      <w:proofErr w:type="gramStart"/>
      <w:r w:rsidRPr="00625F4D">
        <w:rPr>
          <w:rFonts w:ascii="Palatino Linotype" w:eastAsia="Palatino Linotype" w:hAnsi="Palatino Linotype" w:cs="Palatino Linotype"/>
          <w:color w:val="000000"/>
          <w:sz w:val="22"/>
          <w:lang w:eastAsia="es-ES"/>
        </w:rPr>
        <w:t>la</w:t>
      </w:r>
      <w:proofErr w:type="gramEnd"/>
      <w:r w:rsidRPr="00625F4D">
        <w:rPr>
          <w:rFonts w:ascii="Palatino Linotype" w:eastAsia="Palatino Linotype" w:hAnsi="Palatino Linotype" w:cs="Palatino Linotype"/>
          <w:color w:val="000000"/>
          <w:sz w:val="22"/>
          <w:lang w:eastAsia="es-ES"/>
        </w:rPr>
        <w:t xml:space="preserve"> edil Mariela Gutiérrez Escalante.</w:t>
      </w:r>
    </w:p>
    <w:p w:rsidR="00D0638C" w:rsidRDefault="00D0638C" w:rsidP="00D0638C">
      <w:pPr>
        <w:tabs>
          <w:tab w:val="left" w:pos="7938"/>
        </w:tabs>
        <w:spacing w:before="240" w:after="240" w:line="276" w:lineRule="auto"/>
        <w:ind w:left="567" w:right="900"/>
        <w:jc w:val="both"/>
        <w:rPr>
          <w:rFonts w:ascii="Palatino Linotype" w:eastAsia="Palatino Linotype" w:hAnsi="Palatino Linotype" w:cs="Palatino Linotype"/>
          <w:color w:val="000000"/>
          <w:sz w:val="22"/>
          <w:lang w:eastAsia="es-ES"/>
        </w:rPr>
      </w:pPr>
      <w:r>
        <w:rPr>
          <w:rFonts w:ascii="Palatino Linotype" w:eastAsia="Palatino Linotype" w:hAnsi="Palatino Linotype" w:cs="Palatino Linotype"/>
          <w:color w:val="000000"/>
          <w:sz w:val="22"/>
          <w:lang w:eastAsia="es-ES"/>
        </w:rPr>
        <w:t xml:space="preserve">Los </w:t>
      </w:r>
      <w:proofErr w:type="spellStart"/>
      <w:r>
        <w:rPr>
          <w:rFonts w:ascii="Palatino Linotype" w:eastAsia="Palatino Linotype" w:hAnsi="Palatino Linotype" w:cs="Palatino Linotype"/>
          <w:color w:val="000000"/>
          <w:sz w:val="22"/>
          <w:lang w:eastAsia="es-ES"/>
        </w:rPr>
        <w:t>tecamaquen</w:t>
      </w:r>
      <w:r w:rsidRPr="00625F4D">
        <w:rPr>
          <w:rFonts w:ascii="Palatino Linotype" w:eastAsia="Palatino Linotype" w:hAnsi="Palatino Linotype" w:cs="Palatino Linotype"/>
          <w:color w:val="000000"/>
          <w:sz w:val="22"/>
          <w:lang w:eastAsia="es-ES"/>
        </w:rPr>
        <w:t>ses</w:t>
      </w:r>
      <w:proofErr w:type="spellEnd"/>
      <w:r w:rsidRPr="00625F4D">
        <w:rPr>
          <w:rFonts w:ascii="Palatino Linotype" w:eastAsia="Palatino Linotype" w:hAnsi="Palatino Linotype" w:cs="Palatino Linotype"/>
          <w:color w:val="000000"/>
          <w:sz w:val="22"/>
          <w:lang w:eastAsia="es-ES"/>
        </w:rPr>
        <w:t xml:space="preserve">, pudieron apreciar las presentaciones de Edith Márquez, Diego Morán, La Banda el </w:t>
      </w:r>
      <w:proofErr w:type="gramStart"/>
      <w:r w:rsidRPr="00625F4D">
        <w:rPr>
          <w:rFonts w:ascii="Palatino Linotype" w:eastAsia="Palatino Linotype" w:hAnsi="Palatino Linotype" w:cs="Palatino Linotype"/>
          <w:color w:val="000000"/>
          <w:sz w:val="22"/>
          <w:lang w:eastAsia="es-ES"/>
        </w:rPr>
        <w:t>Mexicano</w:t>
      </w:r>
      <w:proofErr w:type="gramEnd"/>
      <w:r w:rsidRPr="00625F4D">
        <w:rPr>
          <w:rFonts w:ascii="Palatino Linotype" w:eastAsia="Palatino Linotype" w:hAnsi="Palatino Linotype" w:cs="Palatino Linotype"/>
          <w:color w:val="000000"/>
          <w:sz w:val="22"/>
          <w:lang w:eastAsia="es-ES"/>
        </w:rPr>
        <w:t xml:space="preserve">, Zona </w:t>
      </w:r>
      <w:proofErr w:type="spellStart"/>
      <w:r w:rsidRPr="00625F4D">
        <w:rPr>
          <w:rFonts w:ascii="Palatino Linotype" w:eastAsia="Palatino Linotype" w:hAnsi="Palatino Linotype" w:cs="Palatino Linotype"/>
          <w:color w:val="000000"/>
          <w:sz w:val="22"/>
          <w:lang w:eastAsia="es-ES"/>
        </w:rPr>
        <w:t>Rika</w:t>
      </w:r>
      <w:proofErr w:type="spellEnd"/>
      <w:r w:rsidRPr="00625F4D">
        <w:rPr>
          <w:rFonts w:ascii="Palatino Linotype" w:eastAsia="Palatino Linotype" w:hAnsi="Palatino Linotype" w:cs="Palatino Linotype"/>
          <w:color w:val="000000"/>
          <w:sz w:val="22"/>
          <w:lang w:eastAsia="es-ES"/>
        </w:rPr>
        <w:t xml:space="preserve">, Nancy y los </w:t>
      </w:r>
      <w:proofErr w:type="spellStart"/>
      <w:r w:rsidRPr="00625F4D">
        <w:rPr>
          <w:rFonts w:ascii="Palatino Linotype" w:eastAsia="Palatino Linotype" w:hAnsi="Palatino Linotype" w:cs="Palatino Linotype"/>
          <w:color w:val="000000"/>
          <w:sz w:val="22"/>
          <w:lang w:eastAsia="es-ES"/>
        </w:rPr>
        <w:t>Tk</w:t>
      </w:r>
      <w:proofErr w:type="spellEnd"/>
      <w:r w:rsidRPr="00625F4D">
        <w:rPr>
          <w:rFonts w:ascii="Palatino Linotype" w:eastAsia="Palatino Linotype" w:hAnsi="Palatino Linotype" w:cs="Palatino Linotype"/>
          <w:color w:val="000000"/>
          <w:sz w:val="22"/>
          <w:lang w:eastAsia="es-ES"/>
        </w:rPr>
        <w:t xml:space="preserve"> </w:t>
      </w:r>
      <w:proofErr w:type="spellStart"/>
      <w:r w:rsidRPr="00625F4D">
        <w:rPr>
          <w:rFonts w:ascii="Palatino Linotype" w:eastAsia="Palatino Linotype" w:hAnsi="Palatino Linotype" w:cs="Palatino Linotype"/>
          <w:color w:val="000000"/>
          <w:sz w:val="22"/>
          <w:lang w:eastAsia="es-ES"/>
        </w:rPr>
        <w:t>Kumbia</w:t>
      </w:r>
      <w:proofErr w:type="spellEnd"/>
      <w:r w:rsidRPr="00625F4D">
        <w:rPr>
          <w:rFonts w:ascii="Palatino Linotype" w:eastAsia="Palatino Linotype" w:hAnsi="Palatino Linotype" w:cs="Palatino Linotype"/>
          <w:color w:val="000000"/>
          <w:sz w:val="22"/>
          <w:lang w:eastAsia="es-ES"/>
        </w:rPr>
        <w:t xml:space="preserve">, Los Invasores de Nuevo León, Grupo Texano, Germán Montero, Lagrimita y </w:t>
      </w:r>
      <w:proofErr w:type="spellStart"/>
      <w:r w:rsidRPr="00625F4D">
        <w:rPr>
          <w:rFonts w:ascii="Palatino Linotype" w:eastAsia="Palatino Linotype" w:hAnsi="Palatino Linotype" w:cs="Palatino Linotype"/>
          <w:color w:val="000000"/>
          <w:sz w:val="22"/>
          <w:lang w:eastAsia="es-ES"/>
        </w:rPr>
        <w:t>Costel</w:t>
      </w:r>
      <w:proofErr w:type="spellEnd"/>
      <w:r w:rsidRPr="00625F4D">
        <w:rPr>
          <w:rFonts w:ascii="Palatino Linotype" w:eastAsia="Palatino Linotype" w:hAnsi="Palatino Linotype" w:cs="Palatino Linotype"/>
          <w:color w:val="000000"/>
          <w:sz w:val="22"/>
          <w:lang w:eastAsia="es-ES"/>
        </w:rPr>
        <w:t xml:space="preserve"> entre otros.</w:t>
      </w:r>
    </w:p>
    <w:p w:rsidR="00D0638C" w:rsidRDefault="00D0638C" w:rsidP="00D0638C">
      <w:pPr>
        <w:tabs>
          <w:tab w:val="left" w:pos="7938"/>
        </w:tabs>
        <w:spacing w:before="240" w:after="240" w:line="276" w:lineRule="auto"/>
        <w:ind w:left="567" w:right="900"/>
        <w:jc w:val="center"/>
        <w:rPr>
          <w:rFonts w:ascii="Palatino Linotype" w:eastAsia="Palatino Linotype" w:hAnsi="Palatino Linotype" w:cs="Palatino Linotype"/>
          <w:color w:val="000000"/>
          <w:sz w:val="22"/>
          <w:lang w:eastAsia="es-ES"/>
        </w:rPr>
      </w:pPr>
      <w:r>
        <w:rPr>
          <w:rFonts w:ascii="Palatino Linotype" w:eastAsia="Palatino Linotype" w:hAnsi="Palatino Linotype" w:cs="Palatino Linotype"/>
          <w:noProof/>
          <w:color w:val="000000"/>
          <w:sz w:val="22"/>
          <w:lang w:val="es-MX"/>
        </w:rPr>
        <w:drawing>
          <wp:inline distT="0" distB="0" distL="0" distR="0">
            <wp:extent cx="3236993" cy="49625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6885" cy="4993021"/>
                    </a:xfrm>
                    <a:prstGeom prst="rect">
                      <a:avLst/>
                    </a:prstGeom>
                    <a:noFill/>
                    <a:ln>
                      <a:noFill/>
                    </a:ln>
                  </pic:spPr>
                </pic:pic>
              </a:graphicData>
            </a:graphic>
          </wp:inline>
        </w:drawing>
      </w:r>
    </w:p>
    <w:p w:rsidR="00575E5B" w:rsidRDefault="00D0638C" w:rsidP="00575E5B">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Determinado lo anterior, conviene reiterar que como </w:t>
      </w:r>
      <w:r w:rsidR="00575E5B">
        <w:rPr>
          <w:rFonts w:ascii="Palatino Linotype" w:eastAsia="Palatino Linotype" w:hAnsi="Palatino Linotype" w:cs="Palatino Linotype"/>
        </w:rPr>
        <w:t xml:space="preserve">se asentó con antelación en el presente análisis que </w:t>
      </w:r>
      <w:r>
        <w:rPr>
          <w:rFonts w:ascii="Palatino Linotype" w:eastAsia="Palatino Linotype" w:hAnsi="Palatino Linotype" w:cs="Palatino Linotype"/>
        </w:rPr>
        <w:t xml:space="preserve">en efecto, </w:t>
      </w:r>
      <w:r w:rsidR="00575E5B">
        <w:rPr>
          <w:rFonts w:ascii="Palatino Linotype" w:eastAsia="Palatino Linotype" w:hAnsi="Palatino Linotype" w:cs="Palatino Linotype"/>
        </w:rPr>
        <w:t xml:space="preserve">la unidad administrativa competente para generar, poseer y/o administrar esta información es la Subdirección de Recursos Materiales, la cual depende de la Dirección de Administración, misma que pertenece a la Tesorería Municipal. </w:t>
      </w:r>
    </w:p>
    <w:p w:rsidR="005779BC" w:rsidRPr="005162EE" w:rsidRDefault="00575E5B" w:rsidP="005779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lang w:eastAsia="es-ES"/>
        </w:rPr>
        <w:t xml:space="preserve">En esta tesitura </w:t>
      </w:r>
      <w:r w:rsidR="005779BC" w:rsidRPr="005162EE">
        <w:rPr>
          <w:rFonts w:ascii="Palatino Linotype" w:eastAsia="Palatino Linotype" w:hAnsi="Palatino Linotype" w:cs="Palatino Linotype"/>
        </w:rPr>
        <w:t xml:space="preserve">la Ley de Contratación Pública del Estado de México y Municipios, la cual tiene por objeto regular los actos relativos a la </w:t>
      </w:r>
      <w:r w:rsidR="005779BC" w:rsidRPr="005162EE">
        <w:rPr>
          <w:rFonts w:ascii="Palatino Linotype" w:eastAsia="Palatino Linotype" w:hAnsi="Palatino Linotype" w:cs="Palatino Linotype"/>
          <w:b/>
          <w:u w:val="single"/>
        </w:rPr>
        <w:t xml:space="preserve">planeación, programación, </w:t>
      </w:r>
      <w:proofErr w:type="spellStart"/>
      <w:r w:rsidR="005779BC" w:rsidRPr="005162EE">
        <w:rPr>
          <w:rFonts w:ascii="Palatino Linotype" w:eastAsia="Palatino Linotype" w:hAnsi="Palatino Linotype" w:cs="Palatino Linotype"/>
          <w:b/>
          <w:u w:val="single"/>
        </w:rPr>
        <w:t>presupuestación</w:t>
      </w:r>
      <w:proofErr w:type="spellEnd"/>
      <w:r w:rsidR="005779BC" w:rsidRPr="005162EE">
        <w:rPr>
          <w:rFonts w:ascii="Palatino Linotype" w:eastAsia="Palatino Linotype" w:hAnsi="Palatino Linotype" w:cs="Palatino Linotype"/>
        </w:rPr>
        <w:t xml:space="preserve">, ejecución y control de la </w:t>
      </w:r>
      <w:r w:rsidR="005779BC" w:rsidRPr="005162EE">
        <w:rPr>
          <w:rFonts w:ascii="Palatino Linotype" w:eastAsia="Palatino Linotype" w:hAnsi="Palatino Linotype" w:cs="Palatino Linotype"/>
          <w:b/>
          <w:u w:val="single"/>
        </w:rPr>
        <w:t>adquisición</w:t>
      </w:r>
      <w:r w:rsidR="005779BC" w:rsidRPr="005162EE">
        <w:rPr>
          <w:rFonts w:ascii="Palatino Linotype" w:eastAsia="Palatino Linotype" w:hAnsi="Palatino Linotype" w:cs="Palatino Linotype"/>
          <w:u w:val="single"/>
        </w:rPr>
        <w:t xml:space="preserve">, </w:t>
      </w:r>
      <w:r w:rsidR="005779BC" w:rsidRPr="005162EE">
        <w:rPr>
          <w:rFonts w:ascii="Palatino Linotype" w:eastAsia="Palatino Linotype" w:hAnsi="Palatino Linotype" w:cs="Palatino Linotype"/>
          <w:b/>
          <w:u w:val="single"/>
        </w:rPr>
        <w:t>enajenación y arrendamiento</w:t>
      </w:r>
      <w:r w:rsidR="005779BC" w:rsidRPr="005162EE">
        <w:rPr>
          <w:rFonts w:ascii="Palatino Linotype" w:eastAsia="Palatino Linotype" w:hAnsi="Palatino Linotype" w:cs="Palatino Linotype"/>
        </w:rPr>
        <w:t xml:space="preserve"> de bienes, y la </w:t>
      </w:r>
      <w:r w:rsidR="005779BC" w:rsidRPr="005162EE">
        <w:rPr>
          <w:rFonts w:ascii="Palatino Linotype" w:eastAsia="Palatino Linotype" w:hAnsi="Palatino Linotype" w:cs="Palatino Linotype"/>
          <w:b/>
          <w:u w:val="single"/>
        </w:rPr>
        <w:t>contratación de servicios de cualquier naturaleza</w:t>
      </w:r>
      <w:r w:rsidR="005779BC" w:rsidRPr="005162EE">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rsidR="005779BC" w:rsidRPr="005162EE" w:rsidRDefault="005779BC" w:rsidP="005779BC">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4.-</w:t>
      </w:r>
      <w:r w:rsidRPr="005162EE">
        <w:rPr>
          <w:rFonts w:ascii="Palatino Linotype" w:eastAsia="Palatino Linotype" w:hAnsi="Palatino Linotype" w:cs="Palatino Linotype"/>
          <w:i/>
          <w:sz w:val="22"/>
          <w:szCs w:val="22"/>
        </w:rPr>
        <w:t xml:space="preserve"> Para los efectos de esta Ley, </w:t>
      </w:r>
      <w:r w:rsidRPr="005162EE">
        <w:rPr>
          <w:rFonts w:ascii="Palatino Linotype" w:eastAsia="Palatino Linotype" w:hAnsi="Palatino Linotype" w:cs="Palatino Linotype"/>
          <w:b/>
          <w:i/>
          <w:sz w:val="22"/>
          <w:szCs w:val="22"/>
        </w:rPr>
        <w:t>en las adquisiciones, enajenaciones, arrendamientos y servicios, quedan comprendidos</w:t>
      </w:r>
      <w:r w:rsidRPr="005162EE">
        <w:rPr>
          <w:rFonts w:ascii="Palatino Linotype" w:eastAsia="Palatino Linotype" w:hAnsi="Palatino Linotype" w:cs="Palatino Linotype"/>
          <w:i/>
          <w:sz w:val="22"/>
          <w:szCs w:val="22"/>
        </w:rPr>
        <w:t>:</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xml:space="preserve"> La adquisición de bienes muebles.</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La adquisición de bienes inmuebles, a través de compraventa.</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III.</w:t>
      </w:r>
      <w:r w:rsidRPr="005162EE">
        <w:rPr>
          <w:rFonts w:ascii="Palatino Linotype" w:eastAsia="Palatino Linotype" w:hAnsi="Palatino Linotype" w:cs="Palatino Linotype"/>
          <w:i/>
          <w:sz w:val="22"/>
          <w:szCs w:val="22"/>
        </w:rPr>
        <w:t xml:space="preserve"> La enajenación de bienes muebles e inmuebles.</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IV.</w:t>
      </w:r>
      <w:r w:rsidRPr="005162EE">
        <w:rPr>
          <w:rFonts w:ascii="Palatino Linotype" w:eastAsia="Palatino Linotype" w:hAnsi="Palatino Linotype" w:cs="Palatino Linotype"/>
          <w:i/>
          <w:sz w:val="22"/>
          <w:szCs w:val="22"/>
        </w:rPr>
        <w:t xml:space="preserve"> El arrendamiento de bienes muebles e inmuebles. </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w:t>
      </w:r>
      <w:r w:rsidRPr="005162EE">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VI.</w:t>
      </w:r>
      <w:r w:rsidRPr="005162EE">
        <w:rPr>
          <w:rFonts w:ascii="Palatino Linotype" w:eastAsia="Palatino Linotype" w:hAnsi="Palatino Linotype" w:cs="Palatino Linotype"/>
          <w:i/>
          <w:sz w:val="22"/>
          <w:szCs w:val="22"/>
        </w:rPr>
        <w:t xml:space="preserve"> La contratación de los servicios de reconstrucción y mantenimiento de bienes muebles. </w:t>
      </w:r>
    </w:p>
    <w:p w:rsidR="005779BC" w:rsidRPr="005162EE" w:rsidRDefault="005779BC" w:rsidP="005779BC">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VII.</w:t>
      </w:r>
      <w:r w:rsidRPr="005162EE">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lastRenderedPageBreak/>
        <w:t>VIII.</w:t>
      </w:r>
      <w:r w:rsidRPr="005162EE">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En general, otros actos que impliquen la contratación de servicios de cualquier naturaleza.</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26.-</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Las adquisiciones, arrendamientos y servicios se adjudicarán a través de licitaciones públicas</w:t>
      </w:r>
      <w:r w:rsidRPr="005162EE">
        <w:rPr>
          <w:rFonts w:ascii="Palatino Linotype" w:eastAsia="Palatino Linotype" w:hAnsi="Palatino Linotype" w:cs="Palatino Linotype"/>
          <w:i/>
          <w:sz w:val="22"/>
          <w:szCs w:val="22"/>
        </w:rPr>
        <w:t xml:space="preserve">, mediante convocatoria pública. </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27.</w:t>
      </w:r>
      <w:r w:rsidRPr="005162EE">
        <w:rPr>
          <w:rFonts w:ascii="Palatino Linotype" w:eastAsia="Palatino Linotype" w:hAnsi="Palatino Linotype" w:cs="Palatino Linotype"/>
          <w:i/>
          <w:sz w:val="22"/>
          <w:szCs w:val="22"/>
        </w:rPr>
        <w:t xml:space="preserve">- La Secretaría, las entidades, los tribunales administrativos y los ayuntamientos podrán </w:t>
      </w:r>
      <w:r w:rsidRPr="005162EE">
        <w:rPr>
          <w:rFonts w:ascii="Palatino Linotype" w:eastAsia="Palatino Linotype" w:hAnsi="Palatino Linotype" w:cs="Palatino Linotype"/>
          <w:b/>
          <w:i/>
          <w:sz w:val="22"/>
          <w:szCs w:val="22"/>
        </w:rPr>
        <w:t>adjudicar adquisiciones, arrendamientos y servicios, mediante las excepciones al procedimiento de licitación</w:t>
      </w:r>
      <w:r w:rsidRPr="005162EE">
        <w:rPr>
          <w:rFonts w:ascii="Palatino Linotype" w:eastAsia="Palatino Linotype" w:hAnsi="Palatino Linotype" w:cs="Palatino Linotype"/>
          <w:i/>
          <w:sz w:val="22"/>
          <w:szCs w:val="22"/>
        </w:rPr>
        <w:t xml:space="preserve"> que a continuación se señalan:</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Invitación restringida.</w:t>
      </w:r>
    </w:p>
    <w:p w:rsidR="005779BC" w:rsidRPr="005162EE" w:rsidRDefault="005779BC" w:rsidP="00FA0631">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xml:space="preserve"> Adjudicación directa.”</w:t>
      </w:r>
    </w:p>
    <w:p w:rsidR="005779BC" w:rsidRPr="005162EE" w:rsidRDefault="005779BC" w:rsidP="005779BC">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rsidR="005779BC" w:rsidRPr="005162EE" w:rsidRDefault="005779BC" w:rsidP="005779BC">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Por su parte, el Reglamento de la Ley de Contratación Pública del Estado de México y Municipios, dispone lo que a la letra se inserta:</w:t>
      </w:r>
    </w:p>
    <w:p w:rsidR="005779BC" w:rsidRPr="005162EE" w:rsidRDefault="005779BC" w:rsidP="00BD6C32">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w:t>
      </w:r>
      <w:r w:rsidRPr="005162EE">
        <w:rPr>
          <w:rFonts w:ascii="Palatino Linotype" w:eastAsia="Palatino Linotype" w:hAnsi="Palatino Linotype" w:cs="Palatino Linotype"/>
          <w:i/>
          <w:sz w:val="22"/>
          <w:szCs w:val="22"/>
        </w:rPr>
        <w:t xml:space="preserve"> Para los efectos de este Reglamento, se entenderá por: </w:t>
      </w:r>
    </w:p>
    <w:p w:rsidR="005779BC" w:rsidRPr="005162EE" w:rsidRDefault="005779BC" w:rsidP="00BD6C32">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5779BC" w:rsidRPr="005162EE" w:rsidRDefault="005779BC" w:rsidP="00BD6C32">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lastRenderedPageBreak/>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5779BC" w:rsidRPr="005162EE" w:rsidRDefault="005779BC" w:rsidP="00A05620">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61.-</w:t>
      </w:r>
      <w:r w:rsidRPr="005162EE">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5779BC" w:rsidRPr="005162EE" w:rsidRDefault="005779BC" w:rsidP="00A05620">
      <w:pPr>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Artículo 62.-</w:t>
      </w:r>
      <w:r w:rsidRPr="005162EE">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5162EE">
        <w:rPr>
          <w:rFonts w:ascii="Palatino Linotype" w:eastAsia="Palatino Linotype" w:hAnsi="Palatino Linotype" w:cs="Palatino Linotype"/>
          <w:b/>
          <w:i/>
          <w:sz w:val="22"/>
          <w:szCs w:val="22"/>
        </w:rPr>
        <w:t xml:space="preserve"> </w:t>
      </w:r>
    </w:p>
    <w:p w:rsidR="005779BC" w:rsidRPr="005162EE" w:rsidRDefault="005779BC" w:rsidP="00A05620">
      <w:pPr>
        <w:shd w:val="clear" w:color="auto" w:fill="FFFFFF"/>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 xml:space="preserve">Artículo 67.- </w:t>
      </w:r>
      <w:r w:rsidRPr="005162EE">
        <w:rPr>
          <w:rFonts w:ascii="Palatino Linotype" w:eastAsia="Palatino Linotype" w:hAnsi="Palatino Linotype" w:cs="Palatino Linotype"/>
          <w:i/>
          <w:sz w:val="22"/>
          <w:szCs w:val="22"/>
        </w:rPr>
        <w:t xml:space="preserve">El procedimiento de licitación pública comprende las siguientes fases: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Publicación de la convocatoria;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Venta de las bases de licitación;</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Visita, en su caso, al sitio donde se vayan a suministrar los bienes o a prestar los servicios;</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Junta de aclaraciones, en su caso;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Acto de presentación y apertura de propuestas;</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Análisis y evaluación de propuestas;</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Dictamen de adjudicación;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lastRenderedPageBreak/>
        <w:t xml:space="preserve">Fallo;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Suscripción del contrato; y </w:t>
      </w:r>
    </w:p>
    <w:p w:rsidR="005779BC" w:rsidRPr="005162EE" w:rsidRDefault="005779BC" w:rsidP="00D341E6">
      <w:pPr>
        <w:numPr>
          <w:ilvl w:val="0"/>
          <w:numId w:val="16"/>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Suministro de los bienes o inicio de la prestación del servicio.</w:t>
      </w:r>
    </w:p>
    <w:p w:rsidR="00575E5B" w:rsidRDefault="00575E5B" w:rsidP="005779BC">
      <w:pPr>
        <w:spacing w:before="120" w:after="120"/>
        <w:ind w:left="851" w:right="902"/>
        <w:jc w:val="both"/>
        <w:rPr>
          <w:rFonts w:ascii="Palatino Linotype" w:eastAsia="Palatino Linotype" w:hAnsi="Palatino Linotype" w:cs="Palatino Linotype"/>
          <w:b/>
          <w:i/>
          <w:sz w:val="22"/>
          <w:szCs w:val="22"/>
        </w:rPr>
      </w:pP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68.- </w:t>
      </w:r>
      <w:r w:rsidRPr="00AE4DCA">
        <w:rPr>
          <w:rFonts w:ascii="Palatino Linotype" w:hAnsi="Palatino Linotype" w:cs="Arial"/>
          <w:i/>
          <w:sz w:val="22"/>
          <w:lang w:val="es-MX" w:eastAsia="es-ES"/>
        </w:rPr>
        <w:t xml:space="preserve">En el procedimiento de licitación pública se observará lo siguiente: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II. La venta de bases iniciará a partir del día de publicación de la convocatoria y concluirá el día hábil anterior al día de celebración de la junta de aclaraciones. </w:t>
      </w:r>
    </w:p>
    <w:p w:rsidR="00575E5B" w:rsidRPr="00AE4DCA" w:rsidRDefault="00575E5B" w:rsidP="00575E5B">
      <w:pPr>
        <w:autoSpaceDE w:val="0"/>
        <w:autoSpaceDN w:val="0"/>
        <w:adjustRightInd w:val="0"/>
        <w:jc w:val="both"/>
        <w:rPr>
          <w:rFonts w:ascii="Palatino Linotype" w:hAnsi="Palatino Linotype" w:cs="Arial"/>
          <w:i/>
          <w:sz w:val="22"/>
          <w:lang w:val="es-MX" w:eastAsia="es-ES"/>
        </w:rPr>
      </w:pP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Cuando no se celebre junta de aclaraciones, la venta de bases concluirá el día hábil anterior a la celebración del acto de presentación y apertura de propuestas.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En todo caso, el plazo de venta de bases no será menor a tres días hábiles contados a partir del día de la publicación de la convocatoria;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p>
    <w:p w:rsidR="00575E5B" w:rsidRPr="00AE4DCA" w:rsidRDefault="00575E5B" w:rsidP="00575E5B">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69.- </w:t>
      </w:r>
      <w:r w:rsidRPr="00AE4DCA">
        <w:rPr>
          <w:rFonts w:ascii="Palatino Linotype" w:hAnsi="Palatino Linotype" w:cs="Arial"/>
          <w:i/>
          <w:sz w:val="22"/>
          <w:lang w:val="es-MX" w:eastAsia="es-ES"/>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rsidR="00575E5B" w:rsidRPr="00AE4DCA" w:rsidRDefault="00575E5B" w:rsidP="00575E5B">
      <w:pPr>
        <w:autoSpaceDE w:val="0"/>
        <w:autoSpaceDN w:val="0"/>
        <w:adjustRightInd w:val="0"/>
        <w:jc w:val="both"/>
        <w:rPr>
          <w:rFonts w:ascii="Palatino Linotype" w:hAnsi="Palatino Linotype" w:cs="Arial"/>
          <w:i/>
          <w:sz w:val="22"/>
          <w:lang w:val="es-MX" w:eastAsia="es-ES"/>
        </w:rPr>
      </w:pP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90.-</w:t>
      </w:r>
      <w:r w:rsidRPr="005162EE">
        <w:rPr>
          <w:rFonts w:ascii="Palatino Linotype" w:eastAsia="Palatino Linotype" w:hAnsi="Palatino Linotype" w:cs="Palatino Linotype"/>
          <w:i/>
          <w:sz w:val="22"/>
          <w:szCs w:val="22"/>
        </w:rPr>
        <w:t xml:space="preserve"> En el procedimiento de invitación restringida se deberá observar lo siguiente: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Se podrá invitar a personas que no se encuentren inscritas, cuando en el giro correspondiente del catálogo de proveedores y prestadores de servicios no exista el registro mínimo de personas requeridas para tal modalidad;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xml:space="preserve">. Las bases de la invitación restringida indicarán los aspectos de la adquisición o contratación; y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III.</w:t>
      </w:r>
      <w:r w:rsidRPr="005162EE">
        <w:rPr>
          <w:rFonts w:ascii="Palatino Linotype" w:eastAsia="Palatino Linotype" w:hAnsi="Palatino Linotype" w:cs="Palatino Linotype"/>
          <w:i/>
          <w:sz w:val="22"/>
          <w:szCs w:val="22"/>
        </w:rPr>
        <w:t xml:space="preserve"> Serán aplicables, en lo conducente, las disposiciones de la licitación pública.</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91.-</w:t>
      </w:r>
      <w:r w:rsidRPr="005162EE">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92.-</w:t>
      </w:r>
      <w:r w:rsidRPr="005162EE">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5779BC" w:rsidRPr="005162EE" w:rsidRDefault="005779BC" w:rsidP="00BD6C32">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5779BC" w:rsidRPr="005162EE" w:rsidRDefault="005779BC" w:rsidP="00BD6C32">
      <w:pPr>
        <w:tabs>
          <w:tab w:val="left" w:pos="1134"/>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En el caso de los municipios, las cotizaciones deberán obtenerse a través de sus áreas de administración.”</w:t>
      </w:r>
    </w:p>
    <w:p w:rsidR="005779BC" w:rsidRPr="005162EE" w:rsidRDefault="005779BC" w:rsidP="005779BC">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De lo hasta aquí expuesto, se advierte que, cuando los entes públicos deban o tengan que realizar la adquisición, arrendamiento de un bien o contratación de servicios, deberán regular su actividad a través de las licitaciones públicas mediante </w:t>
      </w:r>
      <w:r w:rsidRPr="005162EE">
        <w:rPr>
          <w:rFonts w:ascii="Palatino Linotype" w:eastAsia="Palatino Linotype" w:hAnsi="Palatino Linotype" w:cs="Palatino Linotype"/>
        </w:rPr>
        <w:lastRenderedPageBreak/>
        <w:t>convocatoria y conforme el procedimiento establecido en la ley de contratación, o bien, mediante invitación restringida o adjudicación directa.</w:t>
      </w:r>
    </w:p>
    <w:p w:rsidR="005779BC" w:rsidRPr="005162EE" w:rsidRDefault="005779BC" w:rsidP="005779BC">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rsidR="005779BC" w:rsidRPr="005162EE" w:rsidRDefault="005779BC" w:rsidP="005779BC">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rsidR="005779BC" w:rsidRPr="005162EE" w:rsidRDefault="005779BC" w:rsidP="005779BC">
      <w:pPr>
        <w:spacing w:before="240" w:after="240" w:line="360" w:lineRule="auto"/>
        <w:ind w:right="51"/>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Siguiendo con el análisis, el artículo 92, </w:t>
      </w:r>
      <w:r w:rsidR="00575E5B">
        <w:rPr>
          <w:rFonts w:ascii="Palatino Linotype" w:eastAsia="Palatino Linotype" w:hAnsi="Palatino Linotype" w:cs="Palatino Linotype"/>
        </w:rPr>
        <w:t>fracción</w:t>
      </w:r>
      <w:r w:rsidRPr="005162EE">
        <w:rPr>
          <w:rFonts w:ascii="Palatino Linotype" w:eastAsia="Palatino Linotype" w:hAnsi="Palatino Linotype" w:cs="Palatino Linotype"/>
        </w:rPr>
        <w:t xml:space="preserve">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incluyendo la versión pública del </w:t>
      </w:r>
      <w:r w:rsidRPr="005162EE">
        <w:rPr>
          <w:rFonts w:ascii="Palatino Linotype" w:eastAsia="Palatino Linotype" w:hAnsi="Palatino Linotype" w:cs="Palatino Linotype"/>
        </w:rPr>
        <w:lastRenderedPageBreak/>
        <w:t>expediente respectivo y de los contratos celebrados, así como el padrón de proveedores y contratistas, a saber:</w:t>
      </w:r>
    </w:p>
    <w:p w:rsidR="005779BC" w:rsidRPr="005162EE" w:rsidRDefault="005779BC" w:rsidP="00BD6C32">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r w:rsidRPr="005162EE">
        <w:rPr>
          <w:rFonts w:ascii="Palatino Linotype" w:eastAsia="Palatino Linotype" w:hAnsi="Palatino Linotype" w:cs="Palatino Linotype"/>
          <w:b/>
          <w:i/>
          <w:sz w:val="22"/>
          <w:szCs w:val="22"/>
        </w:rPr>
        <w:t>Artículo 92</w:t>
      </w:r>
      <w:r w:rsidRPr="005162E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XXIX.</w:t>
      </w:r>
      <w:r w:rsidRPr="005162EE">
        <w:rPr>
          <w:rFonts w:ascii="Palatino Linotype" w:eastAsia="Palatino Linotype" w:hAnsi="Palatino Linotype" w:cs="Palatino Linotype"/>
          <w:i/>
          <w:sz w:val="22"/>
          <w:szCs w:val="22"/>
        </w:rPr>
        <w:t xml:space="preserve"> La </w:t>
      </w:r>
      <w:r w:rsidRPr="005162EE">
        <w:rPr>
          <w:rFonts w:ascii="Palatino Linotype" w:eastAsia="Palatino Linotype" w:hAnsi="Palatino Linotype" w:cs="Palatino Linotype"/>
          <w:b/>
          <w:i/>
          <w:sz w:val="22"/>
          <w:szCs w:val="22"/>
        </w:rPr>
        <w:t xml:space="preserve">información sobre los procesos y resultados </w:t>
      </w:r>
      <w:r w:rsidRPr="005162E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5162EE">
        <w:rPr>
          <w:rFonts w:ascii="Palatino Linotype" w:eastAsia="Palatino Linotype" w:hAnsi="Palatino Linotype" w:cs="Palatino Linotype"/>
          <w:i/>
          <w:sz w:val="22"/>
          <w:szCs w:val="22"/>
          <w:u w:val="single"/>
        </w:rPr>
        <w:t xml:space="preserve">, </w:t>
      </w:r>
      <w:r w:rsidRPr="005162EE">
        <w:rPr>
          <w:rFonts w:ascii="Palatino Linotype" w:eastAsia="Palatino Linotype" w:hAnsi="Palatino Linotype" w:cs="Palatino Linotype"/>
          <w:b/>
          <w:i/>
          <w:sz w:val="22"/>
          <w:szCs w:val="22"/>
        </w:rPr>
        <w:t>incluyendo la versión pública</w:t>
      </w:r>
      <w:r w:rsidRPr="005162EE">
        <w:rPr>
          <w:rFonts w:ascii="Palatino Linotype" w:eastAsia="Palatino Linotype" w:hAnsi="Palatino Linotype" w:cs="Palatino Linotype"/>
          <w:i/>
          <w:sz w:val="22"/>
          <w:szCs w:val="22"/>
        </w:rPr>
        <w:t xml:space="preserve"> del </w:t>
      </w:r>
      <w:r w:rsidRPr="005162EE">
        <w:rPr>
          <w:rFonts w:ascii="Palatino Linotype" w:eastAsia="Palatino Linotype" w:hAnsi="Palatino Linotype" w:cs="Palatino Linotype"/>
          <w:b/>
          <w:i/>
          <w:sz w:val="22"/>
          <w:szCs w:val="22"/>
        </w:rPr>
        <w:t>expediente respectivo</w:t>
      </w:r>
      <w:r w:rsidRPr="005162EE">
        <w:rPr>
          <w:rFonts w:ascii="Palatino Linotype" w:eastAsia="Palatino Linotype" w:hAnsi="Palatino Linotype" w:cs="Palatino Linotype"/>
          <w:i/>
          <w:sz w:val="22"/>
          <w:szCs w:val="22"/>
        </w:rPr>
        <w:t xml:space="preserve"> y </w:t>
      </w:r>
      <w:r w:rsidRPr="005162EE">
        <w:rPr>
          <w:rFonts w:ascii="Palatino Linotype" w:eastAsia="Palatino Linotype" w:hAnsi="Palatino Linotype" w:cs="Palatino Linotype"/>
          <w:b/>
          <w:i/>
          <w:sz w:val="22"/>
          <w:szCs w:val="22"/>
        </w:rPr>
        <w:t>de los contratos celebrados</w:t>
      </w:r>
      <w:r w:rsidRPr="005162EE">
        <w:rPr>
          <w:rFonts w:ascii="Palatino Linotype" w:eastAsia="Palatino Linotype" w:hAnsi="Palatino Linotype" w:cs="Palatino Linotype"/>
          <w:i/>
          <w:sz w:val="22"/>
          <w:szCs w:val="22"/>
        </w:rPr>
        <w:t>, que deberán contener, por los menos, lo siguiente:</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a) De licitaciones públicas o procedimientos de invitación restringida:</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w:t>
      </w:r>
      <w:r w:rsidRPr="005162EE">
        <w:rPr>
          <w:rFonts w:ascii="Palatino Linotype" w:eastAsia="Palatino Linotype" w:hAnsi="Palatino Linotype" w:cs="Palatino Linotype"/>
          <w:i/>
          <w:sz w:val="22"/>
          <w:szCs w:val="22"/>
        </w:rPr>
        <w:t xml:space="preserve"> La convocatoria o invitación emitida, así como los fundamentos legales aplicados para llevarla a cabo;</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2)</w:t>
      </w:r>
      <w:r w:rsidRPr="005162EE">
        <w:rPr>
          <w:rFonts w:ascii="Palatino Linotype" w:eastAsia="Palatino Linotype" w:hAnsi="Palatino Linotype" w:cs="Palatino Linotype"/>
          <w:i/>
          <w:sz w:val="22"/>
          <w:szCs w:val="22"/>
        </w:rPr>
        <w:t xml:space="preserve"> Los nombres de los participantes o invitados;</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3)</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El nombre del ganador y las razones que lo justifican;</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4)</w:t>
      </w:r>
      <w:r w:rsidRPr="005162EE">
        <w:rPr>
          <w:rFonts w:ascii="Palatino Linotype" w:eastAsia="Palatino Linotype" w:hAnsi="Palatino Linotype" w:cs="Palatino Linotype"/>
          <w:i/>
          <w:sz w:val="22"/>
          <w:szCs w:val="22"/>
        </w:rPr>
        <w:t xml:space="preserve"> El área solicitante y la responsable de su ejecución;</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5)</w:t>
      </w:r>
      <w:r w:rsidRPr="005162EE">
        <w:rPr>
          <w:rFonts w:ascii="Palatino Linotype" w:eastAsia="Palatino Linotype" w:hAnsi="Palatino Linotype" w:cs="Palatino Linotype"/>
          <w:i/>
          <w:sz w:val="22"/>
          <w:szCs w:val="22"/>
        </w:rPr>
        <w:t xml:space="preserve"> Las convocatorias e invitaciones emitidas; </w:t>
      </w:r>
    </w:p>
    <w:p w:rsidR="005779BC" w:rsidRPr="005162EE" w:rsidRDefault="005779BC" w:rsidP="00BD6C32">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6)</w:t>
      </w:r>
      <w:r w:rsidRPr="005162EE">
        <w:rPr>
          <w:rFonts w:ascii="Palatino Linotype" w:eastAsia="Palatino Linotype" w:hAnsi="Palatino Linotype" w:cs="Palatino Linotype"/>
          <w:i/>
          <w:sz w:val="22"/>
          <w:szCs w:val="22"/>
        </w:rPr>
        <w:t xml:space="preserve"> Los dictámenes y fallo de adjudicación;</w:t>
      </w:r>
    </w:p>
    <w:p w:rsidR="005779BC" w:rsidRPr="005162EE" w:rsidRDefault="005779BC" w:rsidP="00BD6C32">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7) El contrato</w:t>
      </w:r>
      <w:r w:rsidRPr="005162EE">
        <w:rPr>
          <w:rFonts w:ascii="Palatino Linotype" w:eastAsia="Palatino Linotype" w:hAnsi="Palatino Linotype" w:cs="Palatino Linotype"/>
          <w:i/>
          <w:sz w:val="22"/>
          <w:szCs w:val="22"/>
        </w:rPr>
        <w:t xml:space="preserve"> y, en su caso, sus anexos;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8)</w:t>
      </w:r>
      <w:r w:rsidRPr="005162E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9)</w:t>
      </w:r>
      <w:r w:rsidRPr="005162EE">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10)</w:t>
      </w:r>
      <w:r w:rsidRPr="005162EE">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11)</w:t>
      </w:r>
      <w:r w:rsidRPr="005162E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12)</w:t>
      </w:r>
      <w:r w:rsidRPr="005162EE">
        <w:rPr>
          <w:rFonts w:ascii="Palatino Linotype" w:eastAsia="Palatino Linotype" w:hAnsi="Palatino Linotype" w:cs="Palatino Linotype"/>
          <w:i/>
          <w:sz w:val="22"/>
          <w:szCs w:val="22"/>
        </w:rPr>
        <w:t xml:space="preserve"> Los informes de avance físico y financiero sobre las obras o servicios contratados;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13)</w:t>
      </w:r>
      <w:r w:rsidRPr="005162EE">
        <w:rPr>
          <w:rFonts w:ascii="Palatino Linotype" w:eastAsia="Palatino Linotype" w:hAnsi="Palatino Linotype" w:cs="Palatino Linotype"/>
          <w:i/>
          <w:sz w:val="22"/>
          <w:szCs w:val="22"/>
        </w:rPr>
        <w:t xml:space="preserve"> El convenio de terminación;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lastRenderedPageBreak/>
        <w:t>14)</w:t>
      </w:r>
      <w:r w:rsidRPr="005162EE">
        <w:rPr>
          <w:rFonts w:ascii="Palatino Linotype" w:eastAsia="Palatino Linotype" w:hAnsi="Palatino Linotype" w:cs="Palatino Linotype"/>
          <w:i/>
          <w:sz w:val="22"/>
          <w:szCs w:val="22"/>
        </w:rPr>
        <w:t xml:space="preserve"> El finiquito.</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 xml:space="preserve">b) De las adjudicaciones directas: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w:t>
      </w:r>
      <w:r w:rsidRPr="005162EE">
        <w:rPr>
          <w:rFonts w:ascii="Palatino Linotype" w:eastAsia="Palatino Linotype" w:hAnsi="Palatino Linotype" w:cs="Palatino Linotype"/>
          <w:i/>
          <w:sz w:val="22"/>
          <w:szCs w:val="22"/>
        </w:rPr>
        <w:t xml:space="preserve"> La propuesta enviada por el participante;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2)</w:t>
      </w:r>
      <w:r w:rsidRPr="005162EE">
        <w:rPr>
          <w:rFonts w:ascii="Palatino Linotype" w:eastAsia="Palatino Linotype" w:hAnsi="Palatino Linotype" w:cs="Palatino Linotype"/>
          <w:i/>
          <w:sz w:val="22"/>
          <w:szCs w:val="22"/>
        </w:rPr>
        <w:t xml:space="preserve"> Los motivos y fundamentos legales aplicados para llevarla a cabo;</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3)</w:t>
      </w:r>
      <w:r w:rsidRPr="005162EE">
        <w:rPr>
          <w:rFonts w:ascii="Palatino Linotype" w:eastAsia="Palatino Linotype" w:hAnsi="Palatino Linotype" w:cs="Palatino Linotype"/>
          <w:i/>
          <w:sz w:val="22"/>
          <w:szCs w:val="22"/>
        </w:rPr>
        <w:t xml:space="preserve"> La autorización del ejercicio de la opción;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 xml:space="preserve">4) </w:t>
      </w:r>
      <w:r w:rsidRPr="005162EE">
        <w:rPr>
          <w:rFonts w:ascii="Palatino Linotype" w:eastAsia="Palatino Linotype" w:hAnsi="Palatino Linotype" w:cs="Palatino Linotype"/>
          <w:i/>
          <w:sz w:val="22"/>
          <w:szCs w:val="22"/>
        </w:rPr>
        <w:t>En su caso, las cotizaciones consideradas, especificando los nombres de los proveedores y sus montos;</w:t>
      </w:r>
      <w:r w:rsidRPr="005162EE">
        <w:rPr>
          <w:rFonts w:ascii="Palatino Linotype" w:eastAsia="Palatino Linotype" w:hAnsi="Palatino Linotype" w:cs="Palatino Linotype"/>
          <w:b/>
          <w:i/>
          <w:sz w:val="22"/>
          <w:szCs w:val="22"/>
        </w:rPr>
        <w:t xml:space="preserve">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5)</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 xml:space="preserve">El nombre de la persona física o jurídica colectiva adjudicada;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6)</w:t>
      </w:r>
      <w:r w:rsidRPr="005162EE">
        <w:rPr>
          <w:rFonts w:ascii="Palatino Linotype" w:eastAsia="Palatino Linotype" w:hAnsi="Palatino Linotype" w:cs="Palatino Linotype"/>
          <w:i/>
          <w:sz w:val="22"/>
          <w:szCs w:val="22"/>
        </w:rPr>
        <w:t xml:space="preserve"> La unidad administrativa solicitante y la responsable de su ejecución;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7) El número, fecha, el monto del contrato</w:t>
      </w:r>
      <w:r w:rsidRPr="005162EE">
        <w:rPr>
          <w:rFonts w:ascii="Palatino Linotype" w:eastAsia="Palatino Linotype" w:hAnsi="Palatino Linotype" w:cs="Palatino Linotype"/>
          <w:i/>
          <w:sz w:val="22"/>
          <w:szCs w:val="22"/>
        </w:rPr>
        <w:t xml:space="preserve"> y el plazo de entrega o de ejecución de los servicios u obra;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8)</w:t>
      </w:r>
      <w:r w:rsidRPr="005162E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9)</w:t>
      </w:r>
      <w:r w:rsidRPr="005162EE">
        <w:rPr>
          <w:rFonts w:ascii="Palatino Linotype" w:eastAsia="Palatino Linotype" w:hAnsi="Palatino Linotype" w:cs="Palatino Linotype"/>
          <w:i/>
          <w:sz w:val="22"/>
          <w:szCs w:val="22"/>
        </w:rPr>
        <w:t xml:space="preserve"> Los informes de avance sobre las obras o servicios contratados; </w:t>
      </w:r>
    </w:p>
    <w:p w:rsidR="005779BC" w:rsidRPr="005162EE"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10)</w:t>
      </w:r>
      <w:r w:rsidRPr="005162EE">
        <w:rPr>
          <w:rFonts w:ascii="Palatino Linotype" w:eastAsia="Palatino Linotype" w:hAnsi="Palatino Linotype" w:cs="Palatino Linotype"/>
          <w:i/>
          <w:sz w:val="22"/>
          <w:szCs w:val="22"/>
        </w:rPr>
        <w:t xml:space="preserve"> El convenio de terminación; y </w:t>
      </w:r>
    </w:p>
    <w:p w:rsidR="005779BC" w:rsidRPr="00BD6C32" w:rsidRDefault="005779BC" w:rsidP="00BD6C32">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11)</w:t>
      </w:r>
      <w:r w:rsidRPr="005162EE">
        <w:rPr>
          <w:rFonts w:ascii="Palatino Linotype" w:eastAsia="Palatino Linotype" w:hAnsi="Palatino Linotype" w:cs="Palatino Linotype"/>
          <w:i/>
          <w:sz w:val="22"/>
          <w:szCs w:val="22"/>
        </w:rPr>
        <w:t xml:space="preserve"> El finiquito;”</w:t>
      </w:r>
    </w:p>
    <w:p w:rsidR="00D341E6" w:rsidRDefault="00D341E6" w:rsidP="00D341E6">
      <w:pPr>
        <w:spacing w:line="360" w:lineRule="auto"/>
        <w:ind w:right="49"/>
        <w:jc w:val="both"/>
        <w:rPr>
          <w:rFonts w:ascii="Palatino Linotype" w:hAnsi="Palatino Linotype" w:cs="Arial"/>
          <w:lang w:eastAsia="es-ES"/>
        </w:rPr>
      </w:pPr>
    </w:p>
    <w:p w:rsidR="00D341E6" w:rsidRPr="00AE4DCA" w:rsidRDefault="00D341E6" w:rsidP="00D341E6">
      <w:pPr>
        <w:spacing w:line="360" w:lineRule="auto"/>
        <w:ind w:right="49"/>
        <w:jc w:val="both"/>
        <w:rPr>
          <w:rFonts w:ascii="Palatino Linotype" w:hAnsi="Palatino Linotype" w:cs="Arial"/>
          <w:lang w:eastAsia="es-ES"/>
        </w:rPr>
      </w:pPr>
      <w:r>
        <w:rPr>
          <w:rFonts w:ascii="Palatino Linotype" w:hAnsi="Palatino Linotype" w:cs="Arial"/>
          <w:lang w:eastAsia="es-ES"/>
        </w:rPr>
        <w:t>Bajo este orden de ideas</w:t>
      </w:r>
      <w:r w:rsidRPr="00AE4DCA">
        <w:rPr>
          <w:rFonts w:ascii="Palatino Linotype" w:hAnsi="Palatino Linotype" w:cs="Arial"/>
          <w:lang w:eastAsia="es-ES"/>
        </w:rPr>
        <w:t xml:space="preserve">,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rsidR="00D341E6" w:rsidRPr="00AE4DCA" w:rsidRDefault="00D341E6" w:rsidP="00D341E6">
      <w:pPr>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“TÍTULO NOVENO </w:t>
      </w:r>
    </w:p>
    <w:p w:rsidR="00D341E6" w:rsidRPr="00AE4DCA" w:rsidRDefault="00D341E6" w:rsidP="00D341E6">
      <w:pPr>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DE LOS CONTRATOS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bCs/>
          <w:i/>
          <w:sz w:val="22"/>
          <w:lang w:val="es-MX" w:eastAsia="es-ES"/>
        </w:rPr>
        <w:t xml:space="preserve">Artículo 120.- </w:t>
      </w:r>
      <w:r w:rsidRPr="00AE4DCA">
        <w:rPr>
          <w:rFonts w:ascii="Palatino Linotype" w:hAnsi="Palatino Linotype" w:cs="Arial"/>
          <w:b/>
          <w:i/>
          <w:sz w:val="22"/>
          <w:u w:val="single"/>
          <w:lang w:val="es-MX" w:eastAsia="es-ES"/>
        </w:rPr>
        <w:t xml:space="preserve">Los contratos relacionados con las materias reguladas por la Ley referirán, como mínimo, lo siguiente: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 Objeto;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II. Fecha de suministro de los bienes o período de prestación del servicio;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III. Datos del procedimiento que dio origen al contrato;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IV. Importe total;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lastRenderedPageBreak/>
        <w:t xml:space="preserve">V. Porcentajes, número y fechas de las exhibiciones y amortización de los anticipos que se otorguen;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 Formalidades para el otorgamiento y cobro de garantías;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VIII. Términos en que el proveedor o prestador del servicio, en su caso, reintegrará las cantidades que, en cualquier forma, hubiere recibido en exceso por la contratación;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IX. Causales por las que la Secretaría, organismos auxiliares, tribunales administrativos o municipios podrán dar por rescindido el contrato y sus efectos;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 Las consecuencias de la cancelación o terminación anticipada por causas imputables al proveedor o prestador del servicio; </w:t>
      </w:r>
    </w:p>
    <w:p w:rsidR="00D341E6" w:rsidRPr="00AE4DCA" w:rsidRDefault="00D341E6" w:rsidP="00D341E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XI. Señalamiento del domicilio de las partes, ubicado en el territorio del Estado, o bien, domicilio para oír y recibir notificaciones; y </w:t>
      </w:r>
    </w:p>
    <w:p w:rsidR="00D341E6" w:rsidRPr="00AE4DCA" w:rsidRDefault="00D341E6" w:rsidP="00D341E6">
      <w:pPr>
        <w:ind w:left="567" w:right="709"/>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XII. Renuncia expresa al fuero que les pudiera corresponder en función de su domicilio o vecindad presente o futuro.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121.- </w:t>
      </w:r>
      <w:r w:rsidRPr="00AE4DCA">
        <w:rPr>
          <w:rFonts w:ascii="Palatino Linotype" w:hAnsi="Palatino Linotype" w:cs="Arial"/>
          <w:i/>
          <w:sz w:val="22"/>
          <w:lang w:val="es-MX" w:eastAsia="es-ES"/>
        </w:rPr>
        <w:t xml:space="preserve">Cuando el contrato sea adjudicado a varios participantes, deberá ser firmado por todos, especificando las obligaciones que a cada uno correspondan.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122.- </w:t>
      </w:r>
      <w:r w:rsidRPr="00AE4DCA">
        <w:rPr>
          <w:rFonts w:ascii="Palatino Linotype" w:hAnsi="Palatino Linotype" w:cs="Arial"/>
          <w:i/>
          <w:sz w:val="22"/>
          <w:lang w:val="es-MX" w:eastAsia="es-ES"/>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123.- </w:t>
      </w:r>
      <w:r w:rsidRPr="00AE4DCA">
        <w:rPr>
          <w:rFonts w:ascii="Palatino Linotype" w:hAnsi="Palatino Linotype" w:cs="Arial"/>
          <w:i/>
          <w:sz w:val="22"/>
          <w:lang w:val="es-MX" w:eastAsia="es-ES"/>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No se generará el pago de gastos o recargos por parte de la contratante, si durante el plazo para emitir la resolución de la transmisión de los derechos de cobro, se origina un retraso en el pago pactado.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124.- </w:t>
      </w:r>
      <w:r w:rsidRPr="00AE4DCA">
        <w:rPr>
          <w:rFonts w:ascii="Palatino Linotype" w:hAnsi="Palatino Linotype" w:cs="Arial"/>
          <w:i/>
          <w:sz w:val="22"/>
          <w:lang w:val="es-MX" w:eastAsia="es-ES"/>
        </w:rPr>
        <w:t xml:space="preserve">En los contratos se establecerán los casos concretos en los que procederá la subcontratación, la cual invariablemente deberá ser autorizada de manera previa por la contratante; en el entendido de que en ningún caso los licitantes que hayan resultado </w:t>
      </w:r>
      <w:r w:rsidRPr="00AE4DCA">
        <w:rPr>
          <w:rFonts w:ascii="Palatino Linotype" w:hAnsi="Palatino Linotype" w:cs="Arial"/>
          <w:i/>
          <w:sz w:val="22"/>
          <w:lang w:val="es-MX" w:eastAsia="es-ES"/>
        </w:rPr>
        <w:lastRenderedPageBreak/>
        <w:t xml:space="preserve">adjudicados podrán subcontratar a personas físicas o jurídicas colectivas que hayan participado por sí mismos o a través de otros, en el mismo procedimiento licitatorio del que se derive dicho contrato.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125.- </w:t>
      </w:r>
      <w:r w:rsidRPr="00AE4DCA">
        <w:rPr>
          <w:rFonts w:ascii="Palatino Linotype" w:hAnsi="Palatino Linotype" w:cs="Arial"/>
          <w:i/>
          <w:sz w:val="22"/>
          <w:lang w:val="es-MX" w:eastAsia="es-ES"/>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Igual porcentaje se aplicará a las modificaciones o prórrogas que se hagan respecto a la vigencia de los contratos de prestación de servicios.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126.- </w:t>
      </w:r>
      <w:r w:rsidRPr="00AE4DCA">
        <w:rPr>
          <w:rFonts w:ascii="Palatino Linotype" w:hAnsi="Palatino Linotype" w:cs="Arial"/>
          <w:i/>
          <w:sz w:val="22"/>
          <w:lang w:val="es-MX" w:eastAsia="es-ES"/>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127.- </w:t>
      </w:r>
      <w:r w:rsidRPr="00AE4DCA">
        <w:rPr>
          <w:rFonts w:ascii="Palatino Linotype" w:hAnsi="Palatino Linotype" w:cs="Arial"/>
          <w:i/>
          <w:sz w:val="22"/>
          <w:lang w:val="es-MX" w:eastAsia="es-ES"/>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Al escrito por medio del cual se informe el cumplimiento o incumplimiento del proveedor o prestador del servicio, se adjuntarán copia de las facturas que acrediten el suministro de los bienes o prestación de los servicios relativos. </w:t>
      </w: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Lo anterior, podrá ser informado a través del sistema COMPRAMEX.”</w:t>
      </w:r>
    </w:p>
    <w:p w:rsidR="00D341E6" w:rsidRPr="00AE4DCA" w:rsidRDefault="00D341E6" w:rsidP="00D341E6">
      <w:pPr>
        <w:ind w:left="567" w:right="709"/>
        <w:jc w:val="both"/>
        <w:rPr>
          <w:rFonts w:ascii="Palatino Linotype" w:hAnsi="Palatino Linotype" w:cs="Arial"/>
          <w:i/>
          <w:sz w:val="22"/>
          <w:lang w:val="es-MX" w:eastAsia="es-ES"/>
        </w:rPr>
      </w:pPr>
    </w:p>
    <w:p w:rsidR="00D341E6" w:rsidRPr="00AE4DCA" w:rsidRDefault="00D341E6" w:rsidP="00D341E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(Énfasis añadido)</w:t>
      </w:r>
    </w:p>
    <w:p w:rsidR="00D341E6" w:rsidRPr="00AE4DCA" w:rsidRDefault="00D341E6" w:rsidP="00D341E6">
      <w:pPr>
        <w:spacing w:line="360" w:lineRule="auto"/>
        <w:ind w:right="49"/>
        <w:jc w:val="both"/>
        <w:rPr>
          <w:rFonts w:ascii="Palatino Linotype" w:hAnsi="Palatino Linotype" w:cs="Arial"/>
          <w:lang w:eastAsia="es-ES"/>
        </w:rPr>
      </w:pPr>
    </w:p>
    <w:p w:rsidR="00D341E6" w:rsidRPr="00AE4DCA" w:rsidRDefault="00D341E6" w:rsidP="00D341E6">
      <w:pPr>
        <w:spacing w:line="360" w:lineRule="auto"/>
        <w:ind w:right="49"/>
        <w:jc w:val="both"/>
        <w:rPr>
          <w:rFonts w:ascii="Palatino Linotype" w:hAnsi="Palatino Linotype" w:cs="Arial"/>
          <w:lang w:eastAsia="es-ES"/>
        </w:rPr>
      </w:pPr>
      <w:r w:rsidRPr="00AE4DCA">
        <w:rPr>
          <w:rFonts w:ascii="Palatino Linotype" w:hAnsi="Palatino Linotype" w:cs="Arial"/>
          <w:lang w:eastAsia="es-ES"/>
        </w:rPr>
        <w:t xml:space="preserve">De lo anteriormente expuesto se arriban a las siguientes conclusiones: </w:t>
      </w:r>
    </w:p>
    <w:p w:rsidR="00D341E6" w:rsidRPr="00AE4DCA" w:rsidRDefault="00D341E6" w:rsidP="00D341E6">
      <w:pPr>
        <w:spacing w:line="360" w:lineRule="auto"/>
        <w:ind w:right="49"/>
        <w:jc w:val="both"/>
        <w:rPr>
          <w:rFonts w:ascii="Palatino Linotype" w:hAnsi="Palatino Linotype" w:cs="Arial"/>
          <w:lang w:eastAsia="es-ES"/>
        </w:rPr>
      </w:pPr>
    </w:p>
    <w:p w:rsidR="00D341E6" w:rsidRPr="00AE4DCA" w:rsidRDefault="00D341E6" w:rsidP="00D341E6">
      <w:pPr>
        <w:numPr>
          <w:ilvl w:val="0"/>
          <w:numId w:val="15"/>
        </w:numPr>
        <w:spacing w:after="160" w:line="360" w:lineRule="auto"/>
        <w:ind w:right="851"/>
        <w:contextualSpacing/>
        <w:jc w:val="both"/>
        <w:rPr>
          <w:rFonts w:ascii="Palatino Linotype" w:hAnsi="Palatino Linotype" w:cs="Arial"/>
          <w:bCs/>
          <w:lang w:eastAsia="es-ES"/>
        </w:rPr>
      </w:pPr>
      <w:r w:rsidRPr="00AE4DCA">
        <w:rPr>
          <w:rFonts w:ascii="Palatino Linotype" w:hAnsi="Palatino Linotype" w:cs="Arial"/>
          <w:bCs/>
          <w:lang w:eastAsia="es-ES"/>
        </w:rPr>
        <w:t xml:space="preserve">Los Ayuntamientos pueden llevar a cabo licitaciones públicas por conducto de la Dirección de Administración para la adquisición de bienes y servicios. </w:t>
      </w:r>
    </w:p>
    <w:p w:rsidR="00D341E6" w:rsidRPr="00AE4DCA" w:rsidRDefault="00D341E6" w:rsidP="00D341E6">
      <w:pPr>
        <w:numPr>
          <w:ilvl w:val="0"/>
          <w:numId w:val="15"/>
        </w:numPr>
        <w:spacing w:after="160" w:line="360" w:lineRule="auto"/>
        <w:ind w:right="851"/>
        <w:contextualSpacing/>
        <w:jc w:val="both"/>
        <w:rPr>
          <w:rFonts w:ascii="Palatino Linotype" w:hAnsi="Palatino Linotype" w:cs="Arial"/>
          <w:b/>
          <w:bCs/>
          <w:lang w:eastAsia="es-ES"/>
        </w:rPr>
      </w:pPr>
      <w:r w:rsidRPr="00AE4DCA">
        <w:rPr>
          <w:rFonts w:ascii="Palatino Linotype" w:hAnsi="Palatino Linotype" w:cs="Arial"/>
          <w:bCs/>
          <w:lang w:eastAsia="es-ES"/>
        </w:rPr>
        <w:lastRenderedPageBreak/>
        <w:t xml:space="preserve">Dentro de los requisitos para la licitación se prevé la suscripción de </w:t>
      </w:r>
      <w:r w:rsidRPr="00AE4DCA">
        <w:rPr>
          <w:rFonts w:ascii="Palatino Linotype" w:hAnsi="Palatino Linotype" w:cs="Arial"/>
          <w:b/>
          <w:bCs/>
          <w:lang w:eastAsia="es-ES"/>
        </w:rPr>
        <w:t>un contrato en el que se establezcan como elementos mínimos: el objeto, fecha de suministro de los servicios o bienes, datos del procedimiento que dio origen al contrato, importe, etc.</w:t>
      </w:r>
    </w:p>
    <w:p w:rsidR="00D341E6" w:rsidRDefault="00D341E6" w:rsidP="00D341E6">
      <w:pPr>
        <w:numPr>
          <w:ilvl w:val="0"/>
          <w:numId w:val="15"/>
        </w:numPr>
        <w:spacing w:after="160" w:line="360" w:lineRule="auto"/>
        <w:ind w:right="851"/>
        <w:contextualSpacing/>
        <w:jc w:val="both"/>
        <w:rPr>
          <w:rFonts w:ascii="Palatino Linotype" w:hAnsi="Palatino Linotype" w:cs="Arial"/>
          <w:bCs/>
          <w:lang w:eastAsia="es-ES"/>
        </w:rPr>
      </w:pPr>
      <w:r w:rsidRPr="00AE4DCA">
        <w:rPr>
          <w:rFonts w:ascii="Palatino Linotype" w:hAnsi="Palatino Linotype" w:cs="Arial"/>
          <w:bCs/>
          <w:lang w:eastAsia="es-ES"/>
        </w:rPr>
        <w:t>Constituye una obligación de transparencia el poner a disposición del público toda la información referente a las licitaciones públicas, e</w:t>
      </w:r>
      <w:r w:rsidRPr="00AE4DCA">
        <w:rPr>
          <w:rFonts w:ascii="Palatino Linotype" w:hAnsi="Palatino Linotype" w:cs="Arial"/>
          <w:b/>
          <w:bCs/>
          <w:lang w:eastAsia="es-ES"/>
        </w:rPr>
        <w:t>ntre estos documentos destacan los contratos.</w:t>
      </w:r>
    </w:p>
    <w:p w:rsidR="00D341E6" w:rsidRPr="00D341E6" w:rsidRDefault="00D341E6" w:rsidP="00D341E6">
      <w:pPr>
        <w:spacing w:after="160" w:line="360" w:lineRule="auto"/>
        <w:ind w:left="720" w:right="851"/>
        <w:contextualSpacing/>
        <w:jc w:val="both"/>
        <w:rPr>
          <w:rFonts w:ascii="Palatino Linotype" w:hAnsi="Palatino Linotype" w:cs="Arial"/>
          <w:bCs/>
          <w:lang w:eastAsia="es-ES"/>
        </w:rPr>
      </w:pPr>
    </w:p>
    <w:p w:rsidR="005779BC" w:rsidRPr="005162EE" w:rsidRDefault="00D341E6" w:rsidP="005779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w:t>
      </w:r>
      <w:r w:rsidR="005779BC" w:rsidRPr="005162EE">
        <w:rPr>
          <w:rFonts w:ascii="Palatino Linotype" w:eastAsia="Palatino Linotype" w:hAnsi="Palatino Linotype" w:cs="Palatino Linotype"/>
        </w:rPr>
        <w:t xml:space="preserve">de acuerdo a los </w:t>
      </w:r>
      <w:r w:rsidR="005779BC" w:rsidRPr="005162EE">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005779BC" w:rsidRPr="005162EE">
        <w:rPr>
          <w:rFonts w:ascii="Palatino Linotype" w:eastAsia="Palatino Linotype" w:hAnsi="Palatino Linotype" w:cs="Palatino Linotype"/>
        </w:rPr>
        <w:t xml:space="preserve">, que deben de difundir los sujetos obligados en los portales de </w:t>
      </w:r>
      <w:r w:rsidR="00BD6C32">
        <w:rPr>
          <w:rFonts w:ascii="Palatino Linotype" w:eastAsia="Palatino Linotype" w:hAnsi="Palatino Linotype" w:cs="Palatino Linotype"/>
        </w:rPr>
        <w:t xml:space="preserve">Internet </w:t>
      </w:r>
      <w:r w:rsidR="005779BC" w:rsidRPr="005162EE">
        <w:rPr>
          <w:rFonts w:ascii="Palatino Linotype" w:eastAsia="Palatino Linotype" w:hAnsi="Palatino Linotype" w:cs="Palatino Linotype"/>
        </w:rPr>
        <w:t xml:space="preserve">para el cumplimiento de la obligación de transparencia señalada en el artículo 70, fracciones XXVIII y XXXII de la Ley General de Transparencia y Acceso a la Información Pública, los Sujetos Obligados deben publicar información sobre los actos, </w:t>
      </w:r>
      <w:r w:rsidR="005779BC" w:rsidRPr="005779BC">
        <w:rPr>
          <w:rFonts w:ascii="Palatino Linotype" w:eastAsia="Palatino Linotype" w:hAnsi="Palatino Linotype" w:cs="Palatino Linotype"/>
          <w:b/>
          <w:u w:val="single"/>
        </w:rPr>
        <w:t>contratos</w:t>
      </w:r>
      <w:r w:rsidR="005779BC" w:rsidRPr="005162EE">
        <w:rPr>
          <w:rFonts w:ascii="Palatino Linotype" w:eastAsia="Palatino Linotype" w:hAnsi="Palatino Linotype" w:cs="Palatino Linotype"/>
        </w:rPr>
        <w:t xml:space="preserve"> y convenios celebrados, misma que </w:t>
      </w:r>
      <w:r w:rsidR="005779BC" w:rsidRPr="005162EE">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005779BC" w:rsidRPr="005162EE">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w:t>
      </w:r>
      <w:r w:rsidR="005779BC" w:rsidRPr="005779BC">
        <w:rPr>
          <w:rFonts w:ascii="Palatino Linotype" w:eastAsia="Palatino Linotype" w:hAnsi="Palatino Linotype" w:cs="Palatino Linotype"/>
          <w:b/>
          <w:u w:val="single"/>
        </w:rPr>
        <w:t>además se debe elaborar versión pública los documentos fuente que deban ser publicados en este apartado, tales como contratos</w:t>
      </w:r>
      <w:r w:rsidR="005779BC" w:rsidRPr="005162EE">
        <w:rPr>
          <w:rFonts w:ascii="Palatino Linotype" w:eastAsia="Palatino Linotype" w:hAnsi="Palatino Linotype" w:cs="Palatino Linotype"/>
        </w:rPr>
        <w:t xml:space="preserve">, convenios, actas, </w:t>
      </w:r>
      <w:r w:rsidR="005779BC" w:rsidRPr="005162EE">
        <w:rPr>
          <w:rFonts w:ascii="Palatino Linotype" w:eastAsia="Palatino Linotype" w:hAnsi="Palatino Linotype" w:cs="Palatino Linotype"/>
        </w:rPr>
        <w:lastRenderedPageBreak/>
        <w:t>dictámenes, fallos, convenios modificatorios, informes, entre otros, incluyen</w:t>
      </w:r>
      <w:r w:rsidR="005779BC">
        <w:rPr>
          <w:rFonts w:ascii="Palatino Linotype" w:eastAsia="Palatino Linotype" w:hAnsi="Palatino Linotype" w:cs="Palatino Linotype"/>
        </w:rPr>
        <w:t xml:space="preserve">do sus anexos correspondientes. </w:t>
      </w:r>
    </w:p>
    <w:p w:rsidR="005779BC" w:rsidRPr="005162EE" w:rsidRDefault="005779BC" w:rsidP="005779BC">
      <w:pPr>
        <w:spacing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En este sentido, se visualiza que la información requerida por el particular</w:t>
      </w:r>
      <w:r>
        <w:rPr>
          <w:rFonts w:ascii="Palatino Linotype" w:eastAsia="Palatino Linotype" w:hAnsi="Palatino Linotype" w:cs="Palatino Linotype"/>
        </w:rPr>
        <w:t xml:space="preserve"> </w:t>
      </w:r>
      <w:r w:rsidRPr="005162EE">
        <w:rPr>
          <w:rFonts w:ascii="Palatino Linotype" w:eastAsia="Palatino Linotype" w:hAnsi="Palatino Linotype" w:cs="Palatino Linotype"/>
        </w:rPr>
        <w:t xml:space="preserve">versa sobre obligaciones de transparencia de oficio, lo que significa que el </w:t>
      </w:r>
      <w:r w:rsidRPr="005162EE">
        <w:rPr>
          <w:rFonts w:ascii="Palatino Linotype" w:eastAsia="Palatino Linotype" w:hAnsi="Palatino Linotype" w:cs="Palatino Linotype"/>
          <w:b/>
        </w:rPr>
        <w:t>Sujeto Obligado</w:t>
      </w:r>
      <w:r w:rsidRPr="005162EE">
        <w:rPr>
          <w:rFonts w:ascii="Palatino Linotype" w:eastAsia="Palatino Linotype" w:hAnsi="Palatino Linotype" w:cs="Palatino Linotype"/>
        </w:rPr>
        <w:t xml:space="preserve"> se encuentra constreñido a poner a disposición del público dicha información, de manera permanente y actualizada a tra</w:t>
      </w:r>
      <w:r w:rsidR="00BD6C32">
        <w:rPr>
          <w:rFonts w:ascii="Palatino Linotype" w:eastAsia="Palatino Linotype" w:hAnsi="Palatino Linotype" w:cs="Palatino Linotype"/>
        </w:rPr>
        <w:t xml:space="preserve">vés de los portales de internet, </w:t>
      </w:r>
      <w:r w:rsidRPr="005162EE">
        <w:rPr>
          <w:rFonts w:ascii="Palatino Linotype" w:eastAsia="Palatino Linotype" w:hAnsi="Palatino Linotype" w:cs="Palatino Linotype"/>
        </w:rPr>
        <w:t>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la eventual publicación y reutilización de la información que generen, según lo dispuesto en los artículos 18, 24 fracción XXII y 160 párrafo primero de la Ley de la Materia, que son del tenor literal siguiente:</w:t>
      </w:r>
    </w:p>
    <w:p w:rsidR="00D341E6" w:rsidRDefault="00D341E6" w:rsidP="005779BC">
      <w:pPr>
        <w:ind w:left="851" w:right="902"/>
        <w:jc w:val="both"/>
        <w:rPr>
          <w:rFonts w:ascii="Palatino Linotype" w:eastAsia="Palatino Linotype" w:hAnsi="Palatino Linotype" w:cs="Palatino Linotype"/>
          <w:i/>
          <w:sz w:val="22"/>
          <w:szCs w:val="22"/>
        </w:rPr>
      </w:pPr>
    </w:p>
    <w:p w:rsidR="005779BC" w:rsidRPr="005162EE" w:rsidRDefault="005779BC" w:rsidP="00FA0631">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r w:rsidRPr="005162EE">
        <w:rPr>
          <w:rFonts w:ascii="Palatino Linotype" w:eastAsia="Palatino Linotype" w:hAnsi="Palatino Linotype" w:cs="Palatino Linotype"/>
          <w:b/>
          <w:i/>
          <w:sz w:val="22"/>
          <w:szCs w:val="22"/>
        </w:rPr>
        <w:t>Artículo 18.</w:t>
      </w:r>
      <w:r w:rsidRPr="005162EE">
        <w:rPr>
          <w:rFonts w:ascii="Palatino Linotype" w:eastAsia="Palatino Linotype" w:hAnsi="Palatino Linotype" w:cs="Palatino Linotype"/>
          <w:i/>
          <w:sz w:val="22"/>
          <w:szCs w:val="22"/>
        </w:rPr>
        <w:t xml:space="preserve"> Los sujetos obligados </w:t>
      </w:r>
      <w:r w:rsidRPr="005162EE">
        <w:rPr>
          <w:rFonts w:ascii="Palatino Linotype" w:eastAsia="Palatino Linotype" w:hAnsi="Palatino Linotype" w:cs="Palatino Linotype"/>
          <w:b/>
          <w:i/>
          <w:sz w:val="22"/>
          <w:szCs w:val="22"/>
        </w:rPr>
        <w:t>deberán documentar todo acto</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que derive del ejercicio de sus facultades, competencias o funciones</w:t>
      </w:r>
      <w:r w:rsidRPr="005162EE">
        <w:rPr>
          <w:rFonts w:ascii="Palatino Linotype" w:eastAsia="Palatino Linotype" w:hAnsi="Palatino Linotype" w:cs="Palatino Linotype"/>
          <w:i/>
          <w:sz w:val="22"/>
          <w:szCs w:val="22"/>
        </w:rPr>
        <w:t>, considerando desde su origen la eventual publicidad y reutilización de la información que generen.</w:t>
      </w:r>
    </w:p>
    <w:p w:rsidR="005779BC" w:rsidRPr="005162EE" w:rsidRDefault="005779BC" w:rsidP="00FA0631">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FA0631">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24.</w:t>
      </w:r>
      <w:r w:rsidRPr="005162EE">
        <w:rPr>
          <w:rFonts w:ascii="Palatino Linotype" w:eastAsia="Palatino Linotype" w:hAnsi="Palatino Linotype" w:cs="Palatino Linotype"/>
          <w:i/>
          <w:sz w:val="22"/>
          <w:szCs w:val="22"/>
        </w:rPr>
        <w:t xml:space="preserve"> Para el cumplimiento de los objetivos de esta Ley</w:t>
      </w:r>
      <w:r w:rsidRPr="005162EE">
        <w:rPr>
          <w:rFonts w:ascii="Palatino Linotype" w:eastAsia="Palatino Linotype" w:hAnsi="Palatino Linotype" w:cs="Palatino Linotype"/>
          <w:b/>
          <w:i/>
          <w:sz w:val="22"/>
          <w:szCs w:val="22"/>
        </w:rPr>
        <w:t>, los sujetos obligados deberán cumplir con las siguientes obligaciones</w:t>
      </w:r>
      <w:r w:rsidRPr="005162EE">
        <w:rPr>
          <w:rFonts w:ascii="Palatino Linotype" w:eastAsia="Palatino Linotype" w:hAnsi="Palatino Linotype" w:cs="Palatino Linotype"/>
          <w:i/>
          <w:sz w:val="22"/>
          <w:szCs w:val="22"/>
        </w:rPr>
        <w:t>, según corresponda, de acuerdo a su naturaleza:</w:t>
      </w:r>
    </w:p>
    <w:p w:rsidR="005779BC" w:rsidRPr="005162EE" w:rsidRDefault="005779BC" w:rsidP="00FA0631">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5779BC" w:rsidRPr="005162EE" w:rsidRDefault="005779BC" w:rsidP="00FA0631">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XXII.</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Documentar todo acto que derive del ejercicio de sus facultades, competencias o funciones</w:t>
      </w:r>
      <w:r w:rsidRPr="005162EE">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rsidR="005779BC" w:rsidRPr="005162EE" w:rsidRDefault="005779BC" w:rsidP="00FA0631">
      <w:pPr>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w:t>
      </w:r>
    </w:p>
    <w:p w:rsidR="005779BC" w:rsidRPr="005162EE" w:rsidRDefault="005779BC" w:rsidP="00FA0631">
      <w:pPr>
        <w:spacing w:before="120" w:after="120"/>
        <w:ind w:left="567" w:right="902"/>
        <w:jc w:val="both"/>
        <w:rPr>
          <w:rFonts w:ascii="Palatino Linotype" w:eastAsia="Palatino Linotype" w:hAnsi="Palatino Linotype" w:cs="Palatino Linotype"/>
          <w:i/>
          <w:sz w:val="36"/>
          <w:szCs w:val="36"/>
        </w:rPr>
      </w:pPr>
      <w:r w:rsidRPr="005162EE">
        <w:rPr>
          <w:rFonts w:ascii="Palatino Linotype" w:eastAsia="Palatino Linotype" w:hAnsi="Palatino Linotype" w:cs="Palatino Linotype"/>
          <w:b/>
          <w:i/>
          <w:sz w:val="22"/>
          <w:szCs w:val="22"/>
        </w:rPr>
        <w:t>Artículo 160</w:t>
      </w:r>
      <w:r w:rsidRPr="005162EE">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w:t>
      </w:r>
      <w:r w:rsidRPr="005162EE">
        <w:rPr>
          <w:rFonts w:ascii="Palatino Linotype" w:eastAsia="Palatino Linotype" w:hAnsi="Palatino Linotype" w:cs="Palatino Linotype"/>
          <w:i/>
          <w:sz w:val="22"/>
          <w:szCs w:val="22"/>
        </w:rPr>
        <w:lastRenderedPageBreak/>
        <w:t>facultades, competencias o funciones en el formato que el solicitante manifieste, de entre aquellos formatos existentes, conforme a las características físicas de la información o del lugar donde se encuentre así lo permita.”</w:t>
      </w:r>
    </w:p>
    <w:p w:rsidR="006C64D4" w:rsidRPr="00696E6F" w:rsidRDefault="006C64D4" w:rsidP="006C64D4">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lang w:eastAsia="es-ES"/>
        </w:rPr>
      </w:pPr>
    </w:p>
    <w:p w:rsidR="002E718D" w:rsidRDefault="00AE4DCA" w:rsidP="00AE4DCA">
      <w:pPr>
        <w:tabs>
          <w:tab w:val="left" w:pos="709"/>
        </w:tabs>
        <w:spacing w:after="160" w:line="360" w:lineRule="auto"/>
        <w:jc w:val="both"/>
        <w:rPr>
          <w:rFonts w:ascii="Palatino Linotype" w:eastAsia="Calibri" w:hAnsi="Palatino Linotype" w:cs="Tahoma"/>
          <w:iCs/>
          <w:lang w:val="es-MX" w:eastAsia="en-US"/>
        </w:rPr>
      </w:pPr>
      <w:r w:rsidRPr="00AE4DCA">
        <w:rPr>
          <w:rFonts w:ascii="Palatino Linotype" w:hAnsi="Palatino Linotype"/>
          <w:lang w:eastAsia="es-ES"/>
        </w:rPr>
        <w:t>E</w:t>
      </w:r>
      <w:r w:rsidRPr="00AE4DCA">
        <w:rPr>
          <w:rFonts w:ascii="Palatino Linotype" w:eastAsia="Calibri" w:hAnsi="Palatino Linotype" w:cs="Tahoma"/>
          <w:iCs/>
          <w:lang w:val="es-MX" w:eastAsia="en-US"/>
        </w:rPr>
        <w:t xml:space="preserve">s así como se concluye que para dar atención al requerimiento de los contratos celebrados, debe realizarse una búsqueda exhaustiva en los </w:t>
      </w:r>
      <w:r w:rsidR="00BD6C32" w:rsidRPr="00BD6C32">
        <w:rPr>
          <w:rFonts w:ascii="Palatino Linotype" w:eastAsia="Calibri" w:hAnsi="Palatino Linotype" w:cs="Tahoma"/>
          <w:iCs/>
          <w:color w:val="000000" w:themeColor="text1"/>
          <w:lang w:val="es-MX" w:eastAsia="en-US"/>
        </w:rPr>
        <w:t xml:space="preserve">archivos de la Tesorería Municipal, pues como se asentó en el estudio, dicha unidad administrativa dentro de su estructura orgánica, cuenta con la Dirección de Administración </w:t>
      </w:r>
      <w:r w:rsidR="00BD6C32">
        <w:rPr>
          <w:rFonts w:ascii="Palatino Linotype" w:eastAsia="Calibri" w:hAnsi="Palatino Linotype" w:cs="Tahoma"/>
          <w:iCs/>
          <w:color w:val="000000" w:themeColor="text1"/>
          <w:lang w:val="es-MX" w:eastAsia="en-US"/>
        </w:rPr>
        <w:t>que a su vez</w:t>
      </w:r>
      <w:r w:rsidRPr="00BD6C32">
        <w:rPr>
          <w:rFonts w:ascii="Palatino Linotype" w:eastAsia="Calibri" w:hAnsi="Palatino Linotype" w:cs="Tahoma"/>
          <w:iCs/>
          <w:color w:val="000000" w:themeColor="text1"/>
          <w:lang w:val="es-MX" w:eastAsia="en-US"/>
        </w:rPr>
        <w:t xml:space="preserve"> </w:t>
      </w:r>
      <w:r w:rsidR="00BD6C32">
        <w:rPr>
          <w:rFonts w:ascii="Palatino Linotype" w:eastAsia="Calibri" w:hAnsi="Palatino Linotype" w:cs="Tahoma"/>
          <w:iCs/>
          <w:color w:val="000000" w:themeColor="text1"/>
          <w:lang w:val="es-MX" w:eastAsia="en-US"/>
        </w:rPr>
        <w:t>cuenta con una S</w:t>
      </w:r>
      <w:r w:rsidR="00EA203C">
        <w:rPr>
          <w:rFonts w:ascii="Palatino Linotype" w:eastAsia="Calibri" w:hAnsi="Palatino Linotype" w:cs="Tahoma"/>
          <w:iCs/>
          <w:color w:val="000000" w:themeColor="text1"/>
          <w:lang w:val="es-MX" w:eastAsia="en-US"/>
        </w:rPr>
        <w:t xml:space="preserve">ubdirección de Recursos Materiales, la cual </w:t>
      </w:r>
      <w:r w:rsidR="00BD6C32" w:rsidRPr="00BD6C32">
        <w:rPr>
          <w:rFonts w:ascii="Palatino Linotype" w:eastAsia="Calibri" w:hAnsi="Palatino Linotype" w:cs="Tahoma"/>
          <w:iCs/>
          <w:color w:val="000000" w:themeColor="text1"/>
          <w:lang w:val="es-MX" w:eastAsia="en-US"/>
        </w:rPr>
        <w:t>tiene bajo su responsabilidad la ejecución de los procedimientos administrativos necesarios para adquirir, arrendar y contratar los bienes o servicios requeridos por el Gobierno y la Administración Pública Municipal centralizada</w:t>
      </w:r>
      <w:r w:rsidR="00EA203C">
        <w:rPr>
          <w:rFonts w:ascii="Palatino Linotype" w:eastAsia="Calibri" w:hAnsi="Palatino Linotype" w:cs="Tahoma"/>
          <w:iCs/>
          <w:color w:val="000000" w:themeColor="text1"/>
          <w:lang w:val="es-MX" w:eastAsia="en-US"/>
        </w:rPr>
        <w:t xml:space="preserve">, </w:t>
      </w:r>
      <w:r w:rsidRPr="00AE4DCA">
        <w:rPr>
          <w:rFonts w:ascii="Palatino Linotype" w:eastAsia="Calibri" w:hAnsi="Palatino Linotype" w:cs="Tahoma"/>
          <w:iCs/>
          <w:lang w:val="es-MX" w:eastAsia="en-US"/>
        </w:rPr>
        <w:t>a efecto de entregar la información, ello en virtud de que forma parte del quehacer público y que por lo tanto, reviste interés a los gobernados.</w:t>
      </w:r>
    </w:p>
    <w:p w:rsidR="00575E5B" w:rsidRPr="00363922" w:rsidRDefault="00575E5B" w:rsidP="00575E5B">
      <w:pPr>
        <w:pBdr>
          <w:top w:val="nil"/>
          <w:left w:val="nil"/>
          <w:bottom w:val="nil"/>
          <w:right w:val="nil"/>
          <w:between w:val="nil"/>
        </w:pBdr>
        <w:spacing w:before="240" w:after="240" w:line="360" w:lineRule="auto"/>
        <w:jc w:val="both"/>
        <w:rPr>
          <w:rFonts w:ascii="Palatino Linotype" w:eastAsia="Palatino Linotype" w:hAnsi="Palatino Linotype" w:cs="Palatino Linotype"/>
          <w:highlight w:val="yellow"/>
        </w:rPr>
      </w:pPr>
      <w:r w:rsidRPr="005162EE">
        <w:rPr>
          <w:rFonts w:ascii="Palatino Linotype" w:eastAsia="Palatino Linotype" w:hAnsi="Palatino Linotype" w:cs="Palatino Linotype"/>
        </w:rPr>
        <w:t xml:space="preserve">Por último, toda vez que el </w:t>
      </w:r>
      <w:r w:rsidRPr="005162EE">
        <w:rPr>
          <w:rFonts w:ascii="Palatino Linotype" w:eastAsia="Palatino Linotype" w:hAnsi="Palatino Linotype" w:cs="Palatino Linotype"/>
          <w:b/>
        </w:rPr>
        <w:t xml:space="preserve">Sujeto Obligado </w:t>
      </w:r>
      <w:r w:rsidRPr="005162EE">
        <w:rPr>
          <w:rFonts w:ascii="Palatino Linotype" w:eastAsia="Palatino Linotype" w:hAnsi="Palatino Linotype" w:cs="Palatino Linotype"/>
        </w:rPr>
        <w:t xml:space="preserve">justificó la restricción al Derecho de acceso a la información bajo el argumento </w:t>
      </w:r>
      <w:r w:rsidRPr="00EA203C">
        <w:rPr>
          <w:rFonts w:ascii="Palatino Linotype" w:eastAsia="Palatino Linotype" w:hAnsi="Palatino Linotype" w:cs="Palatino Linotype"/>
        </w:rPr>
        <w:t xml:space="preserve">de que </w:t>
      </w:r>
      <w:r w:rsidR="00EA203C" w:rsidRPr="00EA203C">
        <w:rPr>
          <w:rFonts w:ascii="Palatino Linotype" w:eastAsia="Palatino Linotype" w:hAnsi="Palatino Linotype" w:cs="Palatino Linotype"/>
        </w:rPr>
        <w:t xml:space="preserve">la información contable municipal se entrega en forma Trimestral, en el caso referente </w:t>
      </w:r>
      <w:r w:rsidR="00EA203C">
        <w:rPr>
          <w:rFonts w:ascii="Palatino Linotype" w:eastAsia="Palatino Linotype" w:hAnsi="Palatino Linotype" w:cs="Palatino Linotype"/>
        </w:rPr>
        <w:t>l</w:t>
      </w:r>
      <w:r w:rsidR="00EA203C" w:rsidRPr="00EA203C">
        <w:rPr>
          <w:rFonts w:ascii="Palatino Linotype" w:eastAsia="Palatino Linotype" w:hAnsi="Palatino Linotype" w:cs="Palatino Linotype"/>
        </w:rPr>
        <w:t xml:space="preserve">a solicitud es correspondiente al segundo trimestre de Abril a Junio, por lo cual la información del 2do trimestre se </w:t>
      </w:r>
      <w:r w:rsidR="00EA203C">
        <w:rPr>
          <w:rFonts w:ascii="Palatino Linotype" w:eastAsia="Palatino Linotype" w:hAnsi="Palatino Linotype" w:cs="Palatino Linotype"/>
        </w:rPr>
        <w:t>encuentra en proces</w:t>
      </w:r>
      <w:r w:rsidR="00EA203C" w:rsidRPr="00EA203C">
        <w:rPr>
          <w:rFonts w:ascii="Palatino Linotype" w:eastAsia="Palatino Linotype" w:hAnsi="Palatino Linotype" w:cs="Palatino Linotype"/>
        </w:rPr>
        <w:t>o</w:t>
      </w:r>
      <w:r w:rsidRPr="00EA203C">
        <w:rPr>
          <w:rFonts w:ascii="Palatino Linotype" w:eastAsia="Palatino Linotype" w:hAnsi="Palatino Linotype" w:cs="Palatino Linotype"/>
        </w:rPr>
        <w:t>,</w:t>
      </w:r>
      <w:r>
        <w:rPr>
          <w:rFonts w:ascii="Palatino Linotype" w:eastAsia="Palatino Linotype" w:hAnsi="Palatino Linotype" w:cs="Palatino Linotype"/>
        </w:rPr>
        <w:t xml:space="preserve"> </w:t>
      </w:r>
      <w:r w:rsidR="00EA203C">
        <w:rPr>
          <w:rFonts w:ascii="Palatino Linotype" w:eastAsia="Palatino Linotype" w:hAnsi="Palatino Linotype" w:cs="Palatino Linotype"/>
        </w:rPr>
        <w:t xml:space="preserve">es importante señalar que </w:t>
      </w:r>
      <w:r>
        <w:rPr>
          <w:rFonts w:ascii="Palatino Linotype" w:eastAsia="Palatino Linotype" w:hAnsi="Palatino Linotype" w:cs="Palatino Linotype"/>
        </w:rPr>
        <w:t>a pesar de que la solicitud</w:t>
      </w:r>
      <w:r w:rsidRPr="005162EE">
        <w:rPr>
          <w:rFonts w:ascii="Palatino Linotype" w:eastAsia="Palatino Linotype" w:hAnsi="Palatino Linotype" w:cs="Palatino Linotype"/>
        </w:rPr>
        <w:t xml:space="preserve"> de información </w:t>
      </w:r>
      <w:r>
        <w:rPr>
          <w:rFonts w:ascii="Palatino Linotype" w:eastAsia="Palatino Linotype" w:hAnsi="Palatino Linotype" w:cs="Palatino Linotype"/>
          <w:b/>
          <w:u w:val="single"/>
        </w:rPr>
        <w:t xml:space="preserve">se </w:t>
      </w:r>
      <w:r w:rsidR="00EA203C" w:rsidRPr="00EA203C">
        <w:rPr>
          <w:rFonts w:ascii="Palatino Linotype" w:eastAsia="Palatino Linotype" w:hAnsi="Palatino Linotype" w:cs="Palatino Linotype"/>
          <w:b/>
          <w:u w:val="single"/>
        </w:rPr>
        <w:t>registró el dos de mayo</w:t>
      </w:r>
      <w:r w:rsidRPr="00EA203C">
        <w:rPr>
          <w:rFonts w:ascii="Palatino Linotype" w:eastAsia="Palatino Linotype" w:hAnsi="Palatino Linotype" w:cs="Palatino Linotype"/>
          <w:b/>
          <w:u w:val="single"/>
        </w:rPr>
        <w:t xml:space="preserve"> de dos</w:t>
      </w:r>
      <w:r w:rsidRPr="005162EE">
        <w:rPr>
          <w:rFonts w:ascii="Palatino Linotype" w:eastAsia="Palatino Linotype" w:hAnsi="Palatino Linotype" w:cs="Palatino Linotype"/>
          <w:b/>
          <w:u w:val="single"/>
        </w:rPr>
        <w:t xml:space="preserve"> mil veintidós,</w:t>
      </w:r>
      <w:r w:rsidRPr="005162EE">
        <w:rPr>
          <w:rFonts w:ascii="Palatino Linotype" w:eastAsia="Palatino Linotype" w:hAnsi="Palatino Linotype" w:cs="Palatino Linotype"/>
        </w:rPr>
        <w:t xml:space="preserve"> se estima necesario precisar que si bien, los entes fiscalizables se encuentran constreñidos para cumplir con sus </w:t>
      </w:r>
      <w:r w:rsidRPr="00EA203C">
        <w:rPr>
          <w:rFonts w:ascii="Palatino Linotype" w:eastAsia="Palatino Linotype" w:hAnsi="Palatino Linotype" w:cs="Palatino Linotype"/>
        </w:rPr>
        <w:t xml:space="preserve">obligaciones fiscales en términos y periodicidad dispuesta por la normatividad correspondiente, ello </w:t>
      </w:r>
      <w:r w:rsidRPr="00EA203C">
        <w:rPr>
          <w:rFonts w:ascii="Palatino Linotype" w:eastAsia="Palatino Linotype" w:hAnsi="Palatino Linotype" w:cs="Palatino Linotype"/>
          <w:b/>
          <w:u w:val="single"/>
        </w:rPr>
        <w:t xml:space="preserve">no significa que los sujetos obligados no permitan el acceso a la información que por su naturaleza deben generar de </w:t>
      </w:r>
      <w:r w:rsidRPr="00EA203C">
        <w:rPr>
          <w:rFonts w:ascii="Palatino Linotype" w:eastAsia="Palatino Linotype" w:hAnsi="Palatino Linotype" w:cs="Palatino Linotype"/>
          <w:b/>
          <w:u w:val="single"/>
        </w:rPr>
        <w:lastRenderedPageBreak/>
        <w:t xml:space="preserve">manera diaria, semanal o mensual, cuando ello se solicite en el ejercicio del derecho de acceso a la información. </w:t>
      </w:r>
    </w:p>
    <w:p w:rsidR="00575E5B" w:rsidRPr="00EA203C" w:rsidRDefault="00575E5B" w:rsidP="00575E5B">
      <w:pPr>
        <w:pBdr>
          <w:top w:val="nil"/>
          <w:left w:val="nil"/>
          <w:bottom w:val="nil"/>
          <w:right w:val="nil"/>
          <w:between w:val="nil"/>
        </w:pBdr>
        <w:spacing w:before="240" w:after="240" w:line="360" w:lineRule="auto"/>
        <w:jc w:val="both"/>
        <w:rPr>
          <w:color w:val="000000"/>
        </w:rPr>
      </w:pPr>
      <w:r w:rsidRPr="00EA203C">
        <w:rPr>
          <w:rFonts w:ascii="Palatino Linotype" w:eastAsia="Palatino Linotype" w:hAnsi="Palatino Linotype" w:cs="Palatino Linotype"/>
          <w:color w:val="000000"/>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rsidR="00575E5B" w:rsidRPr="00EA203C" w:rsidRDefault="00575E5B" w:rsidP="00575E5B">
      <w:pPr>
        <w:pBdr>
          <w:top w:val="nil"/>
          <w:left w:val="nil"/>
          <w:bottom w:val="nil"/>
          <w:right w:val="nil"/>
          <w:between w:val="nil"/>
        </w:pBdr>
        <w:spacing w:before="240" w:after="240" w:line="360" w:lineRule="auto"/>
        <w:jc w:val="both"/>
        <w:rPr>
          <w:color w:val="000000"/>
        </w:rPr>
      </w:pPr>
      <w:r w:rsidRPr="00EA203C">
        <w:rPr>
          <w:rFonts w:ascii="Palatino Linotype" w:eastAsia="Palatino Linotype" w:hAnsi="Palatino Linotype" w:cs="Palatino Linotype"/>
          <w:color w:val="000000"/>
        </w:rPr>
        <w:t xml:space="preserve">Asimismo, es de reiterar que la Ley de Transparencia Estatal establece en su artículo 92 un catálogo de obligaciones de transparencia que los sujetos obligados </w:t>
      </w:r>
      <w:r w:rsidRPr="00EA203C">
        <w:rPr>
          <w:rFonts w:ascii="Palatino Linotype" w:eastAsia="Palatino Linotype" w:hAnsi="Palatino Linotype" w:cs="Palatino Linotype"/>
          <w:b/>
          <w:color w:val="000000"/>
          <w:u w:val="single"/>
        </w:rPr>
        <w:t>deberán poner a disposición del público</w:t>
      </w:r>
      <w:r w:rsidRPr="00EA203C">
        <w:rPr>
          <w:rFonts w:ascii="Palatino Linotype" w:eastAsia="Palatino Linotype" w:hAnsi="Palatino Linotype" w:cs="Palatino Linotype"/>
          <w:color w:val="000000"/>
        </w:rPr>
        <w:t xml:space="preserve">, sin embargo, este es muy claro al referir que será </w:t>
      </w:r>
      <w:r w:rsidRPr="00EA203C">
        <w:rPr>
          <w:rFonts w:ascii="Palatino Linotype" w:eastAsia="Palatino Linotype" w:hAnsi="Palatino Linotype" w:cs="Palatino Linotype"/>
          <w:b/>
          <w:color w:val="000000"/>
        </w:rPr>
        <w:t xml:space="preserve">“por lo menos” de temas, documentos y políticas </w:t>
      </w:r>
      <w:r w:rsidRPr="00EA203C">
        <w:rPr>
          <w:rFonts w:ascii="Palatino Linotype" w:eastAsia="Palatino Linotype" w:hAnsi="Palatino Linotype" w:cs="Palatino Linotype"/>
          <w:color w:val="000000"/>
        </w:rPr>
        <w:t>que en este se describen, de tal forma que, en el caso de que un particular solicite información que no se contempla en dicho catálogo, los Sujetos Obligados también deberán proporcionar la información requerida.</w:t>
      </w:r>
    </w:p>
    <w:p w:rsidR="00575E5B" w:rsidRPr="005162EE" w:rsidRDefault="00575E5B" w:rsidP="00575E5B">
      <w:pPr>
        <w:pBdr>
          <w:top w:val="nil"/>
          <w:left w:val="nil"/>
          <w:bottom w:val="nil"/>
          <w:right w:val="nil"/>
          <w:between w:val="nil"/>
        </w:pBdr>
        <w:spacing w:before="240" w:after="240" w:line="360" w:lineRule="auto"/>
        <w:jc w:val="both"/>
        <w:rPr>
          <w:color w:val="000000"/>
        </w:rPr>
      </w:pPr>
      <w:r w:rsidRPr="00EA203C">
        <w:rPr>
          <w:rFonts w:ascii="Palatino Linotype" w:eastAsia="Palatino Linotype" w:hAnsi="Palatino Linotype" w:cs="Palatino Linotype"/>
          <w:color w:val="000000"/>
        </w:rPr>
        <w:t xml:space="preserve">En ese sentido, se le invita al Sujeto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w:t>
      </w:r>
      <w:r w:rsidRPr="00EA203C">
        <w:rPr>
          <w:rFonts w:ascii="Palatino Linotype" w:eastAsia="Palatino Linotype" w:hAnsi="Palatino Linotype" w:cs="Palatino Linotype"/>
          <w:color w:val="000000"/>
        </w:rPr>
        <w:lastRenderedPageBreak/>
        <w:t>constitucional que los ciudadanos gozan y debe ser garantizada por cualquier autoridad pública.</w:t>
      </w:r>
      <w:r w:rsidRPr="005162EE">
        <w:rPr>
          <w:rFonts w:ascii="Palatino Linotype" w:eastAsia="Palatino Linotype" w:hAnsi="Palatino Linotype" w:cs="Palatino Linotype"/>
          <w:color w:val="000000"/>
        </w:rPr>
        <w:t> </w:t>
      </w:r>
    </w:p>
    <w:p w:rsidR="006E4F8F" w:rsidRPr="00AE4DCA" w:rsidRDefault="0013584E" w:rsidP="00363922">
      <w:pPr>
        <w:pBdr>
          <w:top w:val="nil"/>
          <w:left w:val="nil"/>
          <w:bottom w:val="nil"/>
          <w:right w:val="nil"/>
          <w:between w:val="nil"/>
        </w:pBdr>
        <w:spacing w:before="240" w:after="240" w:line="360" w:lineRule="auto"/>
        <w:jc w:val="both"/>
        <w:rPr>
          <w:rFonts w:ascii="Palatino Linotype" w:hAnsi="Palatino Linotype"/>
          <w:color w:val="000000"/>
          <w:lang w:eastAsia="es-ES"/>
        </w:rPr>
      </w:pPr>
      <w:r>
        <w:rPr>
          <w:rFonts w:ascii="Palatino Linotype" w:hAnsi="Palatino Linotype"/>
          <w:color w:val="000000"/>
          <w:lang w:eastAsia="es-ES"/>
        </w:rPr>
        <w:t xml:space="preserve">Es por todo lo anteriormente expuesto que </w:t>
      </w:r>
      <w:r w:rsidR="006E4F8F" w:rsidRPr="002B741A">
        <w:rPr>
          <w:rFonts w:ascii="Palatino Linotype" w:hAnsi="Palatino Linotype"/>
          <w:color w:val="000000"/>
          <w:lang w:eastAsia="es-ES"/>
        </w:rPr>
        <w:t xml:space="preserve">se estima procedente </w:t>
      </w:r>
      <w:r w:rsidR="003603B5" w:rsidRPr="003603B5">
        <w:rPr>
          <w:rFonts w:ascii="Palatino Linotype" w:eastAsia="Palatino Linotype" w:hAnsi="Palatino Linotype" w:cs="Palatino Linotype"/>
          <w:b/>
          <w:color w:val="000000" w:themeColor="text1"/>
        </w:rPr>
        <w:t>REVO</w:t>
      </w:r>
      <w:r w:rsidR="008E5CE7" w:rsidRPr="003603B5">
        <w:rPr>
          <w:rFonts w:ascii="Palatino Linotype" w:eastAsia="Palatino Linotype" w:hAnsi="Palatino Linotype" w:cs="Palatino Linotype"/>
          <w:b/>
          <w:color w:val="000000" w:themeColor="text1"/>
        </w:rPr>
        <w:t>CAR </w:t>
      </w:r>
      <w:r w:rsidR="008E5CE7">
        <w:rPr>
          <w:rFonts w:ascii="Palatino Linotype" w:eastAsia="Palatino Linotype" w:hAnsi="Palatino Linotype" w:cs="Palatino Linotype"/>
        </w:rPr>
        <w:t xml:space="preserve">la respuesta del </w:t>
      </w:r>
      <w:r w:rsidR="008E5CE7">
        <w:rPr>
          <w:rFonts w:ascii="Palatino Linotype" w:eastAsia="Palatino Linotype" w:hAnsi="Palatino Linotype" w:cs="Palatino Linotype"/>
          <w:b/>
        </w:rPr>
        <w:t>Sujeto Obligado</w:t>
      </w:r>
      <w:r w:rsidR="00363922">
        <w:rPr>
          <w:rFonts w:ascii="Palatino Linotype" w:hAnsi="Palatino Linotype"/>
          <w:color w:val="000000"/>
          <w:lang w:eastAsia="es-ES"/>
        </w:rPr>
        <w:t xml:space="preserve"> </w:t>
      </w:r>
      <w:r w:rsidR="00363922" w:rsidRPr="005162EE">
        <w:rPr>
          <w:rFonts w:ascii="Palatino Linotype" w:eastAsia="Palatino Linotype" w:hAnsi="Palatino Linotype" w:cs="Palatino Linotype"/>
        </w:rPr>
        <w:t>de conformidad con lo establecido en el artículo 186 fracción III de la Ley de Transparencia y Acceso a la Información Pública de</w:t>
      </w:r>
      <w:r w:rsidR="00363922">
        <w:rPr>
          <w:rFonts w:ascii="Palatino Linotype" w:eastAsia="Palatino Linotype" w:hAnsi="Palatino Linotype" w:cs="Palatino Linotype"/>
        </w:rPr>
        <w:t xml:space="preserve">l Estado de México y Municipios, </w:t>
      </w:r>
      <w:r w:rsidR="00363922">
        <w:rPr>
          <w:rFonts w:ascii="Palatino Linotype" w:hAnsi="Palatino Linotype"/>
          <w:color w:val="000000"/>
          <w:lang w:eastAsia="es-ES"/>
        </w:rPr>
        <w:t xml:space="preserve">a fin de que </w:t>
      </w:r>
      <w:r w:rsidR="006E4F8F" w:rsidRPr="002B741A">
        <w:rPr>
          <w:rFonts w:ascii="Palatino Linotype" w:hAnsi="Palatino Linotype"/>
          <w:color w:val="000000"/>
          <w:lang w:eastAsia="es-ES"/>
        </w:rPr>
        <w:t xml:space="preserve">se ponga a disposición del particular el </w:t>
      </w:r>
      <w:r w:rsidR="008E5CE7">
        <w:rPr>
          <w:rFonts w:ascii="Palatino Linotype" w:hAnsi="Palatino Linotype"/>
          <w:color w:val="000000"/>
          <w:lang w:eastAsia="es-ES"/>
        </w:rPr>
        <w:t xml:space="preserve">o los </w:t>
      </w:r>
      <w:r w:rsidR="006E4F8F">
        <w:rPr>
          <w:rFonts w:ascii="Palatino Linotype" w:hAnsi="Palatino Linotype"/>
          <w:color w:val="000000"/>
          <w:lang w:eastAsia="es-ES"/>
        </w:rPr>
        <w:t>documento</w:t>
      </w:r>
      <w:r w:rsidR="008E5CE7">
        <w:rPr>
          <w:rFonts w:ascii="Palatino Linotype" w:hAnsi="Palatino Linotype"/>
          <w:color w:val="000000"/>
          <w:lang w:eastAsia="es-ES"/>
        </w:rPr>
        <w:t>s</w:t>
      </w:r>
      <w:r w:rsidR="00AE4DCA">
        <w:rPr>
          <w:rFonts w:ascii="Palatino Linotype" w:hAnsi="Palatino Linotype"/>
          <w:color w:val="000000"/>
          <w:lang w:eastAsia="es-ES"/>
        </w:rPr>
        <w:t xml:space="preserve"> donde conste la i</w:t>
      </w:r>
      <w:r w:rsidR="00AE4DCA" w:rsidRPr="00AE4DCA">
        <w:rPr>
          <w:rFonts w:ascii="Palatino Linotype" w:hAnsi="Palatino Linotype"/>
          <w:color w:val="000000"/>
          <w:lang w:eastAsia="es-ES"/>
        </w:rPr>
        <w:t>nversión total para la realización de la Feria Regional de Tecámac realizada del 29</w:t>
      </w:r>
      <w:r w:rsidR="00AE4DCA">
        <w:rPr>
          <w:rFonts w:ascii="Palatino Linotype" w:hAnsi="Palatino Linotype"/>
          <w:color w:val="000000"/>
          <w:lang w:eastAsia="es-ES"/>
        </w:rPr>
        <w:t xml:space="preserve"> de abril al domingo 8 de mayo, así como las c</w:t>
      </w:r>
      <w:r w:rsidR="00AE4DCA" w:rsidRPr="00AE4DCA">
        <w:rPr>
          <w:rFonts w:ascii="Palatino Linotype" w:hAnsi="Palatino Linotype"/>
          <w:color w:val="000000"/>
          <w:lang w:eastAsia="es-ES"/>
        </w:rPr>
        <w:t>opia</w:t>
      </w:r>
      <w:r w:rsidR="00AE4DCA">
        <w:rPr>
          <w:rFonts w:ascii="Palatino Linotype" w:hAnsi="Palatino Linotype"/>
          <w:color w:val="000000"/>
          <w:lang w:eastAsia="es-ES"/>
        </w:rPr>
        <w:t>s</w:t>
      </w:r>
      <w:r w:rsidR="00AE4DCA" w:rsidRPr="00AE4DCA">
        <w:rPr>
          <w:rFonts w:ascii="Palatino Linotype" w:hAnsi="Palatino Linotype"/>
          <w:color w:val="000000"/>
          <w:lang w:eastAsia="es-ES"/>
        </w:rPr>
        <w:t xml:space="preserve"> de contratos celebrados para la realización, planeación, prep</w:t>
      </w:r>
      <w:r w:rsidR="00AE4DCA">
        <w:rPr>
          <w:rFonts w:ascii="Palatino Linotype" w:hAnsi="Palatino Linotype"/>
          <w:color w:val="000000"/>
          <w:lang w:eastAsia="es-ES"/>
        </w:rPr>
        <w:t xml:space="preserve">aración, ejecución de la Feria y </w:t>
      </w:r>
      <w:r w:rsidR="00AE4DCA" w:rsidRPr="00AE4DCA">
        <w:rPr>
          <w:rFonts w:ascii="Palatino Linotype" w:hAnsi="Palatino Linotype"/>
          <w:color w:val="000000"/>
          <w:lang w:eastAsia="es-ES"/>
        </w:rPr>
        <w:t>para la presentación de los diversos participantes, incluyendo los artistas</w:t>
      </w:r>
      <w:r w:rsidR="00AE4DCA">
        <w:rPr>
          <w:rFonts w:ascii="Palatino Linotype" w:hAnsi="Palatino Linotype"/>
          <w:color w:val="000000"/>
          <w:lang w:eastAsia="es-ES"/>
        </w:rPr>
        <w:t xml:space="preserve"> referidos en la solicitud</w:t>
      </w:r>
      <w:r w:rsidR="006E4F8F" w:rsidRPr="002B741A">
        <w:rPr>
          <w:rFonts w:ascii="Palatino Linotype" w:hAnsi="Palatino Linotype"/>
          <w:color w:val="000000"/>
          <w:lang w:eastAsia="es-ES"/>
        </w:rPr>
        <w:t xml:space="preserve">, </w:t>
      </w:r>
      <w:r w:rsidR="006E4F8F" w:rsidRPr="002B741A">
        <w:rPr>
          <w:rFonts w:ascii="Palatino Linotype" w:eastAsia="Palatino Linotype" w:hAnsi="Palatino Linotype" w:cs="Palatino Linotype"/>
        </w:rPr>
        <w:t>en versión pública</w:t>
      </w:r>
      <w:r w:rsidR="00AE4DCA">
        <w:rPr>
          <w:rFonts w:ascii="Palatino Linotype" w:eastAsia="Palatino Linotype" w:hAnsi="Palatino Linotype" w:cs="Palatino Linotype"/>
        </w:rPr>
        <w:t xml:space="preserve"> de ser procedente</w:t>
      </w:r>
      <w:r w:rsidR="006E4F8F" w:rsidRPr="002B741A">
        <w:rPr>
          <w:rFonts w:ascii="Palatino Linotype" w:eastAsia="Palatino Linotype" w:hAnsi="Palatino Linotype" w:cs="Palatino Linotype"/>
        </w:rPr>
        <w:t>, esto de conformidad con el Considerando siguiente.</w:t>
      </w:r>
    </w:p>
    <w:p w:rsidR="00C41167" w:rsidRPr="00C41167" w:rsidRDefault="00C41167" w:rsidP="00C41167">
      <w:pPr>
        <w:spacing w:before="240" w:after="240" w:line="360" w:lineRule="auto"/>
        <w:ind w:right="49"/>
        <w:jc w:val="both"/>
        <w:rPr>
          <w:rFonts w:ascii="Palatino Linotype" w:eastAsia="Palatino Linotype" w:hAnsi="Palatino Linotype" w:cs="Palatino Linotype"/>
        </w:rPr>
      </w:pPr>
      <w:r w:rsidRPr="00C41167">
        <w:rPr>
          <w:rFonts w:ascii="Palatino Linotype" w:eastAsia="Palatino Linotype" w:hAnsi="Palatino Linotype" w:cs="Palatino Linotype"/>
          <w:b/>
        </w:rPr>
        <w:t xml:space="preserve">Quinto. Versión Pública. </w:t>
      </w:r>
      <w:r w:rsidRPr="00C41167">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C41167" w:rsidRPr="00C41167" w:rsidRDefault="00C41167" w:rsidP="00C41167">
      <w:pPr>
        <w:spacing w:before="240" w:after="240" w:line="360" w:lineRule="auto"/>
        <w:ind w:right="50"/>
        <w:jc w:val="both"/>
        <w:rPr>
          <w:rFonts w:ascii="Palatino Linotype" w:eastAsia="Palatino Linotype" w:hAnsi="Palatino Linotype" w:cs="Palatino Linotype"/>
        </w:rPr>
      </w:pPr>
      <w:r w:rsidRPr="00C41167">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C41167">
        <w:rPr>
          <w:rFonts w:ascii="Palatino Linotype" w:eastAsia="Palatino Linotype" w:hAnsi="Palatino Linotype" w:cs="Palatino Linotype"/>
        </w:rPr>
        <w:t>fracción</w:t>
      </w:r>
      <w:proofErr w:type="gramEnd"/>
      <w:r w:rsidRPr="00C41167">
        <w:rPr>
          <w:rFonts w:ascii="Palatino Linotype" w:eastAsia="Palatino Linotype" w:hAnsi="Palatino Linotype" w:cs="Palatino Linotype"/>
        </w:rPr>
        <w:t xml:space="preserve"> I de la Ley de Transparencia y Acceso a la Información Pública del Estado de México y Municipios que establecen:</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Artículo 3</w:t>
      </w:r>
      <w:r w:rsidRPr="00C41167">
        <w:rPr>
          <w:rFonts w:ascii="Palatino Linotype" w:eastAsia="Palatino Linotype" w:hAnsi="Palatino Linotype" w:cs="Palatino Linotype"/>
          <w:i/>
          <w:sz w:val="22"/>
          <w:szCs w:val="22"/>
        </w:rPr>
        <w:t>. Para los efectos de la presente Ley se entenderá por:</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IX. Datos personales:</w:t>
      </w:r>
      <w:r w:rsidRPr="00C4116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XX. Información clasificada</w:t>
      </w:r>
      <w:r w:rsidRPr="00C41167">
        <w:rPr>
          <w:rFonts w:ascii="Palatino Linotype" w:eastAsia="Palatino Linotype" w:hAnsi="Palatino Linotype" w:cs="Palatino Linotype"/>
          <w:i/>
          <w:sz w:val="22"/>
          <w:szCs w:val="22"/>
        </w:rPr>
        <w:t>: Aquella considerada por la presente Ley como reservada o confidencial;</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XXI. Información confidencial:</w:t>
      </w:r>
      <w:r w:rsidRPr="00C4116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XLV. Versión pública:</w:t>
      </w:r>
      <w:r w:rsidRPr="00C4116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91. </w:t>
      </w:r>
      <w:r w:rsidRPr="00C4116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132. </w:t>
      </w:r>
      <w:r w:rsidRPr="00C41167">
        <w:rPr>
          <w:rFonts w:ascii="Palatino Linotype" w:eastAsia="Palatino Linotype" w:hAnsi="Palatino Linotype" w:cs="Palatino Linotype"/>
          <w:i/>
          <w:sz w:val="22"/>
          <w:szCs w:val="22"/>
        </w:rPr>
        <w:t>La clasificación de la información se llevará a cabo en el momento en que:</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Se reciba una solicitud de acceso a la información;</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Se determine mediante resolución de autoridad competente; o</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Se generen versiones públicas para dar cumplimiento a las obligaciones de transparencia previstas en esta Ley.</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Artículo 143</w:t>
      </w:r>
      <w:r w:rsidRPr="00C4116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C41167">
        <w:rPr>
          <w:rFonts w:ascii="Palatino Linotype" w:eastAsia="Palatino Linotype" w:hAnsi="Palatino Linotype" w:cs="Palatino Linotype"/>
          <w:i/>
          <w:sz w:val="22"/>
          <w:szCs w:val="22"/>
        </w:rPr>
        <w:t>jurídico</w:t>
      </w:r>
      <w:proofErr w:type="gramEnd"/>
      <w:r w:rsidRPr="00C41167">
        <w:rPr>
          <w:rFonts w:ascii="Palatino Linotype" w:eastAsia="Palatino Linotype" w:hAnsi="Palatino Linotype" w:cs="Palatino Linotype"/>
          <w:i/>
          <w:sz w:val="22"/>
          <w:szCs w:val="22"/>
        </w:rPr>
        <w:t xml:space="preserve"> colectiva identificada o identificable;</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lastRenderedPageBreak/>
        <w:t>II.</w:t>
      </w:r>
      <w:r w:rsidRPr="00C4116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C41167" w:rsidRPr="00C41167" w:rsidRDefault="00C41167" w:rsidP="00FA0631">
      <w:pPr>
        <w:spacing w:before="120" w:after="120"/>
        <w:ind w:left="567"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Quincuagésimo sexto</w:t>
      </w:r>
      <w:r w:rsidRPr="00C4116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séptimo</w:t>
      </w:r>
      <w:r w:rsidRPr="00C4116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lastRenderedPageBreak/>
        <w:t>I</w:t>
      </w:r>
      <w:r w:rsidRPr="00C4116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octavo</w:t>
      </w:r>
      <w:r w:rsidRPr="00C4116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F7D93">
        <w:rPr>
          <w:rFonts w:ascii="Palatino Linotype" w:eastAsia="Palatino Linotype" w:hAnsi="Palatino Linotype" w:cs="Palatino Linotype"/>
          <w:b/>
        </w:rPr>
        <w:t>Sujeto Obligado</w:t>
      </w:r>
      <w:r w:rsidRPr="00C4116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41167" w:rsidRPr="00C41167" w:rsidTr="008E5CE7">
        <w:tc>
          <w:tcPr>
            <w:tcW w:w="4253" w:type="dxa"/>
            <w:gridSpan w:val="2"/>
            <w:tcBorders>
              <w:top w:val="nil"/>
              <w:left w:val="nil"/>
              <w:right w:val="nil"/>
            </w:tcBorders>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Total</w:t>
            </w:r>
          </w:p>
        </w:tc>
      </w:tr>
      <w:tr w:rsidR="00C41167" w:rsidRPr="00C41167" w:rsidTr="008E5CE7">
        <w:tc>
          <w:tcPr>
            <w:tcW w:w="1134"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119"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c>
          <w:tcPr>
            <w:tcW w:w="1129"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446"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r>
      <w:tr w:rsidR="00C41167" w:rsidRPr="00C41167" w:rsidTr="008E5CE7">
        <w:tc>
          <w:tcPr>
            <w:tcW w:w="8828" w:type="dxa"/>
            <w:gridSpan w:val="4"/>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lastRenderedPageBreak/>
              <w:t>Sello oficial o logotipo del sujeto obligado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del cual es titular quien 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 la cual es el titular quien 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Información reservada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C41167">
              <w:rPr>
                <w:rFonts w:ascii="Palatino Linotype" w:eastAsia="Palatino Linotype" w:hAnsi="Palatino Linotype" w:cs="Palatino Linotype"/>
                <w:sz w:val="12"/>
                <w:szCs w:val="12"/>
              </w:rPr>
              <w:t>anotarán</w:t>
            </w:r>
            <w:proofErr w:type="gramEnd"/>
            <w:r w:rsidRPr="00C4116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Reservado</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RESERVADA.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Periodo de reserva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CONFIDENCIAL.</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 el documento.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Partes o secciones reservadas o confidenciales</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 xml:space="preserve">En caso que una vez desclasificado el expediente, </w:t>
            </w:r>
            <w:proofErr w:type="spellStart"/>
            <w:r w:rsidRPr="00C41167">
              <w:rPr>
                <w:rFonts w:ascii="Palatino Linotype" w:eastAsia="Palatino Linotype" w:hAnsi="Palatino Linotype" w:cs="Palatino Linotype"/>
                <w:sz w:val="12"/>
                <w:szCs w:val="12"/>
              </w:rPr>
              <w:t>subsistanpartes</w:t>
            </w:r>
            <w:proofErr w:type="spellEnd"/>
            <w:r w:rsidRPr="00C41167">
              <w:rPr>
                <w:rFonts w:ascii="Palatino Linotype" w:eastAsia="Palatino Linotype" w:hAnsi="Palatino Linotype" w:cs="Palatino Linotype"/>
                <w:sz w:val="12"/>
                <w:szCs w:val="12"/>
              </w:rPr>
              <w:t xml:space="preserve"> o secciones del mismo reservadas o confidenciales, se señalará este hecho.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r>
    </w:tbl>
    <w:p w:rsidR="008E5CE7" w:rsidRDefault="008E5CE7">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515A88"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515A88" w:rsidRDefault="00096237">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sidRPr="008E5CE7">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sidR="00AE4DCA">
        <w:rPr>
          <w:rFonts w:ascii="Palatino Linotype" w:eastAsia="Palatino Linotype" w:hAnsi="Palatino Linotype" w:cs="Palatino Linotype"/>
          <w:b/>
        </w:rPr>
        <w:t>1032</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por lo </w:t>
      </w:r>
      <w:r w:rsidR="00C41167">
        <w:rPr>
          <w:rFonts w:ascii="Palatino Linotype" w:eastAsia="Palatino Linotype" w:hAnsi="Palatino Linotype" w:cs="Palatino Linotype"/>
        </w:rPr>
        <w:lastRenderedPageBreak/>
        <w:t xml:space="preserve">que, en términos del </w:t>
      </w:r>
      <w:r w:rsidR="00C41167" w:rsidRPr="00C41167">
        <w:rPr>
          <w:rFonts w:ascii="Palatino Linotype" w:eastAsia="Palatino Linotype" w:hAnsi="Palatino Linotype" w:cs="Palatino Linotype"/>
          <w:b/>
        </w:rPr>
        <w:t>C</w:t>
      </w:r>
      <w:r w:rsidRPr="00C41167">
        <w:rPr>
          <w:rFonts w:ascii="Palatino Linotype" w:eastAsia="Palatino Linotype" w:hAnsi="Palatino Linotype" w:cs="Palatino Linotype"/>
          <w:b/>
        </w:rPr>
        <w:t>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3603B5" w:rsidRPr="003603B5">
        <w:rPr>
          <w:rFonts w:ascii="Palatino Linotype" w:eastAsia="Palatino Linotype" w:hAnsi="Palatino Linotype" w:cs="Palatino Linotype"/>
          <w:b/>
        </w:rPr>
        <w:t>REVO</w:t>
      </w:r>
      <w:r w:rsidRPr="003603B5">
        <w:rPr>
          <w:rFonts w:ascii="Palatino Linotype" w:eastAsia="Palatino Linotype" w:hAnsi="Palatino Linotype" w:cs="Palatino Linotype"/>
          <w:b/>
        </w:rPr>
        <w:t xml:space="preserve">CA </w:t>
      </w:r>
      <w:r w:rsidRPr="003603B5">
        <w:rPr>
          <w:rFonts w:ascii="Palatino Linotype" w:eastAsia="Palatino Linotype" w:hAnsi="Palatino Linotype" w:cs="Palatino Linotype"/>
        </w:rPr>
        <w:t>l</w:t>
      </w:r>
      <w:r>
        <w:rPr>
          <w:rFonts w:ascii="Palatino Linotype" w:eastAsia="Palatino Linotype" w:hAnsi="Palatino Linotype" w:cs="Palatino Linotype"/>
        </w:rPr>
        <w:t xml:space="preserve">a respuesta emitida por el </w:t>
      </w:r>
      <w:r>
        <w:rPr>
          <w:rFonts w:ascii="Palatino Linotype" w:eastAsia="Palatino Linotype" w:hAnsi="Palatino Linotype" w:cs="Palatino Linotype"/>
          <w:b/>
        </w:rPr>
        <w:t>Sujeto Obligado.</w:t>
      </w:r>
      <w:r w:rsidR="00BA1827" w:rsidRPr="00BA1827">
        <w:rPr>
          <w:rFonts w:ascii="Palatino Linotype" w:eastAsia="Palatino Linotype" w:hAnsi="Palatino Linotype" w:cs="Palatino Linotype"/>
          <w:b/>
          <w:color w:val="FF0000"/>
        </w:rPr>
        <w:t xml:space="preserve"> </w:t>
      </w:r>
    </w:p>
    <w:p w:rsidR="00AE4DCA" w:rsidRPr="00AE4DCA" w:rsidRDefault="00096237" w:rsidP="00AE4DCA">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w:t>
      </w:r>
      <w:r w:rsidR="00AE4DCA">
        <w:rPr>
          <w:rFonts w:ascii="Palatino Linotype" w:eastAsia="Palatino Linotype" w:hAnsi="Palatino Linotype" w:cs="Palatino Linotype"/>
          <w:b/>
        </w:rPr>
        <w:t xml:space="preserve"> de ser procedente</w:t>
      </w:r>
      <w:r>
        <w:rPr>
          <w:rFonts w:ascii="Palatino Linotype" w:eastAsia="Palatino Linotype" w:hAnsi="Palatino Linotype" w:cs="Palatino Linotype"/>
        </w:rPr>
        <w:t xml:space="preserve">, en términos de los </w:t>
      </w:r>
      <w:r w:rsidRPr="00AE4DCA">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sidR="00B4758C">
        <w:rPr>
          <w:rFonts w:ascii="Palatino Linotype" w:eastAsia="Palatino Linotype" w:hAnsi="Palatino Linotype" w:cs="Palatino Linotype"/>
          <w:b/>
        </w:rPr>
        <w:t xml:space="preserve"> </w:t>
      </w:r>
      <w:r w:rsidR="00AE4DCA" w:rsidRPr="00AE4DCA">
        <w:rPr>
          <w:rFonts w:ascii="Palatino Linotype" w:eastAsia="Palatino Linotype" w:hAnsi="Palatino Linotype" w:cs="Palatino Linotype"/>
          <w:b/>
        </w:rPr>
        <w:t>de la presente resolución, los documentos que den cuenta de lo siguiente</w:t>
      </w:r>
      <w:r w:rsidR="00B4758C" w:rsidRPr="00AE4DCA">
        <w:rPr>
          <w:rFonts w:ascii="Palatino Linotype" w:eastAsia="Palatino Linotype" w:hAnsi="Palatino Linotype" w:cs="Palatino Linotype"/>
          <w:b/>
        </w:rPr>
        <w:t xml:space="preserve">: </w:t>
      </w:r>
    </w:p>
    <w:p w:rsidR="00AE4DCA" w:rsidRDefault="00AE4DCA" w:rsidP="00AE4DCA">
      <w:pPr>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I. </w:t>
      </w:r>
      <w:r w:rsidRPr="00AE4DCA">
        <w:rPr>
          <w:rFonts w:ascii="Palatino Linotype" w:eastAsia="Palatino Linotype" w:hAnsi="Palatino Linotype" w:cs="Palatino Linotype"/>
          <w:b/>
        </w:rPr>
        <w:t>De la Feria Regional de Tecámac</w:t>
      </w:r>
      <w:r w:rsidRPr="00AE4DCA">
        <w:t xml:space="preserve"> </w:t>
      </w:r>
      <w:r w:rsidR="00E7649D">
        <w:rPr>
          <w:rFonts w:ascii="Palatino Linotype" w:eastAsia="Palatino Linotype" w:hAnsi="Palatino Linotype" w:cs="Palatino Linotype"/>
          <w:b/>
        </w:rPr>
        <w:t>realizada del 28</w:t>
      </w:r>
      <w:r w:rsidRPr="00AE4DCA">
        <w:rPr>
          <w:rFonts w:ascii="Palatino Linotype" w:eastAsia="Palatino Linotype" w:hAnsi="Palatino Linotype" w:cs="Palatino Linotype"/>
          <w:b/>
        </w:rPr>
        <w:t xml:space="preserve"> de abril al domingo 8 de mayo</w:t>
      </w:r>
      <w:r>
        <w:rPr>
          <w:rFonts w:ascii="Palatino Linotype" w:eastAsia="Palatino Linotype" w:hAnsi="Palatino Linotype" w:cs="Palatino Linotype"/>
          <w:b/>
        </w:rPr>
        <w:t xml:space="preserve"> de 2022: </w:t>
      </w:r>
    </w:p>
    <w:p w:rsidR="00AE4DCA" w:rsidRPr="00AE4DCA" w:rsidRDefault="00AE4DCA" w:rsidP="00AE4DCA">
      <w:pPr>
        <w:spacing w:before="240" w:after="240" w:line="276" w:lineRule="auto"/>
        <w:ind w:left="567" w:right="49"/>
        <w:jc w:val="both"/>
        <w:rPr>
          <w:rFonts w:ascii="Palatino Linotype" w:eastAsia="Palatino Linotype" w:hAnsi="Palatino Linotype" w:cs="Palatino Linotype"/>
          <w:i/>
          <w:sz w:val="22"/>
        </w:rPr>
      </w:pPr>
      <w:r w:rsidRPr="00AE4DCA">
        <w:rPr>
          <w:rFonts w:ascii="Palatino Linotype" w:eastAsia="Palatino Linotype" w:hAnsi="Palatino Linotype" w:cs="Palatino Linotype"/>
          <w:i/>
          <w:sz w:val="22"/>
        </w:rPr>
        <w:t>a) El o los documentos donde conste la inversión total.</w:t>
      </w:r>
    </w:p>
    <w:p w:rsidR="00AE4DCA" w:rsidRPr="00AE4DCA" w:rsidRDefault="00AE4DCA" w:rsidP="00AE4DCA">
      <w:pPr>
        <w:spacing w:before="240" w:after="240" w:line="276" w:lineRule="auto"/>
        <w:ind w:left="567" w:right="900"/>
        <w:jc w:val="both"/>
        <w:rPr>
          <w:rFonts w:ascii="Palatino Linotype" w:eastAsia="Palatino Linotype" w:hAnsi="Palatino Linotype" w:cs="Palatino Linotype"/>
          <w:i/>
          <w:sz w:val="22"/>
          <w:szCs w:val="22"/>
        </w:rPr>
      </w:pPr>
      <w:r w:rsidRPr="00AE4DCA">
        <w:rPr>
          <w:rFonts w:ascii="Palatino Linotype" w:eastAsia="Palatino Linotype" w:hAnsi="Palatino Linotype" w:cs="Palatino Linotype"/>
          <w:i/>
          <w:sz w:val="22"/>
          <w:szCs w:val="22"/>
        </w:rPr>
        <w:t xml:space="preserve">b) </w:t>
      </w:r>
      <w:r w:rsidR="0041357C">
        <w:rPr>
          <w:rFonts w:ascii="Palatino Linotype" w:eastAsia="Palatino Linotype" w:hAnsi="Palatino Linotype" w:cs="Palatino Linotype"/>
          <w:i/>
          <w:sz w:val="22"/>
          <w:szCs w:val="22"/>
        </w:rPr>
        <w:t>C</w:t>
      </w:r>
      <w:r w:rsidRPr="00AE4DCA">
        <w:rPr>
          <w:rFonts w:ascii="Palatino Linotype" w:eastAsia="Palatino Linotype" w:hAnsi="Palatino Linotype" w:cs="Palatino Linotype"/>
          <w:i/>
          <w:sz w:val="22"/>
          <w:szCs w:val="22"/>
        </w:rPr>
        <w:t xml:space="preserve">ontratos celebrados para la realización, planeación, preparación y ejecución de la Feria. </w:t>
      </w:r>
    </w:p>
    <w:p w:rsidR="00AE4DCA" w:rsidRPr="00AE4DCA" w:rsidRDefault="00AE4DCA" w:rsidP="00AE4DCA">
      <w:pPr>
        <w:spacing w:before="240" w:after="240" w:line="276" w:lineRule="auto"/>
        <w:ind w:left="567" w:right="900"/>
        <w:jc w:val="both"/>
        <w:rPr>
          <w:rFonts w:ascii="Palatino Linotype" w:eastAsia="Palatino Linotype" w:hAnsi="Palatino Linotype" w:cs="Palatino Linotype"/>
          <w:i/>
          <w:sz w:val="22"/>
          <w:szCs w:val="22"/>
        </w:rPr>
      </w:pPr>
      <w:r w:rsidRPr="00AE4DCA">
        <w:rPr>
          <w:rFonts w:ascii="Palatino Linotype" w:eastAsia="Palatino Linotype" w:hAnsi="Palatino Linotype" w:cs="Palatino Linotype"/>
          <w:i/>
          <w:sz w:val="22"/>
          <w:szCs w:val="22"/>
        </w:rPr>
        <w:t xml:space="preserve">c) </w:t>
      </w:r>
      <w:r w:rsidR="0041357C">
        <w:rPr>
          <w:rFonts w:ascii="Palatino Linotype" w:eastAsia="Palatino Linotype" w:hAnsi="Palatino Linotype" w:cs="Palatino Linotype"/>
          <w:i/>
          <w:sz w:val="22"/>
          <w:szCs w:val="22"/>
        </w:rPr>
        <w:t>C</w:t>
      </w:r>
      <w:r w:rsidRPr="00AE4DCA">
        <w:rPr>
          <w:rFonts w:ascii="Palatino Linotype" w:eastAsia="Palatino Linotype" w:hAnsi="Palatino Linotype" w:cs="Palatino Linotype"/>
          <w:i/>
          <w:sz w:val="22"/>
          <w:szCs w:val="22"/>
        </w:rPr>
        <w:t>ontratos celebrados para la presentación de los diversos participantes, incluyendo los artistas referidos en la solicitud.</w:t>
      </w:r>
    </w:p>
    <w:p w:rsidR="00515A88" w:rsidRDefault="0009623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00FF5303">
        <w:rPr>
          <w:rFonts w:ascii="Palatino Linotype" w:eastAsia="Palatino Linotype" w:hAnsi="Palatino Linotype" w:cs="Palatino Linotype"/>
          <w:i/>
          <w:sz w:val="22"/>
          <w:szCs w:val="22"/>
        </w:rPr>
        <w:t>disposición de</w:t>
      </w:r>
      <w:r w:rsidR="008E5CE7">
        <w:rPr>
          <w:rFonts w:ascii="Palatino Linotype" w:eastAsia="Palatino Linotype" w:hAnsi="Palatino Linotype" w:cs="Palatino Linotype"/>
          <w:i/>
          <w:sz w:val="22"/>
          <w:szCs w:val="22"/>
        </w:rPr>
        <w:t xml:space="preserve"> </w:t>
      </w:r>
      <w:r w:rsidR="008E5CE7" w:rsidRPr="008E5CE7">
        <w:rPr>
          <w:rFonts w:ascii="Palatino Linotype" w:eastAsia="Palatino Linotype" w:hAnsi="Palatino Linotype" w:cs="Palatino Linotype"/>
          <w:b/>
          <w:i/>
          <w:sz w:val="22"/>
          <w:szCs w:val="22"/>
        </w:rPr>
        <w:t>la parte</w:t>
      </w:r>
      <w:r w:rsidR="008E5CE7">
        <w:rPr>
          <w:rFonts w:ascii="Palatino Linotype" w:eastAsia="Palatino Linotype" w:hAnsi="Palatino Linotype" w:cs="Palatino Linotype"/>
          <w:i/>
          <w:sz w:val="22"/>
          <w:szCs w:val="22"/>
        </w:rPr>
        <w:t xml:space="preserve"> </w:t>
      </w:r>
      <w:r w:rsidR="00FF5303">
        <w:rPr>
          <w:rFonts w:ascii="Palatino Linotype" w:eastAsia="Palatino Linotype" w:hAnsi="Palatino Linotype" w:cs="Palatino Linotype"/>
          <w:b/>
          <w:i/>
          <w:sz w:val="22"/>
          <w:szCs w:val="22"/>
        </w:rPr>
        <w:t>R</w:t>
      </w:r>
      <w:r>
        <w:rPr>
          <w:rFonts w:ascii="Palatino Linotype" w:eastAsia="Palatino Linotype" w:hAnsi="Palatino Linotype" w:cs="Palatino Linotype"/>
          <w:b/>
          <w:i/>
          <w:sz w:val="22"/>
          <w:szCs w:val="22"/>
        </w:rPr>
        <w:t>ecurrente</w:t>
      </w:r>
      <w:r>
        <w:rPr>
          <w:rFonts w:ascii="Palatino Linotype" w:eastAsia="Palatino Linotype" w:hAnsi="Palatino Linotype" w:cs="Palatino Linotype"/>
          <w:i/>
          <w:sz w:val="22"/>
          <w:szCs w:val="22"/>
        </w:rPr>
        <w:t>.</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sidR="008E5CE7">
        <w:rPr>
          <w:rFonts w:ascii="Palatino Linotype" w:eastAsia="Palatino Linotype" w:hAnsi="Palatino Linotype" w:cs="Palatino Linotype"/>
        </w:rPr>
        <w:t xml:space="preserve">a </w:t>
      </w:r>
      <w:r w:rsidR="008E5CE7" w:rsidRPr="008E5CE7">
        <w:rPr>
          <w:rFonts w:ascii="Palatino Linotype" w:eastAsia="Palatino Linotype" w:hAnsi="Palatino Linotype" w:cs="Palatino Linotype"/>
          <w:b/>
        </w:rPr>
        <w:t>la parte</w:t>
      </w:r>
      <w:r w:rsidR="008E5CE7">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515A88" w:rsidRDefault="00812EF2">
      <w:pPr>
        <w:spacing w:before="240" w:after="240" w:line="360" w:lineRule="auto"/>
        <w:jc w:val="both"/>
        <w:rPr>
          <w:rFonts w:ascii="Palatino Linotype" w:eastAsia="Palatino Linotype" w:hAnsi="Palatino Linotype" w:cs="Palatino Linotype"/>
          <w:sz w:val="20"/>
          <w:szCs w:val="20"/>
        </w:rPr>
        <w:sectPr w:rsidR="00515A88">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74624" behindDoc="0" locked="0" layoutInCell="1" allowOverlap="1">
                <wp:simplePos x="0" y="0"/>
                <wp:positionH relativeFrom="column">
                  <wp:posOffset>43814</wp:posOffset>
                </wp:positionH>
                <wp:positionV relativeFrom="paragraph">
                  <wp:posOffset>2686050</wp:posOffset>
                </wp:positionV>
                <wp:extent cx="5248275" cy="23241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48275" cy="232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FD89E" id="Conector recto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5pt,211.5pt" to="416.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" strokecolor="black [3040]"/>
            </w:pict>
          </mc:Fallback>
        </mc:AlternateContent>
      </w:r>
      <w:r w:rsidR="0009623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70434">
        <w:rPr>
          <w:rFonts w:ascii="Palatino Linotype" w:eastAsia="Palatino Linotype" w:hAnsi="Palatino Linotype" w:cs="Palatino Linotype"/>
        </w:rPr>
        <w:t xml:space="preserve">TRIGÉSIMA </w:t>
      </w:r>
      <w:r w:rsidR="00AE4DCA">
        <w:rPr>
          <w:rFonts w:ascii="Palatino Linotype" w:eastAsia="Palatino Linotype" w:hAnsi="Palatino Linotype" w:cs="Palatino Linotype"/>
        </w:rPr>
        <w:t>OCTAV</w:t>
      </w:r>
      <w:r w:rsidR="008E5CE7">
        <w:rPr>
          <w:rFonts w:ascii="Palatino Linotype" w:eastAsia="Palatino Linotype" w:hAnsi="Palatino Linotype" w:cs="Palatino Linotype"/>
        </w:rPr>
        <w:t xml:space="preserve">A </w:t>
      </w:r>
      <w:r w:rsidR="00096237">
        <w:rPr>
          <w:rFonts w:ascii="Palatino Linotype" w:eastAsia="Palatino Linotype" w:hAnsi="Palatino Linotype" w:cs="Palatino Linotype"/>
        </w:rPr>
        <w:t>S</w:t>
      </w:r>
      <w:r w:rsidR="008E5CE7">
        <w:rPr>
          <w:rFonts w:ascii="Palatino Linotype" w:eastAsia="Palatino Linotype" w:hAnsi="Palatino Linotype" w:cs="Palatino Linotype"/>
        </w:rPr>
        <w:t>ES</w:t>
      </w:r>
      <w:r w:rsidR="00AE4DCA">
        <w:rPr>
          <w:rFonts w:ascii="Palatino Linotype" w:eastAsia="Palatino Linotype" w:hAnsi="Palatino Linotype" w:cs="Palatino Linotype"/>
        </w:rPr>
        <w:t>IÓN ORDINARIA CELEBRADA EL DIECINUEVE DE OCTU</w:t>
      </w:r>
      <w:r w:rsidR="008E5CE7">
        <w:rPr>
          <w:rFonts w:ascii="Palatino Linotype" w:eastAsia="Palatino Linotype" w:hAnsi="Palatino Linotype" w:cs="Palatino Linotype"/>
        </w:rPr>
        <w:t>BRE</w:t>
      </w:r>
      <w:r w:rsidR="00096237">
        <w:rPr>
          <w:rFonts w:ascii="Palatino Linotype" w:eastAsia="Palatino Linotype" w:hAnsi="Palatino Linotype" w:cs="Palatino Linotype"/>
        </w:rPr>
        <w:t xml:space="preserve"> DE DOS MIL VEINTIDÓS, ANTE EL SECRETARIO TÉCNICO DEL PLENO, ALEXIS TAPIA RAMÍREZ.</w:t>
      </w:r>
    </w:p>
    <w:p w:rsidR="00515A88" w:rsidRDefault="00515A88">
      <w:pPr>
        <w:spacing w:before="240" w:after="240" w:line="360" w:lineRule="auto"/>
        <w:jc w:val="both"/>
        <w:rPr>
          <w:rFonts w:ascii="Palatino Linotype" w:eastAsia="Palatino Linotype" w:hAnsi="Palatino Linotype" w:cs="Palatino Linotype"/>
          <w:sz w:val="20"/>
          <w:szCs w:val="20"/>
        </w:rPr>
      </w:pPr>
      <w:bookmarkStart w:id="4" w:name="_GoBack"/>
      <w:bookmarkEnd w:id="4"/>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sectPr w:rsidR="00515A88">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51" w:rsidRDefault="00F43951">
      <w:r>
        <w:separator/>
      </w:r>
    </w:p>
  </w:endnote>
  <w:endnote w:type="continuationSeparator" w:id="0">
    <w:p w:rsidR="00F43951" w:rsidRDefault="00F43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51" w:rsidRDefault="00F439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025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025D">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F43951" w:rsidRDefault="00F4395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51" w:rsidRDefault="00F439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025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025D">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F43951" w:rsidRDefault="00F4395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51" w:rsidRDefault="00F43951">
      <w:r>
        <w:separator/>
      </w:r>
    </w:p>
  </w:footnote>
  <w:footnote w:type="continuationSeparator" w:id="0">
    <w:p w:rsidR="00F43951" w:rsidRDefault="00F43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51" w:rsidRDefault="00F4395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-396400</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F43951">
      <w:tc>
        <w:tcPr>
          <w:tcW w:w="2489" w:type="dxa"/>
          <w:shd w:val="clear" w:color="auto" w:fill="auto"/>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F43951" w:rsidRDefault="00F43951"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10324/INFOEM/IP/RR/2022</w:t>
          </w:r>
        </w:p>
      </w:tc>
    </w:tr>
    <w:tr w:rsidR="00F43951">
      <w:trPr>
        <w:trHeight w:val="228"/>
      </w:trPr>
      <w:tc>
        <w:tcPr>
          <w:tcW w:w="2489" w:type="dxa"/>
          <w:shd w:val="clear" w:color="auto" w:fill="auto"/>
          <w:vAlign w:val="center"/>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F43951" w:rsidRDefault="00F43951">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Tecámac</w:t>
          </w:r>
        </w:p>
      </w:tc>
    </w:tr>
    <w:tr w:rsidR="00F43951">
      <w:tc>
        <w:tcPr>
          <w:tcW w:w="2489" w:type="dxa"/>
          <w:shd w:val="clear" w:color="auto" w:fill="auto"/>
          <w:vAlign w:val="center"/>
        </w:tcPr>
        <w:p w:rsidR="00F43951" w:rsidRDefault="00F4395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F43951" w:rsidRDefault="00F43951"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43951" w:rsidRDefault="00F4395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51" w:rsidRDefault="00F4395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F43951">
      <w:tc>
        <w:tcPr>
          <w:tcW w:w="2551" w:type="dxa"/>
          <w:shd w:val="clear" w:color="auto" w:fill="auto"/>
          <w:vAlign w:val="center"/>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F43951" w:rsidRDefault="00F4395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10324/INFOEM/IP/RR/2022</w:t>
          </w:r>
        </w:p>
      </w:tc>
    </w:tr>
    <w:tr w:rsidR="00F43951">
      <w:trPr>
        <w:trHeight w:val="130"/>
      </w:trPr>
      <w:tc>
        <w:tcPr>
          <w:tcW w:w="2551" w:type="dxa"/>
          <w:shd w:val="clear" w:color="auto" w:fill="auto"/>
          <w:vAlign w:val="center"/>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F43951" w:rsidRDefault="00F43951" w:rsidP="00F43951">
          <w:pPr>
            <w:ind w:left="-45"/>
            <w:jc w:val="both"/>
            <w:rPr>
              <w:rFonts w:ascii="Palatino Linotype" w:eastAsia="Palatino Linotype" w:hAnsi="Palatino Linotype" w:cs="Palatino Linotype"/>
              <w:b/>
            </w:rPr>
          </w:pPr>
          <w:r>
            <w:rPr>
              <w:rFonts w:ascii="Palatino Linotype" w:eastAsia="Palatino Linotype" w:hAnsi="Palatino Linotype" w:cs="Palatino Linotype"/>
              <w:b/>
            </w:rPr>
            <w:t>XX X</w:t>
          </w:r>
        </w:p>
      </w:tc>
    </w:tr>
    <w:tr w:rsidR="00F43951">
      <w:trPr>
        <w:trHeight w:val="228"/>
      </w:trPr>
      <w:tc>
        <w:tcPr>
          <w:tcW w:w="2551" w:type="dxa"/>
          <w:shd w:val="clear" w:color="auto" w:fill="auto"/>
          <w:vAlign w:val="center"/>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F43951" w:rsidRDefault="00F43951" w:rsidP="005E4719">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Tecámac</w:t>
          </w:r>
        </w:p>
      </w:tc>
    </w:tr>
    <w:tr w:rsidR="00F43951">
      <w:tc>
        <w:tcPr>
          <w:tcW w:w="2551" w:type="dxa"/>
          <w:shd w:val="clear" w:color="auto" w:fill="auto"/>
          <w:vAlign w:val="center"/>
        </w:tcPr>
        <w:p w:rsidR="00F43951" w:rsidRDefault="00F4395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F43951" w:rsidRDefault="00F4395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43951" w:rsidRDefault="00F4395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-1175383</wp:posOffset>
          </wp:positionH>
          <wp:positionV relativeFrom="paragraph">
            <wp:posOffset>-1325243</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51" w:rsidRDefault="00F4395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F43951" w:rsidRDefault="00F4395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E460B42"/>
    <w:multiLevelType w:val="hybridMultilevel"/>
    <w:tmpl w:val="4C943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652383"/>
    <w:multiLevelType w:val="hybridMultilevel"/>
    <w:tmpl w:val="4638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9C010B"/>
    <w:multiLevelType w:val="multilevel"/>
    <w:tmpl w:val="1304CEB8"/>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7C45F25"/>
    <w:multiLevelType w:val="multilevel"/>
    <w:tmpl w:val="A8148E0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5"/>
  </w:num>
  <w:num w:numId="2">
    <w:abstractNumId w:val="8"/>
  </w:num>
  <w:num w:numId="3">
    <w:abstractNumId w:val="11"/>
  </w:num>
  <w:num w:numId="4">
    <w:abstractNumId w:val="1"/>
  </w:num>
  <w:num w:numId="5">
    <w:abstractNumId w:val="12"/>
  </w:num>
  <w:num w:numId="6">
    <w:abstractNumId w:val="6"/>
  </w:num>
  <w:num w:numId="7">
    <w:abstractNumId w:val="3"/>
  </w:num>
  <w:num w:numId="8">
    <w:abstractNumId w:val="7"/>
  </w:num>
  <w:num w:numId="9">
    <w:abstractNumId w:val="13"/>
  </w:num>
  <w:num w:numId="10">
    <w:abstractNumId w:val="2"/>
  </w:num>
  <w:num w:numId="11">
    <w:abstractNumId w:val="10"/>
  </w:num>
  <w:num w:numId="12">
    <w:abstractNumId w:val="14"/>
  </w:num>
  <w:num w:numId="13">
    <w:abstractNumId w:val="0"/>
  </w:num>
  <w:num w:numId="14">
    <w:abstractNumId w:val="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88"/>
    <w:rsid w:val="0002303E"/>
    <w:rsid w:val="00060573"/>
    <w:rsid w:val="000703D3"/>
    <w:rsid w:val="00084A02"/>
    <w:rsid w:val="00084E8B"/>
    <w:rsid w:val="00096237"/>
    <w:rsid w:val="000B55B6"/>
    <w:rsid w:val="000D33C8"/>
    <w:rsid w:val="000D3CB3"/>
    <w:rsid w:val="0013584E"/>
    <w:rsid w:val="00170434"/>
    <w:rsid w:val="00196FD8"/>
    <w:rsid w:val="001C0052"/>
    <w:rsid w:val="001D25BD"/>
    <w:rsid w:val="00205CBE"/>
    <w:rsid w:val="00223504"/>
    <w:rsid w:val="00253CEA"/>
    <w:rsid w:val="00282711"/>
    <w:rsid w:val="002C1AF8"/>
    <w:rsid w:val="002E204A"/>
    <w:rsid w:val="002E718D"/>
    <w:rsid w:val="002F6164"/>
    <w:rsid w:val="003603B5"/>
    <w:rsid w:val="00363922"/>
    <w:rsid w:val="003A73EB"/>
    <w:rsid w:val="00404A2D"/>
    <w:rsid w:val="00411074"/>
    <w:rsid w:val="0041357C"/>
    <w:rsid w:val="00420888"/>
    <w:rsid w:val="00452B43"/>
    <w:rsid w:val="0048050D"/>
    <w:rsid w:val="00485FD2"/>
    <w:rsid w:val="004C47B0"/>
    <w:rsid w:val="004F025D"/>
    <w:rsid w:val="004F7D93"/>
    <w:rsid w:val="00510C26"/>
    <w:rsid w:val="00515A88"/>
    <w:rsid w:val="0052625B"/>
    <w:rsid w:val="00543ACC"/>
    <w:rsid w:val="00575E5B"/>
    <w:rsid w:val="005761A9"/>
    <w:rsid w:val="005779BC"/>
    <w:rsid w:val="005B47E5"/>
    <w:rsid w:val="005C600A"/>
    <w:rsid w:val="005E4719"/>
    <w:rsid w:val="00625F4D"/>
    <w:rsid w:val="00655C32"/>
    <w:rsid w:val="00685F98"/>
    <w:rsid w:val="006A52DE"/>
    <w:rsid w:val="006B45DA"/>
    <w:rsid w:val="006C64D4"/>
    <w:rsid w:val="006E4F8F"/>
    <w:rsid w:val="00714E76"/>
    <w:rsid w:val="0072557B"/>
    <w:rsid w:val="00735197"/>
    <w:rsid w:val="007631D5"/>
    <w:rsid w:val="00770FD4"/>
    <w:rsid w:val="00787168"/>
    <w:rsid w:val="007E5A57"/>
    <w:rsid w:val="007F24B3"/>
    <w:rsid w:val="00812EF2"/>
    <w:rsid w:val="00814B2A"/>
    <w:rsid w:val="008938D4"/>
    <w:rsid w:val="008A1749"/>
    <w:rsid w:val="008A3690"/>
    <w:rsid w:val="008E5CE7"/>
    <w:rsid w:val="00912B82"/>
    <w:rsid w:val="00983D45"/>
    <w:rsid w:val="009A24D3"/>
    <w:rsid w:val="009C5781"/>
    <w:rsid w:val="00A00194"/>
    <w:rsid w:val="00A05620"/>
    <w:rsid w:val="00A1139C"/>
    <w:rsid w:val="00A71C60"/>
    <w:rsid w:val="00A835FF"/>
    <w:rsid w:val="00AE4DCA"/>
    <w:rsid w:val="00B4758C"/>
    <w:rsid w:val="00B628DF"/>
    <w:rsid w:val="00B802D5"/>
    <w:rsid w:val="00BA1827"/>
    <w:rsid w:val="00BD6C32"/>
    <w:rsid w:val="00BF46B3"/>
    <w:rsid w:val="00C1406F"/>
    <w:rsid w:val="00C41167"/>
    <w:rsid w:val="00CA1A57"/>
    <w:rsid w:val="00D0638C"/>
    <w:rsid w:val="00D341E6"/>
    <w:rsid w:val="00DA3BBB"/>
    <w:rsid w:val="00DB432C"/>
    <w:rsid w:val="00DC01FD"/>
    <w:rsid w:val="00DE0CCB"/>
    <w:rsid w:val="00DE3E79"/>
    <w:rsid w:val="00DF0B62"/>
    <w:rsid w:val="00E56A55"/>
    <w:rsid w:val="00E7649D"/>
    <w:rsid w:val="00EA203C"/>
    <w:rsid w:val="00EE1085"/>
    <w:rsid w:val="00F21B10"/>
    <w:rsid w:val="00F41B66"/>
    <w:rsid w:val="00F43951"/>
    <w:rsid w:val="00F52CAD"/>
    <w:rsid w:val="00F75CA6"/>
    <w:rsid w:val="00FA0631"/>
    <w:rsid w:val="00FC2784"/>
    <w:rsid w:val="00FE0B98"/>
    <w:rsid w:val="00FF285C"/>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991">
      <w:bodyDiv w:val="1"/>
      <w:marLeft w:val="0"/>
      <w:marRight w:val="0"/>
      <w:marTop w:val="0"/>
      <w:marBottom w:val="0"/>
      <w:divBdr>
        <w:top w:val="none" w:sz="0" w:space="0" w:color="auto"/>
        <w:left w:val="none" w:sz="0" w:space="0" w:color="auto"/>
        <w:bottom w:val="none" w:sz="0" w:space="0" w:color="auto"/>
        <w:right w:val="none" w:sz="0" w:space="0" w:color="auto"/>
      </w:divBdr>
    </w:div>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237714154">
      <w:bodyDiv w:val="1"/>
      <w:marLeft w:val="0"/>
      <w:marRight w:val="0"/>
      <w:marTop w:val="0"/>
      <w:marBottom w:val="0"/>
      <w:divBdr>
        <w:top w:val="none" w:sz="0" w:space="0" w:color="auto"/>
        <w:left w:val="none" w:sz="0" w:space="0" w:color="auto"/>
        <w:bottom w:val="none" w:sz="0" w:space="0" w:color="auto"/>
        <w:right w:val="none" w:sz="0" w:space="0" w:color="auto"/>
      </w:divBdr>
    </w:div>
    <w:div w:id="1340348603">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diario-puntual.com.mx/concluye-con-gran-exito-la-feria-regional-tecamac-202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889noticias.mx/noticias/con-eventos-artisticos-y-culturales-inicio-la-feria-regional-de-tecamac/"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13509</Words>
  <Characters>74301</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2022-10-20T15:44:00Z</cp:lastPrinted>
  <dcterms:created xsi:type="dcterms:W3CDTF">2022-11-04T21:24:00Z</dcterms:created>
  <dcterms:modified xsi:type="dcterms:W3CDTF">2022-11-04T21:24:00Z</dcterms:modified>
</cp:coreProperties>
</file>