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B0455D" w:rsidR="00066B31" w:rsidP="00A158AB" w:rsidRDefault="00066B31" w14:paraId="03223C84" w14:textId="6B438FF9">
      <w:pPr>
        <w:spacing w:after="0" w:line="360" w:lineRule="auto"/>
        <w:rPr>
          <w:rFonts w:cs="Tahoma"/>
        </w:rPr>
      </w:pPr>
      <w:r w:rsidRPr="00B0455D">
        <w:rPr>
          <w:rFonts w:cs="Tahoma"/>
        </w:rPr>
        <w:t xml:space="preserve">Resolución del Pleno del Instituto de Transparencia, Acceso a la Información Pública y Protección de Datos Personales del Estado de México y Municipios, con domicilio en Metepec, Estado de México, de fecha </w:t>
      </w:r>
      <w:r w:rsidRPr="00B0455D" w:rsidR="007438A1">
        <w:rPr>
          <w:rFonts w:cs="Tahoma"/>
        </w:rPr>
        <w:t>veinticuatro</w:t>
      </w:r>
      <w:r w:rsidRPr="00B0455D" w:rsidR="00480903">
        <w:rPr>
          <w:rFonts w:cs="Tahoma"/>
        </w:rPr>
        <w:t xml:space="preserve"> de</w:t>
      </w:r>
      <w:r w:rsidRPr="00B0455D" w:rsidR="008449DD">
        <w:rPr>
          <w:rFonts w:cs="Tahoma"/>
        </w:rPr>
        <w:t xml:space="preserve"> </w:t>
      </w:r>
      <w:r w:rsidRPr="00B0455D" w:rsidR="007438A1">
        <w:rPr>
          <w:rFonts w:cs="Tahoma"/>
        </w:rPr>
        <w:t>agosto</w:t>
      </w:r>
      <w:r w:rsidRPr="00B0455D">
        <w:rPr>
          <w:rFonts w:cs="Tahoma"/>
        </w:rPr>
        <w:t xml:space="preserve"> de dos mil veintidós.</w:t>
      </w:r>
    </w:p>
    <w:p w:rsidRPr="00B0455D" w:rsidR="00066B31" w:rsidP="00A158AB" w:rsidRDefault="00066B31" w14:paraId="53783A9E" w14:textId="77777777">
      <w:pPr>
        <w:spacing w:after="0" w:line="360" w:lineRule="auto"/>
        <w:rPr>
          <w:rFonts w:cs="Tahoma"/>
          <w:bCs/>
        </w:rPr>
      </w:pPr>
    </w:p>
    <w:p w:rsidRPr="00B0455D" w:rsidR="00066B31" w:rsidP="007438A1" w:rsidRDefault="00066B31" w14:paraId="466D8EC0" w14:textId="6A34BF0D">
      <w:pPr>
        <w:spacing w:after="0" w:line="360" w:lineRule="auto"/>
        <w:rPr>
          <w:rFonts w:cs="Tahoma"/>
        </w:rPr>
      </w:pPr>
      <w:r w:rsidRPr="304536CA" w:rsidR="304536CA">
        <w:rPr>
          <w:rFonts w:cs="Tahoma"/>
          <w:b w:val="1"/>
          <w:bCs w:val="1"/>
        </w:rPr>
        <w:t xml:space="preserve">VISTO </w:t>
      </w:r>
      <w:r w:rsidRPr="304536CA" w:rsidR="304536CA">
        <w:rPr>
          <w:rFonts w:cs="Tahoma"/>
        </w:rPr>
        <w:t xml:space="preserve">el expediente conformado con motivo del Recurso de Revisión </w:t>
      </w:r>
      <w:r w:rsidR="304536CA">
        <w:rPr/>
        <w:t>11441/INFOEM/IP/RR/2022</w:t>
      </w:r>
      <w:r w:rsidRPr="304536CA" w:rsidR="304536CA">
        <w:rPr>
          <w:rFonts w:cs="Tahoma"/>
        </w:rPr>
        <w:t xml:space="preserve">, interpuesto por </w:t>
      </w:r>
      <w:r w:rsidRPr="304536CA" w:rsidR="304536CA">
        <w:rPr>
          <w:rFonts w:cs="Tahoma"/>
          <w:highlight w:val="black"/>
        </w:rPr>
        <w:t>XXXXXXXXXXXXXXXXXXXXXXXXXXXX</w:t>
      </w:r>
      <w:r w:rsidRPr="304536CA" w:rsidR="304536CA">
        <w:rPr>
          <w:rFonts w:cs="Tahoma"/>
        </w:rPr>
        <w:t>, en lo sucesivo el</w:t>
      </w:r>
      <w:r w:rsidR="304536CA">
        <w:rPr/>
        <w:t xml:space="preserve"> </w:t>
      </w:r>
      <w:r w:rsidRPr="304536CA" w:rsidR="304536CA">
        <w:rPr>
          <w:rFonts w:cs="Tahoma"/>
        </w:rPr>
        <w:t xml:space="preserve">Recurrente o Particular, en contra de la respuesta del Sujeto Obligado, Ayuntamiento de Nextlalpan, a la solicitud de información con número </w:t>
      </w:r>
      <w:r w:rsidR="304536CA">
        <w:rPr/>
        <w:t>00069/NEXTLAL/IP/2022</w:t>
      </w:r>
      <w:r w:rsidRPr="304536CA" w:rsidR="304536CA">
        <w:rPr>
          <w:rFonts w:cs="Tahoma"/>
        </w:rPr>
        <w:t>, se emite la presente Resolución, con base en los Antecedentes y Considerandos que se exponen a continuación:</w:t>
      </w:r>
    </w:p>
    <w:p w:rsidRPr="00B0455D" w:rsidR="00066B31" w:rsidP="00A158AB" w:rsidRDefault="00066B31" w14:paraId="740A33F0" w14:textId="77777777">
      <w:pPr>
        <w:tabs>
          <w:tab w:val="left" w:pos="6735"/>
        </w:tabs>
        <w:spacing w:after="0" w:line="360" w:lineRule="auto"/>
        <w:rPr>
          <w:rFonts w:cs="Tahoma"/>
        </w:rPr>
      </w:pPr>
    </w:p>
    <w:p w:rsidRPr="00B0455D" w:rsidR="00066B31" w:rsidP="00A158AB" w:rsidRDefault="00066B31" w14:paraId="4677765F" w14:textId="77777777">
      <w:pPr>
        <w:tabs>
          <w:tab w:val="center" w:pos="4522"/>
          <w:tab w:val="left" w:pos="7245"/>
        </w:tabs>
        <w:spacing w:after="0" w:line="360" w:lineRule="auto"/>
        <w:jc w:val="center"/>
        <w:rPr>
          <w:rFonts w:cs="Tahoma"/>
          <w:b/>
        </w:rPr>
      </w:pPr>
      <w:r w:rsidRPr="00B0455D">
        <w:rPr>
          <w:rFonts w:cs="Tahoma"/>
          <w:b/>
        </w:rPr>
        <w:t>A N T E C E D E N T E S:</w:t>
      </w:r>
    </w:p>
    <w:p w:rsidRPr="00B0455D" w:rsidR="00066B31" w:rsidP="00A158AB" w:rsidRDefault="00066B31" w14:paraId="700501D6" w14:textId="77777777">
      <w:pPr>
        <w:spacing w:after="0" w:line="360" w:lineRule="auto"/>
      </w:pPr>
    </w:p>
    <w:p w:rsidRPr="00B0455D" w:rsidR="00066B31" w:rsidP="00A158AB" w:rsidRDefault="00066B31" w14:paraId="0B245B18" w14:textId="77777777">
      <w:pPr>
        <w:pStyle w:val="Prrafodelista"/>
        <w:tabs>
          <w:tab w:val="left" w:pos="567"/>
        </w:tabs>
        <w:spacing w:line="360" w:lineRule="auto"/>
        <w:ind w:left="0"/>
        <w:jc w:val="both"/>
        <w:rPr>
          <w:rFonts w:ascii="Palatino Linotype" w:hAnsi="Palatino Linotype" w:cs="Tahoma"/>
          <w:b/>
          <w:color w:val="000000" w:themeColor="text1"/>
          <w:szCs w:val="22"/>
        </w:rPr>
      </w:pPr>
      <w:r w:rsidRPr="00B0455D">
        <w:rPr>
          <w:rFonts w:ascii="Palatino Linotype" w:hAnsi="Palatino Linotype" w:cs="Tahoma"/>
          <w:b/>
          <w:color w:val="000000" w:themeColor="text1"/>
          <w:szCs w:val="22"/>
        </w:rPr>
        <w:t xml:space="preserve">I. Presentación de la solicitud de información. </w:t>
      </w:r>
    </w:p>
    <w:p w:rsidRPr="00B0455D" w:rsidR="00066B31" w:rsidP="00A158AB" w:rsidRDefault="00066B31" w14:paraId="0CC74E03" w14:textId="77777777">
      <w:pPr>
        <w:pStyle w:val="Prrafodelista"/>
        <w:tabs>
          <w:tab w:val="left" w:pos="567"/>
        </w:tabs>
        <w:spacing w:line="360" w:lineRule="auto"/>
        <w:ind w:left="0"/>
        <w:jc w:val="both"/>
        <w:rPr>
          <w:rFonts w:ascii="Palatino Linotype" w:hAnsi="Palatino Linotype" w:cs="Tahoma"/>
          <w:color w:val="000000" w:themeColor="text1"/>
          <w:szCs w:val="22"/>
        </w:rPr>
      </w:pPr>
    </w:p>
    <w:p w:rsidRPr="00B0455D" w:rsidR="00066B31" w:rsidP="00A158AB" w:rsidRDefault="00066B31" w14:paraId="55087599" w14:textId="38A4B5B2">
      <w:pPr>
        <w:tabs>
          <w:tab w:val="left" w:pos="567"/>
        </w:tabs>
        <w:spacing w:after="0" w:line="360" w:lineRule="auto"/>
        <w:ind w:right="-28"/>
        <w:rPr>
          <w:rFonts w:cs="Tahoma"/>
        </w:rPr>
      </w:pPr>
      <w:r w:rsidRPr="00B0455D">
        <w:rPr>
          <w:rFonts w:cs="Tahoma"/>
        </w:rPr>
        <w:t xml:space="preserve">Con fecha </w:t>
      </w:r>
      <w:r w:rsidRPr="00B0455D" w:rsidR="007438A1">
        <w:rPr>
          <w:rFonts w:cs="Tahoma"/>
        </w:rPr>
        <w:t>veinticinco</w:t>
      </w:r>
      <w:r w:rsidRPr="00B0455D" w:rsidR="00985E40">
        <w:rPr>
          <w:rFonts w:cs="Tahoma"/>
        </w:rPr>
        <w:t xml:space="preserve"> de </w:t>
      </w:r>
      <w:r w:rsidRPr="00B0455D" w:rsidR="007438A1">
        <w:rPr>
          <w:rFonts w:cs="Tahoma"/>
        </w:rPr>
        <w:t>mayo</w:t>
      </w:r>
      <w:r w:rsidRPr="00B0455D">
        <w:rPr>
          <w:rFonts w:cs="Tahoma"/>
        </w:rPr>
        <w:t xml:space="preserve"> de dos mil veintidós, </w:t>
      </w:r>
      <w:r w:rsidRPr="00B0455D" w:rsidR="00043C41">
        <w:rPr>
          <w:rFonts w:cs="Tahoma"/>
        </w:rPr>
        <w:t>el</w:t>
      </w:r>
      <w:r w:rsidRPr="00B0455D">
        <w:rPr>
          <w:rFonts w:cs="Tahoma"/>
        </w:rPr>
        <w:t xml:space="preserve"> Particular presentó una solicitud de acceso a la información pública, a través del Sistema de Acceso a la Información Mexiquense </w:t>
      </w:r>
      <w:r w:rsidRPr="00B0455D">
        <w:rPr>
          <w:rFonts w:cs="Tahoma"/>
          <w:lang w:val="es-ES"/>
        </w:rPr>
        <w:t>(SAIMEX), con número de folio de la solicitud</w:t>
      </w:r>
      <w:r w:rsidRPr="00B0455D" w:rsidR="00FE0ADD">
        <w:rPr>
          <w:rFonts w:cs="Tahoma"/>
          <w:lang w:val="es-ES"/>
        </w:rPr>
        <w:t xml:space="preserve"> </w:t>
      </w:r>
      <w:r w:rsidRPr="00B0455D" w:rsidR="007438A1">
        <w:t>00069/NEXTLAL/IP/2022</w:t>
      </w:r>
      <w:r w:rsidRPr="00B0455D">
        <w:rPr>
          <w:rFonts w:cs="Tahoma"/>
        </w:rPr>
        <w:t xml:space="preserve">, ante el </w:t>
      </w:r>
      <w:r w:rsidRPr="00B0455D" w:rsidR="003C31A0">
        <w:rPr>
          <w:rFonts w:cs="Tahoma"/>
        </w:rPr>
        <w:t xml:space="preserve">Ayuntamiento de </w:t>
      </w:r>
      <w:r w:rsidRPr="00B0455D" w:rsidR="007438A1">
        <w:rPr>
          <w:rFonts w:cs="Tahoma"/>
        </w:rPr>
        <w:t>Nextlalpan</w:t>
      </w:r>
      <w:r w:rsidRPr="00B0455D">
        <w:rPr>
          <w:rFonts w:cs="Tahoma"/>
        </w:rPr>
        <w:t>, en los siguientes términos:</w:t>
      </w:r>
    </w:p>
    <w:p w:rsidRPr="00B0455D" w:rsidR="00FB4AE8" w:rsidP="00A158AB" w:rsidRDefault="00FB4AE8" w14:paraId="067CC026" w14:textId="77777777">
      <w:pPr>
        <w:pStyle w:val="Prrafodelista"/>
        <w:tabs>
          <w:tab w:val="left" w:pos="567"/>
        </w:tabs>
        <w:spacing w:line="360" w:lineRule="auto"/>
        <w:ind w:left="0"/>
        <w:jc w:val="both"/>
        <w:rPr>
          <w:rFonts w:ascii="Palatino Linotype" w:hAnsi="Palatino Linotype" w:cs="Tahoma"/>
          <w:color w:val="000000" w:themeColor="text1"/>
          <w:szCs w:val="22"/>
          <w:lang w:val="es-ES"/>
        </w:rPr>
      </w:pPr>
    </w:p>
    <w:p w:rsidRPr="00B0455D" w:rsidR="00066B31" w:rsidP="00A158AB" w:rsidRDefault="00066B31" w14:paraId="130FEFE5" w14:textId="77777777">
      <w:pPr>
        <w:tabs>
          <w:tab w:val="left" w:pos="4667"/>
        </w:tabs>
        <w:spacing w:after="0" w:line="360" w:lineRule="auto"/>
        <w:ind w:left="567" w:right="567"/>
        <w:rPr>
          <w:rFonts w:cs="Tahoma"/>
          <w:b/>
          <w:bCs/>
          <w:i/>
          <w:sz w:val="20"/>
          <w:szCs w:val="20"/>
        </w:rPr>
      </w:pPr>
      <w:r w:rsidRPr="00B0455D">
        <w:rPr>
          <w:rFonts w:cs="Tahoma"/>
          <w:b/>
          <w:bCs/>
          <w:i/>
          <w:sz w:val="20"/>
          <w:szCs w:val="20"/>
        </w:rPr>
        <w:t>“DESCRIPCIÓN CLARA Y PRECISA DE LA INFORMACIÓN SOLICITADA</w:t>
      </w:r>
    </w:p>
    <w:p w:rsidRPr="00B0455D" w:rsidR="00066B31" w:rsidP="00A158AB" w:rsidRDefault="007438A1" w14:paraId="6572CF93" w14:textId="493C629B">
      <w:pPr>
        <w:tabs>
          <w:tab w:val="left" w:pos="4667"/>
        </w:tabs>
        <w:spacing w:after="0" w:line="360" w:lineRule="auto"/>
        <w:ind w:left="567" w:right="567"/>
        <w:rPr>
          <w:rFonts w:cs="Tahoma"/>
          <w:bCs/>
          <w:i/>
          <w:iCs/>
          <w:sz w:val="20"/>
          <w:szCs w:val="20"/>
        </w:rPr>
      </w:pPr>
      <w:r w:rsidRPr="00B0455D">
        <w:rPr>
          <w:i/>
          <w:iCs/>
          <w:color w:val="000000"/>
          <w:sz w:val="20"/>
          <w:szCs w:val="20"/>
        </w:rPr>
        <w:t xml:space="preserve">Contratos, asignaciones directas e invitaciones restringidas de obra pública, otorgados por el Ayuntamiento de Nextlalpan, Estado de </w:t>
      </w:r>
      <w:proofErr w:type="spellStart"/>
      <w:proofErr w:type="gramStart"/>
      <w:r w:rsidRPr="00B0455D">
        <w:rPr>
          <w:i/>
          <w:iCs/>
          <w:color w:val="000000"/>
          <w:sz w:val="20"/>
          <w:szCs w:val="20"/>
        </w:rPr>
        <w:t>México,Administración</w:t>
      </w:r>
      <w:proofErr w:type="spellEnd"/>
      <w:proofErr w:type="gramEnd"/>
      <w:r w:rsidRPr="00B0455D">
        <w:rPr>
          <w:i/>
          <w:iCs/>
          <w:color w:val="000000"/>
          <w:sz w:val="20"/>
          <w:szCs w:val="20"/>
        </w:rPr>
        <w:t xml:space="preserve"> 2016- 2018, durante el año 2016</w:t>
      </w:r>
      <w:r w:rsidRPr="00B0455D" w:rsidR="00066B31">
        <w:rPr>
          <w:rFonts w:cs="Tahoma"/>
          <w:bCs/>
          <w:i/>
          <w:iCs/>
          <w:sz w:val="20"/>
          <w:szCs w:val="20"/>
        </w:rPr>
        <w:t xml:space="preserve">” </w:t>
      </w:r>
      <w:r w:rsidRPr="00B0455D" w:rsidR="00066B31">
        <w:rPr>
          <w:rFonts w:eastAsia="Times New Roman" w:cs="Arial"/>
          <w:bCs/>
          <w:i/>
          <w:iCs/>
          <w:sz w:val="20"/>
          <w:szCs w:val="20"/>
          <w:lang w:eastAsia="es-ES"/>
        </w:rPr>
        <w:t>(Sic)</w:t>
      </w:r>
    </w:p>
    <w:p w:rsidRPr="00B0455D" w:rsidR="00FB4AE8" w:rsidP="00A158AB" w:rsidRDefault="00FB4AE8" w14:paraId="190C62D5" w14:textId="77777777">
      <w:pPr>
        <w:tabs>
          <w:tab w:val="left" w:pos="4667"/>
        </w:tabs>
        <w:spacing w:after="0" w:line="360" w:lineRule="auto"/>
        <w:ind w:left="567" w:right="567"/>
        <w:rPr>
          <w:rFonts w:cs="Tahoma"/>
          <w:bCs/>
          <w:i/>
          <w:sz w:val="20"/>
          <w:szCs w:val="20"/>
        </w:rPr>
      </w:pPr>
    </w:p>
    <w:p w:rsidRPr="00B0455D" w:rsidR="00066B31" w:rsidP="00A158AB" w:rsidRDefault="00066B31" w14:paraId="001974F3" w14:textId="77777777">
      <w:pPr>
        <w:tabs>
          <w:tab w:val="left" w:pos="4667"/>
        </w:tabs>
        <w:spacing w:after="0" w:line="360" w:lineRule="auto"/>
        <w:ind w:left="567" w:right="567"/>
        <w:rPr>
          <w:rFonts w:eastAsia="Times New Roman" w:cs="Tahoma"/>
          <w:b/>
          <w:bCs/>
          <w:i/>
          <w:iCs/>
          <w:sz w:val="20"/>
          <w:szCs w:val="20"/>
          <w:lang w:eastAsia="es-ES"/>
        </w:rPr>
      </w:pPr>
      <w:r w:rsidRPr="00B0455D">
        <w:rPr>
          <w:rFonts w:eastAsia="Times New Roman" w:cs="Tahoma"/>
          <w:b/>
          <w:bCs/>
          <w:i/>
          <w:iCs/>
          <w:sz w:val="20"/>
          <w:szCs w:val="20"/>
          <w:lang w:eastAsia="es-ES"/>
        </w:rPr>
        <w:t>“MODALIDAD DE ENTREGA</w:t>
      </w:r>
    </w:p>
    <w:p w:rsidRPr="00B0455D" w:rsidR="00386C97" w:rsidP="00E32882" w:rsidRDefault="00066B31" w14:paraId="51B42CA1" w14:textId="0A651AEA">
      <w:pPr>
        <w:spacing w:after="0" w:line="360" w:lineRule="auto"/>
        <w:ind w:left="567" w:right="567"/>
        <w:rPr>
          <w:rFonts w:eastAsia="Times New Roman" w:cs="Arial"/>
          <w:bCs/>
          <w:i/>
          <w:iCs/>
          <w:sz w:val="20"/>
          <w:szCs w:val="20"/>
          <w:lang w:eastAsia="es-ES"/>
        </w:rPr>
      </w:pPr>
      <w:r w:rsidRPr="00B0455D">
        <w:rPr>
          <w:rFonts w:eastAsia="Times New Roman" w:cs="Arial"/>
          <w:bCs/>
          <w:i/>
          <w:iCs/>
          <w:sz w:val="20"/>
          <w:szCs w:val="20"/>
          <w:lang w:eastAsia="es-ES"/>
        </w:rPr>
        <w:t>A través del SAIMEX” (Sic)</w:t>
      </w:r>
    </w:p>
    <w:p w:rsidRPr="00B0455D" w:rsidR="00E32882" w:rsidP="00E32882" w:rsidRDefault="00E32882" w14:paraId="63C642C5" w14:textId="77777777">
      <w:pPr>
        <w:spacing w:after="0" w:line="360" w:lineRule="auto"/>
        <w:ind w:left="567" w:right="567"/>
        <w:rPr>
          <w:rFonts w:eastAsia="Times New Roman" w:cs="Arial"/>
          <w:bCs/>
          <w:i/>
          <w:iCs/>
          <w:sz w:val="20"/>
          <w:szCs w:val="20"/>
          <w:lang w:eastAsia="es-ES"/>
        </w:rPr>
      </w:pPr>
    </w:p>
    <w:p w:rsidRPr="00B0455D" w:rsidR="0081647F" w:rsidP="00A158AB" w:rsidRDefault="00D71437" w14:paraId="0CEDCDD1" w14:textId="2C9FC23B">
      <w:pPr>
        <w:autoSpaceDE w:val="0"/>
        <w:autoSpaceDN w:val="0"/>
        <w:adjustRightInd w:val="0"/>
        <w:spacing w:after="0" w:line="360" w:lineRule="auto"/>
        <w:rPr>
          <w:rFonts w:eastAsia="Times New Roman" w:cs="Tahoma"/>
          <w:b/>
          <w:bCs/>
          <w:color w:val="auto"/>
          <w:szCs w:val="24"/>
          <w:lang w:eastAsia="es-ES"/>
        </w:rPr>
      </w:pPr>
      <w:r w:rsidRPr="00B0455D">
        <w:rPr>
          <w:rFonts w:eastAsia="Times New Roman" w:cs="Tahoma"/>
          <w:b/>
          <w:color w:val="auto"/>
          <w:szCs w:val="24"/>
          <w:lang w:eastAsia="es-ES"/>
        </w:rPr>
        <w:t xml:space="preserve">II. </w:t>
      </w:r>
      <w:r w:rsidRPr="00B0455D" w:rsidR="0081647F">
        <w:rPr>
          <w:rFonts w:eastAsia="Times New Roman" w:cs="Tahoma"/>
          <w:b/>
          <w:color w:val="auto"/>
          <w:szCs w:val="24"/>
          <w:lang w:eastAsia="es-ES"/>
        </w:rPr>
        <w:t>Respuesta</w:t>
      </w:r>
      <w:r w:rsidRPr="00B0455D" w:rsidR="0081647F">
        <w:rPr>
          <w:rFonts w:eastAsia="Times New Roman" w:cs="Tahoma"/>
          <w:b/>
          <w:bCs/>
          <w:color w:val="auto"/>
          <w:szCs w:val="24"/>
          <w:lang w:eastAsia="es-ES"/>
        </w:rPr>
        <w:t xml:space="preserve"> del Sujeto Obligado.</w:t>
      </w:r>
    </w:p>
    <w:p w:rsidRPr="00B0455D" w:rsidR="0081647F" w:rsidP="00A158AB" w:rsidRDefault="0081647F" w14:paraId="19FD8659" w14:textId="77777777">
      <w:pPr>
        <w:autoSpaceDE w:val="0"/>
        <w:autoSpaceDN w:val="0"/>
        <w:adjustRightInd w:val="0"/>
        <w:spacing w:after="0" w:line="360" w:lineRule="auto"/>
        <w:rPr>
          <w:rFonts w:eastAsia="Times New Roman" w:cs="Tahoma"/>
          <w:bCs/>
          <w:color w:val="auto"/>
          <w:szCs w:val="24"/>
          <w:lang w:eastAsia="es-ES"/>
        </w:rPr>
      </w:pPr>
    </w:p>
    <w:p w:rsidRPr="00B0455D" w:rsidR="0081647F" w:rsidP="00A158AB" w:rsidRDefault="0081647F" w14:paraId="2E17B962" w14:textId="302AAF2E">
      <w:pPr>
        <w:autoSpaceDE w:val="0"/>
        <w:autoSpaceDN w:val="0"/>
        <w:adjustRightInd w:val="0"/>
        <w:spacing w:after="0" w:line="360" w:lineRule="auto"/>
        <w:rPr>
          <w:rFonts w:eastAsia="Times New Roman" w:cs="Tahoma"/>
          <w:color w:val="auto"/>
          <w:szCs w:val="24"/>
          <w:lang w:eastAsia="es-ES"/>
        </w:rPr>
      </w:pPr>
      <w:r w:rsidRPr="00B0455D">
        <w:rPr>
          <w:rFonts w:eastAsia="Times New Roman" w:cs="Tahoma"/>
          <w:bCs/>
          <w:color w:val="auto"/>
          <w:szCs w:val="24"/>
          <w:lang w:eastAsia="es-ES"/>
        </w:rPr>
        <w:t xml:space="preserve">El </w:t>
      </w:r>
      <w:r w:rsidRPr="00B0455D" w:rsidR="007438A1">
        <w:rPr>
          <w:rFonts w:eastAsia="Times New Roman" w:cs="Tahoma"/>
          <w:bCs/>
          <w:color w:val="auto"/>
          <w:szCs w:val="24"/>
          <w:lang w:eastAsia="es-ES"/>
        </w:rPr>
        <w:t>quince</w:t>
      </w:r>
      <w:r w:rsidRPr="00B0455D">
        <w:rPr>
          <w:rFonts w:eastAsia="Times New Roman" w:cs="Tahoma"/>
          <w:bCs/>
          <w:color w:val="auto"/>
          <w:szCs w:val="24"/>
          <w:lang w:eastAsia="es-ES"/>
        </w:rPr>
        <w:t xml:space="preserve"> de </w:t>
      </w:r>
      <w:r w:rsidRPr="00B0455D" w:rsidR="007438A1">
        <w:rPr>
          <w:rFonts w:eastAsia="Times New Roman" w:cs="Tahoma"/>
          <w:bCs/>
          <w:color w:val="auto"/>
          <w:szCs w:val="24"/>
          <w:lang w:eastAsia="es-ES"/>
        </w:rPr>
        <w:t>junio</w:t>
      </w:r>
      <w:r w:rsidRPr="00B0455D">
        <w:rPr>
          <w:rFonts w:eastAsia="Times New Roman" w:cs="Tahoma"/>
          <w:bCs/>
          <w:color w:val="auto"/>
          <w:szCs w:val="24"/>
          <w:lang w:eastAsia="es-ES"/>
        </w:rPr>
        <w:t xml:space="preserve"> de dos mil veintidós, el</w:t>
      </w:r>
      <w:r w:rsidRPr="00B0455D">
        <w:rPr>
          <w:rFonts w:eastAsia="Times New Roman" w:cs="Tahoma"/>
          <w:b/>
          <w:color w:val="auto"/>
          <w:szCs w:val="24"/>
          <w:lang w:eastAsia="es-ES"/>
        </w:rPr>
        <w:t xml:space="preserve"> </w:t>
      </w:r>
      <w:r w:rsidRPr="00B0455D">
        <w:rPr>
          <w:rFonts w:eastAsia="Times New Roman" w:cs="Tahoma"/>
          <w:color w:val="auto"/>
          <w:szCs w:val="24"/>
          <w:lang w:eastAsia="es-ES"/>
        </w:rPr>
        <w:t xml:space="preserve">Sujeto Obligado dio respuesta a la solicitud de acceso a la información a través del Sistema de Acceso a la Información Mexiquense (SAIMEX), a través del oficio número </w:t>
      </w:r>
      <w:r w:rsidRPr="00B0455D" w:rsidR="00EF7E63">
        <w:rPr>
          <w:rFonts w:eastAsia="Times New Roman" w:cs="Tahoma"/>
          <w:color w:val="auto"/>
          <w:szCs w:val="24"/>
          <w:lang w:eastAsia="es-ES"/>
        </w:rPr>
        <w:t>NEXTAIP/205/2022</w:t>
      </w:r>
      <w:r w:rsidRPr="00B0455D">
        <w:rPr>
          <w:rFonts w:eastAsia="Times New Roman" w:cs="Tahoma"/>
          <w:color w:val="auto"/>
          <w:szCs w:val="24"/>
          <w:lang w:eastAsia="es-ES"/>
        </w:rPr>
        <w:t xml:space="preserve">, </w:t>
      </w:r>
      <w:r w:rsidRPr="00B0455D" w:rsidR="00EF7E63">
        <w:rPr>
          <w:rFonts w:eastAsia="Times New Roman" w:cs="Tahoma"/>
          <w:color w:val="auto"/>
          <w:szCs w:val="24"/>
          <w:lang w:eastAsia="es-ES"/>
        </w:rPr>
        <w:t>de la misma fecha de recepción</w:t>
      </w:r>
      <w:r w:rsidRPr="00B0455D">
        <w:rPr>
          <w:rFonts w:eastAsia="Times New Roman" w:cs="Tahoma"/>
          <w:color w:val="auto"/>
          <w:szCs w:val="24"/>
          <w:lang w:eastAsia="es-ES"/>
        </w:rPr>
        <w:t>, suscrito por</w:t>
      </w:r>
      <w:r w:rsidRPr="00B0455D" w:rsidR="003E2E42">
        <w:rPr>
          <w:rFonts w:eastAsia="Times New Roman" w:cs="Tahoma"/>
          <w:color w:val="auto"/>
          <w:szCs w:val="24"/>
          <w:lang w:eastAsia="es-ES"/>
        </w:rPr>
        <w:t xml:space="preserve"> </w:t>
      </w:r>
      <w:r w:rsidRPr="00B0455D" w:rsidR="00EF7E63">
        <w:rPr>
          <w:rFonts w:eastAsia="Times New Roman" w:cs="Tahoma"/>
          <w:color w:val="auto"/>
          <w:szCs w:val="24"/>
          <w:lang w:eastAsia="es-ES"/>
        </w:rPr>
        <w:t xml:space="preserve">la </w:t>
      </w:r>
      <w:r w:rsidRPr="00B0455D" w:rsidR="00E32882">
        <w:rPr>
          <w:rFonts w:eastAsia="Times New Roman" w:cs="Tahoma"/>
          <w:color w:val="auto"/>
          <w:szCs w:val="24"/>
          <w:lang w:eastAsia="es-ES"/>
        </w:rPr>
        <w:t>Titular de la</w:t>
      </w:r>
      <w:r w:rsidRPr="00B0455D">
        <w:rPr>
          <w:rFonts w:eastAsia="Times New Roman" w:cs="Tahoma"/>
          <w:color w:val="auto"/>
          <w:szCs w:val="24"/>
          <w:lang w:eastAsia="es-ES"/>
        </w:rPr>
        <w:t xml:space="preserve"> de </w:t>
      </w:r>
      <w:r w:rsidRPr="00B0455D" w:rsidR="00EF2ACF">
        <w:rPr>
          <w:rFonts w:eastAsia="Times New Roman" w:cs="Tahoma"/>
          <w:color w:val="auto"/>
          <w:szCs w:val="24"/>
          <w:lang w:eastAsia="es-ES"/>
        </w:rPr>
        <w:t xml:space="preserve">la Unidad de </w:t>
      </w:r>
      <w:r w:rsidRPr="00B0455D">
        <w:rPr>
          <w:rFonts w:eastAsia="Times New Roman" w:cs="Tahoma"/>
          <w:color w:val="auto"/>
          <w:szCs w:val="24"/>
          <w:lang w:eastAsia="es-ES"/>
        </w:rPr>
        <w:t xml:space="preserve">Transparencia, mediante el cual </w:t>
      </w:r>
      <w:r w:rsidRPr="00B0455D" w:rsidR="00EF7E63">
        <w:rPr>
          <w:rFonts w:eastAsia="Times New Roman" w:cs="Tahoma"/>
          <w:color w:val="auto"/>
          <w:szCs w:val="24"/>
          <w:lang w:eastAsia="es-ES"/>
        </w:rPr>
        <w:t>remite el diverso DOP/0059/2022, del cuatro de febrero de dos mil veintidós, suscrito por el Director de Obras Públicas y dirigido al Titular de la de la Unidad de Transparencia, en los términos siguientes:</w:t>
      </w:r>
    </w:p>
    <w:p w:rsidRPr="00B0455D" w:rsidR="00EF2ACF" w:rsidP="00A158AB" w:rsidRDefault="00EF2ACF" w14:paraId="6A5E19F2" w14:textId="37163C58">
      <w:pPr>
        <w:autoSpaceDE w:val="0"/>
        <w:autoSpaceDN w:val="0"/>
        <w:adjustRightInd w:val="0"/>
        <w:spacing w:after="0" w:line="360" w:lineRule="auto"/>
        <w:rPr>
          <w:rFonts w:eastAsia="Times New Roman" w:cs="Tahoma"/>
          <w:color w:val="auto"/>
          <w:szCs w:val="24"/>
          <w:lang w:eastAsia="es-ES"/>
        </w:rPr>
      </w:pPr>
    </w:p>
    <w:p w:rsidRPr="00B0455D" w:rsidR="00EF2ACF" w:rsidP="00DC411A" w:rsidRDefault="00EF2ACF" w14:paraId="6B15D73B" w14:textId="675FBCC5">
      <w:pPr>
        <w:autoSpaceDE w:val="0"/>
        <w:autoSpaceDN w:val="0"/>
        <w:adjustRightInd w:val="0"/>
        <w:spacing w:after="0" w:line="360" w:lineRule="auto"/>
        <w:ind w:left="567" w:right="567"/>
        <w:rPr>
          <w:rFonts w:eastAsia="Times New Roman" w:cs="Tahoma"/>
          <w:i/>
          <w:iCs/>
          <w:color w:val="auto"/>
          <w:sz w:val="20"/>
          <w:lang w:eastAsia="es-ES"/>
        </w:rPr>
      </w:pPr>
      <w:r w:rsidRPr="00B0455D">
        <w:rPr>
          <w:rFonts w:eastAsia="Times New Roman" w:cs="Tahoma"/>
          <w:i/>
          <w:iCs/>
          <w:color w:val="auto"/>
          <w:sz w:val="20"/>
          <w:lang w:eastAsia="es-ES"/>
        </w:rPr>
        <w:t>“…</w:t>
      </w:r>
    </w:p>
    <w:p w:rsidRPr="00B0455D" w:rsidR="00EF7E63" w:rsidP="00DC411A" w:rsidRDefault="00EF7E63" w14:paraId="75F2DE98" w14:textId="2193E7DD">
      <w:pPr>
        <w:autoSpaceDE w:val="0"/>
        <w:autoSpaceDN w:val="0"/>
        <w:adjustRightInd w:val="0"/>
        <w:spacing w:after="0" w:line="360" w:lineRule="auto"/>
        <w:ind w:left="567" w:right="567"/>
        <w:rPr>
          <w:rFonts w:eastAsia="Times New Roman" w:cs="Tahoma"/>
          <w:i/>
          <w:iCs/>
          <w:color w:val="auto"/>
          <w:sz w:val="20"/>
          <w:lang w:eastAsia="es-ES"/>
        </w:rPr>
      </w:pPr>
      <w:r w:rsidRPr="00B0455D">
        <w:rPr>
          <w:rFonts w:eastAsia="Times New Roman" w:cs="Tahoma"/>
          <w:i/>
          <w:iCs/>
          <w:color w:val="auto"/>
          <w:sz w:val="20"/>
          <w:lang w:eastAsia="es-ES"/>
        </w:rPr>
        <w:t>Por lo anterior anexo a la presente listado de obra</w:t>
      </w:r>
    </w:p>
    <w:p w:rsidRPr="00B0455D" w:rsidR="00EF2ACF" w:rsidP="00DC411A" w:rsidRDefault="007944F9" w14:paraId="466BB16A" w14:textId="4FA92ED8">
      <w:pPr>
        <w:autoSpaceDE w:val="0"/>
        <w:autoSpaceDN w:val="0"/>
        <w:adjustRightInd w:val="0"/>
        <w:spacing w:after="0" w:line="360" w:lineRule="auto"/>
        <w:ind w:left="567" w:right="567"/>
        <w:rPr>
          <w:rFonts w:eastAsia="Times New Roman" w:cs="Tahoma"/>
          <w:i/>
          <w:iCs/>
          <w:color w:val="auto"/>
          <w:sz w:val="20"/>
          <w:lang w:eastAsia="es-ES"/>
        </w:rPr>
      </w:pPr>
      <w:r w:rsidRPr="00B0455D">
        <w:rPr>
          <w:rFonts w:eastAsia="Times New Roman" w:cs="Tahoma"/>
          <w:i/>
          <w:iCs/>
          <w:color w:val="auto"/>
          <w:sz w:val="20"/>
          <w:lang w:eastAsia="es-ES"/>
        </w:rPr>
        <w:t>.</w:t>
      </w:r>
      <w:r w:rsidRPr="00B0455D" w:rsidR="00EF2ACF">
        <w:rPr>
          <w:rFonts w:eastAsia="Times New Roman" w:cs="Tahoma"/>
          <w:i/>
          <w:iCs/>
          <w:color w:val="auto"/>
          <w:sz w:val="20"/>
          <w:lang w:eastAsia="es-ES"/>
        </w:rPr>
        <w:t>…”</w:t>
      </w:r>
      <w:r w:rsidRPr="00B0455D" w:rsidR="00DC411A">
        <w:rPr>
          <w:rFonts w:eastAsia="Times New Roman" w:cs="Tahoma"/>
          <w:i/>
          <w:iCs/>
          <w:color w:val="auto"/>
          <w:sz w:val="20"/>
          <w:lang w:eastAsia="es-ES"/>
        </w:rPr>
        <w:t xml:space="preserve"> (</w:t>
      </w:r>
      <w:r w:rsidRPr="00B0455D" w:rsidR="00C30B5F">
        <w:rPr>
          <w:rFonts w:eastAsia="Times New Roman" w:cs="Tahoma"/>
          <w:i/>
          <w:iCs/>
          <w:color w:val="auto"/>
          <w:sz w:val="20"/>
          <w:lang w:eastAsia="es-ES"/>
        </w:rPr>
        <w:t>S</w:t>
      </w:r>
      <w:r w:rsidRPr="00B0455D" w:rsidR="00DC411A">
        <w:rPr>
          <w:rFonts w:eastAsia="Times New Roman" w:cs="Tahoma"/>
          <w:i/>
          <w:iCs/>
          <w:color w:val="auto"/>
          <w:sz w:val="20"/>
          <w:lang w:eastAsia="es-ES"/>
        </w:rPr>
        <w:t>ic.)</w:t>
      </w:r>
    </w:p>
    <w:p w:rsidRPr="00B0455D" w:rsidR="00DF3B64" w:rsidP="00DC411A" w:rsidRDefault="00DF3B64" w14:paraId="2876E7CA" w14:textId="77777777">
      <w:pPr>
        <w:autoSpaceDE w:val="0"/>
        <w:autoSpaceDN w:val="0"/>
        <w:adjustRightInd w:val="0"/>
        <w:spacing w:after="0" w:line="360" w:lineRule="auto"/>
        <w:ind w:left="567" w:right="567"/>
        <w:rPr>
          <w:rFonts w:eastAsia="Times New Roman" w:cs="Tahoma"/>
          <w:i/>
          <w:iCs/>
          <w:color w:val="auto"/>
          <w:sz w:val="20"/>
          <w:lang w:eastAsia="es-ES"/>
        </w:rPr>
      </w:pPr>
    </w:p>
    <w:p w:rsidRPr="00B0455D" w:rsidR="0024120D" w:rsidP="00DF3B64" w:rsidRDefault="00DF3B64" w14:paraId="72D9FDD8" w14:textId="2FEC419A">
      <w:pPr>
        <w:autoSpaceDE w:val="0"/>
        <w:autoSpaceDN w:val="0"/>
        <w:adjustRightInd w:val="0"/>
        <w:spacing w:after="0" w:line="360" w:lineRule="auto"/>
      </w:pPr>
      <w:r w:rsidRPr="00B0455D">
        <w:rPr>
          <w:rFonts w:eastAsia="Times New Roman" w:cs="Tahoma"/>
          <w:color w:val="auto"/>
          <w:szCs w:val="24"/>
          <w:lang w:eastAsia="es-ES"/>
        </w:rPr>
        <w:t>El Sujeto Obligado adjuntó una relación de Obras 20</w:t>
      </w:r>
      <w:r w:rsidRPr="00B0455D">
        <w:t xml:space="preserve">16-2018 con los rubros: número, año, obra y tipo de adjudicación, correspondientes al año dos mil dieciséis como se muestra a continuación: </w:t>
      </w:r>
    </w:p>
    <w:p w:rsidRPr="00B0455D" w:rsidR="00F55B7E" w:rsidP="00DF3B64" w:rsidRDefault="00F55B7E" w14:paraId="7F59EC70" w14:textId="77777777">
      <w:pPr>
        <w:autoSpaceDE w:val="0"/>
        <w:autoSpaceDN w:val="0"/>
        <w:adjustRightInd w:val="0"/>
        <w:spacing w:after="0" w:line="360" w:lineRule="auto"/>
      </w:pPr>
    </w:p>
    <w:p w:rsidRPr="00B0455D" w:rsidR="00DF3B64" w:rsidP="00DF3B64" w:rsidRDefault="00DF3B64" w14:paraId="744233F4" w14:textId="3347B107">
      <w:pPr>
        <w:autoSpaceDE w:val="0"/>
        <w:autoSpaceDN w:val="0"/>
        <w:adjustRightInd w:val="0"/>
        <w:spacing w:after="0" w:line="360" w:lineRule="auto"/>
        <w:jc w:val="center"/>
        <w:rPr>
          <w:rFonts w:eastAsia="Times New Roman" w:cs="Tahoma"/>
          <w:color w:val="auto"/>
          <w:szCs w:val="24"/>
          <w:lang w:eastAsia="es-ES"/>
        </w:rPr>
      </w:pPr>
      <w:r w:rsidRPr="00B0455D">
        <w:rPr>
          <w:noProof/>
          <w:lang w:eastAsia="es-MX"/>
        </w:rPr>
        <w:drawing>
          <wp:inline distT="0" distB="0" distL="0" distR="0" wp14:anchorId="65E2D4FB" wp14:editId="5239D699">
            <wp:extent cx="3743325" cy="26289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9538" t="20574" r="38823" b="14921"/>
                    <a:stretch/>
                  </pic:blipFill>
                  <pic:spPr bwMode="auto">
                    <a:xfrm>
                      <a:off x="0" y="0"/>
                      <a:ext cx="3768144" cy="2646330"/>
                    </a:xfrm>
                    <a:prstGeom prst="rect">
                      <a:avLst/>
                    </a:prstGeom>
                    <a:ln>
                      <a:noFill/>
                    </a:ln>
                    <a:extLst>
                      <a:ext uri="{53640926-AAD7-44D8-BBD7-CCE9431645EC}">
                        <a14:shadowObscured xmlns:a14="http://schemas.microsoft.com/office/drawing/2010/main"/>
                      </a:ext>
                    </a:extLst>
                  </pic:spPr>
                </pic:pic>
              </a:graphicData>
            </a:graphic>
          </wp:inline>
        </w:drawing>
      </w:r>
    </w:p>
    <w:p w:rsidRPr="00B0455D" w:rsidR="00066B31" w:rsidP="00A158AB" w:rsidRDefault="00066B31" w14:paraId="1EB66871" w14:textId="349F3629">
      <w:pPr>
        <w:autoSpaceDE w:val="0"/>
        <w:autoSpaceDN w:val="0"/>
        <w:adjustRightInd w:val="0"/>
        <w:spacing w:after="0" w:line="360" w:lineRule="auto"/>
        <w:rPr>
          <w:rFonts w:cs="Tahoma"/>
          <w:b/>
        </w:rPr>
      </w:pPr>
      <w:r w:rsidRPr="00B0455D">
        <w:rPr>
          <w:rFonts w:cs="Tahoma"/>
          <w:b/>
        </w:rPr>
        <w:lastRenderedPageBreak/>
        <w:t>I</w:t>
      </w:r>
      <w:r w:rsidRPr="00B0455D" w:rsidR="00EA3060">
        <w:rPr>
          <w:rFonts w:cs="Tahoma"/>
          <w:b/>
        </w:rPr>
        <w:t>V</w:t>
      </w:r>
      <w:r w:rsidRPr="00B0455D">
        <w:rPr>
          <w:rFonts w:cs="Tahoma"/>
          <w:b/>
        </w:rPr>
        <w:t xml:space="preserve">. Interposición del Recurso de Revisión. </w:t>
      </w:r>
    </w:p>
    <w:p w:rsidRPr="00B0455D" w:rsidR="00066B31" w:rsidP="00A158AB" w:rsidRDefault="00066B31" w14:paraId="56D17863" w14:textId="77777777">
      <w:pPr>
        <w:autoSpaceDE w:val="0"/>
        <w:autoSpaceDN w:val="0"/>
        <w:adjustRightInd w:val="0"/>
        <w:spacing w:after="0" w:line="360" w:lineRule="auto"/>
        <w:rPr>
          <w:rFonts w:cs="Tahoma"/>
          <w:b/>
        </w:rPr>
      </w:pPr>
    </w:p>
    <w:p w:rsidRPr="00B0455D" w:rsidR="00975497" w:rsidP="00F50A74" w:rsidRDefault="00610C0E" w14:paraId="68E7B7E2" w14:textId="391966B0">
      <w:pPr>
        <w:tabs>
          <w:tab w:val="left" w:pos="567"/>
        </w:tabs>
        <w:spacing w:line="360" w:lineRule="auto"/>
        <w:rPr>
          <w:rFonts w:eastAsia="Times New Roman" w:cs="Tahoma"/>
          <w:bCs/>
          <w:color w:val="auto"/>
          <w:lang w:eastAsia="es-ES"/>
        </w:rPr>
      </w:pPr>
      <w:r w:rsidRPr="00B0455D">
        <w:rPr>
          <w:rFonts w:eastAsia="Calibri" w:cs="Times New Roman"/>
          <w:bCs/>
        </w:rPr>
        <w:t xml:space="preserve">Con fecha </w:t>
      </w:r>
      <w:r w:rsidRPr="00B0455D" w:rsidR="0024120D">
        <w:rPr>
          <w:rFonts w:eastAsia="Calibri" w:cs="Times New Roman"/>
          <w:bCs/>
        </w:rPr>
        <w:t>dieciséis</w:t>
      </w:r>
      <w:r w:rsidRPr="00B0455D" w:rsidR="005A3F30">
        <w:rPr>
          <w:rFonts w:eastAsia="Calibri" w:cs="Times New Roman"/>
          <w:bCs/>
        </w:rPr>
        <w:t xml:space="preserve"> de </w:t>
      </w:r>
      <w:r w:rsidRPr="00B0455D" w:rsidR="0024120D">
        <w:rPr>
          <w:rFonts w:eastAsia="Calibri" w:cs="Times New Roman"/>
          <w:bCs/>
        </w:rPr>
        <w:t>junio</w:t>
      </w:r>
      <w:r w:rsidRPr="00B0455D">
        <w:rPr>
          <w:rFonts w:eastAsia="Calibri" w:cs="Times New Roman"/>
          <w:bCs/>
        </w:rPr>
        <w:t xml:space="preserve"> de dos mil veintidós, </w:t>
      </w:r>
      <w:r w:rsidRPr="00B0455D">
        <w:rPr>
          <w:rFonts w:eastAsia="Calibri" w:cs="Times New Roman"/>
          <w:bCs/>
          <w:lang w:val="es-ES"/>
        </w:rPr>
        <w:t xml:space="preserve">se </w:t>
      </w:r>
      <w:r w:rsidRPr="00B0455D" w:rsidR="00043C41">
        <w:rPr>
          <w:rFonts w:eastAsia="Calibri" w:cs="Times New Roman"/>
          <w:bCs/>
          <w:lang w:val="es-ES"/>
        </w:rPr>
        <w:t>recibió</w:t>
      </w:r>
      <w:r w:rsidRPr="00B0455D">
        <w:rPr>
          <w:rFonts w:eastAsia="Calibri" w:cs="Times New Roman"/>
          <w:bCs/>
          <w:lang w:val="es-ES"/>
        </w:rPr>
        <w:t xml:space="preserve"> en este Instituto, a través del Sistema de Acceso a la Información Mexiquense (SAIMEX), Recurso de Revisión interpuesto por la parte Recurrente, en contra de la</w:t>
      </w:r>
      <w:r w:rsidRPr="00B0455D" w:rsidR="00C30B5F">
        <w:rPr>
          <w:rFonts w:eastAsia="Calibri" w:cs="Times New Roman"/>
          <w:bCs/>
          <w:lang w:val="es-ES"/>
        </w:rPr>
        <w:t xml:space="preserve"> </w:t>
      </w:r>
      <w:r w:rsidRPr="00B0455D">
        <w:rPr>
          <w:rFonts w:eastAsia="Calibri" w:cs="Times New Roman"/>
          <w:bCs/>
          <w:lang w:val="es-ES"/>
        </w:rPr>
        <w:t>respuesta por el Sujeto Obligado</w:t>
      </w:r>
      <w:r w:rsidRPr="00B0455D" w:rsidR="00043C41">
        <w:rPr>
          <w:rFonts w:eastAsia="Calibri" w:cs="Times New Roman"/>
          <w:bCs/>
          <w:lang w:val="es-ES"/>
        </w:rPr>
        <w:t>,</w:t>
      </w:r>
      <w:r w:rsidRPr="00B0455D" w:rsidR="000B12BC">
        <w:rPr>
          <w:rFonts w:eastAsia="Times New Roman" w:cs="Tahoma"/>
          <w:b/>
          <w:color w:val="auto"/>
          <w:lang w:eastAsia="es-ES"/>
        </w:rPr>
        <w:t xml:space="preserve"> </w:t>
      </w:r>
      <w:r w:rsidRPr="00B0455D" w:rsidR="00975497">
        <w:rPr>
          <w:rFonts w:eastAsia="Times New Roman" w:cs="Tahoma"/>
          <w:bCs/>
          <w:color w:val="auto"/>
          <w:lang w:eastAsia="es-ES"/>
        </w:rPr>
        <w:t>en los siguientes términos:</w:t>
      </w:r>
    </w:p>
    <w:p w:rsidRPr="00B0455D" w:rsidR="0024120D" w:rsidP="00F50A74" w:rsidRDefault="0024120D" w14:paraId="1E854BE6" w14:textId="77777777">
      <w:pPr>
        <w:tabs>
          <w:tab w:val="left" w:pos="567"/>
        </w:tabs>
        <w:spacing w:line="360" w:lineRule="auto"/>
        <w:rPr>
          <w:rFonts w:eastAsia="Times New Roman" w:cs="Tahoma"/>
          <w:b/>
          <w:color w:val="auto"/>
          <w:lang w:eastAsia="es-ES"/>
        </w:rPr>
      </w:pPr>
    </w:p>
    <w:p w:rsidRPr="00B0455D" w:rsidR="00066B31" w:rsidP="00F50A74" w:rsidRDefault="00066B31" w14:paraId="26E8BDC0" w14:textId="77777777">
      <w:pPr>
        <w:tabs>
          <w:tab w:val="left" w:pos="4667"/>
        </w:tabs>
        <w:spacing w:after="0" w:line="360" w:lineRule="auto"/>
        <w:ind w:left="567" w:right="567"/>
        <w:rPr>
          <w:rFonts w:cs="Tahoma"/>
          <w:bCs/>
          <w:i/>
          <w:sz w:val="20"/>
          <w:szCs w:val="20"/>
        </w:rPr>
      </w:pPr>
      <w:r w:rsidRPr="00B0455D">
        <w:rPr>
          <w:rFonts w:cs="Tahoma"/>
          <w:b/>
          <w:bCs/>
          <w:i/>
          <w:sz w:val="20"/>
          <w:szCs w:val="20"/>
        </w:rPr>
        <w:t>“ACTO IMPUGNADO</w:t>
      </w:r>
    </w:p>
    <w:p w:rsidRPr="00B0455D" w:rsidR="00066B31" w:rsidP="00A158AB" w:rsidRDefault="0024120D" w14:paraId="49C43B2D" w14:textId="0FEA7BE9">
      <w:pPr>
        <w:autoSpaceDE w:val="0"/>
        <w:autoSpaceDN w:val="0"/>
        <w:adjustRightInd w:val="0"/>
        <w:spacing w:after="0" w:line="360" w:lineRule="auto"/>
        <w:ind w:left="567" w:right="567"/>
        <w:rPr>
          <w:rFonts w:cs="Tahoma"/>
          <w:i/>
          <w:sz w:val="20"/>
          <w:szCs w:val="20"/>
        </w:rPr>
      </w:pPr>
      <w:r w:rsidRPr="00B0455D">
        <w:rPr>
          <w:i/>
          <w:iCs/>
          <w:sz w:val="20"/>
          <w:szCs w:val="20"/>
        </w:rPr>
        <w:t>Contratos, asignaciones directas e invitaciones restringidas de obra pública, otorgados por el Ayuntamiento de Nextlalpan, Estado de México,</w:t>
      </w:r>
      <w:r w:rsidRPr="00B0455D" w:rsidR="00F55B7E">
        <w:rPr>
          <w:i/>
          <w:iCs/>
          <w:sz w:val="20"/>
          <w:szCs w:val="20"/>
        </w:rPr>
        <w:t xml:space="preserve"> </w:t>
      </w:r>
      <w:r w:rsidRPr="00B0455D">
        <w:rPr>
          <w:i/>
          <w:iCs/>
          <w:sz w:val="20"/>
          <w:szCs w:val="20"/>
        </w:rPr>
        <w:t>Administración 2016- 2018, durante el año 2016</w:t>
      </w:r>
      <w:r w:rsidRPr="00B0455D" w:rsidR="00066B31">
        <w:rPr>
          <w:i/>
          <w:sz w:val="20"/>
          <w:szCs w:val="20"/>
        </w:rPr>
        <w:t>”</w:t>
      </w:r>
      <w:r w:rsidRPr="00B0455D" w:rsidR="00066B31">
        <w:rPr>
          <w:rFonts w:cs="Tahoma"/>
          <w:i/>
          <w:sz w:val="20"/>
          <w:szCs w:val="20"/>
        </w:rPr>
        <w:t xml:space="preserve"> (Sic.)</w:t>
      </w:r>
    </w:p>
    <w:p w:rsidRPr="00B0455D" w:rsidR="00043C41" w:rsidP="00A158AB" w:rsidRDefault="00043C41" w14:paraId="0CE1073B" w14:textId="77777777">
      <w:pPr>
        <w:autoSpaceDE w:val="0"/>
        <w:autoSpaceDN w:val="0"/>
        <w:adjustRightInd w:val="0"/>
        <w:spacing w:after="0" w:line="360" w:lineRule="auto"/>
        <w:ind w:left="567" w:right="567"/>
        <w:rPr>
          <w:rFonts w:cs="Tahoma"/>
          <w:i/>
          <w:sz w:val="20"/>
          <w:szCs w:val="20"/>
        </w:rPr>
      </w:pPr>
    </w:p>
    <w:p w:rsidRPr="00B0455D" w:rsidR="00066B31" w:rsidP="00A158AB" w:rsidRDefault="00066B31" w14:paraId="2AF5FC01" w14:textId="77777777">
      <w:pPr>
        <w:autoSpaceDE w:val="0"/>
        <w:autoSpaceDN w:val="0"/>
        <w:adjustRightInd w:val="0"/>
        <w:spacing w:after="0" w:line="360" w:lineRule="auto"/>
        <w:ind w:left="567" w:right="567"/>
        <w:rPr>
          <w:rFonts w:cs="Tahoma"/>
          <w:b/>
          <w:i/>
          <w:sz w:val="20"/>
          <w:szCs w:val="20"/>
        </w:rPr>
      </w:pPr>
      <w:r w:rsidRPr="00B0455D">
        <w:rPr>
          <w:rFonts w:cs="Tahoma"/>
          <w:b/>
          <w:i/>
          <w:sz w:val="20"/>
          <w:szCs w:val="20"/>
        </w:rPr>
        <w:t>“RAZONES O MOTIVOS DE LA INCONFORMIDAD</w:t>
      </w:r>
    </w:p>
    <w:p w:rsidRPr="00B0455D" w:rsidR="00066B31" w:rsidP="00A158AB" w:rsidRDefault="0024120D" w14:paraId="39D18A41" w14:textId="372D731B">
      <w:pPr>
        <w:autoSpaceDE w:val="0"/>
        <w:autoSpaceDN w:val="0"/>
        <w:adjustRightInd w:val="0"/>
        <w:spacing w:after="0" w:line="360" w:lineRule="auto"/>
        <w:ind w:left="567" w:right="567"/>
        <w:rPr>
          <w:rFonts w:cs="Tahoma"/>
          <w:i/>
          <w:sz w:val="20"/>
          <w:szCs w:val="20"/>
        </w:rPr>
      </w:pPr>
      <w:r w:rsidRPr="00B0455D">
        <w:rPr>
          <w:i/>
          <w:iCs/>
          <w:sz w:val="20"/>
          <w:szCs w:val="20"/>
        </w:rPr>
        <w:t xml:space="preserve">Solo entregan un listado de obras pero no contiene datos de a quien se </w:t>
      </w:r>
      <w:proofErr w:type="spellStart"/>
      <w:r w:rsidRPr="00B0455D">
        <w:rPr>
          <w:i/>
          <w:iCs/>
          <w:sz w:val="20"/>
          <w:szCs w:val="20"/>
        </w:rPr>
        <w:t>asigno</w:t>
      </w:r>
      <w:proofErr w:type="spellEnd"/>
      <w:r w:rsidRPr="00B0455D">
        <w:rPr>
          <w:i/>
          <w:iCs/>
          <w:sz w:val="20"/>
          <w:szCs w:val="20"/>
        </w:rPr>
        <w:t xml:space="preserve"> la obra y los costos.</w:t>
      </w:r>
      <w:r w:rsidRPr="00B0455D" w:rsidR="00066B31">
        <w:rPr>
          <w:rFonts w:cs="Tahoma"/>
          <w:i/>
          <w:sz w:val="20"/>
          <w:szCs w:val="20"/>
        </w:rPr>
        <w:t>” (Sic.)</w:t>
      </w:r>
    </w:p>
    <w:p w:rsidRPr="00B0455D" w:rsidR="00FC6C9A" w:rsidP="00A158AB" w:rsidRDefault="00FC6C9A" w14:paraId="025E20EB" w14:textId="77777777">
      <w:pPr>
        <w:spacing w:after="0" w:line="360" w:lineRule="auto"/>
        <w:rPr>
          <w:rFonts w:cs="Tahoma"/>
          <w:bCs/>
        </w:rPr>
      </w:pPr>
    </w:p>
    <w:p w:rsidRPr="00B0455D" w:rsidR="00066B31" w:rsidP="00A158AB" w:rsidRDefault="00043C41" w14:paraId="5B83448B" w14:textId="0E4FFDF2">
      <w:pPr>
        <w:spacing w:after="0" w:line="360" w:lineRule="auto"/>
        <w:rPr>
          <w:rFonts w:eastAsia="Batang" w:cs="Tahoma"/>
          <w:b/>
          <w:bCs/>
        </w:rPr>
      </w:pPr>
      <w:r w:rsidRPr="00B0455D">
        <w:rPr>
          <w:rFonts w:cs="Tahoma"/>
          <w:b/>
        </w:rPr>
        <w:t>I</w:t>
      </w:r>
      <w:r w:rsidRPr="00B0455D" w:rsidR="00066B31">
        <w:rPr>
          <w:rFonts w:cs="Tahoma"/>
          <w:b/>
        </w:rPr>
        <w:t xml:space="preserve">V. </w:t>
      </w:r>
      <w:r w:rsidRPr="00B0455D" w:rsidR="00066B31">
        <w:rPr>
          <w:rFonts w:eastAsia="Batang" w:cs="Tahoma"/>
          <w:b/>
          <w:bCs/>
        </w:rPr>
        <w:t xml:space="preserve">Trámite del </w:t>
      </w:r>
      <w:r w:rsidRPr="00B0455D" w:rsidR="00066B31">
        <w:rPr>
          <w:rFonts w:cs="Tahoma"/>
          <w:b/>
        </w:rPr>
        <w:t xml:space="preserve">Recurso de Revisión </w:t>
      </w:r>
      <w:r w:rsidRPr="00B0455D" w:rsidR="00066B31">
        <w:rPr>
          <w:rFonts w:eastAsia="Batang" w:cs="Tahoma"/>
          <w:b/>
          <w:bCs/>
        </w:rPr>
        <w:t>ante este Instituto.</w:t>
      </w:r>
    </w:p>
    <w:p w:rsidRPr="00B0455D" w:rsidR="00066B31" w:rsidP="00A158AB" w:rsidRDefault="00066B31" w14:paraId="55E97358" w14:textId="77777777">
      <w:pPr>
        <w:spacing w:after="0" w:line="360" w:lineRule="auto"/>
        <w:rPr>
          <w:rFonts w:eastAsia="Batang" w:cs="Tahoma"/>
          <w:b/>
          <w:bCs/>
        </w:rPr>
      </w:pPr>
    </w:p>
    <w:p w:rsidRPr="00B0455D" w:rsidR="00066B31" w:rsidP="00A158AB" w:rsidRDefault="00066B31" w14:paraId="77FAD18E" w14:textId="4A7D6E21">
      <w:pPr>
        <w:spacing w:after="0" w:line="360" w:lineRule="auto"/>
        <w:rPr>
          <w:rFonts w:eastAsia="Batang" w:cs="Tahoma"/>
          <w:bCs/>
        </w:rPr>
      </w:pPr>
      <w:r w:rsidRPr="00B0455D">
        <w:rPr>
          <w:rFonts w:eastAsia="Batang" w:cs="Tahoma"/>
          <w:b/>
          <w:bCs/>
        </w:rPr>
        <w:t xml:space="preserve">a) Turno del Medio de Impugnación. </w:t>
      </w:r>
      <w:r w:rsidRPr="00B0455D">
        <w:rPr>
          <w:rFonts w:eastAsia="Batang" w:cs="Tahoma"/>
          <w:bCs/>
        </w:rPr>
        <w:t xml:space="preserve">El </w:t>
      </w:r>
      <w:r w:rsidRPr="00B0455D" w:rsidR="0024120D">
        <w:rPr>
          <w:rFonts w:eastAsia="Batang" w:cs="Tahoma"/>
          <w:bCs/>
        </w:rPr>
        <w:t xml:space="preserve">dieciséis </w:t>
      </w:r>
      <w:r w:rsidRPr="00B0455D" w:rsidR="00C8149E">
        <w:rPr>
          <w:rFonts w:eastAsia="Batang" w:cs="Tahoma"/>
          <w:bCs/>
        </w:rPr>
        <w:t xml:space="preserve">de </w:t>
      </w:r>
      <w:r w:rsidRPr="00B0455D" w:rsidR="0024120D">
        <w:rPr>
          <w:rFonts w:eastAsia="Batang" w:cs="Tahoma"/>
          <w:bCs/>
        </w:rPr>
        <w:t>juni</w:t>
      </w:r>
      <w:r w:rsidRPr="00B0455D" w:rsidR="00C30B5F">
        <w:rPr>
          <w:rFonts w:eastAsia="Batang" w:cs="Tahoma"/>
          <w:bCs/>
        </w:rPr>
        <w:t>o</w:t>
      </w:r>
      <w:r w:rsidRPr="00B0455D">
        <w:rPr>
          <w:rFonts w:eastAsia="Batang" w:cs="Tahoma"/>
          <w:bCs/>
        </w:rPr>
        <w:t xml:space="preserve"> de dos mil veintidós, el </w:t>
      </w:r>
      <w:r w:rsidRPr="00B0455D">
        <w:rPr>
          <w:rFonts w:cs="Tahoma"/>
          <w:lang w:val="es-ES"/>
        </w:rPr>
        <w:t>Sistema de Acceso a la Información Mexiquense (SAIMEX),</w:t>
      </w:r>
      <w:r w:rsidRPr="00B0455D">
        <w:rPr>
          <w:rFonts w:eastAsia="Batang" w:cs="Tahoma"/>
          <w:bCs/>
        </w:rPr>
        <w:t xml:space="preserve"> asignó el número de expediente </w:t>
      </w:r>
      <w:r w:rsidRPr="00B0455D" w:rsidR="0024120D">
        <w:rPr>
          <w:b/>
          <w:bCs/>
        </w:rPr>
        <w:t>11441/INFOEM/IP/RR/2022</w:t>
      </w:r>
      <w:r w:rsidRPr="00B0455D">
        <w:rPr>
          <w:rFonts w:eastAsia="Batang" w:cs="Tahoma"/>
          <w:bCs/>
        </w:rPr>
        <w:t>, al medio de impugnación que nos ocupa, con base en el sistema aprobado por el Pleno de este Órgano Garante y lo turnó al Comisionado Ponente Luis Gustavo Parra Noriega, para los efectos del artículo 185, fracción I de la Ley de Transparencia y Acceso a la Información Pública del Estado de México y Municipios.</w:t>
      </w:r>
    </w:p>
    <w:p w:rsidRPr="00B0455D" w:rsidR="00066B31" w:rsidP="00A158AB" w:rsidRDefault="00066B31" w14:paraId="6C462593" w14:textId="77777777">
      <w:pPr>
        <w:spacing w:after="0" w:line="360" w:lineRule="auto"/>
        <w:rPr>
          <w:rFonts w:eastAsia="Batang" w:cs="Tahoma"/>
          <w:bCs/>
        </w:rPr>
      </w:pPr>
    </w:p>
    <w:p w:rsidRPr="00B0455D" w:rsidR="00066B31" w:rsidP="00A158AB" w:rsidRDefault="00066B31" w14:paraId="5A1C754E" w14:textId="11C64917">
      <w:pPr>
        <w:spacing w:after="0" w:line="360" w:lineRule="auto"/>
        <w:rPr>
          <w:rFonts w:eastAsia="Times New Roman" w:cs="Tahoma"/>
          <w:b/>
        </w:rPr>
      </w:pPr>
      <w:r w:rsidRPr="00B0455D">
        <w:rPr>
          <w:rFonts w:eastAsia="Batang" w:cs="Tahoma"/>
          <w:b/>
          <w:bCs/>
        </w:rPr>
        <w:t xml:space="preserve">b) Admisión del </w:t>
      </w:r>
      <w:r w:rsidRPr="00B0455D">
        <w:rPr>
          <w:rFonts w:cs="Tahoma"/>
          <w:b/>
        </w:rPr>
        <w:t>Recurso de Revisión</w:t>
      </w:r>
      <w:r w:rsidRPr="00B0455D">
        <w:rPr>
          <w:rFonts w:eastAsia="Batang" w:cs="Tahoma"/>
          <w:b/>
          <w:bCs/>
          <w:lang w:val="es-ES_tradnl"/>
        </w:rPr>
        <w:t xml:space="preserve">. </w:t>
      </w:r>
      <w:r w:rsidRPr="00B0455D">
        <w:rPr>
          <w:rFonts w:eastAsia="Batang" w:cs="Tahoma"/>
          <w:bCs/>
          <w:lang w:val="es-ES_tradnl"/>
        </w:rPr>
        <w:t xml:space="preserve">El </w:t>
      </w:r>
      <w:r w:rsidRPr="00B0455D" w:rsidR="00F50A74">
        <w:rPr>
          <w:rFonts w:eastAsia="Batang" w:cs="Tahoma"/>
          <w:bCs/>
          <w:lang w:val="es-ES_tradnl"/>
        </w:rPr>
        <w:t>vein</w:t>
      </w:r>
      <w:r w:rsidRPr="00B0455D" w:rsidR="0024120D">
        <w:rPr>
          <w:rFonts w:eastAsia="Batang" w:cs="Tahoma"/>
          <w:bCs/>
          <w:lang w:val="es-ES_tradnl"/>
        </w:rPr>
        <w:t>tiuno</w:t>
      </w:r>
      <w:r w:rsidRPr="00B0455D" w:rsidR="00FE24DD">
        <w:rPr>
          <w:rFonts w:eastAsia="Batang" w:cs="Tahoma"/>
          <w:bCs/>
          <w:lang w:val="es-ES_tradnl"/>
        </w:rPr>
        <w:t xml:space="preserve"> de </w:t>
      </w:r>
      <w:r w:rsidRPr="00B0455D" w:rsidR="0024120D">
        <w:rPr>
          <w:rFonts w:eastAsia="Batang" w:cs="Tahoma"/>
          <w:bCs/>
          <w:lang w:val="es-ES_tradnl"/>
        </w:rPr>
        <w:t>juni</w:t>
      </w:r>
      <w:r w:rsidRPr="00B0455D" w:rsidR="004823D7">
        <w:rPr>
          <w:rFonts w:eastAsia="Batang" w:cs="Tahoma"/>
          <w:bCs/>
          <w:lang w:val="es-ES_tradnl"/>
        </w:rPr>
        <w:t>o</w:t>
      </w:r>
      <w:r w:rsidRPr="00B0455D">
        <w:rPr>
          <w:rFonts w:eastAsia="Batang" w:cs="Tahoma"/>
          <w:bCs/>
          <w:lang w:val="es-ES_tradnl"/>
        </w:rPr>
        <w:t xml:space="preserve"> de dos mil veintidós, se acordó la admisión del Recurso de Revisión interpuesto por el Recurrente en contra del Sujeto Obligado, </w:t>
      </w:r>
      <w:r w:rsidRPr="00B0455D">
        <w:rPr>
          <w:rFonts w:eastAsia="Batang" w:cs="Tahoma"/>
          <w:bCs/>
          <w:lang w:val="es-ES_tradnl"/>
        </w:rPr>
        <w:lastRenderedPageBreak/>
        <w:t>en términos del artículo 185, fracciones I y II de la Ley de Transparencia y Acceso a la Información Pública del Estado de México y Municipios, el cual fue notificado a las partes el</w:t>
      </w:r>
      <w:r w:rsidRPr="00B0455D" w:rsidR="00043C41">
        <w:rPr>
          <w:rFonts w:eastAsia="Batang" w:cs="Tahoma"/>
          <w:bCs/>
          <w:lang w:val="es-ES_tradnl"/>
        </w:rPr>
        <w:t xml:space="preserve"> </w:t>
      </w:r>
      <w:r w:rsidRPr="00B0455D" w:rsidR="000B12BC">
        <w:rPr>
          <w:rFonts w:eastAsia="Batang" w:cs="Tahoma"/>
          <w:bCs/>
          <w:lang w:val="es-ES_tradnl"/>
        </w:rPr>
        <w:t>mismo día</w:t>
      </w:r>
      <w:r w:rsidRPr="00B0455D">
        <w:rPr>
          <w:rFonts w:eastAsia="Batang" w:cs="Tahoma"/>
          <w:bCs/>
          <w:lang w:val="es-ES_tradnl"/>
        </w:rPr>
        <w:t xml:space="preserve">, a través del Sistema de Acceso a la Información Mexiquense (SAIMEX), en el que se les otorgó un plazo de siete días hábiles posteriores a la misma, para que manifestaran lo que a su derecho conviniera y formularan alegatos. </w:t>
      </w:r>
    </w:p>
    <w:p w:rsidRPr="00B0455D" w:rsidR="00066B31" w:rsidP="00A158AB" w:rsidRDefault="00066B31" w14:paraId="10CD29C0" w14:textId="77777777">
      <w:pPr>
        <w:spacing w:after="0" w:line="360" w:lineRule="auto"/>
        <w:rPr>
          <w:rFonts w:cs="Tahoma"/>
          <w:bCs/>
        </w:rPr>
      </w:pPr>
    </w:p>
    <w:p w:rsidRPr="00B0455D" w:rsidR="00066B31" w:rsidP="00A158AB" w:rsidRDefault="00066B31" w14:paraId="29C75A42" w14:textId="649E1641">
      <w:pPr>
        <w:spacing w:after="0" w:line="360" w:lineRule="auto"/>
        <w:rPr>
          <w:rFonts w:cs="Tahoma"/>
          <w:b/>
          <w:lang w:val="es-ES"/>
        </w:rPr>
      </w:pPr>
      <w:r w:rsidRPr="00B0455D">
        <w:rPr>
          <w:rFonts w:cs="Tahoma"/>
          <w:b/>
        </w:rPr>
        <w:t xml:space="preserve">c) </w:t>
      </w:r>
      <w:r w:rsidRPr="00B0455D">
        <w:rPr>
          <w:rFonts w:cs="Tahoma"/>
          <w:b/>
          <w:bCs/>
          <w:iCs/>
          <w:lang w:val="es-ES"/>
        </w:rPr>
        <w:t>Informe Justificado o manifestaciones.</w:t>
      </w:r>
      <w:r w:rsidRPr="00B0455D">
        <w:rPr>
          <w:rFonts w:cs="Tahoma"/>
          <w:bCs/>
          <w:iCs/>
          <w:lang w:val="es-ES"/>
        </w:rPr>
        <w:t xml:space="preserve"> </w:t>
      </w:r>
      <w:r w:rsidRPr="00B0455D" w:rsidR="00497692">
        <w:rPr>
          <w:rFonts w:cs="Tahoma"/>
          <w:lang w:val="es-ES_tradnl"/>
        </w:rPr>
        <w:t>Las partes fueron omisas en emitir manifestaciones o alegatos.</w:t>
      </w:r>
    </w:p>
    <w:p w:rsidRPr="00B0455D" w:rsidR="00066B31" w:rsidP="00A158AB" w:rsidRDefault="00066B31" w14:paraId="5FDE4F98" w14:textId="77777777">
      <w:pPr>
        <w:spacing w:after="0" w:line="360" w:lineRule="auto"/>
        <w:rPr>
          <w:rFonts w:cs="Tahoma"/>
          <w:b/>
        </w:rPr>
      </w:pPr>
    </w:p>
    <w:p w:rsidRPr="00B0455D" w:rsidR="006C7AAE" w:rsidP="00F55B7E" w:rsidRDefault="00066B31" w14:paraId="0B53C2BA" w14:textId="4DA29FE8">
      <w:pPr>
        <w:spacing w:after="0" w:line="360" w:lineRule="auto"/>
        <w:rPr>
          <w:rFonts w:eastAsia="Palatino Linotype" w:cs="Palatino Linotype"/>
          <w:color w:val="0D0D0D" w:themeColor="text1" w:themeTint="F2"/>
          <w:lang w:val="es-ES" w:eastAsia="es-ES"/>
        </w:rPr>
      </w:pPr>
      <w:r w:rsidRPr="00B0455D">
        <w:rPr>
          <w:rFonts w:cs="Tahoma"/>
          <w:b/>
          <w:bCs/>
        </w:rPr>
        <w:t>d)</w:t>
      </w:r>
      <w:r w:rsidRPr="00B0455D" w:rsidR="00643079">
        <w:rPr>
          <w:rFonts w:cs="Tahoma"/>
          <w:b/>
          <w:bCs/>
        </w:rPr>
        <w:t xml:space="preserve"> </w:t>
      </w:r>
      <w:r w:rsidRPr="00B0455D" w:rsidR="00643079">
        <w:rPr>
          <w:rFonts w:eastAsia="Times New Roman" w:cs="Tahoma"/>
          <w:b/>
          <w:bCs/>
          <w:color w:val="auto"/>
          <w:lang w:val="es-ES" w:eastAsia="es-ES"/>
        </w:rPr>
        <w:t xml:space="preserve">Ampliación de plazo para resolver. </w:t>
      </w:r>
      <w:r w:rsidRPr="00B0455D" w:rsidR="006C7AAE">
        <w:rPr>
          <w:rFonts w:eastAsia="Palatino Linotype" w:cs="Palatino Linotype"/>
          <w:color w:val="0D0D0D" w:themeColor="text1" w:themeTint="F2"/>
          <w:lang w:val="es-ES" w:eastAsia="es-ES"/>
        </w:rPr>
        <w:t>El quince de agosto de dos mil veintidós, el Comisionado Ponente, con fundamento en lo dispuesto por el artículo 181, párrafo tercero, de la Ley de Transparencia y Acceso a la Información Pública del Estado de México y Municipios, acordó ampliar por un periodo de quince días hábiles, el plazo para resolver el Recurso de Revisión que nos ocupa; acto que fue notificado a las partes el primero de junio del mismo año, mediante el Sistema de Acceso a la Información Mexiquense (SAIMEX), el mismo día.</w:t>
      </w:r>
    </w:p>
    <w:p w:rsidRPr="00B0455D" w:rsidR="006C7AAE" w:rsidP="006C7AAE" w:rsidRDefault="006C7AAE" w14:paraId="27620BC6" w14:textId="77777777">
      <w:pPr>
        <w:spacing w:after="0" w:line="360" w:lineRule="auto"/>
        <w:rPr>
          <w:rFonts w:eastAsia="Times New Roman" w:cs="Tahoma"/>
          <w:b/>
          <w:color w:val="0D0D0D" w:themeColor="text1" w:themeTint="F2"/>
          <w:lang w:eastAsia="es-ES"/>
        </w:rPr>
      </w:pPr>
    </w:p>
    <w:p w:rsidRPr="00B0455D" w:rsidR="00066B31" w:rsidP="00A158AB" w:rsidRDefault="00F55B7E" w14:paraId="6EA06E35" w14:textId="47CB82E6">
      <w:pPr>
        <w:spacing w:after="0" w:line="360" w:lineRule="auto"/>
        <w:rPr>
          <w:rFonts w:cs="Tahoma"/>
        </w:rPr>
      </w:pPr>
      <w:r w:rsidRPr="00B0455D">
        <w:rPr>
          <w:rFonts w:cs="Tahoma"/>
          <w:b/>
          <w:bCs/>
        </w:rPr>
        <w:t>e</w:t>
      </w:r>
      <w:r w:rsidRPr="00B0455D" w:rsidR="00643079">
        <w:rPr>
          <w:rFonts w:cs="Tahoma"/>
          <w:b/>
          <w:bCs/>
        </w:rPr>
        <w:t xml:space="preserve">) </w:t>
      </w:r>
      <w:r w:rsidRPr="00B0455D" w:rsidR="00066B31">
        <w:rPr>
          <w:rFonts w:cs="Tahoma"/>
          <w:b/>
          <w:bCs/>
        </w:rPr>
        <w:t>Cierre de instrucción.</w:t>
      </w:r>
      <w:r w:rsidRPr="00B0455D" w:rsidR="00066B31">
        <w:rPr>
          <w:rFonts w:cs="Tahoma"/>
        </w:rPr>
        <w:t xml:space="preserve">  El </w:t>
      </w:r>
      <w:r w:rsidRPr="00B0455D" w:rsidR="004161A2">
        <w:rPr>
          <w:rFonts w:cs="Tahoma"/>
        </w:rPr>
        <w:t>diecinueve de agosto</w:t>
      </w:r>
      <w:r w:rsidRPr="00B0455D" w:rsidR="00066B31">
        <w:rPr>
          <w:rFonts w:cs="Tahoma"/>
        </w:rPr>
        <w:t xml:space="preserve"> de dos mil veintidós,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a las partes</w:t>
      </w:r>
      <w:r w:rsidRPr="00B0455D" w:rsidR="008B1873">
        <w:rPr>
          <w:rFonts w:cs="Tahoma"/>
        </w:rPr>
        <w:t xml:space="preserve"> el </w:t>
      </w:r>
      <w:r w:rsidRPr="00B0455D" w:rsidR="002D10E0">
        <w:rPr>
          <w:rFonts w:cs="Tahoma"/>
        </w:rPr>
        <w:t>primero de junio de dos mil veintidós</w:t>
      </w:r>
      <w:r w:rsidRPr="00B0455D" w:rsidR="00066B31">
        <w:rPr>
          <w:rFonts w:cs="Tahoma"/>
        </w:rPr>
        <w:t xml:space="preserve">, a través del </w:t>
      </w:r>
      <w:r w:rsidRPr="00B0455D" w:rsidR="00066B31">
        <w:rPr>
          <w:rFonts w:cs="Tahoma"/>
          <w:lang w:val="es-ES"/>
        </w:rPr>
        <w:t>Sistema de Acceso a la Información Mexiquense (SAIMEX)</w:t>
      </w:r>
      <w:r w:rsidRPr="00B0455D" w:rsidR="008B1873">
        <w:rPr>
          <w:rFonts w:cs="Tahoma"/>
          <w:lang w:val="es-ES"/>
        </w:rPr>
        <w:t>.</w:t>
      </w:r>
    </w:p>
    <w:p w:rsidRPr="00B0455D" w:rsidR="00066B31" w:rsidP="00A158AB" w:rsidRDefault="00066B31" w14:paraId="1BB0C7FD" w14:textId="77777777">
      <w:pPr>
        <w:spacing w:after="0" w:line="360" w:lineRule="auto"/>
        <w:rPr>
          <w:rFonts w:cs="Tahoma"/>
          <w:b/>
          <w:bCs/>
          <w:lang w:val="es-ES"/>
        </w:rPr>
      </w:pPr>
    </w:p>
    <w:p w:rsidRPr="00B0455D" w:rsidR="00066B31" w:rsidP="00A158AB" w:rsidRDefault="00066B31" w14:paraId="3C63CE88" w14:textId="7B539959">
      <w:pPr>
        <w:spacing w:after="0" w:line="360" w:lineRule="auto"/>
        <w:rPr>
          <w:rFonts w:cs="Tahoma"/>
        </w:rPr>
      </w:pPr>
      <w:r w:rsidRPr="00B0455D">
        <w:rPr>
          <w:rFonts w:cs="Tahoma"/>
        </w:rPr>
        <w:t xml:space="preserve">En razón de que fue debidamente sustanciado el expediente electrónico y no existe diligencia pendiente de desahogo, se emite la resolución que conforme a Derecho proceda, de acuerdo a los siguientes: </w:t>
      </w:r>
    </w:p>
    <w:p w:rsidRPr="00B0455D" w:rsidR="00F55B7E" w:rsidP="00A158AB" w:rsidRDefault="00F55B7E" w14:paraId="589A64B6" w14:textId="77777777">
      <w:pPr>
        <w:spacing w:after="0" w:line="360" w:lineRule="auto"/>
        <w:rPr>
          <w:rFonts w:cs="Tahoma"/>
        </w:rPr>
      </w:pPr>
    </w:p>
    <w:p w:rsidRPr="00B0455D" w:rsidR="00F55B7E" w:rsidP="00A158AB" w:rsidRDefault="00F55B7E" w14:paraId="36167C33" w14:textId="77777777">
      <w:pPr>
        <w:spacing w:after="0" w:line="360" w:lineRule="auto"/>
        <w:rPr>
          <w:rFonts w:cs="Tahoma"/>
          <w:b/>
          <w:bCs/>
        </w:rPr>
      </w:pPr>
    </w:p>
    <w:p w:rsidRPr="00B0455D" w:rsidR="00066B31" w:rsidP="00AF2044" w:rsidRDefault="00066B31" w14:paraId="2D6C5172" w14:textId="3569EDDE">
      <w:pPr>
        <w:spacing w:after="0" w:line="360" w:lineRule="auto"/>
        <w:jc w:val="center"/>
        <w:rPr>
          <w:rFonts w:cs="Tahoma"/>
          <w:b/>
          <w:lang w:val="es-ES"/>
        </w:rPr>
      </w:pPr>
      <w:r w:rsidRPr="00B0455D">
        <w:rPr>
          <w:rFonts w:cs="Tahoma"/>
          <w:b/>
          <w:lang w:val="es-ES"/>
        </w:rPr>
        <w:t>CONSIDERANDOS:</w:t>
      </w:r>
    </w:p>
    <w:p w:rsidRPr="00B0455D" w:rsidR="005D6213" w:rsidP="00AF2044" w:rsidRDefault="005D6213" w14:paraId="3BD73B02" w14:textId="77777777">
      <w:pPr>
        <w:spacing w:after="0" w:line="360" w:lineRule="auto"/>
        <w:jc w:val="center"/>
        <w:rPr>
          <w:rFonts w:cs="Tahoma"/>
          <w:b/>
          <w:lang w:val="es-ES"/>
        </w:rPr>
      </w:pPr>
    </w:p>
    <w:p w:rsidRPr="00B0455D" w:rsidR="009A2169" w:rsidP="009A2169" w:rsidRDefault="009A2169" w14:paraId="3BEB7B58" w14:textId="77777777">
      <w:pPr>
        <w:spacing w:after="0" w:line="360" w:lineRule="auto"/>
        <w:rPr>
          <w:rFonts w:eastAsia="Batang" w:cs="Tahoma"/>
          <w:b/>
          <w:bCs/>
          <w:color w:val="auto"/>
          <w:lang w:eastAsia="es-ES"/>
        </w:rPr>
      </w:pPr>
      <w:r w:rsidRPr="00B0455D">
        <w:rPr>
          <w:rFonts w:eastAsia="Batang" w:cs="Tahoma"/>
          <w:b/>
          <w:bCs/>
          <w:color w:val="auto"/>
          <w:lang w:eastAsia="es-ES"/>
        </w:rPr>
        <w:t xml:space="preserve">PRIMERO. Competencia. </w:t>
      </w:r>
    </w:p>
    <w:p w:rsidRPr="00B0455D" w:rsidR="009A2169" w:rsidP="009A2169" w:rsidRDefault="009A2169" w14:paraId="53E7BC07" w14:textId="77777777">
      <w:pPr>
        <w:spacing w:after="0" w:line="360" w:lineRule="auto"/>
        <w:rPr>
          <w:rFonts w:eastAsia="Batang" w:cs="Tahoma"/>
          <w:b/>
          <w:bCs/>
          <w:color w:val="auto"/>
          <w:lang w:eastAsia="es-ES"/>
        </w:rPr>
      </w:pPr>
    </w:p>
    <w:p w:rsidRPr="00B0455D" w:rsidR="009A2169" w:rsidP="009A2169" w:rsidRDefault="009A2169" w14:paraId="7C25494F" w14:textId="77777777">
      <w:pPr>
        <w:spacing w:after="0" w:line="360" w:lineRule="auto"/>
        <w:rPr>
          <w:rFonts w:eastAsia="Times New Roman" w:cs="Tahoma"/>
          <w:bCs/>
          <w:color w:val="auto"/>
          <w:lang w:eastAsia="es-ES"/>
        </w:rPr>
      </w:pPr>
      <w:bookmarkStart w:name="_Hlk63334754" w:id="0"/>
      <w:r w:rsidRPr="00B0455D">
        <w:rPr>
          <w:rFonts w:eastAsia="Times New Roman" w:cs="Tahoma"/>
          <w:bCs/>
          <w:color w:val="auto"/>
          <w:lang w:eastAsia="es-ES"/>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B0455D">
        <w:rPr>
          <w:rFonts w:eastAsia="Times New Roman" w:cs="Times New Roman"/>
          <w:bCs/>
          <w:color w:val="auto"/>
          <w:lang w:eastAsia="es-ES"/>
        </w:rPr>
        <w:t xml:space="preserve"> 7°, </w:t>
      </w:r>
      <w:r w:rsidRPr="00B0455D">
        <w:rPr>
          <w:rFonts w:eastAsia="Times New Roman" w:cs="Tahoma"/>
          <w:bCs/>
          <w:color w:val="auto"/>
          <w:lang w:eastAsia="es-ES"/>
        </w:rPr>
        <w:t>9°, fracciones I y XXIV y 11 del Reglamento Interior del Instituto de Transparencia, Acceso a la Información Pública y Protección de Datos Personales del Estado de México y Municipios.</w:t>
      </w:r>
    </w:p>
    <w:bookmarkEnd w:id="0"/>
    <w:p w:rsidRPr="00B0455D" w:rsidR="009A2169" w:rsidP="009A2169" w:rsidRDefault="009A2169" w14:paraId="3D7A43B3" w14:textId="77777777">
      <w:pPr>
        <w:spacing w:after="0" w:line="360" w:lineRule="auto"/>
        <w:rPr>
          <w:rFonts w:eastAsia="Calibri" w:cs="Tahoma"/>
          <w:bCs/>
          <w:color w:val="000000"/>
          <w:lang w:eastAsia="es-ES_tradnl"/>
        </w:rPr>
      </w:pPr>
    </w:p>
    <w:p w:rsidRPr="00B0455D" w:rsidR="009A2169" w:rsidP="009A2169" w:rsidRDefault="009A2169" w14:paraId="1684085D" w14:textId="77777777">
      <w:pPr>
        <w:shd w:val="clear" w:color="auto" w:fill="FFFFFF"/>
        <w:spacing w:after="0" w:line="360" w:lineRule="auto"/>
        <w:rPr>
          <w:rFonts w:eastAsia="Times New Roman" w:cs="Times New Roman"/>
          <w:color w:val="222222"/>
          <w:sz w:val="20"/>
          <w:szCs w:val="20"/>
          <w:lang w:val="es-ES" w:eastAsia="es-ES"/>
        </w:rPr>
      </w:pPr>
      <w:r w:rsidRPr="00B0455D">
        <w:rPr>
          <w:rFonts w:eastAsia="Times New Roman" w:cs="Times New Roman"/>
          <w:b/>
          <w:bCs/>
          <w:color w:val="000000"/>
          <w:lang w:val="es-ES" w:eastAsia="es-ES"/>
        </w:rPr>
        <w:t>SEGUNDO. Causales de procedencia y sobreseimiento.</w:t>
      </w:r>
    </w:p>
    <w:p w:rsidRPr="00B0455D" w:rsidR="009A2169" w:rsidP="009A2169" w:rsidRDefault="009A2169" w14:paraId="6241A58F" w14:textId="77777777">
      <w:pPr>
        <w:shd w:val="clear" w:color="auto" w:fill="FFFFFF"/>
        <w:spacing w:after="0" w:line="360" w:lineRule="auto"/>
        <w:rPr>
          <w:rFonts w:eastAsia="Times New Roman" w:cs="Times New Roman"/>
          <w:color w:val="222222"/>
          <w:sz w:val="20"/>
          <w:szCs w:val="20"/>
          <w:lang w:val="es-ES" w:eastAsia="es-ES"/>
        </w:rPr>
      </w:pPr>
    </w:p>
    <w:p w:rsidRPr="00B0455D" w:rsidR="009A2169" w:rsidP="009A2169" w:rsidRDefault="009A2169" w14:paraId="0B794D9F" w14:textId="77777777">
      <w:pPr>
        <w:shd w:val="clear" w:color="auto" w:fill="FFFFFF"/>
        <w:spacing w:after="0" w:line="360" w:lineRule="auto"/>
        <w:rPr>
          <w:rFonts w:eastAsia="Times New Roman" w:cs="Times New Roman"/>
          <w:color w:val="222222"/>
          <w:sz w:val="20"/>
          <w:szCs w:val="20"/>
          <w:lang w:val="es-ES" w:eastAsia="es-ES"/>
        </w:rPr>
      </w:pPr>
      <w:r w:rsidRPr="00B0455D">
        <w:rPr>
          <w:rFonts w:eastAsia="Times New Roman" w:cs="Times New Roman"/>
          <w:color w:val="000000"/>
          <w:lang w:val="es-ES" w:eastAsia="es-ES"/>
        </w:rPr>
        <w:t xml:space="preserve">De las constancias que forman parte de los Recursos de Revisión que se analizan, se advierte que previo al estudio del fondo de la </w:t>
      </w:r>
      <w:r w:rsidRPr="00B0455D">
        <w:rPr>
          <w:rFonts w:eastAsia="Times New Roman" w:cs="Times New Roman"/>
          <w:i/>
          <w:color w:val="000000"/>
          <w:lang w:val="es-ES" w:eastAsia="es-ES"/>
        </w:rPr>
        <w:t>litis</w:t>
      </w:r>
      <w:r w:rsidRPr="00B0455D">
        <w:rPr>
          <w:rFonts w:eastAsia="Times New Roman" w:cs="Times New Roman"/>
          <w:color w:val="000000"/>
          <w:lang w:val="es-ES" w:eastAsia="es-ES"/>
        </w:rPr>
        <w:t>, es necesario estudiar las causales de improcedencia y sobreseimiento que se adviertan, para determinar lo que en Derecho proceda.</w:t>
      </w:r>
    </w:p>
    <w:p w:rsidRPr="00B0455D" w:rsidR="009A2169" w:rsidP="009A2169" w:rsidRDefault="009A2169" w14:paraId="47A38B1A" w14:textId="77777777">
      <w:pPr>
        <w:shd w:val="clear" w:color="auto" w:fill="FFFFFF"/>
        <w:spacing w:after="0" w:line="360" w:lineRule="auto"/>
        <w:rPr>
          <w:rFonts w:eastAsia="Times New Roman" w:cs="Times New Roman"/>
          <w:b/>
          <w:bCs/>
          <w:color w:val="000000"/>
          <w:lang w:val="es-ES" w:eastAsia="es-ES"/>
        </w:rPr>
      </w:pPr>
    </w:p>
    <w:p w:rsidRPr="00B0455D" w:rsidR="009A2169" w:rsidP="009A2169" w:rsidRDefault="009A2169" w14:paraId="681C4314" w14:textId="77777777">
      <w:pPr>
        <w:shd w:val="clear" w:color="auto" w:fill="FFFFFF"/>
        <w:spacing w:after="0" w:line="360" w:lineRule="auto"/>
        <w:rPr>
          <w:rFonts w:eastAsia="Times New Roman" w:cs="Times New Roman"/>
          <w:color w:val="222222"/>
          <w:sz w:val="20"/>
          <w:szCs w:val="20"/>
          <w:lang w:val="es-ES" w:eastAsia="es-ES"/>
        </w:rPr>
      </w:pPr>
      <w:r w:rsidRPr="00B0455D">
        <w:rPr>
          <w:rFonts w:eastAsia="Times New Roman" w:cs="Times New Roman"/>
          <w:b/>
          <w:bCs/>
          <w:color w:val="000000"/>
          <w:lang w:val="es-ES" w:eastAsia="es-ES"/>
        </w:rPr>
        <w:t>Causales de improcedencia.</w:t>
      </w:r>
    </w:p>
    <w:p w:rsidRPr="00B0455D" w:rsidR="009A2169" w:rsidP="009A2169" w:rsidRDefault="009A2169" w14:paraId="1F463FEB" w14:textId="77777777">
      <w:pPr>
        <w:shd w:val="clear" w:color="auto" w:fill="FFFFFF"/>
        <w:spacing w:after="0" w:line="360" w:lineRule="auto"/>
        <w:rPr>
          <w:rFonts w:eastAsia="Times New Roman" w:cs="Times New Roman"/>
          <w:color w:val="222222"/>
          <w:sz w:val="20"/>
          <w:szCs w:val="20"/>
          <w:lang w:val="es-ES" w:eastAsia="es-ES"/>
        </w:rPr>
      </w:pPr>
    </w:p>
    <w:p w:rsidRPr="00B0455D" w:rsidR="009A2169" w:rsidP="009A2169" w:rsidRDefault="009A2169" w14:paraId="650ED231" w14:textId="77777777">
      <w:pPr>
        <w:spacing w:after="0" w:line="360" w:lineRule="auto"/>
        <w:rPr>
          <w:rFonts w:eastAsia="Times New Roman" w:cs="Tahoma"/>
          <w:bCs/>
          <w:color w:val="000000"/>
          <w:lang w:eastAsia="es-ES"/>
        </w:rPr>
      </w:pPr>
      <w:r w:rsidRPr="00B0455D">
        <w:rPr>
          <w:rFonts w:eastAsia="Times New Roman" w:cs="Tahoma"/>
          <w:bCs/>
          <w:color w:val="000000"/>
          <w:lang w:eastAsia="es-ES"/>
        </w:rPr>
        <w:t xml:space="preserve">Este Instituto realiza el estudio oficioso de las causales de improcedencia, por tratarse de una cuestión de orden público y de estudio preferente (acorde con el Criterio orientador en la Tesis </w:t>
      </w:r>
      <w:r w:rsidRPr="00B0455D">
        <w:rPr>
          <w:rFonts w:eastAsia="Times New Roman" w:cs="Tahoma"/>
          <w:bCs/>
          <w:color w:val="000000"/>
          <w:lang w:eastAsia="es-ES"/>
        </w:rPr>
        <w:lastRenderedPageBreak/>
        <w:t>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Pr="00B0455D" w:rsidR="009A2169" w:rsidP="009A2169" w:rsidRDefault="009A2169" w14:paraId="04A28802" w14:textId="77777777">
      <w:pPr>
        <w:spacing w:after="0" w:line="360" w:lineRule="auto"/>
        <w:rPr>
          <w:rFonts w:eastAsia="Times New Roman" w:cs="Tahoma"/>
          <w:bCs/>
          <w:color w:val="000000"/>
          <w:lang w:eastAsia="es-ES"/>
        </w:rPr>
      </w:pPr>
    </w:p>
    <w:p w:rsidRPr="00B0455D" w:rsidR="009A2169" w:rsidP="009A2169" w:rsidRDefault="009A2169" w14:paraId="6A485EE9" w14:textId="77777777">
      <w:pPr>
        <w:spacing w:after="0" w:line="360" w:lineRule="auto"/>
        <w:rPr>
          <w:rFonts w:eastAsia="Times New Roman" w:cs="Tahoma"/>
          <w:bCs/>
          <w:color w:val="000000"/>
          <w:lang w:eastAsia="es-ES"/>
        </w:rPr>
      </w:pPr>
      <w:r w:rsidRPr="00B0455D">
        <w:rPr>
          <w:rFonts w:eastAsia="Times New Roman" w:cs="Tahoma"/>
          <w:bCs/>
          <w:color w:val="000000"/>
          <w:lang w:eastAsia="es-ES"/>
        </w:rPr>
        <w:t>En el presente caso, no se actualiza alguna de las causales de improcedencia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el Recurrente ante otra instancia; no existió prevención alguna; la veracidad de la respuesta no formó parte del agravio; ni se realizó una ampliación a los alcances del requerimiento informativo.</w:t>
      </w:r>
    </w:p>
    <w:p w:rsidRPr="00B0455D" w:rsidR="009A2169" w:rsidP="009A2169" w:rsidRDefault="009A2169" w14:paraId="756DF499" w14:textId="77777777">
      <w:pPr>
        <w:widowControl w:val="0"/>
        <w:spacing w:after="0" w:line="360" w:lineRule="auto"/>
        <w:rPr>
          <w:rFonts w:eastAsia="Times New Roman" w:cs="Times New Roman"/>
          <w:color w:val="222222"/>
          <w:sz w:val="20"/>
          <w:szCs w:val="20"/>
          <w:lang w:val="es-ES" w:eastAsia="es-ES"/>
        </w:rPr>
      </w:pPr>
    </w:p>
    <w:p w:rsidRPr="00B0455D" w:rsidR="009A2169" w:rsidP="009A2169" w:rsidRDefault="009A2169" w14:paraId="164D7743" w14:textId="185306AC">
      <w:pPr>
        <w:autoSpaceDE w:val="0"/>
        <w:autoSpaceDN w:val="0"/>
        <w:adjustRightInd w:val="0"/>
        <w:spacing w:after="0" w:line="360" w:lineRule="auto"/>
        <w:rPr>
          <w:rFonts w:eastAsia="Calibri" w:cs="Tahoma"/>
          <w:color w:val="000000"/>
          <w:lang w:eastAsia="es-MX"/>
        </w:rPr>
      </w:pPr>
      <w:r w:rsidRPr="00B0455D">
        <w:rPr>
          <w:rFonts w:eastAsia="Calibri" w:cs="Tahoma"/>
          <w:color w:val="000000"/>
          <w:lang w:eastAsia="es-MX"/>
        </w:rPr>
        <w:t xml:space="preserve">Asimismo, se actualiza la causal de procedencia señalada en el artículo 179, fracción V, de la Ley de la materia, toda vez que el Solicitante se inconformó con la </w:t>
      </w:r>
      <w:r w:rsidRPr="00B0455D" w:rsidR="005D6213">
        <w:rPr>
          <w:rFonts w:eastAsia="Calibri" w:cs="Tahoma"/>
          <w:color w:val="000000"/>
          <w:lang w:eastAsia="es-MX"/>
        </w:rPr>
        <w:t>entrega de información incompleta.</w:t>
      </w:r>
    </w:p>
    <w:p w:rsidRPr="00B0455D" w:rsidR="009A2169" w:rsidP="009A2169" w:rsidRDefault="009A2169" w14:paraId="34E50B8C" w14:textId="77777777">
      <w:pPr>
        <w:widowControl w:val="0"/>
        <w:spacing w:after="0" w:line="360" w:lineRule="auto"/>
        <w:rPr>
          <w:rFonts w:eastAsia="Times New Roman" w:cs="Times New Roman"/>
          <w:color w:val="222222"/>
          <w:sz w:val="20"/>
          <w:szCs w:val="20"/>
          <w:lang w:val="es-ES" w:eastAsia="es-ES"/>
        </w:rPr>
      </w:pPr>
    </w:p>
    <w:p w:rsidRPr="00B0455D" w:rsidR="009A2169" w:rsidP="009A2169" w:rsidRDefault="009A2169" w14:paraId="51F8DB44" w14:textId="77777777">
      <w:pPr>
        <w:spacing w:after="0" w:line="360" w:lineRule="auto"/>
        <w:rPr>
          <w:rFonts w:eastAsia="Times New Roman" w:cs="Tahoma"/>
          <w:bCs/>
          <w:color w:val="0D0D0D" w:themeColor="text1" w:themeTint="F2"/>
          <w:lang w:eastAsia="es-ES"/>
        </w:rPr>
      </w:pPr>
      <w:r w:rsidRPr="00B0455D">
        <w:rPr>
          <w:rFonts w:eastAsia="Times New Roman" w:cs="Tahoma"/>
          <w:b/>
          <w:bCs/>
          <w:color w:val="0D0D0D" w:themeColor="text1" w:themeTint="F2"/>
          <w:lang w:eastAsia="es-ES"/>
        </w:rPr>
        <w:t>Causales de sobreseimiento.</w:t>
      </w:r>
    </w:p>
    <w:p w:rsidRPr="00B0455D" w:rsidR="009A2169" w:rsidP="009A2169" w:rsidRDefault="009A2169" w14:paraId="53009EA3" w14:textId="77777777">
      <w:pPr>
        <w:spacing w:after="0" w:line="360" w:lineRule="auto"/>
        <w:rPr>
          <w:rFonts w:eastAsia="Times New Roman" w:cs="Tahoma"/>
          <w:bCs/>
          <w:color w:val="0D0D0D" w:themeColor="text1" w:themeTint="F2"/>
          <w:lang w:eastAsia="es-ES"/>
        </w:rPr>
      </w:pPr>
    </w:p>
    <w:p w:rsidRPr="00B0455D" w:rsidR="009A2169" w:rsidP="009A2169" w:rsidRDefault="009A2169" w14:paraId="59D2B25F" w14:textId="77777777">
      <w:pPr>
        <w:spacing w:after="0" w:line="360" w:lineRule="auto"/>
        <w:rPr>
          <w:rFonts w:eastAsia="Times New Roman" w:cs="Tahoma"/>
          <w:bCs/>
          <w:color w:val="0D0D0D" w:themeColor="text1" w:themeTint="F2"/>
          <w:lang w:eastAsia="es-ES"/>
        </w:rPr>
      </w:pPr>
      <w:r w:rsidRPr="00B0455D">
        <w:rPr>
          <w:rFonts w:eastAsia="Times New Roman" w:cs="Tahoma"/>
          <w:bCs/>
          <w:color w:val="0D0D0D" w:themeColor="text1" w:themeTint="F2"/>
          <w:lang w:eastAsia="es-ES"/>
        </w:rPr>
        <w:t>Por ser de previo y especial pronunciamiento, este Instituto analiza si se actualiza alguna causal de sobreseimiento.</w:t>
      </w:r>
    </w:p>
    <w:p w:rsidRPr="00B0455D" w:rsidR="009A2169" w:rsidP="009A2169" w:rsidRDefault="009A2169" w14:paraId="0311DA94" w14:textId="77777777">
      <w:pPr>
        <w:spacing w:after="0" w:line="360" w:lineRule="auto"/>
        <w:rPr>
          <w:rFonts w:eastAsia="Times New Roman" w:cs="Tahoma"/>
          <w:bCs/>
          <w:color w:val="0D0D0D" w:themeColor="text1" w:themeTint="F2"/>
          <w:lang w:eastAsia="es-ES"/>
        </w:rPr>
      </w:pPr>
    </w:p>
    <w:p w:rsidRPr="00B0455D" w:rsidR="009A2169" w:rsidP="009A2169" w:rsidRDefault="009A2169" w14:paraId="5EFB211A" w14:textId="77777777">
      <w:pPr>
        <w:spacing w:after="0" w:line="360" w:lineRule="auto"/>
        <w:rPr>
          <w:rFonts w:eastAsia="Times New Roman" w:cs="Tahoma"/>
          <w:color w:val="auto"/>
          <w:szCs w:val="24"/>
          <w:lang w:eastAsia="es-ES"/>
        </w:rPr>
      </w:pPr>
      <w:r w:rsidRPr="00B0455D">
        <w:rPr>
          <w:rFonts w:eastAsia="Times New Roman" w:cs="Tahoma"/>
          <w:color w:val="auto"/>
          <w:szCs w:val="24"/>
          <w:lang w:eastAsia="es-ES"/>
        </w:rPr>
        <w:t xml:space="preserve">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w:t>
      </w:r>
      <w:r w:rsidRPr="00B0455D">
        <w:rPr>
          <w:rFonts w:eastAsia="Times New Roman" w:cs="Tahoma"/>
          <w:color w:val="auto"/>
          <w:szCs w:val="24"/>
          <w:lang w:eastAsia="es-ES"/>
        </w:rPr>
        <w:lastRenderedPageBreak/>
        <w:t>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bien, haya quedado sin materia.</w:t>
      </w:r>
    </w:p>
    <w:p w:rsidRPr="00B0455D" w:rsidR="009A2169" w:rsidP="009A2169" w:rsidRDefault="009A2169" w14:paraId="6331CB45" w14:textId="77777777">
      <w:pPr>
        <w:spacing w:after="0" w:line="360" w:lineRule="auto"/>
        <w:rPr>
          <w:rFonts w:eastAsia="Times New Roman" w:cs="Tahoma"/>
          <w:bCs/>
          <w:color w:val="0D0D0D" w:themeColor="text1" w:themeTint="F2"/>
          <w:lang w:eastAsia="es-ES"/>
        </w:rPr>
      </w:pPr>
    </w:p>
    <w:p w:rsidRPr="00B0455D" w:rsidR="00066B31" w:rsidP="009A2169" w:rsidRDefault="009A2169" w14:paraId="26EA214E" w14:textId="08500B55">
      <w:pPr>
        <w:tabs>
          <w:tab w:val="left" w:pos="4962"/>
        </w:tabs>
        <w:spacing w:after="0" w:line="360" w:lineRule="auto"/>
        <w:rPr>
          <w:rFonts w:cs="Tahoma"/>
          <w:lang w:val="es-ES"/>
        </w:rPr>
      </w:pPr>
      <w:r w:rsidRPr="00B0455D">
        <w:rPr>
          <w:rFonts w:eastAsia="Times New Roman" w:cs="Tahoma"/>
          <w:bCs/>
          <w:color w:val="0D0D0D" w:themeColor="text1" w:themeTint="F2"/>
          <w:lang w:eastAsia="es-ES"/>
        </w:rPr>
        <w:t>Por tales motivos, se considera procedente entrar al fondo del presente asunto</w:t>
      </w:r>
      <w:r w:rsidRPr="00B0455D" w:rsidR="00066B31">
        <w:rPr>
          <w:rFonts w:cs="Tahoma"/>
          <w:lang w:val="es-ES"/>
        </w:rPr>
        <w:t xml:space="preserve">. </w:t>
      </w:r>
    </w:p>
    <w:p w:rsidRPr="00B0455D" w:rsidR="00066B31" w:rsidP="00A158AB" w:rsidRDefault="00066B31" w14:paraId="7F0C6A66" w14:textId="77777777">
      <w:pPr>
        <w:tabs>
          <w:tab w:val="left" w:pos="4962"/>
        </w:tabs>
        <w:spacing w:after="0" w:line="360" w:lineRule="auto"/>
        <w:rPr>
          <w:rFonts w:cs="Tahoma"/>
          <w:lang w:val="es-ES"/>
        </w:rPr>
      </w:pPr>
    </w:p>
    <w:p w:rsidRPr="00B0455D" w:rsidR="00066B31" w:rsidP="00A158AB" w:rsidRDefault="00066B31" w14:paraId="1A5ACCAF" w14:textId="77777777">
      <w:pPr>
        <w:tabs>
          <w:tab w:val="left" w:pos="4962"/>
        </w:tabs>
        <w:spacing w:after="0" w:line="360" w:lineRule="auto"/>
        <w:rPr>
          <w:rFonts w:eastAsia="Calibri" w:cs="Tahoma"/>
          <w:b/>
          <w:iCs/>
          <w:lang w:val="es-ES" w:eastAsia="es-ES_tradnl"/>
        </w:rPr>
      </w:pPr>
      <w:r w:rsidRPr="00B0455D">
        <w:rPr>
          <w:rFonts w:eastAsia="Calibri" w:cs="Tahoma"/>
          <w:b/>
          <w:iCs/>
          <w:lang w:val="es-ES" w:eastAsia="es-ES_tradnl"/>
        </w:rPr>
        <w:t xml:space="preserve">TERCERO. Determinación de la Controversia. </w:t>
      </w:r>
    </w:p>
    <w:p w:rsidRPr="00B0455D" w:rsidR="00066B31" w:rsidP="00A158AB" w:rsidRDefault="00066B31" w14:paraId="286B1258" w14:textId="77777777">
      <w:pPr>
        <w:spacing w:after="0" w:line="360" w:lineRule="auto"/>
      </w:pPr>
    </w:p>
    <w:p w:rsidRPr="00B0455D" w:rsidR="00066B31" w:rsidP="00A158AB" w:rsidRDefault="00066B31" w14:paraId="2EAB795C" w14:textId="7CB02932">
      <w:pPr>
        <w:tabs>
          <w:tab w:val="left" w:pos="4962"/>
        </w:tabs>
        <w:spacing w:after="0" w:line="360" w:lineRule="auto"/>
        <w:rPr>
          <w:rFonts w:eastAsia="Calibri" w:cs="Tahoma"/>
          <w:iCs/>
          <w:lang w:val="es-ES" w:eastAsia="es-ES_tradnl"/>
        </w:rPr>
      </w:pPr>
      <w:r w:rsidRPr="00B0455D">
        <w:rPr>
          <w:rFonts w:eastAsia="Calibri" w:cs="Tahoma"/>
          <w:iCs/>
          <w:lang w:val="es-ES" w:eastAsia="es-ES_tradnl"/>
        </w:rPr>
        <w:t>Con el objeto de ilustrar la controversia planteada, resulta conveniente precisar que, una vez realizado el estudio de las constancias que integran el expediente en que se actúa, se desprende que el Recurrente requirió</w:t>
      </w:r>
      <w:r w:rsidRPr="00B0455D" w:rsidR="00FE24DD">
        <w:rPr>
          <w:rFonts w:eastAsia="Calibri" w:cs="Tahoma"/>
          <w:iCs/>
          <w:lang w:val="es-ES" w:eastAsia="es-ES_tradnl"/>
        </w:rPr>
        <w:t xml:space="preserve"> </w:t>
      </w:r>
      <w:r w:rsidRPr="00B0455D" w:rsidR="004E2C2D">
        <w:rPr>
          <w:rFonts w:eastAsia="Calibri" w:cs="Tahoma"/>
          <w:iCs/>
          <w:lang w:val="es-ES" w:eastAsia="es-ES_tradnl"/>
        </w:rPr>
        <w:t xml:space="preserve">todos </w:t>
      </w:r>
      <w:r w:rsidRPr="00B0455D" w:rsidR="00F55B7E">
        <w:rPr>
          <w:rFonts w:eastAsia="Calibri" w:cs="Tahoma"/>
          <w:iCs/>
          <w:lang w:val="es-ES" w:eastAsia="es-ES_tradnl"/>
        </w:rPr>
        <w:t>los contratos de obra pública asignados por el Ayuntamiento de Nextlalpan, del primero de enero al treinta y uno de diciembre de dos mil dieciséis.</w:t>
      </w:r>
    </w:p>
    <w:p w:rsidRPr="00B0455D" w:rsidR="00066B31" w:rsidP="00A158AB" w:rsidRDefault="00066B31" w14:paraId="035B8B87" w14:textId="77777777">
      <w:pPr>
        <w:tabs>
          <w:tab w:val="left" w:pos="4962"/>
        </w:tabs>
        <w:spacing w:after="0" w:line="360" w:lineRule="auto"/>
        <w:rPr>
          <w:rFonts w:eastAsia="Calibri" w:cs="Tahoma"/>
          <w:iCs/>
          <w:lang w:val="es-ES" w:eastAsia="es-ES_tradnl"/>
        </w:rPr>
      </w:pPr>
    </w:p>
    <w:p w:rsidRPr="00B0455D" w:rsidR="00EF5D50" w:rsidP="00F55B7E" w:rsidRDefault="00FE24DD" w14:paraId="1934417A" w14:textId="04A7740F">
      <w:pPr>
        <w:spacing w:after="0" w:line="360" w:lineRule="auto"/>
        <w:rPr>
          <w:rFonts w:cs="Tahoma"/>
          <w:bCs/>
          <w:iCs/>
        </w:rPr>
      </w:pPr>
      <w:r w:rsidRPr="00B0455D">
        <w:rPr>
          <w:rFonts w:cs="Tahoma"/>
          <w:bCs/>
          <w:iCs/>
          <w:lang w:val="es-ES"/>
        </w:rPr>
        <w:t xml:space="preserve">En respuesta, el Sujeto Obligado, a través </w:t>
      </w:r>
      <w:r w:rsidRPr="00B0455D" w:rsidR="00F55B7E">
        <w:rPr>
          <w:rFonts w:cs="Tahoma"/>
          <w:bCs/>
          <w:iCs/>
          <w:lang w:val="es-ES"/>
        </w:rPr>
        <w:t>de la Dirección de Obra Pública</w:t>
      </w:r>
      <w:r w:rsidRPr="00B0455D" w:rsidR="004E2C2D">
        <w:rPr>
          <w:rFonts w:cs="Tahoma"/>
          <w:bCs/>
          <w:iCs/>
          <w:lang w:val="es-ES"/>
        </w:rPr>
        <w:t xml:space="preserve">, </w:t>
      </w:r>
      <w:r w:rsidRPr="00B0455D" w:rsidR="00F55B7E">
        <w:rPr>
          <w:rFonts w:cs="Tahoma"/>
          <w:bCs/>
          <w:iCs/>
          <w:lang w:val="es-ES"/>
        </w:rPr>
        <w:t>proporcionó el listado de las obras públicas adjudicadas durante el ejercicio fiscal requerido; ante dicha circunstancia, se inconformó de la entrega de información incompleta, al señalar que no le proporcionaron los documentos que tuvieran a la persona contratada y costos (contrato), lo cual actualiza la causal de procedencia establecida en el artículo 179, fracción V, de la Ley de Transparencia y Acceso a la Información Pública del Estado de México y Municipios.</w:t>
      </w:r>
      <w:r w:rsidRPr="00B0455D" w:rsidR="00EF5D50">
        <w:rPr>
          <w:rFonts w:cs="Tahoma"/>
          <w:bCs/>
          <w:iCs/>
          <w:lang w:val="es-ES_tradnl"/>
        </w:rPr>
        <w:t xml:space="preserve"> </w:t>
      </w:r>
      <w:r w:rsidRPr="00B0455D" w:rsidR="00EF5D50">
        <w:rPr>
          <w:rFonts w:cs="Tahoma"/>
          <w:bCs/>
          <w:iCs/>
          <w:lang w:val="es-ES"/>
        </w:rPr>
        <w:t>Así las cosas, una vez admitido y notificado los Recursos de Revisión a las partes, estas fueron omisas en realizar manifestaciones o alegatos.</w:t>
      </w:r>
    </w:p>
    <w:p w:rsidRPr="00B0455D" w:rsidR="008C23E3" w:rsidP="00A158AB" w:rsidRDefault="008C23E3" w14:paraId="0A57C759" w14:textId="04C09E1F">
      <w:pPr>
        <w:pStyle w:val="NormalWeb"/>
        <w:spacing w:after="0" w:line="360" w:lineRule="auto"/>
        <w:ind w:right="-28"/>
        <w:rPr>
          <w:rFonts w:ascii="Palatino Linotype" w:hAnsi="Palatino Linotype" w:cs="Tahoma"/>
          <w:bCs/>
          <w:iCs/>
          <w:color w:val="auto"/>
          <w:sz w:val="22"/>
          <w:szCs w:val="22"/>
          <w:lang w:val="es-ES" w:eastAsia="es-ES"/>
        </w:rPr>
      </w:pPr>
    </w:p>
    <w:p w:rsidRPr="00B0455D" w:rsidR="00066B31" w:rsidP="00A158AB" w:rsidRDefault="00066B31" w14:paraId="68774A70" w14:textId="7B485831">
      <w:pPr>
        <w:tabs>
          <w:tab w:val="left" w:pos="4962"/>
        </w:tabs>
        <w:spacing w:after="0" w:line="360" w:lineRule="auto"/>
        <w:rPr>
          <w:rFonts w:eastAsia="Calibri" w:cs="Tahoma"/>
          <w:bCs/>
        </w:rPr>
      </w:pPr>
      <w:r w:rsidRPr="00B0455D">
        <w:rPr>
          <w:rFonts w:eastAsia="Calibri" w:cs="Tahoma"/>
          <w:iCs/>
          <w:lang w:val="es-ES" w:eastAsia="es-ES_tradnl"/>
        </w:rPr>
        <w:t>Lo anterior, se desprende de las documentales que obran en los expedientes de referencia, materia de la presente resolución, consistente en: la solicitud de acceso a la información</w:t>
      </w:r>
      <w:r w:rsidRPr="00B0455D" w:rsidR="00062470">
        <w:rPr>
          <w:rFonts w:eastAsia="Calibri" w:cs="Tahoma"/>
          <w:iCs/>
          <w:lang w:val="es-ES" w:eastAsia="es-ES_tradnl"/>
        </w:rPr>
        <w:t>; la respuesta entregad</w:t>
      </w:r>
      <w:r w:rsidRPr="00B0455D" w:rsidR="00037914">
        <w:rPr>
          <w:rFonts w:eastAsia="Calibri" w:cs="Tahoma"/>
          <w:iCs/>
          <w:lang w:val="es-ES" w:eastAsia="es-ES_tradnl"/>
        </w:rPr>
        <w:t xml:space="preserve">a, </w:t>
      </w:r>
      <w:r w:rsidRPr="00B0455D">
        <w:rPr>
          <w:rFonts w:eastAsia="Calibri" w:cs="Tahoma"/>
          <w:iCs/>
          <w:lang w:eastAsia="es-ES_tradnl"/>
        </w:rPr>
        <w:t>el escrito recursal</w:t>
      </w:r>
      <w:r w:rsidRPr="00B0455D" w:rsidR="00037914">
        <w:rPr>
          <w:rFonts w:eastAsia="Calibri" w:cs="Tahoma"/>
          <w:iCs/>
          <w:lang w:eastAsia="es-ES_tradnl"/>
        </w:rPr>
        <w:t xml:space="preserve"> y el informe justificado</w:t>
      </w:r>
      <w:r w:rsidRPr="00B0455D">
        <w:rPr>
          <w:rFonts w:eastAsia="Calibri" w:cs="Tahoma"/>
          <w:iCs/>
          <w:lang w:eastAsia="es-ES_tradnl"/>
        </w:rPr>
        <w:t xml:space="preserve">; </w:t>
      </w:r>
      <w:r w:rsidRPr="00B0455D">
        <w:rPr>
          <w:rFonts w:eastAsia="Calibri" w:cs="Tahoma"/>
          <w:bCs/>
        </w:rPr>
        <w:t xml:space="preserve">instrumentales que se toman en cuenta a efecto de resolver el presente medio de impugnación, conforme a lo dispuesto por </w:t>
      </w:r>
      <w:r w:rsidRPr="00B0455D">
        <w:rPr>
          <w:rFonts w:eastAsia="Calibri" w:cs="Tahoma"/>
          <w:bCs/>
        </w:rPr>
        <w:lastRenderedPageBreak/>
        <w:t>el artículo 185, fracción IV, de la Ley de Transparencia y Acceso a la Información Pública del Estado de México y Municipios.</w:t>
      </w:r>
    </w:p>
    <w:p w:rsidRPr="00B0455D" w:rsidR="00066B31" w:rsidP="00A158AB" w:rsidRDefault="00066B31" w14:paraId="436F8DAB" w14:textId="77777777">
      <w:pPr>
        <w:tabs>
          <w:tab w:val="left" w:pos="4962"/>
        </w:tabs>
        <w:spacing w:after="0" w:line="360" w:lineRule="auto"/>
        <w:rPr>
          <w:rFonts w:eastAsia="Calibri" w:cs="Tahoma"/>
          <w:bCs/>
        </w:rPr>
      </w:pPr>
    </w:p>
    <w:p w:rsidRPr="00B0455D" w:rsidR="00066B31" w:rsidP="00A158AB" w:rsidRDefault="00066B31" w14:paraId="299AB0F0" w14:textId="77777777">
      <w:pPr>
        <w:spacing w:after="0" w:line="360" w:lineRule="auto"/>
        <w:rPr>
          <w:rFonts w:cs="Tahoma"/>
          <w:b/>
        </w:rPr>
      </w:pPr>
      <w:r w:rsidRPr="00B0455D">
        <w:rPr>
          <w:rFonts w:cs="Tahoma"/>
          <w:b/>
          <w:lang w:val="es-ES"/>
        </w:rPr>
        <w:t xml:space="preserve">CUARTO. </w:t>
      </w:r>
      <w:r w:rsidRPr="00B0455D">
        <w:rPr>
          <w:rFonts w:cs="Tahoma"/>
          <w:b/>
        </w:rPr>
        <w:t>Marco normativo aplicable en materia de transparencia y acceso a la información pública.</w:t>
      </w:r>
    </w:p>
    <w:p w:rsidRPr="00B0455D" w:rsidR="00066B31" w:rsidP="00A158AB" w:rsidRDefault="00066B31" w14:paraId="2E82BC88" w14:textId="77777777">
      <w:pPr>
        <w:spacing w:after="0" w:line="360" w:lineRule="auto"/>
        <w:rPr>
          <w:rFonts w:cs="Tahoma"/>
          <w:b/>
        </w:rPr>
      </w:pPr>
    </w:p>
    <w:p w:rsidRPr="00B0455D" w:rsidR="00066B31" w:rsidP="00A158AB" w:rsidRDefault="00066B31" w14:paraId="688782F9" w14:textId="77777777">
      <w:pPr>
        <w:widowControl w:val="0"/>
        <w:spacing w:after="0" w:line="360" w:lineRule="auto"/>
        <w:rPr>
          <w:rFonts w:eastAsia="Times New Roman" w:cs="Tahoma"/>
          <w:lang w:eastAsia="es-MX"/>
        </w:rPr>
      </w:pPr>
      <w:r w:rsidRPr="00B0455D">
        <w:rPr>
          <w:rFonts w:eastAsia="Times New Roman" w:cs="Tahoma"/>
          <w:lang w:eastAsia="es-MX"/>
        </w:rPr>
        <w:t>El artículo 6°, Apartado A), fracción I de la Constitución Política de los Estados Unidos Mexicanos, establece que toda la información en posesión de cualquier autoridad, es pública y sólo podrá ser reservada temporalmente por razones de interés público.</w:t>
      </w:r>
    </w:p>
    <w:p w:rsidRPr="00B0455D" w:rsidR="00066B31" w:rsidP="00A158AB" w:rsidRDefault="00066B31" w14:paraId="31B874EE" w14:textId="77777777">
      <w:pPr>
        <w:widowControl w:val="0"/>
        <w:spacing w:after="0" w:line="360" w:lineRule="auto"/>
        <w:rPr>
          <w:rFonts w:eastAsia="Times New Roman" w:cs="Tahoma"/>
          <w:lang w:eastAsia="es-MX"/>
        </w:rPr>
      </w:pPr>
    </w:p>
    <w:p w:rsidRPr="00B0455D" w:rsidR="00066B31" w:rsidP="00A158AB" w:rsidRDefault="00066B31" w14:paraId="0C6AAC93" w14:textId="77777777">
      <w:pPr>
        <w:widowControl w:val="0"/>
        <w:spacing w:after="0" w:line="360" w:lineRule="auto"/>
        <w:rPr>
          <w:rFonts w:eastAsia="Times New Roman" w:cs="Tahoma"/>
          <w:lang w:eastAsia="es-MX"/>
        </w:rPr>
      </w:pPr>
      <w:r w:rsidRPr="00B0455D">
        <w:rPr>
          <w:rFonts w:eastAsia="Times New Roman" w:cs="Tahoma"/>
          <w:lang w:eastAsia="es-MX"/>
        </w:rPr>
        <w:t>La Ley General de Transparencia y Acceso a la Información Pública, dispone en su artículo 70, la información que se considera corresponde a las Obligaciones de Transparencia, la cual debe estar disponible para cualquier persona de manera permanente y actualizada.</w:t>
      </w:r>
    </w:p>
    <w:p w:rsidRPr="00B0455D" w:rsidR="00066B31" w:rsidP="00A158AB" w:rsidRDefault="00066B31" w14:paraId="736B3C45" w14:textId="77777777">
      <w:pPr>
        <w:widowControl w:val="0"/>
        <w:spacing w:after="0" w:line="360" w:lineRule="auto"/>
        <w:rPr>
          <w:rFonts w:eastAsia="Times New Roman" w:cs="Tahoma"/>
          <w:lang w:eastAsia="es-MX"/>
        </w:rPr>
      </w:pPr>
    </w:p>
    <w:p w:rsidRPr="00B0455D" w:rsidR="00066B31" w:rsidP="00A158AB" w:rsidRDefault="00066B31" w14:paraId="73F41E19" w14:textId="77777777">
      <w:pPr>
        <w:spacing w:after="0" w:line="360" w:lineRule="auto"/>
        <w:rPr>
          <w:rFonts w:eastAsia="Times New Roman" w:cs="Tahoma"/>
          <w:lang w:eastAsia="es-MX"/>
        </w:rPr>
      </w:pPr>
      <w:r w:rsidRPr="00B0455D">
        <w:rPr>
          <w:rFonts w:eastAsia="Times New Roman" w:cs="Tahoma"/>
          <w:lang w:eastAsia="es-MX"/>
        </w:rPr>
        <w:t>Por su parte, en materia local, el artículo 5°, fracción I de la Constitución Política del Estado Libre y Soberano de México, es coincidente con la Constitución Política de los Estados Unidos Mexicanos,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Pr="00B0455D" w:rsidR="00066B31" w:rsidP="00A158AB" w:rsidRDefault="00066B31" w14:paraId="773388CF" w14:textId="77777777">
      <w:pPr>
        <w:widowControl w:val="0"/>
        <w:spacing w:after="0" w:line="360" w:lineRule="auto"/>
        <w:rPr>
          <w:rFonts w:eastAsia="Times New Roman" w:cs="Tahoma"/>
          <w:lang w:eastAsia="es-MX"/>
        </w:rPr>
      </w:pPr>
    </w:p>
    <w:p w:rsidRPr="00B0455D" w:rsidR="00066B31" w:rsidP="00A158AB" w:rsidRDefault="00066B31" w14:paraId="0F14646A" w14:textId="77777777">
      <w:pPr>
        <w:widowControl w:val="0"/>
        <w:spacing w:after="0" w:line="360" w:lineRule="auto"/>
        <w:rPr>
          <w:rFonts w:eastAsia="Times New Roman" w:cs="Tahoma"/>
          <w:lang w:eastAsia="es-MX"/>
        </w:rPr>
      </w:pPr>
      <w:r w:rsidRPr="00B0455D">
        <w:rPr>
          <w:rFonts w:eastAsia="Times New Roman" w:cs="Tahoma"/>
          <w:lang w:eastAsia="es-MX"/>
        </w:rPr>
        <w:t>Por su parte, la Ley de Transparencia y Acceso a la Información Pública del Estado de México y Municipios (Reglamentaria del artículo 5° de la Constitución Local), establece lo siguiente:</w:t>
      </w:r>
    </w:p>
    <w:p w:rsidRPr="00B0455D" w:rsidR="00066B31" w:rsidP="00A158AB" w:rsidRDefault="00066B31" w14:paraId="1C5CE9B0" w14:textId="7A498C63">
      <w:pPr>
        <w:widowControl w:val="0"/>
        <w:spacing w:after="0" w:line="360" w:lineRule="auto"/>
        <w:rPr>
          <w:rFonts w:eastAsia="Times New Roman" w:cs="Tahoma"/>
          <w:lang w:eastAsia="es-MX"/>
        </w:rPr>
      </w:pPr>
    </w:p>
    <w:p w:rsidRPr="00B0455D" w:rsidR="00066B31" w:rsidP="00A158AB" w:rsidRDefault="00066B31" w14:paraId="337DBABD" w14:textId="77777777">
      <w:pPr>
        <w:widowControl w:val="0"/>
        <w:spacing w:after="0" w:line="360" w:lineRule="auto"/>
        <w:rPr>
          <w:rFonts w:eastAsia="Times New Roman" w:cs="Tahoma"/>
          <w:lang w:eastAsia="es-MX"/>
        </w:rPr>
      </w:pPr>
      <w:r w:rsidRPr="00B0455D">
        <w:rPr>
          <w:rFonts w:eastAsia="Times New Roman" w:cs="Tahoma"/>
          <w:lang w:eastAsia="es-MX"/>
        </w:rPr>
        <w:t>El artículo 12, que, quienes generen, recopilen, administren, manejen, procesen, archiven o conserven información pública serán responsables de la misma.</w:t>
      </w:r>
    </w:p>
    <w:p w:rsidRPr="00B0455D" w:rsidR="00066B31" w:rsidP="00A158AB" w:rsidRDefault="00066B31" w14:paraId="7971A82B" w14:textId="77777777">
      <w:pPr>
        <w:widowControl w:val="0"/>
        <w:spacing w:after="0" w:line="360" w:lineRule="auto"/>
        <w:rPr>
          <w:rFonts w:eastAsia="Times New Roman" w:cs="Tahoma"/>
          <w:lang w:eastAsia="es-MX"/>
        </w:rPr>
      </w:pPr>
    </w:p>
    <w:p w:rsidRPr="00B0455D" w:rsidR="00F55B7E" w:rsidP="00A158AB" w:rsidRDefault="00F55B7E" w14:paraId="2FCC990C" w14:textId="77777777">
      <w:pPr>
        <w:widowControl w:val="0"/>
        <w:spacing w:after="0" w:line="360" w:lineRule="auto"/>
        <w:rPr>
          <w:rFonts w:eastAsia="Times New Roman" w:cs="Tahoma"/>
          <w:lang w:eastAsia="es-MX"/>
        </w:rPr>
      </w:pPr>
    </w:p>
    <w:p w:rsidRPr="00B0455D" w:rsidR="00066B31" w:rsidP="00A158AB" w:rsidRDefault="00066B31" w14:paraId="184D6CB7" w14:textId="77777777">
      <w:pPr>
        <w:widowControl w:val="0"/>
        <w:spacing w:after="0" w:line="360" w:lineRule="auto"/>
        <w:rPr>
          <w:rFonts w:eastAsia="Times New Roman" w:cs="Tahoma"/>
          <w:lang w:eastAsia="es-MX"/>
        </w:rPr>
      </w:pPr>
      <w:r w:rsidRPr="00B0455D">
        <w:rPr>
          <w:rFonts w:eastAsia="Times New Roman" w:cs="Tahoma"/>
          <w:lang w:eastAsia="es-MX"/>
        </w:rPr>
        <w:lastRenderedPageBreak/>
        <w:t>El artículo 18, que, los Sujetos Obligados deberán documentar todo acto que derive del ejercicio de sus facultades, competencias o funciones, considerando desde su origen la eventual publicidad y reutilización de la información que generen.</w:t>
      </w:r>
    </w:p>
    <w:p w:rsidRPr="00B0455D" w:rsidR="00066B31" w:rsidP="00A158AB" w:rsidRDefault="00066B31" w14:paraId="6D505BF4" w14:textId="77777777">
      <w:pPr>
        <w:widowControl w:val="0"/>
        <w:spacing w:after="0" w:line="360" w:lineRule="auto"/>
        <w:rPr>
          <w:rFonts w:eastAsia="Times New Roman" w:cs="Tahoma"/>
          <w:lang w:eastAsia="es-MX"/>
        </w:rPr>
      </w:pPr>
    </w:p>
    <w:p w:rsidRPr="00B0455D" w:rsidR="00066B31" w:rsidP="00A158AB" w:rsidRDefault="00066B31" w14:paraId="3EE497AD" w14:textId="77777777">
      <w:pPr>
        <w:widowControl w:val="0"/>
        <w:spacing w:after="0" w:line="360" w:lineRule="auto"/>
        <w:rPr>
          <w:rFonts w:eastAsia="Times New Roman" w:cs="Tahoma"/>
          <w:lang w:eastAsia="es-MX"/>
        </w:rPr>
      </w:pPr>
      <w:r w:rsidRPr="00B0455D">
        <w:rPr>
          <w:rFonts w:eastAsia="Times New Roman" w:cs="Tahoma"/>
          <w:lang w:eastAsia="es-MX"/>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Pr="00B0455D" w:rsidR="00610C0E" w:rsidP="00A158AB" w:rsidRDefault="00610C0E" w14:paraId="25F65B48" w14:textId="6BC262CC">
      <w:pPr>
        <w:widowControl w:val="0"/>
        <w:spacing w:after="0" w:line="360" w:lineRule="auto"/>
        <w:rPr>
          <w:rFonts w:eastAsia="Times New Roman" w:cs="Tahoma"/>
          <w:lang w:eastAsia="es-MX"/>
        </w:rPr>
      </w:pPr>
    </w:p>
    <w:p w:rsidRPr="00B0455D" w:rsidR="00EF5D50" w:rsidP="00EF5D50" w:rsidRDefault="00EF5D50" w14:paraId="5FF44DB7" w14:textId="77777777">
      <w:pPr>
        <w:widowControl w:val="0"/>
        <w:spacing w:after="0" w:line="360" w:lineRule="auto"/>
        <w:rPr>
          <w:rFonts w:cs="Tahoma"/>
          <w:color w:val="000000"/>
        </w:rPr>
      </w:pPr>
      <w:r w:rsidRPr="00B0455D">
        <w:rPr>
          <w:rFonts w:cs="Tahoma"/>
          <w:color w:val="000000"/>
        </w:rPr>
        <w:t xml:space="preserve">El artículo 92, detalla la información que corresponde a las Obligaciones Comunes de Transparencia, de las que destacan las contenidas en las fracciones XXIX y XXXII, concernientes la información relacionada con los procesos y resultados sobre procedimientos de adjudicación directa, invitación restringida y licitación pública, así como, los contratos y convenios. </w:t>
      </w:r>
    </w:p>
    <w:p w:rsidRPr="00B0455D" w:rsidR="00EF5D50" w:rsidP="00A158AB" w:rsidRDefault="00EF5D50" w14:paraId="070EDB00" w14:textId="77777777">
      <w:pPr>
        <w:widowControl w:val="0"/>
        <w:spacing w:after="0" w:line="360" w:lineRule="auto"/>
        <w:rPr>
          <w:rFonts w:eastAsia="Times New Roman" w:cs="Tahoma"/>
          <w:lang w:eastAsia="es-MX"/>
        </w:rPr>
      </w:pPr>
    </w:p>
    <w:p w:rsidRPr="00B0455D" w:rsidR="00066B31" w:rsidP="00A158AB" w:rsidRDefault="00066B31" w14:paraId="078B2F21" w14:textId="77777777">
      <w:pPr>
        <w:spacing w:after="0" w:line="360" w:lineRule="auto"/>
        <w:rPr>
          <w:rFonts w:eastAsia="Times New Roman" w:cs="Tahoma"/>
          <w:b/>
          <w:lang w:val="es-ES" w:eastAsia="es-ES"/>
        </w:rPr>
      </w:pPr>
      <w:r w:rsidRPr="00B0455D">
        <w:rPr>
          <w:rFonts w:eastAsia="Times New Roman" w:cs="Tahoma"/>
          <w:b/>
          <w:lang w:val="es-ES" w:eastAsia="es-ES"/>
        </w:rPr>
        <w:t>QUINTO. Estudio de Fondo.</w:t>
      </w:r>
    </w:p>
    <w:p w:rsidRPr="00B0455D" w:rsidR="00610C0E" w:rsidP="00A158AB" w:rsidRDefault="00610C0E" w14:paraId="1138C427" w14:textId="77777777">
      <w:pPr>
        <w:spacing w:after="0" w:line="360" w:lineRule="auto"/>
        <w:rPr>
          <w:rFonts w:eastAsia="Times New Roman" w:cs="Tahoma"/>
          <w:b/>
          <w:lang w:val="es-ES" w:eastAsia="es-ES"/>
        </w:rPr>
      </w:pPr>
    </w:p>
    <w:p w:rsidRPr="00B0455D" w:rsidR="00A158AB" w:rsidP="00A158AB" w:rsidRDefault="00066B31" w14:paraId="30B3A515" w14:textId="3072A800">
      <w:pPr>
        <w:spacing w:after="0" w:line="360" w:lineRule="auto"/>
        <w:rPr>
          <w:rFonts w:eastAsia="Times New Roman" w:cs="Times New Roman"/>
          <w:color w:val="auto"/>
          <w:lang w:eastAsia="es-ES"/>
        </w:rPr>
      </w:pPr>
      <w:r w:rsidRPr="00B0455D">
        <w:rPr>
          <w:rFonts w:eastAsia="Times New Roman" w:cs="Tahoma"/>
          <w:lang w:eastAsia="es-MX"/>
        </w:rPr>
        <w:t xml:space="preserve">Expuestas las posturas de las partes, se procede al análisis del agravio hecho valer por el ahora Recurrente, concerniente </w:t>
      </w:r>
      <w:r w:rsidRPr="00B0455D" w:rsidR="00062470">
        <w:rPr>
          <w:rFonts w:eastAsia="Times New Roman" w:cs="Tahoma"/>
          <w:lang w:eastAsia="es-MX"/>
        </w:rPr>
        <w:t>a la entrega de información incompleta</w:t>
      </w:r>
      <w:r w:rsidRPr="00B0455D" w:rsidR="00A158AB">
        <w:rPr>
          <w:rFonts w:eastAsia="Times New Roman" w:cs="Tahoma"/>
          <w:lang w:eastAsia="es-MX"/>
        </w:rPr>
        <w:t xml:space="preserve">; </w:t>
      </w:r>
      <w:r w:rsidRPr="00B0455D" w:rsidR="00A158AB">
        <w:rPr>
          <w:rFonts w:eastAsia="Times New Roman" w:cs="Times New Roman"/>
          <w:color w:val="auto"/>
          <w:lang w:eastAsia="es-ES"/>
        </w:rPr>
        <w:t>sin embargo, para realizar dicha acción, en principio es necesario contextualizar la solicitud de información</w:t>
      </w:r>
      <w:r w:rsidRPr="00B0455D" w:rsidR="00C20AC6">
        <w:rPr>
          <w:rFonts w:eastAsia="Times New Roman" w:cs="Times New Roman"/>
          <w:color w:val="auto"/>
          <w:lang w:eastAsia="es-ES"/>
        </w:rPr>
        <w:t xml:space="preserve"> </w:t>
      </w:r>
      <w:r w:rsidRPr="00B0455D" w:rsidR="00F55B7E">
        <w:rPr>
          <w:rFonts w:eastAsia="Times New Roman" w:cs="Times New Roman"/>
          <w:color w:val="auto"/>
          <w:lang w:eastAsia="es-ES"/>
        </w:rPr>
        <w:t>respecto a los contratos de obra pública.</w:t>
      </w:r>
    </w:p>
    <w:p w:rsidRPr="00B0455D" w:rsidR="00EF5D50" w:rsidP="006940FB" w:rsidRDefault="00EF5D50" w14:paraId="35665FFB" w14:textId="77777777">
      <w:pPr>
        <w:spacing w:after="0" w:line="360" w:lineRule="auto"/>
        <w:rPr>
          <w:rFonts w:eastAsia="Times New Roman" w:cs="Tahoma"/>
          <w:bCs/>
          <w:iCs/>
          <w:color w:val="auto"/>
          <w:lang w:eastAsia="es-MX"/>
        </w:rPr>
      </w:pPr>
    </w:p>
    <w:p w:rsidRPr="00B0455D" w:rsidR="00F55B7E" w:rsidP="00F55B7E" w:rsidRDefault="00F55B7E" w14:paraId="139C7DA1" w14:textId="77777777">
      <w:pPr>
        <w:spacing w:after="0" w:line="360" w:lineRule="auto"/>
      </w:pPr>
      <w:r w:rsidRPr="00B0455D">
        <w:t xml:space="preserve">Al respecto, el artículo 12.4 del Código Administrativo del Estado de México, establece que las obras públicas son aquellas cuyo objeto principal sea construir, instalar, ampliar, adecuar, remodelar, restaurar, conservar, mantener, modificar o demoler bienes inmuebles de los municipios con cargo a recursos públicos estatales y municipales; así como los trabajos de exploración, localización y perforación, mejoramiento de suelo y subsuelo, la infraestructura agropecuaria e hidroagrícola, entre otros. Además, conforme al artículo 12.6 de dicho </w:t>
      </w:r>
      <w:r w:rsidRPr="00B0455D">
        <w:lastRenderedPageBreak/>
        <w:t>ordenamiento jurídico, uno de los entes que pueden llevar a cabo contratos de obra pública o servicios relacionados con la misma, son los Municipios, a través de los Ayuntamientos.</w:t>
      </w:r>
    </w:p>
    <w:p w:rsidRPr="00B0455D" w:rsidR="00F55B7E" w:rsidP="00F55B7E" w:rsidRDefault="00F55B7E" w14:paraId="758C38EA" w14:textId="77777777">
      <w:pPr>
        <w:spacing w:after="0" w:line="360" w:lineRule="auto"/>
      </w:pPr>
    </w:p>
    <w:p w:rsidRPr="00B0455D" w:rsidR="00F55B7E" w:rsidP="00F55B7E" w:rsidRDefault="00F55B7E" w14:paraId="1F706863" w14:textId="77777777">
      <w:pPr>
        <w:spacing w:after="0" w:line="360" w:lineRule="auto"/>
      </w:pPr>
      <w:r w:rsidRPr="00B0455D">
        <w:t>En ese orden de ideas, es responsabilidad de los Ayuntamientos ejecutar la obra pública respectiva, mediante contrato con terceros o por administración directa; dicho acto jurídico, será adjudicado a través de licitaciones públicas, invitación restringida o adjudicación directa, conforme a los artículos 12.8, 12.20 y 12.21 del Código mencionado.</w:t>
      </w:r>
    </w:p>
    <w:p w:rsidRPr="00B0455D" w:rsidR="00F55B7E" w:rsidP="00F55B7E" w:rsidRDefault="00F55B7E" w14:paraId="36616FB6" w14:textId="77777777">
      <w:pPr>
        <w:spacing w:after="0" w:line="360" w:lineRule="auto"/>
      </w:pPr>
    </w:p>
    <w:p w:rsidRPr="00B0455D" w:rsidR="00F55B7E" w:rsidP="00F55B7E" w:rsidRDefault="00F55B7E" w14:paraId="53077979" w14:textId="77777777">
      <w:pPr>
        <w:spacing w:after="0" w:line="360" w:lineRule="auto"/>
        <w:rPr>
          <w:rFonts w:cs="Tahoma"/>
          <w:lang w:val="es-ES"/>
        </w:rPr>
      </w:pPr>
      <w:r w:rsidRPr="00B0455D">
        <w:t xml:space="preserve">En ese orden de ideas, </w:t>
      </w:r>
      <w:r w:rsidRPr="00B0455D">
        <w:rPr>
          <w:rFonts w:cs="Tahoma"/>
          <w:lang w:val="es-ES"/>
        </w:rPr>
        <w:t xml:space="preserve">el artículo 12.38 del Código Administrativo del Estado de México establece que la adjudicación de un procedimiento de </w:t>
      </w:r>
      <w:r w:rsidRPr="00B0455D">
        <w:rPr>
          <w:rFonts w:cs="Tahoma"/>
          <w:b/>
          <w:bCs/>
          <w:lang w:val="es-ES"/>
        </w:rPr>
        <w:t>obra pública,</w:t>
      </w:r>
      <w:r w:rsidRPr="00B0455D">
        <w:rPr>
          <w:rFonts w:cs="Tahoma"/>
          <w:lang w:val="es-ES"/>
        </w:rPr>
        <w:t xml:space="preserve"> se realizará mediante la suscripción de un contrato, entre el Ayuntamiento y la persona a la cual haya ganado el procedimiento licitatorio, dentro de los diez días hábiles siguientes a la notificación del fallo.</w:t>
      </w:r>
    </w:p>
    <w:p w:rsidRPr="00B0455D" w:rsidR="00F55B7E" w:rsidP="00F55B7E" w:rsidRDefault="00F55B7E" w14:paraId="60CC076C" w14:textId="77777777">
      <w:pPr>
        <w:spacing w:after="0" w:line="360" w:lineRule="auto"/>
      </w:pPr>
    </w:p>
    <w:p w:rsidRPr="00B0455D" w:rsidR="00F55B7E" w:rsidP="00F55B7E" w:rsidRDefault="00F55B7E" w14:paraId="0E45ACBA" w14:textId="77777777">
      <w:pPr>
        <w:spacing w:after="0" w:line="360" w:lineRule="auto"/>
        <w:rPr>
          <w:rFonts w:eastAsia="Times New Roman" w:cs="Tahoma"/>
          <w:color w:val="auto"/>
          <w:lang w:val="es-ES" w:eastAsia="es-ES"/>
        </w:rPr>
      </w:pPr>
      <w:r w:rsidRPr="00B0455D">
        <w:rPr>
          <w:rFonts w:eastAsia="Times New Roman" w:cs="Tahoma"/>
          <w:color w:val="auto"/>
          <w:lang w:val="es-ES" w:eastAsia="es-ES"/>
        </w:rPr>
        <w:t xml:space="preserve">Así mismo, el artículo 92, fracción XXIX, de la Ley de Transparencia y Acceso a la Información Pública del Estado de México y Municipios, establece como Obligaciones Comunes de Transparencia, de los Sujetos Obligados, la información sobre los procesos y resultados sobre procedimientos de adjudicación directa, invitación restringida y licitación de cualquier naturaleza, incluyendo la versión pública del expediente respectivo y de los contratos celebrados. </w:t>
      </w:r>
    </w:p>
    <w:p w:rsidRPr="00B0455D" w:rsidR="00F55B7E" w:rsidP="006940FB" w:rsidRDefault="00F55B7E" w14:paraId="36CFAD50" w14:textId="77777777">
      <w:pPr>
        <w:spacing w:after="0" w:line="360" w:lineRule="auto"/>
        <w:rPr>
          <w:rFonts w:eastAsia="Times New Roman" w:cs="Tahoma"/>
          <w:bCs/>
          <w:iCs/>
          <w:color w:val="auto"/>
          <w:lang w:eastAsia="es-MX"/>
        </w:rPr>
      </w:pPr>
    </w:p>
    <w:p w:rsidRPr="00B0455D" w:rsidR="00F55B7E" w:rsidP="006940FB" w:rsidRDefault="00F55B7E" w14:paraId="58389A65" w14:textId="207A4894">
      <w:pPr>
        <w:spacing w:after="0" w:line="360" w:lineRule="auto"/>
        <w:rPr>
          <w:rFonts w:eastAsia="Times New Roman" w:cs="Tahoma"/>
          <w:bCs/>
          <w:iCs/>
          <w:color w:val="auto"/>
          <w:lang w:eastAsia="es-MX"/>
        </w:rPr>
      </w:pPr>
      <w:r w:rsidRPr="00B0455D">
        <w:rPr>
          <w:rFonts w:eastAsia="Times New Roman" w:cs="Tahoma"/>
          <w:bCs/>
          <w:iCs/>
          <w:color w:val="auto"/>
          <w:lang w:eastAsia="es-MX"/>
        </w:rPr>
        <w:t>Conforme a lo anterior, se logra vislumbrar que la pretensión del ahora Recurrente es obtener todos los contratos de obra pública adjudicadas, del primero de enero al treinta y uno de diciembre de dos mil diecis</w:t>
      </w:r>
      <w:r w:rsidRPr="00B0455D" w:rsidR="00F86ACE">
        <w:rPr>
          <w:rFonts w:eastAsia="Times New Roman" w:cs="Tahoma"/>
          <w:bCs/>
          <w:iCs/>
          <w:color w:val="auto"/>
          <w:lang w:eastAsia="es-MX"/>
        </w:rPr>
        <w:t>éis, lo anterior, en cumplimiento del artículo 13 de la Ley de Transparencia y Acceso a la Información Pública del Estado de México y Municipios.</w:t>
      </w:r>
    </w:p>
    <w:p w:rsidRPr="00B0455D" w:rsidR="00F55B7E" w:rsidP="006940FB" w:rsidRDefault="00F55B7E" w14:paraId="22002407" w14:textId="77777777">
      <w:pPr>
        <w:spacing w:after="0" w:line="360" w:lineRule="auto"/>
        <w:rPr>
          <w:rFonts w:eastAsia="Times New Roman" w:cs="Tahoma"/>
          <w:bCs/>
          <w:iCs/>
          <w:color w:val="auto"/>
          <w:lang w:eastAsia="es-MX"/>
        </w:rPr>
      </w:pPr>
    </w:p>
    <w:p w:rsidRPr="00B0455D" w:rsidR="00F55B7E" w:rsidP="00245BCA" w:rsidRDefault="00F55B7E" w14:paraId="3C4B576D" w14:textId="4500F0D2">
      <w:pPr>
        <w:spacing w:after="0" w:line="360" w:lineRule="auto"/>
        <w:rPr>
          <w:rFonts w:eastAsia="Calibri" w:cs="Tahoma"/>
          <w:bCs/>
          <w:iCs/>
          <w:color w:val="000000"/>
          <w:szCs w:val="24"/>
          <w:lang w:val="es-ES_tradnl" w:eastAsia="es-MX"/>
        </w:rPr>
      </w:pPr>
      <w:r w:rsidRPr="00B0455D">
        <w:rPr>
          <w:rFonts w:eastAsia="Batang" w:cs="Tahoma"/>
          <w:bCs/>
          <w:color w:val="auto"/>
          <w:lang w:val="es-ES" w:eastAsia="es-ES"/>
        </w:rPr>
        <w:t xml:space="preserve">Establecido lo anterior, se procede analizar la información proporcionada por el Sujeto Obligado, para lo cual, en principio, cabe precisar que de las constancias que obran en el </w:t>
      </w:r>
      <w:r w:rsidRPr="00B0455D">
        <w:rPr>
          <w:rFonts w:eastAsia="Batang" w:cs="Tahoma"/>
          <w:bCs/>
          <w:color w:val="auto"/>
          <w:lang w:val="es-ES" w:eastAsia="es-ES"/>
        </w:rPr>
        <w:lastRenderedPageBreak/>
        <w:t>expediente, se logra advertir que el Ayuntamiento turno la solicitud de información, a la Dirección de Obras Públicas</w:t>
      </w:r>
      <w:r w:rsidRPr="00B0455D" w:rsidR="00245BCA">
        <w:rPr>
          <w:rFonts w:eastAsia="Batang" w:cs="Tahoma"/>
          <w:bCs/>
          <w:color w:val="auto"/>
          <w:lang w:val="es-ES" w:eastAsia="es-ES"/>
        </w:rPr>
        <w:t>; por lo que, r</w:t>
      </w:r>
      <w:r w:rsidRPr="00B0455D">
        <w:rPr>
          <w:rFonts w:eastAsia="Batang" w:cs="Tahoma"/>
          <w:bCs/>
          <w:color w:val="auto"/>
          <w:lang w:val="es-ES" w:eastAsia="es-ES"/>
        </w:rPr>
        <w:t xml:space="preserve">esulta </w:t>
      </w:r>
      <w:r w:rsidRPr="00B0455D">
        <w:rPr>
          <w:rFonts w:eastAsia="Calibri" w:cs="Tahoma"/>
          <w:bCs/>
          <w:color w:val="000000"/>
          <w:szCs w:val="24"/>
          <w:lang w:val="es-ES_tradnl" w:eastAsia="es-MX"/>
        </w:rPr>
        <w:t xml:space="preserve">necesario hacer referencia </w:t>
      </w:r>
      <w:r w:rsidRPr="00B0455D">
        <w:rPr>
          <w:rFonts w:eastAsia="Calibri" w:cs="Tahoma"/>
          <w:color w:val="000000"/>
          <w:szCs w:val="24"/>
          <w:lang w:val="es-ES_tradnl" w:eastAsia="es-MX"/>
        </w:rPr>
        <w:t xml:space="preserve">al </w:t>
      </w:r>
      <w:r w:rsidRPr="00B0455D">
        <w:rPr>
          <w:rFonts w:eastAsia="Calibri" w:cs="Tahoma"/>
          <w:b/>
          <w:color w:val="000000"/>
          <w:szCs w:val="24"/>
          <w:lang w:val="es-ES_tradnl" w:eastAsia="es-MX"/>
        </w:rPr>
        <w:t>procedimiento de búsqueda que deben de seguir los Sujetos Obligados para localizar la información</w:t>
      </w:r>
      <w:r w:rsidRPr="00B0455D">
        <w:rPr>
          <w:rFonts w:eastAsia="Calibri" w:cs="Tahoma"/>
          <w:color w:val="000000"/>
          <w:szCs w:val="24"/>
          <w:lang w:val="es-ES_tradnl" w:eastAsia="es-MX"/>
        </w:rPr>
        <w:t>, el cual se encuentra previsto en los artículos</w:t>
      </w:r>
      <w:r w:rsidRPr="00B0455D">
        <w:rPr>
          <w:rFonts w:eastAsia="Calibri" w:cs="Tahoma"/>
          <w:bCs/>
          <w:color w:val="000000"/>
          <w:szCs w:val="24"/>
          <w:lang w:val="es-ES_tradnl" w:eastAsia="es-MX"/>
        </w:rPr>
        <w:t xml:space="preserve"> 160 y 162 de la Ley de Transparencia y Acceso a la Información Pública del Estado de México y Municipios, mismo que es el siguiente:</w:t>
      </w:r>
    </w:p>
    <w:p w:rsidRPr="00B0455D" w:rsidR="00F55B7E" w:rsidP="00F55B7E" w:rsidRDefault="00F55B7E" w14:paraId="3165C604" w14:textId="77777777">
      <w:pPr>
        <w:autoSpaceDE w:val="0"/>
        <w:autoSpaceDN w:val="0"/>
        <w:adjustRightInd w:val="0"/>
        <w:spacing w:after="0" w:line="360" w:lineRule="auto"/>
        <w:rPr>
          <w:rFonts w:eastAsia="Calibri" w:cs="Tahoma"/>
          <w:bCs/>
          <w:color w:val="000000"/>
          <w:szCs w:val="24"/>
          <w:lang w:val="es-ES_tradnl" w:eastAsia="es-MX"/>
        </w:rPr>
      </w:pPr>
    </w:p>
    <w:p w:rsidRPr="00B0455D" w:rsidR="00F55B7E" w:rsidP="00245BCA" w:rsidRDefault="00F55B7E" w14:paraId="286A63FE" w14:textId="77777777">
      <w:pPr>
        <w:numPr>
          <w:ilvl w:val="0"/>
          <w:numId w:val="4"/>
        </w:numPr>
        <w:autoSpaceDE w:val="0"/>
        <w:autoSpaceDN w:val="0"/>
        <w:adjustRightInd w:val="0"/>
        <w:spacing w:after="0" w:line="360" w:lineRule="auto"/>
        <w:rPr>
          <w:rFonts w:eastAsia="Calibri" w:cs="Tahoma"/>
          <w:bCs/>
          <w:color w:val="000000"/>
          <w:szCs w:val="24"/>
          <w:lang w:val="es-ES" w:eastAsia="es-MX"/>
        </w:rPr>
      </w:pPr>
      <w:r w:rsidRPr="00B0455D">
        <w:rPr>
          <w:rFonts w:eastAsia="Calibri" w:cs="Tahoma"/>
          <w:bCs/>
          <w:color w:val="000000"/>
          <w:szCs w:val="24"/>
          <w:lang w:val="es-ES" w:eastAsia="es-MX"/>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rsidRPr="00B0455D" w:rsidR="00F55B7E" w:rsidP="00F55B7E" w:rsidRDefault="00F55B7E" w14:paraId="148AC744" w14:textId="77777777">
      <w:pPr>
        <w:autoSpaceDE w:val="0"/>
        <w:autoSpaceDN w:val="0"/>
        <w:adjustRightInd w:val="0"/>
        <w:spacing w:after="0" w:line="360" w:lineRule="auto"/>
        <w:rPr>
          <w:rFonts w:eastAsia="Calibri" w:cs="Tahoma"/>
          <w:bCs/>
          <w:color w:val="000000"/>
          <w:szCs w:val="24"/>
          <w:lang w:val="es-ES" w:eastAsia="es-MX"/>
        </w:rPr>
      </w:pPr>
    </w:p>
    <w:p w:rsidRPr="00B0455D" w:rsidR="00F55B7E" w:rsidP="00245BCA" w:rsidRDefault="00F55B7E" w14:paraId="2B0B33D3" w14:textId="77777777">
      <w:pPr>
        <w:numPr>
          <w:ilvl w:val="0"/>
          <w:numId w:val="4"/>
        </w:numPr>
        <w:autoSpaceDE w:val="0"/>
        <w:autoSpaceDN w:val="0"/>
        <w:adjustRightInd w:val="0"/>
        <w:spacing w:after="0" w:line="360" w:lineRule="auto"/>
        <w:rPr>
          <w:rFonts w:eastAsia="Calibri" w:cs="Tahoma"/>
          <w:bCs/>
          <w:color w:val="000000"/>
          <w:szCs w:val="24"/>
          <w:lang w:val="es-ES" w:eastAsia="es-MX"/>
        </w:rPr>
      </w:pPr>
      <w:r w:rsidRPr="00B0455D">
        <w:rPr>
          <w:rFonts w:eastAsia="Calibri" w:cs="Tahoma"/>
          <w:bCs/>
          <w:color w:val="000000"/>
          <w:szCs w:val="24"/>
          <w:lang w:val="es-ES" w:eastAsia="es-MX"/>
        </w:rPr>
        <w:t>Los sujetos obligados otorgaran acceso a los documentos que se encuentren en sus archivos o que estén obligados a documentar de acuerdo con sus facultades, competencias o funciones, en el formato en que el solicitante manifieste, de entre aquellos formatos existentes.</w:t>
      </w:r>
    </w:p>
    <w:p w:rsidRPr="00B0455D" w:rsidR="00F55B7E" w:rsidP="00F55B7E" w:rsidRDefault="00F55B7E" w14:paraId="67D0015D" w14:textId="77777777">
      <w:pPr>
        <w:autoSpaceDE w:val="0"/>
        <w:autoSpaceDN w:val="0"/>
        <w:adjustRightInd w:val="0"/>
        <w:spacing w:after="0" w:line="360" w:lineRule="auto"/>
        <w:rPr>
          <w:rFonts w:eastAsia="Calibri" w:cs="Tahoma"/>
          <w:color w:val="000000"/>
          <w:szCs w:val="24"/>
          <w:lang w:val="es-ES_tradnl" w:eastAsia="es-MX"/>
        </w:rPr>
      </w:pPr>
    </w:p>
    <w:p w:rsidRPr="00B0455D" w:rsidR="00F55B7E" w:rsidP="00F55B7E" w:rsidRDefault="00F55B7E" w14:paraId="31D13337" w14:textId="2BF13AC5">
      <w:pPr>
        <w:spacing w:after="0" w:line="360" w:lineRule="auto"/>
        <w:rPr>
          <w:rFonts w:eastAsia="Batang" w:cs="Tahoma"/>
          <w:bCs/>
          <w:color w:val="auto"/>
          <w:lang w:val="es-ES" w:eastAsia="es-ES"/>
        </w:rPr>
      </w:pPr>
      <w:r w:rsidRPr="00B0455D">
        <w:rPr>
          <w:rFonts w:eastAsia="Calibri" w:cs="Tahoma"/>
          <w:color w:val="000000"/>
          <w:szCs w:val="24"/>
          <w:lang w:val="es-ES" w:eastAsia="es-MX"/>
        </w:rPr>
        <w:t xml:space="preserve">Así, a efecto de determinar si el Sujeto Obligado siguió el procedimiento antes descrito, es necesario traer a colación los artículos </w:t>
      </w:r>
      <w:r w:rsidRPr="00B0455D" w:rsidR="00245BCA">
        <w:rPr>
          <w:rFonts w:eastAsia="Calibri" w:cs="Tahoma"/>
          <w:color w:val="000000"/>
          <w:szCs w:val="24"/>
          <w:lang w:val="es-ES" w:eastAsia="es-MX"/>
        </w:rPr>
        <w:t>42, fracción V, numeral 4, 64 y 65</w:t>
      </w:r>
      <w:r w:rsidRPr="00B0455D">
        <w:rPr>
          <w:rFonts w:eastAsia="Calibri" w:cs="Tahoma"/>
          <w:color w:val="000000"/>
          <w:szCs w:val="24"/>
          <w:lang w:val="es-ES" w:eastAsia="es-MX"/>
        </w:rPr>
        <w:t>, del Bando Municipal</w:t>
      </w:r>
      <w:r w:rsidRPr="00B0455D" w:rsidR="00245BCA">
        <w:rPr>
          <w:rFonts w:eastAsia="Calibri" w:cs="Tahoma"/>
          <w:color w:val="000000"/>
          <w:szCs w:val="24"/>
          <w:lang w:val="es-ES" w:eastAsia="es-MX"/>
        </w:rPr>
        <w:t xml:space="preserve"> dos mil veintidós,</w:t>
      </w:r>
      <w:r w:rsidRPr="00B0455D">
        <w:rPr>
          <w:rFonts w:eastAsia="Calibri" w:cs="Tahoma"/>
          <w:color w:val="000000"/>
          <w:szCs w:val="24"/>
          <w:lang w:val="es-ES" w:eastAsia="es-MX"/>
        </w:rPr>
        <w:t xml:space="preserve"> de </w:t>
      </w:r>
      <w:r w:rsidRPr="00B0455D" w:rsidR="00245BCA">
        <w:rPr>
          <w:rFonts w:eastAsia="Calibri" w:cs="Tahoma"/>
          <w:color w:val="000000"/>
          <w:szCs w:val="24"/>
          <w:lang w:val="es-ES" w:eastAsia="es-MX"/>
        </w:rPr>
        <w:t>Nextlalpan</w:t>
      </w:r>
      <w:r w:rsidRPr="00B0455D">
        <w:rPr>
          <w:rFonts w:eastAsia="Calibri" w:cs="Tahoma"/>
          <w:color w:val="000000"/>
          <w:szCs w:val="24"/>
          <w:lang w:val="es-ES" w:eastAsia="es-MX"/>
        </w:rPr>
        <w:t>, que establece</w:t>
      </w:r>
      <w:r w:rsidRPr="00B0455D" w:rsidR="00245BCA">
        <w:rPr>
          <w:rFonts w:eastAsia="Calibri" w:cs="Tahoma"/>
          <w:color w:val="000000"/>
          <w:szCs w:val="24"/>
          <w:lang w:val="es-ES" w:eastAsia="es-MX"/>
        </w:rPr>
        <w:t>n</w:t>
      </w:r>
      <w:r w:rsidRPr="00B0455D">
        <w:rPr>
          <w:rFonts w:eastAsia="Calibri" w:cs="Tahoma"/>
          <w:color w:val="000000"/>
          <w:szCs w:val="24"/>
          <w:lang w:val="es-ES" w:eastAsia="es-MX"/>
        </w:rPr>
        <w:t xml:space="preserve"> que </w:t>
      </w:r>
      <w:r w:rsidRPr="00B0455D" w:rsidR="00245BCA">
        <w:rPr>
          <w:rFonts w:eastAsia="Batang" w:cs="Tahoma"/>
          <w:bCs/>
          <w:color w:val="auto"/>
          <w:lang w:val="es-ES" w:eastAsia="es-ES"/>
        </w:rPr>
        <w:t>el Ayuntamiento para el ejercicio de sus funciones cuenta con diversas unidades administrativas, entre las cuales se encuentra la Dirección de Obras Públicas, encargada de</w:t>
      </w:r>
      <w:r w:rsidRPr="00B0455D" w:rsidR="00245BCA">
        <w:t xml:space="preserve"> planear, programar, presupuestar, adjudicar, contratar, ejecutar, vigilar, supervisar, controlar, recibir, conservar y mantener las obras públicas municipales.</w:t>
      </w:r>
    </w:p>
    <w:p w:rsidRPr="00B0455D" w:rsidR="00F55B7E" w:rsidP="00F55B7E" w:rsidRDefault="00F55B7E" w14:paraId="41A68412" w14:textId="77777777">
      <w:pPr>
        <w:spacing w:after="0" w:line="360" w:lineRule="auto"/>
        <w:rPr>
          <w:rFonts w:eastAsia="Batang" w:cs="Tahoma"/>
          <w:bCs/>
          <w:color w:val="auto"/>
          <w:lang w:val="es-ES" w:eastAsia="es-ES"/>
        </w:rPr>
      </w:pPr>
    </w:p>
    <w:p w:rsidRPr="00B0455D" w:rsidR="00F55B7E" w:rsidP="00F55B7E" w:rsidRDefault="00F55B7E" w14:paraId="2C257E22" w14:textId="21E1D3CF">
      <w:pPr>
        <w:autoSpaceDE w:val="0"/>
        <w:autoSpaceDN w:val="0"/>
        <w:adjustRightInd w:val="0"/>
        <w:spacing w:after="0" w:line="360" w:lineRule="auto"/>
        <w:rPr>
          <w:rFonts w:eastAsia="Calibri" w:cs="Tahoma"/>
          <w:color w:val="000000"/>
          <w:szCs w:val="24"/>
          <w:lang w:val="es-ES" w:eastAsia="es-MX"/>
        </w:rPr>
      </w:pPr>
      <w:r w:rsidRPr="00B0455D">
        <w:rPr>
          <w:rFonts w:eastAsia="Calibri" w:cs="Tahoma"/>
          <w:color w:val="000000"/>
          <w:szCs w:val="24"/>
          <w:lang w:val="es-ES" w:eastAsia="es-MX"/>
        </w:rPr>
        <w:t>Conforme a lo anterior, se colige que el Ente Recurrido, gestion</w:t>
      </w:r>
      <w:r w:rsidRPr="00B0455D" w:rsidR="00245BCA">
        <w:rPr>
          <w:rFonts w:eastAsia="Calibri" w:cs="Tahoma"/>
          <w:color w:val="000000"/>
          <w:szCs w:val="24"/>
          <w:lang w:val="es-ES" w:eastAsia="es-MX"/>
        </w:rPr>
        <w:t>ó</w:t>
      </w:r>
      <w:r w:rsidRPr="00B0455D">
        <w:rPr>
          <w:rFonts w:eastAsia="Calibri" w:cs="Tahoma"/>
          <w:color w:val="000000"/>
          <w:szCs w:val="24"/>
          <w:lang w:val="es-ES" w:eastAsia="es-MX"/>
        </w:rPr>
        <w:t xml:space="preserve"> la solicitud de información, al área con atribuciones para conocer de lo peticionado, a saber, la Dirección de Obras Públicas, </w:t>
      </w:r>
      <w:r w:rsidRPr="00B0455D">
        <w:rPr>
          <w:rFonts w:eastAsia="Calibri" w:cs="Tahoma"/>
          <w:color w:val="000000"/>
          <w:szCs w:val="24"/>
          <w:lang w:val="es-ES" w:eastAsia="es-MX"/>
        </w:rPr>
        <w:lastRenderedPageBreak/>
        <w:t>por lo que, se advierte que cumplió con el procedimiento de búsqueda establecido en el artículo 162 de la Ley de Transparencia y Acceso a la Información Pública del Estado de México y Municipios.</w:t>
      </w:r>
    </w:p>
    <w:p w:rsidRPr="00B0455D" w:rsidR="00F55B7E" w:rsidP="006940FB" w:rsidRDefault="00F55B7E" w14:paraId="22A0B4B0" w14:textId="77777777">
      <w:pPr>
        <w:spacing w:after="0" w:line="360" w:lineRule="auto"/>
        <w:rPr>
          <w:rFonts w:eastAsia="Times New Roman" w:cs="Tahoma"/>
          <w:bCs/>
          <w:iCs/>
          <w:color w:val="auto"/>
          <w:lang w:eastAsia="es-MX"/>
        </w:rPr>
      </w:pPr>
    </w:p>
    <w:p w:rsidRPr="00B0455D" w:rsidR="00245BCA" w:rsidP="006940FB" w:rsidRDefault="00245BCA" w14:paraId="6F8770FB" w14:textId="7CC47CA1">
      <w:pPr>
        <w:spacing w:after="0" w:line="360" w:lineRule="auto"/>
        <w:rPr>
          <w:rFonts w:eastAsia="Times New Roman" w:cs="Tahoma"/>
          <w:bCs/>
          <w:iCs/>
          <w:color w:val="auto"/>
          <w:lang w:eastAsia="es-MX"/>
        </w:rPr>
      </w:pPr>
      <w:r w:rsidRPr="00B0455D">
        <w:rPr>
          <w:rFonts w:eastAsia="Times New Roman" w:cs="Tahoma"/>
          <w:bCs/>
          <w:iCs/>
          <w:color w:val="auto"/>
          <w:lang w:eastAsia="es-MX"/>
        </w:rPr>
        <w:t xml:space="preserve">Ahora bien, en respuesta el Sujeto Obligado proporcionó una relación con las obras públicas adjudicadas durante el dos mil dieciséis, siendo un total de cuarenta y ocho, se muestra un extracto a continuación: </w:t>
      </w:r>
    </w:p>
    <w:p w:rsidRPr="00B0455D" w:rsidR="00245BCA" w:rsidP="006940FB" w:rsidRDefault="00245BCA" w14:paraId="735BD137" w14:textId="77777777">
      <w:pPr>
        <w:spacing w:after="0" w:line="360" w:lineRule="auto"/>
        <w:rPr>
          <w:rFonts w:eastAsia="Times New Roman" w:cs="Tahoma"/>
          <w:bCs/>
          <w:iCs/>
          <w:color w:val="auto"/>
          <w:lang w:eastAsia="es-MX"/>
        </w:rPr>
      </w:pPr>
    </w:p>
    <w:p w:rsidRPr="00B0455D" w:rsidR="00245BCA" w:rsidP="006940FB" w:rsidRDefault="00245BCA" w14:paraId="613EA008" w14:textId="624E1A08">
      <w:pPr>
        <w:spacing w:after="0" w:line="360" w:lineRule="auto"/>
        <w:rPr>
          <w:rFonts w:eastAsia="Times New Roman" w:cs="Tahoma"/>
          <w:bCs/>
          <w:iCs/>
          <w:color w:val="auto"/>
          <w:lang w:eastAsia="es-MX"/>
        </w:rPr>
      </w:pPr>
      <w:r w:rsidRPr="00B0455D">
        <w:rPr>
          <w:rFonts w:eastAsia="Times New Roman" w:cs="Tahoma"/>
          <w:bCs/>
          <w:iCs/>
          <w:noProof/>
          <w:color w:val="auto"/>
          <w:lang w:eastAsia="es-MX"/>
        </w:rPr>
        <w:drawing>
          <wp:inline distT="0" distB="0" distL="0" distR="0" wp14:anchorId="69497F31" wp14:editId="6E78ADD8">
            <wp:extent cx="5791835" cy="2754630"/>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2754630"/>
                    </a:xfrm>
                    <a:prstGeom prst="rect">
                      <a:avLst/>
                    </a:prstGeom>
                  </pic:spPr>
                </pic:pic>
              </a:graphicData>
            </a:graphic>
          </wp:inline>
        </w:drawing>
      </w:r>
    </w:p>
    <w:p w:rsidRPr="00B0455D" w:rsidR="00F55B7E" w:rsidP="006940FB" w:rsidRDefault="00F55B7E" w14:paraId="0A407AF0" w14:textId="77777777">
      <w:pPr>
        <w:spacing w:after="0" w:line="360" w:lineRule="auto"/>
        <w:rPr>
          <w:rFonts w:eastAsia="Times New Roman" w:cs="Tahoma"/>
          <w:bCs/>
          <w:iCs/>
          <w:color w:val="auto"/>
          <w:lang w:eastAsia="es-MX"/>
        </w:rPr>
      </w:pPr>
    </w:p>
    <w:p w:rsidRPr="00B0455D" w:rsidR="001A5045" w:rsidP="001A5045" w:rsidRDefault="00245BCA" w14:paraId="072A76C4" w14:textId="0B953E7C">
      <w:pPr>
        <w:spacing w:after="0" w:line="360" w:lineRule="auto"/>
        <w:rPr>
          <w:rFonts w:eastAsia="Times New Roman" w:cs="Tahoma"/>
          <w:bCs/>
          <w:iCs/>
          <w:color w:val="auto"/>
          <w:lang w:eastAsia="es-ES"/>
        </w:rPr>
      </w:pPr>
      <w:r w:rsidRPr="00B0455D">
        <w:rPr>
          <w:rFonts w:eastAsia="Times New Roman" w:cs="Tahoma"/>
          <w:bCs/>
          <w:iCs/>
          <w:color w:val="auto"/>
          <w:lang w:eastAsia="es-MX"/>
        </w:rPr>
        <w:t>Como se logra observar, el Ayuntamiento precisó que durante el dos mil dieciséis únicamente se adjudicaron cuarenta y ocho obras públicas, a través de los diversos procedimientos de contratación (licitación, invitación restringida y adjudicación directa)</w:t>
      </w:r>
      <w:r w:rsidRPr="00B0455D" w:rsidR="001A5045">
        <w:rPr>
          <w:rFonts w:eastAsia="Times New Roman" w:cs="Times New Roman"/>
          <w:color w:val="auto"/>
          <w:szCs w:val="20"/>
          <w:lang w:eastAsia="es-ES"/>
        </w:rPr>
        <w:t>; s</w:t>
      </w:r>
      <w:r w:rsidRPr="00B0455D" w:rsidR="001A5045">
        <w:rPr>
          <w:rFonts w:eastAsia="Times New Roman" w:cs="Tahoma"/>
          <w:iCs/>
          <w:color w:val="auto"/>
          <w:lang w:val="es-ES" w:eastAsia="es-ES"/>
        </w:rPr>
        <w:t xml:space="preserve">obre dicho pronunciamiento, </w:t>
      </w:r>
      <w:r w:rsidRPr="00B0455D" w:rsidR="001A5045">
        <w:rPr>
          <w:rFonts w:eastAsia="Times New Roman" w:cs="Tahoma"/>
          <w:bCs/>
          <w:iCs/>
          <w:color w:val="auto"/>
          <w:lang w:eastAsia="es-ES"/>
        </w:rPr>
        <w:t>cabe precisar que este Instituto, no tiene atribuciones para pronunciarse sobre la veracidad de la información. Apoya lo anterior, el Criterio 31/10, emitido por el Pleno del entonces Instituto Federal de Acceso a la Información y Protección de Datos, que a continuación se cita:</w:t>
      </w:r>
    </w:p>
    <w:p w:rsidRPr="00B0455D" w:rsidR="001A5045" w:rsidP="001A5045" w:rsidRDefault="001A5045" w14:paraId="031B0297" w14:textId="77777777">
      <w:pPr>
        <w:spacing w:after="0" w:line="360" w:lineRule="auto"/>
        <w:rPr>
          <w:rFonts w:eastAsia="Times New Roman" w:cs="Tahoma"/>
          <w:iCs/>
          <w:color w:val="auto"/>
          <w:lang w:val="es-ES" w:eastAsia="es-ES"/>
        </w:rPr>
      </w:pPr>
    </w:p>
    <w:p w:rsidRPr="00B0455D" w:rsidR="001A5045" w:rsidP="001A5045" w:rsidRDefault="001A5045" w14:paraId="3E3F15F9" w14:textId="77777777">
      <w:pPr>
        <w:spacing w:after="0" w:line="360" w:lineRule="auto"/>
        <w:ind w:left="567" w:right="567"/>
        <w:rPr>
          <w:rFonts w:eastAsia="Times New Roman" w:cs="Tahoma"/>
          <w:bCs/>
          <w:i/>
          <w:iCs/>
          <w:color w:val="auto"/>
          <w:sz w:val="20"/>
          <w:szCs w:val="20"/>
          <w:lang w:eastAsia="es-ES"/>
        </w:rPr>
      </w:pPr>
      <w:r w:rsidRPr="00B0455D">
        <w:rPr>
          <w:rFonts w:eastAsia="Times New Roman" w:cs="Tahoma"/>
          <w:b/>
          <w:i/>
          <w:iCs/>
          <w:color w:val="auto"/>
          <w:sz w:val="20"/>
          <w:szCs w:val="20"/>
          <w:lang w:eastAsia="es-ES"/>
        </w:rPr>
        <w:lastRenderedPageBreak/>
        <w:t>“El Instituto Federal de Acceso a la Información y Protección de Datos no cuenta con facultades para pronunciarse respecto de la veracidad de los documentos proporcionados por los sujetos obligados.</w:t>
      </w:r>
      <w:r w:rsidRPr="00B0455D">
        <w:rPr>
          <w:rFonts w:eastAsia="Times New Roman" w:cs="Tahoma"/>
          <w:bCs/>
          <w:i/>
          <w:iCs/>
          <w:color w:val="auto"/>
          <w:sz w:val="20"/>
          <w:szCs w:val="20"/>
          <w:lang w:eastAsia="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Pr="00B0455D" w:rsidR="001A5045" w:rsidP="001A5045" w:rsidRDefault="001A5045" w14:paraId="153AD75D" w14:textId="77777777">
      <w:pPr>
        <w:spacing w:after="0" w:line="360" w:lineRule="auto"/>
        <w:rPr>
          <w:rFonts w:eastAsia="Times New Roman" w:cs="Times New Roman"/>
          <w:color w:val="auto"/>
          <w:szCs w:val="20"/>
          <w:lang w:eastAsia="es-ES"/>
        </w:rPr>
      </w:pPr>
    </w:p>
    <w:p w:rsidRPr="00B0455D" w:rsidR="00245BCA" w:rsidP="00245BCA" w:rsidRDefault="00245BCA" w14:paraId="0A6142A0" w14:textId="77777777">
      <w:pPr>
        <w:spacing w:line="360" w:lineRule="auto"/>
        <w:rPr>
          <w:rFonts w:eastAsia="Times New Roman" w:cs="Tahoma"/>
          <w:color w:val="auto"/>
          <w:lang w:eastAsia="es-ES"/>
        </w:rPr>
      </w:pPr>
      <w:r w:rsidRPr="00B0455D">
        <w:rPr>
          <w:rFonts w:eastAsia="Times New Roman" w:cs="Tahoma"/>
          <w:bCs/>
          <w:color w:val="auto"/>
          <w:lang w:eastAsia="es-ES"/>
        </w:rPr>
        <w:t xml:space="preserve">Conforme a lo anterior, se logra vislumbrar que el Ente Recurrido proporcionó información relacionada con lo peticionado; sin embargo omitió entregar los documentos requeridos por el Particular, a saber, los contratos celebrados; </w:t>
      </w:r>
      <w:r w:rsidRPr="00B0455D">
        <w:rPr>
          <w:rFonts w:eastAsia="Calibri" w:cs="Tahoma"/>
          <w:bCs/>
          <w:iCs/>
          <w:color w:val="auto"/>
          <w:lang w:eastAsia="es-ES_tradnl"/>
        </w:rPr>
        <w:t xml:space="preserve">lo anterior </w:t>
      </w:r>
      <w:r w:rsidRPr="00B0455D">
        <w:rPr>
          <w:rFonts w:eastAsia="Calibri" w:cs="Tahoma"/>
          <w:bCs/>
          <w:iCs/>
          <w:color w:val="auto"/>
        </w:rPr>
        <w:t>toma sustento en</w:t>
      </w:r>
      <w:r w:rsidRPr="00B0455D">
        <w:rPr>
          <w:rFonts w:eastAsia="Calibri" w:cs="Tahoma"/>
          <w:bCs/>
          <w:color w:val="auto"/>
        </w:rPr>
        <w:t xml:space="preserve"> el</w:t>
      </w:r>
      <w:r w:rsidRPr="00B0455D">
        <w:rPr>
          <w:rFonts w:eastAsia="Times New Roman" w:cs="Tahoma"/>
          <w:color w:val="auto"/>
          <w:lang w:eastAsia="es-ES"/>
        </w:rPr>
        <w:t xml:space="preserve"> artículo 12 de la Ley de Transparencia y Acceso a la Información Pública del Estado de México y Municipios, que establece que los sujetos obligados sólo están constreñidos a proporcionar la información pública que obre en sus archivos, en el estado en que esta se encuentre; por lo que, la entrega no comprende el procesamiento de la misma, ni presentarla conforme al interés de la Solicitante.</w:t>
      </w:r>
    </w:p>
    <w:p w:rsidRPr="00B0455D" w:rsidR="00245BCA" w:rsidP="00245BCA" w:rsidRDefault="00245BCA" w14:paraId="5045A474" w14:textId="77777777">
      <w:pPr>
        <w:spacing w:after="0" w:line="360" w:lineRule="auto"/>
        <w:rPr>
          <w:rFonts w:eastAsia="Times New Roman" w:cs="Tahoma"/>
          <w:bCs/>
          <w:color w:val="auto"/>
          <w:lang w:eastAsia="es-ES"/>
        </w:rPr>
      </w:pPr>
    </w:p>
    <w:p w:rsidRPr="00B0455D" w:rsidR="00245BCA" w:rsidP="00245BCA" w:rsidRDefault="00245BCA" w14:paraId="1AC2D60D" w14:textId="77777777">
      <w:pPr>
        <w:tabs>
          <w:tab w:val="left" w:pos="4962"/>
        </w:tabs>
        <w:spacing w:after="0" w:line="360" w:lineRule="auto"/>
        <w:rPr>
          <w:rFonts w:eastAsia="Arial" w:cs="Arial"/>
          <w:i/>
          <w:color w:val="auto"/>
          <w:sz w:val="20"/>
          <w:szCs w:val="20"/>
          <w:lang w:eastAsia="es-ES"/>
        </w:rPr>
      </w:pPr>
      <w:r w:rsidRPr="00B0455D">
        <w:rPr>
          <w:rFonts w:eastAsia="Times New Roman" w:cs="Tahoma"/>
          <w:color w:val="auto"/>
          <w:lang w:eastAsia="es-ES"/>
        </w:rPr>
        <w:t xml:space="preserve">De esta manera, </w:t>
      </w:r>
      <w:r w:rsidRPr="00B0455D">
        <w:rPr>
          <w:rFonts w:eastAsia="Times New Roman" w:cs="Tahoma"/>
          <w:color w:val="auto"/>
          <w:szCs w:val="24"/>
          <w:lang w:val="es-ES" w:eastAsia="es-ES"/>
        </w:rPr>
        <w:t xml:space="preserve">el derecho de acceso a la información pública se satisface en aquellos casos en que se entregue el soporte documental en el que conste la información solicitada, sin necesidad de elaborar documentos </w:t>
      </w:r>
      <w:r w:rsidRPr="00B0455D">
        <w:rPr>
          <w:rFonts w:eastAsia="Times New Roman" w:cs="Tahoma"/>
          <w:i/>
          <w:color w:val="auto"/>
          <w:lang w:eastAsia="es-ES"/>
        </w:rPr>
        <w:t>ad hoc</w:t>
      </w:r>
      <w:r w:rsidRPr="00B0455D">
        <w:rPr>
          <w:rFonts w:eastAsia="Times New Roman" w:cs="Tahoma"/>
          <w:color w:val="auto"/>
          <w:lang w:eastAsia="es-ES"/>
        </w:rPr>
        <w:t xml:space="preserve">; lo cual, de conformidad con en el artículo 160 de la Ley de Transparencia y Acceso a la Información Pública del Estado de México y Municipios, el cual refiere que los sujetos obligados deberán entregar la información que obre en sus archivos. </w:t>
      </w:r>
    </w:p>
    <w:p w:rsidRPr="00B0455D" w:rsidR="00245BCA" w:rsidP="00245BCA" w:rsidRDefault="00245BCA" w14:paraId="3F9A7761" w14:textId="77777777">
      <w:pPr>
        <w:spacing w:after="0" w:line="360" w:lineRule="auto"/>
        <w:rPr>
          <w:rFonts w:eastAsia="Times New Roman" w:cs="Tahoma"/>
          <w:color w:val="auto"/>
          <w:szCs w:val="24"/>
          <w:lang w:val="es-ES" w:eastAsia="es-ES"/>
        </w:rPr>
      </w:pPr>
    </w:p>
    <w:p w:rsidRPr="00B0455D" w:rsidR="00245BCA" w:rsidP="00245BCA" w:rsidRDefault="00245BCA" w14:paraId="23E2A918" w14:textId="191FBA74">
      <w:pPr>
        <w:spacing w:after="0" w:line="360" w:lineRule="auto"/>
        <w:rPr>
          <w:rFonts w:eastAsia="Calibri" w:cs="Tahoma"/>
          <w:b/>
          <w:color w:val="auto"/>
        </w:rPr>
      </w:pPr>
      <w:r w:rsidRPr="00B0455D">
        <w:rPr>
          <w:rFonts w:eastAsia="Times New Roman" w:cs="Tahoma"/>
          <w:color w:val="auto"/>
          <w:lang w:val="es-ES" w:eastAsia="es-ES"/>
        </w:rPr>
        <w:t>De tales circunstancias, se concluye que los sujetos obligados únicamente se encuentran constreñidos a proporcionar los documentos que den cuenta de la información solicitada, como obren en sus archivos, sin tener que elaborarlos a las necesidades de la Recurrente; conforme a lo anterior, se considera que el Sujeto Obligado omitió entregar las expresiones documentales solicitadas, es decir, los contratos celebrados de las cuarenta y ocho obras p</w:t>
      </w:r>
      <w:r w:rsidRPr="00B0455D" w:rsidR="00F86ACE">
        <w:rPr>
          <w:rFonts w:eastAsia="Times New Roman" w:cs="Tahoma"/>
          <w:color w:val="auto"/>
          <w:lang w:val="es-ES" w:eastAsia="es-ES"/>
        </w:rPr>
        <w:t xml:space="preserve">úblicas señaladas en respuesta, lo cual da como resultado que el agravio sea </w:t>
      </w:r>
      <w:r w:rsidRPr="00B0455D" w:rsidR="00F86ACE">
        <w:rPr>
          <w:rFonts w:eastAsia="Times New Roman" w:cs="Tahoma"/>
          <w:b/>
          <w:color w:val="auto"/>
          <w:lang w:val="es-ES" w:eastAsia="es-ES"/>
        </w:rPr>
        <w:t>FUNDADO.</w:t>
      </w:r>
    </w:p>
    <w:p w:rsidRPr="00B0455D" w:rsidR="00245BCA" w:rsidP="001A5045" w:rsidRDefault="00245BCA" w14:paraId="240D71C0" w14:textId="02A9155C">
      <w:pPr>
        <w:spacing w:after="0" w:line="360" w:lineRule="auto"/>
        <w:rPr>
          <w:rFonts w:eastAsia="Times New Roman" w:cs="Tahoma"/>
          <w:bCs/>
          <w:color w:val="auto"/>
          <w:lang w:eastAsia="es-ES"/>
        </w:rPr>
      </w:pPr>
    </w:p>
    <w:p w:rsidRPr="00B0455D" w:rsidR="00F86ACE" w:rsidP="001A5045" w:rsidRDefault="00F86ACE" w14:paraId="2872D909" w14:textId="0609C605">
      <w:pPr>
        <w:spacing w:after="0" w:line="360" w:lineRule="auto"/>
        <w:rPr>
          <w:rFonts w:eastAsia="Times New Roman" w:cs="Tahoma"/>
          <w:bCs/>
          <w:color w:val="auto"/>
          <w:lang w:eastAsia="es-ES"/>
        </w:rPr>
      </w:pPr>
      <w:r w:rsidRPr="00B0455D">
        <w:rPr>
          <w:rFonts w:eastAsia="Times New Roman" w:cs="Tahoma"/>
          <w:bCs/>
          <w:color w:val="auto"/>
          <w:lang w:eastAsia="es-ES"/>
        </w:rPr>
        <w:t>De tal circunstancia, para atender el requerimiento de información, la Dirección de Obras Públicas, deberá realizar una búsqueda exhaustiva y razonable en sus archivos, a efecto de proporcionar los contratos celebrados para la realización de las cuarenta y ocho obras públicas adjudicadas, del primero de enero al treinta y uno de diciembre de dos mil dieciséis.</w:t>
      </w:r>
    </w:p>
    <w:p w:rsidRPr="00B0455D" w:rsidR="00046320" w:rsidP="00245F82" w:rsidRDefault="00046320" w14:paraId="3E59E18D" w14:textId="77777777">
      <w:pPr>
        <w:spacing w:after="0" w:line="360" w:lineRule="auto"/>
        <w:rPr>
          <w:rFonts w:cs="Tahoma"/>
          <w:bCs/>
          <w:lang w:val="es-ES"/>
        </w:rPr>
      </w:pPr>
    </w:p>
    <w:p w:rsidRPr="00B0455D" w:rsidR="00046320" w:rsidP="00046320" w:rsidRDefault="00046320" w14:paraId="2DC3142A" w14:textId="3893310A">
      <w:pPr>
        <w:spacing w:after="0" w:line="360" w:lineRule="auto"/>
        <w:rPr>
          <w:rFonts w:eastAsia="Times New Roman" w:cs="Tahoma"/>
          <w:bCs/>
          <w:iCs/>
          <w:color w:val="auto"/>
          <w:lang w:val="es-ES" w:eastAsia="es-ES"/>
        </w:rPr>
      </w:pPr>
      <w:r w:rsidRPr="00B0455D">
        <w:rPr>
          <w:rFonts w:eastAsia="Times New Roman" w:cs="Tahoma"/>
          <w:bCs/>
          <w:iCs/>
          <w:color w:val="auto"/>
          <w:lang w:val="es-ES_tradnl" w:eastAsia="es-ES"/>
        </w:rPr>
        <w:t>Finalmente, no pasa desapercibido para este Instituto que los documentos que den cuenta de lo solicitado, pudieran contener datos o información clasificada; a</w:t>
      </w:r>
      <w:r w:rsidRPr="00B0455D">
        <w:rPr>
          <w:rFonts w:eastAsia="Times New Roman" w:cs="Tahoma"/>
          <w:bCs/>
          <w:iCs/>
          <w:color w:val="auto"/>
          <w:lang w:val="es-ES" w:eastAsia="es-ES"/>
        </w:rPr>
        <w:t xml:space="preserve">l respecto, conforme al artículo 3°, fracción XLV, relacionado con el 137, ambos de la Ley de Transparencia y Acceso a la Información Pública del Estado de México y Municipios, cuando un documento contenga información pública y confidencial, la Unidad de Transparencia para efectos de atender al requerimiento informativo, deberá elaborar una versión Pública en la que se testen las partes o secciones clasificadas, indicando su contenido de manera genérica y fundando y motivando su clasificación. </w:t>
      </w:r>
    </w:p>
    <w:p w:rsidRPr="00B0455D" w:rsidR="00046320" w:rsidP="00046320" w:rsidRDefault="00046320" w14:paraId="2FE95671" w14:textId="77777777">
      <w:pPr>
        <w:spacing w:after="0" w:line="360" w:lineRule="auto"/>
        <w:rPr>
          <w:rFonts w:eastAsia="Times New Roman" w:cs="Tahoma"/>
          <w:bCs/>
          <w:iCs/>
          <w:color w:val="auto"/>
          <w:lang w:val="es-ES" w:eastAsia="es-ES"/>
        </w:rPr>
      </w:pPr>
    </w:p>
    <w:p w:rsidRPr="00B0455D" w:rsidR="00046320" w:rsidP="00046320" w:rsidRDefault="00046320" w14:paraId="25A5F5F5" w14:textId="77777777">
      <w:pPr>
        <w:spacing w:after="0" w:line="360" w:lineRule="auto"/>
        <w:rPr>
          <w:rFonts w:eastAsia="Times New Roman" w:cs="Tahoma"/>
          <w:bCs/>
          <w:iCs/>
          <w:color w:val="auto"/>
          <w:lang w:val="es-ES" w:eastAsia="es-ES"/>
        </w:rPr>
      </w:pPr>
      <w:r w:rsidRPr="00B0455D">
        <w:rPr>
          <w:rFonts w:eastAsia="Times New Roman" w:cs="Tahoma"/>
          <w:bCs/>
          <w:iCs/>
          <w:color w:val="auto"/>
          <w:lang w:val="es-ES" w:eastAsia="es-ES"/>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rsidRPr="00B0455D" w:rsidR="00062470" w:rsidP="00A158AB" w:rsidRDefault="00062470" w14:paraId="77447CAA" w14:textId="196F6FB6">
      <w:pPr>
        <w:spacing w:after="0" w:line="360" w:lineRule="auto"/>
        <w:rPr>
          <w:rFonts w:eastAsia="Calibri" w:cs="Tahoma"/>
          <w:bCs/>
        </w:rPr>
      </w:pPr>
    </w:p>
    <w:p w:rsidRPr="00B0455D" w:rsidR="00F86ACE" w:rsidP="00A158AB" w:rsidRDefault="00F86ACE" w14:paraId="4015CAE5" w14:textId="77777777">
      <w:pPr>
        <w:spacing w:after="0" w:line="360" w:lineRule="auto"/>
        <w:rPr>
          <w:rFonts w:eastAsia="Calibri" w:cs="Tahoma"/>
          <w:bCs/>
        </w:rPr>
      </w:pPr>
    </w:p>
    <w:p w:rsidRPr="00B0455D" w:rsidR="00066B31" w:rsidP="00A158AB" w:rsidRDefault="00066B31" w14:paraId="0C6DF11A" w14:textId="77777777">
      <w:pPr>
        <w:spacing w:after="0" w:line="360" w:lineRule="auto"/>
        <w:rPr>
          <w:rFonts w:eastAsia="Times New Roman" w:cs="Tahoma"/>
          <w:b/>
          <w:lang w:eastAsia="es-ES"/>
        </w:rPr>
      </w:pPr>
      <w:r w:rsidRPr="00B0455D">
        <w:rPr>
          <w:rFonts w:eastAsia="Times New Roman" w:cs="Tahoma"/>
          <w:b/>
          <w:lang w:eastAsia="es-ES"/>
        </w:rPr>
        <w:t xml:space="preserve">SEXTO. Decisión. </w:t>
      </w:r>
    </w:p>
    <w:p w:rsidRPr="00B0455D" w:rsidR="00066B31" w:rsidP="00A158AB" w:rsidRDefault="00066B31" w14:paraId="70C71C07" w14:textId="77777777">
      <w:pPr>
        <w:spacing w:after="0" w:line="360" w:lineRule="auto"/>
        <w:rPr>
          <w:rFonts w:eastAsia="Times New Roman" w:cs="Tahoma"/>
          <w:lang w:eastAsia="es-ES"/>
        </w:rPr>
      </w:pPr>
    </w:p>
    <w:p w:rsidRPr="00B0455D" w:rsidR="00BD6C52" w:rsidP="00F86ACE" w:rsidRDefault="00BD6C52" w14:paraId="2B7DA36C" w14:textId="79158D55">
      <w:pPr>
        <w:widowControl w:val="0"/>
        <w:spacing w:after="0" w:line="360" w:lineRule="auto"/>
        <w:rPr>
          <w:rFonts w:eastAsia="Calibri" w:cs="Tahoma"/>
          <w:bCs/>
          <w:iCs/>
          <w:color w:val="auto"/>
          <w:lang w:val="es-ES"/>
        </w:rPr>
      </w:pPr>
      <w:r w:rsidRPr="00B0455D">
        <w:rPr>
          <w:rFonts w:eastAsia="Calibri" w:cs="Tahoma"/>
        </w:rPr>
        <w:t xml:space="preserve">Con fundamento en el artículo 186, fracción III, de la Ley de Transparencia y Acceso a la Información Pública del Estado de México y Municipios, este Instituto considera procedente </w:t>
      </w:r>
      <w:r w:rsidRPr="00B0455D">
        <w:rPr>
          <w:rFonts w:eastAsia="Calibri" w:cs="Tahoma"/>
          <w:b/>
        </w:rPr>
        <w:t xml:space="preserve">MODIFICAR </w:t>
      </w:r>
      <w:r w:rsidRPr="00B0455D">
        <w:rPr>
          <w:rFonts w:eastAsia="Calibri" w:cs="Tahoma"/>
          <w:bCs/>
        </w:rPr>
        <w:t>la</w:t>
      </w:r>
      <w:r w:rsidRPr="00B0455D">
        <w:rPr>
          <w:rFonts w:eastAsia="Calibri" w:cs="Tahoma"/>
        </w:rPr>
        <w:t xml:space="preserve"> respuesta otorgada por el </w:t>
      </w:r>
      <w:r w:rsidRPr="00B0455D" w:rsidR="004B3C2B">
        <w:rPr>
          <w:rFonts w:eastAsia="Calibri" w:cs="Tahoma"/>
        </w:rPr>
        <w:t xml:space="preserve">Ayuntamiento de </w:t>
      </w:r>
      <w:r w:rsidRPr="00B0455D" w:rsidR="00F86ACE">
        <w:rPr>
          <w:rFonts w:eastAsia="Calibri" w:cs="Tahoma"/>
        </w:rPr>
        <w:t>Nextlalpan</w:t>
      </w:r>
      <w:r w:rsidRPr="00B0455D">
        <w:rPr>
          <w:rFonts w:eastAsia="Calibri" w:cs="Tahoma"/>
        </w:rPr>
        <w:t xml:space="preserve">, a efecto de que, previa búsqueda exhaustiva y razonable </w:t>
      </w:r>
      <w:r w:rsidRPr="00B0455D" w:rsidR="00F86ACE">
        <w:rPr>
          <w:rFonts w:eastAsia="Calibri" w:cs="Tahoma"/>
        </w:rPr>
        <w:t>en la Dirección de Obras Públicas</w:t>
      </w:r>
      <w:r w:rsidRPr="00B0455D">
        <w:rPr>
          <w:rFonts w:eastAsia="Calibri" w:cs="Tahoma"/>
        </w:rPr>
        <w:t xml:space="preserve">, entregue, </w:t>
      </w:r>
      <w:r w:rsidRPr="00B0455D">
        <w:rPr>
          <w:rFonts w:eastAsia="Calibri" w:cs="Tahoma"/>
          <w:iCs/>
          <w:lang w:eastAsia="es-ES_tradnl"/>
        </w:rPr>
        <w:t xml:space="preserve">a través del Sistema de Acceso a la Información Mexiquense (SAIMEX), en su caso, en versión pública, </w:t>
      </w:r>
      <w:bookmarkStart w:name="_Hlk104986705" w:id="1"/>
      <w:r w:rsidRPr="00B0455D" w:rsidR="00184934">
        <w:rPr>
          <w:rFonts w:eastAsia="Calibri" w:cs="Tahoma"/>
          <w:iCs/>
          <w:lang w:eastAsia="es-ES_tradnl"/>
        </w:rPr>
        <w:t>l</w:t>
      </w:r>
      <w:r w:rsidRPr="00B0455D" w:rsidR="004B3C2B">
        <w:rPr>
          <w:rFonts w:eastAsia="Calibri" w:cs="Tahoma"/>
          <w:iCs/>
          <w:lang w:eastAsia="es-ES_tradnl"/>
        </w:rPr>
        <w:t xml:space="preserve">os </w:t>
      </w:r>
      <w:r w:rsidRPr="00B0455D" w:rsidR="00DD6ABE">
        <w:rPr>
          <w:rFonts w:eastAsia="Calibri" w:cs="Tahoma"/>
          <w:iCs/>
          <w:lang w:eastAsia="es-ES_tradnl"/>
        </w:rPr>
        <w:t>C</w:t>
      </w:r>
      <w:r w:rsidRPr="00B0455D" w:rsidR="00746092">
        <w:rPr>
          <w:rFonts w:eastAsia="Calibri" w:cs="Tahoma"/>
          <w:iCs/>
          <w:lang w:eastAsia="es-ES_tradnl"/>
        </w:rPr>
        <w:t xml:space="preserve">ontratos </w:t>
      </w:r>
      <w:bookmarkStart w:name="_Hlk104986552" w:id="2"/>
      <w:r w:rsidRPr="00B0455D" w:rsidR="00F86ACE">
        <w:rPr>
          <w:rFonts w:eastAsia="Calibri" w:cs="Tahoma"/>
          <w:iCs/>
          <w:lang w:eastAsia="es-ES_tradnl"/>
        </w:rPr>
        <w:t xml:space="preserve">celebrados de las cuarenta y ocho obras públicas señaladas en respuesta; </w:t>
      </w:r>
      <w:bookmarkEnd w:id="2"/>
      <w:r w:rsidRPr="00B0455D" w:rsidR="00F86ACE">
        <w:rPr>
          <w:rFonts w:eastAsia="Calibri" w:cs="Tahoma"/>
          <w:iCs/>
          <w:lang w:eastAsia="es-ES_tradnl"/>
        </w:rPr>
        <w:t>a</w:t>
      </w:r>
      <w:r w:rsidRPr="00B0455D">
        <w:rPr>
          <w:rFonts w:eastAsia="Calibri" w:cs="Tahoma"/>
          <w:bCs/>
          <w:iCs/>
          <w:color w:val="auto"/>
          <w:lang w:val="es-ES"/>
        </w:rPr>
        <w:t>demás, de ser necesario, deberá proporcionar el Acuerdo de Clasificación donde el Comité de Transparencia, confirme la eliminación de los datos o información clasificada.</w:t>
      </w:r>
    </w:p>
    <w:bookmarkEnd w:id="1"/>
    <w:p w:rsidRPr="00B0455D" w:rsidR="00725283" w:rsidP="00A158AB" w:rsidRDefault="00725283" w14:paraId="506BAEBC" w14:textId="2FC13FA0">
      <w:pPr>
        <w:spacing w:after="0" w:line="360" w:lineRule="auto"/>
        <w:rPr>
          <w:rFonts w:eastAsia="Times New Roman" w:cs="Tahoma"/>
          <w:lang w:eastAsia="es-ES"/>
        </w:rPr>
      </w:pPr>
    </w:p>
    <w:p w:rsidRPr="00B0455D" w:rsidR="00066B31" w:rsidP="00A158AB" w:rsidRDefault="00066B31" w14:paraId="5D15EC98" w14:textId="77777777">
      <w:pPr>
        <w:autoSpaceDE w:val="0"/>
        <w:autoSpaceDN w:val="0"/>
        <w:adjustRightInd w:val="0"/>
        <w:spacing w:after="0" w:line="360" w:lineRule="auto"/>
        <w:rPr>
          <w:rFonts w:eastAsia="Calibri" w:cs="Tahoma"/>
          <w:b/>
          <w:bCs/>
          <w:iCs/>
          <w:lang w:val="es-ES"/>
        </w:rPr>
      </w:pPr>
      <w:r w:rsidRPr="00B0455D">
        <w:rPr>
          <w:rFonts w:eastAsia="Calibri" w:cs="Tahoma"/>
          <w:b/>
          <w:bCs/>
          <w:iCs/>
          <w:lang w:val="es-ES"/>
        </w:rPr>
        <w:t>Términos de la Resolución para conocimiento del Particular.</w:t>
      </w:r>
    </w:p>
    <w:p w:rsidRPr="00B0455D" w:rsidR="00F86ACE" w:rsidP="00A158AB" w:rsidRDefault="00F86ACE" w14:paraId="4ADBF508" w14:textId="77777777">
      <w:pPr>
        <w:autoSpaceDE w:val="0"/>
        <w:autoSpaceDN w:val="0"/>
        <w:adjustRightInd w:val="0"/>
        <w:spacing w:after="0" w:line="360" w:lineRule="auto"/>
        <w:rPr>
          <w:rFonts w:eastAsia="Calibri" w:cs="Tahoma"/>
          <w:b/>
          <w:bCs/>
          <w:iCs/>
          <w:lang w:val="es-ES"/>
        </w:rPr>
      </w:pPr>
    </w:p>
    <w:p w:rsidRPr="00B0455D" w:rsidR="00A2185E" w:rsidP="00184934" w:rsidRDefault="00BD6C52" w14:paraId="0CD853EC" w14:textId="3BE6B6E0">
      <w:pPr>
        <w:spacing w:after="0" w:line="360" w:lineRule="auto"/>
        <w:ind w:right="-28"/>
        <w:rPr>
          <w:rFonts w:eastAsia="Calibri" w:cs="Tahoma"/>
        </w:rPr>
      </w:pPr>
      <w:r w:rsidRPr="00B0455D">
        <w:rPr>
          <w:lang w:eastAsia="es-MX"/>
        </w:rPr>
        <w:t xml:space="preserve">Se le hace del conocimiento al Particular, que, en el presente caso, se le concede la razón, pues el </w:t>
      </w:r>
      <w:r w:rsidRPr="00B0455D">
        <w:rPr>
          <w:rFonts w:eastAsia="Calibri" w:cs="Tahoma"/>
        </w:rPr>
        <w:t>Sujetó Obligado</w:t>
      </w:r>
      <w:r w:rsidRPr="00B0455D" w:rsidR="00F86ACE">
        <w:rPr>
          <w:rFonts w:eastAsia="Calibri" w:cs="Tahoma"/>
        </w:rPr>
        <w:t xml:space="preserve"> si bien le proporcionó información relacionada con lo solicitado, omitió entregar las expresiones documentales requeridas, por lo que, deberá entregar los contratos respectivos.</w:t>
      </w:r>
    </w:p>
    <w:p w:rsidRPr="00B0455D" w:rsidR="00672F00" w:rsidP="00184934" w:rsidRDefault="00672F00" w14:paraId="4DC29AE1" w14:textId="77777777">
      <w:pPr>
        <w:spacing w:after="0" w:line="360" w:lineRule="auto"/>
        <w:ind w:right="-28"/>
        <w:rPr>
          <w:rFonts w:eastAsia="Calibri" w:cs="Tahoma"/>
        </w:rPr>
      </w:pPr>
    </w:p>
    <w:p w:rsidRPr="00B0455D" w:rsidR="00F86ACE" w:rsidP="00F86ACE" w:rsidRDefault="00F86ACE" w14:paraId="5E56B976" w14:textId="77777777">
      <w:pPr>
        <w:widowControl w:val="0"/>
        <w:spacing w:after="0" w:line="360" w:lineRule="auto"/>
        <w:rPr>
          <w:rFonts w:eastAsia="Calibri" w:cs="Tahoma"/>
          <w:bCs/>
          <w:iCs/>
          <w:color w:val="auto"/>
          <w:lang w:val="es-ES_tradnl"/>
        </w:rPr>
      </w:pPr>
      <w:r w:rsidRPr="00B0455D">
        <w:rPr>
          <w:rFonts w:eastAsia="Calibri" w:cs="Tahoma"/>
          <w:bCs/>
          <w:iCs/>
          <w:color w:val="auto"/>
          <w:lang w:val="es-ES_tradnl"/>
        </w:rPr>
        <w:t>Finalmente, se le hace del conocimiento que la labor del Instituto de Transparencia, Acceso a la Información Pública y Protección de Datos Personales del Estado de México y Municipios, es apoyar a la población a acceder a la información pública y garantizar la protección de los datos personales.</w:t>
      </w:r>
    </w:p>
    <w:p w:rsidRPr="00B0455D" w:rsidR="00066B31" w:rsidP="00A158AB" w:rsidRDefault="00066B31" w14:paraId="757085B2" w14:textId="77777777">
      <w:pPr>
        <w:spacing w:after="0" w:line="360" w:lineRule="auto"/>
        <w:rPr>
          <w:rFonts w:eastAsia="Calibri" w:cs="Tahoma"/>
          <w:bCs/>
          <w:iCs/>
          <w:lang w:val="es-ES" w:eastAsia="es-ES_tradnl"/>
        </w:rPr>
      </w:pPr>
    </w:p>
    <w:p w:rsidRPr="00B0455D" w:rsidR="00066B31" w:rsidP="00A158AB" w:rsidRDefault="00066B31" w14:paraId="7685FAAA" w14:textId="77777777">
      <w:pPr>
        <w:spacing w:after="0" w:line="360" w:lineRule="auto"/>
        <w:rPr>
          <w:rFonts w:eastAsia="Calibri" w:cs="Tahoma"/>
          <w:bCs/>
        </w:rPr>
      </w:pPr>
      <w:r w:rsidRPr="00B0455D">
        <w:rPr>
          <w:rFonts w:eastAsia="Calibri" w:cs="Tahoma"/>
          <w:bCs/>
        </w:rPr>
        <w:t>Por lo expuesto y fundado, este Pleno:</w:t>
      </w:r>
    </w:p>
    <w:p w:rsidRPr="00B0455D" w:rsidR="00ED7E78" w:rsidP="00A158AB" w:rsidRDefault="00ED7E78" w14:paraId="4C1274EF" w14:textId="77777777">
      <w:pPr>
        <w:spacing w:after="0" w:line="360" w:lineRule="auto"/>
        <w:jc w:val="center"/>
        <w:rPr>
          <w:rFonts w:eastAsia="Calibri" w:cs="Tahoma"/>
          <w:b/>
          <w:bCs/>
        </w:rPr>
      </w:pPr>
    </w:p>
    <w:p w:rsidRPr="00B0455D" w:rsidR="00F86ACE" w:rsidP="00A158AB" w:rsidRDefault="00F86ACE" w14:paraId="1F1583AB" w14:textId="77777777">
      <w:pPr>
        <w:spacing w:after="0" w:line="360" w:lineRule="auto"/>
        <w:jc w:val="center"/>
        <w:rPr>
          <w:rFonts w:eastAsia="Calibri" w:cs="Tahoma"/>
          <w:b/>
          <w:bCs/>
        </w:rPr>
      </w:pPr>
    </w:p>
    <w:p w:rsidRPr="00B0455D" w:rsidR="00F86ACE" w:rsidP="00A158AB" w:rsidRDefault="00F86ACE" w14:paraId="1768EDBF" w14:textId="77777777">
      <w:pPr>
        <w:spacing w:after="0" w:line="360" w:lineRule="auto"/>
        <w:jc w:val="center"/>
        <w:rPr>
          <w:rFonts w:eastAsia="Calibri" w:cs="Tahoma"/>
          <w:b/>
          <w:bCs/>
        </w:rPr>
      </w:pPr>
    </w:p>
    <w:p w:rsidRPr="00B0455D" w:rsidR="00066B31" w:rsidP="00A158AB" w:rsidRDefault="00066B31" w14:paraId="2CBCAFED" w14:textId="31EF801C">
      <w:pPr>
        <w:spacing w:after="0" w:line="360" w:lineRule="auto"/>
        <w:jc w:val="center"/>
        <w:rPr>
          <w:rFonts w:eastAsia="Calibri" w:cs="Tahoma"/>
          <w:b/>
          <w:bCs/>
        </w:rPr>
      </w:pPr>
      <w:r w:rsidRPr="00B0455D">
        <w:rPr>
          <w:rFonts w:eastAsia="Calibri" w:cs="Tahoma"/>
          <w:b/>
          <w:bCs/>
        </w:rPr>
        <w:t>R E S U E L V E:</w:t>
      </w:r>
    </w:p>
    <w:p w:rsidRPr="00B0455D" w:rsidR="00066B31" w:rsidP="00A158AB" w:rsidRDefault="00066B31" w14:paraId="5DB5E46C" w14:textId="77777777">
      <w:pPr>
        <w:spacing w:after="0" w:line="360" w:lineRule="auto"/>
        <w:jc w:val="left"/>
        <w:rPr>
          <w:rFonts w:eastAsia="Calibri" w:cs="Tahoma"/>
          <w:b/>
          <w:bCs/>
        </w:rPr>
      </w:pPr>
    </w:p>
    <w:p w:rsidRPr="00B0455D" w:rsidR="00655443" w:rsidP="00655443" w:rsidRDefault="00655443" w14:paraId="5CCCA69D" w14:textId="6341153E">
      <w:pPr>
        <w:spacing w:after="0" w:line="360" w:lineRule="auto"/>
        <w:contextualSpacing/>
        <w:rPr>
          <w:rFonts w:eastAsia="Calibri" w:cs="Tahoma"/>
          <w:bCs/>
        </w:rPr>
      </w:pPr>
      <w:r w:rsidRPr="00B0455D">
        <w:rPr>
          <w:rFonts w:eastAsia="Calibri" w:cs="Tahoma"/>
          <w:b/>
          <w:bCs/>
        </w:rPr>
        <w:t xml:space="preserve">PRIMERO. </w:t>
      </w:r>
      <w:r w:rsidRPr="00B0455D">
        <w:rPr>
          <w:rFonts w:eastAsia="Calibri" w:cs="Tahoma"/>
          <w:bCs/>
        </w:rPr>
        <w:t xml:space="preserve">Se </w:t>
      </w:r>
      <w:r w:rsidRPr="00B0455D">
        <w:rPr>
          <w:rFonts w:eastAsia="Calibri" w:cs="Tahoma"/>
          <w:b/>
          <w:bCs/>
        </w:rPr>
        <w:t>MODIFICA</w:t>
      </w:r>
      <w:r w:rsidRPr="00B0455D">
        <w:rPr>
          <w:rFonts w:eastAsia="Calibri" w:cs="Tahoma"/>
          <w:bCs/>
        </w:rPr>
        <w:t xml:space="preserve"> la respuesta entregada por el </w:t>
      </w:r>
      <w:r w:rsidRPr="00B0455D" w:rsidR="00F86ACE">
        <w:rPr>
          <w:rFonts w:eastAsia="Calibri" w:cs="Tahoma"/>
        </w:rPr>
        <w:t>Sujeto Obligado</w:t>
      </w:r>
      <w:r w:rsidRPr="00B0455D">
        <w:rPr>
          <w:rFonts w:eastAsia="Calibri" w:cs="Tahoma"/>
          <w:bCs/>
        </w:rPr>
        <w:t xml:space="preserve"> a la solicitud de </w:t>
      </w:r>
      <w:r w:rsidRPr="00B0455D">
        <w:rPr>
          <w:rFonts w:eastAsia="Calibri" w:cs="Tahoma"/>
        </w:rPr>
        <w:t xml:space="preserve">información </w:t>
      </w:r>
      <w:r w:rsidRPr="00B0455D" w:rsidR="00F86ACE">
        <w:t>00069/NEXTLAL/IP/2022</w:t>
      </w:r>
      <w:r w:rsidRPr="00B0455D">
        <w:rPr>
          <w:rFonts w:eastAsia="Calibri" w:cs="Tahoma"/>
          <w:b/>
          <w:bCs/>
        </w:rPr>
        <w:t xml:space="preserve">, </w:t>
      </w:r>
      <w:r w:rsidRPr="00B0455D">
        <w:rPr>
          <w:rFonts w:eastAsia="Calibri" w:cs="Times New Roman"/>
        </w:rPr>
        <w:t xml:space="preserve">por resultar </w:t>
      </w:r>
      <w:r w:rsidRPr="00B0455D">
        <w:rPr>
          <w:rFonts w:eastAsia="Calibri" w:cs="Times New Roman"/>
          <w:b/>
        </w:rPr>
        <w:t>FUNDADAS</w:t>
      </w:r>
      <w:r w:rsidRPr="00B0455D">
        <w:rPr>
          <w:rFonts w:eastAsia="Calibri" w:cs="Tahoma"/>
        </w:rPr>
        <w:t xml:space="preserve"> las razones o motivos de inconformidad hechos valer por el Particular, en</w:t>
      </w:r>
      <w:r w:rsidRPr="00B0455D">
        <w:rPr>
          <w:rFonts w:eastAsia="Calibri" w:cs="Tahoma"/>
          <w:bCs/>
        </w:rPr>
        <w:t xml:space="preserve"> términos de los considerandos </w:t>
      </w:r>
      <w:r w:rsidRPr="00B0455D">
        <w:rPr>
          <w:rFonts w:eastAsia="Calibri" w:cs="Tahoma"/>
        </w:rPr>
        <w:t>QUINTO y SEXTO</w:t>
      </w:r>
      <w:r w:rsidRPr="00B0455D">
        <w:rPr>
          <w:rFonts w:eastAsia="Calibri" w:cs="Tahoma"/>
          <w:bCs/>
        </w:rPr>
        <w:t xml:space="preserve"> de la presente Resolución.</w:t>
      </w:r>
    </w:p>
    <w:p w:rsidRPr="00B0455D" w:rsidR="00655443" w:rsidP="00655443" w:rsidRDefault="00655443" w14:paraId="3220CC2C" w14:textId="77777777">
      <w:pPr>
        <w:spacing w:after="0" w:line="360" w:lineRule="auto"/>
        <w:rPr>
          <w:rFonts w:eastAsia="Calibri" w:cs="Tahoma"/>
          <w:bCs/>
        </w:rPr>
      </w:pPr>
    </w:p>
    <w:p w:rsidRPr="00B0455D" w:rsidR="00655443" w:rsidP="00655443" w:rsidRDefault="00655443" w14:paraId="2F45867B" w14:textId="32997C87">
      <w:pPr>
        <w:spacing w:after="0" w:line="360" w:lineRule="auto"/>
        <w:rPr>
          <w:rFonts w:eastAsia="Calibri" w:cs="Tahoma"/>
        </w:rPr>
      </w:pPr>
      <w:r w:rsidRPr="00B0455D">
        <w:rPr>
          <w:rFonts w:eastAsia="Calibri" w:cs="Tahoma"/>
          <w:b/>
          <w:bCs/>
        </w:rPr>
        <w:t xml:space="preserve">SEGUNDO. </w:t>
      </w:r>
      <w:r w:rsidRPr="00B0455D">
        <w:rPr>
          <w:rFonts w:eastAsia="Calibri" w:cs="Tahoma"/>
        </w:rPr>
        <w:t xml:space="preserve">Se </w:t>
      </w:r>
      <w:r w:rsidRPr="00B0455D">
        <w:rPr>
          <w:rFonts w:eastAsia="Calibri" w:cs="Tahoma"/>
          <w:b/>
        </w:rPr>
        <w:t xml:space="preserve">ORDENA </w:t>
      </w:r>
      <w:r w:rsidRPr="00B0455D">
        <w:rPr>
          <w:rFonts w:eastAsia="Calibri" w:cs="Tahoma"/>
          <w:bCs/>
        </w:rPr>
        <w:t xml:space="preserve">al </w:t>
      </w:r>
      <w:r w:rsidRPr="00B0455D">
        <w:rPr>
          <w:rFonts w:eastAsia="Calibri" w:cs="Tahoma"/>
        </w:rPr>
        <w:t>Ente Recurrido, a efecto de</w:t>
      </w:r>
      <w:r w:rsidRPr="00B0455D">
        <w:rPr>
          <w:rFonts w:eastAsia="Calibri" w:cs="Tahoma"/>
          <w:lang w:eastAsia="es-MX"/>
        </w:rPr>
        <w:t xml:space="preserve"> que, previa búsqueda exhaustiva y razonable en las unidades administrativas competentes, entregue</w:t>
      </w:r>
      <w:r w:rsidRPr="00B0455D">
        <w:rPr>
          <w:rFonts w:eastAsia="Calibri" w:cs="Tahoma"/>
        </w:rPr>
        <w:t>, a través del Sistema de Acceso a la Información Mexiquense (SAIMEX), en su caso, en versión pública, lo siguiente:</w:t>
      </w:r>
    </w:p>
    <w:p w:rsidRPr="00B0455D" w:rsidR="00655443" w:rsidP="00655443" w:rsidRDefault="00655443" w14:paraId="1944F600" w14:textId="77777777">
      <w:pPr>
        <w:spacing w:after="0" w:line="360" w:lineRule="auto"/>
        <w:rPr>
          <w:rFonts w:eastAsia="Calibri" w:cs="Tahoma"/>
        </w:rPr>
      </w:pPr>
    </w:p>
    <w:p w:rsidRPr="00B0455D" w:rsidR="00184934" w:rsidP="00184934" w:rsidRDefault="00184934" w14:paraId="0817DFCC" w14:textId="459D99BF">
      <w:pPr>
        <w:widowControl w:val="0"/>
        <w:numPr>
          <w:ilvl w:val="0"/>
          <w:numId w:val="8"/>
        </w:numPr>
        <w:spacing w:after="0" w:line="360" w:lineRule="auto"/>
        <w:contextualSpacing/>
        <w:rPr>
          <w:rFonts w:eastAsia="Calibri" w:cs="Tahoma"/>
          <w:iCs/>
          <w:szCs w:val="24"/>
          <w:lang w:eastAsia="es-ES_tradnl"/>
        </w:rPr>
      </w:pPr>
      <w:r w:rsidRPr="00B0455D">
        <w:rPr>
          <w:rFonts w:eastAsia="Calibri" w:cs="Tahoma"/>
          <w:iCs/>
          <w:lang w:eastAsia="es-ES_tradnl"/>
        </w:rPr>
        <w:t xml:space="preserve">Los </w:t>
      </w:r>
      <w:r w:rsidRPr="00B0455D" w:rsidR="004514DD">
        <w:rPr>
          <w:rFonts w:eastAsia="Calibri" w:cs="Tahoma"/>
          <w:iCs/>
          <w:lang w:eastAsia="es-ES_tradnl"/>
        </w:rPr>
        <w:t>c</w:t>
      </w:r>
      <w:r w:rsidRPr="00B0455D">
        <w:rPr>
          <w:rFonts w:eastAsia="Calibri" w:cs="Tahoma"/>
          <w:iCs/>
          <w:lang w:eastAsia="es-ES_tradnl"/>
        </w:rPr>
        <w:t>ontratos</w:t>
      </w:r>
      <w:r w:rsidRPr="00B0455D" w:rsidR="00F86ACE">
        <w:rPr>
          <w:rFonts w:eastAsia="Calibri" w:cs="Tahoma"/>
          <w:iCs/>
          <w:lang w:eastAsia="es-ES_tradnl"/>
        </w:rPr>
        <w:t xml:space="preserve"> celebrados por el Ayuntamiento de </w:t>
      </w:r>
      <w:r w:rsidRPr="00B0455D" w:rsidR="00F86ACE">
        <w:rPr>
          <w:rFonts w:eastAsia="Calibri" w:cs="Tahoma"/>
        </w:rPr>
        <w:t>Nextlalpan</w:t>
      </w:r>
      <w:r w:rsidRPr="00B0455D" w:rsidR="00F86ACE">
        <w:rPr>
          <w:rFonts w:eastAsia="Calibri" w:cs="Tahoma"/>
          <w:iCs/>
          <w:lang w:eastAsia="es-ES_tradnl"/>
        </w:rPr>
        <w:t xml:space="preserve">, </w:t>
      </w:r>
      <w:r w:rsidRPr="00B0455D" w:rsidR="00F86ACE">
        <w:rPr>
          <w:rFonts w:eastAsia="Times New Roman" w:cs="Tahoma"/>
          <w:color w:val="auto"/>
          <w:lang w:val="es-ES" w:eastAsia="es-ES"/>
        </w:rPr>
        <w:t>de las cuarenta y ocho obras p</w:t>
      </w:r>
      <w:r w:rsidRPr="00B0455D" w:rsidR="004161A2">
        <w:rPr>
          <w:rFonts w:eastAsia="Times New Roman" w:cs="Tahoma"/>
          <w:color w:val="auto"/>
          <w:lang w:val="es-ES" w:eastAsia="es-ES"/>
        </w:rPr>
        <w:t>úblicas referidas</w:t>
      </w:r>
      <w:r w:rsidRPr="00B0455D" w:rsidR="00F86ACE">
        <w:rPr>
          <w:rFonts w:eastAsia="Times New Roman" w:cs="Tahoma"/>
          <w:color w:val="auto"/>
          <w:lang w:val="es-ES" w:eastAsia="es-ES"/>
        </w:rPr>
        <w:t xml:space="preserve"> en respuesta</w:t>
      </w:r>
      <w:r w:rsidRPr="00B0455D" w:rsidR="004161A2">
        <w:rPr>
          <w:rFonts w:eastAsia="Times New Roman" w:cs="Tahoma"/>
          <w:color w:val="auto"/>
          <w:lang w:val="es-ES" w:eastAsia="es-ES"/>
        </w:rPr>
        <w:t>.</w:t>
      </w:r>
    </w:p>
    <w:p w:rsidRPr="00B0455D" w:rsidR="00886AAA" w:rsidP="00886AAA" w:rsidRDefault="00886AAA" w14:paraId="082C955B" w14:textId="77777777">
      <w:pPr>
        <w:widowControl w:val="0"/>
        <w:spacing w:after="0" w:line="360" w:lineRule="auto"/>
        <w:rPr>
          <w:rFonts w:eastAsia="Calibri" w:cs="Tahoma"/>
          <w:iCs/>
          <w:lang w:eastAsia="es-ES_tradnl"/>
        </w:rPr>
      </w:pPr>
    </w:p>
    <w:p w:rsidRPr="00B0455D" w:rsidR="004161A2" w:rsidP="004161A2" w:rsidRDefault="004161A2" w14:paraId="1D107D11" w14:textId="77777777">
      <w:pPr>
        <w:tabs>
          <w:tab w:val="left" w:pos="4962"/>
        </w:tabs>
        <w:spacing w:after="0" w:line="360" w:lineRule="auto"/>
        <w:rPr>
          <w:rFonts w:eastAsia="Calibri" w:cs="Tahoma"/>
          <w:bCs/>
          <w:iCs/>
          <w:color w:val="auto"/>
          <w:lang w:val="es-ES"/>
        </w:rPr>
      </w:pPr>
      <w:r w:rsidRPr="00B0455D">
        <w:rPr>
          <w:rFonts w:eastAsia="Calibri" w:cs="Tahoma"/>
          <w:bCs/>
          <w:iCs/>
          <w:color w:val="auto"/>
          <w:lang w:val="es-ES"/>
        </w:rPr>
        <w:t>Además, de ser necesario, deberá proporcionar el Acuerdo de Clasificación donde el Comité de Transparencia, confirme la eliminación de los datos o información clasificada, en la versión pública, de conformidad con los artículos 49, fracciones II y VIII y 132, fracción II de la Ley de Transparencia y Acceso a la Información Pública del Estado de México y Municipios.</w:t>
      </w:r>
    </w:p>
    <w:p w:rsidRPr="00B0455D" w:rsidR="00184934" w:rsidP="00655443" w:rsidRDefault="00184934" w14:paraId="4EC0C925" w14:textId="77777777">
      <w:pPr>
        <w:spacing w:after="0" w:line="360" w:lineRule="auto"/>
        <w:rPr>
          <w:rFonts w:eastAsia="Times New Roman" w:cs="Tahoma"/>
          <w:bCs/>
          <w:color w:val="auto"/>
          <w:lang w:eastAsia="es-ES"/>
        </w:rPr>
      </w:pPr>
    </w:p>
    <w:p w:rsidRPr="00B0455D" w:rsidR="00655443" w:rsidP="00655443" w:rsidRDefault="00655443" w14:paraId="0186C2B8" w14:textId="77777777">
      <w:pPr>
        <w:spacing w:after="0" w:line="360" w:lineRule="auto"/>
        <w:rPr>
          <w:rFonts w:eastAsia="Calibri" w:cs="Tahoma"/>
        </w:rPr>
      </w:pPr>
      <w:r w:rsidRPr="00B0455D">
        <w:rPr>
          <w:rFonts w:eastAsia="Calibri" w:cs="Arial"/>
          <w:b/>
          <w:lang w:val="es-ES_tradnl"/>
        </w:rPr>
        <w:t>TERCERO.</w:t>
      </w:r>
      <w:r w:rsidRPr="00B0455D">
        <w:rPr>
          <w:rFonts w:eastAsia="Calibri" w:cs="Tahoma"/>
          <w:b/>
        </w:rPr>
        <w:t xml:space="preserve"> NOTIFÍQUESE </w:t>
      </w:r>
      <w:r w:rsidRPr="00B0455D">
        <w:rPr>
          <w:rFonts w:eastAsia="Calibri" w:cs="Tahoma"/>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rsidRPr="00B0455D" w:rsidR="00655443" w:rsidP="00655443" w:rsidRDefault="00655443" w14:paraId="29E8BA54" w14:textId="77777777">
      <w:pPr>
        <w:spacing w:after="0" w:line="360" w:lineRule="auto"/>
        <w:rPr>
          <w:rFonts w:eastAsia="Calibri" w:cs="Tahoma"/>
        </w:rPr>
      </w:pPr>
    </w:p>
    <w:p w:rsidRPr="00B0455D" w:rsidR="004161A2" w:rsidP="00655443" w:rsidRDefault="004161A2" w14:paraId="1C9AAD26" w14:textId="77777777">
      <w:pPr>
        <w:spacing w:after="0" w:line="360" w:lineRule="auto"/>
        <w:rPr>
          <w:rFonts w:eastAsia="Calibri" w:cs="Tahoma"/>
        </w:rPr>
      </w:pPr>
    </w:p>
    <w:p w:rsidRPr="00B0455D" w:rsidR="00655443" w:rsidP="00655443" w:rsidRDefault="00655443" w14:paraId="536F392A" w14:textId="77777777">
      <w:pPr>
        <w:spacing w:after="0" w:line="360" w:lineRule="auto"/>
        <w:rPr>
          <w:rFonts w:eastAsia="Calibri" w:cs="Tahoma"/>
          <w:iCs/>
        </w:rPr>
      </w:pPr>
      <w:bookmarkStart w:name="_Hlk61509110" w:id="3"/>
      <w:r w:rsidRPr="00B0455D">
        <w:rPr>
          <w:rFonts w:eastAsia="Calibri" w:cs="Tahoma"/>
          <w:i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bookmarkEnd w:id="3"/>
    </w:p>
    <w:p w:rsidRPr="00B0455D" w:rsidR="00655443" w:rsidP="00655443" w:rsidRDefault="00655443" w14:paraId="6CF0F046" w14:textId="77777777">
      <w:pPr>
        <w:spacing w:after="0" w:line="360" w:lineRule="auto"/>
        <w:rPr>
          <w:rFonts w:eastAsia="Calibri" w:cs="Tahoma"/>
        </w:rPr>
      </w:pPr>
    </w:p>
    <w:p w:rsidRPr="00B0455D" w:rsidR="00655443" w:rsidP="00655443" w:rsidRDefault="00655443" w14:paraId="723E9C78" w14:textId="77777777">
      <w:pPr>
        <w:spacing w:after="0" w:line="360" w:lineRule="auto"/>
        <w:rPr>
          <w:rFonts w:eastAsia="Calibri" w:cs="Tahoma"/>
        </w:rPr>
      </w:pPr>
      <w:r w:rsidRPr="00B0455D">
        <w:rPr>
          <w:rFonts w:eastAsia="Calibri" w:cs="Tahoma"/>
          <w:b/>
        </w:rPr>
        <w:t>CUARTO. NOTIFÍQUESE</w:t>
      </w:r>
      <w:r w:rsidRPr="00B0455D">
        <w:rPr>
          <w:rFonts w:eastAsia="Calibri" w:cs="Tahoma"/>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Pr="00B0455D" w:rsidR="00725283" w:rsidP="00A158AB" w:rsidRDefault="00725283" w14:paraId="1B12DE24" w14:textId="77777777">
      <w:pPr>
        <w:spacing w:after="0" w:line="360" w:lineRule="auto"/>
        <w:rPr>
          <w:rFonts w:eastAsia="Calibri" w:cs="Tahoma"/>
          <w:bCs/>
        </w:rPr>
      </w:pPr>
    </w:p>
    <w:p w:rsidR="0040526C" w:rsidP="0040526C" w:rsidRDefault="0040526C" w14:paraId="427DAFB5" w14:textId="1D78EADD">
      <w:pPr>
        <w:spacing w:after="0" w:line="360" w:lineRule="auto"/>
        <w:rPr>
          <w:rFonts w:eastAsia="Times New Roman" w:cs="Tahoma"/>
          <w:lang w:eastAsia="es-MX"/>
        </w:rPr>
      </w:pPr>
      <w:r w:rsidRPr="00B0455D">
        <w:t xml:space="preserve">ASÍ LO RESUELVE, POR </w:t>
      </w:r>
      <w:r w:rsidRPr="00B0455D" w:rsidR="00FA383B">
        <w:rPr>
          <w:b/>
          <w:bCs/>
        </w:rPr>
        <w:t>UNANIMIDAD</w:t>
      </w:r>
      <w:r w:rsidRPr="00B0455D">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CON; EN LA </w:t>
      </w:r>
      <w:r w:rsidRPr="00B0455D" w:rsidR="004161A2">
        <w:t>TRIGÉSIMA</w:t>
      </w:r>
      <w:r w:rsidRPr="00B0455D">
        <w:t xml:space="preserve"> SESIÓN ORDINARIA CELEBRADA EL </w:t>
      </w:r>
      <w:r w:rsidRPr="00B0455D" w:rsidR="004161A2">
        <w:t>VEINTICUATRO DE AGOSTO</w:t>
      </w:r>
      <w:r w:rsidRPr="00B0455D">
        <w:t xml:space="preserve"> DE DOS MIL VEINTIDÓS, ANTE EL SECRETARIO TÉCNICO DEL PLENO, ALEXIS TAPIA RAMÍREZ.</w:t>
      </w:r>
      <w:r>
        <w:rPr>
          <w:rFonts w:eastAsia="Times New Roman" w:cs="Tahoma"/>
          <w:lang w:eastAsia="es-MX"/>
        </w:rPr>
        <w:br w:type="page"/>
      </w:r>
    </w:p>
    <w:p w:rsidR="00E439ED" w:rsidP="00A158AB" w:rsidRDefault="00E439ED" w14:paraId="179D3A74" w14:textId="77777777">
      <w:pPr>
        <w:spacing w:after="0" w:line="360" w:lineRule="auto"/>
      </w:pPr>
    </w:p>
    <w:sectPr w:rsidR="00E439ED" w:rsidSect="003E2E42">
      <w:headerReference w:type="even" r:id="rId9"/>
      <w:headerReference w:type="default" r:id="rId10"/>
      <w:footerReference w:type="even" r:id="rId11"/>
      <w:footerReference w:type="default" r:id="rId12"/>
      <w:headerReference w:type="first" r:id="rId13"/>
      <w:footerReference w:type="first" r:id="rId14"/>
      <w:pgSz w:w="12240" w:h="15840" w:orient="portrait"/>
      <w:pgMar w:top="1418" w:right="1418" w:bottom="1134" w:left="1701" w:header="85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8516D" w:rsidP="00066B31" w:rsidRDefault="0028516D" w14:paraId="24976B89" w14:textId="77777777">
      <w:pPr>
        <w:spacing w:after="0" w:line="240" w:lineRule="auto"/>
      </w:pPr>
      <w:r>
        <w:separator/>
      </w:r>
    </w:p>
  </w:endnote>
  <w:endnote w:type="continuationSeparator" w:id="0">
    <w:p w:rsidR="0028516D" w:rsidP="00066B31" w:rsidRDefault="0028516D" w14:paraId="3F00723B"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C644E" w:rsidRDefault="001D2F08" w14:paraId="7E37BAE9"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noProof/>
      </w:rPr>
      <w:t>14</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noProof/>
      </w:rPr>
      <w:t>19</w:t>
    </w:r>
    <w:r>
      <w:rPr>
        <w:b/>
        <w:bCs/>
        <w:sz w:val="24"/>
        <w:szCs w:val="24"/>
      </w:rPr>
      <w:fldChar w:fldCharType="end"/>
    </w:r>
  </w:p>
  <w:p w:rsidR="008C644E" w:rsidRDefault="00B0455D" w14:paraId="3B0A68EB"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5871782"/>
      <w:docPartObj>
        <w:docPartGallery w:val="Page Numbers (Bottom of Page)"/>
        <w:docPartUnique/>
      </w:docPartObj>
    </w:sdtPr>
    <w:sdtEndPr/>
    <w:sdtContent>
      <w:sdt>
        <w:sdtPr>
          <w:id w:val="1890534867"/>
          <w:docPartObj>
            <w:docPartGallery w:val="Page Numbers (Top of Page)"/>
            <w:docPartUnique/>
          </w:docPartObj>
        </w:sdtPr>
        <w:sdtEndPr/>
        <w:sdtContent>
          <w:p w:rsidR="008C644E" w:rsidRDefault="001D2F08" w14:paraId="3CFCA135"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4514DD">
              <w:rPr>
                <w:b/>
                <w:bCs/>
                <w:noProof/>
              </w:rPr>
              <w:t>17</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4514DD">
              <w:rPr>
                <w:b/>
                <w:bCs/>
                <w:noProof/>
              </w:rPr>
              <w:t>18</w:t>
            </w:r>
            <w:r>
              <w:rPr>
                <w:b/>
                <w:bCs/>
                <w:sz w:val="24"/>
                <w:szCs w:val="24"/>
              </w:rPr>
              <w:fldChar w:fldCharType="end"/>
            </w:r>
          </w:p>
        </w:sdtContent>
      </w:sdt>
    </w:sdtContent>
  </w:sdt>
  <w:p w:rsidR="008C644E" w:rsidRDefault="00B0455D" w14:paraId="42C147CB" w14:textId="7777777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C644E" w:rsidRDefault="001D2F08" w14:paraId="1BEE5584"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4514DD">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4514DD">
      <w:rPr>
        <w:b/>
        <w:bCs/>
        <w:noProof/>
      </w:rPr>
      <w:t>18</w:t>
    </w:r>
    <w:r>
      <w:rPr>
        <w:b/>
        <w:bCs/>
        <w:sz w:val="24"/>
        <w:szCs w:val="24"/>
      </w:rPr>
      <w:fldChar w:fldCharType="end"/>
    </w:r>
  </w:p>
  <w:p w:rsidR="008C644E" w:rsidP="00F73157" w:rsidRDefault="001D2F08" w14:paraId="21537CF3" w14:textId="77777777">
    <w:pPr>
      <w:pStyle w:val="Piedepgina"/>
      <w:tabs>
        <w:tab w:val="clear" w:pos="4419"/>
        <w:tab w:val="clear" w:pos="8838"/>
        <w:tab w:val="left" w:pos="394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8516D" w:rsidP="00066B31" w:rsidRDefault="0028516D" w14:paraId="02FB15AC" w14:textId="77777777">
      <w:pPr>
        <w:spacing w:after="0" w:line="240" w:lineRule="auto"/>
      </w:pPr>
      <w:r>
        <w:separator/>
      </w:r>
    </w:p>
  </w:footnote>
  <w:footnote w:type="continuationSeparator" w:id="0">
    <w:p w:rsidR="0028516D" w:rsidP="00066B31" w:rsidRDefault="0028516D" w14:paraId="0FB4B650"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90" w:type="dxa"/>
      <w:tblLayout w:type="fixed"/>
      <w:tblLook w:val="04A0" w:firstRow="1" w:lastRow="0" w:firstColumn="1" w:lastColumn="0" w:noHBand="0" w:noVBand="1"/>
    </w:tblPr>
    <w:tblGrid>
      <w:gridCol w:w="3260"/>
      <w:gridCol w:w="6730"/>
    </w:tblGrid>
    <w:tr w:rsidRPr="008C644E" w:rsidR="008C644E" w:rsidTr="00787244" w14:paraId="04C853ED" w14:textId="77777777">
      <w:trPr>
        <w:trHeight w:val="1435"/>
      </w:trPr>
      <w:tc>
        <w:tcPr>
          <w:tcW w:w="3261" w:type="dxa"/>
        </w:tcPr>
        <w:p w:rsidRPr="008C644E" w:rsidR="008C644E" w:rsidP="008C644E" w:rsidRDefault="00B0455D" w14:paraId="0C7EB462" w14:textId="77777777">
          <w:pPr>
            <w:pStyle w:val="Encabezado"/>
          </w:pPr>
        </w:p>
      </w:tc>
      <w:tc>
        <w:tcPr>
          <w:tcW w:w="6733" w:type="dxa"/>
          <w:hideMark/>
        </w:tcPr>
        <w:tbl>
          <w:tblPr>
            <w:tblStyle w:val="Tablaconcuadrcula"/>
            <w:tblW w:w="9220" w:type="dxa"/>
            <w:tblInd w:w="16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559"/>
            <w:gridCol w:w="3259"/>
            <w:gridCol w:w="3402"/>
          </w:tblGrid>
          <w:tr w:rsidRPr="008C644E" w:rsidR="008C644E" w:rsidTr="00787244" w14:paraId="3C8FA9F1" w14:textId="77777777">
            <w:trPr>
              <w:trHeight w:val="144"/>
            </w:trPr>
            <w:tc>
              <w:tcPr>
                <w:tcW w:w="2559" w:type="dxa"/>
                <w:hideMark/>
              </w:tcPr>
              <w:p w:rsidRPr="008C644E" w:rsidR="008C644E" w:rsidP="008C644E" w:rsidRDefault="001D2F08" w14:paraId="73DACB1F" w14:textId="77777777">
                <w:pPr>
                  <w:pStyle w:val="Encabezado"/>
                  <w:rPr>
                    <w:b/>
                  </w:rPr>
                </w:pPr>
                <w:r w:rsidRPr="008C644E">
                  <w:rPr>
                    <w:b/>
                  </w:rPr>
                  <w:t>Recurso de Revisión:</w:t>
                </w:r>
              </w:p>
            </w:tc>
            <w:tc>
              <w:tcPr>
                <w:tcW w:w="3259" w:type="dxa"/>
                <w:hideMark/>
              </w:tcPr>
              <w:p w:rsidRPr="008C644E" w:rsidR="008C644E" w:rsidP="008C644E" w:rsidRDefault="001D2F08" w14:paraId="2BAF54F5" w14:textId="77777777">
                <w:pPr>
                  <w:pStyle w:val="Encabezado"/>
                </w:pPr>
                <w:r>
                  <w:t>01206/INFOEM/IP/RR/2022</w:t>
                </w:r>
              </w:p>
            </w:tc>
            <w:tc>
              <w:tcPr>
                <w:tcW w:w="3402" w:type="dxa"/>
              </w:tcPr>
              <w:p w:rsidRPr="008C644E" w:rsidR="008C644E" w:rsidP="008C644E" w:rsidRDefault="00B0455D" w14:paraId="005AF5AD" w14:textId="77777777">
                <w:pPr>
                  <w:pStyle w:val="Encabezado"/>
                  <w:rPr>
                    <w:bCs/>
                  </w:rPr>
                </w:pPr>
              </w:p>
            </w:tc>
          </w:tr>
          <w:tr w:rsidRPr="008C644E" w:rsidR="008C644E" w:rsidTr="00787244" w14:paraId="266F92FA" w14:textId="77777777">
            <w:trPr>
              <w:trHeight w:val="283"/>
            </w:trPr>
            <w:tc>
              <w:tcPr>
                <w:tcW w:w="2559" w:type="dxa"/>
                <w:hideMark/>
              </w:tcPr>
              <w:p w:rsidRPr="008C644E" w:rsidR="008C644E" w:rsidP="008C644E" w:rsidRDefault="001D2F08" w14:paraId="6E774FF3" w14:textId="77777777">
                <w:pPr>
                  <w:pStyle w:val="Encabezado"/>
                  <w:rPr>
                    <w:b/>
                  </w:rPr>
                </w:pPr>
                <w:r w:rsidRPr="008C644E">
                  <w:rPr>
                    <w:b/>
                  </w:rPr>
                  <w:t>Sujeto Obligado:</w:t>
                </w:r>
              </w:p>
            </w:tc>
            <w:tc>
              <w:tcPr>
                <w:tcW w:w="3259" w:type="dxa"/>
                <w:hideMark/>
              </w:tcPr>
              <w:p w:rsidRPr="008C644E" w:rsidR="008C644E" w:rsidP="00A075BA" w:rsidRDefault="001D2F08" w14:paraId="72431DDA" w14:textId="11AF2492">
                <w:pPr>
                  <w:pStyle w:val="Encabezado"/>
                </w:pPr>
                <w:r w:rsidRPr="008C644E">
                  <w:rPr>
                    <w:lang w:val="es-MX"/>
                  </w:rPr>
                  <w:t>Ayuntamiento</w:t>
                </w:r>
                <w:r>
                  <w:rPr>
                    <w:lang w:val="es-MX"/>
                  </w:rPr>
                  <w:t xml:space="preserve"> de</w:t>
                </w:r>
                <w:r w:rsidRPr="008C644E">
                  <w:rPr>
                    <w:lang w:val="es-MX"/>
                  </w:rPr>
                  <w:t xml:space="preserve"> </w:t>
                </w:r>
                <w:r w:rsidR="00985E40">
                  <w:rPr>
                    <w:lang w:val="es-MX"/>
                  </w:rPr>
                  <w:t>Tezoyuca</w:t>
                </w:r>
              </w:p>
            </w:tc>
            <w:tc>
              <w:tcPr>
                <w:tcW w:w="3402" w:type="dxa"/>
              </w:tcPr>
              <w:p w:rsidRPr="008C644E" w:rsidR="008C644E" w:rsidP="008C644E" w:rsidRDefault="00B0455D" w14:paraId="13DD28B6" w14:textId="77777777">
                <w:pPr>
                  <w:pStyle w:val="Encabezado"/>
                </w:pPr>
              </w:p>
            </w:tc>
          </w:tr>
          <w:tr w:rsidRPr="008C644E" w:rsidR="008C644E" w:rsidTr="00787244" w14:paraId="1F447167" w14:textId="77777777">
            <w:trPr>
              <w:trHeight w:val="283"/>
            </w:trPr>
            <w:tc>
              <w:tcPr>
                <w:tcW w:w="2559" w:type="dxa"/>
                <w:hideMark/>
              </w:tcPr>
              <w:p w:rsidRPr="008C644E" w:rsidR="008C644E" w:rsidP="008C644E" w:rsidRDefault="001D2F08" w14:paraId="216657E4" w14:textId="77777777">
                <w:pPr>
                  <w:pStyle w:val="Encabezado"/>
                  <w:rPr>
                    <w:b/>
                  </w:rPr>
                </w:pPr>
                <w:r w:rsidRPr="008C644E">
                  <w:rPr>
                    <w:b/>
                  </w:rPr>
                  <w:t xml:space="preserve">Comisionado Ponente: </w:t>
                </w:r>
              </w:p>
            </w:tc>
            <w:tc>
              <w:tcPr>
                <w:tcW w:w="3259" w:type="dxa"/>
                <w:hideMark/>
              </w:tcPr>
              <w:p w:rsidRPr="008C644E" w:rsidR="008C644E" w:rsidP="008C644E" w:rsidRDefault="001D2F08" w14:paraId="6E467BD9" w14:textId="77777777">
                <w:pPr>
                  <w:pStyle w:val="Encabezado"/>
                  <w:rPr>
                    <w:b/>
                  </w:rPr>
                </w:pPr>
                <w:r w:rsidRPr="008C644E">
                  <w:t>Luis Gustavo Parra Noriega</w:t>
                </w:r>
              </w:p>
            </w:tc>
            <w:tc>
              <w:tcPr>
                <w:tcW w:w="3402" w:type="dxa"/>
              </w:tcPr>
              <w:p w:rsidRPr="008C644E" w:rsidR="008C644E" w:rsidP="008C644E" w:rsidRDefault="00B0455D" w14:paraId="210A329D" w14:textId="77777777">
                <w:pPr>
                  <w:pStyle w:val="Encabezado"/>
                </w:pPr>
              </w:p>
            </w:tc>
          </w:tr>
        </w:tbl>
        <w:p w:rsidRPr="008C644E" w:rsidR="008C644E" w:rsidP="008C644E" w:rsidRDefault="00B0455D" w14:paraId="1FBF3105" w14:textId="77777777">
          <w:pPr>
            <w:pStyle w:val="Encabezado"/>
            <w:rPr>
              <w:b/>
            </w:rPr>
          </w:pPr>
        </w:p>
      </w:tc>
    </w:tr>
  </w:tbl>
  <w:p w:rsidR="008C644E" w:rsidRDefault="00B0455D" w14:paraId="14486D0A" w14:textId="77777777">
    <w:pPr>
      <w:pStyle w:val="Encabezado"/>
    </w:pPr>
    <w:r>
      <w:rPr>
        <w:noProof/>
      </w:rPr>
      <w:pict w14:anchorId="762E387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00119626" style="position:absolute;left:0;text-align:left;margin-left:0;margin-top:0;width:663.5pt;height:12in;z-index:-251659776;mso-position-horizontal:center;mso-position-horizontal-relative:margin;mso-position-vertical:center;mso-position-vertical-relative:margin" o:spid="_x0000_s2050" o:allowincell="f" type="#_x0000_t75">
          <v:imagedata o:title="MARCA DE AGUA - HOJA RESOLUCIÓN"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132" w:type="dxa"/>
      <w:tblLayout w:type="fixed"/>
      <w:tblLook w:val="04A0" w:firstRow="1" w:lastRow="0" w:firstColumn="1" w:lastColumn="0" w:noHBand="0" w:noVBand="1"/>
    </w:tblPr>
    <w:tblGrid>
      <w:gridCol w:w="3402"/>
      <w:gridCol w:w="6730"/>
    </w:tblGrid>
    <w:tr w:rsidR="008C644E" w:rsidTr="00D36646" w14:paraId="4EA32E14" w14:textId="77777777">
      <w:trPr>
        <w:trHeight w:val="1435"/>
      </w:trPr>
      <w:tc>
        <w:tcPr>
          <w:tcW w:w="3402" w:type="dxa"/>
        </w:tcPr>
        <w:p w:rsidR="008C644E" w:rsidP="008C644E" w:rsidRDefault="00B0455D" w14:paraId="423C2A31" w14:textId="77777777">
          <w:pPr>
            <w:tabs>
              <w:tab w:val="right" w:pos="4273"/>
            </w:tabs>
            <w:spacing w:line="256" w:lineRule="auto"/>
            <w:rPr>
              <w:rFonts w:ascii="Garamond" w:hAnsi="Garamond" w:eastAsia="Calibri"/>
              <w:color w:val="auto"/>
            </w:rPr>
          </w:pPr>
        </w:p>
      </w:tc>
      <w:tc>
        <w:tcPr>
          <w:tcW w:w="6730" w:type="dxa"/>
          <w:hideMark/>
        </w:tcPr>
        <w:p w:rsidR="00D36646" w:rsidRDefault="00B0455D" w14:paraId="192B639C" w14:textId="77777777"/>
        <w:tbl>
          <w:tblPr>
            <w:tblStyle w:val="Tablaconcuadrcula"/>
            <w:tblW w:w="9220" w:type="dxa"/>
            <w:tblInd w:w="3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559"/>
            <w:gridCol w:w="3259"/>
            <w:gridCol w:w="3402"/>
          </w:tblGrid>
          <w:tr w:rsidR="008C644E" w:rsidTr="007438A1" w14:paraId="4460AAC6" w14:textId="77777777">
            <w:trPr>
              <w:trHeight w:val="144"/>
            </w:trPr>
            <w:tc>
              <w:tcPr>
                <w:tcW w:w="2559" w:type="dxa"/>
                <w:hideMark/>
              </w:tcPr>
              <w:p w:rsidR="008C644E" w:rsidP="008C644E" w:rsidRDefault="001D2F08" w14:paraId="309907ED" w14:textId="77777777">
                <w:pPr>
                  <w:tabs>
                    <w:tab w:val="right" w:pos="8838"/>
                  </w:tabs>
                  <w:ind w:left="-74" w:right="-105"/>
                  <w:rPr>
                    <w:rFonts w:eastAsia="Calibri" w:cs="Tahoma"/>
                    <w:b/>
                  </w:rPr>
                </w:pPr>
                <w:bookmarkStart w:name="_Hlk12526980" w:id="4"/>
                <w:r>
                  <w:rPr>
                    <w:rFonts w:eastAsia="Calibri" w:cs="Tahoma"/>
                    <w:b/>
                  </w:rPr>
                  <w:t>Recurso de Revisión:</w:t>
                </w:r>
              </w:p>
            </w:tc>
            <w:tc>
              <w:tcPr>
                <w:tcW w:w="3259" w:type="dxa"/>
                <w:hideMark/>
              </w:tcPr>
              <w:p w:rsidR="008C644E" w:rsidP="008C644E" w:rsidRDefault="007438A1" w14:paraId="79D1E809" w14:textId="2866D6B2">
                <w:pPr>
                  <w:tabs>
                    <w:tab w:val="right" w:pos="8838"/>
                  </w:tabs>
                  <w:ind w:left="-74" w:right="-105"/>
                  <w:rPr>
                    <w:rFonts w:eastAsia="Calibri" w:cs="Tahoma"/>
                    <w:bCs/>
                  </w:rPr>
                </w:pPr>
                <w:r w:rsidRPr="007438A1">
                  <w:t>11441/INFOEM/IP/RR/2022</w:t>
                </w:r>
              </w:p>
            </w:tc>
            <w:tc>
              <w:tcPr>
                <w:tcW w:w="3402" w:type="dxa"/>
              </w:tcPr>
              <w:p w:rsidR="008C644E" w:rsidP="008C644E" w:rsidRDefault="00B0455D" w14:paraId="04BF926A" w14:textId="77777777">
                <w:pPr>
                  <w:tabs>
                    <w:tab w:val="right" w:pos="8838"/>
                  </w:tabs>
                  <w:ind w:left="-74" w:right="-105"/>
                  <w:rPr>
                    <w:rFonts w:eastAsia="Calibri" w:cs="Tahoma"/>
                    <w:bCs/>
                  </w:rPr>
                </w:pPr>
              </w:p>
            </w:tc>
            <w:bookmarkEnd w:id="4"/>
          </w:tr>
          <w:tr w:rsidR="008C644E" w:rsidTr="007438A1" w14:paraId="2B8E7492" w14:textId="77777777">
            <w:trPr>
              <w:trHeight w:val="283"/>
            </w:trPr>
            <w:tc>
              <w:tcPr>
                <w:tcW w:w="2559" w:type="dxa"/>
                <w:hideMark/>
              </w:tcPr>
              <w:p w:rsidR="008C644E" w:rsidP="008C644E" w:rsidRDefault="001D2F08" w14:paraId="4B844598" w14:textId="77777777">
                <w:pPr>
                  <w:tabs>
                    <w:tab w:val="right" w:pos="8838"/>
                  </w:tabs>
                  <w:ind w:left="-74" w:right="-105"/>
                  <w:rPr>
                    <w:rFonts w:eastAsia="Calibri" w:cs="Tahoma"/>
                    <w:b/>
                  </w:rPr>
                </w:pPr>
                <w:r>
                  <w:rPr>
                    <w:rFonts w:eastAsia="Calibri" w:cs="Tahoma"/>
                    <w:b/>
                  </w:rPr>
                  <w:t>Sujeto Obligado:</w:t>
                </w:r>
              </w:p>
            </w:tc>
            <w:tc>
              <w:tcPr>
                <w:tcW w:w="3259" w:type="dxa"/>
                <w:hideMark/>
              </w:tcPr>
              <w:p w:rsidRPr="008C644E" w:rsidR="008C644E" w:rsidP="00412BE1" w:rsidRDefault="007438A1" w14:paraId="2C6EC5FD" w14:textId="4DED25B4">
                <w:pPr>
                  <w:tabs>
                    <w:tab w:val="left" w:pos="2834"/>
                    <w:tab w:val="right" w:pos="8838"/>
                  </w:tabs>
                  <w:ind w:left="-74" w:right="-105"/>
                  <w:rPr>
                    <w:rFonts w:eastAsia="Calibri" w:cs="Tahoma"/>
                  </w:rPr>
                </w:pPr>
                <w:r w:rsidRPr="007438A1">
                  <w:rPr>
                    <w:rFonts w:eastAsia="Calibri" w:cs="Tahoma"/>
                    <w:lang w:val="es-MX"/>
                  </w:rPr>
                  <w:t>Ayuntamiento de Nextlalpan</w:t>
                </w:r>
              </w:p>
            </w:tc>
            <w:tc>
              <w:tcPr>
                <w:tcW w:w="3402" w:type="dxa"/>
              </w:tcPr>
              <w:p w:rsidR="008C644E" w:rsidP="008C644E" w:rsidRDefault="00B0455D" w14:paraId="30AE58B9" w14:textId="77777777">
                <w:pPr>
                  <w:tabs>
                    <w:tab w:val="left" w:pos="2834"/>
                    <w:tab w:val="right" w:pos="8838"/>
                  </w:tabs>
                  <w:ind w:left="-74" w:right="-105"/>
                  <w:rPr>
                    <w:rFonts w:eastAsia="Calibri" w:cs="Tahoma"/>
                  </w:rPr>
                </w:pPr>
              </w:p>
            </w:tc>
          </w:tr>
          <w:tr w:rsidR="008C644E" w:rsidTr="007438A1" w14:paraId="4CA944CC" w14:textId="77777777">
            <w:trPr>
              <w:trHeight w:val="283"/>
            </w:trPr>
            <w:tc>
              <w:tcPr>
                <w:tcW w:w="2559" w:type="dxa"/>
                <w:hideMark/>
              </w:tcPr>
              <w:p w:rsidR="008C644E" w:rsidP="008C644E" w:rsidRDefault="001D2F08" w14:paraId="131AC3D5" w14:textId="77777777">
                <w:pPr>
                  <w:tabs>
                    <w:tab w:val="right" w:pos="8838"/>
                  </w:tabs>
                  <w:ind w:left="-74" w:right="-105"/>
                  <w:rPr>
                    <w:rFonts w:eastAsia="Calibri" w:cs="Tahoma"/>
                    <w:b/>
                  </w:rPr>
                </w:pPr>
                <w:r>
                  <w:rPr>
                    <w:rFonts w:eastAsia="Calibri" w:cs="Tahoma"/>
                    <w:b/>
                  </w:rPr>
                  <w:t xml:space="preserve">Comisionado Ponente: </w:t>
                </w:r>
              </w:p>
            </w:tc>
            <w:tc>
              <w:tcPr>
                <w:tcW w:w="3259" w:type="dxa"/>
                <w:hideMark/>
              </w:tcPr>
              <w:p w:rsidR="008C644E" w:rsidP="008C644E" w:rsidRDefault="001D2F08" w14:paraId="04D77E1A" w14:textId="77777777">
                <w:pPr>
                  <w:tabs>
                    <w:tab w:val="right" w:pos="8838"/>
                  </w:tabs>
                  <w:ind w:left="-74" w:right="-105"/>
                  <w:rPr>
                    <w:rFonts w:eastAsia="Calibri" w:cs="Tahoma"/>
                    <w:b/>
                  </w:rPr>
                </w:pPr>
                <w:r>
                  <w:rPr>
                    <w:rFonts w:eastAsia="Calibri" w:cs="Tahoma"/>
                  </w:rPr>
                  <w:t>Luis Gustavo Parra Noriega</w:t>
                </w:r>
              </w:p>
            </w:tc>
            <w:tc>
              <w:tcPr>
                <w:tcW w:w="3402" w:type="dxa"/>
              </w:tcPr>
              <w:p w:rsidR="008C644E" w:rsidP="008C644E" w:rsidRDefault="00B0455D" w14:paraId="5A0D5601" w14:textId="77777777">
                <w:pPr>
                  <w:tabs>
                    <w:tab w:val="right" w:pos="8838"/>
                  </w:tabs>
                  <w:ind w:left="-74" w:right="-105"/>
                  <w:rPr>
                    <w:rFonts w:eastAsia="Calibri" w:cs="Tahoma"/>
                  </w:rPr>
                </w:pPr>
              </w:p>
            </w:tc>
          </w:tr>
        </w:tbl>
        <w:p w:rsidR="008C644E" w:rsidP="008C644E" w:rsidRDefault="00B0455D" w14:paraId="14C1172F" w14:textId="77777777">
          <w:pPr>
            <w:tabs>
              <w:tab w:val="right" w:pos="8838"/>
            </w:tabs>
            <w:spacing w:line="256" w:lineRule="auto"/>
            <w:ind w:left="-28"/>
            <w:rPr>
              <w:rFonts w:ascii="Arial" w:hAnsi="Arial" w:eastAsia="Calibri" w:cs="Arial"/>
              <w:b/>
            </w:rPr>
          </w:pPr>
        </w:p>
      </w:tc>
    </w:tr>
  </w:tbl>
  <w:p w:rsidR="008C644E" w:rsidRDefault="00B0455D" w14:paraId="652BA475" w14:textId="77777777">
    <w:pPr>
      <w:pStyle w:val="Encabezado"/>
    </w:pPr>
    <w:r>
      <w:rPr>
        <w:noProof/>
      </w:rPr>
      <w:pict w14:anchorId="6638158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00119627" style="position:absolute;left:0;text-align:left;margin-left:0;margin-top:0;width:663.5pt;height:12in;z-index:-251658752;mso-position-horizontal:center;mso-position-horizontal-relative:margin;mso-position-vertical:center;mso-position-vertical-relative:margin" o:spid="_x0000_s2051" o:allowincell="f" type="#_x0000_t75">
          <v:imagedata o:title="MARCA DE AGUA - HOJA RESOLUCIÓN" r:id="rId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9" w:type="dxa"/>
      <w:tblLayout w:type="fixed"/>
      <w:tblLook w:val="04A0" w:firstRow="1" w:lastRow="0" w:firstColumn="1" w:lastColumn="0" w:noHBand="0" w:noVBand="1"/>
    </w:tblPr>
    <w:tblGrid>
      <w:gridCol w:w="2127"/>
      <w:gridCol w:w="7512"/>
    </w:tblGrid>
    <w:tr w:rsidRPr="008C644E" w:rsidR="008C644E" w:rsidTr="304536CA" w14:paraId="7C3509A9" w14:textId="77777777">
      <w:trPr>
        <w:trHeight w:val="1435"/>
      </w:trPr>
      <w:tc>
        <w:tcPr>
          <w:tcW w:w="2127" w:type="dxa"/>
          <w:tcMar/>
        </w:tcPr>
        <w:p w:rsidRPr="008C644E" w:rsidR="008C644E" w:rsidP="008C644E" w:rsidRDefault="00B0455D" w14:paraId="7A9E3827" w14:textId="77777777">
          <w:pPr>
            <w:pStyle w:val="Encabezado"/>
          </w:pPr>
        </w:p>
      </w:tc>
      <w:tc>
        <w:tcPr>
          <w:tcW w:w="7512" w:type="dxa"/>
          <w:tcMar/>
          <w:hideMark/>
        </w:tcPr>
        <w:tbl>
          <w:tblPr>
            <w:tblStyle w:val="Tablaconcuadrcula"/>
            <w:tblW w:w="12474" w:type="dxa"/>
            <w:tblInd w:w="130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559"/>
            <w:gridCol w:w="3111"/>
            <w:gridCol w:w="3402"/>
            <w:gridCol w:w="3402"/>
          </w:tblGrid>
          <w:tr w:rsidRPr="008C644E" w:rsidR="003F2F0B" w:rsidTr="304536CA" w14:paraId="1551C454" w14:textId="77777777">
            <w:trPr>
              <w:trHeight w:val="144"/>
            </w:trPr>
            <w:tc>
              <w:tcPr>
                <w:tcW w:w="2559" w:type="dxa"/>
                <w:tcMar/>
                <w:hideMark/>
              </w:tcPr>
              <w:p w:rsidRPr="008C644E" w:rsidR="003F2F0B" w:rsidP="007438A1" w:rsidRDefault="001D2F08" w14:paraId="189E74D1" w14:textId="77777777">
                <w:pPr>
                  <w:pStyle w:val="Encabezado"/>
                  <w:rPr>
                    <w:b/>
                  </w:rPr>
                </w:pPr>
                <w:r w:rsidRPr="008C644E">
                  <w:rPr>
                    <w:b/>
                  </w:rPr>
                  <w:t>Recurso de Revisión:</w:t>
                </w:r>
              </w:p>
            </w:tc>
            <w:tc>
              <w:tcPr>
                <w:tcW w:w="3111" w:type="dxa"/>
                <w:tcMar/>
                <w:hideMark/>
              </w:tcPr>
              <w:p w:rsidRPr="00AC018A" w:rsidR="003F2F0B" w:rsidP="007438A1" w:rsidRDefault="007438A1" w14:paraId="11F4479A" w14:textId="1A1661FF">
                <w:pPr>
                  <w:pStyle w:val="Encabezado"/>
                </w:pPr>
                <w:r w:rsidRPr="007438A1">
                  <w:rPr>
                    <w:color w:val="000000"/>
                  </w:rPr>
                  <w:t>11441/INFOEM/IP/RR/2022</w:t>
                </w:r>
              </w:p>
            </w:tc>
            <w:tc>
              <w:tcPr>
                <w:tcW w:w="3402" w:type="dxa"/>
                <w:tcMar/>
              </w:tcPr>
              <w:p w:rsidRPr="008C644E" w:rsidR="003F2F0B" w:rsidP="008C644E" w:rsidRDefault="00B0455D" w14:paraId="636B91F8" w14:textId="77777777">
                <w:pPr>
                  <w:pStyle w:val="Encabezado"/>
                  <w:rPr>
                    <w:bCs/>
                  </w:rPr>
                </w:pPr>
              </w:p>
            </w:tc>
            <w:tc>
              <w:tcPr>
                <w:tcW w:w="3402" w:type="dxa"/>
                <w:tcMar/>
              </w:tcPr>
              <w:p w:rsidRPr="008C644E" w:rsidR="003F2F0B" w:rsidP="008C644E" w:rsidRDefault="00B0455D" w14:paraId="30CBCBAF" w14:textId="77777777">
                <w:pPr>
                  <w:pStyle w:val="Encabezado"/>
                  <w:rPr>
                    <w:bCs/>
                  </w:rPr>
                </w:pPr>
              </w:p>
            </w:tc>
          </w:tr>
          <w:tr w:rsidRPr="008C644E" w:rsidR="003F2F0B" w:rsidTr="304536CA" w14:paraId="61DAE09E" w14:textId="77777777">
            <w:trPr>
              <w:trHeight w:val="144"/>
            </w:trPr>
            <w:tc>
              <w:tcPr>
                <w:tcW w:w="2559" w:type="dxa"/>
                <w:tcMar/>
                <w:hideMark/>
              </w:tcPr>
              <w:p w:rsidRPr="008C644E" w:rsidR="003F2F0B" w:rsidP="007438A1" w:rsidRDefault="001D2F08" w14:paraId="7CE5967D" w14:textId="77777777">
                <w:pPr>
                  <w:pStyle w:val="Encabezado"/>
                  <w:rPr>
                    <w:b/>
                  </w:rPr>
                </w:pPr>
                <w:r w:rsidRPr="008C644E">
                  <w:rPr>
                    <w:b/>
                  </w:rPr>
                  <w:t>Recurrente:</w:t>
                </w:r>
              </w:p>
            </w:tc>
            <w:tc>
              <w:tcPr>
                <w:tcW w:w="3111" w:type="dxa"/>
                <w:tcMar/>
              </w:tcPr>
              <w:p w:rsidRPr="008C644E" w:rsidR="003F2F0B" w:rsidP="304536CA" w:rsidRDefault="0024120D" w14:paraId="0ECB40A9" w14:textId="3B34BDD1">
                <w:pPr>
                  <w:pStyle w:val="Encabezado"/>
                  <w:rPr>
                    <w:highlight w:val="black"/>
                  </w:rPr>
                </w:pPr>
                <w:r w:rsidRPr="304536CA" w:rsidR="304536CA">
                  <w:rPr>
                    <w:highlight w:val="black"/>
                  </w:rPr>
                  <w:t>XXXXXXXXXXXXXXXXXXXXXXXXXXXXXXXXXXX</w:t>
                </w:r>
              </w:p>
            </w:tc>
            <w:tc>
              <w:tcPr>
                <w:tcW w:w="3402" w:type="dxa"/>
                <w:tcMar/>
              </w:tcPr>
              <w:p w:rsidRPr="008C644E" w:rsidR="003F2F0B" w:rsidP="008C644E" w:rsidRDefault="00B0455D" w14:paraId="267C41A1" w14:textId="77777777">
                <w:pPr>
                  <w:pStyle w:val="Encabezado"/>
                </w:pPr>
              </w:p>
            </w:tc>
            <w:tc>
              <w:tcPr>
                <w:tcW w:w="3402" w:type="dxa"/>
                <w:tcMar/>
              </w:tcPr>
              <w:p w:rsidRPr="008C644E" w:rsidR="003F2F0B" w:rsidP="008C644E" w:rsidRDefault="00B0455D" w14:paraId="07EE73BD" w14:textId="77777777">
                <w:pPr>
                  <w:pStyle w:val="Encabezado"/>
                </w:pPr>
              </w:p>
            </w:tc>
          </w:tr>
          <w:tr w:rsidRPr="008C644E" w:rsidR="003F2F0B" w:rsidTr="304536CA" w14:paraId="7C378614" w14:textId="77777777">
            <w:trPr>
              <w:trHeight w:val="283"/>
            </w:trPr>
            <w:tc>
              <w:tcPr>
                <w:tcW w:w="2559" w:type="dxa"/>
                <w:tcMar/>
                <w:hideMark/>
              </w:tcPr>
              <w:p w:rsidRPr="008C644E" w:rsidR="003F2F0B" w:rsidP="007438A1" w:rsidRDefault="001D2F08" w14:paraId="24E7E7C4" w14:textId="77777777">
                <w:pPr>
                  <w:pStyle w:val="Encabezado"/>
                  <w:rPr>
                    <w:b/>
                  </w:rPr>
                </w:pPr>
                <w:r w:rsidRPr="008C644E">
                  <w:rPr>
                    <w:b/>
                  </w:rPr>
                  <w:t>Sujeto Obligado:</w:t>
                </w:r>
              </w:p>
            </w:tc>
            <w:tc>
              <w:tcPr>
                <w:tcW w:w="3111" w:type="dxa"/>
                <w:tcMar/>
                <w:hideMark/>
              </w:tcPr>
              <w:p w:rsidRPr="008C644E" w:rsidR="003F2F0B" w:rsidP="007438A1" w:rsidRDefault="007438A1" w14:paraId="6FB2FFED" w14:textId="56ADA67A">
                <w:pPr>
                  <w:pStyle w:val="Encabezado"/>
                </w:pPr>
                <w:r w:rsidRPr="007438A1">
                  <w:rPr>
                    <w:lang w:val="es-MX"/>
                  </w:rPr>
                  <w:t>Ayuntamiento de Nextlalpan</w:t>
                </w:r>
              </w:p>
            </w:tc>
            <w:tc>
              <w:tcPr>
                <w:tcW w:w="3402" w:type="dxa"/>
                <w:tcMar/>
              </w:tcPr>
              <w:p w:rsidRPr="008C644E" w:rsidR="003F2F0B" w:rsidP="008C644E" w:rsidRDefault="00B0455D" w14:paraId="41110A01" w14:textId="77777777">
                <w:pPr>
                  <w:pStyle w:val="Encabezado"/>
                </w:pPr>
              </w:p>
            </w:tc>
            <w:tc>
              <w:tcPr>
                <w:tcW w:w="3402" w:type="dxa"/>
                <w:tcMar/>
              </w:tcPr>
              <w:p w:rsidRPr="008C644E" w:rsidR="003F2F0B" w:rsidP="008C644E" w:rsidRDefault="00B0455D" w14:paraId="45B99936" w14:textId="77777777">
                <w:pPr>
                  <w:pStyle w:val="Encabezado"/>
                </w:pPr>
              </w:p>
            </w:tc>
          </w:tr>
          <w:tr w:rsidRPr="008C644E" w:rsidR="003F2F0B" w:rsidTr="304536CA" w14:paraId="439AC6E2" w14:textId="77777777">
            <w:trPr>
              <w:trHeight w:val="283"/>
            </w:trPr>
            <w:tc>
              <w:tcPr>
                <w:tcW w:w="2559" w:type="dxa"/>
                <w:tcMar/>
                <w:hideMark/>
              </w:tcPr>
              <w:p w:rsidRPr="008C644E" w:rsidR="003F2F0B" w:rsidP="007438A1" w:rsidRDefault="001D2F08" w14:paraId="791FA8D2" w14:textId="77777777">
                <w:pPr>
                  <w:pStyle w:val="Encabezado"/>
                  <w:rPr>
                    <w:b/>
                  </w:rPr>
                </w:pPr>
                <w:r w:rsidRPr="008C644E">
                  <w:rPr>
                    <w:b/>
                  </w:rPr>
                  <w:t xml:space="preserve">Comisionado Ponente: </w:t>
                </w:r>
              </w:p>
            </w:tc>
            <w:tc>
              <w:tcPr>
                <w:tcW w:w="3111" w:type="dxa"/>
                <w:tcMar/>
                <w:hideMark/>
              </w:tcPr>
              <w:p w:rsidRPr="008C644E" w:rsidR="003F2F0B" w:rsidP="007438A1" w:rsidRDefault="001D2F08" w14:paraId="4E9C6E5C" w14:textId="77777777">
                <w:pPr>
                  <w:pStyle w:val="Encabezado"/>
                  <w:rPr>
                    <w:b/>
                  </w:rPr>
                </w:pPr>
                <w:r w:rsidRPr="008C644E">
                  <w:t>Luis Gustavo Parra Noriega</w:t>
                </w:r>
              </w:p>
            </w:tc>
            <w:tc>
              <w:tcPr>
                <w:tcW w:w="3402" w:type="dxa"/>
                <w:tcMar/>
              </w:tcPr>
              <w:p w:rsidRPr="008C644E" w:rsidR="003F2F0B" w:rsidP="008C644E" w:rsidRDefault="00B0455D" w14:paraId="624292D1" w14:textId="77777777">
                <w:pPr>
                  <w:pStyle w:val="Encabezado"/>
                </w:pPr>
              </w:p>
            </w:tc>
            <w:tc>
              <w:tcPr>
                <w:tcW w:w="3402" w:type="dxa"/>
                <w:tcMar/>
              </w:tcPr>
              <w:p w:rsidRPr="008C644E" w:rsidR="003F2F0B" w:rsidP="008C644E" w:rsidRDefault="00B0455D" w14:paraId="2F073C23" w14:textId="77777777">
                <w:pPr>
                  <w:pStyle w:val="Encabezado"/>
                </w:pPr>
              </w:p>
            </w:tc>
          </w:tr>
        </w:tbl>
        <w:p w:rsidRPr="008C644E" w:rsidR="008C644E" w:rsidP="008C644E" w:rsidRDefault="00B0455D" w14:paraId="23CCA079" w14:textId="77777777">
          <w:pPr>
            <w:pStyle w:val="Encabezado"/>
            <w:rPr>
              <w:b/>
            </w:rPr>
          </w:pPr>
        </w:p>
      </w:tc>
    </w:tr>
  </w:tbl>
  <w:p w:rsidR="008C644E" w:rsidRDefault="00B0455D" w14:paraId="19C09215" w14:textId="77777777">
    <w:pPr>
      <w:pStyle w:val="Encabezado"/>
    </w:pPr>
    <w:r>
      <w:rPr>
        <w:noProof/>
      </w:rPr>
      <w:pict w14:anchorId="109DB03C">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00119625" style="position:absolute;left:0;text-align:left;margin-left:-84.35pt;margin-top:-135.5pt;width:663.5pt;height:12in;z-index:-251657728;mso-position-horizontal-relative:margin;mso-position-vertical-relative:margin" o:spid="_x0000_s2049" o:allowincell="f" stroked="t" strokecolor="blue" type="#_x0000_t75">
          <v:imagedata o:title="MARCA DE AGUA - HOJA RESOLUCIÓN"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E3784F"/>
    <w:multiLevelType w:val="hybridMultilevel"/>
    <w:tmpl w:val="1632F556"/>
    <w:lvl w:ilvl="0" w:tplc="7AA0B6C0">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1" w15:restartNumberingAfterBreak="0">
    <w:nsid w:val="19FD2AEE"/>
    <w:multiLevelType w:val="hybridMultilevel"/>
    <w:tmpl w:val="4818553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2838302D"/>
    <w:multiLevelType w:val="hybridMultilevel"/>
    <w:tmpl w:val="F05218D4"/>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3" w15:restartNumberingAfterBreak="0">
    <w:nsid w:val="30BA7E48"/>
    <w:multiLevelType w:val="hybridMultilevel"/>
    <w:tmpl w:val="CD1E71BE"/>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4" w15:restartNumberingAfterBreak="0">
    <w:nsid w:val="34DC08B9"/>
    <w:multiLevelType w:val="hybridMultilevel"/>
    <w:tmpl w:val="A2C4B1A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37A859D6"/>
    <w:multiLevelType w:val="hybridMultilevel"/>
    <w:tmpl w:val="850825A6"/>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6" w15:restartNumberingAfterBreak="0">
    <w:nsid w:val="4B7C2679"/>
    <w:multiLevelType w:val="hybridMultilevel"/>
    <w:tmpl w:val="C8C48654"/>
    <w:lvl w:ilvl="0" w:tplc="6F6ABC3C">
      <w:start w:val="1"/>
      <w:numFmt w:val="upperRoman"/>
      <w:lvlText w:val="%1."/>
      <w:lvlJc w:val="left"/>
      <w:pPr>
        <w:ind w:left="1080" w:hanging="72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8" w15:restartNumberingAfterBreak="0">
    <w:nsid w:val="74982F1C"/>
    <w:multiLevelType w:val="hybridMultilevel"/>
    <w:tmpl w:val="D4F07F0A"/>
    <w:lvl w:ilvl="0" w:tplc="37ECDADE">
      <w:start w:val="1"/>
      <w:numFmt w:val="lowerLetter"/>
      <w:lvlText w:val="%1)"/>
      <w:lvlJc w:val="left"/>
      <w:pPr>
        <w:ind w:left="720" w:hanging="360"/>
      </w:pPr>
      <w:rPr>
        <w:b/>
        <w:bC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75422B96"/>
    <w:multiLevelType w:val="hybridMultilevel"/>
    <w:tmpl w:val="B164EBCE"/>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10" w15:restartNumberingAfterBreak="0">
    <w:nsid w:val="7ADA4D23"/>
    <w:multiLevelType w:val="hybridMultilevel"/>
    <w:tmpl w:val="D59A059C"/>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num w:numId="1" w16cid:durableId="1493568046">
    <w:abstractNumId w:val="2"/>
  </w:num>
  <w:num w:numId="2" w16cid:durableId="1171488096">
    <w:abstractNumId w:val="9"/>
  </w:num>
  <w:num w:numId="3" w16cid:durableId="794786435">
    <w:abstractNumId w:val="1"/>
  </w:num>
  <w:num w:numId="4" w16cid:durableId="12416039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2651005">
    <w:abstractNumId w:val="10"/>
  </w:num>
  <w:num w:numId="6" w16cid:durableId="7189515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431395036">
    <w:abstractNumId w:val="3"/>
  </w:num>
  <w:num w:numId="8" w16cid:durableId="481316790">
    <w:abstractNumId w:val="5"/>
  </w:num>
  <w:num w:numId="9" w16cid:durableId="23481285">
    <w:abstractNumId w:val="0"/>
  </w:num>
  <w:num w:numId="10" w16cid:durableId="1178275499">
    <w:abstractNumId w:val="7"/>
  </w:num>
  <w:num w:numId="11" w16cid:durableId="1041438570">
    <w:abstractNumId w:val="4"/>
  </w:num>
  <w:num w:numId="12" w16cid:durableId="213629426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dirty"/>
  <w:trackRevisions w:val="false"/>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6B31"/>
    <w:rsid w:val="00037914"/>
    <w:rsid w:val="00043C41"/>
    <w:rsid w:val="00046320"/>
    <w:rsid w:val="00062470"/>
    <w:rsid w:val="00066B31"/>
    <w:rsid w:val="00075334"/>
    <w:rsid w:val="00085698"/>
    <w:rsid w:val="000B12BC"/>
    <w:rsid w:val="000C6862"/>
    <w:rsid w:val="000E1C0A"/>
    <w:rsid w:val="000F62E2"/>
    <w:rsid w:val="001004BB"/>
    <w:rsid w:val="00117E3C"/>
    <w:rsid w:val="00134D79"/>
    <w:rsid w:val="001443E6"/>
    <w:rsid w:val="00156D9E"/>
    <w:rsid w:val="001577CA"/>
    <w:rsid w:val="001579B1"/>
    <w:rsid w:val="0017521E"/>
    <w:rsid w:val="00184934"/>
    <w:rsid w:val="00195757"/>
    <w:rsid w:val="001A5045"/>
    <w:rsid w:val="001A7452"/>
    <w:rsid w:val="001B6ECC"/>
    <w:rsid w:val="001C10AC"/>
    <w:rsid w:val="001C4991"/>
    <w:rsid w:val="001C70D9"/>
    <w:rsid w:val="001D2F08"/>
    <w:rsid w:val="001E12EE"/>
    <w:rsid w:val="001F5EEB"/>
    <w:rsid w:val="001F62F3"/>
    <w:rsid w:val="001F7D27"/>
    <w:rsid w:val="002128C8"/>
    <w:rsid w:val="0024120D"/>
    <w:rsid w:val="00245BCA"/>
    <w:rsid w:val="00245F82"/>
    <w:rsid w:val="002609B4"/>
    <w:rsid w:val="002648DF"/>
    <w:rsid w:val="0027112B"/>
    <w:rsid w:val="0028516D"/>
    <w:rsid w:val="002A10BA"/>
    <w:rsid w:val="002C77CA"/>
    <w:rsid w:val="002D10E0"/>
    <w:rsid w:val="002D5F76"/>
    <w:rsid w:val="002E21C8"/>
    <w:rsid w:val="002F321B"/>
    <w:rsid w:val="0031422C"/>
    <w:rsid w:val="0032668E"/>
    <w:rsid w:val="00364068"/>
    <w:rsid w:val="00386C97"/>
    <w:rsid w:val="003B1418"/>
    <w:rsid w:val="003C31A0"/>
    <w:rsid w:val="003E17DD"/>
    <w:rsid w:val="003E2E42"/>
    <w:rsid w:val="003F3B06"/>
    <w:rsid w:val="0040526C"/>
    <w:rsid w:val="00407871"/>
    <w:rsid w:val="004161A2"/>
    <w:rsid w:val="0043086A"/>
    <w:rsid w:val="00446BCA"/>
    <w:rsid w:val="004514DD"/>
    <w:rsid w:val="00456635"/>
    <w:rsid w:val="004730F1"/>
    <w:rsid w:val="00480903"/>
    <w:rsid w:val="00481490"/>
    <w:rsid w:val="004823D7"/>
    <w:rsid w:val="00482EFD"/>
    <w:rsid w:val="004832D6"/>
    <w:rsid w:val="0048610B"/>
    <w:rsid w:val="004907A4"/>
    <w:rsid w:val="00497692"/>
    <w:rsid w:val="00497C8F"/>
    <w:rsid w:val="004B3C2B"/>
    <w:rsid w:val="004E2C2D"/>
    <w:rsid w:val="005027D8"/>
    <w:rsid w:val="00514645"/>
    <w:rsid w:val="00544546"/>
    <w:rsid w:val="005447DD"/>
    <w:rsid w:val="00547807"/>
    <w:rsid w:val="00564652"/>
    <w:rsid w:val="00576074"/>
    <w:rsid w:val="00585018"/>
    <w:rsid w:val="00596BCF"/>
    <w:rsid w:val="005A3F30"/>
    <w:rsid w:val="005D5EBF"/>
    <w:rsid w:val="005D6213"/>
    <w:rsid w:val="00610C0E"/>
    <w:rsid w:val="00613C98"/>
    <w:rsid w:val="00623867"/>
    <w:rsid w:val="00643079"/>
    <w:rsid w:val="00655443"/>
    <w:rsid w:val="006559F2"/>
    <w:rsid w:val="006710D3"/>
    <w:rsid w:val="00672F00"/>
    <w:rsid w:val="00676D85"/>
    <w:rsid w:val="00684F08"/>
    <w:rsid w:val="006940FB"/>
    <w:rsid w:val="006A635A"/>
    <w:rsid w:val="006A6F5E"/>
    <w:rsid w:val="006B2B29"/>
    <w:rsid w:val="006B6642"/>
    <w:rsid w:val="006C2A6E"/>
    <w:rsid w:val="006C7AAE"/>
    <w:rsid w:val="00725283"/>
    <w:rsid w:val="0072736D"/>
    <w:rsid w:val="00730A1A"/>
    <w:rsid w:val="007438A1"/>
    <w:rsid w:val="00746092"/>
    <w:rsid w:val="00756C7F"/>
    <w:rsid w:val="007636BA"/>
    <w:rsid w:val="00786BB8"/>
    <w:rsid w:val="007944F9"/>
    <w:rsid w:val="00797E95"/>
    <w:rsid w:val="007A23DF"/>
    <w:rsid w:val="007A6CC7"/>
    <w:rsid w:val="007D0449"/>
    <w:rsid w:val="00806C05"/>
    <w:rsid w:val="00810E77"/>
    <w:rsid w:val="00812FEA"/>
    <w:rsid w:val="0081647F"/>
    <w:rsid w:val="00844830"/>
    <w:rsid w:val="008449DD"/>
    <w:rsid w:val="00880564"/>
    <w:rsid w:val="00885F71"/>
    <w:rsid w:val="00886AAA"/>
    <w:rsid w:val="00890086"/>
    <w:rsid w:val="008A27FD"/>
    <w:rsid w:val="008A386D"/>
    <w:rsid w:val="008A4B29"/>
    <w:rsid w:val="008B1873"/>
    <w:rsid w:val="008B3837"/>
    <w:rsid w:val="008B3C4E"/>
    <w:rsid w:val="008C23E3"/>
    <w:rsid w:val="008D5408"/>
    <w:rsid w:val="008E1F82"/>
    <w:rsid w:val="009060F7"/>
    <w:rsid w:val="00912D29"/>
    <w:rsid w:val="009325F6"/>
    <w:rsid w:val="00957133"/>
    <w:rsid w:val="00957B55"/>
    <w:rsid w:val="00970BAD"/>
    <w:rsid w:val="00972568"/>
    <w:rsid w:val="00975497"/>
    <w:rsid w:val="00984A9C"/>
    <w:rsid w:val="00985E40"/>
    <w:rsid w:val="009A2169"/>
    <w:rsid w:val="009A6AA7"/>
    <w:rsid w:val="009C210A"/>
    <w:rsid w:val="009C3EFA"/>
    <w:rsid w:val="009E22E8"/>
    <w:rsid w:val="00A0672F"/>
    <w:rsid w:val="00A07373"/>
    <w:rsid w:val="00A158AB"/>
    <w:rsid w:val="00A2185E"/>
    <w:rsid w:val="00A2644F"/>
    <w:rsid w:val="00A463E5"/>
    <w:rsid w:val="00A47A01"/>
    <w:rsid w:val="00A47EB9"/>
    <w:rsid w:val="00A61518"/>
    <w:rsid w:val="00A615C8"/>
    <w:rsid w:val="00A63C7D"/>
    <w:rsid w:val="00A70E4E"/>
    <w:rsid w:val="00A730D8"/>
    <w:rsid w:val="00A80686"/>
    <w:rsid w:val="00A8070B"/>
    <w:rsid w:val="00A91161"/>
    <w:rsid w:val="00A94C96"/>
    <w:rsid w:val="00AD4550"/>
    <w:rsid w:val="00AE0905"/>
    <w:rsid w:val="00AF2044"/>
    <w:rsid w:val="00B0455D"/>
    <w:rsid w:val="00B11EB5"/>
    <w:rsid w:val="00B11F59"/>
    <w:rsid w:val="00B17AC1"/>
    <w:rsid w:val="00B2307A"/>
    <w:rsid w:val="00B2722D"/>
    <w:rsid w:val="00B44AA0"/>
    <w:rsid w:val="00B5786A"/>
    <w:rsid w:val="00B7023A"/>
    <w:rsid w:val="00B904A1"/>
    <w:rsid w:val="00B91C3F"/>
    <w:rsid w:val="00BB0E7F"/>
    <w:rsid w:val="00BB52A9"/>
    <w:rsid w:val="00BD6C52"/>
    <w:rsid w:val="00BE69C6"/>
    <w:rsid w:val="00C0148B"/>
    <w:rsid w:val="00C20AC6"/>
    <w:rsid w:val="00C2316D"/>
    <w:rsid w:val="00C30B5F"/>
    <w:rsid w:val="00C32648"/>
    <w:rsid w:val="00C32FC1"/>
    <w:rsid w:val="00C440EE"/>
    <w:rsid w:val="00C56DF1"/>
    <w:rsid w:val="00C76478"/>
    <w:rsid w:val="00C8149E"/>
    <w:rsid w:val="00C91AFD"/>
    <w:rsid w:val="00C97744"/>
    <w:rsid w:val="00CA1616"/>
    <w:rsid w:val="00CC520F"/>
    <w:rsid w:val="00D23D83"/>
    <w:rsid w:val="00D40B9F"/>
    <w:rsid w:val="00D56577"/>
    <w:rsid w:val="00D658A9"/>
    <w:rsid w:val="00D71437"/>
    <w:rsid w:val="00DC0BAB"/>
    <w:rsid w:val="00DC411A"/>
    <w:rsid w:val="00DD6ABE"/>
    <w:rsid w:val="00DF3B64"/>
    <w:rsid w:val="00DF5DB2"/>
    <w:rsid w:val="00DF6F08"/>
    <w:rsid w:val="00E10673"/>
    <w:rsid w:val="00E11DED"/>
    <w:rsid w:val="00E17462"/>
    <w:rsid w:val="00E27D8C"/>
    <w:rsid w:val="00E32882"/>
    <w:rsid w:val="00E439ED"/>
    <w:rsid w:val="00E4610A"/>
    <w:rsid w:val="00E95F22"/>
    <w:rsid w:val="00EA3060"/>
    <w:rsid w:val="00ED7E78"/>
    <w:rsid w:val="00EE0DDB"/>
    <w:rsid w:val="00EF2ACF"/>
    <w:rsid w:val="00EF5D50"/>
    <w:rsid w:val="00EF7E63"/>
    <w:rsid w:val="00F14AA6"/>
    <w:rsid w:val="00F263D2"/>
    <w:rsid w:val="00F50A74"/>
    <w:rsid w:val="00F54281"/>
    <w:rsid w:val="00F55B7E"/>
    <w:rsid w:val="00F616A1"/>
    <w:rsid w:val="00F70FD8"/>
    <w:rsid w:val="00F86ACE"/>
    <w:rsid w:val="00FA383B"/>
    <w:rsid w:val="00FA46A1"/>
    <w:rsid w:val="00FB4093"/>
    <w:rsid w:val="00FB4AE8"/>
    <w:rsid w:val="00FC41CE"/>
    <w:rsid w:val="00FC6C9A"/>
    <w:rsid w:val="00FD0A8F"/>
    <w:rsid w:val="00FE0ADD"/>
    <w:rsid w:val="00FE24DD"/>
    <w:rsid w:val="304536C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6F67B18"/>
  <w15:chartTrackingRefBased/>
  <w15:docId w15:val="{E1EE635E-EA1F-49DB-9891-9F46EFABB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184934"/>
    <w:pPr>
      <w:jc w:val="both"/>
    </w:pPr>
    <w:rPr>
      <w:rFonts w:ascii="Palatino Linotype" w:hAnsi="Palatino Linotype"/>
      <w:color w:val="000000" w:themeColor="text1"/>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Encabezado">
    <w:name w:val="header"/>
    <w:basedOn w:val="Normal"/>
    <w:link w:val="EncabezadoCar"/>
    <w:uiPriority w:val="99"/>
    <w:unhideWhenUsed/>
    <w:rsid w:val="00066B31"/>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066B31"/>
    <w:rPr>
      <w:rFonts w:ascii="Palatino Linotype" w:hAnsi="Palatino Linotype"/>
      <w:color w:val="000000" w:themeColor="text1"/>
    </w:rPr>
  </w:style>
  <w:style w:type="paragraph" w:styleId="Piedepgina">
    <w:name w:val="footer"/>
    <w:basedOn w:val="Normal"/>
    <w:link w:val="PiedepginaCar"/>
    <w:uiPriority w:val="99"/>
    <w:unhideWhenUsed/>
    <w:rsid w:val="00066B31"/>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066B31"/>
    <w:rPr>
      <w:rFonts w:ascii="Palatino Linotype" w:hAnsi="Palatino Linotype"/>
      <w:color w:val="000000" w:themeColor="text1"/>
    </w:rPr>
  </w:style>
  <w:style w:type="table" w:styleId="Tablaconcuadrcula">
    <w:name w:val="Table Grid"/>
    <w:basedOn w:val="Tablanormal"/>
    <w:uiPriority w:val="59"/>
    <w:rsid w:val="00066B31"/>
    <w:pPr>
      <w:spacing w:after="0" w:line="240" w:lineRule="auto"/>
    </w:pPr>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066B31"/>
    <w:rPr>
      <w:rFonts w:ascii="Century Gothic" w:hAnsi="Century Gothic" w:eastAsia="Times New Roman" w:cs="Times New Roman"/>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66B31"/>
    <w:pPr>
      <w:spacing w:after="0" w:line="240" w:lineRule="auto"/>
      <w:ind w:left="720"/>
      <w:contextualSpacing/>
      <w:jc w:val="left"/>
    </w:pPr>
    <w:rPr>
      <w:rFonts w:ascii="Century Gothic" w:hAnsi="Century Gothic" w:eastAsia="Times New Roman" w:cs="Times New Roman"/>
      <w:color w:val="auto"/>
      <w:szCs w:val="24"/>
      <w:lang w:eastAsia="es-ES"/>
    </w:rPr>
  </w:style>
  <w:style w:type="character" w:styleId="Hipervnculo">
    <w:name w:val="Hyperlink"/>
    <w:basedOn w:val="Fuentedeprrafopredeter"/>
    <w:uiPriority w:val="99"/>
    <w:unhideWhenUsed/>
    <w:rsid w:val="00066B31"/>
    <w:rPr>
      <w:color w:val="0563C1" w:themeColor="hyperlink"/>
      <w:u w:val="single"/>
    </w:rPr>
  </w:style>
  <w:style w:type="paragraph" w:styleId="NormalWeb">
    <w:name w:val="Normal (Web)"/>
    <w:basedOn w:val="Normal"/>
    <w:uiPriority w:val="99"/>
    <w:unhideWhenUsed/>
    <w:rsid w:val="00C8149E"/>
    <w:pPr>
      <w:spacing w:line="256" w:lineRule="auto"/>
    </w:pPr>
    <w:rPr>
      <w:rFonts w:ascii="Times New Roman" w:hAnsi="Times New Roman" w:cs="Times New Roman"/>
      <w:sz w:val="24"/>
      <w:szCs w:val="24"/>
    </w:rPr>
  </w:style>
  <w:style w:type="character" w:styleId="normaltextrun" w:customStyle="1">
    <w:name w:val="normaltextrun"/>
    <w:basedOn w:val="Fuentedeprrafopredeter"/>
    <w:rsid w:val="00810E77"/>
  </w:style>
  <w:style w:type="character" w:styleId="eop" w:customStyle="1">
    <w:name w:val="eop"/>
    <w:basedOn w:val="Fuentedeprrafopredeter"/>
    <w:rsid w:val="00810E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599850">
      <w:bodyDiv w:val="1"/>
      <w:marLeft w:val="0"/>
      <w:marRight w:val="0"/>
      <w:marTop w:val="0"/>
      <w:marBottom w:val="0"/>
      <w:divBdr>
        <w:top w:val="none" w:sz="0" w:space="0" w:color="auto"/>
        <w:left w:val="none" w:sz="0" w:space="0" w:color="auto"/>
        <w:bottom w:val="none" w:sz="0" w:space="0" w:color="auto"/>
        <w:right w:val="none" w:sz="0" w:space="0" w:color="auto"/>
      </w:divBdr>
    </w:div>
    <w:div w:id="65885824">
      <w:bodyDiv w:val="1"/>
      <w:marLeft w:val="0"/>
      <w:marRight w:val="0"/>
      <w:marTop w:val="0"/>
      <w:marBottom w:val="0"/>
      <w:divBdr>
        <w:top w:val="none" w:sz="0" w:space="0" w:color="auto"/>
        <w:left w:val="none" w:sz="0" w:space="0" w:color="auto"/>
        <w:bottom w:val="none" w:sz="0" w:space="0" w:color="auto"/>
        <w:right w:val="none" w:sz="0" w:space="0" w:color="auto"/>
      </w:divBdr>
    </w:div>
    <w:div w:id="93287888">
      <w:bodyDiv w:val="1"/>
      <w:marLeft w:val="0"/>
      <w:marRight w:val="0"/>
      <w:marTop w:val="0"/>
      <w:marBottom w:val="0"/>
      <w:divBdr>
        <w:top w:val="none" w:sz="0" w:space="0" w:color="auto"/>
        <w:left w:val="none" w:sz="0" w:space="0" w:color="auto"/>
        <w:bottom w:val="none" w:sz="0" w:space="0" w:color="auto"/>
        <w:right w:val="none" w:sz="0" w:space="0" w:color="auto"/>
      </w:divBdr>
    </w:div>
    <w:div w:id="104202495">
      <w:bodyDiv w:val="1"/>
      <w:marLeft w:val="0"/>
      <w:marRight w:val="0"/>
      <w:marTop w:val="0"/>
      <w:marBottom w:val="0"/>
      <w:divBdr>
        <w:top w:val="none" w:sz="0" w:space="0" w:color="auto"/>
        <w:left w:val="none" w:sz="0" w:space="0" w:color="auto"/>
        <w:bottom w:val="none" w:sz="0" w:space="0" w:color="auto"/>
        <w:right w:val="none" w:sz="0" w:space="0" w:color="auto"/>
      </w:divBdr>
    </w:div>
    <w:div w:id="259263198">
      <w:bodyDiv w:val="1"/>
      <w:marLeft w:val="0"/>
      <w:marRight w:val="0"/>
      <w:marTop w:val="0"/>
      <w:marBottom w:val="0"/>
      <w:divBdr>
        <w:top w:val="none" w:sz="0" w:space="0" w:color="auto"/>
        <w:left w:val="none" w:sz="0" w:space="0" w:color="auto"/>
        <w:bottom w:val="none" w:sz="0" w:space="0" w:color="auto"/>
        <w:right w:val="none" w:sz="0" w:space="0" w:color="auto"/>
      </w:divBdr>
    </w:div>
    <w:div w:id="323628964">
      <w:bodyDiv w:val="1"/>
      <w:marLeft w:val="0"/>
      <w:marRight w:val="0"/>
      <w:marTop w:val="0"/>
      <w:marBottom w:val="0"/>
      <w:divBdr>
        <w:top w:val="none" w:sz="0" w:space="0" w:color="auto"/>
        <w:left w:val="none" w:sz="0" w:space="0" w:color="auto"/>
        <w:bottom w:val="none" w:sz="0" w:space="0" w:color="auto"/>
        <w:right w:val="none" w:sz="0" w:space="0" w:color="auto"/>
      </w:divBdr>
    </w:div>
    <w:div w:id="330521772">
      <w:bodyDiv w:val="1"/>
      <w:marLeft w:val="0"/>
      <w:marRight w:val="0"/>
      <w:marTop w:val="0"/>
      <w:marBottom w:val="0"/>
      <w:divBdr>
        <w:top w:val="none" w:sz="0" w:space="0" w:color="auto"/>
        <w:left w:val="none" w:sz="0" w:space="0" w:color="auto"/>
        <w:bottom w:val="none" w:sz="0" w:space="0" w:color="auto"/>
        <w:right w:val="none" w:sz="0" w:space="0" w:color="auto"/>
      </w:divBdr>
    </w:div>
    <w:div w:id="402797212">
      <w:bodyDiv w:val="1"/>
      <w:marLeft w:val="0"/>
      <w:marRight w:val="0"/>
      <w:marTop w:val="0"/>
      <w:marBottom w:val="0"/>
      <w:divBdr>
        <w:top w:val="none" w:sz="0" w:space="0" w:color="auto"/>
        <w:left w:val="none" w:sz="0" w:space="0" w:color="auto"/>
        <w:bottom w:val="none" w:sz="0" w:space="0" w:color="auto"/>
        <w:right w:val="none" w:sz="0" w:space="0" w:color="auto"/>
      </w:divBdr>
    </w:div>
    <w:div w:id="492448525">
      <w:bodyDiv w:val="1"/>
      <w:marLeft w:val="0"/>
      <w:marRight w:val="0"/>
      <w:marTop w:val="0"/>
      <w:marBottom w:val="0"/>
      <w:divBdr>
        <w:top w:val="none" w:sz="0" w:space="0" w:color="auto"/>
        <w:left w:val="none" w:sz="0" w:space="0" w:color="auto"/>
        <w:bottom w:val="none" w:sz="0" w:space="0" w:color="auto"/>
        <w:right w:val="none" w:sz="0" w:space="0" w:color="auto"/>
      </w:divBdr>
    </w:div>
    <w:div w:id="538467800">
      <w:bodyDiv w:val="1"/>
      <w:marLeft w:val="0"/>
      <w:marRight w:val="0"/>
      <w:marTop w:val="0"/>
      <w:marBottom w:val="0"/>
      <w:divBdr>
        <w:top w:val="none" w:sz="0" w:space="0" w:color="auto"/>
        <w:left w:val="none" w:sz="0" w:space="0" w:color="auto"/>
        <w:bottom w:val="none" w:sz="0" w:space="0" w:color="auto"/>
        <w:right w:val="none" w:sz="0" w:space="0" w:color="auto"/>
      </w:divBdr>
    </w:div>
    <w:div w:id="578755040">
      <w:bodyDiv w:val="1"/>
      <w:marLeft w:val="0"/>
      <w:marRight w:val="0"/>
      <w:marTop w:val="0"/>
      <w:marBottom w:val="0"/>
      <w:divBdr>
        <w:top w:val="none" w:sz="0" w:space="0" w:color="auto"/>
        <w:left w:val="none" w:sz="0" w:space="0" w:color="auto"/>
        <w:bottom w:val="none" w:sz="0" w:space="0" w:color="auto"/>
        <w:right w:val="none" w:sz="0" w:space="0" w:color="auto"/>
      </w:divBdr>
    </w:div>
    <w:div w:id="683555350">
      <w:bodyDiv w:val="1"/>
      <w:marLeft w:val="0"/>
      <w:marRight w:val="0"/>
      <w:marTop w:val="0"/>
      <w:marBottom w:val="0"/>
      <w:divBdr>
        <w:top w:val="none" w:sz="0" w:space="0" w:color="auto"/>
        <w:left w:val="none" w:sz="0" w:space="0" w:color="auto"/>
        <w:bottom w:val="none" w:sz="0" w:space="0" w:color="auto"/>
        <w:right w:val="none" w:sz="0" w:space="0" w:color="auto"/>
      </w:divBdr>
    </w:div>
    <w:div w:id="689574042">
      <w:bodyDiv w:val="1"/>
      <w:marLeft w:val="0"/>
      <w:marRight w:val="0"/>
      <w:marTop w:val="0"/>
      <w:marBottom w:val="0"/>
      <w:divBdr>
        <w:top w:val="none" w:sz="0" w:space="0" w:color="auto"/>
        <w:left w:val="none" w:sz="0" w:space="0" w:color="auto"/>
        <w:bottom w:val="none" w:sz="0" w:space="0" w:color="auto"/>
        <w:right w:val="none" w:sz="0" w:space="0" w:color="auto"/>
      </w:divBdr>
    </w:div>
    <w:div w:id="841161007">
      <w:bodyDiv w:val="1"/>
      <w:marLeft w:val="0"/>
      <w:marRight w:val="0"/>
      <w:marTop w:val="0"/>
      <w:marBottom w:val="0"/>
      <w:divBdr>
        <w:top w:val="none" w:sz="0" w:space="0" w:color="auto"/>
        <w:left w:val="none" w:sz="0" w:space="0" w:color="auto"/>
        <w:bottom w:val="none" w:sz="0" w:space="0" w:color="auto"/>
        <w:right w:val="none" w:sz="0" w:space="0" w:color="auto"/>
      </w:divBdr>
    </w:div>
    <w:div w:id="947590116">
      <w:bodyDiv w:val="1"/>
      <w:marLeft w:val="0"/>
      <w:marRight w:val="0"/>
      <w:marTop w:val="0"/>
      <w:marBottom w:val="0"/>
      <w:divBdr>
        <w:top w:val="none" w:sz="0" w:space="0" w:color="auto"/>
        <w:left w:val="none" w:sz="0" w:space="0" w:color="auto"/>
        <w:bottom w:val="none" w:sz="0" w:space="0" w:color="auto"/>
        <w:right w:val="none" w:sz="0" w:space="0" w:color="auto"/>
      </w:divBdr>
    </w:div>
    <w:div w:id="1189686220">
      <w:bodyDiv w:val="1"/>
      <w:marLeft w:val="0"/>
      <w:marRight w:val="0"/>
      <w:marTop w:val="0"/>
      <w:marBottom w:val="0"/>
      <w:divBdr>
        <w:top w:val="none" w:sz="0" w:space="0" w:color="auto"/>
        <w:left w:val="none" w:sz="0" w:space="0" w:color="auto"/>
        <w:bottom w:val="none" w:sz="0" w:space="0" w:color="auto"/>
        <w:right w:val="none" w:sz="0" w:space="0" w:color="auto"/>
      </w:divBdr>
    </w:div>
    <w:div w:id="1270821788">
      <w:bodyDiv w:val="1"/>
      <w:marLeft w:val="0"/>
      <w:marRight w:val="0"/>
      <w:marTop w:val="0"/>
      <w:marBottom w:val="0"/>
      <w:divBdr>
        <w:top w:val="none" w:sz="0" w:space="0" w:color="auto"/>
        <w:left w:val="none" w:sz="0" w:space="0" w:color="auto"/>
        <w:bottom w:val="none" w:sz="0" w:space="0" w:color="auto"/>
        <w:right w:val="none" w:sz="0" w:space="0" w:color="auto"/>
      </w:divBdr>
    </w:div>
    <w:div w:id="1316181000">
      <w:bodyDiv w:val="1"/>
      <w:marLeft w:val="0"/>
      <w:marRight w:val="0"/>
      <w:marTop w:val="0"/>
      <w:marBottom w:val="0"/>
      <w:divBdr>
        <w:top w:val="none" w:sz="0" w:space="0" w:color="auto"/>
        <w:left w:val="none" w:sz="0" w:space="0" w:color="auto"/>
        <w:bottom w:val="none" w:sz="0" w:space="0" w:color="auto"/>
        <w:right w:val="none" w:sz="0" w:space="0" w:color="auto"/>
      </w:divBdr>
    </w:div>
    <w:div w:id="1335836703">
      <w:bodyDiv w:val="1"/>
      <w:marLeft w:val="0"/>
      <w:marRight w:val="0"/>
      <w:marTop w:val="0"/>
      <w:marBottom w:val="0"/>
      <w:divBdr>
        <w:top w:val="none" w:sz="0" w:space="0" w:color="auto"/>
        <w:left w:val="none" w:sz="0" w:space="0" w:color="auto"/>
        <w:bottom w:val="none" w:sz="0" w:space="0" w:color="auto"/>
        <w:right w:val="none" w:sz="0" w:space="0" w:color="auto"/>
      </w:divBdr>
    </w:div>
    <w:div w:id="1365132067">
      <w:bodyDiv w:val="1"/>
      <w:marLeft w:val="0"/>
      <w:marRight w:val="0"/>
      <w:marTop w:val="0"/>
      <w:marBottom w:val="0"/>
      <w:divBdr>
        <w:top w:val="none" w:sz="0" w:space="0" w:color="auto"/>
        <w:left w:val="none" w:sz="0" w:space="0" w:color="auto"/>
        <w:bottom w:val="none" w:sz="0" w:space="0" w:color="auto"/>
        <w:right w:val="none" w:sz="0" w:space="0" w:color="auto"/>
      </w:divBdr>
    </w:div>
    <w:div w:id="1391886216">
      <w:bodyDiv w:val="1"/>
      <w:marLeft w:val="0"/>
      <w:marRight w:val="0"/>
      <w:marTop w:val="0"/>
      <w:marBottom w:val="0"/>
      <w:divBdr>
        <w:top w:val="none" w:sz="0" w:space="0" w:color="auto"/>
        <w:left w:val="none" w:sz="0" w:space="0" w:color="auto"/>
        <w:bottom w:val="none" w:sz="0" w:space="0" w:color="auto"/>
        <w:right w:val="none" w:sz="0" w:space="0" w:color="auto"/>
      </w:divBdr>
    </w:div>
    <w:div w:id="1482187224">
      <w:bodyDiv w:val="1"/>
      <w:marLeft w:val="0"/>
      <w:marRight w:val="0"/>
      <w:marTop w:val="0"/>
      <w:marBottom w:val="0"/>
      <w:divBdr>
        <w:top w:val="none" w:sz="0" w:space="0" w:color="auto"/>
        <w:left w:val="none" w:sz="0" w:space="0" w:color="auto"/>
        <w:bottom w:val="none" w:sz="0" w:space="0" w:color="auto"/>
        <w:right w:val="none" w:sz="0" w:space="0" w:color="auto"/>
      </w:divBdr>
    </w:div>
    <w:div w:id="1789158907">
      <w:bodyDiv w:val="1"/>
      <w:marLeft w:val="0"/>
      <w:marRight w:val="0"/>
      <w:marTop w:val="0"/>
      <w:marBottom w:val="0"/>
      <w:divBdr>
        <w:top w:val="none" w:sz="0" w:space="0" w:color="auto"/>
        <w:left w:val="none" w:sz="0" w:space="0" w:color="auto"/>
        <w:bottom w:val="none" w:sz="0" w:space="0" w:color="auto"/>
        <w:right w:val="none" w:sz="0" w:space="0" w:color="auto"/>
      </w:divBdr>
    </w:div>
    <w:div w:id="1958558843">
      <w:bodyDiv w:val="1"/>
      <w:marLeft w:val="0"/>
      <w:marRight w:val="0"/>
      <w:marTop w:val="0"/>
      <w:marBottom w:val="0"/>
      <w:divBdr>
        <w:top w:val="none" w:sz="0" w:space="0" w:color="auto"/>
        <w:left w:val="none" w:sz="0" w:space="0" w:color="auto"/>
        <w:bottom w:val="none" w:sz="0" w:space="0" w:color="auto"/>
        <w:right w:val="none" w:sz="0" w:space="0" w:color="auto"/>
      </w:divBdr>
    </w:div>
    <w:div w:id="1975403815">
      <w:bodyDiv w:val="1"/>
      <w:marLeft w:val="0"/>
      <w:marRight w:val="0"/>
      <w:marTop w:val="0"/>
      <w:marBottom w:val="0"/>
      <w:divBdr>
        <w:top w:val="none" w:sz="0" w:space="0" w:color="auto"/>
        <w:left w:val="none" w:sz="0" w:space="0" w:color="auto"/>
        <w:bottom w:val="none" w:sz="0" w:space="0" w:color="auto"/>
        <w:right w:val="none" w:sz="0" w:space="0" w:color="auto"/>
      </w:divBdr>
    </w:div>
    <w:div w:id="2046711869">
      <w:bodyDiv w:val="1"/>
      <w:marLeft w:val="0"/>
      <w:marRight w:val="0"/>
      <w:marTop w:val="0"/>
      <w:marBottom w:val="0"/>
      <w:divBdr>
        <w:top w:val="none" w:sz="0" w:space="0" w:color="auto"/>
        <w:left w:val="none" w:sz="0" w:space="0" w:color="auto"/>
        <w:bottom w:val="none" w:sz="0" w:space="0" w:color="auto"/>
        <w:right w:val="none" w:sz="0" w:space="0" w:color="auto"/>
      </w:divBdr>
    </w:div>
    <w:div w:id="2047177800">
      <w:bodyDiv w:val="1"/>
      <w:marLeft w:val="0"/>
      <w:marRight w:val="0"/>
      <w:marTop w:val="0"/>
      <w:marBottom w:val="0"/>
      <w:divBdr>
        <w:top w:val="none" w:sz="0" w:space="0" w:color="auto"/>
        <w:left w:val="none" w:sz="0" w:space="0" w:color="auto"/>
        <w:bottom w:val="none" w:sz="0" w:space="0" w:color="auto"/>
        <w:right w:val="none" w:sz="0" w:space="0" w:color="auto"/>
      </w:divBdr>
    </w:div>
    <w:div w:id="2050103460">
      <w:bodyDiv w:val="1"/>
      <w:marLeft w:val="0"/>
      <w:marRight w:val="0"/>
      <w:marTop w:val="0"/>
      <w:marBottom w:val="0"/>
      <w:divBdr>
        <w:top w:val="none" w:sz="0" w:space="0" w:color="auto"/>
        <w:left w:val="none" w:sz="0" w:space="0" w:color="auto"/>
        <w:bottom w:val="none" w:sz="0" w:space="0" w:color="auto"/>
        <w:right w:val="none" w:sz="0" w:space="0" w:color="auto"/>
      </w:divBdr>
    </w:div>
    <w:div w:id="2060200184">
      <w:bodyDiv w:val="1"/>
      <w:marLeft w:val="0"/>
      <w:marRight w:val="0"/>
      <w:marTop w:val="0"/>
      <w:marBottom w:val="0"/>
      <w:divBdr>
        <w:top w:val="none" w:sz="0" w:space="0" w:color="auto"/>
        <w:left w:val="none" w:sz="0" w:space="0" w:color="auto"/>
        <w:bottom w:val="none" w:sz="0" w:space="0" w:color="auto"/>
        <w:right w:val="none" w:sz="0" w:space="0" w:color="auto"/>
      </w:divBdr>
    </w:div>
    <w:div w:id="2065643878">
      <w:bodyDiv w:val="1"/>
      <w:marLeft w:val="0"/>
      <w:marRight w:val="0"/>
      <w:marTop w:val="0"/>
      <w:marBottom w:val="0"/>
      <w:divBdr>
        <w:top w:val="none" w:sz="0" w:space="0" w:color="auto"/>
        <w:left w:val="none" w:sz="0" w:space="0" w:color="auto"/>
        <w:bottom w:val="none" w:sz="0" w:space="0" w:color="auto"/>
        <w:right w:val="none" w:sz="0" w:space="0" w:color="auto"/>
      </w:divBdr>
    </w:div>
    <w:div w:id="2142767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header" Target="header3.xml" Id="rId13" /><Relationship Type="http://schemas.openxmlformats.org/officeDocument/2006/relationships/settings" Target="settings.xml" Id="rId3" /><Relationship Type="http://schemas.openxmlformats.org/officeDocument/2006/relationships/image" Target="media/image1.png" Id="rId7" /><Relationship Type="http://schemas.openxmlformats.org/officeDocument/2006/relationships/footer" Target="footer2.xml" Id="rId12" /><Relationship Type="http://schemas.openxmlformats.org/officeDocument/2006/relationships/styles" Target="styles.xml" Id="rId2" /><Relationship Type="http://schemas.openxmlformats.org/officeDocument/2006/relationships/theme" Target="theme/theme1.xml" Id="rId16"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er" Target="footer1.xml" Id="rId11" /><Relationship Type="http://schemas.openxmlformats.org/officeDocument/2006/relationships/footnotes" Target="footnotes.xml" Id="rId5" /><Relationship Type="http://schemas.openxmlformats.org/officeDocument/2006/relationships/fontTable" Target="fontTable.xml" Id="rId15" /><Relationship Type="http://schemas.openxmlformats.org/officeDocument/2006/relationships/header" Target="header2.xml" Id="rId10" /><Relationship Type="http://schemas.openxmlformats.org/officeDocument/2006/relationships/webSettings" Target="webSettings.xml" Id="rId4" /><Relationship Type="http://schemas.openxmlformats.org/officeDocument/2006/relationships/header" Target="header1.xml" Id="rId9" /><Relationship Type="http://schemas.openxmlformats.org/officeDocument/2006/relationships/footer" Target="footer3.xml" Id="rId14" /><Relationship Type="http://schemas.openxmlformats.org/officeDocument/2006/relationships/glossaryDocument" Target="glossary/document.xml" Id="R6e780cd4ecd14e0a" /></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a0a1b49a-2cc7-491b-b82a-db7cf4cf3873}"/>
      </w:docPartPr>
      <w:docPartBody>
        <w:p w14:paraId="17496685">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IVAN PEÑA VARA</dc:creator>
  <keywords/>
  <dc:description/>
  <lastModifiedBy>JAEL RUBIO SANCHEZ</lastModifiedBy>
  <revision>6</revision>
  <dcterms:created xsi:type="dcterms:W3CDTF">2022-08-18T17:11:00.0000000Z</dcterms:created>
  <dcterms:modified xsi:type="dcterms:W3CDTF">2022-09-08T18:25:26.0230704Z</dcterms:modified>
</coreProperties>
</file>