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1430C" w14:textId="77777777" w:rsidR="005B6925" w:rsidRDefault="007B48D3">
      <w:pPr>
        <w:spacing w:before="240" w:after="240" w:line="360" w:lineRule="auto"/>
        <w:jc w:val="both"/>
        <w:rPr>
          <w:rFonts w:ascii="Palatino Linotype" w:eastAsia="Palatino Linotype" w:hAnsi="Palatino Linotype" w:cs="Palatino Linotype"/>
        </w:rPr>
      </w:pPr>
      <w:bookmarkStart w:id="0" w:name="_heading=h.tyjcwt"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dieciocho de mayo de dos mil veintidós. </w:t>
      </w:r>
    </w:p>
    <w:p w14:paraId="7755FA6C" w14:textId="30EDD76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02219/INFOEM/IP/RR/2022</w:t>
      </w:r>
      <w:r>
        <w:rPr>
          <w:rFonts w:ascii="Palatino Linotype" w:eastAsia="Palatino Linotype" w:hAnsi="Palatino Linotype" w:cs="Palatino Linotype"/>
        </w:rPr>
        <w:t xml:space="preserve">, interpuesto </w:t>
      </w:r>
      <w:r w:rsidR="00A03867">
        <w:rPr>
          <w:rFonts w:ascii="Palatino Linotype" w:eastAsia="Palatino Linotype" w:hAnsi="Palatino Linotype" w:cs="Palatino Linotype"/>
          <w:b/>
        </w:rPr>
        <w:t>xxxx xxxxx XXXXXXXX XXXXXXXX</w:t>
      </w:r>
      <w:r>
        <w:rPr>
          <w:rFonts w:ascii="Palatino Linotype" w:eastAsia="Palatino Linotype" w:hAnsi="Palatino Linotype" w:cs="Palatino Linotype"/>
        </w:rPr>
        <w:t>, 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Sistema de Autopistas, Aeropuertos, S</w:t>
      </w:r>
      <w:bookmarkStart w:id="1" w:name="_GoBack"/>
      <w:bookmarkEnd w:id="1"/>
      <w:r>
        <w:rPr>
          <w:rFonts w:ascii="Palatino Linotype" w:eastAsia="Palatino Linotype" w:hAnsi="Palatino Linotype" w:cs="Palatino Linotype"/>
          <w:b/>
        </w:rPr>
        <w:t xml:space="preserve">ervicios Conexos y Auxiliares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87503FC" w14:textId="77777777" w:rsidR="005B6925" w:rsidRDefault="007B48D3">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14:paraId="7C26B309"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dieciocho de enero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00006/SAASCAEM/IP/2022, </w:t>
      </w:r>
      <w:r>
        <w:rPr>
          <w:rFonts w:ascii="Palatino Linotype" w:eastAsia="Palatino Linotype" w:hAnsi="Palatino Linotype" w:cs="Palatino Linotype"/>
        </w:rPr>
        <w:t xml:space="preserve">mediante la cual requirió la información siguiente: </w:t>
      </w:r>
    </w:p>
    <w:p w14:paraId="73AF4DF6" w14:textId="77777777" w:rsidR="005B6925" w:rsidRDefault="007B48D3">
      <w:pPr>
        <w:spacing w:line="276" w:lineRule="auto"/>
        <w:ind w:left="851" w:right="616"/>
        <w:jc w:val="both"/>
        <w:rPr>
          <w:rFonts w:ascii="Palatino Linotype" w:eastAsia="Palatino Linotype" w:hAnsi="Palatino Linotype" w:cs="Palatino Linotype"/>
          <w:b/>
          <w:i/>
          <w:sz w:val="22"/>
          <w:szCs w:val="22"/>
        </w:rPr>
      </w:pPr>
      <w:bookmarkStart w:id="2" w:name="_heading=h.gjdgxs" w:colFirst="0" w:colLast="0"/>
      <w:bookmarkEnd w:id="2"/>
      <w:r>
        <w:rPr>
          <w:rFonts w:ascii="Palatino Linotype" w:eastAsia="Palatino Linotype" w:hAnsi="Palatino Linotype" w:cs="Palatino Linotype"/>
          <w:i/>
          <w:sz w:val="22"/>
          <w:szCs w:val="22"/>
        </w:rPr>
        <w:t>“Necesito todos los subcontratos de obra realizados entre la constructora MOTA ENGIL MEXICO Y/O LAS SIGUIENTES PERSONAS: GEORGINA PEREZ GIL RIBAS, ALBERTO DANIEL OLVERA BENEDICTO. CONTRATOS CELEBRADOS EN EL PROCESO DE CONSTRUCCION DE LA AUTOPISTA URBANA SIERVO DE LA NACION EN EL ESTADO DE MEXICO DURANTE LOS AÑOS 2019,2020,2021.”(Sic)</w:t>
      </w:r>
    </w:p>
    <w:p w14:paraId="274ED393"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Modalidad de Entrega:</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señaló como modalidad de entrega a través del Sistema de Acceso a la Información Mexiquense (SAIMEX).</w:t>
      </w:r>
    </w:p>
    <w:p w14:paraId="161775F6"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 El </w:t>
      </w:r>
      <w:r>
        <w:rPr>
          <w:rFonts w:ascii="Palatino Linotype" w:eastAsia="Palatino Linotype" w:hAnsi="Palatino Linotype" w:cs="Palatino Linotype"/>
          <w:b/>
        </w:rPr>
        <w:t>nueve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en los términos siguientes:</w:t>
      </w:r>
    </w:p>
    <w:p w14:paraId="1D1523C1" w14:textId="77777777" w:rsidR="005B6925" w:rsidRDefault="005B6925">
      <w:pPr>
        <w:spacing w:line="360" w:lineRule="auto"/>
        <w:ind w:left="851" w:right="616"/>
        <w:jc w:val="both"/>
        <w:rPr>
          <w:rFonts w:ascii="Palatino Linotype" w:eastAsia="Palatino Linotype" w:hAnsi="Palatino Linotype" w:cs="Palatino Linotype"/>
          <w:i/>
          <w:sz w:val="22"/>
          <w:szCs w:val="22"/>
        </w:rPr>
      </w:pPr>
    </w:p>
    <w:p w14:paraId="4F095E3B"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“SOLICITANTE DE INFORMACIÓN PRESENTE: En atención a su solicitud de información, recibida el 18 de enero de 2022, a través del Sistema de Acceso a la Información Mexiquense, en la cual se solicita lo siguiente: Necesito todos los subcontratos de obra realizados entre la constructora MOTA ENGIL MEXICO Y/O LAS SIGUIENTES PERSONAS: GEORGINA PEREZ GIL RIBAS, ALBERTO DANIEL OLVERA BENEDICTO. CONTRATOS CELEBRADOS EN EL PROCESO DE CONSTRUCCION DE LA AUTOPISTA URBANA SIERVO DE LA NACION EN EL ESTADO DE MEXICO DURANTE LOS AÑOS 2019,2020,2021. Sobre el particular, se anexa al presente la respuesta enviada por la Dirección de Proyectos y control de Obras del Sistema de Autopistas, Aeropuertos, Servicios Conexos y Auxiliares del Estado de México. Lo anterior de conformidad con los artículos 1, 4, 6, 16 y 17 de la Ley General de Transparencia y Acceso a la Información Pública y 1, 2, 7, 8, 12 párrafo segundo, 24 último párrafo, 50, 52, 53, fracciones II, V, VI, XII, 58, 158, 162, 163 y demás aplicables de la Ley de Transparencia y Acceso a la Información Pública del Estado de México y Municipios. Por último, hago de su conocimiento que en términos de los artículos 176, 177, 178 y 179 de la ley de Transparencia y Acceso a la Información Pública del Estado de México y Municipios, usted puede hacer valer su derecho y cuenta con 15 días hábiles siguientes a la fecha de la notificación de la respuesta, para interponer un recurso de revisión de manera directa o por medios electrónicos. Sin más por el momento, le envío un cordial saludo. ATENTAMENTE LIC. FABIÁN PÉREZ PÉREZ TITULAR DE TRANSPARENCIA”(Sic)</w:t>
      </w:r>
    </w:p>
    <w:p w14:paraId="3570E356" w14:textId="77777777" w:rsidR="005B6925" w:rsidRDefault="005B6925">
      <w:pPr>
        <w:ind w:left="851" w:right="900"/>
        <w:jc w:val="both"/>
        <w:rPr>
          <w:rFonts w:ascii="Palatino Linotype" w:eastAsia="Palatino Linotype" w:hAnsi="Palatino Linotype" w:cs="Palatino Linotype"/>
          <w:i/>
          <w:sz w:val="22"/>
          <w:szCs w:val="22"/>
        </w:rPr>
      </w:pPr>
    </w:p>
    <w:p w14:paraId="46CE3548" w14:textId="77777777" w:rsidR="005B6925" w:rsidRDefault="007B48D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Pronunciamiento al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adjuntó los archivos denominados y descritos en el siguiente orden: </w:t>
      </w:r>
    </w:p>
    <w:p w14:paraId="6FDED93B" w14:textId="77777777" w:rsidR="005B6925" w:rsidRDefault="005B6925">
      <w:pPr>
        <w:spacing w:line="360" w:lineRule="auto"/>
        <w:ind w:right="49"/>
        <w:jc w:val="both"/>
        <w:rPr>
          <w:rFonts w:ascii="Palatino Linotype" w:eastAsia="Palatino Linotype" w:hAnsi="Palatino Linotype" w:cs="Palatino Linotype"/>
        </w:rPr>
      </w:pPr>
    </w:p>
    <w:p w14:paraId="5340909D" w14:textId="77777777" w:rsidR="005B6925" w:rsidRDefault="007B48D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i/>
          <w:color w:val="000000"/>
        </w:rPr>
        <w:t>220C0201010000L-57-2022.pdf”</w:t>
      </w:r>
      <w:r>
        <w:rPr>
          <w:rFonts w:ascii="Palatino Linotype" w:eastAsia="Palatino Linotype" w:hAnsi="Palatino Linotype" w:cs="Palatino Linotype"/>
          <w:color w:val="000000"/>
        </w:rPr>
        <w:t xml:space="preserve">: Integrado por diez fojas en el que se observan los siguientes documentos: </w:t>
      </w:r>
    </w:p>
    <w:p w14:paraId="6EF8AB54" w14:textId="77777777" w:rsidR="005B6925" w:rsidRDefault="007B48D3">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220C0201010000L/57/2022 del ocho de febrero de dos mil veintidós, suscrito y signado por el </w:t>
      </w:r>
      <w:r>
        <w:rPr>
          <w:rFonts w:ascii="Palatino Linotype" w:eastAsia="Palatino Linotype" w:hAnsi="Palatino Linotype" w:cs="Palatino Linotype"/>
        </w:rPr>
        <w:t>Director</w:t>
      </w:r>
      <w:r>
        <w:rPr>
          <w:rFonts w:ascii="Palatino Linotype" w:eastAsia="Palatino Linotype" w:hAnsi="Palatino Linotype" w:cs="Palatino Linotype"/>
          <w:color w:val="000000"/>
        </w:rPr>
        <w:t xml:space="preserve"> de Proyectos y Control de Obras, por medio del cual informó que se otorgó el Título de Concesión a la Sociedad Mercantil Concesionaria Autopista Urbana Siervo de la Nación, S.A.P.I. de C.V; asimismo manifestó que por lo que se refiere a  los subcontratos realizados por la Concesionaria, no se tienen referencias en los archivos documentales, toda vez que, la </w:t>
      </w:r>
      <w:r>
        <w:rPr>
          <w:rFonts w:ascii="Palatino Linotype" w:eastAsia="Palatino Linotype" w:hAnsi="Palatino Linotype" w:cs="Palatino Linotype"/>
        </w:rPr>
        <w:t>concesionaria</w:t>
      </w:r>
      <w:r>
        <w:rPr>
          <w:rFonts w:ascii="Palatino Linotype" w:eastAsia="Palatino Linotype" w:hAnsi="Palatino Linotype" w:cs="Palatino Linotype"/>
          <w:color w:val="000000"/>
        </w:rPr>
        <w:t xml:space="preserve"> es la única responsable del Título de Concesión. </w:t>
      </w:r>
    </w:p>
    <w:p w14:paraId="54D19C9E" w14:textId="77777777" w:rsidR="005B6925" w:rsidRDefault="007B48D3">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número 220C02010100000L/042/2022 del veintiuno de enero de dos mil veintidós, dirigido a Subdirectores, Jefes de Departamento, de la Dirección de Proyectos y Control de Obras del SAASCAEM, por medio del cual Director de Proyectos y Control de Obras solicitó que realicen una búsqueda exhaustiva en cada área. </w:t>
      </w:r>
    </w:p>
    <w:p w14:paraId="087230D8" w14:textId="77777777" w:rsidR="005B6925" w:rsidRDefault="007B48D3">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Oficios suscritos por el Jefe del Departamento de Estudios y Evaluación, Subdirector de Coordinación, Jefe del Departamento de Análisis Financiero; Subdirectora de Estudios y Proyectos; Jefe del Departamento del Sistema Maestro de Vialidades de Cuota y Jefe del Departamento de Proyectos, Subdirectora de Planeación y Financiamiento, quienes en términos generales </w:t>
      </w:r>
      <w:r>
        <w:rPr>
          <w:rFonts w:ascii="Palatino Linotype" w:eastAsia="Palatino Linotype" w:hAnsi="Palatino Linotype" w:cs="Palatino Linotype"/>
          <w:color w:val="000000"/>
        </w:rPr>
        <w:lastRenderedPageBreak/>
        <w:t xml:space="preserve">informaron que después de realizar la búsqueda exhaustiva no se encontró información respecto al tema solicitado. </w:t>
      </w:r>
    </w:p>
    <w:p w14:paraId="1FC880F9" w14:textId="77777777" w:rsidR="005B6925" w:rsidRDefault="007B48D3">
      <w:pPr>
        <w:pBdr>
          <w:top w:val="nil"/>
          <w:left w:val="nil"/>
          <w:bottom w:val="nil"/>
          <w:right w:val="nil"/>
          <w:between w:val="nil"/>
        </w:pBdr>
        <w:spacing w:line="360" w:lineRule="auto"/>
        <w:ind w:left="360"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“resp sol 06.pdf”: </w:t>
      </w:r>
      <w:r>
        <w:rPr>
          <w:rFonts w:ascii="Palatino Linotype" w:eastAsia="Palatino Linotype" w:hAnsi="Palatino Linotype" w:cs="Palatino Linotype"/>
          <w:color w:val="000000"/>
        </w:rPr>
        <w:t xml:space="preserve">Oficio número 220C02010005005-037/2022 del nueve de febrero de dos mil veintidós, suscrito por el Titular de la Unidad de Transparencia por medio del cual remitió la respuesta enviada por la Dirección de Proyectos y Control de Obras del Sistema de Autopistas, Aeropuertos, Servicios Conexos y Auxiliares del Estado de México. </w:t>
      </w:r>
    </w:p>
    <w:p w14:paraId="6A089444" w14:textId="77777777" w:rsidR="005B6925" w:rsidRDefault="007B48D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veintiocho de febrero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expresó lo siguiente:</w:t>
      </w:r>
    </w:p>
    <w:p w14:paraId="662CDD4D" w14:textId="77777777" w:rsidR="005B6925" w:rsidRDefault="007B48D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6232C2B0" w14:textId="77777777" w:rsidR="005B6925" w:rsidRDefault="005B6925">
      <w:pPr>
        <w:spacing w:line="360" w:lineRule="auto"/>
        <w:ind w:left="851" w:right="900"/>
        <w:jc w:val="both"/>
        <w:rPr>
          <w:rFonts w:ascii="Palatino Linotype" w:eastAsia="Palatino Linotype" w:hAnsi="Palatino Linotype" w:cs="Palatino Linotype"/>
          <w:i/>
          <w:sz w:val="2"/>
          <w:szCs w:val="2"/>
        </w:rPr>
      </w:pPr>
    </w:p>
    <w:p w14:paraId="5063D378"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NEGATIVA DE SASCAEM DE ENTREGAR LOS CONTRATOS SOLICITADOS DE SUBCONTRATISTAS EN EL DESARROLLO DE LA OBRA AUTOPISTA URBANA SIERVO DE LA NACION." (Sic)</w:t>
      </w:r>
    </w:p>
    <w:p w14:paraId="20B49443" w14:textId="77777777" w:rsidR="005B6925" w:rsidRDefault="005B6925">
      <w:pPr>
        <w:spacing w:line="360" w:lineRule="auto"/>
        <w:ind w:left="851" w:right="616"/>
        <w:jc w:val="both"/>
        <w:rPr>
          <w:rFonts w:ascii="Palatino Linotype" w:eastAsia="Palatino Linotype" w:hAnsi="Palatino Linotype" w:cs="Palatino Linotype"/>
          <w:i/>
          <w:sz w:val="22"/>
          <w:szCs w:val="22"/>
        </w:rPr>
      </w:pPr>
    </w:p>
    <w:p w14:paraId="4AA896DF" w14:textId="77777777" w:rsidR="005B6925" w:rsidRDefault="007B48D3">
      <w:pPr>
        <w:spacing w:line="360" w:lineRule="auto"/>
        <w:ind w:right="616"/>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b/>
          <w:sz w:val="22"/>
          <w:szCs w:val="22"/>
        </w:rPr>
        <w:t xml:space="preserve">: </w:t>
      </w:r>
    </w:p>
    <w:p w14:paraId="40B0BC42"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 BIEN EL RESPONSABLE DE LA OBRA ES LA CONTRATISTA MOTA ENGIL, TODOS LOS SUBCONTRATISTAS QUE AHI PARTICIPARON ESTAN SUJETOS A LAS LEYES DE TRASPARENCIA DE INFORMACION PUBLICA, PORQUE LOS SUBCONTRATISTAS: 1. PARTICIPAN EN UNA OBRA PUBLICA; 2.DICHA OBRA TIENE RECURSOS PUBLICOS; 3. SON CONTRATADOS BAJO LA LEY DE OBRA PUBLICA VIGENTES. POR LO ANTERIOR EXPUESTO LA SOLICITUD SI PROCEDE TAL COMO QUEDA </w:t>
      </w:r>
      <w:r>
        <w:rPr>
          <w:rFonts w:ascii="Palatino Linotype" w:eastAsia="Palatino Linotype" w:hAnsi="Palatino Linotype" w:cs="Palatino Linotype"/>
          <w:i/>
          <w:sz w:val="22"/>
          <w:szCs w:val="22"/>
        </w:rPr>
        <w:lastRenderedPageBreak/>
        <w:t>ESTABLECIDO EN EL TITULO I, CAPITULO III, ARTICULO 23 DE LA LEY GENERAL DE TRASNPARENCIA.” (Sic)</w:t>
      </w:r>
    </w:p>
    <w:p w14:paraId="5733023F" w14:textId="77777777" w:rsidR="005B6925" w:rsidRDefault="005B6925">
      <w:pPr>
        <w:spacing w:line="360" w:lineRule="auto"/>
        <w:jc w:val="both"/>
        <w:rPr>
          <w:rFonts w:ascii="Palatino Linotype" w:eastAsia="Palatino Linotype" w:hAnsi="Palatino Linotype" w:cs="Palatino Linotype"/>
          <w:sz w:val="2"/>
          <w:szCs w:val="2"/>
        </w:rPr>
      </w:pPr>
    </w:p>
    <w:p w14:paraId="5AEA15A9" w14:textId="77777777" w:rsidR="005B6925" w:rsidRDefault="005B6925">
      <w:pPr>
        <w:spacing w:line="360" w:lineRule="auto"/>
        <w:jc w:val="both"/>
        <w:rPr>
          <w:rFonts w:ascii="Palatino Linotype" w:eastAsia="Palatino Linotype" w:hAnsi="Palatino Linotype" w:cs="Palatino Linotype"/>
          <w:sz w:val="2"/>
          <w:szCs w:val="2"/>
        </w:rPr>
      </w:pPr>
    </w:p>
    <w:p w14:paraId="614DC803"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14:paraId="7FFF1033" w14:textId="77777777" w:rsidR="005B6925" w:rsidRDefault="007B48D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cuatro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771D710E" w14:textId="77777777" w:rsidR="005B6925" w:rsidRDefault="007B48D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siete de marzo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en informe justificado los archivos electrónicos identificados y descritos en el siguiente orden: </w:t>
      </w:r>
    </w:p>
    <w:p w14:paraId="3F872218" w14:textId="77777777" w:rsidR="005B6925" w:rsidRDefault="007B48D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“inf jus of 61.pdf.pdf “: </w:t>
      </w:r>
      <w:r>
        <w:rPr>
          <w:rFonts w:ascii="Palatino Linotype" w:eastAsia="Palatino Linotype" w:hAnsi="Palatino Linotype" w:cs="Palatino Linotype"/>
        </w:rPr>
        <w:t xml:space="preserve">Oficio 220C0201000500S-061/2022 de fecha tres de marzo de dos mil veintidós mediante el cual el Titular de la Unidad de Transparencia remitió el informe justificado. </w:t>
      </w:r>
    </w:p>
    <w:p w14:paraId="3E33BDDF" w14:textId="77777777" w:rsidR="005B6925" w:rsidRDefault="007B48D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“OF. 220C020101000L.114.2022 rec. rev sol 006 (1).pdf”: </w:t>
      </w:r>
      <w:r>
        <w:rPr>
          <w:rFonts w:ascii="Palatino Linotype" w:eastAsia="Palatino Linotype" w:hAnsi="Palatino Linotype" w:cs="Palatino Linotype"/>
        </w:rPr>
        <w:t xml:space="preserve">Oficio 220C0201010000L/114/2022 del tres de marzo de dos mil veintidós suscrito y signado por el Director de Proyectos y Control de obras por medio del cual ratificó su respuesta inicial; escrito al que adjuntó los oficios remitidos en respuesta a la solicitud de información. </w:t>
      </w:r>
    </w:p>
    <w:p w14:paraId="6207F4F8" w14:textId="77777777" w:rsidR="005B6925" w:rsidRDefault="007B48D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el once de mayo de dos mil veintidós se pusieron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para su conocimiento, quien por su parte no realizó manifestaciones, ni formuló alegatos y no ofreció ningún medio de prueba, tal como se aprecia en la imagen que se inserta. </w:t>
      </w:r>
    </w:p>
    <w:p w14:paraId="664DA994" w14:textId="77777777" w:rsidR="005B6925" w:rsidRDefault="007B48D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5F90723" wp14:editId="0D9377CD">
            <wp:extent cx="5612130" cy="171450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1714500"/>
                    </a:xfrm>
                    <a:prstGeom prst="rect">
                      <a:avLst/>
                    </a:prstGeom>
                    <a:ln/>
                  </pic:spPr>
                </pic:pic>
              </a:graphicData>
            </a:graphic>
          </wp:inline>
        </w:drawing>
      </w:r>
    </w:p>
    <w:p w14:paraId="4C6F8AA7" w14:textId="77777777" w:rsidR="005B6925" w:rsidRDefault="007B48D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 </w:t>
      </w:r>
      <w:r>
        <w:rPr>
          <w:rFonts w:ascii="Palatino Linotype" w:eastAsia="Palatino Linotype" w:hAnsi="Palatino Linotype" w:cs="Palatino Linotype"/>
          <w:b/>
        </w:rPr>
        <w:t xml:space="preserve">7.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doce de mayo de dos mil veintidós</w:t>
      </w:r>
      <w:r>
        <w:rPr>
          <w:rFonts w:ascii="Palatino Linotype" w:eastAsia="Palatino Linotype" w:hAnsi="Palatino Linotype" w:cs="Palatino Linotype"/>
        </w:rPr>
        <w:t>,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w:t>
      </w:r>
    </w:p>
    <w:p w14:paraId="6E26F41E" w14:textId="77777777" w:rsidR="005B6925" w:rsidRDefault="005B6925">
      <w:pPr>
        <w:widowControl w:val="0"/>
        <w:spacing w:before="240" w:after="240" w:line="360" w:lineRule="auto"/>
        <w:jc w:val="both"/>
        <w:rPr>
          <w:rFonts w:ascii="Palatino Linotype" w:eastAsia="Palatino Linotype" w:hAnsi="Palatino Linotype" w:cs="Palatino Linotype"/>
        </w:rPr>
      </w:pPr>
    </w:p>
    <w:p w14:paraId="67701FBA" w14:textId="77777777" w:rsidR="005B6925" w:rsidRDefault="007B48D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37E1416" w14:textId="77777777" w:rsidR="005B6925" w:rsidRDefault="007B48D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Pr>
          <w:rFonts w:ascii="Palatino Linotype" w:eastAsia="Palatino Linotype" w:hAnsi="Palatino Linotype" w:cs="Palatino Linotype"/>
          <w:b/>
        </w:rPr>
        <w:t xml:space="preserve"> </w:t>
      </w:r>
    </w:p>
    <w:p w14:paraId="26D570F4" w14:textId="77777777" w:rsidR="005B6925" w:rsidRDefault="007B48D3">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655AF5C3"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D9331B9" w14:textId="77777777" w:rsidR="005B6925" w:rsidRDefault="007B48D3">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2E77806"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nueve de febrero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esto es, al décimo tercer día hábil siguiente de aquel en que tuvo conocimiento de la respuesta; evidenciándose que la interposición del recurso se encuentra dentro de los márgenes temporales previstos en el citado precepto legal.</w:t>
      </w:r>
    </w:p>
    <w:p w14:paraId="44F454B9"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C630F2D"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2F4A269D" w14:textId="77777777" w:rsidR="005B6925" w:rsidRDefault="007B48D3">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AB812DA" w14:textId="77777777" w:rsidR="005B6925" w:rsidRDefault="005B6925">
      <w:pPr>
        <w:tabs>
          <w:tab w:val="left" w:pos="7088"/>
        </w:tabs>
        <w:spacing w:before="120" w:after="120"/>
        <w:ind w:left="993" w:right="616"/>
        <w:jc w:val="both"/>
        <w:rPr>
          <w:rFonts w:ascii="Palatino Linotype" w:eastAsia="Palatino Linotype" w:hAnsi="Palatino Linotype" w:cs="Palatino Linotype"/>
          <w:b/>
          <w:i/>
          <w:sz w:val="22"/>
          <w:szCs w:val="22"/>
        </w:rPr>
      </w:pPr>
    </w:p>
    <w:p w14:paraId="12B8096B" w14:textId="77777777" w:rsidR="005B6925" w:rsidRDefault="007B48D3">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La negativa a la información solicitada;</w:t>
      </w:r>
    </w:p>
    <w:p w14:paraId="394E07A4" w14:textId="77777777" w:rsidR="005B6925" w:rsidRDefault="007B48D3">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0187FA25" w14:textId="77777777" w:rsidR="005B6925" w:rsidRDefault="007B48D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58940F91"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3261B5F" w14:textId="77777777" w:rsidR="005B6925" w:rsidRDefault="007B48D3">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7F4EDD2" w14:textId="77777777" w:rsidR="005B6925" w:rsidRDefault="007B48D3">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7A5450C0" w14:textId="77777777" w:rsidR="005B6925" w:rsidRDefault="007B48D3">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FAAD030" w14:textId="77777777" w:rsidR="005B6925" w:rsidRDefault="007B48D3">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016D6C" w14:textId="77777777" w:rsidR="005B6925" w:rsidRDefault="007B48D3">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7CCF939C" w14:textId="77777777" w:rsidR="005B6925" w:rsidRDefault="007B48D3">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25EBD89"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4799FFF8"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9FDA6B4"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F150E3"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EB8D3EE" w14:textId="77777777" w:rsidR="005B6925" w:rsidRDefault="007B48D3">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3A72588"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E57A49A"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63528BBF"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70C81C7D"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7F9DC26" w14:textId="77777777" w:rsidR="005B6925" w:rsidRDefault="005B6925">
      <w:pPr>
        <w:ind w:left="851" w:right="851"/>
        <w:jc w:val="both"/>
        <w:rPr>
          <w:rFonts w:ascii="Palatino Linotype" w:eastAsia="Palatino Linotype" w:hAnsi="Palatino Linotype" w:cs="Palatino Linotype"/>
          <w:i/>
          <w:sz w:val="22"/>
          <w:szCs w:val="22"/>
        </w:rPr>
      </w:pPr>
    </w:p>
    <w:p w14:paraId="577F77A5"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01DC69D"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1594E6D"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A2279D2"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7A85F68"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160E4D6" w14:textId="77777777" w:rsidR="005B6925" w:rsidRDefault="005B6925">
      <w:pPr>
        <w:ind w:right="851"/>
        <w:jc w:val="both"/>
        <w:rPr>
          <w:rFonts w:ascii="Palatino Linotype" w:eastAsia="Palatino Linotype" w:hAnsi="Palatino Linotype" w:cs="Palatino Linotype"/>
          <w:i/>
          <w:sz w:val="22"/>
          <w:szCs w:val="22"/>
        </w:rPr>
      </w:pPr>
    </w:p>
    <w:p w14:paraId="6D37A73A" w14:textId="77777777" w:rsidR="005B6925" w:rsidRDefault="007B48D3">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B1752D6" w14:textId="77777777" w:rsidR="005B6925" w:rsidRDefault="007B48D3">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w:t>
      </w:r>
      <w:r>
        <w:rPr>
          <w:rFonts w:ascii="Palatino Linotype" w:eastAsia="Palatino Linotype" w:hAnsi="Palatino Linotype" w:cs="Palatino Linotype"/>
          <w:color w:val="000000"/>
        </w:rPr>
        <w:lastRenderedPageBreak/>
        <w:t xml:space="preserve">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14:paraId="18D18B79" w14:textId="77777777" w:rsidR="005B6925" w:rsidRDefault="007B48D3">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9E06F7C" w14:textId="77777777" w:rsidR="005B6925" w:rsidRDefault="007B48D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221A94F" w14:textId="77777777" w:rsidR="005B6925" w:rsidRDefault="007B48D3">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10691D8F" w14:textId="77777777" w:rsidR="005B6925" w:rsidRDefault="005B6925">
      <w:pPr>
        <w:ind w:left="709" w:right="760"/>
        <w:jc w:val="both"/>
        <w:rPr>
          <w:rFonts w:ascii="Palatino Linotype" w:eastAsia="Palatino Linotype" w:hAnsi="Palatino Linotype" w:cs="Palatino Linotype"/>
          <w:i/>
        </w:rPr>
      </w:pPr>
    </w:p>
    <w:p w14:paraId="2B9FB31E"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Pr>
          <w:rFonts w:ascii="Palatino Linotype" w:eastAsia="Palatino Linotype" w:hAnsi="Palatino Linotype" w:cs="Palatino Linotype"/>
        </w:rPr>
        <w:lastRenderedPageBreak/>
        <w:t>y Acceso a la Información Pública del Estado de México y Municipios, el cual a la letra dice:</w:t>
      </w:r>
    </w:p>
    <w:p w14:paraId="28A75A45" w14:textId="77777777" w:rsidR="005B6925" w:rsidRDefault="007B48D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73ED0C6" w14:textId="77777777" w:rsidR="005B6925" w:rsidRDefault="007B48D3">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FDC0F3F" w14:textId="77777777" w:rsidR="005B6925" w:rsidRDefault="005B6925">
      <w:pPr>
        <w:spacing w:line="360" w:lineRule="auto"/>
        <w:ind w:right="-93"/>
        <w:jc w:val="both"/>
        <w:rPr>
          <w:rFonts w:ascii="Palatino Linotype" w:eastAsia="Palatino Linotype" w:hAnsi="Palatino Linotype" w:cs="Palatino Linotype"/>
          <w:color w:val="000000"/>
        </w:rPr>
      </w:pPr>
    </w:p>
    <w:p w14:paraId="3841E37E" w14:textId="77777777" w:rsidR="005B6925" w:rsidRDefault="007B48D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2C11923" w14:textId="77777777" w:rsidR="005B6925" w:rsidRDefault="005B6925">
      <w:pPr>
        <w:spacing w:line="360" w:lineRule="auto"/>
        <w:jc w:val="both"/>
        <w:rPr>
          <w:rFonts w:ascii="Palatino Linotype" w:eastAsia="Palatino Linotype" w:hAnsi="Palatino Linotype" w:cs="Palatino Linotype"/>
          <w:color w:val="000000"/>
        </w:rPr>
      </w:pPr>
    </w:p>
    <w:p w14:paraId="54EE2EAD" w14:textId="77777777" w:rsidR="005B6925" w:rsidRDefault="007B48D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0819051"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otra parte, conviene mencionar que la Ley de Transparencia vigente en el Estado de México refiere: </w:t>
      </w:r>
    </w:p>
    <w:p w14:paraId="158A5BBB"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77EDC269" w14:textId="77777777" w:rsidR="005B6925" w:rsidRDefault="005B6925">
      <w:pPr>
        <w:ind w:left="851" w:right="851"/>
        <w:jc w:val="both"/>
        <w:rPr>
          <w:rFonts w:ascii="Palatino Linotype" w:eastAsia="Palatino Linotype" w:hAnsi="Palatino Linotype" w:cs="Palatino Linotype"/>
          <w:b/>
          <w:i/>
          <w:sz w:val="22"/>
          <w:szCs w:val="22"/>
        </w:rPr>
      </w:pPr>
    </w:p>
    <w:p w14:paraId="77484029"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29D25537" w14:textId="77777777" w:rsidR="005B6925" w:rsidRDefault="005B6925">
      <w:pPr>
        <w:ind w:left="851" w:right="851"/>
        <w:jc w:val="both"/>
        <w:rPr>
          <w:rFonts w:ascii="Palatino Linotype" w:eastAsia="Palatino Linotype" w:hAnsi="Palatino Linotype" w:cs="Palatino Linotype"/>
          <w:i/>
          <w:sz w:val="22"/>
          <w:szCs w:val="22"/>
        </w:rPr>
      </w:pPr>
    </w:p>
    <w:p w14:paraId="051BDD40"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1903918E" w14:textId="77777777" w:rsidR="005B6925" w:rsidRDefault="005B6925">
      <w:pPr>
        <w:ind w:left="851" w:right="851"/>
        <w:jc w:val="both"/>
        <w:rPr>
          <w:rFonts w:ascii="Palatino Linotype" w:eastAsia="Palatino Linotype" w:hAnsi="Palatino Linotype" w:cs="Palatino Linotype"/>
          <w:i/>
          <w:sz w:val="22"/>
          <w:szCs w:val="22"/>
        </w:rPr>
      </w:pPr>
    </w:p>
    <w:p w14:paraId="38F3BBFE"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97FDD15" w14:textId="77777777" w:rsidR="005B6925" w:rsidRDefault="005B6925">
      <w:pPr>
        <w:ind w:left="851" w:right="851"/>
        <w:jc w:val="both"/>
        <w:rPr>
          <w:rFonts w:ascii="Palatino Linotype" w:eastAsia="Palatino Linotype" w:hAnsi="Palatino Linotype" w:cs="Palatino Linotype"/>
          <w:i/>
          <w:sz w:val="22"/>
          <w:szCs w:val="22"/>
        </w:rPr>
      </w:pPr>
    </w:p>
    <w:p w14:paraId="3951585A" w14:textId="77777777" w:rsidR="005B6925" w:rsidRDefault="007B48D3">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0B759ED" w14:textId="77777777" w:rsidR="005B6925" w:rsidRDefault="005B6925">
      <w:pPr>
        <w:spacing w:line="360" w:lineRule="auto"/>
        <w:jc w:val="both"/>
        <w:rPr>
          <w:rFonts w:ascii="Palatino Linotype" w:eastAsia="Palatino Linotype" w:hAnsi="Palatino Linotype" w:cs="Palatino Linotype"/>
        </w:rPr>
      </w:pPr>
    </w:p>
    <w:p w14:paraId="15019BC9"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Pr>
          <w:rFonts w:ascii="Palatino Linotype" w:eastAsia="Palatino Linotype" w:hAnsi="Palatino Linotype" w:cs="Palatino Linotype"/>
        </w:rPr>
        <w:lastRenderedPageBreak/>
        <w:t>establece en la Ley de Transparencia y Acceso a la Información Pública del Estado de México y Municipios,</w:t>
      </w:r>
    </w:p>
    <w:p w14:paraId="79C23AD2" w14:textId="77777777" w:rsidR="005B6925" w:rsidRDefault="005B6925">
      <w:pPr>
        <w:spacing w:line="360" w:lineRule="auto"/>
        <w:jc w:val="both"/>
        <w:rPr>
          <w:rFonts w:ascii="Palatino Linotype" w:eastAsia="Palatino Linotype" w:hAnsi="Palatino Linotype" w:cs="Palatino Linotype"/>
        </w:rPr>
      </w:pPr>
    </w:p>
    <w:p w14:paraId="2B577699"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56DA7D1" w14:textId="77777777" w:rsidR="005B6925" w:rsidRDefault="005B6925">
      <w:pPr>
        <w:ind w:left="851" w:right="899"/>
        <w:jc w:val="both"/>
        <w:rPr>
          <w:rFonts w:ascii="Palatino Linotype" w:eastAsia="Palatino Linotype" w:hAnsi="Palatino Linotype" w:cs="Palatino Linotype"/>
          <w:i/>
          <w:sz w:val="22"/>
          <w:szCs w:val="22"/>
        </w:rPr>
      </w:pPr>
    </w:p>
    <w:p w14:paraId="6ACBEDC4" w14:textId="77777777" w:rsidR="005B6925" w:rsidRDefault="007B48D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2C6D672C" w14:textId="77777777" w:rsidR="005B6925" w:rsidRDefault="007B48D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1BDD45" w14:textId="77777777" w:rsidR="005B6925" w:rsidRDefault="007B48D3">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4049B8C" w14:textId="77777777" w:rsidR="005B6925" w:rsidRDefault="005B6925">
      <w:pPr>
        <w:ind w:left="851" w:right="899"/>
        <w:jc w:val="both"/>
        <w:rPr>
          <w:rFonts w:ascii="Palatino Linotype" w:eastAsia="Palatino Linotype" w:hAnsi="Palatino Linotype" w:cs="Palatino Linotype"/>
          <w:sz w:val="22"/>
          <w:szCs w:val="22"/>
        </w:rPr>
      </w:pPr>
    </w:p>
    <w:p w14:paraId="4FD030E3"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00F044F1" w14:textId="77777777" w:rsidR="005B6925" w:rsidRDefault="005B6925">
      <w:pPr>
        <w:ind w:left="851" w:right="899"/>
        <w:jc w:val="both"/>
        <w:rPr>
          <w:rFonts w:ascii="Palatino Linotype" w:eastAsia="Palatino Linotype" w:hAnsi="Palatino Linotype" w:cs="Palatino Linotype"/>
        </w:rPr>
      </w:pPr>
    </w:p>
    <w:p w14:paraId="1C91882D" w14:textId="77777777" w:rsidR="005B6925" w:rsidRDefault="007B48D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621E9CA" w14:textId="77777777" w:rsidR="005B6925" w:rsidRDefault="007B48D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129548" w14:textId="77777777" w:rsidR="005B6925" w:rsidRDefault="007B48D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9F5B167" w14:textId="77777777" w:rsidR="005B6925" w:rsidRDefault="007B48D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1A38E22" w14:textId="77777777" w:rsidR="005B6925" w:rsidRDefault="007B48D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A9051AD" w14:textId="77777777" w:rsidR="005B6925" w:rsidRDefault="007B48D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0D9A5F90" w14:textId="77777777" w:rsidR="005B6925" w:rsidRDefault="007B48D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w:t>
      </w:r>
      <w:r>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7650C863" w14:textId="77777777" w:rsidR="005B6925" w:rsidRDefault="007B48D3">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ese contexto, es conveniente reiterar que el entonces solicitante requirió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los subcontratos de obra realizados entre la constructora MOTA ENGIL MEXICO y/o las personas referidas en la solicitud de información</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en el proceso de construcción de la autopista urbana Siervo de la Nación en el Estado de México durante los años 2019, 2020 y 2021.  </w:t>
      </w:r>
    </w:p>
    <w:p w14:paraId="14247D32" w14:textId="77777777" w:rsidR="005B6925" w:rsidRDefault="007B48D3">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 solicitud de información, el </w:t>
      </w:r>
      <w:r>
        <w:rPr>
          <w:rFonts w:ascii="Palatino Linotype" w:eastAsia="Palatino Linotype" w:hAnsi="Palatino Linotype" w:cs="Palatino Linotype"/>
          <w:b/>
        </w:rPr>
        <w:t xml:space="preserve">Director de Proyectos y Control de Obras </w:t>
      </w:r>
      <w:r>
        <w:rPr>
          <w:rFonts w:ascii="Palatino Linotype" w:eastAsia="Palatino Linotype" w:hAnsi="Palatino Linotype" w:cs="Palatino Linotype"/>
        </w:rPr>
        <w:t xml:space="preserve">manifestó que se realizó lo conducente para efectuar la búsqueda exhaustiva en los archivos documentales de las diversas áreas, sin que se localizara la información solicitada, respondió que no celebró contratos  con la empresa y las personas referidas en la solicitud, asimismo en ejercicio del principio de máxima publicidad informó que de acuerdo a la documental que obra en los archivos de la Dirección, Explotación, Operación, Conservación y Mantenimiento de la Autopista denominada Río de los Remedio – Venta de Carpio, Gran Canal “Siervo de la </w:t>
      </w:r>
      <w:r>
        <w:rPr>
          <w:rFonts w:ascii="Palatino Linotype" w:eastAsia="Palatino Linotype" w:hAnsi="Palatino Linotype" w:cs="Palatino Linotype"/>
        </w:rPr>
        <w:lastRenderedPageBreak/>
        <w:t xml:space="preserve">Nación, se otorgó el Título de Concesión a la Sociedad Mercantil Concesionaria Autopista Urbana Siervo de la Nación, S.A.P.I. de C.V. </w:t>
      </w:r>
    </w:p>
    <w:p w14:paraId="56E3AB1F" w14:textId="77777777" w:rsidR="005B6925" w:rsidRDefault="007B48D3">
      <w:pPr>
        <w:tabs>
          <w:tab w:val="left" w:pos="42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por cuanto hace a los subcontratos realizados por la Concesionaria, no se tienen referencias en los archivos documentales, toda vez que, ante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la Concesionaria Autopista Urbana Siervo de la Nación S.A.P.I. DE C.V., es la única responsable del cumplimiento del Título de Concesión, de acuerdo a lo dispuesto en su Cláusula Décima Segunda, que es del contenido literal siguiente: </w:t>
      </w:r>
    </w:p>
    <w:p w14:paraId="7728BACC" w14:textId="77777777" w:rsidR="005B6925" w:rsidRDefault="007B48D3">
      <w:pPr>
        <w:tabs>
          <w:tab w:val="left" w:pos="42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6D679BC8" wp14:editId="3AD03D38">
            <wp:extent cx="5612130" cy="1172210"/>
            <wp:effectExtent l="0" t="0" r="0" b="0"/>
            <wp:docPr id="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1172210"/>
                    </a:xfrm>
                    <a:prstGeom prst="rect">
                      <a:avLst/>
                    </a:prstGeom>
                    <a:ln/>
                  </pic:spPr>
                </pic:pic>
              </a:graphicData>
            </a:graphic>
          </wp:inline>
        </w:drawing>
      </w:r>
    </w:p>
    <w:p w14:paraId="70930B95" w14:textId="77777777" w:rsidR="005B6925" w:rsidRDefault="007B48D3">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ante ese Sujeto Obligado, la Concesionaria Autopista Urbana Siervo de  la Nación, S.A.P.I de C.V es la única responsable del cumplimiento del título de concesión. </w:t>
      </w:r>
    </w:p>
    <w:p w14:paraId="54304D7C" w14:textId="77777777" w:rsidR="005B6925" w:rsidRDefault="007B48D3">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Situación por la que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interpuso el recurso de revisión de mérito en el que refirió como razones o motivos de inconformidad la negativa a la entrega </w:t>
      </w:r>
      <w:r>
        <w:rPr>
          <w:rFonts w:ascii="Palatino Linotype" w:eastAsia="Palatino Linotype" w:hAnsi="Palatino Linotype" w:cs="Palatino Linotype"/>
        </w:rPr>
        <w:t>de la</w:t>
      </w:r>
      <w:r>
        <w:rPr>
          <w:rFonts w:ascii="Palatino Linotype" w:eastAsia="Palatino Linotype" w:hAnsi="Palatino Linotype" w:cs="Palatino Linotype"/>
          <w:color w:val="000000"/>
        </w:rPr>
        <w:t xml:space="preserve"> información requerida. </w:t>
      </w:r>
    </w:p>
    <w:p w14:paraId="5C197FB6"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contexto, del análisis de las constancias que integran el expediente en que se actúa, así como de la materia sobre la que versa la solicitud de acceso a la información pública, se estima procedente referir que, si bien, la Titular de la Unidad </w:t>
      </w:r>
      <w:r>
        <w:rPr>
          <w:rFonts w:ascii="Palatino Linotype" w:eastAsia="Palatino Linotype" w:hAnsi="Palatino Linotype" w:cs="Palatino Linotype"/>
        </w:rPr>
        <w:lastRenderedPageBreak/>
        <w:t xml:space="preserve">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Pr>
          <w:rFonts w:ascii="Palatino Linotype" w:eastAsia="Palatino Linotype" w:hAnsi="Palatino Linotype" w:cs="Palatino Linotype"/>
          <w:b/>
        </w:rPr>
        <w:t>tramitar ante las Áreas poseedoras de la información lo que se solicita</w:t>
      </w:r>
      <w:r>
        <w:rPr>
          <w:rFonts w:ascii="Palatino Linotype" w:eastAsia="Palatino Linotype" w:hAnsi="Palatino Linotype" w:cs="Palatino Linotype"/>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59455803" w14:textId="77777777" w:rsidR="005B6925" w:rsidRDefault="007B48D3">
      <w:pPr>
        <w:tabs>
          <w:tab w:val="left" w:pos="709"/>
        </w:tabs>
        <w:ind w:left="851" w:right="616"/>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rPr>
        <w:t>Ley de Transparencia y Acceso a la Información Pública del Estado de México y Municipios</w:t>
      </w:r>
    </w:p>
    <w:p w14:paraId="544E3E56" w14:textId="77777777" w:rsidR="005B6925" w:rsidRDefault="005B6925">
      <w:pPr>
        <w:tabs>
          <w:tab w:val="left" w:pos="709"/>
        </w:tabs>
        <w:ind w:left="851" w:right="760"/>
        <w:jc w:val="both"/>
        <w:rPr>
          <w:rFonts w:ascii="Palatino Linotype" w:eastAsia="Palatino Linotype" w:hAnsi="Palatino Linotype" w:cs="Palatino Linotype"/>
          <w:i/>
          <w:sz w:val="20"/>
          <w:szCs w:val="20"/>
        </w:rPr>
      </w:pPr>
    </w:p>
    <w:p w14:paraId="58BA3B83"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50. Los sujetos obligados contarán con un área responsable para la atención de las solicitudes de información, a la que se le denominará Unidad de Transparencia. </w:t>
      </w:r>
    </w:p>
    <w:p w14:paraId="7B89FB5C" w14:textId="77777777" w:rsidR="005B6925" w:rsidRDefault="005B6925">
      <w:pPr>
        <w:tabs>
          <w:tab w:val="left" w:pos="709"/>
        </w:tabs>
        <w:spacing w:line="276" w:lineRule="auto"/>
        <w:ind w:left="851" w:right="616"/>
        <w:jc w:val="both"/>
        <w:rPr>
          <w:rFonts w:ascii="Palatino Linotype" w:eastAsia="Palatino Linotype" w:hAnsi="Palatino Linotype" w:cs="Palatino Linotype"/>
          <w:i/>
          <w:sz w:val="22"/>
          <w:szCs w:val="22"/>
        </w:rPr>
      </w:pPr>
    </w:p>
    <w:p w14:paraId="777CF267"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51. Los sujetos obligados designaran a un responsable para atender la Unidad de Transparencia, quien fungirá como enlace entre éstos y los solicitantes. </w:t>
      </w:r>
      <w:r>
        <w:rPr>
          <w:rFonts w:ascii="Palatino Linotype" w:eastAsia="Palatino Linotype" w:hAnsi="Palatino Linotype" w:cs="Palatino Linotype"/>
          <w:b/>
          <w:i/>
          <w:sz w:val="22"/>
          <w:szCs w:val="22"/>
          <w:u w:val="single"/>
        </w:rPr>
        <w:t>Dicha Unidad será la encargada de tramitar internamente la solicitud de información</w:t>
      </w:r>
      <w:r>
        <w:rPr>
          <w:rFonts w:ascii="Palatino Linotype" w:eastAsia="Palatino Linotype" w:hAnsi="Palatino Linotype" w:cs="Palatino Linotype"/>
          <w:i/>
          <w:sz w:val="22"/>
          <w:szCs w:val="22"/>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F6C4E89"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90D8DA6"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53. Las Unidades de Transparencia tendrán las siguientes funciones:</w:t>
      </w:r>
    </w:p>
    <w:p w14:paraId="27FFF5C5"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843F97"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Recibir, tramitar y dar respuesta a las solicitudes de acceso a la información; </w:t>
      </w:r>
    </w:p>
    <w:p w14:paraId="69884018"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B0FDA6C" w14:textId="77777777" w:rsidR="005B6925" w:rsidRDefault="007B48D3">
      <w:pPr>
        <w:tabs>
          <w:tab w:val="left" w:pos="709"/>
        </w:tabs>
        <w:spacing w:line="276" w:lineRule="auto"/>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 xml:space="preserve">IV. Realizar, con efectividad, los trámites internos necesarios para la atención de las solicitudes de acceso a la información; </w:t>
      </w:r>
    </w:p>
    <w:p w14:paraId="1A3B24D3"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Entregar, en su caso, a los particulares la información solicitada; </w:t>
      </w:r>
    </w:p>
    <w:p w14:paraId="6A005FFB" w14:textId="77777777" w:rsidR="005B6925" w:rsidRDefault="007B48D3">
      <w:pPr>
        <w:tabs>
          <w:tab w:val="left" w:pos="709"/>
        </w:tabs>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Efectuar las notificaciones a los solicitantes;”</w:t>
      </w:r>
    </w:p>
    <w:p w14:paraId="2B6F1C44" w14:textId="77777777" w:rsidR="005B6925" w:rsidRDefault="005B6925">
      <w:pPr>
        <w:spacing w:line="360" w:lineRule="auto"/>
        <w:jc w:val="both"/>
        <w:rPr>
          <w:rFonts w:ascii="Palatino Linotype" w:eastAsia="Palatino Linotype" w:hAnsi="Palatino Linotype" w:cs="Palatino Linotype"/>
          <w:sz w:val="22"/>
          <w:szCs w:val="22"/>
        </w:rPr>
      </w:pPr>
    </w:p>
    <w:p w14:paraId="609C2EBF"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se debe señalar que aunque la solicitud de información y la respuesta estén dirigidas y atendidas por un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cierto es que también tienen diversas Unidades Administrativas y cada área cuenta con un </w:t>
      </w:r>
      <w:r>
        <w:rPr>
          <w:rFonts w:ascii="Palatino Linotype" w:eastAsia="Palatino Linotype" w:hAnsi="Palatino Linotype" w:cs="Palatino Linotype"/>
          <w:b/>
        </w:rPr>
        <w:t>Servidor Público Habilitado</w:t>
      </w:r>
      <w:r>
        <w:rPr>
          <w:rFonts w:ascii="Palatino Linotype" w:eastAsia="Palatino Linotype" w:hAnsi="Palatino Linotype" w:cs="Palatino Linotype"/>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2BA519E" w14:textId="77777777" w:rsidR="005B6925" w:rsidRDefault="005B6925">
      <w:pPr>
        <w:spacing w:line="360" w:lineRule="auto"/>
        <w:jc w:val="both"/>
        <w:rPr>
          <w:rFonts w:ascii="Palatino Linotype" w:eastAsia="Palatino Linotype" w:hAnsi="Palatino Linotype" w:cs="Palatino Linotype"/>
        </w:rPr>
      </w:pPr>
    </w:p>
    <w:p w14:paraId="20D9FA62" w14:textId="77777777" w:rsidR="005B6925" w:rsidRDefault="005B6925">
      <w:pPr>
        <w:spacing w:line="360" w:lineRule="auto"/>
        <w:jc w:val="both"/>
        <w:rPr>
          <w:rFonts w:ascii="Palatino Linotype" w:eastAsia="Palatino Linotype" w:hAnsi="Palatino Linotype" w:cs="Palatino Linotype"/>
        </w:rPr>
      </w:pPr>
    </w:p>
    <w:p w14:paraId="65674F3A" w14:textId="77777777" w:rsidR="005B6925" w:rsidRDefault="005B6925">
      <w:pPr>
        <w:spacing w:line="360" w:lineRule="auto"/>
        <w:jc w:val="both"/>
        <w:rPr>
          <w:rFonts w:ascii="Palatino Linotype" w:eastAsia="Palatino Linotype" w:hAnsi="Palatino Linotype" w:cs="Palatino Linotype"/>
        </w:rPr>
      </w:pPr>
    </w:p>
    <w:p w14:paraId="475744CD"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14:paraId="79F7596A"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2E3BC2"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XXXIX. Servidor público habilitado: </w:t>
      </w:r>
      <w:r>
        <w:rPr>
          <w:rFonts w:ascii="Palatino Linotype" w:eastAsia="Palatino Linotype" w:hAnsi="Palatino Linotype" w:cs="Palatino Linotype"/>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5B74BE2"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3E6DEBD" w14:textId="77777777" w:rsidR="005B6925" w:rsidRDefault="005B6925"/>
    <w:p w14:paraId="2AFBD6FF"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58.</w:t>
      </w:r>
      <w:r>
        <w:rPr>
          <w:rFonts w:ascii="Palatino Linotype" w:eastAsia="Palatino Linotype" w:hAnsi="Palatino Linotype" w:cs="Palatino Linotype"/>
          <w:i/>
          <w:sz w:val="22"/>
          <w:szCs w:val="22"/>
        </w:rPr>
        <w:t xml:space="preserve"> Los servidores públicos habilitados serán designados por el titular del sujeto obligado a propuesta del responsable de la Unidad de Transparencia.</w:t>
      </w:r>
    </w:p>
    <w:p w14:paraId="1A73C26A" w14:textId="77777777" w:rsidR="005B6925" w:rsidRDefault="005B6925">
      <w:pPr>
        <w:spacing w:line="276" w:lineRule="auto"/>
        <w:ind w:left="567" w:right="708"/>
        <w:jc w:val="both"/>
        <w:rPr>
          <w:rFonts w:ascii="Palatino Linotype" w:eastAsia="Palatino Linotype" w:hAnsi="Palatino Linotype" w:cs="Palatino Linotype"/>
          <w:i/>
          <w:sz w:val="22"/>
          <w:szCs w:val="22"/>
        </w:rPr>
      </w:pPr>
    </w:p>
    <w:p w14:paraId="65F624D0"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w:t>
      </w:r>
      <w:r>
        <w:rPr>
          <w:rFonts w:ascii="Palatino Linotype" w:eastAsia="Palatino Linotype" w:hAnsi="Palatino Linotype" w:cs="Palatino Linotype"/>
          <w:i/>
          <w:sz w:val="22"/>
          <w:szCs w:val="22"/>
        </w:rPr>
        <w:t xml:space="preserve"> tendrán las funciones siguientes:</w:t>
      </w:r>
    </w:p>
    <w:p w14:paraId="2EEF2444" w14:textId="77777777" w:rsidR="005B6925" w:rsidRDefault="005B6925"/>
    <w:p w14:paraId="274F2357"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w:t>
      </w:r>
    </w:p>
    <w:p w14:paraId="220B83E5"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i/>
          <w:sz w:val="22"/>
          <w:szCs w:val="22"/>
        </w:rPr>
        <w:t>;</w:t>
      </w:r>
    </w:p>
    <w:p w14:paraId="2ECFA004"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Apoyar a la Unidad de Transparencia en lo que esta le solicite para el cumplimiento de sus funciones;</w:t>
      </w:r>
    </w:p>
    <w:p w14:paraId="6E3A794A"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544C02CB"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031409C8"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32C7DD94" w14:textId="77777777" w:rsidR="005B6925" w:rsidRDefault="007B48D3">
      <w:pPr>
        <w:spacing w:line="276" w:lineRule="auto"/>
        <w:ind w:left="567" w:right="70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Dar cuenta a la Unidad de Transparencia del vencimiento de los plazos de reserva.</w:t>
      </w:r>
    </w:p>
    <w:p w14:paraId="388C38C8" w14:textId="77777777" w:rsidR="005B6925" w:rsidRDefault="007B48D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otras palabras, se cumplió con lo que para tal efecto, dispone el artículo 162 de la Ley de Transparencia y Acceso a la Información Pública del Estado de México y Municipios, que índica:</w:t>
      </w:r>
    </w:p>
    <w:p w14:paraId="766B1C1B" w14:textId="77777777" w:rsidR="005B6925" w:rsidRDefault="005B6925"/>
    <w:p w14:paraId="062234A5" w14:textId="77777777" w:rsidR="005B6925" w:rsidRDefault="007B48D3">
      <w:pPr>
        <w:spacing w:line="360" w:lineRule="auto"/>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162. </w:t>
      </w:r>
      <w:r>
        <w:rPr>
          <w:rFonts w:ascii="Palatino Linotype" w:eastAsia="Palatino Linotype" w:hAnsi="Palatino Linotype" w:cs="Palatino Linotype"/>
          <w:i/>
          <w:sz w:val="22"/>
          <w:szCs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eastAsia="Palatino Linotype" w:hAnsi="Palatino Linotype" w:cs="Palatino Linotype"/>
          <w:i/>
          <w:sz w:val="22"/>
          <w:szCs w:val="22"/>
        </w:rPr>
        <w:t>”</w:t>
      </w:r>
    </w:p>
    <w:p w14:paraId="694A42BB" w14:textId="77777777" w:rsidR="005B6925" w:rsidRDefault="005B6925"/>
    <w:p w14:paraId="60EEE0E4"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el asunto que nos ocupa analizar se aprecia que en cumplimiento a los ordenamientos previamente citados, el Titular de la Unidad realizó el requerimiento correspondiente al Servidor Público Habilitado de la Dirección de Proyectos y Control de Obras del </w:t>
      </w:r>
      <w:r>
        <w:rPr>
          <w:rFonts w:ascii="Palatino Linotype" w:eastAsia="Palatino Linotype" w:hAnsi="Palatino Linotype" w:cs="Palatino Linotype"/>
          <w:b/>
        </w:rPr>
        <w:t>Sistema de Autopistas, Aeropuertos, Servicios Conexos y Auxiliares del Estado de México</w:t>
      </w:r>
      <w:r>
        <w:rPr>
          <w:rFonts w:ascii="Palatino Linotype" w:eastAsia="Palatino Linotype" w:hAnsi="Palatino Linotype" w:cs="Palatino Linotype"/>
        </w:rPr>
        <w:t xml:space="preserve">, tal como se observa en la imagen que se inserta. </w:t>
      </w:r>
    </w:p>
    <w:p w14:paraId="47366651" w14:textId="77777777" w:rsidR="005B6925" w:rsidRDefault="005B6925">
      <w:pPr>
        <w:spacing w:line="360" w:lineRule="auto"/>
        <w:jc w:val="both"/>
        <w:rPr>
          <w:rFonts w:ascii="Palatino Linotype" w:eastAsia="Palatino Linotype" w:hAnsi="Palatino Linotype" w:cs="Palatino Linotype"/>
        </w:rPr>
      </w:pPr>
    </w:p>
    <w:p w14:paraId="0D0002F4"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61C96708" wp14:editId="06828802">
            <wp:extent cx="5612130" cy="165735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12130" cy="1657350"/>
                    </a:xfrm>
                    <a:prstGeom prst="rect">
                      <a:avLst/>
                    </a:prstGeom>
                    <a:ln/>
                  </pic:spPr>
                </pic:pic>
              </a:graphicData>
            </a:graphic>
          </wp:inline>
        </w:drawing>
      </w:r>
      <w:r>
        <w:rPr>
          <w:noProof/>
          <w:lang w:val="es-MX"/>
        </w:rPr>
        <mc:AlternateContent>
          <mc:Choice Requires="wpg">
            <w:drawing>
              <wp:anchor distT="0" distB="0" distL="114300" distR="114300" simplePos="0" relativeHeight="251658240" behindDoc="0" locked="0" layoutInCell="1" hidden="0" allowOverlap="1" wp14:anchorId="58A86FFE" wp14:editId="50DD571D">
                <wp:simplePos x="0" y="0"/>
                <wp:positionH relativeFrom="column">
                  <wp:posOffset>63501</wp:posOffset>
                </wp:positionH>
                <wp:positionV relativeFrom="paragraph">
                  <wp:posOffset>355600</wp:posOffset>
                </wp:positionV>
                <wp:extent cx="1882775" cy="511175"/>
                <wp:effectExtent l="0" t="0" r="0" b="0"/>
                <wp:wrapNone/>
                <wp:docPr id="24" name="Rectángulo 24"/>
                <wp:cNvGraphicFramePr/>
                <a:graphic xmlns:a="http://schemas.openxmlformats.org/drawingml/2006/main">
                  <a:graphicData uri="http://schemas.microsoft.com/office/word/2010/wordprocessingShape">
                    <wps:wsp>
                      <wps:cNvSpPr/>
                      <wps:spPr>
                        <a:xfrm>
                          <a:off x="4417313" y="3537113"/>
                          <a:ext cx="1857375" cy="485775"/>
                        </a:xfrm>
                        <a:prstGeom prst="rect">
                          <a:avLst/>
                        </a:prstGeom>
                        <a:noFill/>
                        <a:ln w="12700" cap="flat" cmpd="sng">
                          <a:solidFill>
                            <a:srgbClr val="FF0000"/>
                          </a:solidFill>
                          <a:prstDash val="solid"/>
                          <a:round/>
                          <a:headEnd type="none" w="sm" len="sm"/>
                          <a:tailEnd type="none" w="sm" len="sm"/>
                        </a:ln>
                      </wps:spPr>
                      <wps:txbx>
                        <w:txbxContent>
                          <w:p w14:paraId="569E0F1B" w14:textId="77777777" w:rsidR="005B6925" w:rsidRDefault="005B692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63501</wp:posOffset>
                </wp:positionH>
                <wp:positionV relativeFrom="paragraph">
                  <wp:posOffset>355600</wp:posOffset>
                </wp:positionV>
                <wp:extent cx="1882775" cy="511175"/>
                <wp:effectExtent b="0" l="0" r="0" t="0"/>
                <wp:wrapNone/>
                <wp:docPr id="2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882775" cy="511175"/>
                        </a:xfrm>
                        <a:prstGeom prst="rect"/>
                        <a:ln/>
                      </pic:spPr>
                    </pic:pic>
                  </a:graphicData>
                </a:graphic>
              </wp:anchor>
            </w:drawing>
          </mc:Fallback>
        </mc:AlternateContent>
      </w:r>
    </w:p>
    <w:p w14:paraId="547DEFBB" w14:textId="77777777" w:rsidR="005B6925" w:rsidRDefault="005B6925">
      <w:pPr>
        <w:spacing w:line="360" w:lineRule="auto"/>
        <w:jc w:val="both"/>
        <w:rPr>
          <w:rFonts w:ascii="Palatino Linotype" w:eastAsia="Palatino Linotype" w:hAnsi="Palatino Linotype" w:cs="Palatino Linotype"/>
        </w:rPr>
      </w:pPr>
    </w:p>
    <w:p w14:paraId="7E62AF66"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señalar, que el Director de Proyectos y Control de Obras, a quien el Titular de la Unidad de Transparencia remitió la solicitud de información, es quien respondió a la solicitud de información tal como se aprecia a continuación. </w:t>
      </w:r>
    </w:p>
    <w:p w14:paraId="2AEFCD6C" w14:textId="77777777" w:rsidR="005B6925" w:rsidRDefault="005B6925">
      <w:pPr>
        <w:spacing w:line="360" w:lineRule="auto"/>
        <w:jc w:val="both"/>
        <w:rPr>
          <w:rFonts w:ascii="Palatino Linotype" w:eastAsia="Palatino Linotype" w:hAnsi="Palatino Linotype" w:cs="Palatino Linotype"/>
        </w:rPr>
      </w:pPr>
    </w:p>
    <w:p w14:paraId="4CA87B54" w14:textId="77777777" w:rsidR="005B6925" w:rsidRDefault="005B6925">
      <w:pPr>
        <w:spacing w:line="360" w:lineRule="auto"/>
        <w:jc w:val="both"/>
        <w:rPr>
          <w:rFonts w:ascii="Palatino Linotype" w:eastAsia="Palatino Linotype" w:hAnsi="Palatino Linotype" w:cs="Palatino Linotype"/>
        </w:rPr>
      </w:pPr>
    </w:p>
    <w:p w14:paraId="76903036"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663C654" wp14:editId="4CBC79B4">
            <wp:extent cx="5612130" cy="6838950"/>
            <wp:effectExtent l="12700" t="12700" r="12700" b="1270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12130" cy="6838950"/>
                    </a:xfrm>
                    <a:prstGeom prst="rect">
                      <a:avLst/>
                    </a:prstGeom>
                    <a:ln w="12700">
                      <a:solidFill>
                        <a:srgbClr val="000000"/>
                      </a:solidFill>
                      <a:prstDash val="solid"/>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14:anchorId="7595CB86" wp14:editId="0EADCB6B">
                <wp:simplePos x="0" y="0"/>
                <wp:positionH relativeFrom="column">
                  <wp:posOffset>1435100</wp:posOffset>
                </wp:positionH>
                <wp:positionV relativeFrom="paragraph">
                  <wp:posOffset>5994400</wp:posOffset>
                </wp:positionV>
                <wp:extent cx="3124200" cy="657225"/>
                <wp:effectExtent l="0" t="0" r="0" b="0"/>
                <wp:wrapNone/>
                <wp:docPr id="23" name="Rectángulo 23"/>
                <wp:cNvGraphicFramePr/>
                <a:graphic xmlns:a="http://schemas.openxmlformats.org/drawingml/2006/main">
                  <a:graphicData uri="http://schemas.microsoft.com/office/word/2010/wordprocessingShape">
                    <wps:wsp>
                      <wps:cNvSpPr/>
                      <wps:spPr>
                        <a:xfrm>
                          <a:off x="3793425" y="3460913"/>
                          <a:ext cx="3105150" cy="638175"/>
                        </a:xfrm>
                        <a:prstGeom prst="rect">
                          <a:avLst/>
                        </a:prstGeom>
                        <a:noFill/>
                        <a:ln w="19050" cap="flat" cmpd="sng">
                          <a:solidFill>
                            <a:srgbClr val="FF0000"/>
                          </a:solidFill>
                          <a:prstDash val="solid"/>
                          <a:round/>
                          <a:headEnd type="none" w="sm" len="sm"/>
                          <a:tailEnd type="none" w="sm" len="sm"/>
                        </a:ln>
                      </wps:spPr>
                      <wps:txbx>
                        <w:txbxContent>
                          <w:p w14:paraId="57599FA1" w14:textId="77777777" w:rsidR="005B6925" w:rsidRDefault="005B6925">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1435100</wp:posOffset>
                </wp:positionH>
                <wp:positionV relativeFrom="paragraph">
                  <wp:posOffset>5994400</wp:posOffset>
                </wp:positionV>
                <wp:extent cx="3124200" cy="657225"/>
                <wp:effectExtent b="0" l="0" r="0" t="0"/>
                <wp:wrapNone/>
                <wp:docPr id="23"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3124200" cy="657225"/>
                        </a:xfrm>
                        <a:prstGeom prst="rect"/>
                        <a:ln/>
                      </pic:spPr>
                    </pic:pic>
                  </a:graphicData>
                </a:graphic>
              </wp:anchor>
            </w:drawing>
          </mc:Fallback>
        </mc:AlternateContent>
      </w:r>
    </w:p>
    <w:p w14:paraId="14967AA3"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este de orden de ideas, es oportuno citar que para estudio, planeación ejecución, atención y evaluación de los asuntos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el Director General se auxiliará de las unidades administrativas básicas, entre las cuales se encuentra la Dirección de Proyectos y Control de Obras, que de conformidad con lo dispuesto en el artículo 14 del </w:t>
      </w:r>
      <w:r>
        <w:rPr>
          <w:rFonts w:ascii="Palatino Linotype" w:eastAsia="Palatino Linotype" w:hAnsi="Palatino Linotype" w:cs="Palatino Linotype"/>
          <w:b/>
        </w:rPr>
        <w:t xml:space="preserve">Reglamento Interno del Sistema de Autopistas, Aeropuertos, Servicios Conexos y Auxiliares del Estado de México </w:t>
      </w:r>
      <w:r>
        <w:rPr>
          <w:rFonts w:ascii="Palatino Linotype" w:eastAsia="Palatino Linotype" w:hAnsi="Palatino Linotype" w:cs="Palatino Linotype"/>
        </w:rPr>
        <w:t xml:space="preserve">le corresponde: </w:t>
      </w:r>
    </w:p>
    <w:p w14:paraId="6BEB6BCB"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41934DDF"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w:t>
      </w:r>
      <w:r>
        <w:rPr>
          <w:rFonts w:ascii="Palatino Linotype" w:eastAsia="Palatino Linotype" w:hAnsi="Palatino Linotype" w:cs="Palatino Linotype"/>
          <w:i/>
          <w:sz w:val="22"/>
          <w:szCs w:val="22"/>
        </w:rPr>
        <w:t xml:space="preserve">.- Corresponde a la Dirección de Proyectos y Control de Obras: </w:t>
      </w:r>
    </w:p>
    <w:p w14:paraId="4B1F390E"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Coordinar, ejecutar y </w:t>
      </w:r>
      <w:r>
        <w:rPr>
          <w:rFonts w:ascii="Palatino Linotype" w:eastAsia="Palatino Linotype" w:hAnsi="Palatino Linotype" w:cs="Palatino Linotype"/>
          <w:b/>
          <w:i/>
          <w:sz w:val="22"/>
          <w:szCs w:val="22"/>
          <w:u w:val="single"/>
        </w:rPr>
        <w:t>vigilar el cumplimiento de los planes y programas de obras de construcción, ampliación, rehabilitación, conservación y mantenimiento</w:t>
      </w:r>
      <w:r>
        <w:rPr>
          <w:rFonts w:ascii="Palatino Linotype" w:eastAsia="Palatino Linotype" w:hAnsi="Palatino Linotype" w:cs="Palatino Linotype"/>
          <w:i/>
          <w:sz w:val="22"/>
          <w:szCs w:val="22"/>
        </w:rPr>
        <w:t xml:space="preserve"> de aeródromos, rampas de despegue y aterrizaje de aerostatos, aeronaves ultraligeras u otras análogas, aeropistas, helipuertos, aeropuertos y </w:t>
      </w:r>
      <w:r>
        <w:rPr>
          <w:rFonts w:ascii="Palatino Linotype" w:eastAsia="Palatino Linotype" w:hAnsi="Palatino Linotype" w:cs="Palatino Linotype"/>
          <w:b/>
          <w:i/>
          <w:sz w:val="22"/>
          <w:szCs w:val="22"/>
        </w:rPr>
        <w:t>vialidades de cuota</w:t>
      </w:r>
      <w:r>
        <w:rPr>
          <w:rFonts w:ascii="Palatino Linotype" w:eastAsia="Palatino Linotype" w:hAnsi="Palatino Linotype" w:cs="Palatino Linotype"/>
          <w:i/>
          <w:sz w:val="22"/>
          <w:szCs w:val="22"/>
        </w:rPr>
        <w:t xml:space="preserve">. </w:t>
      </w:r>
    </w:p>
    <w:p w14:paraId="07DCAE26"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w:t>
      </w:r>
      <w:r>
        <w:rPr>
          <w:rFonts w:ascii="Palatino Linotype" w:eastAsia="Palatino Linotype" w:hAnsi="Palatino Linotype" w:cs="Palatino Linotype"/>
          <w:b/>
          <w:i/>
          <w:sz w:val="22"/>
          <w:szCs w:val="22"/>
          <w:u w:val="single"/>
        </w:rPr>
        <w:t>Elaborar convenios</w:t>
      </w:r>
      <w:r>
        <w:rPr>
          <w:rFonts w:ascii="Palatino Linotype" w:eastAsia="Palatino Linotype" w:hAnsi="Palatino Linotype" w:cs="Palatino Linotype"/>
          <w:i/>
          <w:sz w:val="22"/>
          <w:szCs w:val="22"/>
        </w:rPr>
        <w:t xml:space="preserve">, programas, proyectos y acciones </w:t>
      </w:r>
      <w:r>
        <w:rPr>
          <w:rFonts w:ascii="Palatino Linotype" w:eastAsia="Palatino Linotype" w:hAnsi="Palatino Linotype" w:cs="Palatino Linotype"/>
          <w:b/>
          <w:i/>
          <w:sz w:val="22"/>
          <w:szCs w:val="22"/>
          <w:u w:val="single"/>
        </w:rPr>
        <w:t>para la construcción, rehabilitación, conservación y mantenimiento</w:t>
      </w:r>
      <w:r>
        <w:rPr>
          <w:rFonts w:ascii="Palatino Linotype" w:eastAsia="Palatino Linotype" w:hAnsi="Palatino Linotype" w:cs="Palatino Linotype"/>
          <w:i/>
          <w:sz w:val="22"/>
          <w:szCs w:val="22"/>
        </w:rPr>
        <w:t xml:space="preserve"> de aeródromos, rampas de despegue y aterrizaje de aerostatos, aeronaves ultraligeras u otras análogas, aeropistas, helipuertos, aeropuertos y </w:t>
      </w:r>
      <w:r>
        <w:rPr>
          <w:rFonts w:ascii="Palatino Linotype" w:eastAsia="Palatino Linotype" w:hAnsi="Palatino Linotype" w:cs="Palatino Linotype"/>
          <w:b/>
          <w:i/>
          <w:sz w:val="22"/>
          <w:szCs w:val="22"/>
          <w:u w:val="single"/>
        </w:rPr>
        <w:t>vialidades de cuota</w:t>
      </w:r>
      <w:r>
        <w:rPr>
          <w:rFonts w:ascii="Palatino Linotype" w:eastAsia="Palatino Linotype" w:hAnsi="Palatino Linotype" w:cs="Palatino Linotype"/>
          <w:i/>
          <w:sz w:val="22"/>
          <w:szCs w:val="22"/>
        </w:rPr>
        <w:t>, así como sobre reconocimientos de inversión en obras.</w:t>
      </w:r>
    </w:p>
    <w:p w14:paraId="38119609"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w:t>
      </w:r>
      <w:r>
        <w:rPr>
          <w:rFonts w:ascii="Palatino Linotype" w:eastAsia="Palatino Linotype" w:hAnsi="Palatino Linotype" w:cs="Palatino Linotype"/>
          <w:b/>
          <w:i/>
          <w:sz w:val="22"/>
          <w:szCs w:val="22"/>
          <w:u w:val="single"/>
        </w:rPr>
        <w:t>Realizar convenios de ampliación o modificación del plazo de las concesiones o permisos para la construcción, rehabilitación, mantenimiento y conservación</w:t>
      </w:r>
      <w:r>
        <w:rPr>
          <w:rFonts w:ascii="Palatino Linotype" w:eastAsia="Palatino Linotype" w:hAnsi="Palatino Linotype" w:cs="Palatino Linotype"/>
          <w:i/>
          <w:sz w:val="22"/>
          <w:szCs w:val="22"/>
        </w:rPr>
        <w:t xml:space="preserve"> de aeródromos, rampas de despegue y aterrizaje de aerostatos, aeronaves ultraligeras u otras análogas, aeropistas, helipuertos, aeropuertos y </w:t>
      </w:r>
      <w:r>
        <w:rPr>
          <w:rFonts w:ascii="Palatino Linotype" w:eastAsia="Palatino Linotype" w:hAnsi="Palatino Linotype" w:cs="Palatino Linotype"/>
          <w:b/>
          <w:i/>
          <w:sz w:val="22"/>
          <w:szCs w:val="22"/>
          <w:u w:val="single"/>
        </w:rPr>
        <w:t>vialidades de cuota</w:t>
      </w:r>
      <w:r>
        <w:rPr>
          <w:rFonts w:ascii="Palatino Linotype" w:eastAsia="Palatino Linotype" w:hAnsi="Palatino Linotype" w:cs="Palatino Linotype"/>
          <w:i/>
          <w:sz w:val="22"/>
          <w:szCs w:val="22"/>
        </w:rPr>
        <w:t>, previa autorización del Director General.</w:t>
      </w:r>
    </w:p>
    <w:p w14:paraId="15B5B3E2"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C2AC0E"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Participar en el ámbito de su competencia en la entrega y recepción de las obras realizadas por contrato, así como las </w:t>
      </w:r>
      <w:r>
        <w:rPr>
          <w:rFonts w:ascii="Palatino Linotype" w:eastAsia="Palatino Linotype" w:hAnsi="Palatino Linotype" w:cs="Palatino Linotype"/>
          <w:b/>
          <w:i/>
          <w:sz w:val="22"/>
          <w:szCs w:val="22"/>
          <w:u w:val="single"/>
        </w:rPr>
        <w:t>ejecutadas por el otorgamiento de concesiones</w:t>
      </w:r>
      <w:r>
        <w:rPr>
          <w:rFonts w:ascii="Palatino Linotype" w:eastAsia="Palatino Linotype" w:hAnsi="Palatino Linotype" w:cs="Palatino Linotype"/>
          <w:i/>
          <w:sz w:val="22"/>
          <w:szCs w:val="22"/>
        </w:rPr>
        <w:t xml:space="preserve"> o permisos de aeródromos, rampas de despegue y aterrizaje de aerostatos, aeronaves ultraligeras u otras análogas, aeropistas, helipuertos e </w:t>
      </w:r>
      <w:r>
        <w:rPr>
          <w:rFonts w:ascii="Palatino Linotype" w:eastAsia="Palatino Linotype" w:hAnsi="Palatino Linotype" w:cs="Palatino Linotype"/>
          <w:b/>
          <w:i/>
          <w:sz w:val="22"/>
          <w:szCs w:val="22"/>
          <w:u w:val="single"/>
        </w:rPr>
        <w:t>infraestructura vial de cuota</w:t>
      </w:r>
      <w:r>
        <w:rPr>
          <w:rFonts w:ascii="Palatino Linotype" w:eastAsia="Palatino Linotype" w:hAnsi="Palatino Linotype" w:cs="Palatino Linotype"/>
          <w:i/>
          <w:sz w:val="22"/>
          <w:szCs w:val="22"/>
        </w:rPr>
        <w:t>.</w:t>
      </w:r>
    </w:p>
    <w:p w14:paraId="254F95D1" w14:textId="77777777" w:rsidR="005B6925" w:rsidRDefault="007B48D3">
      <w:pPr>
        <w:spacing w:line="276"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XII. </w:t>
      </w:r>
      <w:r>
        <w:rPr>
          <w:rFonts w:ascii="Palatino Linotype" w:eastAsia="Palatino Linotype" w:hAnsi="Palatino Linotype" w:cs="Palatino Linotype"/>
          <w:b/>
          <w:i/>
          <w:sz w:val="22"/>
          <w:szCs w:val="22"/>
          <w:u w:val="single"/>
        </w:rPr>
        <w:t>Vigilar las acciones ejecutadas por los concesionarios para la liberación del derecho de vía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la construcción</w:t>
      </w:r>
      <w:r>
        <w:rPr>
          <w:rFonts w:ascii="Palatino Linotype" w:eastAsia="Palatino Linotype" w:hAnsi="Palatino Linotype" w:cs="Palatino Linotype"/>
          <w:i/>
          <w:sz w:val="22"/>
          <w:szCs w:val="22"/>
        </w:rPr>
        <w:t xml:space="preserve"> de aeródromos e </w:t>
      </w:r>
      <w:r>
        <w:rPr>
          <w:rFonts w:ascii="Palatino Linotype" w:eastAsia="Palatino Linotype" w:hAnsi="Palatino Linotype" w:cs="Palatino Linotype"/>
          <w:b/>
          <w:i/>
          <w:sz w:val="22"/>
          <w:szCs w:val="22"/>
          <w:u w:val="single"/>
        </w:rPr>
        <w:t>infraestructura vial de cuota</w:t>
      </w:r>
      <w:r>
        <w:rPr>
          <w:rFonts w:ascii="Palatino Linotype" w:eastAsia="Palatino Linotype" w:hAnsi="Palatino Linotype" w:cs="Palatino Linotype"/>
          <w:i/>
          <w:sz w:val="22"/>
          <w:szCs w:val="22"/>
        </w:rPr>
        <w:t>, coordinando la integración de los expedientes que correspondan a los predios adquiridos.</w:t>
      </w:r>
    </w:p>
    <w:p w14:paraId="793328CC" w14:textId="77777777" w:rsidR="005B6925" w:rsidRDefault="005B6925">
      <w:pPr>
        <w:spacing w:line="276" w:lineRule="auto"/>
        <w:ind w:left="851" w:right="616"/>
        <w:jc w:val="both"/>
        <w:rPr>
          <w:rFonts w:ascii="Palatino Linotype" w:eastAsia="Palatino Linotype" w:hAnsi="Palatino Linotype" w:cs="Palatino Linotype"/>
          <w:i/>
          <w:sz w:val="22"/>
          <w:szCs w:val="22"/>
        </w:rPr>
      </w:pPr>
    </w:p>
    <w:p w14:paraId="3AB10AF4" w14:textId="77777777" w:rsidR="005B6925" w:rsidRDefault="007B48D3">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Ordenamiento jurídico en el que se advierte que el Servidor Público Habilitado que atendió la solicitud de información, cuenta con las atribuciones, facultades y competencias para elaborar los convenios  u otorgar concesiones a empresas privadas. </w:t>
      </w:r>
    </w:p>
    <w:p w14:paraId="34FDFB66" w14:textId="77777777" w:rsidR="005B6925" w:rsidRDefault="005B6925">
      <w:pPr>
        <w:tabs>
          <w:tab w:val="left" w:pos="7938"/>
        </w:tabs>
        <w:spacing w:line="360" w:lineRule="auto"/>
        <w:jc w:val="both"/>
        <w:rPr>
          <w:rFonts w:ascii="Palatino Linotype" w:eastAsia="Palatino Linotype" w:hAnsi="Palatino Linotype" w:cs="Palatino Linotype"/>
        </w:rPr>
      </w:pPr>
    </w:p>
    <w:p w14:paraId="0EA239D8" w14:textId="77777777" w:rsidR="005B6925" w:rsidRDefault="007B48D3">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el Servidor Público Habilitado de la Dirección de Proyectos y Control de Obras, respondió que después de realizar una búsqueda en las diversas áreas no encontró contrato o subcontrato alguno celebrado con la empresa Mota-Egil  o con alguno de los ciudadanos referidos en la solicitud. </w:t>
      </w:r>
    </w:p>
    <w:p w14:paraId="0091D962" w14:textId="77777777" w:rsidR="005B6925" w:rsidRDefault="005B6925">
      <w:pPr>
        <w:tabs>
          <w:tab w:val="left" w:pos="7938"/>
        </w:tabs>
        <w:spacing w:line="360" w:lineRule="auto"/>
        <w:jc w:val="both"/>
        <w:rPr>
          <w:rFonts w:ascii="Palatino Linotype" w:eastAsia="Palatino Linotype" w:hAnsi="Palatino Linotype" w:cs="Palatino Linotype"/>
        </w:rPr>
      </w:pPr>
    </w:p>
    <w:p w14:paraId="764D23C5" w14:textId="77777777" w:rsidR="005B6925" w:rsidRDefault="007B48D3">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cabe señalar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como una buena práctica para garantizar el derecho de acceso a la información del particular acreditó la búsqueda exhaustiva y razonable de la información, ya que como puede observarse en los archivos adjuntos a la respuesta, remitió el documentos a través del cual requirió a las distintas áreas realizaran la búsqueda de la documentación en sus archivos. </w:t>
      </w:r>
    </w:p>
    <w:p w14:paraId="08622BFD" w14:textId="77777777" w:rsidR="005B6925" w:rsidRDefault="005B6925">
      <w:pPr>
        <w:tabs>
          <w:tab w:val="left" w:pos="7938"/>
        </w:tabs>
        <w:spacing w:line="360" w:lineRule="auto"/>
        <w:jc w:val="both"/>
        <w:rPr>
          <w:rFonts w:ascii="Palatino Linotype" w:eastAsia="Palatino Linotype" w:hAnsi="Palatino Linotype" w:cs="Palatino Linotype"/>
        </w:rPr>
      </w:pPr>
    </w:p>
    <w:p w14:paraId="393E4BD2" w14:textId="77777777" w:rsidR="005B6925" w:rsidRDefault="007B48D3">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C61858A" wp14:editId="044CC56B">
            <wp:extent cx="5612130" cy="6962775"/>
            <wp:effectExtent l="19050" t="19050" r="19050" b="1905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2130" cy="6962775"/>
                    </a:xfrm>
                    <a:prstGeom prst="rect">
                      <a:avLst/>
                    </a:prstGeom>
                    <a:ln w="19050">
                      <a:solidFill>
                        <a:srgbClr val="000000"/>
                      </a:solidFill>
                      <a:prstDash val="solid"/>
                    </a:ln>
                  </pic:spPr>
                </pic:pic>
              </a:graphicData>
            </a:graphic>
          </wp:inline>
        </w:drawing>
      </w:r>
    </w:p>
    <w:p w14:paraId="25EF98FF" w14:textId="77777777" w:rsidR="005B6925" w:rsidRDefault="007B48D3">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cada uno de los Jefes de Departamento de la Dirección de Proyectos y Control de Obras Públicas del SAASCAEM informaron que la información solicitada no obra en sus archivos. </w:t>
      </w:r>
    </w:p>
    <w:p w14:paraId="73CD4314" w14:textId="77777777" w:rsidR="005B6925" w:rsidRDefault="005B6925">
      <w:pPr>
        <w:tabs>
          <w:tab w:val="left" w:pos="7938"/>
        </w:tabs>
        <w:spacing w:line="360" w:lineRule="auto"/>
        <w:jc w:val="both"/>
        <w:rPr>
          <w:rFonts w:ascii="Palatino Linotype" w:eastAsia="Palatino Linotype" w:hAnsi="Palatino Linotype" w:cs="Palatino Linotype"/>
        </w:rPr>
      </w:pPr>
    </w:p>
    <w:p w14:paraId="24934B4E" w14:textId="77777777" w:rsidR="005B6925" w:rsidRDefault="007B48D3">
      <w:pPr>
        <w:pBdr>
          <w:top w:val="nil"/>
          <w:left w:val="nil"/>
          <w:bottom w:val="nil"/>
          <w:right w:val="nil"/>
          <w:between w:val="nil"/>
        </w:pBdr>
        <w:tabs>
          <w:tab w:val="left" w:pos="426"/>
        </w:tabs>
        <w:spacing w:before="8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lo anterior, </w:t>
      </w:r>
      <w:r>
        <w:rPr>
          <w:rFonts w:ascii="Palatino Linotype" w:eastAsia="Palatino Linotype" w:hAnsi="Palatino Linotype" w:cs="Palatino Linotype"/>
          <w:color w:val="000000"/>
        </w:rPr>
        <w:t>la respuesta a la solicitud de información, observó los principios de exhaustividad y congruencia, en términos del criterio 2/2017, emitido por el Instituto Nacional de Transparencia, que señala:</w:t>
      </w:r>
    </w:p>
    <w:p w14:paraId="41BCBEAF" w14:textId="77777777" w:rsidR="005B6925" w:rsidRDefault="007B48D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Congruencia y exhaustividad.</w:t>
      </w:r>
      <w:r>
        <w:rPr>
          <w:rFonts w:ascii="Palatino Linotype" w:eastAsia="Palatino Linotype" w:hAnsi="Palatino Linotype" w:cs="Palatino Linotype"/>
          <w:i/>
          <w:color w:val="000000"/>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0EC2721" w14:textId="77777777" w:rsidR="005B6925" w:rsidRDefault="007B48D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Resoluciones:</w:t>
      </w:r>
    </w:p>
    <w:p w14:paraId="7EA5D182" w14:textId="77777777" w:rsidR="005B6925" w:rsidRDefault="007B48D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RRA 0003/16. Comisión Nacional de las Zonas Áridas. 29 de junio de 2016. Por unanimidad. Comisionado Ponente Oscar Mauricio Guerra Ford.</w:t>
      </w:r>
    </w:p>
    <w:p w14:paraId="3A637518" w14:textId="77777777" w:rsidR="005B6925" w:rsidRDefault="007B48D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RRA 0100/16. Sindicato Nacional de Trabajadores de la Educación. 13 de julio de 2016. Por unanimidad. Comisionada Ponente. Areli Cano Guadiana.</w:t>
      </w:r>
    </w:p>
    <w:p w14:paraId="148FEB52" w14:textId="77777777" w:rsidR="005B6925" w:rsidRDefault="007B48D3">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RRA 1419/16. Secretaría de Educación Pública. 14 de septiembre de 2016. Por unanimidad. Comisionado Ponente Rosendoevgueni Monterrey Chepov.” (Sic)</w:t>
      </w:r>
    </w:p>
    <w:p w14:paraId="704354D8" w14:textId="77777777" w:rsidR="005B6925" w:rsidRDefault="005B6925">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i/>
          <w:color w:val="000000"/>
        </w:rPr>
      </w:pPr>
    </w:p>
    <w:p w14:paraId="621ADB2D" w14:textId="77777777" w:rsidR="005B6925" w:rsidRDefault="007B48D3">
      <w:pPr>
        <w:spacing w:line="276" w:lineRule="auto"/>
        <w:ind w:left="560" w:right="560"/>
        <w:jc w:val="both"/>
        <w:rPr>
          <w:rFonts w:ascii="Palatino Linotype" w:eastAsia="Palatino Linotype" w:hAnsi="Palatino Linotype" w:cs="Palatino Linotype"/>
          <w:i/>
          <w:sz w:val="20"/>
          <w:szCs w:val="20"/>
        </w:rPr>
      </w:pPr>
      <w:r>
        <w:rPr>
          <w:rFonts w:ascii="Noto Sans Symbols" w:eastAsia="Noto Sans Symbols" w:hAnsi="Noto Sans Symbols" w:cs="Noto Sans Symbols"/>
          <w:i/>
          <w:sz w:val="20"/>
          <w:szCs w:val="20"/>
        </w:rPr>
        <w:t>∙</w:t>
      </w:r>
      <w:r>
        <w:rPr>
          <w:rFonts w:ascii="Palatino Linotype" w:eastAsia="Palatino Linotype" w:hAnsi="Palatino Linotype" w:cs="Palatino Linotype"/>
          <w:i/>
          <w:sz w:val="20"/>
          <w:szCs w:val="20"/>
        </w:rPr>
        <w:t xml:space="preserve"> RRA 1889/16. Secretaría de Hacienda y Crédito Público. 05 de octubre de 2016. Por unanimidad. Comisionada Ponente. Ximena Puente de la Mora.”</w:t>
      </w:r>
    </w:p>
    <w:p w14:paraId="3B573F2A" w14:textId="77777777" w:rsidR="005B6925" w:rsidRDefault="005B6925">
      <w:pPr>
        <w:spacing w:line="276" w:lineRule="auto"/>
        <w:ind w:right="560"/>
        <w:jc w:val="both"/>
        <w:rPr>
          <w:rFonts w:ascii="Palatino Linotype" w:eastAsia="Palatino Linotype" w:hAnsi="Palatino Linotype" w:cs="Palatino Linotype"/>
          <w:i/>
          <w:sz w:val="20"/>
          <w:szCs w:val="20"/>
        </w:rPr>
      </w:pPr>
    </w:p>
    <w:p w14:paraId="1D1F04BA" w14:textId="77777777" w:rsidR="005B6925" w:rsidRDefault="007B48D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consiguiente toda vez que no posee, administra ni genera la información requerida por el particular, constituye un hecho negativo; entonces, si se considera el hecho negativo, es obvio que éste no puede fácticamente obrar en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ya que no puede probarse por ser lógica y materialmente imposible.</w:t>
      </w:r>
    </w:p>
    <w:p w14:paraId="4A051E93" w14:textId="77777777" w:rsidR="005B6925" w:rsidRDefault="007B48D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Asimismo, no se trata de un caso por el cual la negación del hecho implique la afirmación del mismo, simplemente se está ante una notoria y evidente inexistencia fáctica de la información solicitada.</w:t>
      </w:r>
    </w:p>
    <w:p w14:paraId="4172C06C" w14:textId="77777777" w:rsidR="005B6925" w:rsidRDefault="007B48D3">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A4CD2F6" w14:textId="77777777" w:rsidR="005B6925" w:rsidRDefault="005B692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20461E81" w14:textId="77777777" w:rsidR="005B6925" w:rsidRDefault="005B6925">
      <w:pPr>
        <w:pBdr>
          <w:top w:val="nil"/>
          <w:left w:val="nil"/>
          <w:bottom w:val="nil"/>
          <w:right w:val="nil"/>
          <w:between w:val="nil"/>
        </w:pBdr>
        <w:spacing w:before="240" w:after="240" w:line="360" w:lineRule="auto"/>
        <w:jc w:val="both"/>
        <w:rPr>
          <w:color w:val="000000"/>
        </w:rPr>
      </w:pPr>
    </w:p>
    <w:p w14:paraId="3D0D0D5C" w14:textId="77777777" w:rsidR="005B6925" w:rsidRDefault="007B48D3">
      <w:pPr>
        <w:pBdr>
          <w:top w:val="nil"/>
          <w:left w:val="nil"/>
          <w:bottom w:val="nil"/>
          <w:right w:val="nil"/>
          <w:between w:val="nil"/>
        </w:pBdr>
        <w:spacing w:line="276" w:lineRule="auto"/>
        <w:ind w:left="860" w:right="560"/>
        <w:jc w:val="both"/>
        <w:rPr>
          <w:color w:val="000000"/>
        </w:rPr>
      </w:pPr>
      <w:r>
        <w:rPr>
          <w:rFonts w:ascii="Palatino Linotype" w:eastAsia="Palatino Linotype" w:hAnsi="Palatino Linotype" w:cs="Palatino Linotype"/>
          <w:b/>
          <w:i/>
          <w:color w:val="000000"/>
          <w:sz w:val="22"/>
          <w:szCs w:val="22"/>
        </w:rPr>
        <w:lastRenderedPageBreak/>
        <w:t>HECHOS NEGATIVOS, NO SON SUSCEPTIBLES DE DEMOSTRACIÓN.</w:t>
      </w:r>
    </w:p>
    <w:p w14:paraId="38C65BBD" w14:textId="77777777" w:rsidR="005B6925" w:rsidRDefault="007B48D3">
      <w:pPr>
        <w:pBdr>
          <w:top w:val="nil"/>
          <w:left w:val="nil"/>
          <w:bottom w:val="nil"/>
          <w:right w:val="nil"/>
          <w:between w:val="nil"/>
        </w:pBdr>
        <w:spacing w:line="276" w:lineRule="auto"/>
        <w:ind w:left="860" w:right="560"/>
        <w:jc w:val="both"/>
        <w:rPr>
          <w:color w:val="000000"/>
        </w:rPr>
      </w:pPr>
      <w:r>
        <w:rPr>
          <w:rFonts w:ascii="Palatino Linotype" w:eastAsia="Palatino Linotype" w:hAnsi="Palatino Linotype" w:cs="Palatino Linotype"/>
          <w:i/>
          <w:color w:val="000000"/>
          <w:sz w:val="22"/>
          <w:szCs w:val="22"/>
        </w:rPr>
        <w:t>Tratándose de un hecho negativo, el Juez no tiene por que invocar prueba alguna de la que se desprenda, ya que es bien sabido que esta clase de hechos no son susceptibles de demostración.</w:t>
      </w:r>
    </w:p>
    <w:p w14:paraId="2CBA28EB" w14:textId="77777777" w:rsidR="005B6925" w:rsidRDefault="007B48D3">
      <w:pPr>
        <w:pBdr>
          <w:top w:val="nil"/>
          <w:left w:val="nil"/>
          <w:bottom w:val="nil"/>
          <w:right w:val="nil"/>
          <w:between w:val="nil"/>
        </w:pBdr>
        <w:spacing w:line="276" w:lineRule="auto"/>
        <w:ind w:left="860" w:right="560"/>
        <w:jc w:val="both"/>
        <w:rPr>
          <w:color w:val="000000"/>
        </w:rPr>
      </w:pPr>
      <w:r>
        <w:rPr>
          <w:rFonts w:ascii="Palatino Linotype" w:eastAsia="Palatino Linotype" w:hAnsi="Palatino Linotype" w:cs="Palatino Linotype"/>
          <w:i/>
          <w:color w:val="000000"/>
          <w:sz w:val="22"/>
          <w:szCs w:val="22"/>
        </w:rPr>
        <w:t>Amparo en revisión 2022/61. José García Florín (Menor). 9 de octubre de 1961. Cinco votos. Ponente: José Rivera Pérez Campos.”</w:t>
      </w:r>
    </w:p>
    <w:p w14:paraId="7CC08F3E" w14:textId="77777777" w:rsidR="005B6925" w:rsidRDefault="007B48D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Además, y de conformidad con lo establecido en el artículo 12 de la Ley de Transparencia y Acceso a la Información Pública del Estado de México y Municipios, anteriormente invocado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sólo proporcionará la información que obra en sus archivos, lo que a</w:t>
      </w:r>
      <w:r>
        <w:rPr>
          <w:rFonts w:ascii="Palatino Linotype" w:eastAsia="Palatino Linotype" w:hAnsi="Palatino Linotype" w:cs="Palatino Linotype"/>
          <w:i/>
          <w:color w:val="000000"/>
        </w:rPr>
        <w:t xml:space="preserve"> contrario sensu</w:t>
      </w:r>
      <w:r>
        <w:rPr>
          <w:rFonts w:ascii="Palatino Linotype" w:eastAsia="Palatino Linotype" w:hAnsi="Palatino Linotype" w:cs="Palatino Linotype"/>
          <w:color w:val="000000"/>
        </w:rPr>
        <w:t xml:space="preserve"> significa que no se está obligado a proporcionar lo que no obre en sus archivos; por ende, las razones o motivos de inconformidad al respecto devienen infundados.</w:t>
      </w:r>
    </w:p>
    <w:p w14:paraId="02442F7E" w14:textId="77777777" w:rsidR="005B6925" w:rsidRDefault="007B48D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Aunado a lo anterior, este Pleno considera necesario dejar claro que, al haber existido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CDEB2E4" w14:textId="77777777" w:rsidR="005B6925" w:rsidRDefault="007B48D3">
      <w:pPr>
        <w:pBdr>
          <w:top w:val="nil"/>
          <w:left w:val="nil"/>
          <w:bottom w:val="nil"/>
          <w:right w:val="nil"/>
          <w:between w:val="nil"/>
        </w:pBdr>
        <w:ind w:left="860" w:right="560"/>
        <w:jc w:val="both"/>
        <w:rPr>
          <w:color w:val="000000"/>
        </w:rPr>
      </w:pPr>
      <w:r>
        <w:rPr>
          <w:rFonts w:ascii="Palatino Linotype" w:eastAsia="Palatino Linotype" w:hAnsi="Palatino Linotype" w:cs="Palatino Linotype"/>
          <w:i/>
          <w:color w:val="000000"/>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w:t>
      </w:r>
      <w:r>
        <w:rPr>
          <w:rFonts w:ascii="Palatino Linotype" w:eastAsia="Palatino Linotype" w:hAnsi="Palatino Linotype" w:cs="Palatino Linotype"/>
          <w:i/>
          <w:color w:val="000000"/>
          <w:sz w:val="22"/>
          <w:szCs w:val="22"/>
        </w:rPr>
        <w:lastRenderedPageBreak/>
        <w:t>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819E8F" w14:textId="77777777" w:rsidR="005B6925" w:rsidRDefault="005B6925">
      <w:pPr>
        <w:tabs>
          <w:tab w:val="left" w:pos="7938"/>
        </w:tabs>
        <w:spacing w:line="360" w:lineRule="auto"/>
        <w:jc w:val="both"/>
        <w:rPr>
          <w:rFonts w:ascii="Palatino Linotype" w:eastAsia="Palatino Linotype" w:hAnsi="Palatino Linotype" w:cs="Palatino Linotype"/>
        </w:rPr>
      </w:pPr>
    </w:p>
    <w:p w14:paraId="45ACBA97" w14:textId="77777777" w:rsidR="005B6925" w:rsidRDefault="007B48D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lo anterior, se considera que las razones o motivos de inconformidad planteadas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INFUNDADAS</w:t>
      </w:r>
      <w:r>
        <w:rPr>
          <w:rFonts w:ascii="Palatino Linotype" w:eastAsia="Palatino Linotype" w:hAnsi="Palatino Linotype" w:cs="Palatino Linotype"/>
        </w:rPr>
        <w:t xml:space="preserve">; en consecuencia, este Organismo Garante determina </w:t>
      </w:r>
      <w:r>
        <w:rPr>
          <w:rFonts w:ascii="Palatino Linotype" w:eastAsia="Palatino Linotype" w:hAnsi="Palatino Linotype" w:cs="Palatino Linotype"/>
          <w:b/>
        </w:rPr>
        <w:t xml:space="preserve">CONFIRMAR </w:t>
      </w:r>
      <w:r>
        <w:rPr>
          <w:rFonts w:ascii="Palatino Linotype" w:eastAsia="Palatino Linotype" w:hAnsi="Palatino Linotype" w:cs="Palatino Linotype"/>
        </w:rPr>
        <w:t xml:space="preserve">la respuesta otorgada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la solicitud </w:t>
      </w:r>
      <w:r>
        <w:rPr>
          <w:rFonts w:ascii="Palatino Linotype" w:eastAsia="Palatino Linotype" w:hAnsi="Palatino Linotype" w:cs="Palatino Linotype"/>
          <w:b/>
        </w:rPr>
        <w:t>00006/SAASCAEM/IP/2022.</w:t>
      </w:r>
    </w:p>
    <w:p w14:paraId="0E7F1DEE" w14:textId="77777777" w:rsidR="005B6925" w:rsidRDefault="005B6925">
      <w:pPr>
        <w:spacing w:line="360" w:lineRule="auto"/>
        <w:ind w:right="757"/>
        <w:jc w:val="both"/>
        <w:rPr>
          <w:rFonts w:ascii="Palatino Linotype" w:eastAsia="Palatino Linotype" w:hAnsi="Palatino Linotype" w:cs="Palatino Linotype"/>
        </w:rPr>
      </w:pPr>
    </w:p>
    <w:p w14:paraId="3DABFC97"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A06117D" w14:textId="77777777" w:rsidR="005B6925" w:rsidRDefault="005B6925">
      <w:pPr>
        <w:spacing w:line="360" w:lineRule="auto"/>
        <w:jc w:val="both"/>
        <w:rPr>
          <w:rFonts w:ascii="Palatino Linotype" w:eastAsia="Palatino Linotype" w:hAnsi="Palatino Linotype" w:cs="Palatino Linotype"/>
        </w:rPr>
      </w:pPr>
    </w:p>
    <w:p w14:paraId="25D999B7" w14:textId="77777777" w:rsidR="005B6925" w:rsidRDefault="005B6925">
      <w:pPr>
        <w:spacing w:line="360" w:lineRule="auto"/>
        <w:jc w:val="both"/>
        <w:rPr>
          <w:rFonts w:ascii="Palatino Linotype" w:eastAsia="Palatino Linotype" w:hAnsi="Palatino Linotype" w:cs="Palatino Linotype"/>
        </w:rPr>
      </w:pPr>
    </w:p>
    <w:p w14:paraId="27EAC8E4" w14:textId="77777777" w:rsidR="005B6925" w:rsidRDefault="005B6925">
      <w:pPr>
        <w:spacing w:line="360" w:lineRule="auto"/>
        <w:jc w:val="both"/>
        <w:rPr>
          <w:rFonts w:ascii="Palatino Linotype" w:eastAsia="Palatino Linotype" w:hAnsi="Palatino Linotype" w:cs="Palatino Linotype"/>
        </w:rPr>
      </w:pPr>
    </w:p>
    <w:p w14:paraId="75298A46" w14:textId="77777777" w:rsidR="005B6925" w:rsidRDefault="005B6925">
      <w:pPr>
        <w:spacing w:line="360" w:lineRule="auto"/>
        <w:jc w:val="both"/>
        <w:rPr>
          <w:rFonts w:ascii="Palatino Linotype" w:eastAsia="Palatino Linotype" w:hAnsi="Palatino Linotype" w:cs="Palatino Linotype"/>
        </w:rPr>
      </w:pPr>
    </w:p>
    <w:p w14:paraId="55AA8927" w14:textId="77777777" w:rsidR="005B6925" w:rsidRDefault="005B6925">
      <w:pPr>
        <w:spacing w:line="360" w:lineRule="auto"/>
        <w:jc w:val="both"/>
        <w:rPr>
          <w:rFonts w:ascii="Palatino Linotype" w:eastAsia="Palatino Linotype" w:hAnsi="Palatino Linotype" w:cs="Palatino Linotype"/>
        </w:rPr>
      </w:pPr>
    </w:p>
    <w:p w14:paraId="0A5C8266" w14:textId="77777777" w:rsidR="005B6925" w:rsidRDefault="005B6925">
      <w:pPr>
        <w:spacing w:line="360" w:lineRule="auto"/>
        <w:jc w:val="both"/>
        <w:rPr>
          <w:rFonts w:ascii="Palatino Linotype" w:eastAsia="Palatino Linotype" w:hAnsi="Palatino Linotype" w:cs="Palatino Linotype"/>
        </w:rPr>
      </w:pPr>
    </w:p>
    <w:p w14:paraId="1A0345BE" w14:textId="77777777" w:rsidR="005B6925" w:rsidRDefault="007B48D3">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R E S U E L V E:</w:t>
      </w:r>
    </w:p>
    <w:p w14:paraId="0A9756D4"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INFUNDADAS</w:t>
      </w:r>
      <w:r>
        <w:rPr>
          <w:rFonts w:ascii="Palatino Linotype" w:eastAsia="Palatino Linotype" w:hAnsi="Palatino Linotype" w:cs="Palatino Linotype"/>
        </w:rPr>
        <w:t xml:space="preserve">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02219/INFOEM/IP/RR/2022, </w:t>
      </w:r>
      <w:r>
        <w:rPr>
          <w:rFonts w:ascii="Palatino Linotype" w:eastAsia="Palatino Linotype" w:hAnsi="Palatino Linotype" w:cs="Palatino Linotype"/>
        </w:rPr>
        <w:t xml:space="preserve">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6AEABD75" w14:textId="77777777" w:rsidR="005B6925" w:rsidRDefault="005B6925">
      <w:pPr>
        <w:widowControl w:val="0"/>
        <w:spacing w:line="360" w:lineRule="auto"/>
        <w:jc w:val="both"/>
        <w:rPr>
          <w:rFonts w:ascii="Palatino Linotype" w:eastAsia="Palatino Linotype" w:hAnsi="Palatino Linotype" w:cs="Palatino Linotype"/>
          <w:b/>
        </w:rPr>
      </w:pPr>
      <w:bookmarkStart w:id="4" w:name="_heading=h.30j0zll" w:colFirst="0" w:colLast="0"/>
      <w:bookmarkEnd w:id="4"/>
    </w:p>
    <w:p w14:paraId="4A73256B" w14:textId="77777777" w:rsidR="005B6925" w:rsidRDefault="007B48D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CONFIRMA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otorgada a la solicitud de acceso a la Información Pública número </w:t>
      </w:r>
      <w:r>
        <w:rPr>
          <w:rFonts w:ascii="Palatino Linotype" w:eastAsia="Palatino Linotype" w:hAnsi="Palatino Linotype" w:cs="Palatino Linotype"/>
          <w:b/>
        </w:rPr>
        <w:t>00006/SAASCAEM/IP/2022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w:t>
      </w:r>
    </w:p>
    <w:p w14:paraId="3E6F53B6" w14:textId="77777777" w:rsidR="005B6925" w:rsidRDefault="005B6925">
      <w:pPr>
        <w:widowControl w:val="0"/>
        <w:pBdr>
          <w:top w:val="nil"/>
          <w:left w:val="nil"/>
          <w:bottom w:val="nil"/>
          <w:right w:val="nil"/>
          <w:between w:val="nil"/>
        </w:pBdr>
        <w:spacing w:line="360" w:lineRule="auto"/>
        <w:ind w:left="1080"/>
        <w:jc w:val="both"/>
        <w:rPr>
          <w:rFonts w:ascii="Palatino Linotype" w:eastAsia="Palatino Linotype" w:hAnsi="Palatino Linotype" w:cs="Palatino Linotype"/>
          <w:color w:val="000000"/>
        </w:rPr>
      </w:pPr>
    </w:p>
    <w:p w14:paraId="4FEB3ECA" w14:textId="77777777" w:rsidR="005B6925" w:rsidRDefault="007B48D3">
      <w:pPr>
        <w:tabs>
          <w:tab w:val="left" w:pos="8080"/>
        </w:tabs>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su conocimiento</w:t>
      </w:r>
      <w:r>
        <w:rPr>
          <w:rFonts w:ascii="Palatino Linotype" w:eastAsia="Palatino Linotype" w:hAnsi="Palatino Linotype" w:cs="Palatino Linotype"/>
          <w:b/>
        </w:rPr>
        <w:t>.</w:t>
      </w:r>
    </w:p>
    <w:p w14:paraId="0ED4A4C7" w14:textId="77777777" w:rsidR="005B6925" w:rsidRDefault="005B6925">
      <w:pPr>
        <w:pBdr>
          <w:top w:val="nil"/>
          <w:left w:val="nil"/>
          <w:bottom w:val="nil"/>
          <w:right w:val="nil"/>
          <w:between w:val="nil"/>
        </w:pBdr>
        <w:tabs>
          <w:tab w:val="left" w:pos="8080"/>
        </w:tabs>
        <w:spacing w:line="360" w:lineRule="auto"/>
        <w:ind w:left="1080" w:right="49"/>
        <w:jc w:val="both"/>
        <w:rPr>
          <w:rFonts w:ascii="Palatino Linotype" w:eastAsia="Palatino Linotype" w:hAnsi="Palatino Linotype" w:cs="Palatino Linotype"/>
          <w:b/>
          <w:color w:val="000000"/>
        </w:rPr>
      </w:pPr>
    </w:p>
    <w:p w14:paraId="0EC20E28" w14:textId="77777777" w:rsidR="005B6925" w:rsidRDefault="007B48D3">
      <w:pPr>
        <w:shd w:val="clear" w:color="auto" w:fill="FFFFFF"/>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al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la presente resolución vía Sistema de Acceso a la Información Mexiquense.</w:t>
      </w:r>
    </w:p>
    <w:p w14:paraId="45A5E049" w14:textId="77777777" w:rsidR="005B6925" w:rsidRDefault="005B6925">
      <w:pPr>
        <w:shd w:val="clear" w:color="auto" w:fill="FFFFFF"/>
        <w:spacing w:line="360" w:lineRule="auto"/>
        <w:jc w:val="both"/>
        <w:rPr>
          <w:rFonts w:ascii="Palatino Linotype" w:eastAsia="Palatino Linotype" w:hAnsi="Palatino Linotype" w:cs="Palatino Linotype"/>
          <w:b/>
        </w:rPr>
      </w:pPr>
    </w:p>
    <w:p w14:paraId="079A1C80" w14:textId="77777777" w:rsidR="005B6925" w:rsidRDefault="007B48D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Se hace del conocimiento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E441505" w14:textId="77777777" w:rsidR="005B6925" w:rsidRDefault="005B6925">
      <w:pPr>
        <w:spacing w:line="360" w:lineRule="auto"/>
        <w:jc w:val="both"/>
        <w:rPr>
          <w:rFonts w:ascii="Palatino Linotype" w:eastAsia="Palatino Linotype" w:hAnsi="Palatino Linotype" w:cs="Palatino Linotype"/>
        </w:rPr>
      </w:pPr>
    </w:p>
    <w:p w14:paraId="54E73556" w14:textId="77777777" w:rsidR="005B6925" w:rsidRDefault="007B48D3">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 DE MAYO DE DOS MIL VEINTIDÓS, ANTE EL SECRETARIO TÉCNICO DEL PLENO, ALEXIS TAPIA RAMÍREZ.</w:t>
      </w:r>
    </w:p>
    <w:p w14:paraId="44F5F9E3" w14:textId="55C9DA55" w:rsidR="005B6925" w:rsidRDefault="00134272">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0288" behindDoc="0" locked="0" layoutInCell="1" allowOverlap="1" wp14:anchorId="3BC9E2B8" wp14:editId="4ED721F5">
                <wp:simplePos x="0" y="0"/>
                <wp:positionH relativeFrom="column">
                  <wp:posOffset>238301</wp:posOffset>
                </wp:positionH>
                <wp:positionV relativeFrom="paragraph">
                  <wp:posOffset>100506</wp:posOffset>
                </wp:positionV>
                <wp:extent cx="5316279" cy="4061637"/>
                <wp:effectExtent l="38100" t="19050" r="55880" b="91440"/>
                <wp:wrapNone/>
                <wp:docPr id="4" name="Conector recto 4"/>
                <wp:cNvGraphicFramePr/>
                <a:graphic xmlns:a="http://schemas.openxmlformats.org/drawingml/2006/main">
                  <a:graphicData uri="http://schemas.microsoft.com/office/word/2010/wordprocessingShape">
                    <wps:wsp>
                      <wps:cNvCnPr/>
                      <wps:spPr>
                        <a:xfrm>
                          <a:off x="0" y="0"/>
                          <a:ext cx="5316279" cy="406163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8AE53F"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75pt,7.9pt" to="437.35pt,3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" strokecolor="#4f81bd [3204]" strokeweight="2pt">
                <v:shadow on="t" color="black" opacity="24903f" origin=",.5" offset="0,.55556mm"/>
              </v:line>
            </w:pict>
          </mc:Fallback>
        </mc:AlternateContent>
      </w:r>
    </w:p>
    <w:p w14:paraId="2B80448B" w14:textId="77777777" w:rsidR="005B6925" w:rsidRDefault="005B6925">
      <w:pPr>
        <w:spacing w:before="240" w:after="240"/>
        <w:jc w:val="both"/>
        <w:rPr>
          <w:rFonts w:ascii="Palatino Linotype" w:eastAsia="Palatino Linotype" w:hAnsi="Palatino Linotype" w:cs="Palatino Linotype"/>
          <w:sz w:val="20"/>
          <w:szCs w:val="20"/>
        </w:rPr>
      </w:pPr>
    </w:p>
    <w:p w14:paraId="72D2627B" w14:textId="77777777" w:rsidR="005B6925" w:rsidRDefault="005B6925">
      <w:pPr>
        <w:spacing w:before="240" w:after="240"/>
        <w:jc w:val="both"/>
        <w:rPr>
          <w:rFonts w:ascii="Palatino Linotype" w:eastAsia="Palatino Linotype" w:hAnsi="Palatino Linotype" w:cs="Palatino Linotype"/>
          <w:sz w:val="20"/>
          <w:szCs w:val="20"/>
        </w:rPr>
      </w:pPr>
    </w:p>
    <w:p w14:paraId="0C190EA9" w14:textId="77777777" w:rsidR="005B6925" w:rsidRDefault="005B6925">
      <w:pPr>
        <w:spacing w:before="240" w:after="240"/>
        <w:jc w:val="both"/>
        <w:rPr>
          <w:rFonts w:ascii="Palatino Linotype" w:eastAsia="Palatino Linotype" w:hAnsi="Palatino Linotype" w:cs="Palatino Linotype"/>
          <w:sz w:val="20"/>
          <w:szCs w:val="20"/>
        </w:rPr>
      </w:pPr>
    </w:p>
    <w:p w14:paraId="3854142E" w14:textId="77777777" w:rsidR="005B6925" w:rsidRDefault="005B6925">
      <w:pPr>
        <w:spacing w:before="240" w:after="240"/>
        <w:jc w:val="both"/>
        <w:rPr>
          <w:rFonts w:ascii="Palatino Linotype" w:eastAsia="Palatino Linotype" w:hAnsi="Palatino Linotype" w:cs="Palatino Linotype"/>
          <w:sz w:val="20"/>
          <w:szCs w:val="20"/>
        </w:rPr>
      </w:pPr>
    </w:p>
    <w:p w14:paraId="0C96F7B0" w14:textId="77777777" w:rsidR="005B6925" w:rsidRDefault="005B6925">
      <w:pPr>
        <w:spacing w:before="240" w:after="240"/>
        <w:jc w:val="both"/>
        <w:rPr>
          <w:rFonts w:ascii="Palatino Linotype" w:eastAsia="Palatino Linotype" w:hAnsi="Palatino Linotype" w:cs="Palatino Linotype"/>
          <w:sz w:val="20"/>
          <w:szCs w:val="20"/>
        </w:rPr>
      </w:pPr>
    </w:p>
    <w:p w14:paraId="16A8DFA6" w14:textId="77777777" w:rsidR="005B6925" w:rsidRDefault="005B6925">
      <w:pPr>
        <w:spacing w:before="240" w:after="240"/>
        <w:jc w:val="both"/>
        <w:rPr>
          <w:rFonts w:ascii="Palatino Linotype" w:eastAsia="Palatino Linotype" w:hAnsi="Palatino Linotype" w:cs="Palatino Linotype"/>
          <w:sz w:val="20"/>
          <w:szCs w:val="20"/>
        </w:rPr>
      </w:pPr>
    </w:p>
    <w:p w14:paraId="6798AC6F" w14:textId="77777777" w:rsidR="005B6925" w:rsidRDefault="005B6925">
      <w:pPr>
        <w:spacing w:before="240" w:after="240"/>
        <w:jc w:val="both"/>
        <w:rPr>
          <w:rFonts w:ascii="Palatino Linotype" w:eastAsia="Palatino Linotype" w:hAnsi="Palatino Linotype" w:cs="Palatino Linotype"/>
          <w:sz w:val="20"/>
          <w:szCs w:val="20"/>
        </w:rPr>
      </w:pPr>
    </w:p>
    <w:p w14:paraId="671C02F3" w14:textId="77777777" w:rsidR="005B6925" w:rsidRDefault="005B6925">
      <w:pPr>
        <w:spacing w:before="240" w:after="240"/>
        <w:jc w:val="both"/>
        <w:rPr>
          <w:rFonts w:ascii="Palatino Linotype" w:eastAsia="Palatino Linotype" w:hAnsi="Palatino Linotype" w:cs="Palatino Linotype"/>
          <w:sz w:val="20"/>
          <w:szCs w:val="20"/>
        </w:rPr>
      </w:pPr>
    </w:p>
    <w:p w14:paraId="38AA224F" w14:textId="77777777" w:rsidR="005B6925" w:rsidRDefault="005B6925">
      <w:pPr>
        <w:spacing w:before="240" w:after="240"/>
        <w:jc w:val="both"/>
        <w:rPr>
          <w:rFonts w:ascii="Palatino Linotype" w:eastAsia="Palatino Linotype" w:hAnsi="Palatino Linotype" w:cs="Palatino Linotype"/>
          <w:sz w:val="20"/>
          <w:szCs w:val="20"/>
        </w:rPr>
      </w:pPr>
    </w:p>
    <w:p w14:paraId="71F2F81A" w14:textId="77777777" w:rsidR="005B6925" w:rsidRDefault="005B6925">
      <w:pPr>
        <w:spacing w:before="240" w:after="240"/>
        <w:jc w:val="both"/>
        <w:rPr>
          <w:rFonts w:ascii="Palatino Linotype" w:eastAsia="Palatino Linotype" w:hAnsi="Palatino Linotype" w:cs="Palatino Linotype"/>
          <w:sz w:val="20"/>
          <w:szCs w:val="20"/>
        </w:rPr>
      </w:pPr>
    </w:p>
    <w:p w14:paraId="1125019F" w14:textId="77777777" w:rsidR="005B6925" w:rsidRDefault="005B6925">
      <w:pPr>
        <w:spacing w:before="240" w:after="240"/>
        <w:jc w:val="both"/>
        <w:rPr>
          <w:rFonts w:ascii="Palatino Linotype" w:eastAsia="Palatino Linotype" w:hAnsi="Palatino Linotype" w:cs="Palatino Linotype"/>
          <w:sz w:val="20"/>
          <w:szCs w:val="20"/>
        </w:rPr>
      </w:pPr>
    </w:p>
    <w:p w14:paraId="53BBF41F" w14:textId="77777777" w:rsidR="005B6925" w:rsidRDefault="005B6925">
      <w:pPr>
        <w:spacing w:before="240" w:after="240"/>
        <w:jc w:val="both"/>
        <w:rPr>
          <w:rFonts w:ascii="Palatino Linotype" w:eastAsia="Palatino Linotype" w:hAnsi="Palatino Linotype" w:cs="Palatino Linotype"/>
          <w:sz w:val="20"/>
          <w:szCs w:val="20"/>
        </w:rPr>
      </w:pPr>
    </w:p>
    <w:p w14:paraId="6C912E6A" w14:textId="77777777" w:rsidR="005B6925" w:rsidRDefault="005B6925">
      <w:pPr>
        <w:spacing w:before="240" w:after="240"/>
        <w:jc w:val="both"/>
        <w:rPr>
          <w:rFonts w:ascii="Palatino Linotype" w:eastAsia="Palatino Linotype" w:hAnsi="Palatino Linotype" w:cs="Palatino Linotype"/>
          <w:sz w:val="20"/>
          <w:szCs w:val="20"/>
        </w:rPr>
      </w:pPr>
    </w:p>
    <w:p w14:paraId="18AE7A97" w14:textId="77777777" w:rsidR="005B6925" w:rsidRDefault="005B6925">
      <w:pPr>
        <w:spacing w:before="240" w:after="240"/>
        <w:jc w:val="both"/>
        <w:rPr>
          <w:rFonts w:ascii="Palatino Linotype" w:eastAsia="Palatino Linotype" w:hAnsi="Palatino Linotype" w:cs="Palatino Linotype"/>
          <w:sz w:val="20"/>
          <w:szCs w:val="20"/>
        </w:rPr>
      </w:pPr>
    </w:p>
    <w:p w14:paraId="78A1C3DA" w14:textId="77777777" w:rsidR="005B6925" w:rsidRDefault="005B6925">
      <w:pPr>
        <w:spacing w:before="240" w:after="240"/>
        <w:jc w:val="both"/>
        <w:rPr>
          <w:rFonts w:ascii="Palatino Linotype" w:eastAsia="Palatino Linotype" w:hAnsi="Palatino Linotype" w:cs="Palatino Linotype"/>
          <w:sz w:val="20"/>
          <w:szCs w:val="20"/>
        </w:rPr>
      </w:pPr>
    </w:p>
    <w:p w14:paraId="70E36998" w14:textId="77777777" w:rsidR="005B6925" w:rsidRDefault="005B6925">
      <w:pPr>
        <w:spacing w:before="240" w:after="240"/>
        <w:jc w:val="both"/>
        <w:rPr>
          <w:rFonts w:ascii="Palatino Linotype" w:eastAsia="Palatino Linotype" w:hAnsi="Palatino Linotype" w:cs="Palatino Linotype"/>
          <w:sz w:val="20"/>
          <w:szCs w:val="20"/>
        </w:rPr>
      </w:pPr>
    </w:p>
    <w:p w14:paraId="5F56DF88" w14:textId="77777777" w:rsidR="005B6925" w:rsidRDefault="005B6925">
      <w:pPr>
        <w:spacing w:before="240" w:after="240"/>
        <w:jc w:val="both"/>
        <w:rPr>
          <w:rFonts w:ascii="Palatino Linotype" w:eastAsia="Palatino Linotype" w:hAnsi="Palatino Linotype" w:cs="Palatino Linotype"/>
          <w:sz w:val="20"/>
          <w:szCs w:val="20"/>
        </w:rPr>
      </w:pPr>
    </w:p>
    <w:p w14:paraId="22CA533A" w14:textId="77777777" w:rsidR="005B6925" w:rsidRDefault="005B6925">
      <w:pPr>
        <w:spacing w:before="240" w:after="240"/>
        <w:jc w:val="both"/>
        <w:rPr>
          <w:rFonts w:ascii="Palatino Linotype" w:eastAsia="Palatino Linotype" w:hAnsi="Palatino Linotype" w:cs="Palatino Linotype"/>
          <w:sz w:val="20"/>
          <w:szCs w:val="20"/>
        </w:rPr>
      </w:pPr>
    </w:p>
    <w:p w14:paraId="46E7A459" w14:textId="77777777" w:rsidR="005B6925" w:rsidRDefault="005B6925">
      <w:pPr>
        <w:spacing w:before="240" w:after="240"/>
        <w:jc w:val="both"/>
        <w:rPr>
          <w:rFonts w:ascii="Palatino Linotype" w:eastAsia="Palatino Linotype" w:hAnsi="Palatino Linotype" w:cs="Palatino Linotype"/>
          <w:sz w:val="20"/>
          <w:szCs w:val="20"/>
        </w:rPr>
      </w:pPr>
    </w:p>
    <w:p w14:paraId="3F98C0BA" w14:textId="77777777" w:rsidR="005B6925" w:rsidRDefault="005B6925">
      <w:pPr>
        <w:spacing w:before="240" w:after="240"/>
        <w:jc w:val="both"/>
        <w:rPr>
          <w:rFonts w:ascii="Palatino Linotype" w:eastAsia="Palatino Linotype" w:hAnsi="Palatino Linotype" w:cs="Palatino Linotype"/>
          <w:sz w:val="20"/>
          <w:szCs w:val="20"/>
        </w:rPr>
      </w:pPr>
    </w:p>
    <w:p w14:paraId="6226639A" w14:textId="77777777" w:rsidR="005B6925" w:rsidRDefault="005B6925">
      <w:pPr>
        <w:spacing w:before="240" w:after="240"/>
        <w:jc w:val="both"/>
        <w:rPr>
          <w:rFonts w:ascii="Palatino Linotype" w:eastAsia="Palatino Linotype" w:hAnsi="Palatino Linotype" w:cs="Palatino Linotype"/>
          <w:sz w:val="20"/>
          <w:szCs w:val="20"/>
        </w:rPr>
      </w:pPr>
    </w:p>
    <w:p w14:paraId="75C80872" w14:textId="77777777" w:rsidR="005B6925" w:rsidRDefault="005B6925">
      <w:pPr>
        <w:spacing w:before="240" w:after="240"/>
        <w:jc w:val="both"/>
        <w:rPr>
          <w:rFonts w:ascii="Palatino Linotype" w:eastAsia="Palatino Linotype" w:hAnsi="Palatino Linotype" w:cs="Palatino Linotype"/>
          <w:sz w:val="20"/>
          <w:szCs w:val="20"/>
        </w:rPr>
      </w:pPr>
    </w:p>
    <w:sectPr w:rsidR="005B6925">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8AF63" w14:textId="77777777" w:rsidR="0003688C" w:rsidRDefault="0003688C">
      <w:r>
        <w:separator/>
      </w:r>
    </w:p>
  </w:endnote>
  <w:endnote w:type="continuationSeparator" w:id="0">
    <w:p w14:paraId="54E0110C" w14:textId="77777777" w:rsidR="0003688C" w:rsidRDefault="0003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DA029" w14:textId="77777777" w:rsidR="005B6925" w:rsidRDefault="007B48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3867">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3867">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7946476B" w14:textId="77777777" w:rsidR="005B6925" w:rsidRDefault="007B48D3">
    <w:pPr>
      <w:pBdr>
        <w:top w:val="nil"/>
        <w:left w:val="nil"/>
        <w:bottom w:val="nil"/>
        <w:right w:val="nil"/>
        <w:between w:val="nil"/>
      </w:pBdr>
      <w:tabs>
        <w:tab w:val="center" w:pos="4252"/>
        <w:tab w:val="right" w:pos="8504"/>
      </w:tabs>
      <w:ind w:firstLine="708"/>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F0F6157" wp14:editId="5C160EE9">
          <wp:simplePos x="0" y="0"/>
          <wp:positionH relativeFrom="column">
            <wp:posOffset>-3505197</wp:posOffset>
          </wp:positionH>
          <wp:positionV relativeFrom="paragraph">
            <wp:posOffset>264435824</wp:posOffset>
          </wp:positionV>
          <wp:extent cx="7809865" cy="10165715"/>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72277" w14:textId="77777777" w:rsidR="005B6925" w:rsidRDefault="007B48D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0386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03867">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1441E2C9" w14:textId="77777777" w:rsidR="005B6925" w:rsidRDefault="005B692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168CF" w14:textId="77777777" w:rsidR="0003688C" w:rsidRDefault="0003688C">
      <w:r>
        <w:separator/>
      </w:r>
    </w:p>
  </w:footnote>
  <w:footnote w:type="continuationSeparator" w:id="0">
    <w:p w14:paraId="50270EDF" w14:textId="77777777" w:rsidR="0003688C" w:rsidRDefault="0003688C">
      <w:r>
        <w:continuationSeparator/>
      </w:r>
    </w:p>
  </w:footnote>
  <w:footnote w:id="1">
    <w:p w14:paraId="7E299E60" w14:textId="77777777" w:rsidR="005B6925" w:rsidRDefault="007B48D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DADCD6D" w14:textId="77777777" w:rsidR="005B6925" w:rsidRDefault="007B48D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3A62D" w14:textId="0B92A764" w:rsidR="005B6925" w:rsidRDefault="00CD63FB">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61312" behindDoc="1" locked="0" layoutInCell="1" hidden="0" allowOverlap="1" wp14:anchorId="6D14FE80" wp14:editId="0D36808D">
          <wp:simplePos x="0" y="0"/>
          <wp:positionH relativeFrom="column">
            <wp:posOffset>-969040</wp:posOffset>
          </wp:positionH>
          <wp:positionV relativeFrom="paragraph">
            <wp:posOffset>-290018</wp:posOffset>
          </wp:positionV>
          <wp:extent cx="7809865" cy="101657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d"/>
      <w:tblW w:w="5953" w:type="dxa"/>
      <w:tblInd w:w="3261" w:type="dxa"/>
      <w:tblLayout w:type="fixed"/>
      <w:tblLook w:val="0400" w:firstRow="0" w:lastRow="0" w:firstColumn="0" w:lastColumn="0" w:noHBand="0" w:noVBand="1"/>
    </w:tblPr>
    <w:tblGrid>
      <w:gridCol w:w="2489"/>
      <w:gridCol w:w="3464"/>
    </w:tblGrid>
    <w:tr w:rsidR="005B6925" w14:paraId="312E2BD7" w14:textId="77777777">
      <w:tc>
        <w:tcPr>
          <w:tcW w:w="2489" w:type="dxa"/>
          <w:shd w:val="clear" w:color="auto" w:fill="auto"/>
        </w:tcPr>
        <w:p w14:paraId="6D9AE55C" w14:textId="77777777" w:rsidR="005B6925" w:rsidRDefault="007B48D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6A5DF288" w14:textId="77777777" w:rsidR="005B6925" w:rsidRDefault="007B48D3">
          <w:pPr>
            <w:ind w:right="175"/>
            <w:jc w:val="both"/>
            <w:rPr>
              <w:rFonts w:ascii="Palatino Linotype" w:eastAsia="Palatino Linotype" w:hAnsi="Palatino Linotype" w:cs="Palatino Linotype"/>
              <w:b/>
            </w:rPr>
          </w:pPr>
          <w:r>
            <w:rPr>
              <w:rFonts w:ascii="Palatino Linotype" w:eastAsia="Palatino Linotype" w:hAnsi="Palatino Linotype" w:cs="Palatino Linotype"/>
              <w:b/>
            </w:rPr>
            <w:t>02219/INFOEM/IP/RR/2022</w:t>
          </w:r>
        </w:p>
      </w:tc>
    </w:tr>
    <w:tr w:rsidR="005B6925" w14:paraId="2255BFAD" w14:textId="77777777">
      <w:trPr>
        <w:trHeight w:val="228"/>
      </w:trPr>
      <w:tc>
        <w:tcPr>
          <w:tcW w:w="2489" w:type="dxa"/>
          <w:shd w:val="clear" w:color="auto" w:fill="auto"/>
          <w:vAlign w:val="center"/>
        </w:tcPr>
        <w:p w14:paraId="5354A82D" w14:textId="7DE276DD" w:rsidR="005B6925" w:rsidRDefault="007B48D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71C4B4B7" w14:textId="77777777" w:rsidR="005B6925" w:rsidRDefault="007B48D3">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Sistema de Autopistas, Aeropuertos, Servicios Conexos y Auxiliares del Estado de México</w:t>
          </w:r>
        </w:p>
      </w:tc>
    </w:tr>
    <w:tr w:rsidR="005B6925" w14:paraId="5474E8FD" w14:textId="77777777">
      <w:trPr>
        <w:trHeight w:val="311"/>
      </w:trPr>
      <w:tc>
        <w:tcPr>
          <w:tcW w:w="2489" w:type="dxa"/>
          <w:shd w:val="clear" w:color="auto" w:fill="auto"/>
          <w:vAlign w:val="center"/>
        </w:tcPr>
        <w:p w14:paraId="4EA7189A" w14:textId="1F89FBEE" w:rsidR="005B6925" w:rsidRDefault="007B48D3">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7B67B418" w14:textId="77777777" w:rsidR="005B6925" w:rsidRDefault="007B48D3">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41B1DE2" w14:textId="77777777" w:rsidR="005B6925" w:rsidRDefault="007B48D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21530" w14:textId="77777777" w:rsidR="005B6925" w:rsidRDefault="007B48D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8240" behindDoc="1" locked="0" layoutInCell="1" hidden="0" allowOverlap="1" wp14:anchorId="5546E559" wp14:editId="1BD965F8">
          <wp:simplePos x="0" y="0"/>
          <wp:positionH relativeFrom="column">
            <wp:posOffset>-805812</wp:posOffset>
          </wp:positionH>
          <wp:positionV relativeFrom="paragraph">
            <wp:posOffset>-419732</wp:posOffset>
          </wp:positionV>
          <wp:extent cx="7809865" cy="10165715"/>
          <wp:effectExtent l="0" t="0" r="0"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6095" w:type="dxa"/>
      <w:tblInd w:w="3261" w:type="dxa"/>
      <w:tblLayout w:type="fixed"/>
      <w:tblLook w:val="0400" w:firstRow="0" w:lastRow="0" w:firstColumn="0" w:lastColumn="0" w:noHBand="0" w:noVBand="1"/>
    </w:tblPr>
    <w:tblGrid>
      <w:gridCol w:w="2551"/>
      <w:gridCol w:w="3544"/>
    </w:tblGrid>
    <w:tr w:rsidR="005B6925" w14:paraId="55D4B373" w14:textId="77777777">
      <w:tc>
        <w:tcPr>
          <w:tcW w:w="2551" w:type="dxa"/>
          <w:shd w:val="clear" w:color="auto" w:fill="auto"/>
          <w:vAlign w:val="center"/>
        </w:tcPr>
        <w:p w14:paraId="2063B33F" w14:textId="77777777" w:rsidR="005B6925" w:rsidRDefault="007B48D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2BE04570" w14:textId="77777777" w:rsidR="005B6925" w:rsidRDefault="007B48D3">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02219/INFOEM/IP/RR/2022</w:t>
          </w:r>
        </w:p>
      </w:tc>
    </w:tr>
    <w:tr w:rsidR="005B6925" w14:paraId="788EE508" w14:textId="77777777">
      <w:trPr>
        <w:trHeight w:val="130"/>
      </w:trPr>
      <w:tc>
        <w:tcPr>
          <w:tcW w:w="2551" w:type="dxa"/>
          <w:shd w:val="clear" w:color="auto" w:fill="auto"/>
          <w:vAlign w:val="center"/>
        </w:tcPr>
        <w:p w14:paraId="5BF533D8" w14:textId="77777777" w:rsidR="005B6925" w:rsidRDefault="007B48D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68D2C2FA" w14:textId="587D6724" w:rsidR="005B6925" w:rsidRDefault="00A03867" w:rsidP="00A03867">
          <w:pPr>
            <w:jc w:val="both"/>
            <w:rPr>
              <w:rFonts w:ascii="Palatino Linotype" w:eastAsia="Palatino Linotype" w:hAnsi="Palatino Linotype" w:cs="Palatino Linotype"/>
              <w:b/>
            </w:rPr>
          </w:pPr>
          <w:r>
            <w:rPr>
              <w:rFonts w:ascii="Palatino Linotype" w:eastAsia="Palatino Linotype" w:hAnsi="Palatino Linotype" w:cs="Palatino Linotype"/>
              <w:b/>
            </w:rPr>
            <w:t>xxxx</w:t>
          </w:r>
          <w:r w:rsidR="007B48D3">
            <w:rPr>
              <w:rFonts w:ascii="Palatino Linotype" w:eastAsia="Palatino Linotype" w:hAnsi="Palatino Linotype" w:cs="Palatino Linotype"/>
              <w:b/>
            </w:rPr>
            <w:t xml:space="preserve"> </w:t>
          </w:r>
          <w:r>
            <w:rPr>
              <w:rFonts w:ascii="Palatino Linotype" w:eastAsia="Palatino Linotype" w:hAnsi="Palatino Linotype" w:cs="Palatino Linotype"/>
              <w:b/>
            </w:rPr>
            <w:t>xxxxx</w:t>
          </w:r>
          <w:r w:rsidR="007B48D3">
            <w:rPr>
              <w:rFonts w:ascii="Palatino Linotype" w:eastAsia="Palatino Linotype" w:hAnsi="Palatino Linotype" w:cs="Palatino Linotype"/>
              <w:b/>
            </w:rPr>
            <w:t xml:space="preserve"> </w:t>
          </w:r>
          <w:r>
            <w:rPr>
              <w:rFonts w:ascii="Palatino Linotype" w:eastAsia="Palatino Linotype" w:hAnsi="Palatino Linotype" w:cs="Palatino Linotype"/>
              <w:b/>
            </w:rPr>
            <w:t>XXXXXXXX XXXXXXXX</w:t>
          </w:r>
        </w:p>
      </w:tc>
    </w:tr>
    <w:tr w:rsidR="005B6925" w14:paraId="3D8A4004" w14:textId="77777777">
      <w:trPr>
        <w:trHeight w:val="228"/>
      </w:trPr>
      <w:tc>
        <w:tcPr>
          <w:tcW w:w="2551" w:type="dxa"/>
          <w:shd w:val="clear" w:color="auto" w:fill="auto"/>
          <w:vAlign w:val="center"/>
        </w:tcPr>
        <w:p w14:paraId="1CF5598C" w14:textId="77777777" w:rsidR="005B6925" w:rsidRDefault="007B48D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0B790A3B" w14:textId="77777777" w:rsidR="005B6925" w:rsidRDefault="007B48D3">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Sistema de Autopistas, Aeropuertos, Servicios Conexos y Auxiliares del Estado de México</w:t>
          </w:r>
        </w:p>
      </w:tc>
    </w:tr>
    <w:tr w:rsidR="005B6925" w14:paraId="360507DB" w14:textId="77777777">
      <w:tc>
        <w:tcPr>
          <w:tcW w:w="2551" w:type="dxa"/>
          <w:shd w:val="clear" w:color="auto" w:fill="auto"/>
          <w:vAlign w:val="center"/>
        </w:tcPr>
        <w:p w14:paraId="7BC6B756" w14:textId="77777777" w:rsidR="005B6925" w:rsidRDefault="007B48D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11744EF0" w14:textId="77777777" w:rsidR="005B6925" w:rsidRDefault="007B48D3">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A0B3F03" w14:textId="77777777" w:rsidR="005B6925" w:rsidRDefault="005B692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EA2961"/>
    <w:multiLevelType w:val="multilevel"/>
    <w:tmpl w:val="6A68A9F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CEE0719"/>
    <w:multiLevelType w:val="multilevel"/>
    <w:tmpl w:val="E404099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925"/>
    <w:rsid w:val="0003688C"/>
    <w:rsid w:val="000B5E77"/>
    <w:rsid w:val="00134272"/>
    <w:rsid w:val="003E3C80"/>
    <w:rsid w:val="005B6925"/>
    <w:rsid w:val="00757250"/>
    <w:rsid w:val="007B48D3"/>
    <w:rsid w:val="009634A4"/>
    <w:rsid w:val="00A03867"/>
    <w:rsid w:val="00B624A9"/>
    <w:rsid w:val="00CD63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ED733"/>
  <w15:docId w15:val="{D8630F5A-C2E0-4FAD-821F-8840429B5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3"/>
    <w:rPr>
      <w:sz w:val="22"/>
      <w:szCs w:val="22"/>
    </w:rPr>
    <w:tblPr>
      <w:tblStyleRowBandSize w:val="1"/>
      <w:tblStyleColBandSize w:val="1"/>
      <w:tblCellMar>
        <w:left w:w="108" w:type="dxa"/>
        <w:right w:w="108" w:type="dxa"/>
      </w:tblCellMar>
    </w:tblPr>
  </w:style>
  <w:style w:type="table" w:customStyle="1" w:styleId="a0">
    <w:basedOn w:val="TableNormal3"/>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3"/>
    <w:rPr>
      <w:sz w:val="22"/>
      <w:szCs w:val="22"/>
    </w:rPr>
    <w:tblPr>
      <w:tblStyleRowBandSize w:val="1"/>
      <w:tblStyleColBandSize w:val="1"/>
      <w:tblCellMar>
        <w:left w:w="115" w:type="dxa"/>
        <w:right w:w="115" w:type="dxa"/>
      </w:tblCellMar>
    </w:tblPr>
  </w:style>
  <w:style w:type="table" w:customStyle="1" w:styleId="a6">
    <w:basedOn w:val="TableNormal3"/>
    <w:rPr>
      <w:sz w:val="22"/>
      <w:szCs w:val="22"/>
    </w:rPr>
    <w:tblPr>
      <w:tblStyleRowBandSize w:val="1"/>
      <w:tblStyleColBandSize w:val="1"/>
      <w:tblCellMar>
        <w:left w:w="115" w:type="dxa"/>
        <w:right w:w="115" w:type="dxa"/>
      </w:tblCellMar>
    </w:tblPr>
  </w:style>
  <w:style w:type="table" w:customStyle="1" w:styleId="a7">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2"/>
    <w:rPr>
      <w:sz w:val="22"/>
      <w:szCs w:val="22"/>
    </w:rPr>
    <w:tblPr>
      <w:tblStyleRowBandSize w:val="1"/>
      <w:tblStyleColBandSize w:val="1"/>
      <w:tblCellMar>
        <w:left w:w="115" w:type="dxa"/>
        <w:right w:w="115" w:type="dxa"/>
      </w:tblCellMar>
    </w:tblPr>
  </w:style>
  <w:style w:type="table" w:customStyle="1" w:styleId="a9">
    <w:basedOn w:val="TableNormal2"/>
    <w:rPr>
      <w:sz w:val="22"/>
      <w:szCs w:val="22"/>
    </w:rPr>
    <w:tblPr>
      <w:tblStyleRowBandSize w:val="1"/>
      <w:tblStyleColBandSize w:val="1"/>
      <w:tblCellMar>
        <w:left w:w="115" w:type="dxa"/>
        <w:right w:w="115" w:type="dxa"/>
      </w:tblCellMar>
    </w:tblPr>
  </w:style>
  <w:style w:type="table" w:customStyle="1" w:styleId="aa">
    <w:basedOn w:val="TableNormal1"/>
    <w:rPr>
      <w:sz w:val="22"/>
      <w:szCs w:val="22"/>
    </w:rPr>
    <w:tblPr>
      <w:tblStyleRowBandSize w:val="1"/>
      <w:tblStyleColBandSize w:val="1"/>
      <w:tblCellMar>
        <w:left w:w="115" w:type="dxa"/>
        <w:right w:w="115" w:type="dxa"/>
      </w:tblCellMar>
    </w:tblPr>
  </w:style>
  <w:style w:type="table" w:customStyle="1" w:styleId="ab">
    <w:basedOn w:val="TableNormal1"/>
    <w:rPr>
      <w:sz w:val="22"/>
      <w:szCs w:val="22"/>
    </w:rPr>
    <w:tblPr>
      <w:tblStyleRowBandSize w:val="1"/>
      <w:tblStyleColBandSize w:val="1"/>
      <w:tblCellMar>
        <w:left w:w="115" w:type="dxa"/>
        <w:right w:w="115" w:type="dxa"/>
      </w:tblCellMar>
    </w:tblPr>
  </w:style>
  <w:style w:type="table" w:customStyle="1" w:styleId="ac">
    <w:basedOn w:val="TableNormal0"/>
    <w:rPr>
      <w:sz w:val="22"/>
      <w:szCs w:val="22"/>
    </w:rPr>
    <w:tblPr>
      <w:tblStyleRowBandSize w:val="1"/>
      <w:tblStyleColBandSize w:val="1"/>
      <w:tblCellMar>
        <w:left w:w="115" w:type="dxa"/>
        <w:right w:w="115" w:type="dxa"/>
      </w:tblCellMar>
    </w:tblPr>
  </w:style>
  <w:style w:type="table" w:customStyle="1" w:styleId="ad">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2d3562mnxZ4G6qTRX6Q3pyXhNQ==">AMUW2mWx+LvXvuUn+JSWqyWybLyH8hY9+7a+Rt53ATOl/SNoMuGnwqTYkUxLA8hy1oMif6sbO39S+qPXO2ZbZyG8lcaDb6FaBZtdFtajjWWEtrN9Z/j1rDcpXzSoSEyR8LrR5uiZsCMhF+g+JNwQ3muipRvmrkZziLOYLmuHFtxFcH0g7ZZNtWE=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6810</Words>
  <Characters>37459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cp:lastPrinted>2022-05-22T05:19:00Z</cp:lastPrinted>
  <dcterms:created xsi:type="dcterms:W3CDTF">2022-06-08T01:38:00Z</dcterms:created>
  <dcterms:modified xsi:type="dcterms:W3CDTF">2022-06-08T01:39:00Z</dcterms:modified>
</cp:coreProperties>
</file>