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7ED7" w:rsidR="00836192" w:rsidP="003D45AC" w:rsidRDefault="00836192" w14:paraId="6A2027F0" w14:textId="47B99A73">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52D94">
        <w:rPr>
          <w:rFonts w:ascii="Palatino Linotype" w:hAnsi="Palatino Linotype" w:cs="Tahoma"/>
          <w:bCs/>
          <w:sz w:val="22"/>
          <w:szCs w:val="22"/>
        </w:rPr>
        <w:t>veinticuatro</w:t>
      </w:r>
      <w:r w:rsidR="007D2BD0">
        <w:rPr>
          <w:rFonts w:ascii="Palatino Linotype" w:hAnsi="Palatino Linotype" w:cs="Tahoma"/>
          <w:bCs/>
          <w:sz w:val="22"/>
          <w:szCs w:val="22"/>
        </w:rPr>
        <w:t xml:space="preserve"> de </w:t>
      </w:r>
      <w:r w:rsidR="00452D94">
        <w:rPr>
          <w:rFonts w:ascii="Palatino Linotype" w:hAnsi="Palatino Linotype" w:cs="Tahoma"/>
          <w:bCs/>
          <w:sz w:val="22"/>
          <w:szCs w:val="22"/>
        </w:rPr>
        <w:t>junio</w:t>
      </w:r>
      <w:r w:rsidR="00F86B39">
        <w:rPr>
          <w:rFonts w:ascii="Palatino Linotype" w:hAnsi="Palatino Linotype" w:cs="Tahoma"/>
          <w:bCs/>
          <w:sz w:val="22"/>
          <w:szCs w:val="22"/>
        </w:rPr>
        <w:t xml:space="preserve"> </w:t>
      </w:r>
      <w:r w:rsidRPr="000B7ED7">
        <w:rPr>
          <w:rFonts w:ascii="Palatino Linotype" w:hAnsi="Palatino Linotype" w:cs="Tahoma"/>
          <w:bCs/>
          <w:sz w:val="22"/>
          <w:szCs w:val="22"/>
        </w:rPr>
        <w:t>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rsidRPr="000B7ED7" w:rsidR="00836192" w:rsidP="003D45AC" w:rsidRDefault="00836192" w14:paraId="6EA90397" w14:textId="77777777">
      <w:pPr>
        <w:spacing w:line="360" w:lineRule="auto"/>
        <w:rPr>
          <w:rFonts w:ascii="Palatino Linotype" w:hAnsi="Palatino Linotype" w:cs="Tahoma"/>
          <w:bCs/>
          <w:sz w:val="22"/>
          <w:szCs w:val="22"/>
        </w:rPr>
      </w:pPr>
    </w:p>
    <w:p w:rsidRPr="000B7ED7" w:rsidR="00836192" w:rsidP="003D45AC" w:rsidRDefault="00836192" w14:paraId="64FBBD27" w14:textId="48C9FC11">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Pr="00452D94" w:rsidR="00452D94">
        <w:rPr>
          <w:rFonts w:ascii="Palatino Linotype" w:hAnsi="Palatino Linotype" w:cs="Tahoma"/>
          <w:bCs/>
          <w:color w:val="0D0D0D" w:themeColor="text1" w:themeTint="F2"/>
          <w:sz w:val="22"/>
          <w:szCs w:val="22"/>
        </w:rPr>
        <w:t>10531/INFOEM/IP/RR/2022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Pr="00452D94" w:rsidR="00452D94">
        <w:rPr>
          <w:rFonts w:ascii="Palatino Linotype" w:hAnsi="Palatino Linotype" w:cs="Tahoma"/>
          <w:color w:val="0D0D0D" w:themeColor="text1" w:themeTint="F2"/>
          <w:sz w:val="22"/>
          <w:szCs w:val="22"/>
        </w:rPr>
        <w:t>Sistema Municipal Para el Desarrollo Integral de la Familia de Metepec</w:t>
      </w:r>
      <w:r w:rsidRPr="000B7ED7">
        <w:rPr>
          <w:rFonts w:ascii="Palatino Linotype" w:hAnsi="Palatino Linotype" w:cs="Tahoma"/>
          <w:bCs/>
          <w:color w:val="0D0D0D" w:themeColor="text1" w:themeTint="F2"/>
          <w:sz w:val="22"/>
          <w:szCs w:val="22"/>
        </w:rPr>
        <w:t xml:space="preserve">, a la solicitud de acceso a la información pública </w:t>
      </w:r>
      <w:r w:rsidRPr="00452D94" w:rsidR="00452D94">
        <w:rPr>
          <w:rFonts w:ascii="Palatino Linotype" w:hAnsi="Palatino Linotype" w:cs="Tahoma"/>
          <w:bCs/>
          <w:color w:val="0D0D0D" w:themeColor="text1" w:themeTint="F2"/>
          <w:sz w:val="22"/>
          <w:szCs w:val="22"/>
        </w:rPr>
        <w:t>05821/DIFMETEPEC/IP/2022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rsidRPr="000B7ED7" w:rsidR="00836192" w:rsidP="003D45AC" w:rsidRDefault="00836192" w14:paraId="28946067" w14:textId="77777777">
      <w:pPr>
        <w:spacing w:line="360" w:lineRule="auto"/>
        <w:rPr>
          <w:rFonts w:ascii="Palatino Linotype" w:hAnsi="Palatino Linotype" w:cs="Tahoma"/>
          <w:sz w:val="22"/>
          <w:szCs w:val="22"/>
        </w:rPr>
      </w:pPr>
    </w:p>
    <w:p w:rsidRPr="000B7ED7" w:rsidR="00836192" w:rsidP="003D45AC"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3D45AC"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3D45AC"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3D45AC"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3D45AC" w:rsidRDefault="00836192" w14:paraId="1BA87F1F" w14:textId="73C382F9">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452D94">
        <w:rPr>
          <w:rFonts w:ascii="Palatino Linotype" w:hAnsi="Palatino Linotype" w:cs="Tahoma"/>
          <w:szCs w:val="22"/>
        </w:rPr>
        <w:t>veintiséis</w:t>
      </w:r>
      <w:r w:rsidRPr="000B7ED7" w:rsidR="0086262C">
        <w:rPr>
          <w:rFonts w:ascii="Palatino Linotype" w:hAnsi="Palatino Linotype" w:cs="Tahoma"/>
          <w:szCs w:val="22"/>
        </w:rPr>
        <w:t xml:space="preserve"> de </w:t>
      </w:r>
      <w:r w:rsidR="00452D94">
        <w:rPr>
          <w:rFonts w:ascii="Palatino Linotype" w:hAnsi="Palatino Linotype" w:cs="Tahoma"/>
          <w:szCs w:val="22"/>
        </w:rPr>
        <w:t>may</w:t>
      </w:r>
      <w:r w:rsidR="00C43D9A">
        <w:rPr>
          <w:rFonts w:ascii="Palatino Linotype" w:hAnsi="Palatino Linotype" w:cs="Tahoma"/>
          <w:szCs w:val="22"/>
        </w:rPr>
        <w:t>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el Particular presentó una solicitud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Pr="000B7ED7" w:rsidR="0086262C">
        <w:rPr>
          <w:rFonts w:ascii="Palatino Linotype" w:hAnsi="Palatino Linotype" w:cs="Tahoma"/>
          <w:szCs w:val="22"/>
        </w:rPr>
        <w:t xml:space="preserve"> </w:t>
      </w:r>
      <w:r w:rsidRPr="00452D94" w:rsidR="00452D94">
        <w:rPr>
          <w:rFonts w:ascii="Palatino Linotype" w:hAnsi="Palatino Linotype" w:cs="Tahoma"/>
          <w:szCs w:val="22"/>
        </w:rPr>
        <w:t>Sistema Municipal Para el Desarrollo Integral de la Familia de Metepec</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rsidRPr="000B7ED7" w:rsidR="00836192" w:rsidP="003D45AC"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F86B39" w:rsidR="00F86B39" w:rsidP="003D45AC" w:rsidRDefault="0086262C" w14:paraId="043D5A48" w14:textId="3623C826">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Pr="000B7ED7" w:rsidR="00836192">
        <w:rPr>
          <w:rFonts w:ascii="Palatino Linotype" w:hAnsi="Palatino Linotype" w:cs="Tahoma"/>
          <w:b/>
          <w:bCs/>
          <w:i/>
        </w:rPr>
        <w:t>DESCRIPCIÓN CLARA Y PRECISA DE LA INFORMACIÓN SOLICITADA</w:t>
      </w:r>
    </w:p>
    <w:p w:rsidRPr="000B7ED7" w:rsidR="00836192" w:rsidP="003D45AC" w:rsidRDefault="00452D94" w14:paraId="5BF45220" w14:textId="76012A89">
      <w:pPr>
        <w:tabs>
          <w:tab w:val="left" w:pos="4667"/>
        </w:tabs>
        <w:spacing w:line="360" w:lineRule="auto"/>
        <w:ind w:left="567" w:right="567"/>
        <w:jc w:val="both"/>
        <w:rPr>
          <w:rFonts w:ascii="Palatino Linotype" w:hAnsi="Palatino Linotype" w:cs="Tahoma"/>
          <w:bCs/>
          <w:i/>
        </w:rPr>
      </w:pPr>
      <w:r w:rsidRPr="00452D94">
        <w:rPr>
          <w:rFonts w:ascii="Palatino Linotype" w:hAnsi="Palatino Linotype" w:cs="Tahoma"/>
          <w:bCs/>
          <w:i/>
        </w:rPr>
        <w:t xml:space="preserve">Solicito todos los comprobantes de nominada de la Dirección de gobierno tesorería y sistema </w:t>
      </w:r>
      <w:proofErr w:type="spellStart"/>
      <w:r w:rsidRPr="00452D94">
        <w:rPr>
          <w:rFonts w:ascii="Palatino Linotype" w:hAnsi="Palatino Linotype" w:cs="Tahoma"/>
          <w:bCs/>
          <w:i/>
        </w:rPr>
        <w:t>anticoreupcion</w:t>
      </w:r>
      <w:proofErr w:type="spellEnd"/>
      <w:r w:rsidRPr="00452D94">
        <w:rPr>
          <w:rFonts w:ascii="Palatino Linotype" w:hAnsi="Palatino Linotype" w:cs="Tahoma"/>
          <w:bCs/>
          <w:i/>
        </w:rPr>
        <w:t xml:space="preserve"> y dirección de desarrollo social</w:t>
      </w:r>
      <w:r w:rsidRPr="000B7ED7" w:rsidR="0086262C">
        <w:rPr>
          <w:rFonts w:ascii="Palatino Linotype" w:hAnsi="Palatino Linotype" w:cs="Tahoma"/>
          <w:bCs/>
          <w:i/>
        </w:rPr>
        <w:t>”</w:t>
      </w:r>
      <w:r w:rsidR="00CF6D4F">
        <w:rPr>
          <w:rFonts w:ascii="Palatino Linotype" w:hAnsi="Palatino Linotype" w:cs="Tahoma"/>
          <w:bCs/>
          <w:i/>
        </w:rPr>
        <w:t xml:space="preserve"> </w:t>
      </w:r>
      <w:r w:rsidRPr="000B7ED7" w:rsidR="00836192">
        <w:rPr>
          <w:rFonts w:ascii="Palatino Linotype" w:hAnsi="Palatino Linotype" w:cs="Tahoma"/>
          <w:bCs/>
          <w:i/>
        </w:rPr>
        <w:t>(Sic)</w:t>
      </w:r>
    </w:p>
    <w:p w:rsidRPr="000B7ED7" w:rsidR="00836192" w:rsidP="003D45AC" w:rsidRDefault="00836192" w14:paraId="46FF76E2" w14:textId="77777777">
      <w:pPr>
        <w:tabs>
          <w:tab w:val="left" w:pos="4667"/>
        </w:tabs>
        <w:spacing w:line="360" w:lineRule="auto"/>
        <w:ind w:left="567" w:right="567"/>
        <w:jc w:val="both"/>
        <w:rPr>
          <w:rFonts w:ascii="Palatino Linotype" w:hAnsi="Palatino Linotype" w:cs="Tahoma"/>
          <w:bCs/>
          <w:i/>
        </w:rPr>
      </w:pPr>
    </w:p>
    <w:p w:rsidRPr="000B7ED7" w:rsidR="00836192" w:rsidP="003D45AC" w:rsidRDefault="007D2BD0" w14:paraId="51808D19" w14:textId="6107408E">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Pr="000B7ED7" w:rsidR="00836192">
        <w:rPr>
          <w:rFonts w:ascii="Palatino Linotype" w:hAnsi="Palatino Linotype" w:cs="Tahoma"/>
          <w:b/>
          <w:bCs/>
          <w:i/>
        </w:rPr>
        <w:t>MODALIDAD DE ENTREGA</w:t>
      </w:r>
    </w:p>
    <w:p w:rsidRPr="000B7ED7" w:rsidR="00836192" w:rsidP="003D45AC" w:rsidRDefault="00836192" w14:paraId="4BB1DF7C" w14:textId="51851A88">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rsidRPr="005864BF" w:rsidR="005864BF" w:rsidP="003D45AC" w:rsidRDefault="005864BF" w14:paraId="67FD01F9" w14:textId="77777777">
      <w:pPr>
        <w:tabs>
          <w:tab w:val="left" w:pos="4667"/>
        </w:tabs>
        <w:spacing w:line="360" w:lineRule="auto"/>
        <w:ind w:right="567"/>
        <w:jc w:val="both"/>
        <w:rPr>
          <w:rFonts w:ascii="Palatino Linotype" w:hAnsi="Palatino Linotype" w:cs="Tahoma"/>
          <w:b/>
          <w:bCs/>
          <w:sz w:val="22"/>
          <w:szCs w:val="24"/>
        </w:rPr>
      </w:pPr>
    </w:p>
    <w:p w:rsidRPr="005864BF" w:rsidR="005864BF" w:rsidP="003D45AC" w:rsidRDefault="005864BF" w14:paraId="70419A07" w14:textId="25C9AF39">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p w:rsidRPr="000B7ED7" w:rsidR="00836192" w:rsidP="003D45AC"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0B7ED7" w:rsidR="0086262C" w:rsidP="003D45AC" w:rsidRDefault="0086262C" w14:paraId="75479242" w14:textId="3FE6D83F">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452D94">
        <w:rPr>
          <w:rFonts w:ascii="Palatino Linotype" w:hAnsi="Palatino Linotype" w:cs="Tahoma"/>
          <w:bCs/>
          <w:szCs w:val="22"/>
        </w:rPr>
        <w:t>treinta</w:t>
      </w:r>
      <w:r w:rsidRPr="000B7ED7">
        <w:rPr>
          <w:rFonts w:ascii="Palatino Linotype" w:hAnsi="Palatino Linotype" w:cs="Tahoma"/>
          <w:bCs/>
          <w:szCs w:val="22"/>
        </w:rPr>
        <w:t xml:space="preserve"> de </w:t>
      </w:r>
      <w:r w:rsidR="00452D94">
        <w:rPr>
          <w:rFonts w:ascii="Palatino Linotype" w:hAnsi="Palatino Linotype" w:cs="Tahoma"/>
          <w:bCs/>
          <w:szCs w:val="22"/>
        </w:rPr>
        <w:t xml:space="preserve">mayo </w:t>
      </w:r>
      <w:r w:rsidRPr="000B7ED7" w:rsidR="00836192">
        <w:rPr>
          <w:rFonts w:ascii="Palatino Linotype" w:hAnsi="Palatino Linotype" w:cs="Tahoma"/>
          <w:bCs/>
          <w:szCs w:val="22"/>
        </w:rPr>
        <w:t>de dos mil veinti</w:t>
      </w:r>
      <w:r w:rsidR="00C43D9A">
        <w:rPr>
          <w:rFonts w:ascii="Palatino Linotype" w:hAnsi="Palatino Linotype" w:cs="Tahoma"/>
          <w:bCs/>
          <w:szCs w:val="22"/>
        </w:rPr>
        <w:t>dós</w:t>
      </w:r>
      <w:r w:rsidRPr="000B7ED7" w:rsidR="00836192">
        <w:rPr>
          <w:rFonts w:ascii="Palatino Linotype" w:hAnsi="Palatino Linotype" w:cs="Tahoma"/>
          <w:bCs/>
          <w:szCs w:val="22"/>
        </w:rPr>
        <w:t>,</w:t>
      </w:r>
      <w:r w:rsidRPr="000B7ED7" w:rsidR="00836192">
        <w:rPr>
          <w:rFonts w:ascii="Palatino Linotype" w:hAnsi="Palatino Linotype" w:cs="Tahoma"/>
          <w:szCs w:val="22"/>
        </w:rPr>
        <w:t xml:space="preserve"> </w:t>
      </w:r>
      <w:r w:rsidR="00C43D9A">
        <w:rPr>
          <w:rFonts w:ascii="Palatino Linotype" w:hAnsi="Palatino Linotype" w:cs="Tahoma"/>
          <w:szCs w:val="22"/>
        </w:rPr>
        <w:t xml:space="preserve">el </w:t>
      </w:r>
      <w:r w:rsidRPr="007849DD" w:rsidR="007849DD">
        <w:rPr>
          <w:rFonts w:ascii="Palatino Linotype" w:hAnsi="Palatino Linotype" w:cs="Tahoma"/>
          <w:szCs w:val="22"/>
        </w:rPr>
        <w:t>Sistema Municipal para el Desarrollo Integral de la Familia de Metepec</w:t>
      </w:r>
      <w:r w:rsidR="007849DD">
        <w:rPr>
          <w:rFonts w:ascii="Palatino Linotype" w:hAnsi="Palatino Linotype" w:cs="Tahoma"/>
          <w:szCs w:val="22"/>
        </w:rPr>
        <w:t xml:space="preserve"> </w:t>
      </w:r>
      <w:r w:rsidRPr="000B7ED7" w:rsidR="00836192">
        <w:rPr>
          <w:rFonts w:ascii="Palatino Linotype" w:hAnsi="Palatino Linotype" w:cs="Tahoma"/>
          <w:szCs w:val="22"/>
        </w:rPr>
        <w:t>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Pr="000B7ED7" w:rsidR="00836192">
        <w:rPr>
          <w:rFonts w:ascii="Palatino Linotype" w:hAnsi="Palatino Linotype" w:cs="Tahoma"/>
          <w:szCs w:val="22"/>
        </w:rPr>
        <w:t xml:space="preserve">información, </w:t>
      </w:r>
      <w:r w:rsidRPr="000B7ED7">
        <w:rPr>
          <w:rFonts w:ascii="Palatino Linotype" w:hAnsi="Palatino Linotype" w:cs="Tahoma"/>
          <w:szCs w:val="22"/>
        </w:rPr>
        <w:t xml:space="preserve">a través del oficio </w:t>
      </w:r>
      <w:r w:rsidR="007849DD">
        <w:rPr>
          <w:rFonts w:ascii="Palatino Linotype" w:hAnsi="Palatino Linotype" w:cs="Tahoma"/>
          <w:szCs w:val="22"/>
        </w:rPr>
        <w:t xml:space="preserve">sin </w:t>
      </w:r>
      <w:r w:rsidRPr="000B7ED7">
        <w:rPr>
          <w:rFonts w:ascii="Palatino Linotype" w:hAnsi="Palatino Linotype" w:cs="Tahoma"/>
          <w:szCs w:val="22"/>
        </w:rPr>
        <w:t>número, de</w:t>
      </w:r>
      <w:r w:rsidR="007849DD">
        <w:rPr>
          <w:rFonts w:ascii="Palatino Linotype" w:hAnsi="Palatino Linotype" w:cs="Tahoma"/>
          <w:szCs w:val="22"/>
        </w:rPr>
        <w:t xml:space="preserve"> </w:t>
      </w:r>
      <w:r w:rsidRPr="000B7ED7">
        <w:rPr>
          <w:rFonts w:ascii="Palatino Linotype" w:hAnsi="Palatino Linotype" w:cs="Tahoma"/>
          <w:szCs w:val="22"/>
        </w:rPr>
        <w:t>l</w:t>
      </w:r>
      <w:r w:rsidR="007849DD">
        <w:rPr>
          <w:rFonts w:ascii="Palatino Linotype" w:hAnsi="Palatino Linotype" w:cs="Tahoma"/>
          <w:szCs w:val="22"/>
        </w:rPr>
        <w:t>a</w:t>
      </w:r>
      <w:r w:rsidRPr="000B7ED7">
        <w:rPr>
          <w:rFonts w:ascii="Palatino Linotype" w:hAnsi="Palatino Linotype" w:cs="Tahoma"/>
          <w:szCs w:val="22"/>
        </w:rPr>
        <w:t xml:space="preserve"> </w:t>
      </w:r>
      <w:r w:rsidR="007849DD">
        <w:rPr>
          <w:rFonts w:ascii="Palatino Linotype" w:hAnsi="Palatino Linotype" w:cs="Tahoma"/>
          <w:szCs w:val="22"/>
        </w:rPr>
        <w:t>misma fecha de recepción</w:t>
      </w:r>
      <w:r w:rsidRPr="000B7ED7">
        <w:rPr>
          <w:rFonts w:ascii="Palatino Linotype" w:hAnsi="Palatino Linotype" w:cs="Tahoma"/>
          <w:szCs w:val="22"/>
        </w:rPr>
        <w:t xml:space="preserve">, suscrito por </w:t>
      </w:r>
      <w:r w:rsidR="002F4964">
        <w:rPr>
          <w:rFonts w:ascii="Palatino Linotype" w:hAnsi="Palatino Linotype" w:cs="Tahoma"/>
          <w:szCs w:val="22"/>
        </w:rPr>
        <w:t xml:space="preserve">el </w:t>
      </w:r>
      <w:r w:rsidR="007849DD">
        <w:rPr>
          <w:rFonts w:ascii="Palatino Linotype" w:hAnsi="Palatino Linotype" w:cs="Tahoma"/>
          <w:szCs w:val="22"/>
        </w:rPr>
        <w:t>Titular</w:t>
      </w:r>
      <w:r w:rsidR="002F4964">
        <w:rPr>
          <w:rFonts w:ascii="Palatino Linotype" w:hAnsi="Palatino Linotype" w:cs="Tahoma"/>
          <w:szCs w:val="22"/>
        </w:rPr>
        <w:t xml:space="preserve"> de la Unidad de </w:t>
      </w:r>
      <w:r w:rsidR="00F70958">
        <w:rPr>
          <w:rFonts w:ascii="Palatino Linotype" w:hAnsi="Palatino Linotype" w:cs="Tahoma"/>
          <w:szCs w:val="22"/>
        </w:rPr>
        <w:t>Transparencia,</w:t>
      </w:r>
      <w:r w:rsidRPr="000B7ED7">
        <w:rPr>
          <w:rFonts w:ascii="Palatino Linotype" w:hAnsi="Palatino Linotype" w:cs="Tahoma"/>
          <w:szCs w:val="22"/>
        </w:rPr>
        <w:t xml:space="preserve"> por medio del cual manifiesta y expone: </w:t>
      </w:r>
    </w:p>
    <w:p w:rsidRPr="000B7ED7" w:rsidR="0086262C" w:rsidP="003D45AC" w:rsidRDefault="0086262C" w14:paraId="170E655A" w14:textId="1E52E73E">
      <w:pPr>
        <w:pStyle w:val="Prrafodelista"/>
        <w:tabs>
          <w:tab w:val="left" w:pos="567"/>
        </w:tabs>
        <w:spacing w:line="360" w:lineRule="auto"/>
        <w:ind w:left="0"/>
        <w:jc w:val="both"/>
        <w:rPr>
          <w:rFonts w:ascii="Palatino Linotype" w:hAnsi="Palatino Linotype" w:cs="Tahoma"/>
          <w:szCs w:val="22"/>
        </w:rPr>
      </w:pPr>
    </w:p>
    <w:p w:rsidRPr="007849DD" w:rsidR="008B0751" w:rsidP="003D45AC" w:rsidRDefault="00657E43" w14:paraId="204CAC43" w14:textId="55ABFE13">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w:t>
      </w:r>
      <w:r>
        <w:rPr>
          <w:rFonts w:ascii="Palatino Linotype" w:hAnsi="Palatino Linotype" w:cs="Tahoma"/>
          <w:i/>
          <w:iCs/>
          <w:sz w:val="20"/>
          <w:szCs w:val="20"/>
        </w:rPr>
        <w:t>En</w:t>
      </w:r>
      <w:r w:rsidR="007849DD">
        <w:rPr>
          <w:rFonts w:ascii="Palatino Linotype" w:hAnsi="Palatino Linotype" w:cs="Tahoma"/>
          <w:i/>
          <w:iCs/>
          <w:sz w:val="20"/>
          <w:szCs w:val="20"/>
        </w:rPr>
        <w:t xml:space="preserve"> respuesta a la solicitud recibida, nos permitimos hacer de su conocimiento que: el Sistema Municipal para el Desarrollo Integral de la Familia de Metepec, al ser un órgano descentralizado, no somos la instancia competente para atender su solicitud de información, sin embargo la invitamos a realizar su solicitud en el municipio de Metepec, Sujeto obligado que se encargará de turnar su solicitud al área correspondiente</w:t>
      </w:r>
      <w:r w:rsidRPr="007849DD" w:rsidR="008B0751">
        <w:rPr>
          <w:rFonts w:ascii="Palatino Linotype" w:hAnsi="Palatino Linotype" w:cs="Tahoma"/>
          <w:i/>
          <w:iCs/>
          <w:sz w:val="20"/>
          <w:szCs w:val="20"/>
        </w:rPr>
        <w:t xml:space="preserve">” (Sic) </w:t>
      </w:r>
    </w:p>
    <w:p w:rsidRPr="000B7ED7" w:rsidR="00836192" w:rsidP="003D45AC" w:rsidRDefault="00836192" w14:paraId="5C4A0E2C"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3D45AC" w:rsidRDefault="00836192" w14:paraId="200EA5F2" w14:textId="431C0F25">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Pr="000B7ED7" w:rsidR="00B312A0">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rsidRPr="000B7ED7" w:rsidR="00836192" w:rsidP="003D45AC"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3D45AC" w:rsidRDefault="00836192" w14:paraId="5551AC4F" w14:textId="423F0854">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657E43">
        <w:rPr>
          <w:rFonts w:ascii="Palatino Linotype" w:hAnsi="Palatino Linotype" w:cs="Tahoma"/>
          <w:sz w:val="22"/>
          <w:szCs w:val="22"/>
        </w:rPr>
        <w:t>seis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Pr="000B7ED7" w:rsidR="007B7A1E">
        <w:rPr>
          <w:rFonts w:ascii="Palatino Linotype" w:hAnsi="Palatino Linotype" w:cs="Tahoma"/>
          <w:sz w:val="22"/>
          <w:szCs w:val="22"/>
        </w:rPr>
        <w:t xml:space="preserve"> </w:t>
      </w:r>
      <w:r w:rsidR="00657E43">
        <w:rPr>
          <w:rFonts w:ascii="Palatino Linotype" w:hAnsi="Palatino Linotype" w:cs="Tahoma"/>
          <w:sz w:val="22"/>
          <w:szCs w:val="22"/>
        </w:rPr>
        <w:t>junio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hAnsi="Palatino Linotype" w:eastAsia="Calibri"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w:t>
      </w:r>
      <w:r w:rsidR="00657E43">
        <w:rPr>
          <w:rFonts w:ascii="Palatino Linotype" w:hAnsi="Palatino Linotype" w:cs="Tahoma"/>
          <w:sz w:val="22"/>
          <w:szCs w:val="22"/>
        </w:rPr>
        <w:t>,</w:t>
      </w:r>
      <w:r w:rsidR="00657E43">
        <w:rPr>
          <w:rFonts w:ascii="Palatino Linotype" w:hAnsi="Palatino Linotype" w:cs="Tahoma"/>
          <w:b/>
          <w:bCs/>
          <w:sz w:val="22"/>
          <w:szCs w:val="22"/>
        </w:rPr>
        <w:t xml:space="preserve"> lo anterior, ya que si bien, se registró el cinco del mismo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w:t>
      </w:r>
      <w:r w:rsidR="00657E43">
        <w:rPr>
          <w:rFonts w:ascii="Palatino Linotype" w:hAnsi="Palatino Linotype" w:cs="Tahoma"/>
          <w:sz w:val="22"/>
          <w:szCs w:val="22"/>
        </w:rPr>
        <w:t xml:space="preserve"> </w:t>
      </w:r>
      <w:r w:rsidR="00657E43">
        <w:rPr>
          <w:rFonts w:ascii="Palatino Linotype" w:hAnsi="Palatino Linotype" w:cs="Tahoma"/>
          <w:bCs/>
          <w:sz w:val="22"/>
          <w:szCs w:val="22"/>
          <w:lang w:val="es-ES"/>
        </w:rPr>
        <w:t>en los términos siguientes</w:t>
      </w:r>
      <w:r w:rsidR="00657E43">
        <w:rPr>
          <w:rFonts w:ascii="Palatino Linotype" w:hAnsi="Palatino Linotype" w:cs="Tahoma"/>
          <w:b/>
          <w:bCs/>
          <w:sz w:val="22"/>
          <w:szCs w:val="22"/>
          <w:lang w:val="es-ES"/>
        </w:rPr>
        <w:t>:</w:t>
      </w:r>
    </w:p>
    <w:p w:rsidR="009F490B" w:rsidP="003D45AC" w:rsidRDefault="009F490B" w14:paraId="24B7F0F7" w14:textId="77777777">
      <w:pPr>
        <w:tabs>
          <w:tab w:val="left" w:pos="4667"/>
        </w:tabs>
        <w:spacing w:line="360" w:lineRule="auto"/>
        <w:ind w:left="567" w:right="567"/>
        <w:jc w:val="both"/>
        <w:rPr>
          <w:rFonts w:ascii="Palatino Linotype" w:hAnsi="Palatino Linotype" w:cs="Tahoma"/>
          <w:b/>
          <w:bCs/>
          <w:i/>
        </w:rPr>
      </w:pPr>
    </w:p>
    <w:p w:rsidRPr="000B7ED7" w:rsidR="00836192" w:rsidP="003D45AC" w:rsidRDefault="00D41CFA" w14:paraId="394C292B" w14:textId="682997FC">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lastRenderedPageBreak/>
        <w:t>“</w:t>
      </w:r>
      <w:r w:rsidRPr="000B7ED7" w:rsidR="00836192">
        <w:rPr>
          <w:rFonts w:ascii="Palatino Linotype" w:hAnsi="Palatino Linotype" w:cs="Tahoma"/>
          <w:b/>
          <w:bCs/>
          <w:i/>
        </w:rPr>
        <w:t>ACTO IMPUGNADO</w:t>
      </w:r>
    </w:p>
    <w:p w:rsidRPr="000B7ED7" w:rsidR="00836192" w:rsidP="003D45AC" w:rsidRDefault="00657E43" w14:paraId="39D421A0" w14:textId="207273A7">
      <w:pPr>
        <w:autoSpaceDE w:val="0"/>
        <w:autoSpaceDN w:val="0"/>
        <w:adjustRightInd w:val="0"/>
        <w:spacing w:line="360" w:lineRule="auto"/>
        <w:ind w:left="567" w:right="567"/>
        <w:jc w:val="both"/>
        <w:rPr>
          <w:rFonts w:ascii="Palatino Linotype" w:hAnsi="Palatino Linotype" w:cs="Tahoma"/>
          <w:i/>
        </w:rPr>
      </w:pPr>
      <w:r w:rsidRPr="00657E43">
        <w:rPr>
          <w:rFonts w:ascii="Palatino Linotype" w:hAnsi="Palatino Linotype" w:cs="Tahoma"/>
          <w:i/>
        </w:rPr>
        <w:t>No entrega la información</w:t>
      </w:r>
      <w:r w:rsidRPr="000B7ED7" w:rsidR="00D41CFA">
        <w:rPr>
          <w:rFonts w:ascii="Palatino Linotype" w:hAnsi="Palatino Linotype" w:cs="Tahoma"/>
          <w:i/>
        </w:rPr>
        <w:t xml:space="preserve">” </w:t>
      </w:r>
      <w:r w:rsidRPr="000B7ED7" w:rsidR="00836192">
        <w:rPr>
          <w:rFonts w:ascii="Palatino Linotype" w:hAnsi="Palatino Linotype" w:cs="Tahoma"/>
          <w:i/>
        </w:rPr>
        <w:t>(Sic.)</w:t>
      </w:r>
    </w:p>
    <w:p w:rsidRPr="000B7ED7" w:rsidR="00836192" w:rsidP="003D45AC"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3D45AC"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3D45AC" w:rsidRDefault="00657E43" w14:paraId="296A55C2" w14:textId="2822B5A5">
      <w:pPr>
        <w:autoSpaceDE w:val="0"/>
        <w:autoSpaceDN w:val="0"/>
        <w:adjustRightInd w:val="0"/>
        <w:spacing w:line="360" w:lineRule="auto"/>
        <w:ind w:left="567" w:right="567"/>
        <w:jc w:val="both"/>
        <w:rPr>
          <w:rFonts w:ascii="Palatino Linotype" w:hAnsi="Palatino Linotype" w:cs="Tahoma"/>
          <w:i/>
        </w:rPr>
      </w:pPr>
      <w:r w:rsidRPr="00657E43">
        <w:rPr>
          <w:rFonts w:ascii="Palatino Linotype" w:hAnsi="Palatino Linotype" w:cs="Tahoma"/>
          <w:i/>
        </w:rPr>
        <w:t xml:space="preserve">No entrega lo que pedí dice que debo. Pedirlo a. Mete si lo. Pedí a </w:t>
      </w:r>
      <w:proofErr w:type="spellStart"/>
      <w:r w:rsidRPr="00657E43">
        <w:rPr>
          <w:rFonts w:ascii="Palatino Linotype" w:hAnsi="Palatino Linotype" w:cs="Tahoma"/>
          <w:i/>
        </w:rPr>
        <w:t>metepec</w:t>
      </w:r>
      <w:proofErr w:type="spellEnd"/>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3D45AC" w:rsidRDefault="00836192" w14:paraId="6F68C5F8" w14:textId="77777777">
      <w:pPr>
        <w:spacing w:line="360" w:lineRule="auto"/>
        <w:jc w:val="both"/>
        <w:rPr>
          <w:rFonts w:ascii="Palatino Linotype" w:hAnsi="Palatino Linotype" w:cs="Tahoma"/>
          <w:b/>
          <w:sz w:val="22"/>
          <w:szCs w:val="22"/>
        </w:rPr>
      </w:pPr>
    </w:p>
    <w:p w:rsidRPr="000B7ED7" w:rsidR="00836192" w:rsidP="003D45AC" w:rsidRDefault="00836192" w14:paraId="262CD250" w14:textId="77777777">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t xml:space="preserve">IV.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3D45AC" w:rsidRDefault="00836192" w14:paraId="208D12AB" w14:textId="77777777">
      <w:pPr>
        <w:spacing w:line="360" w:lineRule="auto"/>
        <w:jc w:val="both"/>
        <w:rPr>
          <w:rFonts w:ascii="Palatino Linotype" w:hAnsi="Palatino Linotype" w:eastAsia="Batang" w:cs="Tahoma"/>
          <w:b/>
          <w:bCs/>
          <w:sz w:val="22"/>
          <w:szCs w:val="22"/>
        </w:rPr>
      </w:pPr>
    </w:p>
    <w:p w:rsidRPr="000B7ED7" w:rsidR="00836192" w:rsidP="003D45AC" w:rsidRDefault="00836192" w14:paraId="5F11E829" w14:textId="11B54237">
      <w:pPr>
        <w:spacing w:line="360" w:lineRule="auto"/>
        <w:jc w:val="both"/>
        <w:rPr>
          <w:rFonts w:ascii="Palatino Linotype" w:hAnsi="Palatino Linotype" w:eastAsia="Batang"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9F490B">
        <w:rPr>
          <w:rFonts w:ascii="Palatino Linotype" w:hAnsi="Palatino Linotype" w:cs="Tahoma"/>
          <w:sz w:val="22"/>
          <w:szCs w:val="22"/>
        </w:rPr>
        <w:t>seis</w:t>
      </w:r>
      <w:r w:rsidRPr="00A828B7" w:rsidR="00A828B7">
        <w:rPr>
          <w:rFonts w:ascii="Palatino Linotype" w:hAnsi="Palatino Linotype" w:cs="Tahoma"/>
          <w:sz w:val="22"/>
          <w:szCs w:val="22"/>
        </w:rPr>
        <w:t xml:space="preserve"> de </w:t>
      </w:r>
      <w:r w:rsidR="00657E43">
        <w:rPr>
          <w:rFonts w:ascii="Palatino Linotype" w:hAnsi="Palatino Linotype" w:cs="Tahoma"/>
          <w:sz w:val="22"/>
          <w:szCs w:val="22"/>
        </w:rPr>
        <w:t>junio</w:t>
      </w:r>
      <w:r w:rsidRPr="00A828B7" w:rsidR="00A828B7">
        <w:rPr>
          <w:rFonts w:ascii="Palatino Linotype" w:hAnsi="Palatino Linotype" w:cs="Tahoma"/>
          <w:sz w:val="22"/>
          <w:szCs w:val="22"/>
        </w:rPr>
        <w:t xml:space="preserve"> de dos mil veintidós</w:t>
      </w:r>
      <w:r w:rsidRPr="000B7ED7">
        <w:rPr>
          <w:rFonts w:ascii="Palatino Linotype" w:hAnsi="Palatino Linotype" w:eastAsia="Batang" w:cs="Tahoma"/>
          <w:bCs/>
          <w:sz w:val="22"/>
          <w:szCs w:val="22"/>
          <w:lang w:val="es-ES_tradnl"/>
        </w:rPr>
        <w:t xml:space="preserve">, el Sistema de Acceso a la Información Mexiquense (SAIMEX), asignó el número de expediente </w:t>
      </w:r>
      <w:r w:rsidRPr="00657E43" w:rsidR="00657E43">
        <w:rPr>
          <w:rFonts w:ascii="Palatino Linotype" w:hAnsi="Palatino Linotype" w:eastAsia="Batang" w:cs="Tahoma"/>
          <w:b/>
          <w:sz w:val="22"/>
          <w:szCs w:val="22"/>
          <w:lang w:val="es-ES_tradnl"/>
        </w:rPr>
        <w:t>10531/INFOEM/IP/RR/2022</w:t>
      </w:r>
      <w:r w:rsidRPr="000B7ED7">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7ED7" w:rsidR="00836192" w:rsidP="003D45AC" w:rsidRDefault="00836192" w14:paraId="4D045605" w14:textId="77777777">
      <w:pPr>
        <w:spacing w:line="360" w:lineRule="auto"/>
        <w:jc w:val="both"/>
        <w:rPr>
          <w:rFonts w:ascii="Palatino Linotype" w:hAnsi="Palatino Linotype" w:eastAsia="Batang" w:cs="Tahoma"/>
          <w:b/>
          <w:bCs/>
          <w:sz w:val="22"/>
          <w:szCs w:val="22"/>
        </w:rPr>
      </w:pPr>
    </w:p>
    <w:p w:rsidRPr="000B7ED7" w:rsidR="00836192" w:rsidP="003D45AC" w:rsidRDefault="00836192" w14:paraId="3A64D196" w14:textId="3CF57A70">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eastAsia="Batang"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hAnsi="Palatino Linotype" w:eastAsia="Batang" w:cs="Tahoma"/>
          <w:b/>
          <w:bCs/>
          <w:sz w:val="22"/>
          <w:szCs w:val="22"/>
          <w:lang w:val="es-ES_tradnl"/>
        </w:rPr>
        <w:t xml:space="preserve">. </w:t>
      </w:r>
      <w:r w:rsidRPr="000B7ED7">
        <w:rPr>
          <w:rFonts w:ascii="Palatino Linotype" w:hAnsi="Palatino Linotype" w:eastAsia="Batang" w:cs="Tahoma"/>
          <w:bCs/>
          <w:sz w:val="22"/>
          <w:szCs w:val="22"/>
          <w:lang w:val="es-ES_tradnl"/>
        </w:rPr>
        <w:t xml:space="preserve">El </w:t>
      </w:r>
      <w:r w:rsidR="00657E43">
        <w:rPr>
          <w:rFonts w:ascii="Palatino Linotype" w:hAnsi="Palatino Linotype" w:eastAsia="Batang" w:cs="Tahoma"/>
          <w:bCs/>
          <w:sz w:val="22"/>
          <w:szCs w:val="22"/>
          <w:lang w:val="es-ES_tradnl"/>
        </w:rPr>
        <w:t>nueve</w:t>
      </w:r>
      <w:r w:rsidRPr="000B7ED7" w:rsidR="006046B1">
        <w:rPr>
          <w:rFonts w:ascii="Palatino Linotype" w:hAnsi="Palatino Linotype" w:eastAsia="Batang" w:cs="Tahoma"/>
          <w:bCs/>
          <w:sz w:val="22"/>
          <w:szCs w:val="22"/>
          <w:lang w:val="es-ES_tradnl"/>
        </w:rPr>
        <w:t xml:space="preserve"> de </w:t>
      </w:r>
      <w:r w:rsidR="00657E43">
        <w:rPr>
          <w:rFonts w:ascii="Palatino Linotype" w:hAnsi="Palatino Linotype" w:eastAsia="Batang" w:cs="Tahoma"/>
          <w:bCs/>
          <w:sz w:val="22"/>
          <w:szCs w:val="22"/>
          <w:lang w:val="es-ES_tradnl"/>
        </w:rPr>
        <w:t>junio</w:t>
      </w:r>
      <w:r w:rsidRPr="000B7ED7">
        <w:rPr>
          <w:rFonts w:ascii="Palatino Linotype" w:hAnsi="Palatino Linotype" w:eastAsia="Batang" w:cs="Tahoma"/>
          <w:bCs/>
          <w:sz w:val="22"/>
          <w:szCs w:val="22"/>
          <w:lang w:val="es-ES_tradnl"/>
        </w:rPr>
        <w:t xml:space="preserve"> de dos mil veinti</w:t>
      </w:r>
      <w:r w:rsidR="00A828B7">
        <w:rPr>
          <w:rFonts w:ascii="Palatino Linotype" w:hAnsi="Palatino Linotype" w:eastAsia="Batang" w:cs="Tahoma"/>
          <w:bCs/>
          <w:sz w:val="22"/>
          <w:szCs w:val="22"/>
          <w:lang w:val="es-ES_tradnl"/>
        </w:rPr>
        <w:t>dós</w:t>
      </w:r>
      <w:r w:rsidRPr="000B7ED7">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657E43">
        <w:rPr>
          <w:rFonts w:ascii="Palatino Linotype" w:hAnsi="Palatino Linotype" w:eastAsia="Batang" w:cs="Tahoma"/>
          <w:bCs/>
          <w:sz w:val="22"/>
          <w:szCs w:val="22"/>
          <w:lang w:val="es-ES_tradnl"/>
        </w:rPr>
        <w:t>trece</w:t>
      </w:r>
      <w:r w:rsidR="00A828B7">
        <w:rPr>
          <w:rFonts w:ascii="Palatino Linotype" w:hAnsi="Palatino Linotype" w:eastAsia="Batang" w:cs="Tahoma"/>
          <w:bCs/>
          <w:sz w:val="22"/>
          <w:szCs w:val="22"/>
          <w:lang w:val="es-ES_tradnl"/>
        </w:rPr>
        <w:t xml:space="preserve"> del mismo mes y año</w:t>
      </w:r>
      <w:r w:rsidRPr="000B7ED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836192" w:rsidP="003D45AC" w:rsidRDefault="00836192" w14:paraId="48C9442E" w14:textId="77777777">
      <w:pPr>
        <w:spacing w:line="360" w:lineRule="auto"/>
        <w:jc w:val="both"/>
        <w:rPr>
          <w:rFonts w:ascii="Palatino Linotype" w:hAnsi="Palatino Linotype" w:cs="Tahoma"/>
          <w:bCs/>
          <w:sz w:val="22"/>
          <w:szCs w:val="22"/>
        </w:rPr>
      </w:pPr>
    </w:p>
    <w:p w:rsidR="00392421" w:rsidP="003D45AC" w:rsidRDefault="00836192" w14:paraId="59513187" w14:textId="1B05AFCF">
      <w:pPr>
        <w:widowControl w:val="0"/>
        <w:spacing w:line="360" w:lineRule="auto"/>
        <w:jc w:val="both"/>
        <w:rPr>
          <w:rFonts w:ascii="Palatino Linotype" w:hAnsi="Palatino Linotype"/>
          <w:bCs/>
          <w:sz w:val="22"/>
          <w:szCs w:val="22"/>
          <w:lang w:val="es-ES_tradnl"/>
        </w:rPr>
      </w:pPr>
      <w:r w:rsidRPr="00392421">
        <w:rPr>
          <w:rFonts w:ascii="Palatino Linotype" w:hAnsi="Palatino Linotype" w:cs="Tahoma"/>
          <w:b/>
          <w:sz w:val="22"/>
          <w:szCs w:val="22"/>
        </w:rPr>
        <w:t>c)</w:t>
      </w:r>
      <w:r w:rsidRPr="000B7ED7">
        <w:rPr>
          <w:rFonts w:ascii="Palatino Linotype" w:hAnsi="Palatino Linotype" w:cs="Tahoma"/>
          <w:b/>
          <w:sz w:val="22"/>
          <w:szCs w:val="22"/>
        </w:rPr>
        <w:t xml:space="preserve"> </w:t>
      </w:r>
      <w:r w:rsidRPr="000B7ED7" w:rsidR="00BB3D12">
        <w:rPr>
          <w:rFonts w:ascii="Palatino Linotype" w:hAnsi="Palatino Linotype" w:cs="Tahoma"/>
          <w:b/>
          <w:sz w:val="22"/>
          <w:szCs w:val="22"/>
        </w:rPr>
        <w:t>Informe Justificado</w:t>
      </w:r>
      <w:r w:rsidR="00392421">
        <w:rPr>
          <w:rFonts w:ascii="Palatino Linotype" w:hAnsi="Palatino Linotype" w:cs="Tahoma"/>
          <w:b/>
          <w:sz w:val="22"/>
          <w:szCs w:val="22"/>
        </w:rPr>
        <w:t xml:space="preserve"> o Manifestaciones</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Pr="00392421" w:rsidR="00392421">
        <w:rPr>
          <w:rFonts w:ascii="Palatino Linotype" w:hAnsi="Palatino Linotype"/>
          <w:bCs/>
          <w:sz w:val="22"/>
          <w:szCs w:val="22"/>
          <w:lang w:val="es-ES_tradnl"/>
        </w:rPr>
        <w:t>Las partes fueron omisas en emitir manifestaciones o alegatos.</w:t>
      </w:r>
    </w:p>
    <w:p w:rsidR="009F490B" w:rsidP="003D45AC" w:rsidRDefault="009F490B" w14:paraId="71BA0587" w14:textId="77777777">
      <w:pPr>
        <w:widowControl w:val="0"/>
        <w:spacing w:line="360" w:lineRule="auto"/>
        <w:jc w:val="both"/>
        <w:rPr>
          <w:rFonts w:ascii="Palatino Linotype" w:hAnsi="Palatino Linotype"/>
          <w:bCs/>
          <w:sz w:val="22"/>
          <w:szCs w:val="22"/>
          <w:lang w:val="es-ES_tradnl"/>
        </w:rPr>
      </w:pPr>
    </w:p>
    <w:p w:rsidRPr="00D035D6" w:rsidR="00D035D6" w:rsidP="003D45AC" w:rsidRDefault="00D035D6" w14:paraId="0BA5AA56" w14:textId="09190BDD">
      <w:pPr>
        <w:spacing w:line="360" w:lineRule="auto"/>
        <w:jc w:val="both"/>
        <w:rPr>
          <w:rFonts w:ascii="Palatino Linotype" w:hAnsi="Palatino Linotype" w:eastAsia="Palatino Linotype" w:cs="Palatino Linotype"/>
          <w:color w:val="0D0D0D" w:themeColor="text1" w:themeTint="F2"/>
          <w:sz w:val="22"/>
          <w:szCs w:val="22"/>
          <w:lang w:val="es-ES"/>
        </w:rPr>
      </w:pPr>
      <w:r w:rsidRPr="00D035D6">
        <w:rPr>
          <w:rFonts w:ascii="Palatino Linotype" w:hAnsi="Palatino Linotype" w:eastAsia="Calibri" w:cs="Tahoma"/>
          <w:b/>
          <w:bCs/>
          <w:color w:val="000000" w:themeColor="text1"/>
          <w:sz w:val="22"/>
          <w:szCs w:val="22"/>
          <w:lang w:eastAsia="en-US"/>
        </w:rPr>
        <w:lastRenderedPageBreak/>
        <w:t xml:space="preserve">d) </w:t>
      </w:r>
      <w:r w:rsidRPr="00D035D6">
        <w:rPr>
          <w:rFonts w:ascii="Palatino Linotype" w:hAnsi="Palatino Linotype" w:cs="Tahoma"/>
          <w:b/>
          <w:bCs/>
          <w:sz w:val="22"/>
          <w:szCs w:val="22"/>
          <w:lang w:val="es-ES"/>
        </w:rPr>
        <w:t xml:space="preserve">Ampliación de plazo para resolver. </w:t>
      </w:r>
      <w:r w:rsidRPr="00D035D6">
        <w:rPr>
          <w:rFonts w:ascii="Palatino Linotype" w:hAnsi="Palatino Linotype" w:eastAsia="Palatino Linotype" w:cs="Palatino Linotype"/>
          <w:color w:val="0D0D0D" w:themeColor="text1" w:themeTint="F2"/>
          <w:sz w:val="22"/>
          <w:szCs w:val="22"/>
          <w:lang w:val="es-ES"/>
        </w:rPr>
        <w:t xml:space="preserve">El </w:t>
      </w:r>
      <w:r>
        <w:rPr>
          <w:rFonts w:ascii="Palatino Linotype" w:hAnsi="Palatino Linotype" w:eastAsia="Palatino Linotype" w:cs="Palatino Linotype"/>
          <w:color w:val="0D0D0D" w:themeColor="text1" w:themeTint="F2"/>
          <w:sz w:val="22"/>
          <w:szCs w:val="22"/>
          <w:lang w:val="es-ES"/>
        </w:rPr>
        <w:t>tres</w:t>
      </w:r>
      <w:r w:rsidRPr="00D035D6">
        <w:rPr>
          <w:rFonts w:ascii="Palatino Linotype" w:hAnsi="Palatino Linotype" w:eastAsia="Palatino Linotype" w:cs="Palatino Linotype"/>
          <w:color w:val="0D0D0D" w:themeColor="text1" w:themeTint="F2"/>
          <w:sz w:val="22"/>
          <w:szCs w:val="22"/>
          <w:lang w:val="es-ES"/>
        </w:rPr>
        <w:t xml:space="preserve"> de agosto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primero de junio del mismo año, mediante el Sistema de Acceso a la Información Mexiquense (SAIMEX), el mismo día.</w:t>
      </w:r>
    </w:p>
    <w:p w:rsidRPr="00D035D6" w:rsidR="00D035D6" w:rsidP="003D45AC" w:rsidRDefault="00D035D6" w14:paraId="6D845F4F" w14:textId="77777777">
      <w:pPr>
        <w:spacing w:line="360" w:lineRule="auto"/>
        <w:jc w:val="both"/>
        <w:rPr>
          <w:rFonts w:ascii="Palatino Linotype" w:hAnsi="Palatino Linotype" w:cs="Tahoma"/>
          <w:b/>
          <w:color w:val="0D0D0D" w:themeColor="text1" w:themeTint="F2"/>
          <w:sz w:val="22"/>
          <w:szCs w:val="22"/>
        </w:rPr>
      </w:pPr>
    </w:p>
    <w:p w:rsidRPr="000B7ED7" w:rsidR="00836192" w:rsidP="003D45AC" w:rsidRDefault="004D6299" w14:paraId="7C191B6E" w14:textId="40A6BED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e</w:t>
      </w:r>
      <w:r w:rsidRPr="000B7ED7" w:rsidR="00836192">
        <w:rPr>
          <w:rFonts w:ascii="Palatino Linotype" w:hAnsi="Palatino Linotype" w:cs="Tahoma"/>
          <w:b/>
          <w:sz w:val="22"/>
          <w:szCs w:val="22"/>
        </w:rPr>
        <w:t>) Cierre de instrucción.</w:t>
      </w:r>
      <w:r w:rsidRPr="000B7ED7" w:rsidR="00836192">
        <w:rPr>
          <w:rFonts w:ascii="Palatino Linotype" w:hAnsi="Palatino Linotype" w:cs="Tahoma"/>
          <w:sz w:val="22"/>
          <w:szCs w:val="22"/>
        </w:rPr>
        <w:t xml:space="preserve"> El </w:t>
      </w:r>
      <w:r w:rsidR="009F490B">
        <w:rPr>
          <w:rFonts w:ascii="Palatino Linotype" w:hAnsi="Palatino Linotype" w:cs="Tahoma"/>
          <w:sz w:val="22"/>
          <w:szCs w:val="22"/>
        </w:rPr>
        <w:t>diecinueve de agosto</w:t>
      </w:r>
      <w:r w:rsidRPr="00D86214" w:rsidR="00D86214">
        <w:rPr>
          <w:rFonts w:ascii="Palatino Linotype" w:hAnsi="Palatino Linotype" w:cs="Tahoma"/>
          <w:sz w:val="22"/>
          <w:szCs w:val="22"/>
        </w:rPr>
        <w:t xml:space="preserve"> de dos mil veintidós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3D45AC"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3D45AC"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3D45AC" w:rsidRDefault="00836192" w14:paraId="155D5237" w14:textId="77777777">
      <w:pPr>
        <w:spacing w:line="360" w:lineRule="auto"/>
        <w:jc w:val="center"/>
        <w:rPr>
          <w:rFonts w:ascii="Palatino Linotype" w:hAnsi="Palatino Linotype" w:cs="Tahoma"/>
          <w:b/>
          <w:sz w:val="22"/>
          <w:szCs w:val="22"/>
        </w:rPr>
      </w:pPr>
    </w:p>
    <w:p w:rsidRPr="000B7ED7" w:rsidR="00836192" w:rsidP="003D45AC" w:rsidRDefault="00836192" w14:paraId="3827B311"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836192" w:rsidP="003D45AC"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836192" w:rsidP="003D45AC"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836192" w:rsidP="003D45AC"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3D45AC" w:rsidRDefault="00836192" w14:paraId="2FF232E4" w14:textId="27C0371D">
      <w:pPr>
        <w:spacing w:line="360" w:lineRule="auto"/>
        <w:jc w:val="both"/>
        <w:rPr>
          <w:rFonts w:ascii="Palatino Linotype" w:hAnsi="Palatino Linotype" w:cs="Tahoma"/>
          <w:bCs/>
          <w:sz w:val="22"/>
          <w:szCs w:val="22"/>
        </w:rPr>
      </w:pPr>
      <w:bookmarkStart w:name="_Hlk63334754" w:id="0"/>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Pr="000B7ED7">
        <w:rPr>
          <w:rFonts w:ascii="Palatino Linotype" w:hAnsi="Palatino Linotype" w:cs="Tahoma"/>
          <w:bCs/>
          <w:sz w:val="22"/>
          <w:szCs w:val="22"/>
        </w:rPr>
        <w:lastRenderedPageBreak/>
        <w:t xml:space="preserve">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0B7ED7" w:rsidR="00836192" w:rsidP="003D45AC" w:rsidRDefault="00836192" w14:paraId="799726CC" w14:textId="77777777">
      <w:pPr>
        <w:spacing w:line="360" w:lineRule="auto"/>
        <w:jc w:val="both"/>
        <w:rPr>
          <w:rFonts w:ascii="Palatino Linotype" w:hAnsi="Palatino Linotype" w:cs="Tahoma"/>
          <w:sz w:val="22"/>
          <w:szCs w:val="22"/>
          <w:shd w:val="clear" w:color="auto" w:fill="FFFFFF"/>
        </w:rPr>
      </w:pPr>
    </w:p>
    <w:p w:rsidRPr="000B7ED7" w:rsidR="00836192" w:rsidP="003D45AC"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836192" w:rsidP="003D45AC"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3D45AC"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836192" w:rsidP="003D45AC"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3D45AC" w:rsidRDefault="00836192" w14:paraId="692C9C6A"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836192" w:rsidP="003D45AC" w:rsidRDefault="00836192" w14:paraId="6F796DF7" w14:textId="77777777">
      <w:pPr>
        <w:spacing w:line="360" w:lineRule="auto"/>
        <w:jc w:val="both"/>
        <w:rPr>
          <w:rFonts w:ascii="Palatino Linotype" w:hAnsi="Palatino Linotype"/>
          <w:sz w:val="22"/>
          <w:szCs w:val="22"/>
        </w:rPr>
      </w:pPr>
    </w:p>
    <w:p w:rsidRPr="000B7ED7" w:rsidR="00836192" w:rsidP="003D45AC" w:rsidRDefault="00836192" w14:paraId="207C864F"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836192" w:rsidP="003D45AC" w:rsidRDefault="00836192" w14:paraId="643935A0" w14:textId="77777777">
      <w:pPr>
        <w:spacing w:line="360" w:lineRule="auto"/>
        <w:jc w:val="both"/>
        <w:rPr>
          <w:rFonts w:ascii="Palatino Linotype" w:hAnsi="Palatino Linotype" w:cs="Tahoma"/>
          <w:bCs/>
          <w:color w:val="000000"/>
          <w:sz w:val="22"/>
          <w:szCs w:val="22"/>
        </w:rPr>
      </w:pPr>
    </w:p>
    <w:p w:rsidRPr="000B7ED7" w:rsidR="00836192" w:rsidP="003D45AC" w:rsidRDefault="00836192" w14:paraId="01CB2C6C" w14:textId="50DE453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lastRenderedPageBreak/>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0B7ED7" w:rsidR="00836192" w:rsidP="003D45AC" w:rsidRDefault="00836192" w14:paraId="6A73D0EC" w14:textId="77777777">
      <w:pPr>
        <w:spacing w:line="360" w:lineRule="auto"/>
        <w:jc w:val="both"/>
        <w:rPr>
          <w:rFonts w:ascii="Palatino Linotype" w:hAnsi="Palatino Linotype"/>
          <w:color w:val="222222"/>
          <w:sz w:val="22"/>
          <w:szCs w:val="22"/>
          <w:lang w:val="es-ES"/>
        </w:rPr>
      </w:pPr>
    </w:p>
    <w:p w:rsidRPr="000B7ED7" w:rsidR="00836192" w:rsidP="003D45AC" w:rsidRDefault="00836192" w14:paraId="7822D596" w14:textId="35689CAF">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523125">
        <w:rPr>
          <w:rFonts w:ascii="Palatino Linotype" w:hAnsi="Palatino Linotype" w:cs="Tahoma"/>
          <w:sz w:val="22"/>
          <w:szCs w:val="22"/>
        </w:rPr>
        <w:t>III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sidR="00161E09">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sidR="00523125">
        <w:rPr>
          <w:rFonts w:ascii="Palatino Linotype" w:hAnsi="Palatino Linotype" w:cs="Tahoma"/>
          <w:sz w:val="22"/>
          <w:szCs w:val="22"/>
          <w:lang w:val="es-ES"/>
        </w:rPr>
        <w:t>de la inexistencia de la información</w:t>
      </w:r>
      <w:r w:rsidR="00F8437C">
        <w:rPr>
          <w:rFonts w:ascii="Palatino Linotype" w:hAnsi="Palatino Linotype" w:cs="Tahoma"/>
          <w:sz w:val="22"/>
          <w:szCs w:val="22"/>
          <w:lang w:val="es-ES"/>
        </w:rPr>
        <w:t>.</w:t>
      </w:r>
    </w:p>
    <w:p w:rsidRPr="000B7ED7" w:rsidR="00836192" w:rsidP="003D45AC" w:rsidRDefault="00836192" w14:paraId="6B68C2E4" w14:textId="77777777">
      <w:pPr>
        <w:spacing w:line="360" w:lineRule="auto"/>
        <w:jc w:val="both"/>
        <w:rPr>
          <w:rFonts w:ascii="Palatino Linotype" w:hAnsi="Palatino Linotype" w:cs="Tahoma"/>
          <w:bCs/>
          <w:sz w:val="22"/>
          <w:szCs w:val="22"/>
          <w:lang w:val="es-ES"/>
        </w:rPr>
      </w:pPr>
    </w:p>
    <w:p w:rsidRPr="000B7ED7" w:rsidR="00836192" w:rsidP="003D45AC"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rsidRPr="00993A49" w:rsidR="00993A49" w:rsidP="003D45AC" w:rsidRDefault="00993A49" w14:paraId="68A19E27" w14:textId="77777777">
      <w:pPr>
        <w:spacing w:line="360" w:lineRule="auto"/>
        <w:jc w:val="both"/>
        <w:rPr>
          <w:rFonts w:ascii="Palatino Linotype" w:hAnsi="Palatino Linotype" w:cs="Tahoma"/>
          <w:color w:val="0D0D0D" w:themeColor="text1" w:themeTint="F2"/>
          <w:sz w:val="22"/>
          <w:szCs w:val="22"/>
        </w:rPr>
      </w:pPr>
    </w:p>
    <w:p w:rsidRPr="00993A49" w:rsidR="00993A49" w:rsidP="003D45AC" w:rsidRDefault="00993A49" w14:paraId="1B3D3DEC"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993A49" w:rsidR="00993A49" w:rsidP="003D45AC" w:rsidRDefault="00993A49" w14:paraId="177D54F6" w14:textId="77777777">
      <w:pPr>
        <w:spacing w:line="360" w:lineRule="auto"/>
        <w:jc w:val="both"/>
        <w:rPr>
          <w:rFonts w:ascii="Palatino Linotype" w:hAnsi="Palatino Linotype" w:cs="Tahoma"/>
          <w:color w:val="0D0D0D" w:themeColor="text1" w:themeTint="F2"/>
          <w:sz w:val="22"/>
          <w:szCs w:val="22"/>
        </w:rPr>
      </w:pPr>
    </w:p>
    <w:p w:rsidRPr="00993A49" w:rsidR="00993A49" w:rsidP="003D45AC" w:rsidRDefault="00993A49" w14:paraId="3E312D1F"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3A49" w:rsidR="00993A49" w:rsidP="003D45AC" w:rsidRDefault="00993A49" w14:paraId="7F9CCA3C" w14:textId="77777777">
      <w:pPr>
        <w:spacing w:line="360" w:lineRule="auto"/>
        <w:jc w:val="both"/>
        <w:rPr>
          <w:rFonts w:ascii="Palatino Linotype" w:hAnsi="Palatino Linotype" w:cs="Tahoma"/>
          <w:color w:val="0D0D0D" w:themeColor="text1" w:themeTint="F2"/>
          <w:sz w:val="22"/>
          <w:szCs w:val="22"/>
        </w:rPr>
      </w:pPr>
    </w:p>
    <w:p w:rsidR="00836192" w:rsidP="003D45AC" w:rsidRDefault="00993A49" w14:paraId="1CA5BCE1" w14:textId="6008E59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rsidR="00836192" w:rsidP="003D45AC"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lastRenderedPageBreak/>
        <w:t xml:space="preserve">TERCERO. Determinación de la Controversia. </w:t>
      </w:r>
    </w:p>
    <w:p w:rsidRPr="000B7ED7" w:rsidR="009F490B" w:rsidP="003D45AC" w:rsidRDefault="009F490B" w14:paraId="472B3469"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44419C" w:rsidR="00932E46" w:rsidP="003D45AC" w:rsidRDefault="00E438B3" w14:paraId="70FFB624" w14:textId="14D1C832">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w:t>
      </w:r>
      <w:r w:rsidRPr="000B7ED7" w:rsidR="006F29FC">
        <w:rPr>
          <w:rFonts w:ascii="Palatino Linotype" w:hAnsi="Palatino Linotype" w:cs="Tahoma"/>
          <w:sz w:val="22"/>
          <w:szCs w:val="22"/>
        </w:rPr>
        <w:t xml:space="preserve">, resulta conveniente precisar, que una vez realizado el estudio de </w:t>
      </w:r>
      <w:r w:rsidRPr="000B7ED7" w:rsidR="00361539">
        <w:rPr>
          <w:rFonts w:ascii="Palatino Linotype" w:hAnsi="Palatino Linotype" w:cs="Tahoma"/>
          <w:sz w:val="22"/>
          <w:szCs w:val="22"/>
        </w:rPr>
        <w:t xml:space="preserve">las </w:t>
      </w:r>
      <w:r w:rsidRPr="000B7ED7" w:rsidR="00121F26">
        <w:rPr>
          <w:rFonts w:ascii="Palatino Linotype" w:hAnsi="Palatino Linotype" w:cs="Tahoma"/>
          <w:sz w:val="22"/>
          <w:szCs w:val="22"/>
        </w:rPr>
        <w:t xml:space="preserve">constancias </w:t>
      </w:r>
      <w:r w:rsidRPr="000B7ED7" w:rsidR="00E82D16">
        <w:rPr>
          <w:rFonts w:ascii="Palatino Linotype" w:hAnsi="Palatino Linotype" w:cs="Tahoma"/>
          <w:sz w:val="22"/>
          <w:szCs w:val="22"/>
        </w:rPr>
        <w:t xml:space="preserve">que integran el expediente </w:t>
      </w:r>
      <w:r w:rsidRPr="000B7ED7" w:rsidR="00DE25AA">
        <w:rPr>
          <w:rFonts w:ascii="Palatino Linotype" w:hAnsi="Palatino Linotype" w:cs="Tahoma"/>
          <w:sz w:val="22"/>
          <w:szCs w:val="22"/>
        </w:rPr>
        <w:t xml:space="preserve">en el que se actúa, se desprende que el Particular </w:t>
      </w:r>
      <w:r w:rsidRPr="000B7ED7" w:rsidR="009D0B60">
        <w:rPr>
          <w:rFonts w:ascii="Palatino Linotype" w:hAnsi="Palatino Linotype" w:cs="Tahoma"/>
          <w:sz w:val="22"/>
          <w:szCs w:val="22"/>
        </w:rPr>
        <w:t>requirió</w:t>
      </w:r>
      <w:r w:rsidR="009F490B">
        <w:rPr>
          <w:rFonts w:ascii="Palatino Linotype" w:hAnsi="Palatino Linotype" w:cs="Tahoma"/>
          <w:sz w:val="22"/>
          <w:szCs w:val="22"/>
        </w:rPr>
        <w:t xml:space="preserve"> los comprobantes de nómina de la Dirección de Gobierno, Tesorería Municipal, la Dirección de Desarrollo Social y de los miembros que conforman el Sistema Municipal </w:t>
      </w:r>
      <w:r w:rsidR="0042623A">
        <w:rPr>
          <w:rFonts w:ascii="Palatino Linotype" w:hAnsi="Palatino Linotype" w:cs="Tahoma"/>
          <w:sz w:val="22"/>
          <w:szCs w:val="22"/>
        </w:rPr>
        <w:t>Anticorrupción</w:t>
      </w:r>
      <w:r w:rsidR="009F490B">
        <w:rPr>
          <w:rFonts w:ascii="Palatino Linotype" w:hAnsi="Palatino Linotype" w:cs="Tahoma"/>
          <w:sz w:val="22"/>
          <w:szCs w:val="22"/>
        </w:rPr>
        <w:t>.</w:t>
      </w:r>
    </w:p>
    <w:p w:rsidRPr="000B7ED7" w:rsidR="00066610" w:rsidP="003D45AC" w:rsidRDefault="00066610" w14:paraId="6E5B7F15" w14:textId="0AF8A8C1">
      <w:pPr>
        <w:spacing w:line="360" w:lineRule="auto"/>
        <w:jc w:val="both"/>
        <w:rPr>
          <w:rFonts w:ascii="Palatino Linotype" w:hAnsi="Palatino Linotype" w:cs="Tahoma"/>
          <w:sz w:val="22"/>
          <w:szCs w:val="22"/>
        </w:rPr>
      </w:pPr>
    </w:p>
    <w:p w:rsidRPr="009F490B" w:rsidR="009F490B" w:rsidP="003D45AC" w:rsidRDefault="009F490B" w14:paraId="30736ACC" w14:textId="1A52580C">
      <w:pPr>
        <w:autoSpaceDE w:val="0"/>
        <w:autoSpaceDN w:val="0"/>
        <w:adjustRightInd w:val="0"/>
        <w:spacing w:line="360" w:lineRule="auto"/>
        <w:jc w:val="both"/>
        <w:rPr>
          <w:rFonts w:ascii="Palatino Linotype" w:hAnsi="Palatino Linotype" w:eastAsia="Calibri" w:cs="Tahoma"/>
          <w:bCs/>
          <w:color w:val="000000" w:themeColor="text1"/>
          <w:sz w:val="22"/>
          <w:szCs w:val="22"/>
          <w:lang w:val="es-ES" w:eastAsia="en-US"/>
        </w:rPr>
      </w:pPr>
      <w:r w:rsidRPr="009F490B">
        <w:rPr>
          <w:rFonts w:ascii="Palatino Linotype" w:hAnsi="Palatino Linotype" w:eastAsia="Calibri" w:cs="Tahoma"/>
          <w:iCs/>
          <w:color w:val="000000"/>
          <w:sz w:val="22"/>
          <w:szCs w:val="24"/>
          <w:lang w:eastAsia="es-MX"/>
        </w:rPr>
        <w:t xml:space="preserve">En respuesta, el Sujeto Obligado se declaró incompetente para conocer de la información peticionada y precisó que el </w:t>
      </w:r>
      <w:r>
        <w:rPr>
          <w:rFonts w:ascii="Palatino Linotype" w:hAnsi="Palatino Linotype" w:eastAsia="Calibri" w:cs="Tahoma"/>
          <w:iCs/>
          <w:color w:val="000000"/>
          <w:sz w:val="22"/>
          <w:szCs w:val="24"/>
          <w:lang w:eastAsia="es-MX"/>
        </w:rPr>
        <w:t>Ayuntamiento de Metepec era el Ente con atribuciones para conocer de lo requerido</w:t>
      </w:r>
      <w:r w:rsidRPr="009F490B">
        <w:rPr>
          <w:rFonts w:ascii="Palatino Linotype" w:hAnsi="Palatino Linotype" w:eastAsia="Calibri" w:cs="Tahoma"/>
          <w:iCs/>
          <w:color w:val="000000"/>
          <w:sz w:val="22"/>
          <w:szCs w:val="24"/>
          <w:lang w:eastAsia="es-MX"/>
        </w:rPr>
        <w:t xml:space="preserve">. Ante tal circunstancia, el Recurrente se </w:t>
      </w:r>
      <w:r>
        <w:rPr>
          <w:rFonts w:ascii="Palatino Linotype" w:hAnsi="Palatino Linotype" w:eastAsia="Calibri" w:cs="Tahoma"/>
          <w:iCs/>
          <w:color w:val="000000"/>
          <w:sz w:val="22"/>
          <w:szCs w:val="24"/>
          <w:lang w:eastAsia="es-MX"/>
        </w:rPr>
        <w:t>agravió</w:t>
      </w:r>
      <w:r w:rsidRPr="009F490B">
        <w:rPr>
          <w:rFonts w:ascii="Palatino Linotype" w:hAnsi="Palatino Linotype" w:eastAsia="Calibri" w:cs="Tahoma"/>
          <w:iCs/>
          <w:color w:val="000000"/>
          <w:sz w:val="22"/>
          <w:szCs w:val="24"/>
          <w:lang w:eastAsia="es-MX"/>
        </w:rPr>
        <w:t xml:space="preserve"> con dicha circunstancia, al </w:t>
      </w:r>
      <w:r>
        <w:rPr>
          <w:rFonts w:ascii="Palatino Linotype" w:hAnsi="Palatino Linotype" w:eastAsia="Calibri" w:cs="Tahoma"/>
          <w:iCs/>
          <w:color w:val="000000"/>
          <w:sz w:val="22"/>
          <w:szCs w:val="24"/>
          <w:lang w:eastAsia="es-MX"/>
        </w:rPr>
        <w:t>referir que el Ente Recurrido era competente</w:t>
      </w:r>
      <w:r w:rsidRPr="009F490B">
        <w:rPr>
          <w:rFonts w:ascii="Palatino Linotype" w:hAnsi="Palatino Linotype" w:eastAsia="Calibri" w:cs="Tahoma"/>
          <w:color w:val="000000" w:themeColor="text1"/>
          <w:sz w:val="22"/>
          <w:szCs w:val="22"/>
          <w:lang w:eastAsia="en-US"/>
        </w:rPr>
        <w:t xml:space="preserve">, lo cual actualiza la causal de procedencia prevista en la fracción IV, del artículo 179 de la Ley de Transparencia y Acceso a la Información Pública del Estado de México y Municipios. </w:t>
      </w:r>
      <w:r w:rsidRPr="009F490B">
        <w:rPr>
          <w:rFonts w:ascii="Palatino Linotype" w:hAnsi="Palatino Linotype" w:eastAsia="Calibri" w:cs="Tahoma"/>
          <w:color w:val="000000" w:themeColor="text1"/>
          <w:sz w:val="22"/>
          <w:szCs w:val="22"/>
          <w:lang w:val="es-ES" w:eastAsia="en-US"/>
        </w:rPr>
        <w:t>Así las cosas, una vez admitido y notificado el Recurso de Revisión a las partes, estas fueron omisas en emitir manifestaciones y alegatos.</w:t>
      </w:r>
    </w:p>
    <w:p w:rsidR="009F490B" w:rsidP="003D45AC" w:rsidRDefault="009F490B" w14:paraId="5B309E32" w14:textId="3776758C">
      <w:pPr>
        <w:spacing w:line="360" w:lineRule="auto"/>
        <w:jc w:val="both"/>
        <w:rPr>
          <w:rFonts w:ascii="Palatino Linotype" w:hAnsi="Palatino Linotype"/>
          <w:sz w:val="22"/>
          <w:szCs w:val="22"/>
        </w:rPr>
      </w:pPr>
    </w:p>
    <w:p w:rsidRPr="000B7ED7" w:rsidR="00AE38E0" w:rsidP="003D45AC" w:rsidRDefault="00AE38E0" w14:paraId="06B761E6" w14:textId="5FB974A4">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Pr="00651A66" w:rsidR="00651A66">
        <w:rPr>
          <w:rFonts w:ascii="Palatino Linotype" w:hAnsi="Palatino Linotype"/>
          <w:sz w:val="22"/>
          <w:szCs w:val="22"/>
        </w:rPr>
        <w:t xml:space="preserve">Ayuntamiento de </w:t>
      </w:r>
      <w:r w:rsidR="00B86CB4">
        <w:rPr>
          <w:rFonts w:ascii="Palatino Linotype" w:hAnsi="Palatino Linotype"/>
          <w:sz w:val="22"/>
          <w:szCs w:val="22"/>
        </w:rPr>
        <w:t xml:space="preserve">Metepec y </w:t>
      </w:r>
      <w:r w:rsidRPr="000B7ED7">
        <w:rPr>
          <w:rFonts w:ascii="Palatino Linotype" w:hAnsi="Palatino Linotype"/>
          <w:sz w:val="22"/>
          <w:szCs w:val="22"/>
        </w:rPr>
        <w:t xml:space="preserve">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rsidRPr="000B7ED7" w:rsidR="00836192" w:rsidP="003D45AC" w:rsidRDefault="00836192" w14:paraId="1AADC65C" w14:textId="77777777">
      <w:pPr>
        <w:spacing w:line="360" w:lineRule="auto"/>
        <w:jc w:val="both"/>
        <w:rPr>
          <w:rFonts w:ascii="Palatino Linotype" w:hAnsi="Palatino Linotype" w:cs="Tahoma"/>
          <w:sz w:val="22"/>
          <w:szCs w:val="22"/>
        </w:rPr>
      </w:pPr>
    </w:p>
    <w:p w:rsidR="00836192" w:rsidP="003D45AC" w:rsidRDefault="00836192" w14:paraId="179F8367" w14:textId="68BC9A7B">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rsidRPr="000B7ED7" w:rsidR="00B86CB4" w:rsidP="003D45AC" w:rsidRDefault="00B86CB4" w14:paraId="267F57E5" w14:textId="77777777">
      <w:pPr>
        <w:spacing w:line="360" w:lineRule="auto"/>
        <w:jc w:val="both"/>
        <w:rPr>
          <w:rFonts w:ascii="Palatino Linotype" w:hAnsi="Palatino Linotype" w:cs="Tahoma"/>
          <w:b/>
          <w:sz w:val="22"/>
          <w:szCs w:val="22"/>
        </w:rPr>
      </w:pPr>
    </w:p>
    <w:p w:rsidRPr="000B7ED7" w:rsidR="00836192" w:rsidP="003D45AC" w:rsidRDefault="00836192" w14:paraId="2F768BB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836192" w:rsidP="003D45AC" w:rsidRDefault="00836192" w14:paraId="71DA7465" w14:textId="77777777">
      <w:pPr>
        <w:spacing w:line="360" w:lineRule="auto"/>
        <w:jc w:val="both"/>
        <w:rPr>
          <w:rFonts w:ascii="Palatino Linotype" w:hAnsi="Palatino Linotype" w:cs="Tahoma"/>
          <w:sz w:val="22"/>
          <w:szCs w:val="22"/>
        </w:rPr>
      </w:pPr>
    </w:p>
    <w:p w:rsidRPr="000B7ED7" w:rsidR="00836192" w:rsidP="003D45AC" w:rsidRDefault="00836192" w14:paraId="64B0382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836192" w:rsidP="003D45AC" w:rsidRDefault="00836192" w14:paraId="57664A7D" w14:textId="77777777">
      <w:pPr>
        <w:spacing w:line="360" w:lineRule="auto"/>
        <w:jc w:val="both"/>
        <w:rPr>
          <w:rFonts w:ascii="Palatino Linotype" w:hAnsi="Palatino Linotype" w:cs="Tahoma"/>
          <w:sz w:val="22"/>
          <w:szCs w:val="22"/>
        </w:rPr>
      </w:pPr>
    </w:p>
    <w:p w:rsidRPr="000B7ED7" w:rsidR="00836192" w:rsidP="003D45AC" w:rsidRDefault="00836192" w14:paraId="0A448AF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836192" w:rsidP="003D45AC" w:rsidRDefault="00836192" w14:paraId="0293A1EA" w14:textId="77777777">
      <w:pPr>
        <w:spacing w:line="360" w:lineRule="auto"/>
        <w:jc w:val="both"/>
        <w:rPr>
          <w:rFonts w:ascii="Palatino Linotype" w:hAnsi="Palatino Linotype" w:cs="Tahoma"/>
          <w:sz w:val="22"/>
          <w:szCs w:val="22"/>
        </w:rPr>
      </w:pPr>
    </w:p>
    <w:p w:rsidRPr="000B7ED7" w:rsidR="00836192" w:rsidP="003D45AC" w:rsidRDefault="00836192" w14:paraId="74B7375E"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836192" w:rsidP="003D45AC" w:rsidRDefault="00836192" w14:paraId="33D3F52E" w14:textId="77777777">
      <w:pPr>
        <w:spacing w:line="360" w:lineRule="auto"/>
        <w:jc w:val="both"/>
        <w:rPr>
          <w:rFonts w:ascii="Palatino Linotype" w:hAnsi="Palatino Linotype" w:cs="Tahoma"/>
          <w:sz w:val="22"/>
          <w:szCs w:val="22"/>
        </w:rPr>
      </w:pPr>
    </w:p>
    <w:p w:rsidRPr="000B7ED7" w:rsidR="00836192" w:rsidP="003D45AC" w:rsidRDefault="00836192" w14:paraId="6571C2F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Pr="000B7ED7" w:rsidR="00836192" w:rsidP="003D45AC" w:rsidRDefault="00836192" w14:paraId="58528FF2" w14:textId="77777777">
      <w:pPr>
        <w:spacing w:line="360" w:lineRule="auto"/>
        <w:jc w:val="both"/>
        <w:rPr>
          <w:rFonts w:ascii="Palatino Linotype" w:hAnsi="Palatino Linotype" w:cs="Tahoma"/>
          <w:sz w:val="22"/>
          <w:szCs w:val="22"/>
        </w:rPr>
      </w:pPr>
    </w:p>
    <w:p w:rsidRPr="000B7ED7" w:rsidR="00836192" w:rsidP="003D45AC" w:rsidRDefault="00836192" w14:paraId="7269128C"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130F94" w:rsidP="003D45AC" w:rsidRDefault="00130F94" w14:paraId="375AD9B0" w14:textId="77777777">
      <w:pPr>
        <w:spacing w:line="360" w:lineRule="auto"/>
        <w:jc w:val="both"/>
        <w:rPr>
          <w:rFonts w:ascii="Palatino Linotype" w:hAnsi="Palatino Linotype" w:cs="Tahoma"/>
          <w:sz w:val="22"/>
          <w:szCs w:val="22"/>
        </w:rPr>
      </w:pPr>
    </w:p>
    <w:p w:rsidR="00836192" w:rsidP="003D45AC" w:rsidRDefault="00836192" w14:paraId="574A1EEF" w14:textId="6B682CE2">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B1E8E" w:rsidP="003D45AC" w:rsidRDefault="007B1E8E" w14:paraId="168EB9DD" w14:textId="7C7D0C27">
      <w:pPr>
        <w:spacing w:line="360" w:lineRule="auto"/>
        <w:jc w:val="both"/>
        <w:rPr>
          <w:rFonts w:ascii="Palatino Linotype" w:hAnsi="Palatino Linotype" w:cs="Tahoma"/>
          <w:sz w:val="22"/>
          <w:szCs w:val="22"/>
        </w:rPr>
      </w:pPr>
    </w:p>
    <w:p w:rsidRPr="009F490B" w:rsidR="009F490B" w:rsidP="003D45AC" w:rsidRDefault="009F490B" w14:paraId="6E9AD9DB"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9F490B">
        <w:rPr>
          <w:rFonts w:ascii="Palatino Linotype" w:hAnsi="Palatino Linotype" w:cs="Tahoma" w:eastAsiaTheme="minorHAnsi"/>
          <w:bCs/>
          <w:iCs/>
          <w:color w:val="000000" w:themeColor="text1"/>
          <w:sz w:val="22"/>
          <w:szCs w:val="22"/>
          <w:lang w:eastAsia="en-US"/>
        </w:rPr>
        <w:t xml:space="preserve">El artículo 92, fracción VIII, </w:t>
      </w:r>
      <w:r w:rsidRPr="009F490B">
        <w:rPr>
          <w:rFonts w:ascii="Palatino Linotype" w:hAnsi="Palatino Linotype" w:cs="Tahoma" w:eastAsiaTheme="minorHAnsi"/>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rsidRPr="009F490B" w:rsidR="009F490B" w:rsidP="003D45AC" w:rsidRDefault="009F490B" w14:paraId="45A4918E" w14:textId="77777777">
      <w:pPr>
        <w:spacing w:line="360" w:lineRule="auto"/>
        <w:ind w:right="-28"/>
        <w:jc w:val="both"/>
        <w:rPr>
          <w:rFonts w:ascii="Palatino Linotype" w:hAnsi="Palatino Linotype" w:cs="Tahoma"/>
          <w:b/>
          <w:sz w:val="22"/>
          <w:szCs w:val="22"/>
          <w:lang w:val="es-ES"/>
        </w:rPr>
      </w:pPr>
    </w:p>
    <w:p w:rsidRPr="009F490B" w:rsidR="009F490B" w:rsidP="003D45AC" w:rsidRDefault="009F490B" w14:paraId="5570DD1C" w14:textId="77777777">
      <w:pPr>
        <w:spacing w:line="360" w:lineRule="auto"/>
        <w:ind w:right="-28"/>
        <w:contextualSpacing/>
        <w:jc w:val="both"/>
        <w:rPr>
          <w:rFonts w:ascii="Palatino Linotype" w:hAnsi="Palatino Linotype" w:cs="Tahoma"/>
          <w:b/>
          <w:sz w:val="22"/>
          <w:szCs w:val="22"/>
        </w:rPr>
      </w:pPr>
      <w:r w:rsidRPr="009F490B">
        <w:rPr>
          <w:rFonts w:ascii="Palatino Linotype" w:hAnsi="Palatino Linotype" w:cs="Tahoma"/>
          <w:b/>
          <w:sz w:val="22"/>
          <w:szCs w:val="22"/>
        </w:rPr>
        <w:t>QUINTO. Estudio de Fondo.</w:t>
      </w:r>
    </w:p>
    <w:p w:rsidRPr="009F490B" w:rsidR="009F490B" w:rsidP="003D45AC" w:rsidRDefault="009F490B" w14:paraId="65DF63EB"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9F490B" w:rsidR="009F490B" w:rsidP="003D45AC" w:rsidRDefault="009F490B" w14:paraId="46092C07" w14:textId="45ED4B4A">
      <w:pPr>
        <w:spacing w:line="360" w:lineRule="auto"/>
        <w:ind w:right="-28"/>
        <w:contextualSpacing/>
        <w:jc w:val="both"/>
        <w:rPr>
          <w:rFonts w:ascii="Palatino Linotype" w:hAnsi="Palatino Linotype" w:eastAsia="Calibri" w:cs="Tahoma"/>
          <w:iCs/>
          <w:color w:val="000000" w:themeColor="text1"/>
          <w:sz w:val="22"/>
          <w:szCs w:val="24"/>
          <w:lang w:eastAsia="en-US"/>
        </w:rPr>
      </w:pPr>
      <w:r w:rsidRPr="009F490B">
        <w:rPr>
          <w:rFonts w:ascii="Palatino Linotype" w:hAnsi="Palatino Linotype" w:eastAsia="Calibri" w:cs="Tahoma"/>
          <w:iCs/>
          <w:color w:val="000000" w:themeColor="text1"/>
          <w:sz w:val="22"/>
          <w:szCs w:val="24"/>
          <w:lang w:eastAsia="en-US"/>
        </w:rPr>
        <w:t xml:space="preserve">Una vez establecido lo anterior, se procede analizar el agravio hecho valer por el ahora Recurrente, referente a la entrega de información que no corresponde con lo solicitado; por lo que en principio es necesario contextualizar la solicitud de información, referente a </w:t>
      </w:r>
      <w:r w:rsidR="0042623A">
        <w:rPr>
          <w:rFonts w:ascii="Palatino Linotype" w:hAnsi="Palatino Linotype" w:eastAsia="Calibri" w:cs="Tahoma"/>
          <w:iCs/>
          <w:color w:val="000000" w:themeColor="text1"/>
          <w:sz w:val="22"/>
          <w:szCs w:val="24"/>
          <w:lang w:eastAsia="en-US"/>
        </w:rPr>
        <w:t>comprobantes de nómina.</w:t>
      </w:r>
    </w:p>
    <w:p w:rsidRPr="009F490B" w:rsidR="009F490B" w:rsidP="003D45AC" w:rsidRDefault="009F490B" w14:paraId="68EAD378" w14:textId="77777777">
      <w:pPr>
        <w:spacing w:line="360" w:lineRule="auto"/>
        <w:ind w:right="-28"/>
        <w:contextualSpacing/>
        <w:jc w:val="both"/>
        <w:rPr>
          <w:rFonts w:ascii="Palatino Linotype" w:hAnsi="Palatino Linotype" w:eastAsia="Calibri" w:cs="Tahoma"/>
          <w:b/>
          <w:color w:val="000000" w:themeColor="text1"/>
          <w:sz w:val="22"/>
          <w:szCs w:val="22"/>
          <w:lang w:eastAsia="en-US"/>
        </w:rPr>
      </w:pPr>
    </w:p>
    <w:p w:rsidRPr="009F490B" w:rsidR="009F490B" w:rsidP="003D45AC" w:rsidRDefault="009F490B" w14:paraId="13BF9503" w14:textId="77777777">
      <w:pPr>
        <w:spacing w:line="360" w:lineRule="auto"/>
        <w:jc w:val="both"/>
        <w:rPr>
          <w:rFonts w:ascii="Palatino Linotype" w:hAnsi="Palatino Linotype" w:eastAsia="Calibri"/>
          <w:bCs/>
          <w:color w:val="000000" w:themeColor="text1"/>
          <w:sz w:val="22"/>
          <w:szCs w:val="22"/>
          <w:lang w:eastAsia="en-US"/>
        </w:rPr>
      </w:pPr>
      <w:r w:rsidRPr="009F490B">
        <w:rPr>
          <w:rFonts w:ascii="Palatino Linotype" w:hAnsi="Palatino Linotype" w:eastAsia="Calibri"/>
          <w:bCs/>
          <w:color w:val="000000" w:themeColor="text1"/>
          <w:sz w:val="22"/>
          <w:szCs w:val="22"/>
          <w:lang w:val="es-ES" w:eastAsia="en-US"/>
        </w:rPr>
        <w:t>En principio, es necesario</w:t>
      </w:r>
      <w:r w:rsidRPr="009F490B">
        <w:rPr>
          <w:rFonts w:ascii="Palatino Linotype" w:hAnsi="Palatino Linotype" w:eastAsia="Calibri"/>
          <w:bCs/>
          <w:color w:val="000000" w:themeColor="text1"/>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9F490B" w:rsidR="009F490B" w:rsidP="003D45AC" w:rsidRDefault="009F490B" w14:paraId="37C45594" w14:textId="77777777">
      <w:pPr>
        <w:spacing w:line="360" w:lineRule="auto"/>
        <w:jc w:val="both"/>
        <w:rPr>
          <w:rFonts w:ascii="Palatino Linotype" w:hAnsi="Palatino Linotype" w:eastAsia="Calibri"/>
          <w:color w:val="000000" w:themeColor="text1"/>
          <w:sz w:val="22"/>
          <w:szCs w:val="22"/>
          <w:lang w:eastAsia="en-US"/>
        </w:rPr>
      </w:pPr>
    </w:p>
    <w:p w:rsidRPr="009F490B" w:rsidR="009F490B" w:rsidP="003D45AC" w:rsidRDefault="009F490B" w14:paraId="0213DF2B" w14:textId="77777777">
      <w:pPr>
        <w:spacing w:line="360" w:lineRule="auto"/>
        <w:jc w:val="both"/>
        <w:rPr>
          <w:rFonts w:ascii="Palatino Linotype" w:hAnsi="Palatino Linotype" w:eastAsia="Calibri"/>
          <w:bCs/>
          <w:color w:val="000000" w:themeColor="text1"/>
          <w:sz w:val="22"/>
          <w:szCs w:val="22"/>
          <w:lang w:eastAsia="en-US"/>
        </w:rPr>
      </w:pPr>
      <w:r w:rsidRPr="009F490B">
        <w:rPr>
          <w:rFonts w:ascii="Palatino Linotype" w:hAnsi="Palatino Linotype" w:eastAsia="Calibri"/>
          <w:b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9F490B" w:rsidP="003D45AC" w:rsidRDefault="009F490B" w14:paraId="4F652446" w14:textId="77777777">
      <w:pPr>
        <w:spacing w:line="360" w:lineRule="auto"/>
        <w:jc w:val="both"/>
        <w:rPr>
          <w:rFonts w:ascii="Palatino Linotype" w:hAnsi="Palatino Linotype" w:eastAsia="Calibri"/>
          <w:bCs/>
          <w:color w:val="000000" w:themeColor="text1"/>
          <w:sz w:val="22"/>
          <w:szCs w:val="22"/>
          <w:lang w:eastAsia="en-US"/>
        </w:rPr>
      </w:pPr>
    </w:p>
    <w:p w:rsidRPr="009F490B" w:rsidR="004E0224" w:rsidP="003D45AC" w:rsidRDefault="004E0224" w14:paraId="61216E48"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762D7F59" w14:textId="77777777">
      <w:pPr>
        <w:spacing w:line="360" w:lineRule="auto"/>
        <w:jc w:val="both"/>
        <w:rPr>
          <w:rFonts w:ascii="Palatino Linotype" w:hAnsi="Palatino Linotype" w:eastAsia="Calibri"/>
          <w:bCs/>
          <w:color w:val="000000" w:themeColor="text1"/>
          <w:sz w:val="22"/>
          <w:szCs w:val="22"/>
          <w:lang w:eastAsia="en-US"/>
        </w:rPr>
      </w:pPr>
      <w:r w:rsidRPr="009F490B">
        <w:rPr>
          <w:rFonts w:ascii="Palatino Linotype" w:hAnsi="Palatino Linotype" w:eastAsia="Calibri"/>
          <w:b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9F490B" w:rsidR="009F490B" w:rsidP="003D45AC" w:rsidRDefault="009F490B" w14:paraId="4A7B7C15"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7E540A1E" w14:textId="77777777">
      <w:pPr>
        <w:spacing w:line="360" w:lineRule="auto"/>
        <w:jc w:val="both"/>
        <w:rPr>
          <w:rFonts w:ascii="Palatino Linotype" w:hAnsi="Palatino Linotype" w:eastAsia="Calibri"/>
          <w:bCs/>
          <w:iCs/>
          <w:color w:val="000000" w:themeColor="text1"/>
          <w:sz w:val="22"/>
          <w:szCs w:val="22"/>
          <w:lang w:val="es-ES" w:eastAsia="en-US"/>
        </w:rPr>
      </w:pPr>
      <w:r w:rsidRPr="009F490B">
        <w:rPr>
          <w:rFonts w:ascii="Palatino Linotype" w:hAnsi="Palatino Linotype" w:eastAsia="Calibri"/>
          <w:bCs/>
          <w:iCs/>
          <w:color w:val="000000" w:themeColor="text1"/>
          <w:sz w:val="22"/>
          <w:szCs w:val="22"/>
          <w:lang w:val="es-ES"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9F490B" w:rsidR="009F490B" w:rsidP="003D45AC" w:rsidRDefault="009F490B" w14:paraId="79150E97"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37DDB410" w14:textId="77777777">
      <w:pPr>
        <w:spacing w:line="360" w:lineRule="auto"/>
        <w:jc w:val="both"/>
        <w:rPr>
          <w:rFonts w:ascii="Palatino Linotype" w:hAnsi="Palatino Linotype" w:eastAsia="Calibri"/>
          <w:b/>
          <w:bCs/>
          <w:iCs/>
          <w:color w:val="000000" w:themeColor="text1"/>
          <w:sz w:val="22"/>
          <w:szCs w:val="22"/>
          <w:lang w:val="es-ES" w:eastAsia="en-US"/>
        </w:rPr>
      </w:pPr>
      <w:r w:rsidRPr="009F490B">
        <w:rPr>
          <w:rFonts w:ascii="Palatino Linotype" w:hAnsi="Palatino Linotype" w:eastAsia="Calibri"/>
          <w:bCs/>
          <w:iCs/>
          <w:color w:val="000000" w:themeColor="text1"/>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9F490B">
        <w:rPr>
          <w:rFonts w:ascii="Palatino Linotype" w:hAnsi="Palatino Linotype" w:eastAsia="Calibri"/>
          <w:b/>
          <w:bCs/>
          <w:iCs/>
          <w:color w:val="000000" w:themeColor="text1"/>
          <w:sz w:val="22"/>
          <w:szCs w:val="22"/>
          <w:lang w:val="es-ES" w:eastAsia="en-US"/>
        </w:rPr>
        <w:t>1000 Servicios Personales</w:t>
      </w:r>
      <w:r w:rsidRPr="009F490B">
        <w:rPr>
          <w:rFonts w:ascii="Palatino Linotype" w:hAnsi="Palatino Linotype" w:eastAsia="Calibri"/>
          <w:bCs/>
          <w:iCs/>
          <w:color w:val="000000" w:themeColor="text1"/>
          <w:sz w:val="22"/>
          <w:szCs w:val="22"/>
          <w:lang w:val="es-ES" w:eastAsia="en-US"/>
        </w:rPr>
        <w:t>,</w:t>
      </w:r>
      <w:r w:rsidRPr="009F490B">
        <w:rPr>
          <w:rFonts w:ascii="Palatino Linotype" w:hAnsi="Palatino Linotype" w:eastAsia="Calibri"/>
          <w:b/>
          <w:bCs/>
          <w:iCs/>
          <w:color w:val="000000" w:themeColor="text1"/>
          <w:sz w:val="22"/>
          <w:szCs w:val="22"/>
          <w:lang w:val="es-ES" w:eastAsia="en-US"/>
        </w:rPr>
        <w:t xml:space="preserve"> que agrupa las remuneraciones del personal al servicio de los entes públicos, tales como el sueldo, salarios, dietas, honorarios, prestaciones, obligaciones laborales, entre otras.</w:t>
      </w:r>
    </w:p>
    <w:p w:rsidRPr="009F490B" w:rsidR="009F490B" w:rsidP="003D45AC" w:rsidRDefault="009F490B" w14:paraId="4F51915E"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0742AEE6" w14:textId="77777777">
      <w:pPr>
        <w:spacing w:line="360" w:lineRule="auto"/>
        <w:jc w:val="both"/>
        <w:rPr>
          <w:rFonts w:ascii="Palatino Linotype" w:hAnsi="Palatino Linotype" w:eastAsia="Calibri"/>
          <w:bCs/>
          <w:color w:val="000000" w:themeColor="text1"/>
          <w:sz w:val="22"/>
          <w:szCs w:val="22"/>
          <w:lang w:eastAsia="en-US"/>
        </w:rPr>
      </w:pPr>
      <w:r w:rsidRPr="009F490B">
        <w:rPr>
          <w:rFonts w:ascii="Palatino Linotype" w:hAnsi="Palatino Linotype" w:eastAsia="Calibri"/>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9F490B">
        <w:rPr>
          <w:rFonts w:ascii="Palatino Linotype" w:hAnsi="Palatino Linotype" w:eastAsia="Calibri"/>
          <w:b/>
          <w:bCs/>
          <w:color w:val="000000" w:themeColor="text1"/>
          <w:sz w:val="22"/>
          <w:szCs w:val="22"/>
          <w:lang w:eastAsia="en-US"/>
        </w:rPr>
        <w:t>recibos de pago de salarios o las</w:t>
      </w:r>
      <w:r w:rsidRPr="009F490B">
        <w:rPr>
          <w:rFonts w:ascii="Palatino Linotype" w:hAnsi="Palatino Linotype" w:eastAsia="Calibri"/>
          <w:bCs/>
          <w:color w:val="000000" w:themeColor="text1"/>
          <w:sz w:val="22"/>
          <w:szCs w:val="22"/>
          <w:lang w:eastAsia="en-US"/>
        </w:rPr>
        <w:t xml:space="preserve"> </w:t>
      </w:r>
      <w:r w:rsidRPr="009F490B">
        <w:rPr>
          <w:rFonts w:ascii="Palatino Linotype" w:hAnsi="Palatino Linotype" w:eastAsia="Calibri"/>
          <w:b/>
          <w:bCs/>
          <w:color w:val="000000" w:themeColor="text1"/>
          <w:sz w:val="22"/>
          <w:szCs w:val="22"/>
          <w:lang w:eastAsia="en-US"/>
        </w:rPr>
        <w:t xml:space="preserve">constancias documentales del pago de sueldos, </w:t>
      </w:r>
      <w:r w:rsidRPr="009F490B">
        <w:rPr>
          <w:rFonts w:ascii="Palatino Linotype" w:hAnsi="Palatino Linotype" w:eastAsia="Calibri"/>
          <w:bCs/>
          <w:color w:val="000000" w:themeColor="text1"/>
          <w:sz w:val="22"/>
          <w:szCs w:val="22"/>
          <w:lang w:eastAsia="en-US"/>
        </w:rPr>
        <w:t xml:space="preserve">cuando sea por depósito o mediante información electrónica; así como los recibos o constancias de </w:t>
      </w:r>
      <w:r w:rsidRPr="009F490B">
        <w:rPr>
          <w:rFonts w:ascii="Palatino Linotype" w:hAnsi="Palatino Linotype" w:eastAsia="Calibri"/>
          <w:bCs/>
          <w:color w:val="000000" w:themeColor="text1"/>
          <w:sz w:val="22"/>
          <w:szCs w:val="22"/>
          <w:lang w:eastAsia="en-US"/>
        </w:rPr>
        <w:lastRenderedPageBreak/>
        <w:t>depósito o del medio de información magnética o electrónica que sean utilizadas para el pago de salarios, prima vacacional, aguinaldo y demás prestaciones.</w:t>
      </w:r>
    </w:p>
    <w:p w:rsidRPr="009F490B" w:rsidR="009F490B" w:rsidP="003D45AC" w:rsidRDefault="009F490B" w14:paraId="243C68AD"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3C887463" w14:textId="77777777">
      <w:pPr>
        <w:spacing w:line="360" w:lineRule="auto"/>
        <w:jc w:val="both"/>
        <w:rPr>
          <w:rFonts w:ascii="Palatino Linotype" w:hAnsi="Palatino Linotype" w:eastAsia="Calibri"/>
          <w:bCs/>
          <w:color w:val="000000" w:themeColor="text1"/>
          <w:sz w:val="22"/>
          <w:szCs w:val="22"/>
          <w:lang w:eastAsia="en-US"/>
        </w:rPr>
      </w:pPr>
      <w:r w:rsidRPr="009F490B">
        <w:rPr>
          <w:rFonts w:ascii="Palatino Linotype" w:hAnsi="Palatino Linotype" w:eastAsia="Calibri"/>
          <w:bCs/>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9F490B" w:rsidR="009F490B" w:rsidP="003D45AC" w:rsidRDefault="009F490B" w14:paraId="59E5D500" w14:textId="77777777">
      <w:pPr>
        <w:spacing w:line="360" w:lineRule="auto"/>
        <w:jc w:val="both"/>
        <w:rPr>
          <w:rFonts w:ascii="Palatino Linotype" w:hAnsi="Palatino Linotype" w:eastAsia="Calibri"/>
          <w:bCs/>
          <w:color w:val="000000" w:themeColor="text1"/>
          <w:sz w:val="22"/>
          <w:szCs w:val="22"/>
          <w:lang w:eastAsia="en-US"/>
        </w:rPr>
      </w:pPr>
    </w:p>
    <w:p w:rsidRPr="009F490B" w:rsidR="009F490B" w:rsidP="003D45AC" w:rsidRDefault="009F490B" w14:paraId="61295570" w14:textId="77777777">
      <w:pPr>
        <w:spacing w:line="360" w:lineRule="auto"/>
        <w:ind w:left="567" w:right="567"/>
        <w:jc w:val="both"/>
        <w:rPr>
          <w:rFonts w:ascii="Palatino Linotype" w:hAnsi="Palatino Linotype" w:eastAsia="Calibri"/>
          <w:bCs/>
          <w:i/>
          <w:iCs/>
          <w:color w:val="000000" w:themeColor="text1"/>
          <w:lang w:val="es-ES" w:eastAsia="en-US"/>
        </w:rPr>
      </w:pPr>
      <w:r w:rsidRPr="009F490B">
        <w:rPr>
          <w:rFonts w:ascii="Palatino Linotype" w:hAnsi="Palatino Linotype" w:eastAsia="Calibri"/>
          <w:b/>
          <w:bCs/>
          <w:i/>
          <w:iCs/>
          <w:color w:val="000000" w:themeColor="text1"/>
          <w:lang w:val="es-ES" w:eastAsia="en-US"/>
        </w:rPr>
        <w:t>“RECIBOS DE PAGO</w:t>
      </w:r>
      <w:r w:rsidRPr="009F490B">
        <w:rPr>
          <w:rFonts w:ascii="Palatino Linotype" w:hAnsi="Palatino Linotype" w:eastAsia="Calibri"/>
          <w:bCs/>
          <w:i/>
          <w:iCs/>
          <w:color w:val="000000" w:themeColor="text1"/>
          <w:lang w:val="es-ES" w:eastAsia="en-US"/>
        </w:rPr>
        <w:t xml:space="preserve"> </w:t>
      </w:r>
      <w:r w:rsidRPr="009F490B">
        <w:rPr>
          <w:rFonts w:ascii="Palatino Linotype" w:hAnsi="Palatino Linotype" w:eastAsia="Calibri"/>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F490B">
        <w:rPr>
          <w:rFonts w:ascii="Palatino Linotype" w:hAnsi="Palatino Linotype" w:eastAsia="Calibri"/>
          <w:bCs/>
          <w:i/>
          <w:iCs/>
          <w:color w:val="000000" w:themeColor="text1"/>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9F490B" w:rsidR="009F490B" w:rsidP="003D45AC" w:rsidRDefault="009F490B" w14:paraId="09BF8DDF" w14:textId="77777777">
      <w:pPr>
        <w:spacing w:line="360" w:lineRule="auto"/>
        <w:jc w:val="both"/>
        <w:rPr>
          <w:rFonts w:ascii="Palatino Linotype" w:hAnsi="Palatino Linotype" w:eastAsia="Calibri"/>
          <w:b/>
          <w:bCs/>
          <w:i/>
          <w:iCs/>
          <w:color w:val="000000" w:themeColor="text1"/>
          <w:sz w:val="22"/>
          <w:szCs w:val="22"/>
          <w:lang w:val="es-ES" w:eastAsia="en-US"/>
        </w:rPr>
      </w:pPr>
    </w:p>
    <w:p w:rsidRPr="009F490B" w:rsidR="009F490B" w:rsidP="003D45AC" w:rsidRDefault="009F490B" w14:paraId="14B251DF" w14:textId="77777777">
      <w:pPr>
        <w:spacing w:line="360" w:lineRule="auto"/>
        <w:jc w:val="both"/>
        <w:rPr>
          <w:rFonts w:ascii="Palatino Linotype" w:hAnsi="Palatino Linotype" w:eastAsia="Calibri"/>
          <w:bCs/>
          <w:color w:val="000000" w:themeColor="text1"/>
          <w:sz w:val="22"/>
          <w:szCs w:val="22"/>
          <w:lang w:val="es-ES" w:eastAsia="en-US"/>
        </w:rPr>
      </w:pPr>
      <w:r w:rsidRPr="009F490B">
        <w:rPr>
          <w:rFonts w:ascii="Palatino Linotype" w:hAnsi="Palatino Linotype" w:eastAsia="Calibri"/>
          <w:bCs/>
          <w:color w:val="000000" w:themeColor="text1"/>
          <w:sz w:val="22"/>
          <w:szCs w:val="22"/>
          <w:lang w:val="es-ES" w:eastAsia="en-US"/>
        </w:rPr>
        <w:t xml:space="preserve">De la tesis transcrita, se desprende que </w:t>
      </w:r>
      <w:r w:rsidRPr="009F490B">
        <w:rPr>
          <w:rFonts w:ascii="Palatino Linotype" w:hAnsi="Palatino Linotype" w:eastAsia="Calibri"/>
          <w:b/>
          <w:bCs/>
          <w:color w:val="000000" w:themeColor="text1"/>
          <w:sz w:val="22"/>
          <w:szCs w:val="22"/>
          <w:lang w:val="es-ES" w:eastAsia="en-US"/>
        </w:rPr>
        <w:t>en materia burocrática</w:t>
      </w:r>
      <w:r w:rsidRPr="009F490B">
        <w:rPr>
          <w:rFonts w:ascii="Palatino Linotype" w:hAnsi="Palatino Linotype" w:eastAsia="Calibri"/>
          <w:bCs/>
          <w:color w:val="000000" w:themeColor="text1"/>
          <w:sz w:val="22"/>
          <w:szCs w:val="22"/>
          <w:lang w:val="es-ES" w:eastAsia="en-US"/>
        </w:rPr>
        <w:t xml:space="preserve"> </w:t>
      </w:r>
      <w:r w:rsidRPr="009F490B">
        <w:rPr>
          <w:rFonts w:ascii="Palatino Linotype" w:hAnsi="Palatino Linotype" w:eastAsia="Calibri"/>
          <w:b/>
          <w:bCs/>
          <w:color w:val="000000" w:themeColor="text1"/>
          <w:sz w:val="22"/>
          <w:szCs w:val="22"/>
          <w:lang w:val="es-ES" w:eastAsia="en-US"/>
        </w:rPr>
        <w:t>los recibos de pago acreditan los conceptos y montos que en ellos se insertan</w:t>
      </w:r>
      <w:r w:rsidRPr="009F490B">
        <w:rPr>
          <w:rFonts w:ascii="Palatino Linotype" w:hAnsi="Palatino Linotype" w:eastAsia="Calibri"/>
          <w:bCs/>
          <w:color w:val="000000" w:themeColor="text1"/>
          <w:sz w:val="22"/>
          <w:szCs w:val="22"/>
          <w:lang w:val="es-ES" w:eastAsia="en-US"/>
        </w:rPr>
        <w:t xml:space="preserve">, y constituyen prueba para demostrar las percepciones y montos que reciben los servidores públicos. </w:t>
      </w:r>
    </w:p>
    <w:p w:rsidR="009F490B" w:rsidP="003D45AC" w:rsidRDefault="009F490B" w14:paraId="17FB91C9" w14:textId="77777777">
      <w:pPr>
        <w:spacing w:line="360" w:lineRule="auto"/>
        <w:jc w:val="both"/>
        <w:rPr>
          <w:rFonts w:ascii="Palatino Linotype" w:hAnsi="Palatino Linotype" w:eastAsia="Calibri"/>
          <w:color w:val="000000" w:themeColor="text1"/>
          <w:sz w:val="22"/>
          <w:szCs w:val="22"/>
          <w:lang w:eastAsia="en-US"/>
        </w:rPr>
      </w:pPr>
    </w:p>
    <w:p w:rsidRPr="009F490B" w:rsidR="004E0224" w:rsidP="003D45AC" w:rsidRDefault="004E0224" w14:paraId="5A90A156" w14:textId="77777777">
      <w:pPr>
        <w:spacing w:line="360" w:lineRule="auto"/>
        <w:jc w:val="both"/>
        <w:rPr>
          <w:rFonts w:ascii="Palatino Linotype" w:hAnsi="Palatino Linotype" w:eastAsia="Calibri"/>
          <w:color w:val="000000" w:themeColor="text1"/>
          <w:sz w:val="22"/>
          <w:szCs w:val="22"/>
          <w:lang w:eastAsia="en-US"/>
        </w:rPr>
      </w:pPr>
    </w:p>
    <w:p w:rsidR="009F490B" w:rsidP="003D45AC" w:rsidRDefault="009F490B" w14:paraId="29148138" w14:textId="77777777">
      <w:pPr>
        <w:spacing w:line="360" w:lineRule="auto"/>
        <w:jc w:val="both"/>
        <w:rPr>
          <w:rFonts w:ascii="Palatino Linotype" w:hAnsi="Palatino Linotype" w:cs="Tahoma"/>
          <w:bCs/>
          <w:sz w:val="22"/>
          <w:szCs w:val="22"/>
        </w:rPr>
      </w:pPr>
      <w:r w:rsidRPr="009F490B">
        <w:rPr>
          <w:rFonts w:ascii="Palatino Linotype" w:hAnsi="Palatino Linotype" w:cs="Tahoma"/>
          <w:bCs/>
          <w:sz w:val="22"/>
          <w:szCs w:val="22"/>
        </w:rPr>
        <w:t xml:space="preserve">En ese orden de ideas, las Políticas para la Integración del Informe Trimestral de los Sujetos de Fiscalización Municipales para el ejercicio fiscal dos mil veintidós, entre los formatos que maneja en el </w:t>
      </w:r>
      <w:r w:rsidRPr="009F490B">
        <w:rPr>
          <w:rFonts w:ascii="Palatino Linotype" w:hAnsi="Palatino Linotype" w:cs="Tahoma"/>
          <w:b/>
          <w:sz w:val="22"/>
          <w:szCs w:val="22"/>
        </w:rPr>
        <w:t>Módulo 4</w:t>
      </w:r>
      <w:r w:rsidRPr="009F490B">
        <w:rPr>
          <w:rFonts w:ascii="Palatino Linotype" w:hAnsi="Palatino Linotype" w:cs="Tahoma"/>
          <w:bCs/>
          <w:sz w:val="22"/>
          <w:szCs w:val="22"/>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rsidR="0042623A" w:rsidP="003D45AC" w:rsidRDefault="0042623A" w14:paraId="3B6E332B" w14:textId="77777777">
      <w:pPr>
        <w:spacing w:line="360" w:lineRule="auto"/>
        <w:jc w:val="both"/>
        <w:rPr>
          <w:rFonts w:ascii="Palatino Linotype" w:hAnsi="Palatino Linotype" w:cs="Tahoma"/>
          <w:bCs/>
          <w:sz w:val="22"/>
          <w:szCs w:val="22"/>
        </w:rPr>
      </w:pPr>
    </w:p>
    <w:p w:rsidRPr="009F490B" w:rsidR="0042623A" w:rsidP="003D45AC" w:rsidRDefault="0042623A" w14:paraId="0DADD7EF" w14:textId="1F6BF47C">
      <w:pPr>
        <w:spacing w:line="360" w:lineRule="auto"/>
        <w:jc w:val="both"/>
        <w:rPr>
          <w:rFonts w:ascii="Palatino Linotype" w:hAnsi="Palatino Linotype" w:cs="Tahoma"/>
          <w:bCs/>
          <w:sz w:val="22"/>
          <w:szCs w:val="22"/>
        </w:rPr>
      </w:pPr>
      <w:r>
        <w:rPr>
          <w:rFonts w:ascii="Palatino Linotype" w:hAnsi="Palatino Linotype" w:cs="Tahoma"/>
          <w:bCs/>
          <w:sz w:val="22"/>
          <w:szCs w:val="22"/>
        </w:rPr>
        <w:t>Ahora bien, respecto a las áreas solicitadas, los artículos 35, fracciones III, VI, incisos c) y g), y 193 del Bando Municipal de Metepec, dos mil veintidós, precisa que el Ayuntamiento de Metepec, para el ejercicio de sus funciones contará con la Tesorería Municipal, la Dirección de Desarrollo Social y Asuntos Indígenas, la Dirección de Gobernación y los miembros que conforman al Sistema Municipal Anticorrupción.</w:t>
      </w:r>
    </w:p>
    <w:p w:rsidR="004B5166" w:rsidP="003D45AC" w:rsidRDefault="004B5166" w14:paraId="1B1E7F1A" w14:textId="77777777">
      <w:pPr>
        <w:spacing w:line="360" w:lineRule="auto"/>
        <w:jc w:val="both"/>
        <w:rPr>
          <w:rFonts w:ascii="Palatino Linotype" w:hAnsi="Palatino Linotype" w:cs="Tahoma"/>
          <w:sz w:val="22"/>
          <w:szCs w:val="22"/>
        </w:rPr>
      </w:pPr>
    </w:p>
    <w:p w:rsidRPr="0042623A" w:rsidR="0042623A" w:rsidP="003D45AC" w:rsidRDefault="0042623A" w14:paraId="70BAB264" w14:textId="3FBF4CA7">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cs="Tahoma"/>
          <w:sz w:val="22"/>
          <w:szCs w:val="22"/>
        </w:rPr>
        <w:t xml:space="preserve">Así se logra desprender que la pretensión del ahora Recurrente es obtener los recibos de pago, de los servidores públicos y personal que conforman a la Tesorería Municipal, la Dirección de Desarrollo Social y Asuntos Indígenas, la Dirección de Gobernación y el Sistema Municipal Anticorrupción, todas adscritas al Ayuntamiento de Metepec. Expuesta dicha circunstancia, </w:t>
      </w:r>
      <w:r w:rsidRPr="0042623A">
        <w:rPr>
          <w:rFonts w:ascii="Palatino Linotype" w:hAnsi="Palatino Linotype" w:cs="Tahoma" w:eastAsiaTheme="minorHAnsi"/>
          <w:color w:val="000000" w:themeColor="text1"/>
          <w:sz w:val="22"/>
          <w:szCs w:val="22"/>
          <w:lang w:val="es-ES" w:eastAsia="en-US"/>
        </w:rPr>
        <w:t xml:space="preserve">se procede analizar la incompetencia manifestada por el Sujeto Obligado, para conocer de la información referente a </w:t>
      </w:r>
      <w:r w:rsidRPr="0042623A">
        <w:rPr>
          <w:rFonts w:ascii="Palatino Linotype" w:hAnsi="Palatino Linotype" w:eastAsiaTheme="minorHAnsi" w:cstheme="minorBidi"/>
          <w:bCs/>
          <w:color w:val="000000" w:themeColor="text1"/>
          <w:sz w:val="22"/>
          <w:szCs w:val="22"/>
          <w:lang w:eastAsia="en-US"/>
        </w:rPr>
        <w:t>la aplicación rápidas de Covid-19.</w:t>
      </w:r>
    </w:p>
    <w:p w:rsidRPr="0042623A" w:rsidR="0042623A" w:rsidP="003D45AC" w:rsidRDefault="0042623A" w14:paraId="455A9B84" w14:textId="77777777">
      <w:pPr>
        <w:spacing w:line="360" w:lineRule="auto"/>
        <w:jc w:val="both"/>
        <w:rPr>
          <w:rFonts w:ascii="Palatino Linotype" w:hAnsi="Palatino Linotype" w:eastAsiaTheme="minorHAnsi" w:cstheme="minorBidi"/>
          <w:color w:val="000000" w:themeColor="text1"/>
          <w:sz w:val="22"/>
          <w:szCs w:val="22"/>
          <w:lang w:eastAsia="en-US"/>
        </w:rPr>
      </w:pPr>
    </w:p>
    <w:p w:rsidRPr="0042623A" w:rsidR="0042623A" w:rsidP="003D45AC" w:rsidRDefault="0042623A" w14:paraId="400CF417" w14:textId="77777777">
      <w:pPr>
        <w:spacing w:line="360" w:lineRule="auto"/>
        <w:jc w:val="both"/>
        <w:rPr>
          <w:rFonts w:ascii="Palatino Linotype" w:hAnsi="Palatino Linotype" w:eastAsiaTheme="minorHAnsi" w:cstheme="minorBidi"/>
          <w:b/>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eastAsia="en-US"/>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42623A">
        <w:rPr>
          <w:rFonts w:ascii="Palatino Linotype" w:hAnsi="Palatino Linotype" w:eastAsiaTheme="minorHAnsi" w:cstheme="minorBidi"/>
          <w:b/>
          <w:color w:val="000000" w:themeColor="text1"/>
          <w:sz w:val="22"/>
          <w:szCs w:val="22"/>
          <w:lang w:eastAsia="en-US"/>
        </w:rPr>
        <w:t>cuando la misma no sea competencia del sujeto obligado ante el cual se formule la solicitud de acceso.</w:t>
      </w:r>
    </w:p>
    <w:p w:rsidRPr="0042623A" w:rsidR="0042623A" w:rsidP="003D45AC" w:rsidRDefault="0042623A" w14:paraId="4BFCE7BA"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42623A" w:rsidR="0042623A" w:rsidP="003D45AC" w:rsidRDefault="0042623A" w14:paraId="4052AE73" w14:textId="77777777">
      <w:pPr>
        <w:spacing w:line="360" w:lineRule="auto"/>
        <w:jc w:val="both"/>
        <w:rPr>
          <w:rFonts w:ascii="Palatino Linotype" w:hAnsi="Palatino Linotype" w:eastAsiaTheme="minorHAnsi" w:cstheme="minorBidi"/>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eastAsia="en-US"/>
        </w:rPr>
        <w:t xml:space="preserve">Asimismo, que los Comités de Transparencia tienen entre sus atribuciones confirmar, modificar o revocar la </w:t>
      </w:r>
      <w:r w:rsidRPr="0042623A">
        <w:rPr>
          <w:rFonts w:ascii="Palatino Linotype" w:hAnsi="Palatino Linotype" w:eastAsiaTheme="minorHAnsi" w:cstheme="minorBidi"/>
          <w:b/>
          <w:color w:val="000000" w:themeColor="text1"/>
          <w:sz w:val="22"/>
          <w:szCs w:val="22"/>
          <w:lang w:eastAsia="en-US"/>
        </w:rPr>
        <w:t>declaración de incompetencia</w:t>
      </w:r>
      <w:r w:rsidRPr="0042623A">
        <w:rPr>
          <w:rFonts w:ascii="Palatino Linotype" w:hAnsi="Palatino Linotype" w:eastAsiaTheme="minorHAnsi" w:cstheme="minorBidi"/>
          <w:color w:val="000000" w:themeColor="text1"/>
          <w:sz w:val="22"/>
          <w:szCs w:val="22"/>
          <w:lang w:eastAsia="en-US"/>
        </w:rPr>
        <w:t xml:space="preserve"> que realicen los titulares de las unidades administrativas.</w:t>
      </w:r>
    </w:p>
    <w:p w:rsidRPr="0042623A" w:rsidR="0042623A" w:rsidP="003D45AC" w:rsidRDefault="0042623A" w14:paraId="3EFB507D" w14:textId="77777777">
      <w:pPr>
        <w:spacing w:line="360" w:lineRule="auto"/>
        <w:jc w:val="both"/>
        <w:rPr>
          <w:rFonts w:ascii="Palatino Linotype" w:hAnsi="Palatino Linotype" w:eastAsiaTheme="minorHAnsi" w:cstheme="minorBidi"/>
          <w:color w:val="000000" w:themeColor="text1"/>
          <w:sz w:val="22"/>
          <w:szCs w:val="22"/>
          <w:lang w:eastAsia="en-US"/>
        </w:rPr>
      </w:pPr>
    </w:p>
    <w:p w:rsidRPr="0042623A" w:rsidR="0042623A" w:rsidP="003D45AC" w:rsidRDefault="0042623A" w14:paraId="4A4B95AA" w14:textId="77777777">
      <w:pPr>
        <w:spacing w:line="360" w:lineRule="auto"/>
        <w:jc w:val="both"/>
        <w:rPr>
          <w:rFonts w:ascii="Palatino Linotype" w:hAnsi="Palatino Linotype" w:eastAsiaTheme="minorHAnsi" w:cstheme="minorBidi"/>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eastAsia="en-US"/>
        </w:rPr>
        <w:t xml:space="preserve">En esa tesitura, cuando las Unidades de Transparencia determinen </w:t>
      </w:r>
      <w:r w:rsidRPr="0042623A">
        <w:rPr>
          <w:rFonts w:ascii="Palatino Linotype" w:hAnsi="Palatino Linotype" w:eastAsiaTheme="minorHAnsi" w:cstheme="minorBidi"/>
          <w:b/>
          <w:color w:val="000000" w:themeColor="text1"/>
          <w:sz w:val="22"/>
          <w:szCs w:val="22"/>
          <w:lang w:eastAsia="en-US"/>
        </w:rPr>
        <w:t>la notoria incompetencia</w:t>
      </w:r>
      <w:r w:rsidRPr="0042623A">
        <w:rPr>
          <w:rFonts w:ascii="Palatino Linotype" w:hAnsi="Palatino Linotype" w:eastAsiaTheme="minorHAnsi" w:cstheme="minorBidi"/>
          <w:color w:val="000000" w:themeColor="text1"/>
          <w:sz w:val="22"/>
          <w:szCs w:val="22"/>
          <w:lang w:eastAsia="en-US"/>
        </w:rPr>
        <w:t xml:space="preserve"> por parte de los sujetos obligados deberán comunicar al solicitante la misma dentro de los tres días posteriores a la recepción de la solicitud.</w:t>
      </w:r>
    </w:p>
    <w:p w:rsidRPr="0042623A" w:rsidR="0042623A" w:rsidP="003D45AC" w:rsidRDefault="0042623A" w14:paraId="50B974D2" w14:textId="77777777">
      <w:pPr>
        <w:spacing w:line="360" w:lineRule="auto"/>
        <w:jc w:val="both"/>
        <w:rPr>
          <w:rFonts w:ascii="Palatino Linotype" w:hAnsi="Palatino Linotype" w:eastAsiaTheme="minorHAnsi" w:cstheme="minorBidi"/>
          <w:color w:val="000000" w:themeColor="text1"/>
          <w:sz w:val="22"/>
          <w:szCs w:val="22"/>
          <w:lang w:eastAsia="en-US"/>
        </w:rPr>
      </w:pPr>
    </w:p>
    <w:p w:rsidRPr="0042623A" w:rsidR="0042623A" w:rsidP="003D45AC" w:rsidRDefault="0042623A" w14:paraId="75C382DD"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eastAsia="en-US"/>
        </w:rPr>
        <w:t>Como se logra observar, si bien la Ley de la materia, prevé el supuesto de incompetencia para que los sujetos obligados den atención a solitudes de información, también lo es, que no se precisa en que consiste dicho concepto; sobre dicha situación</w:t>
      </w:r>
      <w:r w:rsidRPr="0042623A">
        <w:rPr>
          <w:rFonts w:ascii="Palatino Linotype" w:hAnsi="Palatino Linotype" w:eastAsiaTheme="minorHAnsi" w:cstheme="minorBidi"/>
          <w:color w:val="000000" w:themeColor="text1"/>
          <w:sz w:val="22"/>
          <w:szCs w:val="22"/>
          <w:lang w:val="es-ES_tradnl" w:eastAsia="en-US"/>
        </w:rPr>
        <w:t>,</w:t>
      </w:r>
      <w:r w:rsidRPr="0042623A">
        <w:rPr>
          <w:rFonts w:ascii="Palatino Linotype" w:hAnsi="Palatino Linotype" w:eastAsiaTheme="minorHAnsi" w:cstheme="minorBidi"/>
          <w:color w:val="000000" w:themeColor="text1"/>
          <w:sz w:val="22"/>
          <w:szCs w:val="22"/>
          <w:lang w:eastAsia="en-US"/>
        </w:rPr>
        <w:t xml:space="preserve"> </w:t>
      </w:r>
      <w:r w:rsidRPr="0042623A">
        <w:rPr>
          <w:rFonts w:ascii="Palatino Linotype" w:hAnsi="Palatino Linotype" w:eastAsiaTheme="minorHAnsi" w:cstheme="minorBidi"/>
          <w:bCs/>
          <w:color w:val="000000" w:themeColor="text1"/>
          <w:sz w:val="22"/>
          <w:szCs w:val="22"/>
          <w:lang w:eastAsia="en-US"/>
        </w:rPr>
        <w:t>según Cabanellas, Guillermo (1993), en el “Diccionario Jurídico Elemental” (p. 32 y 161), precisó los siguientes conceptos:</w:t>
      </w:r>
    </w:p>
    <w:p w:rsidRPr="0042623A" w:rsidR="0042623A" w:rsidP="003D45AC" w:rsidRDefault="0042623A" w14:paraId="68804BA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42623A" w:rsidR="0042623A" w:rsidP="003D45AC" w:rsidRDefault="0042623A" w14:paraId="1CE3FB33" w14:textId="77777777">
      <w:pPr>
        <w:numPr>
          <w:ilvl w:val="0"/>
          <w:numId w:val="12"/>
        </w:numPr>
        <w:spacing w:line="360" w:lineRule="auto"/>
        <w:jc w:val="both"/>
        <w:rPr>
          <w:rFonts w:ascii="Palatino Linotype" w:hAnsi="Palatino Linotype" w:eastAsiaTheme="minorHAnsi" w:cstheme="minorBidi"/>
          <w:bCs/>
          <w:color w:val="000000" w:themeColor="text1"/>
          <w:sz w:val="22"/>
          <w:szCs w:val="22"/>
          <w:lang w:eastAsia="en-US"/>
        </w:rPr>
      </w:pPr>
      <w:r w:rsidRPr="0042623A">
        <w:rPr>
          <w:rFonts w:ascii="Palatino Linotype" w:hAnsi="Palatino Linotype" w:eastAsiaTheme="minorHAnsi" w:cstheme="minorBidi"/>
          <w:b/>
          <w:bCs/>
          <w:color w:val="000000" w:themeColor="text1"/>
          <w:sz w:val="22"/>
          <w:szCs w:val="22"/>
          <w:lang w:eastAsia="en-US"/>
        </w:rPr>
        <w:t xml:space="preserve">Competencia: </w:t>
      </w:r>
      <w:r w:rsidRPr="0042623A">
        <w:rPr>
          <w:rFonts w:ascii="Palatino Linotype" w:hAnsi="Palatino Linotype" w:eastAsiaTheme="minorHAnsi" w:cstheme="minorBidi"/>
          <w:bCs/>
          <w:color w:val="000000" w:themeColor="text1"/>
          <w:sz w:val="22"/>
          <w:szCs w:val="22"/>
          <w:lang w:eastAsia="en-US"/>
        </w:rPr>
        <w:t>La capacidad de una autoridad para conocer sobre una materia o asunto.</w:t>
      </w:r>
    </w:p>
    <w:p w:rsidRPr="0042623A" w:rsidR="0042623A" w:rsidP="003D45AC" w:rsidRDefault="0042623A" w14:paraId="712894B6"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42623A" w:rsidR="0042623A" w:rsidP="003D45AC" w:rsidRDefault="0042623A" w14:paraId="3CDE0B5E" w14:textId="77777777">
      <w:pPr>
        <w:numPr>
          <w:ilvl w:val="0"/>
          <w:numId w:val="12"/>
        </w:numPr>
        <w:spacing w:line="360" w:lineRule="auto"/>
        <w:jc w:val="both"/>
        <w:rPr>
          <w:rFonts w:ascii="Palatino Linotype" w:hAnsi="Palatino Linotype" w:eastAsiaTheme="minorHAnsi" w:cstheme="minorBidi"/>
          <w:bCs/>
          <w:color w:val="000000" w:themeColor="text1"/>
          <w:sz w:val="22"/>
          <w:szCs w:val="22"/>
          <w:lang w:eastAsia="en-US"/>
        </w:rPr>
      </w:pPr>
      <w:r w:rsidRPr="0042623A">
        <w:rPr>
          <w:rFonts w:ascii="Palatino Linotype" w:hAnsi="Palatino Linotype" w:eastAsiaTheme="minorHAnsi" w:cstheme="minorBidi"/>
          <w:b/>
          <w:bCs/>
          <w:color w:val="000000" w:themeColor="text1"/>
          <w:sz w:val="22"/>
          <w:szCs w:val="22"/>
          <w:lang w:eastAsia="en-US"/>
        </w:rPr>
        <w:t>Incompetencia:</w:t>
      </w:r>
      <w:r w:rsidRPr="0042623A">
        <w:rPr>
          <w:rFonts w:ascii="Palatino Linotype" w:hAnsi="Palatino Linotype" w:eastAsiaTheme="minorHAnsi" w:cstheme="minorBidi"/>
          <w:bCs/>
          <w:color w:val="000000" w:themeColor="text1"/>
          <w:sz w:val="22"/>
          <w:szCs w:val="22"/>
          <w:lang w:eastAsia="en-US"/>
        </w:rPr>
        <w:t xml:space="preserve"> Falta de Competencia.</w:t>
      </w:r>
    </w:p>
    <w:p w:rsidRPr="0042623A" w:rsidR="0042623A" w:rsidP="003D45AC" w:rsidRDefault="0042623A" w14:paraId="2D66FBBA" w14:textId="77777777">
      <w:pPr>
        <w:spacing w:line="360" w:lineRule="auto"/>
        <w:jc w:val="both"/>
        <w:rPr>
          <w:rFonts w:ascii="Palatino Linotype" w:hAnsi="Palatino Linotype" w:eastAsiaTheme="minorHAnsi" w:cstheme="minorBidi"/>
          <w:color w:val="000000" w:themeColor="text1"/>
          <w:sz w:val="22"/>
          <w:szCs w:val="22"/>
          <w:lang w:eastAsia="en-US"/>
        </w:rPr>
      </w:pPr>
    </w:p>
    <w:p w:rsidRPr="0042623A" w:rsidR="0042623A" w:rsidP="003D45AC" w:rsidRDefault="0042623A" w14:paraId="62D3DB98" w14:textId="77777777">
      <w:pPr>
        <w:spacing w:line="360" w:lineRule="auto"/>
        <w:jc w:val="both"/>
        <w:rPr>
          <w:rFonts w:ascii="Palatino Linotype" w:hAnsi="Palatino Linotype" w:eastAsiaTheme="minorHAnsi" w:cstheme="minorBidi"/>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val="es-ES_tradnl" w:eastAsia="en-US"/>
        </w:rPr>
        <w:t xml:space="preserve">Por lo que, </w:t>
      </w:r>
      <w:r w:rsidRPr="0042623A">
        <w:rPr>
          <w:rFonts w:ascii="Palatino Linotype" w:hAnsi="Palatino Linotype" w:eastAsiaTheme="minorHAnsi" w:cstheme="minorBidi"/>
          <w:b/>
          <w:color w:val="000000" w:themeColor="text1"/>
          <w:sz w:val="22"/>
          <w:szCs w:val="22"/>
          <w:lang w:val="es-ES_tradnl" w:eastAsia="en-US"/>
        </w:rPr>
        <w:t>la incompetencia</w:t>
      </w:r>
      <w:r w:rsidRPr="0042623A">
        <w:rPr>
          <w:rFonts w:ascii="Palatino Linotype" w:hAnsi="Palatino Linotype" w:eastAsiaTheme="minorHAnsi" w:cstheme="minorBidi"/>
          <w:color w:val="000000" w:themeColor="text1"/>
          <w:sz w:val="22"/>
          <w:szCs w:val="22"/>
          <w:lang w:val="es-ES_tradnl" w:eastAsia="en-US"/>
        </w:rPr>
        <w:t>, radica en la incapacidad de una autoridad para conocer de un tema o asunto; en el mismo sentido, conviene traer a cuenta tesis</w:t>
      </w:r>
      <w:r w:rsidRPr="0042623A">
        <w:rPr>
          <w:rFonts w:ascii="Palatino Linotype" w:hAnsi="Palatino Linotype" w:eastAsiaTheme="minorHAnsi" w:cstheme="minorBidi"/>
          <w:color w:val="000000" w:themeColor="text1"/>
          <w:sz w:val="22"/>
          <w:szCs w:val="22"/>
          <w:lang w:eastAsia="en-US"/>
        </w:rPr>
        <w:t xml:space="preserve"> aislada número III.2o.P.11 K, publicada en el Semanario Judicial de la Federación y su Gaceta, Novena Época, Tomo XV, Mayo de 2002, Pág. 1243, ya que precisa lo siguiente: </w:t>
      </w:r>
    </w:p>
    <w:p w:rsidR="0042623A" w:rsidP="003D45AC" w:rsidRDefault="0042623A" w14:paraId="749C4BEE"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004E0224" w:rsidP="003D45AC" w:rsidRDefault="004E0224" w14:paraId="798A50A2"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E0224" w:rsidP="003D45AC" w:rsidRDefault="004E0224" w14:paraId="4A444260"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2623A" w:rsidP="003D45AC" w:rsidRDefault="0042623A" w14:paraId="2B19D103" w14:textId="77777777">
      <w:pPr>
        <w:spacing w:line="360" w:lineRule="auto"/>
        <w:ind w:left="567" w:right="567"/>
        <w:jc w:val="both"/>
        <w:rPr>
          <w:rFonts w:ascii="Palatino Linotype" w:hAnsi="Palatino Linotype" w:eastAsiaTheme="minorHAnsi" w:cstheme="minorBidi"/>
          <w:i/>
          <w:color w:val="000000" w:themeColor="text1"/>
          <w:lang w:val="es-ES_tradnl" w:eastAsia="en-US"/>
        </w:rPr>
      </w:pPr>
      <w:r w:rsidRPr="0042623A">
        <w:rPr>
          <w:rFonts w:ascii="Palatino Linotype" w:hAnsi="Palatino Linotype" w:eastAsiaTheme="minorHAnsi" w:cstheme="minorBidi"/>
          <w:b/>
          <w:bCs/>
          <w:i/>
          <w:color w:val="000000" w:themeColor="text1"/>
          <w:lang w:val="es-ES_tradnl" w:eastAsia="en-US"/>
        </w:rPr>
        <w:lastRenderedPageBreak/>
        <w:t xml:space="preserve">“LEGITIMACIÓN DE FUNCIONARIOS PÚBLICOS. LOS TRIBUNALES DE AMPARO, POR ESTAR VINCULADOS CON EL CONCEPTO DE COMPETENCIA A QUE SE REFIERE EL ARTÍCULO 16 CONSTITUCIONAL, NO PUEDEN CONOCER DE AQUÉLLA. </w:t>
      </w:r>
      <w:r w:rsidRPr="0042623A">
        <w:rPr>
          <w:rFonts w:ascii="Palatino Linotype" w:hAnsi="Palatino Linotype" w:eastAsiaTheme="minorHAnsi" w:cstheme="minorBidi"/>
          <w:i/>
          <w:color w:val="000000" w:themeColor="text1"/>
          <w:lang w:val="es-ES_tradnl" w:eastAsia="en-US"/>
        </w:rPr>
        <w:t>El artículo </w:t>
      </w:r>
      <w:hyperlink w:history="1" r:id="rId8">
        <w:r w:rsidRPr="0042623A">
          <w:rPr>
            <w:rFonts w:ascii="Palatino Linotype" w:hAnsi="Palatino Linotype" w:eastAsiaTheme="minorHAnsi" w:cstheme="minorBidi"/>
            <w:i/>
            <w:color w:val="0563C1" w:themeColor="hyperlink"/>
            <w:u w:val="single"/>
            <w:lang w:val="es-ES_tradnl" w:eastAsia="en-US"/>
          </w:rPr>
          <w:t>16 constitucional</w:t>
        </w:r>
      </w:hyperlink>
      <w:r w:rsidRPr="0042623A">
        <w:rPr>
          <w:rFonts w:ascii="Palatino Linotype" w:hAnsi="Palatino Linotype" w:eastAsiaTheme="minorHAnsi" w:cstheme="minorBidi"/>
          <w:i/>
          <w:color w:val="000000" w:themeColor="text1"/>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42623A" w:rsidR="0042623A" w:rsidP="003D45AC" w:rsidRDefault="0042623A" w14:paraId="18743B21"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2623A" w:rsidP="003D45AC" w:rsidRDefault="0042623A" w14:paraId="3E0D2F10" w14:textId="77777777">
      <w:pPr>
        <w:spacing w:line="360" w:lineRule="auto"/>
        <w:jc w:val="both"/>
        <w:rPr>
          <w:rFonts w:ascii="Palatino Linotype" w:hAnsi="Palatino Linotype" w:eastAsiaTheme="minorHAnsi" w:cstheme="minorBidi"/>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val="es-ES_tradnl" w:eastAsia="en-US"/>
        </w:rPr>
        <w:t xml:space="preserve">De la misma manera, resulta necesario traer a colación, el </w:t>
      </w:r>
      <w:r w:rsidRPr="0042623A">
        <w:rPr>
          <w:rFonts w:ascii="Palatino Linotype" w:hAnsi="Palatino Linotype" w:eastAsiaTheme="minorHAnsi" w:cstheme="minorBidi"/>
          <w:color w:val="000000" w:themeColor="text1"/>
          <w:sz w:val="22"/>
          <w:szCs w:val="22"/>
          <w:lang w:val="es-ES" w:eastAsia="en-US"/>
        </w:rPr>
        <w:t xml:space="preserve">Criterio 13/17, </w:t>
      </w:r>
      <w:r w:rsidRPr="0042623A">
        <w:rPr>
          <w:rFonts w:ascii="Palatino Linotype" w:hAnsi="Palatino Linotype" w:eastAsiaTheme="minorHAnsi" w:cstheme="minorBidi"/>
          <w:color w:val="000000" w:themeColor="text1"/>
          <w:sz w:val="22"/>
          <w:szCs w:val="22"/>
          <w:lang w:eastAsia="en-US"/>
        </w:rPr>
        <w:t xml:space="preserve">emitido por el Instituto Nacional de Transparencia, Acceso a la Información y Protección de Datos Personales, que dispone lo siguiente: </w:t>
      </w:r>
    </w:p>
    <w:p w:rsidRPr="0042623A" w:rsidR="0042623A" w:rsidP="003D45AC" w:rsidRDefault="0042623A" w14:paraId="1AD35CFF" w14:textId="77777777">
      <w:pPr>
        <w:spacing w:line="360" w:lineRule="auto"/>
        <w:jc w:val="both"/>
        <w:rPr>
          <w:rFonts w:ascii="Palatino Linotype" w:hAnsi="Palatino Linotype" w:eastAsiaTheme="minorHAnsi" w:cstheme="minorBidi"/>
          <w:color w:val="000000" w:themeColor="text1"/>
          <w:sz w:val="22"/>
          <w:szCs w:val="22"/>
          <w:lang w:eastAsia="en-US"/>
        </w:rPr>
      </w:pPr>
    </w:p>
    <w:p w:rsidRPr="0042623A" w:rsidR="0042623A" w:rsidP="003D45AC" w:rsidRDefault="0042623A" w14:paraId="39A3507E" w14:textId="77777777">
      <w:pPr>
        <w:spacing w:line="360" w:lineRule="auto"/>
        <w:ind w:left="567" w:right="567"/>
        <w:jc w:val="both"/>
        <w:rPr>
          <w:rFonts w:ascii="Palatino Linotype" w:hAnsi="Palatino Linotype" w:eastAsiaTheme="minorHAnsi" w:cstheme="minorBidi"/>
          <w:i/>
          <w:color w:val="000000" w:themeColor="text1"/>
          <w:lang w:eastAsia="en-US"/>
        </w:rPr>
      </w:pPr>
      <w:r w:rsidRPr="0042623A">
        <w:rPr>
          <w:rFonts w:ascii="Palatino Linotype" w:hAnsi="Palatino Linotype" w:eastAsiaTheme="minorHAnsi" w:cstheme="minorBidi"/>
          <w:i/>
          <w:color w:val="000000" w:themeColor="text1"/>
          <w:lang w:eastAsia="en-US"/>
        </w:rPr>
        <w:t>“</w:t>
      </w:r>
      <w:r w:rsidRPr="0042623A">
        <w:rPr>
          <w:rFonts w:ascii="Palatino Linotype" w:hAnsi="Palatino Linotype" w:eastAsiaTheme="minorHAnsi" w:cstheme="minorBidi"/>
          <w:b/>
          <w:bCs/>
          <w:i/>
          <w:color w:val="000000" w:themeColor="text1"/>
          <w:lang w:eastAsia="en-US"/>
        </w:rPr>
        <w:t xml:space="preserve">Incompetencia. </w:t>
      </w:r>
      <w:r w:rsidRPr="0042623A">
        <w:rPr>
          <w:rFonts w:ascii="Palatino Linotype" w:hAnsi="Palatino Linotype" w:eastAsiaTheme="minorHAnsi" w:cstheme="minorBidi"/>
          <w:i/>
          <w:color w:val="000000" w:themeColor="text1"/>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42623A" w:rsidR="0042623A" w:rsidP="003D45AC" w:rsidRDefault="0042623A" w14:paraId="4953D1E8"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2623A" w:rsidP="003D45AC" w:rsidRDefault="0042623A" w14:paraId="2FA88CD8" w14:textId="77777777">
      <w:pPr>
        <w:spacing w:line="360" w:lineRule="auto"/>
        <w:jc w:val="both"/>
        <w:rPr>
          <w:rFonts w:ascii="Palatino Linotype" w:hAnsi="Palatino Linotype" w:eastAsiaTheme="minorHAnsi" w:cstheme="minorBidi"/>
          <w:color w:val="000000" w:themeColor="text1"/>
          <w:sz w:val="22"/>
          <w:szCs w:val="22"/>
          <w:lang w:val="es-ES_tradnl" w:eastAsia="en-US"/>
        </w:rPr>
      </w:pPr>
      <w:r w:rsidRPr="0042623A">
        <w:rPr>
          <w:rFonts w:ascii="Palatino Linotype" w:hAnsi="Palatino Linotype" w:eastAsiaTheme="minorHAnsi" w:cstheme="minorBidi"/>
          <w:color w:val="000000" w:themeColor="text1"/>
          <w:sz w:val="22"/>
          <w:szCs w:val="22"/>
          <w:lang w:val="es-ES_tradnl" w:eastAsia="en-US"/>
        </w:rPr>
        <w:t xml:space="preserve">En tal virtud, la </w:t>
      </w:r>
      <w:r w:rsidRPr="0042623A">
        <w:rPr>
          <w:rFonts w:ascii="Palatino Linotype" w:hAnsi="Palatino Linotype" w:eastAsiaTheme="minorHAnsi" w:cstheme="minorBidi"/>
          <w:b/>
          <w:color w:val="000000" w:themeColor="text1"/>
          <w:sz w:val="22"/>
          <w:szCs w:val="22"/>
          <w:lang w:val="es-ES_tradnl" w:eastAsia="en-US"/>
        </w:rPr>
        <w:t xml:space="preserve">incompetencia </w:t>
      </w:r>
      <w:r w:rsidRPr="0042623A">
        <w:rPr>
          <w:rFonts w:ascii="Palatino Linotype" w:hAnsi="Palatino Linotype" w:eastAsiaTheme="minorHAnsi" w:cstheme="minorBidi"/>
          <w:color w:val="000000" w:themeColor="text1"/>
          <w:sz w:val="22"/>
          <w:szCs w:val="22"/>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w:t>
      </w:r>
    </w:p>
    <w:p w:rsidR="0042623A" w:rsidP="003D45AC" w:rsidRDefault="0042623A" w14:paraId="703012F5"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E0224" w:rsidP="003D45AC" w:rsidRDefault="004E0224" w14:paraId="37B32987"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42623A" w:rsidR="0042623A" w:rsidP="003D45AC" w:rsidRDefault="0042623A" w14:paraId="7F542EB2" w14:textId="77777777">
      <w:pPr>
        <w:spacing w:line="360" w:lineRule="auto"/>
        <w:jc w:val="both"/>
        <w:rPr>
          <w:rFonts w:ascii="Palatino Linotype" w:hAnsi="Palatino Linotype" w:eastAsiaTheme="minorHAnsi" w:cstheme="minorBidi"/>
          <w:b/>
          <w:color w:val="000000" w:themeColor="text1"/>
          <w:sz w:val="22"/>
          <w:szCs w:val="22"/>
          <w:lang w:eastAsia="en-US"/>
        </w:rPr>
      </w:pPr>
      <w:r w:rsidRPr="0042623A">
        <w:rPr>
          <w:rFonts w:ascii="Palatino Linotype" w:hAnsi="Palatino Linotype" w:eastAsiaTheme="minorHAnsi" w:cstheme="minorBidi"/>
          <w:color w:val="000000" w:themeColor="text1"/>
          <w:sz w:val="22"/>
          <w:szCs w:val="22"/>
          <w:lang w:val="es-ES_tradnl" w:eastAsia="en-US"/>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42623A" w:rsidR="0042623A" w:rsidP="003D45AC" w:rsidRDefault="0042623A" w14:paraId="5B905FDE" w14:textId="77777777">
      <w:pPr>
        <w:spacing w:line="360" w:lineRule="auto"/>
        <w:jc w:val="both"/>
        <w:rPr>
          <w:rFonts w:ascii="Palatino Linotype" w:hAnsi="Palatino Linotype" w:eastAsiaTheme="minorHAnsi" w:cstheme="minorBidi"/>
          <w:color w:val="000000" w:themeColor="text1"/>
          <w:sz w:val="22"/>
          <w:szCs w:val="22"/>
          <w:lang w:eastAsia="en-US"/>
        </w:rPr>
      </w:pPr>
    </w:p>
    <w:p w:rsidRPr="004E0224" w:rsidR="004E0224" w:rsidP="003D45AC" w:rsidRDefault="0042623A" w14:paraId="491AC4CF" w14:textId="6A96395F">
      <w:pPr>
        <w:widowControl w:val="0"/>
        <w:spacing w:line="360" w:lineRule="auto"/>
        <w:jc w:val="both"/>
        <w:rPr>
          <w:rFonts w:ascii="Palatino Linotype" w:hAnsi="Palatino Linotype" w:cs="Tahoma"/>
          <w:sz w:val="22"/>
          <w:szCs w:val="22"/>
        </w:rPr>
      </w:pPr>
      <w:r w:rsidRPr="0042623A">
        <w:rPr>
          <w:rFonts w:ascii="Palatino Linotype" w:hAnsi="Palatino Linotype" w:eastAsiaTheme="minorHAnsi" w:cstheme="minorBidi"/>
          <w:bCs/>
          <w:color w:val="000000" w:themeColor="text1"/>
          <w:sz w:val="22"/>
          <w:szCs w:val="22"/>
          <w:lang w:eastAsia="en-US"/>
        </w:rPr>
        <w:t xml:space="preserve">Por tanto, a continuación, se analiza si en la especie, el Ente Recurrido cuenta con atribuciones para conocer sobre la información </w:t>
      </w:r>
      <w:r w:rsidR="004E0224">
        <w:rPr>
          <w:rFonts w:ascii="Palatino Linotype" w:hAnsi="Palatino Linotype" w:eastAsiaTheme="minorHAnsi" w:cstheme="minorBidi"/>
          <w:bCs/>
          <w:color w:val="000000" w:themeColor="text1"/>
          <w:sz w:val="22"/>
          <w:szCs w:val="22"/>
          <w:lang w:eastAsia="en-US"/>
        </w:rPr>
        <w:t xml:space="preserve">del Ayuntamiento de Metepec </w:t>
      </w:r>
      <w:r w:rsidRPr="004E0224" w:rsidR="004E0224">
        <w:rPr>
          <w:rFonts w:ascii="Palatino Linotype" w:hAnsi="Palatino Linotype" w:cs="Tahoma"/>
          <w:sz w:val="22"/>
          <w:szCs w:val="22"/>
        </w:rPr>
        <w:t xml:space="preserve">; para ello, es necesario traer a colación, los artículos 36, fracción I, inciso b) y 115, del Bando Municipal de Metepec, dos mil veintidós, que establece que el Sujeto Obligado se auxiliará de la Administración Pública Descentralizada, integrada entre otros, por el </w:t>
      </w:r>
      <w:r w:rsidRPr="004E0224" w:rsidR="004E0224">
        <w:rPr>
          <w:rFonts w:ascii="Palatino Linotype" w:hAnsi="Palatino Linotype" w:cs="Tahoma"/>
          <w:bCs/>
          <w:sz w:val="22"/>
          <w:szCs w:val="22"/>
        </w:rPr>
        <w:t>Sistema Municipal para el Desarrollo Integral de la Familia de Metepec.</w:t>
      </w:r>
    </w:p>
    <w:p w:rsidRPr="004E0224" w:rsidR="004E0224" w:rsidP="003D45AC" w:rsidRDefault="004E0224" w14:paraId="22FD064D" w14:textId="77777777">
      <w:pPr>
        <w:spacing w:line="360" w:lineRule="auto"/>
        <w:jc w:val="both"/>
        <w:rPr>
          <w:rFonts w:ascii="Palatino Linotype" w:hAnsi="Palatino Linotype" w:cs="Tahoma"/>
          <w:sz w:val="22"/>
          <w:szCs w:val="22"/>
        </w:rPr>
      </w:pPr>
    </w:p>
    <w:p w:rsidRPr="004E0224" w:rsidR="004E0224" w:rsidP="003D45AC" w:rsidRDefault="004E0224" w14:paraId="5FE78E4A" w14:textId="77777777">
      <w:pPr>
        <w:spacing w:line="360" w:lineRule="auto"/>
        <w:jc w:val="both"/>
        <w:rPr>
          <w:rFonts w:ascii="Palatino Linotype" w:hAnsi="Palatino Linotype" w:cs="Tahoma"/>
          <w:bCs/>
          <w:iCs/>
          <w:sz w:val="22"/>
          <w:szCs w:val="22"/>
          <w:lang w:val="es-ES"/>
        </w:rPr>
      </w:pPr>
      <w:r w:rsidRPr="004E0224">
        <w:rPr>
          <w:rFonts w:ascii="Palatino Linotype" w:hAnsi="Palatino Linotype" w:cs="Tahoma"/>
          <w:bCs/>
          <w:iCs/>
          <w:sz w:val="22"/>
          <w:szCs w:val="22"/>
          <w:lang w:val="es-ES"/>
        </w:rPr>
        <w:t xml:space="preserve">En ese contexto, conforme al artículo 1° de la Ley que crea los Organismos Públicos Descentralizados de Asistencia Social, de Carácter Municipal, denominados “Sistemas Municipales para el Desarrollo Integral de la Familia”, </w:t>
      </w:r>
      <w:r w:rsidRPr="004E0224">
        <w:rPr>
          <w:rFonts w:ascii="Palatino Linotype" w:hAnsi="Palatino Linotype" w:cs="Tahoma"/>
          <w:bCs/>
          <w:iCs/>
          <w:sz w:val="22"/>
          <w:szCs w:val="22"/>
        </w:rPr>
        <w:t xml:space="preserve">dicho ente es un </w:t>
      </w:r>
      <w:r w:rsidRPr="004E0224">
        <w:rPr>
          <w:rFonts w:ascii="Palatino Linotype" w:hAnsi="Palatino Linotype" w:cs="Tahoma"/>
          <w:bCs/>
          <w:iCs/>
          <w:sz w:val="22"/>
          <w:szCs w:val="22"/>
          <w:lang w:val="es-ES"/>
        </w:rPr>
        <w:t>organismo público descentralizado municipal</w:t>
      </w:r>
      <w:r w:rsidRPr="004E0224">
        <w:rPr>
          <w:rFonts w:ascii="Palatino Linotype" w:hAnsi="Palatino Linotype" w:cs="Tahoma"/>
          <w:bCs/>
          <w:iCs/>
          <w:sz w:val="22"/>
          <w:szCs w:val="22"/>
        </w:rPr>
        <w:t>, con personalidad jurídica y patrimonio propios, así como, con autonomía técnica y administrativa en el manejo de recursos.</w:t>
      </w:r>
    </w:p>
    <w:p w:rsidRPr="004E0224" w:rsidR="004E0224" w:rsidP="003D45AC" w:rsidRDefault="004E0224" w14:paraId="514A9050" w14:textId="77777777">
      <w:pPr>
        <w:spacing w:line="360" w:lineRule="auto"/>
        <w:jc w:val="both"/>
        <w:rPr>
          <w:rFonts w:ascii="Palatino Linotype" w:hAnsi="Palatino Linotype" w:cs="Tahoma"/>
          <w:bCs/>
          <w:iCs/>
          <w:sz w:val="22"/>
          <w:szCs w:val="22"/>
          <w:lang w:val="es-ES"/>
        </w:rPr>
      </w:pPr>
    </w:p>
    <w:p w:rsidRPr="004E0224" w:rsidR="004E0224" w:rsidP="003D45AC" w:rsidRDefault="004E0224" w14:paraId="348F2854" w14:textId="5F126E61">
      <w:pPr>
        <w:spacing w:line="360" w:lineRule="auto"/>
        <w:jc w:val="both"/>
        <w:rPr>
          <w:rFonts w:ascii="Palatino Linotype" w:hAnsi="Palatino Linotype" w:cs="Tahoma"/>
          <w:sz w:val="22"/>
          <w:szCs w:val="22"/>
        </w:rPr>
      </w:pPr>
      <w:r w:rsidRPr="004E0224">
        <w:rPr>
          <w:rFonts w:ascii="Palatino Linotype" w:hAnsi="Palatino Linotype" w:cs="Tahoma"/>
          <w:bCs/>
          <w:iCs/>
          <w:sz w:val="22"/>
          <w:szCs w:val="22"/>
          <w:lang w:val="es-ES"/>
        </w:rPr>
        <w:t xml:space="preserve">En ese orden de ideas y toda vez que el Sistema es un organismo público descentralizado municipal, se procede a verificar si es sujeto obligado de transparencia, distinto al Ayuntamiento de Metepec; </w:t>
      </w:r>
      <w:r w:rsidRPr="004E0224">
        <w:rPr>
          <w:rFonts w:ascii="Palatino Linotype" w:hAnsi="Palatino Linotype" w:cs="Tahoma"/>
          <w:sz w:val="22"/>
          <w:szCs w:val="22"/>
        </w:rPr>
        <w:t>por lo que, este Instituto verifico el apartado de Directorio de Sujetos Obligados de la página oficial de este Instituto (consultado el dieciséis de febrero de dos mil veintidós), del cual se advierte</w:t>
      </w:r>
      <w:r w:rsidRPr="004E0224">
        <w:rPr>
          <w:rFonts w:ascii="Palatino Linotype" w:hAnsi="Palatino Linotype" w:cs="Tahoma"/>
          <w:bCs/>
          <w:iCs/>
          <w:sz w:val="22"/>
          <w:szCs w:val="22"/>
          <w:lang w:val="es-ES"/>
        </w:rPr>
        <w:t xml:space="preserve"> que </w:t>
      </w:r>
      <w:r>
        <w:rPr>
          <w:rFonts w:ascii="Palatino Linotype" w:hAnsi="Palatino Linotype" w:cs="Tahoma"/>
          <w:bCs/>
          <w:iCs/>
          <w:sz w:val="22"/>
          <w:szCs w:val="22"/>
          <w:lang w:val="es-ES"/>
        </w:rPr>
        <w:t>son</w:t>
      </w:r>
      <w:r w:rsidRPr="004E0224">
        <w:rPr>
          <w:rFonts w:ascii="Palatino Linotype" w:hAnsi="Palatino Linotype" w:cs="Tahoma"/>
          <w:bCs/>
          <w:iCs/>
          <w:sz w:val="22"/>
          <w:szCs w:val="22"/>
          <w:lang w:val="es-ES"/>
        </w:rPr>
        <w:t xml:space="preserve"> considerado</w:t>
      </w:r>
      <w:r>
        <w:rPr>
          <w:rFonts w:ascii="Palatino Linotype" w:hAnsi="Palatino Linotype" w:cs="Tahoma"/>
          <w:bCs/>
          <w:iCs/>
          <w:sz w:val="22"/>
          <w:szCs w:val="22"/>
          <w:lang w:val="es-ES"/>
        </w:rPr>
        <w:t>s</w:t>
      </w:r>
      <w:r w:rsidRPr="004E0224">
        <w:rPr>
          <w:rFonts w:ascii="Palatino Linotype" w:hAnsi="Palatino Linotype" w:cs="Tahoma"/>
          <w:bCs/>
          <w:iCs/>
          <w:sz w:val="22"/>
          <w:szCs w:val="22"/>
          <w:lang w:val="es-ES"/>
        </w:rPr>
        <w:t xml:space="preserve"> como sujeto</w:t>
      </w:r>
      <w:r>
        <w:rPr>
          <w:rFonts w:ascii="Palatino Linotype" w:hAnsi="Palatino Linotype" w:cs="Tahoma"/>
          <w:bCs/>
          <w:iCs/>
          <w:sz w:val="22"/>
          <w:szCs w:val="22"/>
          <w:lang w:val="es-ES"/>
        </w:rPr>
        <w:t>s</w:t>
      </w:r>
      <w:r w:rsidRPr="004E0224">
        <w:rPr>
          <w:rFonts w:ascii="Palatino Linotype" w:hAnsi="Palatino Linotype" w:cs="Tahoma"/>
          <w:bCs/>
          <w:iCs/>
          <w:sz w:val="22"/>
          <w:szCs w:val="22"/>
          <w:lang w:val="es-ES"/>
        </w:rPr>
        <w:t xml:space="preserve"> obligado</w:t>
      </w:r>
      <w:r>
        <w:rPr>
          <w:rFonts w:ascii="Palatino Linotype" w:hAnsi="Palatino Linotype" w:cs="Tahoma"/>
          <w:bCs/>
          <w:iCs/>
          <w:sz w:val="22"/>
          <w:szCs w:val="22"/>
          <w:lang w:val="es-ES"/>
        </w:rPr>
        <w:t>s</w:t>
      </w:r>
      <w:r w:rsidRPr="004E0224">
        <w:rPr>
          <w:rFonts w:ascii="Palatino Linotype" w:hAnsi="Palatino Linotype" w:cs="Tahoma"/>
          <w:bCs/>
          <w:iCs/>
          <w:sz w:val="22"/>
          <w:szCs w:val="22"/>
          <w:lang w:val="es-ES"/>
        </w:rPr>
        <w:t xml:space="preserve"> </w:t>
      </w:r>
      <w:r w:rsidRPr="004E0224">
        <w:rPr>
          <w:rFonts w:ascii="Palatino Linotype" w:hAnsi="Palatino Linotype" w:cs="Tahoma"/>
          <w:bCs/>
          <w:iCs/>
          <w:sz w:val="22"/>
          <w:szCs w:val="22"/>
        </w:rPr>
        <w:t>que se encuentra</w:t>
      </w:r>
      <w:r>
        <w:rPr>
          <w:rFonts w:ascii="Palatino Linotype" w:hAnsi="Palatino Linotype" w:cs="Tahoma"/>
          <w:bCs/>
          <w:iCs/>
          <w:sz w:val="22"/>
          <w:szCs w:val="22"/>
        </w:rPr>
        <w:t>n</w:t>
      </w:r>
      <w:r w:rsidRPr="004E0224">
        <w:rPr>
          <w:rFonts w:ascii="Palatino Linotype" w:hAnsi="Palatino Linotype" w:cs="Tahoma"/>
          <w:bCs/>
          <w:iCs/>
          <w:sz w:val="22"/>
          <w:szCs w:val="22"/>
        </w:rPr>
        <w:t xml:space="preserve"> constreñido</w:t>
      </w:r>
      <w:r>
        <w:rPr>
          <w:rFonts w:ascii="Palatino Linotype" w:hAnsi="Palatino Linotype" w:cs="Tahoma"/>
          <w:bCs/>
          <w:iCs/>
          <w:sz w:val="22"/>
          <w:szCs w:val="22"/>
        </w:rPr>
        <w:t>s</w:t>
      </w:r>
      <w:r w:rsidRPr="004E0224">
        <w:rPr>
          <w:rFonts w:ascii="Palatino Linotype" w:hAnsi="Palatino Linotype" w:cs="Tahoma"/>
          <w:bCs/>
          <w:iCs/>
          <w:sz w:val="22"/>
          <w:szCs w:val="22"/>
        </w:rPr>
        <w:t xml:space="preserve"> a cumplir con las Leyes de Transparencia</w:t>
      </w:r>
      <w:r>
        <w:rPr>
          <w:rFonts w:ascii="Palatino Linotype" w:hAnsi="Palatino Linotype" w:cs="Tahoma"/>
          <w:bCs/>
          <w:iCs/>
          <w:sz w:val="22"/>
          <w:szCs w:val="22"/>
          <w:lang w:val="es-ES"/>
        </w:rPr>
        <w:t>, a</w:t>
      </w:r>
      <w:r w:rsidRPr="004E0224">
        <w:rPr>
          <w:rFonts w:ascii="Palatino Linotype" w:hAnsi="Palatino Linotype" w:cs="Tahoma"/>
          <w:bCs/>
          <w:iCs/>
          <w:sz w:val="22"/>
          <w:szCs w:val="22"/>
          <w:lang w:val="es-ES"/>
        </w:rPr>
        <w:t xml:space="preserve">l Ayuntamiento de Metepec y </w:t>
      </w:r>
      <w:r>
        <w:rPr>
          <w:rFonts w:ascii="Palatino Linotype" w:hAnsi="Palatino Linotype" w:cs="Tahoma"/>
          <w:bCs/>
          <w:iCs/>
          <w:sz w:val="22"/>
          <w:szCs w:val="22"/>
          <w:lang w:val="es-ES"/>
        </w:rPr>
        <w:t>a</w:t>
      </w:r>
      <w:r w:rsidRPr="004E0224">
        <w:rPr>
          <w:rFonts w:ascii="Palatino Linotype" w:hAnsi="Palatino Linotype" w:cs="Tahoma"/>
          <w:bCs/>
          <w:iCs/>
          <w:sz w:val="22"/>
          <w:szCs w:val="22"/>
          <w:lang w:val="es-ES"/>
        </w:rPr>
        <w:t xml:space="preserve">l </w:t>
      </w:r>
      <w:r w:rsidRPr="004E0224">
        <w:rPr>
          <w:rFonts w:ascii="Palatino Linotype" w:hAnsi="Palatino Linotype" w:cs="Tahoma"/>
          <w:sz w:val="22"/>
          <w:szCs w:val="22"/>
        </w:rPr>
        <w:t>Sistema Municipal para el Desarrollo Integral de la Familia de Metepec, tal como se observa a continuación:</w:t>
      </w:r>
    </w:p>
    <w:p w:rsidRPr="004E0224" w:rsidR="004E0224" w:rsidP="003D45AC" w:rsidRDefault="004E0224" w14:paraId="730ADB21" w14:textId="77777777">
      <w:pPr>
        <w:spacing w:line="360" w:lineRule="auto"/>
        <w:jc w:val="both"/>
        <w:rPr>
          <w:rFonts w:ascii="Palatino Linotype" w:hAnsi="Palatino Linotype" w:cs="Tahoma"/>
          <w:sz w:val="22"/>
          <w:szCs w:val="22"/>
        </w:rPr>
      </w:pPr>
    </w:p>
    <w:p w:rsidRPr="004E0224" w:rsidR="004E0224" w:rsidP="003D45AC" w:rsidRDefault="004E0224" w14:paraId="02857F2C" w14:textId="77777777">
      <w:pPr>
        <w:spacing w:line="360" w:lineRule="auto"/>
        <w:jc w:val="center"/>
        <w:rPr>
          <w:rFonts w:ascii="Palatino Linotype" w:hAnsi="Palatino Linotype" w:cs="Tahoma"/>
          <w:bCs/>
          <w:iCs/>
          <w:sz w:val="22"/>
          <w:szCs w:val="22"/>
          <w:lang w:val="es-ES"/>
        </w:rPr>
      </w:pPr>
      <w:r w:rsidRPr="004E0224">
        <w:rPr>
          <w:rFonts w:ascii="Palatino Linotype" w:hAnsi="Palatino Linotype" w:eastAsiaTheme="minorHAnsi" w:cstheme="minorBidi"/>
          <w:noProof/>
          <w:color w:val="000000" w:themeColor="text1"/>
          <w:sz w:val="22"/>
          <w:szCs w:val="22"/>
          <w:lang w:eastAsia="es-MX"/>
        </w:rPr>
        <w:lastRenderedPageBreak/>
        <w:drawing>
          <wp:inline distT="0" distB="0" distL="0" distR="0" wp14:anchorId="46574A41" wp14:editId="1DC874CF">
            <wp:extent cx="5524500" cy="1333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4500" cy="1333500"/>
                    </a:xfrm>
                    <a:prstGeom prst="rect">
                      <a:avLst/>
                    </a:prstGeom>
                  </pic:spPr>
                </pic:pic>
              </a:graphicData>
            </a:graphic>
          </wp:inline>
        </w:drawing>
      </w:r>
    </w:p>
    <w:p w:rsidRPr="004E0224" w:rsidR="004E0224" w:rsidP="003D45AC" w:rsidRDefault="004E0224" w14:paraId="566C69F7" w14:textId="77777777">
      <w:pPr>
        <w:spacing w:line="360" w:lineRule="auto"/>
        <w:jc w:val="center"/>
        <w:rPr>
          <w:rFonts w:ascii="Palatino Linotype" w:hAnsi="Palatino Linotype" w:cs="Tahoma"/>
          <w:bCs/>
          <w:iCs/>
          <w:sz w:val="22"/>
          <w:szCs w:val="22"/>
          <w:lang w:val="es-ES"/>
        </w:rPr>
      </w:pPr>
      <w:r w:rsidRPr="004E0224">
        <w:rPr>
          <w:rFonts w:ascii="Palatino Linotype" w:hAnsi="Palatino Linotype" w:cs="Tahoma"/>
          <w:bCs/>
          <w:iCs/>
          <w:sz w:val="22"/>
          <w:szCs w:val="22"/>
          <w:lang w:val="es-ES"/>
        </w:rPr>
        <w:t>…</w:t>
      </w:r>
    </w:p>
    <w:p w:rsidRPr="004E0224" w:rsidR="004E0224" w:rsidP="003D45AC" w:rsidRDefault="004E0224" w14:paraId="1829FE4E" w14:textId="77777777">
      <w:pPr>
        <w:spacing w:line="360" w:lineRule="auto"/>
        <w:jc w:val="center"/>
        <w:rPr>
          <w:rFonts w:ascii="Palatino Linotype" w:hAnsi="Palatino Linotype" w:cs="Tahoma"/>
          <w:bCs/>
          <w:iCs/>
          <w:sz w:val="22"/>
          <w:szCs w:val="22"/>
          <w:lang w:val="es-ES"/>
        </w:rPr>
      </w:pPr>
      <w:r w:rsidRPr="004E0224">
        <w:rPr>
          <w:rFonts w:ascii="Palatino Linotype" w:hAnsi="Palatino Linotype" w:eastAsiaTheme="minorHAnsi" w:cstheme="minorBidi"/>
          <w:noProof/>
          <w:color w:val="000000" w:themeColor="text1"/>
          <w:sz w:val="22"/>
          <w:szCs w:val="22"/>
          <w:lang w:eastAsia="es-MX"/>
        </w:rPr>
        <w:drawing>
          <wp:inline distT="0" distB="0" distL="0" distR="0" wp14:anchorId="2E35F0D5" wp14:editId="6664E7BB">
            <wp:extent cx="5499735" cy="143174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5949" cy="1438566"/>
                    </a:xfrm>
                    <a:prstGeom prst="rect">
                      <a:avLst/>
                    </a:prstGeom>
                  </pic:spPr>
                </pic:pic>
              </a:graphicData>
            </a:graphic>
          </wp:inline>
        </w:drawing>
      </w:r>
    </w:p>
    <w:p w:rsidRPr="004E0224" w:rsidR="004E0224" w:rsidP="003D45AC" w:rsidRDefault="004E0224" w14:paraId="1E0DAB16" w14:textId="77777777">
      <w:pPr>
        <w:spacing w:line="360" w:lineRule="auto"/>
        <w:jc w:val="both"/>
        <w:rPr>
          <w:rFonts w:ascii="Palatino Linotype" w:hAnsi="Palatino Linotype" w:cs="Tahoma"/>
          <w:bCs/>
          <w:iCs/>
          <w:sz w:val="22"/>
          <w:szCs w:val="22"/>
          <w:lang w:val="es-ES"/>
        </w:rPr>
      </w:pPr>
    </w:p>
    <w:p w:rsidRPr="004E0224" w:rsidR="004E0224" w:rsidP="003D45AC" w:rsidRDefault="004E0224" w14:paraId="0D69400A" w14:textId="77777777">
      <w:pPr>
        <w:widowControl w:val="0"/>
        <w:spacing w:line="360" w:lineRule="auto"/>
        <w:jc w:val="both"/>
        <w:rPr>
          <w:rFonts w:ascii="Palatino Linotype" w:hAnsi="Palatino Linotype" w:cs="Tahoma"/>
          <w:sz w:val="22"/>
          <w:szCs w:val="22"/>
        </w:rPr>
      </w:pPr>
      <w:r w:rsidRPr="004E0224">
        <w:rPr>
          <w:rFonts w:ascii="Palatino Linotype" w:hAnsi="Palatino Linotype" w:cs="Tahoma"/>
          <w:sz w:val="22"/>
          <w:szCs w:val="22"/>
        </w:rPr>
        <w:t>Lo anterior, toma sustento con el Portal de Información Pública de Oficio Mexiquense, que prevé el listado de Sujetos Obligados, entre los cuales se encuentra el Sistema Municipal para el Desarrollo Integral de la Familia de Ecatepec de Morelos, tal como se observa a continuación:</w:t>
      </w:r>
    </w:p>
    <w:p w:rsidRPr="004E0224" w:rsidR="004E0224" w:rsidP="003D45AC" w:rsidRDefault="004E0224" w14:paraId="19CA7955" w14:textId="77777777">
      <w:pPr>
        <w:spacing w:line="360" w:lineRule="auto"/>
        <w:jc w:val="both"/>
        <w:rPr>
          <w:rFonts w:ascii="Palatino Linotype" w:hAnsi="Palatino Linotype" w:cs="Tahoma"/>
          <w:bCs/>
          <w:iCs/>
          <w:sz w:val="22"/>
          <w:szCs w:val="22"/>
          <w:lang w:val="es-ES"/>
        </w:rPr>
      </w:pPr>
    </w:p>
    <w:p w:rsidRPr="004E0224" w:rsidR="004E0224" w:rsidP="003D45AC" w:rsidRDefault="004E0224" w14:paraId="079D601D" w14:textId="77777777">
      <w:pPr>
        <w:spacing w:line="360" w:lineRule="auto"/>
        <w:jc w:val="both"/>
        <w:rPr>
          <w:rFonts w:ascii="Palatino Linotype" w:hAnsi="Palatino Linotype" w:cs="Tahoma"/>
          <w:bCs/>
          <w:iCs/>
          <w:sz w:val="22"/>
          <w:szCs w:val="22"/>
          <w:lang w:val="es-ES"/>
        </w:rPr>
      </w:pPr>
      <w:r w:rsidRPr="004E0224">
        <w:rPr>
          <w:rFonts w:ascii="Palatino Linotype" w:hAnsi="Palatino Linotype" w:eastAsiaTheme="minorHAnsi" w:cstheme="minorBidi"/>
          <w:noProof/>
          <w:color w:val="000000" w:themeColor="text1"/>
          <w:sz w:val="22"/>
          <w:szCs w:val="22"/>
          <w:lang w:eastAsia="es-MX"/>
        </w:rPr>
        <w:drawing>
          <wp:inline distT="0" distB="0" distL="0" distR="0" wp14:anchorId="481ACE4B" wp14:editId="4768F986">
            <wp:extent cx="5791835" cy="55816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7720"/>
                    <a:stretch/>
                  </pic:blipFill>
                  <pic:spPr bwMode="auto">
                    <a:xfrm>
                      <a:off x="0" y="0"/>
                      <a:ext cx="5791835" cy="558165"/>
                    </a:xfrm>
                    <a:prstGeom prst="rect">
                      <a:avLst/>
                    </a:prstGeom>
                    <a:ln>
                      <a:noFill/>
                    </a:ln>
                    <a:extLst>
                      <a:ext uri="{53640926-AAD7-44D8-BBD7-CCE9431645EC}">
                        <a14:shadowObscured xmlns:a14="http://schemas.microsoft.com/office/drawing/2010/main"/>
                      </a:ext>
                    </a:extLst>
                  </pic:spPr>
                </pic:pic>
              </a:graphicData>
            </a:graphic>
          </wp:inline>
        </w:drawing>
      </w:r>
    </w:p>
    <w:p w:rsidR="004E0224" w:rsidP="003D45AC" w:rsidRDefault="004E0224" w14:paraId="00766A1B" w14:textId="77777777">
      <w:pPr>
        <w:spacing w:line="360" w:lineRule="auto"/>
        <w:jc w:val="center"/>
        <w:rPr>
          <w:rFonts w:ascii="Palatino Linotype" w:hAnsi="Palatino Linotype" w:cs="Tahoma"/>
          <w:bCs/>
          <w:iCs/>
          <w:sz w:val="22"/>
          <w:szCs w:val="22"/>
          <w:lang w:val="es-ES"/>
        </w:rPr>
      </w:pPr>
      <w:r>
        <w:rPr>
          <w:rFonts w:ascii="Palatino Linotype" w:hAnsi="Palatino Linotype" w:cs="Tahoma"/>
          <w:bCs/>
          <w:iCs/>
          <w:sz w:val="22"/>
          <w:szCs w:val="22"/>
          <w:lang w:val="es-ES"/>
        </w:rPr>
        <w:t>…</w:t>
      </w:r>
    </w:p>
    <w:p w:rsidR="004E0224" w:rsidP="003D45AC" w:rsidRDefault="004E0224" w14:paraId="4D29AF07" w14:textId="24D64F72">
      <w:pPr>
        <w:spacing w:line="360" w:lineRule="auto"/>
        <w:jc w:val="center"/>
        <w:rPr>
          <w:rFonts w:ascii="Palatino Linotype" w:hAnsi="Palatino Linotype" w:cs="Tahoma"/>
          <w:bCs/>
          <w:iCs/>
          <w:sz w:val="22"/>
          <w:szCs w:val="22"/>
          <w:lang w:val="es-ES"/>
        </w:rPr>
      </w:pPr>
      <w:r w:rsidRPr="004E0224">
        <w:rPr>
          <w:rFonts w:ascii="Palatino Linotype" w:hAnsi="Palatino Linotype" w:cs="Tahoma"/>
          <w:bCs/>
          <w:iCs/>
          <w:noProof/>
          <w:sz w:val="22"/>
          <w:szCs w:val="22"/>
          <w:lang w:val="es-ES"/>
        </w:rPr>
        <w:drawing>
          <wp:inline distT="0" distB="0" distL="0" distR="0" wp14:anchorId="4CB29417" wp14:editId="3953EC06">
            <wp:extent cx="5612130" cy="856615"/>
            <wp:effectExtent l="0" t="0" r="762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856615"/>
                    </a:xfrm>
                    <a:prstGeom prst="rect">
                      <a:avLst/>
                    </a:prstGeom>
                  </pic:spPr>
                </pic:pic>
              </a:graphicData>
            </a:graphic>
          </wp:inline>
        </w:drawing>
      </w:r>
    </w:p>
    <w:p w:rsidRPr="004E0224" w:rsidR="004E0224" w:rsidP="003D45AC" w:rsidRDefault="004E0224" w14:paraId="3B7CEEC9" w14:textId="59D14AA6">
      <w:pPr>
        <w:spacing w:line="360" w:lineRule="auto"/>
        <w:jc w:val="center"/>
        <w:rPr>
          <w:rFonts w:ascii="Palatino Linotype" w:hAnsi="Palatino Linotype" w:cs="Tahoma"/>
          <w:bCs/>
          <w:iCs/>
          <w:sz w:val="22"/>
          <w:szCs w:val="22"/>
          <w:lang w:val="es-ES"/>
        </w:rPr>
      </w:pPr>
      <w:r w:rsidRPr="004E0224">
        <w:rPr>
          <w:rFonts w:ascii="Palatino Linotype" w:hAnsi="Palatino Linotype" w:cs="Tahoma"/>
          <w:bCs/>
          <w:iCs/>
          <w:sz w:val="22"/>
          <w:szCs w:val="22"/>
          <w:lang w:val="es-ES"/>
        </w:rPr>
        <w:t>…</w:t>
      </w:r>
    </w:p>
    <w:p w:rsidRPr="004E0224" w:rsidR="004E0224" w:rsidP="003D45AC" w:rsidRDefault="004E0224" w14:paraId="42E15BFA" w14:textId="77777777">
      <w:pPr>
        <w:spacing w:line="360" w:lineRule="auto"/>
        <w:jc w:val="center"/>
        <w:rPr>
          <w:rFonts w:ascii="Palatino Linotype" w:hAnsi="Palatino Linotype" w:cs="Tahoma"/>
          <w:bCs/>
          <w:iCs/>
          <w:sz w:val="22"/>
          <w:szCs w:val="22"/>
          <w:lang w:val="es-ES"/>
        </w:rPr>
      </w:pPr>
      <w:r w:rsidRPr="004E0224">
        <w:rPr>
          <w:rFonts w:ascii="Palatino Linotype" w:hAnsi="Palatino Linotype" w:eastAsiaTheme="minorHAnsi" w:cstheme="minorBidi"/>
          <w:noProof/>
          <w:color w:val="000000" w:themeColor="text1"/>
          <w:sz w:val="22"/>
          <w:szCs w:val="22"/>
          <w:lang w:eastAsia="es-MX"/>
        </w:rPr>
        <w:lastRenderedPageBreak/>
        <w:drawing>
          <wp:inline distT="0" distB="0" distL="0" distR="0" wp14:anchorId="21396133" wp14:editId="31529B00">
            <wp:extent cx="5671185" cy="734695"/>
            <wp:effectExtent l="0" t="0" r="571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734695"/>
                    </a:xfrm>
                    <a:prstGeom prst="rect">
                      <a:avLst/>
                    </a:prstGeom>
                  </pic:spPr>
                </pic:pic>
              </a:graphicData>
            </a:graphic>
          </wp:inline>
        </w:drawing>
      </w:r>
    </w:p>
    <w:p w:rsidRPr="004E0224" w:rsidR="004E0224" w:rsidP="003D45AC" w:rsidRDefault="004E0224" w14:paraId="5A92602F" w14:textId="77777777">
      <w:pPr>
        <w:spacing w:line="360" w:lineRule="auto"/>
        <w:jc w:val="both"/>
        <w:rPr>
          <w:rFonts w:ascii="Palatino Linotype" w:hAnsi="Palatino Linotype" w:cs="Tahoma"/>
          <w:sz w:val="22"/>
          <w:szCs w:val="22"/>
        </w:rPr>
      </w:pPr>
    </w:p>
    <w:p w:rsidRPr="004E0224" w:rsidR="004E0224" w:rsidP="003D45AC" w:rsidRDefault="004E0224" w14:paraId="3C80C729" w14:textId="4E603139">
      <w:pPr>
        <w:spacing w:line="360" w:lineRule="auto"/>
        <w:jc w:val="both"/>
        <w:rPr>
          <w:rFonts w:ascii="Palatino Linotype" w:hAnsi="Palatino Linotype" w:cs="Tahoma"/>
          <w:sz w:val="22"/>
          <w:szCs w:val="22"/>
        </w:rPr>
      </w:pPr>
      <w:r w:rsidRPr="004E0224">
        <w:rPr>
          <w:rFonts w:ascii="Palatino Linotype" w:hAnsi="Palatino Linotype" w:cs="Tahoma"/>
          <w:sz w:val="22"/>
          <w:szCs w:val="22"/>
        </w:rPr>
        <w:t>Inclusive, dicho</w:t>
      </w:r>
      <w:r>
        <w:rPr>
          <w:rFonts w:ascii="Palatino Linotype" w:hAnsi="Palatino Linotype" w:cs="Tahoma"/>
          <w:sz w:val="22"/>
          <w:szCs w:val="22"/>
        </w:rPr>
        <w:t xml:space="preserve">s entes </w:t>
      </w:r>
      <w:r w:rsidRPr="004E0224">
        <w:rPr>
          <w:rFonts w:ascii="Palatino Linotype" w:hAnsi="Palatino Linotype" w:cs="Tahoma"/>
          <w:sz w:val="22"/>
          <w:szCs w:val="22"/>
        </w:rPr>
        <w:t>público</w:t>
      </w:r>
      <w:r>
        <w:rPr>
          <w:rFonts w:ascii="Palatino Linotype" w:hAnsi="Palatino Linotype" w:cs="Tahoma"/>
          <w:sz w:val="22"/>
          <w:szCs w:val="22"/>
        </w:rPr>
        <w:t>s</w:t>
      </w:r>
      <w:r w:rsidRPr="004E0224">
        <w:rPr>
          <w:rFonts w:ascii="Palatino Linotype" w:hAnsi="Palatino Linotype" w:cs="Tahoma"/>
          <w:sz w:val="22"/>
          <w:szCs w:val="22"/>
        </w:rPr>
        <w:t xml:space="preserve"> </w:t>
      </w:r>
      <w:r>
        <w:rPr>
          <w:rFonts w:ascii="Palatino Linotype" w:hAnsi="Palatino Linotype" w:cs="Tahoma"/>
          <w:sz w:val="22"/>
          <w:szCs w:val="22"/>
        </w:rPr>
        <w:t xml:space="preserve">cuentan con su propio </w:t>
      </w:r>
      <w:r w:rsidRPr="004E0224">
        <w:rPr>
          <w:rFonts w:ascii="Palatino Linotype" w:hAnsi="Palatino Linotype" w:cs="Tahoma"/>
          <w:sz w:val="22"/>
          <w:szCs w:val="22"/>
        </w:rPr>
        <w:t>Portal de Información Pública de Oficio Mexiquense (</w:t>
      </w:r>
      <w:hyperlink w:history="1" r:id="rId14">
        <w:r w:rsidRPr="001D1334" w:rsidR="003D45AC">
          <w:rPr>
            <w:rStyle w:val="Hipervnculo"/>
            <w:rFonts w:ascii="Palatino Linotype" w:hAnsi="Palatino Linotype"/>
            <w:sz w:val="22"/>
            <w:szCs w:val="22"/>
          </w:rPr>
          <w:t>https://www.ipomex.org.mx/ipo3/lgt/indice/DIFMETEPEC.web</w:t>
        </w:r>
      </w:hyperlink>
      <w:r w:rsidR="003D45AC">
        <w:rPr>
          <w:rFonts w:ascii="Palatino Linotype" w:hAnsi="Palatino Linotype"/>
          <w:sz w:val="22"/>
          <w:szCs w:val="22"/>
        </w:rPr>
        <w:t xml:space="preserve"> y </w:t>
      </w:r>
      <w:r w:rsidRPr="003D45AC" w:rsidR="003D45AC">
        <w:rPr>
          <w:rFonts w:ascii="Palatino Linotype" w:hAnsi="Palatino Linotype"/>
          <w:sz w:val="22"/>
          <w:szCs w:val="22"/>
        </w:rPr>
        <w:t>https://ipomex2.ipomex.org.mx/ipo3/lgt/indice/METEPEC.web</w:t>
      </w:r>
      <w:r w:rsidRPr="004E0224">
        <w:rPr>
          <w:rFonts w:ascii="Palatino Linotype" w:hAnsi="Palatino Linotype" w:cs="Tahoma"/>
          <w:sz w:val="22"/>
          <w:szCs w:val="22"/>
        </w:rPr>
        <w:t xml:space="preserve">), </w:t>
      </w:r>
      <w:r>
        <w:rPr>
          <w:rFonts w:ascii="Palatino Linotype" w:hAnsi="Palatino Linotype" w:cs="Tahoma"/>
          <w:sz w:val="22"/>
          <w:szCs w:val="22"/>
        </w:rPr>
        <w:t>en la cual deben de publicar sus obligaciones de transparencia, tal como se muestra a continuación:</w:t>
      </w:r>
    </w:p>
    <w:p w:rsidR="004E0224" w:rsidP="003D45AC" w:rsidRDefault="004E0224" w14:paraId="336552CD" w14:textId="77777777">
      <w:pPr>
        <w:spacing w:line="360" w:lineRule="auto"/>
        <w:jc w:val="both"/>
        <w:rPr>
          <w:rFonts w:ascii="Palatino Linotype" w:hAnsi="Palatino Linotype" w:cs="Tahoma"/>
          <w:sz w:val="22"/>
          <w:szCs w:val="22"/>
        </w:rPr>
      </w:pPr>
    </w:p>
    <w:p w:rsidR="004E0224" w:rsidP="003D45AC" w:rsidRDefault="004E0224" w14:paraId="63991E84" w14:textId="6E5EE3BF">
      <w:pPr>
        <w:spacing w:line="360" w:lineRule="auto"/>
        <w:jc w:val="center"/>
        <w:rPr>
          <w:rFonts w:ascii="Palatino Linotype" w:hAnsi="Palatino Linotype" w:cs="Tahoma"/>
          <w:sz w:val="22"/>
          <w:szCs w:val="22"/>
        </w:rPr>
      </w:pPr>
      <w:r w:rsidRPr="004E0224">
        <w:rPr>
          <w:rFonts w:ascii="Palatino Linotype" w:hAnsi="Palatino Linotype" w:cs="Tahoma"/>
          <w:noProof/>
          <w:sz w:val="22"/>
          <w:szCs w:val="22"/>
        </w:rPr>
        <w:drawing>
          <wp:inline distT="0" distB="0" distL="0" distR="0" wp14:anchorId="49540AE6" wp14:editId="3BDA4703">
            <wp:extent cx="4961943" cy="21621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887"/>
                    <a:stretch/>
                  </pic:blipFill>
                  <pic:spPr bwMode="auto">
                    <a:xfrm>
                      <a:off x="0" y="0"/>
                      <a:ext cx="4984251" cy="2171896"/>
                    </a:xfrm>
                    <a:prstGeom prst="rect">
                      <a:avLst/>
                    </a:prstGeom>
                    <a:ln>
                      <a:noFill/>
                    </a:ln>
                    <a:extLst>
                      <a:ext uri="{53640926-AAD7-44D8-BBD7-CCE9431645EC}">
                        <a14:shadowObscured xmlns:a14="http://schemas.microsoft.com/office/drawing/2010/main"/>
                      </a:ext>
                    </a:extLst>
                  </pic:spPr>
                </pic:pic>
              </a:graphicData>
            </a:graphic>
          </wp:inline>
        </w:drawing>
      </w:r>
    </w:p>
    <w:p w:rsidRPr="004E0224" w:rsidR="004E0224" w:rsidP="003D45AC" w:rsidRDefault="004E0224" w14:paraId="04349AFA" w14:textId="77777777">
      <w:pPr>
        <w:spacing w:line="360" w:lineRule="auto"/>
        <w:jc w:val="both"/>
        <w:rPr>
          <w:rFonts w:ascii="Palatino Linotype" w:hAnsi="Palatino Linotype" w:cs="Tahoma"/>
          <w:sz w:val="22"/>
          <w:szCs w:val="22"/>
        </w:rPr>
      </w:pPr>
    </w:p>
    <w:p w:rsidRPr="004E0224" w:rsidR="004E0224" w:rsidP="003D45AC" w:rsidRDefault="004E0224" w14:paraId="51265352" w14:textId="77777777">
      <w:pPr>
        <w:spacing w:line="360" w:lineRule="auto"/>
        <w:jc w:val="center"/>
        <w:rPr>
          <w:rFonts w:ascii="Palatino Linotype" w:hAnsi="Palatino Linotype" w:cs="Tahoma"/>
          <w:sz w:val="22"/>
          <w:szCs w:val="22"/>
        </w:rPr>
      </w:pPr>
      <w:r w:rsidRPr="004E0224">
        <w:rPr>
          <w:rFonts w:ascii="Palatino Linotype" w:hAnsi="Palatino Linotype" w:eastAsiaTheme="minorHAnsi" w:cstheme="minorBidi"/>
          <w:noProof/>
          <w:color w:val="000000" w:themeColor="text1"/>
          <w:sz w:val="22"/>
          <w:szCs w:val="22"/>
          <w:lang w:eastAsia="es-MX"/>
        </w:rPr>
        <w:drawing>
          <wp:inline distT="0" distB="0" distL="0" distR="0" wp14:anchorId="49110EB0" wp14:editId="40B07CE7">
            <wp:extent cx="5025390" cy="20574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31310"/>
                    <a:stretch/>
                  </pic:blipFill>
                  <pic:spPr bwMode="auto">
                    <a:xfrm>
                      <a:off x="0" y="0"/>
                      <a:ext cx="5045570" cy="2065662"/>
                    </a:xfrm>
                    <a:prstGeom prst="rect">
                      <a:avLst/>
                    </a:prstGeom>
                    <a:ln>
                      <a:noFill/>
                    </a:ln>
                    <a:extLst>
                      <a:ext uri="{53640926-AAD7-44D8-BBD7-CCE9431645EC}">
                        <a14:shadowObscured xmlns:a14="http://schemas.microsoft.com/office/drawing/2010/main"/>
                      </a:ext>
                    </a:extLst>
                  </pic:spPr>
                </pic:pic>
              </a:graphicData>
            </a:graphic>
          </wp:inline>
        </w:drawing>
      </w:r>
    </w:p>
    <w:p w:rsidR="009F490B" w:rsidP="003D45AC" w:rsidRDefault="009F490B" w14:paraId="428B0320" w14:textId="38431F75">
      <w:pPr>
        <w:spacing w:line="360" w:lineRule="auto"/>
        <w:jc w:val="both"/>
        <w:rPr>
          <w:rFonts w:ascii="Palatino Linotype" w:hAnsi="Palatino Linotype" w:cs="Tahoma"/>
          <w:sz w:val="22"/>
          <w:szCs w:val="22"/>
        </w:rPr>
      </w:pPr>
    </w:p>
    <w:p w:rsidR="009F490B" w:rsidP="003D45AC" w:rsidRDefault="009F490B" w14:paraId="6A03B438" w14:textId="77777777">
      <w:pPr>
        <w:spacing w:line="360" w:lineRule="auto"/>
        <w:jc w:val="both"/>
        <w:rPr>
          <w:rFonts w:ascii="Palatino Linotype" w:hAnsi="Palatino Linotype" w:cs="Tahoma"/>
          <w:sz w:val="22"/>
          <w:szCs w:val="22"/>
        </w:rPr>
      </w:pPr>
    </w:p>
    <w:p w:rsidR="009F490B" w:rsidP="003D45AC" w:rsidRDefault="003D45AC" w14:paraId="2B25C121" w14:textId="05CE68C7">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vislumbrar que el Ayuntamiento de Metepec y el Sistema Municipal para el Desarrollo Integral de la Familia de Metepec, son sujetos obligados distintos y cada uno tiene la obligación de cumplir con las Leyes de Transparencia, lo cual incluye entregar la información que obra en sus archivos.</w:t>
      </w:r>
    </w:p>
    <w:p w:rsidR="009F490B" w:rsidP="003D45AC" w:rsidRDefault="009F490B" w14:paraId="626EE155" w14:textId="77777777">
      <w:pPr>
        <w:spacing w:line="360" w:lineRule="auto"/>
        <w:jc w:val="both"/>
        <w:rPr>
          <w:rFonts w:ascii="Palatino Linotype" w:hAnsi="Palatino Linotype" w:cs="Tahoma"/>
          <w:sz w:val="22"/>
          <w:szCs w:val="22"/>
        </w:rPr>
      </w:pPr>
    </w:p>
    <w:p w:rsidRPr="003D45AC" w:rsidR="003D45AC" w:rsidP="003D45AC" w:rsidRDefault="003D45AC" w14:paraId="39C37999" w14:textId="52430554">
      <w:pPr>
        <w:spacing w:line="360" w:lineRule="auto"/>
        <w:jc w:val="both"/>
        <w:rPr>
          <w:rFonts w:ascii="Palatino Linotype" w:hAnsi="Palatino Linotype" w:cs="Tahoma"/>
          <w:sz w:val="22"/>
          <w:szCs w:val="22"/>
        </w:rPr>
      </w:pPr>
      <w:r w:rsidRPr="003D45AC">
        <w:rPr>
          <w:rFonts w:ascii="Palatino Linotype" w:hAnsi="Palatino Linotype" w:cs="Tahoma"/>
          <w:bCs/>
          <w:sz w:val="22"/>
          <w:szCs w:val="22"/>
          <w:lang w:val="es-ES_tradnl"/>
        </w:rPr>
        <w:t xml:space="preserve">Conforme a lo anterior, se logra vislumbrar, </w:t>
      </w:r>
      <w:r w:rsidRPr="003D45AC">
        <w:rPr>
          <w:rFonts w:ascii="Palatino Linotype" w:hAnsi="Palatino Linotype" w:cs="Tahoma"/>
          <w:sz w:val="22"/>
          <w:szCs w:val="22"/>
        </w:rPr>
        <w:t>en primera instancia,</w:t>
      </w:r>
      <w:r w:rsidRPr="003D45AC">
        <w:rPr>
          <w:rFonts w:ascii="Palatino Linotype" w:hAnsi="Palatino Linotype" w:cs="Tahoma"/>
          <w:bCs/>
          <w:sz w:val="22"/>
          <w:szCs w:val="22"/>
          <w:lang w:val="es-ES_tradnl"/>
        </w:rPr>
        <w:t xml:space="preserve"> que </w:t>
      </w:r>
      <w:r>
        <w:rPr>
          <w:rFonts w:ascii="Palatino Linotype" w:hAnsi="Palatino Linotype" w:cs="Tahoma"/>
          <w:bCs/>
          <w:sz w:val="22"/>
          <w:szCs w:val="22"/>
          <w:lang w:val="es-ES_tradnl"/>
        </w:rPr>
        <w:t xml:space="preserve">el </w:t>
      </w:r>
      <w:r w:rsidRPr="00452D94">
        <w:rPr>
          <w:rFonts w:ascii="Palatino Linotype" w:hAnsi="Palatino Linotype" w:eastAsia="Calibri" w:cs="Tahoma"/>
          <w:sz w:val="22"/>
          <w:szCs w:val="22"/>
          <w:lang w:eastAsia="en-US"/>
        </w:rPr>
        <w:t>Sistema Municipal Para el Desarrollo Integral de la Familia de Metepec</w:t>
      </w:r>
      <w:r>
        <w:rPr>
          <w:rFonts w:ascii="Palatino Linotype" w:hAnsi="Palatino Linotype" w:eastAsia="Calibri" w:cs="Tahoma"/>
          <w:sz w:val="22"/>
          <w:szCs w:val="22"/>
          <w:lang w:eastAsia="en-US"/>
        </w:rPr>
        <w:t>,</w:t>
      </w:r>
      <w:r w:rsidRPr="003D45AC">
        <w:rPr>
          <w:rFonts w:ascii="Palatino Linotype" w:hAnsi="Palatino Linotype" w:cs="Tahoma"/>
          <w:sz w:val="22"/>
          <w:szCs w:val="22"/>
        </w:rPr>
        <w:t xml:space="preserve"> carece de atribuciones para conocer de </w:t>
      </w:r>
      <w:r>
        <w:rPr>
          <w:rFonts w:ascii="Palatino Linotype" w:hAnsi="Palatino Linotype" w:cs="Tahoma"/>
          <w:sz w:val="22"/>
          <w:szCs w:val="22"/>
        </w:rPr>
        <w:t>lo peticionado, pues en el presente caso se solicita información de los servidores públicos adscritos al Ayuntamiento de Metepec y no de su propio personal.</w:t>
      </w:r>
    </w:p>
    <w:p w:rsidR="009F490B" w:rsidP="003D45AC" w:rsidRDefault="009F490B" w14:paraId="52C76B9F" w14:textId="77777777">
      <w:pPr>
        <w:spacing w:line="360" w:lineRule="auto"/>
        <w:jc w:val="both"/>
        <w:rPr>
          <w:rFonts w:ascii="Palatino Linotype" w:hAnsi="Palatino Linotype" w:cs="Tahoma"/>
          <w:sz w:val="22"/>
          <w:szCs w:val="22"/>
        </w:rPr>
      </w:pPr>
    </w:p>
    <w:p w:rsidR="009F490B" w:rsidP="003D45AC" w:rsidRDefault="003D45AC" w14:paraId="47788243" w14:textId="0D5FFC9F">
      <w:pPr>
        <w:spacing w:line="360" w:lineRule="auto"/>
        <w:jc w:val="both"/>
        <w:rPr>
          <w:rFonts w:ascii="Palatino Linotype" w:hAnsi="Palatino Linotype" w:cs="Tahoma"/>
          <w:sz w:val="22"/>
          <w:szCs w:val="22"/>
        </w:rPr>
      </w:pPr>
      <w:r>
        <w:rPr>
          <w:rFonts w:ascii="Palatino Linotype" w:hAnsi="Palatino Linotype" w:cs="Tahoma"/>
          <w:sz w:val="22"/>
          <w:szCs w:val="22"/>
        </w:rPr>
        <w:t>Lo anterior, toma relevancia pues de la revisión del Reglamento Interno del Sistema Municipal para el Desarrollo Integral de la Familia de Metepec, no se logra colegir que el Ente Recurrido cuente con las áreas solicitadas; pues inclusive como se señaló en párrafos anteriores, estas se encuentran adscritas al Ayuntamiento de Metepec.</w:t>
      </w:r>
    </w:p>
    <w:p w:rsidR="009F490B" w:rsidP="003D45AC" w:rsidRDefault="009F490B" w14:paraId="752A1376" w14:textId="77777777">
      <w:pPr>
        <w:spacing w:line="360" w:lineRule="auto"/>
        <w:jc w:val="both"/>
        <w:rPr>
          <w:rFonts w:ascii="Palatino Linotype" w:hAnsi="Palatino Linotype" w:cs="Tahoma"/>
          <w:sz w:val="22"/>
          <w:szCs w:val="22"/>
        </w:rPr>
      </w:pPr>
    </w:p>
    <w:p w:rsidRPr="003D45AC" w:rsidR="003D45AC" w:rsidP="003D45AC" w:rsidRDefault="003D45AC" w14:paraId="17F4735A" w14:textId="7B13E629">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Así</w:t>
      </w:r>
      <w:r w:rsidRPr="003D45AC">
        <w:rPr>
          <w:rFonts w:ascii="Palatino Linotype" w:hAnsi="Palatino Linotype" w:eastAsiaTheme="minorHAnsi" w:cstheme="minorBidi"/>
          <w:color w:val="000000" w:themeColor="text1"/>
          <w:sz w:val="22"/>
          <w:szCs w:val="22"/>
          <w:lang w:eastAsia="en-US"/>
        </w:rPr>
        <w:t xml:space="preserve">, se logra verificar que el </w:t>
      </w:r>
      <w:r>
        <w:rPr>
          <w:rFonts w:ascii="Palatino Linotype" w:hAnsi="Palatino Linotype" w:eastAsiaTheme="minorHAnsi" w:cstheme="minorBidi"/>
          <w:color w:val="000000" w:themeColor="text1"/>
          <w:sz w:val="22"/>
          <w:szCs w:val="22"/>
          <w:lang w:eastAsia="en-US"/>
        </w:rPr>
        <w:t>Ayuntamiento de Metepec,</w:t>
      </w:r>
      <w:r w:rsidRPr="003D45AC">
        <w:rPr>
          <w:rFonts w:ascii="Palatino Linotype" w:hAnsi="Palatino Linotype" w:eastAsiaTheme="minorHAnsi" w:cstheme="minorBidi"/>
          <w:color w:val="000000" w:themeColor="text1"/>
          <w:sz w:val="22"/>
          <w:szCs w:val="22"/>
          <w:lang w:eastAsia="en-US"/>
        </w:rPr>
        <w:t xml:space="preserve"> es la dependencia con atribuciones para conocer de lo requerido; con lo cual, se logra ratificar que </w:t>
      </w:r>
      <w:r>
        <w:rPr>
          <w:rFonts w:ascii="Palatino Linotype" w:hAnsi="Palatino Linotype" w:eastAsia="Calibri" w:cs="Tahoma"/>
          <w:bCs/>
          <w:color w:val="000000" w:themeColor="text1"/>
          <w:sz w:val="22"/>
          <w:szCs w:val="22"/>
          <w:lang w:eastAsia="en-US"/>
        </w:rPr>
        <w:t xml:space="preserve">el </w:t>
      </w:r>
      <w:r>
        <w:rPr>
          <w:rFonts w:ascii="Palatino Linotype" w:hAnsi="Palatino Linotype" w:cs="Tahoma"/>
          <w:sz w:val="22"/>
          <w:szCs w:val="22"/>
        </w:rPr>
        <w:t>Sistema Municipal para el Desarrollo Integral de la Familia de Metepec</w:t>
      </w:r>
      <w:r w:rsidRPr="003D45AC">
        <w:rPr>
          <w:rFonts w:ascii="Palatino Linotype" w:hAnsi="Palatino Linotype" w:eastAsia="Calibri" w:cs="Tahoma"/>
          <w:bCs/>
          <w:color w:val="000000" w:themeColor="text1"/>
          <w:sz w:val="22"/>
          <w:szCs w:val="22"/>
          <w:lang w:eastAsia="en-US"/>
        </w:rPr>
        <w:t xml:space="preserve"> es </w:t>
      </w:r>
      <w:r w:rsidRPr="003D45AC">
        <w:rPr>
          <w:rFonts w:ascii="Palatino Linotype" w:hAnsi="Palatino Linotype" w:eastAsia="Calibri" w:cs="Tahoma"/>
          <w:b/>
          <w:color w:val="000000" w:themeColor="text1"/>
          <w:sz w:val="22"/>
          <w:szCs w:val="22"/>
          <w:lang w:eastAsia="en-US"/>
        </w:rPr>
        <w:t>notoriamente incompetente</w:t>
      </w:r>
      <w:r w:rsidRPr="003D45AC">
        <w:rPr>
          <w:rFonts w:ascii="Palatino Linotype" w:hAnsi="Palatino Linotype" w:eastAsia="Calibri" w:cs="Tahoma"/>
          <w:bCs/>
          <w:color w:val="000000" w:themeColor="text1"/>
          <w:sz w:val="22"/>
          <w:szCs w:val="22"/>
          <w:lang w:eastAsia="en-US"/>
        </w:rPr>
        <w:t xml:space="preserve"> para conocer de la información solicitada por el Particular</w:t>
      </w:r>
      <w:r>
        <w:rPr>
          <w:rFonts w:ascii="Palatino Linotype" w:hAnsi="Palatino Linotype" w:eastAsia="Calibri" w:cs="Tahoma"/>
          <w:bCs/>
          <w:color w:val="000000" w:themeColor="text1"/>
          <w:sz w:val="22"/>
          <w:szCs w:val="22"/>
          <w:lang w:eastAsia="en-US"/>
        </w:rPr>
        <w:t>.</w:t>
      </w:r>
    </w:p>
    <w:p w:rsidRPr="003D45AC" w:rsidR="003D45AC" w:rsidP="003D45AC" w:rsidRDefault="003D45AC" w14:paraId="17F9FF6A" w14:textId="77777777">
      <w:pPr>
        <w:spacing w:line="360" w:lineRule="auto"/>
        <w:jc w:val="both"/>
        <w:rPr>
          <w:rFonts w:ascii="Palatino Linotype" w:hAnsi="Palatino Linotype" w:eastAsia="Calibri" w:cs="Tahoma"/>
          <w:bCs/>
          <w:sz w:val="22"/>
          <w:szCs w:val="22"/>
          <w:lang w:eastAsia="en-US"/>
        </w:rPr>
      </w:pPr>
    </w:p>
    <w:p w:rsidRPr="003D45AC" w:rsidR="003D45AC" w:rsidP="003D45AC" w:rsidRDefault="003D45AC" w14:paraId="6CC8566E"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3D45AC">
        <w:rPr>
          <w:rFonts w:ascii="Palatino Linotype" w:hAnsi="Palatino Linotype" w:eastAsiaTheme="minorHAnsi" w:cstheme="minorBidi"/>
          <w:bCs/>
          <w:color w:val="000000" w:themeColor="text1"/>
          <w:sz w:val="22"/>
          <w:szCs w:val="22"/>
          <w:lang w:eastAsia="en-US"/>
        </w:rPr>
        <w:t xml:space="preserve">En </w:t>
      </w:r>
      <w:r w:rsidRPr="003D45AC">
        <w:rPr>
          <w:rFonts w:ascii="Palatino Linotype" w:hAnsi="Palatino Linotype" w:eastAsiaTheme="minorHAnsi" w:cstheme="minorBidi"/>
          <w:color w:val="000000" w:themeColor="text1"/>
          <w:sz w:val="22"/>
          <w:szCs w:val="22"/>
          <w:lang w:eastAsia="en-US"/>
        </w:rPr>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rsidRPr="003D45AC" w:rsidR="003D45AC" w:rsidP="003D45AC" w:rsidRDefault="003D45AC" w14:paraId="5CA89A64" w14:textId="77777777">
      <w:pPr>
        <w:spacing w:line="360" w:lineRule="auto"/>
        <w:jc w:val="both"/>
        <w:rPr>
          <w:rFonts w:ascii="Palatino Linotype" w:hAnsi="Palatino Linotype" w:eastAsiaTheme="minorHAnsi" w:cstheme="minorBidi"/>
          <w:color w:val="000000" w:themeColor="text1"/>
          <w:sz w:val="22"/>
          <w:szCs w:val="22"/>
          <w:lang w:eastAsia="en-US"/>
        </w:rPr>
      </w:pPr>
    </w:p>
    <w:p w:rsidRPr="003D45AC" w:rsidR="003D45AC" w:rsidP="003D45AC" w:rsidRDefault="003D45AC" w14:paraId="4B37E5D7" w14:textId="77777777">
      <w:pPr>
        <w:numPr>
          <w:ilvl w:val="0"/>
          <w:numId w:val="24"/>
        </w:numPr>
        <w:spacing w:line="360" w:lineRule="auto"/>
        <w:jc w:val="both"/>
        <w:rPr>
          <w:rFonts w:ascii="Palatino Linotype" w:hAnsi="Palatino Linotype" w:eastAsiaTheme="minorHAnsi" w:cstheme="minorBidi"/>
          <w:color w:val="000000" w:themeColor="text1"/>
          <w:sz w:val="22"/>
          <w:szCs w:val="22"/>
          <w:lang w:eastAsia="en-US"/>
        </w:rPr>
      </w:pPr>
      <w:r w:rsidRPr="003D45AC">
        <w:rPr>
          <w:rFonts w:ascii="Palatino Linotype" w:hAnsi="Palatino Linotype" w:eastAsiaTheme="minorHAnsi" w:cstheme="minorBidi"/>
          <w:color w:val="000000" w:themeColor="text1"/>
          <w:sz w:val="22"/>
          <w:szCs w:val="22"/>
          <w:lang w:eastAsia="en-US"/>
        </w:rPr>
        <w:lastRenderedPageBreak/>
        <w:t>Hacerlo del conocimiento del Particular, dentro de los tres días hábiles, posteriores a la presentación de la solicitud de información, y</w:t>
      </w:r>
    </w:p>
    <w:p w:rsidRPr="003D45AC" w:rsidR="003D45AC" w:rsidP="003D45AC" w:rsidRDefault="003D45AC" w14:paraId="3A793815" w14:textId="77777777">
      <w:pPr>
        <w:spacing w:line="360" w:lineRule="auto"/>
        <w:jc w:val="both"/>
        <w:rPr>
          <w:rFonts w:ascii="Palatino Linotype" w:hAnsi="Palatino Linotype" w:eastAsiaTheme="minorHAnsi" w:cstheme="minorBidi"/>
          <w:color w:val="000000" w:themeColor="text1"/>
          <w:sz w:val="22"/>
          <w:szCs w:val="22"/>
          <w:lang w:eastAsia="en-US"/>
        </w:rPr>
      </w:pPr>
    </w:p>
    <w:p w:rsidRPr="003D45AC" w:rsidR="003D45AC" w:rsidP="003D45AC" w:rsidRDefault="003D45AC" w14:paraId="57694256" w14:textId="77777777">
      <w:pPr>
        <w:numPr>
          <w:ilvl w:val="0"/>
          <w:numId w:val="24"/>
        </w:numPr>
        <w:spacing w:line="360" w:lineRule="auto"/>
        <w:jc w:val="both"/>
        <w:rPr>
          <w:rFonts w:ascii="Palatino Linotype" w:hAnsi="Palatino Linotype" w:eastAsiaTheme="minorHAnsi" w:cstheme="minorBidi"/>
          <w:color w:val="000000" w:themeColor="text1"/>
          <w:sz w:val="22"/>
          <w:szCs w:val="22"/>
          <w:lang w:eastAsia="en-US"/>
        </w:rPr>
      </w:pPr>
      <w:r w:rsidRPr="003D45AC">
        <w:rPr>
          <w:rFonts w:ascii="Palatino Linotype" w:hAnsi="Palatino Linotype" w:eastAsiaTheme="minorHAnsi" w:cstheme="minorBidi"/>
          <w:color w:val="000000" w:themeColor="text1"/>
          <w:sz w:val="22"/>
          <w:szCs w:val="22"/>
          <w:lang w:eastAsia="en-US"/>
        </w:rPr>
        <w:t>En caso de conocer el Sujeto Obligado competente, orientarlo a presentar la solicitud ante el mismo.</w:t>
      </w:r>
    </w:p>
    <w:p w:rsidRPr="003D45AC" w:rsidR="003D45AC" w:rsidP="003D45AC" w:rsidRDefault="003D45AC" w14:paraId="7C22CCBB" w14:textId="77777777">
      <w:pPr>
        <w:spacing w:line="360" w:lineRule="auto"/>
        <w:jc w:val="both"/>
        <w:rPr>
          <w:rFonts w:ascii="Palatino Linotype" w:hAnsi="Palatino Linotype" w:eastAsiaTheme="minorHAnsi" w:cstheme="minorBidi"/>
          <w:color w:val="000000" w:themeColor="text1"/>
          <w:sz w:val="22"/>
          <w:szCs w:val="22"/>
          <w:lang w:eastAsia="en-US"/>
        </w:rPr>
      </w:pPr>
    </w:p>
    <w:p w:rsidRPr="003D45AC" w:rsidR="003D45AC" w:rsidP="003D45AC" w:rsidRDefault="003D45AC" w14:paraId="5E152CED" w14:textId="69C32D0C">
      <w:pPr>
        <w:spacing w:line="360" w:lineRule="auto"/>
        <w:jc w:val="both"/>
        <w:rPr>
          <w:rFonts w:ascii="Palatino Linotype" w:hAnsi="Palatino Linotype" w:cs="Tahoma"/>
          <w:bCs/>
          <w:sz w:val="22"/>
          <w:szCs w:val="22"/>
        </w:rPr>
      </w:pPr>
      <w:r w:rsidRPr="003D45AC">
        <w:rPr>
          <w:rFonts w:ascii="Palatino Linotype" w:hAnsi="Palatino Linotype" w:cs="Tahoma"/>
          <w:bCs/>
          <w:sz w:val="22"/>
          <w:szCs w:val="22"/>
        </w:rPr>
        <w:t>En el presente caso, de la revisión de las constancias del expediente electrónico, localizado en el Sistema de Acceso a la Información Mexique</w:t>
      </w:r>
      <w:r>
        <w:rPr>
          <w:rFonts w:ascii="Palatino Linotype" w:hAnsi="Palatino Linotype" w:cs="Tahoma"/>
          <w:bCs/>
          <w:sz w:val="22"/>
          <w:szCs w:val="22"/>
        </w:rPr>
        <w:t>nse (SAIMEX), se advierte que el Ente Recurrido</w:t>
      </w:r>
      <w:r w:rsidRPr="003D45AC">
        <w:rPr>
          <w:rFonts w:ascii="Palatino Linotype" w:hAnsi="Palatino Linotype" w:cs="Tahoma"/>
          <w:bCs/>
          <w:sz w:val="22"/>
          <w:szCs w:val="22"/>
        </w:rPr>
        <w:t>, cumplió con los dos parámetros previamente establecidos, pues dio contestación dentro de los tres días hábiles posteriores a la presentación del requerimiento</w:t>
      </w:r>
      <w:r w:rsidRPr="003D45AC">
        <w:rPr>
          <w:rFonts w:ascii="Palatino Linotype" w:hAnsi="Palatino Linotype" w:cs="Tahoma"/>
          <w:bCs/>
          <w:sz w:val="22"/>
          <w:szCs w:val="22"/>
          <w:lang w:val="es-ES"/>
        </w:rPr>
        <w:t xml:space="preserve">, además, de que orientó al Solicitante, a presentar la solicitud ante el </w:t>
      </w:r>
      <w:r w:rsidR="00282B6B">
        <w:rPr>
          <w:rFonts w:ascii="Palatino Linotype" w:hAnsi="Palatino Linotype" w:cs="Tahoma"/>
          <w:bCs/>
          <w:sz w:val="22"/>
          <w:szCs w:val="22"/>
          <w:lang w:val="es-ES"/>
        </w:rPr>
        <w:t>Ayuntamiento de Metepec.</w:t>
      </w:r>
    </w:p>
    <w:p w:rsidRPr="003D45AC" w:rsidR="003D45AC" w:rsidP="003D45AC" w:rsidRDefault="003D45AC" w14:paraId="6D6957D6" w14:textId="77777777">
      <w:pPr>
        <w:spacing w:line="360" w:lineRule="auto"/>
        <w:ind w:right="-93"/>
        <w:jc w:val="both"/>
        <w:rPr>
          <w:rFonts w:ascii="Palatino Linotype" w:hAnsi="Palatino Linotype" w:cs="Tahoma"/>
          <w:bCs/>
          <w:sz w:val="22"/>
          <w:szCs w:val="22"/>
          <w:lang w:val="es-ES"/>
        </w:rPr>
      </w:pPr>
    </w:p>
    <w:p w:rsidRPr="003D45AC" w:rsidR="003D45AC" w:rsidP="003D45AC" w:rsidRDefault="003D45AC" w14:paraId="7D5BA17A" w14:textId="77777777">
      <w:pPr>
        <w:spacing w:line="360" w:lineRule="auto"/>
        <w:ind w:right="-93"/>
        <w:jc w:val="both"/>
        <w:rPr>
          <w:rFonts w:ascii="Palatino Linotype" w:hAnsi="Palatino Linotype" w:cs="Tahoma"/>
          <w:sz w:val="22"/>
          <w:szCs w:val="22"/>
          <w:lang w:val="es-ES"/>
        </w:rPr>
      </w:pPr>
      <w:r w:rsidRPr="003D45AC">
        <w:rPr>
          <w:rFonts w:ascii="Palatino Linotype" w:hAnsi="Palatino Linotype" w:cs="Tahoma"/>
          <w:bCs/>
          <w:sz w:val="22"/>
          <w:szCs w:val="22"/>
          <w:lang w:val="es-ES"/>
        </w:rPr>
        <w:t>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 la Secretaría de Salud</w:t>
      </w:r>
      <w:r w:rsidRPr="003D45AC">
        <w:rPr>
          <w:rFonts w:ascii="Palatino Linotype" w:hAnsi="Palatino Linotype" w:cs="Tahoma"/>
          <w:sz w:val="22"/>
          <w:szCs w:val="22"/>
          <w:lang w:val="es-ES"/>
        </w:rPr>
        <w:t xml:space="preserve">, es </w:t>
      </w:r>
      <w:r w:rsidRPr="003D45AC">
        <w:rPr>
          <w:rFonts w:ascii="Palatino Linotype" w:hAnsi="Palatino Linotype" w:cs="Tahoma"/>
          <w:b/>
          <w:sz w:val="22"/>
          <w:szCs w:val="22"/>
          <w:lang w:val="es-ES"/>
        </w:rPr>
        <w:t>notoriamente incompetente</w:t>
      </w:r>
      <w:r w:rsidRPr="003D45AC">
        <w:rPr>
          <w:rFonts w:ascii="Palatino Linotype" w:hAnsi="Palatino Linotype" w:cs="Tahoma"/>
          <w:sz w:val="22"/>
          <w:szCs w:val="22"/>
          <w:lang w:val="es-ES"/>
        </w:rPr>
        <w:t xml:space="preserve"> para conocer de la solicitud de información</w:t>
      </w:r>
      <w:r w:rsidRPr="003D45AC">
        <w:rPr>
          <w:rFonts w:ascii="Palatino Linotype" w:hAnsi="Palatino Linotype" w:eastAsia="Calibri" w:cs="Tahoma"/>
          <w:bCs/>
          <w:sz w:val="22"/>
          <w:szCs w:val="22"/>
          <w:lang w:eastAsia="en-US"/>
        </w:rPr>
        <w:t xml:space="preserve">, y, por lo tanto, el </w:t>
      </w:r>
      <w:r w:rsidRPr="003D45AC">
        <w:rPr>
          <w:rFonts w:ascii="Palatino Linotype" w:hAnsi="Palatino Linotype" w:cs="Tahoma"/>
          <w:sz w:val="22"/>
          <w:szCs w:val="22"/>
          <w:lang w:val="es-ES"/>
        </w:rPr>
        <w:t xml:space="preserve">agravio del Recurrente deviene de </w:t>
      </w:r>
      <w:r w:rsidRPr="003D45AC">
        <w:rPr>
          <w:rFonts w:ascii="Palatino Linotype" w:hAnsi="Palatino Linotype" w:cs="Tahoma"/>
          <w:b/>
          <w:bCs/>
          <w:sz w:val="22"/>
          <w:szCs w:val="22"/>
          <w:lang w:val="es-ES"/>
        </w:rPr>
        <w:t>INFUNDADO.</w:t>
      </w:r>
      <w:r w:rsidRPr="003D45AC">
        <w:rPr>
          <w:rFonts w:ascii="Palatino Linotype" w:hAnsi="Palatino Linotype" w:cs="Tahoma"/>
          <w:sz w:val="22"/>
          <w:szCs w:val="22"/>
          <w:lang w:val="es-ES"/>
        </w:rPr>
        <w:t xml:space="preserve"> </w:t>
      </w:r>
    </w:p>
    <w:p w:rsidR="009F490B" w:rsidP="003D45AC" w:rsidRDefault="009F490B" w14:paraId="6A398EE0" w14:textId="77777777">
      <w:pPr>
        <w:spacing w:line="360" w:lineRule="auto"/>
        <w:jc w:val="both"/>
        <w:rPr>
          <w:rFonts w:ascii="Palatino Linotype" w:hAnsi="Palatino Linotype" w:cs="Tahoma"/>
          <w:sz w:val="22"/>
          <w:szCs w:val="22"/>
        </w:rPr>
      </w:pPr>
    </w:p>
    <w:p w:rsidRPr="000B7ED7" w:rsidR="00CF2A60" w:rsidP="003D45AC" w:rsidRDefault="00CF2A60" w14:paraId="0BFA051C"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CF2A60" w:rsidP="003D45AC" w:rsidRDefault="00CF2A60" w14:paraId="11A2C581" w14:textId="77777777">
      <w:pPr>
        <w:spacing w:line="360" w:lineRule="auto"/>
        <w:jc w:val="both"/>
        <w:rPr>
          <w:rFonts w:ascii="Palatino Linotype" w:hAnsi="Palatino Linotype" w:eastAsia="Calibri" w:cs="Tahoma"/>
          <w:b/>
          <w:sz w:val="22"/>
          <w:szCs w:val="22"/>
          <w:lang w:eastAsia="en-US"/>
        </w:rPr>
      </w:pPr>
    </w:p>
    <w:p w:rsidRPr="000B7ED7" w:rsidR="00CF2A60" w:rsidP="003D45AC" w:rsidRDefault="00CF2A60" w14:paraId="2C7FAE57" w14:textId="6C963D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CF2A60" w:rsidP="003D45AC" w:rsidRDefault="00CF2A60" w14:paraId="39500409" w14:textId="77777777">
      <w:pPr>
        <w:tabs>
          <w:tab w:val="left" w:pos="4962"/>
        </w:tabs>
        <w:spacing w:line="360" w:lineRule="auto"/>
        <w:jc w:val="both"/>
        <w:rPr>
          <w:rFonts w:ascii="Palatino Linotype" w:hAnsi="Palatino Linotype" w:cs="Tahoma"/>
          <w:szCs w:val="22"/>
        </w:rPr>
      </w:pPr>
    </w:p>
    <w:p w:rsidRPr="000B7ED7" w:rsidR="00CF2A60" w:rsidP="003D45AC" w:rsidRDefault="00CF2A60" w14:paraId="4DB79906"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Pr="000B7ED7" w:rsidR="00CF2A60" w:rsidP="003D45AC" w:rsidRDefault="00CF2A60" w14:paraId="17764729" w14:textId="77777777">
      <w:pPr>
        <w:spacing w:line="360" w:lineRule="auto"/>
        <w:jc w:val="both"/>
        <w:rPr>
          <w:rFonts w:ascii="Palatino Linotype" w:hAnsi="Palatino Linotype" w:eastAsia="Calibri" w:cs="Tahoma"/>
          <w:b/>
          <w:bCs/>
          <w:sz w:val="22"/>
          <w:szCs w:val="22"/>
          <w:lang w:eastAsia="en-US"/>
        </w:rPr>
      </w:pPr>
    </w:p>
    <w:p w:rsidRPr="006208B0" w:rsidR="001B6873" w:rsidP="00282B6B" w:rsidRDefault="00282B6B" w14:paraId="062568B0" w14:textId="5C5E59E4">
      <w:pPr>
        <w:widowControl w:val="0"/>
        <w:spacing w:line="360" w:lineRule="auto"/>
        <w:jc w:val="both"/>
        <w:rPr>
          <w:rFonts w:ascii="Palatino Linotype" w:hAnsi="Palatino Linotype" w:eastAsia="Calibri" w:cs="Tahoma"/>
          <w:bCs/>
          <w:iCs/>
          <w:sz w:val="22"/>
          <w:szCs w:val="22"/>
          <w:lang w:val="es-ES_tradnl" w:eastAsia="en-US"/>
        </w:rPr>
      </w:pPr>
      <w:r w:rsidRPr="00282B6B">
        <w:rPr>
          <w:rFonts w:ascii="Palatino Linotype" w:hAnsi="Palatino Linotype" w:eastAsia="Calibri" w:cs="Tahoma"/>
          <w:bCs/>
          <w:iCs/>
          <w:color w:val="000000"/>
          <w:sz w:val="22"/>
          <w:szCs w:val="22"/>
          <w:lang w:eastAsia="en-US"/>
        </w:rPr>
        <w:lastRenderedPageBreak/>
        <w:t>Se le hace del conocimiento al Particular, que, en el presente caso, no se le da la razón pues el Sujeto Obligado es incompetente para conocer sobre el requerimiento de información, aunado a que realizó una orientación correcta al Solicitante.</w:t>
      </w:r>
      <w:r>
        <w:rPr>
          <w:rFonts w:ascii="Palatino Linotype" w:hAnsi="Palatino Linotype" w:eastAsia="Calibri" w:cs="Tahoma"/>
          <w:bCs/>
          <w:iCs/>
          <w:color w:val="000000"/>
          <w:sz w:val="22"/>
          <w:szCs w:val="22"/>
          <w:lang w:eastAsia="en-US"/>
        </w:rPr>
        <w:t xml:space="preserve"> </w:t>
      </w:r>
      <w:r w:rsidR="001B6873">
        <w:rPr>
          <w:rFonts w:ascii="Palatino Linotype" w:hAnsi="Palatino Linotype" w:eastAsia="Calibri" w:cs="Tahoma"/>
          <w:bCs/>
          <w:iCs/>
          <w:sz w:val="22"/>
          <w:szCs w:val="22"/>
          <w:lang w:val="es-ES_tradnl" w:eastAsia="en-US"/>
        </w:rPr>
        <w:t>La labor del Instituto, es apoyar a la población a acceder a la información pública y garantizar la protección de los datos personales.</w:t>
      </w:r>
    </w:p>
    <w:p w:rsidRPr="000B7ED7" w:rsidR="001B6873" w:rsidP="003D45AC" w:rsidRDefault="001B6873" w14:paraId="4CF6F24F" w14:textId="77777777">
      <w:pPr>
        <w:spacing w:line="360" w:lineRule="auto"/>
        <w:jc w:val="both"/>
        <w:rPr>
          <w:rFonts w:ascii="Palatino Linotype" w:hAnsi="Palatino Linotype" w:eastAsia="Calibri" w:cs="Tahoma"/>
          <w:sz w:val="22"/>
          <w:szCs w:val="22"/>
        </w:rPr>
      </w:pPr>
    </w:p>
    <w:p w:rsidRPr="000B7ED7" w:rsidR="00836192" w:rsidP="003D45AC" w:rsidRDefault="00836192" w14:paraId="41B0E345" w14:textId="77777777">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t>Por lo expuesto y fundado, este Pleno:</w:t>
      </w:r>
    </w:p>
    <w:p w:rsidRPr="000B7ED7" w:rsidR="001B6873" w:rsidP="003D45AC" w:rsidRDefault="001B6873" w14:paraId="0C0D077D" w14:textId="77777777">
      <w:pPr>
        <w:spacing w:line="360" w:lineRule="auto"/>
        <w:ind w:right="-91"/>
        <w:rPr>
          <w:rFonts w:ascii="Palatino Linotype" w:hAnsi="Palatino Linotype" w:eastAsia="Calibri" w:cs="Tahoma"/>
          <w:b/>
          <w:bCs/>
          <w:sz w:val="22"/>
          <w:szCs w:val="22"/>
          <w:lang w:eastAsia="en-US"/>
        </w:rPr>
      </w:pPr>
    </w:p>
    <w:p w:rsidRPr="000B7ED7" w:rsidR="00AE5D0C" w:rsidP="003D45AC"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AE5D0C" w:rsidP="003D45AC"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3D45AC" w:rsidRDefault="00AE5D0C" w14:paraId="1FFEF460" w14:textId="1A2C5A5D">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CONFIR</w:t>
      </w:r>
      <w:r w:rsidRPr="000B7ED7" w:rsidR="00B64B2F">
        <w:rPr>
          <w:rFonts w:ascii="Palatino Linotype" w:hAnsi="Palatino Linotype" w:eastAsia="Calibri" w:cs="Tahoma"/>
          <w:b/>
          <w:bCs/>
          <w:iCs/>
          <w:sz w:val="22"/>
          <w:szCs w:val="22"/>
          <w:lang w:eastAsia="en-US"/>
        </w:rPr>
        <w:t xml:space="preserve">MA </w:t>
      </w:r>
      <w:r w:rsidRPr="000B7ED7" w:rsidR="00B64B2F">
        <w:rPr>
          <w:rFonts w:ascii="Palatino Linotype" w:hAnsi="Palatino Linotype" w:eastAsia="Calibri" w:cs="Tahoma"/>
          <w:iCs/>
          <w:sz w:val="22"/>
          <w:szCs w:val="22"/>
          <w:lang w:eastAsia="en-US"/>
        </w:rPr>
        <w:t xml:space="preserve">la respuesta </w:t>
      </w:r>
      <w:r w:rsidRPr="000B7ED7" w:rsidR="000C6A5E">
        <w:rPr>
          <w:rFonts w:ascii="Palatino Linotype" w:hAnsi="Palatino Linotype" w:eastAsia="Calibri" w:cs="Tahoma"/>
          <w:iCs/>
          <w:sz w:val="22"/>
          <w:szCs w:val="22"/>
          <w:lang w:eastAsia="en-US"/>
        </w:rPr>
        <w:t xml:space="preserve">entregada por el Sujeto Obligado a la solicitud de acceso a la información </w:t>
      </w:r>
      <w:r w:rsidRPr="00282B6B" w:rsidR="00282B6B">
        <w:rPr>
          <w:rFonts w:ascii="Palatino Linotype" w:hAnsi="Palatino Linotype" w:cs="Tahoma"/>
          <w:bCs/>
          <w:color w:val="0D0D0D" w:themeColor="text1" w:themeTint="F2"/>
          <w:sz w:val="22"/>
          <w:szCs w:val="22"/>
        </w:rPr>
        <w:t>05821/DIFMETEPEC/IP/2022</w:t>
      </w:r>
      <w:r w:rsidRPr="00282B6B" w:rsidR="0024466A">
        <w:rPr>
          <w:rFonts w:ascii="Palatino Linotype" w:hAnsi="Palatino Linotype" w:cs="Tahoma"/>
          <w:bCs/>
          <w:color w:val="0D0D0D" w:themeColor="text1" w:themeTint="F2"/>
          <w:sz w:val="22"/>
          <w:szCs w:val="22"/>
        </w:rPr>
        <w:t>,</w:t>
      </w:r>
      <w:r w:rsidRPr="000B7ED7" w:rsidR="0024466A">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sid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BE6B4C">
        <w:rPr>
          <w:rFonts w:ascii="Palatino Linotype" w:hAnsi="Palatino Linotype" w:eastAsia="Calibri" w:cs="Tahoma"/>
          <w:iCs/>
          <w:sz w:val="22"/>
          <w:szCs w:val="22"/>
          <w:lang w:eastAsia="en-US"/>
        </w:rPr>
        <w:t>QUINTO y SEXTO</w:t>
      </w:r>
      <w:r w:rsidRPr="000B7ED7">
        <w:rPr>
          <w:rFonts w:ascii="Palatino Linotype" w:hAnsi="Palatino Linotype" w:eastAsia="Calibri" w:cs="Tahoma"/>
          <w:b/>
          <w:bCs/>
          <w:iCs/>
          <w:sz w:val="22"/>
          <w:szCs w:val="22"/>
          <w:lang w:eastAsia="en-US"/>
        </w:rPr>
        <w:t xml:space="preserve"> </w:t>
      </w:r>
      <w:r w:rsidRPr="000B7ED7">
        <w:rPr>
          <w:rFonts w:ascii="Palatino Linotype" w:hAnsi="Palatino Linotype" w:eastAsia="Calibri" w:cs="Tahoma"/>
          <w:bCs/>
          <w:iCs/>
          <w:sz w:val="22"/>
          <w:szCs w:val="22"/>
          <w:lang w:eastAsia="en-US"/>
        </w:rPr>
        <w:t>de esta Resolución.</w:t>
      </w:r>
    </w:p>
    <w:p w:rsidRPr="000B7ED7" w:rsidR="00AE5D0C" w:rsidP="003D45AC"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3D45AC"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AE5D0C" w:rsidP="003D45AC"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3D45AC"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836192" w:rsidP="003D45AC"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3D45AC" w:rsidRDefault="006B5DC1" w14:paraId="0E4C7770" w14:textId="1B508527">
      <w:pPr>
        <w:spacing w:line="360" w:lineRule="auto"/>
        <w:ind w:right="-93"/>
        <w:jc w:val="both"/>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6B5DC1">
        <w:rPr>
          <w:rFonts w:ascii="Palatino Linotype" w:hAnsi="Palatino Linotype" w:eastAsia="Calibri" w:cs="Tahoma"/>
          <w:bCs/>
          <w:sz w:val="22"/>
          <w:szCs w:val="22"/>
          <w:lang w:eastAsia="en-US"/>
        </w:rPr>
        <w:lastRenderedPageBreak/>
        <w:t xml:space="preserve">AYALA, SHARON CRISTINA MORALES MARTÍNEZ, LUIS GUSTAVO PARRA NORIEGA Y GUADALUPE RAMÍREZ PEÑA, EN LA </w:t>
      </w:r>
      <w:r w:rsidR="00282B6B">
        <w:rPr>
          <w:rFonts w:ascii="Palatino Linotype" w:hAnsi="Palatino Linotype" w:eastAsia="Calibri" w:cs="Tahoma"/>
          <w:bCs/>
          <w:sz w:val="22"/>
          <w:szCs w:val="22"/>
          <w:lang w:eastAsia="en-US"/>
        </w:rPr>
        <w:t>TRIGÉSIMA</w:t>
      </w:r>
      <w:r w:rsidRPr="006B5DC1">
        <w:rPr>
          <w:rFonts w:ascii="Palatino Linotype" w:hAnsi="Palatino Linotype" w:eastAsia="Calibri" w:cs="Tahoma"/>
          <w:bCs/>
          <w:sz w:val="22"/>
          <w:szCs w:val="22"/>
          <w:lang w:eastAsia="en-US"/>
        </w:rPr>
        <w:t xml:space="preserve"> SESIÓN ORDINARIA, CELEBRADA EL </w:t>
      </w:r>
      <w:r w:rsidR="00282B6B">
        <w:rPr>
          <w:rFonts w:ascii="Palatino Linotype" w:hAnsi="Palatino Linotype" w:eastAsia="Calibri" w:cs="Tahoma"/>
          <w:bCs/>
          <w:sz w:val="22"/>
          <w:szCs w:val="22"/>
          <w:lang w:eastAsia="en-US"/>
        </w:rPr>
        <w:t xml:space="preserve">VEINTICUATRO DE AGOSTO </w:t>
      </w:r>
      <w:r w:rsidRPr="006B5DC1">
        <w:rPr>
          <w:rFonts w:ascii="Palatino Linotype" w:hAnsi="Palatino Linotype" w:eastAsia="Calibri" w:cs="Tahoma"/>
          <w:bCs/>
          <w:sz w:val="22"/>
          <w:szCs w:val="22"/>
          <w:lang w:eastAsia="en-US"/>
        </w:rPr>
        <w:t>DE DOS MIL VEINTI</w:t>
      </w:r>
      <w:r w:rsidR="007B1E8E">
        <w:rPr>
          <w:rFonts w:ascii="Palatino Linotype" w:hAnsi="Palatino Linotype" w:eastAsia="Calibri" w:cs="Tahoma"/>
          <w:bCs/>
          <w:sz w:val="22"/>
          <w:szCs w:val="22"/>
          <w:lang w:eastAsia="en-US"/>
        </w:rPr>
        <w:t>DÓS</w:t>
      </w:r>
      <w:r w:rsidRPr="006B5DC1">
        <w:rPr>
          <w:rFonts w:ascii="Palatino Linotype" w:hAnsi="Palatino Linotype" w:eastAsia="Calibri" w:cs="Tahoma"/>
          <w:bCs/>
          <w:sz w:val="22"/>
          <w:szCs w:val="22"/>
          <w:lang w:eastAsia="en-US"/>
        </w:rPr>
        <w:t>, ANTE EL SECRETARIO TÉCNICO DEL PLENO, ALEXIS TAPIA RAMÍREZ.</w:t>
      </w:r>
      <w:r w:rsidR="00836192">
        <w:rPr>
          <w:rFonts w:ascii="Palatino Linotype" w:hAnsi="Palatino Linotype" w:eastAsia="Calibri" w:cs="Tahoma"/>
          <w:b/>
          <w:bCs/>
          <w:sz w:val="22"/>
          <w:szCs w:val="22"/>
          <w:lang w:eastAsia="en-US"/>
        </w:rPr>
        <w:br w:type="page"/>
      </w:r>
    </w:p>
    <w:sectPr w:rsidR="00E749CF" w:rsidSect="00C519FA">
      <w:headerReference w:type="even" r:id="rId17"/>
      <w:headerReference w:type="default" r:id="rId18"/>
      <w:footerReference w:type="even" r:id="rId19"/>
      <w:footerReference w:type="default" r:id="rId20"/>
      <w:headerReference w:type="first" r:id="rId21"/>
      <w:footerReference w:type="first" r:id="rId22"/>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4829" w:rsidP="0095634C" w:rsidRDefault="00764829" w14:paraId="50E2BCE8" w14:textId="77777777">
      <w:r>
        <w:separator/>
      </w:r>
    </w:p>
  </w:endnote>
  <w:endnote w:type="continuationSeparator" w:id="0">
    <w:p w:rsidR="00764829" w:rsidP="0095634C" w:rsidRDefault="00764829" w14:paraId="3783DA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5BA" w:rsidRDefault="00D37132"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AA25BA" w:rsidRDefault="00433B2D"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AA25BA" w:rsidRDefault="00D37132"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82B6B">
              <w:rPr>
                <w:rFonts w:ascii="Palatino Linotype" w:hAnsi="Palatino Linotype"/>
                <w:b/>
                <w:bCs/>
                <w:noProof/>
                <w:sz w:val="22"/>
                <w:szCs w:val="22"/>
              </w:rPr>
              <w:t>21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82B6B">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rsidR="00AA25BA" w:rsidRDefault="00433B2D"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AA25BA" w:rsidRDefault="00D37132"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82B6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82B6B">
      <w:rPr>
        <w:rFonts w:ascii="Palatino Linotype" w:hAnsi="Palatino Linotype"/>
        <w:b/>
        <w:bCs/>
        <w:noProof/>
        <w:sz w:val="22"/>
        <w:szCs w:val="22"/>
      </w:rPr>
      <w:t>22</w:t>
    </w:r>
    <w:r w:rsidRPr="00AA25BA">
      <w:rPr>
        <w:rFonts w:ascii="Palatino Linotype" w:hAnsi="Palatino Linotype"/>
        <w:b/>
        <w:bCs/>
        <w:sz w:val="22"/>
        <w:szCs w:val="22"/>
      </w:rPr>
      <w:fldChar w:fldCharType="end"/>
    </w:r>
  </w:p>
  <w:p w:rsidR="00AA25BA" w:rsidRDefault="00433B2D"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4829" w:rsidP="0095634C" w:rsidRDefault="00764829" w14:paraId="04C74F65" w14:textId="77777777">
      <w:r>
        <w:separator/>
      </w:r>
    </w:p>
  </w:footnote>
  <w:footnote w:type="continuationSeparator" w:id="0">
    <w:p w:rsidR="00764829" w:rsidP="0095634C" w:rsidRDefault="00764829" w14:paraId="6BA1B5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C519FA" w:rsidTr="00C519FA" w14:paraId="79D54291" w14:textId="77777777">
      <w:trPr>
        <w:trHeight w:val="1435"/>
      </w:trPr>
      <w:tc>
        <w:tcPr>
          <w:tcW w:w="2972" w:type="dxa"/>
        </w:tcPr>
        <w:p w:rsidR="00C519FA" w:rsidP="00C519FA" w:rsidRDefault="00433B2D"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4605AA" w:rsidTr="005D2B6E" w14:paraId="3B03FB1C" w14:textId="77777777">
            <w:trPr>
              <w:trHeight w:val="144"/>
            </w:trPr>
            <w:tc>
              <w:tcPr>
                <w:tcW w:w="2447" w:type="dxa"/>
                <w:hideMark/>
              </w:tcPr>
              <w:p w:rsidRPr="008A245E" w:rsidR="004605AA" w:rsidP="004605AA" w:rsidRDefault="00D37132"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4605AA" w:rsidP="004605AA" w:rsidRDefault="00D37132"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4605AA" w:rsidTr="005D2B6E" w14:paraId="15071BA1" w14:textId="77777777">
            <w:trPr>
              <w:trHeight w:val="283"/>
            </w:trPr>
            <w:tc>
              <w:tcPr>
                <w:tcW w:w="2447" w:type="dxa"/>
                <w:hideMark/>
              </w:tcPr>
              <w:p w:rsidRPr="008A245E" w:rsidR="004605AA" w:rsidP="004605AA" w:rsidRDefault="00D37132"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4605AA" w:rsidP="004605AA" w:rsidRDefault="00D37132"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4605AA" w:rsidTr="005D2B6E" w14:paraId="4E4D191A" w14:textId="77777777">
            <w:trPr>
              <w:trHeight w:val="283"/>
            </w:trPr>
            <w:tc>
              <w:tcPr>
                <w:tcW w:w="2447" w:type="dxa"/>
                <w:hideMark/>
              </w:tcPr>
              <w:p w:rsidRPr="008A245E" w:rsidR="004605AA" w:rsidP="004605AA" w:rsidRDefault="00D37132"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4605AA" w:rsidP="004605AA" w:rsidRDefault="00D37132"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4605AA" w:rsidP="004605AA" w:rsidRDefault="00433B2D"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433B2D"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836192"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56" w:type="dxa"/>
      <w:tblLayout w:type="fixed"/>
      <w:tblLook w:val="04A0" w:firstRow="1" w:lastRow="0" w:firstColumn="1" w:lastColumn="0" w:noHBand="0" w:noVBand="1"/>
    </w:tblPr>
    <w:tblGrid>
      <w:gridCol w:w="2410"/>
      <w:gridCol w:w="6946"/>
    </w:tblGrid>
    <w:tr w:rsidR="00C519FA" w:rsidTr="009F490B" w14:paraId="6E062579" w14:textId="77777777">
      <w:trPr>
        <w:trHeight w:val="1435"/>
      </w:trPr>
      <w:tc>
        <w:tcPr>
          <w:tcW w:w="2410" w:type="dxa"/>
        </w:tcPr>
        <w:p w:rsidR="00C519FA" w:rsidP="00C519FA" w:rsidRDefault="007D2BD0"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392D94F3">
                <wp:simplePos x="0" y="0"/>
                <wp:positionH relativeFrom="margin">
                  <wp:posOffset>-1212215</wp:posOffset>
                </wp:positionH>
                <wp:positionV relativeFrom="margin">
                  <wp:posOffset>-386715</wp:posOffset>
                </wp:positionV>
                <wp:extent cx="7836195" cy="10204432"/>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946" w:type="dxa"/>
          <w:hideMark/>
        </w:tcPr>
        <w:p w:rsidRPr="007D2BD0" w:rsidR="007D2BD0" w:rsidRDefault="007D2BD0" w14:paraId="4A35EA01" w14:textId="77777777">
          <w:pPr>
            <w:rPr>
              <w:sz w:val="28"/>
              <w:szCs w:val="28"/>
            </w:rPr>
          </w:pPr>
        </w:p>
        <w:tbl>
          <w:tblPr>
            <w:tblStyle w:val="Tablaconcuadrcula"/>
            <w:tblW w:w="6086"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3667"/>
          </w:tblGrid>
          <w:tr w:rsidR="00C519FA" w:rsidTr="009F490B" w14:paraId="391D395B" w14:textId="77777777">
            <w:trPr>
              <w:trHeight w:val="168"/>
            </w:trPr>
            <w:tc>
              <w:tcPr>
                <w:tcW w:w="2419" w:type="dxa"/>
                <w:hideMark/>
              </w:tcPr>
              <w:p w:rsidRPr="008A245E" w:rsidR="00C519FA" w:rsidP="00C519FA" w:rsidRDefault="00D37132"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667" w:type="dxa"/>
                <w:hideMark/>
              </w:tcPr>
              <w:p w:rsidRPr="008A245E" w:rsidR="00C519FA" w:rsidP="00C519FA" w:rsidRDefault="00452D94" w14:paraId="36B0D662" w14:textId="57326F21">
                <w:pPr>
                  <w:tabs>
                    <w:tab w:val="right" w:pos="8838"/>
                  </w:tabs>
                  <w:ind w:left="-74" w:right="-105"/>
                  <w:jc w:val="both"/>
                  <w:rPr>
                    <w:rFonts w:ascii="Palatino Linotype" w:hAnsi="Palatino Linotype" w:eastAsia="Calibri" w:cs="Tahoma"/>
                    <w:bCs/>
                    <w:sz w:val="22"/>
                    <w:szCs w:val="22"/>
                    <w:lang w:eastAsia="en-US"/>
                  </w:rPr>
                </w:pPr>
                <w:r w:rsidRPr="00452D94">
                  <w:rPr>
                    <w:rFonts w:ascii="Palatino Linotype" w:hAnsi="Palatino Linotype" w:eastAsia="Calibri" w:cs="Tahoma"/>
                    <w:bCs/>
                    <w:sz w:val="22"/>
                    <w:szCs w:val="22"/>
                    <w:lang w:val="es-MX" w:eastAsia="en-US"/>
                  </w:rPr>
                  <w:t>10531/INFOEM/IP/RR/2022</w:t>
                </w:r>
              </w:p>
            </w:tc>
          </w:tr>
          <w:tr w:rsidR="00C519FA" w:rsidTr="009F490B" w14:paraId="15A802B1" w14:textId="77777777">
            <w:trPr>
              <w:trHeight w:val="331"/>
            </w:trPr>
            <w:tc>
              <w:tcPr>
                <w:tcW w:w="2419" w:type="dxa"/>
                <w:hideMark/>
              </w:tcPr>
              <w:p w:rsidRPr="008A245E" w:rsidR="00C519FA" w:rsidP="00C519FA" w:rsidRDefault="00D37132"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667" w:type="dxa"/>
                <w:hideMark/>
              </w:tcPr>
              <w:p w:rsidRPr="008A245E" w:rsidR="00C519FA" w:rsidP="00C519FA" w:rsidRDefault="00452D94" w14:paraId="52294E27" w14:textId="2068F730">
                <w:pPr>
                  <w:tabs>
                    <w:tab w:val="left" w:pos="2834"/>
                    <w:tab w:val="right" w:pos="8838"/>
                  </w:tabs>
                  <w:ind w:left="-74" w:right="-105"/>
                  <w:jc w:val="both"/>
                  <w:rPr>
                    <w:rFonts w:ascii="Palatino Linotype" w:hAnsi="Palatino Linotype" w:eastAsia="Calibri" w:cs="Tahoma"/>
                    <w:b/>
                    <w:sz w:val="22"/>
                    <w:szCs w:val="22"/>
                    <w:lang w:eastAsia="en-US"/>
                  </w:rPr>
                </w:pPr>
                <w:r w:rsidRPr="00452D94">
                  <w:rPr>
                    <w:rFonts w:ascii="Palatino Linotype" w:hAnsi="Palatino Linotype" w:eastAsia="Calibri" w:cs="Tahoma"/>
                    <w:sz w:val="22"/>
                    <w:szCs w:val="22"/>
                    <w:lang w:val="es-MX" w:eastAsia="en-US"/>
                  </w:rPr>
                  <w:t>Sistema Municipal Para el Desarrollo Integral de la Familia de Metepec</w:t>
                </w:r>
              </w:p>
            </w:tc>
          </w:tr>
          <w:tr w:rsidR="00C519FA" w:rsidTr="009F490B" w14:paraId="445FEB22" w14:textId="77777777">
            <w:trPr>
              <w:trHeight w:val="331"/>
            </w:trPr>
            <w:tc>
              <w:tcPr>
                <w:tcW w:w="2419" w:type="dxa"/>
                <w:hideMark/>
              </w:tcPr>
              <w:p w:rsidRPr="008A245E" w:rsidR="00C519FA" w:rsidP="00C519FA" w:rsidRDefault="00D37132"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667" w:type="dxa"/>
              </w:tcPr>
              <w:p w:rsidRPr="007D2BD0" w:rsidR="00C519FA" w:rsidP="007D2BD0" w:rsidRDefault="00D37132"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C519FA" w:rsidP="00C519FA" w:rsidRDefault="00433B2D"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433B2D" w14:paraId="7CD87E07" w14:textId="34F694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ayout w:type="fixed"/>
      <w:tblLook w:val="04A0" w:firstRow="1" w:lastRow="0" w:firstColumn="1" w:lastColumn="0" w:noHBand="0" w:noVBand="1"/>
    </w:tblPr>
    <w:tblGrid>
      <w:gridCol w:w="2268"/>
      <w:gridCol w:w="7797"/>
    </w:tblGrid>
    <w:tr w:rsidR="00C519FA" w:rsidTr="3D37058C" w14:paraId="3DF2FA98" w14:textId="77777777">
      <w:trPr>
        <w:trHeight w:val="1435"/>
      </w:trPr>
      <w:tc>
        <w:tcPr>
          <w:tcW w:w="2268" w:type="dxa"/>
          <w:tcMar/>
        </w:tcPr>
        <w:p w:rsidR="00C519FA" w:rsidP="00C519FA" w:rsidRDefault="00433B2D" w14:paraId="41C68381" w14:textId="77777777">
          <w:pPr>
            <w:tabs>
              <w:tab w:val="right" w:pos="4273"/>
            </w:tabs>
            <w:spacing w:line="256" w:lineRule="auto"/>
            <w:rPr>
              <w:rFonts w:ascii="Garamond" w:hAnsi="Garamond" w:eastAsia="Calibri"/>
              <w:sz w:val="22"/>
              <w:szCs w:val="22"/>
              <w:lang w:eastAsia="en-US"/>
            </w:rPr>
          </w:pPr>
        </w:p>
      </w:tc>
      <w:tc>
        <w:tcPr>
          <w:tcW w:w="7797" w:type="dxa"/>
          <w:tcMar/>
          <w:hideMark/>
        </w:tcPr>
        <w:p w:rsidR="00B00F8E" w:rsidRDefault="00B00F8E" w14:paraId="5606C50C" w14:textId="77777777"/>
        <w:tbl>
          <w:tblPr>
            <w:tblStyle w:val="Tablaconcuadrcula"/>
            <w:tblW w:w="6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966"/>
          </w:tblGrid>
          <w:tr w:rsidRPr="0095634C" w:rsidR="00C519FA" w:rsidTr="3D37058C" w14:paraId="37156598" w14:textId="77777777">
            <w:trPr>
              <w:trHeight w:val="144"/>
            </w:trPr>
            <w:tc>
              <w:tcPr>
                <w:tcW w:w="2447" w:type="dxa"/>
                <w:tcMar/>
                <w:hideMark/>
              </w:tcPr>
              <w:p w:rsidRPr="0095634C" w:rsidR="00C519FA" w:rsidP="00C519FA" w:rsidRDefault="00D37132"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3966" w:type="dxa"/>
                <w:tcMar/>
                <w:hideMark/>
              </w:tcPr>
              <w:p w:rsidRPr="0095634C" w:rsidR="00C519FA" w:rsidP="00C519FA" w:rsidRDefault="00452D94" w14:paraId="2A8E7B1A" w14:textId="1A1432E6">
                <w:pPr>
                  <w:tabs>
                    <w:tab w:val="right" w:pos="8838"/>
                  </w:tabs>
                  <w:ind w:left="-74" w:right="-105"/>
                  <w:jc w:val="both"/>
                  <w:rPr>
                    <w:rFonts w:ascii="Palatino Linotype" w:hAnsi="Palatino Linotype" w:eastAsia="Calibri" w:cs="Tahoma"/>
                    <w:sz w:val="22"/>
                    <w:szCs w:val="22"/>
                    <w:lang w:eastAsia="en-US"/>
                  </w:rPr>
                </w:pPr>
                <w:r w:rsidRPr="00452D94">
                  <w:rPr>
                    <w:rFonts w:ascii="Palatino Linotype" w:hAnsi="Palatino Linotype" w:eastAsia="Calibri" w:cs="Tahoma"/>
                    <w:sz w:val="22"/>
                    <w:szCs w:val="22"/>
                    <w:lang w:val="es-MX" w:eastAsia="en-US"/>
                  </w:rPr>
                  <w:t>10531/INFOEM/IP/RR/2022</w:t>
                </w:r>
              </w:p>
            </w:tc>
          </w:tr>
          <w:tr w:rsidRPr="0095634C" w:rsidR="00C519FA" w:rsidTr="3D37058C" w14:paraId="7B581380" w14:textId="77777777">
            <w:trPr>
              <w:trHeight w:val="144"/>
            </w:trPr>
            <w:tc>
              <w:tcPr>
                <w:tcW w:w="2447" w:type="dxa"/>
                <w:tcMar/>
                <w:hideMark/>
              </w:tcPr>
              <w:p w:rsidRPr="0095634C" w:rsidR="00C519FA" w:rsidP="00C519FA" w:rsidRDefault="00D37132"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3966" w:type="dxa"/>
                <w:tcMar/>
              </w:tcPr>
              <w:p w:rsidRPr="0095634C" w:rsidR="00C519FA" w:rsidP="00C519FA" w:rsidRDefault="00452D94" w14:paraId="25A30DE0" w14:textId="484A77F7">
                <w:pPr>
                  <w:tabs>
                    <w:tab w:val="left" w:pos="3122"/>
                    <w:tab w:val="right" w:pos="8838"/>
                  </w:tabs>
                  <w:ind w:left="-74" w:right="-105"/>
                  <w:jc w:val="both"/>
                  <w:rPr>
                    <w:rFonts w:ascii="Palatino Linotype" w:hAnsi="Palatino Linotype" w:eastAsia="Calibri" w:cs="Tahoma"/>
                    <w:sz w:val="22"/>
                    <w:szCs w:val="22"/>
                    <w:lang w:eastAsia="en-US"/>
                  </w:rPr>
                </w:pPr>
                <w:r w:rsidRPr="3D37058C" w:rsidR="3D37058C">
                  <w:rPr>
                    <w:rFonts w:ascii="Palatino Linotype" w:hAnsi="Palatino Linotype" w:eastAsia="Calibri" w:cs="Tahoma"/>
                    <w:sz w:val="22"/>
                    <w:szCs w:val="22"/>
                    <w:highlight w:val="black"/>
                    <w:lang w:eastAsia="en-US"/>
                  </w:rPr>
                  <w:t>XXXXXXXXXXXXXXXXXXXXXXXX</w:t>
                </w:r>
              </w:p>
            </w:tc>
          </w:tr>
          <w:tr w:rsidRPr="0095634C" w:rsidR="00C519FA" w:rsidTr="3D37058C" w14:paraId="290EEB68" w14:textId="77777777">
            <w:trPr>
              <w:trHeight w:val="283"/>
            </w:trPr>
            <w:tc>
              <w:tcPr>
                <w:tcW w:w="2447" w:type="dxa"/>
                <w:tcMar/>
                <w:hideMark/>
              </w:tcPr>
              <w:p w:rsidRPr="0095634C" w:rsidR="00C519FA" w:rsidP="00C519FA" w:rsidRDefault="00D37132"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3966" w:type="dxa"/>
                <w:tcMar/>
                <w:hideMark/>
              </w:tcPr>
              <w:p w:rsidRPr="0095634C" w:rsidR="00C519FA" w:rsidP="00C519FA" w:rsidRDefault="00452D94" w14:paraId="49785984" w14:textId="50EDB950">
                <w:pPr>
                  <w:tabs>
                    <w:tab w:val="left" w:pos="2834"/>
                    <w:tab w:val="right" w:pos="8838"/>
                  </w:tabs>
                  <w:ind w:left="-74" w:right="-105"/>
                  <w:jc w:val="both"/>
                  <w:rPr>
                    <w:rFonts w:ascii="Palatino Linotype" w:hAnsi="Palatino Linotype" w:eastAsia="Calibri" w:cs="Tahoma"/>
                    <w:sz w:val="22"/>
                    <w:szCs w:val="22"/>
                    <w:lang w:eastAsia="en-US"/>
                  </w:rPr>
                </w:pPr>
                <w:r w:rsidRPr="00452D94">
                  <w:rPr>
                    <w:rFonts w:ascii="Palatino Linotype" w:hAnsi="Palatino Linotype" w:eastAsia="Calibri" w:cs="Tahoma"/>
                    <w:sz w:val="22"/>
                    <w:szCs w:val="22"/>
                    <w:lang w:val="es-MX" w:eastAsia="en-US"/>
                  </w:rPr>
                  <w:t>Sistema Municipal Para el Desarrollo Integral de la Familia de Metepec</w:t>
                </w:r>
              </w:p>
            </w:tc>
          </w:tr>
          <w:tr w:rsidRPr="0095634C" w:rsidR="00C519FA" w:rsidTr="3D37058C" w14:paraId="02379758" w14:textId="77777777">
            <w:trPr>
              <w:trHeight w:val="283"/>
            </w:trPr>
            <w:tc>
              <w:tcPr>
                <w:tcW w:w="2447" w:type="dxa"/>
                <w:tcMar/>
                <w:hideMark/>
              </w:tcPr>
              <w:p w:rsidRPr="0095634C" w:rsidR="00C519FA" w:rsidP="00C519FA" w:rsidRDefault="00D37132"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966" w:type="dxa"/>
                <w:tcMar/>
              </w:tcPr>
              <w:p w:rsidRPr="0095634C" w:rsidR="00C519FA" w:rsidP="00C519FA" w:rsidRDefault="00D37132"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C519FA" w:rsidP="00C519FA" w:rsidRDefault="00433B2D"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433B2D"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433B2D"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6.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3"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6836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891436">
    <w:abstractNumId w:val="11"/>
  </w:num>
  <w:num w:numId="3" w16cid:durableId="1886209141">
    <w:abstractNumId w:val="1"/>
  </w:num>
  <w:num w:numId="4" w16cid:durableId="1573002496">
    <w:abstractNumId w:val="10"/>
  </w:num>
  <w:num w:numId="5" w16cid:durableId="155851481">
    <w:abstractNumId w:val="9"/>
  </w:num>
  <w:num w:numId="6" w16cid:durableId="1890069750">
    <w:abstractNumId w:val="4"/>
  </w:num>
  <w:num w:numId="7" w16cid:durableId="505750209">
    <w:abstractNumId w:val="21"/>
  </w:num>
  <w:num w:numId="8" w16cid:durableId="889271496">
    <w:abstractNumId w:val="0"/>
  </w:num>
  <w:num w:numId="9" w16cid:durableId="418185431">
    <w:abstractNumId w:val="14"/>
  </w:num>
  <w:num w:numId="10" w16cid:durableId="1978879116">
    <w:abstractNumId w:val="15"/>
  </w:num>
  <w:num w:numId="11" w16cid:durableId="687216592">
    <w:abstractNumId w:val="3"/>
  </w:num>
  <w:num w:numId="12" w16cid:durableId="993754650">
    <w:abstractNumId w:val="12"/>
  </w:num>
  <w:num w:numId="13" w16cid:durableId="1831948865">
    <w:abstractNumId w:val="18"/>
  </w:num>
  <w:num w:numId="14" w16cid:durableId="2017539259">
    <w:abstractNumId w:val="6"/>
  </w:num>
  <w:num w:numId="15" w16cid:durableId="529873975">
    <w:abstractNumId w:val="16"/>
  </w:num>
  <w:num w:numId="16" w16cid:durableId="62530895">
    <w:abstractNumId w:val="22"/>
  </w:num>
  <w:num w:numId="17" w16cid:durableId="105394266">
    <w:abstractNumId w:val="2"/>
  </w:num>
  <w:num w:numId="18" w16cid:durableId="2042511517">
    <w:abstractNumId w:val="13"/>
  </w:num>
  <w:num w:numId="19" w16cid:durableId="169688607">
    <w:abstractNumId w:val="5"/>
  </w:num>
  <w:num w:numId="20" w16cid:durableId="1652825871">
    <w:abstractNumId w:val="20"/>
  </w:num>
  <w:num w:numId="21" w16cid:durableId="1080251709">
    <w:abstractNumId w:val="7"/>
  </w:num>
  <w:num w:numId="22" w16cid:durableId="585187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6103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459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47219"/>
    <w:rsid w:val="000506E9"/>
    <w:rsid w:val="000565F2"/>
    <w:rsid w:val="000608EB"/>
    <w:rsid w:val="000626F3"/>
    <w:rsid w:val="00066610"/>
    <w:rsid w:val="000A3F89"/>
    <w:rsid w:val="000A4F1B"/>
    <w:rsid w:val="000A6377"/>
    <w:rsid w:val="000B3087"/>
    <w:rsid w:val="000B7ED7"/>
    <w:rsid w:val="000C6A5E"/>
    <w:rsid w:val="000D094D"/>
    <w:rsid w:val="000D42FE"/>
    <w:rsid w:val="000D77EA"/>
    <w:rsid w:val="000E0240"/>
    <w:rsid w:val="000F2857"/>
    <w:rsid w:val="00104D7E"/>
    <w:rsid w:val="00121F26"/>
    <w:rsid w:val="00130F94"/>
    <w:rsid w:val="0013794C"/>
    <w:rsid w:val="00141242"/>
    <w:rsid w:val="00160192"/>
    <w:rsid w:val="00160BED"/>
    <w:rsid w:val="00161E09"/>
    <w:rsid w:val="001A2DD6"/>
    <w:rsid w:val="001A6B7A"/>
    <w:rsid w:val="001A75F6"/>
    <w:rsid w:val="001B6873"/>
    <w:rsid w:val="001D7603"/>
    <w:rsid w:val="001F4A4B"/>
    <w:rsid w:val="001F5C48"/>
    <w:rsid w:val="00211B95"/>
    <w:rsid w:val="00213A5A"/>
    <w:rsid w:val="00230F62"/>
    <w:rsid w:val="00231A8C"/>
    <w:rsid w:val="00235CE7"/>
    <w:rsid w:val="0024466A"/>
    <w:rsid w:val="002476E5"/>
    <w:rsid w:val="00257CC5"/>
    <w:rsid w:val="002747DD"/>
    <w:rsid w:val="00276C92"/>
    <w:rsid w:val="00281696"/>
    <w:rsid w:val="00282B6B"/>
    <w:rsid w:val="002907E0"/>
    <w:rsid w:val="002A1427"/>
    <w:rsid w:val="002A4913"/>
    <w:rsid w:val="002D2338"/>
    <w:rsid w:val="002E75CA"/>
    <w:rsid w:val="002F4964"/>
    <w:rsid w:val="0030752D"/>
    <w:rsid w:val="00307A43"/>
    <w:rsid w:val="00310DE3"/>
    <w:rsid w:val="00316110"/>
    <w:rsid w:val="00351FB0"/>
    <w:rsid w:val="00361539"/>
    <w:rsid w:val="00375D3D"/>
    <w:rsid w:val="00383E91"/>
    <w:rsid w:val="003843D7"/>
    <w:rsid w:val="00392421"/>
    <w:rsid w:val="00394135"/>
    <w:rsid w:val="00396CB6"/>
    <w:rsid w:val="003A1940"/>
    <w:rsid w:val="003A3252"/>
    <w:rsid w:val="003A3625"/>
    <w:rsid w:val="003D0DA5"/>
    <w:rsid w:val="003D1134"/>
    <w:rsid w:val="003D1F3F"/>
    <w:rsid w:val="003D45AC"/>
    <w:rsid w:val="003D4E7B"/>
    <w:rsid w:val="003D6308"/>
    <w:rsid w:val="003E1986"/>
    <w:rsid w:val="003F04D2"/>
    <w:rsid w:val="0040040C"/>
    <w:rsid w:val="004042A4"/>
    <w:rsid w:val="00404C68"/>
    <w:rsid w:val="00410D13"/>
    <w:rsid w:val="00414E74"/>
    <w:rsid w:val="0042103F"/>
    <w:rsid w:val="00423962"/>
    <w:rsid w:val="004247F0"/>
    <w:rsid w:val="004255FE"/>
    <w:rsid w:val="0042623A"/>
    <w:rsid w:val="00433B2D"/>
    <w:rsid w:val="004417B6"/>
    <w:rsid w:val="0044419C"/>
    <w:rsid w:val="00452D94"/>
    <w:rsid w:val="00454419"/>
    <w:rsid w:val="00471953"/>
    <w:rsid w:val="004763E5"/>
    <w:rsid w:val="0048127C"/>
    <w:rsid w:val="004A0BF6"/>
    <w:rsid w:val="004A6B19"/>
    <w:rsid w:val="004B218A"/>
    <w:rsid w:val="004B4916"/>
    <w:rsid w:val="004B5166"/>
    <w:rsid w:val="004C3562"/>
    <w:rsid w:val="004D6299"/>
    <w:rsid w:val="004E0224"/>
    <w:rsid w:val="004E02C5"/>
    <w:rsid w:val="004F07FB"/>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47F54"/>
    <w:rsid w:val="00650F54"/>
    <w:rsid w:val="00651A66"/>
    <w:rsid w:val="00657E43"/>
    <w:rsid w:val="0066126D"/>
    <w:rsid w:val="00672ADC"/>
    <w:rsid w:val="00675A95"/>
    <w:rsid w:val="0069089F"/>
    <w:rsid w:val="006B5A03"/>
    <w:rsid w:val="006B5DC1"/>
    <w:rsid w:val="006C59AB"/>
    <w:rsid w:val="006D4281"/>
    <w:rsid w:val="006F1504"/>
    <w:rsid w:val="006F1A32"/>
    <w:rsid w:val="006F29FC"/>
    <w:rsid w:val="00713AA7"/>
    <w:rsid w:val="00715A13"/>
    <w:rsid w:val="0071724E"/>
    <w:rsid w:val="00746888"/>
    <w:rsid w:val="007563E0"/>
    <w:rsid w:val="00764829"/>
    <w:rsid w:val="00765BA5"/>
    <w:rsid w:val="00775120"/>
    <w:rsid w:val="007849DD"/>
    <w:rsid w:val="007A7DE9"/>
    <w:rsid w:val="007B1E8E"/>
    <w:rsid w:val="007B4264"/>
    <w:rsid w:val="007B7200"/>
    <w:rsid w:val="007B7A1E"/>
    <w:rsid w:val="007D06F3"/>
    <w:rsid w:val="007D2BD0"/>
    <w:rsid w:val="007D3EE1"/>
    <w:rsid w:val="007E611F"/>
    <w:rsid w:val="007F7D7B"/>
    <w:rsid w:val="008110DA"/>
    <w:rsid w:val="00831399"/>
    <w:rsid w:val="00836192"/>
    <w:rsid w:val="00836CE5"/>
    <w:rsid w:val="008455E3"/>
    <w:rsid w:val="0086262C"/>
    <w:rsid w:val="00871DE3"/>
    <w:rsid w:val="008A30AE"/>
    <w:rsid w:val="008B0751"/>
    <w:rsid w:val="008B0ADF"/>
    <w:rsid w:val="008B5B2C"/>
    <w:rsid w:val="008D065B"/>
    <w:rsid w:val="00901698"/>
    <w:rsid w:val="00917F65"/>
    <w:rsid w:val="00920B51"/>
    <w:rsid w:val="009219A8"/>
    <w:rsid w:val="009220A2"/>
    <w:rsid w:val="00926AED"/>
    <w:rsid w:val="00932E46"/>
    <w:rsid w:val="0093476C"/>
    <w:rsid w:val="00940F71"/>
    <w:rsid w:val="00942E82"/>
    <w:rsid w:val="009447E4"/>
    <w:rsid w:val="009473E5"/>
    <w:rsid w:val="00954786"/>
    <w:rsid w:val="0095634C"/>
    <w:rsid w:val="00971DE8"/>
    <w:rsid w:val="00985BD9"/>
    <w:rsid w:val="00987E45"/>
    <w:rsid w:val="009914FC"/>
    <w:rsid w:val="0099190D"/>
    <w:rsid w:val="00993A49"/>
    <w:rsid w:val="009A6A7F"/>
    <w:rsid w:val="009D0B60"/>
    <w:rsid w:val="009D0EAF"/>
    <w:rsid w:val="009E36CA"/>
    <w:rsid w:val="009E7D9C"/>
    <w:rsid w:val="009F3053"/>
    <w:rsid w:val="009F490B"/>
    <w:rsid w:val="00A047C2"/>
    <w:rsid w:val="00A10051"/>
    <w:rsid w:val="00A12F9C"/>
    <w:rsid w:val="00A13A74"/>
    <w:rsid w:val="00A264D5"/>
    <w:rsid w:val="00A317C4"/>
    <w:rsid w:val="00A6038A"/>
    <w:rsid w:val="00A61B02"/>
    <w:rsid w:val="00A828B7"/>
    <w:rsid w:val="00A84C18"/>
    <w:rsid w:val="00A8545A"/>
    <w:rsid w:val="00A8670F"/>
    <w:rsid w:val="00AB0CC4"/>
    <w:rsid w:val="00AB1859"/>
    <w:rsid w:val="00AB1DB6"/>
    <w:rsid w:val="00AE38E0"/>
    <w:rsid w:val="00AE5D0C"/>
    <w:rsid w:val="00AE6491"/>
    <w:rsid w:val="00AF1BE3"/>
    <w:rsid w:val="00AF331C"/>
    <w:rsid w:val="00B00F8E"/>
    <w:rsid w:val="00B16987"/>
    <w:rsid w:val="00B204C6"/>
    <w:rsid w:val="00B312A0"/>
    <w:rsid w:val="00B350F7"/>
    <w:rsid w:val="00B5029F"/>
    <w:rsid w:val="00B51BBC"/>
    <w:rsid w:val="00B61001"/>
    <w:rsid w:val="00B62828"/>
    <w:rsid w:val="00B633C1"/>
    <w:rsid w:val="00B6391B"/>
    <w:rsid w:val="00B64B2F"/>
    <w:rsid w:val="00B725E2"/>
    <w:rsid w:val="00B86CB4"/>
    <w:rsid w:val="00BA419D"/>
    <w:rsid w:val="00BB3D12"/>
    <w:rsid w:val="00BB6DA1"/>
    <w:rsid w:val="00BC1956"/>
    <w:rsid w:val="00BD402D"/>
    <w:rsid w:val="00BE3FD4"/>
    <w:rsid w:val="00BE6B4C"/>
    <w:rsid w:val="00BF1A54"/>
    <w:rsid w:val="00BF2061"/>
    <w:rsid w:val="00BF2B49"/>
    <w:rsid w:val="00C108A7"/>
    <w:rsid w:val="00C43D9A"/>
    <w:rsid w:val="00C45523"/>
    <w:rsid w:val="00C54A2A"/>
    <w:rsid w:val="00C550BF"/>
    <w:rsid w:val="00C63B22"/>
    <w:rsid w:val="00C80901"/>
    <w:rsid w:val="00CB7549"/>
    <w:rsid w:val="00CC409B"/>
    <w:rsid w:val="00CD4DB4"/>
    <w:rsid w:val="00CD7D3C"/>
    <w:rsid w:val="00CF2A60"/>
    <w:rsid w:val="00CF6D4F"/>
    <w:rsid w:val="00D035D6"/>
    <w:rsid w:val="00D06AB1"/>
    <w:rsid w:val="00D251D1"/>
    <w:rsid w:val="00D33435"/>
    <w:rsid w:val="00D33CDC"/>
    <w:rsid w:val="00D37132"/>
    <w:rsid w:val="00D41CFA"/>
    <w:rsid w:val="00D42E58"/>
    <w:rsid w:val="00D4637F"/>
    <w:rsid w:val="00D618BD"/>
    <w:rsid w:val="00D772FA"/>
    <w:rsid w:val="00D86214"/>
    <w:rsid w:val="00D9643B"/>
    <w:rsid w:val="00DA15E4"/>
    <w:rsid w:val="00DB299F"/>
    <w:rsid w:val="00DB3B13"/>
    <w:rsid w:val="00DC23F9"/>
    <w:rsid w:val="00DD5B01"/>
    <w:rsid w:val="00DD6F15"/>
    <w:rsid w:val="00DE25AA"/>
    <w:rsid w:val="00DF4C52"/>
    <w:rsid w:val="00E03B6C"/>
    <w:rsid w:val="00E102F7"/>
    <w:rsid w:val="00E10784"/>
    <w:rsid w:val="00E12FF2"/>
    <w:rsid w:val="00E40B0B"/>
    <w:rsid w:val="00E40D83"/>
    <w:rsid w:val="00E4176B"/>
    <w:rsid w:val="00E438B3"/>
    <w:rsid w:val="00E4516B"/>
    <w:rsid w:val="00E66FD9"/>
    <w:rsid w:val="00E749CF"/>
    <w:rsid w:val="00E82D16"/>
    <w:rsid w:val="00E87C5B"/>
    <w:rsid w:val="00EE1986"/>
    <w:rsid w:val="00EE21F3"/>
    <w:rsid w:val="00F17764"/>
    <w:rsid w:val="00F245A5"/>
    <w:rsid w:val="00F316A7"/>
    <w:rsid w:val="00F50AD9"/>
    <w:rsid w:val="00F52199"/>
    <w:rsid w:val="00F55277"/>
    <w:rsid w:val="00F56BE6"/>
    <w:rsid w:val="00F57945"/>
    <w:rsid w:val="00F642A7"/>
    <w:rsid w:val="00F67994"/>
    <w:rsid w:val="00F70958"/>
    <w:rsid w:val="00F83F45"/>
    <w:rsid w:val="00F8437C"/>
    <w:rsid w:val="00F846C1"/>
    <w:rsid w:val="00F86B39"/>
    <w:rsid w:val="00F95318"/>
    <w:rsid w:val="00FA2832"/>
    <w:rsid w:val="00FB4630"/>
    <w:rsid w:val="00FD238F"/>
    <w:rsid w:val="00FD3144"/>
    <w:rsid w:val="00FD6DF3"/>
    <w:rsid w:val="00FE0DFB"/>
    <w:rsid w:val="3D3705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19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1" w:customStyle="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152916300">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63753781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javascript:AbrirModal(1)" TargetMode="External" Id="rId8" /><Relationship Type="http://schemas.openxmlformats.org/officeDocument/2006/relationships/image" Target="media/image5.png"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image" Target="media/image7.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image" Target="media/image6.png" Id="rId15" /><Relationship Type="http://schemas.openxmlformats.org/officeDocument/2006/relationships/fontTable" Target="fontTable.xml" Id="rId23" /><Relationship Type="http://schemas.openxmlformats.org/officeDocument/2006/relationships/image" Target="media/image2.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s://www.ipomex.org.mx/ipo3/lgt/indice/DIFMETEPEC.web" TargetMode="External" Id="rId14" /><Relationship Type="http://schemas.openxmlformats.org/officeDocument/2006/relationships/footer" Target="footer3.xml" Id="rId22" /><Relationship Type="http://schemas.openxmlformats.org/officeDocument/2006/relationships/glossaryDocument" Target="glossary/document.xml" Id="R0151ce70c4c3437f"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1998829-e76a-455b-848a-32be3c74a3b1}"/>
      </w:docPartPr>
      <w:docPartBody>
        <w:p w14:paraId="0F49B2D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607D-05B5-4934-B70C-0359464996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6</revision>
  <dcterms:created xsi:type="dcterms:W3CDTF">2022-08-18T18:01:00.0000000Z</dcterms:created>
  <dcterms:modified xsi:type="dcterms:W3CDTF">2022-09-08T18:19:26.6155724Z</dcterms:modified>
</coreProperties>
</file>