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E6F2F" w14:textId="7AE4DCFF"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E6822">
        <w:rPr>
          <w:rFonts w:ascii="Palatino Linotype" w:eastAsia="Palatino Linotype" w:hAnsi="Palatino Linotype" w:cs="Palatino Linotype"/>
        </w:rPr>
        <w:t>siete de septiembre</w:t>
      </w:r>
      <w:r w:rsidRPr="00607A40">
        <w:rPr>
          <w:rFonts w:ascii="Palatino Linotype" w:eastAsia="Palatino Linotype" w:hAnsi="Palatino Linotype" w:cs="Palatino Linotype"/>
        </w:rPr>
        <w:t xml:space="preserve"> de dos mil veintidós. </w:t>
      </w:r>
    </w:p>
    <w:p w14:paraId="2D9C3A2A" w14:textId="39209D72"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VISTO</w:t>
      </w:r>
      <w:r w:rsidRPr="00607A40">
        <w:rPr>
          <w:rFonts w:ascii="Palatino Linotype" w:eastAsia="Palatino Linotype" w:hAnsi="Palatino Linotype" w:cs="Palatino Linotype"/>
        </w:rPr>
        <w:t xml:space="preserve"> el expediente formado con motivo del recurso de revisión </w:t>
      </w:r>
      <w:r w:rsidRPr="00607A40">
        <w:rPr>
          <w:rFonts w:ascii="Palatino Linotype" w:eastAsia="Palatino Linotype" w:hAnsi="Palatino Linotype" w:cs="Palatino Linotype"/>
          <w:b/>
        </w:rPr>
        <w:t>0</w:t>
      </w:r>
      <w:r w:rsidR="007E6822">
        <w:rPr>
          <w:rFonts w:ascii="Palatino Linotype" w:eastAsia="Palatino Linotype" w:hAnsi="Palatino Linotype" w:cs="Palatino Linotype"/>
          <w:b/>
        </w:rPr>
        <w:t>6829</w:t>
      </w:r>
      <w:r w:rsidRPr="00607A40">
        <w:rPr>
          <w:rFonts w:ascii="Palatino Linotype" w:eastAsia="Palatino Linotype" w:hAnsi="Palatino Linotype" w:cs="Palatino Linotype"/>
          <w:b/>
        </w:rPr>
        <w:t>/INFOEM/IP/RR/2022</w:t>
      </w:r>
      <w:r w:rsidRPr="00607A40">
        <w:rPr>
          <w:rFonts w:ascii="Palatino Linotype" w:eastAsia="Palatino Linotype" w:hAnsi="Palatino Linotype" w:cs="Palatino Linotype"/>
        </w:rPr>
        <w:t>, interpuesto por</w:t>
      </w:r>
      <w:r w:rsidRPr="00607A40">
        <w:rPr>
          <w:rFonts w:ascii="Palatino Linotype" w:eastAsia="Palatino Linotype" w:hAnsi="Palatino Linotype" w:cs="Palatino Linotype"/>
          <w:b/>
        </w:rPr>
        <w:t xml:space="preserve"> un particular que no proporcionó nombre o seudónimo, </w:t>
      </w:r>
      <w:r w:rsidRPr="00607A40">
        <w:rPr>
          <w:rFonts w:ascii="Palatino Linotype" w:eastAsia="Palatino Linotype" w:hAnsi="Palatino Linotype" w:cs="Palatino Linotype"/>
        </w:rPr>
        <w:t>en lo sucesivo</w:t>
      </w:r>
      <w:r w:rsidRPr="00607A40">
        <w:rPr>
          <w:rFonts w:ascii="Palatino Linotype" w:eastAsia="Palatino Linotype" w:hAnsi="Palatino Linotype" w:cs="Palatino Linotype"/>
          <w:b/>
        </w:rPr>
        <w:t xml:space="preserve"> </w:t>
      </w:r>
      <w:r w:rsidRPr="00607A40">
        <w:rPr>
          <w:rFonts w:ascii="Palatino Linotype" w:eastAsia="Palatino Linotype" w:hAnsi="Palatino Linotype" w:cs="Palatino Linotype"/>
        </w:rPr>
        <w:t xml:space="preserve">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en contra de la respuesta a su solicitud por parte del </w:t>
      </w:r>
      <w:r w:rsidR="007E6822" w:rsidRPr="007E6822">
        <w:rPr>
          <w:rFonts w:ascii="Palatino Linotype" w:eastAsia="Palatino Linotype" w:hAnsi="Palatino Linotype" w:cs="Palatino Linotype"/>
          <w:b/>
        </w:rPr>
        <w:t>Organismo Público Descentralizado para la Prestación de Los Servicios de Agua Potable Alcantarillado y Saneamiento de Nicolás Romero</w:t>
      </w:r>
      <w:r w:rsidRPr="00607A40">
        <w:rPr>
          <w:rFonts w:ascii="Palatino Linotype" w:eastAsia="Palatino Linotype" w:hAnsi="Palatino Linotype" w:cs="Palatino Linotype"/>
          <w:b/>
        </w:rPr>
        <w:t xml:space="preserve">, </w:t>
      </w:r>
      <w:r w:rsidRPr="00607A40">
        <w:rPr>
          <w:rFonts w:ascii="Palatino Linotype" w:eastAsia="Palatino Linotype" w:hAnsi="Palatino Linotype" w:cs="Palatino Linotype"/>
        </w:rPr>
        <w:t xml:space="preserve">en lo sucesivo 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 xml:space="preserve">se procede a dictar la presente resolución con base en los siguientes: </w:t>
      </w:r>
    </w:p>
    <w:p w14:paraId="5D7019CC" w14:textId="77777777" w:rsidR="00444F34" w:rsidRPr="00607A40" w:rsidRDefault="00607A40">
      <w:pPr>
        <w:spacing w:before="240" w:after="240" w:line="360" w:lineRule="auto"/>
        <w:jc w:val="center"/>
        <w:rPr>
          <w:rFonts w:ascii="Palatino Linotype" w:eastAsia="Palatino Linotype" w:hAnsi="Palatino Linotype" w:cs="Palatino Linotype"/>
          <w:b/>
        </w:rPr>
      </w:pPr>
      <w:r w:rsidRPr="00607A40">
        <w:rPr>
          <w:rFonts w:ascii="Palatino Linotype" w:eastAsia="Palatino Linotype" w:hAnsi="Palatino Linotype" w:cs="Palatino Linotype"/>
          <w:b/>
        </w:rPr>
        <w:t>I. A N T E C E D E N T E S</w:t>
      </w:r>
    </w:p>
    <w:p w14:paraId="309A9E52" w14:textId="4E276944"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1. Solicitud de acceso a la información.</w:t>
      </w:r>
      <w:r w:rsidRPr="00607A40">
        <w:rPr>
          <w:rFonts w:ascii="Palatino Linotype" w:eastAsia="Palatino Linotype" w:hAnsi="Palatino Linotype" w:cs="Palatino Linotype"/>
        </w:rPr>
        <w:t xml:space="preserve"> Con fecha </w:t>
      </w:r>
      <w:r w:rsidR="007E6822">
        <w:rPr>
          <w:rFonts w:ascii="Palatino Linotype" w:eastAsia="Palatino Linotype" w:hAnsi="Palatino Linotype" w:cs="Palatino Linotype"/>
          <w:b/>
        </w:rPr>
        <w:t>veinticinco de marzo</w:t>
      </w:r>
      <w:r w:rsidRPr="00607A40">
        <w:rPr>
          <w:rFonts w:ascii="Palatino Linotype" w:eastAsia="Palatino Linotype" w:hAnsi="Palatino Linotype" w:cs="Palatino Linotype"/>
          <w:b/>
        </w:rPr>
        <w:t xml:space="preserve"> de dos mil veintidós,</w:t>
      </w:r>
      <w:r w:rsidRPr="00607A40">
        <w:rPr>
          <w:rFonts w:ascii="Palatino Linotype" w:eastAsia="Palatino Linotype" w:hAnsi="Palatino Linotype" w:cs="Palatino Linotype"/>
        </w:rPr>
        <w:t xml:space="preserve"> la parte </w:t>
      </w:r>
      <w:r w:rsidRPr="00607A40">
        <w:rPr>
          <w:rFonts w:ascii="Palatino Linotype" w:eastAsia="Palatino Linotype" w:hAnsi="Palatino Linotype" w:cs="Palatino Linotype"/>
          <w:b/>
        </w:rPr>
        <w:t xml:space="preserve">Recurrente </w:t>
      </w:r>
      <w:r w:rsidRPr="00607A40">
        <w:rPr>
          <w:rFonts w:ascii="Palatino Linotype" w:eastAsia="Palatino Linotype" w:hAnsi="Palatino Linotype" w:cs="Palatino Linotype"/>
        </w:rPr>
        <w:t xml:space="preserve">presentó, través del Sistema de Acceso a la Información Mexiquense, en lo subsecuente el </w:t>
      </w:r>
      <w:r w:rsidRPr="00607A40">
        <w:rPr>
          <w:rFonts w:ascii="Palatino Linotype" w:eastAsia="Palatino Linotype" w:hAnsi="Palatino Linotype" w:cs="Palatino Linotype"/>
          <w:b/>
        </w:rPr>
        <w:t>SAIMEX,</w:t>
      </w:r>
      <w:r w:rsidRPr="00607A40">
        <w:rPr>
          <w:rFonts w:ascii="Palatino Linotype" w:eastAsia="Palatino Linotype" w:hAnsi="Palatino Linotype" w:cs="Palatino Linotype"/>
        </w:rPr>
        <w:t xml:space="preserve"> ante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la solicitud de acceso a la información pública, a la que se le asignó el número</w:t>
      </w:r>
      <w:r w:rsidRPr="00607A40">
        <w:rPr>
          <w:rFonts w:ascii="Palatino Linotype" w:eastAsia="Palatino Linotype" w:hAnsi="Palatino Linotype" w:cs="Palatino Linotype"/>
          <w:b/>
        </w:rPr>
        <w:t xml:space="preserve"> </w:t>
      </w:r>
      <w:r w:rsidR="007E6822" w:rsidRPr="007E6822">
        <w:rPr>
          <w:rFonts w:ascii="Palatino Linotype" w:eastAsia="Palatino Linotype" w:hAnsi="Palatino Linotype" w:cs="Palatino Linotype"/>
          <w:b/>
        </w:rPr>
        <w:t>00017/OASNICOROM/IP/2022</w:t>
      </w:r>
      <w:r w:rsidRPr="00607A40">
        <w:rPr>
          <w:rFonts w:ascii="Palatino Linotype" w:eastAsia="Palatino Linotype" w:hAnsi="Palatino Linotype" w:cs="Palatino Linotype"/>
          <w:b/>
        </w:rPr>
        <w:t xml:space="preserve">, </w:t>
      </w:r>
      <w:r w:rsidRPr="00607A40">
        <w:rPr>
          <w:rFonts w:ascii="Palatino Linotype" w:eastAsia="Palatino Linotype" w:hAnsi="Palatino Linotype" w:cs="Palatino Linotype"/>
        </w:rPr>
        <w:t xml:space="preserve">mediante la cual requirió la información siguiente: </w:t>
      </w:r>
    </w:p>
    <w:p w14:paraId="36B88941" w14:textId="2E830FDC" w:rsidR="00444F34" w:rsidRPr="00607A40" w:rsidRDefault="00607A40">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607A40">
        <w:rPr>
          <w:rFonts w:ascii="Palatino Linotype" w:eastAsia="Palatino Linotype" w:hAnsi="Palatino Linotype" w:cs="Palatino Linotype"/>
          <w:i/>
          <w:sz w:val="22"/>
          <w:szCs w:val="22"/>
        </w:rPr>
        <w:t>“</w:t>
      </w:r>
      <w:r w:rsidR="007E6822" w:rsidRPr="007E6822">
        <w:rPr>
          <w:rFonts w:ascii="Palatino Linotype" w:eastAsia="Palatino Linotype" w:hAnsi="Palatino Linotype" w:cs="Palatino Linotype"/>
          <w:i/>
          <w:sz w:val="22"/>
          <w:szCs w:val="22"/>
        </w:rPr>
        <w:t xml:space="preserve">Monto de enteros mensuales que el OPDSAPASNIR ha efectuado por concepto de ISR, correspondientes a los ejercicios fiscales 2020, 2021 y 2022. Monto anual del entero que el OPD SAPASNIR ha efectuado por concepto de ISR, </w:t>
      </w:r>
      <w:r w:rsidR="007E6822" w:rsidRPr="007E6822">
        <w:rPr>
          <w:rFonts w:ascii="Palatino Linotype" w:eastAsia="Palatino Linotype" w:hAnsi="Palatino Linotype" w:cs="Palatino Linotype"/>
          <w:i/>
          <w:sz w:val="22"/>
          <w:szCs w:val="22"/>
        </w:rPr>
        <w:lastRenderedPageBreak/>
        <w:t>específicamente por “gratificaciones anuales (aguinaldo)” pagado a los servidores públicos de ese organismo, del ejercicio fiscal 2019, así como en el 2020 y 2021. Monto de cada una de las multas y recargos que el SAT ha impuesto al OPDSAPASNIR durante los ejercicios fiscales 2019, 2020 y 2021.</w:t>
      </w:r>
      <w:r w:rsidRPr="00607A40">
        <w:rPr>
          <w:rFonts w:ascii="Palatino Linotype" w:eastAsia="Palatino Linotype" w:hAnsi="Palatino Linotype" w:cs="Palatino Linotype"/>
          <w:i/>
          <w:sz w:val="22"/>
          <w:szCs w:val="22"/>
        </w:rPr>
        <w:t>” (sic)</w:t>
      </w:r>
    </w:p>
    <w:p w14:paraId="607657CE" w14:textId="77777777" w:rsidR="00444F34" w:rsidRPr="00607A40" w:rsidRDefault="00607A40">
      <w:pPr>
        <w:spacing w:before="240" w:after="240" w:line="360" w:lineRule="auto"/>
        <w:ind w:right="900"/>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no adjuntó archivos.</w:t>
      </w:r>
    </w:p>
    <w:p w14:paraId="371367D5"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Modalidad de Entrega:</w:t>
      </w:r>
      <w:r w:rsidRPr="00607A40">
        <w:rPr>
          <w:rFonts w:ascii="Palatino Linotype" w:eastAsia="Palatino Linotype" w:hAnsi="Palatino Linotype" w:cs="Palatino Linotype"/>
        </w:rPr>
        <w:t xml:space="preserve"> A través de SAIMEX.</w:t>
      </w:r>
    </w:p>
    <w:p w14:paraId="7E8322BA" w14:textId="12A02F71"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 xml:space="preserve">2. Respuesta. </w:t>
      </w:r>
      <w:r w:rsidRPr="00607A40">
        <w:rPr>
          <w:rFonts w:ascii="Palatino Linotype" w:eastAsia="Palatino Linotype" w:hAnsi="Palatino Linotype" w:cs="Palatino Linotype"/>
        </w:rPr>
        <w:t>Con fecha</w:t>
      </w:r>
      <w:r w:rsidRPr="00607A40">
        <w:rPr>
          <w:rFonts w:ascii="Palatino Linotype" w:eastAsia="Palatino Linotype" w:hAnsi="Palatino Linotype" w:cs="Palatino Linotype"/>
          <w:b/>
        </w:rPr>
        <w:t xml:space="preserve"> </w:t>
      </w:r>
      <w:r w:rsidR="007E6822">
        <w:rPr>
          <w:rFonts w:ascii="Palatino Linotype" w:eastAsia="Palatino Linotype" w:hAnsi="Palatino Linotype" w:cs="Palatino Linotype"/>
          <w:b/>
        </w:rPr>
        <w:t>cinco</w:t>
      </w:r>
      <w:r w:rsidRPr="00607A40">
        <w:rPr>
          <w:rFonts w:ascii="Palatino Linotype" w:eastAsia="Palatino Linotype" w:hAnsi="Palatino Linotype" w:cs="Palatino Linotype"/>
          <w:b/>
        </w:rPr>
        <w:t xml:space="preserve"> de abril de dos mil veintidós</w:t>
      </w:r>
      <w:r w:rsidRPr="00607A40">
        <w:rPr>
          <w:rFonts w:ascii="Palatino Linotype" w:eastAsia="Palatino Linotype" w:hAnsi="Palatino Linotype" w:cs="Palatino Linotype"/>
        </w:rPr>
        <w:t xml:space="preserve">, 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145FB7E" w14:textId="77777777" w:rsidR="00A33D2C" w:rsidRPr="00A33D2C" w:rsidRDefault="00607A40" w:rsidP="00A33D2C">
      <w:pPr>
        <w:spacing w:before="240" w:after="240"/>
        <w:ind w:left="851" w:right="902"/>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w:t>
      </w:r>
      <w:r w:rsidR="00A33D2C" w:rsidRPr="00A33D2C">
        <w:rPr>
          <w:rFonts w:ascii="Palatino Linotype" w:eastAsia="Palatino Linotype" w:hAnsi="Palatino Linotype" w:cs="Palatino Linotype"/>
          <w:i/>
          <w:sz w:val="22"/>
          <w:szCs w:val="22"/>
        </w:rPr>
        <w:t>le contestamos que:</w:t>
      </w:r>
    </w:p>
    <w:p w14:paraId="0DB44CAD" w14:textId="2211EA32" w:rsidR="00444F34" w:rsidRPr="00607A40" w:rsidRDefault="00A33D2C" w:rsidP="00A33D2C">
      <w:pPr>
        <w:spacing w:before="240" w:after="240"/>
        <w:ind w:left="851" w:right="902"/>
        <w:jc w:val="both"/>
        <w:rPr>
          <w:rFonts w:ascii="Palatino Linotype" w:eastAsia="Palatino Linotype" w:hAnsi="Palatino Linotype" w:cs="Palatino Linotype"/>
          <w:i/>
          <w:sz w:val="22"/>
          <w:szCs w:val="22"/>
        </w:rPr>
      </w:pPr>
      <w:r w:rsidRPr="00A33D2C">
        <w:rPr>
          <w:rFonts w:ascii="Palatino Linotype" w:eastAsia="Palatino Linotype" w:hAnsi="Palatino Linotype" w:cs="Palatino Linotype"/>
          <w:i/>
          <w:sz w:val="22"/>
          <w:szCs w:val="22"/>
        </w:rPr>
        <w:t xml:space="preserve">Con fundamento en los artículos 53 fracciones II, V, VI y 163 de la Ley de Transparencia y Acceso a la Información Pública del Estado de México y Municipios (en adelante la Ley) me permito remitir la respuesta proporcionada por el Servidor Público Habilitado que de acuerdo a sus atribuciones, competencias y funciones, dio respuesta a su petición, misma que se turnó mediante oficio </w:t>
      </w:r>
      <w:bookmarkStart w:id="1" w:name="_Hlk112828195"/>
      <w:r w:rsidRPr="00A33D2C">
        <w:rPr>
          <w:rFonts w:ascii="Palatino Linotype" w:eastAsia="Palatino Linotype" w:hAnsi="Palatino Linotype" w:cs="Palatino Linotype"/>
          <w:i/>
          <w:sz w:val="22"/>
          <w:szCs w:val="22"/>
        </w:rPr>
        <w:t xml:space="preserve">SAPASNIR/UTMRyP/040/2022, así como el oficio SAP/ADFIN/115/2022 </w:t>
      </w:r>
      <w:bookmarkEnd w:id="1"/>
      <w:r w:rsidRPr="00A33D2C">
        <w:rPr>
          <w:rFonts w:ascii="Palatino Linotype" w:eastAsia="Palatino Linotype" w:hAnsi="Palatino Linotype" w:cs="Palatino Linotype"/>
          <w:i/>
          <w:sz w:val="22"/>
          <w:szCs w:val="22"/>
        </w:rPr>
        <w:t>con la respuesta a su solicitud de información</w:t>
      </w:r>
      <w:r w:rsidR="00151DCB">
        <w:rPr>
          <w:rFonts w:ascii="Palatino Linotype" w:eastAsia="Palatino Linotype" w:hAnsi="Palatino Linotype" w:cs="Palatino Linotype"/>
          <w:i/>
          <w:sz w:val="22"/>
          <w:szCs w:val="22"/>
        </w:rPr>
        <w:t>.</w:t>
      </w:r>
      <w:r w:rsidR="00607A40" w:rsidRPr="00607A40">
        <w:rPr>
          <w:rFonts w:ascii="Palatino Linotype" w:eastAsia="Palatino Linotype" w:hAnsi="Palatino Linotype" w:cs="Palatino Linotype"/>
          <w:i/>
          <w:sz w:val="22"/>
          <w:szCs w:val="22"/>
        </w:rPr>
        <w:t>..” (sic)</w:t>
      </w:r>
    </w:p>
    <w:p w14:paraId="3CB54CEA" w14:textId="77777777" w:rsidR="00151DCB" w:rsidRDefault="00607A40">
      <w:pPr>
        <w:spacing w:before="240" w:after="240" w:line="360" w:lineRule="auto"/>
        <w:ind w:right="49"/>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 xml:space="preserve">adjuntó </w:t>
      </w:r>
      <w:r w:rsidR="00A33D2C">
        <w:rPr>
          <w:rFonts w:ascii="Palatino Linotype" w:eastAsia="Palatino Linotype" w:hAnsi="Palatino Linotype" w:cs="Palatino Linotype"/>
        </w:rPr>
        <w:t>el</w:t>
      </w:r>
      <w:r w:rsidRPr="00607A40">
        <w:rPr>
          <w:rFonts w:ascii="Palatino Linotype" w:eastAsia="Palatino Linotype" w:hAnsi="Palatino Linotype" w:cs="Palatino Linotype"/>
        </w:rPr>
        <w:t xml:space="preserve"> archivo:</w:t>
      </w:r>
      <w:r w:rsidR="00151DCB">
        <w:rPr>
          <w:rFonts w:ascii="Palatino Linotype" w:eastAsia="Palatino Linotype" w:hAnsi="Palatino Linotype" w:cs="Palatino Linotype"/>
        </w:rPr>
        <w:t xml:space="preserve"> </w:t>
      </w:r>
      <w:r w:rsidRPr="00607A40">
        <w:rPr>
          <w:rFonts w:ascii="Palatino Linotype" w:eastAsia="Palatino Linotype" w:hAnsi="Palatino Linotype" w:cs="Palatino Linotype"/>
          <w:i/>
        </w:rPr>
        <w:t>“</w:t>
      </w:r>
      <w:r w:rsidR="00A33D2C" w:rsidRPr="00A33D2C">
        <w:rPr>
          <w:rFonts w:ascii="Palatino Linotype" w:eastAsia="Palatino Linotype" w:hAnsi="Palatino Linotype" w:cs="Palatino Linotype"/>
          <w:i/>
        </w:rPr>
        <w:t>CIUDADANO 17.pdf</w:t>
      </w:r>
      <w:r w:rsidRPr="00607A40">
        <w:rPr>
          <w:rFonts w:ascii="Palatino Linotype" w:eastAsia="Palatino Linotype" w:hAnsi="Palatino Linotype" w:cs="Palatino Linotype"/>
        </w:rPr>
        <w:t>”, que contiene</w:t>
      </w:r>
      <w:r w:rsidR="00151DCB">
        <w:rPr>
          <w:rFonts w:ascii="Palatino Linotype" w:eastAsia="Palatino Linotype" w:hAnsi="Palatino Linotype" w:cs="Palatino Linotype"/>
        </w:rPr>
        <w:t xml:space="preserve"> lo siguiente:</w:t>
      </w:r>
    </w:p>
    <w:p w14:paraId="4001D945" w14:textId="0DBFA81F" w:rsidR="00151DCB" w:rsidRDefault="00151DC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O</w:t>
      </w:r>
      <w:r w:rsidR="00607A40" w:rsidRPr="00607A40">
        <w:rPr>
          <w:rFonts w:ascii="Palatino Linotype" w:eastAsia="Palatino Linotype" w:hAnsi="Palatino Linotype" w:cs="Palatino Linotype"/>
        </w:rPr>
        <w:t>ficio número</w:t>
      </w:r>
      <w:r>
        <w:rPr>
          <w:rFonts w:ascii="Palatino Linotype" w:eastAsia="Palatino Linotype" w:hAnsi="Palatino Linotype" w:cs="Palatino Linotype"/>
        </w:rPr>
        <w:t xml:space="preserve"> SAPASNIR/UT/MRyP/053/2022</w:t>
      </w:r>
      <w:r w:rsidR="00607A40" w:rsidRPr="00607A40">
        <w:rPr>
          <w:rFonts w:ascii="Palatino Linotype" w:eastAsia="Palatino Linotype" w:hAnsi="Palatino Linotype" w:cs="Palatino Linotype"/>
        </w:rPr>
        <w:t>, de fecha cinco de abril de dos mil veintidós, signado por la</w:t>
      </w:r>
      <w:r>
        <w:rPr>
          <w:rFonts w:ascii="Palatino Linotype" w:eastAsia="Palatino Linotype" w:hAnsi="Palatino Linotype" w:cs="Palatino Linotype"/>
        </w:rPr>
        <w:t xml:space="preserve"> Jefa de la Unidad de Transparencia, Mejora Regulatoria y Planeación del OPD SAPASNIR, </w:t>
      </w:r>
      <w:r w:rsidR="00607A40" w:rsidRPr="00607A40">
        <w:rPr>
          <w:rFonts w:ascii="Palatino Linotype" w:eastAsia="Palatino Linotype" w:hAnsi="Palatino Linotype" w:cs="Palatino Linotype"/>
        </w:rPr>
        <w:t xml:space="preserve">mediante el cual </w:t>
      </w:r>
      <w:r>
        <w:rPr>
          <w:rFonts w:ascii="Palatino Linotype" w:eastAsia="Palatino Linotype" w:hAnsi="Palatino Linotype" w:cs="Palatino Linotype"/>
        </w:rPr>
        <w:t>notifica la respuesta a la solicitud de información en los mismos términos vertidos en SAIMEX.</w:t>
      </w:r>
    </w:p>
    <w:p w14:paraId="2EB87537" w14:textId="687AA97E" w:rsidR="00151DCB" w:rsidRDefault="00151DC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sidRPr="00151DCB">
        <w:rPr>
          <w:rFonts w:ascii="Palatino Linotype" w:eastAsia="Palatino Linotype" w:hAnsi="Palatino Linotype" w:cs="Palatino Linotype"/>
        </w:rPr>
        <w:t>Oficio número SAPASNIR/UTMRyP/040/2022,</w:t>
      </w:r>
      <w:r>
        <w:rPr>
          <w:rFonts w:ascii="Palatino Linotype" w:eastAsia="Palatino Linotype" w:hAnsi="Palatino Linotype" w:cs="Palatino Linotype"/>
        </w:rPr>
        <w:t xml:space="preserve"> de fecha veinticinco de marzo de dos mil veintidós, </w:t>
      </w:r>
      <w:r w:rsidRPr="00607A40">
        <w:rPr>
          <w:rFonts w:ascii="Palatino Linotype" w:eastAsia="Palatino Linotype" w:hAnsi="Palatino Linotype" w:cs="Palatino Linotype"/>
        </w:rPr>
        <w:t>signado por la</w:t>
      </w:r>
      <w:r>
        <w:rPr>
          <w:rFonts w:ascii="Palatino Linotype" w:eastAsia="Palatino Linotype" w:hAnsi="Palatino Linotype" w:cs="Palatino Linotype"/>
        </w:rPr>
        <w:t xml:space="preserve"> Jefa de la Unidad de Transparencia, Mejora Regulatoria y Planeación del OPD SAPASNIR, </w:t>
      </w:r>
      <w:r w:rsidRPr="00607A40">
        <w:rPr>
          <w:rFonts w:ascii="Palatino Linotype" w:eastAsia="Palatino Linotype" w:hAnsi="Palatino Linotype" w:cs="Palatino Linotype"/>
        </w:rPr>
        <w:t>mediante el cual</w:t>
      </w:r>
      <w:r>
        <w:rPr>
          <w:rFonts w:ascii="Palatino Linotype" w:eastAsia="Palatino Linotype" w:hAnsi="Palatino Linotype" w:cs="Palatino Linotype"/>
        </w:rPr>
        <w:t xml:space="preserve"> </w:t>
      </w:r>
      <w:r w:rsidR="007C322A">
        <w:rPr>
          <w:rFonts w:ascii="Palatino Linotype" w:eastAsia="Palatino Linotype" w:hAnsi="Palatino Linotype" w:cs="Palatino Linotype"/>
        </w:rPr>
        <w:t xml:space="preserve">remite </w:t>
      </w:r>
      <w:r>
        <w:rPr>
          <w:rFonts w:ascii="Palatino Linotype" w:eastAsia="Palatino Linotype" w:hAnsi="Palatino Linotype" w:cs="Palatino Linotype"/>
        </w:rPr>
        <w:t xml:space="preserve">a la Subdirectora de Administración y Finanzas </w:t>
      </w:r>
      <w:r w:rsidR="00994134">
        <w:rPr>
          <w:rFonts w:ascii="Palatino Linotype" w:eastAsia="Palatino Linotype" w:hAnsi="Palatino Linotype" w:cs="Palatino Linotype"/>
        </w:rPr>
        <w:t xml:space="preserve">del Organismo Público Descentralizado para la Prestación de Servicios de Agua Potable y Alcantarillado y Saneamiento de Nicolás Romero, </w:t>
      </w:r>
      <w:r w:rsidR="007C322A">
        <w:rPr>
          <w:rFonts w:ascii="Palatino Linotype" w:eastAsia="Palatino Linotype" w:hAnsi="Palatino Linotype" w:cs="Palatino Linotype"/>
        </w:rPr>
        <w:t xml:space="preserve">la solicitud de información </w:t>
      </w:r>
      <w:r w:rsidR="007C322A" w:rsidRPr="007C322A">
        <w:rPr>
          <w:rFonts w:ascii="Palatino Linotype" w:eastAsia="Palatino Linotype" w:hAnsi="Palatino Linotype" w:cs="Palatino Linotype"/>
        </w:rPr>
        <w:t>00017/OASNICOROM/IP/2022</w:t>
      </w:r>
      <w:r w:rsidR="007C322A">
        <w:rPr>
          <w:rFonts w:ascii="Palatino Linotype" w:eastAsia="Palatino Linotype" w:hAnsi="Palatino Linotype" w:cs="Palatino Linotype"/>
        </w:rPr>
        <w:t xml:space="preserve">, para su debida contestación, conforme a sus facultades, competencias y funciones que establezca la Ley </w:t>
      </w:r>
      <w:r w:rsidR="002A0C3C">
        <w:rPr>
          <w:rFonts w:ascii="Palatino Linotype" w:eastAsia="Palatino Linotype" w:hAnsi="Palatino Linotype" w:cs="Palatino Linotype"/>
        </w:rPr>
        <w:t>y en su caso proporcione la información.</w:t>
      </w:r>
      <w:r w:rsidR="007C322A">
        <w:rPr>
          <w:rFonts w:ascii="Palatino Linotype" w:eastAsia="Palatino Linotype" w:hAnsi="Palatino Linotype" w:cs="Palatino Linotype"/>
        </w:rPr>
        <w:t xml:space="preserve"> </w:t>
      </w:r>
    </w:p>
    <w:p w14:paraId="6778DD11" w14:textId="75D323F1" w:rsidR="00151DCB" w:rsidRDefault="002A0C3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O</w:t>
      </w:r>
      <w:r w:rsidR="00151DCB" w:rsidRPr="00151DCB">
        <w:rPr>
          <w:rFonts w:ascii="Palatino Linotype" w:eastAsia="Palatino Linotype" w:hAnsi="Palatino Linotype" w:cs="Palatino Linotype"/>
        </w:rPr>
        <w:t xml:space="preserve">ficio </w:t>
      </w:r>
      <w:r>
        <w:rPr>
          <w:rFonts w:ascii="Palatino Linotype" w:eastAsia="Palatino Linotype" w:hAnsi="Palatino Linotype" w:cs="Palatino Linotype"/>
        </w:rPr>
        <w:t xml:space="preserve">número </w:t>
      </w:r>
      <w:r w:rsidR="00151DCB" w:rsidRPr="00151DCB">
        <w:rPr>
          <w:rFonts w:ascii="Palatino Linotype" w:eastAsia="Palatino Linotype" w:hAnsi="Palatino Linotype" w:cs="Palatino Linotype"/>
        </w:rPr>
        <w:t>SAP/ADFIN/115/2022</w:t>
      </w:r>
      <w:r>
        <w:rPr>
          <w:rFonts w:ascii="Palatino Linotype" w:eastAsia="Palatino Linotype" w:hAnsi="Palatino Linotype" w:cs="Palatino Linotype"/>
        </w:rPr>
        <w:t xml:space="preserve">, de fecha uno de abril de dos mil veintidós, signado por la Subdirectora de Administración y Finanzas del OPD SAPASNIR, mediante el cual </w:t>
      </w:r>
      <w:r w:rsidR="00C13EBF">
        <w:rPr>
          <w:rFonts w:ascii="Palatino Linotype" w:eastAsia="Palatino Linotype" w:hAnsi="Palatino Linotype" w:cs="Palatino Linotype"/>
        </w:rPr>
        <w:t>atiende la solicitud de información, en los siguientes términos.</w:t>
      </w:r>
    </w:p>
    <w:p w14:paraId="5B16A000" w14:textId="77777777" w:rsidR="00AA69E6" w:rsidRDefault="00952119" w:rsidP="00AA69E6">
      <w:pPr>
        <w:spacing w:before="240" w:after="24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3805C769" wp14:editId="450D00FA">
            <wp:extent cx="5040000" cy="2868985"/>
            <wp:effectExtent l="0" t="0" r="825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2868985"/>
                    </a:xfrm>
                    <a:prstGeom prst="rect">
                      <a:avLst/>
                    </a:prstGeom>
                    <a:noFill/>
                    <a:ln>
                      <a:noFill/>
                    </a:ln>
                  </pic:spPr>
                </pic:pic>
              </a:graphicData>
            </a:graphic>
          </wp:inline>
        </w:drawing>
      </w:r>
    </w:p>
    <w:p w14:paraId="4016CEC2" w14:textId="67DB1738" w:rsidR="00C13EBF" w:rsidRDefault="00952119" w:rsidP="00AA69E6">
      <w:pPr>
        <w:spacing w:before="240" w:after="24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49EE97B5" wp14:editId="1C6D9F52">
            <wp:extent cx="5220000" cy="25013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000" cy="2501325"/>
                    </a:xfrm>
                    <a:prstGeom prst="rect">
                      <a:avLst/>
                    </a:prstGeom>
                    <a:noFill/>
                    <a:ln>
                      <a:noFill/>
                    </a:ln>
                  </pic:spPr>
                </pic:pic>
              </a:graphicData>
            </a:graphic>
          </wp:inline>
        </w:drawing>
      </w:r>
    </w:p>
    <w:p w14:paraId="145B59BB" w14:textId="59E55001" w:rsidR="00444F34" w:rsidRPr="00607A40" w:rsidRDefault="00607A40">
      <w:pPr>
        <w:spacing w:before="240" w:after="240" w:line="360" w:lineRule="auto"/>
        <w:ind w:right="49"/>
        <w:jc w:val="both"/>
        <w:rPr>
          <w:rFonts w:ascii="Palatino Linotype" w:eastAsia="Palatino Linotype" w:hAnsi="Palatino Linotype" w:cs="Palatino Linotype"/>
        </w:rPr>
      </w:pPr>
      <w:r w:rsidRPr="00607A40">
        <w:rPr>
          <w:rFonts w:ascii="Palatino Linotype" w:eastAsia="Palatino Linotype" w:hAnsi="Palatino Linotype" w:cs="Palatino Linotype"/>
          <w:b/>
        </w:rPr>
        <w:t xml:space="preserve">3. Interposición del recurso de revisión. </w:t>
      </w:r>
      <w:r w:rsidRPr="00607A40">
        <w:rPr>
          <w:rFonts w:ascii="Palatino Linotype" w:eastAsia="Palatino Linotype" w:hAnsi="Palatino Linotype" w:cs="Palatino Linotype"/>
        </w:rPr>
        <w:t xml:space="preserve">Inconforme con los términos de la respuesta emitida por parte del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el </w:t>
      </w:r>
      <w:r w:rsidR="00EF7786">
        <w:rPr>
          <w:rFonts w:ascii="Palatino Linotype" w:eastAsia="Palatino Linotype" w:hAnsi="Palatino Linotype" w:cs="Palatino Linotype"/>
          <w:b/>
        </w:rPr>
        <w:t xml:space="preserve">dos de mayo </w:t>
      </w:r>
      <w:r w:rsidRPr="00607A40">
        <w:rPr>
          <w:rFonts w:ascii="Palatino Linotype" w:eastAsia="Palatino Linotype" w:hAnsi="Palatino Linotype" w:cs="Palatino Linotype"/>
          <w:b/>
        </w:rPr>
        <w:t>de dos mil veintidós,</w:t>
      </w:r>
      <w:r w:rsidRPr="00607A40">
        <w:rPr>
          <w:rFonts w:ascii="Palatino Linotype" w:eastAsia="Palatino Linotype" w:hAnsi="Palatino Linotype" w:cs="Palatino Linotype"/>
        </w:rPr>
        <w:t xml:space="preserve">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interpuso el recurso de revisión a través de </w:t>
      </w:r>
      <w:r w:rsidRPr="00607A40">
        <w:rPr>
          <w:rFonts w:ascii="Palatino Linotype" w:eastAsia="Palatino Linotype" w:hAnsi="Palatino Linotype" w:cs="Palatino Linotype"/>
          <w:b/>
        </w:rPr>
        <w:t xml:space="preserve">SAIMEX, </w:t>
      </w:r>
      <w:r w:rsidRPr="00607A40">
        <w:rPr>
          <w:rFonts w:ascii="Palatino Linotype" w:eastAsia="Palatino Linotype" w:hAnsi="Palatino Linotype" w:cs="Palatino Linotype"/>
        </w:rPr>
        <w:t>en donde se manifestó de la siguiente manera:</w:t>
      </w:r>
    </w:p>
    <w:p w14:paraId="0F8E2437" w14:textId="77777777" w:rsidR="00444F34" w:rsidRPr="00607A40" w:rsidRDefault="00607A40">
      <w:pPr>
        <w:tabs>
          <w:tab w:val="left" w:pos="2745"/>
        </w:tabs>
        <w:spacing w:before="240" w:after="240" w:line="360" w:lineRule="auto"/>
        <w:jc w:val="both"/>
        <w:rPr>
          <w:rFonts w:ascii="Palatino Linotype" w:eastAsia="Palatino Linotype" w:hAnsi="Palatino Linotype" w:cs="Palatino Linotype"/>
          <w:b/>
        </w:rPr>
      </w:pPr>
      <w:r w:rsidRPr="00607A40">
        <w:rPr>
          <w:rFonts w:ascii="Palatino Linotype" w:eastAsia="Palatino Linotype" w:hAnsi="Palatino Linotype" w:cs="Palatino Linotype"/>
          <w:b/>
        </w:rPr>
        <w:t xml:space="preserve">Acto impugnado: </w:t>
      </w:r>
    </w:p>
    <w:p w14:paraId="5B101E2E" w14:textId="6DD9DA4D" w:rsidR="00444F34" w:rsidRPr="00607A40" w:rsidRDefault="00607A40">
      <w:pPr>
        <w:tabs>
          <w:tab w:val="left" w:pos="2745"/>
        </w:tabs>
        <w:spacing w:before="240" w:after="240"/>
        <w:ind w:left="851"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w:t>
      </w:r>
      <w:r w:rsidR="00FF4931" w:rsidRPr="00FF4931">
        <w:rPr>
          <w:rFonts w:ascii="Palatino Linotype" w:eastAsia="Palatino Linotype" w:hAnsi="Palatino Linotype" w:cs="Palatino Linotype"/>
          <w:i/>
          <w:sz w:val="22"/>
          <w:szCs w:val="22"/>
        </w:rPr>
        <w:t>RESPUESTA INCOMPLETA. SOLICITUD 00017/OASNICOROM/IP/2022 SAPASNIR/UTMRyP/053/2022, Oficio de la Unidad de Transparencia mediante la cual indica que se da respuesta a la solicitud que presenté, con el oficioSAP/ADFIN/115/2022.</w:t>
      </w:r>
      <w:r w:rsidRPr="00607A40">
        <w:rPr>
          <w:rFonts w:ascii="Palatino Linotype" w:eastAsia="Palatino Linotype" w:hAnsi="Palatino Linotype" w:cs="Palatino Linotype"/>
          <w:i/>
          <w:sz w:val="22"/>
          <w:szCs w:val="22"/>
        </w:rPr>
        <w:t>” (sic)</w:t>
      </w:r>
    </w:p>
    <w:p w14:paraId="1462C080" w14:textId="77777777" w:rsidR="00444F34" w:rsidRPr="00607A40" w:rsidRDefault="00607A40">
      <w:pPr>
        <w:spacing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Y Razones o motivos de inconformidad</w:t>
      </w:r>
      <w:r w:rsidRPr="00607A40">
        <w:rPr>
          <w:rFonts w:ascii="Palatino Linotype" w:eastAsia="Palatino Linotype" w:hAnsi="Palatino Linotype" w:cs="Palatino Linotype"/>
        </w:rPr>
        <w:t>:</w:t>
      </w:r>
    </w:p>
    <w:p w14:paraId="2B7FB6A8" w14:textId="2A644391" w:rsidR="00444F34" w:rsidRPr="00607A40" w:rsidRDefault="00607A40">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607A40">
        <w:rPr>
          <w:rFonts w:ascii="Palatino Linotype" w:eastAsia="Palatino Linotype" w:hAnsi="Palatino Linotype" w:cs="Palatino Linotype"/>
          <w:i/>
          <w:sz w:val="22"/>
          <w:szCs w:val="22"/>
        </w:rPr>
        <w:t xml:space="preserve"> “</w:t>
      </w:r>
      <w:r w:rsidR="00FF4931" w:rsidRPr="009666DF">
        <w:rPr>
          <w:rFonts w:ascii="Palatino Linotype" w:eastAsia="Palatino Linotype" w:hAnsi="Palatino Linotype" w:cs="Palatino Linotype"/>
          <w:i/>
          <w:color w:val="FF0000"/>
          <w:sz w:val="22"/>
          <w:szCs w:val="22"/>
        </w:rPr>
        <w:t>No proporciona monto de los enteros mensuales que el OPD SAPASNIR ha efectuado por concepto de ISR, correspondiente al ejercicio fiscal 2022</w:t>
      </w:r>
      <w:r w:rsidR="00FF4931" w:rsidRPr="00FF4931">
        <w:rPr>
          <w:rFonts w:ascii="Palatino Linotype" w:eastAsia="Palatino Linotype" w:hAnsi="Palatino Linotype" w:cs="Palatino Linotype"/>
          <w:i/>
          <w:sz w:val="22"/>
          <w:szCs w:val="22"/>
        </w:rPr>
        <w:t xml:space="preserve">, bajo el argumento de que está en proceso de integración y forma parte del informe trimestral. Por lo que de su propia manifestación manifiesta que forma parte del </w:t>
      </w:r>
      <w:r w:rsidR="00FF4931" w:rsidRPr="00FF4931">
        <w:rPr>
          <w:rFonts w:ascii="Palatino Linotype" w:eastAsia="Palatino Linotype" w:hAnsi="Palatino Linotype" w:cs="Palatino Linotype"/>
          <w:i/>
          <w:sz w:val="22"/>
          <w:szCs w:val="22"/>
        </w:rPr>
        <w:lastRenderedPageBreak/>
        <w:t>informe trimestral, por tanto sí detenta la información la cual corresponde al ejercicio fiscal en curso correspondiente a los meses que ya transcurrieron. No se advierte que la integración de un informe sea motivo suficiente que alguna ley permita sea el pretexto para eludir sus obligaciones de transparencia y publicidad. El Órgano Superior de Fiscalización es un ente externo a ese organismo, por lo que las obligaciones que tenga con este, son independientes de sus obligación que le establece la Ley de Transparencia y Acceso a la Información Pública del Estado de México, tan es así que en esta disposición normativa también tiene obligaciones de transparentar su información pública correspondiente actualmente a enero, febrero y marzo; y la fiscalización del OSFEM no le impide entregar esa información y verse reflejada en IPOMEX. Resultando notoriamente que la respuesta fue incompleta.</w:t>
      </w:r>
      <w:r w:rsidRPr="00607A40">
        <w:rPr>
          <w:rFonts w:ascii="Palatino Linotype" w:eastAsia="Palatino Linotype" w:hAnsi="Palatino Linotype" w:cs="Palatino Linotype"/>
          <w:i/>
          <w:sz w:val="22"/>
          <w:szCs w:val="22"/>
        </w:rPr>
        <w:t>” (sic)</w:t>
      </w:r>
    </w:p>
    <w:p w14:paraId="5D8F21CC" w14:textId="77777777" w:rsidR="00444F34" w:rsidRPr="00607A40" w:rsidRDefault="00607A40">
      <w:pPr>
        <w:spacing w:before="240" w:after="240" w:line="360" w:lineRule="auto"/>
        <w:ind w:right="51"/>
        <w:jc w:val="both"/>
        <w:rPr>
          <w:rFonts w:ascii="Palatino Linotype" w:eastAsia="Palatino Linotype" w:hAnsi="Palatino Linotype" w:cs="Palatino Linotype"/>
        </w:rPr>
      </w:pPr>
      <w:r w:rsidRPr="00607A40">
        <w:rPr>
          <w:rFonts w:ascii="Palatino Linotype" w:eastAsia="Palatino Linotype" w:hAnsi="Palatino Linotype" w:cs="Palatino Linotype"/>
          <w:b/>
        </w:rPr>
        <w:t xml:space="preserve">Anexos: </w:t>
      </w:r>
      <w:r w:rsidRPr="00607A40">
        <w:rPr>
          <w:rFonts w:ascii="Palatino Linotype" w:eastAsia="Palatino Linotype" w:hAnsi="Palatino Linotype" w:cs="Palatino Linotype"/>
        </w:rPr>
        <w:t xml:space="preserve">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no adjuntó archivos.</w:t>
      </w:r>
    </w:p>
    <w:p w14:paraId="571075FC" w14:textId="77777777" w:rsidR="00444F34" w:rsidRPr="00607A40" w:rsidRDefault="00607A40">
      <w:pPr>
        <w:spacing w:before="240" w:after="240" w:line="360" w:lineRule="auto"/>
        <w:ind w:right="51"/>
        <w:jc w:val="both"/>
        <w:rPr>
          <w:rFonts w:ascii="Palatino Linotype" w:eastAsia="Palatino Linotype" w:hAnsi="Palatino Linotype" w:cs="Palatino Linotype"/>
        </w:rPr>
      </w:pPr>
      <w:r w:rsidRPr="00607A40">
        <w:rPr>
          <w:rFonts w:ascii="Palatino Linotype" w:eastAsia="Palatino Linotype" w:hAnsi="Palatino Linotype" w:cs="Palatino Linotype"/>
          <w:b/>
        </w:rPr>
        <w:t xml:space="preserve">4. Turno. </w:t>
      </w:r>
      <w:r w:rsidRPr="00607A4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07A40">
        <w:rPr>
          <w:rFonts w:ascii="Palatino Linotype" w:eastAsia="Palatino Linotype" w:hAnsi="Palatino Linotype" w:cs="Palatino Linotype"/>
          <w:b/>
        </w:rPr>
        <w:t xml:space="preserve">Guadalupe Ramírez Peña, </w:t>
      </w:r>
      <w:r w:rsidRPr="00607A40">
        <w:rPr>
          <w:rFonts w:ascii="Palatino Linotype" w:eastAsia="Palatino Linotype" w:hAnsi="Palatino Linotype" w:cs="Palatino Linotype"/>
        </w:rPr>
        <w:t>a efecto de que analizara sobre su admisión o su desechamiento.</w:t>
      </w:r>
    </w:p>
    <w:p w14:paraId="2D8B2D73" w14:textId="476EAEDA"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5. Admisión del Recurso de revisión.</w:t>
      </w:r>
      <w:r w:rsidRPr="00607A40">
        <w:rPr>
          <w:rFonts w:ascii="Palatino Linotype" w:eastAsia="Palatino Linotype" w:hAnsi="Palatino Linotype" w:cs="Palatino Linotype"/>
        </w:rPr>
        <w:t xml:space="preserve"> Con fecha</w:t>
      </w:r>
      <w:r w:rsidRPr="00607A40">
        <w:rPr>
          <w:rFonts w:ascii="Palatino Linotype" w:eastAsia="Palatino Linotype" w:hAnsi="Palatino Linotype" w:cs="Palatino Linotype"/>
          <w:b/>
        </w:rPr>
        <w:t xml:space="preserve"> </w:t>
      </w:r>
      <w:r w:rsidR="00AA69E6">
        <w:rPr>
          <w:rFonts w:ascii="Palatino Linotype" w:eastAsia="Palatino Linotype" w:hAnsi="Palatino Linotype" w:cs="Palatino Linotype"/>
          <w:b/>
        </w:rPr>
        <w:t>seis de mayo</w:t>
      </w:r>
      <w:r w:rsidRPr="00607A40">
        <w:rPr>
          <w:rFonts w:ascii="Palatino Linotype" w:eastAsia="Palatino Linotype" w:hAnsi="Palatino Linotype" w:cs="Palatino Linotype"/>
          <w:b/>
        </w:rPr>
        <w:t xml:space="preserve"> de dos mil veintidós, </w:t>
      </w:r>
      <w:r w:rsidRPr="00607A4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w:t>
      </w:r>
      <w:r w:rsidRPr="00607A40">
        <w:rPr>
          <w:rFonts w:ascii="Palatino Linotype" w:eastAsia="Palatino Linotype" w:hAnsi="Palatino Linotype" w:cs="Palatino Linotype"/>
        </w:rPr>
        <w:lastRenderedPageBreak/>
        <w:t xml:space="preserve">pruebas, formularan alegatos y 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presentara su informe justificado.</w:t>
      </w:r>
    </w:p>
    <w:p w14:paraId="0DFE3C56" w14:textId="775E248B" w:rsidR="00E805AB" w:rsidRDefault="00607A40">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607A40">
        <w:rPr>
          <w:rFonts w:ascii="Palatino Linotype" w:eastAsia="Palatino Linotype" w:hAnsi="Palatino Linotype" w:cs="Palatino Linotype"/>
          <w:b/>
        </w:rPr>
        <w:t>6. Manifestaciones</w:t>
      </w:r>
      <w:r w:rsidRPr="00607A40">
        <w:rPr>
          <w:rFonts w:ascii="Palatino Linotype" w:eastAsia="Palatino Linotype" w:hAnsi="Palatino Linotype" w:cs="Palatino Linotype"/>
        </w:rPr>
        <w:t xml:space="preserve">. De las constancias que integran el expediente electrónico en que se actúa se advierte que en fecha </w:t>
      </w:r>
      <w:r w:rsidR="00940149">
        <w:rPr>
          <w:rFonts w:ascii="Palatino Linotype" w:eastAsia="Palatino Linotype" w:hAnsi="Palatino Linotype" w:cs="Palatino Linotype"/>
          <w:b/>
        </w:rPr>
        <w:t>trece de mayo de</w:t>
      </w:r>
      <w:r w:rsidRPr="00607A40">
        <w:rPr>
          <w:rFonts w:ascii="Palatino Linotype" w:eastAsia="Palatino Linotype" w:hAnsi="Palatino Linotype" w:cs="Palatino Linotype"/>
          <w:b/>
        </w:rPr>
        <w:t xml:space="preserve"> dos mil veintidós, </w:t>
      </w:r>
      <w:r w:rsidR="00F22EBE">
        <w:rPr>
          <w:rFonts w:ascii="Palatino Linotype" w:eastAsia="Palatino Linotype" w:hAnsi="Palatino Linotype" w:cs="Palatino Linotype"/>
        </w:rPr>
        <w:t xml:space="preserve">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remitió</w:t>
      </w:r>
      <w:r w:rsidR="00E805AB">
        <w:rPr>
          <w:rFonts w:ascii="Palatino Linotype" w:eastAsia="Palatino Linotype" w:hAnsi="Palatino Linotype" w:cs="Palatino Linotype"/>
        </w:rPr>
        <w:t xml:space="preserve"> lo siguiente:</w:t>
      </w:r>
    </w:p>
    <w:p w14:paraId="339495D3" w14:textId="4671F81C" w:rsidR="00E805AB" w:rsidRDefault="00E805A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Oficio número SAPASNIT/UTMRyP/066/2022 de fecha tres de mayo de dos mil veintidós, mediante el cual la Jefa de la Unidad de Transparencia </w:t>
      </w:r>
      <w:r w:rsidR="00AF2C9C">
        <w:rPr>
          <w:rFonts w:ascii="Palatino Linotype" w:eastAsia="Palatino Linotype" w:hAnsi="Palatino Linotype" w:cs="Palatino Linotype"/>
        </w:rPr>
        <w:t>solicita a la Subdirectora de Administración y Finanzas tenga a bien manifestar lo que a su derecho convenga, respecto del recurso de revisión interpuesto por la persona solicitante.</w:t>
      </w:r>
    </w:p>
    <w:p w14:paraId="0F9C13E0" w14:textId="0F11456D" w:rsidR="00F22EBE"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 </w:t>
      </w:r>
      <w:r w:rsidR="00AF2C9C">
        <w:rPr>
          <w:rFonts w:ascii="Palatino Linotype" w:eastAsia="Palatino Linotype" w:hAnsi="Palatino Linotype" w:cs="Palatino Linotype"/>
        </w:rPr>
        <w:t xml:space="preserve">- Oficio número SAP/ADFIN/178/2022, de fecha doce de mayo de dos mil veintidós, mediante el cual la Subdirectora de Administración y Finanzas, </w:t>
      </w:r>
      <w:r w:rsidR="00837B36">
        <w:rPr>
          <w:rFonts w:ascii="Palatino Linotype" w:eastAsia="Palatino Linotype" w:hAnsi="Palatino Linotype" w:cs="Palatino Linotype"/>
        </w:rPr>
        <w:t xml:space="preserve">con relación a los </w:t>
      </w:r>
      <w:r w:rsidR="00E805AB">
        <w:rPr>
          <w:rFonts w:ascii="Palatino Linotype" w:eastAsia="Palatino Linotype" w:hAnsi="Palatino Linotype" w:cs="Palatino Linotype"/>
        </w:rPr>
        <w:t xml:space="preserve">motivos de inconformidad aducidos por la parte </w:t>
      </w:r>
      <w:r w:rsidR="00E805AB" w:rsidRPr="00E805AB">
        <w:rPr>
          <w:rFonts w:ascii="Palatino Linotype" w:eastAsia="Palatino Linotype" w:hAnsi="Palatino Linotype" w:cs="Palatino Linotype"/>
          <w:b/>
          <w:bCs/>
        </w:rPr>
        <w:t>Recurrente</w:t>
      </w:r>
      <w:r w:rsidR="00E805AB">
        <w:rPr>
          <w:rFonts w:ascii="Palatino Linotype" w:eastAsia="Palatino Linotype" w:hAnsi="Palatino Linotype" w:cs="Palatino Linotype"/>
        </w:rPr>
        <w:t>, manifestó lo siguiente:</w:t>
      </w:r>
    </w:p>
    <w:p w14:paraId="00A2897F" w14:textId="01532773" w:rsidR="00E805AB" w:rsidRDefault="00E805AB" w:rsidP="00E805AB">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11CC77BD" wp14:editId="3280646D">
            <wp:extent cx="4860000" cy="17364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64599"/>
                    <a:stretch/>
                  </pic:blipFill>
                  <pic:spPr bwMode="auto">
                    <a:xfrm>
                      <a:off x="0" y="0"/>
                      <a:ext cx="4860000" cy="1736461"/>
                    </a:xfrm>
                    <a:prstGeom prst="rect">
                      <a:avLst/>
                    </a:prstGeom>
                    <a:noFill/>
                    <a:ln>
                      <a:noFill/>
                    </a:ln>
                    <a:extLst>
                      <a:ext uri="{53640926-AAD7-44D8-BBD7-CCE9431645EC}">
                        <a14:shadowObscured xmlns:a14="http://schemas.microsoft.com/office/drawing/2010/main"/>
                      </a:ext>
                    </a:extLst>
                  </pic:spPr>
                </pic:pic>
              </a:graphicData>
            </a:graphic>
          </wp:inline>
        </w:drawing>
      </w:r>
    </w:p>
    <w:p w14:paraId="6E1D075E" w14:textId="6AB0A1E0" w:rsidR="00E805AB" w:rsidRDefault="00E805AB" w:rsidP="00E805AB">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153EF601" wp14:editId="72256C97">
            <wp:extent cx="4860000" cy="129677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72892" b="672"/>
                    <a:stretch/>
                  </pic:blipFill>
                  <pic:spPr bwMode="auto">
                    <a:xfrm>
                      <a:off x="0" y="0"/>
                      <a:ext cx="4860000" cy="1296771"/>
                    </a:xfrm>
                    <a:prstGeom prst="rect">
                      <a:avLst/>
                    </a:prstGeom>
                    <a:noFill/>
                    <a:ln>
                      <a:noFill/>
                    </a:ln>
                    <a:extLst>
                      <a:ext uri="{53640926-AAD7-44D8-BBD7-CCE9431645EC}">
                        <a14:shadowObscured xmlns:a14="http://schemas.microsoft.com/office/drawing/2010/main"/>
                      </a:ext>
                    </a:extLst>
                  </pic:spPr>
                </pic:pic>
              </a:graphicData>
            </a:graphic>
          </wp:inline>
        </w:drawing>
      </w:r>
    </w:p>
    <w:p w14:paraId="3026244B"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Documentos que, una vez analizados se hicieron del conocimiento de la parte </w:t>
      </w:r>
      <w:r w:rsidRPr="00607A40">
        <w:rPr>
          <w:rFonts w:ascii="Palatino Linotype" w:eastAsia="Palatino Linotype" w:hAnsi="Palatino Linotype" w:cs="Palatino Linotype"/>
          <w:b/>
        </w:rPr>
        <w:t xml:space="preserve">Recurrente </w:t>
      </w:r>
      <w:r w:rsidRPr="00607A40">
        <w:rPr>
          <w:rFonts w:ascii="Palatino Linotype" w:eastAsia="Palatino Linotype" w:hAnsi="Palatino Linotype" w:cs="Palatino Linotype"/>
        </w:rPr>
        <w:t>a efecto de que manifestara lo que a su derecho estimara conveniente, siendo omisa en ejercer dicha prerrogativa.</w:t>
      </w:r>
    </w:p>
    <w:p w14:paraId="424B0BC4" w14:textId="521FC31D" w:rsidR="00444F34" w:rsidRPr="00607A40" w:rsidRDefault="00607A40">
      <w:pPr>
        <w:spacing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7. Ampliación del término para resolver</w:t>
      </w:r>
      <w:r w:rsidRPr="00607A40">
        <w:rPr>
          <w:rFonts w:ascii="Palatino Linotype" w:eastAsia="Palatino Linotype" w:hAnsi="Palatino Linotype" w:cs="Palatino Linotype"/>
        </w:rPr>
        <w:t xml:space="preserve">. En fecha </w:t>
      </w:r>
      <w:r w:rsidR="00AF2C9C">
        <w:rPr>
          <w:rFonts w:ascii="Palatino Linotype" w:eastAsia="Palatino Linotype" w:hAnsi="Palatino Linotype" w:cs="Palatino Linotype"/>
          <w:b/>
        </w:rPr>
        <w:t>veintinueve</w:t>
      </w:r>
      <w:r w:rsidRPr="00607A40">
        <w:rPr>
          <w:rFonts w:ascii="Palatino Linotype" w:eastAsia="Palatino Linotype" w:hAnsi="Palatino Linotype" w:cs="Palatino Linotype"/>
          <w:b/>
        </w:rPr>
        <w:t xml:space="preserve"> de junio de dos mil veintidós</w:t>
      </w:r>
      <w:r w:rsidRPr="00607A40">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40F32B9"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19B8D9"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3D54E47"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28AD6C"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91C17B" w14:textId="49D08B58" w:rsidR="00444F34" w:rsidRPr="00607A40" w:rsidRDefault="00607A40">
      <w:pPr>
        <w:spacing w:before="240" w:after="240" w:line="360" w:lineRule="auto"/>
        <w:jc w:val="both"/>
        <w:rPr>
          <w:rFonts w:ascii="Palatino Linotype" w:eastAsia="Palatino Linotype" w:hAnsi="Palatino Linotype" w:cs="Palatino Linotype"/>
          <w:strike/>
        </w:rPr>
      </w:pPr>
      <w:r w:rsidRPr="00607A40">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B07398">
        <w:rPr>
          <w:rFonts w:ascii="Palatino Linotype" w:eastAsia="Palatino Linotype" w:hAnsi="Palatino Linotype" w:cs="Palatino Linotype"/>
        </w:rPr>
        <w:t>,</w:t>
      </w:r>
      <w:r w:rsidRPr="00607A40">
        <w:rPr>
          <w:rFonts w:ascii="Palatino Linotype" w:eastAsia="Palatino Linotype" w:hAnsi="Palatino Linotype" w:cs="Palatino Linotype"/>
        </w:rPr>
        <w:t xml:space="preserve"> atentos a los siguientes criterios: </w:t>
      </w:r>
    </w:p>
    <w:p w14:paraId="2AB85CD5" w14:textId="77777777" w:rsidR="00444F34" w:rsidRPr="00607A40" w:rsidRDefault="00607A40">
      <w:pPr>
        <w:numPr>
          <w:ilvl w:val="0"/>
          <w:numId w:val="1"/>
        </w:num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7DCE265A" w14:textId="77777777" w:rsidR="00444F34" w:rsidRPr="00607A40" w:rsidRDefault="00607A40">
      <w:pPr>
        <w:numPr>
          <w:ilvl w:val="0"/>
          <w:numId w:val="1"/>
        </w:num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Actividad Procesal del interesado. Acciones u omisiones del interesado.</w:t>
      </w:r>
    </w:p>
    <w:p w14:paraId="68A235C4" w14:textId="77777777" w:rsidR="00444F34" w:rsidRPr="00607A40" w:rsidRDefault="00607A40">
      <w:pPr>
        <w:numPr>
          <w:ilvl w:val="0"/>
          <w:numId w:val="1"/>
        </w:num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Conducta de la Autoridad: Las Acciones u omisiones realizadas en el procedimiento. Así como si la autoridad actuó con la debida diligencia.</w:t>
      </w:r>
    </w:p>
    <w:p w14:paraId="31F58FC6" w14:textId="77777777" w:rsidR="00444F34" w:rsidRPr="00607A40" w:rsidRDefault="00607A40">
      <w:pPr>
        <w:spacing w:before="240" w:after="240" w:line="360" w:lineRule="auto"/>
        <w:ind w:left="567"/>
        <w:jc w:val="both"/>
        <w:rPr>
          <w:rFonts w:ascii="Palatino Linotype" w:eastAsia="Palatino Linotype" w:hAnsi="Palatino Linotype" w:cs="Palatino Linotype"/>
        </w:rPr>
      </w:pPr>
      <w:r w:rsidRPr="00607A40">
        <w:rPr>
          <w:rFonts w:ascii="Palatino Linotype" w:eastAsia="Palatino Linotype" w:hAnsi="Palatino Linotype" w:cs="Palatino Linotype"/>
        </w:rPr>
        <w:t>d) La afectación generada en la situación jurídica de la persona involucrada en el proceso: Violación a sus derechos humanos.</w:t>
      </w:r>
    </w:p>
    <w:p w14:paraId="3499642A"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A472CD" w14:textId="77777777" w:rsidR="00444F34" w:rsidRPr="00607A40" w:rsidRDefault="00607A40">
      <w:pPr>
        <w:spacing w:before="240" w:after="240" w:line="360" w:lineRule="auto"/>
        <w:jc w:val="both"/>
        <w:rPr>
          <w:rFonts w:ascii="Palatino Linotype" w:eastAsia="Palatino Linotype" w:hAnsi="Palatino Linotype" w:cs="Palatino Linotype"/>
          <w:b/>
        </w:rPr>
      </w:pPr>
      <w:r w:rsidRPr="00607A4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07A40">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607A40">
        <w:rPr>
          <w:rFonts w:ascii="Palatino Linotype" w:eastAsia="Palatino Linotype" w:hAnsi="Palatino Linotype" w:cs="Palatino Linotype"/>
          <w:i/>
        </w:rPr>
        <w:lastRenderedPageBreak/>
        <w:t>CARACTERÍSTICAS DEL CASO.”</w:t>
      </w:r>
      <w:r w:rsidRPr="00607A40">
        <w:rPr>
          <w:rFonts w:ascii="Palatino Linotype" w:eastAsia="Palatino Linotype" w:hAnsi="Palatino Linotype" w:cs="Palatino Linotype"/>
        </w:rPr>
        <w:t>, visible en la Gaceta del Seminario Judicial de la Federación con el registro digital 205635.</w:t>
      </w:r>
    </w:p>
    <w:p w14:paraId="6ED5109D"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EB57D5"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5958FE0" w14:textId="77777777" w:rsidR="00444F34" w:rsidRPr="00607A40" w:rsidRDefault="00607A40">
      <w:pPr>
        <w:spacing w:before="240" w:after="240"/>
        <w:ind w:left="851" w:right="902"/>
        <w:jc w:val="both"/>
        <w:rPr>
          <w:rFonts w:ascii="Palatino Linotype" w:eastAsia="Palatino Linotype" w:hAnsi="Palatino Linotype" w:cs="Palatino Linotype"/>
          <w:sz w:val="22"/>
          <w:szCs w:val="22"/>
        </w:rPr>
      </w:pPr>
      <w:r w:rsidRPr="00607A40">
        <w:rPr>
          <w:rFonts w:ascii="Palatino Linotype" w:eastAsia="Palatino Linotype" w:hAnsi="Palatino Linotype" w:cs="Palatino Linotype"/>
        </w:rPr>
        <w:t xml:space="preserve"> </w:t>
      </w: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b/>
          <w:i/>
          <w:sz w:val="22"/>
          <w:szCs w:val="22"/>
        </w:rPr>
        <w:t>PLAZO RAZONABLE PARA RESOLVER. DIMENSIÓN Y EFECTOS DE ESTE CONCEPTO CUANDO SE ADUCE EXCESIVA CARGA DE TRABAJO</w:t>
      </w: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sz w:val="22"/>
          <w:szCs w:val="22"/>
        </w:rPr>
        <w:t xml:space="preserve"> consultable en el Seminario Judicial de la Federación y su gaceta, con el registro digital 2002351.</w:t>
      </w:r>
    </w:p>
    <w:p w14:paraId="75BD43D6" w14:textId="77777777" w:rsidR="00444F34" w:rsidRPr="00607A40" w:rsidRDefault="00607A40">
      <w:pPr>
        <w:spacing w:before="240" w:after="240"/>
        <w:ind w:left="851" w:right="902"/>
        <w:jc w:val="both"/>
        <w:rPr>
          <w:rFonts w:ascii="Palatino Linotype" w:eastAsia="Palatino Linotype" w:hAnsi="Palatino Linotype" w:cs="Palatino Linotype"/>
          <w:sz w:val="22"/>
          <w:szCs w:val="22"/>
        </w:rPr>
      </w:pP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sz w:val="22"/>
          <w:szCs w:val="22"/>
        </w:rPr>
        <w:t xml:space="preserve">, visible en el </w:t>
      </w:r>
      <w:r w:rsidRPr="00607A40">
        <w:rPr>
          <w:rFonts w:ascii="Palatino Linotype" w:eastAsia="Palatino Linotype" w:hAnsi="Palatino Linotype" w:cs="Palatino Linotype"/>
          <w:sz w:val="22"/>
          <w:szCs w:val="22"/>
        </w:rPr>
        <w:lastRenderedPageBreak/>
        <w:t>Seminario Judicial de la Federación y su gaceta, con el registro digital 2002350.</w:t>
      </w:r>
    </w:p>
    <w:p w14:paraId="78E0632C"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34987B1" w14:textId="7D391018" w:rsidR="00444F34" w:rsidRPr="00607A40" w:rsidRDefault="00607A40">
      <w:pPr>
        <w:spacing w:before="240" w:after="240" w:line="360" w:lineRule="auto"/>
        <w:jc w:val="both"/>
        <w:rPr>
          <w:rFonts w:ascii="Palatino Linotype" w:eastAsia="Palatino Linotype" w:hAnsi="Palatino Linotype" w:cs="Palatino Linotype"/>
          <w:b/>
        </w:rPr>
      </w:pPr>
      <w:r w:rsidRPr="00607A40">
        <w:rPr>
          <w:rFonts w:ascii="Palatino Linotype" w:eastAsia="Palatino Linotype" w:hAnsi="Palatino Linotype" w:cs="Palatino Linotype"/>
          <w:b/>
        </w:rPr>
        <w:t xml:space="preserve">8. Cierre de instrucción. </w:t>
      </w:r>
      <w:r w:rsidRPr="00607A4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B5509B">
        <w:rPr>
          <w:rFonts w:ascii="Palatino Linotype" w:eastAsia="Palatino Linotype" w:hAnsi="Palatino Linotype" w:cs="Palatino Linotype"/>
          <w:b/>
        </w:rPr>
        <w:t>dos de agosto</w:t>
      </w:r>
      <w:r w:rsidRPr="00607A40">
        <w:rPr>
          <w:rFonts w:ascii="Palatino Linotype" w:eastAsia="Palatino Linotype" w:hAnsi="Palatino Linotype" w:cs="Palatino Linotype"/>
          <w:b/>
        </w:rPr>
        <w:t xml:space="preserve"> de dos mil veintidós</w:t>
      </w:r>
      <w:r w:rsidRPr="00607A4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A9DEC5E"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7819D27" w14:textId="77777777" w:rsidR="00444F34" w:rsidRPr="00607A40" w:rsidRDefault="00607A40">
      <w:pPr>
        <w:widowControl w:val="0"/>
        <w:spacing w:before="240" w:after="240" w:line="360" w:lineRule="auto"/>
        <w:jc w:val="center"/>
        <w:rPr>
          <w:rFonts w:ascii="Palatino Linotype" w:eastAsia="Palatino Linotype" w:hAnsi="Palatino Linotype" w:cs="Palatino Linotype"/>
          <w:b/>
        </w:rPr>
      </w:pPr>
      <w:r w:rsidRPr="00607A40">
        <w:rPr>
          <w:rFonts w:ascii="Palatino Linotype" w:eastAsia="Palatino Linotype" w:hAnsi="Palatino Linotype" w:cs="Palatino Linotype"/>
          <w:b/>
        </w:rPr>
        <w:t>II. C O N S I D E R A N D O S</w:t>
      </w:r>
    </w:p>
    <w:p w14:paraId="2276B431"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Primero. Competencia.</w:t>
      </w:r>
      <w:r w:rsidRPr="00607A4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sidRPr="00607A40">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EEB792B" w14:textId="77777777" w:rsidR="00444F34" w:rsidRPr="00607A40" w:rsidRDefault="00607A40">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607A40">
        <w:rPr>
          <w:rFonts w:ascii="Palatino Linotype" w:eastAsia="Palatino Linotype" w:hAnsi="Palatino Linotype" w:cs="Palatino Linotype"/>
          <w:b/>
        </w:rPr>
        <w:t>Segundo. Oportunidad y Procedibilidad del Recurso de Revisión</w:t>
      </w:r>
      <w:r w:rsidRPr="00607A4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A943764" w14:textId="719F05C3"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remitió la respuesta a la solicitud de información el día</w:t>
      </w:r>
      <w:r w:rsidR="004E1BCA">
        <w:rPr>
          <w:rFonts w:ascii="Palatino Linotype" w:eastAsia="Palatino Linotype" w:hAnsi="Palatino Linotype" w:cs="Palatino Linotype"/>
        </w:rPr>
        <w:t xml:space="preserve"> </w:t>
      </w:r>
      <w:r w:rsidR="004E1BCA" w:rsidRPr="004E1BCA">
        <w:rPr>
          <w:rFonts w:ascii="Palatino Linotype" w:eastAsia="Palatino Linotype" w:hAnsi="Palatino Linotype" w:cs="Palatino Linotype"/>
          <w:b/>
          <w:bCs/>
        </w:rPr>
        <w:t>cinco</w:t>
      </w:r>
      <w:r w:rsidRPr="00607A40">
        <w:rPr>
          <w:rFonts w:ascii="Palatino Linotype" w:eastAsia="Palatino Linotype" w:hAnsi="Palatino Linotype" w:cs="Palatino Linotype"/>
          <w:b/>
        </w:rPr>
        <w:t xml:space="preserve"> de abril de dos mil veintidós, </w:t>
      </w:r>
      <w:r w:rsidRPr="00607A40">
        <w:rPr>
          <w:rFonts w:ascii="Palatino Linotype" w:eastAsia="Palatino Linotype" w:hAnsi="Palatino Linotype" w:cs="Palatino Linotype"/>
        </w:rPr>
        <w:t xml:space="preserve">mientras que el recurso de revisión interpuesto por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se tuvo por presentado el día </w:t>
      </w:r>
      <w:r w:rsidRPr="00607A40">
        <w:rPr>
          <w:rFonts w:ascii="Palatino Linotype" w:eastAsia="Palatino Linotype" w:hAnsi="Palatino Linotype" w:cs="Palatino Linotype"/>
          <w:b/>
        </w:rPr>
        <w:t>d</w:t>
      </w:r>
      <w:r w:rsidR="004E1BCA">
        <w:rPr>
          <w:rFonts w:ascii="Palatino Linotype" w:eastAsia="Palatino Linotype" w:hAnsi="Palatino Linotype" w:cs="Palatino Linotype"/>
          <w:b/>
        </w:rPr>
        <w:t xml:space="preserve">os de </w:t>
      </w:r>
      <w:r w:rsidR="00567714">
        <w:rPr>
          <w:rFonts w:ascii="Palatino Linotype" w:eastAsia="Palatino Linotype" w:hAnsi="Palatino Linotype" w:cs="Palatino Linotype"/>
          <w:b/>
        </w:rPr>
        <w:t xml:space="preserve">mayo </w:t>
      </w:r>
      <w:r w:rsidRPr="00607A40">
        <w:rPr>
          <w:rFonts w:ascii="Palatino Linotype" w:eastAsia="Palatino Linotype" w:hAnsi="Palatino Linotype" w:cs="Palatino Linotype"/>
          <w:b/>
        </w:rPr>
        <w:t>de dos mil veintidós</w:t>
      </w:r>
      <w:r w:rsidRPr="00607A40">
        <w:rPr>
          <w:rFonts w:ascii="Palatino Linotype" w:eastAsia="Palatino Linotype" w:hAnsi="Palatino Linotype" w:cs="Palatino Linotype"/>
        </w:rPr>
        <w:t xml:space="preserve">, esto es, al </w:t>
      </w:r>
      <w:r w:rsidR="008308B0">
        <w:rPr>
          <w:rFonts w:ascii="Palatino Linotype" w:eastAsia="Palatino Linotype" w:hAnsi="Palatino Linotype" w:cs="Palatino Linotype"/>
        </w:rPr>
        <w:t xml:space="preserve">décimo cuarto </w:t>
      </w:r>
      <w:r w:rsidRPr="00607A40">
        <w:rPr>
          <w:rFonts w:ascii="Palatino Linotype" w:eastAsia="Palatino Linotype" w:hAnsi="Palatino Linotype" w:cs="Palatino Linotype"/>
        </w:rPr>
        <w:t>día hábil en que tuvo conocimiento de la respuesta impugnada.</w:t>
      </w:r>
    </w:p>
    <w:p w14:paraId="531DF030" w14:textId="1F68617F" w:rsidR="00444F34" w:rsidRPr="00607A40" w:rsidRDefault="00607A40">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607A40">
        <w:rPr>
          <w:rFonts w:ascii="Palatino Linotype" w:eastAsia="Palatino Linotype" w:hAnsi="Palatino Linotype" w:cs="Palatino Linotype"/>
        </w:rPr>
        <w:t>En este sentido, al considerar la fecha en que se formuló la solicitud</w:t>
      </w:r>
      <w:r w:rsidR="000A1A76">
        <w:rPr>
          <w:rFonts w:ascii="Palatino Linotype" w:eastAsia="Palatino Linotype" w:hAnsi="Palatino Linotype" w:cs="Palatino Linotype"/>
        </w:rPr>
        <w:t xml:space="preserve"> y la fecha en que respondió a e</w:t>
      </w:r>
      <w:r w:rsidRPr="00607A40">
        <w:rPr>
          <w:rFonts w:ascii="Palatino Linotype" w:eastAsia="Palatino Linotype" w:hAnsi="Palatino Linotype" w:cs="Palatino Linotype"/>
        </w:rPr>
        <w:t xml:space="preserve">sta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así como la fecha en que se interpuso el recurso </w:t>
      </w:r>
      <w:r w:rsidRPr="00607A40">
        <w:rPr>
          <w:rFonts w:ascii="Palatino Linotype" w:eastAsia="Palatino Linotype" w:hAnsi="Palatino Linotype" w:cs="Palatino Linotype"/>
        </w:rPr>
        <w:lastRenderedPageBreak/>
        <w:t>de revisión, se concluye que el presente recurso de revisión se encuentra dentro de los márgenes temporales previstos las disposiciones legales referidas.</w:t>
      </w:r>
    </w:p>
    <w:p w14:paraId="3E943AC1"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79EC55E"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A efecto de sustentar lo anterior, es de suma importancia mencionar que si bien la persona solicitante </w:t>
      </w:r>
      <w:r w:rsidRPr="00607A40">
        <w:rPr>
          <w:rFonts w:ascii="Palatino Linotype" w:eastAsia="Palatino Linotype" w:hAnsi="Palatino Linotype" w:cs="Palatino Linotype"/>
          <w:b/>
        </w:rPr>
        <w:t xml:space="preserve">no proporcionó un nombre </w:t>
      </w:r>
      <w:r w:rsidRPr="00607A40">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1069D64" w14:textId="77777777" w:rsidR="00444F34" w:rsidRPr="00607A40" w:rsidRDefault="00607A40">
      <w:pPr>
        <w:spacing w:before="120" w:after="120"/>
        <w:ind w:left="851" w:right="902"/>
        <w:jc w:val="both"/>
        <w:rPr>
          <w:rFonts w:ascii="Palatino Linotype" w:eastAsia="Palatino Linotype" w:hAnsi="Palatino Linotype" w:cs="Palatino Linotype"/>
          <w:sz w:val="22"/>
          <w:szCs w:val="22"/>
        </w:rPr>
      </w:pP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b/>
          <w:i/>
          <w:sz w:val="22"/>
          <w:szCs w:val="22"/>
        </w:rPr>
        <w:t>Las solicitudes anónimas</w:t>
      </w:r>
      <w:r w:rsidRPr="00607A40">
        <w:rPr>
          <w:rFonts w:ascii="Palatino Linotype" w:eastAsia="Palatino Linotype" w:hAnsi="Palatino Linotype" w:cs="Palatino Linotype"/>
          <w:i/>
          <w:sz w:val="22"/>
          <w:szCs w:val="22"/>
        </w:rPr>
        <w:t xml:space="preserve">, con nombre incompleto o seudónimo </w:t>
      </w:r>
      <w:r w:rsidRPr="00607A40">
        <w:rPr>
          <w:rFonts w:ascii="Palatino Linotype" w:eastAsia="Palatino Linotype" w:hAnsi="Palatino Linotype" w:cs="Palatino Linotype"/>
          <w:b/>
          <w:i/>
          <w:sz w:val="22"/>
          <w:szCs w:val="22"/>
        </w:rPr>
        <w:t>serán procedentes para su trámite por parte del sujeto obligado ante quien se presente</w:t>
      </w:r>
      <w:r w:rsidRPr="00607A40">
        <w:rPr>
          <w:rFonts w:ascii="Palatino Linotype" w:eastAsia="Palatino Linotype" w:hAnsi="Palatino Linotype" w:cs="Palatino Linotype"/>
          <w:i/>
          <w:sz w:val="22"/>
          <w:szCs w:val="22"/>
        </w:rPr>
        <w:t>. No podrá requerirse información adicional con motivo del nombre proporcionado por el solicitante."</w:t>
      </w:r>
    </w:p>
    <w:p w14:paraId="75D0AA91"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w:t>
      </w:r>
      <w:r w:rsidRPr="00607A40">
        <w:rPr>
          <w:rFonts w:ascii="Palatino Linotype" w:eastAsia="Palatino Linotype" w:hAnsi="Palatino Linotype" w:cs="Palatino Linotype"/>
        </w:rPr>
        <w:lastRenderedPageBreak/>
        <w:t xml:space="preserve">electrónica, no será indispensable que contenga determinados requisitos, entre ellos, el nombre de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por lo que, en el presente caso, al haber sido presentado el recurso de revisión vía SAIMEX, dicho requisito resulta innecesario.</w:t>
      </w:r>
    </w:p>
    <w:p w14:paraId="612C6114"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Finalmente, se advierte que resulta procedente la interposición del recurso, según lo manifestado por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en sus motivos de inconformidad, de acuerdo al artículo 179, fracción V del ordenamiento legal citado, que a la letra dice: </w:t>
      </w:r>
    </w:p>
    <w:p w14:paraId="7E9530ED" w14:textId="77777777" w:rsidR="00444F34" w:rsidRPr="00607A40" w:rsidRDefault="00607A40">
      <w:pPr>
        <w:tabs>
          <w:tab w:val="left" w:pos="7936"/>
        </w:tabs>
        <w:spacing w:before="120" w:after="120"/>
        <w:ind w:left="851" w:right="902"/>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b/>
          <w:i/>
          <w:sz w:val="22"/>
          <w:szCs w:val="22"/>
        </w:rPr>
        <w:t>Artículo 179.</w:t>
      </w:r>
      <w:r w:rsidRPr="00607A4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C82ED2F" w14:textId="77777777" w:rsidR="00444F34" w:rsidRPr="00607A40" w:rsidRDefault="00607A40">
      <w:pPr>
        <w:tabs>
          <w:tab w:val="left" w:pos="7936"/>
        </w:tabs>
        <w:spacing w:before="120" w:after="120"/>
        <w:ind w:left="1134"/>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w:t>
      </w:r>
    </w:p>
    <w:p w14:paraId="05D1EBEF" w14:textId="77777777" w:rsidR="00444F34" w:rsidRPr="00607A40" w:rsidRDefault="00607A40">
      <w:pPr>
        <w:tabs>
          <w:tab w:val="left" w:pos="7936"/>
        </w:tabs>
        <w:spacing w:before="120" w:after="120"/>
        <w:ind w:left="1134" w:right="900"/>
        <w:jc w:val="both"/>
        <w:rPr>
          <w:rFonts w:ascii="Palatino Linotype" w:eastAsia="Palatino Linotype" w:hAnsi="Palatino Linotype" w:cs="Palatino Linotype"/>
          <w:b/>
          <w:i/>
          <w:sz w:val="22"/>
          <w:szCs w:val="22"/>
        </w:rPr>
      </w:pPr>
      <w:r w:rsidRPr="00607A40">
        <w:rPr>
          <w:rFonts w:ascii="Palatino Linotype" w:eastAsia="Palatino Linotype" w:hAnsi="Palatino Linotype" w:cs="Palatino Linotype"/>
          <w:b/>
          <w:i/>
          <w:sz w:val="22"/>
          <w:szCs w:val="22"/>
        </w:rPr>
        <w:t xml:space="preserve">V. </w:t>
      </w:r>
      <w:r w:rsidRPr="00607A40">
        <w:rPr>
          <w:rFonts w:ascii="Palatino Linotype" w:eastAsia="Palatino Linotype" w:hAnsi="Palatino Linotype" w:cs="Palatino Linotype"/>
          <w:i/>
          <w:sz w:val="22"/>
          <w:szCs w:val="22"/>
        </w:rPr>
        <w:t>La entrega de información incompleta;”</w:t>
      </w:r>
    </w:p>
    <w:p w14:paraId="7B174AB1" w14:textId="77777777" w:rsidR="000A1A76" w:rsidRPr="003F43AF" w:rsidRDefault="00607A40" w:rsidP="000A1A76">
      <w:pPr>
        <w:spacing w:before="240" w:after="240" w:line="360" w:lineRule="auto"/>
        <w:jc w:val="both"/>
        <w:rPr>
          <w:rFonts w:ascii="Palatino Linotype" w:hAnsi="Palatino Linotype"/>
          <w:szCs w:val="28"/>
          <w:lang w:eastAsia="es-ES"/>
        </w:rPr>
      </w:pPr>
      <w:r w:rsidRPr="00607A40">
        <w:rPr>
          <w:rFonts w:ascii="Palatino Linotype" w:eastAsia="Palatino Linotype" w:hAnsi="Palatino Linotype" w:cs="Palatino Linotype"/>
          <w:b/>
        </w:rPr>
        <w:t>Tercero. Análisis de las causales de sobreseimiento del recurso de revisión.</w:t>
      </w:r>
      <w:r w:rsidRPr="00607A40">
        <w:rPr>
          <w:rFonts w:ascii="Palatino Linotype" w:eastAsia="Palatino Linotype" w:hAnsi="Palatino Linotype" w:cs="Palatino Linotype"/>
        </w:rPr>
        <w:t xml:space="preserve"> </w:t>
      </w:r>
      <w:r w:rsidR="000A1A76" w:rsidRPr="003F43AF">
        <w:rPr>
          <w:rFonts w:ascii="Palatino Linotype" w:hAnsi="Palatino Linotype"/>
          <w:szCs w:val="28"/>
          <w:lang w:eastAsia="es-ES"/>
        </w:rPr>
        <w:t>En primera instancia, debe apuntarse que del análisis al recurso de revisión que ahora se resuelve, se tiene que se actualiza la causal de sobreseimiento del recurso de revisión establecido en la fracción III del artículo 192</w:t>
      </w:r>
      <w:r w:rsidR="000A1A76" w:rsidRPr="003F43AF">
        <w:rPr>
          <w:rFonts w:ascii="Palatino Linotype" w:hAnsi="Palatino Linotype"/>
          <w:szCs w:val="28"/>
          <w:vertAlign w:val="superscript"/>
          <w:lang w:eastAsia="es-ES"/>
        </w:rPr>
        <w:footnoteReference w:id="1"/>
      </w:r>
      <w:r w:rsidR="000A1A76" w:rsidRPr="003F43AF">
        <w:rPr>
          <w:rFonts w:ascii="Palatino Linotype" w:hAnsi="Palatino Linotype"/>
          <w:szCs w:val="28"/>
          <w:lang w:eastAsia="es-ES"/>
        </w:rPr>
        <w:t xml:space="preserve"> en relación con el diverso 186 fracción I</w:t>
      </w:r>
      <w:r w:rsidR="000A1A76" w:rsidRPr="003F43AF">
        <w:rPr>
          <w:rFonts w:ascii="Palatino Linotype" w:hAnsi="Palatino Linotype"/>
          <w:szCs w:val="28"/>
          <w:vertAlign w:val="superscript"/>
          <w:lang w:eastAsia="es-ES"/>
        </w:rPr>
        <w:footnoteReference w:id="2"/>
      </w:r>
      <w:r w:rsidR="000A1A76" w:rsidRPr="003F43AF">
        <w:rPr>
          <w:rFonts w:ascii="Palatino Linotype" w:hAnsi="Palatino Linotype"/>
          <w:szCs w:val="28"/>
          <w:lang w:eastAsia="es-ES"/>
        </w:rPr>
        <w:t xml:space="preserve">, ambos de la Ley de Transparencia y Acceso a la Información Pública del </w:t>
      </w:r>
      <w:r w:rsidR="000A1A76" w:rsidRPr="003F43AF">
        <w:rPr>
          <w:rFonts w:ascii="Palatino Linotype" w:hAnsi="Palatino Linotype"/>
          <w:szCs w:val="28"/>
          <w:lang w:eastAsia="es-ES"/>
        </w:rPr>
        <w:lastRenderedPageBreak/>
        <w:t xml:space="preserve">Estado de México y Municipios, derivado del contenido del informe justificado rendido por el </w:t>
      </w:r>
      <w:r w:rsidR="000A1A76" w:rsidRPr="003F43AF">
        <w:rPr>
          <w:rFonts w:ascii="Palatino Linotype" w:hAnsi="Palatino Linotype"/>
          <w:b/>
          <w:szCs w:val="28"/>
          <w:lang w:eastAsia="es-ES"/>
        </w:rPr>
        <w:t>Sujeto Obligado.</w:t>
      </w:r>
      <w:r w:rsidR="000A1A76" w:rsidRPr="003F43AF">
        <w:rPr>
          <w:rFonts w:ascii="Palatino Linotype" w:hAnsi="Palatino Linotype"/>
          <w:noProof/>
        </w:rPr>
        <w:t xml:space="preserve"> </w:t>
      </w:r>
    </w:p>
    <w:p w14:paraId="47996D73" w14:textId="77777777" w:rsidR="000A1A76" w:rsidRPr="003F43AF" w:rsidRDefault="000A1A76" w:rsidP="000A1A76">
      <w:pPr>
        <w:tabs>
          <w:tab w:val="left" w:pos="7513"/>
        </w:tabs>
        <w:adjustRightInd w:val="0"/>
        <w:spacing w:after="240" w:line="360" w:lineRule="auto"/>
        <w:ind w:right="49"/>
        <w:jc w:val="both"/>
        <w:rPr>
          <w:rFonts w:ascii="Palatino Linotype" w:hAnsi="Palatino Linotype"/>
          <w:lang w:eastAsia="es-ES"/>
        </w:rPr>
      </w:pPr>
      <w:r w:rsidRPr="003F43AF">
        <w:rPr>
          <w:rFonts w:ascii="Palatino Linotype" w:hAnsi="Palatino Linotype"/>
          <w:lang w:eastAsia="es-ES"/>
        </w:rPr>
        <w:t>Para una mejor comprensión del asunto, de las constancias que obran en el expediente electrónico, valoradas anteriormente, destacan por su importancia los antecedentes siguientes:</w:t>
      </w:r>
    </w:p>
    <w:p w14:paraId="6408A613" w14:textId="77777777" w:rsidR="000A1A76" w:rsidRPr="003F43AF" w:rsidRDefault="000A1A76" w:rsidP="000A1A76">
      <w:pPr>
        <w:tabs>
          <w:tab w:val="left" w:pos="7513"/>
        </w:tabs>
        <w:adjustRightInd w:val="0"/>
        <w:spacing w:after="240" w:line="360" w:lineRule="auto"/>
        <w:ind w:right="49"/>
        <w:contextualSpacing/>
        <w:jc w:val="both"/>
        <w:rPr>
          <w:rFonts w:ascii="Palatino Linotype" w:hAnsi="Palatino Linotype" w:cs="Arial"/>
          <w:lang w:eastAsia="en-US"/>
        </w:rPr>
      </w:pPr>
      <w:r w:rsidRPr="003F43AF">
        <w:rPr>
          <w:rFonts w:ascii="Palatino Linotype" w:hAnsi="Palatino Linotype"/>
          <w:lang w:eastAsia="en-US"/>
        </w:rPr>
        <w:t xml:space="preserve">En la solicitud de información materia del presente recurso, la parte solicitante requirió al </w:t>
      </w:r>
      <w:r w:rsidRPr="003F43AF">
        <w:rPr>
          <w:rFonts w:ascii="Palatino Linotype" w:hAnsi="Palatino Linotype"/>
          <w:b/>
          <w:lang w:eastAsia="en-US"/>
        </w:rPr>
        <w:t>Sujeto Obligado</w:t>
      </w:r>
      <w:r w:rsidRPr="003F43AF">
        <w:rPr>
          <w:rFonts w:ascii="Palatino Linotype" w:hAnsi="Palatino Linotype"/>
          <w:lang w:eastAsia="en-US"/>
        </w:rPr>
        <w:t xml:space="preserve"> lo siguiente</w:t>
      </w:r>
      <w:r w:rsidRPr="003F43AF">
        <w:rPr>
          <w:rFonts w:ascii="Palatino Linotype" w:hAnsi="Palatino Linotype" w:cs="Arial"/>
          <w:lang w:eastAsia="en-US"/>
        </w:rPr>
        <w:t>:</w:t>
      </w:r>
    </w:p>
    <w:p w14:paraId="58D52226" w14:textId="77777777" w:rsidR="000A1A76" w:rsidRDefault="000A1A76" w:rsidP="000A1A76">
      <w:pPr>
        <w:pBdr>
          <w:top w:val="nil"/>
          <w:left w:val="nil"/>
          <w:bottom w:val="nil"/>
          <w:right w:val="nil"/>
          <w:between w:val="nil"/>
        </w:pBdr>
        <w:spacing w:line="360" w:lineRule="auto"/>
        <w:jc w:val="both"/>
        <w:rPr>
          <w:rFonts w:ascii="Palatino Linotype" w:eastAsia="Palatino Linotype" w:hAnsi="Palatino Linotype" w:cs="Palatino Linotype"/>
        </w:rPr>
      </w:pPr>
    </w:p>
    <w:p w14:paraId="74E0EEEA" w14:textId="2891C3F5" w:rsidR="008308B0" w:rsidRDefault="00607A40" w:rsidP="000A1A76">
      <w:pPr>
        <w:pBdr>
          <w:top w:val="nil"/>
          <w:left w:val="nil"/>
          <w:bottom w:val="nil"/>
          <w:right w:val="nil"/>
          <w:between w:val="nil"/>
        </w:pBdr>
        <w:spacing w:line="360" w:lineRule="auto"/>
        <w:ind w:left="426"/>
        <w:jc w:val="both"/>
        <w:rPr>
          <w:rFonts w:ascii="Palatino Linotype" w:eastAsia="Palatino Linotype" w:hAnsi="Palatino Linotype" w:cs="Palatino Linotype"/>
        </w:rPr>
      </w:pPr>
      <w:r w:rsidRPr="00607A40">
        <w:rPr>
          <w:rFonts w:ascii="Palatino Linotype" w:eastAsia="Palatino Linotype" w:hAnsi="Palatino Linotype" w:cs="Palatino Linotype"/>
        </w:rPr>
        <w:t>1.</w:t>
      </w:r>
      <w:r w:rsidR="008308B0" w:rsidRPr="008308B0">
        <w:t xml:space="preserve"> </w:t>
      </w:r>
      <w:r w:rsidR="008308B0" w:rsidRPr="008308B0">
        <w:rPr>
          <w:rFonts w:ascii="Palatino Linotype" w:eastAsia="Palatino Linotype" w:hAnsi="Palatino Linotype" w:cs="Palatino Linotype"/>
        </w:rPr>
        <w:t>Monto de enteros mensuales que el OPD</w:t>
      </w:r>
      <w:r w:rsidR="008308B0">
        <w:rPr>
          <w:rFonts w:ascii="Palatino Linotype" w:eastAsia="Palatino Linotype" w:hAnsi="Palatino Linotype" w:cs="Palatino Linotype"/>
        </w:rPr>
        <w:t xml:space="preserve"> </w:t>
      </w:r>
      <w:r w:rsidR="008308B0" w:rsidRPr="008308B0">
        <w:rPr>
          <w:rFonts w:ascii="Palatino Linotype" w:eastAsia="Palatino Linotype" w:hAnsi="Palatino Linotype" w:cs="Palatino Linotype"/>
        </w:rPr>
        <w:t xml:space="preserve">SAPASNIR ha efectuado por concepto de ISR, correspondientes a los ejercicios fiscales 2020, 2021 y 2022. </w:t>
      </w:r>
    </w:p>
    <w:p w14:paraId="01489810" w14:textId="77777777" w:rsidR="008308B0" w:rsidRDefault="008308B0" w:rsidP="008308B0">
      <w:pPr>
        <w:spacing w:before="240" w:after="240" w:line="360" w:lineRule="auto"/>
        <w:ind w:left="426" w:right="51"/>
        <w:jc w:val="both"/>
        <w:rPr>
          <w:rFonts w:ascii="Palatino Linotype" w:eastAsia="Palatino Linotype" w:hAnsi="Palatino Linotype" w:cs="Palatino Linotype"/>
        </w:rPr>
      </w:pPr>
      <w:r>
        <w:rPr>
          <w:rFonts w:ascii="Palatino Linotype" w:eastAsia="Palatino Linotype" w:hAnsi="Palatino Linotype" w:cs="Palatino Linotype"/>
        </w:rPr>
        <w:t xml:space="preserve">2. </w:t>
      </w:r>
      <w:r w:rsidRPr="008308B0">
        <w:rPr>
          <w:rFonts w:ascii="Palatino Linotype" w:eastAsia="Palatino Linotype" w:hAnsi="Palatino Linotype" w:cs="Palatino Linotype"/>
        </w:rPr>
        <w:t xml:space="preserve">Monto anual del entero que el OPD SAPASNIR ha efectuado por concepto de ISR, específicamente por “gratificaciones anuales (aguinaldo)” pagado a los servidores públicos de ese organismo, del ejercicio fiscal 2019, así como en el 2020 y 2021. </w:t>
      </w:r>
    </w:p>
    <w:p w14:paraId="31D31A0F" w14:textId="5F315582" w:rsidR="008308B0" w:rsidRPr="00607A40" w:rsidRDefault="008308B0" w:rsidP="008308B0">
      <w:pPr>
        <w:spacing w:before="240" w:after="240" w:line="360" w:lineRule="auto"/>
        <w:ind w:left="426" w:right="51"/>
        <w:jc w:val="both"/>
        <w:rPr>
          <w:rFonts w:ascii="Palatino Linotype" w:eastAsia="Palatino Linotype" w:hAnsi="Palatino Linotype" w:cs="Palatino Linotype"/>
        </w:rPr>
      </w:pPr>
      <w:r>
        <w:rPr>
          <w:rFonts w:ascii="Palatino Linotype" w:eastAsia="Palatino Linotype" w:hAnsi="Palatino Linotype" w:cs="Palatino Linotype"/>
        </w:rPr>
        <w:t xml:space="preserve">3. </w:t>
      </w:r>
      <w:r w:rsidRPr="008308B0">
        <w:rPr>
          <w:rFonts w:ascii="Palatino Linotype" w:eastAsia="Palatino Linotype" w:hAnsi="Palatino Linotype" w:cs="Palatino Linotype"/>
        </w:rPr>
        <w:t>Monto de cada una de las multas y recargos que el SAT ha impuesto al OPDSAPASNIR durante los ejercicios fiscales 2019, 2020 y 2021.</w:t>
      </w:r>
    </w:p>
    <w:p w14:paraId="77270039" w14:textId="77777777" w:rsidR="007620A2" w:rsidRDefault="00607A40">
      <w:pPr>
        <w:spacing w:before="240" w:after="240" w:line="360" w:lineRule="auto"/>
        <w:ind w:right="51"/>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En respuesta, a través de la Unidad de Transparencia,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hizo del conocimiento de la persona solicitante el pronunciamiento vertido por </w:t>
      </w:r>
      <w:r w:rsidR="007620A2">
        <w:rPr>
          <w:rFonts w:ascii="Palatino Linotype" w:eastAsia="Palatino Linotype" w:hAnsi="Palatino Linotype" w:cs="Palatino Linotype"/>
        </w:rPr>
        <w:t xml:space="preserve">la Subdirectora de Administración y Finanzas del Organismo Público Descentralizado </w:t>
      </w:r>
      <w:r w:rsidR="007620A2">
        <w:rPr>
          <w:rFonts w:ascii="Palatino Linotype" w:eastAsia="Palatino Linotype" w:hAnsi="Palatino Linotype" w:cs="Palatino Linotype"/>
        </w:rPr>
        <w:lastRenderedPageBreak/>
        <w:t>para la Prestación de Servicios de Agua Potable y Alcantarillado y Saneamiento de Nicolás Romero, quien en atención a cada uno de los requerimientos planteados, se pronunció en el siguiente sentido:</w:t>
      </w:r>
    </w:p>
    <w:p w14:paraId="2E011CD6" w14:textId="7BBC055F" w:rsidR="007620A2" w:rsidRDefault="007620A2" w:rsidP="007620A2">
      <w:pPr>
        <w:spacing w:before="240" w:after="240" w:line="360" w:lineRule="auto"/>
        <w:ind w:right="51"/>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7D666A8D" wp14:editId="4CA1F685">
            <wp:extent cx="5040000" cy="2868985"/>
            <wp:effectExtent l="0" t="0" r="8255"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2868985"/>
                    </a:xfrm>
                    <a:prstGeom prst="rect">
                      <a:avLst/>
                    </a:prstGeom>
                    <a:noFill/>
                    <a:ln>
                      <a:noFill/>
                    </a:ln>
                  </pic:spPr>
                </pic:pic>
              </a:graphicData>
            </a:graphic>
          </wp:inline>
        </w:drawing>
      </w:r>
    </w:p>
    <w:p w14:paraId="0CF32FBA" w14:textId="70E36600" w:rsidR="007620A2" w:rsidRDefault="007620A2" w:rsidP="00B07398">
      <w:pPr>
        <w:spacing w:before="240" w:after="240" w:line="360" w:lineRule="auto"/>
        <w:ind w:right="51"/>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3EC0F220" wp14:editId="0B15788A">
            <wp:extent cx="5040000" cy="2415070"/>
            <wp:effectExtent l="0" t="0" r="825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0" cy="2415070"/>
                    </a:xfrm>
                    <a:prstGeom prst="rect">
                      <a:avLst/>
                    </a:prstGeom>
                    <a:noFill/>
                    <a:ln>
                      <a:noFill/>
                    </a:ln>
                  </pic:spPr>
                </pic:pic>
              </a:graphicData>
            </a:graphic>
          </wp:inline>
        </w:drawing>
      </w:r>
    </w:p>
    <w:p w14:paraId="3C5A89DF" w14:textId="116E6DDE" w:rsidR="00BE6B9B" w:rsidRDefault="00607A40">
      <w:pPr>
        <w:spacing w:before="240" w:after="240" w:line="360" w:lineRule="auto"/>
        <w:ind w:right="51"/>
        <w:jc w:val="both"/>
        <w:rPr>
          <w:rFonts w:ascii="Palatino Linotype" w:eastAsia="Palatino Linotype" w:hAnsi="Palatino Linotype" w:cs="Palatino Linotype"/>
        </w:rPr>
      </w:pPr>
      <w:r w:rsidRPr="00607A40">
        <w:rPr>
          <w:rFonts w:ascii="Palatino Linotype" w:eastAsia="Palatino Linotype" w:hAnsi="Palatino Linotype" w:cs="Palatino Linotype"/>
        </w:rPr>
        <w:lastRenderedPageBreak/>
        <w:t xml:space="preserve">Conocida la respuesta por la parte solicitante, al no estar conforme con los términos de la misma, interpuso el recurso de revisión que nos ocupa, mediante el </w:t>
      </w:r>
      <w:r w:rsidR="009D5FCB" w:rsidRPr="00607A40">
        <w:rPr>
          <w:rFonts w:ascii="Palatino Linotype" w:eastAsia="Palatino Linotype" w:hAnsi="Palatino Linotype" w:cs="Palatino Linotype"/>
        </w:rPr>
        <w:t>cual,</w:t>
      </w:r>
      <w:r w:rsidRPr="00607A40">
        <w:rPr>
          <w:rFonts w:ascii="Palatino Linotype" w:eastAsia="Palatino Linotype" w:hAnsi="Palatino Linotype" w:cs="Palatino Linotype"/>
        </w:rPr>
        <w:t xml:space="preserve"> </w:t>
      </w:r>
      <w:r w:rsidR="00BE6B9B">
        <w:rPr>
          <w:rFonts w:ascii="Palatino Linotype" w:eastAsia="Palatino Linotype" w:hAnsi="Palatino Linotype" w:cs="Palatino Linotype"/>
        </w:rPr>
        <w:t xml:space="preserve">como motivo de inconformidad, </w:t>
      </w:r>
      <w:r w:rsidR="00BE6B9B" w:rsidRPr="00607A40">
        <w:rPr>
          <w:rFonts w:ascii="Palatino Linotype" w:eastAsia="Palatino Linotype" w:hAnsi="Palatino Linotype" w:cs="Palatino Linotype"/>
        </w:rPr>
        <w:t>indicó</w:t>
      </w:r>
      <w:r w:rsidR="00BE6B9B">
        <w:rPr>
          <w:rFonts w:ascii="Palatino Linotype" w:eastAsia="Palatino Linotype" w:hAnsi="Palatino Linotype" w:cs="Palatino Linotype"/>
        </w:rPr>
        <w:t xml:space="preserve"> en lo medular </w:t>
      </w:r>
      <w:r w:rsidRPr="00607A40">
        <w:rPr>
          <w:rFonts w:ascii="Palatino Linotype" w:eastAsia="Palatino Linotype" w:hAnsi="Palatino Linotype" w:cs="Palatino Linotype"/>
        </w:rPr>
        <w:t>que</w:t>
      </w:r>
      <w:r w:rsidR="00BE6B9B">
        <w:rPr>
          <w:rFonts w:ascii="Palatino Linotype" w:eastAsia="Palatino Linotype" w:hAnsi="Palatino Linotype" w:cs="Palatino Linotype"/>
        </w:rPr>
        <w:t xml:space="preserve"> no se le proporcionó el monto de los enteros mensuales que el Organismo ha efectuado por concepto de ISR, correspondiente al ejercicio fiscal 2022.</w:t>
      </w:r>
    </w:p>
    <w:p w14:paraId="38A0310D" w14:textId="5951195C" w:rsidR="009D5FCB"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En este sentido, no pasa inadvertido para este Organismo Garante que los motivos de inconformidad aducidos, no versan sobre la totalidad de la información proporcionada por 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 xml:space="preserve">pues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manifestó, de manera expresa, su inconformidad respecto de la información que </w:t>
      </w:r>
      <w:r w:rsidR="009D5FCB">
        <w:rPr>
          <w:rFonts w:ascii="Palatino Linotype" w:eastAsia="Palatino Linotype" w:hAnsi="Palatino Linotype" w:cs="Palatino Linotype"/>
        </w:rPr>
        <w:t xml:space="preserve">corresponde con el </w:t>
      </w:r>
      <w:r w:rsidR="009D5FCB" w:rsidRPr="009D5FCB">
        <w:rPr>
          <w:rFonts w:ascii="Palatino Linotype" w:eastAsia="Palatino Linotype" w:hAnsi="Palatino Linotype" w:cs="Palatino Linotype"/>
        </w:rPr>
        <w:t xml:space="preserve">monto de los enteros mensuales </w:t>
      </w:r>
      <w:r w:rsidR="009D5FCB">
        <w:rPr>
          <w:rFonts w:ascii="Palatino Linotype" w:eastAsia="Palatino Linotype" w:hAnsi="Palatino Linotype" w:cs="Palatino Linotype"/>
        </w:rPr>
        <w:t xml:space="preserve">por concepto de retención de ISR, que el Organismo ha efectuado durante el ejercicio fiscal 2022, que fue </w:t>
      </w:r>
      <w:r w:rsidRPr="00607A40">
        <w:rPr>
          <w:rFonts w:ascii="Palatino Linotype" w:eastAsia="Palatino Linotype" w:hAnsi="Palatino Linotype" w:cs="Palatino Linotype"/>
        </w:rPr>
        <w:t>requerid</w:t>
      </w:r>
      <w:r w:rsidR="009D5FCB">
        <w:rPr>
          <w:rFonts w:ascii="Palatino Linotype" w:eastAsia="Palatino Linotype" w:hAnsi="Palatino Linotype" w:cs="Palatino Linotype"/>
        </w:rPr>
        <w:t xml:space="preserve">a </w:t>
      </w:r>
      <w:r w:rsidRPr="00607A40">
        <w:rPr>
          <w:rFonts w:ascii="Palatino Linotype" w:eastAsia="Palatino Linotype" w:hAnsi="Palatino Linotype" w:cs="Palatino Linotype"/>
        </w:rPr>
        <w:t>mediante el punto 1 de la solicitud, no así respecto de</w:t>
      </w:r>
      <w:r w:rsidR="009D5FCB">
        <w:rPr>
          <w:rFonts w:ascii="Palatino Linotype" w:eastAsia="Palatino Linotype" w:hAnsi="Palatino Linotype" w:cs="Palatino Linotype"/>
        </w:rPr>
        <w:t xml:space="preserve"> la información que corresponde con los ejercicios 2020 y 2021 del mismo punto, así como la requerida mediante los puntos 2 y 3 de la solicitud.</w:t>
      </w:r>
    </w:p>
    <w:p w14:paraId="32A2C6E4"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satisface la solicitud presentada.</w:t>
      </w:r>
    </w:p>
    <w:p w14:paraId="29B4E435" w14:textId="77777777" w:rsidR="00444F34" w:rsidRPr="00607A40" w:rsidRDefault="00607A40">
      <w:pPr>
        <w:spacing w:before="240" w:after="36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lastRenderedPageBreak/>
        <w:t xml:space="preserve">Lo anterior es así, debido a que cuando la parte Recurrente impugna la respuesta del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BA394C1" w14:textId="77777777" w:rsidR="00444F34" w:rsidRPr="00607A40" w:rsidRDefault="00607A40">
      <w:pPr>
        <w:spacing w:before="240" w:after="360"/>
        <w:ind w:left="851"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b/>
          <w:i/>
          <w:sz w:val="22"/>
          <w:szCs w:val="22"/>
        </w:rPr>
        <w:t xml:space="preserve">“REVISIÓN EN AMPARO. LOS RESOLUTIVOS NO COMBATIDOS DEBEN DECLARARSE FIRMES. </w:t>
      </w:r>
      <w:r w:rsidRPr="00607A40">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D8E7F3C" w14:textId="77777777" w:rsidR="00444F34" w:rsidRPr="00607A40" w:rsidRDefault="00607A40">
      <w:pPr>
        <w:spacing w:before="240" w:after="240" w:line="360" w:lineRule="auto"/>
        <w:jc w:val="both"/>
        <w:rPr>
          <w:rFonts w:ascii="Palatino Linotype" w:eastAsia="Palatino Linotype" w:hAnsi="Palatino Linotype" w:cs="Palatino Linotype"/>
        </w:rPr>
      </w:pPr>
      <w:bookmarkStart w:id="6" w:name="_heading=h.1t3h5sf" w:colFirst="0" w:colLast="0"/>
      <w:bookmarkEnd w:id="6"/>
      <w:r w:rsidRPr="00607A40">
        <w:rPr>
          <w:rFonts w:ascii="Palatino Linotype" w:eastAsia="Palatino Linotype" w:hAnsi="Palatino Linotype" w:cs="Palatino Linotype"/>
        </w:rPr>
        <w:t>Consecuentemente, se insiste, ante la falta de impugnación eficaz, la respuesta entregada debe declararse consentida por el particular.</w:t>
      </w:r>
    </w:p>
    <w:p w14:paraId="0EB419CF"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2E4EDB2A" w14:textId="77777777" w:rsidR="00444F34" w:rsidRPr="00607A40" w:rsidRDefault="00607A40">
      <w:pPr>
        <w:pBdr>
          <w:top w:val="nil"/>
          <w:left w:val="nil"/>
          <w:bottom w:val="nil"/>
          <w:right w:val="nil"/>
          <w:between w:val="nil"/>
        </w:pBdr>
        <w:tabs>
          <w:tab w:val="left" w:pos="851"/>
        </w:tabs>
        <w:spacing w:before="120" w:after="120"/>
        <w:ind w:left="851" w:right="902"/>
        <w:jc w:val="both"/>
        <w:rPr>
          <w:rFonts w:ascii="Palatino Linotype" w:eastAsia="Palatino Linotype" w:hAnsi="Palatino Linotype" w:cs="Palatino Linotype"/>
          <w:i/>
        </w:rPr>
      </w:pP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b/>
          <w:i/>
          <w:sz w:val="22"/>
          <w:szCs w:val="22"/>
        </w:rPr>
        <w:t xml:space="preserve">Actos consentidos tácitamente. Improcedencia de su análisis. </w:t>
      </w:r>
      <w:r w:rsidRPr="00607A40">
        <w:rPr>
          <w:rFonts w:ascii="Palatino Linotype" w:eastAsia="Palatino Linotype" w:hAnsi="Palatino Linotype" w:cs="Palatino Linotype"/>
          <w:i/>
          <w:sz w:val="22"/>
          <w:szCs w:val="22"/>
        </w:rPr>
        <w:t xml:space="preserve">Si en su recurso de revisión, la persona recurrente no expresó inconformidad alguna con </w:t>
      </w:r>
      <w:r w:rsidRPr="00607A40">
        <w:rPr>
          <w:rFonts w:ascii="Palatino Linotype" w:eastAsia="Palatino Linotype" w:hAnsi="Palatino Linotype" w:cs="Palatino Linotype"/>
          <w:i/>
          <w:sz w:val="22"/>
          <w:szCs w:val="22"/>
        </w:rPr>
        <w:lastRenderedPageBreak/>
        <w:t>ciertas partes de la respuesta otorgada, se entienden tácitamente consentidas, por ende, no deben formar parte del estudio de fondo de la resolución que emite el Instituto</w:t>
      </w:r>
      <w:r w:rsidRPr="00607A40">
        <w:rPr>
          <w:rFonts w:ascii="Palatino Linotype" w:eastAsia="Palatino Linotype" w:hAnsi="Palatino Linotype" w:cs="Palatino Linotype"/>
          <w:i/>
        </w:rPr>
        <w:t>.”</w:t>
      </w:r>
    </w:p>
    <w:p w14:paraId="223AA03E" w14:textId="77777777" w:rsidR="00444F34" w:rsidRPr="00607A40" w:rsidRDefault="00607A40">
      <w:pPr>
        <w:spacing w:before="240" w:after="240" w:line="360" w:lineRule="auto"/>
        <w:jc w:val="both"/>
        <w:rPr>
          <w:rFonts w:ascii="Palatino Linotype" w:eastAsia="Palatino Linotype" w:hAnsi="Palatino Linotype" w:cs="Palatino Linotype"/>
        </w:rPr>
      </w:pPr>
      <w:bookmarkStart w:id="7" w:name="_heading=h.lnxbz9" w:colFirst="0" w:colLast="0"/>
      <w:bookmarkEnd w:id="7"/>
      <w:r w:rsidRPr="00607A4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3E223707" w14:textId="77777777" w:rsidR="00444F34" w:rsidRPr="00607A40" w:rsidRDefault="00607A40">
      <w:pPr>
        <w:ind w:left="851"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b/>
          <w:i/>
          <w:smallCaps/>
          <w:sz w:val="22"/>
          <w:szCs w:val="22"/>
        </w:rPr>
        <w:t xml:space="preserve">“ACTOS CONSENTIDOS. SON LOS QUE NO SE IMPUGNAN MEDIANTE EL RECURSO IDÓNEO. </w:t>
      </w:r>
      <w:r w:rsidRPr="00607A40">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3E44CE2" w14:textId="3DDDB078" w:rsidR="004769C5" w:rsidRDefault="00607A40">
      <w:pPr>
        <w:spacing w:before="240" w:after="240" w:line="360" w:lineRule="auto"/>
        <w:ind w:right="51"/>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Así, una vez admitido el presente recurso de revisión, dentro del término otorgado para realizar toda clase de manifestaciones,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remitió a través del SAIMEX, su informe justificado, mediante el cual </w:t>
      </w:r>
      <w:r w:rsidR="009D5FCB">
        <w:rPr>
          <w:rFonts w:ascii="Palatino Linotype" w:eastAsia="Palatino Linotype" w:hAnsi="Palatino Linotype" w:cs="Palatino Linotype"/>
        </w:rPr>
        <w:t xml:space="preserve">la Subdirectora de Administración y Finanzas del OPD SAPASNIR, manifestó que </w:t>
      </w:r>
      <w:r w:rsidR="004769C5">
        <w:rPr>
          <w:rFonts w:ascii="Palatino Linotype" w:eastAsia="Palatino Linotype" w:hAnsi="Palatino Linotype" w:cs="Palatino Linotype"/>
        </w:rPr>
        <w:t xml:space="preserve">de conformidad con el artículo 92 de la Ley de Transparencia y Acceso a la Información </w:t>
      </w:r>
      <w:r w:rsidR="00A525AC">
        <w:rPr>
          <w:rFonts w:ascii="Palatino Linotype" w:eastAsia="Palatino Linotype" w:hAnsi="Palatino Linotype" w:cs="Palatino Linotype"/>
        </w:rPr>
        <w:t xml:space="preserve">Pública del Estado de México y Municipios, </w:t>
      </w:r>
      <w:r w:rsidR="00DA0763">
        <w:rPr>
          <w:rFonts w:ascii="Palatino Linotype" w:eastAsia="Palatino Linotype" w:hAnsi="Palatino Linotype" w:cs="Palatino Linotype"/>
        </w:rPr>
        <w:t xml:space="preserve">el Organismo no se encuentra obligado a </w:t>
      </w:r>
      <w:r w:rsidR="00A525AC">
        <w:rPr>
          <w:rFonts w:ascii="Palatino Linotype" w:eastAsia="Palatino Linotype" w:hAnsi="Palatino Linotype" w:cs="Palatino Linotype"/>
        </w:rPr>
        <w:t>publica</w:t>
      </w:r>
      <w:r w:rsidR="00DA0763">
        <w:rPr>
          <w:rFonts w:ascii="Palatino Linotype" w:eastAsia="Palatino Linotype" w:hAnsi="Palatino Linotype" w:cs="Palatino Linotype"/>
        </w:rPr>
        <w:t xml:space="preserve">r en la plataforma de Información Pública de Oficio Mexiquense, </w:t>
      </w:r>
      <w:r w:rsidR="00A525AC">
        <w:rPr>
          <w:rFonts w:ascii="Palatino Linotype" w:eastAsia="Palatino Linotype" w:hAnsi="Palatino Linotype" w:cs="Palatino Linotype"/>
        </w:rPr>
        <w:t xml:space="preserve">de los enteros </w:t>
      </w:r>
      <w:r w:rsidR="00DA0763">
        <w:rPr>
          <w:rFonts w:ascii="Palatino Linotype" w:eastAsia="Palatino Linotype" w:hAnsi="Palatino Linotype" w:cs="Palatino Linotype"/>
        </w:rPr>
        <w:t>mensuales por concepto de ISR, asimismo, que el Órgano Superior de Fiscalización del Estado de México no es un ente externo a dicho Organismo, al ser sujeto de fiscalizació</w:t>
      </w:r>
      <w:r w:rsidR="00443DB5">
        <w:rPr>
          <w:rFonts w:ascii="Palatino Linotype" w:eastAsia="Palatino Linotype" w:hAnsi="Palatino Linotype" w:cs="Palatino Linotype"/>
        </w:rPr>
        <w:t xml:space="preserve">n por parte del mismo, por lo que la información de mérito, se remite a este Órgano para su análisis y evaluación, debiendo coincidir la información con la </w:t>
      </w:r>
      <w:r w:rsidR="00443DB5">
        <w:rPr>
          <w:rFonts w:ascii="Palatino Linotype" w:eastAsia="Palatino Linotype" w:hAnsi="Palatino Linotype" w:cs="Palatino Linotype"/>
        </w:rPr>
        <w:lastRenderedPageBreak/>
        <w:t>que se entrega en el informe trimestral, por lo que en tanto no sea entregada al OSFEM, no puede ser publicada, a su consideración.</w:t>
      </w:r>
    </w:p>
    <w:p w14:paraId="7CC7C0A2" w14:textId="41D346FC" w:rsidR="00443DB5" w:rsidRDefault="00443DB5">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en virtud de que la información solicitada, a la fecha en la que se rindió el informe justificado, ya había sido entregada al OSFEM, se hizo entrega de los enteros mensuales que el OPD SAPASNIR, ha efectuado por concepto </w:t>
      </w:r>
      <w:r w:rsidR="000810D8">
        <w:rPr>
          <w:rFonts w:ascii="Palatino Linotype" w:eastAsia="Palatino Linotype" w:hAnsi="Palatino Linotype" w:cs="Palatino Linotype"/>
        </w:rPr>
        <w:t>de</w:t>
      </w:r>
      <w:r>
        <w:rPr>
          <w:rFonts w:ascii="Palatino Linotype" w:eastAsia="Palatino Linotype" w:hAnsi="Palatino Linotype" w:cs="Palatino Linotype"/>
        </w:rPr>
        <w:t xml:space="preserve"> ISR, correspondiente al ejercicio fiscal 2022</w:t>
      </w:r>
      <w:r w:rsidR="00B07398">
        <w:rPr>
          <w:rFonts w:ascii="Palatino Linotype" w:eastAsia="Palatino Linotype" w:hAnsi="Palatino Linotype" w:cs="Palatino Linotype"/>
        </w:rPr>
        <w:t xml:space="preserve">, como se </w:t>
      </w:r>
      <w:r w:rsidR="000810D8">
        <w:rPr>
          <w:rFonts w:ascii="Palatino Linotype" w:eastAsia="Palatino Linotype" w:hAnsi="Palatino Linotype" w:cs="Palatino Linotype"/>
        </w:rPr>
        <w:t>muestra a continuación:</w:t>
      </w:r>
    </w:p>
    <w:p w14:paraId="09CD6F71" w14:textId="3B408D14" w:rsidR="009D5FCB" w:rsidRDefault="000810D8" w:rsidP="000810D8">
      <w:pPr>
        <w:spacing w:before="240" w:after="240" w:line="360" w:lineRule="auto"/>
        <w:ind w:right="51"/>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3671188D" wp14:editId="6A1BDEAD">
            <wp:extent cx="5040000" cy="1344801"/>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72892" b="672"/>
                    <a:stretch/>
                  </pic:blipFill>
                  <pic:spPr bwMode="auto">
                    <a:xfrm>
                      <a:off x="0" y="0"/>
                      <a:ext cx="5040000" cy="1344801"/>
                    </a:xfrm>
                    <a:prstGeom prst="rect">
                      <a:avLst/>
                    </a:prstGeom>
                    <a:noFill/>
                    <a:ln>
                      <a:noFill/>
                    </a:ln>
                    <a:extLst>
                      <a:ext uri="{53640926-AAD7-44D8-BBD7-CCE9431645EC}">
                        <a14:shadowObscured xmlns:a14="http://schemas.microsoft.com/office/drawing/2010/main"/>
                      </a:ext>
                    </a:extLst>
                  </pic:spPr>
                </pic:pic>
              </a:graphicData>
            </a:graphic>
          </wp:inline>
        </w:drawing>
      </w:r>
    </w:p>
    <w:p w14:paraId="08CEC956" w14:textId="2C64FCDE" w:rsidR="00774AF2" w:rsidRDefault="00B0739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es importante mencionar que si bien la información materia de la solicitud, como lo señaló el </w:t>
      </w:r>
      <w:r w:rsidRPr="00B07398">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por su naturaleza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forma parte de los informes trimestrales que como ente fiscalizable debe entregar al Órgano Superior de Fiscalización del Estado de México, como parte de sus obligaciones fiscales, dicha circunstancia no es óbice para que la información relacionada con los referidos informes pueda proporcionarse, aun cuando </w:t>
      </w:r>
      <w:r w:rsidR="00FF16E6">
        <w:rPr>
          <w:rFonts w:ascii="Palatino Linotype" w:eastAsia="Palatino Linotype" w:hAnsi="Palatino Linotype" w:cs="Palatino Linotype"/>
        </w:rPr>
        <w:t>la</w:t>
      </w:r>
      <w:r>
        <w:rPr>
          <w:rFonts w:ascii="Palatino Linotype" w:eastAsia="Palatino Linotype" w:hAnsi="Palatino Linotype" w:cs="Palatino Linotype"/>
        </w:rPr>
        <w:t xml:space="preserve"> entrega al OSFEM</w:t>
      </w:r>
      <w:r w:rsidR="00FF16E6">
        <w:rPr>
          <w:rFonts w:ascii="Palatino Linotype" w:eastAsia="Palatino Linotype" w:hAnsi="Palatino Linotype" w:cs="Palatino Linotype"/>
        </w:rPr>
        <w:t xml:space="preserve"> se encuentre en término, es decir, que las fechas no hayan vencido</w:t>
      </w:r>
      <w:r w:rsidR="00774AF2">
        <w:rPr>
          <w:rFonts w:ascii="Palatino Linotype" w:eastAsia="Palatino Linotype" w:hAnsi="Palatino Linotype" w:cs="Palatino Linotype"/>
        </w:rPr>
        <w:t>.</w:t>
      </w:r>
    </w:p>
    <w:p w14:paraId="7A7467A0" w14:textId="50B37858" w:rsidR="00B07398" w:rsidRDefault="00774A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w:t>
      </w:r>
      <w:r w:rsidR="00B07398">
        <w:rPr>
          <w:rFonts w:ascii="Palatino Linotype" w:eastAsia="Palatino Linotype" w:hAnsi="Palatino Linotype" w:cs="Palatino Linotype"/>
        </w:rPr>
        <w:t xml:space="preserve">en virtud de que se trata de información que el </w:t>
      </w:r>
      <w:r w:rsidR="00B07398">
        <w:rPr>
          <w:rFonts w:ascii="Palatino Linotype" w:eastAsia="Palatino Linotype" w:hAnsi="Palatino Linotype" w:cs="Palatino Linotype"/>
          <w:b/>
        </w:rPr>
        <w:t xml:space="preserve">Sujeto Obligado </w:t>
      </w:r>
      <w:r w:rsidR="00B07398">
        <w:rPr>
          <w:rFonts w:ascii="Palatino Linotype" w:eastAsia="Palatino Linotype" w:hAnsi="Palatino Linotype" w:cs="Palatino Linotype"/>
        </w:rPr>
        <w:t xml:space="preserve">genera, administra o posee derivado del ejercicio de sus atribuciones, </w:t>
      </w:r>
      <w:r>
        <w:rPr>
          <w:rFonts w:ascii="Palatino Linotype" w:eastAsia="Palatino Linotype" w:hAnsi="Palatino Linotype" w:cs="Palatino Linotype"/>
        </w:rPr>
        <w:t xml:space="preserve">cuando los supuestos </w:t>
      </w:r>
      <w:r>
        <w:rPr>
          <w:rFonts w:ascii="Palatino Linotype" w:eastAsia="Palatino Linotype" w:hAnsi="Palatino Linotype" w:cs="Palatino Linotype"/>
        </w:rPr>
        <w:lastRenderedPageBreak/>
        <w:t xml:space="preserve">que le dan origen acontecen, no así al momento de </w:t>
      </w:r>
      <w:r w:rsidR="00FF16E6">
        <w:rPr>
          <w:rFonts w:ascii="Palatino Linotype" w:eastAsia="Palatino Linotype" w:hAnsi="Palatino Linotype" w:cs="Palatino Linotype"/>
        </w:rPr>
        <w:t>entregar</w:t>
      </w:r>
      <w:r>
        <w:rPr>
          <w:rFonts w:ascii="Palatino Linotype" w:eastAsia="Palatino Linotype" w:hAnsi="Palatino Linotype" w:cs="Palatino Linotype"/>
        </w:rPr>
        <w:t xml:space="preserve"> los informes trimestrales</w:t>
      </w:r>
      <w:r w:rsidR="00FF16E6">
        <w:rPr>
          <w:rFonts w:ascii="Palatino Linotype" w:eastAsia="Palatino Linotype" w:hAnsi="Palatino Linotype" w:cs="Palatino Linotype"/>
        </w:rPr>
        <w:t>. E</w:t>
      </w:r>
      <w:r>
        <w:rPr>
          <w:rFonts w:ascii="Palatino Linotype" w:eastAsia="Palatino Linotype" w:hAnsi="Palatino Linotype" w:cs="Palatino Linotype"/>
        </w:rPr>
        <w:t>n otras palabras, la presentación de los informes trimestrales, implica la integración de determinada información que debió generarse con anterioridad a la presentación, más la elaboración de dichos documentos en la fecha de presentación de los mismos, por lo que</w:t>
      </w:r>
      <w:r w:rsidR="00FF16E6">
        <w:rPr>
          <w:rFonts w:ascii="Palatino Linotype" w:eastAsia="Palatino Linotype" w:hAnsi="Palatino Linotype" w:cs="Palatino Linotype"/>
        </w:rPr>
        <w:t>,</w:t>
      </w:r>
      <w:r>
        <w:rPr>
          <w:rFonts w:ascii="Palatino Linotype" w:eastAsia="Palatino Linotype" w:hAnsi="Palatino Linotype" w:cs="Palatino Linotype"/>
        </w:rPr>
        <w:t xml:space="preserve"> al tratarse de información con la que el </w:t>
      </w:r>
      <w:r w:rsidRPr="00774AF2">
        <w:rPr>
          <w:rFonts w:ascii="Palatino Linotype" w:eastAsia="Palatino Linotype" w:hAnsi="Palatino Linotype" w:cs="Palatino Linotype"/>
          <w:b/>
        </w:rPr>
        <w:t>Sujeto Obligado</w:t>
      </w:r>
      <w:r>
        <w:rPr>
          <w:rFonts w:ascii="Palatino Linotype" w:eastAsia="Palatino Linotype" w:hAnsi="Palatino Linotype" w:cs="Palatino Linotype"/>
        </w:rPr>
        <w:t xml:space="preserve"> ya cuenta,</w:t>
      </w:r>
      <w:r w:rsidR="00FF16E6">
        <w:rPr>
          <w:rFonts w:ascii="Palatino Linotype" w:eastAsia="Palatino Linotype" w:hAnsi="Palatino Linotype" w:cs="Palatino Linotype"/>
        </w:rPr>
        <w:t xml:space="preserve"> este</w:t>
      </w:r>
      <w:r>
        <w:rPr>
          <w:rFonts w:ascii="Palatino Linotype" w:eastAsia="Palatino Linotype" w:hAnsi="Palatino Linotype" w:cs="Palatino Linotype"/>
        </w:rPr>
        <w:t xml:space="preserve"> debe observar lo previsto en los artículos 4, párrafo segundo y 12, párrafo segundo de la Ley de</w:t>
      </w:r>
      <w:r w:rsidR="00FF16E6">
        <w:rPr>
          <w:rFonts w:ascii="Palatino Linotype" w:eastAsia="Palatino Linotype" w:hAnsi="Palatino Linotype" w:cs="Palatino Linotype"/>
        </w:rPr>
        <w:t xml:space="preserve"> Transparencia y Acceso a la Información Pública del Estado de México y Municipios,</w:t>
      </w:r>
      <w:r>
        <w:rPr>
          <w:rFonts w:ascii="Palatino Linotype" w:eastAsia="Palatino Linotype" w:hAnsi="Palatino Linotype" w:cs="Palatino Linotype"/>
        </w:rPr>
        <w:t xml:space="preserve"> </w:t>
      </w:r>
      <w:r w:rsidR="00FF16E6">
        <w:rPr>
          <w:rFonts w:ascii="Palatino Linotype" w:eastAsia="Palatino Linotype" w:hAnsi="Palatino Linotype" w:cs="Palatino Linotype"/>
        </w:rPr>
        <w:t>y demás disposiciones aplicables</w:t>
      </w:r>
      <w:r>
        <w:rPr>
          <w:rFonts w:ascii="Palatino Linotype" w:eastAsia="Palatino Linotype" w:hAnsi="Palatino Linotype" w:cs="Palatino Linotype"/>
        </w:rPr>
        <w:t>, debiendo entregar la información que se le requiera y que obre en sus archivos en el estado en el que esta se encuentre</w:t>
      </w:r>
      <w:r w:rsidR="00FF16E6">
        <w:rPr>
          <w:rFonts w:ascii="Palatino Linotype" w:eastAsia="Palatino Linotype" w:hAnsi="Palatino Linotype" w:cs="Palatino Linotype"/>
        </w:rPr>
        <w:t xml:space="preserve"> para satisfacer el derecho de acceso de los particulares</w:t>
      </w:r>
      <w:r>
        <w:rPr>
          <w:rFonts w:ascii="Palatino Linotype" w:eastAsia="Palatino Linotype" w:hAnsi="Palatino Linotype" w:cs="Palatino Linotype"/>
        </w:rPr>
        <w:t>, y</w:t>
      </w:r>
      <w:r w:rsidR="00FF16E6">
        <w:rPr>
          <w:rFonts w:ascii="Palatino Linotype" w:eastAsia="Palatino Linotype" w:hAnsi="Palatino Linotype" w:cs="Palatino Linotype"/>
        </w:rPr>
        <w:t>,</w:t>
      </w:r>
      <w:r>
        <w:rPr>
          <w:rFonts w:ascii="Palatino Linotype" w:eastAsia="Palatino Linotype" w:hAnsi="Palatino Linotype" w:cs="Palatino Linotype"/>
        </w:rPr>
        <w:t xml:space="preserve"> en caso de negarse el acceso a la misma por actualizar algún supuesto de clasificación</w:t>
      </w:r>
      <w:r w:rsidR="00FF16E6">
        <w:rPr>
          <w:rFonts w:ascii="Palatino Linotype" w:eastAsia="Palatino Linotype" w:hAnsi="Palatino Linotype" w:cs="Palatino Linotype"/>
        </w:rPr>
        <w:t xml:space="preserve"> previsto en la norma jurídica</w:t>
      </w:r>
      <w:r>
        <w:rPr>
          <w:rFonts w:ascii="Palatino Linotype" w:eastAsia="Palatino Linotype" w:hAnsi="Palatino Linotype" w:cs="Palatino Linotype"/>
        </w:rPr>
        <w:t xml:space="preserve">, debe </w:t>
      </w:r>
      <w:r w:rsidR="00FF16E6">
        <w:rPr>
          <w:rFonts w:ascii="Palatino Linotype" w:eastAsia="Palatino Linotype" w:hAnsi="Palatino Linotype" w:cs="Palatino Linotype"/>
        </w:rPr>
        <w:t>fundar y motivar dicha situación a través de la emisión del respectivo acuerdo que para tal efecto emita el Comité de Transparencia.</w:t>
      </w:r>
    </w:p>
    <w:p w14:paraId="4443FF9E" w14:textId="7879A4BD" w:rsidR="006F05F9" w:rsidRDefault="00B0739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w:t>
      </w:r>
      <w:r w:rsidR="00607A40" w:rsidRPr="00607A40">
        <w:rPr>
          <w:rFonts w:ascii="Palatino Linotype" w:eastAsia="Palatino Linotype" w:hAnsi="Palatino Linotype" w:cs="Palatino Linotype"/>
        </w:rPr>
        <w:t xml:space="preserve">n el caso concreto, es evidente que el </w:t>
      </w:r>
      <w:r w:rsidR="00607A40" w:rsidRPr="00607A40">
        <w:rPr>
          <w:rFonts w:ascii="Palatino Linotype" w:eastAsia="Palatino Linotype" w:hAnsi="Palatino Linotype" w:cs="Palatino Linotype"/>
          <w:b/>
        </w:rPr>
        <w:t>Sujeto Obligado</w:t>
      </w:r>
      <w:r w:rsidR="00607A40" w:rsidRPr="00607A40">
        <w:rPr>
          <w:rFonts w:ascii="Palatino Linotype" w:eastAsia="Palatino Linotype" w:hAnsi="Palatino Linotype" w:cs="Palatino Linotype"/>
        </w:rPr>
        <w:t xml:space="preserve"> modificó su respuesta, ya que, si bien en un primer momento,</w:t>
      </w:r>
      <w:r w:rsidR="0025757B">
        <w:rPr>
          <w:rFonts w:ascii="Palatino Linotype" w:eastAsia="Palatino Linotype" w:hAnsi="Palatino Linotype" w:cs="Palatino Linotype"/>
        </w:rPr>
        <w:t xml:space="preserve"> no proporcionó la información solicitada </w:t>
      </w:r>
      <w:r w:rsidR="006F05F9">
        <w:rPr>
          <w:rFonts w:ascii="Palatino Linotype" w:eastAsia="Palatino Linotype" w:hAnsi="Palatino Linotype" w:cs="Palatino Linotype"/>
        </w:rPr>
        <w:t>respecto del ejercicio fiscal 2022,</w:t>
      </w:r>
      <w:r w:rsidR="0025757B">
        <w:rPr>
          <w:rFonts w:ascii="Palatino Linotype" w:eastAsia="Palatino Linotype" w:hAnsi="Palatino Linotype" w:cs="Palatino Linotype"/>
        </w:rPr>
        <w:t xml:space="preserve"> bajo el argumento de que</w:t>
      </w:r>
      <w:r w:rsidR="006F05F9">
        <w:rPr>
          <w:rFonts w:ascii="Palatino Linotype" w:eastAsia="Palatino Linotype" w:hAnsi="Palatino Linotype" w:cs="Palatino Linotype"/>
        </w:rPr>
        <w:t xml:space="preserve"> se encontraba en proceso de integración al formar parte del informe trimestral que el Organismo presenta ante el Órgano Superior de Fiscalización del Estado de México para su revisión y fiscalización, mismo que de acuerdo al calendario de obligaciones fiscales </w:t>
      </w:r>
      <w:r w:rsidR="006F05F9">
        <w:rPr>
          <w:rFonts w:ascii="Palatino Linotype" w:eastAsia="Palatino Linotype" w:hAnsi="Palatino Linotype" w:cs="Palatino Linotype"/>
        </w:rPr>
        <w:lastRenderedPageBreak/>
        <w:t>de las entidades tenia fecha de entrega del 02 al 16 de mayo de 2022</w:t>
      </w:r>
      <w:r w:rsidR="0025757B">
        <w:rPr>
          <w:rFonts w:ascii="Palatino Linotype" w:eastAsia="Palatino Linotype" w:hAnsi="Palatino Linotype" w:cs="Palatino Linotype"/>
        </w:rPr>
        <w:t>, en la etapa de manifestaciones, hizo entrega de la misma, como se advierte en la imagen anterior.</w:t>
      </w:r>
    </w:p>
    <w:p w14:paraId="2280C81C" w14:textId="51AE3895" w:rsidR="00616E05" w:rsidRPr="009833E8" w:rsidRDefault="00616E05" w:rsidP="009833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señalar que</w:t>
      </w:r>
      <w:r w:rsidR="009833E8">
        <w:rPr>
          <w:rFonts w:ascii="Palatino Linotype" w:eastAsia="Palatino Linotype" w:hAnsi="Palatino Linotype" w:cs="Palatino Linotype"/>
        </w:rPr>
        <w:t xml:space="preserve"> </w:t>
      </w:r>
      <w:r>
        <w:rPr>
          <w:rFonts w:ascii="Palatino Linotype" w:hAnsi="Palatino Linotype"/>
          <w:color w:val="000000"/>
        </w:rPr>
        <w:t xml:space="preserve">el derecho de acceso a la información pública se satisface en aquellos casos en que se entregue el soporte documental en que conste la información pública, sin la necesidad de elaborar documentos </w:t>
      </w:r>
      <w:r>
        <w:rPr>
          <w:rFonts w:ascii="Palatino Linotype" w:hAnsi="Palatino Linotype"/>
          <w:i/>
          <w:iCs/>
          <w:color w:val="000000"/>
        </w:rPr>
        <w:t>ad hoc</w:t>
      </w:r>
      <w:r>
        <w:rPr>
          <w:rFonts w:ascii="Palatino Linotype" w:hAnsi="Palatino Linotype"/>
          <w:color w:val="000000"/>
        </w:rPr>
        <w:t xml:space="preserve">; lo cual, toma sustento en el artículo 160 de la Ley de Transparencia y Acceso a la Información Pública del Estado de México y Municipios, el cual refiere que los </w:t>
      </w:r>
      <w:r w:rsidR="009833E8">
        <w:rPr>
          <w:rFonts w:ascii="Palatino Linotype" w:hAnsi="Palatino Linotype"/>
          <w:color w:val="000000"/>
        </w:rPr>
        <w:t>S</w:t>
      </w:r>
      <w:r>
        <w:rPr>
          <w:rFonts w:ascii="Palatino Linotype" w:hAnsi="Palatino Linotype"/>
          <w:color w:val="000000"/>
        </w:rPr>
        <w:t xml:space="preserve">ujetos </w:t>
      </w:r>
      <w:r w:rsidR="009833E8">
        <w:rPr>
          <w:rFonts w:ascii="Palatino Linotype" w:hAnsi="Palatino Linotype"/>
          <w:color w:val="000000"/>
        </w:rPr>
        <w:t>O</w:t>
      </w:r>
      <w:r>
        <w:rPr>
          <w:rFonts w:ascii="Palatino Linotype" w:hAnsi="Palatino Linotype"/>
          <w:color w:val="000000"/>
        </w:rPr>
        <w:t xml:space="preserve">bligados deberán entregar la información que obre en sus archivos; sin embargo, se aprecia que el </w:t>
      </w:r>
      <w:r w:rsidRPr="009833E8">
        <w:rPr>
          <w:rFonts w:ascii="Palatino Linotype" w:hAnsi="Palatino Linotype"/>
          <w:b/>
          <w:bCs/>
          <w:color w:val="000000"/>
        </w:rPr>
        <w:t>Sujeto Obligado</w:t>
      </w:r>
      <w:r>
        <w:rPr>
          <w:rFonts w:ascii="Palatino Linotype" w:hAnsi="Palatino Linotype"/>
          <w:color w:val="000000"/>
        </w:rPr>
        <w:t xml:space="preserve">, elaboró un documento ad hoc para dar cabal cumplimiento al derecho de acceso a la información del particular aún y </w:t>
      </w:r>
      <w:r>
        <w:rPr>
          <w:rFonts w:ascii="Palatino Linotype" w:hAnsi="Palatino Linotype"/>
          <w:b/>
          <w:bCs/>
          <w:color w:val="000000"/>
        </w:rPr>
        <w:t>cuando no es una obligación de las autoridades</w:t>
      </w:r>
      <w:r>
        <w:rPr>
          <w:rFonts w:ascii="Palatino Linotype" w:hAnsi="Palatino Linotype"/>
          <w:color w:val="000000"/>
        </w:rPr>
        <w:t xml:space="preserve"> tal y como lo señala el Criterio 09-10, emitido por el Pleno del entonces Instituto Federal de Acceso a la Información y Protección de Datos, ahora Instituto Nacional de Transparencia, Acceso a la Información y Protección de Datos Personales, que dice:</w:t>
      </w:r>
      <w:r>
        <w:rPr>
          <w:rFonts w:ascii="Palatino Linotype" w:hAnsi="Palatino Linotype"/>
          <w:b/>
          <w:bCs/>
          <w:color w:val="000000"/>
        </w:rPr>
        <w:t> </w:t>
      </w:r>
    </w:p>
    <w:p w14:paraId="5678FA8D" w14:textId="5B2E6528" w:rsidR="00616E05" w:rsidRDefault="00616E05" w:rsidP="00616E05">
      <w:pPr>
        <w:pStyle w:val="NormalWeb"/>
        <w:spacing w:before="120" w:beforeAutospacing="0" w:after="120" w:afterAutospacing="0"/>
        <w:ind w:left="851" w:right="851"/>
        <w:jc w:val="both"/>
      </w:pPr>
      <w:r>
        <w:rPr>
          <w:rFonts w:ascii="Palatino Linotype" w:hAnsi="Palatino Linotype"/>
          <w:i/>
          <w:iCs/>
          <w:color w:val="000000"/>
        </w:rPr>
        <w:t>“</w:t>
      </w:r>
      <w:r w:rsidRPr="009833E8">
        <w:rPr>
          <w:rFonts w:ascii="Palatino Linotype" w:hAnsi="Palatino Linotype"/>
          <w:b/>
          <w:bCs/>
          <w:i/>
          <w:iCs/>
          <w:color w:val="000000"/>
          <w:sz w:val="22"/>
          <w:szCs w:val="22"/>
        </w:rPr>
        <w:t>Las dependencias y entidades no están obligadas a generar documentos ad hoc para responder una solicitud de acceso a la información</w:t>
      </w:r>
      <w:r w:rsidRPr="009833E8">
        <w:rPr>
          <w:rFonts w:ascii="Palatino Linotype" w:hAnsi="Palatino Linotype"/>
          <w:i/>
          <w:iCs/>
          <w:color w:val="000000"/>
          <w:sz w:val="22"/>
          <w:szCs w:val="22"/>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36C0290" w14:textId="37595D52" w:rsidR="00616E05" w:rsidRDefault="00616E05" w:rsidP="00616E05">
      <w:pPr>
        <w:pStyle w:val="NormalWeb"/>
        <w:spacing w:before="240" w:beforeAutospacing="0" w:after="240" w:afterAutospacing="0" w:line="360" w:lineRule="auto"/>
        <w:ind w:right="-93"/>
        <w:jc w:val="both"/>
        <w:rPr>
          <w:rFonts w:ascii="Palatino Linotype" w:hAnsi="Palatino Linotype"/>
          <w:color w:val="000000"/>
        </w:rPr>
      </w:pPr>
      <w:r>
        <w:rPr>
          <w:rFonts w:ascii="Palatino Linotype" w:hAnsi="Palatino Linotype"/>
          <w:color w:val="000000"/>
        </w:rPr>
        <w:lastRenderedPageBreak/>
        <w:t xml:space="preserve">Entonces, dado a que el criterio en mención establece que las autoridades </w:t>
      </w:r>
      <w:r>
        <w:rPr>
          <w:rFonts w:ascii="Palatino Linotype" w:hAnsi="Palatino Linotype"/>
          <w:b/>
          <w:bCs/>
          <w:color w:val="000000"/>
        </w:rPr>
        <w:t xml:space="preserve">no están obligadas a generar documentos “ad hoc” </w:t>
      </w:r>
      <w:r>
        <w:rPr>
          <w:rFonts w:ascii="Palatino Linotype" w:hAnsi="Palatino Linotype"/>
          <w:color w:val="000000"/>
        </w:rPr>
        <w:t>en contrario sensu, dicho criterio se puede interpretar resultando que las autoridades no están impedidas a generar documentos “ad hoc”, esto, siempre que con dicho documento elaborado se dé cabal cumplimiento a los requerimientos planteados.</w:t>
      </w:r>
    </w:p>
    <w:p w14:paraId="52E4984D" w14:textId="0528F8E4" w:rsidR="00A36EF3" w:rsidRDefault="009833E8" w:rsidP="00A36EF3">
      <w:pPr>
        <w:pStyle w:val="NormalWeb"/>
        <w:spacing w:before="240" w:beforeAutospacing="0" w:after="240" w:afterAutospacing="0" w:line="360" w:lineRule="auto"/>
        <w:ind w:right="-93"/>
        <w:jc w:val="both"/>
        <w:rPr>
          <w:rFonts w:ascii="Palatino Linotype" w:eastAsia="Palatino Linotype" w:hAnsi="Palatino Linotype" w:cs="Palatino Linotype"/>
        </w:rPr>
      </w:pPr>
      <w:r>
        <w:rPr>
          <w:rFonts w:ascii="Palatino Linotype" w:hAnsi="Palatino Linotype"/>
          <w:color w:val="000000"/>
        </w:rPr>
        <w:t xml:space="preserve">Asimismo, no obsta mencionar que la información fue proporcionada por la </w:t>
      </w:r>
      <w:r>
        <w:rPr>
          <w:rFonts w:ascii="Palatino Linotype" w:eastAsia="Palatino Linotype" w:hAnsi="Palatino Linotype" w:cs="Palatino Linotype"/>
        </w:rPr>
        <w:t>Subdirección de Administración y Finanza</w:t>
      </w:r>
      <w:r w:rsidR="00F6243F">
        <w:rPr>
          <w:rFonts w:ascii="Palatino Linotype" w:eastAsia="Palatino Linotype" w:hAnsi="Palatino Linotype" w:cs="Palatino Linotype"/>
        </w:rPr>
        <w:t xml:space="preserve">s, área que </w:t>
      </w:r>
      <w:r w:rsidR="00A36EF3">
        <w:rPr>
          <w:rFonts w:ascii="Palatino Linotype" w:eastAsia="Palatino Linotype" w:hAnsi="Palatino Linotype" w:cs="Palatino Linotype"/>
        </w:rPr>
        <w:t xml:space="preserve">de conformidad con el </w:t>
      </w:r>
      <w:r w:rsidR="000A1A76">
        <w:rPr>
          <w:rFonts w:ascii="Palatino Linotype" w:eastAsia="Palatino Linotype" w:hAnsi="Palatino Linotype" w:cs="Palatino Linotype"/>
        </w:rPr>
        <w:t>artículo</w:t>
      </w:r>
      <w:r w:rsidR="00A36EF3">
        <w:rPr>
          <w:rFonts w:ascii="Palatino Linotype" w:eastAsia="Palatino Linotype" w:hAnsi="Palatino Linotype" w:cs="Palatino Linotype"/>
        </w:rPr>
        <w:t xml:space="preserve"> 31 del </w:t>
      </w:r>
      <w:r w:rsidR="00A36EF3" w:rsidRPr="00A36EF3">
        <w:rPr>
          <w:rFonts w:ascii="Palatino Linotype" w:eastAsia="Palatino Linotype" w:hAnsi="Palatino Linotype" w:cs="Palatino Linotype"/>
        </w:rPr>
        <w:t>Reglamento Orgánico del Organismo Público Descentralizado para la Prestación de los Servicios de Agua Potable, Alcantarillado y Saneamiento del Municipio de Nicolás Romero</w:t>
      </w:r>
      <w:r w:rsidR="00A36EF3">
        <w:rPr>
          <w:rFonts w:ascii="Palatino Linotype" w:eastAsia="Palatino Linotype" w:hAnsi="Palatino Linotype" w:cs="Palatino Linotype"/>
        </w:rPr>
        <w:t>, tiene a su cargo las siguientes:</w:t>
      </w:r>
    </w:p>
    <w:p w14:paraId="087299F4" w14:textId="77777777" w:rsidR="00A36EF3" w:rsidRPr="00CB6D22" w:rsidRDefault="00A36EF3" w:rsidP="00CB6D22">
      <w:pPr>
        <w:pStyle w:val="NormalWeb"/>
        <w:spacing w:before="120" w:beforeAutospacing="0" w:after="120" w:afterAutospacing="0"/>
        <w:ind w:left="851"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w:t>
      </w:r>
      <w:r w:rsidRPr="00CB6D22">
        <w:rPr>
          <w:rFonts w:ascii="Palatino Linotype" w:eastAsia="Palatino Linotype" w:hAnsi="Palatino Linotype" w:cs="Palatino Linotype"/>
          <w:b/>
          <w:bCs/>
          <w:i/>
          <w:iCs/>
          <w:sz w:val="22"/>
          <w:szCs w:val="22"/>
        </w:rPr>
        <w:t>ARTÍCULO 31</w:t>
      </w:r>
      <w:r w:rsidRPr="00CB6D22">
        <w:rPr>
          <w:rFonts w:ascii="Palatino Linotype" w:eastAsia="Palatino Linotype" w:hAnsi="Palatino Linotype" w:cs="Palatino Linotype"/>
          <w:i/>
          <w:iCs/>
          <w:sz w:val="22"/>
          <w:szCs w:val="22"/>
        </w:rPr>
        <w:t>.- Corresponde a la Subdirección de Administración y Finanzas, el despacho de los siguientes asuntos:</w:t>
      </w:r>
    </w:p>
    <w:p w14:paraId="7A7FB76A" w14:textId="30B33D6D" w:rsidR="00A36EF3" w:rsidRPr="00CB6D22" w:rsidRDefault="00A36EF3" w:rsidP="00CB6D22">
      <w:pPr>
        <w:pStyle w:val="NormalWeb"/>
        <w:spacing w:before="120" w:beforeAutospacing="0" w:after="120" w:afterAutospacing="0"/>
        <w:ind w:left="1134" w:right="851"/>
        <w:jc w:val="both"/>
        <w:rPr>
          <w:rFonts w:ascii="Palatino Linotype" w:eastAsia="Palatino Linotype" w:hAnsi="Palatino Linotype" w:cs="Palatino Linotype"/>
          <w:b/>
          <w:bCs/>
          <w:i/>
          <w:iCs/>
          <w:sz w:val="22"/>
          <w:szCs w:val="22"/>
        </w:rPr>
      </w:pPr>
      <w:r w:rsidRPr="00CB6D22">
        <w:rPr>
          <w:rFonts w:ascii="Palatino Linotype" w:eastAsia="Palatino Linotype" w:hAnsi="Palatino Linotype" w:cs="Palatino Linotype"/>
          <w:b/>
          <w:bCs/>
          <w:i/>
          <w:iCs/>
          <w:sz w:val="22"/>
          <w:szCs w:val="22"/>
        </w:rPr>
        <w:t>I. Ser responsable del manejo de los recursos financieros, en su administración, aplicación y custodia, con total apego a la normatividad vigente;</w:t>
      </w:r>
    </w:p>
    <w:p w14:paraId="6A60EBEE" w14:textId="600D74E2" w:rsidR="00A36EF3" w:rsidRPr="00CB6D22" w:rsidRDefault="00A36EF3" w:rsidP="00CB6D22">
      <w:pPr>
        <w:pStyle w:val="NormalWeb"/>
        <w:spacing w:before="120" w:beforeAutospacing="0" w:after="120" w:afterAutospacing="0"/>
        <w:ind w:left="1134" w:right="851"/>
        <w:jc w:val="both"/>
        <w:rPr>
          <w:rFonts w:ascii="Palatino Linotype" w:eastAsia="Palatino Linotype" w:hAnsi="Palatino Linotype" w:cs="Palatino Linotype"/>
          <w:b/>
          <w:bCs/>
          <w:i/>
          <w:iCs/>
          <w:sz w:val="22"/>
          <w:szCs w:val="22"/>
        </w:rPr>
      </w:pPr>
      <w:r w:rsidRPr="00CB6D22">
        <w:rPr>
          <w:rFonts w:ascii="Palatino Linotype" w:eastAsia="Palatino Linotype" w:hAnsi="Palatino Linotype" w:cs="Palatino Linotype"/>
          <w:b/>
          <w:bCs/>
          <w:i/>
          <w:iCs/>
          <w:sz w:val="22"/>
          <w:szCs w:val="22"/>
        </w:rPr>
        <w:t>II. Administrar conforme a la normatividad vigente y principios contables, los recursos financieros, tomando en consideración el presupuesto aprobado y dando prioridad a los intereses del Organismo;</w:t>
      </w:r>
    </w:p>
    <w:p w14:paraId="18830BAA" w14:textId="5105CD06" w:rsidR="00A36EF3" w:rsidRPr="00CB6D22" w:rsidRDefault="00A36EF3"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III. Integrar, administrar, vigilar y controlar los presupuestos de ingresos y egresos de conformidad con las disposiciones legales aplicables;</w:t>
      </w:r>
    </w:p>
    <w:p w14:paraId="56B8BF0D" w14:textId="50BE5A25" w:rsidR="00A36EF3" w:rsidRPr="00CB6D22" w:rsidRDefault="00A36EF3"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IV. Analizar las opciones de endeudamiento y cumplir con las que lleguen a contratar, con la finalidad de tener finanzas sanas;</w:t>
      </w:r>
    </w:p>
    <w:p w14:paraId="6EE9B0DA" w14:textId="77777777" w:rsidR="00A36EF3" w:rsidRPr="00CB6D22" w:rsidRDefault="00A36EF3"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 xml:space="preserve">V. Hacer un análisis y evaluación para la contratación de bienes y servicios; </w:t>
      </w:r>
    </w:p>
    <w:p w14:paraId="22C3CBFB" w14:textId="655AFEB1" w:rsidR="00A36EF3" w:rsidRPr="00CB6D22" w:rsidRDefault="00A36EF3"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lastRenderedPageBreak/>
        <w:t>VI. Planear la provisión de bienes y servicios de las Dependencias Administrativas;</w:t>
      </w:r>
    </w:p>
    <w:p w14:paraId="4561AFFA" w14:textId="2D21B995" w:rsidR="00A36EF3" w:rsidRPr="00CB6D22" w:rsidRDefault="00A36EF3"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VII. Proveer a las Dependencias Administrativas a través del Departamento de Recursos Humanos, de personal capacitado y con el perfil requerido;</w:t>
      </w:r>
    </w:p>
    <w:p w14:paraId="1B66B0C3" w14:textId="078C25C0" w:rsidR="00A36EF3" w:rsidRPr="00CB6D22" w:rsidRDefault="00A36EF3"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VIII. Programar el pago de las obligaciones a cargo del Organismo, en atención al presupuesto aprobado;</w:t>
      </w:r>
    </w:p>
    <w:p w14:paraId="19E88FA2" w14:textId="3950497E" w:rsidR="00A36EF3" w:rsidRPr="00CB6D22" w:rsidRDefault="00A36EF3"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IX. Llevar a cabo los procedimientos de adjudicación para las adquisiciones, arrendamientos y contratación de servicios, en término de la normatividad aplicable;</w:t>
      </w:r>
    </w:p>
    <w:p w14:paraId="5B4110BF" w14:textId="7BC0200F" w:rsidR="00A36EF3" w:rsidRPr="00CB6D22" w:rsidRDefault="00A36EF3"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 Establecer, controlar y evaluar el programa de protección civil del Organismo;</w:t>
      </w:r>
    </w:p>
    <w:p w14:paraId="505A9CF2" w14:textId="77777777"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b/>
          <w:bCs/>
          <w:i/>
          <w:iCs/>
          <w:sz w:val="22"/>
          <w:szCs w:val="22"/>
        </w:rPr>
      </w:pPr>
      <w:r w:rsidRPr="00CB6D22">
        <w:rPr>
          <w:rFonts w:ascii="Palatino Linotype" w:eastAsia="Palatino Linotype" w:hAnsi="Palatino Linotype" w:cs="Palatino Linotype"/>
          <w:b/>
          <w:bCs/>
          <w:i/>
          <w:iCs/>
          <w:sz w:val="22"/>
          <w:szCs w:val="22"/>
        </w:rPr>
        <w:t>XI. Administrar, salvaguardar y controlar las cuentas bancarias;</w:t>
      </w:r>
    </w:p>
    <w:p w14:paraId="0978888D" w14:textId="1A82CCF8"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XII. Supervisar que las áreas a su cargo, le entreguen en tiempo y forma la documentación requerida, para que a su vez se cumpla con los plazos establecidos por las autoridades;</w:t>
      </w:r>
    </w:p>
    <w:p w14:paraId="701B2DDC" w14:textId="77777777"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XIII. Custodiar los documentos mercantiles y títulos de crédito;</w:t>
      </w:r>
    </w:p>
    <w:p w14:paraId="5DBB4A4E" w14:textId="77777777"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b/>
          <w:bCs/>
          <w:i/>
          <w:iCs/>
          <w:sz w:val="22"/>
          <w:szCs w:val="22"/>
        </w:rPr>
      </w:pPr>
      <w:r w:rsidRPr="00CB6D22">
        <w:rPr>
          <w:rFonts w:ascii="Palatino Linotype" w:eastAsia="Palatino Linotype" w:hAnsi="Palatino Linotype" w:cs="Palatino Linotype"/>
          <w:b/>
          <w:bCs/>
          <w:i/>
          <w:iCs/>
          <w:sz w:val="22"/>
          <w:szCs w:val="22"/>
        </w:rPr>
        <w:t>XIV. Supervisar la contabilidad financiera y presupuestal;</w:t>
      </w:r>
    </w:p>
    <w:p w14:paraId="33764EED" w14:textId="5A5CEA53"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XV. Entregar en tiempo y forma el presupuesto anual, los informes trimestrales, la cuenta pública y demás a los que esté obligado el Organismo conforme a la normatividad vigente;</w:t>
      </w:r>
    </w:p>
    <w:p w14:paraId="174C9AED" w14:textId="5A326FCD"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XVI. Gestionar la publicación anual en la Gaceta de Gobierno y en la Gaceta Municipal, del presupuesto anual;</w:t>
      </w:r>
    </w:p>
    <w:p w14:paraId="70E046B8" w14:textId="77777777"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XVII. Analizar y proponer opciones para la contratación de créditos;</w:t>
      </w:r>
    </w:p>
    <w:p w14:paraId="3C9E1124" w14:textId="0CFC7A06"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XVIII. Elaborar políticas, normas y procedimientos que, en materia de recursos humanos, materiales, financieros y servicios generales se requieran para la operación del Organismo, a efecto de acordarlas con el Director del Organismo y este las someta a aprobación del Consejo;</w:t>
      </w:r>
    </w:p>
    <w:p w14:paraId="1E065B0E" w14:textId="144DC45C"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XIX. Atender en el ámbito de su competencia, los asuntos que le encomiende el Director del Organismo; y</w:t>
      </w:r>
    </w:p>
    <w:p w14:paraId="4F71E162" w14:textId="78977D9F"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lastRenderedPageBreak/>
        <w:t>XX. Controlar y verificar la aplicación del presupuesto de las unidades administrativas del Organismo;</w:t>
      </w:r>
    </w:p>
    <w:p w14:paraId="5DB8E630" w14:textId="360DB946"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XXI. Conducir, en coordinación con el Subdirector de Operación Hidráulica, los procedimientos para contratación de obras públicas;</w:t>
      </w:r>
    </w:p>
    <w:p w14:paraId="1C669131" w14:textId="02782903"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XXII. Presidir los comités de adquisiciones, Arrendamientos, Servicios y Obras del Organismo;</w:t>
      </w:r>
    </w:p>
    <w:p w14:paraId="22E36772" w14:textId="1D7B8A43"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XXIII. Vigilar el cumplimiento de los Contratos de Adquisiciones, Arrendamientos y Servicios;</w:t>
      </w:r>
    </w:p>
    <w:p w14:paraId="039D689B" w14:textId="24DF5545"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XXIV. Llevar el registro, control, mantenimiento y conservación de los bienes muebles e inmuebles asignados a las Unidades Administrativas del Organismo;</w:t>
      </w:r>
    </w:p>
    <w:p w14:paraId="48C2A826" w14:textId="26D70252"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 xml:space="preserve">XXV. Administrar, controlar y mantener el Parque Vehicular del Organismo; y, </w:t>
      </w:r>
    </w:p>
    <w:p w14:paraId="149ADB9C" w14:textId="04378C40" w:rsidR="00CB6D22" w:rsidRPr="00CB6D22" w:rsidRDefault="00CB6D22" w:rsidP="00CB6D22">
      <w:pPr>
        <w:pStyle w:val="NormalWeb"/>
        <w:spacing w:before="120" w:beforeAutospacing="0" w:after="120" w:afterAutospacing="0"/>
        <w:ind w:left="1134" w:right="851"/>
        <w:jc w:val="both"/>
        <w:rPr>
          <w:rFonts w:ascii="Palatino Linotype" w:eastAsia="Palatino Linotype" w:hAnsi="Palatino Linotype" w:cs="Palatino Linotype"/>
          <w:i/>
          <w:iCs/>
          <w:sz w:val="22"/>
          <w:szCs w:val="22"/>
        </w:rPr>
      </w:pPr>
      <w:r w:rsidRPr="00CB6D22">
        <w:rPr>
          <w:rFonts w:ascii="Palatino Linotype" w:eastAsia="Palatino Linotype" w:hAnsi="Palatino Linotype" w:cs="Palatino Linotype"/>
          <w:i/>
          <w:iCs/>
          <w:sz w:val="22"/>
          <w:szCs w:val="22"/>
        </w:rPr>
        <w:t>XXVI. Las que le señale su superior inmediato, el Consejo, las leyes, reglamentos y demás disposiciones jurídicas aplicables.”</w:t>
      </w:r>
    </w:p>
    <w:p w14:paraId="327C6782" w14:textId="22527F7C" w:rsidR="00F6243F" w:rsidRDefault="00CB6D22" w:rsidP="00616E05">
      <w:pPr>
        <w:pStyle w:val="NormalWeb"/>
        <w:spacing w:before="240" w:beforeAutospacing="0" w:after="240" w:afterAutospacing="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Como se advierte la Subdirección de Administración y Finanzas es el área legalmente facultada para generar, administrar o poseer la información de mérito, en el ejercicio de sus atribuciones o competencias.</w:t>
      </w:r>
    </w:p>
    <w:p w14:paraId="4B26E78B" w14:textId="123F4D59" w:rsidR="00CB6D22" w:rsidRPr="00FB229B" w:rsidRDefault="00CB6D22" w:rsidP="00CB6D22">
      <w:pPr>
        <w:autoSpaceDE w:val="0"/>
        <w:autoSpaceDN w:val="0"/>
        <w:adjustRightInd w:val="0"/>
        <w:spacing w:before="240" w:after="360" w:line="360" w:lineRule="auto"/>
        <w:ind w:right="18"/>
        <w:jc w:val="both"/>
        <w:rPr>
          <w:rFonts w:ascii="Palatino Linotype" w:hAnsi="Palatino Linotype" w:cs="Arial"/>
          <w:bCs/>
          <w:szCs w:val="22"/>
        </w:rPr>
      </w:pPr>
      <w:bookmarkStart w:id="8" w:name="_Hlk102515581"/>
      <w:r w:rsidRPr="00FB229B">
        <w:rPr>
          <w:rFonts w:ascii="Palatino Linotype" w:hAnsi="Palatino Linotype" w:cs="Arial"/>
          <w:szCs w:val="28"/>
        </w:rPr>
        <w:t xml:space="preserve">Por lo que, al haber existido </w:t>
      </w:r>
      <w:r w:rsidRPr="00FB229B">
        <w:rPr>
          <w:rFonts w:ascii="Palatino Linotype" w:hAnsi="Palatino Linotype" w:cs="Arial"/>
          <w:bCs/>
          <w:szCs w:val="22"/>
        </w:rPr>
        <w:t xml:space="preserve">un pronunciamiento por parte del </w:t>
      </w:r>
      <w:r w:rsidRPr="00A34A69">
        <w:rPr>
          <w:rFonts w:ascii="Palatino Linotype" w:hAnsi="Palatino Linotype" w:cs="Arial"/>
          <w:b/>
          <w:szCs w:val="22"/>
        </w:rPr>
        <w:t>Sujeto Obligado</w:t>
      </w:r>
      <w:r w:rsidR="00A34B34">
        <w:rPr>
          <w:rFonts w:ascii="Palatino Linotype" w:hAnsi="Palatino Linotype" w:cs="Arial"/>
          <w:bCs/>
          <w:szCs w:val="22"/>
        </w:rPr>
        <w:t xml:space="preserve">, a través del área competente </w:t>
      </w:r>
      <w:r w:rsidRPr="00FB229B">
        <w:rPr>
          <w:rFonts w:ascii="Palatino Linotype" w:hAnsi="Palatino Linotype" w:cs="Arial"/>
          <w:bCs/>
          <w:szCs w:val="22"/>
        </w:rPr>
        <w:t>respecto de la mate</w:t>
      </w:r>
      <w:r>
        <w:rPr>
          <w:rFonts w:ascii="Palatino Linotype" w:hAnsi="Palatino Linotype" w:cs="Arial"/>
          <w:bCs/>
          <w:szCs w:val="22"/>
        </w:rPr>
        <w:t>ria de</w:t>
      </w:r>
      <w:r w:rsidR="00A34B34">
        <w:rPr>
          <w:rFonts w:ascii="Palatino Linotype" w:hAnsi="Palatino Linotype" w:cs="Arial"/>
          <w:bCs/>
          <w:szCs w:val="22"/>
        </w:rPr>
        <w:t>l requerimiento de información, e</w:t>
      </w:r>
      <w:r>
        <w:rPr>
          <w:rFonts w:ascii="Palatino Linotype" w:hAnsi="Palatino Linotype" w:cs="Arial"/>
          <w:bCs/>
          <w:szCs w:val="22"/>
        </w:rPr>
        <w:t>ste Organismo</w:t>
      </w:r>
      <w:r w:rsidRPr="00FB229B">
        <w:rPr>
          <w:rFonts w:ascii="Palatino Linotype" w:hAnsi="Palatino Linotype" w:cs="Arial"/>
          <w:bCs/>
          <w:szCs w:val="22"/>
        </w:rPr>
        <w:t xml:space="preserve"> Garante no está facultado para manifestarse sobre la veracidad de lo </w:t>
      </w:r>
      <w:r>
        <w:rPr>
          <w:rFonts w:ascii="Palatino Linotype" w:hAnsi="Palatino Linotype" w:cs="Arial"/>
          <w:bCs/>
          <w:szCs w:val="22"/>
        </w:rPr>
        <w:t>expresado</w:t>
      </w:r>
      <w:r w:rsidRPr="00FB229B">
        <w:rPr>
          <w:rFonts w:ascii="Palatino Linotype" w:hAnsi="Palatino Linotype" w:cs="Arial"/>
          <w:bCs/>
          <w:szCs w:val="22"/>
        </w:rPr>
        <w:t xml:space="preserve"> por parte de este, pues no existe precepto legal alguno en la Ley de la materia que lo faculte para ello.</w:t>
      </w:r>
    </w:p>
    <w:p w14:paraId="2E8DA15B" w14:textId="77777777" w:rsidR="00CB6D22" w:rsidRPr="00FB229B" w:rsidRDefault="00CB6D22" w:rsidP="00CB6D22">
      <w:pPr>
        <w:autoSpaceDE w:val="0"/>
        <w:autoSpaceDN w:val="0"/>
        <w:adjustRightInd w:val="0"/>
        <w:spacing w:before="240" w:after="360" w:line="360" w:lineRule="auto"/>
        <w:ind w:right="18"/>
        <w:jc w:val="both"/>
        <w:rPr>
          <w:rFonts w:ascii="Palatino Linotype" w:hAnsi="Palatino Linotype"/>
        </w:rPr>
      </w:pPr>
      <w:r w:rsidRPr="00FB229B">
        <w:rPr>
          <w:rFonts w:ascii="Palatino Linotype" w:hAnsi="Palatino Linotype" w:cs="Arial"/>
          <w:bCs/>
          <w:szCs w:val="22"/>
        </w:rPr>
        <w:lastRenderedPageBreak/>
        <w:t>L</w:t>
      </w:r>
      <w:r w:rsidRPr="00FB229B">
        <w:rPr>
          <w:rFonts w:ascii="Palatino Linotype" w:hAnsi="Palatino Linotype" w:cs="Arial"/>
        </w:rPr>
        <w:t>o anterior se sustenta con lo plasmado en el criterio</w:t>
      </w:r>
      <w:r w:rsidRPr="00FB229B">
        <w:rPr>
          <w:rFonts w:ascii="Palatino Linotype" w:hAnsi="Palatino Linotype"/>
        </w:rPr>
        <w:t xml:space="preserve"> 31</w:t>
      </w:r>
      <w:r>
        <w:rPr>
          <w:rFonts w:ascii="Palatino Linotype" w:hAnsi="Palatino Linotype"/>
        </w:rPr>
        <w:t>/</w:t>
      </w:r>
      <w:r w:rsidRPr="00FB229B">
        <w:rPr>
          <w:rFonts w:ascii="Palatino Linotype" w:hAnsi="Palatino Linotype"/>
        </w:rPr>
        <w:t xml:space="preserve">10 emitido por el entonces Instituto Federal de Acceso a la Información y Protección de Datos (IFAI) ahora Instituto Nacional de Transparencia, Acceso a la Información, y Protección de Datos Personales (INAI), que lleva por rubro y texto los siguientes: </w:t>
      </w:r>
    </w:p>
    <w:p w14:paraId="0A73DC14" w14:textId="77777777" w:rsidR="00CB6D22" w:rsidRPr="00FB229B" w:rsidRDefault="00CB6D22" w:rsidP="00CB6D22">
      <w:pPr>
        <w:spacing w:before="240" w:after="240"/>
        <w:ind w:left="993" w:right="1041"/>
        <w:jc w:val="both"/>
        <w:rPr>
          <w:rFonts w:ascii="Palatino Linotype" w:hAnsi="Palatino Linotype"/>
          <w:i/>
          <w:sz w:val="22"/>
          <w:szCs w:val="22"/>
        </w:rPr>
      </w:pPr>
      <w:r w:rsidRPr="00FB229B">
        <w:rPr>
          <w:rFonts w:ascii="Palatino Linotype" w:hAnsi="Palatino Linotype"/>
          <w:i/>
          <w:sz w:val="22"/>
          <w:szCs w:val="22"/>
        </w:rPr>
        <w:t>“</w:t>
      </w:r>
      <w:r w:rsidRPr="00FB229B">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FB229B">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8"/>
    <w:p w14:paraId="784A7B95" w14:textId="77777777" w:rsidR="00A34B34" w:rsidRDefault="00A34B3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tesitura, se estima que la información remitida por el </w:t>
      </w:r>
      <w:r>
        <w:rPr>
          <w:rFonts w:ascii="Palatino Linotype" w:eastAsia="Palatino Linotype" w:hAnsi="Palatino Linotype" w:cs="Palatino Linotype"/>
          <w:b/>
          <w:bCs/>
        </w:rPr>
        <w:t xml:space="preserve">Sujeto Obligado </w:t>
      </w:r>
      <w:r>
        <w:rPr>
          <w:rFonts w:ascii="Palatino Linotype" w:eastAsia="Palatino Linotype" w:hAnsi="Palatino Linotype" w:cs="Palatino Linotype"/>
        </w:rPr>
        <w:t>en la etapa de manifestaciones</w:t>
      </w:r>
      <w:r>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es suficiente </w:t>
      </w:r>
      <w:r w:rsidR="00607A40" w:rsidRPr="00607A40">
        <w:rPr>
          <w:rFonts w:ascii="Palatino Linotype" w:eastAsia="Palatino Linotype" w:hAnsi="Palatino Linotype" w:cs="Palatino Linotype"/>
        </w:rPr>
        <w:t>para tener por atendido el</w:t>
      </w:r>
      <w:r>
        <w:rPr>
          <w:rFonts w:ascii="Palatino Linotype" w:eastAsia="Palatino Linotype" w:hAnsi="Palatino Linotype" w:cs="Palatino Linotype"/>
        </w:rPr>
        <w:t xml:space="preserve"> derecho de acceso a la información de la persona solicitante.</w:t>
      </w:r>
    </w:p>
    <w:p w14:paraId="5DABF480"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Por ende, se estima que se actualiza el artículo 192, fracción III de la Ley de Transparencia y Acceso a la Información Pública del Estado de México y Municipios vigente, a saber:</w:t>
      </w:r>
    </w:p>
    <w:p w14:paraId="28CFB615" w14:textId="77777777" w:rsidR="00444F34" w:rsidRPr="00607A40" w:rsidRDefault="00607A40">
      <w:pPr>
        <w:spacing w:before="240" w:after="240"/>
        <w:ind w:left="851"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lastRenderedPageBreak/>
        <w:t>“</w:t>
      </w:r>
      <w:r w:rsidRPr="00607A40">
        <w:rPr>
          <w:rFonts w:ascii="Palatino Linotype" w:eastAsia="Palatino Linotype" w:hAnsi="Palatino Linotype" w:cs="Palatino Linotype"/>
          <w:b/>
          <w:i/>
          <w:sz w:val="22"/>
          <w:szCs w:val="22"/>
        </w:rPr>
        <w:t>Artículo 192</w:t>
      </w:r>
      <w:r w:rsidRPr="00607A40">
        <w:rPr>
          <w:rFonts w:ascii="Palatino Linotype" w:eastAsia="Palatino Linotype" w:hAnsi="Palatino Linotype" w:cs="Palatino Linotype"/>
          <w:i/>
          <w:sz w:val="22"/>
          <w:szCs w:val="22"/>
        </w:rPr>
        <w:t xml:space="preserve">. </w:t>
      </w:r>
      <w:r w:rsidRPr="00607A40">
        <w:rPr>
          <w:rFonts w:ascii="Palatino Linotype" w:eastAsia="Palatino Linotype" w:hAnsi="Palatino Linotype" w:cs="Palatino Linotype"/>
          <w:b/>
          <w:i/>
          <w:sz w:val="22"/>
          <w:szCs w:val="22"/>
        </w:rPr>
        <w:t>El recurso será sobreseído</w:t>
      </w:r>
      <w:r w:rsidRPr="00607A40">
        <w:rPr>
          <w:rFonts w:ascii="Palatino Linotype" w:eastAsia="Palatino Linotype" w:hAnsi="Palatino Linotype" w:cs="Palatino Linotype"/>
          <w:i/>
          <w:sz w:val="22"/>
          <w:szCs w:val="22"/>
        </w:rPr>
        <w:t xml:space="preserve">, </w:t>
      </w:r>
      <w:r w:rsidRPr="00607A40">
        <w:rPr>
          <w:rFonts w:ascii="Palatino Linotype" w:eastAsia="Palatino Linotype" w:hAnsi="Palatino Linotype" w:cs="Palatino Linotype"/>
          <w:b/>
          <w:i/>
          <w:sz w:val="22"/>
          <w:szCs w:val="22"/>
        </w:rPr>
        <w:t>en todo o en parte,</w:t>
      </w:r>
      <w:r w:rsidRPr="00607A40">
        <w:rPr>
          <w:rFonts w:ascii="Palatino Linotype" w:eastAsia="Palatino Linotype" w:hAnsi="Palatino Linotype" w:cs="Palatino Linotype"/>
          <w:i/>
          <w:sz w:val="22"/>
          <w:szCs w:val="22"/>
        </w:rPr>
        <w:t xml:space="preserve"> </w:t>
      </w:r>
      <w:r w:rsidRPr="00607A40">
        <w:rPr>
          <w:rFonts w:ascii="Palatino Linotype" w:eastAsia="Palatino Linotype" w:hAnsi="Palatino Linotype" w:cs="Palatino Linotype"/>
          <w:b/>
          <w:i/>
          <w:sz w:val="22"/>
          <w:szCs w:val="22"/>
        </w:rPr>
        <w:t>cuando una vez admitido, se actualicen alguno de los siguientes supuestos</w:t>
      </w:r>
      <w:r w:rsidRPr="00607A40">
        <w:rPr>
          <w:rFonts w:ascii="Palatino Linotype" w:eastAsia="Palatino Linotype" w:hAnsi="Palatino Linotype" w:cs="Palatino Linotype"/>
          <w:i/>
          <w:sz w:val="22"/>
          <w:szCs w:val="22"/>
        </w:rPr>
        <w:t xml:space="preserve">: </w:t>
      </w:r>
    </w:p>
    <w:p w14:paraId="43890677" w14:textId="77777777" w:rsidR="00444F34" w:rsidRPr="00607A40" w:rsidRDefault="00607A40">
      <w:pPr>
        <w:spacing w:before="240" w:after="240"/>
        <w:ind w:left="1134"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w:t>
      </w:r>
    </w:p>
    <w:p w14:paraId="7AC9DDF7" w14:textId="77777777" w:rsidR="00444F34" w:rsidRPr="00607A40" w:rsidRDefault="00607A40">
      <w:pPr>
        <w:spacing w:before="240" w:after="240"/>
        <w:ind w:left="1134"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607A40">
        <w:rPr>
          <w:rFonts w:ascii="Palatino Linotype" w:eastAsia="Palatino Linotype" w:hAnsi="Palatino Linotype" w:cs="Palatino Linotype"/>
          <w:i/>
          <w:sz w:val="22"/>
          <w:szCs w:val="22"/>
        </w:rPr>
        <w:t>”</w:t>
      </w:r>
    </w:p>
    <w:p w14:paraId="2D554BA9"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De lo establecido en el precepto legal citado se advierte que el sobreseimiento del recurso de revisión procede en los siguientes casos</w:t>
      </w:r>
    </w:p>
    <w:p w14:paraId="3C4460D8" w14:textId="77777777" w:rsidR="00444F34" w:rsidRPr="00607A40" w:rsidRDefault="00607A40">
      <w:pPr>
        <w:spacing w:before="240" w:after="240" w:line="360" w:lineRule="auto"/>
        <w:ind w:left="284"/>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a) Cuando el sujeto obligado modifique el acto impugnado. </w:t>
      </w:r>
    </w:p>
    <w:p w14:paraId="26441F21" w14:textId="77777777" w:rsidR="00444F34" w:rsidRPr="00607A40" w:rsidRDefault="00607A40">
      <w:pPr>
        <w:spacing w:before="240" w:after="240" w:line="360" w:lineRule="auto"/>
        <w:ind w:left="284"/>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b) Cuando el sujeto obligado revoque el acto impugnado; </w:t>
      </w:r>
    </w:p>
    <w:p w14:paraId="1E6AF49B"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Quedando en ambos casos el acto combatido sin materia o sin efectos.</w:t>
      </w:r>
    </w:p>
    <w:p w14:paraId="083699F5"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14:paraId="31BCEF99"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38407EC6"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lastRenderedPageBreak/>
        <w:t>En este orden de ideas, un acto impugnado queda sin efectos, cuando aun existiendo jurídicamente (esto es, que no se ha modificado, ni revocado) ya no genera ninguna consecuencia legal.</w:t>
      </w:r>
    </w:p>
    <w:p w14:paraId="1D4C42A1" w14:textId="77777777"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71196AFB" w14:textId="77777777" w:rsidR="00FF16E6" w:rsidRDefault="00607A40" w:rsidP="00FF16E6">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De lo hasta aquí expuesto, resulta evidente que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modificó la respuesta a la solicitud de acceso a la información pública de la persona solicitante, al proporcionar la in</w:t>
      </w:r>
      <w:r w:rsidR="00FF16E6">
        <w:rPr>
          <w:rFonts w:ascii="Palatino Linotype" w:eastAsia="Palatino Linotype" w:hAnsi="Palatino Linotype" w:cs="Palatino Linotype"/>
        </w:rPr>
        <w:t>formación que le fue requerida</w:t>
      </w:r>
      <w:r w:rsidRPr="00607A40">
        <w:rPr>
          <w:rFonts w:ascii="Palatino Linotype" w:eastAsia="Palatino Linotype" w:hAnsi="Palatino Linotype" w:cs="Palatino Linotype"/>
        </w:rPr>
        <w:t>,</w:t>
      </w:r>
      <w:r w:rsidR="00FF16E6">
        <w:rPr>
          <w:rFonts w:ascii="Palatino Linotype" w:eastAsia="Palatino Linotype" w:hAnsi="Palatino Linotype" w:cs="Palatino Linotype"/>
        </w:rPr>
        <w:t xml:space="preserve"> aunque ello haya sido de manera posterior a su respuesta inicia, </w:t>
      </w:r>
      <w:r w:rsidRPr="00607A40">
        <w:rPr>
          <w:rFonts w:ascii="Palatino Linotype" w:eastAsia="Palatino Linotype" w:hAnsi="Palatino Linotype" w:cs="Palatino Linotype"/>
        </w:rPr>
        <w:t xml:space="preserve">por tal motivo, debe tenerse que con lo entregado por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se satisface la solicitud planteada, con lo cual quedo sin materia el presente recurso de revisión, actualizándose </w:t>
      </w:r>
      <w:r w:rsidR="00FF16E6">
        <w:rPr>
          <w:rFonts w:ascii="Palatino Linotype" w:eastAsia="Palatino Linotype" w:hAnsi="Palatino Linotype" w:cs="Palatino Linotype"/>
        </w:rPr>
        <w:t>entonces</w:t>
      </w:r>
      <w:r w:rsidRPr="00607A40">
        <w:rPr>
          <w:rFonts w:ascii="Palatino Linotype" w:eastAsia="Palatino Linotype" w:hAnsi="Palatino Linotype" w:cs="Palatino Linotype"/>
        </w:rPr>
        <w:t xml:space="preserve">, la causal prevista en la fracción III del artículo 192 </w:t>
      </w:r>
      <w:r w:rsidR="00FF16E6">
        <w:rPr>
          <w:rFonts w:ascii="Palatino Linotype" w:eastAsia="Palatino Linotype" w:hAnsi="Palatino Linotype" w:cs="Palatino Linotype"/>
        </w:rPr>
        <w:t xml:space="preserve">de la Ley de la Materia vigente en la Entidad, antes transcrita. </w:t>
      </w:r>
    </w:p>
    <w:p w14:paraId="7E1904E3" w14:textId="77777777" w:rsidR="00444F34" w:rsidRPr="00607A40" w:rsidRDefault="00607A40">
      <w:pPr>
        <w:spacing w:before="240" w:after="240" w:line="360" w:lineRule="auto"/>
        <w:jc w:val="both"/>
        <w:rPr>
          <w:rFonts w:ascii="Palatino Linotype" w:eastAsia="Palatino Linotype" w:hAnsi="Palatino Linotype" w:cs="Palatino Linotype"/>
          <w:b/>
        </w:rPr>
      </w:pPr>
      <w:r w:rsidRPr="00607A40">
        <w:rPr>
          <w:rFonts w:ascii="Palatino Linotype" w:eastAsia="Palatino Linotype" w:hAnsi="Palatino Linotype" w:cs="Palatino Linotype"/>
        </w:rPr>
        <w:t xml:space="preserve">Siendo el </w:t>
      </w:r>
      <w:r w:rsidRPr="00607A40">
        <w:rPr>
          <w:rFonts w:ascii="Palatino Linotype" w:eastAsia="Palatino Linotype" w:hAnsi="Palatino Linotype" w:cs="Palatino Linotype"/>
          <w:i/>
        </w:rPr>
        <w:t>sobreseimiento</w:t>
      </w:r>
      <w:r w:rsidRPr="00607A40">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w:t>
      </w:r>
      <w:r w:rsidRPr="00607A40">
        <w:rPr>
          <w:rFonts w:ascii="Palatino Linotype" w:eastAsia="Palatino Linotype" w:hAnsi="Palatino Linotype" w:cs="Palatino Linotype"/>
        </w:rPr>
        <w:lastRenderedPageBreak/>
        <w:t xml:space="preserve">de revisión, lo anterior con apoyo en el criterio del Poder Judicial de la Federación con rubro: </w:t>
      </w:r>
      <w:r w:rsidRPr="00607A40">
        <w:rPr>
          <w:rFonts w:ascii="Palatino Linotype" w:eastAsia="Palatino Linotype" w:hAnsi="Palatino Linotype" w:cs="Palatino Linotype"/>
          <w:b/>
        </w:rPr>
        <w:t>SOBRESEIMIENTO, NO PERMITE ENTRAR AL ESTUDIO DE LAS CUESTIONES DE FONDO</w:t>
      </w:r>
      <w:r w:rsidRPr="00607A40">
        <w:rPr>
          <w:rFonts w:ascii="Palatino Linotype" w:eastAsia="Palatino Linotype" w:hAnsi="Palatino Linotype" w:cs="Palatino Linotype"/>
          <w:b/>
          <w:vertAlign w:val="superscript"/>
        </w:rPr>
        <w:footnoteReference w:id="3"/>
      </w:r>
      <w:r w:rsidRPr="00607A40">
        <w:rPr>
          <w:rFonts w:ascii="Palatino Linotype" w:eastAsia="Palatino Linotype" w:hAnsi="Palatino Linotype" w:cs="Palatino Linotype"/>
          <w:b/>
        </w:rPr>
        <w:t>.</w:t>
      </w:r>
    </w:p>
    <w:p w14:paraId="20DD65B6" w14:textId="09832FF6" w:rsidR="00444F34" w:rsidRDefault="00607A4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893CAA9" w14:textId="77777777" w:rsidR="00444F34" w:rsidRPr="00607A40" w:rsidRDefault="00607A4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07A40">
        <w:rPr>
          <w:rFonts w:ascii="Palatino Linotype" w:eastAsia="Palatino Linotype" w:hAnsi="Palatino Linotype" w:cs="Palatino Linotype"/>
          <w:b/>
        </w:rPr>
        <w:t>III. R E S U E L V E:</w:t>
      </w:r>
    </w:p>
    <w:p w14:paraId="0FB1CEBA" w14:textId="77777777" w:rsidR="000A1A76" w:rsidRPr="00A97581" w:rsidRDefault="00607A40" w:rsidP="00B07398">
      <w:pPr>
        <w:spacing w:before="240" w:after="240"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607A40">
        <w:rPr>
          <w:rFonts w:ascii="Palatino Linotype" w:eastAsia="Palatino Linotype" w:hAnsi="Palatino Linotype" w:cs="Palatino Linotype"/>
          <w:b/>
        </w:rPr>
        <w:t xml:space="preserve">Primero. </w:t>
      </w:r>
      <w:r w:rsidRPr="00607A40">
        <w:rPr>
          <w:rFonts w:ascii="Palatino Linotype" w:eastAsia="Palatino Linotype" w:hAnsi="Palatino Linotype" w:cs="Palatino Linotype"/>
        </w:rPr>
        <w:t>Se</w:t>
      </w:r>
      <w:r w:rsidRPr="00607A40">
        <w:rPr>
          <w:rFonts w:ascii="Palatino Linotype" w:eastAsia="Palatino Linotype" w:hAnsi="Palatino Linotype" w:cs="Palatino Linotype"/>
          <w:b/>
        </w:rPr>
        <w:t xml:space="preserve"> Sobresee </w:t>
      </w:r>
      <w:r w:rsidRPr="00607A40">
        <w:rPr>
          <w:rFonts w:ascii="Palatino Linotype" w:eastAsia="Palatino Linotype" w:hAnsi="Palatino Linotype" w:cs="Palatino Linotype"/>
        </w:rPr>
        <w:t xml:space="preserve">el recurso de revisión número </w:t>
      </w:r>
      <w:r w:rsidRPr="00607A40">
        <w:rPr>
          <w:rFonts w:ascii="Palatino Linotype" w:eastAsia="Palatino Linotype" w:hAnsi="Palatino Linotype" w:cs="Palatino Linotype"/>
          <w:b/>
        </w:rPr>
        <w:t>0</w:t>
      </w:r>
      <w:r w:rsidR="00A34B34">
        <w:rPr>
          <w:rFonts w:ascii="Palatino Linotype" w:eastAsia="Palatino Linotype" w:hAnsi="Palatino Linotype" w:cs="Palatino Linotype"/>
          <w:b/>
        </w:rPr>
        <w:t>6829</w:t>
      </w:r>
      <w:r w:rsidRPr="00607A40">
        <w:rPr>
          <w:rFonts w:ascii="Palatino Linotype" w:eastAsia="Palatino Linotype" w:hAnsi="Palatino Linotype" w:cs="Palatino Linotype"/>
          <w:b/>
        </w:rPr>
        <w:t xml:space="preserve">/INFOEM/IP/RR/2022, </w:t>
      </w:r>
      <w:r w:rsidR="000A1A76" w:rsidRPr="00A97581">
        <w:rPr>
          <w:rFonts w:ascii="Palatino Linotype" w:eastAsia="Palatino Linotype" w:hAnsi="Palatino Linotype" w:cs="Palatino Linotype"/>
          <w:color w:val="000000" w:themeColor="text1"/>
        </w:rPr>
        <w:t xml:space="preserve">porque al </w:t>
      </w:r>
      <w:r w:rsidR="000A1A76" w:rsidRPr="00A97581">
        <w:rPr>
          <w:rFonts w:ascii="Palatino Linotype" w:eastAsia="Palatino Linotype" w:hAnsi="Palatino Linotype" w:cs="Palatino Linotype"/>
          <w:b/>
          <w:color w:val="000000" w:themeColor="text1"/>
        </w:rPr>
        <w:t>modificar la respuesta</w:t>
      </w:r>
      <w:r w:rsidR="000A1A76" w:rsidRPr="00A97581">
        <w:rPr>
          <w:rFonts w:ascii="Palatino Linotype" w:eastAsia="Palatino Linotype" w:hAnsi="Palatino Linotype" w:cs="Palatino Linotype"/>
          <w:color w:val="000000" w:themeColor="text1"/>
        </w:rPr>
        <w:t xml:space="preserve"> se actualizó la causal prevista en el artículo 192, fracción III, de la Ley de Transparencia y Acceso a la Información Pública del Estado de México y Municipios, quedando sin materia en términos del considerando </w:t>
      </w:r>
      <w:r w:rsidR="000A1A76" w:rsidRPr="00A97581">
        <w:rPr>
          <w:rFonts w:ascii="Palatino Linotype" w:eastAsia="Palatino Linotype" w:hAnsi="Palatino Linotype" w:cs="Palatino Linotype"/>
          <w:b/>
          <w:color w:val="000000" w:themeColor="text1"/>
        </w:rPr>
        <w:t xml:space="preserve">Tercero </w:t>
      </w:r>
      <w:r w:rsidR="000A1A76" w:rsidRPr="00A97581">
        <w:rPr>
          <w:rFonts w:ascii="Palatino Linotype" w:eastAsia="Palatino Linotype" w:hAnsi="Palatino Linotype" w:cs="Palatino Linotype"/>
          <w:color w:val="000000" w:themeColor="text1"/>
        </w:rPr>
        <w:t>de la presente Resolución.</w:t>
      </w:r>
    </w:p>
    <w:p w14:paraId="38CFE0A1" w14:textId="77777777" w:rsidR="000A1A76" w:rsidRDefault="00607A40" w:rsidP="00B07398">
      <w:pPr>
        <w:spacing w:before="240" w:after="240" w:line="360" w:lineRule="auto"/>
        <w:jc w:val="both"/>
        <w:rPr>
          <w:rFonts w:ascii="Palatino Linotype" w:eastAsia="Palatino Linotype" w:hAnsi="Palatino Linotype" w:cs="Palatino Linotype"/>
          <w:color w:val="000000" w:themeColor="text1"/>
        </w:rPr>
      </w:pPr>
      <w:r w:rsidRPr="00607A40">
        <w:rPr>
          <w:rFonts w:ascii="Palatino Linotype" w:eastAsia="Palatino Linotype" w:hAnsi="Palatino Linotype" w:cs="Palatino Linotype"/>
          <w:b/>
        </w:rPr>
        <w:lastRenderedPageBreak/>
        <w:t xml:space="preserve">Segundo. </w:t>
      </w:r>
      <w:r w:rsidR="000A1A76" w:rsidRPr="00A97581">
        <w:rPr>
          <w:rFonts w:ascii="Palatino Linotype" w:eastAsia="Palatino Linotype" w:hAnsi="Palatino Linotype" w:cs="Palatino Linotype"/>
          <w:b/>
          <w:color w:val="000000" w:themeColor="text1"/>
          <w:highlight w:val="white"/>
        </w:rPr>
        <w:t xml:space="preserve">Notifíquese vía </w:t>
      </w:r>
      <w:r w:rsidR="000A1A76" w:rsidRPr="00A97581">
        <w:rPr>
          <w:rFonts w:ascii="Palatino Linotype" w:eastAsia="Palatino Linotype" w:hAnsi="Palatino Linotype" w:cs="Palatino Linotype"/>
          <w:color w:val="000000" w:themeColor="text1"/>
        </w:rPr>
        <w:t>Sistema de Acceso a la Información Mexiquense (</w:t>
      </w:r>
      <w:r w:rsidR="000A1A76" w:rsidRPr="00A97581">
        <w:rPr>
          <w:rFonts w:ascii="Palatino Linotype" w:eastAsia="Palatino Linotype" w:hAnsi="Palatino Linotype" w:cs="Palatino Linotype"/>
          <w:b/>
          <w:color w:val="000000" w:themeColor="text1"/>
          <w:highlight w:val="white"/>
        </w:rPr>
        <w:t>SAIMEX)</w:t>
      </w:r>
      <w:r w:rsidR="000A1A76" w:rsidRPr="00A97581">
        <w:rPr>
          <w:rFonts w:ascii="Palatino Linotype" w:eastAsia="Palatino Linotype" w:hAnsi="Palatino Linotype" w:cs="Palatino Linotype"/>
          <w:b/>
          <w:i/>
          <w:color w:val="000000" w:themeColor="text1"/>
          <w:highlight w:val="white"/>
        </w:rPr>
        <w:t xml:space="preserve">, </w:t>
      </w:r>
      <w:r w:rsidR="000A1A76" w:rsidRPr="00A97581">
        <w:rPr>
          <w:rFonts w:ascii="Palatino Linotype" w:eastAsia="Palatino Linotype" w:hAnsi="Palatino Linotype" w:cs="Palatino Linotype"/>
          <w:color w:val="000000" w:themeColor="text1"/>
          <w:highlight w:val="white"/>
        </w:rPr>
        <w:t xml:space="preserve">al Titular de la Unidad de Transparencia del </w:t>
      </w:r>
      <w:r w:rsidR="000A1A76" w:rsidRPr="00A97581">
        <w:rPr>
          <w:rFonts w:ascii="Palatino Linotype" w:eastAsia="Palatino Linotype" w:hAnsi="Palatino Linotype" w:cs="Palatino Linotype"/>
          <w:b/>
          <w:color w:val="000000" w:themeColor="text1"/>
          <w:highlight w:val="white"/>
        </w:rPr>
        <w:t>SUJETO OBLIGADO</w:t>
      </w:r>
      <w:r w:rsidR="000A1A76" w:rsidRPr="00A97581">
        <w:rPr>
          <w:rFonts w:ascii="Palatino Linotype" w:eastAsia="Palatino Linotype" w:hAnsi="Palatino Linotype" w:cs="Palatino Linotype"/>
          <w:color w:val="000000" w:themeColor="text1"/>
          <w:highlight w:val="white"/>
        </w:rPr>
        <w:t xml:space="preserve"> la presente resolución, para su conocimiento.</w:t>
      </w:r>
      <w:bookmarkStart w:id="10" w:name="_GoBack"/>
      <w:bookmarkEnd w:id="10"/>
    </w:p>
    <w:p w14:paraId="7D346759" w14:textId="19E95263" w:rsidR="00444F34" w:rsidRDefault="00607A40" w:rsidP="00B07398">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 xml:space="preserve">Tercero. Notifíquese, </w:t>
      </w:r>
      <w:r w:rsidRPr="00607A40">
        <w:rPr>
          <w:rFonts w:ascii="Palatino Linotype" w:eastAsia="Palatino Linotype" w:hAnsi="Palatino Linotype" w:cs="Palatino Linotype"/>
        </w:rPr>
        <w:t>vía</w:t>
      </w:r>
      <w:r w:rsidRPr="00607A40">
        <w:rPr>
          <w:rFonts w:ascii="Palatino Linotype" w:eastAsia="Palatino Linotype" w:hAnsi="Palatino Linotype" w:cs="Palatino Linotype"/>
          <w:b/>
        </w:rPr>
        <w:t xml:space="preserve"> SAIMEX</w:t>
      </w:r>
      <w:r w:rsidRPr="00607A40">
        <w:rPr>
          <w:rFonts w:ascii="Palatino Linotype" w:eastAsia="Palatino Linotype" w:hAnsi="Palatino Linotype" w:cs="Palatino Linotype"/>
        </w:rPr>
        <w:t>, a</w:t>
      </w:r>
      <w:r w:rsidRPr="00607A40">
        <w:rPr>
          <w:rFonts w:ascii="Palatino Linotype" w:eastAsia="Palatino Linotype" w:hAnsi="Palatino Linotype" w:cs="Palatino Linotype"/>
          <w:b/>
        </w:rPr>
        <w:t xml:space="preserve"> </w:t>
      </w:r>
      <w:r w:rsidRPr="00607A40">
        <w:rPr>
          <w:rFonts w:ascii="Palatino Linotype" w:eastAsia="Palatino Linotype" w:hAnsi="Palatino Linotype" w:cs="Palatino Linotype"/>
        </w:rPr>
        <w:t xml:space="preserve">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5E6DCEB8" w14:textId="4FBD9504" w:rsidR="00444F34" w:rsidRDefault="00607A40" w:rsidP="00B07398">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w:t>
      </w:r>
      <w:r w:rsidR="007E6822">
        <w:rPr>
          <w:rFonts w:ascii="Palatino Linotype" w:eastAsia="Palatino Linotype" w:hAnsi="Palatino Linotype" w:cs="Palatino Linotype"/>
        </w:rPr>
        <w:t>O SEGUNDA</w:t>
      </w:r>
      <w:r w:rsidRPr="00607A40">
        <w:rPr>
          <w:rFonts w:ascii="Palatino Linotype" w:eastAsia="Palatino Linotype" w:hAnsi="Palatino Linotype" w:cs="Palatino Linotype"/>
        </w:rPr>
        <w:t xml:space="preserve"> SESIÓN ORDINARIA CELEBRADA EL </w:t>
      </w:r>
      <w:r w:rsidR="007E6822">
        <w:rPr>
          <w:rFonts w:ascii="Palatino Linotype" w:eastAsia="Palatino Linotype" w:hAnsi="Palatino Linotype" w:cs="Palatino Linotype"/>
        </w:rPr>
        <w:t>SIETE DE SEPTIEMBRE</w:t>
      </w:r>
      <w:r w:rsidRPr="00607A40">
        <w:rPr>
          <w:rFonts w:ascii="Palatino Linotype" w:eastAsia="Palatino Linotype" w:hAnsi="Palatino Linotype" w:cs="Palatino Linotype"/>
        </w:rPr>
        <w:t xml:space="preserve"> DE DOS MIL VEINTIDÓS, ANTE EL SECRETARIO TÉCNICO DEL PLENO ALEXIS TAPIA RAMÍREZ.</w:t>
      </w:r>
    </w:p>
    <w:p w14:paraId="2BF069C0" w14:textId="77777777" w:rsidR="000A1A76" w:rsidRPr="000A1A76" w:rsidRDefault="000A1A76">
      <w:pPr>
        <w:spacing w:line="360" w:lineRule="auto"/>
        <w:jc w:val="both"/>
        <w:rPr>
          <w:rFonts w:ascii="Palatino Linotype" w:eastAsia="Palatino Linotype" w:hAnsi="Palatino Linotype" w:cs="Palatino Linotype"/>
          <w:color w:val="FF0000"/>
        </w:rPr>
      </w:pPr>
    </w:p>
    <w:p w14:paraId="35A05FC2" w14:textId="3344E9DE" w:rsidR="00444F34" w:rsidRPr="00607A40" w:rsidRDefault="00444F34">
      <w:pPr>
        <w:spacing w:line="360" w:lineRule="auto"/>
        <w:jc w:val="both"/>
        <w:rPr>
          <w:rFonts w:ascii="Palatino Linotype" w:eastAsia="Palatino Linotype" w:hAnsi="Palatino Linotype" w:cs="Palatino Linotype"/>
        </w:rPr>
      </w:pPr>
    </w:p>
    <w:p w14:paraId="64865311" w14:textId="77777777" w:rsidR="00444F34" w:rsidRPr="00607A40" w:rsidRDefault="00444F34">
      <w:pPr>
        <w:rPr>
          <w:rFonts w:ascii="Palatino Linotype" w:eastAsia="Palatino Linotype" w:hAnsi="Palatino Linotype" w:cs="Palatino Linotype"/>
        </w:rPr>
      </w:pPr>
    </w:p>
    <w:p w14:paraId="102D98DB" w14:textId="77777777" w:rsidR="00444F34" w:rsidRPr="00607A40" w:rsidRDefault="00444F34">
      <w:pPr>
        <w:spacing w:line="360" w:lineRule="auto"/>
        <w:jc w:val="both"/>
        <w:rPr>
          <w:rFonts w:ascii="Palatino Linotype" w:eastAsia="Palatino Linotype" w:hAnsi="Palatino Linotype" w:cs="Palatino Linotype"/>
        </w:rPr>
      </w:pPr>
    </w:p>
    <w:p w14:paraId="404DCFB1" w14:textId="77777777" w:rsidR="00444F34" w:rsidRPr="00607A40" w:rsidRDefault="00444F34">
      <w:pPr>
        <w:spacing w:line="360" w:lineRule="auto"/>
        <w:jc w:val="both"/>
        <w:rPr>
          <w:rFonts w:ascii="Palatino Linotype" w:eastAsia="Palatino Linotype" w:hAnsi="Palatino Linotype" w:cs="Palatino Linotype"/>
        </w:rPr>
      </w:pPr>
    </w:p>
    <w:p w14:paraId="042593BE" w14:textId="77777777" w:rsidR="00444F34" w:rsidRPr="00607A40" w:rsidRDefault="00444F34">
      <w:pPr>
        <w:spacing w:line="360" w:lineRule="auto"/>
        <w:jc w:val="both"/>
        <w:rPr>
          <w:rFonts w:ascii="Palatino Linotype" w:eastAsia="Palatino Linotype" w:hAnsi="Palatino Linotype" w:cs="Palatino Linotype"/>
        </w:rPr>
      </w:pPr>
    </w:p>
    <w:p w14:paraId="30A19CB7" w14:textId="77777777" w:rsidR="00444F34" w:rsidRPr="00607A40" w:rsidRDefault="00444F34">
      <w:pPr>
        <w:spacing w:line="360" w:lineRule="auto"/>
        <w:jc w:val="both"/>
        <w:rPr>
          <w:rFonts w:ascii="Palatino Linotype" w:eastAsia="Palatino Linotype" w:hAnsi="Palatino Linotype" w:cs="Palatino Linotype"/>
        </w:rPr>
      </w:pPr>
    </w:p>
    <w:p w14:paraId="4305F744" w14:textId="77777777" w:rsidR="00444F34" w:rsidRPr="00607A40" w:rsidRDefault="00444F34">
      <w:pPr>
        <w:spacing w:line="360" w:lineRule="auto"/>
        <w:jc w:val="both"/>
        <w:rPr>
          <w:rFonts w:ascii="Palatino Linotype" w:eastAsia="Palatino Linotype" w:hAnsi="Palatino Linotype" w:cs="Palatino Linotype"/>
        </w:rPr>
      </w:pPr>
    </w:p>
    <w:p w14:paraId="56EBBCED" w14:textId="77777777" w:rsidR="00444F34" w:rsidRPr="00607A40" w:rsidRDefault="00444F34">
      <w:pPr>
        <w:spacing w:line="360" w:lineRule="auto"/>
        <w:jc w:val="both"/>
        <w:rPr>
          <w:rFonts w:ascii="Palatino Linotype" w:eastAsia="Palatino Linotype" w:hAnsi="Palatino Linotype" w:cs="Palatino Linotype"/>
        </w:rPr>
      </w:pPr>
    </w:p>
    <w:p w14:paraId="2CBBA60B" w14:textId="77777777" w:rsidR="00444F34" w:rsidRPr="00607A40" w:rsidRDefault="00444F34">
      <w:pPr>
        <w:spacing w:line="360" w:lineRule="auto"/>
        <w:jc w:val="both"/>
        <w:rPr>
          <w:rFonts w:ascii="Palatino Linotype" w:eastAsia="Palatino Linotype" w:hAnsi="Palatino Linotype" w:cs="Palatino Linotype"/>
        </w:rPr>
      </w:pPr>
    </w:p>
    <w:p w14:paraId="35DDB496" w14:textId="77777777" w:rsidR="00444F34" w:rsidRPr="00607A40" w:rsidRDefault="00444F34">
      <w:pPr>
        <w:spacing w:line="360" w:lineRule="auto"/>
        <w:jc w:val="both"/>
        <w:rPr>
          <w:rFonts w:ascii="Palatino Linotype" w:eastAsia="Palatino Linotype" w:hAnsi="Palatino Linotype" w:cs="Palatino Linotype"/>
        </w:rPr>
      </w:pPr>
    </w:p>
    <w:p w14:paraId="1565A800" w14:textId="77777777" w:rsidR="00444F34" w:rsidRPr="00607A40" w:rsidRDefault="00444F34">
      <w:pPr>
        <w:spacing w:line="360" w:lineRule="auto"/>
        <w:jc w:val="both"/>
        <w:rPr>
          <w:rFonts w:ascii="Palatino Linotype" w:eastAsia="Palatino Linotype" w:hAnsi="Palatino Linotype" w:cs="Palatino Linotype"/>
        </w:rPr>
      </w:pPr>
    </w:p>
    <w:p w14:paraId="77EAC2BE" w14:textId="77777777" w:rsidR="00444F34" w:rsidRPr="00607A40" w:rsidRDefault="00444F34">
      <w:pPr>
        <w:spacing w:line="360" w:lineRule="auto"/>
        <w:jc w:val="both"/>
        <w:rPr>
          <w:rFonts w:ascii="Palatino Linotype" w:eastAsia="Palatino Linotype" w:hAnsi="Palatino Linotype" w:cs="Palatino Linotype"/>
        </w:rPr>
      </w:pPr>
    </w:p>
    <w:p w14:paraId="043DDC74" w14:textId="77777777" w:rsidR="00444F34" w:rsidRPr="00607A40" w:rsidRDefault="00444F34">
      <w:pPr>
        <w:spacing w:line="360" w:lineRule="auto"/>
        <w:jc w:val="both"/>
        <w:rPr>
          <w:rFonts w:ascii="Palatino Linotype" w:eastAsia="Palatino Linotype" w:hAnsi="Palatino Linotype" w:cs="Palatino Linotype"/>
        </w:rPr>
      </w:pPr>
    </w:p>
    <w:p w14:paraId="543EF122" w14:textId="77777777" w:rsidR="00444F34" w:rsidRPr="00607A40" w:rsidRDefault="00444F34">
      <w:pPr>
        <w:spacing w:line="360" w:lineRule="auto"/>
        <w:jc w:val="both"/>
        <w:rPr>
          <w:rFonts w:ascii="Palatino Linotype" w:eastAsia="Palatino Linotype" w:hAnsi="Palatino Linotype" w:cs="Palatino Linotype"/>
        </w:rPr>
      </w:pPr>
    </w:p>
    <w:p w14:paraId="0DB57886" w14:textId="77777777" w:rsidR="00444F34" w:rsidRPr="00607A40" w:rsidRDefault="00444F34">
      <w:pPr>
        <w:spacing w:line="360" w:lineRule="auto"/>
        <w:jc w:val="both"/>
        <w:rPr>
          <w:rFonts w:ascii="Palatino Linotype" w:eastAsia="Palatino Linotype" w:hAnsi="Palatino Linotype" w:cs="Palatino Linotype"/>
        </w:rPr>
      </w:pPr>
    </w:p>
    <w:p w14:paraId="05DD77FD" w14:textId="77777777" w:rsidR="00444F34" w:rsidRPr="00607A40" w:rsidRDefault="00444F34">
      <w:pPr>
        <w:spacing w:line="360" w:lineRule="auto"/>
        <w:jc w:val="both"/>
        <w:rPr>
          <w:rFonts w:ascii="Palatino Linotype" w:eastAsia="Palatino Linotype" w:hAnsi="Palatino Linotype" w:cs="Palatino Linotype"/>
        </w:rPr>
      </w:pPr>
    </w:p>
    <w:p w14:paraId="1C50C714" w14:textId="77777777" w:rsidR="00444F34" w:rsidRPr="00607A40" w:rsidRDefault="00444F34">
      <w:pPr>
        <w:spacing w:line="360" w:lineRule="auto"/>
        <w:jc w:val="both"/>
        <w:rPr>
          <w:rFonts w:ascii="Palatino Linotype" w:eastAsia="Palatino Linotype" w:hAnsi="Palatino Linotype" w:cs="Palatino Linotype"/>
        </w:rPr>
      </w:pPr>
    </w:p>
    <w:p w14:paraId="61F21D82" w14:textId="77777777" w:rsidR="00444F34" w:rsidRPr="00607A40" w:rsidRDefault="00444F34">
      <w:pPr>
        <w:spacing w:line="360" w:lineRule="auto"/>
        <w:jc w:val="both"/>
        <w:rPr>
          <w:rFonts w:ascii="Palatino Linotype" w:eastAsia="Palatino Linotype" w:hAnsi="Palatino Linotype" w:cs="Palatino Linotype"/>
        </w:rPr>
      </w:pPr>
    </w:p>
    <w:p w14:paraId="2062FCDD" w14:textId="77777777" w:rsidR="00444F34" w:rsidRPr="00607A40" w:rsidRDefault="00444F34">
      <w:pPr>
        <w:spacing w:line="360" w:lineRule="auto"/>
        <w:jc w:val="both"/>
        <w:rPr>
          <w:rFonts w:ascii="Palatino Linotype" w:eastAsia="Palatino Linotype" w:hAnsi="Palatino Linotype" w:cs="Palatino Linotype"/>
        </w:rPr>
      </w:pPr>
    </w:p>
    <w:p w14:paraId="108B6EB3" w14:textId="77777777" w:rsidR="00444F34" w:rsidRPr="00607A40" w:rsidRDefault="00444F34">
      <w:pPr>
        <w:spacing w:line="360" w:lineRule="auto"/>
        <w:jc w:val="both"/>
        <w:rPr>
          <w:rFonts w:ascii="Palatino Linotype" w:eastAsia="Palatino Linotype" w:hAnsi="Palatino Linotype" w:cs="Palatino Linotype"/>
        </w:rPr>
      </w:pPr>
    </w:p>
    <w:p w14:paraId="50227649" w14:textId="77777777" w:rsidR="00444F34" w:rsidRPr="00607A40" w:rsidRDefault="00444F34">
      <w:pPr>
        <w:spacing w:line="360" w:lineRule="auto"/>
        <w:jc w:val="both"/>
        <w:rPr>
          <w:rFonts w:ascii="Palatino Linotype" w:eastAsia="Palatino Linotype" w:hAnsi="Palatino Linotype" w:cs="Palatino Linotype"/>
        </w:rPr>
      </w:pPr>
    </w:p>
    <w:p w14:paraId="55209D45" w14:textId="77777777" w:rsidR="00444F34" w:rsidRPr="00607A40" w:rsidRDefault="00444F34">
      <w:pPr>
        <w:spacing w:line="360" w:lineRule="auto"/>
        <w:jc w:val="both"/>
        <w:rPr>
          <w:rFonts w:ascii="Palatino Linotype" w:eastAsia="Palatino Linotype" w:hAnsi="Palatino Linotype" w:cs="Palatino Linotype"/>
        </w:rPr>
      </w:pPr>
    </w:p>
    <w:sectPr w:rsidR="00444F34" w:rsidRPr="00607A40">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ABF24" w14:textId="77777777" w:rsidR="00053A5A" w:rsidRDefault="00053A5A">
      <w:r>
        <w:separator/>
      </w:r>
    </w:p>
  </w:endnote>
  <w:endnote w:type="continuationSeparator" w:id="0">
    <w:p w14:paraId="3797713D" w14:textId="77777777" w:rsidR="00053A5A" w:rsidRDefault="0005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5F520" w14:textId="77777777" w:rsidR="00444F34" w:rsidRDefault="00607A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290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290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FF991A2" w14:textId="77777777" w:rsidR="00444F34" w:rsidRDefault="00444F3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3FCAB" w14:textId="77777777" w:rsidR="00444F34" w:rsidRDefault="00607A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715D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715DB">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0EB1121A" w14:textId="77777777" w:rsidR="00444F34" w:rsidRDefault="00444F3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6CF80" w14:textId="77777777" w:rsidR="00053A5A" w:rsidRDefault="00053A5A">
      <w:r>
        <w:separator/>
      </w:r>
    </w:p>
  </w:footnote>
  <w:footnote w:type="continuationSeparator" w:id="0">
    <w:p w14:paraId="3A208878" w14:textId="77777777" w:rsidR="00053A5A" w:rsidRDefault="00053A5A">
      <w:r>
        <w:continuationSeparator/>
      </w:r>
    </w:p>
  </w:footnote>
  <w:footnote w:id="1">
    <w:p w14:paraId="3AD803D0" w14:textId="77777777" w:rsidR="000A1A76" w:rsidRPr="006E31CF" w:rsidRDefault="000A1A76" w:rsidP="000A1A76">
      <w:pPr>
        <w:pStyle w:val="Textonotapie"/>
        <w:rPr>
          <w:rFonts w:ascii="Palatino Linotype" w:hAnsi="Palatino Linotype"/>
          <w:sz w:val="18"/>
        </w:rPr>
      </w:pPr>
      <w:r>
        <w:rPr>
          <w:rStyle w:val="Refdenotaalpie"/>
        </w:rPr>
        <w:footnoteRef/>
      </w:r>
      <w:r>
        <w:t xml:space="preserve"> </w:t>
      </w:r>
      <w:r w:rsidRPr="006E31CF">
        <w:rPr>
          <w:rFonts w:ascii="Palatino Linotype" w:hAnsi="Palatino Linotype"/>
          <w:b/>
          <w:sz w:val="18"/>
        </w:rPr>
        <w:t>Artículo 192.</w:t>
      </w:r>
      <w:r w:rsidRPr="006E31CF">
        <w:rPr>
          <w:rFonts w:ascii="Palatino Linotype" w:hAnsi="Palatino Linotype"/>
          <w:sz w:val="18"/>
        </w:rPr>
        <w:t xml:space="preserve"> El recurso será sobreseído, en todo o en parte, cuando una vez admitido, se actualicen alguno de los siguientes supuestos:</w:t>
      </w:r>
    </w:p>
    <w:p w14:paraId="0C172565" w14:textId="77777777" w:rsidR="000A1A76" w:rsidRPr="006E31CF" w:rsidRDefault="000A1A76" w:rsidP="000A1A76">
      <w:pPr>
        <w:pStyle w:val="Textonotapie"/>
        <w:rPr>
          <w:rFonts w:ascii="Palatino Linotype" w:hAnsi="Palatino Linotype"/>
          <w:sz w:val="18"/>
        </w:rPr>
      </w:pPr>
      <w:r w:rsidRPr="006E31CF">
        <w:rPr>
          <w:rFonts w:ascii="Palatino Linotype" w:hAnsi="Palatino Linotype"/>
          <w:sz w:val="18"/>
        </w:rPr>
        <w:t>…</w:t>
      </w:r>
    </w:p>
    <w:p w14:paraId="6F025D91" w14:textId="77777777" w:rsidR="000A1A76" w:rsidRPr="006E31CF" w:rsidRDefault="000A1A76" w:rsidP="000A1A76">
      <w:pPr>
        <w:pStyle w:val="Textonotapie"/>
        <w:rPr>
          <w:rFonts w:ascii="Palatino Linotype" w:hAnsi="Palatino Linotype"/>
          <w:sz w:val="18"/>
        </w:rPr>
      </w:pPr>
      <w:r w:rsidRPr="006E31CF">
        <w:rPr>
          <w:rFonts w:ascii="Palatino Linotype" w:hAnsi="Palatino Linotype"/>
          <w:sz w:val="18"/>
        </w:rPr>
        <w:t>III. El sujeto obligado responsable del acto lo modifique o revoque de tal manera que el recurso de revisión quede sin materia;</w:t>
      </w:r>
    </w:p>
  </w:footnote>
  <w:footnote w:id="2">
    <w:p w14:paraId="48CC87A0" w14:textId="77777777" w:rsidR="000A1A76" w:rsidRPr="006E31CF" w:rsidRDefault="000A1A76" w:rsidP="000A1A76">
      <w:pPr>
        <w:pStyle w:val="Textonotapie"/>
        <w:rPr>
          <w:rFonts w:ascii="Palatino Linotype" w:hAnsi="Palatino Linotype"/>
          <w:sz w:val="18"/>
        </w:rPr>
      </w:pPr>
      <w:r w:rsidRPr="006E31CF">
        <w:rPr>
          <w:rStyle w:val="Refdenotaalpie"/>
          <w:rFonts w:ascii="Palatino Linotype" w:hAnsi="Palatino Linotype"/>
          <w:sz w:val="18"/>
        </w:rPr>
        <w:footnoteRef/>
      </w:r>
      <w:r w:rsidRPr="006E31CF">
        <w:rPr>
          <w:rFonts w:ascii="Palatino Linotype" w:hAnsi="Palatino Linotype"/>
          <w:sz w:val="18"/>
        </w:rPr>
        <w:t xml:space="preserve"> </w:t>
      </w:r>
      <w:r w:rsidRPr="006E31CF">
        <w:rPr>
          <w:rFonts w:ascii="Palatino Linotype" w:hAnsi="Palatino Linotype"/>
          <w:b/>
          <w:sz w:val="18"/>
        </w:rPr>
        <w:t>Artículo 186</w:t>
      </w:r>
      <w:r w:rsidRPr="006E31CF">
        <w:rPr>
          <w:rFonts w:ascii="Palatino Linotype" w:hAnsi="Palatino Linotype"/>
          <w:sz w:val="18"/>
        </w:rPr>
        <w:t>. Las resoluciones del Instituto podrán:</w:t>
      </w:r>
    </w:p>
    <w:p w14:paraId="697BDA04" w14:textId="77777777" w:rsidR="000A1A76" w:rsidRDefault="000A1A76" w:rsidP="000A1A76">
      <w:pPr>
        <w:pStyle w:val="Textonotapie"/>
      </w:pPr>
      <w:r w:rsidRPr="006E31CF">
        <w:rPr>
          <w:rFonts w:ascii="Palatino Linotype" w:hAnsi="Palatino Linotype"/>
          <w:sz w:val="18"/>
        </w:rPr>
        <w:t>I. Desechar o sobreseer el recurso;</w:t>
      </w:r>
    </w:p>
  </w:footnote>
  <w:footnote w:id="3">
    <w:p w14:paraId="2DE56A20" w14:textId="77777777" w:rsidR="00444F34" w:rsidRDefault="00607A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55251E66" w14:textId="77777777" w:rsidR="00444F34" w:rsidRDefault="00607A4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574F8" w14:textId="77777777" w:rsidR="00444F34" w:rsidRDefault="00607A40">
    <w:pPr>
      <w:rPr>
        <w:rFonts w:ascii="Cambria" w:eastAsia="Cambria" w:hAnsi="Cambria" w:cs="Cambria"/>
        <w:color w:val="000000"/>
      </w:rPr>
    </w:pPr>
    <w:r>
      <w:rPr>
        <w:noProof/>
      </w:rPr>
      <w:drawing>
        <wp:anchor distT="0" distB="0" distL="0" distR="0" simplePos="0" relativeHeight="251658240" behindDoc="1" locked="0" layoutInCell="1" hidden="0" allowOverlap="1" wp14:anchorId="74574A40" wp14:editId="53C8704F">
          <wp:simplePos x="0" y="0"/>
          <wp:positionH relativeFrom="column">
            <wp:posOffset>-1080125</wp:posOffset>
          </wp:positionH>
          <wp:positionV relativeFrom="paragraph">
            <wp:posOffset>-488305</wp:posOffset>
          </wp:positionV>
          <wp:extent cx="7809865" cy="10165715"/>
          <wp:effectExtent l="0" t="0" r="0" b="0"/>
          <wp:wrapNone/>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444F34" w14:paraId="186737BB" w14:textId="77777777">
      <w:tc>
        <w:tcPr>
          <w:tcW w:w="2489" w:type="dxa"/>
          <w:shd w:val="clear" w:color="auto" w:fill="auto"/>
        </w:tcPr>
        <w:p w14:paraId="05850638" w14:textId="77777777"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B4C47B1" w14:textId="3C334365" w:rsidR="00444F34" w:rsidRDefault="00607A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A9739A">
            <w:rPr>
              <w:rFonts w:ascii="Palatino Linotype" w:eastAsia="Palatino Linotype" w:hAnsi="Palatino Linotype" w:cs="Palatino Linotype"/>
              <w:b/>
              <w:sz w:val="22"/>
              <w:szCs w:val="22"/>
            </w:rPr>
            <w:t>6829</w:t>
          </w:r>
          <w:r>
            <w:rPr>
              <w:rFonts w:ascii="Palatino Linotype" w:eastAsia="Palatino Linotype" w:hAnsi="Palatino Linotype" w:cs="Palatino Linotype"/>
              <w:b/>
              <w:sz w:val="22"/>
              <w:szCs w:val="22"/>
            </w:rPr>
            <w:t>/INFOEM/IP/RR/2022</w:t>
          </w:r>
        </w:p>
      </w:tc>
    </w:tr>
    <w:tr w:rsidR="00444F34" w14:paraId="52A5D55E" w14:textId="77777777">
      <w:trPr>
        <w:trHeight w:val="228"/>
      </w:trPr>
      <w:tc>
        <w:tcPr>
          <w:tcW w:w="2489" w:type="dxa"/>
          <w:shd w:val="clear" w:color="auto" w:fill="auto"/>
          <w:vAlign w:val="center"/>
        </w:tcPr>
        <w:p w14:paraId="4AD1C006" w14:textId="77777777"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BC07DC5" w14:textId="0C987023" w:rsidR="00444F34" w:rsidRDefault="00A9739A">
          <w:pPr>
            <w:ind w:left="-45" w:right="176"/>
            <w:jc w:val="both"/>
            <w:rPr>
              <w:rFonts w:ascii="Palatino Linotype" w:eastAsia="Palatino Linotype" w:hAnsi="Palatino Linotype" w:cs="Palatino Linotype"/>
              <w:b/>
              <w:sz w:val="22"/>
              <w:szCs w:val="22"/>
            </w:rPr>
          </w:pPr>
          <w:r w:rsidRPr="00A9739A">
            <w:rPr>
              <w:rFonts w:ascii="Palatino Linotype" w:eastAsia="Palatino Linotype" w:hAnsi="Palatino Linotype" w:cs="Palatino Linotype"/>
              <w:b/>
              <w:sz w:val="22"/>
              <w:szCs w:val="22"/>
            </w:rPr>
            <w:t>Organismo Público Descentralizado para la Prestación de Los Servicios de Agua Potable Alcantarillado y Saneamiento de Nicolás Romero</w:t>
          </w:r>
        </w:p>
      </w:tc>
    </w:tr>
    <w:tr w:rsidR="00444F34" w14:paraId="404598B6" w14:textId="77777777">
      <w:tc>
        <w:tcPr>
          <w:tcW w:w="2489" w:type="dxa"/>
          <w:shd w:val="clear" w:color="auto" w:fill="auto"/>
          <w:vAlign w:val="center"/>
        </w:tcPr>
        <w:p w14:paraId="3EF75915" w14:textId="77777777" w:rsidR="00444F34" w:rsidRDefault="00607A4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2213D9E" w14:textId="77777777" w:rsidR="00444F34" w:rsidRDefault="00607A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04E71" w14:textId="77777777" w:rsidR="00444F34" w:rsidRDefault="00607A4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1DB4" w14:textId="77777777" w:rsidR="00444F34" w:rsidRDefault="00444F3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a"/>
      <w:tblW w:w="5670" w:type="dxa"/>
      <w:tblInd w:w="3261" w:type="dxa"/>
      <w:tblLayout w:type="fixed"/>
      <w:tblLook w:val="0400" w:firstRow="0" w:lastRow="0" w:firstColumn="0" w:lastColumn="0" w:noHBand="0" w:noVBand="1"/>
    </w:tblPr>
    <w:tblGrid>
      <w:gridCol w:w="2551"/>
      <w:gridCol w:w="3119"/>
    </w:tblGrid>
    <w:tr w:rsidR="00444F34" w14:paraId="4A8FCD42" w14:textId="77777777">
      <w:tc>
        <w:tcPr>
          <w:tcW w:w="2551" w:type="dxa"/>
          <w:shd w:val="clear" w:color="auto" w:fill="auto"/>
          <w:vAlign w:val="center"/>
        </w:tcPr>
        <w:p w14:paraId="73505B8D" w14:textId="77777777"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CD53644" w14:textId="5D390E5F" w:rsidR="00444F34" w:rsidRDefault="00607A4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A9739A">
            <w:rPr>
              <w:rFonts w:ascii="Palatino Linotype" w:eastAsia="Palatino Linotype" w:hAnsi="Palatino Linotype" w:cs="Palatino Linotype"/>
              <w:b/>
              <w:sz w:val="22"/>
              <w:szCs w:val="22"/>
            </w:rPr>
            <w:t>6829</w:t>
          </w:r>
          <w:r>
            <w:rPr>
              <w:rFonts w:ascii="Palatino Linotype" w:eastAsia="Palatino Linotype" w:hAnsi="Palatino Linotype" w:cs="Palatino Linotype"/>
              <w:b/>
              <w:sz w:val="22"/>
              <w:szCs w:val="22"/>
            </w:rPr>
            <w:t>/INFOEM/IP/RR/2022</w:t>
          </w:r>
        </w:p>
      </w:tc>
    </w:tr>
    <w:tr w:rsidR="00444F34" w14:paraId="33910B90" w14:textId="77777777">
      <w:trPr>
        <w:trHeight w:val="130"/>
      </w:trPr>
      <w:tc>
        <w:tcPr>
          <w:tcW w:w="2551" w:type="dxa"/>
          <w:shd w:val="clear" w:color="auto" w:fill="auto"/>
          <w:vAlign w:val="center"/>
        </w:tcPr>
        <w:p w14:paraId="09C22EE0" w14:textId="77777777"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98D0F4E" w14:textId="77777777" w:rsidR="00444F34" w:rsidRDefault="00444F34">
          <w:pPr>
            <w:ind w:left="-45"/>
            <w:jc w:val="both"/>
            <w:rPr>
              <w:rFonts w:ascii="Palatino Linotype" w:eastAsia="Palatino Linotype" w:hAnsi="Palatino Linotype" w:cs="Palatino Linotype"/>
              <w:b/>
              <w:sz w:val="22"/>
              <w:szCs w:val="22"/>
            </w:rPr>
          </w:pPr>
        </w:p>
      </w:tc>
    </w:tr>
    <w:tr w:rsidR="00444F34" w14:paraId="4D66E64D" w14:textId="77777777">
      <w:trPr>
        <w:trHeight w:val="228"/>
      </w:trPr>
      <w:tc>
        <w:tcPr>
          <w:tcW w:w="2551" w:type="dxa"/>
          <w:shd w:val="clear" w:color="auto" w:fill="auto"/>
          <w:vAlign w:val="center"/>
        </w:tcPr>
        <w:p w14:paraId="5E756043" w14:textId="77777777"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7FAD915" w14:textId="11166FDF" w:rsidR="00444F34" w:rsidRDefault="00A9739A">
          <w:pPr>
            <w:ind w:left="-45" w:right="176"/>
            <w:jc w:val="both"/>
            <w:rPr>
              <w:rFonts w:ascii="Palatino Linotype" w:eastAsia="Palatino Linotype" w:hAnsi="Palatino Linotype" w:cs="Palatino Linotype"/>
              <w:b/>
              <w:sz w:val="22"/>
              <w:szCs w:val="22"/>
            </w:rPr>
          </w:pPr>
          <w:r w:rsidRPr="00A9739A">
            <w:rPr>
              <w:rFonts w:ascii="Palatino Linotype" w:eastAsia="Palatino Linotype" w:hAnsi="Palatino Linotype" w:cs="Palatino Linotype"/>
              <w:b/>
              <w:sz w:val="22"/>
              <w:szCs w:val="22"/>
            </w:rPr>
            <w:t>Organismo Público Descentralizado para la Prestación de Los Servicios de Agua Potable Alcantarillado y Saneamiento de Nicolás Romero</w:t>
          </w:r>
        </w:p>
      </w:tc>
    </w:tr>
    <w:tr w:rsidR="00444F34" w14:paraId="7F07B246" w14:textId="77777777">
      <w:tc>
        <w:tcPr>
          <w:tcW w:w="2551" w:type="dxa"/>
          <w:shd w:val="clear" w:color="auto" w:fill="auto"/>
          <w:vAlign w:val="center"/>
        </w:tcPr>
        <w:p w14:paraId="7F9DF27C" w14:textId="77777777"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96C6911" w14:textId="77777777" w:rsidR="00444F34" w:rsidRDefault="00607A4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4F265B" w14:textId="77777777" w:rsidR="00444F34" w:rsidRDefault="00607A40">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4B8978AA" wp14:editId="73E6F629">
          <wp:simplePos x="0" y="0"/>
          <wp:positionH relativeFrom="column">
            <wp:posOffset>-1089650</wp:posOffset>
          </wp:positionH>
          <wp:positionV relativeFrom="paragraph">
            <wp:posOffset>-1169660</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F5EEB"/>
    <w:multiLevelType w:val="multilevel"/>
    <w:tmpl w:val="632AB3F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34"/>
    <w:rsid w:val="00053A5A"/>
    <w:rsid w:val="000810D8"/>
    <w:rsid w:val="0008472E"/>
    <w:rsid w:val="000A1A76"/>
    <w:rsid w:val="0011751C"/>
    <w:rsid w:val="00132C5B"/>
    <w:rsid w:val="00151DCB"/>
    <w:rsid w:val="001E1906"/>
    <w:rsid w:val="00232106"/>
    <w:rsid w:val="0025757B"/>
    <w:rsid w:val="00267595"/>
    <w:rsid w:val="00270AE5"/>
    <w:rsid w:val="002A0C3C"/>
    <w:rsid w:val="0031795F"/>
    <w:rsid w:val="00337678"/>
    <w:rsid w:val="0039377D"/>
    <w:rsid w:val="003D044D"/>
    <w:rsid w:val="003E1B98"/>
    <w:rsid w:val="00443DB5"/>
    <w:rsid w:val="00444F34"/>
    <w:rsid w:val="004769C5"/>
    <w:rsid w:val="004E1BCA"/>
    <w:rsid w:val="005551F8"/>
    <w:rsid w:val="00567714"/>
    <w:rsid w:val="00575CD7"/>
    <w:rsid w:val="005A5578"/>
    <w:rsid w:val="00607A40"/>
    <w:rsid w:val="00616E05"/>
    <w:rsid w:val="006F05F9"/>
    <w:rsid w:val="007620A2"/>
    <w:rsid w:val="00774AF2"/>
    <w:rsid w:val="0079625B"/>
    <w:rsid w:val="007C322A"/>
    <w:rsid w:val="007D7389"/>
    <w:rsid w:val="007E6822"/>
    <w:rsid w:val="008308B0"/>
    <w:rsid w:val="00837B36"/>
    <w:rsid w:val="00872904"/>
    <w:rsid w:val="00940149"/>
    <w:rsid w:val="00946459"/>
    <w:rsid w:val="00952119"/>
    <w:rsid w:val="009666DF"/>
    <w:rsid w:val="009833E8"/>
    <w:rsid w:val="00994134"/>
    <w:rsid w:val="009D5FCB"/>
    <w:rsid w:val="00A33D2C"/>
    <w:rsid w:val="00A34B34"/>
    <w:rsid w:val="00A36EF3"/>
    <w:rsid w:val="00A525AC"/>
    <w:rsid w:val="00A9739A"/>
    <w:rsid w:val="00AA69E6"/>
    <w:rsid w:val="00AF2C9C"/>
    <w:rsid w:val="00AF45F9"/>
    <w:rsid w:val="00B07398"/>
    <w:rsid w:val="00B5509B"/>
    <w:rsid w:val="00B60857"/>
    <w:rsid w:val="00BC6DAC"/>
    <w:rsid w:val="00BE32DF"/>
    <w:rsid w:val="00BE6B9B"/>
    <w:rsid w:val="00C13EBF"/>
    <w:rsid w:val="00C25380"/>
    <w:rsid w:val="00C83DD4"/>
    <w:rsid w:val="00CA1DDA"/>
    <w:rsid w:val="00CB6D22"/>
    <w:rsid w:val="00CE175F"/>
    <w:rsid w:val="00D70096"/>
    <w:rsid w:val="00DA0763"/>
    <w:rsid w:val="00DD006F"/>
    <w:rsid w:val="00E567C1"/>
    <w:rsid w:val="00E805AB"/>
    <w:rsid w:val="00EC3D14"/>
    <w:rsid w:val="00EF7786"/>
    <w:rsid w:val="00F22EBE"/>
    <w:rsid w:val="00F6243F"/>
    <w:rsid w:val="00F715DB"/>
    <w:rsid w:val="00FB17FC"/>
    <w:rsid w:val="00FF16E6"/>
    <w:rsid w:val="00FF49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1065"/>
  <w15:docId w15:val="{A7033DF8-31EF-49FC-B2DD-1406530B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875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W/SVR3SzwO57PwXv4wkp/DETIw==">AMUW2mUOQa360zC6yXT9HaiVaYANRHKJdJlwuGZM4viqLYat4FIpcjW7njLpUOd8UjsVksKfnEHSUVAJBN31olsvwDVgSVaD+sGq4bDsDh5WCJQDIDMOlpr9NdF5+xXaxD9beFiUpSFWKHTp5ODX7uyjrKUZzdhH8Tx5Een8JLue2nFg7m0wX9qYs6pW7atr97uelV5Gnquny8T3dlPWumkcR79FRzyiKw==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6094</Words>
  <Characters>33518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dcterms:created xsi:type="dcterms:W3CDTF">2022-09-28T18:32:00Z</dcterms:created>
  <dcterms:modified xsi:type="dcterms:W3CDTF">2022-09-28T18:32:00Z</dcterms:modified>
</cp:coreProperties>
</file>