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875" w:rsidRDefault="00BF2785">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rPr>
        <w:t>siete de abril del dos mil veintidós.</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00544/INFOEM/IP/RR/2022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una persona usuaria que no proporcionó nombre o seudónimo para ser identificado,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00009/TEOLOYU/IP/2022,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Teoloyucan</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D10875" w:rsidRDefault="00BF2785">
      <w:pPr>
        <w:numPr>
          <w:ilvl w:val="0"/>
          <w:numId w:val="1"/>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diez de enero del dos mil veintidós,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D10875" w:rsidRDefault="00BF2785">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“para el señor presidente, señor presidente las cajeras que tiene en tesoreria son muy groseras y despotas.” (Sic)</w:t>
      </w:r>
    </w:p>
    <w:p w:rsidR="00D10875" w:rsidRDefault="00D10875">
      <w:pPr>
        <w:ind w:right="1043"/>
        <w:jc w:val="both"/>
        <w:rPr>
          <w:rFonts w:ascii="Palatino Linotype" w:eastAsia="Palatino Linotype" w:hAnsi="Palatino Linotype" w:cs="Palatino Linotype"/>
          <w:i/>
        </w:rPr>
      </w:pP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D10875" w:rsidRDefault="00D10875">
      <w:pPr>
        <w:spacing w:before="240" w:after="240" w:line="360" w:lineRule="auto"/>
        <w:jc w:val="both"/>
        <w:rPr>
          <w:rFonts w:ascii="Palatino Linotype" w:eastAsia="Palatino Linotype" w:hAnsi="Palatino Linotype" w:cs="Palatino Linotype"/>
          <w:b/>
        </w:rPr>
      </w:pPr>
    </w:p>
    <w:p w:rsidR="00D10875" w:rsidRDefault="00D10875">
      <w:pPr>
        <w:ind w:left="851" w:right="851"/>
        <w:jc w:val="both"/>
        <w:rPr>
          <w:rFonts w:ascii="Palatino Linotype" w:eastAsia="Palatino Linotype" w:hAnsi="Palatino Linotype" w:cs="Palatino Linotype"/>
          <w:i/>
          <w:color w:val="000000"/>
          <w:sz w:val="22"/>
          <w:szCs w:val="22"/>
        </w:rPr>
      </w:pPr>
    </w:p>
    <w:p w:rsidR="00D10875" w:rsidRDefault="00D10875">
      <w:pPr>
        <w:ind w:left="851" w:right="851"/>
        <w:jc w:val="both"/>
        <w:rPr>
          <w:rFonts w:ascii="Palatino Linotype" w:eastAsia="Palatino Linotype" w:hAnsi="Palatino Linotype" w:cs="Palatino Linotype"/>
          <w:i/>
          <w:color w:val="000000"/>
          <w:sz w:val="22"/>
          <w:szCs w:val="22"/>
        </w:rPr>
      </w:pPr>
    </w:p>
    <w:p w:rsidR="00D10875" w:rsidRDefault="00BF278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respondió a la solicitud de información formulada por el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inconforme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dos de febrero del año dos mil veintidós</w:t>
      </w:r>
      <w:r>
        <w:rPr>
          <w:rFonts w:ascii="Palatino Linotype" w:eastAsia="Palatino Linotype" w:hAnsi="Palatino Linotype" w:cs="Palatino Linotype"/>
        </w:rPr>
        <w:t xml:space="preserve"> interpuso recurso de revisión a través del SAIMEX, expresando lo siguiente:</w:t>
      </w:r>
    </w:p>
    <w:p w:rsidR="00D10875" w:rsidRDefault="00BF2785">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D10875" w:rsidRDefault="00BF2785">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da información.” (Sic)</w:t>
      </w:r>
    </w:p>
    <w:p w:rsidR="00D10875" w:rsidRDefault="00BF278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D10875" w:rsidRDefault="00BF2785">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da información.” (Sic)</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Información Pública</w:t>
      </w:r>
      <w:r>
        <w:rPr>
          <w:rFonts w:ascii="Palatino Linotype" w:eastAsia="Palatino Linotype" w:hAnsi="Palatino Linotype" w:cs="Palatino Linotype"/>
        </w:rPr>
        <w:t>, el recurso de revisión número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3"/>
          <w:szCs w:val="23"/>
        </w:rPr>
        <w:t xml:space="preserve">00544/INFOEM/IP/RR/2022 </w:t>
      </w:r>
      <w:r>
        <w:rPr>
          <w:rFonts w:ascii="Palatino Linotype" w:eastAsia="Palatino Linotype" w:hAnsi="Palatino Linotype" w:cs="Palatino Linotype"/>
        </w:rPr>
        <w:t xml:space="preserve">fue turnado a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a efecto de presentar al Pleno el proyecto de resolución correspondiente.</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ocho de febrero del año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w:t>
      </w:r>
      <w:r>
        <w:rPr>
          <w:rFonts w:ascii="Palatino Linotype" w:eastAsia="Palatino Linotype" w:hAnsi="Palatino Linotype" w:cs="Palatino Linotype"/>
        </w:rPr>
        <w:lastRenderedPageBreak/>
        <w:t xml:space="preserve">del mismo modo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tal como se advierte a continuación: </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12130" cy="1809750"/>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809750"/>
                    </a:xfrm>
                    <a:prstGeom prst="rect">
                      <a:avLst/>
                    </a:prstGeom>
                    <a:ln/>
                  </pic:spPr>
                </pic:pic>
              </a:graphicData>
            </a:graphic>
          </wp:inline>
        </w:drawing>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once de marzo del año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D10875" w:rsidRDefault="00BF2785">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8.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treinta de marzo de dos mil veintidós</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rsidR="00D10875" w:rsidRDefault="00D10875">
      <w:pPr>
        <w:spacing w:before="240" w:after="240" w:line="360" w:lineRule="auto"/>
        <w:jc w:val="both"/>
        <w:rPr>
          <w:rFonts w:ascii="Palatino Linotype" w:eastAsia="Palatino Linotype" w:hAnsi="Palatino Linotype" w:cs="Palatino Linotype"/>
        </w:rPr>
      </w:pPr>
    </w:p>
    <w:p w:rsidR="00D10875" w:rsidRDefault="00BF2785">
      <w:pPr>
        <w:numPr>
          <w:ilvl w:val="0"/>
          <w:numId w:val="1"/>
        </w:numPr>
        <w:pBdr>
          <w:top w:val="nil"/>
          <w:left w:val="nil"/>
          <w:bottom w:val="nil"/>
          <w:right w:val="nil"/>
          <w:between w:val="nil"/>
        </w:pBdr>
        <w:spacing w:before="240" w:after="240" w:line="360" w:lineRule="auto"/>
        <w:ind w:left="567" w:hanging="425"/>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C O N S I D E R A N D O:</w:t>
      </w:r>
    </w:p>
    <w:p w:rsidR="00D10875" w:rsidRDefault="00BF2785">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el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D10875" w:rsidRDefault="00BF278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D10875" w:rsidRDefault="00BF278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D10875" w:rsidRDefault="00BF2785">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D10875" w:rsidRDefault="00BF278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rsidR="00D10875" w:rsidRDefault="00BF278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 </w:t>
      </w:r>
    </w:p>
    <w:p w:rsidR="00D10875" w:rsidRDefault="00BF278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(Énfasis añadido)</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D10875" w:rsidRDefault="00BF2785">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D10875" w:rsidRDefault="00BF2785">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D10875" w:rsidRDefault="00BF278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D10875" w:rsidRDefault="00BF2785">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Pr>
          <w:rFonts w:ascii="Palatino Linotype" w:eastAsia="Palatino Linotype" w:hAnsi="Palatino Linotype" w:cs="Palatino Linotype"/>
        </w:rPr>
        <w:lastRenderedPageBreak/>
        <w:t>Pública y Protección de Datos Personales del Estado de México y Municipios y publicado en el Periódico Oficial del Estado de México “Gaceta del Gobierno”, el veintitrés de abril de dos mil quince, que establece:</w:t>
      </w:r>
    </w:p>
    <w:p w:rsidR="00D10875" w:rsidRDefault="00BF2785">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D10875" w:rsidRDefault="00D10875">
      <w:pPr>
        <w:spacing w:before="240" w:after="240" w:line="360" w:lineRule="auto"/>
        <w:jc w:val="both"/>
        <w:rPr>
          <w:rFonts w:ascii="Palatino Linotype" w:eastAsia="Palatino Linotype" w:hAnsi="Palatino Linotype" w:cs="Palatino Linotype"/>
        </w:rPr>
      </w:pPr>
    </w:p>
    <w:p w:rsidR="00D10875" w:rsidRDefault="00BF2785">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 xml:space="preserve">Es de suma importancia mencionar que si bien </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proporcionó nombre o seudónimo</w:t>
      </w:r>
      <w:r>
        <w:rPr>
          <w:rFonts w:ascii="Palatino Linotype" w:eastAsia="Palatino Linotype" w:hAnsi="Palatino Linotype" w:cs="Palatino Linotype"/>
          <w:b/>
        </w:rPr>
        <w:t> </w:t>
      </w:r>
      <w:r>
        <w:rPr>
          <w:rFonts w:ascii="Palatino Linotype" w:eastAsia="Palatino Linotype" w:hAnsi="Palatino Linotype" w:cs="Palatino Linotype"/>
          <w:color w:val="2222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10875" w:rsidRDefault="00BF2785">
      <w:pPr>
        <w:shd w:val="clear" w:color="auto" w:fill="FFFFFF"/>
        <w:spacing w:before="120" w:after="120" w:line="276" w:lineRule="auto"/>
        <w:ind w:left="851" w:right="902"/>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 xml:space="preserve">serán procedentes para su trámite por parte del sujeto obligado ante quien se </w:t>
      </w:r>
      <w:r>
        <w:rPr>
          <w:rFonts w:ascii="Palatino Linotype" w:eastAsia="Palatino Linotype" w:hAnsi="Palatino Linotype" w:cs="Palatino Linotype"/>
          <w:b/>
          <w:i/>
          <w:color w:val="222222"/>
          <w:sz w:val="22"/>
          <w:szCs w:val="22"/>
        </w:rPr>
        <w:lastRenderedPageBreak/>
        <w:t>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D10875" w:rsidRDefault="00BF2785">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por lo que, en el presente caso, al haber sido presentado el recurso de revisión vía SAIMEX, dicho requisito resulta innecesario.</w:t>
      </w:r>
    </w:p>
    <w:p w:rsidR="00D10875" w:rsidRDefault="00BF278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rPr>
        <w:t xml:space="preserve">en el SAIMEX.  </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D10875" w:rsidRDefault="00BF278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D10875" w:rsidRDefault="00BF278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D10875" w:rsidRDefault="00BF278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D10875" w:rsidRDefault="00BF278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w:t>
      </w:r>
      <w:r>
        <w:rPr>
          <w:rFonts w:ascii="Palatino Linotype" w:eastAsia="Palatino Linotype" w:hAnsi="Palatino Linotype" w:cs="Palatino Linotype"/>
        </w:rPr>
        <w:lastRenderedPageBreak/>
        <w:t xml:space="preserve">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ella.</w:t>
      </w:r>
    </w:p>
    <w:p w:rsidR="00D10875" w:rsidRDefault="00BF2785">
      <w:pP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Tercero. Análisis de las causales de sobreseimiento. </w:t>
      </w:r>
      <w:r>
        <w:rPr>
          <w:rFonts w:ascii="Palatino Linotype" w:eastAsia="Palatino Linotype" w:hAnsi="Palatino Linotype" w:cs="Palatino Linotype"/>
        </w:rPr>
        <w:t xml:space="preserve">Previo al análisis de las actuaciones que integran el expediente en el Sistema de Acceso a la Información Mexiquense, en importante primeramente enfatizar que el Derecho de Acceso a la Información Pública </w:t>
      </w:r>
      <w:r>
        <w:rPr>
          <w:rFonts w:ascii="Palatino Linotype" w:eastAsia="Palatino Linotype" w:hAnsi="Palatino Linotype" w:cs="Palatino Linotype"/>
          <w:color w:val="000000"/>
        </w:rPr>
        <w:t xml:space="preserve">consiste en que la </w:t>
      </w:r>
      <w:r>
        <w:rPr>
          <w:rFonts w:ascii="Palatino Linotype" w:eastAsia="Palatino Linotype" w:hAnsi="Palatino Linotype" w:cs="Palatino Linotype"/>
          <w:b/>
          <w:color w:val="000000"/>
          <w:u w:val="single"/>
        </w:rPr>
        <w:t>información solicitada conste en un soporte documental</w:t>
      </w:r>
      <w:r>
        <w:rPr>
          <w:rFonts w:ascii="Palatino Linotype" w:eastAsia="Palatino Linotype" w:hAnsi="Palatino Linotype" w:cs="Palatino Linotype"/>
          <w:color w:val="000000"/>
        </w:rPr>
        <w:t xml:space="preserve"> en cualquiera de sus formas, a saber: </w:t>
      </w:r>
      <w:r>
        <w:rPr>
          <w:rFonts w:ascii="Palatino Linotype" w:eastAsia="Palatino Linotype" w:hAnsi="Palatino Linotype" w:cs="Palatino Linotype"/>
        </w:rPr>
        <w:t xml:space="preserve">expedientes, reportes, estudios, </w:t>
      </w:r>
      <w:r>
        <w:rPr>
          <w:rFonts w:ascii="Palatino Linotype" w:eastAsia="Palatino Linotype" w:hAnsi="Palatino Linotype" w:cs="Palatino Linotype"/>
          <w:b/>
        </w:rPr>
        <w:t>actas,</w:t>
      </w:r>
      <w:r>
        <w:rPr>
          <w:rFonts w:ascii="Palatino Linotype" w:eastAsia="Palatino Linotype" w:hAnsi="Palatino Linotype" w:cs="Palatino Linotype"/>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Pr>
          <w:rFonts w:ascii="Palatino Linotype" w:eastAsia="Palatino Linotype" w:hAnsi="Palatino Linotype" w:cs="Palatino Linotype"/>
          <w:color w:val="000000"/>
        </w:rPr>
        <w:t xml:space="preserve">; los que, </w:t>
      </w:r>
      <w:r>
        <w:rPr>
          <w:rFonts w:ascii="Palatino Linotype" w:eastAsia="Palatino Linotype" w:hAnsi="Palatino Linotype" w:cs="Palatino Linotype"/>
        </w:rPr>
        <w:t>podrán estar en cualquier medio, sea escrito, impreso, sonoro, visual, electrónico, informático u holográfico</w:t>
      </w:r>
      <w:r>
        <w:rPr>
          <w:rFonts w:ascii="Palatino Linotype" w:eastAsia="Palatino Linotype" w:hAnsi="Palatino Linotype" w:cs="Palatino Linotype"/>
          <w:color w:val="000000"/>
        </w:rPr>
        <w:t xml:space="preserve">, de conformidad con el artículo 3, fracción XI de la Ley de la materia, el cual dispone lo siguiente: </w:t>
      </w:r>
    </w:p>
    <w:p w:rsidR="00D10875" w:rsidRDefault="00D10875">
      <w:pPr>
        <w:ind w:left="851" w:right="901"/>
        <w:jc w:val="both"/>
        <w:rPr>
          <w:rFonts w:ascii="Palatino Linotype" w:eastAsia="Palatino Linotype" w:hAnsi="Palatino Linotype" w:cs="Palatino Linotype"/>
          <w:i/>
          <w:color w:val="000000"/>
          <w:sz w:val="22"/>
          <w:szCs w:val="22"/>
        </w:rPr>
      </w:pPr>
    </w:p>
    <w:p w:rsidR="00D10875" w:rsidRDefault="00BF2785">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rPr>
        <w:t>Para los efectos de la presente Ley se entenderá por:</w:t>
      </w:r>
    </w:p>
    <w:p w:rsidR="00D10875" w:rsidRDefault="00BF2785">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D10875" w:rsidRDefault="00BF2785">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w:t>
      </w:r>
      <w:r>
        <w:rPr>
          <w:rFonts w:ascii="Palatino Linotype" w:eastAsia="Palatino Linotype" w:hAnsi="Palatino Linotype" w:cs="Palatino Linotype"/>
          <w:b/>
          <w:i/>
          <w:color w:val="000000"/>
          <w:sz w:val="22"/>
          <w:szCs w:val="22"/>
        </w:rPr>
        <w:t xml:space="preserve"> </w:t>
      </w:r>
      <w:r>
        <w:rPr>
          <w:rFonts w:ascii="Palatino Linotype" w:eastAsia="Palatino Linotype" w:hAnsi="Palatino Linotype" w:cs="Palatino Linotype"/>
          <w:i/>
          <w:color w:val="000000"/>
          <w:sz w:val="22"/>
          <w:szCs w:val="22"/>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10875" w:rsidRDefault="00BF2785">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w:t>
      </w:r>
    </w:p>
    <w:p w:rsidR="00D10875" w:rsidRDefault="00BF2785">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D10875" w:rsidRDefault="00D10875">
      <w:pPr>
        <w:ind w:left="851" w:right="850"/>
        <w:jc w:val="both"/>
        <w:rPr>
          <w:rFonts w:ascii="Palatino Linotype" w:eastAsia="Palatino Linotype" w:hAnsi="Palatino Linotype" w:cs="Palatino Linotype"/>
          <w:sz w:val="22"/>
          <w:szCs w:val="22"/>
        </w:rPr>
      </w:pPr>
    </w:p>
    <w:p w:rsidR="00D10875" w:rsidRDefault="00BF27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10875" w:rsidRDefault="00D10875">
      <w:pPr>
        <w:ind w:left="851" w:right="850"/>
        <w:jc w:val="both"/>
        <w:rPr>
          <w:rFonts w:ascii="Palatino Linotype" w:eastAsia="Palatino Linotype" w:hAnsi="Palatino Linotype" w:cs="Palatino Linotype"/>
          <w:sz w:val="20"/>
          <w:szCs w:val="20"/>
        </w:rPr>
      </w:pPr>
    </w:p>
    <w:p w:rsidR="00D10875" w:rsidRDefault="00BF2785">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D10875" w:rsidRDefault="00BF2785">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10875" w:rsidRDefault="00BF2785">
      <w:pPr>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D10875" w:rsidRDefault="00BF2785">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sea generada por los Sujetos Obligados;</w:t>
      </w:r>
    </w:p>
    <w:p w:rsidR="00D10875" w:rsidRDefault="00BF2785">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sea administrada por los Sujetos Obligados, y</w:t>
      </w:r>
    </w:p>
    <w:p w:rsidR="00D10875" w:rsidRDefault="00BF2785">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 encuentre en posesión de los Sujetos Obligados.” (Sic)</w:t>
      </w:r>
    </w:p>
    <w:p w:rsidR="00D10875" w:rsidRDefault="00D10875">
      <w:pPr>
        <w:ind w:left="851" w:right="901"/>
        <w:jc w:val="both"/>
        <w:rPr>
          <w:rFonts w:ascii="Palatino Linotype" w:eastAsia="Palatino Linotype" w:hAnsi="Palatino Linotype" w:cs="Palatino Linotype"/>
          <w:i/>
          <w:sz w:val="22"/>
          <w:szCs w:val="22"/>
        </w:rPr>
      </w:pPr>
    </w:p>
    <w:p w:rsidR="00D10875" w:rsidRDefault="00BF2785">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D10875" w:rsidRDefault="00D10875">
      <w:pPr>
        <w:spacing w:line="360" w:lineRule="auto"/>
        <w:jc w:val="both"/>
        <w:rPr>
          <w:rFonts w:ascii="Palatino Linotype" w:eastAsia="Palatino Linotype" w:hAnsi="Palatino Linotype" w:cs="Palatino Linotype"/>
        </w:rPr>
      </w:pPr>
    </w:p>
    <w:p w:rsidR="00D10875" w:rsidRDefault="00BF27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w:t>
      </w:r>
      <w:r>
        <w:rPr>
          <w:rFonts w:ascii="Palatino Linotype" w:eastAsia="Palatino Linotype" w:hAnsi="Palatino Linotype" w:cs="Palatino Linotype"/>
        </w:rPr>
        <w:lastRenderedPageBreak/>
        <w:t xml:space="preserve">porque el Sujeto Obligado la generó o porque como parte del ejercicio de sus funciones la recibió y por consiguiente, la administra y posee. </w:t>
      </w:r>
    </w:p>
    <w:p w:rsidR="00D10875" w:rsidRDefault="00D10875">
      <w:pPr>
        <w:spacing w:line="360" w:lineRule="auto"/>
        <w:jc w:val="both"/>
        <w:rPr>
          <w:rFonts w:ascii="Palatino Linotype" w:eastAsia="Palatino Linotype" w:hAnsi="Palatino Linotype" w:cs="Palatino Linotype"/>
        </w:rPr>
      </w:pPr>
    </w:p>
    <w:p w:rsidR="00D10875" w:rsidRDefault="00BF27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es pertinente recordar que de las constancias que integran el expediente de recurso de revisión al rubro indicado, el entonces solicitante formuló su requerimiento en el formato previamente establecido para tal efecto, en el que manifestó: </w:t>
      </w:r>
    </w:p>
    <w:p w:rsidR="00D10875" w:rsidRDefault="00D10875">
      <w:pPr>
        <w:spacing w:line="360" w:lineRule="auto"/>
        <w:jc w:val="both"/>
        <w:rPr>
          <w:rFonts w:ascii="Palatino Linotype" w:eastAsia="Palatino Linotype" w:hAnsi="Palatino Linotype" w:cs="Palatino Linotype"/>
        </w:rPr>
      </w:pPr>
    </w:p>
    <w:p w:rsidR="00D10875" w:rsidRDefault="00BF2785">
      <w:pPr>
        <w:ind w:left="567"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para el señor presidente, señor presidente las cajeras que tiene en tesoreria son muy groseras y despotas</w:t>
      </w:r>
      <w:r>
        <w:rPr>
          <w:rFonts w:ascii="Palatino Linotype" w:eastAsia="Palatino Linotype" w:hAnsi="Palatino Linotype" w:cs="Palatino Linotype"/>
          <w:i/>
          <w:sz w:val="22"/>
          <w:szCs w:val="22"/>
        </w:rPr>
        <w:t xml:space="preserve"> (Sic)</w:t>
      </w:r>
    </w:p>
    <w:p w:rsidR="00D10875" w:rsidRDefault="00D10875">
      <w:pPr>
        <w:spacing w:line="360" w:lineRule="auto"/>
        <w:jc w:val="both"/>
        <w:rPr>
          <w:rFonts w:ascii="Palatino Linotype" w:eastAsia="Palatino Linotype" w:hAnsi="Palatino Linotype" w:cs="Palatino Linotype"/>
        </w:rPr>
      </w:pPr>
    </w:p>
    <w:p w:rsidR="00D10875" w:rsidRDefault="00BF27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particular planteó una cuestión con la que pretendió manifestar su inconformidad respecto a la atención del personal de la Tesorería Municipal,  situación que conlleva a precisar que con tal pronunciamiento el particular no pretendió ejercer su derecho de acceso a la información pública; sino que por este medio presentó una queja dirigida al Presidente Municipal; manifestación que no es factible atenderse vía acceso a la información pública, toda vez, que la atención a dicho cuestionamiento no se puede colmar con documentos que obren en los archivos del Sujeto Obligado.</w:t>
      </w:r>
    </w:p>
    <w:p w:rsidR="00D10875" w:rsidRDefault="00D10875">
      <w:pPr>
        <w:spacing w:line="360" w:lineRule="auto"/>
        <w:jc w:val="both"/>
        <w:rPr>
          <w:rFonts w:ascii="Palatino Linotype" w:eastAsia="Palatino Linotype" w:hAnsi="Palatino Linotype" w:cs="Palatino Linotype"/>
        </w:rPr>
      </w:pPr>
    </w:p>
    <w:p w:rsidR="00D10875" w:rsidRDefault="00BF278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w:t>
      </w:r>
    </w:p>
    <w:p w:rsidR="00D10875" w:rsidRPr="00CF688E" w:rsidRDefault="00BF2785" w:rsidP="00CF688E">
      <w:pPr>
        <w:pBdr>
          <w:top w:val="nil"/>
          <w:left w:val="nil"/>
          <w:bottom w:val="nil"/>
          <w:right w:val="nil"/>
          <w:between w:val="nil"/>
        </w:pBd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David Cienfuegos Salgado,</w:t>
      </w:r>
      <w:r w:rsidR="00CF688E">
        <w:rPr>
          <w:rFonts w:ascii="Palatino Linotype" w:eastAsia="Palatino Linotype" w:hAnsi="Palatino Linotype" w:cs="Palatino Linotype"/>
          <w:color w:val="000000"/>
        </w:rPr>
        <w:t xml:space="preserve"> concibe al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u w:val="single"/>
        </w:rPr>
        <w:t>derecho de acceso a la información pública</w:t>
      </w:r>
      <w:r>
        <w:rPr>
          <w:rFonts w:ascii="Palatino Linotype" w:eastAsia="Palatino Linotype" w:hAnsi="Palatino Linotype" w:cs="Palatino Linotype"/>
          <w:color w:val="000000"/>
        </w:rPr>
        <w:t xml:space="preserve"> es el derecho de conocer la </w:t>
      </w:r>
      <w:r>
        <w:rPr>
          <w:rFonts w:ascii="Palatino Linotype" w:eastAsia="Palatino Linotype" w:hAnsi="Palatino Linotype" w:cs="Palatino Linotype"/>
          <w:color w:val="000000"/>
          <w:u w:val="single"/>
        </w:rPr>
        <w:t>información de carácter público que se genera o está en posesión de los órganos del poder público</w:t>
      </w:r>
      <w:r>
        <w:rPr>
          <w:rFonts w:ascii="Palatino Linotype" w:eastAsia="Palatino Linotype" w:hAnsi="Palatino Linotype" w:cs="Palatino Linotype"/>
          <w:color w:val="000000"/>
        </w:rPr>
        <w:t xml:space="preserve"> o de los sujetos que utilizan o se benefician con recursos provenientes del Estado, es el derecho que tienen los ciudadanos para acceder a documentos y datos que obren en el poder del gobierno.</w:t>
      </w:r>
    </w:p>
    <w:p w:rsidR="00D10875" w:rsidRDefault="00D10875">
      <w:pPr>
        <w:pBdr>
          <w:top w:val="nil"/>
          <w:left w:val="nil"/>
          <w:bottom w:val="nil"/>
          <w:right w:val="nil"/>
          <w:between w:val="nil"/>
        </w:pBdr>
        <w:spacing w:line="408" w:lineRule="auto"/>
        <w:ind w:left="93" w:right="116"/>
        <w:rPr>
          <w:color w:val="000000"/>
          <w:sz w:val="23"/>
          <w:szCs w:val="23"/>
        </w:rPr>
      </w:pPr>
    </w:p>
    <w:p w:rsidR="00D10875" w:rsidRDefault="00BF2785">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Pr>
          <w:rFonts w:ascii="Palatino Linotype" w:eastAsia="Palatino Linotype" w:hAnsi="Palatino Linotype" w:cs="Palatino Linotype"/>
          <w:color w:val="000000"/>
          <w:vertAlign w:val="superscript"/>
        </w:rPr>
        <w:footnoteReference w:id="1"/>
      </w:r>
    </w:p>
    <w:p w:rsidR="00D10875" w:rsidRDefault="00D10875">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p>
    <w:p w:rsidR="00D10875" w:rsidRDefault="00BF2785">
      <w:pPr>
        <w:pBdr>
          <w:top w:val="nil"/>
          <w:left w:val="nil"/>
          <w:bottom w:val="nil"/>
          <w:right w:val="nil"/>
          <w:between w:val="nil"/>
        </w:pBdr>
        <w:spacing w:line="405" w:lineRule="auto"/>
        <w:ind w:right="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rPr>
        <w:t xml:space="preserve">Con base a lo anterior, tenemos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su solicitud manifestó su inconformidad, en relación al personal adscrito a la Tesorería Municipal. </w:t>
      </w:r>
    </w:p>
    <w:p w:rsidR="00D10875" w:rsidRDefault="00D10875">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p>
    <w:p w:rsidR="00D10875" w:rsidRDefault="00BF2785">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Pr>
          <w:rFonts w:ascii="Palatino Linotype" w:eastAsia="Palatino Linotype" w:hAnsi="Palatino Linotype" w:cs="Palatino Linotype"/>
          <w:b/>
          <w:color w:val="000000"/>
          <w:u w:val="single"/>
        </w:rPr>
        <w:t xml:space="preserve">interrogantes, inquietudes, </w:t>
      </w:r>
      <w:r>
        <w:rPr>
          <w:rFonts w:ascii="Palatino Linotype" w:eastAsia="Palatino Linotype" w:hAnsi="Palatino Linotype" w:cs="Palatino Linotype"/>
          <w:b/>
          <w:color w:val="000000"/>
          <w:u w:val="single"/>
        </w:rPr>
        <w:lastRenderedPageBreak/>
        <w:t>quejas y manifestaciones</w:t>
      </w:r>
      <w:r>
        <w:rPr>
          <w:rFonts w:ascii="Palatino Linotype" w:eastAsia="Palatino Linotype" w:hAnsi="Palatino Linotype" w:cs="Palatino Linotype"/>
          <w:color w:val="000000"/>
        </w:rPr>
        <w:t xml:space="preserve"> resultan estar encaminadas a ser satisfechas en ejercicio del derecho de </w:t>
      </w:r>
      <w:r w:rsidR="00CF688E">
        <w:rPr>
          <w:rFonts w:ascii="Palatino Linotype" w:eastAsia="Palatino Linotype" w:hAnsi="Palatino Linotype" w:cs="Palatino Linotype"/>
          <w:color w:val="000000"/>
        </w:rPr>
        <w:t>libertad de expresión</w:t>
      </w:r>
      <w:r>
        <w:rPr>
          <w:rFonts w:ascii="Palatino Linotype" w:eastAsia="Palatino Linotype" w:hAnsi="Palatino Linotype" w:cs="Palatino Linotype"/>
          <w:color w:val="000000"/>
        </w:rPr>
        <w:t>.</w:t>
      </w:r>
    </w:p>
    <w:p w:rsidR="00D10875" w:rsidRDefault="00D10875">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p>
    <w:p w:rsidR="00D10875" w:rsidRDefault="00BF2785">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Además, es de resaltar que este Instituto de Transparencia como Órgano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w:t>
      </w:r>
      <w:r w:rsidR="00CF688E">
        <w:rPr>
          <w:rFonts w:ascii="Palatino Linotype" w:eastAsia="Palatino Linotype" w:hAnsi="Palatino Linotype" w:cs="Palatino Linotype"/>
          <w:color w:val="000000"/>
        </w:rPr>
        <w:t xml:space="preserve"> trate de un derecho de libertad de expresión</w:t>
      </w:r>
      <w:r>
        <w:rPr>
          <w:rFonts w:ascii="Palatino Linotype" w:eastAsia="Palatino Linotype" w:hAnsi="Palatino Linotype" w:cs="Palatino Linotype"/>
          <w:color w:val="000000"/>
        </w:rPr>
        <w:t xml:space="preserve"> ejercido por un gobernado; en consecuencia, este Instinto no tiene atribuciones para pronunciarse respecto a las manifestaciones expuestas por la hoy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lastRenderedPageBreak/>
        <w:t xml:space="preserve">máxime que se advierte que las mismas se tratan de aseveraciones que pudieran ser consideradas de carácter subjetivo hechas sin un soporte que las sustente; es decir, la solicitud del particular es tendente a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aclare o actué sobre una inquietud.</w:t>
      </w:r>
    </w:p>
    <w:p w:rsidR="00D10875" w:rsidRDefault="00D10875">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p>
    <w:p w:rsidR="00D10875" w:rsidRDefault="00BF2785">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en relación a las afirmaciones que hizo la particular en su solicitud, resta solamente señalarle, que quedan a salvo sus derechos que considere ejercibles a través de las vías y autoridades que estime procedentes; máxime que este Instituto se encuentra impedido para pronunciarse sobre la veracidad o no de lo que señala en solicitud; así como, para ordenar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que atienda o de solución a la inconformidad del particular. </w:t>
      </w:r>
    </w:p>
    <w:p w:rsidR="00D10875" w:rsidRDefault="00D10875">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rsidR="00D10875" w:rsidRDefault="00BF2785">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no se advierte que el recurso de revisión encuadre en alguno de los supuestos de procedencia que plantea la Ley de Transparencia y Acceso a la Información Pública del Estado de México y Municipios en su artículo 179 descrito en la página precedente.</w:t>
      </w:r>
    </w:p>
    <w:p w:rsidR="00D10875" w:rsidRDefault="00D10875">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rsidR="00D10875" w:rsidRDefault="00BF2785">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w:t>
      </w:r>
      <w:r>
        <w:rPr>
          <w:rFonts w:ascii="Palatino Linotype" w:eastAsia="Palatino Linotype" w:hAnsi="Palatino Linotype" w:cs="Palatino Linotype"/>
          <w:color w:val="000000"/>
        </w:rPr>
        <w:lastRenderedPageBreak/>
        <w:t>Municipios en su correlación con la causal de improcedencia contemplada en la fracción III del artículo 191 del ordenamiento legal en cita, los que se transcriben a continuación, para un mejor entendimiento:</w:t>
      </w:r>
    </w:p>
    <w:p w:rsidR="00D10875" w:rsidRDefault="00D1087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rsidR="00D10875" w:rsidRDefault="00BF278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192.</w:t>
      </w:r>
      <w:r>
        <w:rPr>
          <w:rFonts w:ascii="Palatino Linotype" w:eastAsia="Palatino Linotype" w:hAnsi="Palatino Linotype" w:cs="Palatino Linotype"/>
          <w:i/>
          <w:color w:val="000000"/>
          <w:sz w:val="22"/>
          <w:szCs w:val="22"/>
        </w:rPr>
        <w:t xml:space="preserve"> El recurso será sobreseído, en todo o en parte, cuando una vez admitido, se actualicen alguno de los siguientes supuestos:</w:t>
      </w:r>
    </w:p>
    <w:p w:rsidR="00D10875" w:rsidRDefault="00BF278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D10875" w:rsidRDefault="00BF278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Admitido el recurso de revisión, </w:t>
      </w:r>
      <w:r>
        <w:rPr>
          <w:rFonts w:ascii="Palatino Linotype" w:eastAsia="Palatino Linotype" w:hAnsi="Palatino Linotype" w:cs="Palatino Linotype"/>
          <w:b/>
          <w:i/>
          <w:color w:val="000000"/>
          <w:sz w:val="22"/>
          <w:szCs w:val="22"/>
        </w:rPr>
        <w:t>aparezca alguna causal de improcedencia</w:t>
      </w:r>
      <w:r>
        <w:rPr>
          <w:rFonts w:ascii="Palatino Linotype" w:eastAsia="Palatino Linotype" w:hAnsi="Palatino Linotype" w:cs="Palatino Linotype"/>
          <w:i/>
          <w:color w:val="000000"/>
          <w:sz w:val="22"/>
          <w:szCs w:val="22"/>
        </w:rPr>
        <w:t xml:space="preserve"> en los términos de la presente Ley…</w:t>
      </w:r>
    </w:p>
    <w:p w:rsidR="00D10875" w:rsidRDefault="00D10875">
      <w:pPr>
        <w:pBdr>
          <w:top w:val="nil"/>
          <w:left w:val="nil"/>
          <w:bottom w:val="nil"/>
          <w:right w:val="nil"/>
          <w:between w:val="nil"/>
        </w:pBdr>
        <w:ind w:left="567" w:right="616"/>
        <w:jc w:val="both"/>
        <w:rPr>
          <w:rFonts w:ascii="Palatino Linotype" w:eastAsia="Palatino Linotype" w:hAnsi="Palatino Linotype" w:cs="Palatino Linotype"/>
          <w:b/>
          <w:i/>
          <w:color w:val="000000"/>
          <w:sz w:val="22"/>
          <w:szCs w:val="22"/>
        </w:rPr>
      </w:pPr>
    </w:p>
    <w:p w:rsidR="00D10875" w:rsidRDefault="00BF278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 xml:space="preserve">será </w:t>
      </w:r>
      <w:r>
        <w:rPr>
          <w:rFonts w:ascii="Palatino Linotype" w:eastAsia="Palatino Linotype" w:hAnsi="Palatino Linotype" w:cs="Palatino Linotype"/>
          <w:i/>
          <w:color w:val="000000"/>
          <w:sz w:val="22"/>
          <w:szCs w:val="22"/>
        </w:rPr>
        <w:t xml:space="preserve">desechado por </w:t>
      </w:r>
      <w:r>
        <w:rPr>
          <w:rFonts w:ascii="Palatino Linotype" w:eastAsia="Palatino Linotype" w:hAnsi="Palatino Linotype" w:cs="Palatino Linotype"/>
          <w:b/>
          <w:i/>
          <w:color w:val="000000"/>
          <w:sz w:val="22"/>
          <w:szCs w:val="22"/>
        </w:rPr>
        <w:t>improcedente cuando</w:t>
      </w:r>
      <w:r>
        <w:rPr>
          <w:rFonts w:ascii="Palatino Linotype" w:eastAsia="Palatino Linotype" w:hAnsi="Palatino Linotype" w:cs="Palatino Linotype"/>
          <w:i/>
          <w:color w:val="000000"/>
          <w:sz w:val="22"/>
          <w:szCs w:val="22"/>
        </w:rPr>
        <w:t>:</w:t>
      </w:r>
    </w:p>
    <w:p w:rsidR="00D10875" w:rsidRDefault="00BF278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D10875" w:rsidRDefault="00BF278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No actualice alguno de los supuestos previstos en la presente Ley:</w:t>
      </w:r>
    </w:p>
    <w:p w:rsidR="00D10875" w:rsidRDefault="00BF278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p>
    <w:p w:rsidR="00D10875" w:rsidRDefault="00BF2785">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D10875" w:rsidRDefault="00D10875">
      <w:pPr>
        <w:spacing w:line="360" w:lineRule="auto"/>
        <w:jc w:val="both"/>
        <w:rPr>
          <w:rFonts w:ascii="Palatino Linotype" w:eastAsia="Palatino Linotype" w:hAnsi="Palatino Linotype" w:cs="Palatino Linotype"/>
        </w:rPr>
      </w:pPr>
    </w:p>
    <w:p w:rsidR="00D10875" w:rsidRDefault="00BF2785">
      <w:pPr>
        <w:spacing w:after="240" w:line="276"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rsidR="00D10875" w:rsidRDefault="00BF2785">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D10875" w:rsidRDefault="00BF2785">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Cuerpo de tesis: No causa agravio la sentencia que no se ocupa de los razonamientos tendientes a demostrar la inconstitucionalidad de los actos reclamados de las autoridades </w:t>
      </w:r>
      <w:r>
        <w:rPr>
          <w:rFonts w:ascii="Palatino Linotype" w:eastAsia="Palatino Linotype" w:hAnsi="Palatino Linotype" w:cs="Palatino Linotype"/>
          <w:i/>
          <w:sz w:val="22"/>
          <w:szCs w:val="22"/>
        </w:rPr>
        <w:lastRenderedPageBreak/>
        <w:t>responsables, que constituyen el problema de fondo, si se decreta el sobreseimiento del juicio.” (Sic)</w:t>
      </w:r>
    </w:p>
    <w:p w:rsidR="00D10875" w:rsidRDefault="00BF278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D10875" w:rsidRDefault="00BF2785">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rsidR="00D10875" w:rsidRDefault="00BF2785">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Pr>
          <w:rFonts w:ascii="Palatino Linotype" w:eastAsia="Palatino Linotype" w:hAnsi="Palatino Linotype" w:cs="Palatino Linotype"/>
          <w:color w:val="000000"/>
        </w:rPr>
        <w:tab/>
      </w:r>
    </w:p>
    <w:p w:rsidR="00D10875" w:rsidRDefault="00BF278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las cosas, 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D10875" w:rsidRDefault="00BF2785">
      <w:pPr>
        <w:spacing w:before="240" w:line="360" w:lineRule="auto"/>
        <w:ind w:left="360"/>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III. R E S U E L V E:</w:t>
      </w:r>
    </w:p>
    <w:p w:rsidR="0084393B" w:rsidRDefault="0084393B">
      <w:pPr>
        <w:spacing w:line="360" w:lineRule="auto"/>
        <w:jc w:val="both"/>
        <w:rPr>
          <w:rFonts w:ascii="Palatino Linotype" w:eastAsia="Palatino Linotype" w:hAnsi="Palatino Linotype" w:cs="Palatino Linotype"/>
          <w:b/>
          <w:highlight w:val="white"/>
        </w:rPr>
      </w:pPr>
    </w:p>
    <w:p w:rsidR="00D10875" w:rsidRDefault="00BF2785">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t>PRIMERO.</w:t>
      </w:r>
      <w:r>
        <w:rPr>
          <w:rFonts w:ascii="Palatino Linotype" w:eastAsia="Palatino Linotype" w:hAnsi="Palatino Linotype" w:cs="Palatino Linotype"/>
          <w:highlight w:val="white"/>
        </w:rPr>
        <w:t xml:space="preserve"> Se </w:t>
      </w:r>
      <w:r>
        <w:rPr>
          <w:rFonts w:ascii="Palatino Linotype" w:eastAsia="Palatino Linotype" w:hAnsi="Palatino Linotype" w:cs="Palatino Linotype"/>
          <w:b/>
          <w:highlight w:val="white"/>
        </w:rPr>
        <w:t>SOBRESEE</w:t>
      </w:r>
      <w:r>
        <w:rPr>
          <w:rFonts w:ascii="Palatino Linotype" w:eastAsia="Palatino Linotype" w:hAnsi="Palatino Linotype" w:cs="Palatino Linotype"/>
          <w:highlight w:val="white"/>
        </w:rPr>
        <w:t xml:space="preserve"> el recurso de revisión número </w:t>
      </w:r>
      <w:r>
        <w:rPr>
          <w:rFonts w:ascii="Palatino Linotype" w:eastAsia="Palatino Linotype" w:hAnsi="Palatino Linotype" w:cs="Palatino Linotype"/>
          <w:b/>
          <w:highlight w:val="white"/>
        </w:rPr>
        <w:t>00544/INFOEM/IP/RR/2022</w:t>
      </w:r>
      <w:r>
        <w:rPr>
          <w:rFonts w:ascii="Palatino Linotype" w:eastAsia="Palatino Linotype" w:hAnsi="Palatino Linotype" w:cs="Palatino Linotype"/>
          <w:highlight w:val="white"/>
        </w:rPr>
        <w:t xml:space="preserve">, porque una vez admitido se actualizó la causal de improcedencia prevista en la fracción III del artículo 191, de la Ley de Transparencia vigente en la entidad, que lo dejó sin materia en términos del Considerando </w:t>
      </w:r>
      <w:r>
        <w:rPr>
          <w:rFonts w:ascii="Palatino Linotype" w:eastAsia="Palatino Linotype" w:hAnsi="Palatino Linotype" w:cs="Palatino Linotype"/>
          <w:b/>
          <w:highlight w:val="white"/>
        </w:rPr>
        <w:t>TERCERO</w:t>
      </w:r>
      <w:r>
        <w:rPr>
          <w:rFonts w:ascii="Palatino Linotype" w:eastAsia="Palatino Linotype" w:hAnsi="Palatino Linotype" w:cs="Palatino Linotype"/>
          <w:highlight w:val="white"/>
        </w:rPr>
        <w:t xml:space="preserve"> de la presente resolución.</w:t>
      </w:r>
    </w:p>
    <w:p w:rsidR="00D10875" w:rsidRDefault="00D10875">
      <w:pPr>
        <w:spacing w:line="360" w:lineRule="auto"/>
        <w:jc w:val="both"/>
        <w:rPr>
          <w:rFonts w:ascii="Palatino Linotype" w:eastAsia="Palatino Linotype" w:hAnsi="Palatino Linotype" w:cs="Palatino Linotype"/>
          <w:b/>
          <w:highlight w:val="white"/>
        </w:rPr>
      </w:pPr>
    </w:p>
    <w:p w:rsidR="00D10875" w:rsidRDefault="00BF27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 xml:space="preserve">SEGUNDO. Notifíquese </w:t>
      </w:r>
      <w:r>
        <w:rPr>
          <w:rFonts w:ascii="Palatino Linotype" w:eastAsia="Palatino Linotype" w:hAnsi="Palatino Linotype" w:cs="Palatino Linotype"/>
          <w:highlight w:val="white"/>
        </w:rPr>
        <w:t>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su conocimiento, lo anterior en términos del artículo 189 de la </w:t>
      </w:r>
      <w:r>
        <w:rPr>
          <w:rFonts w:ascii="Palatino Linotype" w:eastAsia="Palatino Linotype" w:hAnsi="Palatino Linotype" w:cs="Palatino Linotype"/>
        </w:rPr>
        <w:t>Ley de Transparencia y Acceso a la Información Pública del Estado de México y Municipios.</w:t>
      </w:r>
    </w:p>
    <w:p w:rsidR="00D10875" w:rsidRDefault="00D10875">
      <w:pPr>
        <w:spacing w:line="360" w:lineRule="auto"/>
        <w:jc w:val="both"/>
        <w:rPr>
          <w:rFonts w:ascii="Palatino Linotype" w:eastAsia="Palatino Linotype" w:hAnsi="Palatino Linotype" w:cs="Palatino Linotype"/>
          <w:highlight w:val="white"/>
        </w:rPr>
      </w:pPr>
    </w:p>
    <w:p w:rsidR="00D10875" w:rsidRDefault="00BF278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SAIMEX la presente resolución al </w:t>
      </w:r>
      <w:r>
        <w:rPr>
          <w:rFonts w:ascii="Palatino Linotype" w:eastAsia="Palatino Linotype" w:hAnsi="Palatino Linotype" w:cs="Palatino Linotype"/>
          <w:b/>
        </w:rPr>
        <w:t>RECURRENTE</w:t>
      </w:r>
      <w:r>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en la vía Juicio de Amparo en los términos de las leyes aplicables.</w:t>
      </w:r>
    </w:p>
    <w:p w:rsidR="00D10875" w:rsidRDefault="00D10875">
      <w:pPr>
        <w:spacing w:line="360" w:lineRule="auto"/>
        <w:ind w:right="49"/>
        <w:jc w:val="both"/>
        <w:rPr>
          <w:rFonts w:ascii="Palatino Linotype" w:eastAsia="Palatino Linotype" w:hAnsi="Palatino Linotype" w:cs="Palatino Linotype"/>
        </w:rPr>
      </w:pPr>
      <w:bookmarkStart w:id="2" w:name="_heading=h.3znysh7" w:colFirst="0" w:colLast="0"/>
      <w:bookmarkEnd w:id="2"/>
    </w:p>
    <w:p w:rsidR="00D10875" w:rsidRDefault="00BF27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Pr>
          <w:rFonts w:ascii="Palatino Linotype" w:eastAsia="Palatino Linotype" w:hAnsi="Palatino Linotype" w:cs="Palatino Linotype"/>
        </w:rPr>
        <w:lastRenderedPageBreak/>
        <w:t>MORALES MARTÍNE</w:t>
      </w:r>
      <w:r w:rsidR="00041C08">
        <w:rPr>
          <w:rFonts w:ascii="Palatino Linotype" w:eastAsia="Palatino Linotype" w:hAnsi="Palatino Linotype" w:cs="Palatino Linotype"/>
        </w:rPr>
        <w:t>Z</w:t>
      </w:r>
      <w:r>
        <w:rPr>
          <w:rFonts w:ascii="Palatino Linotype" w:eastAsia="Palatino Linotype" w:hAnsi="Palatino Linotype" w:cs="Palatino Linotype"/>
        </w:rPr>
        <w:t>, LUIS GUSTAVO PARRA NORIEGA Y GUADALUPE RAMÍREZ PEÑA; EN LA DÉCIMA TERCERA SESIÓN ORDINARIA CELEBRADA EL SIETE DE ABRIL DE DOS MIL VEINTIDÓS, ANTE EL SECRETARIO TÉCNICO DEL PLENO ALEXIS TAPIA RAMÍREZ.</w:t>
      </w:r>
    </w:p>
    <w:p w:rsidR="00D10875" w:rsidRDefault="00041C08">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380529</wp:posOffset>
                </wp:positionH>
                <wp:positionV relativeFrom="paragraph">
                  <wp:posOffset>402813</wp:posOffset>
                </wp:positionV>
                <wp:extent cx="4726379" cy="5130140"/>
                <wp:effectExtent l="0" t="0" r="36195" b="33020"/>
                <wp:wrapNone/>
                <wp:docPr id="1" name="Conector recto 1"/>
                <wp:cNvGraphicFramePr/>
                <a:graphic xmlns:a="http://schemas.openxmlformats.org/drawingml/2006/main">
                  <a:graphicData uri="http://schemas.microsoft.com/office/word/2010/wordprocessingShape">
                    <wps:wsp>
                      <wps:cNvCnPr/>
                      <wps:spPr>
                        <a:xfrm>
                          <a:off x="0" y="0"/>
                          <a:ext cx="4726379" cy="5130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BEDED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95pt,31.7pt" to="402.1pt,4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" strokecolor="#5b9bd5 [3204]" strokeweight=".5pt">
                <v:stroke joinstyle="miter"/>
              </v:line>
            </w:pict>
          </mc:Fallback>
        </mc:AlternateContent>
      </w:r>
    </w:p>
    <w:p w:rsidR="00D10875" w:rsidRDefault="00D10875"/>
    <w:p w:rsidR="00D10875" w:rsidRDefault="00D10875"/>
    <w:p w:rsidR="00D10875" w:rsidRDefault="00D10875"/>
    <w:p w:rsidR="00D10875" w:rsidRDefault="00D10875">
      <w:bookmarkStart w:id="3" w:name="_heading=h.1fob9te" w:colFirst="0" w:colLast="0"/>
      <w:bookmarkEnd w:id="3"/>
    </w:p>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p w:rsidR="00D10875" w:rsidRDefault="00D10875"/>
    <w:sectPr w:rsidR="00D1087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01F" w:rsidRDefault="003B401F">
      <w:r>
        <w:separator/>
      </w:r>
    </w:p>
  </w:endnote>
  <w:endnote w:type="continuationSeparator" w:id="0">
    <w:p w:rsidR="003B401F" w:rsidRDefault="003B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75" w:rsidRDefault="00BF278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7239C">
      <w:rPr>
        <w:rFonts w:ascii="Arial" w:eastAsia="Arial" w:hAnsi="Arial" w:cs="Arial"/>
        <w:b/>
        <w:noProof/>
        <w:color w:val="000000"/>
        <w:sz w:val="20"/>
        <w:szCs w:val="20"/>
      </w:rPr>
      <w:t>19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7239C">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rsidR="00D10875" w:rsidRDefault="00D10875">
    <w:pPr>
      <w:pBdr>
        <w:top w:val="nil"/>
        <w:left w:val="nil"/>
        <w:bottom w:val="nil"/>
        <w:right w:val="nil"/>
        <w:between w:val="nil"/>
      </w:pBdr>
      <w:tabs>
        <w:tab w:val="center" w:pos="4252"/>
        <w:tab w:val="right" w:pos="8504"/>
      </w:tabs>
      <w:rPr>
        <w:color w:val="000000"/>
      </w:rPr>
    </w:pPr>
  </w:p>
  <w:p w:rsidR="00D10875" w:rsidRDefault="00D1087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75" w:rsidRDefault="00BF278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F2F8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F2F80">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rsidR="00D10875" w:rsidRDefault="00D1087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01F" w:rsidRDefault="003B401F">
      <w:r>
        <w:separator/>
      </w:r>
    </w:p>
  </w:footnote>
  <w:footnote w:type="continuationSeparator" w:id="0">
    <w:p w:rsidR="003B401F" w:rsidRDefault="003B401F">
      <w:r>
        <w:continuationSeparator/>
      </w:r>
    </w:p>
  </w:footnote>
  <w:footnote w:id="1">
    <w:p w:rsidR="00D10875" w:rsidRDefault="00BF2785">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75" w:rsidRDefault="00BF2785">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-723899</wp:posOffset>
          </wp:positionH>
          <wp:positionV relativeFrom="paragraph">
            <wp:posOffset>-314867</wp:posOffset>
          </wp:positionV>
          <wp:extent cx="7635163" cy="9944100"/>
          <wp:effectExtent l="0" t="0" r="0" b="0"/>
          <wp:wrapNone/>
          <wp:docPr id="4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4"/>
      <w:tblW w:w="5385" w:type="dxa"/>
      <w:tblInd w:w="3261" w:type="dxa"/>
      <w:tblLayout w:type="fixed"/>
      <w:tblLook w:val="0400" w:firstRow="0" w:lastRow="0" w:firstColumn="0" w:lastColumn="0" w:noHBand="0" w:noVBand="1"/>
    </w:tblPr>
    <w:tblGrid>
      <w:gridCol w:w="2409"/>
      <w:gridCol w:w="2976"/>
    </w:tblGrid>
    <w:tr w:rsidR="00D10875">
      <w:tc>
        <w:tcPr>
          <w:tcW w:w="2409" w:type="dxa"/>
          <w:vAlign w:val="center"/>
        </w:tcPr>
        <w:p w:rsidR="00D10875" w:rsidRDefault="00BF2785">
          <w:pPr>
            <w:ind w:right="-249"/>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D10875" w:rsidRDefault="00BF2785">
          <w:pPr>
            <w:ind w:firstLine="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00544/INFOEM/IP/RR/2022 </w:t>
          </w:r>
        </w:p>
      </w:tc>
    </w:tr>
    <w:tr w:rsidR="00D10875">
      <w:trPr>
        <w:trHeight w:val="228"/>
      </w:trPr>
      <w:tc>
        <w:tcPr>
          <w:tcW w:w="2409" w:type="dxa"/>
          <w:vAlign w:val="center"/>
        </w:tcPr>
        <w:p w:rsidR="00D10875" w:rsidRDefault="00BF278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rsidR="00D10875" w:rsidRDefault="00BF278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Teoloyucan</w:t>
          </w:r>
        </w:p>
      </w:tc>
    </w:tr>
    <w:tr w:rsidR="00D10875">
      <w:tc>
        <w:tcPr>
          <w:tcW w:w="2409" w:type="dxa"/>
          <w:vAlign w:val="center"/>
        </w:tcPr>
        <w:p w:rsidR="00D10875" w:rsidRDefault="00BF278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D10875" w:rsidRDefault="00BF2785">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D10875" w:rsidRDefault="00BF278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75" w:rsidRDefault="00BF2785">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-1080132</wp:posOffset>
          </wp:positionH>
          <wp:positionV relativeFrom="paragraph">
            <wp:posOffset>-438782</wp:posOffset>
          </wp:positionV>
          <wp:extent cx="7635600" cy="9943200"/>
          <wp:effectExtent l="0" t="0" r="0" b="0"/>
          <wp:wrapNone/>
          <wp:docPr id="4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3"/>
      <w:tblW w:w="6097" w:type="dxa"/>
      <w:tblInd w:w="3119" w:type="dxa"/>
      <w:tblLayout w:type="fixed"/>
      <w:tblLook w:val="0400" w:firstRow="0" w:lastRow="0" w:firstColumn="0" w:lastColumn="0" w:noHBand="0" w:noVBand="1"/>
    </w:tblPr>
    <w:tblGrid>
      <w:gridCol w:w="2410"/>
      <w:gridCol w:w="3687"/>
    </w:tblGrid>
    <w:tr w:rsidR="00D10875">
      <w:tc>
        <w:tcPr>
          <w:tcW w:w="2410" w:type="dxa"/>
          <w:vAlign w:val="center"/>
        </w:tcPr>
        <w:p w:rsidR="00D10875" w:rsidRDefault="00BF278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D10875" w:rsidRDefault="00BF278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00544/INFOEM/IP/RR/2022</w:t>
          </w:r>
        </w:p>
      </w:tc>
    </w:tr>
    <w:tr w:rsidR="00D10875">
      <w:tc>
        <w:tcPr>
          <w:tcW w:w="2410" w:type="dxa"/>
          <w:vAlign w:val="center"/>
        </w:tcPr>
        <w:p w:rsidR="00D10875" w:rsidRDefault="00BF2785">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D10875" w:rsidRDefault="00D10875">
          <w:pPr>
            <w:jc w:val="both"/>
            <w:rPr>
              <w:rFonts w:ascii="Palatino Linotype" w:eastAsia="Palatino Linotype" w:hAnsi="Palatino Linotype" w:cs="Palatino Linotype"/>
              <w:b/>
              <w:sz w:val="21"/>
              <w:szCs w:val="21"/>
            </w:rPr>
          </w:pPr>
        </w:p>
      </w:tc>
    </w:tr>
    <w:tr w:rsidR="00D10875">
      <w:trPr>
        <w:trHeight w:val="228"/>
      </w:trPr>
      <w:tc>
        <w:tcPr>
          <w:tcW w:w="2410" w:type="dxa"/>
          <w:vAlign w:val="center"/>
        </w:tcPr>
        <w:p w:rsidR="00D10875" w:rsidRDefault="00BF278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D10875" w:rsidRDefault="00BF278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Teoloyucan</w:t>
          </w:r>
        </w:p>
      </w:tc>
    </w:tr>
    <w:tr w:rsidR="00D10875">
      <w:tc>
        <w:tcPr>
          <w:tcW w:w="2410" w:type="dxa"/>
          <w:vAlign w:val="center"/>
        </w:tcPr>
        <w:p w:rsidR="00D10875" w:rsidRDefault="00BF278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D10875" w:rsidRDefault="00BF2785">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D10875" w:rsidRDefault="00D1087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326E9B"/>
    <w:multiLevelType w:val="multilevel"/>
    <w:tmpl w:val="01DA44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75"/>
    <w:rsid w:val="00041C08"/>
    <w:rsid w:val="003B401F"/>
    <w:rsid w:val="003F2F80"/>
    <w:rsid w:val="0077239C"/>
    <w:rsid w:val="0084393B"/>
    <w:rsid w:val="00BC037C"/>
    <w:rsid w:val="00BF2785"/>
    <w:rsid w:val="00CF66FD"/>
    <w:rsid w:val="00CF688E"/>
    <w:rsid w:val="00D108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8622C-2BAA-4920-BD3F-F29985BB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DC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1DC3"/>
    <w:rPr>
      <w:rFonts w:eastAsiaTheme="minorEastAsia"/>
      <w:sz w:val="24"/>
      <w:szCs w:val="24"/>
      <w:lang w:val="es-ES_tradnl" w:eastAsia="es-ES"/>
    </w:rPr>
  </w:style>
  <w:style w:type="paragraph" w:styleId="Piedepgina">
    <w:name w:val="footer"/>
    <w:basedOn w:val="Normal"/>
    <w:link w:val="Piedepgina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1DC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1DC3"/>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1DC3"/>
    <w:pPr>
      <w:ind w:left="708"/>
    </w:pPr>
    <w:rPr>
      <w:sz w:val="22"/>
      <w:szCs w:val="22"/>
      <w:lang w:val="es-MX" w:eastAsia="en-US"/>
    </w:rPr>
  </w:style>
  <w:style w:type="character" w:customStyle="1" w:styleId="normaltextrun">
    <w:name w:val="normaltextrun"/>
    <w:basedOn w:val="Fuentedeprrafopredeter"/>
    <w:rsid w:val="000B1DC3"/>
  </w:style>
  <w:style w:type="character" w:customStyle="1" w:styleId="apple-converted-space">
    <w:name w:val="apple-converted-space"/>
    <w:basedOn w:val="Fuentedeprrafopredeter"/>
    <w:rsid w:val="000B1DC3"/>
  </w:style>
  <w:style w:type="paragraph" w:styleId="NormalWeb">
    <w:name w:val="Normal (Web)"/>
    <w:basedOn w:val="Normal"/>
    <w:uiPriority w:val="99"/>
    <w:unhideWhenUsed/>
    <w:rsid w:val="000B1DC3"/>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1DC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1DC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B1DC3"/>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paragraph" w:styleId="Textoindependiente">
    <w:name w:val="Body Text"/>
    <w:basedOn w:val="Normal"/>
    <w:link w:val="TextoindependienteCar"/>
    <w:uiPriority w:val="1"/>
    <w:qFormat/>
    <w:rsid w:val="00B54B5E"/>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B54B5E"/>
    <w:rPr>
      <w:rFonts w:eastAsiaTheme="minorHAnsi"/>
      <w:sz w:val="23"/>
      <w:szCs w:val="23"/>
      <w:lang w:val="es-MX" w:eastAsia="en-US"/>
    </w:r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4We3oIgcfR4/RtdFQV4KuQNN/w==">AMUW2mVu+PFz6/NKJicR4z1OzzLxhifhs+1UfKnqfDeo86tAtmXcRH8z8lDMWjiiXjzYaxMxo9lfjT8k8I1xuuyiwxX7Pjd2pXyF1et933j/NB+1JINxpY2+hNB7bYM51/NSieX6QHUWLDxZQbmzr2yRW8MGVXhFYg==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4149</Words>
  <Characters>22820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2022-05-06T19:06:00Z</dcterms:created>
  <dcterms:modified xsi:type="dcterms:W3CDTF">2022-05-06T19:06:00Z</dcterms:modified>
</cp:coreProperties>
</file>