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1F29" w:rsidRDefault="00F53D71">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a seis de julio de dos mil veintidós.</w:t>
      </w:r>
    </w:p>
    <w:p w:rsidR="005E1F29" w:rsidRDefault="00F53D71">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Visto </w:t>
      </w:r>
      <w:r>
        <w:rPr>
          <w:rFonts w:ascii="Palatino Linotype" w:eastAsia="Palatino Linotype" w:hAnsi="Palatino Linotype" w:cs="Palatino Linotype"/>
          <w:sz w:val="24"/>
          <w:szCs w:val="24"/>
        </w:rPr>
        <w:t xml:space="preserve">el expediente relativo al recurso de revisión </w:t>
      </w:r>
      <w:r>
        <w:rPr>
          <w:rFonts w:ascii="Palatino Linotype" w:eastAsia="Palatino Linotype" w:hAnsi="Palatino Linotype" w:cs="Palatino Linotype"/>
          <w:b/>
          <w:sz w:val="24"/>
          <w:szCs w:val="24"/>
        </w:rPr>
        <w:t>03894/INFOEM/IP/RR/2022</w:t>
      </w:r>
      <w:r>
        <w:rPr>
          <w:rFonts w:ascii="Palatino Linotype" w:eastAsia="Palatino Linotype" w:hAnsi="Palatino Linotype" w:cs="Palatino Linotype"/>
          <w:sz w:val="24"/>
          <w:szCs w:val="24"/>
        </w:rPr>
        <w:t xml:space="preserve">, interpuesto por un particular de manera anónima, al cual en lo sucesivo se le denominara </w:t>
      </w:r>
      <w:r>
        <w:rPr>
          <w:rFonts w:ascii="Palatino Linotype" w:eastAsia="Palatino Linotype" w:hAnsi="Palatino Linotype" w:cs="Palatino Linotype"/>
          <w:b/>
          <w:sz w:val="24"/>
          <w:szCs w:val="24"/>
        </w:rPr>
        <w:t>EL RECURRENTE</w:t>
      </w:r>
      <w:r>
        <w:rPr>
          <w:rFonts w:ascii="Palatino Linotype" w:eastAsia="Palatino Linotype" w:hAnsi="Palatino Linotype" w:cs="Palatino Linotype"/>
          <w:sz w:val="24"/>
          <w:szCs w:val="24"/>
        </w:rPr>
        <w:t xml:space="preserve">, en contra de la respuesta a la solicitud de información con número de folio </w:t>
      </w:r>
      <w:r>
        <w:rPr>
          <w:rFonts w:ascii="Palatino Linotype" w:eastAsia="Palatino Linotype" w:hAnsi="Palatino Linotype" w:cs="Palatino Linotype"/>
          <w:b/>
          <w:sz w:val="24"/>
          <w:szCs w:val="24"/>
        </w:rPr>
        <w:t>00115/CHIAUTLA/IP/2022,</w:t>
      </w:r>
      <w:r>
        <w:rPr>
          <w:rFonts w:ascii="Palatino Linotype" w:eastAsia="Palatino Linotype" w:hAnsi="Palatino Linotype" w:cs="Palatino Linotype"/>
          <w:sz w:val="24"/>
          <w:szCs w:val="24"/>
        </w:rPr>
        <w:t xml:space="preserve"> por parte del Ayuntamiento de Chiautla, en lo sucesivo </w:t>
      </w:r>
      <w:r>
        <w:rPr>
          <w:rFonts w:ascii="Palatino Linotype" w:eastAsia="Palatino Linotype" w:hAnsi="Palatino Linotype" w:cs="Palatino Linotype"/>
          <w:b/>
          <w:sz w:val="24"/>
          <w:szCs w:val="24"/>
        </w:rPr>
        <w:t>EL</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se procede a dictar la presente resolución, con base en lo siguiente.</w:t>
      </w:r>
    </w:p>
    <w:p w:rsidR="005E1F29" w:rsidRDefault="00F53D71">
      <w:pPr>
        <w:spacing w:before="240" w:after="240" w:line="360" w:lineRule="auto"/>
        <w:ind w:right="49"/>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A N T E C E D E N T E S   </w:t>
      </w:r>
    </w:p>
    <w:p w:rsidR="005E1F29" w:rsidRDefault="00F53D71">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1.</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 xml:space="preserve">SOLICITUD DE INFORMACIÓN. </w:t>
      </w:r>
      <w:r>
        <w:rPr>
          <w:rFonts w:ascii="Palatino Linotype" w:eastAsia="Palatino Linotype" w:hAnsi="Palatino Linotype" w:cs="Palatino Linotype"/>
          <w:sz w:val="24"/>
          <w:szCs w:val="24"/>
        </w:rPr>
        <w:t xml:space="preserve">Con fecha catorce de febrero de dos mil veintidós, </w:t>
      </w:r>
      <w:r>
        <w:rPr>
          <w:rFonts w:ascii="Palatino Linotype" w:eastAsia="Palatino Linotype" w:hAnsi="Palatino Linotype" w:cs="Palatino Linotype"/>
          <w:b/>
          <w:sz w:val="24"/>
          <w:szCs w:val="24"/>
        </w:rPr>
        <w:t>EL RECURRENTE</w:t>
      </w:r>
      <w:r>
        <w:rPr>
          <w:rFonts w:ascii="Palatino Linotype" w:eastAsia="Palatino Linotype" w:hAnsi="Palatino Linotype" w:cs="Palatino Linotype"/>
          <w:sz w:val="24"/>
          <w:szCs w:val="24"/>
        </w:rPr>
        <w:t>, presentó a través del Sistema de Acceso a la Información Mexiquense (</w:t>
      </w:r>
      <w:r>
        <w:rPr>
          <w:rFonts w:ascii="Palatino Linotype" w:eastAsia="Palatino Linotype" w:hAnsi="Palatino Linotype" w:cs="Palatino Linotype"/>
          <w:b/>
          <w:sz w:val="24"/>
          <w:szCs w:val="24"/>
        </w:rPr>
        <w:t>SAIMEX)</w:t>
      </w:r>
      <w:r>
        <w:rPr>
          <w:rFonts w:ascii="Palatino Linotype" w:eastAsia="Palatino Linotype" w:hAnsi="Palatino Linotype" w:cs="Palatino Linotype"/>
          <w:sz w:val="24"/>
          <w:szCs w:val="24"/>
        </w:rPr>
        <w:t xml:space="preserve"> ante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solicitud de acceso a la información pública, registrada bajo el número de expediente</w:t>
      </w:r>
      <w:r>
        <w:rPr>
          <w:rFonts w:ascii="Verdana" w:eastAsia="Verdana" w:hAnsi="Verdana" w:cs="Verdana"/>
          <w:b/>
          <w:color w:val="FF0000"/>
        </w:rPr>
        <w:t> </w:t>
      </w:r>
      <w:r>
        <w:rPr>
          <w:rFonts w:ascii="Palatino Linotype" w:eastAsia="Palatino Linotype" w:hAnsi="Palatino Linotype" w:cs="Palatino Linotype"/>
          <w:b/>
          <w:sz w:val="24"/>
          <w:szCs w:val="24"/>
        </w:rPr>
        <w:t>00115/CHIAUTLA/IP/2022</w:t>
      </w:r>
      <w:r>
        <w:rPr>
          <w:rFonts w:ascii="Palatino Linotype" w:eastAsia="Palatino Linotype" w:hAnsi="Palatino Linotype" w:cs="Palatino Linotype"/>
          <w:sz w:val="24"/>
          <w:szCs w:val="24"/>
        </w:rPr>
        <w:t>,</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mediante la cual solicitó la siguiente información:</w:t>
      </w:r>
    </w:p>
    <w:p w:rsidR="005E1F29" w:rsidRDefault="00F53D71">
      <w:pPr>
        <w:spacing w:before="240" w:after="240" w:line="276" w:lineRule="auto"/>
        <w:ind w:left="709" w:right="758"/>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“solicito el presupuesto asignado como federal, estatal y municipal” (Sic).</w:t>
      </w:r>
    </w:p>
    <w:p w:rsidR="005E1F29" w:rsidRDefault="00F53D71">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Modalidad de entrega: A través del </w:t>
      </w:r>
      <w:r>
        <w:rPr>
          <w:rFonts w:ascii="Palatino Linotype" w:eastAsia="Palatino Linotype" w:hAnsi="Palatino Linotype" w:cs="Palatino Linotype"/>
          <w:b/>
          <w:sz w:val="24"/>
          <w:szCs w:val="24"/>
        </w:rPr>
        <w:t>SAIMEX</w:t>
      </w:r>
      <w:r>
        <w:rPr>
          <w:rFonts w:ascii="Palatino Linotype" w:eastAsia="Palatino Linotype" w:hAnsi="Palatino Linotype" w:cs="Palatino Linotype"/>
          <w:sz w:val="24"/>
          <w:szCs w:val="24"/>
        </w:rPr>
        <w:t>.</w:t>
      </w:r>
    </w:p>
    <w:p w:rsidR="005E1F29" w:rsidRDefault="00F53D71">
      <w:pPr>
        <w:spacing w:before="240" w:after="240" w:line="360" w:lineRule="auto"/>
        <w:jc w:val="both"/>
      </w:pPr>
      <w:bookmarkStart w:id="0" w:name="_heading=h.gjdgxs" w:colFirst="0" w:colLast="0"/>
      <w:bookmarkEnd w:id="0"/>
      <w:r>
        <w:rPr>
          <w:rFonts w:ascii="Palatino Linotype" w:eastAsia="Palatino Linotype" w:hAnsi="Palatino Linotype" w:cs="Palatino Linotype"/>
          <w:b/>
          <w:sz w:val="24"/>
          <w:szCs w:val="24"/>
        </w:rPr>
        <w:lastRenderedPageBreak/>
        <w:t xml:space="preserve">2. RESPUESTA.  </w:t>
      </w:r>
      <w:r>
        <w:rPr>
          <w:rFonts w:ascii="Palatino Linotype" w:eastAsia="Palatino Linotype" w:hAnsi="Palatino Linotype" w:cs="Palatino Linotype"/>
          <w:sz w:val="24"/>
          <w:szCs w:val="24"/>
        </w:rPr>
        <w:t xml:space="preserve">Con fecha ocho de marzo del dos mil veintidós,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otorgó, a través del SAIMEX, respuesta a la solicitud de acceso a la información de la siguiente manera:</w:t>
      </w:r>
      <w:r>
        <w:t xml:space="preserve"> </w:t>
      </w:r>
    </w:p>
    <w:p w:rsidR="005E1F29" w:rsidRDefault="00F53D71">
      <w:pPr>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5E1F29" w:rsidRDefault="00F53D71">
      <w:pPr>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CHIAUTLA, ESTADO DE MÉXICO A 08 DE MARZO 2022. C. SOLICITANTE DE INFORMACION. P R E S E N T E “(…) SOLICITO EL PRESUPUESTO ASIGNADO COMO FEDERAL, ESTATAL Y MUNICIPAL (…)” Con fundamento en el Articulo 6 apartado A de la Constitución Política de los Estados Unidos Mexicanos; artículo 5, De la Constitución del Estado Libre y Soberano de México; artículo l, 2, 12, 162, 163 y 165 de la Ley de Transparencia y Acceso a la Información Pública del Estado de México y Municipios; a través del portal SAIMEX, se recibió la solicitud de información con folio 00115/</w:t>
      </w:r>
      <w:proofErr w:type="spellStart"/>
      <w:r>
        <w:rPr>
          <w:rFonts w:ascii="Palatino Linotype" w:eastAsia="Palatino Linotype" w:hAnsi="Palatino Linotype" w:cs="Palatino Linotype"/>
          <w:i/>
        </w:rPr>
        <w:t>CHlAUTLA</w:t>
      </w:r>
      <w:proofErr w:type="spellEnd"/>
      <w:r>
        <w:rPr>
          <w:rFonts w:ascii="Palatino Linotype" w:eastAsia="Palatino Linotype" w:hAnsi="Palatino Linotype" w:cs="Palatino Linotype"/>
          <w:i/>
        </w:rPr>
        <w:t>/</w:t>
      </w:r>
      <w:proofErr w:type="spellStart"/>
      <w:r>
        <w:rPr>
          <w:rFonts w:ascii="Palatino Linotype" w:eastAsia="Palatino Linotype" w:hAnsi="Palatino Linotype" w:cs="Palatino Linotype"/>
          <w:i/>
        </w:rPr>
        <w:t>lP</w:t>
      </w:r>
      <w:proofErr w:type="spellEnd"/>
      <w:r>
        <w:rPr>
          <w:rFonts w:ascii="Palatino Linotype" w:eastAsia="Palatino Linotype" w:hAnsi="Palatino Linotype" w:cs="Palatino Linotype"/>
          <w:i/>
        </w:rPr>
        <w:t>/2022, en la cual se realiza el siguiente pedimento: En cumplimiento al mencionado precepto se le informa a usted: Sírvase encontrar el archivo adjunto en formato PDF, donde se da contestación a lo referente a su solicitud de información, así mismo atendiendo a la modalidad de entrega señalada en la solicitud, se hace llegar la información vía SAIMEX. Sin otro particular, le reitero mis más sinceras consideraciones.</w:t>
      </w:r>
    </w:p>
    <w:p w:rsidR="005E1F29" w:rsidRDefault="00F53D71">
      <w:pPr>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ATENTAMENTE</w:t>
      </w:r>
    </w:p>
    <w:p w:rsidR="005E1F29" w:rsidRDefault="00F53D71">
      <w:pPr>
        <w:ind w:left="851" w:right="900"/>
        <w:jc w:val="both"/>
      </w:pPr>
      <w:r>
        <w:rPr>
          <w:rFonts w:ascii="Palatino Linotype" w:eastAsia="Palatino Linotype" w:hAnsi="Palatino Linotype" w:cs="Palatino Linotype"/>
          <w:i/>
        </w:rPr>
        <w:t>L. EN C. MELISSA NAVA GONZALEZ</w:t>
      </w:r>
    </w:p>
    <w:p w:rsidR="005E1F29" w:rsidRDefault="005E1F29"/>
    <w:p w:rsidR="005E1F29" w:rsidRDefault="00F53D71">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adjuntó a su respuesta los siguientes archivos electrónicos: </w:t>
      </w:r>
    </w:p>
    <w:p w:rsidR="005E1F29" w:rsidRDefault="00F53D71">
      <w:pPr>
        <w:spacing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sz w:val="24"/>
          <w:szCs w:val="24"/>
        </w:rPr>
        <w:t>“</w:t>
      </w:r>
      <w:r>
        <w:rPr>
          <w:rFonts w:ascii="Palatino Linotype" w:eastAsia="Palatino Linotype" w:hAnsi="Palatino Linotype" w:cs="Palatino Linotype"/>
          <w:b/>
          <w:color w:val="000000"/>
          <w:sz w:val="24"/>
          <w:szCs w:val="24"/>
          <w:u w:val="single"/>
        </w:rPr>
        <w:t xml:space="preserve">TESORERIA 115.pdf </w:t>
      </w:r>
      <w:r>
        <w:rPr>
          <w:rFonts w:ascii="Palatino Linotype" w:eastAsia="Palatino Linotype" w:hAnsi="Palatino Linotype" w:cs="Palatino Linotype"/>
          <w:color w:val="000000"/>
          <w:sz w:val="24"/>
          <w:szCs w:val="24"/>
        </w:rPr>
        <w:t xml:space="preserve">Oficio CHI/TES/ING/0111/2022, de fecha ocho de marzo de dos mil veintidós, signado por el Titular de la Tesorería Municipal, mediante el cual </w:t>
      </w:r>
      <w:r>
        <w:rPr>
          <w:rFonts w:ascii="Palatino Linotype" w:eastAsia="Palatino Linotype" w:hAnsi="Palatino Linotype" w:cs="Palatino Linotype"/>
          <w:color w:val="000000"/>
          <w:sz w:val="24"/>
          <w:szCs w:val="24"/>
        </w:rPr>
        <w:lastRenderedPageBreak/>
        <w:t>refiere que proporciona respuesta a la información solicitada en formato PDF, como se aprecia a continuación:</w:t>
      </w:r>
    </w:p>
    <w:p w:rsidR="005E1F29" w:rsidRDefault="00F53D71">
      <w:pPr>
        <w:spacing w:line="360" w:lineRule="auto"/>
        <w:jc w:val="center"/>
        <w:rPr>
          <w:rFonts w:ascii="Palatino Linotype" w:eastAsia="Palatino Linotype" w:hAnsi="Palatino Linotype" w:cs="Palatino Linotype"/>
          <w:color w:val="000000"/>
          <w:sz w:val="24"/>
          <w:szCs w:val="24"/>
        </w:rPr>
      </w:pPr>
      <w:r>
        <w:rPr>
          <w:noProof/>
        </w:rPr>
        <w:drawing>
          <wp:inline distT="0" distB="0" distL="0" distR="0">
            <wp:extent cx="5124450" cy="6040449"/>
            <wp:effectExtent l="0" t="0" r="0" b="0"/>
            <wp:docPr id="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l="34793" t="17200" r="35674" b="7664"/>
                    <a:stretch>
                      <a:fillRect/>
                    </a:stretch>
                  </pic:blipFill>
                  <pic:spPr>
                    <a:xfrm>
                      <a:off x="0" y="0"/>
                      <a:ext cx="5124450" cy="6040449"/>
                    </a:xfrm>
                    <a:prstGeom prst="rect">
                      <a:avLst/>
                    </a:prstGeom>
                    <a:ln/>
                  </pic:spPr>
                </pic:pic>
              </a:graphicData>
            </a:graphic>
          </wp:inline>
        </w:drawing>
      </w:r>
    </w:p>
    <w:p w:rsidR="005E1F29" w:rsidRDefault="00F53D71">
      <w:pPr>
        <w:spacing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u w:val="single"/>
        </w:rPr>
        <w:lastRenderedPageBreak/>
        <w:t>RESPUESTA USUARIO 115.pdf</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color w:val="000000"/>
          <w:sz w:val="24"/>
          <w:szCs w:val="24"/>
        </w:rPr>
        <w:t>Oficio CHI/TES/UTR/0255/2022, de fecha ocho de marzo de dos mil veintidós, signado por la Titular de la Unidad de Transparencia , mediante el cual refiere que puede encontrar en archivo adjunto en formato PDF en donde se da contestación a la solicitud de acceso a la información pública, como se aprecia a continuación:</w:t>
      </w:r>
    </w:p>
    <w:p w:rsidR="005E1F29" w:rsidRDefault="00F53D71">
      <w:pPr>
        <w:spacing w:line="360" w:lineRule="auto"/>
        <w:jc w:val="center"/>
      </w:pPr>
      <w:r>
        <w:rPr>
          <w:noProof/>
        </w:rPr>
        <w:drawing>
          <wp:inline distT="0" distB="0" distL="0" distR="0">
            <wp:extent cx="4505325" cy="4637099"/>
            <wp:effectExtent l="0" t="0" r="0" b="0"/>
            <wp:docPr id="2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l="36320" t="17501" r="36523" b="12191"/>
                    <a:stretch>
                      <a:fillRect/>
                    </a:stretch>
                  </pic:blipFill>
                  <pic:spPr>
                    <a:xfrm>
                      <a:off x="0" y="0"/>
                      <a:ext cx="4505325" cy="4637099"/>
                    </a:xfrm>
                    <a:prstGeom prst="rect">
                      <a:avLst/>
                    </a:prstGeom>
                    <a:ln/>
                  </pic:spPr>
                </pic:pic>
              </a:graphicData>
            </a:graphic>
          </wp:inline>
        </w:drawing>
      </w:r>
    </w:p>
    <w:p w:rsidR="005E1F29" w:rsidRDefault="00F53D71">
      <w:pPr>
        <w:spacing w:before="240" w:after="240" w:line="360" w:lineRule="auto"/>
        <w:ind w:right="-234"/>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3. DEL RECURSO DE REVISIÓN. </w:t>
      </w:r>
      <w:r>
        <w:rPr>
          <w:rFonts w:ascii="Palatino Linotype" w:eastAsia="Palatino Linotype" w:hAnsi="Palatino Linotype" w:cs="Palatino Linotype"/>
          <w:sz w:val="24"/>
          <w:szCs w:val="24"/>
        </w:rPr>
        <w:t>Inconforme con la respuesta del</w:t>
      </w:r>
      <w:r>
        <w:rPr>
          <w:rFonts w:ascii="Palatino Linotype" w:eastAsia="Palatino Linotype" w:hAnsi="Palatino Linotype" w:cs="Palatino Linotype"/>
          <w:b/>
          <w:sz w:val="24"/>
          <w:szCs w:val="24"/>
        </w:rPr>
        <w:t xml:space="preserve"> SUJETO OBLIGADO, </w:t>
      </w:r>
      <w:r>
        <w:rPr>
          <w:rFonts w:ascii="Palatino Linotype" w:eastAsia="Palatino Linotype" w:hAnsi="Palatino Linotype" w:cs="Palatino Linotype"/>
          <w:sz w:val="24"/>
          <w:szCs w:val="24"/>
        </w:rPr>
        <w:t>en fecha catorce de marzo de dos mil veintidós</w:t>
      </w:r>
      <w:r>
        <w:rPr>
          <w:rFonts w:ascii="Palatino Linotype" w:eastAsia="Palatino Linotype" w:hAnsi="Palatino Linotype" w:cs="Palatino Linotype"/>
          <w:b/>
          <w:sz w:val="24"/>
          <w:szCs w:val="24"/>
        </w:rPr>
        <w:t xml:space="preserve">, EL RECURRENTE </w:t>
      </w:r>
      <w:r>
        <w:rPr>
          <w:rFonts w:ascii="Palatino Linotype" w:eastAsia="Palatino Linotype" w:hAnsi="Palatino Linotype" w:cs="Palatino Linotype"/>
          <w:sz w:val="24"/>
          <w:szCs w:val="24"/>
        </w:rPr>
        <w:lastRenderedPageBreak/>
        <w:t>interpuso el recurso de revisión, el cual fue registrado</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en el sistema electrónico con el expediente número </w:t>
      </w:r>
      <w:r>
        <w:rPr>
          <w:rFonts w:ascii="Palatino Linotype" w:eastAsia="Palatino Linotype" w:hAnsi="Palatino Linotype" w:cs="Palatino Linotype"/>
          <w:b/>
          <w:color w:val="000000"/>
          <w:sz w:val="24"/>
          <w:szCs w:val="24"/>
        </w:rPr>
        <w:t>03894/INFOEM/IP/RR/2022</w:t>
      </w:r>
      <w:r>
        <w:rPr>
          <w:rFonts w:ascii="Palatino Linotype" w:eastAsia="Palatino Linotype" w:hAnsi="Palatino Linotype" w:cs="Palatino Linotype"/>
          <w:sz w:val="24"/>
          <w:szCs w:val="24"/>
        </w:rPr>
        <w:t>, en el cual manifiesta, lo siguiente:</w:t>
      </w:r>
    </w:p>
    <w:p w:rsidR="005E1F29" w:rsidRDefault="00F53D71">
      <w:pPr>
        <w:numPr>
          <w:ilvl w:val="0"/>
          <w:numId w:val="2"/>
        </w:numPr>
        <w:pBdr>
          <w:top w:val="nil"/>
          <w:left w:val="nil"/>
          <w:bottom w:val="nil"/>
          <w:right w:val="nil"/>
          <w:between w:val="nil"/>
        </w:pBdr>
        <w:spacing w:before="240" w:after="240" w:line="360" w:lineRule="auto"/>
        <w:jc w:val="both"/>
        <w:rPr>
          <w:rFonts w:ascii="Palatino Linotype" w:eastAsia="Palatino Linotype" w:hAnsi="Palatino Linotype" w:cs="Palatino Linotype"/>
          <w:b/>
          <w:i/>
          <w:color w:val="000000"/>
          <w:sz w:val="24"/>
          <w:szCs w:val="24"/>
        </w:rPr>
      </w:pPr>
      <w:r>
        <w:rPr>
          <w:rFonts w:ascii="Palatino Linotype" w:eastAsia="Palatino Linotype" w:hAnsi="Palatino Linotype" w:cs="Palatino Linotype"/>
          <w:b/>
          <w:i/>
          <w:color w:val="000000"/>
          <w:sz w:val="24"/>
          <w:szCs w:val="24"/>
        </w:rPr>
        <w:t>Acto Impugnado:</w:t>
      </w:r>
    </w:p>
    <w:p w:rsidR="005E1F29" w:rsidRDefault="00F53D71">
      <w:pPr>
        <w:spacing w:before="240" w:after="240" w:line="276" w:lineRule="auto"/>
        <w:ind w:left="851"/>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i/>
          <w:color w:val="000000"/>
        </w:rPr>
        <w:t>NO ENTREGAN LA INFORMACION</w:t>
      </w:r>
      <w:r>
        <w:rPr>
          <w:rFonts w:ascii="Palatino Linotype" w:eastAsia="Palatino Linotype" w:hAnsi="Palatino Linotype" w:cs="Palatino Linotype"/>
          <w:i/>
        </w:rPr>
        <w:t>” [sic]</w:t>
      </w:r>
    </w:p>
    <w:p w:rsidR="005E1F29" w:rsidRDefault="00F53D71">
      <w:pPr>
        <w:numPr>
          <w:ilvl w:val="0"/>
          <w:numId w:val="2"/>
        </w:numPr>
        <w:pBdr>
          <w:top w:val="nil"/>
          <w:left w:val="nil"/>
          <w:bottom w:val="nil"/>
          <w:right w:val="nil"/>
          <w:between w:val="nil"/>
        </w:pBdr>
        <w:spacing w:before="240" w:after="240" w:line="360" w:lineRule="auto"/>
        <w:rPr>
          <w:rFonts w:ascii="Palatino Linotype" w:eastAsia="Palatino Linotype" w:hAnsi="Palatino Linotype" w:cs="Palatino Linotype"/>
          <w:i/>
          <w:color w:val="000000"/>
          <w:sz w:val="24"/>
          <w:szCs w:val="24"/>
        </w:rPr>
      </w:pPr>
      <w:r>
        <w:rPr>
          <w:rFonts w:ascii="Palatino Linotype" w:eastAsia="Palatino Linotype" w:hAnsi="Palatino Linotype" w:cs="Palatino Linotype"/>
          <w:b/>
          <w:i/>
          <w:color w:val="000000"/>
          <w:sz w:val="24"/>
          <w:szCs w:val="24"/>
        </w:rPr>
        <w:t>Razones o Motivos de Inconformidad</w:t>
      </w:r>
      <w:r>
        <w:rPr>
          <w:rFonts w:ascii="Palatino Linotype" w:eastAsia="Palatino Linotype" w:hAnsi="Palatino Linotype" w:cs="Palatino Linotype"/>
          <w:i/>
          <w:color w:val="000000"/>
          <w:sz w:val="24"/>
          <w:szCs w:val="24"/>
        </w:rPr>
        <w:t>:</w:t>
      </w:r>
    </w:p>
    <w:p w:rsidR="005E1F29" w:rsidRDefault="00F53D71">
      <w:pPr>
        <w:spacing w:before="240" w:after="0" w:line="360" w:lineRule="auto"/>
        <w:ind w:left="851"/>
        <w:jc w:val="both"/>
        <w:rPr>
          <w:rFonts w:ascii="Palatino Linotype" w:eastAsia="Palatino Linotype" w:hAnsi="Palatino Linotype" w:cs="Palatino Linotype"/>
          <w:i/>
        </w:rPr>
      </w:pPr>
      <w:r>
        <w:rPr>
          <w:rFonts w:ascii="Palatino Linotype" w:eastAsia="Palatino Linotype" w:hAnsi="Palatino Linotype" w:cs="Palatino Linotype"/>
          <w:i/>
          <w:color w:val="000000"/>
          <w:sz w:val="24"/>
          <w:szCs w:val="24"/>
        </w:rPr>
        <w:t>“</w:t>
      </w:r>
      <w:r>
        <w:rPr>
          <w:rFonts w:ascii="Palatino Linotype" w:eastAsia="Palatino Linotype" w:hAnsi="Palatino Linotype" w:cs="Palatino Linotype"/>
          <w:i/>
          <w:color w:val="000000"/>
        </w:rPr>
        <w:t xml:space="preserve">NO ENTREGAN LA INFORMACION, SOLO ADJUNTAN UN OFICIO DONDE DICEN DAR RESPUESTA PERO NO ANEXAN LA RESPUESTA DE LA SOLICITUD DE INFORMACION” </w:t>
      </w:r>
      <w:r>
        <w:rPr>
          <w:rFonts w:ascii="Palatino Linotype" w:eastAsia="Palatino Linotype" w:hAnsi="Palatino Linotype" w:cs="Palatino Linotype"/>
          <w:i/>
        </w:rPr>
        <w:t>[sic]</w:t>
      </w:r>
    </w:p>
    <w:p w:rsidR="005E1F29" w:rsidRDefault="005E1F29">
      <w:pPr>
        <w:spacing w:after="0" w:line="360" w:lineRule="auto"/>
        <w:jc w:val="both"/>
        <w:rPr>
          <w:rFonts w:ascii="Palatino Linotype" w:eastAsia="Palatino Linotype" w:hAnsi="Palatino Linotype" w:cs="Palatino Linotype"/>
          <w:b/>
          <w:sz w:val="24"/>
          <w:szCs w:val="24"/>
        </w:rPr>
      </w:pPr>
    </w:p>
    <w:p w:rsidR="005E1F29" w:rsidRDefault="00F53D71">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4. TURNO. </w:t>
      </w:r>
      <w:r>
        <w:rPr>
          <w:rFonts w:ascii="Palatino Linotype" w:eastAsia="Palatino Linotype" w:hAnsi="Palatino Linotype" w:cs="Palatino Linotype"/>
          <w:sz w:val="24"/>
          <w:szCs w:val="24"/>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Pr>
          <w:rFonts w:ascii="Palatino Linotype" w:eastAsia="Palatino Linotype" w:hAnsi="Palatino Linotype" w:cs="Palatino Linotype"/>
          <w:b/>
          <w:sz w:val="24"/>
          <w:szCs w:val="24"/>
        </w:rPr>
        <w:t xml:space="preserve">Guadalupe Ramírez Peña, </w:t>
      </w:r>
      <w:r>
        <w:rPr>
          <w:rFonts w:ascii="Palatino Linotype" w:eastAsia="Palatino Linotype" w:hAnsi="Palatino Linotype" w:cs="Palatino Linotype"/>
          <w:sz w:val="24"/>
          <w:szCs w:val="24"/>
        </w:rPr>
        <w:t xml:space="preserve">a efecto de que analizara sobre su admisión o su </w:t>
      </w:r>
      <w:proofErr w:type="spellStart"/>
      <w:r>
        <w:rPr>
          <w:rFonts w:ascii="Palatino Linotype" w:eastAsia="Palatino Linotype" w:hAnsi="Palatino Linotype" w:cs="Palatino Linotype"/>
          <w:sz w:val="24"/>
          <w:szCs w:val="24"/>
        </w:rPr>
        <w:t>desechamiento</w:t>
      </w:r>
      <w:proofErr w:type="spellEnd"/>
      <w:r>
        <w:rPr>
          <w:rFonts w:ascii="Palatino Linotype" w:eastAsia="Palatino Linotype" w:hAnsi="Palatino Linotype" w:cs="Palatino Linotype"/>
          <w:sz w:val="24"/>
          <w:szCs w:val="24"/>
        </w:rPr>
        <w:t>.</w:t>
      </w:r>
    </w:p>
    <w:p w:rsidR="005E1F29" w:rsidRDefault="005E1F29">
      <w:pPr>
        <w:spacing w:after="0" w:line="360" w:lineRule="auto"/>
        <w:jc w:val="both"/>
        <w:rPr>
          <w:rFonts w:ascii="Palatino Linotype" w:eastAsia="Palatino Linotype" w:hAnsi="Palatino Linotype" w:cs="Palatino Linotype"/>
          <w:b/>
          <w:sz w:val="24"/>
          <w:szCs w:val="24"/>
        </w:rPr>
      </w:pPr>
    </w:p>
    <w:p w:rsidR="005E1F29" w:rsidRDefault="00F53D71">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5. ADMISIÓN DEL RECURSO DE REVISIÓN.</w:t>
      </w:r>
      <w:r>
        <w:rPr>
          <w:rFonts w:ascii="Palatino Linotype" w:eastAsia="Palatino Linotype" w:hAnsi="Palatino Linotype" w:cs="Palatino Linotype"/>
          <w:sz w:val="24"/>
          <w:szCs w:val="24"/>
        </w:rPr>
        <w:t xml:space="preserve"> Con fecha</w:t>
      </w:r>
      <w:r>
        <w:rPr>
          <w:rFonts w:ascii="Palatino Linotype" w:eastAsia="Palatino Linotype" w:hAnsi="Palatino Linotype" w:cs="Palatino Linotype"/>
          <w:b/>
          <w:sz w:val="24"/>
          <w:szCs w:val="24"/>
        </w:rPr>
        <w:t xml:space="preserve"> diecisiete de marzo de dos mil veintidós, </w:t>
      </w:r>
      <w:r>
        <w:rPr>
          <w:rFonts w:ascii="Palatino Linotype" w:eastAsia="Palatino Linotype" w:hAnsi="Palatino Linotype" w:cs="Palatino Linotype"/>
          <w:sz w:val="24"/>
          <w:szCs w:val="24"/>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w:t>
      </w:r>
      <w:r>
        <w:rPr>
          <w:rFonts w:ascii="Palatino Linotype" w:eastAsia="Palatino Linotype" w:hAnsi="Palatino Linotype" w:cs="Palatino Linotype"/>
          <w:sz w:val="24"/>
          <w:szCs w:val="24"/>
        </w:rPr>
        <w:lastRenderedPageBreak/>
        <w:t xml:space="preserve">conveniente, ofrecieran pruebas, formularan alegatos y el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presentara su informe justificado.</w:t>
      </w:r>
    </w:p>
    <w:p w:rsidR="005E1F29" w:rsidRDefault="005E1F29">
      <w:pPr>
        <w:spacing w:after="0" w:line="360" w:lineRule="auto"/>
        <w:jc w:val="both"/>
        <w:rPr>
          <w:rFonts w:ascii="Palatino Linotype" w:eastAsia="Palatino Linotype" w:hAnsi="Palatino Linotype" w:cs="Palatino Linotype"/>
          <w:b/>
          <w:sz w:val="24"/>
          <w:szCs w:val="24"/>
        </w:rPr>
      </w:pPr>
    </w:p>
    <w:p w:rsidR="005E1F29" w:rsidRDefault="00F53D71">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6. MANIFESTACIONES. </w:t>
      </w:r>
      <w:r>
        <w:rPr>
          <w:rFonts w:ascii="Palatino Linotype" w:eastAsia="Palatino Linotype" w:hAnsi="Palatino Linotype" w:cs="Palatino Linotype"/>
          <w:sz w:val="24"/>
          <w:szCs w:val="24"/>
        </w:rPr>
        <w:t xml:space="preserve">De las constancias que obran en el expediente electrónico del SAIMEX se desprende que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no rindió su informe justificado, del mismo modo el ahora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omitió realizar manifestaciones, como se observa a continuación:</w:t>
      </w:r>
    </w:p>
    <w:p w:rsidR="005E1F29" w:rsidRDefault="00F53D71">
      <w:pPr>
        <w:spacing w:line="360" w:lineRule="auto"/>
        <w:jc w:val="both"/>
      </w:pPr>
      <w:r>
        <w:rPr>
          <w:noProof/>
        </w:rPr>
        <w:drawing>
          <wp:inline distT="0" distB="0" distL="0" distR="0">
            <wp:extent cx="5629442" cy="1556105"/>
            <wp:effectExtent l="0" t="0" r="0" b="0"/>
            <wp:docPr id="2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l="28852" t="24442" r="29395" b="55039"/>
                    <a:stretch>
                      <a:fillRect/>
                    </a:stretch>
                  </pic:blipFill>
                  <pic:spPr>
                    <a:xfrm>
                      <a:off x="0" y="0"/>
                      <a:ext cx="5629442" cy="1556105"/>
                    </a:xfrm>
                    <a:prstGeom prst="rect">
                      <a:avLst/>
                    </a:prstGeom>
                    <a:ln/>
                  </pic:spPr>
                </pic:pic>
              </a:graphicData>
            </a:graphic>
          </wp:inline>
        </w:drawing>
      </w:r>
    </w:p>
    <w:p w:rsidR="005E1F29" w:rsidRDefault="00F53D71">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7. CIERRE DE INSTRUCCIÓN. </w:t>
      </w:r>
      <w:r>
        <w:rPr>
          <w:rFonts w:ascii="Palatino Linotype" w:eastAsia="Palatino Linotype" w:hAnsi="Palatino Linotype" w:cs="Palatino Linotype"/>
          <w:color w:val="000000"/>
          <w:sz w:val="24"/>
          <w:szCs w:val="24"/>
        </w:rPr>
        <w:t>El veintidós de junio de dos mil veintidós,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rsidR="005E1F29" w:rsidRDefault="005E1F29">
      <w:pPr>
        <w:spacing w:after="0" w:line="360" w:lineRule="auto"/>
        <w:jc w:val="both"/>
        <w:rPr>
          <w:rFonts w:ascii="Palatino Linotype" w:eastAsia="Palatino Linotype" w:hAnsi="Palatino Linotype" w:cs="Palatino Linotype"/>
          <w:b/>
          <w:sz w:val="24"/>
          <w:szCs w:val="24"/>
        </w:rPr>
      </w:pPr>
    </w:p>
    <w:p w:rsidR="005E1F29" w:rsidRDefault="00F53D71">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8. AMPLIACIÓN DEL TÉRMINO PARA RESOLVER</w:t>
      </w:r>
      <w:r>
        <w:rPr>
          <w:rFonts w:ascii="Palatino Linotype" w:eastAsia="Palatino Linotype" w:hAnsi="Palatino Linotype" w:cs="Palatino Linotype"/>
          <w:sz w:val="24"/>
          <w:szCs w:val="24"/>
        </w:rPr>
        <w:t>.</w:t>
      </w:r>
      <w:r>
        <w:rPr>
          <w:rFonts w:ascii="Palatino Linotype" w:eastAsia="Palatino Linotype" w:hAnsi="Palatino Linotype" w:cs="Palatino Linotype"/>
        </w:rPr>
        <w:t xml:space="preserve"> </w:t>
      </w:r>
      <w:r>
        <w:rPr>
          <w:rFonts w:ascii="Palatino Linotype" w:eastAsia="Palatino Linotype" w:hAnsi="Palatino Linotype" w:cs="Palatino Linotype"/>
          <w:sz w:val="24"/>
          <w:szCs w:val="24"/>
        </w:rPr>
        <w:t xml:space="preserve">En </w:t>
      </w:r>
      <w:r>
        <w:rPr>
          <w:rFonts w:ascii="Palatino Linotype" w:eastAsia="Palatino Linotype" w:hAnsi="Palatino Linotype" w:cs="Palatino Linotype"/>
          <w:color w:val="000000"/>
          <w:sz w:val="24"/>
          <w:szCs w:val="24"/>
        </w:rPr>
        <w:t>fecha veintidós de junio de dos mil veintidós</w:t>
      </w:r>
      <w:r>
        <w:rPr>
          <w:rFonts w:ascii="Palatino Linotype" w:eastAsia="Palatino Linotype" w:hAnsi="Palatino Linotype" w:cs="Palatino Linotype"/>
          <w:sz w:val="24"/>
          <w:szCs w:val="24"/>
        </w:rPr>
        <w:t xml:space="preserve">, se amplió el término para resolver el recurso de revisión en términos del artículo 181 párrafo tercero de la Ley de Transparencia y Acceso a la Información Pública del Estado de México y Municipios. </w:t>
      </w:r>
    </w:p>
    <w:p w:rsidR="00F6563B" w:rsidRPr="002F2535" w:rsidRDefault="00F6563B" w:rsidP="00F6563B">
      <w:pPr>
        <w:spacing w:line="360" w:lineRule="auto"/>
        <w:contextualSpacing/>
        <w:jc w:val="both"/>
        <w:rPr>
          <w:rFonts w:ascii="Palatino Linotype" w:hAnsi="Palatino Linotype"/>
          <w:sz w:val="24"/>
          <w:szCs w:val="24"/>
          <w:lang w:eastAsia="en-US"/>
        </w:rPr>
      </w:pPr>
      <w:r w:rsidRPr="002F2535">
        <w:rPr>
          <w:rFonts w:ascii="Palatino Linotype" w:hAnsi="Palatino Linotype"/>
          <w:sz w:val="24"/>
          <w:szCs w:val="24"/>
          <w:lang w:eastAsia="en-US"/>
        </w:rPr>
        <w:lastRenderedPageBreak/>
        <w:t>Este organismo garante no pasa por alto justificar, que el plazo pare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F6563B" w:rsidRPr="002F2535" w:rsidRDefault="00F6563B" w:rsidP="00F6563B">
      <w:pPr>
        <w:spacing w:line="360" w:lineRule="auto"/>
        <w:contextualSpacing/>
        <w:jc w:val="both"/>
        <w:rPr>
          <w:rFonts w:ascii="Palatino Linotype" w:hAnsi="Palatino Linotype"/>
          <w:sz w:val="24"/>
          <w:szCs w:val="24"/>
          <w:lang w:eastAsia="en-US"/>
        </w:rPr>
      </w:pPr>
    </w:p>
    <w:p w:rsidR="00F6563B" w:rsidRPr="002F2535" w:rsidRDefault="00F6563B" w:rsidP="00F6563B">
      <w:pPr>
        <w:spacing w:line="360" w:lineRule="auto"/>
        <w:contextualSpacing/>
        <w:jc w:val="both"/>
        <w:rPr>
          <w:rFonts w:ascii="Palatino Linotype" w:hAnsi="Palatino Linotype"/>
          <w:sz w:val="24"/>
          <w:szCs w:val="24"/>
          <w:lang w:eastAsia="en-US"/>
        </w:rPr>
      </w:pPr>
      <w:r w:rsidRPr="002F2535">
        <w:rPr>
          <w:rFonts w:ascii="Palatino Linotype" w:hAnsi="Palatino Linotype"/>
          <w:sz w:val="24"/>
          <w:szCs w:val="24"/>
          <w:lang w:eastAsia="en-US"/>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F6563B" w:rsidRPr="002F2535" w:rsidRDefault="00F6563B" w:rsidP="00F6563B">
      <w:pPr>
        <w:spacing w:line="360" w:lineRule="auto"/>
        <w:contextualSpacing/>
        <w:jc w:val="both"/>
        <w:rPr>
          <w:rFonts w:ascii="Palatino Linotype" w:hAnsi="Palatino Linotype"/>
          <w:sz w:val="24"/>
          <w:szCs w:val="24"/>
          <w:lang w:eastAsia="en-US"/>
        </w:rPr>
      </w:pPr>
    </w:p>
    <w:p w:rsidR="00F6563B" w:rsidRPr="002F2535" w:rsidRDefault="00F6563B" w:rsidP="00F6563B">
      <w:pPr>
        <w:spacing w:line="360" w:lineRule="auto"/>
        <w:contextualSpacing/>
        <w:jc w:val="both"/>
        <w:rPr>
          <w:rFonts w:ascii="Palatino Linotype" w:hAnsi="Palatino Linotype"/>
          <w:sz w:val="24"/>
          <w:szCs w:val="24"/>
          <w:lang w:eastAsia="en-US"/>
        </w:rPr>
      </w:pPr>
      <w:r w:rsidRPr="002F2535">
        <w:rPr>
          <w:rFonts w:ascii="Palatino Linotype" w:hAnsi="Palatino Linotype"/>
          <w:sz w:val="24"/>
          <w:szCs w:val="24"/>
          <w:lang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F6563B" w:rsidRPr="002F2535" w:rsidRDefault="00F6563B" w:rsidP="00F6563B">
      <w:pPr>
        <w:spacing w:line="360" w:lineRule="auto"/>
        <w:contextualSpacing/>
        <w:jc w:val="both"/>
        <w:rPr>
          <w:rFonts w:ascii="Palatino Linotype" w:hAnsi="Palatino Linotype"/>
          <w:sz w:val="24"/>
          <w:szCs w:val="24"/>
          <w:lang w:eastAsia="en-US"/>
        </w:rPr>
      </w:pPr>
    </w:p>
    <w:p w:rsidR="00F6563B" w:rsidRPr="002F2535" w:rsidRDefault="00F6563B" w:rsidP="00F6563B">
      <w:pPr>
        <w:spacing w:line="360" w:lineRule="auto"/>
        <w:contextualSpacing/>
        <w:jc w:val="both"/>
        <w:rPr>
          <w:rFonts w:ascii="Palatino Linotype" w:hAnsi="Palatino Linotype"/>
          <w:sz w:val="24"/>
          <w:szCs w:val="24"/>
          <w:lang w:eastAsia="en-US"/>
        </w:rPr>
      </w:pPr>
      <w:r w:rsidRPr="002F2535">
        <w:rPr>
          <w:rFonts w:ascii="Palatino Linotype" w:hAnsi="Palatino Linotype"/>
          <w:sz w:val="24"/>
          <w:szCs w:val="24"/>
          <w:lang w:eastAsia="en-US"/>
        </w:rPr>
        <w:t xml:space="preserve">En ese sentido, el legislador fijó los términos procesales en las leyes, de manera general, sin que pudiera prever la variada gama de casos que son resueltos por los </w:t>
      </w:r>
      <w:r w:rsidRPr="002F2535">
        <w:rPr>
          <w:rFonts w:ascii="Palatino Linotype" w:hAnsi="Palatino Linotype"/>
          <w:sz w:val="24"/>
          <w:szCs w:val="24"/>
          <w:lang w:eastAsia="en-US"/>
        </w:rPr>
        <w:lastRenderedPageBreak/>
        <w:t xml:space="preserve">órganos jurisdiccionales o cuasi jurisdiccionales, tanto por la complejidad de los hechos, como por el número de casos que conocen. </w:t>
      </w:r>
    </w:p>
    <w:p w:rsidR="00F6563B" w:rsidRPr="002F2535" w:rsidRDefault="00F6563B" w:rsidP="00F6563B">
      <w:pPr>
        <w:spacing w:line="360" w:lineRule="auto"/>
        <w:contextualSpacing/>
        <w:jc w:val="both"/>
        <w:rPr>
          <w:rFonts w:ascii="Palatino Linotype" w:hAnsi="Palatino Linotype"/>
          <w:sz w:val="24"/>
          <w:szCs w:val="24"/>
          <w:lang w:eastAsia="en-US"/>
        </w:rPr>
      </w:pPr>
    </w:p>
    <w:p w:rsidR="00F6563B" w:rsidRPr="002F2535" w:rsidRDefault="00F6563B" w:rsidP="00F6563B">
      <w:pPr>
        <w:spacing w:line="360" w:lineRule="auto"/>
        <w:contextualSpacing/>
        <w:jc w:val="both"/>
        <w:rPr>
          <w:rFonts w:ascii="Palatino Linotype" w:hAnsi="Palatino Linotype"/>
          <w:strike/>
          <w:color w:val="FF0000"/>
          <w:sz w:val="24"/>
          <w:szCs w:val="24"/>
          <w:lang w:eastAsia="en-US"/>
        </w:rPr>
      </w:pPr>
      <w:r w:rsidRPr="002F2535">
        <w:rPr>
          <w:rFonts w:ascii="Palatino Linotype" w:hAnsi="Palatino Linotype"/>
          <w:sz w:val="24"/>
          <w:szCs w:val="24"/>
          <w:lang w:eastAsia="en-US"/>
        </w:rPr>
        <w:t xml:space="preserve">Por ello, excepcionalmente, si un asunto es resuelto con posterioridad a los plazos señalados por la norma debe analizarse la razonabilidad del tiempo necesario para </w:t>
      </w:r>
      <w:proofErr w:type="gramStart"/>
      <w:r w:rsidRPr="002F2535">
        <w:rPr>
          <w:rFonts w:ascii="Palatino Linotype" w:hAnsi="Palatino Linotype"/>
          <w:sz w:val="24"/>
          <w:szCs w:val="24"/>
          <w:lang w:eastAsia="en-US"/>
        </w:rPr>
        <w:t>su resolución atentos</w:t>
      </w:r>
      <w:proofErr w:type="gramEnd"/>
      <w:r w:rsidRPr="002F2535">
        <w:rPr>
          <w:rFonts w:ascii="Palatino Linotype" w:hAnsi="Palatino Linotype"/>
          <w:sz w:val="24"/>
          <w:szCs w:val="24"/>
          <w:lang w:eastAsia="en-US"/>
        </w:rPr>
        <w:t xml:space="preserve"> a los siguientes criterios: </w:t>
      </w:r>
    </w:p>
    <w:p w:rsidR="00F6563B" w:rsidRPr="002F2535" w:rsidRDefault="00F6563B" w:rsidP="00F6563B">
      <w:pPr>
        <w:spacing w:line="360" w:lineRule="auto"/>
        <w:contextualSpacing/>
        <w:jc w:val="both"/>
        <w:rPr>
          <w:rFonts w:ascii="Palatino Linotype" w:hAnsi="Palatino Linotype"/>
          <w:sz w:val="24"/>
          <w:szCs w:val="24"/>
          <w:lang w:eastAsia="en-US"/>
        </w:rPr>
      </w:pPr>
    </w:p>
    <w:p w:rsidR="00F6563B" w:rsidRPr="002F2535" w:rsidRDefault="00F6563B" w:rsidP="00F6563B">
      <w:pPr>
        <w:numPr>
          <w:ilvl w:val="0"/>
          <w:numId w:val="4"/>
        </w:numPr>
        <w:spacing w:line="360" w:lineRule="auto"/>
        <w:contextualSpacing/>
        <w:jc w:val="both"/>
        <w:rPr>
          <w:rFonts w:ascii="Palatino Linotype" w:hAnsi="Palatino Linotype"/>
          <w:sz w:val="24"/>
          <w:szCs w:val="24"/>
        </w:rPr>
      </w:pPr>
      <w:r w:rsidRPr="002F2535">
        <w:rPr>
          <w:rFonts w:ascii="Palatino Linotype" w:hAnsi="Palatino Linotype"/>
          <w:sz w:val="24"/>
          <w:szCs w:val="24"/>
        </w:rPr>
        <w:t xml:space="preserve">Complejidad del Asunto: La complejidad de la prueba, la pluralidad de sujetos procesales, el tiempo transcurrido, las características y contexto del recurso. </w:t>
      </w:r>
    </w:p>
    <w:p w:rsidR="00F6563B" w:rsidRPr="002F2535" w:rsidRDefault="00F6563B" w:rsidP="00F6563B">
      <w:pPr>
        <w:spacing w:line="360" w:lineRule="auto"/>
        <w:ind w:left="927"/>
        <w:contextualSpacing/>
        <w:jc w:val="both"/>
        <w:rPr>
          <w:rFonts w:ascii="Palatino Linotype" w:hAnsi="Palatino Linotype"/>
          <w:sz w:val="24"/>
          <w:szCs w:val="24"/>
        </w:rPr>
      </w:pPr>
    </w:p>
    <w:p w:rsidR="00F6563B" w:rsidRPr="002F2535" w:rsidRDefault="00F6563B" w:rsidP="00F6563B">
      <w:pPr>
        <w:numPr>
          <w:ilvl w:val="0"/>
          <w:numId w:val="4"/>
        </w:numPr>
        <w:spacing w:line="360" w:lineRule="auto"/>
        <w:contextualSpacing/>
        <w:jc w:val="both"/>
        <w:rPr>
          <w:rFonts w:ascii="Palatino Linotype" w:hAnsi="Palatino Linotype"/>
          <w:sz w:val="24"/>
          <w:szCs w:val="24"/>
        </w:rPr>
      </w:pPr>
      <w:r w:rsidRPr="002F2535">
        <w:rPr>
          <w:rFonts w:ascii="Palatino Linotype" w:hAnsi="Palatino Linotype"/>
          <w:sz w:val="24"/>
          <w:szCs w:val="24"/>
        </w:rPr>
        <w:t>Actividad Procesal del interesado. Acciones u omisiones del interesado.</w:t>
      </w:r>
    </w:p>
    <w:p w:rsidR="00F6563B" w:rsidRPr="002F2535" w:rsidRDefault="00F6563B" w:rsidP="00F6563B">
      <w:pPr>
        <w:spacing w:line="360" w:lineRule="auto"/>
        <w:contextualSpacing/>
        <w:jc w:val="both"/>
        <w:rPr>
          <w:rFonts w:ascii="Palatino Linotype" w:hAnsi="Palatino Linotype"/>
          <w:sz w:val="24"/>
          <w:szCs w:val="24"/>
          <w:lang w:eastAsia="en-US"/>
        </w:rPr>
      </w:pPr>
    </w:p>
    <w:p w:rsidR="00F6563B" w:rsidRPr="002F2535" w:rsidRDefault="00F6563B" w:rsidP="00F6563B">
      <w:pPr>
        <w:numPr>
          <w:ilvl w:val="0"/>
          <w:numId w:val="4"/>
        </w:numPr>
        <w:spacing w:line="360" w:lineRule="auto"/>
        <w:contextualSpacing/>
        <w:jc w:val="both"/>
        <w:rPr>
          <w:rFonts w:ascii="Palatino Linotype" w:hAnsi="Palatino Linotype"/>
          <w:sz w:val="24"/>
          <w:szCs w:val="24"/>
        </w:rPr>
      </w:pPr>
      <w:r w:rsidRPr="002F2535">
        <w:rPr>
          <w:rFonts w:ascii="Palatino Linotype" w:hAnsi="Palatino Linotype"/>
          <w:sz w:val="24"/>
          <w:szCs w:val="24"/>
        </w:rPr>
        <w:t>Conducta de la Autoridad: Las Acciones u omisiones realizadas en el procedimiento. Así como si la autoridad actuó con la debida diligencia.</w:t>
      </w:r>
    </w:p>
    <w:p w:rsidR="00F6563B" w:rsidRPr="002F2535" w:rsidRDefault="00F6563B" w:rsidP="00F6563B">
      <w:pPr>
        <w:spacing w:line="360" w:lineRule="auto"/>
        <w:ind w:left="708"/>
        <w:contextualSpacing/>
        <w:rPr>
          <w:rFonts w:ascii="Palatino Linotype" w:hAnsi="Palatino Linotype"/>
          <w:sz w:val="24"/>
          <w:szCs w:val="24"/>
        </w:rPr>
      </w:pPr>
    </w:p>
    <w:p w:rsidR="00F6563B" w:rsidRPr="002F2535" w:rsidRDefault="00F6563B" w:rsidP="00F6563B">
      <w:pPr>
        <w:spacing w:line="360" w:lineRule="auto"/>
        <w:ind w:left="567"/>
        <w:contextualSpacing/>
        <w:jc w:val="both"/>
        <w:rPr>
          <w:rFonts w:ascii="Palatino Linotype" w:hAnsi="Palatino Linotype"/>
          <w:sz w:val="24"/>
          <w:szCs w:val="24"/>
          <w:lang w:eastAsia="en-US"/>
        </w:rPr>
      </w:pPr>
      <w:r w:rsidRPr="002F2535">
        <w:rPr>
          <w:rFonts w:ascii="Palatino Linotype" w:hAnsi="Palatino Linotype"/>
          <w:sz w:val="24"/>
          <w:szCs w:val="24"/>
          <w:lang w:eastAsia="en-US"/>
        </w:rPr>
        <w:t>d) La afectación generada en la situación jurídica de la persona involucrada en el proceso: Violación a sus derechos humanos.</w:t>
      </w:r>
    </w:p>
    <w:p w:rsidR="00F6563B" w:rsidRPr="002F2535" w:rsidRDefault="00F6563B" w:rsidP="00F6563B">
      <w:pPr>
        <w:spacing w:line="360" w:lineRule="auto"/>
        <w:contextualSpacing/>
        <w:jc w:val="both"/>
        <w:rPr>
          <w:rFonts w:ascii="Palatino Linotype" w:hAnsi="Palatino Linotype"/>
          <w:sz w:val="24"/>
          <w:szCs w:val="24"/>
          <w:lang w:eastAsia="en-US"/>
        </w:rPr>
      </w:pPr>
    </w:p>
    <w:p w:rsidR="00F6563B" w:rsidRPr="002F2535" w:rsidRDefault="00F6563B" w:rsidP="00F6563B">
      <w:pPr>
        <w:spacing w:line="360" w:lineRule="auto"/>
        <w:contextualSpacing/>
        <w:jc w:val="both"/>
        <w:rPr>
          <w:rFonts w:ascii="Palatino Linotype" w:hAnsi="Palatino Linotype"/>
          <w:sz w:val="24"/>
          <w:szCs w:val="24"/>
          <w:lang w:eastAsia="en-US"/>
        </w:rPr>
      </w:pPr>
      <w:r w:rsidRPr="002F2535">
        <w:rPr>
          <w:rFonts w:ascii="Palatino Linotype" w:hAnsi="Palatino Linotype"/>
          <w:sz w:val="24"/>
          <w:szCs w:val="24"/>
          <w:lang w:eastAsia="en-US"/>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w:t>
      </w:r>
      <w:r w:rsidRPr="002F2535">
        <w:rPr>
          <w:rFonts w:ascii="Palatino Linotype" w:hAnsi="Palatino Linotype"/>
          <w:sz w:val="24"/>
          <w:szCs w:val="24"/>
          <w:lang w:eastAsia="en-US"/>
        </w:rPr>
        <w:lastRenderedPageBreak/>
        <w:t>relación con la actuación del funcionario, como ha acontecido en el caso que nos ocupa.</w:t>
      </w:r>
    </w:p>
    <w:p w:rsidR="00F6563B" w:rsidRPr="002F2535" w:rsidRDefault="00F6563B" w:rsidP="00F6563B">
      <w:pPr>
        <w:spacing w:line="360" w:lineRule="auto"/>
        <w:contextualSpacing/>
        <w:jc w:val="both"/>
        <w:rPr>
          <w:rFonts w:ascii="Palatino Linotype" w:hAnsi="Palatino Linotype"/>
          <w:sz w:val="24"/>
          <w:szCs w:val="24"/>
          <w:lang w:eastAsia="en-US"/>
        </w:rPr>
      </w:pPr>
    </w:p>
    <w:p w:rsidR="00F6563B" w:rsidRPr="002F2535" w:rsidRDefault="00F6563B" w:rsidP="00F6563B">
      <w:pPr>
        <w:spacing w:line="360" w:lineRule="auto"/>
        <w:contextualSpacing/>
        <w:jc w:val="both"/>
        <w:rPr>
          <w:rFonts w:ascii="Palatino Linotype" w:hAnsi="Palatino Linotype"/>
          <w:b/>
          <w:sz w:val="24"/>
          <w:szCs w:val="24"/>
          <w:lang w:eastAsia="en-US"/>
        </w:rPr>
      </w:pPr>
      <w:r w:rsidRPr="002F2535">
        <w:rPr>
          <w:rFonts w:ascii="Palatino Linotype" w:hAnsi="Palatino Linotype"/>
          <w:sz w:val="24"/>
          <w:szCs w:val="24"/>
          <w:lang w:eastAsia="en-US"/>
        </w:rPr>
        <w:t>Argumento que encuentra sustento en la jurisprudencia P</w:t>
      </w:r>
      <w:proofErr w:type="gramStart"/>
      <w:r w:rsidRPr="002F2535">
        <w:rPr>
          <w:rFonts w:ascii="Palatino Linotype" w:hAnsi="Palatino Linotype"/>
          <w:sz w:val="24"/>
          <w:szCs w:val="24"/>
          <w:lang w:eastAsia="en-US"/>
        </w:rPr>
        <w:t>./</w:t>
      </w:r>
      <w:proofErr w:type="gramEnd"/>
      <w:r w:rsidRPr="002F2535">
        <w:rPr>
          <w:rFonts w:ascii="Palatino Linotype" w:hAnsi="Palatino Linotype"/>
          <w:sz w:val="24"/>
          <w:szCs w:val="24"/>
          <w:lang w:eastAsia="en-US"/>
        </w:rPr>
        <w:t xml:space="preserve">J. 32/92 emitida por el Pleno de la Suprema Corte de Justicia de la Nación de rubro </w:t>
      </w:r>
      <w:r w:rsidRPr="002F2535">
        <w:rPr>
          <w:rFonts w:ascii="Palatino Linotype" w:hAnsi="Palatino Linotype"/>
          <w:i/>
          <w:sz w:val="24"/>
          <w:szCs w:val="24"/>
          <w:lang w:eastAsia="en-US"/>
        </w:rPr>
        <w:t>“TÉRMINOS PROCESALES. PARA DETERMINAR SI UN FUNCIONARIO JUDICIAL ACTUÓ INDEBIDAMENTE POR NO RESPETARLOS SE DEBE ATENDER AL PRESUPUESTO QUE CONSIDERÓ EL LEGISLADOR AL FIJARLOS Y LAS CARACTERÍSTICAS DEL CASO.”</w:t>
      </w:r>
      <w:r w:rsidRPr="002F2535">
        <w:rPr>
          <w:rFonts w:ascii="Palatino Linotype" w:hAnsi="Palatino Linotype"/>
          <w:sz w:val="24"/>
          <w:szCs w:val="24"/>
          <w:lang w:eastAsia="en-US"/>
        </w:rPr>
        <w:t>, visible en la Gaceta del Seminario Judicial de la Federación con el registro digital 205635.</w:t>
      </w:r>
    </w:p>
    <w:p w:rsidR="00F6563B" w:rsidRPr="002F2535" w:rsidRDefault="00F6563B" w:rsidP="00F6563B">
      <w:pPr>
        <w:spacing w:line="360" w:lineRule="auto"/>
        <w:contextualSpacing/>
        <w:jc w:val="both"/>
        <w:rPr>
          <w:rFonts w:ascii="Palatino Linotype" w:hAnsi="Palatino Linotype"/>
          <w:sz w:val="24"/>
          <w:szCs w:val="24"/>
          <w:lang w:eastAsia="en-US"/>
        </w:rPr>
      </w:pPr>
    </w:p>
    <w:p w:rsidR="00F6563B" w:rsidRPr="002F2535" w:rsidRDefault="00F6563B" w:rsidP="00F6563B">
      <w:pPr>
        <w:spacing w:line="360" w:lineRule="auto"/>
        <w:contextualSpacing/>
        <w:jc w:val="both"/>
        <w:rPr>
          <w:rFonts w:ascii="Palatino Linotype" w:hAnsi="Palatino Linotype"/>
          <w:sz w:val="24"/>
          <w:szCs w:val="24"/>
          <w:lang w:eastAsia="en-US"/>
        </w:rPr>
      </w:pPr>
      <w:r w:rsidRPr="002F2535">
        <w:rPr>
          <w:rFonts w:ascii="Palatino Linotype" w:hAnsi="Palatino Linotype"/>
          <w:sz w:val="24"/>
          <w:szCs w:val="24"/>
          <w:lang w:eastAsia="en-U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F6563B" w:rsidRPr="002F2535" w:rsidRDefault="00F6563B" w:rsidP="00F6563B">
      <w:pPr>
        <w:spacing w:line="360" w:lineRule="auto"/>
        <w:contextualSpacing/>
        <w:jc w:val="both"/>
        <w:rPr>
          <w:rFonts w:ascii="Palatino Linotype" w:hAnsi="Palatino Linotype"/>
          <w:sz w:val="24"/>
          <w:szCs w:val="24"/>
          <w:lang w:eastAsia="en-US"/>
        </w:rPr>
      </w:pPr>
    </w:p>
    <w:p w:rsidR="00F6563B" w:rsidRPr="002F2535" w:rsidRDefault="00F6563B" w:rsidP="00F6563B">
      <w:pPr>
        <w:spacing w:line="360" w:lineRule="auto"/>
        <w:contextualSpacing/>
        <w:jc w:val="both"/>
        <w:rPr>
          <w:rFonts w:ascii="Palatino Linotype" w:hAnsi="Palatino Linotype"/>
          <w:sz w:val="24"/>
          <w:szCs w:val="24"/>
          <w:lang w:eastAsia="en-US"/>
        </w:rPr>
      </w:pPr>
      <w:r w:rsidRPr="002F2535">
        <w:rPr>
          <w:rFonts w:ascii="Palatino Linotype" w:hAnsi="Palatino Linotype"/>
          <w:sz w:val="24"/>
          <w:szCs w:val="24"/>
          <w:lang w:eastAsia="en-US"/>
        </w:rPr>
        <w:lastRenderedPageBreak/>
        <w:t>Al respecto, también son de considerar los criterios sostenidos por el Cuarto Tribunal Colegiado en Materia Administrativa del Primer Circuito, cuyos rubros y datos de identificación son los siguientes:</w:t>
      </w:r>
    </w:p>
    <w:p w:rsidR="00F6563B" w:rsidRPr="002F2535" w:rsidRDefault="00F6563B" w:rsidP="00F6563B">
      <w:pPr>
        <w:spacing w:line="360" w:lineRule="auto"/>
        <w:contextualSpacing/>
        <w:jc w:val="both"/>
        <w:rPr>
          <w:rFonts w:ascii="Palatino Linotype" w:hAnsi="Palatino Linotype"/>
          <w:sz w:val="24"/>
          <w:szCs w:val="24"/>
          <w:lang w:eastAsia="en-US"/>
        </w:rPr>
      </w:pPr>
    </w:p>
    <w:p w:rsidR="00F6563B" w:rsidRPr="002F2535" w:rsidRDefault="00F6563B" w:rsidP="00F6563B">
      <w:pPr>
        <w:spacing w:line="360" w:lineRule="auto"/>
        <w:contextualSpacing/>
        <w:jc w:val="both"/>
        <w:rPr>
          <w:rFonts w:ascii="Palatino Linotype" w:hAnsi="Palatino Linotype"/>
          <w:sz w:val="24"/>
          <w:szCs w:val="24"/>
          <w:lang w:eastAsia="en-US"/>
        </w:rPr>
      </w:pPr>
      <w:r w:rsidRPr="002F2535">
        <w:rPr>
          <w:rFonts w:ascii="Palatino Linotype" w:hAnsi="Palatino Linotype"/>
          <w:sz w:val="24"/>
          <w:szCs w:val="24"/>
          <w:lang w:eastAsia="en-US"/>
        </w:rPr>
        <w:t xml:space="preserve"> </w:t>
      </w:r>
      <w:r w:rsidRPr="002F2535">
        <w:rPr>
          <w:rFonts w:ascii="Palatino Linotype" w:hAnsi="Palatino Linotype"/>
          <w:i/>
          <w:sz w:val="24"/>
          <w:szCs w:val="24"/>
          <w:lang w:eastAsia="en-US"/>
        </w:rPr>
        <w:t>“PLAZO RAZONABLE PARA RESOLVER. DIMENSIÓN Y EFECTOS DE ESTE CONCEPTO CUANDO SE ADUCE EXCESIVA CARGA DE TRABAJO.”</w:t>
      </w:r>
      <w:r w:rsidRPr="002F2535">
        <w:rPr>
          <w:rFonts w:ascii="Palatino Linotype" w:hAnsi="Palatino Linotype"/>
          <w:sz w:val="24"/>
          <w:szCs w:val="24"/>
          <w:lang w:eastAsia="en-US"/>
        </w:rPr>
        <w:t xml:space="preserve"> consultable en el Seminario Judicial de la Federación y su gaceta, con el registro digital 2002351.</w:t>
      </w:r>
    </w:p>
    <w:p w:rsidR="00F6563B" w:rsidRPr="002F2535" w:rsidRDefault="00F6563B" w:rsidP="00F6563B">
      <w:pPr>
        <w:spacing w:line="360" w:lineRule="auto"/>
        <w:contextualSpacing/>
        <w:jc w:val="both"/>
        <w:rPr>
          <w:rFonts w:ascii="Palatino Linotype" w:hAnsi="Palatino Linotype"/>
          <w:b/>
          <w:sz w:val="24"/>
          <w:szCs w:val="24"/>
          <w:lang w:eastAsia="en-US"/>
        </w:rPr>
      </w:pPr>
    </w:p>
    <w:p w:rsidR="00F6563B" w:rsidRPr="002F2535" w:rsidRDefault="00F6563B" w:rsidP="00F6563B">
      <w:pPr>
        <w:spacing w:line="360" w:lineRule="auto"/>
        <w:contextualSpacing/>
        <w:jc w:val="both"/>
        <w:rPr>
          <w:rFonts w:ascii="Palatino Linotype" w:hAnsi="Palatino Linotype"/>
          <w:sz w:val="24"/>
          <w:szCs w:val="24"/>
          <w:lang w:eastAsia="en-US"/>
        </w:rPr>
      </w:pPr>
      <w:r w:rsidRPr="002F2535">
        <w:rPr>
          <w:rFonts w:ascii="Palatino Linotype" w:hAnsi="Palatino Linotype"/>
          <w:i/>
          <w:sz w:val="24"/>
          <w:szCs w:val="24"/>
          <w:lang w:eastAsia="en-US"/>
        </w:rPr>
        <w:t>“PLAZO RAZONABLE PARA RESOLVER. CONCEPTO Y ELEMENTOS QUE LO INTEGRAN A LA LUZ DEL DERECHO INTERNACIONAL DE LOS DERECHOS HUMANOS.”</w:t>
      </w:r>
      <w:r w:rsidRPr="002F2535">
        <w:rPr>
          <w:rFonts w:ascii="Palatino Linotype" w:hAnsi="Palatino Linotype"/>
          <w:sz w:val="24"/>
          <w:szCs w:val="24"/>
          <w:lang w:eastAsia="en-US"/>
        </w:rPr>
        <w:t>, visible en el Seminario Judicial de la Federación y su gaceta, con el registro digital 2002350.</w:t>
      </w:r>
    </w:p>
    <w:p w:rsidR="00F6563B" w:rsidRPr="002F2535" w:rsidRDefault="00F6563B" w:rsidP="00F6563B">
      <w:pPr>
        <w:spacing w:line="360" w:lineRule="auto"/>
        <w:contextualSpacing/>
        <w:jc w:val="both"/>
        <w:rPr>
          <w:rFonts w:ascii="Palatino Linotype" w:hAnsi="Palatino Linotype"/>
          <w:sz w:val="24"/>
          <w:szCs w:val="24"/>
          <w:lang w:eastAsia="en-US"/>
        </w:rPr>
      </w:pPr>
    </w:p>
    <w:p w:rsidR="00F6563B" w:rsidRDefault="00F6563B" w:rsidP="00F6563B">
      <w:pPr>
        <w:spacing w:line="360" w:lineRule="auto"/>
        <w:contextualSpacing/>
        <w:jc w:val="both"/>
        <w:rPr>
          <w:rFonts w:ascii="Palatino Linotype" w:hAnsi="Palatino Linotype"/>
          <w:sz w:val="24"/>
          <w:szCs w:val="24"/>
          <w:lang w:eastAsia="en-US"/>
        </w:rPr>
      </w:pPr>
      <w:r w:rsidRPr="002F2535">
        <w:rPr>
          <w:rFonts w:ascii="Palatino Linotype" w:hAnsi="Palatino Linotype"/>
          <w:sz w:val="24"/>
          <w:szCs w:val="24"/>
          <w:lang w:eastAsia="en-US"/>
        </w:rPr>
        <w:t>Por ello, este organismo garante comprometido con la tutela de los derechos humanos confiados, señala que este plazo legal para resolver el presente asunto, resulta de carácter excepcional.</w:t>
      </w:r>
    </w:p>
    <w:p w:rsidR="005E1F29" w:rsidRDefault="005E1F29">
      <w:pPr>
        <w:spacing w:after="0" w:line="360" w:lineRule="auto"/>
        <w:jc w:val="both"/>
        <w:rPr>
          <w:rFonts w:ascii="Palatino Linotype" w:eastAsia="Palatino Linotype" w:hAnsi="Palatino Linotype" w:cs="Palatino Linotype"/>
          <w:sz w:val="24"/>
          <w:szCs w:val="24"/>
        </w:rPr>
      </w:pPr>
    </w:p>
    <w:p w:rsidR="005E1F29" w:rsidRDefault="00F53D71">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razón de que fue debidamente sustanciado el expediente electrónico y no existe </w:t>
      </w:r>
      <w:proofErr w:type="gramStart"/>
      <w:r>
        <w:rPr>
          <w:rFonts w:ascii="Palatino Linotype" w:eastAsia="Palatino Linotype" w:hAnsi="Palatino Linotype" w:cs="Palatino Linotype"/>
          <w:sz w:val="24"/>
          <w:szCs w:val="24"/>
        </w:rPr>
        <w:t>diligencia</w:t>
      </w:r>
      <w:proofErr w:type="gramEnd"/>
      <w:r>
        <w:rPr>
          <w:rFonts w:ascii="Palatino Linotype" w:eastAsia="Palatino Linotype" w:hAnsi="Palatino Linotype" w:cs="Palatino Linotype"/>
          <w:sz w:val="24"/>
          <w:szCs w:val="24"/>
        </w:rPr>
        <w:t xml:space="preserve"> pendiente de desahogo, se emite la Resolución que conforme a Derecho proceda, de acuerdo con los siguientes: </w:t>
      </w:r>
    </w:p>
    <w:p w:rsidR="005E1F29" w:rsidRDefault="005E1F29">
      <w:pPr>
        <w:spacing w:line="360" w:lineRule="auto"/>
        <w:jc w:val="both"/>
      </w:pPr>
    </w:p>
    <w:p w:rsidR="00F6563B" w:rsidRDefault="00F6563B">
      <w:pPr>
        <w:widowControl w:val="0"/>
        <w:spacing w:line="360" w:lineRule="auto"/>
        <w:jc w:val="center"/>
        <w:rPr>
          <w:rFonts w:ascii="Palatino Linotype" w:eastAsia="Palatino Linotype" w:hAnsi="Palatino Linotype" w:cs="Palatino Linotype"/>
          <w:b/>
          <w:sz w:val="24"/>
          <w:szCs w:val="24"/>
        </w:rPr>
      </w:pPr>
    </w:p>
    <w:p w:rsidR="00F6563B" w:rsidRDefault="00F6563B">
      <w:pPr>
        <w:widowControl w:val="0"/>
        <w:spacing w:line="360" w:lineRule="auto"/>
        <w:jc w:val="center"/>
        <w:rPr>
          <w:rFonts w:ascii="Palatino Linotype" w:eastAsia="Palatino Linotype" w:hAnsi="Palatino Linotype" w:cs="Palatino Linotype"/>
          <w:b/>
          <w:sz w:val="24"/>
          <w:szCs w:val="24"/>
        </w:rPr>
      </w:pPr>
    </w:p>
    <w:p w:rsidR="005E1F29" w:rsidRDefault="00F53D71">
      <w:pPr>
        <w:widowControl w:val="0"/>
        <w:spacing w:line="360" w:lineRule="auto"/>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lastRenderedPageBreak/>
        <w:t>C O N S I D E R A N D O S</w:t>
      </w:r>
    </w:p>
    <w:p w:rsidR="005E1F29" w:rsidRDefault="00F53D71">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PRIMERO. COMPETENCIA.</w:t>
      </w:r>
      <w:r>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5E1F29" w:rsidRDefault="00F53D71">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SEGUNDO. OPORTUNIDAD Y PROCEDIBILIDAD DEL RECURSO DE REVISIÓN</w:t>
      </w:r>
      <w:r>
        <w:rPr>
          <w:rFonts w:ascii="Palatino Linotype" w:eastAsia="Palatino Linotype" w:hAnsi="Palatino Linotype" w:cs="Palatino Linotype"/>
          <w:sz w:val="24"/>
          <w:szCs w:val="24"/>
        </w:rPr>
        <w:t>.</w:t>
      </w:r>
      <w:r>
        <w:rPr>
          <w:rFonts w:ascii="Palatino Linotype" w:eastAsia="Palatino Linotype" w:hAnsi="Palatino Linotype" w:cs="Palatino Linotype"/>
        </w:rPr>
        <w:t xml:space="preserve"> </w:t>
      </w:r>
      <w:r>
        <w:rPr>
          <w:rFonts w:ascii="Palatino Linotype" w:eastAsia="Palatino Linotype" w:hAnsi="Palatino Linotype" w:cs="Palatino Linotype"/>
          <w:sz w:val="24"/>
          <w:szCs w:val="24"/>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5E1F29" w:rsidRDefault="00F53D71">
      <w:pPr>
        <w:spacing w:before="240" w:after="240" w:line="360" w:lineRule="auto"/>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El recurso de revisión fue interpuesto dentro del plazo de quince días hábiles, previsto en el artículo 178 de la Ley de Transparencia y Acceso a la Información Pública del Estado de México y Municipios, toda vez que el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 xml:space="preserve">remitió la respuesta a la solicitud de información el día </w:t>
      </w:r>
      <w:r>
        <w:rPr>
          <w:rFonts w:ascii="Palatino Linotype" w:eastAsia="Palatino Linotype" w:hAnsi="Palatino Linotype" w:cs="Palatino Linotype"/>
          <w:b/>
          <w:sz w:val="24"/>
          <w:szCs w:val="24"/>
        </w:rPr>
        <w:t xml:space="preserve">ocho de marzo de dos mil </w:t>
      </w:r>
      <w:r>
        <w:rPr>
          <w:rFonts w:ascii="Palatino Linotype" w:eastAsia="Palatino Linotype" w:hAnsi="Palatino Linotype" w:cs="Palatino Linotype"/>
          <w:b/>
          <w:sz w:val="24"/>
          <w:szCs w:val="24"/>
        </w:rPr>
        <w:lastRenderedPageBreak/>
        <w:t xml:space="preserve">veintidós, </w:t>
      </w:r>
      <w:r>
        <w:rPr>
          <w:rFonts w:ascii="Palatino Linotype" w:eastAsia="Palatino Linotype" w:hAnsi="Palatino Linotype" w:cs="Palatino Linotype"/>
          <w:sz w:val="24"/>
          <w:szCs w:val="24"/>
        </w:rPr>
        <w:t xml:space="preserve">mientras que el recurso de revisión interpuesto por la parte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se tuvo por presentado el día </w:t>
      </w:r>
      <w:r>
        <w:rPr>
          <w:rFonts w:ascii="Palatino Linotype" w:eastAsia="Palatino Linotype" w:hAnsi="Palatino Linotype" w:cs="Palatino Linotype"/>
          <w:b/>
          <w:sz w:val="24"/>
          <w:szCs w:val="24"/>
        </w:rPr>
        <w:t>catorce de marzo de dos mil veintidós</w:t>
      </w:r>
      <w:r>
        <w:rPr>
          <w:rFonts w:ascii="Palatino Linotype" w:eastAsia="Palatino Linotype" w:hAnsi="Palatino Linotype" w:cs="Palatino Linotype"/>
          <w:sz w:val="24"/>
          <w:szCs w:val="24"/>
        </w:rPr>
        <w:t>, esto es, al cuarto día hábil en que tuvo conocimiento de la respuesta impugnada.</w:t>
      </w:r>
    </w:p>
    <w:p w:rsidR="00F6563B" w:rsidRDefault="00F6563B">
      <w:pPr>
        <w:spacing w:before="240" w:after="240" w:line="360" w:lineRule="auto"/>
        <w:contextualSpacing/>
        <w:jc w:val="both"/>
        <w:rPr>
          <w:rFonts w:ascii="Palatino Linotype" w:eastAsia="Palatino Linotype" w:hAnsi="Palatino Linotype" w:cs="Palatino Linotype"/>
          <w:sz w:val="24"/>
          <w:szCs w:val="24"/>
        </w:rPr>
      </w:pPr>
    </w:p>
    <w:p w:rsidR="005E1F29" w:rsidRDefault="00F53D71">
      <w:pPr>
        <w:spacing w:before="240" w:after="240" w:line="360" w:lineRule="auto"/>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este sentido, al considerar la fecha en que se formuló la solicitud y la fecha en que respondió a esta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así como la fecha en que se interpuso el recurso de revisión, se concluye que el presente recurso de revisión se encuentra dentro de los márgenes temporales previstos las disposiciones legales referidas.</w:t>
      </w:r>
    </w:p>
    <w:p w:rsidR="00F6563B" w:rsidRDefault="00F6563B">
      <w:pPr>
        <w:spacing w:before="240" w:after="240" w:line="360" w:lineRule="auto"/>
        <w:contextualSpacing/>
        <w:jc w:val="both"/>
        <w:rPr>
          <w:rFonts w:ascii="Palatino Linotype" w:eastAsia="Palatino Linotype" w:hAnsi="Palatino Linotype" w:cs="Palatino Linotype"/>
          <w:sz w:val="24"/>
          <w:szCs w:val="24"/>
        </w:rPr>
      </w:pPr>
    </w:p>
    <w:p w:rsidR="005E1F29" w:rsidRDefault="00F53D71" w:rsidP="00F6563B">
      <w:pPr>
        <w:spacing w:before="240" w:after="240" w:line="360" w:lineRule="auto"/>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cuanto hace a la procedibilidad del recurso de revisión, es de suma importancia señalar que la parte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no señaló nombre o seudónimo con el cual desee ser identificado,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F6563B" w:rsidRDefault="00F6563B" w:rsidP="00F6563B">
      <w:pPr>
        <w:spacing w:before="240" w:after="240" w:line="360" w:lineRule="auto"/>
        <w:contextualSpacing/>
        <w:jc w:val="both"/>
        <w:rPr>
          <w:rFonts w:ascii="Palatino Linotype" w:eastAsia="Palatino Linotype" w:hAnsi="Palatino Linotype" w:cs="Palatino Linotype"/>
          <w:sz w:val="24"/>
          <w:szCs w:val="24"/>
        </w:rPr>
      </w:pPr>
    </w:p>
    <w:p w:rsidR="005E1F29" w:rsidRDefault="00F53D71" w:rsidP="00F6563B">
      <w:pPr>
        <w:spacing w:before="240" w:after="240" w:line="360" w:lineRule="auto"/>
        <w:ind w:left="851" w:right="902"/>
        <w:contextualSpacing/>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Las solicitudes anónimas</w:t>
      </w:r>
      <w:r>
        <w:rPr>
          <w:rFonts w:ascii="Palatino Linotype" w:eastAsia="Palatino Linotype" w:hAnsi="Palatino Linotype" w:cs="Palatino Linotype"/>
          <w:i/>
        </w:rPr>
        <w:t xml:space="preserve">, con nombre incompleto o seudónimo </w:t>
      </w:r>
      <w:r>
        <w:rPr>
          <w:rFonts w:ascii="Palatino Linotype" w:eastAsia="Palatino Linotype" w:hAnsi="Palatino Linotype" w:cs="Palatino Linotype"/>
          <w:b/>
          <w:i/>
        </w:rPr>
        <w:t>serán procedentes para su trámite por parte del sujeto obligado ante quien se presente</w:t>
      </w:r>
      <w:r>
        <w:rPr>
          <w:rFonts w:ascii="Palatino Linotype" w:eastAsia="Palatino Linotype" w:hAnsi="Palatino Linotype" w:cs="Palatino Linotype"/>
          <w:i/>
        </w:rPr>
        <w:t>. No podrá requerirse información adicional con motivo del nombre proporcionado por el solicitante."</w:t>
      </w:r>
    </w:p>
    <w:p w:rsidR="00F6563B" w:rsidRDefault="00F6563B" w:rsidP="00F6563B">
      <w:pPr>
        <w:spacing w:before="240" w:after="240" w:line="360" w:lineRule="auto"/>
        <w:ind w:left="851" w:right="902"/>
        <w:contextualSpacing/>
        <w:jc w:val="both"/>
        <w:rPr>
          <w:rFonts w:ascii="Palatino Linotype" w:eastAsia="Palatino Linotype" w:hAnsi="Palatino Linotype" w:cs="Palatino Linotype"/>
          <w:i/>
        </w:rPr>
      </w:pPr>
    </w:p>
    <w:p w:rsidR="005E1F29" w:rsidRDefault="00F53D71">
      <w:pPr>
        <w:spacing w:line="360" w:lineRule="auto"/>
        <w:contextualSpacing/>
        <w:jc w:val="both"/>
        <w:rPr>
          <w:rFonts w:ascii="Palatino Linotype" w:eastAsia="Palatino Linotype" w:hAnsi="Palatino Linotype" w:cs="Palatino Linotype"/>
          <w:b/>
          <w:sz w:val="24"/>
          <w:szCs w:val="24"/>
        </w:rPr>
      </w:pPr>
      <w:r>
        <w:rPr>
          <w:rFonts w:ascii="Palatino Linotype" w:eastAsia="Palatino Linotype" w:hAnsi="Palatino Linotype" w:cs="Palatino Linotype"/>
          <w:sz w:val="24"/>
          <w:szCs w:val="24"/>
        </w:rPr>
        <w:lastRenderedPageBreak/>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Pr>
          <w:rFonts w:ascii="Palatino Linotype" w:eastAsia="Palatino Linotype" w:hAnsi="Palatino Linotype" w:cs="Palatino Linotype"/>
          <w:b/>
          <w:sz w:val="24"/>
          <w:szCs w:val="24"/>
        </w:rPr>
        <w:t>EL SAIMEX.</w:t>
      </w:r>
    </w:p>
    <w:p w:rsidR="00F6563B" w:rsidRDefault="00F6563B">
      <w:pPr>
        <w:spacing w:line="360" w:lineRule="auto"/>
        <w:contextualSpacing/>
        <w:jc w:val="both"/>
        <w:rPr>
          <w:rFonts w:ascii="Palatino Linotype" w:eastAsia="Palatino Linotype" w:hAnsi="Palatino Linotype" w:cs="Palatino Linotype"/>
          <w:b/>
          <w:sz w:val="24"/>
          <w:szCs w:val="24"/>
        </w:rPr>
      </w:pPr>
    </w:p>
    <w:p w:rsidR="00F6563B" w:rsidRDefault="00F53D71">
      <w:pPr>
        <w:pBdr>
          <w:top w:val="nil"/>
          <w:left w:val="nil"/>
          <w:bottom w:val="nil"/>
          <w:right w:val="nil"/>
          <w:between w:val="nil"/>
        </w:pBdr>
        <w:spacing w:before="240" w:after="240" w:line="360" w:lineRule="auto"/>
        <w:ind w:right="-147"/>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Finalmente, resulta procedente la interposición del recurso, según lo aducido por el </w:t>
      </w:r>
    </w:p>
    <w:p w:rsidR="005E1F29" w:rsidRDefault="00F53D71">
      <w:pPr>
        <w:pBdr>
          <w:top w:val="nil"/>
          <w:left w:val="nil"/>
          <w:bottom w:val="nil"/>
          <w:right w:val="nil"/>
          <w:between w:val="nil"/>
        </w:pBdr>
        <w:spacing w:before="240" w:after="240" w:line="360" w:lineRule="auto"/>
        <w:ind w:right="-147"/>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en sus razones o motivos de inconformidad, de acuerdo al artículo 179 fracción I de la Ley de Transparencia y Acceso a la Información Pública del Estado de México y Municipios; que a la letra dice:</w:t>
      </w:r>
    </w:p>
    <w:p w:rsidR="005E1F29" w:rsidRDefault="00F53D71">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rPr>
      </w:pPr>
      <w:r>
        <w:rPr>
          <w:rFonts w:ascii="Palatino Linotype" w:eastAsia="Palatino Linotype" w:hAnsi="Palatino Linotype" w:cs="Palatino Linotype"/>
          <w:b/>
          <w:i/>
        </w:rPr>
        <w:t>“Artículo 179</w:t>
      </w:r>
      <w:r>
        <w:rPr>
          <w:rFonts w:ascii="Palatino Linotype" w:eastAsia="Palatino Linotype" w:hAnsi="Palatino Linotype" w:cs="Palatino Linotype"/>
          <w:i/>
        </w:rPr>
        <w:t xml:space="preserve">. </w:t>
      </w:r>
      <w:r>
        <w:rPr>
          <w:rFonts w:ascii="Palatino Linotype" w:eastAsia="Palatino Linotype" w:hAnsi="Palatino Linotype" w:cs="Palatino Linotype"/>
          <w:b/>
          <w:i/>
        </w:rPr>
        <w:t>El recurso de revisión</w:t>
      </w:r>
      <w:r>
        <w:rPr>
          <w:rFonts w:ascii="Palatino Linotype" w:eastAsia="Palatino Linotype" w:hAnsi="Palatino Linotype" w:cs="Palatino Linotype"/>
          <w:i/>
        </w:rPr>
        <w:t xml:space="preserve"> es un medio de protección que la Ley otorga a los particulares, para hacer valer su derecho de acceso a la información pública</w:t>
      </w:r>
      <w:r>
        <w:rPr>
          <w:rFonts w:ascii="Palatino Linotype" w:eastAsia="Palatino Linotype" w:hAnsi="Palatino Linotype" w:cs="Palatino Linotype"/>
          <w:b/>
          <w:i/>
        </w:rPr>
        <w:t>, y procederá en contra de las siguientes causas</w:t>
      </w:r>
      <w:r>
        <w:rPr>
          <w:rFonts w:ascii="Palatino Linotype" w:eastAsia="Palatino Linotype" w:hAnsi="Palatino Linotype" w:cs="Palatino Linotype"/>
          <w:i/>
        </w:rPr>
        <w:t>:</w:t>
      </w:r>
    </w:p>
    <w:p w:rsidR="005E1F29" w:rsidRDefault="00F53D71">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rPr>
      </w:pPr>
      <w:r>
        <w:rPr>
          <w:rFonts w:ascii="Palatino Linotype" w:eastAsia="Palatino Linotype" w:hAnsi="Palatino Linotype" w:cs="Palatino Linotype"/>
          <w:i/>
        </w:rPr>
        <w:t>…</w:t>
      </w:r>
    </w:p>
    <w:p w:rsidR="005E1F29" w:rsidRDefault="00F53D71">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rPr>
      </w:pPr>
      <w:r>
        <w:rPr>
          <w:rFonts w:ascii="Palatino Linotype" w:eastAsia="Palatino Linotype" w:hAnsi="Palatino Linotype" w:cs="Palatino Linotype"/>
          <w:i/>
        </w:rPr>
        <w:t>I. La negativa a la información solicitada;” (Sic)</w:t>
      </w:r>
    </w:p>
    <w:p w:rsidR="00F6563B" w:rsidRDefault="00F6563B">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rPr>
      </w:pPr>
    </w:p>
    <w:p w:rsidR="005E1F29" w:rsidRDefault="00F53D71">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TERCERO. MATERIA DE LA REVISIÓN. </w:t>
      </w:r>
      <w:r>
        <w:rPr>
          <w:rFonts w:ascii="Palatino Linotype" w:eastAsia="Palatino Linotype" w:hAnsi="Palatino Linotype" w:cs="Palatino Linotype"/>
          <w:sz w:val="24"/>
          <w:szCs w:val="24"/>
        </w:rPr>
        <w:t xml:space="preserve">De la revisión a las constancias y documentos que obran en el expediente electrónico se advierte, que el tema sobre el que este Organismo Garante de Transparencia y Acceso a la Información se pronunciará será: verificar si la respuesta otorgada por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es adecuada y suficiente para satisfacer el derecho de acceso a la información pública de la parte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o en su defecto, en caso de ser procedente, ordenar la entrega de información oportuna.</w:t>
      </w:r>
    </w:p>
    <w:p w:rsidR="005E1F29" w:rsidRDefault="00F53D71">
      <w:pPr>
        <w:pBdr>
          <w:top w:val="nil"/>
          <w:left w:val="nil"/>
          <w:bottom w:val="nil"/>
          <w:right w:val="nil"/>
          <w:between w:val="nil"/>
        </w:pBdr>
        <w:spacing w:before="240" w:after="240" w:line="360" w:lineRule="auto"/>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lastRenderedPageBreak/>
        <w:t xml:space="preserve">CUARTO. ESTUDIO Y RESOLUCIÓN DEL ASUNTO.  </w:t>
      </w:r>
      <w:r>
        <w:rPr>
          <w:rFonts w:ascii="Palatino Linotype" w:eastAsia="Palatino Linotype" w:hAnsi="Palatino Linotype" w:cs="Palatino Linotype"/>
          <w:sz w:val="24"/>
          <w:szCs w:val="24"/>
        </w:rPr>
        <w:t>Es conveniente resaltar que la Ley de Transparencia de la Entidad, señala expresamente que toda la información generada, administrada o en posesión de los Sujetos Obligados, derivado del ejercicio de sus atribuciones debe ser accesible de manera permanente a cualquier persona, ello en privilegio del principio de máxima publicidad, en razón de que tiene el carácter de ser pública, tal y como se lee a continuación:</w:t>
      </w:r>
    </w:p>
    <w:p w:rsidR="005E1F29" w:rsidRDefault="00F53D71">
      <w:pPr>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 “</w:t>
      </w:r>
      <w:r>
        <w:rPr>
          <w:rFonts w:ascii="Palatino Linotype" w:eastAsia="Palatino Linotype" w:hAnsi="Palatino Linotype" w:cs="Palatino Linotype"/>
          <w:b/>
          <w:i/>
        </w:rPr>
        <w:t>Artículo 4.</w:t>
      </w:r>
      <w:r>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5E1F29" w:rsidRDefault="00F53D71">
      <w:pPr>
        <w:ind w:left="851" w:right="900"/>
        <w:jc w:val="both"/>
        <w:rPr>
          <w:rFonts w:ascii="Palatino Linotype" w:eastAsia="Palatino Linotype" w:hAnsi="Palatino Linotype" w:cs="Palatino Linotype"/>
        </w:rPr>
      </w:pPr>
      <w:r>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5E1F29" w:rsidRDefault="00F53D71">
      <w:pPr>
        <w:spacing w:before="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lo anterior, se desprende que los Sujetos Obligados tienen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rsidR="005E1F29" w:rsidRDefault="00F53D71">
      <w:pPr>
        <w:spacing w:before="240" w:after="240"/>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“Artículo 12</w:t>
      </w:r>
      <w:r>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rsidR="005E1F29" w:rsidRDefault="00F53D71">
      <w:pPr>
        <w:spacing w:before="240" w:after="24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5E1F29" w:rsidRDefault="00F53D71">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Lo anterior, refiere a que el derecho de acceso a la información pública se satisface en aquellos casos en que se entregue el documento en que conste la información pública, toda vez que, los Sujetos Obligados</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no tienen el deber de generar, poseer o administrar la información pública a un grado de detalle; esto es, que no tienen la obligación de generar un documento </w:t>
      </w:r>
      <w:r>
        <w:rPr>
          <w:rFonts w:ascii="Palatino Linotype" w:eastAsia="Palatino Linotype" w:hAnsi="Palatino Linotype" w:cs="Palatino Linotype"/>
          <w:i/>
          <w:sz w:val="24"/>
          <w:szCs w:val="24"/>
        </w:rPr>
        <w:t>ad hoc</w:t>
      </w:r>
      <w:r>
        <w:rPr>
          <w:rFonts w:ascii="Palatino Linotype" w:eastAsia="Palatino Linotype" w:hAnsi="Palatino Linotype" w:cs="Palatino Linotype"/>
          <w:sz w:val="24"/>
          <w:szCs w:val="24"/>
        </w:rPr>
        <w:t>, para satisfacer el derecho de acceso a la información pública.</w:t>
      </w:r>
    </w:p>
    <w:p w:rsidR="005E1F29" w:rsidRDefault="00F53D71">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Aunado a ello el artículo 24 de la Ley de la materia</w:t>
      </w:r>
      <w:r>
        <w:rPr>
          <w:rFonts w:ascii="Palatino Linotype" w:eastAsia="Palatino Linotype" w:hAnsi="Palatino Linotype" w:cs="Palatino Linotype"/>
          <w:sz w:val="24"/>
          <w:szCs w:val="24"/>
          <w:vertAlign w:val="superscript"/>
        </w:rPr>
        <w:footnoteReference w:id="1"/>
      </w:r>
      <w:r>
        <w:rPr>
          <w:rFonts w:ascii="Palatino Linotype" w:eastAsia="Palatino Linotype" w:hAnsi="Palatino Linotype" w:cs="Palatino Linotype"/>
          <w:sz w:val="24"/>
          <w:szCs w:val="24"/>
        </w:rPr>
        <w:t>,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5E1F29" w:rsidRDefault="00F53D7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w:t>
      </w:r>
      <w:r>
        <w:rPr>
          <w:rFonts w:ascii="Palatino Linotype" w:eastAsia="Palatino Linotype" w:hAnsi="Palatino Linotype" w:cs="Palatino Linotype"/>
          <w:sz w:val="24"/>
          <w:szCs w:val="24"/>
        </w:rPr>
        <w:lastRenderedPageBreak/>
        <w:t xml:space="preserve">memorandos, estadísticas o bien, </w:t>
      </w:r>
      <w:r>
        <w:rPr>
          <w:rFonts w:ascii="Palatino Linotype" w:eastAsia="Palatino Linotype" w:hAnsi="Palatino Linotype" w:cs="Palatino Linotype"/>
          <w:b/>
          <w:sz w:val="24"/>
          <w:szCs w:val="24"/>
        </w:rPr>
        <w:t>cualquier otro registro que documente el ejercicio de las facultades, funciones y competencias de los Sujetos Obligados</w:t>
      </w:r>
      <w:r>
        <w:rPr>
          <w:rFonts w:ascii="Palatino Linotype" w:eastAsia="Palatino Linotype" w:hAnsi="Palatino Linotype" w:cs="Palatino Linotype"/>
          <w:sz w:val="24"/>
          <w:szCs w:val="24"/>
        </w:rPr>
        <w:t>; los que, podrán estar en cualquier medio, sea escrito, impreso, sonoro, visual, electrónico, informático u holográfico de conformidad con el artículo 3, fracción XI de la Ley de la materia, el cual señala lo siguiente:</w:t>
      </w:r>
      <w:r>
        <w:rPr>
          <w:rFonts w:ascii="Palatino Linotype" w:eastAsia="Palatino Linotype" w:hAnsi="Palatino Linotype" w:cs="Palatino Linotype"/>
        </w:rPr>
        <w:t xml:space="preserve"> </w:t>
      </w:r>
    </w:p>
    <w:p w:rsidR="005E1F29" w:rsidRDefault="00F53D71">
      <w:pPr>
        <w:ind w:left="851" w:right="899"/>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 xml:space="preserve">Artículo 3. </w:t>
      </w:r>
      <w:r>
        <w:rPr>
          <w:rFonts w:ascii="Palatino Linotype" w:eastAsia="Palatino Linotype" w:hAnsi="Palatino Linotype" w:cs="Palatino Linotype"/>
          <w:i/>
        </w:rPr>
        <w:t>Para los efectos de la presente Ley se entenderá por:</w:t>
      </w:r>
    </w:p>
    <w:p w:rsidR="005E1F29" w:rsidRDefault="00F53D71">
      <w:pPr>
        <w:ind w:left="1134" w:right="899"/>
        <w:jc w:val="both"/>
        <w:rPr>
          <w:rFonts w:ascii="Palatino Linotype" w:eastAsia="Palatino Linotype" w:hAnsi="Palatino Linotype" w:cs="Palatino Linotype"/>
          <w:i/>
        </w:rPr>
      </w:pPr>
      <w:r>
        <w:rPr>
          <w:rFonts w:ascii="Palatino Linotype" w:eastAsia="Palatino Linotype" w:hAnsi="Palatino Linotype" w:cs="Palatino Linotype"/>
          <w:i/>
        </w:rPr>
        <w:t>…</w:t>
      </w:r>
    </w:p>
    <w:p w:rsidR="005E1F29" w:rsidRDefault="00F53D71">
      <w:pPr>
        <w:ind w:left="1134" w:right="899"/>
        <w:jc w:val="both"/>
        <w:rPr>
          <w:rFonts w:ascii="Palatino Linotype" w:eastAsia="Palatino Linotype" w:hAnsi="Palatino Linotype" w:cs="Palatino Linotype"/>
          <w:i/>
        </w:rPr>
      </w:pPr>
      <w:r>
        <w:rPr>
          <w:rFonts w:ascii="Palatino Linotype" w:eastAsia="Palatino Linotype" w:hAnsi="Palatino Linotype" w:cs="Palatino Linotype"/>
          <w:b/>
          <w:i/>
        </w:rPr>
        <w:t>XI. Documento:</w:t>
      </w:r>
      <w:r>
        <w:rPr>
          <w:rFonts w:ascii="Palatino Linotype" w:eastAsia="Palatino Linotype" w:hAnsi="Palatino Linotype" w:cs="Palatino Linotype"/>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Pr>
          <w:rFonts w:ascii="Palatino Linotype" w:eastAsia="Palatino Linotype" w:hAnsi="Palatino Linotype" w:cs="Palatino Linotype"/>
          <w:b/>
          <w:i/>
        </w:rPr>
        <w:t>…</w:t>
      </w:r>
      <w:r>
        <w:rPr>
          <w:rFonts w:ascii="Palatino Linotype" w:eastAsia="Palatino Linotype" w:hAnsi="Palatino Linotype" w:cs="Palatino Linotype"/>
          <w:i/>
        </w:rPr>
        <w:t>”</w:t>
      </w:r>
    </w:p>
    <w:p w:rsidR="005E1F29" w:rsidRDefault="00F53D71">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5E1F29" w:rsidRDefault="005E1F29">
      <w:pPr>
        <w:spacing w:line="360" w:lineRule="auto"/>
        <w:jc w:val="both"/>
        <w:rPr>
          <w:rFonts w:ascii="Palatino Linotype" w:eastAsia="Palatino Linotype" w:hAnsi="Palatino Linotype" w:cs="Palatino Linotype"/>
          <w:sz w:val="24"/>
          <w:szCs w:val="24"/>
        </w:rPr>
      </w:pPr>
    </w:p>
    <w:p w:rsidR="005E1F29" w:rsidRDefault="00F53D71">
      <w:pPr>
        <w:spacing w:before="120" w:after="120"/>
        <w:ind w:left="851" w:right="902"/>
        <w:jc w:val="both"/>
        <w:rPr>
          <w:rFonts w:ascii="Palatino Linotype" w:eastAsia="Palatino Linotype" w:hAnsi="Palatino Linotype" w:cs="Palatino Linotype"/>
          <w:b/>
          <w:i/>
        </w:rPr>
      </w:pPr>
      <w:r>
        <w:rPr>
          <w:rFonts w:ascii="Palatino Linotype" w:eastAsia="Palatino Linotype" w:hAnsi="Palatino Linotype" w:cs="Palatino Linotype"/>
          <w:b/>
        </w:rPr>
        <w:t>“</w:t>
      </w:r>
      <w:r>
        <w:rPr>
          <w:rFonts w:ascii="Palatino Linotype" w:eastAsia="Palatino Linotype" w:hAnsi="Palatino Linotype" w:cs="Palatino Linotype"/>
          <w:b/>
          <w:i/>
        </w:rPr>
        <w:t>CRITERIO 0002-11</w:t>
      </w:r>
    </w:p>
    <w:p w:rsidR="005E1F29" w:rsidRDefault="00F53D71">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INFORMACIÓN PÚBLICA, CONCEPTO DE, EN MATERIA DE TRANSPARENCIA. INTERPRETACIÓN SISTEMÁTICA DE LOS ARTÍCULOS 2°, FRACCIÓN V, XV, Y XVI, 3°, 4°, 11 Y 41.</w:t>
      </w:r>
      <w:r>
        <w:rPr>
          <w:rFonts w:ascii="Palatino Linotype" w:eastAsia="Palatino Linotype" w:hAnsi="Palatino Linotype" w:cs="Palatino Linotype"/>
          <w:i/>
        </w:rPr>
        <w:t xml:space="preserve"> De conformidad con los artículos antes referidos, el derecho de acceso a la información pública, se </w:t>
      </w:r>
      <w:r>
        <w:rPr>
          <w:rFonts w:ascii="Palatino Linotype" w:eastAsia="Palatino Linotype" w:hAnsi="Palatino Linotype" w:cs="Palatino Linotype"/>
          <w:i/>
        </w:rPr>
        <w:lastRenderedPageBreak/>
        <w:t>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5E1F29" w:rsidRDefault="00F53D71">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En consecuencia el acceso a la información se refiere a que se cumplan cualquiera de los siguientes tres supuestos:</w:t>
      </w:r>
    </w:p>
    <w:p w:rsidR="005E1F29" w:rsidRDefault="00F53D71">
      <w:pPr>
        <w:spacing w:before="120" w:after="120"/>
        <w:ind w:left="1134" w:right="902"/>
        <w:jc w:val="both"/>
        <w:rPr>
          <w:rFonts w:ascii="Palatino Linotype" w:eastAsia="Palatino Linotype" w:hAnsi="Palatino Linotype" w:cs="Palatino Linotype"/>
          <w:b/>
          <w:i/>
        </w:rPr>
      </w:pPr>
      <w:r>
        <w:rPr>
          <w:rFonts w:ascii="Palatino Linotype" w:eastAsia="Palatino Linotype" w:hAnsi="Palatino Linotype" w:cs="Palatino Linotype"/>
          <w:b/>
          <w:i/>
        </w:rPr>
        <w:t>1) Que se trate de información registrada en cualquier soporte documental, que en ejercicio de las atribuciones conferidas, sea generada por los Sujetos Obligados;</w:t>
      </w:r>
    </w:p>
    <w:p w:rsidR="005E1F29" w:rsidRDefault="00F53D71">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i/>
        </w:rPr>
        <w:t>2) Que se trate de información registrada en cualquier soporte documental, que en ejercicio de las atribuciones conferidas, sea administrada por los Sujetos Obligados, y</w:t>
      </w:r>
    </w:p>
    <w:p w:rsidR="005E1F29" w:rsidRDefault="00F53D71">
      <w:pPr>
        <w:spacing w:before="120" w:after="0" w:line="360" w:lineRule="auto"/>
        <w:ind w:left="1134" w:right="902"/>
        <w:jc w:val="both"/>
        <w:rPr>
          <w:rFonts w:ascii="Palatino Linotype" w:eastAsia="Palatino Linotype" w:hAnsi="Palatino Linotype" w:cs="Palatino Linotype"/>
          <w:i/>
        </w:rPr>
      </w:pPr>
      <w:r>
        <w:rPr>
          <w:rFonts w:ascii="Palatino Linotype" w:eastAsia="Palatino Linotype" w:hAnsi="Palatino Linotype" w:cs="Palatino Linotype"/>
          <w:i/>
        </w:rPr>
        <w:t>3) Que se trate de información registrada en cualquier soporte documental, que en ejercicio de las atribuciones conferidas, se encuentre en posesión de los Sujetos Obligados.”</w:t>
      </w:r>
    </w:p>
    <w:p w:rsidR="005E1F29" w:rsidRDefault="005E1F29">
      <w:pPr>
        <w:pBdr>
          <w:top w:val="nil"/>
          <w:left w:val="nil"/>
          <w:bottom w:val="nil"/>
          <w:right w:val="nil"/>
          <w:between w:val="nil"/>
        </w:pBdr>
        <w:spacing w:after="0" w:line="360" w:lineRule="auto"/>
        <w:jc w:val="both"/>
        <w:rPr>
          <w:rFonts w:ascii="Palatino Linotype" w:eastAsia="Palatino Linotype" w:hAnsi="Palatino Linotype" w:cs="Palatino Linotype"/>
          <w:color w:val="FF0000"/>
          <w:sz w:val="24"/>
          <w:szCs w:val="24"/>
        </w:rPr>
      </w:pPr>
    </w:p>
    <w:p w:rsidR="005E1F29" w:rsidRDefault="00F53D71" w:rsidP="00F6563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F6563B">
        <w:rPr>
          <w:rFonts w:ascii="Palatino Linotype" w:eastAsia="Palatino Linotype" w:hAnsi="Palatino Linotype" w:cs="Palatino Linotype"/>
          <w:color w:val="000000"/>
          <w:sz w:val="24"/>
          <w:szCs w:val="24"/>
        </w:rPr>
        <w:t xml:space="preserve">Ahora bien, del análisis de la solicitud de información, motivo del recurso de revisión que ahora se resuelve se advierte que la parte </w:t>
      </w:r>
      <w:r w:rsidRPr="00F6563B">
        <w:rPr>
          <w:rFonts w:ascii="Palatino Linotype" w:eastAsia="Palatino Linotype" w:hAnsi="Palatino Linotype" w:cs="Palatino Linotype"/>
          <w:b/>
          <w:color w:val="000000"/>
          <w:sz w:val="24"/>
          <w:szCs w:val="24"/>
        </w:rPr>
        <w:t>RECURRENTE</w:t>
      </w:r>
      <w:r w:rsidRPr="00F6563B">
        <w:rPr>
          <w:rFonts w:ascii="Palatino Linotype" w:eastAsia="Palatino Linotype" w:hAnsi="Palatino Linotype" w:cs="Palatino Linotype"/>
          <w:color w:val="000000"/>
          <w:sz w:val="24"/>
          <w:szCs w:val="24"/>
        </w:rPr>
        <w:t xml:space="preserve"> requirió a</w:t>
      </w:r>
      <w:r>
        <w:rPr>
          <w:rFonts w:ascii="Palatino Linotype" w:eastAsia="Palatino Linotype" w:hAnsi="Palatino Linotype" w:cs="Palatino Linotype"/>
          <w:color w:val="000000"/>
          <w:sz w:val="24"/>
          <w:szCs w:val="24"/>
        </w:rPr>
        <w:t xml:space="preserv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le proporcione, información consistente en lo siguiente:</w:t>
      </w:r>
    </w:p>
    <w:p w:rsidR="005E1F29" w:rsidRDefault="005E1F29" w:rsidP="00F6563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rsidR="005E1F29" w:rsidRDefault="00F53D71" w:rsidP="00F6563B">
      <w:pPr>
        <w:spacing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-Presupuesto asignado como federal, estatal y municipal.</w:t>
      </w:r>
    </w:p>
    <w:p w:rsidR="00F6563B" w:rsidRDefault="00F6563B" w:rsidP="00F6563B">
      <w:pPr>
        <w:spacing w:line="360" w:lineRule="auto"/>
        <w:contextualSpacing/>
        <w:jc w:val="both"/>
        <w:rPr>
          <w:rFonts w:ascii="Palatino Linotype" w:eastAsia="Palatino Linotype" w:hAnsi="Palatino Linotype" w:cs="Palatino Linotype"/>
          <w:color w:val="000000"/>
          <w:sz w:val="24"/>
          <w:szCs w:val="24"/>
        </w:rPr>
      </w:pPr>
    </w:p>
    <w:p w:rsidR="005E1F29" w:rsidRDefault="00F53D71" w:rsidP="00F6563B">
      <w:pPr>
        <w:spacing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En respuesta, el </w:t>
      </w:r>
      <w:r>
        <w:rPr>
          <w:rFonts w:ascii="Palatino Linotype" w:eastAsia="Palatino Linotype" w:hAnsi="Palatino Linotype" w:cs="Palatino Linotype"/>
          <w:b/>
          <w:color w:val="000000"/>
          <w:sz w:val="24"/>
          <w:szCs w:val="24"/>
        </w:rPr>
        <w:t xml:space="preserve">SUJETO OBLIGADO </w:t>
      </w:r>
      <w:r>
        <w:rPr>
          <w:rFonts w:ascii="Palatino Linotype" w:eastAsia="Palatino Linotype" w:hAnsi="Palatino Linotype" w:cs="Palatino Linotype"/>
          <w:color w:val="000000"/>
          <w:sz w:val="24"/>
          <w:szCs w:val="24"/>
        </w:rPr>
        <w:t>por conducto de la Tesorería Municipal refiere que proporciona respuesta a la información solicitada en formato PDF.</w:t>
      </w:r>
    </w:p>
    <w:p w:rsidR="00F6563B" w:rsidRDefault="00F6563B" w:rsidP="00F6563B">
      <w:pPr>
        <w:spacing w:line="360" w:lineRule="auto"/>
        <w:contextualSpacing/>
        <w:jc w:val="both"/>
        <w:rPr>
          <w:rFonts w:ascii="Palatino Linotype" w:eastAsia="Palatino Linotype" w:hAnsi="Palatino Linotype" w:cs="Palatino Linotype"/>
          <w:color w:val="000000"/>
          <w:sz w:val="24"/>
          <w:szCs w:val="24"/>
        </w:rPr>
      </w:pPr>
    </w:p>
    <w:p w:rsidR="005E1F29" w:rsidRDefault="00F53D71" w:rsidP="00F6563B">
      <w:pPr>
        <w:spacing w:line="360" w:lineRule="auto"/>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Conocida la respuesta por el particular, al no estar conforme con los términos de la misma, presentó el recurso de revisión que nos ocupa, mediante el cual señaló como </w:t>
      </w:r>
      <w:r>
        <w:rPr>
          <w:rFonts w:ascii="Palatino Linotype" w:eastAsia="Palatino Linotype" w:hAnsi="Palatino Linotype" w:cs="Palatino Linotype"/>
          <w:sz w:val="24"/>
          <w:szCs w:val="24"/>
        </w:rPr>
        <w:lastRenderedPageBreak/>
        <w:t>motivo de inconformidad, que no entregan la información, ya que solo adjuntan un oficio donde dicen dar respuesta pero no anexan la respuesta de la solicitud de información.</w:t>
      </w:r>
    </w:p>
    <w:p w:rsidR="005E1F29" w:rsidRDefault="00F53D71">
      <w:pPr>
        <w:tabs>
          <w:tab w:val="left" w:pos="8647"/>
        </w:tabs>
        <w:spacing w:before="240" w:after="120" w:line="360" w:lineRule="auto"/>
        <w:ind w:right="141"/>
        <w:jc w:val="both"/>
        <w:rPr>
          <w:sz w:val="24"/>
          <w:szCs w:val="24"/>
        </w:rPr>
      </w:pPr>
      <w:r>
        <w:rPr>
          <w:rFonts w:ascii="Palatino Linotype" w:eastAsia="Palatino Linotype" w:hAnsi="Palatino Linotype" w:cs="Palatino Linotype"/>
          <w:sz w:val="24"/>
          <w:szCs w:val="24"/>
        </w:rPr>
        <w:t xml:space="preserve">Cabe resaltar que </w:t>
      </w:r>
      <w:r>
        <w:rPr>
          <w:rFonts w:ascii="Palatino Linotype" w:eastAsia="Palatino Linotype" w:hAnsi="Palatino Linotype" w:cs="Palatino Linotype"/>
          <w:color w:val="000000"/>
          <w:sz w:val="24"/>
          <w:szCs w:val="24"/>
        </w:rPr>
        <w:t xml:space="preserve">durante la etapa de manifestaciones </w:t>
      </w:r>
      <w:r>
        <w:rPr>
          <w:rFonts w:ascii="Palatino Linotype" w:eastAsia="Palatino Linotype" w:hAnsi="Palatino Linotype" w:cs="Palatino Linotype"/>
          <w:sz w:val="24"/>
          <w:szCs w:val="24"/>
        </w:rPr>
        <w:t xml:space="preserve">el </w:t>
      </w:r>
      <w:r>
        <w:rPr>
          <w:rFonts w:ascii="Palatino Linotype" w:eastAsia="Palatino Linotype" w:hAnsi="Palatino Linotype" w:cs="Palatino Linotype"/>
          <w:b/>
          <w:color w:val="000000"/>
          <w:sz w:val="24"/>
          <w:szCs w:val="24"/>
        </w:rPr>
        <w:t>RECURRENTE</w:t>
      </w:r>
      <w:r>
        <w:rPr>
          <w:rFonts w:ascii="Palatino Linotype" w:eastAsia="Palatino Linotype" w:hAnsi="Palatino Linotype" w:cs="Palatino Linotype"/>
          <w:color w:val="000000"/>
          <w:sz w:val="24"/>
          <w:szCs w:val="24"/>
        </w:rPr>
        <w:t xml:space="preserve"> fue omiso de rendir alegatos, por lo que respecta al</w:t>
      </w:r>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b/>
          <w:sz w:val="24"/>
          <w:szCs w:val="24"/>
        </w:rPr>
        <w:t>SUJETO</w:t>
      </w:r>
      <w:r>
        <w:rPr>
          <w:rFonts w:ascii="Palatino Linotype" w:eastAsia="Palatino Linotype" w:hAnsi="Palatino Linotype" w:cs="Palatino Linotype"/>
          <w:b/>
          <w:color w:val="000000"/>
          <w:sz w:val="24"/>
          <w:szCs w:val="24"/>
        </w:rPr>
        <w:t xml:space="preserve"> OBLIGADO</w:t>
      </w:r>
      <w:r>
        <w:rPr>
          <w:rFonts w:ascii="Palatino Linotype" w:eastAsia="Palatino Linotype" w:hAnsi="Palatino Linotype" w:cs="Palatino Linotype"/>
          <w:color w:val="000000"/>
          <w:sz w:val="24"/>
          <w:szCs w:val="24"/>
        </w:rPr>
        <w:t xml:space="preserve"> también </w:t>
      </w:r>
      <w:r>
        <w:rPr>
          <w:rFonts w:ascii="Palatino Linotype" w:eastAsia="Palatino Linotype" w:hAnsi="Palatino Linotype" w:cs="Palatino Linotype"/>
          <w:sz w:val="24"/>
          <w:szCs w:val="24"/>
        </w:rPr>
        <w:t>resultó</w:t>
      </w:r>
      <w:r>
        <w:rPr>
          <w:rFonts w:ascii="Palatino Linotype" w:eastAsia="Palatino Linotype" w:hAnsi="Palatino Linotype" w:cs="Palatino Linotype"/>
          <w:color w:val="000000"/>
          <w:sz w:val="24"/>
          <w:szCs w:val="24"/>
        </w:rPr>
        <w:t xml:space="preserve"> omiso de remitir su informe justificado conforme a derecho les corresponde. </w:t>
      </w:r>
      <w:r>
        <w:rPr>
          <w:sz w:val="24"/>
          <w:szCs w:val="24"/>
        </w:rPr>
        <w:t xml:space="preserve"> </w:t>
      </w:r>
    </w:p>
    <w:p w:rsidR="005E1F29" w:rsidRDefault="00F53D71">
      <w:pPr>
        <w:spacing w:before="240" w:after="240" w:line="360" w:lineRule="auto"/>
        <w:jc w:val="both"/>
        <w:rPr>
          <w:rFonts w:ascii="Palatino Linotype" w:eastAsia="Palatino Linotype" w:hAnsi="Palatino Linotype" w:cs="Palatino Linotype"/>
          <w:color w:val="202124"/>
          <w:sz w:val="24"/>
          <w:szCs w:val="24"/>
          <w:highlight w:val="white"/>
        </w:rPr>
      </w:pPr>
      <w:r>
        <w:rPr>
          <w:rFonts w:ascii="Palatino Linotype" w:eastAsia="Palatino Linotype" w:hAnsi="Palatino Linotype" w:cs="Palatino Linotype"/>
          <w:sz w:val="24"/>
          <w:szCs w:val="24"/>
        </w:rPr>
        <w:t xml:space="preserve">En este sentido este Organismo Garante estima que la información remitida por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en efecto no corresponde con lo solicitado toda vez que únicamente se limitó a referir </w:t>
      </w:r>
      <w:r>
        <w:rPr>
          <w:rFonts w:ascii="Palatino Linotype" w:eastAsia="Palatino Linotype" w:hAnsi="Palatino Linotype" w:cs="Palatino Linotype"/>
          <w:color w:val="000000"/>
          <w:sz w:val="24"/>
          <w:szCs w:val="24"/>
        </w:rPr>
        <w:t>que proporciona respuesta a la información solicitada en formato PDF, sin que se observe que adjunte algún documento, tal como lo refirió en su respuesta</w:t>
      </w:r>
      <w:r>
        <w:rPr>
          <w:rFonts w:ascii="Palatino Linotype" w:eastAsia="Palatino Linotype" w:hAnsi="Palatino Linotype" w:cs="Palatino Linotype"/>
          <w:color w:val="202124"/>
          <w:sz w:val="24"/>
          <w:szCs w:val="24"/>
          <w:highlight w:val="white"/>
        </w:rPr>
        <w:t xml:space="preserve">, tal como se puede apreciar en los antecedentes. </w:t>
      </w:r>
    </w:p>
    <w:p w:rsidR="005E1F29" w:rsidRDefault="00F53D71">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orden de ideas, conviene señalar que de conformidad a la Ley Orgánica Municipal del Estado de México, la Hacienda Municipal se integrara de la siguiente manera:</w:t>
      </w:r>
    </w:p>
    <w:p w:rsidR="005E1F29" w:rsidRDefault="00F53D71">
      <w:pPr>
        <w:spacing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Artículo 97.- La hacienda pública municipal se integra por:</w:t>
      </w:r>
    </w:p>
    <w:p w:rsidR="005E1F29" w:rsidRDefault="00F53D71">
      <w:pPr>
        <w:spacing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w:t>
      </w:r>
    </w:p>
    <w:p w:rsidR="005E1F29" w:rsidRDefault="00F53D71">
      <w:pPr>
        <w:spacing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IV. Las participaciones que perciban de acuerdo con las leyes federales y del Estado;</w:t>
      </w:r>
    </w:p>
    <w:p w:rsidR="005E1F29" w:rsidRDefault="00F53D71">
      <w:pPr>
        <w:spacing w:line="360" w:lineRule="auto"/>
        <w:ind w:left="851" w:right="900"/>
        <w:jc w:val="both"/>
      </w:pPr>
      <w:r>
        <w:rPr>
          <w:rFonts w:ascii="Palatino Linotype" w:eastAsia="Palatino Linotype" w:hAnsi="Palatino Linotype" w:cs="Palatino Linotype"/>
          <w:i/>
        </w:rPr>
        <w:t>V. Las contribuciones y demás ingresos determinados en la Ley de Ingresos de los Municipios, los que decrete la Legislatura y otros que por cualquier título legal reciba</w:t>
      </w:r>
      <w:r>
        <w:t>;</w:t>
      </w:r>
    </w:p>
    <w:p w:rsidR="005E1F29" w:rsidRDefault="00F53D71">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De conformidad a lo anterior la hacienda pública municipal se integra por las participaciones que perciba de índole federal y estatal, así como de las contribuciones y demás ingresos determinados en la Ley de Ingresos de los Municipios y por cualquier medio legal que se allegue de ellos. </w:t>
      </w:r>
    </w:p>
    <w:p w:rsidR="005E1F29" w:rsidRDefault="005E1F29">
      <w:pPr>
        <w:spacing w:after="0" w:line="360" w:lineRule="auto"/>
        <w:ind w:left="851" w:right="851"/>
        <w:jc w:val="both"/>
        <w:rPr>
          <w:rFonts w:ascii="Palatino Linotype" w:eastAsia="Palatino Linotype" w:hAnsi="Palatino Linotype" w:cs="Palatino Linotype"/>
          <w:b/>
          <w:sz w:val="24"/>
          <w:szCs w:val="24"/>
        </w:rPr>
      </w:pPr>
    </w:p>
    <w:p w:rsidR="005E1F29" w:rsidRDefault="00F53D71">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Asimismo, el Código Financiero del Estado de México y Municipios en su artículo 285, en lo medular señala que el Presupuesto de Egresos de los Municipios se constituye en el instrumento jurídico, de política económica y de política de gasto, que aprueba el Ayuntamiento en el cual se establece el ejercicio, control y evaluación del gasto público, precepto cuyo texto y sentido literal es el siguiente:</w:t>
      </w:r>
    </w:p>
    <w:p w:rsidR="005E1F29" w:rsidRDefault="005E1F29">
      <w:pPr>
        <w:pBdr>
          <w:top w:val="nil"/>
          <w:left w:val="nil"/>
          <w:bottom w:val="nil"/>
          <w:right w:val="nil"/>
          <w:between w:val="nil"/>
        </w:pBdr>
        <w:ind w:left="851" w:right="851" w:hanging="708"/>
        <w:jc w:val="both"/>
        <w:rPr>
          <w:rFonts w:ascii="Palatino Linotype" w:eastAsia="Palatino Linotype" w:hAnsi="Palatino Linotype" w:cs="Palatino Linotype"/>
          <w:i/>
          <w:color w:val="000000"/>
        </w:rPr>
      </w:pPr>
    </w:p>
    <w:p w:rsidR="005E1F29" w:rsidRDefault="00F53D71">
      <w:pPr>
        <w:pBdr>
          <w:top w:val="nil"/>
          <w:left w:val="nil"/>
          <w:bottom w:val="nil"/>
          <w:right w:val="nil"/>
          <w:between w:val="nil"/>
        </w:pBdr>
        <w:ind w:left="851" w:right="851"/>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“Artículo 285</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b/>
          <w:i/>
          <w:color w:val="000000"/>
        </w:rPr>
        <w:t>El Presupuesto de Egresos</w:t>
      </w:r>
      <w:r>
        <w:rPr>
          <w:rFonts w:ascii="Palatino Linotype" w:eastAsia="Palatino Linotype" w:hAnsi="Palatino Linotype" w:cs="Palatino Linotype"/>
          <w:i/>
          <w:color w:val="000000"/>
        </w:rPr>
        <w:t xml:space="preserve"> del Estado </w:t>
      </w:r>
      <w:r>
        <w:rPr>
          <w:rFonts w:ascii="Palatino Linotype" w:eastAsia="Palatino Linotype" w:hAnsi="Palatino Linotype" w:cs="Palatino Linotype"/>
          <w:b/>
          <w:i/>
          <w:color w:val="000000"/>
        </w:rPr>
        <w:t>es el instrumento jurídico, de política económica y de política de gasto</w:t>
      </w:r>
      <w:r>
        <w:rPr>
          <w:rFonts w:ascii="Palatino Linotype" w:eastAsia="Palatino Linotype" w:hAnsi="Palatino Linotype" w:cs="Palatino Linotype"/>
          <w:i/>
          <w:color w:val="000000"/>
        </w:rPr>
        <w:t xml:space="preserve">, que aprueba la Legislatura conforme a la iniciativa que presenta el Gobernador, </w:t>
      </w:r>
      <w:r>
        <w:rPr>
          <w:rFonts w:ascii="Palatino Linotype" w:eastAsia="Palatino Linotype" w:hAnsi="Palatino Linotype" w:cs="Palatino Linotype"/>
          <w:b/>
          <w:i/>
          <w:color w:val="000000"/>
        </w:rPr>
        <w:t>en el cual se establece el ejercicio, control y evaluación del gasto público de las Dependencias</w:t>
      </w:r>
      <w:r>
        <w:rPr>
          <w:rFonts w:ascii="Palatino Linotype" w:eastAsia="Palatino Linotype" w:hAnsi="Palatino Linotype" w:cs="Palatino Linotype"/>
          <w:i/>
          <w:color w:val="000000"/>
        </w:rPr>
        <w:t>, Entidades Públicas y Organismos Autónomos a través de los programas derivados del Plan de Desarrollo del Estado de México, durante el ejercicio fiscal correspondiente, así como de aquellos de naturaleza multianual propuestos por la Secretaría.</w:t>
      </w:r>
    </w:p>
    <w:p w:rsidR="005E1F29" w:rsidRDefault="00F53D71">
      <w:pPr>
        <w:pBdr>
          <w:top w:val="nil"/>
          <w:left w:val="nil"/>
          <w:bottom w:val="nil"/>
          <w:right w:val="nil"/>
          <w:between w:val="nil"/>
        </w:pBdr>
        <w:ind w:left="851" w:right="851"/>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p>
    <w:p w:rsidR="005E1F29" w:rsidRDefault="00F53D71">
      <w:pPr>
        <w:pBdr>
          <w:top w:val="nil"/>
          <w:left w:val="nil"/>
          <w:bottom w:val="nil"/>
          <w:right w:val="nil"/>
          <w:between w:val="nil"/>
        </w:pBdr>
        <w:ind w:left="851" w:right="851"/>
        <w:jc w:val="both"/>
        <w:rPr>
          <w:rFonts w:ascii="Palatino Linotype" w:eastAsia="Palatino Linotype" w:hAnsi="Palatino Linotype" w:cs="Palatino Linotype"/>
          <w:b/>
          <w:i/>
          <w:color w:val="000000"/>
          <w:u w:val="single"/>
        </w:rPr>
      </w:pPr>
      <w:r>
        <w:rPr>
          <w:rFonts w:ascii="Palatino Linotype" w:eastAsia="Palatino Linotype" w:hAnsi="Palatino Linotype" w:cs="Palatino Linotype"/>
          <w:b/>
          <w:i/>
          <w:color w:val="000000"/>
          <w:u w:val="single"/>
        </w:rPr>
        <w:t>En el caso de los municipios, el Presupuesto de Egresos, será el que se apruebe por el Ayuntamiento</w:t>
      </w:r>
      <w:r>
        <w:rPr>
          <w:rFonts w:ascii="Palatino Linotype" w:eastAsia="Palatino Linotype" w:hAnsi="Palatino Linotype" w:cs="Palatino Linotype"/>
          <w:b/>
          <w:i/>
          <w:color w:val="000000"/>
        </w:rPr>
        <w:t>…</w:t>
      </w:r>
      <w:proofErr w:type="gramStart"/>
      <w:r>
        <w:rPr>
          <w:rFonts w:ascii="Palatino Linotype" w:eastAsia="Palatino Linotype" w:hAnsi="Palatino Linotype" w:cs="Palatino Linotype"/>
          <w:b/>
          <w:i/>
          <w:color w:val="000000"/>
        </w:rPr>
        <w:t>”(</w:t>
      </w:r>
      <w:proofErr w:type="gramEnd"/>
      <w:r>
        <w:rPr>
          <w:rFonts w:ascii="Palatino Linotype" w:eastAsia="Palatino Linotype" w:hAnsi="Palatino Linotype" w:cs="Palatino Linotype"/>
          <w:b/>
          <w:i/>
          <w:color w:val="000000"/>
        </w:rPr>
        <w:t>Sic)</w:t>
      </w:r>
    </w:p>
    <w:p w:rsidR="005E1F29" w:rsidRDefault="005E1F29">
      <w:pPr>
        <w:pBdr>
          <w:top w:val="nil"/>
          <w:left w:val="nil"/>
          <w:bottom w:val="nil"/>
          <w:right w:val="nil"/>
          <w:between w:val="nil"/>
        </w:pBdr>
        <w:ind w:left="851" w:right="851" w:hanging="708"/>
        <w:jc w:val="both"/>
        <w:rPr>
          <w:rFonts w:ascii="Palatino Linotype" w:eastAsia="Palatino Linotype" w:hAnsi="Palatino Linotype" w:cs="Palatino Linotype"/>
          <w:i/>
          <w:color w:val="000000"/>
        </w:rPr>
      </w:pPr>
    </w:p>
    <w:p w:rsidR="005E1F29" w:rsidRDefault="00F53D71">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su parte, el Manual para la Planeación, Programación y Presupuesto de Egresos Municipal para el Ejercicio Fiscal 2022, publicado en el Periódico Oficial “Gaceta del </w:t>
      </w:r>
      <w:r>
        <w:rPr>
          <w:rFonts w:ascii="Palatino Linotype" w:eastAsia="Palatino Linotype" w:hAnsi="Palatino Linotype" w:cs="Palatino Linotype"/>
          <w:sz w:val="24"/>
          <w:szCs w:val="24"/>
        </w:rPr>
        <w:lastRenderedPageBreak/>
        <w:t>Gobierno” del Estado de México, en fecha catorce de octubre del dos mil veintiuno, en el Marco Conceptual numeral 1.2, definen al presupuesto como:</w:t>
      </w:r>
    </w:p>
    <w:p w:rsidR="005E1F29" w:rsidRDefault="00F53D71">
      <w:pPr>
        <w:pBdr>
          <w:top w:val="nil"/>
          <w:left w:val="nil"/>
          <w:bottom w:val="nil"/>
          <w:right w:val="nil"/>
          <w:between w:val="nil"/>
        </w:pBdr>
        <w:spacing w:after="0" w:line="240" w:lineRule="auto"/>
        <w:ind w:left="851" w:right="851"/>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“Con base en lo que establece el artículo 285 del Código Financiero del Estado de México y Municipios, el Presupuesto de Egresos Municipal se conceptualiza como el instrumento jurídico, de política económica y de política de gasto, que aprueba</w:t>
      </w:r>
    </w:p>
    <w:p w:rsidR="005E1F29" w:rsidRDefault="00F53D71">
      <w:pPr>
        <w:pBdr>
          <w:top w:val="nil"/>
          <w:left w:val="nil"/>
          <w:bottom w:val="nil"/>
          <w:right w:val="nil"/>
          <w:between w:val="nil"/>
        </w:pBdr>
        <w:spacing w:after="0" w:line="240" w:lineRule="auto"/>
        <w:ind w:left="851" w:right="851"/>
        <w:jc w:val="both"/>
        <w:rPr>
          <w:rFonts w:ascii="Palatino Linotype" w:eastAsia="Palatino Linotype" w:hAnsi="Palatino Linotype" w:cs="Palatino Linotype"/>
          <w:i/>
          <w:color w:val="000000"/>
        </w:rPr>
      </w:pPr>
      <w:proofErr w:type="gramStart"/>
      <w:r>
        <w:rPr>
          <w:rFonts w:ascii="Palatino Linotype" w:eastAsia="Palatino Linotype" w:hAnsi="Palatino Linotype" w:cs="Palatino Linotype"/>
          <w:i/>
          <w:color w:val="000000"/>
        </w:rPr>
        <w:t>el</w:t>
      </w:r>
      <w:proofErr w:type="gramEnd"/>
      <w:r>
        <w:rPr>
          <w:rFonts w:ascii="Palatino Linotype" w:eastAsia="Palatino Linotype" w:hAnsi="Palatino Linotype" w:cs="Palatino Linotype"/>
          <w:i/>
          <w:color w:val="000000"/>
        </w:rPr>
        <w:t xml:space="preserve"> Cabildo, conforme a la propuesta que presenta el C. Presidente Municipal, en el cual se establece el ejercicio, control y evaluación del gasto público de las Dependencias Administrativas y Organismos Municipales Descentralizados, a través de los programas derivados del Plan de Desarrollo Municipal (PDM), durante el ejercicio fiscal correspondiente.</w:t>
      </w:r>
    </w:p>
    <w:p w:rsidR="005E1F29" w:rsidRDefault="00F53D71">
      <w:pPr>
        <w:pBdr>
          <w:top w:val="nil"/>
          <w:left w:val="nil"/>
          <w:bottom w:val="nil"/>
          <w:right w:val="nil"/>
          <w:between w:val="nil"/>
        </w:pBdr>
        <w:ind w:left="851" w:right="851"/>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Para efecto de este Manual, el presupuesto es la estimación financiera anticipada, generalmente anual, de los ingresos y egresos del gobierno, necesarios para cumplir con los objetivos establecidos en los planes, programas y proyectos determinados. Asimismo, constituye el instrumento operativo básico para la ejecución de las decisiones de política económica y de planeación. El presupuesto público involucra los planes, políticas, programas, proyectos, estrategias y objetivos del municipio, como medio efectivo de control del gasto público y en ellos se fundamentan las diferentes alternativas de asignación de recursos para gastos e inversiones.”(Sic)</w:t>
      </w:r>
    </w:p>
    <w:p w:rsidR="005E1F29" w:rsidRDefault="005E1F29">
      <w:pPr>
        <w:pBdr>
          <w:top w:val="nil"/>
          <w:left w:val="nil"/>
          <w:bottom w:val="nil"/>
          <w:right w:val="nil"/>
          <w:between w:val="nil"/>
        </w:pBdr>
        <w:ind w:left="851" w:right="851" w:hanging="708"/>
        <w:jc w:val="both"/>
        <w:rPr>
          <w:rFonts w:ascii="Palatino Linotype" w:eastAsia="Palatino Linotype" w:hAnsi="Palatino Linotype" w:cs="Palatino Linotype"/>
          <w:i/>
          <w:color w:val="000000"/>
        </w:rPr>
      </w:pPr>
    </w:p>
    <w:p w:rsidR="005E1F29" w:rsidRDefault="00F53D71">
      <w:pPr>
        <w:spacing w:before="160"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Por lo tanto, efectivamente el presupuesto es la estimación financiera anticipada, generalmente anual, de los egresos e ingresos del gobierno, necesario para cumplir con los propósitos de un programa determinado, el cual constituye un instrumento operativo básico para la ejecución para las decisiones de política, económica y de operación.</w:t>
      </w:r>
    </w:p>
    <w:p w:rsidR="005E1F29" w:rsidRDefault="005E1F29">
      <w:pPr>
        <w:spacing w:after="0" w:line="360" w:lineRule="auto"/>
        <w:jc w:val="both"/>
        <w:rPr>
          <w:rFonts w:ascii="Palatino Linotype" w:eastAsia="Palatino Linotype" w:hAnsi="Palatino Linotype" w:cs="Palatino Linotype"/>
          <w:sz w:val="24"/>
          <w:szCs w:val="24"/>
        </w:rPr>
      </w:pPr>
    </w:p>
    <w:p w:rsidR="005E1F29" w:rsidRDefault="00F53D71" w:rsidP="00243A91">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Conjuntamente, en el citado Manual se estipula que los Ayuntamientos deberán realizar un Proyecto de Presupuesto de Egresos, que debe conocer la estimación de ingresos que serán captados por el Ayuntamiento por lo que para este fin se deberá </w:t>
      </w:r>
      <w:r>
        <w:rPr>
          <w:rFonts w:ascii="Palatino Linotype" w:eastAsia="Palatino Linotype" w:hAnsi="Palatino Linotype" w:cs="Palatino Linotype"/>
          <w:sz w:val="24"/>
          <w:szCs w:val="24"/>
        </w:rPr>
        <w:lastRenderedPageBreak/>
        <w:t xml:space="preserve">integrar el referido proyecto, para lo cual, servirá de apoyo el formato de Presupuesto de ingresos (Presupuesto de Ingresos Detallado) (PbRM-03a), el cual </w:t>
      </w:r>
      <w:r w:rsidR="00243A91">
        <w:rPr>
          <w:rFonts w:ascii="Palatino Linotype" w:eastAsia="Palatino Linotype" w:hAnsi="Palatino Linotype" w:cs="Palatino Linotype"/>
          <w:sz w:val="24"/>
          <w:szCs w:val="24"/>
        </w:rPr>
        <w:t>deberá</w:t>
      </w:r>
      <w:r w:rsidR="00243A91" w:rsidRPr="00243A91">
        <w:rPr>
          <w:rFonts w:ascii="Palatino Linotype" w:eastAsia="Palatino Linotype" w:hAnsi="Palatino Linotype" w:cs="Palatino Linotype"/>
          <w:sz w:val="24"/>
          <w:szCs w:val="24"/>
        </w:rPr>
        <w:t xml:space="preserve"> registrar los ingresos que se estiman recaudar para e</w:t>
      </w:r>
      <w:r w:rsidR="00243A91">
        <w:rPr>
          <w:rFonts w:ascii="Palatino Linotype" w:eastAsia="Palatino Linotype" w:hAnsi="Palatino Linotype" w:cs="Palatino Linotype"/>
          <w:sz w:val="24"/>
          <w:szCs w:val="24"/>
        </w:rPr>
        <w:t xml:space="preserve">l siguiente ejercicio, antes de </w:t>
      </w:r>
      <w:r w:rsidR="00243A91" w:rsidRPr="00243A91">
        <w:rPr>
          <w:rFonts w:ascii="Palatino Linotype" w:eastAsia="Palatino Linotype" w:hAnsi="Palatino Linotype" w:cs="Palatino Linotype"/>
          <w:sz w:val="24"/>
          <w:szCs w:val="24"/>
        </w:rPr>
        <w:t>la publicación de la Ley de Ingresos, Participaciones Federales y Programas Federales y Estatales</w:t>
      </w:r>
      <w:r w:rsidR="00243A91" w:rsidRPr="00243A91">
        <w:rPr>
          <w:rFonts w:ascii="Palatino Linotype" w:eastAsia="Palatino Linotype" w:hAnsi="Palatino Linotype" w:cs="Palatino Linotype"/>
          <w:sz w:val="24"/>
          <w:szCs w:val="24"/>
        </w:rPr>
        <w:t xml:space="preserve"> </w:t>
      </w:r>
      <w:r>
        <w:rPr>
          <w:rFonts w:ascii="Palatino Linotype" w:eastAsia="Palatino Linotype" w:hAnsi="Palatino Linotype" w:cs="Palatino Linotype"/>
          <w:sz w:val="24"/>
          <w:szCs w:val="24"/>
        </w:rPr>
        <w:t xml:space="preserve">durante la etapa del anteproyecto y en el que se deberán registrar los ingresos estimados a nivel concepto y distribuirlos por mes, del mismo modo se incluirá la Carátula de Presupuesto de Ingresos (PbRM-03b), el cual será constituido por el área de planeación y Tesorería, con base en la información del Anteproyecto de Presupuesto de Egresos, </w:t>
      </w:r>
      <w:r w:rsidR="00243A91">
        <w:rPr>
          <w:rFonts w:ascii="Palatino Linotype" w:eastAsia="Palatino Linotype" w:hAnsi="Palatino Linotype" w:cs="Palatino Linotype"/>
          <w:sz w:val="24"/>
          <w:szCs w:val="24"/>
        </w:rPr>
        <w:t>en donde</w:t>
      </w:r>
      <w:r w:rsidR="00243A91" w:rsidRPr="00243A91">
        <w:rPr>
          <w:rFonts w:ascii="Palatino Linotype" w:eastAsia="Palatino Linotype" w:hAnsi="Palatino Linotype" w:cs="Palatino Linotype"/>
          <w:sz w:val="24"/>
          <w:szCs w:val="24"/>
        </w:rPr>
        <w:t xml:space="preserve"> registrar</w:t>
      </w:r>
      <w:r w:rsidR="00243A91">
        <w:rPr>
          <w:rFonts w:ascii="Palatino Linotype" w:eastAsia="Palatino Linotype" w:hAnsi="Palatino Linotype" w:cs="Palatino Linotype"/>
          <w:sz w:val="24"/>
          <w:szCs w:val="24"/>
        </w:rPr>
        <w:t>a</w:t>
      </w:r>
      <w:r w:rsidR="00243A91" w:rsidRPr="00243A91">
        <w:rPr>
          <w:rFonts w:ascii="Palatino Linotype" w:eastAsia="Palatino Linotype" w:hAnsi="Palatino Linotype" w:cs="Palatino Linotype"/>
          <w:sz w:val="24"/>
          <w:szCs w:val="24"/>
        </w:rPr>
        <w:t xml:space="preserve"> los importes por tipo de Ingreso </w:t>
      </w:r>
      <w:r>
        <w:rPr>
          <w:rFonts w:ascii="Palatino Linotype" w:eastAsia="Palatino Linotype" w:hAnsi="Palatino Linotype" w:cs="Palatino Linotype"/>
          <w:sz w:val="24"/>
          <w:szCs w:val="24"/>
        </w:rPr>
        <w:t>formatos que se muestra a continuación de la inserción de pantallas que se muestra:</w:t>
      </w:r>
      <w:bookmarkStart w:id="1" w:name="_GoBack"/>
      <w:bookmarkEnd w:id="1"/>
    </w:p>
    <w:p w:rsidR="005E1F29" w:rsidRDefault="00F53D71">
      <w:pPr>
        <w:spacing w:line="360" w:lineRule="auto"/>
        <w:ind w:right="900"/>
        <w:jc w:val="both"/>
        <w:rPr>
          <w:rFonts w:ascii="Palatino Linotype" w:eastAsia="Palatino Linotype" w:hAnsi="Palatino Linotype" w:cs="Palatino Linotype"/>
          <w:sz w:val="28"/>
          <w:szCs w:val="28"/>
        </w:rPr>
      </w:pPr>
      <w:r>
        <w:rPr>
          <w:noProof/>
        </w:rPr>
        <w:drawing>
          <wp:inline distT="0" distB="0" distL="0" distR="0">
            <wp:extent cx="5693650" cy="2382669"/>
            <wp:effectExtent l="0" t="0" r="0" b="0"/>
            <wp:docPr id="2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l="18160" t="44961" r="19381" b="8568"/>
                    <a:stretch>
                      <a:fillRect/>
                    </a:stretch>
                  </pic:blipFill>
                  <pic:spPr>
                    <a:xfrm>
                      <a:off x="0" y="0"/>
                      <a:ext cx="5693650" cy="2382669"/>
                    </a:xfrm>
                    <a:prstGeom prst="rect">
                      <a:avLst/>
                    </a:prstGeom>
                    <a:ln/>
                  </pic:spPr>
                </pic:pic>
              </a:graphicData>
            </a:graphic>
          </wp:inline>
        </w:drawing>
      </w:r>
      <w:r>
        <w:rPr>
          <w:noProof/>
        </w:rPr>
        <mc:AlternateContent>
          <mc:Choice Requires="wps">
            <w:drawing>
              <wp:anchor distT="0" distB="0" distL="114300" distR="114300" simplePos="0" relativeHeight="251658240" behindDoc="0" locked="0" layoutInCell="1" hidden="0" allowOverlap="1">
                <wp:simplePos x="0" y="0"/>
                <wp:positionH relativeFrom="column">
                  <wp:posOffset>1689100</wp:posOffset>
                </wp:positionH>
                <wp:positionV relativeFrom="paragraph">
                  <wp:posOffset>457200</wp:posOffset>
                </wp:positionV>
                <wp:extent cx="914400" cy="1019175"/>
                <wp:effectExtent l="0" t="0" r="0" b="0"/>
                <wp:wrapNone/>
                <wp:docPr id="21" name="Rectángulo 21"/>
                <wp:cNvGraphicFramePr/>
                <a:graphic xmlns:a="http://schemas.openxmlformats.org/drawingml/2006/main">
                  <a:graphicData uri="http://schemas.microsoft.com/office/word/2010/wordprocessingShape">
                    <wps:wsp>
                      <wps:cNvSpPr/>
                      <wps:spPr>
                        <a:xfrm>
                          <a:off x="4907850" y="3289463"/>
                          <a:ext cx="876300" cy="981075"/>
                        </a:xfrm>
                        <a:prstGeom prst="rect">
                          <a:avLst/>
                        </a:prstGeom>
                        <a:noFill/>
                        <a:ln w="38100" cap="flat" cmpd="sng">
                          <a:solidFill>
                            <a:srgbClr val="FF0000"/>
                          </a:solidFill>
                          <a:prstDash val="solid"/>
                          <a:miter lim="800000"/>
                          <a:headEnd type="none" w="sm" len="sm"/>
                          <a:tailEnd type="none" w="sm" len="sm"/>
                        </a:ln>
                      </wps:spPr>
                      <wps:txbx>
                        <w:txbxContent>
                          <w:p w:rsidR="005E1F29" w:rsidRDefault="005E1F2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ángulo 21" o:spid="_x0000_s1026" style="position:absolute;left:0;text-align:left;margin-left:133pt;margin-top:36pt;width:1in;height:80.2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" filled="f" strokecolor="red" strokeweight="3pt">
                <v:stroke startarrowwidth="narrow" startarrowlength="short" endarrowwidth="narrow" endarrowlength="short"/>
                <v:textbox inset="2.53958mm,2.53958mm,2.53958mm,2.53958mm">
                  <w:txbxContent>
                    <w:p w:rsidR="005E1F29" w:rsidRDefault="005E1F29">
                      <w:pPr>
                        <w:spacing w:after="0" w:line="240" w:lineRule="auto"/>
                        <w:textDirection w:val="btLr"/>
                      </w:pPr>
                    </w:p>
                  </w:txbxContent>
                </v:textbox>
              </v:rect>
            </w:pict>
          </mc:Fallback>
        </mc:AlternateContent>
      </w:r>
    </w:p>
    <w:p w:rsidR="005E1F29" w:rsidRDefault="00F53D71">
      <w:pPr>
        <w:spacing w:line="360" w:lineRule="auto"/>
        <w:ind w:right="900"/>
        <w:jc w:val="both"/>
        <w:rPr>
          <w:rFonts w:ascii="Palatino Linotype" w:eastAsia="Palatino Linotype" w:hAnsi="Palatino Linotype" w:cs="Palatino Linotype"/>
          <w:sz w:val="28"/>
          <w:szCs w:val="28"/>
        </w:rPr>
      </w:pPr>
      <w:r>
        <w:rPr>
          <w:noProof/>
        </w:rPr>
        <w:lastRenderedPageBreak/>
        <w:drawing>
          <wp:inline distT="0" distB="0" distL="0" distR="0">
            <wp:extent cx="5571314" cy="3914205"/>
            <wp:effectExtent l="0" t="0" r="0" b="0"/>
            <wp:docPr id="2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l="19178" t="12673" r="14630" b="4646"/>
                    <a:stretch>
                      <a:fillRect/>
                    </a:stretch>
                  </pic:blipFill>
                  <pic:spPr>
                    <a:xfrm>
                      <a:off x="0" y="0"/>
                      <a:ext cx="5571314" cy="3914205"/>
                    </a:xfrm>
                    <a:prstGeom prst="rect">
                      <a:avLst/>
                    </a:prstGeom>
                    <a:ln/>
                  </pic:spPr>
                </pic:pic>
              </a:graphicData>
            </a:graphic>
          </wp:inline>
        </w:drawing>
      </w:r>
      <w:r>
        <w:rPr>
          <w:noProof/>
        </w:rPr>
        <mc:AlternateContent>
          <mc:Choice Requires="wps">
            <w:drawing>
              <wp:anchor distT="0" distB="0" distL="114300" distR="114300" simplePos="0" relativeHeight="251659264" behindDoc="0" locked="0" layoutInCell="1" hidden="0" allowOverlap="1">
                <wp:simplePos x="0" y="0"/>
                <wp:positionH relativeFrom="column">
                  <wp:posOffset>-12699</wp:posOffset>
                </wp:positionH>
                <wp:positionV relativeFrom="paragraph">
                  <wp:posOffset>-12699</wp:posOffset>
                </wp:positionV>
                <wp:extent cx="1571625" cy="1504950"/>
                <wp:effectExtent l="0" t="0" r="0" b="0"/>
                <wp:wrapNone/>
                <wp:docPr id="22" name="Rectángulo 22"/>
                <wp:cNvGraphicFramePr/>
                <a:graphic xmlns:a="http://schemas.openxmlformats.org/drawingml/2006/main">
                  <a:graphicData uri="http://schemas.microsoft.com/office/word/2010/wordprocessingShape">
                    <wps:wsp>
                      <wps:cNvSpPr/>
                      <wps:spPr>
                        <a:xfrm>
                          <a:off x="4579238" y="3046575"/>
                          <a:ext cx="1533525" cy="1466850"/>
                        </a:xfrm>
                        <a:prstGeom prst="rect">
                          <a:avLst/>
                        </a:prstGeom>
                        <a:noFill/>
                        <a:ln w="38100" cap="flat" cmpd="sng">
                          <a:solidFill>
                            <a:srgbClr val="FF0000"/>
                          </a:solidFill>
                          <a:prstDash val="solid"/>
                          <a:miter lim="800000"/>
                          <a:headEnd type="none" w="sm" len="sm"/>
                          <a:tailEnd type="none" w="sm" len="sm"/>
                        </a:ln>
                      </wps:spPr>
                      <wps:txbx>
                        <w:txbxContent>
                          <w:p w:rsidR="005E1F29" w:rsidRDefault="005E1F2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ángulo 22" o:spid="_x0000_s1027" style="position:absolute;left:0;text-align:left;margin-left:-1pt;margin-top:-1pt;width:123.75pt;height:11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" filled="f" strokecolor="red" strokeweight="3pt">
                <v:stroke startarrowwidth="narrow" startarrowlength="short" endarrowwidth="narrow" endarrowlength="short"/>
                <v:textbox inset="2.53958mm,2.53958mm,2.53958mm,2.53958mm">
                  <w:txbxContent>
                    <w:p w:rsidR="005E1F29" w:rsidRDefault="005E1F29">
                      <w:pPr>
                        <w:spacing w:after="0" w:line="240" w:lineRule="auto"/>
                        <w:textDirection w:val="btLr"/>
                      </w:pPr>
                    </w:p>
                  </w:txbxContent>
                </v:textbox>
              </v:rect>
            </w:pict>
          </mc:Fallback>
        </mc:AlternateContent>
      </w:r>
    </w:p>
    <w:p w:rsidR="005E1F29" w:rsidRDefault="00F53D71">
      <w:pPr>
        <w:tabs>
          <w:tab w:val="left" w:pos="7938"/>
        </w:tabs>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ese sentido, los Lineamientos para la Entrega del Presupuesto de Egresos Municipal del ejercicio fiscal 2022, prevé los formatos antes mencionados, para tal efecto dichos lineamientos establecen:</w:t>
      </w:r>
    </w:p>
    <w:p w:rsidR="005E1F29" w:rsidRDefault="00F53D71">
      <w:pPr>
        <w:spacing w:line="360" w:lineRule="auto"/>
        <w:jc w:val="both"/>
        <w:rPr>
          <w:rFonts w:ascii="Palatino Linotype" w:eastAsia="Palatino Linotype" w:hAnsi="Palatino Linotype" w:cs="Palatino Linotype"/>
          <w:sz w:val="24"/>
          <w:szCs w:val="24"/>
        </w:rPr>
      </w:pPr>
      <w:r>
        <w:rPr>
          <w:noProof/>
        </w:rPr>
        <w:lastRenderedPageBreak/>
        <w:drawing>
          <wp:inline distT="0" distB="0" distL="0" distR="0">
            <wp:extent cx="5649061" cy="3076935"/>
            <wp:effectExtent l="0" t="0" r="0" b="0"/>
            <wp:docPr id="3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l="29362" t="32589" r="30753" b="28786"/>
                    <a:stretch>
                      <a:fillRect/>
                    </a:stretch>
                  </pic:blipFill>
                  <pic:spPr>
                    <a:xfrm>
                      <a:off x="0" y="0"/>
                      <a:ext cx="5649061" cy="3076935"/>
                    </a:xfrm>
                    <a:prstGeom prst="rect">
                      <a:avLst/>
                    </a:prstGeom>
                    <a:ln/>
                  </pic:spPr>
                </pic:pic>
              </a:graphicData>
            </a:graphic>
          </wp:inline>
        </w:drawing>
      </w:r>
    </w:p>
    <w:p w:rsidR="005E1F29" w:rsidRDefault="00F53D71">
      <w:pPr>
        <w:spacing w:line="360" w:lineRule="auto"/>
        <w:jc w:val="both"/>
        <w:rPr>
          <w:rFonts w:ascii="Palatino Linotype" w:eastAsia="Palatino Linotype" w:hAnsi="Palatino Linotype" w:cs="Palatino Linotype"/>
          <w:sz w:val="24"/>
          <w:szCs w:val="24"/>
        </w:rPr>
      </w:pPr>
      <w:r>
        <w:rPr>
          <w:noProof/>
        </w:rPr>
        <w:drawing>
          <wp:inline distT="0" distB="0" distL="0" distR="0">
            <wp:extent cx="5630361" cy="3114668"/>
            <wp:effectExtent l="0" t="0" r="0" b="0"/>
            <wp:docPr id="2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l="13577" t="17501" r="14630" b="11888"/>
                    <a:stretch>
                      <a:fillRect/>
                    </a:stretch>
                  </pic:blipFill>
                  <pic:spPr>
                    <a:xfrm>
                      <a:off x="0" y="0"/>
                      <a:ext cx="5630361" cy="3114668"/>
                    </a:xfrm>
                    <a:prstGeom prst="rect">
                      <a:avLst/>
                    </a:prstGeom>
                    <a:ln/>
                  </pic:spPr>
                </pic:pic>
              </a:graphicData>
            </a:graphic>
          </wp:inline>
        </w:drawing>
      </w:r>
    </w:p>
    <w:p w:rsidR="005E1F29" w:rsidRDefault="00F53D71">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tales instructivos, se observa que se contienen los datos que pueden colmar la solicitud de acceso a la información pública del particular.</w:t>
      </w:r>
    </w:p>
    <w:p w:rsidR="005E1F29" w:rsidRDefault="00F53D71">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En ese contexto, los artículos 99 de la Ley Orgánica Municipal del Estado de México y 302 del Código Financiero vigente en el Estado de México; que señalan de manera literal lo siguiente:</w:t>
      </w:r>
    </w:p>
    <w:p w:rsidR="005E1F29" w:rsidRDefault="005E1F29">
      <w:pPr>
        <w:spacing w:after="0"/>
        <w:ind w:left="567" w:right="616"/>
        <w:jc w:val="both"/>
        <w:rPr>
          <w:rFonts w:ascii="Palatino Linotype" w:eastAsia="Palatino Linotype" w:hAnsi="Palatino Linotype" w:cs="Palatino Linotype"/>
          <w:i/>
        </w:rPr>
      </w:pPr>
    </w:p>
    <w:p w:rsidR="005E1F29" w:rsidRDefault="00F53D71">
      <w:pPr>
        <w:spacing w:after="0"/>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99.-</w:t>
      </w:r>
      <w:r>
        <w:rPr>
          <w:rFonts w:ascii="Palatino Linotype" w:eastAsia="Palatino Linotype" w:hAnsi="Palatino Linotype" w:cs="Palatino Linotype"/>
          <w:i/>
        </w:rPr>
        <w:t xml:space="preserve"> El presidente municipal presentará anualmente al ayuntamiento a más tardar el 20 de diciembre, el proyecto de presupuesto de egresos, para su consideración y aprobación.</w:t>
      </w:r>
    </w:p>
    <w:p w:rsidR="005E1F29" w:rsidRDefault="00F53D71">
      <w:pPr>
        <w:spacing w:after="0"/>
        <w:ind w:left="567" w:right="616"/>
        <w:jc w:val="both"/>
        <w:rPr>
          <w:rFonts w:ascii="Palatino Linotype" w:eastAsia="Palatino Linotype" w:hAnsi="Palatino Linotype" w:cs="Palatino Linotype"/>
          <w:i/>
        </w:rPr>
      </w:pPr>
      <w:r>
        <w:rPr>
          <w:rFonts w:ascii="Palatino Linotype" w:eastAsia="Palatino Linotype" w:hAnsi="Palatino Linotype" w:cs="Palatino Linotype"/>
          <w:b/>
          <w:i/>
        </w:rPr>
        <w:t>Artículo 302.-</w:t>
      </w:r>
      <w:r>
        <w:rPr>
          <w:rFonts w:ascii="Palatino Linotype" w:eastAsia="Palatino Linotype" w:hAnsi="Palatino Linotype" w:cs="Palatino Linotype"/>
          <w:i/>
        </w:rPr>
        <w:t xml:space="preserve"> El Gobernador presentará a la Legislatura a más tardar el veintiuno de noviembre el Proyecto del Presupuesto de Egresos del Gobierno del Estado.</w:t>
      </w:r>
    </w:p>
    <w:p w:rsidR="005E1F29" w:rsidRDefault="00F53D71">
      <w:pPr>
        <w:spacing w:after="0"/>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En el caso de los Municipios, el Presidente Municipal lo presentará al Ayuntamiento a más tardar el veinte de diciembre.” (Sic)</w:t>
      </w:r>
    </w:p>
    <w:p w:rsidR="005E1F29" w:rsidRDefault="005E1F29">
      <w:pPr>
        <w:spacing w:after="80"/>
        <w:ind w:left="567" w:right="616"/>
        <w:jc w:val="both"/>
        <w:rPr>
          <w:rFonts w:ascii="Palatino Linotype" w:eastAsia="Palatino Linotype" w:hAnsi="Palatino Linotype" w:cs="Palatino Linotype"/>
          <w:i/>
        </w:rPr>
      </w:pPr>
    </w:p>
    <w:p w:rsidR="005E1F29" w:rsidRDefault="00F53D71">
      <w:pPr>
        <w:spacing w:before="8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Establecen que el Presidente Municipal presentara al Ayuntamiento a más tardar el veinte de diciembre de cada año el proyecto de presupuesto de egresos del año inmediato; esto es, que el Presidente Municipal de Chiautla, debió presentar al Ayuntamiento a más tardar el veinte de diciembre del 2021 el proyecto del presupuesto de egresos para el ejercicio fiscal del año 2022, para su consideración y aprobación en sesión de cabildo, con lo que se robustece con lo señalado por el artículo 31 de la Ley Orgánica Municipal del Estado de México, que indica las atribuciones de las autoridades municipales respecto de la aprobación, integración, aplicación y formulación del Presupuesto de Egresos conforme lo siguiente:</w:t>
      </w:r>
    </w:p>
    <w:p w:rsidR="005E1F29" w:rsidRDefault="00F53D71">
      <w:pPr>
        <w:pBdr>
          <w:top w:val="nil"/>
          <w:left w:val="nil"/>
          <w:bottom w:val="nil"/>
          <w:right w:val="nil"/>
          <w:between w:val="nil"/>
        </w:pBdr>
        <w:ind w:left="851" w:right="851"/>
        <w:jc w:val="both"/>
        <w:rPr>
          <w:rFonts w:ascii="Palatino Linotype" w:eastAsia="Palatino Linotype" w:hAnsi="Palatino Linotype" w:cs="Palatino Linotype"/>
          <w:i/>
          <w:color w:val="000000"/>
        </w:rPr>
      </w:pPr>
      <w:r>
        <w:rPr>
          <w:rFonts w:ascii="Palatino Linotype" w:eastAsia="Palatino Linotype" w:hAnsi="Palatino Linotype" w:cs="Palatino Linotype"/>
          <w:color w:val="000000"/>
        </w:rPr>
        <w:t>“</w:t>
      </w:r>
      <w:r>
        <w:rPr>
          <w:rFonts w:ascii="Palatino Linotype" w:eastAsia="Palatino Linotype" w:hAnsi="Palatino Linotype" w:cs="Palatino Linotype"/>
          <w:b/>
          <w:i/>
          <w:color w:val="000000"/>
        </w:rPr>
        <w:t>Artículo 31</w:t>
      </w:r>
      <w:r>
        <w:rPr>
          <w:rFonts w:ascii="Palatino Linotype" w:eastAsia="Palatino Linotype" w:hAnsi="Palatino Linotype" w:cs="Palatino Linotype"/>
          <w:i/>
          <w:color w:val="000000"/>
        </w:rPr>
        <w:t>.- Son atribuciones de los ayuntamientos:</w:t>
      </w:r>
    </w:p>
    <w:p w:rsidR="005E1F29" w:rsidRDefault="00F53D71">
      <w:pPr>
        <w:pBdr>
          <w:top w:val="nil"/>
          <w:left w:val="nil"/>
          <w:bottom w:val="nil"/>
          <w:right w:val="nil"/>
          <w:between w:val="nil"/>
        </w:pBdr>
        <w:ind w:left="851" w:right="851"/>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p>
    <w:p w:rsidR="005E1F29" w:rsidRDefault="00F53D71">
      <w:pPr>
        <w:pBdr>
          <w:top w:val="nil"/>
          <w:left w:val="nil"/>
          <w:bottom w:val="nil"/>
          <w:right w:val="nil"/>
          <w:between w:val="nil"/>
        </w:pBdr>
        <w:ind w:left="851" w:right="851"/>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XVIII. Administrar su hacienda en términos de ley, y controlar a través del presidente y síndico la aplicación del presupuesto de egresos del municipio;</w:t>
      </w:r>
    </w:p>
    <w:p w:rsidR="005E1F29" w:rsidRDefault="00F53D71">
      <w:pPr>
        <w:pBdr>
          <w:top w:val="nil"/>
          <w:left w:val="nil"/>
          <w:bottom w:val="nil"/>
          <w:right w:val="nil"/>
          <w:between w:val="nil"/>
        </w:pBdr>
        <w:ind w:left="851" w:right="851"/>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p>
    <w:p w:rsidR="005E1F29" w:rsidRDefault="00F53D71">
      <w:pPr>
        <w:pBdr>
          <w:top w:val="nil"/>
          <w:left w:val="nil"/>
          <w:bottom w:val="nil"/>
          <w:right w:val="nil"/>
          <w:between w:val="nil"/>
        </w:pBdr>
        <w:ind w:left="851" w:right="851"/>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lastRenderedPageBreak/>
        <w:t xml:space="preserve">XIX. </w:t>
      </w:r>
      <w:r>
        <w:rPr>
          <w:rFonts w:ascii="Palatino Linotype" w:eastAsia="Palatino Linotype" w:hAnsi="Palatino Linotype" w:cs="Palatino Linotype"/>
          <w:b/>
          <w:i/>
          <w:color w:val="000000"/>
          <w:u w:val="single"/>
        </w:rPr>
        <w:t>Aprobar anualmente a más tardar el 20 de diciembre, su Presupuesto de Egresos, en base a los ingresos presupuestados para el ejercicio que corresponda</w:t>
      </w:r>
      <w:r>
        <w:rPr>
          <w:rFonts w:ascii="Palatino Linotype" w:eastAsia="Palatino Linotype" w:hAnsi="Palatino Linotype" w:cs="Palatino Linotype"/>
          <w:i/>
          <w:color w:val="000000"/>
        </w:rPr>
        <w:t>, el cual podrá ser adecuado en función de las implicaciones que deriven de la aprobación de la Ley de Ingresos Municipal que haga la Legislatura, así como por la asignación de las participaciones y aportaciones federales y estatales.</w:t>
      </w:r>
    </w:p>
    <w:p w:rsidR="005E1F29" w:rsidRDefault="00F53D71">
      <w:pPr>
        <w:pBdr>
          <w:top w:val="nil"/>
          <w:left w:val="nil"/>
          <w:bottom w:val="nil"/>
          <w:right w:val="nil"/>
          <w:between w:val="nil"/>
        </w:pBdr>
        <w:ind w:left="851" w:right="851"/>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Si cumplido el plazo que corresponda no se hubiere aprobado el Presupuesto de Egresos referido, seguirá en vigor hasta el 28 o 29 de febrero del ejercicio fiscal inmediato siguiente, el expedido para el ejercicio inmediato anterior al de la iniciativa en discusión, únicamente respecto del gasto corriente.</w:t>
      </w:r>
    </w:p>
    <w:p w:rsidR="005E1F29" w:rsidRDefault="00F53D71">
      <w:pPr>
        <w:pBdr>
          <w:top w:val="nil"/>
          <w:left w:val="nil"/>
          <w:bottom w:val="nil"/>
          <w:right w:val="nil"/>
          <w:between w:val="nil"/>
        </w:pBdr>
        <w:ind w:left="851" w:right="851"/>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w:t>
      </w:r>
    </w:p>
    <w:p w:rsidR="005E1F29" w:rsidRDefault="005E1F29">
      <w:pPr>
        <w:pBdr>
          <w:top w:val="nil"/>
          <w:left w:val="nil"/>
          <w:bottom w:val="nil"/>
          <w:right w:val="nil"/>
          <w:between w:val="nil"/>
        </w:pBdr>
        <w:ind w:left="851" w:right="851" w:hanging="708"/>
        <w:jc w:val="both"/>
        <w:rPr>
          <w:rFonts w:ascii="Palatino Linotype" w:eastAsia="Palatino Linotype" w:hAnsi="Palatino Linotype" w:cs="Palatino Linotype"/>
          <w:i/>
          <w:color w:val="000000"/>
        </w:rPr>
      </w:pPr>
    </w:p>
    <w:p w:rsidR="005E1F29" w:rsidRDefault="00F53D71">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sz w:val="24"/>
          <w:szCs w:val="24"/>
        </w:rPr>
        <w:t xml:space="preserve">En este sentido, la información que está solicitando el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es información que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genera en uso de sus funciones y atribuciones, toda vez que debe </w:t>
      </w:r>
      <w:r>
        <w:rPr>
          <w:rFonts w:ascii="Palatino Linotype" w:eastAsia="Palatino Linotype" w:hAnsi="Palatino Linotype" w:cs="Palatino Linotype"/>
          <w:color w:val="000000"/>
          <w:sz w:val="24"/>
          <w:szCs w:val="24"/>
        </w:rPr>
        <w:t xml:space="preserve">aprobar anualmente su presupuesto de egresos, en base a los </w:t>
      </w:r>
      <w:r>
        <w:rPr>
          <w:rFonts w:ascii="Palatino Linotype" w:eastAsia="Palatino Linotype" w:hAnsi="Palatino Linotype" w:cs="Palatino Linotype"/>
          <w:b/>
          <w:color w:val="000000"/>
          <w:sz w:val="24"/>
          <w:szCs w:val="24"/>
          <w:u w:val="single"/>
        </w:rPr>
        <w:t>ingresos</w:t>
      </w:r>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color w:val="000000"/>
          <w:sz w:val="24"/>
          <w:szCs w:val="24"/>
        </w:rPr>
        <w:t>presupuestados para el ejercicio que corresponda.</w:t>
      </w:r>
    </w:p>
    <w:p w:rsidR="005E1F29" w:rsidRDefault="005E1F29">
      <w:pPr>
        <w:spacing w:after="0" w:line="360" w:lineRule="auto"/>
        <w:jc w:val="both"/>
        <w:rPr>
          <w:sz w:val="24"/>
          <w:szCs w:val="24"/>
        </w:rPr>
      </w:pPr>
    </w:p>
    <w:p w:rsidR="005E1F29" w:rsidRDefault="00F53D71" w:rsidP="00F6563B">
      <w:pPr>
        <w:shd w:val="clear" w:color="auto" w:fill="FFFFFF"/>
        <w:spacing w:after="0" w:line="360" w:lineRule="auto"/>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Razones por las cuales, lo dable es ordenar al </w:t>
      </w:r>
      <w:r w:rsidR="00F6563B" w:rsidRPr="00F6563B">
        <w:rPr>
          <w:rFonts w:ascii="Palatino Linotype" w:eastAsia="Palatino Linotype" w:hAnsi="Palatino Linotype" w:cs="Palatino Linotype"/>
          <w:b/>
          <w:sz w:val="24"/>
          <w:szCs w:val="24"/>
        </w:rPr>
        <w:t>SUJETO OBLIGADO</w:t>
      </w:r>
      <w:r w:rsidR="00F6563B">
        <w:rPr>
          <w:rFonts w:ascii="Palatino Linotype" w:eastAsia="Palatino Linotype" w:hAnsi="Palatino Linotype" w:cs="Palatino Linotype"/>
          <w:sz w:val="24"/>
          <w:szCs w:val="24"/>
        </w:rPr>
        <w:t xml:space="preserve"> </w:t>
      </w:r>
      <w:r>
        <w:rPr>
          <w:rFonts w:ascii="Palatino Linotype" w:eastAsia="Palatino Linotype" w:hAnsi="Palatino Linotype" w:cs="Palatino Linotype"/>
          <w:sz w:val="24"/>
          <w:szCs w:val="24"/>
        </w:rPr>
        <w:t>entregue la información solicitada.</w:t>
      </w:r>
    </w:p>
    <w:p w:rsidR="00F6563B" w:rsidRDefault="00F6563B" w:rsidP="00F6563B">
      <w:pPr>
        <w:shd w:val="clear" w:color="auto" w:fill="FFFFFF"/>
        <w:spacing w:after="0" w:line="360" w:lineRule="auto"/>
        <w:contextualSpacing/>
        <w:jc w:val="both"/>
        <w:rPr>
          <w:rFonts w:ascii="Palatino Linotype" w:eastAsia="Palatino Linotype" w:hAnsi="Palatino Linotype" w:cs="Palatino Linotype"/>
          <w:sz w:val="24"/>
          <w:szCs w:val="24"/>
        </w:rPr>
      </w:pPr>
    </w:p>
    <w:p w:rsidR="005E1F29" w:rsidRDefault="00F53D71" w:rsidP="00F6563B">
      <w:pPr>
        <w:pBdr>
          <w:top w:val="nil"/>
          <w:left w:val="nil"/>
          <w:bottom w:val="nil"/>
          <w:right w:val="nil"/>
          <w:between w:val="nil"/>
        </w:pBdr>
        <w:spacing w:before="240" w:after="240" w:line="360" w:lineRule="auto"/>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rsidR="005E1F29" w:rsidRDefault="00F53D71">
      <w:pPr>
        <w:pBdr>
          <w:top w:val="nil"/>
          <w:left w:val="nil"/>
          <w:bottom w:val="nil"/>
          <w:right w:val="nil"/>
          <w:between w:val="nil"/>
        </w:pBdr>
        <w:spacing w:before="240" w:after="240" w:line="360" w:lineRule="auto"/>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 E S U E L V E:</w:t>
      </w:r>
    </w:p>
    <w:p w:rsidR="005E1F29" w:rsidRDefault="00F53D71" w:rsidP="00243A91">
      <w:pPr>
        <w:spacing w:before="240" w:after="240" w:line="360" w:lineRule="auto"/>
        <w:contextualSpacing/>
        <w:jc w:val="both"/>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lastRenderedPageBreak/>
        <w:t xml:space="preserve">PRIMERO. </w:t>
      </w:r>
      <w:r>
        <w:rPr>
          <w:rFonts w:ascii="Palatino Linotype" w:eastAsia="Palatino Linotype" w:hAnsi="Palatino Linotype" w:cs="Palatino Linotype"/>
          <w:sz w:val="24"/>
          <w:szCs w:val="24"/>
        </w:rPr>
        <w:t>Resultan</w:t>
      </w:r>
      <w:r>
        <w:rPr>
          <w:rFonts w:ascii="Palatino Linotype" w:eastAsia="Palatino Linotype" w:hAnsi="Palatino Linotype" w:cs="Palatino Linotype"/>
          <w:b/>
          <w:sz w:val="24"/>
          <w:szCs w:val="24"/>
        </w:rPr>
        <w:t xml:space="preserve"> fundados</w:t>
      </w:r>
      <w:r>
        <w:rPr>
          <w:rFonts w:ascii="Palatino Linotype" w:eastAsia="Palatino Linotype" w:hAnsi="Palatino Linotype" w:cs="Palatino Linotype"/>
          <w:sz w:val="24"/>
          <w:szCs w:val="24"/>
        </w:rPr>
        <w:t xml:space="preserve"> los motivos de inconformidad hechos valer por la parte </w:t>
      </w:r>
      <w:r>
        <w:rPr>
          <w:rFonts w:ascii="Palatino Linotype" w:eastAsia="Palatino Linotype" w:hAnsi="Palatino Linotype" w:cs="Palatino Linotype"/>
          <w:b/>
          <w:sz w:val="24"/>
          <w:szCs w:val="24"/>
        </w:rPr>
        <w:t xml:space="preserve">RECURRENTE </w:t>
      </w:r>
      <w:r>
        <w:rPr>
          <w:rFonts w:ascii="Palatino Linotype" w:eastAsia="Palatino Linotype" w:hAnsi="Palatino Linotype" w:cs="Palatino Linotype"/>
          <w:sz w:val="24"/>
          <w:szCs w:val="24"/>
        </w:rPr>
        <w:t xml:space="preserve">en el recurso de revisión </w:t>
      </w:r>
      <w:r>
        <w:rPr>
          <w:rFonts w:ascii="Palatino Linotype" w:eastAsia="Palatino Linotype" w:hAnsi="Palatino Linotype" w:cs="Palatino Linotype"/>
          <w:b/>
          <w:sz w:val="24"/>
          <w:szCs w:val="24"/>
        </w:rPr>
        <w:t xml:space="preserve">03894/INFOEM/IP/RR/2022, </w:t>
      </w:r>
      <w:r>
        <w:rPr>
          <w:rFonts w:ascii="Palatino Linotype" w:eastAsia="Palatino Linotype" w:hAnsi="Palatino Linotype" w:cs="Palatino Linotype"/>
          <w:sz w:val="24"/>
          <w:szCs w:val="24"/>
        </w:rPr>
        <w:t xml:space="preserve">por lo que, en términos del Considerando </w:t>
      </w:r>
      <w:r>
        <w:rPr>
          <w:rFonts w:ascii="Palatino Linotype" w:eastAsia="Palatino Linotype" w:hAnsi="Palatino Linotype" w:cs="Palatino Linotype"/>
          <w:b/>
          <w:sz w:val="24"/>
          <w:szCs w:val="24"/>
        </w:rPr>
        <w:t xml:space="preserve">Cuarto </w:t>
      </w:r>
      <w:r>
        <w:rPr>
          <w:rFonts w:ascii="Palatino Linotype" w:eastAsia="Palatino Linotype" w:hAnsi="Palatino Linotype" w:cs="Palatino Linotype"/>
          <w:sz w:val="24"/>
          <w:szCs w:val="24"/>
        </w:rPr>
        <w:t>de la presente resolución, se</w:t>
      </w:r>
      <w:r>
        <w:rPr>
          <w:rFonts w:ascii="Palatino Linotype" w:eastAsia="Palatino Linotype" w:hAnsi="Palatino Linotype" w:cs="Palatino Linotype"/>
          <w:b/>
          <w:sz w:val="24"/>
          <w:szCs w:val="24"/>
        </w:rPr>
        <w:t xml:space="preserve"> REVOCA </w:t>
      </w:r>
      <w:r>
        <w:rPr>
          <w:rFonts w:ascii="Palatino Linotype" w:eastAsia="Palatino Linotype" w:hAnsi="Palatino Linotype" w:cs="Palatino Linotype"/>
          <w:sz w:val="24"/>
          <w:szCs w:val="24"/>
        </w:rPr>
        <w:t>la respuesta</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del </w:t>
      </w:r>
      <w:r>
        <w:rPr>
          <w:rFonts w:ascii="Palatino Linotype" w:eastAsia="Palatino Linotype" w:hAnsi="Palatino Linotype" w:cs="Palatino Linotype"/>
          <w:b/>
          <w:sz w:val="24"/>
          <w:szCs w:val="24"/>
        </w:rPr>
        <w:t>SUJETO OBLIGADO.</w:t>
      </w:r>
    </w:p>
    <w:p w:rsidR="00243A91" w:rsidRDefault="00243A91" w:rsidP="00243A91">
      <w:pPr>
        <w:spacing w:line="360" w:lineRule="auto"/>
        <w:ind w:right="49"/>
        <w:contextualSpacing/>
        <w:jc w:val="both"/>
        <w:rPr>
          <w:rFonts w:ascii="Palatino Linotype" w:eastAsia="Palatino Linotype" w:hAnsi="Palatino Linotype" w:cs="Palatino Linotype"/>
          <w:b/>
          <w:sz w:val="24"/>
          <w:szCs w:val="24"/>
        </w:rPr>
      </w:pPr>
    </w:p>
    <w:p w:rsidR="005E1F29" w:rsidRDefault="00F53D71" w:rsidP="00243A91">
      <w:pPr>
        <w:spacing w:line="360" w:lineRule="auto"/>
        <w:ind w:right="49"/>
        <w:contextualSpacing/>
        <w:jc w:val="both"/>
        <w:rPr>
          <w:rFonts w:ascii="Palatino Linotype" w:eastAsia="Palatino Linotype" w:hAnsi="Palatino Linotype" w:cs="Palatino Linotype"/>
        </w:rPr>
      </w:pPr>
      <w:r>
        <w:rPr>
          <w:rFonts w:ascii="Palatino Linotype" w:eastAsia="Palatino Linotype" w:hAnsi="Palatino Linotype" w:cs="Palatino Linotype"/>
          <w:b/>
          <w:sz w:val="24"/>
          <w:szCs w:val="24"/>
        </w:rPr>
        <w:t xml:space="preserve">SEGUNDO. </w:t>
      </w:r>
      <w:r>
        <w:rPr>
          <w:rFonts w:ascii="Palatino Linotype" w:eastAsia="Palatino Linotype" w:hAnsi="Palatino Linotype" w:cs="Palatino Linotype"/>
          <w:sz w:val="24"/>
          <w:szCs w:val="24"/>
        </w:rPr>
        <w:t xml:space="preserve">Se </w:t>
      </w:r>
      <w:r>
        <w:rPr>
          <w:rFonts w:ascii="Palatino Linotype" w:eastAsia="Palatino Linotype" w:hAnsi="Palatino Linotype" w:cs="Palatino Linotype"/>
          <w:b/>
          <w:sz w:val="24"/>
          <w:szCs w:val="24"/>
        </w:rPr>
        <w:t>Ordena</w:t>
      </w:r>
      <w:r>
        <w:rPr>
          <w:rFonts w:ascii="Palatino Linotype" w:eastAsia="Palatino Linotype" w:hAnsi="Palatino Linotype" w:cs="Palatino Linotype"/>
          <w:sz w:val="24"/>
          <w:szCs w:val="24"/>
        </w:rPr>
        <w:t xml:space="preserve"> al </w:t>
      </w:r>
      <w:r>
        <w:rPr>
          <w:rFonts w:ascii="Palatino Linotype" w:eastAsia="Palatino Linotype" w:hAnsi="Palatino Linotype" w:cs="Palatino Linotype"/>
          <w:b/>
          <w:sz w:val="24"/>
          <w:szCs w:val="24"/>
        </w:rPr>
        <w:t>SUJETO OBLIGADO</w:t>
      </w:r>
      <w:r w:rsidR="00F6563B">
        <w:rPr>
          <w:rFonts w:ascii="Palatino Linotype" w:eastAsia="Palatino Linotype" w:hAnsi="Palatino Linotype" w:cs="Palatino Linotype"/>
          <w:sz w:val="24"/>
          <w:szCs w:val="24"/>
        </w:rPr>
        <w:t xml:space="preserve">, en términos del </w:t>
      </w:r>
      <w:r>
        <w:rPr>
          <w:rFonts w:ascii="Palatino Linotype" w:eastAsia="Palatino Linotype" w:hAnsi="Palatino Linotype" w:cs="Palatino Linotype"/>
          <w:sz w:val="24"/>
          <w:szCs w:val="24"/>
        </w:rPr>
        <w:t xml:space="preserve">Considerando </w:t>
      </w:r>
      <w:r>
        <w:rPr>
          <w:rFonts w:ascii="Palatino Linotype" w:eastAsia="Palatino Linotype" w:hAnsi="Palatino Linotype" w:cs="Palatino Linotype"/>
          <w:b/>
          <w:sz w:val="24"/>
          <w:szCs w:val="24"/>
        </w:rPr>
        <w:t xml:space="preserve">Cuarto </w:t>
      </w:r>
      <w:r>
        <w:rPr>
          <w:rFonts w:ascii="Palatino Linotype" w:eastAsia="Palatino Linotype" w:hAnsi="Palatino Linotype" w:cs="Palatino Linotype"/>
          <w:sz w:val="24"/>
          <w:szCs w:val="24"/>
        </w:rPr>
        <w:t>de esta resolución, haga entrega,</w:t>
      </w:r>
      <w:r w:rsidR="00F6563B">
        <w:rPr>
          <w:rFonts w:ascii="Palatino Linotype" w:eastAsia="Palatino Linotype" w:hAnsi="Palatino Linotype" w:cs="Palatino Linotype"/>
          <w:sz w:val="24"/>
          <w:szCs w:val="24"/>
        </w:rPr>
        <w:t xml:space="preserve"> vía SAIMEX</w:t>
      </w:r>
      <w:r>
        <w:rPr>
          <w:rFonts w:ascii="Palatino Linotype" w:eastAsia="Palatino Linotype" w:hAnsi="Palatino Linotype" w:cs="Palatino Linotype"/>
          <w:sz w:val="24"/>
          <w:szCs w:val="24"/>
        </w:rPr>
        <w:t>, lo siguiente</w:t>
      </w:r>
      <w:r>
        <w:rPr>
          <w:rFonts w:ascii="Palatino Linotype" w:eastAsia="Palatino Linotype" w:hAnsi="Palatino Linotype" w:cs="Palatino Linotype"/>
        </w:rPr>
        <w:t>:</w:t>
      </w:r>
    </w:p>
    <w:p w:rsidR="007A57CE" w:rsidRPr="00F6563B" w:rsidRDefault="00F6563B" w:rsidP="00243A91">
      <w:pPr>
        <w:pStyle w:val="Prrafodelista"/>
        <w:numPr>
          <w:ilvl w:val="0"/>
          <w:numId w:val="5"/>
        </w:num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color w:val="000000" w:themeColor="text1"/>
          <w:sz w:val="24"/>
          <w:szCs w:val="24"/>
        </w:rPr>
      </w:pPr>
      <w:r>
        <w:rPr>
          <w:rFonts w:ascii="Palatino Linotype" w:eastAsia="Palatino Linotype" w:hAnsi="Palatino Linotype" w:cs="Palatino Linotype"/>
          <w:color w:val="000000" w:themeColor="text1"/>
          <w:sz w:val="24"/>
          <w:szCs w:val="24"/>
        </w:rPr>
        <w:t>Documento en el que conste el p</w:t>
      </w:r>
      <w:r w:rsidR="007A57CE" w:rsidRPr="00F6563B">
        <w:rPr>
          <w:rFonts w:ascii="Palatino Linotype" w:eastAsia="Palatino Linotype" w:hAnsi="Palatino Linotype" w:cs="Palatino Linotype"/>
          <w:color w:val="000000" w:themeColor="text1"/>
          <w:sz w:val="24"/>
          <w:szCs w:val="24"/>
        </w:rPr>
        <w:t xml:space="preserve">resupuesto de ingresos </w:t>
      </w:r>
      <w:r w:rsidR="00CF668F" w:rsidRPr="00F6563B">
        <w:rPr>
          <w:rFonts w:ascii="Palatino Linotype" w:eastAsia="Palatino Linotype" w:hAnsi="Palatino Linotype" w:cs="Palatino Linotype"/>
          <w:color w:val="000000" w:themeColor="text1"/>
          <w:sz w:val="24"/>
          <w:szCs w:val="24"/>
        </w:rPr>
        <w:t xml:space="preserve">aprobado para el ejercicio fiscal dos mil veintidós por el Ayuntamiento de Chiautla. </w:t>
      </w:r>
    </w:p>
    <w:p w:rsidR="00243A91" w:rsidRDefault="00243A91" w:rsidP="00243A91">
      <w:pPr>
        <w:spacing w:before="240" w:after="240" w:line="360" w:lineRule="auto"/>
        <w:contextualSpacing/>
        <w:jc w:val="both"/>
        <w:rPr>
          <w:rFonts w:ascii="Palatino Linotype" w:eastAsia="Palatino Linotype" w:hAnsi="Palatino Linotype" w:cs="Palatino Linotype"/>
          <w:b/>
          <w:sz w:val="24"/>
          <w:szCs w:val="24"/>
        </w:rPr>
      </w:pPr>
    </w:p>
    <w:p w:rsidR="005E1F29" w:rsidRDefault="00F53D71" w:rsidP="00243A91">
      <w:pPr>
        <w:spacing w:before="240" w:after="240" w:line="360" w:lineRule="auto"/>
        <w:contextualSpacing/>
        <w:jc w:val="both"/>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TERCERO. Notifíquese, </w:t>
      </w:r>
      <w:r>
        <w:rPr>
          <w:rFonts w:ascii="Palatino Linotype" w:eastAsia="Palatino Linotype" w:hAnsi="Palatino Linotype" w:cs="Palatino Linotype"/>
          <w:sz w:val="24"/>
          <w:szCs w:val="24"/>
        </w:rPr>
        <w:t>vía</w:t>
      </w:r>
      <w:r>
        <w:rPr>
          <w:rFonts w:ascii="Palatino Linotype" w:eastAsia="Palatino Linotype" w:hAnsi="Palatino Linotype" w:cs="Palatino Linotype"/>
          <w:b/>
          <w:sz w:val="24"/>
          <w:szCs w:val="24"/>
        </w:rPr>
        <w:t xml:space="preserve"> SAIMEX, </w:t>
      </w:r>
      <w:r>
        <w:rPr>
          <w:rFonts w:ascii="Palatino Linotype" w:eastAsia="Palatino Linotype" w:hAnsi="Palatino Linotype" w:cs="Palatino Linotype"/>
          <w:sz w:val="24"/>
          <w:szCs w:val="24"/>
        </w:rPr>
        <w:t xml:space="preserve">al Responsable de la Unidad de Transparencia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la presente resolución, para que conforme a los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misma</w:t>
      </w:r>
      <w:r>
        <w:rPr>
          <w:rFonts w:ascii="Palatino Linotype" w:eastAsia="Palatino Linotype" w:hAnsi="Palatino Linotype" w:cs="Palatino Linotype"/>
          <w:b/>
          <w:sz w:val="24"/>
          <w:szCs w:val="24"/>
        </w:rPr>
        <w:t>.</w:t>
      </w:r>
    </w:p>
    <w:p w:rsidR="00243A91" w:rsidRDefault="00243A91" w:rsidP="00243A91">
      <w:pPr>
        <w:spacing w:before="240" w:after="240" w:line="360" w:lineRule="auto"/>
        <w:contextualSpacing/>
        <w:jc w:val="both"/>
        <w:rPr>
          <w:rFonts w:ascii="Palatino Linotype" w:eastAsia="Palatino Linotype" w:hAnsi="Palatino Linotype" w:cs="Palatino Linotype"/>
          <w:b/>
          <w:sz w:val="24"/>
          <w:szCs w:val="24"/>
        </w:rPr>
      </w:pPr>
    </w:p>
    <w:p w:rsidR="005E1F29" w:rsidRDefault="00F53D71">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 conformidad con el artículo 198 de la Ley de Transparencia y Acceso a la Información Pública del Estado de México y Municipios, de considerarlo procedente,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de manera fundada y motivada, podrá solicitar una ampliación de plazo para el cumplimiento de la presente resolución.</w:t>
      </w:r>
    </w:p>
    <w:p w:rsidR="005E1F29" w:rsidRDefault="00F53D71" w:rsidP="00243A91">
      <w:pPr>
        <w:spacing w:before="240" w:after="240" w:line="360" w:lineRule="auto"/>
        <w:contextualSpacing/>
        <w:jc w:val="both"/>
        <w:rPr>
          <w:rFonts w:ascii="Palatino Linotype" w:eastAsia="Palatino Linotype" w:hAnsi="Palatino Linotype" w:cs="Palatino Linotype"/>
          <w:sz w:val="24"/>
          <w:szCs w:val="24"/>
        </w:rPr>
      </w:pPr>
      <w:bookmarkStart w:id="2" w:name="_heading=h.4d34og8" w:colFirst="0" w:colLast="0"/>
      <w:bookmarkEnd w:id="2"/>
      <w:r>
        <w:rPr>
          <w:rFonts w:ascii="Palatino Linotype" w:eastAsia="Palatino Linotype" w:hAnsi="Palatino Linotype" w:cs="Palatino Linotype"/>
          <w:b/>
          <w:sz w:val="24"/>
          <w:szCs w:val="24"/>
        </w:rPr>
        <w:lastRenderedPageBreak/>
        <w:t xml:space="preserve">CUARTO.  Notifíquese, </w:t>
      </w:r>
      <w:r>
        <w:rPr>
          <w:rFonts w:ascii="Palatino Linotype" w:eastAsia="Palatino Linotype" w:hAnsi="Palatino Linotype" w:cs="Palatino Linotype"/>
          <w:sz w:val="24"/>
          <w:szCs w:val="24"/>
        </w:rPr>
        <w:t xml:space="preserve">vía </w:t>
      </w:r>
      <w:r>
        <w:rPr>
          <w:rFonts w:ascii="Palatino Linotype" w:eastAsia="Palatino Linotype" w:hAnsi="Palatino Linotype" w:cs="Palatino Linotype"/>
          <w:b/>
          <w:sz w:val="24"/>
          <w:szCs w:val="24"/>
        </w:rPr>
        <w:t>SAIMEX</w:t>
      </w:r>
      <w:r>
        <w:rPr>
          <w:rFonts w:ascii="Palatino Linotype" w:eastAsia="Palatino Linotype" w:hAnsi="Palatino Linotype" w:cs="Palatino Linotype"/>
          <w:sz w:val="24"/>
          <w:szCs w:val="24"/>
        </w:rPr>
        <w:t xml:space="preserve">, a la parte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243A91" w:rsidRDefault="00243A91" w:rsidP="00243A91">
      <w:pPr>
        <w:spacing w:line="360" w:lineRule="auto"/>
        <w:contextualSpacing/>
        <w:jc w:val="both"/>
        <w:rPr>
          <w:rFonts w:ascii="Palatino Linotype" w:eastAsia="Palatino Linotype" w:hAnsi="Palatino Linotype" w:cs="Palatino Linotype"/>
          <w:sz w:val="24"/>
          <w:szCs w:val="24"/>
        </w:rPr>
      </w:pPr>
    </w:p>
    <w:p w:rsidR="005E1F29" w:rsidRDefault="00F53D71" w:rsidP="00243A91">
      <w:pPr>
        <w:spacing w:line="360" w:lineRule="auto"/>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VIGÉSIMO QUINTA SESIÓN ORDINARIA CELEBRADA EL SEIS DE JULIO DE DOS MIL VEINTIDÓS, ANTE EL SECRETARIO TÉCNICO DEL PLENO ALEXIS TAPIA RAMÍREZ.</w:t>
      </w:r>
    </w:p>
    <w:p w:rsidR="005E1F29" w:rsidRDefault="005E1F29">
      <w:pPr>
        <w:spacing w:line="360" w:lineRule="auto"/>
        <w:ind w:right="900"/>
        <w:jc w:val="both"/>
        <w:rPr>
          <w:rFonts w:ascii="Palatino Linotype" w:eastAsia="Palatino Linotype" w:hAnsi="Palatino Linotype" w:cs="Palatino Linotype"/>
          <w:sz w:val="24"/>
          <w:szCs w:val="24"/>
        </w:rPr>
      </w:pPr>
    </w:p>
    <w:sectPr w:rsidR="005E1F29">
      <w:headerReference w:type="default" r:id="rId15"/>
      <w:footerReference w:type="default" r:id="rId16"/>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64FA" w:rsidRDefault="000464FA">
      <w:pPr>
        <w:spacing w:after="0" w:line="240" w:lineRule="auto"/>
      </w:pPr>
      <w:r>
        <w:separator/>
      </w:r>
    </w:p>
  </w:endnote>
  <w:endnote w:type="continuationSeparator" w:id="0">
    <w:p w:rsidR="000464FA" w:rsidRDefault="000464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F29" w:rsidRDefault="00F53D71">
    <w:pPr>
      <w:pBdr>
        <w:top w:val="nil"/>
        <w:left w:val="nil"/>
        <w:bottom w:val="nil"/>
        <w:right w:val="nil"/>
        <w:between w:val="nil"/>
      </w:pBdr>
      <w:tabs>
        <w:tab w:val="center" w:pos="4419"/>
        <w:tab w:val="right" w:pos="8838"/>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243A91">
      <w:rPr>
        <w:rFonts w:ascii="Arial" w:eastAsia="Arial" w:hAnsi="Arial" w:cs="Arial"/>
        <w:b/>
        <w:noProof/>
        <w:color w:val="000000"/>
        <w:sz w:val="20"/>
        <w:szCs w:val="20"/>
      </w:rPr>
      <w:t>25</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243A91">
      <w:rPr>
        <w:rFonts w:ascii="Arial" w:eastAsia="Arial" w:hAnsi="Arial" w:cs="Arial"/>
        <w:b/>
        <w:noProof/>
        <w:color w:val="000000"/>
        <w:sz w:val="20"/>
        <w:szCs w:val="20"/>
      </w:rPr>
      <w:t>27</w:t>
    </w:r>
    <w:r>
      <w:rPr>
        <w:rFonts w:ascii="Arial" w:eastAsia="Arial" w:hAnsi="Arial" w:cs="Arial"/>
        <w:b/>
        <w:color w:val="000000"/>
        <w:sz w:val="20"/>
        <w:szCs w:val="20"/>
      </w:rPr>
      <w:fldChar w:fldCharType="end"/>
    </w:r>
  </w:p>
  <w:p w:rsidR="005E1F29" w:rsidRDefault="005E1F29">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64FA" w:rsidRDefault="000464FA">
      <w:pPr>
        <w:spacing w:after="0" w:line="240" w:lineRule="auto"/>
      </w:pPr>
      <w:r>
        <w:separator/>
      </w:r>
    </w:p>
  </w:footnote>
  <w:footnote w:type="continuationSeparator" w:id="0">
    <w:p w:rsidR="000464FA" w:rsidRDefault="000464FA">
      <w:pPr>
        <w:spacing w:after="0" w:line="240" w:lineRule="auto"/>
      </w:pPr>
      <w:r>
        <w:continuationSeparator/>
      </w:r>
    </w:p>
  </w:footnote>
  <w:footnote w:id="1">
    <w:p w:rsidR="005E1F29" w:rsidRDefault="00F53D71">
      <w:pPr>
        <w:jc w:val="both"/>
        <w:rPr>
          <w:rFonts w:ascii="Palatino Linotype" w:eastAsia="Palatino Linotype" w:hAnsi="Palatino Linotype" w:cs="Palatino Linotype"/>
          <w:i/>
          <w:sz w:val="16"/>
          <w:szCs w:val="16"/>
        </w:rPr>
      </w:pPr>
      <w:r>
        <w:rPr>
          <w:vertAlign w:val="superscript"/>
        </w:rPr>
        <w:footnoteRef/>
      </w:r>
      <w:r>
        <w:rPr>
          <w:rFonts w:ascii="Palatino Linotype" w:eastAsia="Palatino Linotype" w:hAnsi="Palatino Linotype" w:cs="Palatino Linotype"/>
          <w:i/>
          <w:sz w:val="16"/>
          <w:szCs w:val="16"/>
        </w:rPr>
        <w:t xml:space="preserve"> “Artículo 24. Para el cumplimiento de los objetivos de esta Ley, los sujetos obligados deberán cumplir con las siguientes obligaciones, según corresponda, de acuerdo a su naturaleza:</w:t>
      </w:r>
    </w:p>
    <w:p w:rsidR="005E1F29" w:rsidRDefault="00F53D71">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w:t>
      </w:r>
    </w:p>
    <w:p w:rsidR="005E1F29" w:rsidRDefault="00F53D71">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Los sujetos obligados solo proporcionarán la información pública que generen, administren o posean en el ejercicio de sus atribuciones.”(Sic)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F29" w:rsidRDefault="005E1F29">
    <w:pPr>
      <w:widowControl w:val="0"/>
      <w:pBdr>
        <w:top w:val="nil"/>
        <w:left w:val="nil"/>
        <w:bottom w:val="nil"/>
        <w:right w:val="nil"/>
        <w:between w:val="nil"/>
      </w:pBdr>
      <w:spacing w:after="0" w:line="276" w:lineRule="auto"/>
      <w:rPr>
        <w:rFonts w:ascii="Palatino Linotype" w:eastAsia="Palatino Linotype" w:hAnsi="Palatino Linotype" w:cs="Palatino Linotype"/>
        <w:i/>
        <w:sz w:val="16"/>
        <w:szCs w:val="16"/>
      </w:rPr>
    </w:pPr>
  </w:p>
  <w:tbl>
    <w:tblPr>
      <w:tblStyle w:val="a0"/>
      <w:tblW w:w="10346" w:type="dxa"/>
      <w:tblInd w:w="-1303" w:type="dxa"/>
      <w:tblLayout w:type="fixed"/>
      <w:tblLook w:val="0400" w:firstRow="0" w:lastRow="0" w:firstColumn="0" w:lastColumn="0" w:noHBand="0" w:noVBand="1"/>
    </w:tblPr>
    <w:tblGrid>
      <w:gridCol w:w="5684"/>
      <w:gridCol w:w="4662"/>
    </w:tblGrid>
    <w:tr w:rsidR="005E1F29">
      <w:trPr>
        <w:trHeight w:val="244"/>
      </w:trPr>
      <w:tc>
        <w:tcPr>
          <w:tcW w:w="5684" w:type="dxa"/>
        </w:tcPr>
        <w:p w:rsidR="005E1F29" w:rsidRDefault="00F53D71">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662" w:type="dxa"/>
        </w:tcPr>
        <w:p w:rsidR="005E1F29" w:rsidRDefault="00F53D71">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03894/INFOEM/IP/RR/2022</w:t>
          </w:r>
        </w:p>
      </w:tc>
    </w:tr>
    <w:tr w:rsidR="005E1F29">
      <w:trPr>
        <w:trHeight w:val="210"/>
      </w:trPr>
      <w:tc>
        <w:tcPr>
          <w:tcW w:w="5684" w:type="dxa"/>
        </w:tcPr>
        <w:p w:rsidR="005E1F29" w:rsidRDefault="00F53D71">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62" w:type="dxa"/>
        </w:tcPr>
        <w:p w:rsidR="005E1F29" w:rsidRDefault="005E1F29">
          <w:pPr>
            <w:spacing w:after="120"/>
            <w:ind w:left="-486" w:right="214" w:firstLine="567"/>
            <w:jc w:val="right"/>
            <w:rPr>
              <w:rFonts w:ascii="Palatino Linotype" w:eastAsia="Palatino Linotype" w:hAnsi="Palatino Linotype" w:cs="Palatino Linotype"/>
              <w:sz w:val="24"/>
              <w:szCs w:val="24"/>
            </w:rPr>
          </w:pPr>
        </w:p>
      </w:tc>
    </w:tr>
    <w:tr w:rsidR="005E1F29">
      <w:trPr>
        <w:trHeight w:val="261"/>
      </w:trPr>
      <w:tc>
        <w:tcPr>
          <w:tcW w:w="5684" w:type="dxa"/>
        </w:tcPr>
        <w:p w:rsidR="005E1F29" w:rsidRDefault="00F53D71">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62" w:type="dxa"/>
        </w:tcPr>
        <w:p w:rsidR="005E1F29" w:rsidRDefault="00F53D71">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Ayuntamiento de Chiautla</w:t>
          </w:r>
        </w:p>
      </w:tc>
    </w:tr>
    <w:tr w:rsidR="005E1F29">
      <w:trPr>
        <w:trHeight w:val="368"/>
      </w:trPr>
      <w:tc>
        <w:tcPr>
          <w:tcW w:w="5684" w:type="dxa"/>
        </w:tcPr>
        <w:p w:rsidR="005E1F29" w:rsidRDefault="00F53D71">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62" w:type="dxa"/>
        </w:tcPr>
        <w:p w:rsidR="005E1F29" w:rsidRDefault="00F53D71">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rsidR="005E1F29" w:rsidRDefault="00F53D71">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simplePos x="0" y="0"/>
          <wp:positionH relativeFrom="column">
            <wp:posOffset>-760094</wp:posOffset>
          </wp:positionH>
          <wp:positionV relativeFrom="paragraph">
            <wp:posOffset>-1521459</wp:posOffset>
          </wp:positionV>
          <wp:extent cx="7753350" cy="9942731"/>
          <wp:effectExtent l="0" t="0" r="0" b="0"/>
          <wp:wrapNone/>
          <wp:docPr id="2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753350" cy="9942731"/>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4CA57C5"/>
    <w:multiLevelType w:val="multilevel"/>
    <w:tmpl w:val="E8D0F6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BFA38A3"/>
    <w:multiLevelType w:val="hybridMultilevel"/>
    <w:tmpl w:val="B966F37E"/>
    <w:lvl w:ilvl="0" w:tplc="76A4E722">
      <w:start w:val="1"/>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A3153A9"/>
    <w:multiLevelType w:val="multilevel"/>
    <w:tmpl w:val="768EB680"/>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7D6027FB"/>
    <w:multiLevelType w:val="multilevel"/>
    <w:tmpl w:val="187CD316"/>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0"/>
  </w:num>
  <w:num w:numId="2">
    <w:abstractNumId w:val="3"/>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1F29"/>
    <w:rsid w:val="000464FA"/>
    <w:rsid w:val="00243A91"/>
    <w:rsid w:val="005E1F29"/>
    <w:rsid w:val="007A57CE"/>
    <w:rsid w:val="00A32806"/>
    <w:rsid w:val="00CF668F"/>
    <w:rsid w:val="00F53D71"/>
    <w:rsid w:val="00F656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3889AA-1506-466B-82AF-302470C99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11FB"/>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A011F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011FB"/>
  </w:style>
  <w:style w:type="paragraph" w:styleId="Piedepgina">
    <w:name w:val="footer"/>
    <w:basedOn w:val="Normal"/>
    <w:link w:val="PiedepginaCar"/>
    <w:uiPriority w:val="99"/>
    <w:unhideWhenUsed/>
    <w:rsid w:val="00A011F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011FB"/>
  </w:style>
  <w:style w:type="character" w:styleId="Hipervnculo">
    <w:name w:val="Hyperlink"/>
    <w:basedOn w:val="Fuentedeprrafopredeter"/>
    <w:uiPriority w:val="99"/>
    <w:unhideWhenUsed/>
    <w:rsid w:val="00A011FB"/>
    <w:rPr>
      <w:color w:val="0000FF"/>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4B26EF"/>
    <w:pPr>
      <w:ind w:left="720"/>
      <w:contextualSpacing/>
    </w:pPr>
    <w:rPr>
      <w:rFonts w:asciiTheme="minorHAnsi" w:eastAsiaTheme="minorHAnsi" w:hAnsiTheme="minorHAnsi" w:cstheme="minorBidi"/>
      <w:lang w:eastAsia="en-U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4B26EF"/>
  </w:style>
  <w:style w:type="paragraph" w:styleId="Listaconvietas3">
    <w:name w:val="List Bullet 3"/>
    <w:basedOn w:val="Normal"/>
    <w:uiPriority w:val="99"/>
    <w:unhideWhenUsed/>
    <w:rsid w:val="004B26EF"/>
    <w:pPr>
      <w:numPr>
        <w:numId w:val="3"/>
      </w:numPr>
      <w:spacing w:after="0" w:line="240" w:lineRule="auto"/>
      <w:contextualSpacing/>
    </w:pPr>
    <w:rPr>
      <w:rFonts w:ascii="Times New Roman" w:eastAsia="Times New Roman" w:hAnsi="Times New Roman" w:cs="Times New Roman"/>
      <w:sz w:val="24"/>
      <w:szCs w:val="24"/>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d15hZ+tB7U7CxkFZi3XAYGyv7xA==">AMUW2mV2M2K0uGVyOSh7Fw1bDDNU63Je9DKIZTI6H0/cUcndGfHrM9yOOJjSlzUsIBihjUN1cgco/1QCoVAkEK/t77J+FL31ImVbdv5dKKbRiR7+xP9Dc6Uz9VPtwbYSYITGWC1mWXZx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27</Pages>
  <Words>5102</Words>
  <Characters>28066</Characters>
  <Application>Microsoft Office Word</Application>
  <DocSecurity>0</DocSecurity>
  <Lines>233</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3</cp:revision>
  <dcterms:created xsi:type="dcterms:W3CDTF">2022-06-29T23:43:00Z</dcterms:created>
  <dcterms:modified xsi:type="dcterms:W3CDTF">2022-06-30T00:19:00Z</dcterms:modified>
</cp:coreProperties>
</file>