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17A95FA7"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a </w:t>
      </w:r>
      <w:r w:rsidR="008F6209" w:rsidRPr="004D5640">
        <w:rPr>
          <w:rFonts w:ascii="Palatino Linotype" w:eastAsia="Times New Roman" w:hAnsi="Palatino Linotype" w:cs="Arial"/>
          <w:color w:val="000000"/>
          <w:sz w:val="24"/>
          <w:szCs w:val="24"/>
          <w:lang w:eastAsia="es-MX"/>
        </w:rPr>
        <w:t>cuatro de mayo de dos mil veintidós.</w:t>
      </w:r>
      <w:r w:rsidR="008F6209">
        <w:rPr>
          <w:rFonts w:ascii="Palatino Linotype" w:eastAsia="Times New Roman" w:hAnsi="Palatino Linotype" w:cs="Arial"/>
          <w:color w:val="000000"/>
          <w:sz w:val="24"/>
          <w:szCs w:val="24"/>
          <w:lang w:eastAsia="es-MX"/>
        </w:rPr>
        <w:t xml:space="preserve"> </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3AF34D8" w14:textId="15EBDFFB" w:rsidR="00210596" w:rsidRPr="007F67C9" w:rsidRDefault="006D5803" w:rsidP="0021059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B70741">
        <w:rPr>
          <w:rFonts w:ascii="Palatino Linotype" w:hAnsi="Palatino Linotype" w:cs="Arial"/>
          <w:b/>
          <w:sz w:val="24"/>
        </w:rPr>
        <w:t>0</w:t>
      </w:r>
      <w:r w:rsidR="008F6209">
        <w:rPr>
          <w:rFonts w:ascii="Palatino Linotype" w:hAnsi="Palatino Linotype" w:cs="Arial"/>
          <w:b/>
          <w:sz w:val="24"/>
        </w:rPr>
        <w:t>245</w:t>
      </w:r>
      <w:r w:rsidR="00794D06">
        <w:rPr>
          <w:rFonts w:ascii="Palatino Linotype" w:hAnsi="Palatino Linotype" w:cs="Arial"/>
          <w:b/>
          <w:sz w:val="24"/>
        </w:rPr>
        <w:t>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98057B">
        <w:rPr>
          <w:rFonts w:ascii="Palatino Linotype" w:hAnsi="Palatino Linotype" w:cs="Arial"/>
          <w:sz w:val="24"/>
        </w:rPr>
        <w:t xml:space="preserve">el </w:t>
      </w:r>
      <w:proofErr w:type="spellStart"/>
      <w:r w:rsidR="0051653C">
        <w:rPr>
          <w:rFonts w:ascii="Palatino Linotype" w:hAnsi="Palatino Linotype" w:cs="Arial"/>
          <w:b/>
          <w:sz w:val="24"/>
        </w:rPr>
        <w:t>xxx</w:t>
      </w:r>
      <w:proofErr w:type="spellEnd"/>
      <w:r w:rsidR="0051653C">
        <w:rPr>
          <w:rFonts w:ascii="Palatino Linotype" w:hAnsi="Palatino Linotype" w:cs="Arial"/>
          <w:b/>
          <w:sz w:val="24"/>
        </w:rPr>
        <w:t xml:space="preserve"> </w:t>
      </w:r>
      <w:proofErr w:type="spellStart"/>
      <w:r w:rsidR="0051653C">
        <w:rPr>
          <w:rFonts w:ascii="Palatino Linotype" w:hAnsi="Palatino Linotype" w:cs="Arial"/>
          <w:b/>
          <w:sz w:val="24"/>
        </w:rPr>
        <w:t>xxxxx</w:t>
      </w:r>
      <w:proofErr w:type="spellEnd"/>
      <w:r w:rsidR="00ED7A07">
        <w:rPr>
          <w:rFonts w:ascii="Palatino Linotype" w:hAnsi="Palatino Linotype" w:cs="Arial"/>
          <w:b/>
          <w:sz w:val="24"/>
        </w:rPr>
        <w:t xml:space="preserve">, </w:t>
      </w:r>
      <w:r w:rsidR="00210596">
        <w:rPr>
          <w:rFonts w:ascii="Palatino Linotype" w:hAnsi="Palatino Linotype" w:cs="Arial"/>
          <w:bCs/>
          <w:sz w:val="24"/>
        </w:rPr>
        <w:t xml:space="preserve">en lo sucesivo </w:t>
      </w:r>
      <w:r w:rsidR="00210596">
        <w:rPr>
          <w:rFonts w:ascii="Palatino Linotype" w:hAnsi="Palatino Linotype" w:cs="Arial"/>
          <w:b/>
          <w:sz w:val="24"/>
        </w:rPr>
        <w:t xml:space="preserve">El Recurrente, </w:t>
      </w:r>
      <w:r w:rsidR="00210596">
        <w:rPr>
          <w:rFonts w:ascii="Palatino Linotype" w:hAnsi="Palatino Linotype" w:cs="Arial"/>
          <w:sz w:val="24"/>
        </w:rPr>
        <w:t xml:space="preserve">en contra de la respuesta del </w:t>
      </w:r>
      <w:r w:rsidR="00210596">
        <w:rPr>
          <w:rFonts w:ascii="Palatino Linotype" w:hAnsi="Palatino Linotype" w:cs="Arial"/>
          <w:b/>
          <w:bCs/>
          <w:sz w:val="24"/>
        </w:rPr>
        <w:t xml:space="preserve">Ayuntamiento de Cuautitlán Izcalli, </w:t>
      </w:r>
      <w:r w:rsidR="00210596">
        <w:rPr>
          <w:rFonts w:ascii="Palatino Linotype" w:hAnsi="Palatino Linotype" w:cs="Arial"/>
          <w:sz w:val="24"/>
        </w:rPr>
        <w:t xml:space="preserve">en lo sucesivo </w:t>
      </w:r>
      <w:r w:rsidR="00210596">
        <w:rPr>
          <w:rFonts w:ascii="Palatino Linotype" w:hAnsi="Palatino Linotype" w:cs="Arial"/>
          <w:b/>
          <w:bCs/>
          <w:sz w:val="24"/>
        </w:rPr>
        <w:t xml:space="preserve">El Sujeto Obligado, </w:t>
      </w:r>
      <w:r w:rsidR="00210596">
        <w:rPr>
          <w:rFonts w:ascii="Palatino Linotype" w:hAnsi="Palatino Linotype" w:cs="Arial"/>
          <w:sz w:val="24"/>
        </w:rPr>
        <w:t xml:space="preserve">se procede a dictar la presente resolución. </w:t>
      </w:r>
    </w:p>
    <w:p w14:paraId="7691AAB1" w14:textId="77777777" w:rsidR="007F67C9" w:rsidRDefault="007F67C9" w:rsidP="00E669E6">
      <w:pPr>
        <w:tabs>
          <w:tab w:val="left" w:pos="1701"/>
        </w:tabs>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3B61914C" w14:textId="4B24A0AF" w:rsidR="00210596"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7F67C9">
        <w:rPr>
          <w:rFonts w:ascii="Palatino Linotype" w:hAnsi="Palatino Linotype" w:cs="Arial"/>
          <w:sz w:val="24"/>
        </w:rPr>
        <w:t xml:space="preserve"> </w:t>
      </w:r>
      <w:r w:rsidR="00843DF9">
        <w:rPr>
          <w:rFonts w:ascii="Palatino Linotype" w:hAnsi="Palatino Linotype" w:cs="Arial"/>
          <w:sz w:val="24"/>
        </w:rPr>
        <w:t xml:space="preserve">once de febrero de dos mil veintidós, </w:t>
      </w:r>
      <w:r w:rsidR="00F866AB">
        <w:rPr>
          <w:rFonts w:ascii="Palatino Linotype" w:hAnsi="Palatino Linotype" w:cs="Arial"/>
          <w:b/>
          <w:sz w:val="24"/>
        </w:rPr>
        <w:t xml:space="preserve">El Recurrente </w:t>
      </w:r>
      <w:r w:rsidR="00F866AB">
        <w:rPr>
          <w:rFonts w:ascii="Palatino Linotype" w:hAnsi="Palatino Linotype" w:cs="Arial"/>
          <w:sz w:val="24"/>
        </w:rPr>
        <w:t>presentó a través del Sistema de Acceso a la Información Mexiquense (</w:t>
      </w:r>
      <w:r w:rsidR="00F866AB">
        <w:rPr>
          <w:rFonts w:ascii="Palatino Linotype" w:hAnsi="Palatino Linotype" w:cs="Arial"/>
          <w:b/>
          <w:sz w:val="24"/>
        </w:rPr>
        <w:t>SAIMEX)</w:t>
      </w:r>
      <w:r w:rsidR="00F866AB">
        <w:rPr>
          <w:rFonts w:ascii="Palatino Linotype" w:hAnsi="Palatino Linotype" w:cs="Arial"/>
          <w:sz w:val="24"/>
        </w:rPr>
        <w:t xml:space="preserve"> ante </w:t>
      </w:r>
      <w:r w:rsidR="00F866AB">
        <w:rPr>
          <w:rFonts w:ascii="Palatino Linotype" w:hAnsi="Palatino Linotype" w:cs="Arial"/>
          <w:b/>
          <w:sz w:val="24"/>
        </w:rPr>
        <w:t>El Sujeto Obligado</w:t>
      </w:r>
      <w:r w:rsidR="00F866AB">
        <w:rPr>
          <w:rFonts w:ascii="Palatino Linotype" w:hAnsi="Palatino Linotype" w:cs="Arial"/>
          <w:sz w:val="24"/>
        </w:rPr>
        <w:t xml:space="preserve">, solicitud de acceso a la información pública, registrada bajo el número de expediente </w:t>
      </w:r>
      <w:r w:rsidR="00F866AB">
        <w:rPr>
          <w:rFonts w:ascii="Palatino Linotype" w:hAnsi="Palatino Linotype" w:cs="Arial"/>
          <w:b/>
          <w:bCs/>
          <w:sz w:val="24"/>
        </w:rPr>
        <w:t xml:space="preserve">00148/CUAUTIZC/IP/2022, </w:t>
      </w:r>
      <w:r w:rsidR="00F866AB">
        <w:rPr>
          <w:rFonts w:ascii="Palatino Linotype" w:hAnsi="Palatino Linotype" w:cs="Arial"/>
          <w:sz w:val="24"/>
        </w:rPr>
        <w:t>mediante la cual solicitó información en el tenor siguiente:</w:t>
      </w:r>
    </w:p>
    <w:p w14:paraId="17FF1C53" w14:textId="0040A306" w:rsidR="00F866AB" w:rsidRPr="00815794" w:rsidRDefault="00815794" w:rsidP="00815794">
      <w:pPr>
        <w:pStyle w:val="Citas"/>
        <w:rPr>
          <w:b/>
          <w:bCs/>
          <w:sz w:val="24"/>
        </w:rPr>
      </w:pPr>
      <w:r>
        <w:t xml:space="preserve">“Buen día, solicito se me informe de los montos en dinero que recibió la actual administración y el soporte documental que lo sustente, pudiendo ser los estados de cuenta bancarios de cada cuenta del Municipio de Cuautitlán Izcalli.” </w:t>
      </w:r>
      <w:r>
        <w:rPr>
          <w:b/>
          <w:bCs/>
        </w:rPr>
        <w:t>[Sic]</w:t>
      </w:r>
    </w:p>
    <w:p w14:paraId="6C718A25" w14:textId="7FCA60B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815794">
        <w:rPr>
          <w:rFonts w:ascii="Palatino Linotype" w:eastAsia="Times New Roman" w:hAnsi="Palatino Linotype" w:cs="Times New Roman"/>
          <w:sz w:val="24"/>
          <w:szCs w:val="24"/>
          <w:lang w:val="es-ES_tradnl" w:eastAsia="es-ES"/>
        </w:rPr>
        <w:t>.</w:t>
      </w:r>
    </w:p>
    <w:p w14:paraId="1E0FF5C3" w14:textId="7777777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0BD911B1" w:rsidR="00073E92" w:rsidRDefault="00FE05ED"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61D47EDA" w14:textId="515024C4" w:rsidR="007F3627"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7F3627">
        <w:rPr>
          <w:rFonts w:ascii="Palatino Linotype" w:hAnsi="Palatino Linotype" w:cs="Arial"/>
          <w:sz w:val="24"/>
          <w:szCs w:val="24"/>
        </w:rPr>
        <w:t xml:space="preserve">veinticuatro de febrero de dos mil veintidós, </w:t>
      </w:r>
      <w:r w:rsidR="007F3627">
        <w:rPr>
          <w:rFonts w:ascii="Palatino Linotype" w:hAnsi="Palatino Linotype" w:cs="Arial"/>
          <w:b/>
          <w:bCs/>
          <w:sz w:val="24"/>
          <w:szCs w:val="24"/>
        </w:rPr>
        <w:t xml:space="preserve">El Sujeto Obligado </w:t>
      </w:r>
      <w:r w:rsidR="007F3627">
        <w:rPr>
          <w:rFonts w:ascii="Palatino Linotype" w:hAnsi="Palatino Linotype" w:cs="Arial"/>
          <w:sz w:val="24"/>
          <w:szCs w:val="24"/>
        </w:rPr>
        <w:t>dio respuesta a la solicitud de información en los siguientes términos:</w:t>
      </w:r>
    </w:p>
    <w:p w14:paraId="24A1D21B" w14:textId="0CC13BAD" w:rsidR="00101097" w:rsidRDefault="00101097" w:rsidP="00101097">
      <w:pPr>
        <w:pStyle w:val="Citas"/>
      </w:pPr>
      <w:r>
        <w:t>“</w:t>
      </w:r>
      <w:r w:rsidRPr="00101097">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66136A38" w14:textId="459965E1" w:rsidR="00101097" w:rsidRPr="00101097" w:rsidRDefault="00101097" w:rsidP="00101097">
      <w:pPr>
        <w:pStyle w:val="Citas"/>
        <w:rPr>
          <w:b/>
          <w:bCs/>
        </w:rPr>
      </w:pPr>
      <w:r w:rsidRPr="00101097">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(1)Tesorería Municipal. 1.- “Reciba un cordial saludo de quien suscribe, y al mismo tiempo, en atención a la solicitud número 00148/CUAUTIZC/IP/2022, por medio de la cual se solicita se le remita vía SAIMEX la siguiente información, consistente en: </w:t>
      </w:r>
      <w:proofErr w:type="gramStart"/>
      <w:r w:rsidRPr="00101097">
        <w:t>“ Buen</w:t>
      </w:r>
      <w:proofErr w:type="gramEnd"/>
      <w:r w:rsidRPr="00101097">
        <w:t xml:space="preserve"> día, solicito se me informe de los montos en dinero que recibió la actual administración y el soporte documental que lo sustente, pudiendo ser los estados de cuenta bancarios de cada cuenta del Municipio de Cuautitlán Izcalli..” (SIC). Al respecto, con fundamento en lo previsto por los artículos 37 del Código de Procedimientos Administrativos del Estado de México, 11, 12, 23 fracción IV, 24 </w:t>
      </w:r>
      <w:r w:rsidRPr="00101097">
        <w:lastRenderedPageBreak/>
        <w:t xml:space="preserve">último párrafo y 59 fracciones I, II y III, de la Ley de Transparencia y Acceso a la Información Pública del Estado de México y Municipios, y con base en la información proporcionada por la </w:t>
      </w:r>
      <w:proofErr w:type="spellStart"/>
      <w:r w:rsidRPr="00101097">
        <w:t>Subtesorería</w:t>
      </w:r>
      <w:proofErr w:type="spellEnd"/>
      <w:r w:rsidRPr="00101097">
        <w:t xml:space="preserve"> de Contabilidad, adscrita a la Tesorería Municipal de Cuautitlán Izcalli, Estado de México, le remito lo siguiente: • “al respecto me permito informarle que los Ingresos Brutos por Participaciones fueron un monto de $72’153,966.45 menos las disminuciones correspondientes se recibieron un importe neto de $32’146,604.49.” (SIC) • Se anexa la constancia de Liquidación de Participaciones en formato PDF como soporte documental. Lo anterior con fundamento en el artículo 6° de la Constitución Política de los Estados Unidos Mexicanos; 5 de la Constitución Política del Estado Libre y Soberano de México; 12, 23 fracción IV 24 último párrafo, 25 y 186 último párrafo de la Ley de Transparencia y Acceso a la Información Pública del Estado de México y Municipios.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t xml:space="preserve">” </w:t>
      </w:r>
      <w:r>
        <w:rPr>
          <w:b/>
          <w:bCs/>
        </w:rPr>
        <w:t>[Sic}</w:t>
      </w:r>
    </w:p>
    <w:p w14:paraId="5AD4CB2F" w14:textId="5EC85B89" w:rsidR="00101097" w:rsidRPr="00E7347E" w:rsidRDefault="00101097"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sidR="00D95199">
        <w:rPr>
          <w:rFonts w:ascii="Palatino Linotype" w:hAnsi="Palatino Linotype" w:cs="Arial"/>
          <w:b/>
          <w:bCs/>
          <w:sz w:val="24"/>
          <w:szCs w:val="24"/>
        </w:rPr>
        <w:t>“</w:t>
      </w:r>
      <w:r w:rsidR="001A7FCC">
        <w:rPr>
          <w:rFonts w:ascii="Palatino Linotype" w:hAnsi="Palatino Linotype" w:cs="Arial"/>
          <w:b/>
          <w:bCs/>
          <w:sz w:val="24"/>
          <w:szCs w:val="24"/>
        </w:rPr>
        <w:t xml:space="preserve">respuesta SAIMEX 148.pdf” </w:t>
      </w:r>
      <w:r w:rsidR="001A7FCC">
        <w:rPr>
          <w:rFonts w:ascii="Palatino Linotype" w:hAnsi="Palatino Linotype" w:cs="Arial"/>
          <w:sz w:val="24"/>
          <w:szCs w:val="24"/>
        </w:rPr>
        <w:t xml:space="preserve">y </w:t>
      </w:r>
      <w:r w:rsidR="00E7347E">
        <w:rPr>
          <w:rFonts w:ascii="Palatino Linotype" w:hAnsi="Palatino Linotype" w:cs="Arial"/>
          <w:b/>
          <w:bCs/>
          <w:sz w:val="24"/>
          <w:szCs w:val="24"/>
        </w:rPr>
        <w:t xml:space="preserve">“CONSTANCIA DE LIQUIDACION DE PARTICIPACIONES.pdf” </w:t>
      </w:r>
      <w:r w:rsidR="00E7347E">
        <w:rPr>
          <w:rFonts w:ascii="Palatino Linotype" w:hAnsi="Palatino Linotype" w:cs="Arial"/>
          <w:sz w:val="24"/>
          <w:szCs w:val="24"/>
        </w:rPr>
        <w:t xml:space="preserve">cuyo contenido será materia de estudio en el considerando respectivo. </w:t>
      </w:r>
    </w:p>
    <w:p w14:paraId="460E8FDA" w14:textId="77777777" w:rsidR="00101097" w:rsidRPr="007F3627" w:rsidRDefault="00101097" w:rsidP="00073E92">
      <w:pPr>
        <w:spacing w:before="240" w:line="360" w:lineRule="auto"/>
        <w:jc w:val="both"/>
        <w:rPr>
          <w:rFonts w:ascii="Palatino Linotype" w:hAnsi="Palatino Linotype" w:cs="Arial"/>
          <w:sz w:val="24"/>
          <w:szCs w:val="24"/>
        </w:rPr>
      </w:pPr>
    </w:p>
    <w:p w14:paraId="067753A9" w14:textId="2766E2F3" w:rsidR="00073E92" w:rsidRDefault="006C27A2"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46F15C4C" w14:textId="77777777" w:rsidR="000A0E23" w:rsidRPr="008018A2" w:rsidRDefault="00073E92" w:rsidP="000A0E2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6C27A2">
        <w:rPr>
          <w:rFonts w:ascii="Palatino Linotype" w:hAnsi="Palatino Linotype" w:cs="Arial"/>
          <w:sz w:val="24"/>
          <w:szCs w:val="24"/>
        </w:rPr>
        <w:t xml:space="preserve">veintiocho de febrero de dos mil veintidós, </w:t>
      </w:r>
      <w:r w:rsidR="000A0E23">
        <w:rPr>
          <w:rFonts w:ascii="Palatino Linotype" w:hAnsi="Palatino Linotype" w:cs="Arial"/>
          <w:sz w:val="24"/>
          <w:szCs w:val="24"/>
        </w:rPr>
        <w:t xml:space="preserve">el cual fue registrado en el sistema electrónico con el expediente número </w:t>
      </w:r>
      <w:r w:rsidR="000A0E23">
        <w:rPr>
          <w:rFonts w:ascii="Palatino Linotype" w:hAnsi="Palatino Linotype" w:cs="Arial"/>
          <w:b/>
          <w:bCs/>
          <w:sz w:val="24"/>
          <w:szCs w:val="24"/>
        </w:rPr>
        <w:t xml:space="preserve">02450/INFOEM/IP/RR/2022 </w:t>
      </w:r>
      <w:r w:rsidR="000A0E23">
        <w:rPr>
          <w:rFonts w:ascii="Palatino Linotype" w:hAnsi="Palatino Linotype" w:cs="Arial"/>
          <w:sz w:val="24"/>
          <w:szCs w:val="24"/>
        </w:rPr>
        <w:t>en el cual arguye las siguientes manifestaciones:</w:t>
      </w:r>
    </w:p>
    <w:p w14:paraId="340DAA60" w14:textId="72E95AB6"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50370761" w:rsidR="00073E92" w:rsidRDefault="00073E92" w:rsidP="00073E92">
      <w:pPr>
        <w:pStyle w:val="Citas"/>
        <w:rPr>
          <w:b/>
        </w:rPr>
      </w:pPr>
      <w:r w:rsidRPr="00F72122">
        <w:t>“</w:t>
      </w:r>
      <w:r w:rsidR="00F72122" w:rsidRPr="00F72122">
        <w:t>La información que se me proporcionó no es la que requerí, dolosamente se remite información que no corresponde a lo solicitado, es una evidente violación a mi derecho humano al acceso a la información pública.</w:t>
      </w:r>
      <w:r w:rsidRPr="00F72122">
        <w:t>”</w:t>
      </w:r>
      <w:r w:rsidRPr="007E24F0">
        <w:t xml:space="preserve"> </w:t>
      </w:r>
      <w:r>
        <w:rPr>
          <w:b/>
        </w:rPr>
        <w:t xml:space="preserve">[Sic] </w:t>
      </w: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B20AA17" w14:textId="06B2F49F" w:rsidR="003442C8" w:rsidRDefault="00FF3A25" w:rsidP="00FF3A25">
      <w:pPr>
        <w:pStyle w:val="Citas"/>
        <w:rPr>
          <w:b/>
        </w:rPr>
      </w:pPr>
      <w:r w:rsidRPr="00F72122">
        <w:t>“</w:t>
      </w:r>
      <w:r w:rsidR="00F72122" w:rsidRPr="00F72122">
        <w:t>El sujeto obligado no acata las disposiciones establecidas en la ley de transparencia, dolosamente remite información diferente, además, para el caso de no haber sido clara la solicitud pudo haber solicitado la aclaración en el periodo que la misma ley señala, lo que demuestra deficiencias graves de los servidores públicos encargados o peor aún violan flagrantemente la ley.</w:t>
      </w:r>
      <w:r w:rsidRPr="00F72122">
        <w:t>”</w:t>
      </w:r>
      <w:r w:rsidRPr="007E24F0">
        <w:t xml:space="preserve"> </w:t>
      </w:r>
      <w:r>
        <w:rPr>
          <w:b/>
        </w:rPr>
        <w:t>[Sic]</w:t>
      </w:r>
    </w:p>
    <w:p w14:paraId="39BD595D" w14:textId="77777777" w:rsidR="003442C8" w:rsidRDefault="003442C8" w:rsidP="00FF3A25">
      <w:pPr>
        <w:pStyle w:val="Citas"/>
        <w:rPr>
          <w:b/>
        </w:rPr>
      </w:pPr>
    </w:p>
    <w:p w14:paraId="6B689A4F" w14:textId="3EFCCCD5" w:rsidR="00073E92" w:rsidRDefault="00F72122"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7349174A" w14:textId="51241A51" w:rsidR="00321C42" w:rsidRDefault="00073E92" w:rsidP="00321C4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proofErr w:type="gramStart"/>
      <w:r w:rsidR="006017C5">
        <w:rPr>
          <w:rFonts w:ascii="Palatino Linotype" w:hAnsi="Palatino Linotype" w:cs="Arial"/>
          <w:sz w:val="24"/>
          <w:szCs w:val="24"/>
        </w:rPr>
        <w:t>Presidente</w:t>
      </w:r>
      <w:proofErr w:type="gramEnd"/>
      <w:r w:rsidR="006017C5">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F72122">
        <w:rPr>
          <w:rFonts w:ascii="Palatino Linotype" w:hAnsi="Palatino Linotype" w:cs="Arial"/>
          <w:sz w:val="24"/>
          <w:szCs w:val="24"/>
        </w:rPr>
        <w:t xml:space="preserve">cuatro de marzo </w:t>
      </w:r>
      <w:r w:rsidR="00321C42">
        <w:rPr>
          <w:rFonts w:ascii="Palatino Linotype" w:hAnsi="Palatino Linotype" w:cs="Arial"/>
          <w:sz w:val="24"/>
          <w:szCs w:val="24"/>
        </w:rPr>
        <w:t xml:space="preserve">de dos mil </w:t>
      </w:r>
      <w:r w:rsidR="00321C42">
        <w:rPr>
          <w:rFonts w:ascii="Palatino Linotype" w:hAnsi="Palatino Linotype" w:cs="Arial"/>
          <w:sz w:val="24"/>
          <w:szCs w:val="24"/>
        </w:rPr>
        <w:lastRenderedPageBreak/>
        <w:t>veintidós, determinándose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000E302A" w:rsidR="00073E92" w:rsidRDefault="008C36CF"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28F612BA" w14:textId="1B32E853" w:rsidR="00321C42" w:rsidRDefault="00A715FE" w:rsidP="00A715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ED16F0">
        <w:rPr>
          <w:rFonts w:ascii="Palatino Linotype" w:hAnsi="Palatino Linotype" w:cs="Arial"/>
          <w:sz w:val="24"/>
          <w:szCs w:val="24"/>
        </w:rPr>
        <w:t xml:space="preserve">nueve de marzo, mismo que fue puesto a la vista el dieciocho de marzo de dos mil veintidós. </w:t>
      </w:r>
    </w:p>
    <w:p w14:paraId="708196F7" w14:textId="376383E9" w:rsidR="00A715FE" w:rsidRDefault="00A715FE" w:rsidP="00A715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B56618">
        <w:rPr>
          <w:rFonts w:ascii="Palatino Linotype" w:hAnsi="Palatino Linotype" w:cs="Arial"/>
          <w:b/>
          <w:bCs/>
          <w:sz w:val="24"/>
          <w:szCs w:val="24"/>
        </w:rPr>
        <w:t xml:space="preserve">veinticinco de marzo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93FCB1C" w14:textId="5AB4CBCA" w:rsidR="006017C5" w:rsidRDefault="006017C5" w:rsidP="006017C5">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sidR="00C6592A">
        <w:rPr>
          <w:rFonts w:ascii="Palatino Linotype" w:hAnsi="Palatino Linotype" w:cs="Arial"/>
          <w:b/>
          <w:bCs/>
          <w:sz w:val="24"/>
          <w:szCs w:val="24"/>
        </w:rPr>
        <w:t>veintiocho</w:t>
      </w:r>
      <w:r>
        <w:rPr>
          <w:rFonts w:ascii="Palatino Linotype" w:hAnsi="Palatino Linotype" w:cs="Arial"/>
          <w:b/>
          <w:bCs/>
          <w:sz w:val="24"/>
          <w:szCs w:val="24"/>
        </w:rPr>
        <w:t xml:space="preserve"> de abril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01B92805" w14:textId="77777777" w:rsidR="006017C5" w:rsidRDefault="006017C5" w:rsidP="00A715FE">
      <w:pPr>
        <w:spacing w:after="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447182BD"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w:t>
      </w:r>
      <w:r>
        <w:rPr>
          <w:rFonts w:ascii="Palatino Linotype" w:hAnsi="Palatino Linotype" w:cs="Arial"/>
          <w:sz w:val="24"/>
          <w:szCs w:val="24"/>
          <w:lang w:val="es-ES"/>
        </w:rPr>
        <w:lastRenderedPageBreak/>
        <w:t xml:space="preserve">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51B1556A" w14:textId="77777777" w:rsidR="00D942D8" w:rsidRDefault="00D942D8" w:rsidP="007E24F0">
      <w:pPr>
        <w:spacing w:before="24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85679CE" w14:textId="77777777" w:rsidR="00871F78" w:rsidRDefault="00871F78" w:rsidP="00871F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88BB4CA" w14:textId="77777777" w:rsidR="00871F78" w:rsidRPr="00514E66" w:rsidRDefault="00871F78" w:rsidP="00871F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A3AB3C" w14:textId="77777777" w:rsidR="00871F78" w:rsidRDefault="00871F78" w:rsidP="00871F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29E28B4C" w14:textId="77777777" w:rsidR="006017C5" w:rsidRDefault="006017C5" w:rsidP="00871F78">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3594384E" w14:textId="77777777" w:rsidR="00D942D8" w:rsidRDefault="00D942D8"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505F4CA3" w14:textId="4E4DB516" w:rsidR="005D0F0D" w:rsidRPr="00C0391A"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5D0F0D">
        <w:rPr>
          <w:rFonts w:ascii="Palatino Linotype" w:hAnsi="Palatino Linotype"/>
          <w:sz w:val="24"/>
          <w:szCs w:val="24"/>
        </w:rPr>
        <w:t xml:space="preserve">fue formulado </w:t>
      </w:r>
      <w:r w:rsidR="005D0F0D">
        <w:rPr>
          <w:rFonts w:ascii="Palatino Linotype" w:hAnsi="Palatino Linotype"/>
          <w:b/>
          <w:bCs/>
          <w:sz w:val="24"/>
          <w:szCs w:val="24"/>
        </w:rPr>
        <w:t xml:space="preserve">1 -un- </w:t>
      </w:r>
      <w:r w:rsidR="005D0F0D">
        <w:rPr>
          <w:rFonts w:ascii="Palatino Linotype" w:hAnsi="Palatino Linotype"/>
          <w:sz w:val="24"/>
          <w:szCs w:val="24"/>
        </w:rPr>
        <w:t xml:space="preserve">requerimiento respecto del </w:t>
      </w:r>
      <w:r w:rsidR="005D0F0D">
        <w:rPr>
          <w:rFonts w:ascii="Palatino Linotype" w:hAnsi="Palatino Linotype"/>
          <w:sz w:val="24"/>
          <w:szCs w:val="24"/>
        </w:rPr>
        <w:lastRenderedPageBreak/>
        <w:t xml:space="preserve">cual fue señalado como elemento temporal </w:t>
      </w:r>
      <w:r w:rsidR="005D0F0D">
        <w:rPr>
          <w:rFonts w:ascii="Palatino Linotype" w:hAnsi="Palatino Linotype"/>
          <w:i/>
          <w:iCs/>
          <w:sz w:val="24"/>
          <w:szCs w:val="24"/>
        </w:rPr>
        <w:t>“</w:t>
      </w:r>
      <w:r w:rsidR="00C0391A">
        <w:rPr>
          <w:rFonts w:ascii="Palatino Linotype" w:hAnsi="Palatino Linotype"/>
          <w:i/>
          <w:iCs/>
          <w:sz w:val="24"/>
          <w:szCs w:val="24"/>
        </w:rPr>
        <w:t xml:space="preserve">que recibió la actual administración”, </w:t>
      </w:r>
      <w:r w:rsidR="00C0391A">
        <w:rPr>
          <w:rFonts w:ascii="Palatino Linotype" w:hAnsi="Palatino Linotype"/>
          <w:sz w:val="24"/>
          <w:szCs w:val="24"/>
        </w:rPr>
        <w:t xml:space="preserve">luego entonces la temporalidad debe de ser fijada del periodo comprendido del uno de enero al </w:t>
      </w:r>
      <w:r w:rsidR="00165C0C">
        <w:rPr>
          <w:rFonts w:ascii="Palatino Linotype" w:hAnsi="Palatino Linotype"/>
          <w:sz w:val="24"/>
          <w:szCs w:val="24"/>
        </w:rPr>
        <w:t xml:space="preserve">once de febrero de dos mil veintidós, éste último al corresponder a la fecha en que se ejerció el derecho de acceso a la información. </w:t>
      </w:r>
    </w:p>
    <w:p w14:paraId="33DC3207" w14:textId="77777777" w:rsidR="00E14AD6" w:rsidRPr="0051062B" w:rsidRDefault="00E14AD6" w:rsidP="00E14AD6">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2177F2F0" w14:textId="77777777" w:rsidR="00E14AD6" w:rsidRPr="0051062B" w:rsidRDefault="00E14AD6" w:rsidP="00E14AD6">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1AFA41A" w14:textId="77777777" w:rsidR="00E14AD6" w:rsidRPr="0051062B" w:rsidRDefault="00E14AD6" w:rsidP="00E14AD6">
      <w:pPr>
        <w:pStyle w:val="Citas"/>
        <w:rPr>
          <w:b/>
        </w:rPr>
      </w:pPr>
      <w:r w:rsidRPr="0051062B">
        <w:rPr>
          <w:b/>
        </w:rPr>
        <w:t xml:space="preserve">Artículo 181. … </w:t>
      </w:r>
    </w:p>
    <w:p w14:paraId="1A3734CB" w14:textId="77777777" w:rsidR="00E14AD6" w:rsidRDefault="00E14AD6" w:rsidP="00E14AD6">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2F0FDD3" w14:textId="77777777" w:rsidR="00E14AD6" w:rsidRDefault="00E14AD6" w:rsidP="00E14AD6">
      <w:pPr>
        <w:pStyle w:val="Citas"/>
        <w:ind w:left="0"/>
        <w:rPr>
          <w:b/>
        </w:rPr>
      </w:pPr>
    </w:p>
    <w:p w14:paraId="02467CB2" w14:textId="77777777" w:rsidR="00E14AD6" w:rsidRPr="00A33EF8" w:rsidRDefault="00E14AD6" w:rsidP="00E14AD6">
      <w:pPr>
        <w:spacing w:before="240" w:line="360" w:lineRule="auto"/>
        <w:jc w:val="both"/>
        <w:rPr>
          <w:rFonts w:ascii="Palatino Linotype" w:hAnsi="Palatino Linotype"/>
          <w:sz w:val="24"/>
          <w:szCs w:val="24"/>
        </w:rPr>
      </w:pPr>
      <w:r w:rsidRPr="00A33EF8">
        <w:rPr>
          <w:rFonts w:ascii="Palatino Linotype" w:hAnsi="Palatino Linotype"/>
          <w:sz w:val="24"/>
          <w:szCs w:val="24"/>
        </w:rPr>
        <w:t xml:space="preserve">Bajo estas líneas argumentativas, al </w:t>
      </w:r>
      <w:r>
        <w:rPr>
          <w:rFonts w:ascii="Palatino Linotype" w:hAnsi="Palatino Linotype"/>
          <w:sz w:val="24"/>
          <w:szCs w:val="24"/>
        </w:rPr>
        <w:t>retomar y delimitar los</w:t>
      </w:r>
      <w:r w:rsidRPr="00A33EF8">
        <w:rPr>
          <w:rFonts w:ascii="Palatino Linotype" w:hAnsi="Palatino Linotype"/>
          <w:sz w:val="24"/>
          <w:szCs w:val="24"/>
        </w:rPr>
        <w:t xml:space="preserve"> requerimiento</w:t>
      </w:r>
      <w:r>
        <w:rPr>
          <w:rFonts w:ascii="Palatino Linotype" w:hAnsi="Palatino Linotype"/>
          <w:sz w:val="24"/>
          <w:szCs w:val="24"/>
        </w:rPr>
        <w:t>s</w:t>
      </w:r>
      <w:r w:rsidRPr="00A33EF8">
        <w:rPr>
          <w:rFonts w:ascii="Palatino Linotype" w:hAnsi="Palatino Linotype"/>
          <w:sz w:val="24"/>
          <w:szCs w:val="24"/>
        </w:rPr>
        <w:t xml:space="preserve"> formulado</w:t>
      </w:r>
      <w:r>
        <w:rPr>
          <w:rFonts w:ascii="Palatino Linotype" w:hAnsi="Palatino Linotype"/>
          <w:sz w:val="24"/>
          <w:szCs w:val="24"/>
        </w:rPr>
        <w:t>s</w:t>
      </w:r>
      <w:r w:rsidRPr="00A33EF8">
        <w:rPr>
          <w:rFonts w:ascii="Palatino Linotype" w:hAnsi="Palatino Linotype"/>
          <w:sz w:val="24"/>
          <w:szCs w:val="24"/>
        </w:rPr>
        <w:t xml:space="preserve"> por la ahora </w:t>
      </w:r>
      <w:r w:rsidRPr="00A33EF8">
        <w:rPr>
          <w:rFonts w:ascii="Palatino Linotype" w:hAnsi="Palatino Linotype"/>
          <w:b/>
          <w:sz w:val="24"/>
          <w:szCs w:val="24"/>
        </w:rPr>
        <w:t xml:space="preserve">Recurrente, </w:t>
      </w:r>
      <w:r w:rsidRPr="00A33EF8">
        <w:rPr>
          <w:rFonts w:ascii="Palatino Linotype" w:hAnsi="Palatino Linotype"/>
          <w:sz w:val="24"/>
          <w:szCs w:val="24"/>
        </w:rPr>
        <w:t xml:space="preserve">de manera objetiva se precisa que versa en conocer la siguiente información: </w:t>
      </w:r>
    </w:p>
    <w:p w14:paraId="2A0F81E4" w14:textId="4D387BD5" w:rsidR="005D0F0D" w:rsidRDefault="00410B0F" w:rsidP="00410B0F">
      <w:pPr>
        <w:pStyle w:val="Prrafodelista"/>
        <w:numPr>
          <w:ilvl w:val="0"/>
          <w:numId w:val="17"/>
        </w:numPr>
        <w:spacing w:before="240" w:line="360" w:lineRule="auto"/>
        <w:jc w:val="both"/>
        <w:rPr>
          <w:rFonts w:ascii="Palatino Linotype" w:hAnsi="Palatino Linotype"/>
        </w:rPr>
      </w:pPr>
      <w:r>
        <w:rPr>
          <w:rFonts w:ascii="Palatino Linotype" w:hAnsi="Palatino Linotype"/>
        </w:rPr>
        <w:t xml:space="preserve">El o los documentos donde consten los montos </w:t>
      </w:r>
      <w:r w:rsidR="002713DA">
        <w:rPr>
          <w:rFonts w:ascii="Palatino Linotype" w:hAnsi="Palatino Linotype"/>
        </w:rPr>
        <w:t>recibidos</w:t>
      </w:r>
      <w:r w:rsidR="00C23519">
        <w:rPr>
          <w:rFonts w:ascii="Palatino Linotype" w:hAnsi="Palatino Linotype"/>
        </w:rPr>
        <w:t xml:space="preserve"> (estados de cuenta bancarios de cada cuenta y/o análogos), </w:t>
      </w:r>
      <w:r w:rsidR="004E7FD8">
        <w:rPr>
          <w:rFonts w:ascii="Palatino Linotype" w:hAnsi="Palatino Linotype"/>
        </w:rPr>
        <w:t xml:space="preserve">del periodo comprendido del uno de enero al once de febrero de dos mil veintidós. </w:t>
      </w:r>
    </w:p>
    <w:p w14:paraId="7CF829E2" w14:textId="43CE0CE5" w:rsidR="00A51BFF" w:rsidRPr="00A51BFF" w:rsidRDefault="001133BF" w:rsidP="00A51BFF">
      <w:pPr>
        <w:spacing w:before="240" w:line="360" w:lineRule="auto"/>
        <w:jc w:val="both"/>
        <w:rPr>
          <w:rFonts w:ascii="Palatino Linotype" w:hAnsi="Palatino Linotype"/>
          <w:bCs/>
          <w:sz w:val="24"/>
          <w:szCs w:val="24"/>
        </w:rPr>
      </w:pPr>
      <w:r w:rsidRPr="00A51BFF">
        <w:rPr>
          <w:rFonts w:ascii="Palatino Linotype" w:hAnsi="Palatino Linotype"/>
          <w:bCs/>
          <w:sz w:val="24"/>
          <w:szCs w:val="24"/>
        </w:rPr>
        <w:lastRenderedPageBreak/>
        <w:t xml:space="preserve">En este tenor, </w:t>
      </w:r>
      <w:r w:rsidR="00874291" w:rsidRPr="00A51BFF">
        <w:rPr>
          <w:rFonts w:ascii="Palatino Linotype" w:hAnsi="Palatino Linotype"/>
          <w:bCs/>
          <w:sz w:val="24"/>
          <w:szCs w:val="24"/>
        </w:rPr>
        <w:t xml:space="preserve">en alusión al requerimiento </w:t>
      </w:r>
      <w:r w:rsidR="00512665" w:rsidRPr="00A51BFF">
        <w:rPr>
          <w:rFonts w:ascii="Palatino Linotype" w:hAnsi="Palatino Linotype"/>
          <w:bCs/>
          <w:sz w:val="24"/>
          <w:szCs w:val="24"/>
        </w:rPr>
        <w:t xml:space="preserve">formulado por el particular, </w:t>
      </w:r>
      <w:r w:rsidR="00A67C36" w:rsidRPr="00A51BFF">
        <w:rPr>
          <w:rFonts w:ascii="Palatino Linotype" w:hAnsi="Palatino Linotype"/>
          <w:bCs/>
          <w:sz w:val="24"/>
          <w:szCs w:val="24"/>
        </w:rPr>
        <w:t>resulta oportuno traer a colación l</w:t>
      </w:r>
      <w:r w:rsidR="002942F7" w:rsidRPr="00A51BFF">
        <w:rPr>
          <w:rFonts w:ascii="Palatino Linotype" w:hAnsi="Palatino Linotype"/>
          <w:bCs/>
          <w:sz w:val="24"/>
          <w:szCs w:val="24"/>
        </w:rPr>
        <w:t xml:space="preserve">as siguientes imágenes ilustrativas correspondientes al organigrama del </w:t>
      </w:r>
      <w:r w:rsidR="002942F7" w:rsidRPr="00A51BFF">
        <w:rPr>
          <w:rFonts w:ascii="Palatino Linotype" w:hAnsi="Palatino Linotype"/>
          <w:b/>
          <w:sz w:val="24"/>
          <w:szCs w:val="24"/>
        </w:rPr>
        <w:t xml:space="preserve">Sujeto Obligado, </w:t>
      </w:r>
      <w:r w:rsidR="00A51BFF" w:rsidRPr="00A51BFF">
        <w:rPr>
          <w:rFonts w:ascii="Palatino Linotype" w:hAnsi="Palatino Linotype"/>
          <w:bCs/>
          <w:sz w:val="24"/>
          <w:szCs w:val="24"/>
        </w:rPr>
        <w:t>susceptible de ser consultado en la siguiente dirección electrónica:</w:t>
      </w:r>
    </w:p>
    <w:p w14:paraId="4741F403" w14:textId="3A3D1D70" w:rsidR="00AC6969" w:rsidRPr="002942F7" w:rsidRDefault="000F2D74" w:rsidP="00391C82">
      <w:pPr>
        <w:pStyle w:val="Citas"/>
        <w:ind w:left="0" w:right="-18"/>
        <w:rPr>
          <w:b/>
          <w:i w:val="0"/>
          <w:iCs/>
        </w:rPr>
      </w:pPr>
      <w:r w:rsidRPr="000F2D74">
        <w:rPr>
          <w:rStyle w:val="Hipervnculo"/>
          <w:rFonts w:eastAsia="Times New Roman" w:cs="Times New Roman"/>
          <w:i w:val="0"/>
          <w:sz w:val="24"/>
          <w:szCs w:val="24"/>
          <w:lang w:eastAsia="es-ES"/>
        </w:rPr>
        <w:t>http://transparencia.izcalli.gob.mx/wp-</w:t>
      </w:r>
      <w:r w:rsidR="00391C82">
        <w:rPr>
          <w:rStyle w:val="Hipervnculo"/>
          <w:rFonts w:eastAsia="Times New Roman" w:cs="Times New Roman"/>
          <w:i w:val="0"/>
          <w:sz w:val="24"/>
          <w:szCs w:val="24"/>
          <w:lang w:eastAsia="es-ES"/>
        </w:rPr>
        <w:t>c</w:t>
      </w:r>
      <w:r w:rsidRPr="000F2D74">
        <w:rPr>
          <w:rStyle w:val="Hipervnculo"/>
          <w:rFonts w:eastAsia="Times New Roman" w:cs="Times New Roman"/>
          <w:i w:val="0"/>
          <w:sz w:val="24"/>
          <w:szCs w:val="24"/>
          <w:lang w:eastAsia="es-ES"/>
        </w:rPr>
        <w:t>ontent/uploads/dataTransparencia/articulo92/fraccion_II_B/ORGANIGRAMA-PRIMER-TRIMESTRE-2022.pdf</w:t>
      </w:r>
    </w:p>
    <w:p w14:paraId="7194B281" w14:textId="3713940A" w:rsidR="00AC6969" w:rsidRDefault="00391C82" w:rsidP="00652E67">
      <w:pPr>
        <w:pStyle w:val="Citas"/>
        <w:rPr>
          <w:b/>
        </w:rPr>
      </w:pPr>
      <w:r>
        <w:rPr>
          <w:b/>
          <w:noProof/>
          <w:lang w:eastAsia="es-MX"/>
        </w:rPr>
        <w:drawing>
          <wp:anchor distT="0" distB="0" distL="114300" distR="114300" simplePos="0" relativeHeight="251682816" behindDoc="0" locked="0" layoutInCell="1" allowOverlap="1" wp14:anchorId="5F496BA8" wp14:editId="2B568624">
            <wp:simplePos x="0" y="0"/>
            <wp:positionH relativeFrom="column">
              <wp:posOffset>140996</wp:posOffset>
            </wp:positionH>
            <wp:positionV relativeFrom="paragraph">
              <wp:posOffset>484505</wp:posOffset>
            </wp:positionV>
            <wp:extent cx="5749925" cy="3192145"/>
            <wp:effectExtent l="19050" t="19050" r="22225" b="27305"/>
            <wp:wrapThrough wrapText="bothSides">
              <wp:wrapPolygon edited="0">
                <wp:start x="-72" y="-129"/>
                <wp:lineTo x="-72" y="21656"/>
                <wp:lineTo x="21612" y="21656"/>
                <wp:lineTo x="21612" y="-129"/>
                <wp:lineTo x="-72" y="-129"/>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9925" cy="31921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3B036DC" w14:textId="4F6E9BF7" w:rsidR="00AC6969" w:rsidRDefault="00391C82" w:rsidP="00652E67">
      <w:pPr>
        <w:pStyle w:val="Citas"/>
        <w:rPr>
          <w:b/>
        </w:rPr>
      </w:pPr>
      <w:r>
        <w:rPr>
          <w:b/>
          <w:noProof/>
          <w:lang w:eastAsia="es-MX"/>
        </w:rPr>
        <w:drawing>
          <wp:anchor distT="0" distB="0" distL="114300" distR="114300" simplePos="0" relativeHeight="251686912" behindDoc="0" locked="0" layoutInCell="1" allowOverlap="1" wp14:anchorId="3794C5FB" wp14:editId="5C2BBF70">
            <wp:simplePos x="0" y="0"/>
            <wp:positionH relativeFrom="column">
              <wp:posOffset>916305</wp:posOffset>
            </wp:positionH>
            <wp:positionV relativeFrom="paragraph">
              <wp:posOffset>3685540</wp:posOffset>
            </wp:positionV>
            <wp:extent cx="1880235" cy="914400"/>
            <wp:effectExtent l="19050" t="19050" r="24765" b="19050"/>
            <wp:wrapThrough wrapText="bothSides">
              <wp:wrapPolygon edited="0">
                <wp:start x="-219" y="-450"/>
                <wp:lineTo x="-219" y="21600"/>
                <wp:lineTo x="21666" y="21600"/>
                <wp:lineTo x="21666" y="-450"/>
                <wp:lineTo x="-219" y="-450"/>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0235" cy="914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b/>
          <w:noProof/>
          <w:lang w:eastAsia="es-MX"/>
        </w:rPr>
        <w:drawing>
          <wp:anchor distT="0" distB="0" distL="114300" distR="114300" simplePos="0" relativeHeight="251687936" behindDoc="0" locked="0" layoutInCell="1" allowOverlap="1" wp14:anchorId="6F049792" wp14:editId="6010F255">
            <wp:simplePos x="0" y="0"/>
            <wp:positionH relativeFrom="column">
              <wp:posOffset>3103550</wp:posOffset>
            </wp:positionH>
            <wp:positionV relativeFrom="paragraph">
              <wp:posOffset>3685540</wp:posOffset>
            </wp:positionV>
            <wp:extent cx="1880235" cy="914400"/>
            <wp:effectExtent l="19050" t="19050" r="24765" b="19050"/>
            <wp:wrapThrough wrapText="bothSides">
              <wp:wrapPolygon edited="0">
                <wp:start x="-219" y="-450"/>
                <wp:lineTo x="-219" y="21600"/>
                <wp:lineTo x="21666" y="21600"/>
                <wp:lineTo x="21666" y="-450"/>
                <wp:lineTo x="-219" y="-45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0235" cy="914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794052" w14:textId="3D3F9E0D" w:rsidR="00AC6969" w:rsidRDefault="00AC6969" w:rsidP="00652E67">
      <w:pPr>
        <w:pStyle w:val="Citas"/>
        <w:rPr>
          <w:b/>
        </w:rPr>
      </w:pPr>
    </w:p>
    <w:p w14:paraId="4CC230EB" w14:textId="086CB0F1" w:rsidR="00D4048C" w:rsidRDefault="00D4048C" w:rsidP="00652E67">
      <w:pPr>
        <w:pStyle w:val="Citas"/>
        <w:rPr>
          <w:b/>
        </w:rPr>
      </w:pPr>
    </w:p>
    <w:p w14:paraId="6E54CC70" w14:textId="3BE05B86" w:rsidR="00D4048C" w:rsidRDefault="00D4048C" w:rsidP="00D4048C">
      <w:pPr>
        <w:pStyle w:val="Sinespaciado"/>
        <w:spacing w:line="360" w:lineRule="auto"/>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 de nuestro más amplio interés la Tesorería Municipal</w:t>
      </w:r>
      <w:r w:rsidR="00391C82">
        <w:rPr>
          <w:rFonts w:ascii="Palatino Linotype" w:hAnsi="Palatino Linotype" w:cs="Arial"/>
        </w:rPr>
        <w:t xml:space="preserve">, así como la </w:t>
      </w:r>
      <w:proofErr w:type="spellStart"/>
      <w:r w:rsidR="00391C82">
        <w:rPr>
          <w:rFonts w:ascii="Palatino Linotype" w:hAnsi="Palatino Linotype" w:cs="Arial"/>
        </w:rPr>
        <w:t>Subtesorería</w:t>
      </w:r>
      <w:proofErr w:type="spellEnd"/>
      <w:r w:rsidR="00391C82">
        <w:rPr>
          <w:rFonts w:ascii="Palatino Linotype" w:hAnsi="Palatino Linotype" w:cs="Arial"/>
        </w:rPr>
        <w:t xml:space="preserve"> de Ingresos. </w:t>
      </w:r>
    </w:p>
    <w:p w14:paraId="4AED29AF" w14:textId="77777777" w:rsidR="00D4048C" w:rsidRDefault="00D4048C" w:rsidP="00D4048C">
      <w:pPr>
        <w:pStyle w:val="Sinespaciado"/>
        <w:spacing w:line="360" w:lineRule="auto"/>
        <w:jc w:val="both"/>
        <w:rPr>
          <w:rFonts w:ascii="Palatino Linotype" w:hAnsi="Palatino Linotype" w:cs="Arial"/>
        </w:rPr>
      </w:pPr>
    </w:p>
    <w:p w14:paraId="0764EDDA" w14:textId="3AC2B72A" w:rsidR="00D4048C" w:rsidRDefault="00D4048C" w:rsidP="00D4048C">
      <w:pPr>
        <w:pStyle w:val="Sinespaciado"/>
        <w:spacing w:line="360" w:lineRule="auto"/>
        <w:jc w:val="both"/>
        <w:rPr>
          <w:rFonts w:ascii="Palatino Linotype" w:hAnsi="Palatino Linotype" w:cs="Arial"/>
        </w:rPr>
      </w:pPr>
      <w:r>
        <w:rPr>
          <w:rFonts w:ascii="Palatino Linotype" w:hAnsi="Palatino Linotype" w:cs="Arial"/>
        </w:rPr>
        <w:t>En este sentido, resulta oportuno traer a colación el artículo 87, fracción II</w:t>
      </w:r>
      <w:r w:rsidR="00024479">
        <w:rPr>
          <w:rFonts w:ascii="Palatino Linotype" w:hAnsi="Palatino Linotype" w:cs="Arial"/>
        </w:rPr>
        <w:t xml:space="preserve">, 95, fracciones I, IV, XI y </w:t>
      </w:r>
      <w:proofErr w:type="gramStart"/>
      <w:r w:rsidR="00024479">
        <w:rPr>
          <w:rFonts w:ascii="Palatino Linotype" w:hAnsi="Palatino Linotype" w:cs="Arial"/>
        </w:rPr>
        <w:t xml:space="preserve">XIX </w:t>
      </w:r>
      <w:r>
        <w:rPr>
          <w:rFonts w:ascii="Palatino Linotype" w:hAnsi="Palatino Linotype" w:cs="Arial"/>
        </w:rPr>
        <w:t xml:space="preserve"> de</w:t>
      </w:r>
      <w:proofErr w:type="gramEnd"/>
      <w:r>
        <w:rPr>
          <w:rFonts w:ascii="Palatino Linotype" w:hAnsi="Palatino Linotype" w:cs="Arial"/>
        </w:rPr>
        <w:t xml:space="preserve"> la Ley Orgánica Municipal del Estado de México; </w:t>
      </w:r>
      <w:r w:rsidR="00024479">
        <w:rPr>
          <w:rFonts w:ascii="Palatino Linotype" w:hAnsi="Palatino Linotype" w:cs="Arial"/>
        </w:rPr>
        <w:t xml:space="preserve">así como el </w:t>
      </w:r>
      <w:r w:rsidR="000F2D74">
        <w:rPr>
          <w:rFonts w:ascii="Palatino Linotype" w:hAnsi="Palatino Linotype" w:cs="Arial"/>
        </w:rPr>
        <w:t xml:space="preserve">numeral 24, fracción III del Bando Municipal 2022; </w:t>
      </w:r>
      <w:r w:rsidR="00024479">
        <w:rPr>
          <w:rFonts w:ascii="Palatino Linotype" w:hAnsi="Palatino Linotype" w:cs="Arial"/>
        </w:rPr>
        <w:t xml:space="preserve">porciones normativas que disponen a la literalidad lo siguiente: </w:t>
      </w:r>
      <w:r w:rsidR="000F2D74">
        <w:rPr>
          <w:rFonts w:ascii="Palatino Linotype" w:hAnsi="Palatino Linotype" w:cs="Arial"/>
        </w:rPr>
        <w:t xml:space="preserve"> </w:t>
      </w:r>
    </w:p>
    <w:p w14:paraId="46057E6A" w14:textId="77777777" w:rsidR="00D4048C" w:rsidRPr="007D64CF" w:rsidRDefault="00D4048C" w:rsidP="00D4048C">
      <w:pPr>
        <w:pStyle w:val="Citas"/>
        <w:jc w:val="center"/>
        <w:rPr>
          <w:b/>
        </w:rPr>
      </w:pPr>
      <w:r>
        <w:rPr>
          <w:b/>
        </w:rPr>
        <w:t>Ley Orgánica Municipal del Estado de México</w:t>
      </w:r>
    </w:p>
    <w:p w14:paraId="5BCF8784" w14:textId="77777777" w:rsidR="00D4048C" w:rsidRDefault="00D4048C" w:rsidP="00D4048C">
      <w:pPr>
        <w:pStyle w:val="Citas"/>
      </w:pPr>
      <w:r>
        <w:t>“Artículo 87.- Para el despacho, estudio y planeación de los diversos asuntos de la administración municipal, el ayuntamiento contará por lo menos con las siguientes Dependencias:</w:t>
      </w:r>
    </w:p>
    <w:p w14:paraId="438EB915" w14:textId="77777777" w:rsidR="00D4048C" w:rsidRDefault="00D4048C" w:rsidP="00D4048C">
      <w:pPr>
        <w:pStyle w:val="Citas"/>
      </w:pPr>
      <w:r>
        <w:t>(…)</w:t>
      </w:r>
    </w:p>
    <w:p w14:paraId="555F2435" w14:textId="77777777" w:rsidR="00D4048C" w:rsidRDefault="00D4048C" w:rsidP="00D4048C">
      <w:pPr>
        <w:pStyle w:val="Citas"/>
      </w:pPr>
      <w:r>
        <w:t>II. La tesorería municipal.</w:t>
      </w:r>
    </w:p>
    <w:p w14:paraId="09314960" w14:textId="77777777" w:rsidR="00391C82" w:rsidRDefault="00D4048C" w:rsidP="00D4048C">
      <w:pPr>
        <w:pStyle w:val="Citas"/>
      </w:pPr>
      <w:r>
        <w:t>(…)</w:t>
      </w:r>
    </w:p>
    <w:p w14:paraId="0CFA4448" w14:textId="21746441" w:rsidR="00391C82" w:rsidRDefault="00391C82" w:rsidP="00D4048C">
      <w:pPr>
        <w:pStyle w:val="Citas"/>
      </w:pPr>
      <w:r>
        <w:t>Artículo 95.- Son atribuciones del tesorero municipal:</w:t>
      </w:r>
    </w:p>
    <w:p w14:paraId="0936CEC2" w14:textId="0FA69460" w:rsidR="00391C82" w:rsidRDefault="00391C82" w:rsidP="00D4048C">
      <w:pPr>
        <w:pStyle w:val="Citas"/>
      </w:pPr>
      <w:r>
        <w:t>I. Administrar la hacienda pública municipal, de conformidad con las disposiciones legales aplicables;</w:t>
      </w:r>
    </w:p>
    <w:p w14:paraId="781A3753" w14:textId="01FACD28" w:rsidR="00391C82" w:rsidRDefault="00391C82" w:rsidP="00D4048C">
      <w:pPr>
        <w:pStyle w:val="Citas"/>
      </w:pPr>
      <w:r>
        <w:t>(…)</w:t>
      </w:r>
    </w:p>
    <w:p w14:paraId="0D9D1787" w14:textId="61D0EED7" w:rsidR="00391C82" w:rsidRPr="00DF2BE7" w:rsidRDefault="00391C82" w:rsidP="00D4048C">
      <w:pPr>
        <w:pStyle w:val="Citas"/>
        <w:rPr>
          <w:b/>
          <w:u w:val="single"/>
        </w:rPr>
      </w:pPr>
      <w:r w:rsidRPr="00DF2BE7">
        <w:rPr>
          <w:b/>
          <w:u w:val="single"/>
        </w:rPr>
        <w:lastRenderedPageBreak/>
        <w:t>IV. Llevar los registros contables, financieros y administrativos de los ingresos, egresos, e inventarios;</w:t>
      </w:r>
    </w:p>
    <w:p w14:paraId="27678CAB" w14:textId="09B10D8A" w:rsidR="00391C82" w:rsidRDefault="00391C82" w:rsidP="00D4048C">
      <w:pPr>
        <w:pStyle w:val="Citas"/>
      </w:pPr>
      <w:r>
        <w:t>(…)</w:t>
      </w:r>
    </w:p>
    <w:p w14:paraId="68611FC7" w14:textId="739BAA81" w:rsidR="00391C82" w:rsidRDefault="00391C82" w:rsidP="00D4048C">
      <w:pPr>
        <w:pStyle w:val="Citas"/>
      </w:pPr>
      <w:r>
        <w:t>XI. Proponer la política de ingresos de la tesorería municipal;</w:t>
      </w:r>
    </w:p>
    <w:p w14:paraId="35E9004A" w14:textId="7ED62F8D" w:rsidR="00391C82" w:rsidRDefault="00391C82" w:rsidP="00D4048C">
      <w:pPr>
        <w:pStyle w:val="Citas"/>
      </w:pPr>
      <w:r>
        <w:t>(…)</w:t>
      </w:r>
    </w:p>
    <w:p w14:paraId="79EB2CDB" w14:textId="42E247BC" w:rsidR="00391C82" w:rsidRPr="00DF2BE7" w:rsidRDefault="00391C82" w:rsidP="00D4048C">
      <w:pPr>
        <w:pStyle w:val="Citas"/>
        <w:rPr>
          <w:b/>
          <w:u w:val="single"/>
        </w:rPr>
      </w:pPr>
      <w:r w:rsidRPr="00DF2BE7">
        <w:rPr>
          <w:b/>
          <w:u w:val="single"/>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3DFCED54" w14:textId="4DE2A079" w:rsidR="00D4048C" w:rsidRDefault="00DF2BE7" w:rsidP="00D4048C">
      <w:pPr>
        <w:pStyle w:val="Citas"/>
        <w:rPr>
          <w:b/>
        </w:rPr>
      </w:pPr>
      <w:r>
        <w:t>(…)</w:t>
      </w:r>
      <w:r w:rsidR="00D4048C">
        <w:t xml:space="preserve">” </w:t>
      </w:r>
      <w:r w:rsidR="00D4048C">
        <w:rPr>
          <w:b/>
        </w:rPr>
        <w:t xml:space="preserve">[Sic] </w:t>
      </w:r>
    </w:p>
    <w:p w14:paraId="38D4186C" w14:textId="77777777" w:rsidR="00D4048C" w:rsidRDefault="00D4048C" w:rsidP="00652E67">
      <w:pPr>
        <w:pStyle w:val="Citas"/>
        <w:rPr>
          <w:b/>
        </w:rPr>
      </w:pPr>
    </w:p>
    <w:p w14:paraId="01BD70E4" w14:textId="42AACD8F" w:rsidR="000F2D74" w:rsidRDefault="000F2D74" w:rsidP="000F2D74">
      <w:pPr>
        <w:pStyle w:val="Citas"/>
        <w:jc w:val="center"/>
        <w:rPr>
          <w:b/>
        </w:rPr>
      </w:pPr>
      <w:r>
        <w:rPr>
          <w:b/>
        </w:rPr>
        <w:t>Bando Municipal de Cuautitlán Izcalli 2022</w:t>
      </w:r>
    </w:p>
    <w:p w14:paraId="5BA08BD4" w14:textId="4F72D994" w:rsidR="000F2D74" w:rsidRDefault="00024479" w:rsidP="00652E67">
      <w:pPr>
        <w:pStyle w:val="Citas"/>
      </w:pPr>
      <w:r>
        <w:t>“</w:t>
      </w:r>
      <w:r w:rsidR="000F2D74">
        <w:t>Artículo 24. Para el despacho, estudio y planeación de los diversos asuntos de la administración pública municipal, el Ayuntamiento contará con las siguientes dependencias:</w:t>
      </w:r>
    </w:p>
    <w:p w14:paraId="6A0096E0" w14:textId="0D540C74" w:rsidR="000F2D74" w:rsidRDefault="000F2D74" w:rsidP="00652E67">
      <w:pPr>
        <w:pStyle w:val="Citas"/>
      </w:pPr>
      <w:r>
        <w:t>(…)</w:t>
      </w:r>
    </w:p>
    <w:p w14:paraId="6C6E6F84" w14:textId="2C932BDA" w:rsidR="000F2D74" w:rsidRPr="00024479" w:rsidRDefault="000F2D74" w:rsidP="00652E67">
      <w:pPr>
        <w:pStyle w:val="Citas"/>
        <w:rPr>
          <w:b/>
        </w:rPr>
      </w:pPr>
      <w:r>
        <w:t>III. Tesorería Municipal;</w:t>
      </w:r>
      <w:r w:rsidR="00024479">
        <w:t xml:space="preserve">” </w:t>
      </w:r>
      <w:r w:rsidR="00024479">
        <w:rPr>
          <w:b/>
        </w:rPr>
        <w:t>[Sic]</w:t>
      </w:r>
    </w:p>
    <w:p w14:paraId="62380637" w14:textId="77A4108F" w:rsidR="00391C82" w:rsidRDefault="00DF2BE7" w:rsidP="00DF2BE7">
      <w:pPr>
        <w:pStyle w:val="Citas"/>
        <w:ind w:left="0" w:right="0"/>
        <w:rPr>
          <w:b/>
        </w:rPr>
      </w:pPr>
      <w:r w:rsidRPr="00175279">
        <w:rPr>
          <w:i w:val="0"/>
          <w:sz w:val="24"/>
          <w:szCs w:val="24"/>
        </w:rPr>
        <w:lastRenderedPageBreak/>
        <w:t xml:space="preserve">Bajo este contexto, a toda luz se desprende que </w:t>
      </w:r>
      <w:r>
        <w:rPr>
          <w:i w:val="0"/>
          <w:sz w:val="24"/>
          <w:szCs w:val="24"/>
        </w:rPr>
        <w:t xml:space="preserve">la Tesorería Municipal, así como la Subdirección de Ingresos fungen como las unidades administrativas competentes para administrar la hacienda pública municipal, destacando entre diversas figuras financieras la relativa a los ingresos. </w:t>
      </w:r>
    </w:p>
    <w:p w14:paraId="5318D4DA" w14:textId="77777777" w:rsidR="00CC339B" w:rsidRPr="00AA7EDD" w:rsidRDefault="00B166AA" w:rsidP="00CC339B">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XII y 92, fracción </w:t>
      </w:r>
      <w:r w:rsidR="00CC339B">
        <w:rPr>
          <w:rFonts w:ascii="Palatino Linotype" w:hAnsi="Palatino Linotype"/>
        </w:rPr>
        <w:t xml:space="preserve">XLVII de la Ley de Transparencia y Acceso a la Información Pública del Estado de México y Municipios, normatividad invocada cuyo contenido literal es el siguiente: </w:t>
      </w:r>
    </w:p>
    <w:p w14:paraId="472705B1" w14:textId="1CD283D9" w:rsidR="00B166AA" w:rsidRPr="00E66BD3" w:rsidRDefault="00B166AA" w:rsidP="00B166AA">
      <w:pPr>
        <w:spacing w:before="240" w:line="360" w:lineRule="auto"/>
        <w:ind w:left="851" w:right="851"/>
        <w:jc w:val="both"/>
        <w:rPr>
          <w:rFonts w:ascii="Palatino Linotype" w:hAnsi="Palatino Linotype"/>
          <w:i/>
        </w:rPr>
      </w:pPr>
      <w:r w:rsidRPr="00E66BD3">
        <w:rPr>
          <w:rFonts w:ascii="Palatino Linotype" w:hAnsi="Palatino Linotype"/>
          <w:i/>
        </w:rPr>
        <w:t xml:space="preserve">“Artículo 24. Para el cumplimiento de los objetivos de esta Ley, los sujetos obligados deberán cumplir con las siguientes obligaciones, según corresponda, </w:t>
      </w:r>
      <w:proofErr w:type="gramStart"/>
      <w:r w:rsidRPr="00E66BD3">
        <w:rPr>
          <w:rFonts w:ascii="Palatino Linotype" w:hAnsi="Palatino Linotype"/>
          <w:i/>
        </w:rPr>
        <w:t>de acuerdo a</w:t>
      </w:r>
      <w:proofErr w:type="gramEnd"/>
      <w:r w:rsidRPr="00E66BD3">
        <w:rPr>
          <w:rFonts w:ascii="Palatino Linotype" w:hAnsi="Palatino Linotype"/>
          <w:i/>
        </w:rPr>
        <w:t xml:space="preserve"> su naturaleza:</w:t>
      </w:r>
    </w:p>
    <w:p w14:paraId="3F123124" w14:textId="77777777" w:rsidR="00B166AA" w:rsidRPr="00E66BD3" w:rsidRDefault="00B166AA" w:rsidP="00B166AA">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37F403C0" w14:textId="77777777" w:rsidR="00B166AA" w:rsidRDefault="00B166AA" w:rsidP="00B166AA">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E8546D" w14:textId="6DE88E77" w:rsidR="00CC339B" w:rsidRDefault="00CC339B" w:rsidP="00B166AA">
      <w:pPr>
        <w:spacing w:before="240" w:line="360" w:lineRule="auto"/>
        <w:ind w:left="851" w:right="851"/>
        <w:jc w:val="both"/>
        <w:rPr>
          <w:rFonts w:ascii="Palatino Linotype" w:hAnsi="Palatino Linotype"/>
          <w:i/>
        </w:rPr>
      </w:pPr>
      <w:r>
        <w:rPr>
          <w:rFonts w:ascii="Palatino Linotype" w:hAnsi="Palatino Linotype"/>
          <w:i/>
        </w:rPr>
        <w:t>(…)</w:t>
      </w:r>
    </w:p>
    <w:p w14:paraId="7514E453" w14:textId="6002EE4A" w:rsidR="00CC339B" w:rsidRPr="00024479" w:rsidRDefault="00BC5AB2" w:rsidP="00BC5AB2">
      <w:pPr>
        <w:pStyle w:val="Citas"/>
        <w:rPr>
          <w:b/>
          <w:u w:val="single"/>
        </w:rPr>
      </w:pPr>
      <w:r w:rsidRPr="00024479">
        <w:rPr>
          <w:b/>
          <w:u w:val="single"/>
        </w:rPr>
        <w:lastRenderedPageBreak/>
        <w:t xml:space="preserve">XLVII. Los ingresos recibidos por cualquier concepto señalando el nombre de los responsables de recibirlos, administrarlos y ejercerlos, indicando el destino de cada uno de ellos; </w:t>
      </w:r>
    </w:p>
    <w:p w14:paraId="6F8976EA" w14:textId="2D0AF9A3" w:rsidR="00BC5AB2" w:rsidRPr="00BC5AB2" w:rsidRDefault="00BC5AB2" w:rsidP="00BC5AB2">
      <w:pPr>
        <w:pStyle w:val="Citas"/>
        <w:rPr>
          <w:b/>
          <w:bCs/>
        </w:rPr>
      </w:pPr>
      <w:r>
        <w:t xml:space="preserve">(…)” </w:t>
      </w:r>
      <w:r>
        <w:rPr>
          <w:b/>
          <w:bCs/>
        </w:rPr>
        <w:t>[Sic]</w:t>
      </w:r>
    </w:p>
    <w:p w14:paraId="74501357" w14:textId="77777777" w:rsidR="008A2304" w:rsidRDefault="008A2304" w:rsidP="007113A3">
      <w:pPr>
        <w:pStyle w:val="Citas"/>
        <w:ind w:left="0" w:right="0"/>
        <w:rPr>
          <w:i w:val="0"/>
          <w:sz w:val="24"/>
          <w:szCs w:val="24"/>
        </w:rPr>
      </w:pPr>
    </w:p>
    <w:p w14:paraId="23ABCB0D" w14:textId="77777777" w:rsidR="005C7749" w:rsidRPr="00303BAD" w:rsidRDefault="005C7749" w:rsidP="005C7749">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10996534" w14:textId="6D6B57FB" w:rsidR="005C7749" w:rsidRPr="00267002" w:rsidRDefault="00D742A8" w:rsidP="005C7749">
      <w:pPr>
        <w:spacing w:before="240" w:line="360" w:lineRule="auto"/>
        <w:jc w:val="both"/>
        <w:rPr>
          <w:rFonts w:ascii="Palatino Linotype" w:hAnsi="Palatino Linotype"/>
          <w:b/>
          <w:bCs/>
          <w:sz w:val="24"/>
          <w:szCs w:val="24"/>
        </w:rPr>
      </w:pPr>
      <w:r>
        <w:rPr>
          <w:i/>
          <w:noProof/>
          <w:sz w:val="24"/>
          <w:szCs w:val="24"/>
          <w:lang w:eastAsia="es-MX"/>
        </w:rPr>
        <w:drawing>
          <wp:anchor distT="0" distB="0" distL="114300" distR="114300" simplePos="0" relativeHeight="251660273" behindDoc="0" locked="0" layoutInCell="1" allowOverlap="1" wp14:anchorId="02B6920E" wp14:editId="2CC31939">
            <wp:simplePos x="0" y="0"/>
            <wp:positionH relativeFrom="column">
              <wp:posOffset>-125095</wp:posOffset>
            </wp:positionH>
            <wp:positionV relativeFrom="paragraph">
              <wp:posOffset>986328</wp:posOffset>
            </wp:positionV>
            <wp:extent cx="5742305" cy="3306445"/>
            <wp:effectExtent l="19050" t="19050" r="10795" b="27305"/>
            <wp:wrapThrough wrapText="bothSides">
              <wp:wrapPolygon edited="0">
                <wp:start x="-72" y="-124"/>
                <wp:lineTo x="-72" y="21654"/>
                <wp:lineTo x="21569" y="21654"/>
                <wp:lineTo x="21569" y="-124"/>
                <wp:lineTo x="-72" y="-124"/>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2305" cy="33064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12" w:history="1">
        <w:r w:rsidR="005C7749" w:rsidRPr="00267002">
          <w:rPr>
            <w:rStyle w:val="Hipervnculo"/>
            <w:rFonts w:ascii="Palatino Linotype" w:hAnsi="Palatino Linotype"/>
            <w:bCs/>
            <w:sz w:val="24"/>
            <w:szCs w:val="24"/>
          </w:rPr>
          <w:t>https://www.infoem.org.mx/es/contenido/transparencia/directorio-de-sujetos-obligados</w:t>
        </w:r>
      </w:hyperlink>
    </w:p>
    <w:p w14:paraId="7A9E3D8A" w14:textId="13C36A70" w:rsidR="005C7749" w:rsidRDefault="00D742A8" w:rsidP="007113A3">
      <w:pPr>
        <w:pStyle w:val="Citas"/>
        <w:ind w:left="0" w:right="0"/>
        <w:rPr>
          <w:i w:val="0"/>
          <w:sz w:val="24"/>
          <w:szCs w:val="24"/>
        </w:rPr>
      </w:pPr>
      <w:r>
        <w:rPr>
          <w:i w:val="0"/>
          <w:noProof/>
          <w:sz w:val="24"/>
          <w:szCs w:val="24"/>
          <w:lang w:eastAsia="es-MX"/>
        </w:rPr>
        <w:lastRenderedPageBreak/>
        <w:drawing>
          <wp:anchor distT="0" distB="0" distL="114300" distR="114300" simplePos="0" relativeHeight="251689984" behindDoc="0" locked="0" layoutInCell="1" allowOverlap="1" wp14:anchorId="247BD705" wp14:editId="0D40AB74">
            <wp:simplePos x="0" y="0"/>
            <wp:positionH relativeFrom="column">
              <wp:posOffset>-71120</wp:posOffset>
            </wp:positionH>
            <wp:positionV relativeFrom="paragraph">
              <wp:posOffset>3822964</wp:posOffset>
            </wp:positionV>
            <wp:extent cx="5759450" cy="3306445"/>
            <wp:effectExtent l="19050" t="19050" r="12700" b="27305"/>
            <wp:wrapThrough wrapText="bothSides">
              <wp:wrapPolygon edited="0">
                <wp:start x="-71" y="-124"/>
                <wp:lineTo x="-71" y="21654"/>
                <wp:lineTo x="21576" y="21654"/>
                <wp:lineTo x="21576" y="-124"/>
                <wp:lineTo x="-71" y="-124"/>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064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688960" behindDoc="0" locked="0" layoutInCell="1" allowOverlap="1" wp14:anchorId="28851455" wp14:editId="1CD5D2C0">
            <wp:simplePos x="0" y="0"/>
            <wp:positionH relativeFrom="column">
              <wp:posOffset>-70873</wp:posOffset>
            </wp:positionH>
            <wp:positionV relativeFrom="paragraph">
              <wp:posOffset>19058</wp:posOffset>
            </wp:positionV>
            <wp:extent cx="5734685" cy="3306445"/>
            <wp:effectExtent l="19050" t="19050" r="18415" b="27305"/>
            <wp:wrapThrough wrapText="bothSides">
              <wp:wrapPolygon edited="0">
                <wp:start x="-72" y="-124"/>
                <wp:lineTo x="-72" y="21654"/>
                <wp:lineTo x="21598" y="21654"/>
                <wp:lineTo x="21598" y="-124"/>
                <wp:lineTo x="-72" y="-124"/>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685" cy="33064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CCC2B92" w14:textId="37B96039" w:rsidR="00291D10" w:rsidRPr="00940D65" w:rsidRDefault="00940D65" w:rsidP="007113A3">
      <w:pPr>
        <w:pStyle w:val="Citas"/>
        <w:ind w:left="0" w:right="0"/>
        <w:rPr>
          <w:i w:val="0"/>
          <w:sz w:val="24"/>
          <w:szCs w:val="24"/>
        </w:rPr>
      </w:pPr>
      <w:proofErr w:type="gramStart"/>
      <w:r>
        <w:rPr>
          <w:i w:val="0"/>
          <w:sz w:val="24"/>
          <w:szCs w:val="24"/>
        </w:rPr>
        <w:lastRenderedPageBreak/>
        <w:t>En razón de</w:t>
      </w:r>
      <w:proofErr w:type="gramEnd"/>
      <w:r>
        <w:rPr>
          <w:i w:val="0"/>
          <w:sz w:val="24"/>
          <w:szCs w:val="24"/>
        </w:rPr>
        <w:t xml:space="preserve"> lo anterior, se arriba a la conclusión de que la información requerida no solo obra en los archivos del </w:t>
      </w:r>
      <w:r>
        <w:rPr>
          <w:b/>
          <w:bCs/>
          <w:i w:val="0"/>
          <w:sz w:val="24"/>
          <w:szCs w:val="24"/>
        </w:rPr>
        <w:t xml:space="preserve">Sujeto Obligado, </w:t>
      </w:r>
      <w:r>
        <w:rPr>
          <w:i w:val="0"/>
          <w:sz w:val="24"/>
          <w:szCs w:val="24"/>
        </w:rPr>
        <w:t xml:space="preserve">sino que obra en las fronteras conceptuales de las obligaciones de transparencia común. </w:t>
      </w:r>
    </w:p>
    <w:p w14:paraId="3323F27D" w14:textId="5A538189" w:rsidR="00833C63" w:rsidRDefault="003C4A39" w:rsidP="003C4A39">
      <w:pPr>
        <w:pStyle w:val="Citas"/>
        <w:ind w:left="0" w:right="0"/>
        <w:rPr>
          <w:i w:val="0"/>
          <w:sz w:val="24"/>
          <w:szCs w:val="24"/>
        </w:rPr>
      </w:pPr>
      <w:r w:rsidRPr="00BC7FC7">
        <w:rPr>
          <w:i w:val="0"/>
          <w:sz w:val="24"/>
          <w:szCs w:val="24"/>
        </w:rPr>
        <w:t xml:space="preserve">Una vez sentado lo anterior, como se mencionó en el antecedente </w:t>
      </w:r>
      <w:r w:rsidR="00833C63" w:rsidRPr="00BC7FC7">
        <w:rPr>
          <w:i w:val="0"/>
          <w:sz w:val="24"/>
          <w:szCs w:val="24"/>
        </w:rPr>
        <w:t>segundo</w:t>
      </w:r>
      <w:r w:rsidRPr="00BC7FC7">
        <w:rPr>
          <w:i w:val="0"/>
          <w:sz w:val="24"/>
          <w:szCs w:val="24"/>
        </w:rPr>
        <w:t xml:space="preserve"> </w:t>
      </w:r>
      <w:r w:rsidRPr="00BC7FC7">
        <w:rPr>
          <w:b/>
          <w:i w:val="0"/>
          <w:sz w:val="24"/>
          <w:szCs w:val="24"/>
        </w:rPr>
        <w:t xml:space="preserve">El Sujeto Obligado </w:t>
      </w:r>
      <w:r w:rsidRPr="00BC7FC7">
        <w:rPr>
          <w:i w:val="0"/>
          <w:sz w:val="24"/>
          <w:szCs w:val="24"/>
        </w:rPr>
        <w:t xml:space="preserve">rindió su respuesta en fecha </w:t>
      </w:r>
      <w:r w:rsidR="00BC7FC7" w:rsidRPr="00BC7FC7">
        <w:rPr>
          <w:i w:val="0"/>
          <w:sz w:val="24"/>
          <w:szCs w:val="24"/>
        </w:rPr>
        <w:t>veinticuatro de febrero de dos mil veintidós, adjuntando para tal efecto lo siguiente:</w:t>
      </w:r>
      <w:r w:rsidR="00BC7FC7">
        <w:rPr>
          <w:i w:val="0"/>
          <w:sz w:val="24"/>
          <w:szCs w:val="24"/>
        </w:rPr>
        <w:t xml:space="preserve"> </w:t>
      </w:r>
    </w:p>
    <w:p w14:paraId="54FC003F" w14:textId="77777777" w:rsidR="00BC7FC7" w:rsidRPr="00BC7FC7" w:rsidRDefault="00BC7FC7" w:rsidP="00BC7FC7">
      <w:pPr>
        <w:pStyle w:val="Citas"/>
        <w:numPr>
          <w:ilvl w:val="0"/>
          <w:numId w:val="19"/>
        </w:numPr>
        <w:ind w:right="0"/>
        <w:rPr>
          <w:b/>
          <w:i w:val="0"/>
          <w:sz w:val="24"/>
          <w:szCs w:val="24"/>
        </w:rPr>
      </w:pPr>
      <w:r>
        <w:rPr>
          <w:b/>
          <w:i w:val="0"/>
          <w:sz w:val="24"/>
          <w:szCs w:val="24"/>
        </w:rPr>
        <w:t xml:space="preserve">“respuesta SAIMEX 148.pdf”: </w:t>
      </w:r>
      <w:r>
        <w:rPr>
          <w:i w:val="0"/>
          <w:sz w:val="24"/>
          <w:szCs w:val="24"/>
        </w:rPr>
        <w:t xml:space="preserve">Oficio sin número, de fecha dieciocho de febrero de dos mil veintidós, signado por el Tesorero Municipal y dirigido a la Coordinadora de Transparencia, en </w:t>
      </w:r>
      <w:proofErr w:type="gramStart"/>
      <w:r>
        <w:rPr>
          <w:i w:val="0"/>
          <w:sz w:val="24"/>
          <w:szCs w:val="24"/>
        </w:rPr>
        <w:t>síntesis</w:t>
      </w:r>
      <w:proofErr w:type="gramEnd"/>
      <w:r>
        <w:rPr>
          <w:i w:val="0"/>
          <w:sz w:val="24"/>
          <w:szCs w:val="24"/>
        </w:rPr>
        <w:t xml:space="preserve"> resulta de nuestro interés el siguiente extracto:</w:t>
      </w:r>
    </w:p>
    <w:p w14:paraId="4E2B4CF1" w14:textId="77777777" w:rsidR="00BC7FC7" w:rsidRDefault="00BC7FC7" w:rsidP="00BC7FC7">
      <w:pPr>
        <w:pStyle w:val="Citas"/>
        <w:ind w:left="720" w:right="0"/>
        <w:rPr>
          <w:sz w:val="24"/>
          <w:szCs w:val="24"/>
        </w:rPr>
      </w:pPr>
      <w:r>
        <w:rPr>
          <w:sz w:val="24"/>
          <w:szCs w:val="24"/>
        </w:rPr>
        <w:t>“(…)</w:t>
      </w:r>
    </w:p>
    <w:p w14:paraId="62D5DFD6" w14:textId="459C03EF" w:rsidR="00833C63" w:rsidRDefault="00BC7FC7" w:rsidP="00BC7FC7">
      <w:pPr>
        <w:pStyle w:val="Citas"/>
        <w:ind w:left="720" w:right="0"/>
        <w:rPr>
          <w:sz w:val="24"/>
          <w:szCs w:val="24"/>
        </w:rPr>
      </w:pPr>
      <w:r>
        <w:rPr>
          <w:sz w:val="24"/>
          <w:szCs w:val="24"/>
        </w:rPr>
        <w:t>al respecto me permito informarle que los ingresos Brutos por Participaciones fueron un monto de $72’153,966.45 menos las disminuciones correspondientes se recibieron un importe neto de $32’146,604.49</w:t>
      </w:r>
    </w:p>
    <w:p w14:paraId="0D4FC38B" w14:textId="76DB8AB8" w:rsidR="0041256A" w:rsidRPr="0041256A" w:rsidRDefault="0041256A" w:rsidP="00BC7FC7">
      <w:pPr>
        <w:pStyle w:val="Citas"/>
        <w:ind w:left="720" w:right="0"/>
        <w:rPr>
          <w:b/>
          <w:i w:val="0"/>
          <w:sz w:val="24"/>
          <w:szCs w:val="24"/>
        </w:rPr>
      </w:pPr>
      <w:r>
        <w:rPr>
          <w:sz w:val="24"/>
          <w:szCs w:val="24"/>
        </w:rPr>
        <w:t xml:space="preserve">Se anexa la constancia de Liquidación de Participaciones en formato PDF como soporte documental.” </w:t>
      </w:r>
      <w:r>
        <w:rPr>
          <w:b/>
          <w:sz w:val="24"/>
          <w:szCs w:val="24"/>
        </w:rPr>
        <w:t xml:space="preserve">[Sic] </w:t>
      </w:r>
    </w:p>
    <w:p w14:paraId="68AE0A34" w14:textId="18105F47" w:rsidR="00BC7FC7" w:rsidRPr="00BC7FC7" w:rsidRDefault="00BC7FC7" w:rsidP="00BC7FC7">
      <w:pPr>
        <w:pStyle w:val="Citas"/>
        <w:numPr>
          <w:ilvl w:val="0"/>
          <w:numId w:val="19"/>
        </w:numPr>
        <w:ind w:right="0"/>
        <w:rPr>
          <w:b/>
          <w:i w:val="0"/>
          <w:sz w:val="24"/>
          <w:szCs w:val="24"/>
        </w:rPr>
      </w:pPr>
      <w:r>
        <w:rPr>
          <w:b/>
          <w:i w:val="0"/>
          <w:sz w:val="24"/>
          <w:szCs w:val="24"/>
        </w:rPr>
        <w:t xml:space="preserve">“CONSTANCIA DE LIQUIDACION DE PARTICIPACIONES.pdf”: </w:t>
      </w:r>
      <w:r w:rsidR="00645AAB">
        <w:rPr>
          <w:i w:val="0"/>
          <w:sz w:val="24"/>
          <w:szCs w:val="24"/>
        </w:rPr>
        <w:t xml:space="preserve"> Constancia de liquidación de participaciones correspondiente a </w:t>
      </w:r>
      <w:proofErr w:type="gramStart"/>
      <w:r w:rsidR="00645AAB">
        <w:rPr>
          <w:i w:val="0"/>
          <w:sz w:val="24"/>
          <w:szCs w:val="24"/>
        </w:rPr>
        <w:t>Enero</w:t>
      </w:r>
      <w:proofErr w:type="gramEnd"/>
      <w:r w:rsidR="00645AAB">
        <w:rPr>
          <w:i w:val="0"/>
          <w:sz w:val="24"/>
          <w:szCs w:val="24"/>
        </w:rPr>
        <w:t xml:space="preserve"> de 2022, desglosa importe bruto por $72,153,966.45. Sirve de sustento la siguiente imagen ilustrativa: </w:t>
      </w:r>
    </w:p>
    <w:p w14:paraId="3205F1F3" w14:textId="77777777" w:rsidR="00940D65" w:rsidRDefault="00940D65" w:rsidP="007113A3">
      <w:pPr>
        <w:pStyle w:val="Citas"/>
        <w:ind w:left="0" w:right="0"/>
        <w:rPr>
          <w:i w:val="0"/>
          <w:sz w:val="24"/>
          <w:szCs w:val="24"/>
        </w:rPr>
      </w:pPr>
    </w:p>
    <w:p w14:paraId="435E8C50" w14:textId="4001D732" w:rsidR="00940D65" w:rsidRDefault="00645AAB" w:rsidP="007113A3">
      <w:pPr>
        <w:pStyle w:val="Citas"/>
        <w:ind w:left="0" w:right="0"/>
        <w:rPr>
          <w:i w:val="0"/>
          <w:sz w:val="24"/>
          <w:szCs w:val="24"/>
        </w:rPr>
      </w:pPr>
      <w:r>
        <w:rPr>
          <w:i w:val="0"/>
          <w:noProof/>
          <w:sz w:val="24"/>
          <w:szCs w:val="24"/>
          <w:lang w:eastAsia="es-MX"/>
        </w:rPr>
        <w:lastRenderedPageBreak/>
        <w:drawing>
          <wp:anchor distT="0" distB="0" distL="114300" distR="114300" simplePos="0" relativeHeight="251691008" behindDoc="0" locked="0" layoutInCell="1" allowOverlap="1" wp14:anchorId="7EED7976" wp14:editId="6C46F7C6">
            <wp:simplePos x="0" y="0"/>
            <wp:positionH relativeFrom="column">
              <wp:posOffset>-635</wp:posOffset>
            </wp:positionH>
            <wp:positionV relativeFrom="paragraph">
              <wp:posOffset>19050</wp:posOffset>
            </wp:positionV>
            <wp:extent cx="5753100" cy="7524750"/>
            <wp:effectExtent l="19050" t="19050" r="19050" b="19050"/>
            <wp:wrapThrough wrapText="bothSides">
              <wp:wrapPolygon edited="0">
                <wp:start x="-72" y="-55"/>
                <wp:lineTo x="-72" y="21600"/>
                <wp:lineTo x="21600" y="21600"/>
                <wp:lineTo x="21600" y="-55"/>
                <wp:lineTo x="-72" y="-55"/>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7524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2DF0758" w14:textId="77777777" w:rsidR="00645AAB" w:rsidRDefault="00645AAB" w:rsidP="00645AAB">
      <w:pPr>
        <w:pStyle w:val="Citas"/>
        <w:ind w:left="0" w:right="0"/>
        <w:rPr>
          <w:i w:val="0"/>
          <w:sz w:val="24"/>
          <w:szCs w:val="24"/>
        </w:rPr>
      </w:pPr>
      <w:r>
        <w:rPr>
          <w:i w:val="0"/>
          <w:sz w:val="24"/>
          <w:szCs w:val="24"/>
        </w:rPr>
        <w:lastRenderedPageBreak/>
        <w:t>De ahí que deba arribarse a la premisa de que en términos del numeral 97 de la Ley Orgánica Municipal del Estado de México, la hacienda pública municipal se integra por:</w:t>
      </w:r>
    </w:p>
    <w:p w14:paraId="6129787C" w14:textId="77777777" w:rsidR="00645AAB" w:rsidRPr="00645AAB" w:rsidRDefault="00645AAB" w:rsidP="00645AAB">
      <w:pPr>
        <w:pStyle w:val="Citas"/>
        <w:numPr>
          <w:ilvl w:val="0"/>
          <w:numId w:val="18"/>
        </w:numPr>
        <w:ind w:right="0"/>
        <w:rPr>
          <w:i w:val="0"/>
          <w:sz w:val="24"/>
          <w:szCs w:val="24"/>
        </w:rPr>
      </w:pPr>
      <w:r w:rsidRPr="00645AAB">
        <w:rPr>
          <w:i w:val="0"/>
          <w:sz w:val="24"/>
          <w:szCs w:val="24"/>
        </w:rPr>
        <w:t>Los bienes muebles e inmuebles propiedad del municipio;</w:t>
      </w:r>
    </w:p>
    <w:p w14:paraId="0F000BC2" w14:textId="77777777" w:rsidR="00645AAB" w:rsidRPr="00645AAB" w:rsidRDefault="00645AAB" w:rsidP="00645AAB">
      <w:pPr>
        <w:pStyle w:val="Citas"/>
        <w:numPr>
          <w:ilvl w:val="0"/>
          <w:numId w:val="18"/>
        </w:numPr>
        <w:ind w:right="0"/>
        <w:rPr>
          <w:i w:val="0"/>
          <w:sz w:val="24"/>
          <w:szCs w:val="24"/>
        </w:rPr>
      </w:pPr>
      <w:r w:rsidRPr="00645AAB">
        <w:rPr>
          <w:i w:val="0"/>
          <w:sz w:val="24"/>
          <w:szCs w:val="24"/>
        </w:rPr>
        <w:t>Los capitales y créditos a favor del municipio, así como los intereses y productos que generen los mismos;</w:t>
      </w:r>
    </w:p>
    <w:p w14:paraId="0FCFDBBC" w14:textId="77777777" w:rsidR="00645AAB" w:rsidRPr="00645AAB" w:rsidRDefault="00645AAB" w:rsidP="00645AAB">
      <w:pPr>
        <w:pStyle w:val="Citas"/>
        <w:numPr>
          <w:ilvl w:val="0"/>
          <w:numId w:val="18"/>
        </w:numPr>
        <w:ind w:right="0"/>
        <w:rPr>
          <w:i w:val="0"/>
          <w:sz w:val="24"/>
          <w:szCs w:val="24"/>
        </w:rPr>
      </w:pPr>
      <w:r w:rsidRPr="00645AAB">
        <w:rPr>
          <w:i w:val="0"/>
          <w:sz w:val="24"/>
          <w:szCs w:val="24"/>
        </w:rPr>
        <w:t>Las rentas y productos de todos los bienes municipales;</w:t>
      </w:r>
    </w:p>
    <w:p w14:paraId="342D6F00" w14:textId="77777777" w:rsidR="00645AAB" w:rsidRPr="00645AAB" w:rsidRDefault="00645AAB" w:rsidP="00645AAB">
      <w:pPr>
        <w:pStyle w:val="Citas"/>
        <w:numPr>
          <w:ilvl w:val="0"/>
          <w:numId w:val="18"/>
        </w:numPr>
        <w:ind w:right="0"/>
        <w:rPr>
          <w:b/>
          <w:i w:val="0"/>
          <w:sz w:val="24"/>
          <w:szCs w:val="24"/>
          <w:u w:val="single"/>
        </w:rPr>
      </w:pPr>
      <w:r w:rsidRPr="00645AAB">
        <w:rPr>
          <w:b/>
          <w:i w:val="0"/>
          <w:sz w:val="24"/>
          <w:szCs w:val="24"/>
          <w:u w:val="single"/>
        </w:rPr>
        <w:t xml:space="preserve">Las participaciones que perciban de acuerdo con las leyes federales y del Estado. </w:t>
      </w:r>
    </w:p>
    <w:p w14:paraId="4E081337" w14:textId="77777777" w:rsidR="00645AAB" w:rsidRPr="00645AAB" w:rsidRDefault="00645AAB" w:rsidP="00645AAB">
      <w:pPr>
        <w:pStyle w:val="Citas"/>
        <w:numPr>
          <w:ilvl w:val="0"/>
          <w:numId w:val="18"/>
        </w:numPr>
        <w:ind w:right="0"/>
        <w:rPr>
          <w:i w:val="0"/>
          <w:sz w:val="24"/>
          <w:szCs w:val="24"/>
        </w:rPr>
      </w:pPr>
      <w:r w:rsidRPr="00645AAB">
        <w:rPr>
          <w:i w:val="0"/>
          <w:sz w:val="24"/>
          <w:szCs w:val="24"/>
        </w:rPr>
        <w:t xml:space="preserve">Las contribuciones y demás ingresos determinados en la Ley de Ingresos de los Municipios, los que decrete la Legislatura y otros que por cualquier título legal reciba. </w:t>
      </w:r>
    </w:p>
    <w:p w14:paraId="26D5F202" w14:textId="77777777" w:rsidR="00645AAB" w:rsidRPr="00645AAB" w:rsidRDefault="00645AAB" w:rsidP="00645AAB">
      <w:pPr>
        <w:pStyle w:val="Citas"/>
        <w:numPr>
          <w:ilvl w:val="0"/>
          <w:numId w:val="18"/>
        </w:numPr>
        <w:ind w:right="0"/>
        <w:rPr>
          <w:i w:val="0"/>
          <w:sz w:val="24"/>
          <w:szCs w:val="24"/>
        </w:rPr>
      </w:pPr>
      <w:r w:rsidRPr="00645AAB">
        <w:rPr>
          <w:i w:val="0"/>
          <w:sz w:val="24"/>
          <w:szCs w:val="24"/>
        </w:rPr>
        <w:t>Las donaciones, herencias y legados que reciban</w:t>
      </w:r>
    </w:p>
    <w:p w14:paraId="39D1167C" w14:textId="387E86B0" w:rsidR="00645AAB" w:rsidRDefault="00645AAB" w:rsidP="007113A3">
      <w:pPr>
        <w:pStyle w:val="Citas"/>
        <w:ind w:left="0" w:right="0"/>
        <w:rPr>
          <w:i w:val="0"/>
          <w:sz w:val="24"/>
          <w:szCs w:val="24"/>
        </w:rPr>
      </w:pPr>
    </w:p>
    <w:p w14:paraId="4AEA0A12" w14:textId="6479C33F" w:rsidR="00940D65" w:rsidRDefault="00645AAB" w:rsidP="007113A3">
      <w:pPr>
        <w:pStyle w:val="Citas"/>
        <w:ind w:left="0" w:right="0"/>
        <w:rPr>
          <w:i w:val="0"/>
          <w:sz w:val="24"/>
          <w:szCs w:val="24"/>
        </w:rPr>
      </w:pPr>
      <w:r>
        <w:rPr>
          <w:i w:val="0"/>
          <w:sz w:val="24"/>
          <w:szCs w:val="24"/>
        </w:rPr>
        <w:t xml:space="preserve">Luego entonces, la información remitida mediante respuesta primigenia es susceptible de dar colmar parcialmente el derecho de acceso a la información, lo anterior al tomar en consideración que el documento remitido da cuenta respecto de las participaciones percibidas de acuerdo con las leyes federales y del Estado, es decir, uno de los rubros de la hacienda pública municipal. </w:t>
      </w:r>
    </w:p>
    <w:p w14:paraId="47BBB974" w14:textId="638FD75A" w:rsidR="00645AAB" w:rsidRDefault="00645AAB" w:rsidP="00645AAB">
      <w:pPr>
        <w:pStyle w:val="Citas"/>
        <w:ind w:left="0" w:right="0"/>
        <w:rPr>
          <w:i w:val="0"/>
          <w:sz w:val="24"/>
          <w:szCs w:val="24"/>
        </w:rPr>
      </w:pPr>
      <w:r>
        <w:rPr>
          <w:i w:val="0"/>
          <w:sz w:val="24"/>
          <w:szCs w:val="24"/>
        </w:rPr>
        <w:lastRenderedPageBreak/>
        <w:t xml:space="preserve">Inconforme con la respuesta del </w:t>
      </w:r>
      <w:r>
        <w:rPr>
          <w:b/>
          <w:i w:val="0"/>
          <w:sz w:val="24"/>
          <w:szCs w:val="24"/>
        </w:rPr>
        <w:t xml:space="preserve">Sujeto Obligado, El Recurrente </w:t>
      </w:r>
      <w:r>
        <w:rPr>
          <w:i w:val="0"/>
          <w:sz w:val="24"/>
          <w:szCs w:val="24"/>
        </w:rPr>
        <w:t xml:space="preserve">interpuso recurso de revisión en fecha veintiocho de febrero, admitiéndose el cuatro de marzo, ambos de dos mil veintidós. Señalando como acto impugnado: </w:t>
      </w:r>
    </w:p>
    <w:p w14:paraId="64E62B8F" w14:textId="23E98383" w:rsidR="007113A3" w:rsidRPr="00645AAB" w:rsidRDefault="00645AAB" w:rsidP="00645AAB">
      <w:pPr>
        <w:pStyle w:val="Citas"/>
        <w:rPr>
          <w:b/>
        </w:rPr>
      </w:pPr>
      <w:r>
        <w:t>“</w:t>
      </w:r>
      <w:r w:rsidRPr="00645AAB">
        <w:t>El sujeto obligado no acata las disposiciones establecidas en la ley de transparencia, dolosamente remite información diferente, además, para el caso de no haber sido clara la solicitud pudo haber solicitado la aclaración en el periodo que la misma ley señala, lo que demuestra deficiencias graves de los servidores públicos encargados o peor aún violan flagrantemente la ley.</w:t>
      </w:r>
      <w:r>
        <w:t xml:space="preserve">” </w:t>
      </w:r>
      <w:r>
        <w:rPr>
          <w:b/>
        </w:rPr>
        <w:t>[Sic]</w:t>
      </w:r>
    </w:p>
    <w:p w14:paraId="4985E523" w14:textId="799C62A2" w:rsidR="00D166FF" w:rsidRDefault="007113A3" w:rsidP="00645AAB">
      <w:pPr>
        <w:pStyle w:val="Citas"/>
        <w:ind w:left="0" w:right="0"/>
        <w:rPr>
          <w:i w:val="0"/>
          <w:sz w:val="24"/>
          <w:szCs w:val="24"/>
        </w:rPr>
      </w:pPr>
      <w:r>
        <w:rPr>
          <w:i w:val="0"/>
          <w:sz w:val="24"/>
          <w:szCs w:val="24"/>
        </w:rPr>
        <w:t xml:space="preserve"> </w:t>
      </w:r>
    </w:p>
    <w:p w14:paraId="060BA142" w14:textId="77777777" w:rsidR="00645AAB" w:rsidRDefault="00645AAB" w:rsidP="00645AAB">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0736125C" w14:textId="77777777" w:rsidR="00645AAB" w:rsidRDefault="00645AAB" w:rsidP="00645AAB">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406AFB6F" w14:textId="77777777" w:rsidR="00645AAB" w:rsidRDefault="00645AAB" w:rsidP="00645AAB">
      <w:pPr>
        <w:pStyle w:val="Citas"/>
      </w:pPr>
      <w:r>
        <w:t xml:space="preserve">I. La negativa a la información solicitada; </w:t>
      </w:r>
    </w:p>
    <w:p w14:paraId="29797C31" w14:textId="77777777" w:rsidR="00645AAB" w:rsidRDefault="00645AAB" w:rsidP="00645AAB">
      <w:pPr>
        <w:pStyle w:val="Citas"/>
      </w:pPr>
      <w:r>
        <w:t xml:space="preserve"> (…)</w:t>
      </w:r>
    </w:p>
    <w:p w14:paraId="74F53F4E" w14:textId="77777777" w:rsidR="00645AAB" w:rsidRDefault="00645AAB" w:rsidP="00645AAB">
      <w:pPr>
        <w:pStyle w:val="Citas"/>
      </w:pPr>
      <w:r>
        <w:t>VI. La entrega de información que no corresponda con lo solicitado;</w:t>
      </w:r>
    </w:p>
    <w:p w14:paraId="633CAB03" w14:textId="54E9EC15" w:rsidR="00645AAB" w:rsidRPr="007818E1" w:rsidRDefault="00645AAB" w:rsidP="00645AAB">
      <w:pPr>
        <w:pStyle w:val="Citas"/>
        <w:rPr>
          <w:b/>
        </w:rPr>
      </w:pPr>
      <w:r>
        <w:t xml:space="preserve">(…)” </w:t>
      </w:r>
      <w:r>
        <w:rPr>
          <w:b/>
        </w:rPr>
        <w:t>[Sic]</w:t>
      </w:r>
    </w:p>
    <w:p w14:paraId="7740A520" w14:textId="5F3F3044" w:rsidR="00645AAB" w:rsidRDefault="001B587C" w:rsidP="00645AAB">
      <w:pPr>
        <w:pStyle w:val="Citas"/>
        <w:ind w:left="0" w:right="0"/>
        <w:rPr>
          <w:i w:val="0"/>
          <w:color w:val="000000"/>
          <w:sz w:val="24"/>
          <w:lang w:val="es-ES_tradnl"/>
        </w:rPr>
      </w:pPr>
      <w:r w:rsidRPr="00AB039D">
        <w:rPr>
          <w:i w:val="0"/>
          <w:color w:val="000000"/>
          <w:sz w:val="24"/>
          <w:lang w:val="es-ES_tradnl"/>
        </w:rPr>
        <w:lastRenderedPageBreak/>
        <w:t xml:space="preserve">Por otra parte, como fue mencionado en el antecedente </w:t>
      </w:r>
      <w:r>
        <w:rPr>
          <w:i w:val="0"/>
          <w:color w:val="000000"/>
          <w:sz w:val="24"/>
          <w:lang w:val="es-ES_tradnl"/>
        </w:rPr>
        <w:t>quinto</w:t>
      </w:r>
      <w:r w:rsidRPr="00AB039D">
        <w:rPr>
          <w:i w:val="0"/>
          <w:color w:val="000000"/>
          <w:sz w:val="24"/>
          <w:lang w:val="es-ES_tradnl"/>
        </w:rPr>
        <w:t xml:space="preserve">, </w:t>
      </w:r>
      <w:r w:rsidRPr="00AB039D">
        <w:rPr>
          <w:b/>
          <w:i w:val="0"/>
          <w:color w:val="000000"/>
          <w:sz w:val="24"/>
          <w:lang w:val="es-ES_tradnl"/>
        </w:rPr>
        <w:t xml:space="preserve">El Sujeto Obligado </w:t>
      </w:r>
      <w:r>
        <w:rPr>
          <w:i w:val="0"/>
          <w:color w:val="000000"/>
          <w:sz w:val="24"/>
          <w:lang w:val="es-ES_tradnl"/>
        </w:rPr>
        <w:t>rindió su informe justificado en los siguientes términos:</w:t>
      </w:r>
    </w:p>
    <w:p w14:paraId="162B8988" w14:textId="7B169C5E" w:rsidR="001B587C" w:rsidRPr="001B587C" w:rsidRDefault="001B587C" w:rsidP="001B587C">
      <w:pPr>
        <w:pStyle w:val="Citas"/>
        <w:numPr>
          <w:ilvl w:val="0"/>
          <w:numId w:val="20"/>
        </w:numPr>
        <w:ind w:right="0"/>
        <w:rPr>
          <w:b/>
          <w:i w:val="0"/>
          <w:color w:val="000000"/>
          <w:sz w:val="24"/>
          <w:lang w:val="es-ES_tradnl"/>
        </w:rPr>
      </w:pPr>
      <w:r>
        <w:rPr>
          <w:b/>
          <w:i w:val="0"/>
          <w:color w:val="000000"/>
          <w:sz w:val="24"/>
          <w:lang w:val="es-ES_tradnl"/>
        </w:rPr>
        <w:t xml:space="preserve">“148-2450 INFORME JUSTIFICADO.pdf”: </w:t>
      </w:r>
      <w:r>
        <w:rPr>
          <w:i w:val="0"/>
          <w:color w:val="000000"/>
          <w:sz w:val="24"/>
          <w:lang w:val="es-ES_tradnl"/>
        </w:rPr>
        <w:t>Compila lo siguiente:</w:t>
      </w:r>
    </w:p>
    <w:p w14:paraId="2D79CBDE" w14:textId="2751ABE3" w:rsidR="001B587C" w:rsidRPr="001B587C" w:rsidRDefault="001B587C" w:rsidP="001B587C">
      <w:pPr>
        <w:pStyle w:val="Citas"/>
        <w:numPr>
          <w:ilvl w:val="0"/>
          <w:numId w:val="21"/>
        </w:numPr>
        <w:ind w:right="0"/>
        <w:rPr>
          <w:b/>
          <w:i w:val="0"/>
          <w:color w:val="000000"/>
          <w:sz w:val="24"/>
          <w:lang w:val="es-ES_tradnl"/>
        </w:rPr>
      </w:pPr>
      <w:r>
        <w:rPr>
          <w:i w:val="0"/>
          <w:color w:val="000000"/>
          <w:sz w:val="24"/>
          <w:lang w:val="es-ES_tradnl"/>
        </w:rPr>
        <w:t xml:space="preserve">Oficio número </w:t>
      </w:r>
      <w:r>
        <w:rPr>
          <w:b/>
          <w:i w:val="0"/>
          <w:color w:val="000000"/>
          <w:sz w:val="24"/>
          <w:lang w:val="es-ES_tradnl"/>
        </w:rPr>
        <w:t xml:space="preserve">PM/CUT/0462/2022, </w:t>
      </w:r>
      <w:r>
        <w:rPr>
          <w:i w:val="0"/>
          <w:color w:val="000000"/>
          <w:sz w:val="24"/>
          <w:lang w:val="es-ES_tradnl"/>
        </w:rPr>
        <w:t>de fecha siete de marzo de dos mil veintidós,</w:t>
      </w:r>
      <w:r>
        <w:rPr>
          <w:b/>
          <w:i w:val="0"/>
          <w:color w:val="000000"/>
          <w:sz w:val="24"/>
          <w:lang w:val="es-ES_tradnl"/>
        </w:rPr>
        <w:t xml:space="preserve"> </w:t>
      </w:r>
      <w:r>
        <w:rPr>
          <w:i w:val="0"/>
          <w:color w:val="000000"/>
          <w:sz w:val="24"/>
          <w:lang w:val="es-ES_tradnl"/>
        </w:rPr>
        <w:t xml:space="preserve">signado por el Coordinador de Transparencia y dirigido al Tesorero Municipal, en </w:t>
      </w:r>
      <w:proofErr w:type="gramStart"/>
      <w:r>
        <w:rPr>
          <w:i w:val="0"/>
          <w:color w:val="000000"/>
          <w:sz w:val="24"/>
          <w:lang w:val="es-ES_tradnl"/>
        </w:rPr>
        <w:t>síntesis</w:t>
      </w:r>
      <w:proofErr w:type="gramEnd"/>
      <w:r>
        <w:rPr>
          <w:i w:val="0"/>
          <w:color w:val="000000"/>
          <w:sz w:val="24"/>
          <w:lang w:val="es-ES_tradnl"/>
        </w:rPr>
        <w:t xml:space="preserve"> le requiere brindar elementos a efecto de integrar el informe justificado.  </w:t>
      </w:r>
    </w:p>
    <w:p w14:paraId="033BEE19" w14:textId="6F890F04" w:rsidR="001B587C" w:rsidRPr="001B587C" w:rsidRDefault="001B587C" w:rsidP="001B587C">
      <w:pPr>
        <w:pStyle w:val="Citas"/>
        <w:numPr>
          <w:ilvl w:val="0"/>
          <w:numId w:val="21"/>
        </w:numPr>
        <w:ind w:right="0"/>
        <w:rPr>
          <w:b/>
          <w:i w:val="0"/>
          <w:color w:val="000000"/>
          <w:sz w:val="24"/>
          <w:lang w:val="es-ES_tradnl"/>
        </w:rPr>
      </w:pPr>
      <w:r>
        <w:rPr>
          <w:i w:val="0"/>
          <w:color w:val="000000"/>
          <w:sz w:val="24"/>
          <w:lang w:val="es-ES_tradnl"/>
        </w:rPr>
        <w:t xml:space="preserve">Oficio número </w:t>
      </w:r>
      <w:r>
        <w:rPr>
          <w:b/>
          <w:i w:val="0"/>
          <w:color w:val="000000"/>
          <w:sz w:val="24"/>
          <w:lang w:val="es-ES_tradnl"/>
        </w:rPr>
        <w:t xml:space="preserve">TM/0837/2022, </w:t>
      </w:r>
      <w:r>
        <w:rPr>
          <w:i w:val="0"/>
          <w:color w:val="000000"/>
          <w:sz w:val="24"/>
          <w:lang w:val="es-ES_tradnl"/>
        </w:rPr>
        <w:t xml:space="preserve">signado por el Tesorero Municipal, con relación a la Constancia de Liquidación de Participaciones remitida mediante respuesta primigenia, expone las siguientes ideas medulares: </w:t>
      </w:r>
    </w:p>
    <w:p w14:paraId="5175100F" w14:textId="5532C9DC" w:rsidR="001B587C" w:rsidRPr="001B587C" w:rsidRDefault="001B587C" w:rsidP="001B587C">
      <w:pPr>
        <w:pStyle w:val="Citas"/>
        <w:numPr>
          <w:ilvl w:val="0"/>
          <w:numId w:val="22"/>
        </w:numPr>
        <w:ind w:right="0"/>
        <w:rPr>
          <w:b/>
          <w:i w:val="0"/>
          <w:color w:val="000000"/>
          <w:sz w:val="24"/>
          <w:lang w:val="es-ES_tradnl"/>
        </w:rPr>
      </w:pPr>
      <w:r>
        <w:rPr>
          <w:i w:val="0"/>
          <w:color w:val="000000"/>
          <w:sz w:val="24"/>
          <w:lang w:val="es-ES_tradnl"/>
        </w:rPr>
        <w:t xml:space="preserve">Se trata de un documento de carácter público al ser expedido por la Secretaría de Finanzas del Gobierno del Estado de México, en términos de diversas porciones normativas de la Ley de Coordinación Fiscal y del Código Financiero del Estado de México. </w:t>
      </w:r>
    </w:p>
    <w:p w14:paraId="618523DB" w14:textId="51B1BB4F" w:rsidR="001B587C" w:rsidRPr="001B587C" w:rsidRDefault="001B587C" w:rsidP="001B587C">
      <w:pPr>
        <w:pStyle w:val="Citas"/>
        <w:numPr>
          <w:ilvl w:val="0"/>
          <w:numId w:val="22"/>
        </w:numPr>
        <w:ind w:right="0"/>
        <w:rPr>
          <w:b/>
          <w:i w:val="0"/>
          <w:color w:val="000000"/>
          <w:sz w:val="24"/>
          <w:lang w:val="es-ES_tradnl"/>
        </w:rPr>
      </w:pPr>
      <w:r>
        <w:rPr>
          <w:i w:val="0"/>
          <w:color w:val="000000"/>
          <w:sz w:val="24"/>
          <w:lang w:val="es-ES_tradnl"/>
        </w:rPr>
        <w:t xml:space="preserve">Que refleja claramente los montos en dinero recibidos por la actual administración en enero del año en curso, destacando que la misma, inició su gestión el 01 de enero de este año. </w:t>
      </w:r>
    </w:p>
    <w:p w14:paraId="5C5205B4" w14:textId="673A31BA" w:rsidR="001B587C" w:rsidRPr="001B587C" w:rsidRDefault="001B587C" w:rsidP="001B587C">
      <w:pPr>
        <w:pStyle w:val="Citas"/>
        <w:numPr>
          <w:ilvl w:val="0"/>
          <w:numId w:val="22"/>
        </w:numPr>
        <w:ind w:right="0"/>
        <w:rPr>
          <w:b/>
          <w:i w:val="0"/>
          <w:color w:val="000000"/>
          <w:sz w:val="24"/>
          <w:lang w:val="es-ES_tradnl"/>
        </w:rPr>
      </w:pPr>
      <w:r>
        <w:rPr>
          <w:i w:val="0"/>
          <w:color w:val="000000"/>
          <w:sz w:val="24"/>
          <w:lang w:val="es-ES_tradnl"/>
        </w:rPr>
        <w:t xml:space="preserve">Que el documento remitido mediante respuesta primigenia es estimado como un documento idóneo para colmar la pretensión del particular. </w:t>
      </w:r>
    </w:p>
    <w:p w14:paraId="77359FC5" w14:textId="77777777" w:rsidR="001B587C" w:rsidRPr="00D166FF" w:rsidRDefault="001B587C" w:rsidP="00645AAB">
      <w:pPr>
        <w:pStyle w:val="Citas"/>
        <w:ind w:left="0" w:right="0"/>
        <w:rPr>
          <w:b/>
        </w:rPr>
      </w:pPr>
    </w:p>
    <w:p w14:paraId="2D7CE350" w14:textId="755F78EF" w:rsidR="003B6C39" w:rsidRDefault="003B6C39" w:rsidP="003B6C39">
      <w:pPr>
        <w:pStyle w:val="Citas"/>
        <w:ind w:left="0" w:right="0"/>
        <w:rPr>
          <w:i w:val="0"/>
          <w:color w:val="000000"/>
          <w:sz w:val="24"/>
          <w:lang w:val="es-ES_tradnl"/>
        </w:rPr>
      </w:pPr>
      <w:r>
        <w:rPr>
          <w:i w:val="0"/>
          <w:color w:val="000000"/>
          <w:sz w:val="24"/>
          <w:lang w:val="es-ES_tradnl"/>
        </w:rPr>
        <w:lastRenderedPageBreak/>
        <w:t xml:space="preserve">Hasta aquí lo expuesto se </w:t>
      </w:r>
      <w:r w:rsidR="00024479">
        <w:rPr>
          <w:i w:val="0"/>
          <w:color w:val="000000"/>
          <w:sz w:val="24"/>
          <w:lang w:val="es-ES_tradnl"/>
        </w:rPr>
        <w:t>desprende</w:t>
      </w:r>
      <w:r>
        <w:rPr>
          <w:i w:val="0"/>
          <w:color w:val="000000"/>
          <w:sz w:val="24"/>
          <w:lang w:val="es-ES_tradnl"/>
        </w:rPr>
        <w:t xml:space="preserve"> las siguientes consideraciones: </w:t>
      </w:r>
    </w:p>
    <w:p w14:paraId="66C01D23" w14:textId="63F2FF05" w:rsidR="003B6C39" w:rsidRDefault="003B6C39" w:rsidP="0069261D">
      <w:pPr>
        <w:pStyle w:val="Citas"/>
        <w:numPr>
          <w:ilvl w:val="0"/>
          <w:numId w:val="23"/>
        </w:numPr>
        <w:ind w:right="0"/>
        <w:rPr>
          <w:i w:val="0"/>
          <w:sz w:val="24"/>
          <w:szCs w:val="24"/>
        </w:rPr>
      </w:pPr>
      <w:r w:rsidRPr="003B6C39">
        <w:rPr>
          <w:i w:val="0"/>
          <w:sz w:val="24"/>
          <w:szCs w:val="24"/>
        </w:rPr>
        <w:t xml:space="preserve">Que mediante la solicitud de información </w:t>
      </w:r>
      <w:r w:rsidRPr="003B6C39">
        <w:rPr>
          <w:b/>
          <w:i w:val="0"/>
          <w:sz w:val="24"/>
          <w:szCs w:val="24"/>
        </w:rPr>
        <w:t xml:space="preserve">00148/CUAUTIZC/IP/2022 </w:t>
      </w:r>
      <w:r w:rsidRPr="003B6C39">
        <w:rPr>
          <w:i w:val="0"/>
          <w:sz w:val="24"/>
          <w:szCs w:val="24"/>
        </w:rPr>
        <w:t xml:space="preserve">fue requerido </w:t>
      </w:r>
      <w:r w:rsidR="00024479">
        <w:rPr>
          <w:i w:val="0"/>
          <w:sz w:val="24"/>
          <w:szCs w:val="24"/>
        </w:rPr>
        <w:t>e</w:t>
      </w:r>
      <w:r w:rsidRPr="003B6C39">
        <w:rPr>
          <w:i w:val="0"/>
          <w:sz w:val="24"/>
          <w:szCs w:val="24"/>
        </w:rPr>
        <w:t xml:space="preserve">l o los documentos donde consten los montos recibidos (estados de cuenta bancarios de cada cuenta y/o análogos), del periodo comprendido del uno de enero al once de febrero de dos mil veintidós. </w:t>
      </w:r>
    </w:p>
    <w:p w14:paraId="0AE3CAB5" w14:textId="54E57127" w:rsidR="003B6C39" w:rsidRDefault="003B6C39" w:rsidP="003B6C39">
      <w:pPr>
        <w:pStyle w:val="Citas"/>
        <w:numPr>
          <w:ilvl w:val="0"/>
          <w:numId w:val="23"/>
        </w:numPr>
        <w:ind w:right="0"/>
        <w:rPr>
          <w:i w:val="0"/>
          <w:sz w:val="24"/>
          <w:szCs w:val="24"/>
        </w:rPr>
      </w:pPr>
      <w:r>
        <w:rPr>
          <w:i w:val="0"/>
          <w:sz w:val="24"/>
          <w:szCs w:val="24"/>
        </w:rPr>
        <w:t xml:space="preserve">Que </w:t>
      </w:r>
      <w:r>
        <w:rPr>
          <w:b/>
          <w:i w:val="0"/>
          <w:sz w:val="24"/>
          <w:szCs w:val="24"/>
        </w:rPr>
        <w:t xml:space="preserve">El Sujeto Obligado </w:t>
      </w:r>
      <w:r>
        <w:rPr>
          <w:i w:val="0"/>
          <w:sz w:val="24"/>
          <w:szCs w:val="24"/>
        </w:rPr>
        <w:t xml:space="preserve">observó </w:t>
      </w:r>
      <w:r w:rsidR="006017C5">
        <w:rPr>
          <w:i w:val="0"/>
          <w:sz w:val="24"/>
          <w:szCs w:val="24"/>
        </w:rPr>
        <w:t xml:space="preserve">parcialmente </w:t>
      </w:r>
      <w:r>
        <w:rPr>
          <w:i w:val="0"/>
          <w:sz w:val="24"/>
          <w:szCs w:val="24"/>
        </w:rPr>
        <w:t xml:space="preserve">el contenido del numeral 162 de la Ley de Transparencia local, al turnar la solicitud de información a las áreas oportunas </w:t>
      </w:r>
      <w:proofErr w:type="gramStart"/>
      <w:r>
        <w:rPr>
          <w:i w:val="0"/>
          <w:sz w:val="24"/>
          <w:szCs w:val="24"/>
        </w:rPr>
        <w:t>en razón de</w:t>
      </w:r>
      <w:proofErr w:type="gramEnd"/>
      <w:r>
        <w:rPr>
          <w:i w:val="0"/>
          <w:sz w:val="24"/>
          <w:szCs w:val="24"/>
        </w:rPr>
        <w:t xml:space="preserve"> las atribuciones reservadas, resultando co</w:t>
      </w:r>
      <w:r w:rsidR="002B4162">
        <w:rPr>
          <w:i w:val="0"/>
          <w:sz w:val="24"/>
          <w:szCs w:val="24"/>
        </w:rPr>
        <w:t xml:space="preserve">mpetente la Tesorería Municipal, así como </w:t>
      </w:r>
      <w:proofErr w:type="spellStart"/>
      <w:r w:rsidR="002B4162">
        <w:rPr>
          <w:i w:val="0"/>
          <w:sz w:val="24"/>
          <w:szCs w:val="24"/>
        </w:rPr>
        <w:t>Subtesorería</w:t>
      </w:r>
      <w:proofErr w:type="spellEnd"/>
      <w:r w:rsidR="002B4162">
        <w:rPr>
          <w:i w:val="0"/>
          <w:sz w:val="24"/>
          <w:szCs w:val="24"/>
        </w:rPr>
        <w:t xml:space="preserve"> de Ingresos. </w:t>
      </w:r>
    </w:p>
    <w:p w14:paraId="5FE43D65" w14:textId="524B04ED" w:rsidR="003B6C39" w:rsidRDefault="003B6C39" w:rsidP="003B6C39">
      <w:pPr>
        <w:pStyle w:val="Citas"/>
        <w:numPr>
          <w:ilvl w:val="0"/>
          <w:numId w:val="23"/>
        </w:numPr>
        <w:ind w:right="0"/>
        <w:rPr>
          <w:i w:val="0"/>
          <w:sz w:val="24"/>
          <w:szCs w:val="24"/>
        </w:rPr>
      </w:pPr>
      <w:r>
        <w:rPr>
          <w:i w:val="0"/>
          <w:sz w:val="24"/>
          <w:szCs w:val="24"/>
        </w:rPr>
        <w:t>De</w:t>
      </w:r>
      <w:r w:rsidRPr="00AB039D">
        <w:rPr>
          <w:i w:val="0"/>
          <w:sz w:val="24"/>
          <w:szCs w:val="24"/>
        </w:rPr>
        <w:t xml:space="preserve"> una interpretación literal a los artículos 18 y 19 de la Ley de Transparencia del Estado de México, se advierte </w:t>
      </w:r>
      <w:r>
        <w:rPr>
          <w:i w:val="0"/>
          <w:sz w:val="24"/>
          <w:szCs w:val="24"/>
        </w:rPr>
        <w:t xml:space="preserve">la obligación de documentar todo acto administrativo que se desprenda del marco jurídico aplicable, así como una presunción de existencia de la información cuando se trate del marco jurídico reservado al </w:t>
      </w:r>
      <w:r>
        <w:rPr>
          <w:b/>
          <w:i w:val="0"/>
          <w:sz w:val="24"/>
          <w:szCs w:val="24"/>
        </w:rPr>
        <w:t xml:space="preserve">Sujeto Obligado, </w:t>
      </w:r>
      <w:r>
        <w:rPr>
          <w:i w:val="0"/>
          <w:sz w:val="24"/>
          <w:szCs w:val="24"/>
        </w:rPr>
        <w:t xml:space="preserve">respectivamente. </w:t>
      </w:r>
    </w:p>
    <w:p w14:paraId="033C01B1" w14:textId="462E2D45" w:rsidR="003B6C39" w:rsidRDefault="003B6C39" w:rsidP="0069261D">
      <w:pPr>
        <w:pStyle w:val="Citas"/>
        <w:numPr>
          <w:ilvl w:val="0"/>
          <w:numId w:val="23"/>
        </w:numPr>
        <w:ind w:right="0"/>
        <w:rPr>
          <w:i w:val="0"/>
          <w:sz w:val="24"/>
          <w:szCs w:val="24"/>
        </w:rPr>
      </w:pPr>
      <w:r>
        <w:rPr>
          <w:i w:val="0"/>
          <w:sz w:val="24"/>
          <w:szCs w:val="24"/>
        </w:rPr>
        <w:t xml:space="preserve">En términos del numeral 97 de la Ley Orgánica Municipal, la Hacienda Pública municipal se divide en seis grandes rubros: bienes; capitales y créditos; rentas y productos; contribuciones; donaciones, herencias y legados; </w:t>
      </w:r>
      <w:r w:rsidRPr="003B6C39">
        <w:rPr>
          <w:b/>
          <w:i w:val="0"/>
          <w:sz w:val="24"/>
          <w:szCs w:val="24"/>
          <w:u w:val="single"/>
        </w:rPr>
        <w:t>participaciones estatales y federales.</w:t>
      </w:r>
      <w:r>
        <w:rPr>
          <w:i w:val="0"/>
          <w:sz w:val="24"/>
          <w:szCs w:val="24"/>
        </w:rPr>
        <w:t xml:space="preserve"> </w:t>
      </w:r>
    </w:p>
    <w:p w14:paraId="2308DCA7" w14:textId="7BEB548D" w:rsidR="003B6C39" w:rsidRDefault="003B6C39" w:rsidP="0069261D">
      <w:pPr>
        <w:pStyle w:val="Citas"/>
        <w:numPr>
          <w:ilvl w:val="0"/>
          <w:numId w:val="23"/>
        </w:numPr>
        <w:ind w:right="0"/>
        <w:rPr>
          <w:i w:val="0"/>
          <w:sz w:val="24"/>
          <w:szCs w:val="24"/>
        </w:rPr>
      </w:pPr>
      <w:r>
        <w:rPr>
          <w:i w:val="0"/>
          <w:sz w:val="24"/>
          <w:szCs w:val="24"/>
        </w:rPr>
        <w:t xml:space="preserve">Mediante respuesta primigenia, </w:t>
      </w:r>
      <w:r>
        <w:rPr>
          <w:b/>
          <w:i w:val="0"/>
          <w:sz w:val="24"/>
          <w:szCs w:val="24"/>
        </w:rPr>
        <w:t xml:space="preserve">El Sujeto Obligado </w:t>
      </w:r>
      <w:r>
        <w:rPr>
          <w:i w:val="0"/>
          <w:sz w:val="24"/>
          <w:szCs w:val="24"/>
        </w:rPr>
        <w:t xml:space="preserve">se limitó a remitir la información referente a participaciones estatales y federales, es decir, colmó parcialmente el derecho de acceso a la información. </w:t>
      </w:r>
    </w:p>
    <w:p w14:paraId="5117171A" w14:textId="3695A7AD" w:rsidR="003B6C39" w:rsidRPr="003B6C39" w:rsidRDefault="003B6C39" w:rsidP="0069261D">
      <w:pPr>
        <w:pStyle w:val="Citas"/>
        <w:numPr>
          <w:ilvl w:val="0"/>
          <w:numId w:val="23"/>
        </w:numPr>
        <w:ind w:right="0"/>
        <w:rPr>
          <w:i w:val="0"/>
          <w:sz w:val="24"/>
          <w:szCs w:val="24"/>
        </w:rPr>
      </w:pPr>
      <w:r>
        <w:rPr>
          <w:i w:val="0"/>
          <w:sz w:val="24"/>
          <w:szCs w:val="24"/>
        </w:rPr>
        <w:lastRenderedPageBreak/>
        <w:t xml:space="preserve">Finalmente, mediante informe justificado, no subsanó la violación al derecho de acceso a la información pública. </w:t>
      </w:r>
    </w:p>
    <w:p w14:paraId="225B4C2F" w14:textId="77777777" w:rsidR="00D166FF" w:rsidRDefault="00D166FF" w:rsidP="003B6C39">
      <w:pPr>
        <w:spacing w:before="240" w:line="360" w:lineRule="auto"/>
        <w:jc w:val="both"/>
        <w:rPr>
          <w:rFonts w:ascii="Palatino Linotype" w:hAnsi="Palatino Linotype"/>
          <w:b/>
        </w:rPr>
      </w:pPr>
    </w:p>
    <w:p w14:paraId="61A30C0D" w14:textId="1DF43262" w:rsidR="003B6C39" w:rsidRPr="003B6C39" w:rsidRDefault="003B6C39" w:rsidP="003B6C39">
      <w:pPr>
        <w:spacing w:before="240" w:line="360" w:lineRule="auto"/>
        <w:jc w:val="both"/>
        <w:rPr>
          <w:rFonts w:ascii="Palatino Linotype" w:hAnsi="Palatino Linotype"/>
          <w:sz w:val="24"/>
          <w:szCs w:val="24"/>
        </w:rPr>
      </w:pPr>
      <w:r w:rsidRPr="003B6C39">
        <w:rPr>
          <w:rFonts w:ascii="Palatino Linotype" w:hAnsi="Palatino Linotype"/>
          <w:sz w:val="24"/>
          <w:szCs w:val="24"/>
        </w:rPr>
        <w:t xml:space="preserve">Luego entonces, </w:t>
      </w:r>
      <w:r>
        <w:rPr>
          <w:rFonts w:ascii="Palatino Linotype" w:hAnsi="Palatino Linotype"/>
          <w:sz w:val="24"/>
          <w:szCs w:val="24"/>
        </w:rPr>
        <w:t>resulta procedente ordenar la entrega</w:t>
      </w:r>
      <w:r w:rsidR="009D3D2F">
        <w:rPr>
          <w:rFonts w:ascii="Palatino Linotype" w:hAnsi="Palatino Linotype"/>
          <w:sz w:val="24"/>
          <w:szCs w:val="24"/>
        </w:rPr>
        <w:t xml:space="preserve"> previa búsqueda exhaustiva y razonable</w:t>
      </w:r>
      <w:r>
        <w:rPr>
          <w:rFonts w:ascii="Palatino Linotype" w:hAnsi="Palatino Linotype"/>
          <w:sz w:val="24"/>
          <w:szCs w:val="24"/>
        </w:rPr>
        <w:t xml:space="preserve">, en versión pública de ser procedente del </w:t>
      </w:r>
      <w:r w:rsidRPr="003B6C39">
        <w:rPr>
          <w:rFonts w:ascii="Palatino Linotype" w:hAnsi="Palatino Linotype"/>
          <w:sz w:val="24"/>
          <w:szCs w:val="24"/>
        </w:rPr>
        <w:t xml:space="preserve">o los documentos donde consten los montos recibidos (estados de cuenta bancarios de cada cuenta y/o análogos), del periodo comprendido del uno de enero al once </w:t>
      </w:r>
      <w:r>
        <w:rPr>
          <w:rFonts w:ascii="Palatino Linotype" w:hAnsi="Palatino Linotype"/>
          <w:sz w:val="24"/>
          <w:szCs w:val="24"/>
        </w:rPr>
        <w:t xml:space="preserve">de febrero de dos mil veintidós, únicamente respecto de la información que no fue remitida mediante respuesta primigenia e informe justificado. </w:t>
      </w:r>
    </w:p>
    <w:p w14:paraId="273343BA" w14:textId="77777777" w:rsidR="003B6C39" w:rsidRDefault="003B6C39" w:rsidP="003B6C39">
      <w:pPr>
        <w:spacing w:before="240" w:line="360" w:lineRule="auto"/>
        <w:jc w:val="both"/>
        <w:rPr>
          <w:rFonts w:ascii="Palatino Linotype" w:hAnsi="Palatino Linotype"/>
          <w:b/>
        </w:rPr>
      </w:pPr>
    </w:p>
    <w:p w14:paraId="6D2B5552" w14:textId="77777777" w:rsidR="003B6C39" w:rsidRPr="00C22506" w:rsidRDefault="003B6C39" w:rsidP="003B6C39">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2751ABC" w14:textId="77777777" w:rsidR="003B6C39" w:rsidRPr="001571EB" w:rsidRDefault="003B6C39" w:rsidP="003B6C3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18F6028" w14:textId="77777777" w:rsidR="003B6C39" w:rsidRPr="00E60DEF" w:rsidRDefault="003B6C39" w:rsidP="003B6C39">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468D1C6" w14:textId="77777777" w:rsidR="003B6C39" w:rsidRPr="00E60DEF" w:rsidRDefault="003B6C39" w:rsidP="003B6C39">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44445A58" w14:textId="77777777" w:rsidR="003B6C39" w:rsidRPr="001571EB" w:rsidRDefault="003B6C39" w:rsidP="003B6C3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D4AAB67" w14:textId="77777777" w:rsidR="003B6C39" w:rsidRPr="001571EB" w:rsidRDefault="003B6C39" w:rsidP="003B6C39">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49E4233" w14:textId="77777777" w:rsidR="003B6C39" w:rsidRPr="001571EB" w:rsidRDefault="003B6C39" w:rsidP="003B6C3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65E3F59" w14:textId="77777777" w:rsidR="003B6C39" w:rsidRPr="001571EB" w:rsidRDefault="003B6C39" w:rsidP="003B6C39">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8B1023D" w14:textId="77777777" w:rsidR="003B6C39" w:rsidRPr="001571EB" w:rsidRDefault="003B6C39" w:rsidP="003B6C3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9AFADE3" w14:textId="77777777" w:rsidR="003B6C39" w:rsidRPr="001571EB" w:rsidRDefault="003B6C39" w:rsidP="003B6C39">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3AE9B21" w14:textId="77777777" w:rsidR="003B6C39" w:rsidRPr="001571EB" w:rsidRDefault="003B6C39" w:rsidP="003B6C3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C822DA2" w14:textId="77777777" w:rsidR="003B6C39" w:rsidRPr="00E60DEF" w:rsidRDefault="003B6C39" w:rsidP="003B6C39">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91D883A" w14:textId="77777777" w:rsidR="003B6C39" w:rsidRPr="001571EB" w:rsidRDefault="003B6C39" w:rsidP="003B6C39">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CFFF3F5" w14:textId="77777777" w:rsidR="003B6C39" w:rsidRDefault="003B6C39" w:rsidP="003B6C39">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1D11549" w14:textId="77777777" w:rsidR="003B6C39" w:rsidRPr="001571EB" w:rsidRDefault="003B6C39" w:rsidP="003B6C3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D2A64FD" w14:textId="77777777" w:rsidR="003B6C39" w:rsidRPr="001571EB" w:rsidRDefault="003B6C39" w:rsidP="003B6C3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E712517" w14:textId="77777777" w:rsidR="003B6C39" w:rsidRPr="001571EB" w:rsidRDefault="003B6C39" w:rsidP="003B6C3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5A89B7B" w14:textId="77777777" w:rsidR="003B6C39" w:rsidRDefault="003B6C39" w:rsidP="003B6C3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0617308" w14:textId="77777777" w:rsidR="003B6C39" w:rsidRDefault="003B6C39" w:rsidP="003B6C39">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586E055"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62590254"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BBB4E79"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BBE3866"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B865CA0" w14:textId="77777777" w:rsidR="003B6C39" w:rsidRPr="00EE0180"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C9C291D" w14:textId="77777777" w:rsidR="003B6C39" w:rsidRPr="001571EB" w:rsidRDefault="003B6C39" w:rsidP="003B6C39">
      <w:pPr>
        <w:autoSpaceDE w:val="0"/>
        <w:autoSpaceDN w:val="0"/>
        <w:adjustRightInd w:val="0"/>
        <w:spacing w:before="120" w:after="120"/>
        <w:ind w:left="567" w:right="850"/>
        <w:jc w:val="both"/>
        <w:rPr>
          <w:rFonts w:ascii="Palatino Linotype" w:eastAsia="Times New Roman" w:hAnsi="Palatino Linotype" w:cs="Arial"/>
          <w:i/>
        </w:rPr>
      </w:pPr>
    </w:p>
    <w:p w14:paraId="7DE1FFD8" w14:textId="77777777" w:rsidR="003B6C39" w:rsidRPr="001571EB" w:rsidRDefault="003B6C39" w:rsidP="003B6C3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220F827" w14:textId="77777777" w:rsidR="003B6C39" w:rsidRPr="001571EB" w:rsidRDefault="003B6C39" w:rsidP="003B6C3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5DCE595" w14:textId="77777777" w:rsidR="003B6C39" w:rsidRDefault="003B6C39" w:rsidP="003B6C3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66050CF" w14:textId="77777777" w:rsidR="003B6C39" w:rsidRDefault="003B6C39" w:rsidP="003B6C3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808DA35"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6A80841"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751A01F"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1789E6C"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B629B48" w14:textId="77777777" w:rsidR="003B6C39"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5EB0807E" w14:textId="77777777" w:rsidR="003B6C39" w:rsidRDefault="003B6C39" w:rsidP="003B6C39">
      <w:pPr>
        <w:autoSpaceDE w:val="0"/>
        <w:autoSpaceDN w:val="0"/>
        <w:adjustRightInd w:val="0"/>
        <w:spacing w:before="240" w:line="360" w:lineRule="auto"/>
        <w:ind w:right="851"/>
        <w:jc w:val="both"/>
        <w:rPr>
          <w:rFonts w:ascii="Palatino Linotype" w:eastAsia="Times New Roman" w:hAnsi="Palatino Linotype" w:cs="Arial"/>
          <w:b/>
          <w:i/>
          <w:sz w:val="24"/>
          <w:szCs w:val="24"/>
          <w:lang w:eastAsia="es-MX"/>
        </w:rPr>
      </w:pPr>
    </w:p>
    <w:p w14:paraId="700A2205" w14:textId="77777777" w:rsidR="003B6C39" w:rsidRDefault="003B6C39" w:rsidP="003B6C39">
      <w:pPr>
        <w:autoSpaceDE w:val="0"/>
        <w:autoSpaceDN w:val="0"/>
        <w:adjustRightInd w:val="0"/>
        <w:spacing w:before="24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Finalmente, con relación al número de cuenta bancaria resulta oportuno señalar que únicamente revisten de protección de datos personales cuando se trate de particulares, en sentido contrario, tratándose de entes públicos, dicha información pertenece al </w:t>
      </w:r>
      <w:r>
        <w:rPr>
          <w:rFonts w:ascii="Palatino Linotype" w:eastAsia="Times New Roman" w:hAnsi="Palatino Linotype" w:cs="Arial"/>
          <w:sz w:val="24"/>
          <w:szCs w:val="24"/>
          <w:lang w:eastAsia="es-MX"/>
        </w:rPr>
        <w:lastRenderedPageBreak/>
        <w:t xml:space="preserve">interés general y el alcance público. Robustece lo anterior el criterio </w:t>
      </w:r>
      <w:r w:rsidRPr="006017C5">
        <w:rPr>
          <w:rFonts w:ascii="Palatino Linotype" w:eastAsia="Times New Roman" w:hAnsi="Palatino Linotype" w:cs="Arial"/>
          <w:b/>
          <w:sz w:val="24"/>
          <w:szCs w:val="24"/>
          <w:lang w:eastAsia="es-MX"/>
        </w:rPr>
        <w:t>10/17</w:t>
      </w:r>
      <w:r>
        <w:rPr>
          <w:rFonts w:ascii="Palatino Linotype" w:eastAsia="Times New Roman" w:hAnsi="Palatino Linotype" w:cs="Arial"/>
          <w:sz w:val="24"/>
          <w:szCs w:val="24"/>
          <w:lang w:eastAsia="es-MX"/>
        </w:rPr>
        <w:t xml:space="preserve"> sustentado por el Órgano Garante Nacional, que dispone a la literalidad lo siguiente: </w:t>
      </w:r>
    </w:p>
    <w:p w14:paraId="338A54EC" w14:textId="13BBED64" w:rsidR="003B6C39" w:rsidRPr="00367E1A" w:rsidRDefault="00367E1A" w:rsidP="003B6C39">
      <w:pPr>
        <w:pStyle w:val="Citas"/>
        <w:rPr>
          <w:b/>
        </w:rPr>
      </w:pPr>
      <w:r>
        <w:rPr>
          <w:b/>
        </w:rPr>
        <w:t>“</w:t>
      </w:r>
      <w:r w:rsidRPr="00367E1A">
        <w:rPr>
          <w:b/>
        </w:rPr>
        <w:t xml:space="preserve">CUENTAS BANCARIAS Y/O CLABE INTERBANCARIA DE PERSONAS FÍSICAS Y MORALES PRIVADAS. </w:t>
      </w:r>
    </w:p>
    <w:p w14:paraId="5C3C77E8" w14:textId="5CE8A458" w:rsidR="003B6C39" w:rsidRDefault="003B6C39" w:rsidP="003B6C39">
      <w:pPr>
        <w:pStyle w:val="Citas"/>
      </w:pPr>
      <w:r>
        <w:t>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AC0F553" w14:textId="77777777" w:rsidR="00367E1A" w:rsidRDefault="003B6C39" w:rsidP="003B6C39">
      <w:pPr>
        <w:pStyle w:val="Citas"/>
      </w:pPr>
      <w:r>
        <w:t xml:space="preserve">Resoluciones: </w:t>
      </w:r>
    </w:p>
    <w:p w14:paraId="3A8E8238" w14:textId="228740AC" w:rsidR="00367E1A" w:rsidRDefault="003B6C39" w:rsidP="00367E1A">
      <w:pPr>
        <w:pStyle w:val="Citas"/>
        <w:numPr>
          <w:ilvl w:val="0"/>
          <w:numId w:val="24"/>
        </w:numPr>
      </w:pPr>
      <w:r>
        <w:t xml:space="preserve">RRA 1276/16 Grupo Aeroportuario de la Ciudad de México. S.A. de C.V. 01 de noviembre de 2016. Por unanimidad. Comisionada Ponente Areli Cano Guadiana. </w:t>
      </w:r>
    </w:p>
    <w:p w14:paraId="674928C8" w14:textId="77777777" w:rsidR="00367E1A" w:rsidRDefault="003B6C39" w:rsidP="00367E1A">
      <w:pPr>
        <w:pStyle w:val="Citas"/>
        <w:numPr>
          <w:ilvl w:val="0"/>
          <w:numId w:val="24"/>
        </w:numPr>
      </w:pPr>
      <w:r>
        <w:t xml:space="preserve">RRA 3527/16 Servicio de Administración Tributaria. 07 de diciembre de 2016. Por unanimidad. Comisionada Ponente Ximena Puente de la Mora. </w:t>
      </w:r>
    </w:p>
    <w:p w14:paraId="343E4E1F" w14:textId="6B60146D" w:rsidR="003B6C39" w:rsidRPr="00367E1A" w:rsidRDefault="003B6C39" w:rsidP="00367E1A">
      <w:pPr>
        <w:pStyle w:val="Citas"/>
        <w:numPr>
          <w:ilvl w:val="0"/>
          <w:numId w:val="24"/>
        </w:numPr>
        <w:rPr>
          <w:rFonts w:eastAsia="Times New Roman"/>
          <w:sz w:val="24"/>
          <w:szCs w:val="24"/>
          <w:lang w:eastAsia="es-MX"/>
        </w:rPr>
      </w:pPr>
      <w:r>
        <w:t>RRA 4404/16 Partido del Trabajo. 01 de febrero de 2017. Por unanimidad. Comisionado Ponente Francisco Acuña Llamas</w:t>
      </w:r>
      <w:r w:rsidR="00367E1A">
        <w:t>”</w:t>
      </w:r>
      <w:r>
        <w:rPr>
          <w:rFonts w:eastAsia="Times New Roman"/>
          <w:sz w:val="24"/>
          <w:szCs w:val="24"/>
          <w:lang w:eastAsia="es-MX"/>
        </w:rPr>
        <w:t xml:space="preserve"> </w:t>
      </w:r>
      <w:r w:rsidR="00367E1A">
        <w:rPr>
          <w:rFonts w:eastAsia="Times New Roman"/>
          <w:b/>
          <w:sz w:val="24"/>
          <w:szCs w:val="24"/>
          <w:lang w:eastAsia="es-MX"/>
        </w:rPr>
        <w:t>[Sic]</w:t>
      </w:r>
    </w:p>
    <w:p w14:paraId="5FFC784E" w14:textId="77777777" w:rsidR="00367E1A" w:rsidRPr="003B6C39" w:rsidRDefault="00367E1A" w:rsidP="00367E1A">
      <w:pPr>
        <w:pStyle w:val="Citas"/>
        <w:ind w:left="1571"/>
        <w:rPr>
          <w:rFonts w:eastAsia="Times New Roman"/>
          <w:sz w:val="24"/>
          <w:szCs w:val="24"/>
          <w:lang w:eastAsia="es-MX"/>
        </w:rPr>
      </w:pPr>
    </w:p>
    <w:p w14:paraId="0696B528" w14:textId="77777777" w:rsidR="003B6C39" w:rsidRDefault="003B6C39" w:rsidP="003B6C39">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31E33C8" w14:textId="2952B8A1" w:rsidR="006B0AA4" w:rsidRPr="00D5257A" w:rsidRDefault="00431DF7" w:rsidP="006B0AA4">
      <w:pPr>
        <w:tabs>
          <w:tab w:val="left" w:pos="709"/>
        </w:tabs>
        <w:spacing w:before="240" w:line="360" w:lineRule="auto"/>
        <w:ind w:right="51"/>
        <w:jc w:val="both"/>
        <w:rPr>
          <w:rFonts w:ascii="Palatino Linotype" w:hAnsi="Palatino Linotype"/>
          <w:sz w:val="24"/>
          <w:szCs w:val="24"/>
        </w:rPr>
      </w:pPr>
      <w:r>
        <w:rPr>
          <w:rFonts w:ascii="Palatino Linotype" w:hAnsi="Palatino Linotype"/>
          <w:iCs/>
          <w:sz w:val="24"/>
          <w:szCs w:val="24"/>
        </w:rPr>
        <w:t>E</w:t>
      </w:r>
      <w:r w:rsidR="006B0AA4" w:rsidRPr="00D5257A">
        <w:rPr>
          <w:rFonts w:ascii="Palatino Linotype" w:hAnsi="Palatino Linotype"/>
          <w:iCs/>
          <w:sz w:val="24"/>
          <w:szCs w:val="24"/>
        </w:rPr>
        <w:t xml:space="preserve">n mérito de lo expuesto </w:t>
      </w:r>
      <w:r w:rsidR="006B0AA4" w:rsidRPr="00D5257A">
        <w:rPr>
          <w:rFonts w:ascii="Palatino Linotype" w:hAnsi="Palatino Linotype"/>
          <w:sz w:val="24"/>
          <w:szCs w:val="24"/>
        </w:rPr>
        <w:t xml:space="preserve">en líneas anteriores, resultan parcialmente fundados los motivos de inconformidad vertidos por </w:t>
      </w:r>
      <w:r w:rsidR="006B0AA4">
        <w:rPr>
          <w:rFonts w:ascii="Palatino Linotype" w:hAnsi="Palatino Linotype"/>
          <w:b/>
          <w:sz w:val="24"/>
          <w:szCs w:val="24"/>
        </w:rPr>
        <w:t>El</w:t>
      </w:r>
      <w:r w:rsidR="006B0AA4" w:rsidRPr="00D5257A">
        <w:rPr>
          <w:rFonts w:ascii="Palatino Linotype" w:hAnsi="Palatino Linotype"/>
          <w:b/>
          <w:sz w:val="24"/>
          <w:szCs w:val="24"/>
        </w:rPr>
        <w:t xml:space="preserve"> Recurrente, </w:t>
      </w:r>
      <w:r w:rsidR="006B0AA4"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6B0AA4" w:rsidRPr="00D5257A">
        <w:rPr>
          <w:rFonts w:ascii="Palatino Linotype" w:hAnsi="Palatino Linotype"/>
          <w:b/>
          <w:sz w:val="24"/>
          <w:szCs w:val="24"/>
        </w:rPr>
        <w:t xml:space="preserve">MODIFICA </w:t>
      </w:r>
      <w:r w:rsidR="006B0AA4" w:rsidRPr="00D5257A">
        <w:rPr>
          <w:rFonts w:ascii="Palatino Linotype" w:hAnsi="Palatino Linotype"/>
          <w:sz w:val="24"/>
          <w:szCs w:val="24"/>
        </w:rPr>
        <w:t xml:space="preserve">la respuesta a la solicitud de información </w:t>
      </w:r>
      <w:r w:rsidR="00367E1A">
        <w:rPr>
          <w:rFonts w:ascii="Palatino Linotype" w:hAnsi="Palatino Linotype"/>
          <w:b/>
          <w:sz w:val="24"/>
          <w:szCs w:val="24"/>
        </w:rPr>
        <w:t>00148/CUAUTIZC/IP/2022</w:t>
      </w:r>
      <w:r w:rsidR="006B0AA4" w:rsidRPr="00D5257A">
        <w:rPr>
          <w:rFonts w:ascii="Palatino Linotype" w:hAnsi="Palatino Linotype"/>
          <w:b/>
          <w:sz w:val="24"/>
          <w:szCs w:val="24"/>
        </w:rPr>
        <w:t xml:space="preserve">, </w:t>
      </w:r>
      <w:r w:rsidR="006B0AA4" w:rsidRPr="00D5257A">
        <w:rPr>
          <w:rFonts w:ascii="Palatino Linotype" w:hAnsi="Palatino Linotype"/>
          <w:sz w:val="24"/>
          <w:szCs w:val="24"/>
        </w:rPr>
        <w:t xml:space="preserve">que ha sido materia del presente fallo. </w:t>
      </w:r>
    </w:p>
    <w:p w14:paraId="28B56051" w14:textId="77777777" w:rsidR="006B0AA4" w:rsidRDefault="006B0AA4" w:rsidP="006B0AA4">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231338A4" w14:textId="77777777" w:rsidR="006B0AA4" w:rsidRPr="00D05C83" w:rsidRDefault="006B0AA4" w:rsidP="006B0AA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3370B589" w14:textId="6852FC88" w:rsidR="006B0AA4" w:rsidRDefault="006B0AA4" w:rsidP="006B0AA4">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367E1A">
        <w:rPr>
          <w:rFonts w:ascii="Palatino Linotype" w:hAnsi="Palatino Linotype"/>
          <w:b/>
          <w:sz w:val="24"/>
          <w:szCs w:val="24"/>
        </w:rPr>
        <w:t>00148/CUAUTIZC/IP/2022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5D03CC34" w14:textId="4CA7B62C" w:rsidR="002D59F9" w:rsidRPr="00177BC8" w:rsidRDefault="002D59F9" w:rsidP="002D59F9">
      <w:pPr>
        <w:pStyle w:val="Sinespaciado"/>
        <w:spacing w:line="360" w:lineRule="auto"/>
        <w:jc w:val="both"/>
        <w:rPr>
          <w:rFonts w:ascii="Palatino Linotype" w:hAnsi="Palatino Linotype" w:cs="Arial"/>
        </w:rPr>
      </w:pPr>
      <w:r w:rsidRPr="001C7462">
        <w:rPr>
          <w:rFonts w:ascii="Palatino Linotype" w:hAnsi="Palatino Linotype" w:cs="Arial"/>
          <w:b/>
          <w:sz w:val="28"/>
          <w:szCs w:val="28"/>
        </w:rPr>
        <w:lastRenderedPageBreak/>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w:t>
      </w:r>
      <w:r w:rsidR="009D3D2F" w:rsidRPr="00FA3650">
        <w:rPr>
          <w:rFonts w:ascii="Palatino Linotype" w:hAnsi="Palatino Linotype" w:cs="Arial"/>
        </w:rPr>
        <w:t>realizar una búsqueda exhaustiva y razonable a fin de entregar al</w:t>
      </w:r>
      <w:r w:rsidR="009D3D2F" w:rsidRPr="00FA3650">
        <w:rPr>
          <w:rFonts w:ascii="Palatino Linotype" w:hAnsi="Palatino Linotype" w:cs="Arial"/>
          <w:b/>
        </w:rPr>
        <w:t xml:space="preserve"> RECURRENTE</w:t>
      </w:r>
      <w:r w:rsidR="009D3D2F" w:rsidRPr="001C7462">
        <w:rPr>
          <w:rFonts w:ascii="Palatino Linotype" w:hAnsi="Palatino Linotype" w:cs="Arial"/>
        </w:rPr>
        <w:t xml:space="preserv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sidR="00AB441E">
        <w:rPr>
          <w:rFonts w:ascii="Palatino Linotype" w:hAnsi="Palatino Linotype" w:cs="Arial"/>
        </w:rPr>
        <w:t xml:space="preserve"> </w:t>
      </w:r>
      <w:r w:rsidRPr="00151D16">
        <w:rPr>
          <w:rFonts w:ascii="Palatino Linotype" w:hAnsi="Palatino Linotype" w:cs="Arial"/>
        </w:rPr>
        <w:t>a través del Sistema de Acceso a la Información Mexiquense (</w:t>
      </w:r>
      <w:r w:rsidRPr="00151D16">
        <w:rPr>
          <w:rFonts w:ascii="Palatino Linotype" w:hAnsi="Palatino Linotype" w:cs="Arial"/>
          <w:b/>
        </w:rPr>
        <w:t>SAIMEX)</w:t>
      </w:r>
      <w:r w:rsidR="00367E1A">
        <w:rPr>
          <w:rFonts w:ascii="Palatino Linotype" w:hAnsi="Palatino Linotype" w:cs="Arial"/>
        </w:rPr>
        <w:t xml:space="preserve">, en versión pública de ser procedente, de lo siguiente: </w:t>
      </w:r>
    </w:p>
    <w:p w14:paraId="56D3755F" w14:textId="1E7E9FD3" w:rsidR="00367E1A" w:rsidRPr="00367E1A" w:rsidRDefault="00367E1A" w:rsidP="00367E1A">
      <w:pPr>
        <w:pStyle w:val="Prrafodelista"/>
        <w:numPr>
          <w:ilvl w:val="0"/>
          <w:numId w:val="2"/>
        </w:numPr>
        <w:spacing w:before="240" w:line="360" w:lineRule="auto"/>
        <w:jc w:val="both"/>
        <w:rPr>
          <w:rFonts w:ascii="Palatino Linotype" w:hAnsi="Palatino Linotype"/>
          <w:i/>
        </w:rPr>
      </w:pPr>
      <w:r w:rsidRPr="00367E1A">
        <w:rPr>
          <w:rFonts w:ascii="Palatino Linotype" w:hAnsi="Palatino Linotype"/>
          <w:i/>
        </w:rPr>
        <w:t>El o los documentos donde consten los montos recibidos (estados de cuenta bancarios de cada cuenta y/o análogos), del periodo comprendido del uno de enero al once d</w:t>
      </w:r>
      <w:r>
        <w:rPr>
          <w:rFonts w:ascii="Palatino Linotype" w:hAnsi="Palatino Linotype"/>
          <w:i/>
        </w:rPr>
        <w:t xml:space="preserve">e febrero de dos mil veintidós, únicamente respecto de la información que no fue remitida mediante respuesta e informe justificado. </w:t>
      </w:r>
    </w:p>
    <w:p w14:paraId="36A1AD5E" w14:textId="77777777" w:rsidR="00367E1A" w:rsidRDefault="00367E1A" w:rsidP="00367E1A">
      <w:pPr>
        <w:pStyle w:val="Prrafodelista"/>
        <w:spacing w:before="240"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A8AA287" w14:textId="77777777" w:rsidR="002D59F9" w:rsidRPr="002D59F9" w:rsidRDefault="002D59F9" w:rsidP="002D59F9">
      <w:pPr>
        <w:pStyle w:val="Prrafodelista"/>
        <w:spacing w:before="240" w:line="360" w:lineRule="auto"/>
        <w:ind w:left="720"/>
        <w:jc w:val="both"/>
        <w:rPr>
          <w:rFonts w:ascii="Palatino Linotype" w:hAnsi="Palatino Linotype"/>
          <w:bCs/>
          <w:i/>
        </w:rPr>
      </w:pPr>
    </w:p>
    <w:p w14:paraId="7CEA7A3E" w14:textId="77777777" w:rsidR="006B0AA4" w:rsidRDefault="006B0AA4" w:rsidP="006B0AA4">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82714C7" w14:textId="77777777" w:rsidR="006B0AA4" w:rsidRDefault="006B0AA4" w:rsidP="006B0A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EB738B" w14:textId="77777777" w:rsidR="00431DF7" w:rsidRDefault="00431DF7" w:rsidP="006B0A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46EF1B" w14:textId="081ECC19" w:rsidR="006B0AA4" w:rsidRDefault="006B0AA4" w:rsidP="006B0AA4">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w:t>
      </w:r>
      <w:r w:rsidR="0000354B">
        <w:rPr>
          <w:rFonts w:ascii="Palatino Linotype" w:eastAsia="Times New Roman" w:hAnsi="Palatino Linotype" w:cs="Arial"/>
          <w:sz w:val="24"/>
          <w:szCs w:val="24"/>
          <w:lang w:eastAsia="es-ES"/>
        </w:rPr>
        <w:t>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sidR="002D59F9">
        <w:rPr>
          <w:rFonts w:ascii="Palatino Linotype" w:hAnsi="Palatino Linotype" w:cs="Arial"/>
          <w:b/>
          <w:sz w:val="24"/>
          <w:szCs w:val="24"/>
        </w:rPr>
        <w:t xml:space="preserve"> </w:t>
      </w:r>
      <w:r w:rsidRPr="00DB757B">
        <w:rPr>
          <w:rFonts w:ascii="Palatino Linotype" w:eastAsia="Times New Roman" w:hAnsi="Palatino Linotype" w:cs="Arial"/>
          <w:sz w:val="24"/>
          <w:szCs w:val="24"/>
          <w:lang w:eastAsia="es-ES"/>
        </w:rPr>
        <w:t xml:space="preserve">y hágase de </w:t>
      </w:r>
      <w:r w:rsidRPr="002F3C96">
        <w:rPr>
          <w:rFonts w:ascii="Palatino Linotype" w:eastAsia="Times New Roman" w:hAnsi="Palatino Linotype" w:cs="Arial"/>
          <w:sz w:val="24"/>
          <w:szCs w:val="24"/>
          <w:lang w:eastAsia="es-ES"/>
        </w:rPr>
        <w:t xml:space="preserve">su conocimiento que, </w:t>
      </w:r>
      <w:r w:rsidRPr="002F3C96">
        <w:rPr>
          <w:rFonts w:ascii="Palatino Linotype" w:eastAsia="Times New Roman" w:hAnsi="Palatino Linotype" w:cs="Times New Roman"/>
          <w:color w:val="222222"/>
          <w:sz w:val="24"/>
          <w:szCs w:val="24"/>
          <w:lang w:eastAsia="es-ES"/>
        </w:rPr>
        <w:t>de conformidad con lo establecido en el artículo</w:t>
      </w:r>
      <w:r w:rsidRPr="00AA3F48">
        <w:rPr>
          <w:rFonts w:ascii="Palatino Linotype" w:eastAsia="Times New Roman" w:hAnsi="Palatino Linotype" w:cs="Times New Roman"/>
          <w:color w:val="222222"/>
          <w:sz w:val="24"/>
          <w:szCs w:val="24"/>
          <w:lang w:eastAsia="es-ES"/>
        </w:rPr>
        <w:t xml:space="preserve">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D4FBC8C" w14:textId="77777777" w:rsidR="006B0AA4" w:rsidRDefault="006B0AA4" w:rsidP="006B0AA4">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2849EE2" w14:textId="7BC57317" w:rsidR="003C2E3F" w:rsidRPr="00F3383F" w:rsidRDefault="003C2E3F" w:rsidP="003C2E3F">
      <w:pPr>
        <w:pStyle w:val="Prrafodelista"/>
        <w:autoSpaceDE w:val="0"/>
        <w:autoSpaceDN w:val="0"/>
        <w:adjustRightInd w:val="0"/>
        <w:spacing w:before="240" w:after="160" w:line="360" w:lineRule="auto"/>
        <w:ind w:left="0"/>
        <w:jc w:val="both"/>
        <w:rPr>
          <w:rFonts w:ascii="Palatino Linotype" w:hAnsi="Palatino Linotype" w:cs="Arial"/>
        </w:rPr>
      </w:pPr>
      <w:r w:rsidRPr="00F3383F">
        <w:rPr>
          <w:rFonts w:ascii="Palatino Linotype" w:hAnsi="Palatino Linotype" w:cs="Arial"/>
        </w:rPr>
        <w:t>ASÍ LO ACORDÓ, POR UNANIMIDAD DE VOTOS, EL PLENO DEL</w:t>
      </w:r>
      <w:r w:rsidRPr="00F3383F">
        <w:rPr>
          <w:rFonts w:ascii="Palatino Linotype" w:eastAsia="Arial Unicode MS" w:hAnsi="Palatino Linotype" w:cs="Arial"/>
        </w:rPr>
        <w:t xml:space="preserve"> INSTITUTO DE TRANSPARENCIA, ACCESO A LA INFORMACIÓN PÚBLICA Y PROTECCIÓN DE DATOS PERSONALES DEL ESTADO DE MÉXICO Y MUNICIPIOS</w:t>
      </w:r>
      <w:r w:rsidRPr="00F3383F">
        <w:rPr>
          <w:rFonts w:ascii="Palatino Linotype" w:hAnsi="Palatino Linotype" w:cs="Arial"/>
        </w:rPr>
        <w:t xml:space="preserve">,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 </w:t>
      </w:r>
    </w:p>
    <w:p w14:paraId="54D016BF" w14:textId="60DD3656" w:rsidR="003C2E3F" w:rsidRDefault="003C2E3F" w:rsidP="003C2E3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4E0584A3" w14:textId="77777777" w:rsidR="003C2E3F" w:rsidRDefault="003C2E3F" w:rsidP="003C2E3F">
      <w:pPr>
        <w:pStyle w:val="Prrafodelista"/>
        <w:autoSpaceDE w:val="0"/>
        <w:autoSpaceDN w:val="0"/>
        <w:adjustRightInd w:val="0"/>
        <w:spacing w:before="240" w:after="160" w:line="360" w:lineRule="auto"/>
        <w:ind w:left="0"/>
        <w:jc w:val="both"/>
        <w:rPr>
          <w:rFonts w:ascii="Palatino Linotype" w:hAnsi="Palatino Linotype"/>
          <w:bCs/>
        </w:rPr>
      </w:pPr>
    </w:p>
    <w:p w14:paraId="44BE4698" w14:textId="77777777" w:rsidR="003C2E3F" w:rsidRDefault="003C2E3F" w:rsidP="003C2E3F">
      <w:pPr>
        <w:pStyle w:val="Prrafodelista"/>
        <w:autoSpaceDE w:val="0"/>
        <w:autoSpaceDN w:val="0"/>
        <w:adjustRightInd w:val="0"/>
        <w:spacing w:before="240" w:after="160" w:line="360" w:lineRule="auto"/>
        <w:ind w:left="0"/>
        <w:jc w:val="both"/>
        <w:rPr>
          <w:rFonts w:ascii="Palatino Linotype" w:hAnsi="Palatino Linotype"/>
          <w:bCs/>
        </w:rPr>
      </w:pPr>
    </w:p>
    <w:p w14:paraId="52A705D7" w14:textId="77777777" w:rsidR="003C2E3F" w:rsidRDefault="003C2E3F" w:rsidP="003C2E3F">
      <w:pPr>
        <w:pStyle w:val="Prrafodelista"/>
        <w:autoSpaceDE w:val="0"/>
        <w:autoSpaceDN w:val="0"/>
        <w:adjustRightInd w:val="0"/>
        <w:spacing w:before="240" w:after="160" w:line="360" w:lineRule="auto"/>
        <w:ind w:left="0"/>
        <w:jc w:val="both"/>
        <w:rPr>
          <w:rFonts w:ascii="Palatino Linotype" w:hAnsi="Palatino Linotype"/>
          <w:bCs/>
        </w:rPr>
      </w:pPr>
    </w:p>
    <w:p w14:paraId="6C97F407" w14:textId="77777777" w:rsidR="003C2E3F" w:rsidRDefault="003C2E3F" w:rsidP="003C2E3F">
      <w:pPr>
        <w:pStyle w:val="Prrafodelista"/>
        <w:autoSpaceDE w:val="0"/>
        <w:autoSpaceDN w:val="0"/>
        <w:adjustRightInd w:val="0"/>
        <w:spacing w:before="240" w:after="160" w:line="360" w:lineRule="auto"/>
        <w:ind w:left="0"/>
        <w:jc w:val="both"/>
        <w:rPr>
          <w:rFonts w:ascii="Palatino Linotype" w:hAnsi="Palatino Linotype"/>
          <w:bCs/>
        </w:rPr>
      </w:pPr>
    </w:p>
    <w:p w14:paraId="73BC6D04" w14:textId="0780F2A3"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EAF2446"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00F419C"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454CFA5"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4AEBBD7"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E690B36"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EDFE3DE"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359FE7"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A443C1B"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6C2B3D3"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6795B39"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D950A"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63B79E0"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2BF46AA"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431DF7"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4968" w14:textId="77777777" w:rsidR="0093284A" w:rsidRDefault="0093284A" w:rsidP="006168E4">
      <w:pPr>
        <w:spacing w:after="0" w:line="240" w:lineRule="auto"/>
      </w:pPr>
      <w:r>
        <w:separator/>
      </w:r>
    </w:p>
  </w:endnote>
  <w:endnote w:type="continuationSeparator" w:id="0">
    <w:p w14:paraId="24A80B31" w14:textId="77777777" w:rsidR="0093284A" w:rsidRDefault="0093284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41256A" w:rsidRPr="000B69FA" w:rsidRDefault="0041256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592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6592A">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41256A" w:rsidRPr="000B69FA" w:rsidRDefault="0041256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59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6592A">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C397" w14:textId="77777777" w:rsidR="0093284A" w:rsidRDefault="0093284A" w:rsidP="006168E4">
      <w:pPr>
        <w:spacing w:after="0" w:line="240" w:lineRule="auto"/>
      </w:pPr>
      <w:r>
        <w:separator/>
      </w:r>
    </w:p>
  </w:footnote>
  <w:footnote w:type="continuationSeparator" w:id="0">
    <w:p w14:paraId="7085E952" w14:textId="77777777" w:rsidR="0093284A" w:rsidRDefault="0093284A" w:rsidP="006168E4">
      <w:pPr>
        <w:spacing w:after="0" w:line="240" w:lineRule="auto"/>
      </w:pPr>
      <w:r>
        <w:continuationSeparator/>
      </w:r>
    </w:p>
  </w:footnote>
  <w:footnote w:id="1">
    <w:p w14:paraId="6BECEE51" w14:textId="77777777" w:rsidR="0041256A" w:rsidRPr="005552A8" w:rsidRDefault="0041256A"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41256A" w:rsidRPr="005552A8" w:rsidRDefault="0041256A"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41256A" w:rsidRDefault="0041256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41256A" w14:paraId="17981A04" w14:textId="77777777" w:rsidTr="00073E92">
      <w:trPr>
        <w:trHeight w:val="227"/>
      </w:trPr>
      <w:tc>
        <w:tcPr>
          <w:tcW w:w="5529" w:type="dxa"/>
          <w:hideMark/>
        </w:tcPr>
        <w:p w14:paraId="0E414BC5" w14:textId="19670DF2" w:rsidR="0041256A" w:rsidRDefault="0041256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37F9CD52" w:rsidR="0041256A" w:rsidRPr="00B4142F" w:rsidRDefault="0041256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02450/INFOEM/IP/RR/2022</w:t>
          </w:r>
        </w:p>
      </w:tc>
    </w:tr>
    <w:tr w:rsidR="0041256A" w14:paraId="637042F0" w14:textId="77777777" w:rsidTr="00073E92">
      <w:trPr>
        <w:trHeight w:val="242"/>
      </w:trPr>
      <w:tc>
        <w:tcPr>
          <w:tcW w:w="5529" w:type="dxa"/>
          <w:hideMark/>
        </w:tcPr>
        <w:p w14:paraId="412AD568" w14:textId="582E7AD7" w:rsidR="0041256A" w:rsidRDefault="0041256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183D6A2" w:rsidR="0041256A" w:rsidRPr="00F06FED" w:rsidRDefault="0041256A" w:rsidP="00BB63AB">
          <w:pPr>
            <w:spacing w:after="120" w:line="256" w:lineRule="auto"/>
            <w:ind w:left="639" w:right="214"/>
            <w:jc w:val="both"/>
            <w:rPr>
              <w:rFonts w:ascii="Palatino Linotype" w:hAnsi="Palatino Linotype" w:cs="Arial"/>
            </w:rPr>
          </w:pPr>
          <w:r>
            <w:rPr>
              <w:rFonts w:ascii="Palatino Linotype" w:hAnsi="Palatino Linotype" w:cs="Arial"/>
              <w:szCs w:val="20"/>
            </w:rPr>
            <w:t>Ayuntamiento de Cuautitlán Izcalli</w:t>
          </w:r>
        </w:p>
      </w:tc>
    </w:tr>
    <w:tr w:rsidR="0041256A" w14:paraId="21BFE746" w14:textId="77777777" w:rsidTr="00073E92">
      <w:trPr>
        <w:trHeight w:val="342"/>
      </w:trPr>
      <w:tc>
        <w:tcPr>
          <w:tcW w:w="5529" w:type="dxa"/>
          <w:hideMark/>
        </w:tcPr>
        <w:p w14:paraId="64C4E314" w14:textId="2A83840C" w:rsidR="0041256A" w:rsidRDefault="0041256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41256A" w:rsidRDefault="0041256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41256A" w:rsidRDefault="004125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1256A" w14:paraId="385FD437" w14:textId="77777777" w:rsidTr="00073E92">
      <w:trPr>
        <w:trHeight w:val="227"/>
      </w:trPr>
      <w:tc>
        <w:tcPr>
          <w:tcW w:w="5529" w:type="dxa"/>
          <w:hideMark/>
        </w:tcPr>
        <w:p w14:paraId="272860E8" w14:textId="76645AE5" w:rsidR="0041256A" w:rsidRDefault="0041256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57273EE8" w:rsidR="0041256A" w:rsidRPr="00B4142F" w:rsidRDefault="0041256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02450/INFOEM/IP/RR/2022</w:t>
          </w:r>
        </w:p>
      </w:tc>
    </w:tr>
    <w:tr w:rsidR="0041256A" w14:paraId="33FC5097" w14:textId="77777777" w:rsidTr="00073E92">
      <w:trPr>
        <w:trHeight w:val="196"/>
      </w:trPr>
      <w:tc>
        <w:tcPr>
          <w:tcW w:w="5529" w:type="dxa"/>
          <w:hideMark/>
        </w:tcPr>
        <w:p w14:paraId="4F5D01E5" w14:textId="77777777" w:rsidR="0041256A" w:rsidRDefault="0041256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5A14C97" w:rsidR="0041256A" w:rsidRPr="00F06FED" w:rsidRDefault="0051653C"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w:t>
          </w:r>
          <w:proofErr w:type="spellEnd"/>
        </w:p>
      </w:tc>
    </w:tr>
    <w:tr w:rsidR="0041256A" w14:paraId="178280DE" w14:textId="77777777" w:rsidTr="00073E92">
      <w:trPr>
        <w:trHeight w:val="242"/>
      </w:trPr>
      <w:tc>
        <w:tcPr>
          <w:tcW w:w="5529" w:type="dxa"/>
          <w:hideMark/>
        </w:tcPr>
        <w:p w14:paraId="71AC708B" w14:textId="77777777" w:rsidR="0041256A" w:rsidRDefault="0041256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DFA0D0B" w:rsidR="0041256A" w:rsidRDefault="0041256A" w:rsidP="00D139EB">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Cuautitlán Izcalli</w:t>
          </w:r>
        </w:p>
      </w:tc>
    </w:tr>
    <w:tr w:rsidR="0041256A" w14:paraId="0518978B" w14:textId="77777777" w:rsidTr="00073E92">
      <w:trPr>
        <w:trHeight w:val="342"/>
      </w:trPr>
      <w:tc>
        <w:tcPr>
          <w:tcW w:w="5529" w:type="dxa"/>
          <w:hideMark/>
        </w:tcPr>
        <w:p w14:paraId="04968A43" w14:textId="7BE2A222" w:rsidR="0041256A" w:rsidRDefault="0041256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41256A" w:rsidRDefault="0041256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41256A" w:rsidRDefault="0041256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1F88"/>
    <w:multiLevelType w:val="hybridMultilevel"/>
    <w:tmpl w:val="C31472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5C81BCE"/>
    <w:multiLevelType w:val="hybridMultilevel"/>
    <w:tmpl w:val="C518D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FD13E3"/>
    <w:multiLevelType w:val="hybridMultilevel"/>
    <w:tmpl w:val="378C823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516882"/>
    <w:multiLevelType w:val="hybridMultilevel"/>
    <w:tmpl w:val="332EB4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E65430"/>
    <w:multiLevelType w:val="hybridMultilevel"/>
    <w:tmpl w:val="DD1283CE"/>
    <w:lvl w:ilvl="0" w:tplc="368E5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42E02DA"/>
    <w:multiLevelType w:val="hybridMultilevel"/>
    <w:tmpl w:val="032C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904CF7"/>
    <w:multiLevelType w:val="hybridMultilevel"/>
    <w:tmpl w:val="26A629DA"/>
    <w:lvl w:ilvl="0" w:tplc="AABEA6CA">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76F7400F"/>
    <w:multiLevelType w:val="hybridMultilevel"/>
    <w:tmpl w:val="C6A4F9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05130201">
    <w:abstractNumId w:val="5"/>
  </w:num>
  <w:num w:numId="2" w16cid:durableId="1223566463">
    <w:abstractNumId w:val="23"/>
  </w:num>
  <w:num w:numId="3" w16cid:durableId="1771395124">
    <w:abstractNumId w:val="11"/>
  </w:num>
  <w:num w:numId="4" w16cid:durableId="300580768">
    <w:abstractNumId w:val="13"/>
  </w:num>
  <w:num w:numId="5" w16cid:durableId="783231381">
    <w:abstractNumId w:val="7"/>
  </w:num>
  <w:num w:numId="6" w16cid:durableId="1403483437">
    <w:abstractNumId w:val="1"/>
  </w:num>
  <w:num w:numId="7" w16cid:durableId="769929793">
    <w:abstractNumId w:val="16"/>
  </w:num>
  <w:num w:numId="8" w16cid:durableId="2102870935">
    <w:abstractNumId w:val="12"/>
  </w:num>
  <w:num w:numId="9" w16cid:durableId="1308851504">
    <w:abstractNumId w:val="19"/>
  </w:num>
  <w:num w:numId="10" w16cid:durableId="1988196836">
    <w:abstractNumId w:val="8"/>
  </w:num>
  <w:num w:numId="11" w16cid:durableId="1307709741">
    <w:abstractNumId w:val="2"/>
  </w:num>
  <w:num w:numId="12" w16cid:durableId="714430565">
    <w:abstractNumId w:val="4"/>
  </w:num>
  <w:num w:numId="13" w16cid:durableId="1139807681">
    <w:abstractNumId w:val="20"/>
  </w:num>
  <w:num w:numId="14" w16cid:durableId="1375538011">
    <w:abstractNumId w:val="18"/>
  </w:num>
  <w:num w:numId="15" w16cid:durableId="385614917">
    <w:abstractNumId w:val="3"/>
  </w:num>
  <w:num w:numId="16" w16cid:durableId="333607871">
    <w:abstractNumId w:val="10"/>
  </w:num>
  <w:num w:numId="17" w16cid:durableId="1319070795">
    <w:abstractNumId w:val="15"/>
  </w:num>
  <w:num w:numId="18" w16cid:durableId="225999261">
    <w:abstractNumId w:val="17"/>
  </w:num>
  <w:num w:numId="19" w16cid:durableId="1714767406">
    <w:abstractNumId w:val="14"/>
  </w:num>
  <w:num w:numId="20" w16cid:durableId="1882934218">
    <w:abstractNumId w:val="22"/>
  </w:num>
  <w:num w:numId="21" w16cid:durableId="856776198">
    <w:abstractNumId w:val="21"/>
  </w:num>
  <w:num w:numId="22" w16cid:durableId="634409415">
    <w:abstractNumId w:val="9"/>
  </w:num>
  <w:num w:numId="23" w16cid:durableId="2088572152">
    <w:abstractNumId w:val="6"/>
  </w:num>
  <w:num w:numId="24" w16cid:durableId="128708494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4479"/>
    <w:rsid w:val="0002560B"/>
    <w:rsid w:val="00027921"/>
    <w:rsid w:val="000306A7"/>
    <w:rsid w:val="000315CA"/>
    <w:rsid w:val="00031A66"/>
    <w:rsid w:val="00031B3B"/>
    <w:rsid w:val="0003281E"/>
    <w:rsid w:val="00032896"/>
    <w:rsid w:val="000329BE"/>
    <w:rsid w:val="00036740"/>
    <w:rsid w:val="0004186E"/>
    <w:rsid w:val="00044C7F"/>
    <w:rsid w:val="000451BE"/>
    <w:rsid w:val="00045379"/>
    <w:rsid w:val="000458B5"/>
    <w:rsid w:val="00045CB8"/>
    <w:rsid w:val="000508FA"/>
    <w:rsid w:val="0005171D"/>
    <w:rsid w:val="00055224"/>
    <w:rsid w:val="000610F9"/>
    <w:rsid w:val="00061821"/>
    <w:rsid w:val="00062279"/>
    <w:rsid w:val="000623F9"/>
    <w:rsid w:val="00063A10"/>
    <w:rsid w:val="00063C69"/>
    <w:rsid w:val="00064EA6"/>
    <w:rsid w:val="000662F8"/>
    <w:rsid w:val="00066CAB"/>
    <w:rsid w:val="00070E99"/>
    <w:rsid w:val="00071290"/>
    <w:rsid w:val="00073E78"/>
    <w:rsid w:val="00073E92"/>
    <w:rsid w:val="00073FC2"/>
    <w:rsid w:val="00074B0E"/>
    <w:rsid w:val="00076AE0"/>
    <w:rsid w:val="0007756F"/>
    <w:rsid w:val="0008033D"/>
    <w:rsid w:val="0008151E"/>
    <w:rsid w:val="000821BF"/>
    <w:rsid w:val="00085007"/>
    <w:rsid w:val="0008548C"/>
    <w:rsid w:val="0008583B"/>
    <w:rsid w:val="00086AF1"/>
    <w:rsid w:val="0008719F"/>
    <w:rsid w:val="00087E9F"/>
    <w:rsid w:val="00090174"/>
    <w:rsid w:val="00091552"/>
    <w:rsid w:val="00091C3A"/>
    <w:rsid w:val="000944B9"/>
    <w:rsid w:val="00095CD4"/>
    <w:rsid w:val="0009704F"/>
    <w:rsid w:val="000A0E23"/>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864"/>
    <w:rsid w:val="000B701B"/>
    <w:rsid w:val="000B7158"/>
    <w:rsid w:val="000C0B33"/>
    <w:rsid w:val="000C2602"/>
    <w:rsid w:val="000C5B8B"/>
    <w:rsid w:val="000D0352"/>
    <w:rsid w:val="000D1A4E"/>
    <w:rsid w:val="000D1B55"/>
    <w:rsid w:val="000D3C75"/>
    <w:rsid w:val="000D4532"/>
    <w:rsid w:val="000D4A3A"/>
    <w:rsid w:val="000D5800"/>
    <w:rsid w:val="000D67B8"/>
    <w:rsid w:val="000D69D7"/>
    <w:rsid w:val="000D7523"/>
    <w:rsid w:val="000E0C4D"/>
    <w:rsid w:val="000E30C2"/>
    <w:rsid w:val="000E350D"/>
    <w:rsid w:val="000E3AEA"/>
    <w:rsid w:val="000E6545"/>
    <w:rsid w:val="000E686B"/>
    <w:rsid w:val="000F2A5E"/>
    <w:rsid w:val="000F2D74"/>
    <w:rsid w:val="000F2E5A"/>
    <w:rsid w:val="000F3EC2"/>
    <w:rsid w:val="000F3F8D"/>
    <w:rsid w:val="00100C19"/>
    <w:rsid w:val="00101097"/>
    <w:rsid w:val="00104391"/>
    <w:rsid w:val="00106372"/>
    <w:rsid w:val="00111DCD"/>
    <w:rsid w:val="00112C29"/>
    <w:rsid w:val="001133BF"/>
    <w:rsid w:val="00114CF9"/>
    <w:rsid w:val="00114FD0"/>
    <w:rsid w:val="00117250"/>
    <w:rsid w:val="00121E3A"/>
    <w:rsid w:val="001228AB"/>
    <w:rsid w:val="00124209"/>
    <w:rsid w:val="00124855"/>
    <w:rsid w:val="001254F5"/>
    <w:rsid w:val="00127033"/>
    <w:rsid w:val="0012724B"/>
    <w:rsid w:val="00136C13"/>
    <w:rsid w:val="00136FAD"/>
    <w:rsid w:val="00140557"/>
    <w:rsid w:val="001408A0"/>
    <w:rsid w:val="001414E7"/>
    <w:rsid w:val="001439C9"/>
    <w:rsid w:val="00146F0A"/>
    <w:rsid w:val="0015142D"/>
    <w:rsid w:val="00151D16"/>
    <w:rsid w:val="00152AB2"/>
    <w:rsid w:val="00152C2B"/>
    <w:rsid w:val="00161954"/>
    <w:rsid w:val="00161FBE"/>
    <w:rsid w:val="00165C0C"/>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43E"/>
    <w:rsid w:val="001A4643"/>
    <w:rsid w:val="001A4BAD"/>
    <w:rsid w:val="001A5630"/>
    <w:rsid w:val="001A577E"/>
    <w:rsid w:val="001A7406"/>
    <w:rsid w:val="001A7484"/>
    <w:rsid w:val="001A7624"/>
    <w:rsid w:val="001A7959"/>
    <w:rsid w:val="001A7C9B"/>
    <w:rsid w:val="001A7FCC"/>
    <w:rsid w:val="001B05B9"/>
    <w:rsid w:val="001B587C"/>
    <w:rsid w:val="001B6914"/>
    <w:rsid w:val="001B7B88"/>
    <w:rsid w:val="001B7FA2"/>
    <w:rsid w:val="001C1337"/>
    <w:rsid w:val="001C1CAF"/>
    <w:rsid w:val="001C2AC5"/>
    <w:rsid w:val="001C336E"/>
    <w:rsid w:val="001C50EE"/>
    <w:rsid w:val="001C7319"/>
    <w:rsid w:val="001C7D87"/>
    <w:rsid w:val="001D23B4"/>
    <w:rsid w:val="001D27C1"/>
    <w:rsid w:val="001D3159"/>
    <w:rsid w:val="001D3E87"/>
    <w:rsid w:val="001D49A2"/>
    <w:rsid w:val="001D627A"/>
    <w:rsid w:val="001D6B60"/>
    <w:rsid w:val="001E0C3F"/>
    <w:rsid w:val="001E11BF"/>
    <w:rsid w:val="001E2C56"/>
    <w:rsid w:val="001E3960"/>
    <w:rsid w:val="001E5168"/>
    <w:rsid w:val="001E58D8"/>
    <w:rsid w:val="001E6631"/>
    <w:rsid w:val="001E78AA"/>
    <w:rsid w:val="001F2101"/>
    <w:rsid w:val="001F2360"/>
    <w:rsid w:val="001F3969"/>
    <w:rsid w:val="001F607C"/>
    <w:rsid w:val="001F61DA"/>
    <w:rsid w:val="00204420"/>
    <w:rsid w:val="00205ACD"/>
    <w:rsid w:val="002075A5"/>
    <w:rsid w:val="00210596"/>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4497C"/>
    <w:rsid w:val="002525C7"/>
    <w:rsid w:val="002526E7"/>
    <w:rsid w:val="002534AB"/>
    <w:rsid w:val="002545DA"/>
    <w:rsid w:val="002548EC"/>
    <w:rsid w:val="00254BA9"/>
    <w:rsid w:val="0025556B"/>
    <w:rsid w:val="002577FE"/>
    <w:rsid w:val="00261125"/>
    <w:rsid w:val="002659E9"/>
    <w:rsid w:val="00267074"/>
    <w:rsid w:val="00267244"/>
    <w:rsid w:val="00267DE2"/>
    <w:rsid w:val="002713DA"/>
    <w:rsid w:val="002717B7"/>
    <w:rsid w:val="00273D0E"/>
    <w:rsid w:val="00274159"/>
    <w:rsid w:val="00274300"/>
    <w:rsid w:val="00274BE8"/>
    <w:rsid w:val="002765A6"/>
    <w:rsid w:val="0028097F"/>
    <w:rsid w:val="0028588E"/>
    <w:rsid w:val="00286784"/>
    <w:rsid w:val="00287700"/>
    <w:rsid w:val="00291D10"/>
    <w:rsid w:val="00292BF6"/>
    <w:rsid w:val="002942F7"/>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A71C8"/>
    <w:rsid w:val="002B0A7C"/>
    <w:rsid w:val="002B113A"/>
    <w:rsid w:val="002B18B5"/>
    <w:rsid w:val="002B19E0"/>
    <w:rsid w:val="002B1A1F"/>
    <w:rsid w:val="002B1C3E"/>
    <w:rsid w:val="002B2879"/>
    <w:rsid w:val="002B4162"/>
    <w:rsid w:val="002B5A2F"/>
    <w:rsid w:val="002B5DBD"/>
    <w:rsid w:val="002C07C4"/>
    <w:rsid w:val="002C1B76"/>
    <w:rsid w:val="002C1CD7"/>
    <w:rsid w:val="002C3189"/>
    <w:rsid w:val="002C72D2"/>
    <w:rsid w:val="002D08E3"/>
    <w:rsid w:val="002D30CB"/>
    <w:rsid w:val="002D310D"/>
    <w:rsid w:val="002D59F9"/>
    <w:rsid w:val="002E23FD"/>
    <w:rsid w:val="002E2D7B"/>
    <w:rsid w:val="002E5E6A"/>
    <w:rsid w:val="002F14AA"/>
    <w:rsid w:val="002F2198"/>
    <w:rsid w:val="002F37BE"/>
    <w:rsid w:val="002F3C96"/>
    <w:rsid w:val="002F4577"/>
    <w:rsid w:val="002F5503"/>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17B99"/>
    <w:rsid w:val="00320A67"/>
    <w:rsid w:val="00321565"/>
    <w:rsid w:val="0032187D"/>
    <w:rsid w:val="00321C42"/>
    <w:rsid w:val="00323CD2"/>
    <w:rsid w:val="00324E31"/>
    <w:rsid w:val="003272FB"/>
    <w:rsid w:val="003317CD"/>
    <w:rsid w:val="00335EE5"/>
    <w:rsid w:val="00337BA5"/>
    <w:rsid w:val="0034179E"/>
    <w:rsid w:val="00341AC3"/>
    <w:rsid w:val="0034299B"/>
    <w:rsid w:val="003430A8"/>
    <w:rsid w:val="003442C8"/>
    <w:rsid w:val="003443B2"/>
    <w:rsid w:val="00345B43"/>
    <w:rsid w:val="00346B14"/>
    <w:rsid w:val="00352D61"/>
    <w:rsid w:val="003549DC"/>
    <w:rsid w:val="0036194F"/>
    <w:rsid w:val="00361B9C"/>
    <w:rsid w:val="003625BE"/>
    <w:rsid w:val="003631FD"/>
    <w:rsid w:val="00365C45"/>
    <w:rsid w:val="00367E1A"/>
    <w:rsid w:val="00371031"/>
    <w:rsid w:val="0037342D"/>
    <w:rsid w:val="003736ED"/>
    <w:rsid w:val="00374444"/>
    <w:rsid w:val="00374F7B"/>
    <w:rsid w:val="003755BC"/>
    <w:rsid w:val="003756A4"/>
    <w:rsid w:val="00376114"/>
    <w:rsid w:val="00376CEC"/>
    <w:rsid w:val="00380758"/>
    <w:rsid w:val="003827B4"/>
    <w:rsid w:val="00383C82"/>
    <w:rsid w:val="00386BBB"/>
    <w:rsid w:val="00386D84"/>
    <w:rsid w:val="00391C82"/>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B6C39"/>
    <w:rsid w:val="003C1C73"/>
    <w:rsid w:val="003C2632"/>
    <w:rsid w:val="003C2A8E"/>
    <w:rsid w:val="003C2E3F"/>
    <w:rsid w:val="003C4A39"/>
    <w:rsid w:val="003C7873"/>
    <w:rsid w:val="003C78F7"/>
    <w:rsid w:val="003C79D5"/>
    <w:rsid w:val="003D0A89"/>
    <w:rsid w:val="003D11E5"/>
    <w:rsid w:val="003D153C"/>
    <w:rsid w:val="003D305F"/>
    <w:rsid w:val="003D4806"/>
    <w:rsid w:val="003E0BC5"/>
    <w:rsid w:val="003E16E1"/>
    <w:rsid w:val="003E20B4"/>
    <w:rsid w:val="003E2624"/>
    <w:rsid w:val="003E27D0"/>
    <w:rsid w:val="003E34C9"/>
    <w:rsid w:val="003E4B54"/>
    <w:rsid w:val="003E5686"/>
    <w:rsid w:val="003E6C30"/>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B0F"/>
    <w:rsid w:val="004111DA"/>
    <w:rsid w:val="0041256A"/>
    <w:rsid w:val="00413327"/>
    <w:rsid w:val="00413F1C"/>
    <w:rsid w:val="0041440A"/>
    <w:rsid w:val="00423213"/>
    <w:rsid w:val="0042416D"/>
    <w:rsid w:val="00431DF7"/>
    <w:rsid w:val="00433507"/>
    <w:rsid w:val="004336AE"/>
    <w:rsid w:val="00433F50"/>
    <w:rsid w:val="00437A0E"/>
    <w:rsid w:val="00441566"/>
    <w:rsid w:val="00443B76"/>
    <w:rsid w:val="00444EC5"/>
    <w:rsid w:val="0044504F"/>
    <w:rsid w:val="004460C0"/>
    <w:rsid w:val="004502F1"/>
    <w:rsid w:val="004516EB"/>
    <w:rsid w:val="004529B6"/>
    <w:rsid w:val="00453DBD"/>
    <w:rsid w:val="00454CE6"/>
    <w:rsid w:val="00457162"/>
    <w:rsid w:val="00457A9F"/>
    <w:rsid w:val="0046133D"/>
    <w:rsid w:val="0046218B"/>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19ED"/>
    <w:rsid w:val="004A290F"/>
    <w:rsid w:val="004A5FFD"/>
    <w:rsid w:val="004A6011"/>
    <w:rsid w:val="004A7195"/>
    <w:rsid w:val="004A7CE2"/>
    <w:rsid w:val="004B376D"/>
    <w:rsid w:val="004B5DEC"/>
    <w:rsid w:val="004B7F32"/>
    <w:rsid w:val="004C1DF1"/>
    <w:rsid w:val="004C4E77"/>
    <w:rsid w:val="004C74FD"/>
    <w:rsid w:val="004D08EB"/>
    <w:rsid w:val="004D37D3"/>
    <w:rsid w:val="004D5640"/>
    <w:rsid w:val="004D6029"/>
    <w:rsid w:val="004D6663"/>
    <w:rsid w:val="004E0166"/>
    <w:rsid w:val="004E0679"/>
    <w:rsid w:val="004E0B32"/>
    <w:rsid w:val="004E1AC5"/>
    <w:rsid w:val="004E1B1C"/>
    <w:rsid w:val="004E2371"/>
    <w:rsid w:val="004E6BE9"/>
    <w:rsid w:val="004E79A4"/>
    <w:rsid w:val="004E7FD8"/>
    <w:rsid w:val="004F26CF"/>
    <w:rsid w:val="004F3E8F"/>
    <w:rsid w:val="004F4792"/>
    <w:rsid w:val="004F4DF1"/>
    <w:rsid w:val="004F74F7"/>
    <w:rsid w:val="00502F50"/>
    <w:rsid w:val="00503655"/>
    <w:rsid w:val="00505759"/>
    <w:rsid w:val="00505784"/>
    <w:rsid w:val="0050578D"/>
    <w:rsid w:val="0051107C"/>
    <w:rsid w:val="00512665"/>
    <w:rsid w:val="00514187"/>
    <w:rsid w:val="00515090"/>
    <w:rsid w:val="0051653C"/>
    <w:rsid w:val="00517F23"/>
    <w:rsid w:val="00521A89"/>
    <w:rsid w:val="00521E57"/>
    <w:rsid w:val="00524EBB"/>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5D0A"/>
    <w:rsid w:val="00556513"/>
    <w:rsid w:val="005567D4"/>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0435"/>
    <w:rsid w:val="005C36D0"/>
    <w:rsid w:val="005C3CD1"/>
    <w:rsid w:val="005C3E35"/>
    <w:rsid w:val="005C40CB"/>
    <w:rsid w:val="005C687E"/>
    <w:rsid w:val="005C6982"/>
    <w:rsid w:val="005C7749"/>
    <w:rsid w:val="005D0901"/>
    <w:rsid w:val="005D0F0D"/>
    <w:rsid w:val="005D16DD"/>
    <w:rsid w:val="005D2332"/>
    <w:rsid w:val="005D2B59"/>
    <w:rsid w:val="005D362F"/>
    <w:rsid w:val="005D370F"/>
    <w:rsid w:val="005D5217"/>
    <w:rsid w:val="005D5E8C"/>
    <w:rsid w:val="005E0CFA"/>
    <w:rsid w:val="005E17BC"/>
    <w:rsid w:val="005E4D7C"/>
    <w:rsid w:val="005E4EB4"/>
    <w:rsid w:val="005E54CA"/>
    <w:rsid w:val="005E63EA"/>
    <w:rsid w:val="005E6A46"/>
    <w:rsid w:val="005E7A49"/>
    <w:rsid w:val="005F048E"/>
    <w:rsid w:val="005F1408"/>
    <w:rsid w:val="005F1E0B"/>
    <w:rsid w:val="005F4BA7"/>
    <w:rsid w:val="005F57F0"/>
    <w:rsid w:val="005F7424"/>
    <w:rsid w:val="005F7D10"/>
    <w:rsid w:val="00600A14"/>
    <w:rsid w:val="00600FB9"/>
    <w:rsid w:val="006010C7"/>
    <w:rsid w:val="006017C5"/>
    <w:rsid w:val="00602223"/>
    <w:rsid w:val="0060225F"/>
    <w:rsid w:val="0060242C"/>
    <w:rsid w:val="006026DF"/>
    <w:rsid w:val="0060374E"/>
    <w:rsid w:val="006041EC"/>
    <w:rsid w:val="00606FDA"/>
    <w:rsid w:val="0061042F"/>
    <w:rsid w:val="00612499"/>
    <w:rsid w:val="00612954"/>
    <w:rsid w:val="006168E4"/>
    <w:rsid w:val="00616943"/>
    <w:rsid w:val="00616DA6"/>
    <w:rsid w:val="00620EEE"/>
    <w:rsid w:val="00621171"/>
    <w:rsid w:val="006214B9"/>
    <w:rsid w:val="00621940"/>
    <w:rsid w:val="006223C1"/>
    <w:rsid w:val="0062421A"/>
    <w:rsid w:val="00624FE9"/>
    <w:rsid w:val="00625866"/>
    <w:rsid w:val="006300D6"/>
    <w:rsid w:val="00630382"/>
    <w:rsid w:val="00630469"/>
    <w:rsid w:val="00630E5F"/>
    <w:rsid w:val="006321C8"/>
    <w:rsid w:val="0063265C"/>
    <w:rsid w:val="00633079"/>
    <w:rsid w:val="006332DC"/>
    <w:rsid w:val="00635020"/>
    <w:rsid w:val="00635846"/>
    <w:rsid w:val="006373D0"/>
    <w:rsid w:val="00637512"/>
    <w:rsid w:val="0063765F"/>
    <w:rsid w:val="00640EE4"/>
    <w:rsid w:val="0064168D"/>
    <w:rsid w:val="00643161"/>
    <w:rsid w:val="00643DA3"/>
    <w:rsid w:val="00645AAB"/>
    <w:rsid w:val="006466F5"/>
    <w:rsid w:val="006468D6"/>
    <w:rsid w:val="006478C6"/>
    <w:rsid w:val="006522DA"/>
    <w:rsid w:val="006529A5"/>
    <w:rsid w:val="00652E67"/>
    <w:rsid w:val="0065450F"/>
    <w:rsid w:val="00655735"/>
    <w:rsid w:val="00660155"/>
    <w:rsid w:val="00661404"/>
    <w:rsid w:val="00661753"/>
    <w:rsid w:val="006646AC"/>
    <w:rsid w:val="00664D5B"/>
    <w:rsid w:val="00671D7C"/>
    <w:rsid w:val="00672112"/>
    <w:rsid w:val="006751B7"/>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A2EFE"/>
    <w:rsid w:val="006A3C38"/>
    <w:rsid w:val="006B0AA4"/>
    <w:rsid w:val="006B12A6"/>
    <w:rsid w:val="006B1953"/>
    <w:rsid w:val="006B1BF1"/>
    <w:rsid w:val="006B1C95"/>
    <w:rsid w:val="006B26E3"/>
    <w:rsid w:val="006B3302"/>
    <w:rsid w:val="006B37EA"/>
    <w:rsid w:val="006B7444"/>
    <w:rsid w:val="006C0C3F"/>
    <w:rsid w:val="006C0CF5"/>
    <w:rsid w:val="006C1288"/>
    <w:rsid w:val="006C27A2"/>
    <w:rsid w:val="006C32EE"/>
    <w:rsid w:val="006C3831"/>
    <w:rsid w:val="006C6A05"/>
    <w:rsid w:val="006D19F5"/>
    <w:rsid w:val="006D23FC"/>
    <w:rsid w:val="006D3CD7"/>
    <w:rsid w:val="006D5719"/>
    <w:rsid w:val="006D5803"/>
    <w:rsid w:val="006E01D1"/>
    <w:rsid w:val="006E2644"/>
    <w:rsid w:val="006E32D1"/>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3A3"/>
    <w:rsid w:val="00711536"/>
    <w:rsid w:val="007129C0"/>
    <w:rsid w:val="00713390"/>
    <w:rsid w:val="007142B5"/>
    <w:rsid w:val="00716BFE"/>
    <w:rsid w:val="00720774"/>
    <w:rsid w:val="00721D87"/>
    <w:rsid w:val="007234D1"/>
    <w:rsid w:val="0072378A"/>
    <w:rsid w:val="00724EA6"/>
    <w:rsid w:val="00731428"/>
    <w:rsid w:val="0073157A"/>
    <w:rsid w:val="00735209"/>
    <w:rsid w:val="00737D40"/>
    <w:rsid w:val="0074023C"/>
    <w:rsid w:val="00743818"/>
    <w:rsid w:val="00744E29"/>
    <w:rsid w:val="00744EEF"/>
    <w:rsid w:val="0074726D"/>
    <w:rsid w:val="00747D38"/>
    <w:rsid w:val="00750C96"/>
    <w:rsid w:val="00751095"/>
    <w:rsid w:val="007517D1"/>
    <w:rsid w:val="007524CA"/>
    <w:rsid w:val="00753F8F"/>
    <w:rsid w:val="00754B2D"/>
    <w:rsid w:val="00754CAE"/>
    <w:rsid w:val="0075514A"/>
    <w:rsid w:val="00757559"/>
    <w:rsid w:val="00760CA0"/>
    <w:rsid w:val="007658D5"/>
    <w:rsid w:val="00772BA8"/>
    <w:rsid w:val="00774266"/>
    <w:rsid w:val="0078028A"/>
    <w:rsid w:val="007806CB"/>
    <w:rsid w:val="00780A54"/>
    <w:rsid w:val="007818E1"/>
    <w:rsid w:val="00781C64"/>
    <w:rsid w:val="00781EDB"/>
    <w:rsid w:val="00783EBA"/>
    <w:rsid w:val="007848FB"/>
    <w:rsid w:val="007851D5"/>
    <w:rsid w:val="00785698"/>
    <w:rsid w:val="0078693A"/>
    <w:rsid w:val="007900A4"/>
    <w:rsid w:val="007906E0"/>
    <w:rsid w:val="00794153"/>
    <w:rsid w:val="0079486A"/>
    <w:rsid w:val="00794D06"/>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7A6F"/>
    <w:rsid w:val="007C0C9D"/>
    <w:rsid w:val="007C2C6B"/>
    <w:rsid w:val="007C3CA3"/>
    <w:rsid w:val="007C4C73"/>
    <w:rsid w:val="007C53E1"/>
    <w:rsid w:val="007C7FF1"/>
    <w:rsid w:val="007D0D01"/>
    <w:rsid w:val="007D15EF"/>
    <w:rsid w:val="007D1A27"/>
    <w:rsid w:val="007D1B24"/>
    <w:rsid w:val="007D1F15"/>
    <w:rsid w:val="007D2581"/>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627"/>
    <w:rsid w:val="007F3914"/>
    <w:rsid w:val="007F43BD"/>
    <w:rsid w:val="007F53D4"/>
    <w:rsid w:val="007F67C9"/>
    <w:rsid w:val="007F6C8E"/>
    <w:rsid w:val="007F76DF"/>
    <w:rsid w:val="00800927"/>
    <w:rsid w:val="008016F1"/>
    <w:rsid w:val="008018A2"/>
    <w:rsid w:val="00802C56"/>
    <w:rsid w:val="0080421D"/>
    <w:rsid w:val="0080447F"/>
    <w:rsid w:val="00804BD9"/>
    <w:rsid w:val="00805270"/>
    <w:rsid w:val="00806148"/>
    <w:rsid w:val="008111EB"/>
    <w:rsid w:val="00811205"/>
    <w:rsid w:val="00811D16"/>
    <w:rsid w:val="00811DCF"/>
    <w:rsid w:val="00812C48"/>
    <w:rsid w:val="008146F9"/>
    <w:rsid w:val="00814D55"/>
    <w:rsid w:val="00815794"/>
    <w:rsid w:val="00821792"/>
    <w:rsid w:val="008230AE"/>
    <w:rsid w:val="00824DCD"/>
    <w:rsid w:val="00827B73"/>
    <w:rsid w:val="00831D3F"/>
    <w:rsid w:val="00831F69"/>
    <w:rsid w:val="00832986"/>
    <w:rsid w:val="00833C63"/>
    <w:rsid w:val="00833DB5"/>
    <w:rsid w:val="00835692"/>
    <w:rsid w:val="008419A8"/>
    <w:rsid w:val="00842697"/>
    <w:rsid w:val="008436AD"/>
    <w:rsid w:val="00843DF9"/>
    <w:rsid w:val="00844569"/>
    <w:rsid w:val="00846539"/>
    <w:rsid w:val="0084766D"/>
    <w:rsid w:val="008479F1"/>
    <w:rsid w:val="00847D23"/>
    <w:rsid w:val="00853174"/>
    <w:rsid w:val="0085439C"/>
    <w:rsid w:val="00854887"/>
    <w:rsid w:val="00854BB0"/>
    <w:rsid w:val="00855076"/>
    <w:rsid w:val="00855544"/>
    <w:rsid w:val="00856D15"/>
    <w:rsid w:val="0086020D"/>
    <w:rsid w:val="00863327"/>
    <w:rsid w:val="008671BD"/>
    <w:rsid w:val="00867B2F"/>
    <w:rsid w:val="00867FEE"/>
    <w:rsid w:val="00870084"/>
    <w:rsid w:val="00870F44"/>
    <w:rsid w:val="00871F78"/>
    <w:rsid w:val="00874015"/>
    <w:rsid w:val="00874291"/>
    <w:rsid w:val="00875611"/>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2304"/>
    <w:rsid w:val="008A322D"/>
    <w:rsid w:val="008A75BE"/>
    <w:rsid w:val="008B00BD"/>
    <w:rsid w:val="008B14D0"/>
    <w:rsid w:val="008B5026"/>
    <w:rsid w:val="008B634F"/>
    <w:rsid w:val="008C2BCF"/>
    <w:rsid w:val="008C32A8"/>
    <w:rsid w:val="008C36CF"/>
    <w:rsid w:val="008C5571"/>
    <w:rsid w:val="008C55A3"/>
    <w:rsid w:val="008C5EC3"/>
    <w:rsid w:val="008D06E0"/>
    <w:rsid w:val="008D1DFF"/>
    <w:rsid w:val="008D29A7"/>
    <w:rsid w:val="008D2F5B"/>
    <w:rsid w:val="008D4DDD"/>
    <w:rsid w:val="008D7675"/>
    <w:rsid w:val="008E6375"/>
    <w:rsid w:val="008E7DB4"/>
    <w:rsid w:val="008F10A6"/>
    <w:rsid w:val="008F16D2"/>
    <w:rsid w:val="008F3674"/>
    <w:rsid w:val="008F4944"/>
    <w:rsid w:val="008F4AB6"/>
    <w:rsid w:val="008F4C65"/>
    <w:rsid w:val="008F5C17"/>
    <w:rsid w:val="008F6209"/>
    <w:rsid w:val="0090155A"/>
    <w:rsid w:val="0090162D"/>
    <w:rsid w:val="009020E0"/>
    <w:rsid w:val="0090233A"/>
    <w:rsid w:val="00903376"/>
    <w:rsid w:val="00903410"/>
    <w:rsid w:val="00905422"/>
    <w:rsid w:val="00910B4E"/>
    <w:rsid w:val="009130C0"/>
    <w:rsid w:val="00913133"/>
    <w:rsid w:val="00913283"/>
    <w:rsid w:val="0091481C"/>
    <w:rsid w:val="00915791"/>
    <w:rsid w:val="00916B04"/>
    <w:rsid w:val="00917744"/>
    <w:rsid w:val="00917869"/>
    <w:rsid w:val="0092113F"/>
    <w:rsid w:val="00921DB9"/>
    <w:rsid w:val="00922358"/>
    <w:rsid w:val="0092403D"/>
    <w:rsid w:val="00927C53"/>
    <w:rsid w:val="0093284A"/>
    <w:rsid w:val="00932888"/>
    <w:rsid w:val="009331C2"/>
    <w:rsid w:val="0093422A"/>
    <w:rsid w:val="009361F0"/>
    <w:rsid w:val="009402DB"/>
    <w:rsid w:val="00940D65"/>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3D83"/>
    <w:rsid w:val="00964573"/>
    <w:rsid w:val="00965139"/>
    <w:rsid w:val="00965FEE"/>
    <w:rsid w:val="0096643B"/>
    <w:rsid w:val="009679C0"/>
    <w:rsid w:val="0097069C"/>
    <w:rsid w:val="009706B5"/>
    <w:rsid w:val="00970CE3"/>
    <w:rsid w:val="009718BF"/>
    <w:rsid w:val="00972BDF"/>
    <w:rsid w:val="00973028"/>
    <w:rsid w:val="0097390F"/>
    <w:rsid w:val="00977035"/>
    <w:rsid w:val="0098057B"/>
    <w:rsid w:val="0098182D"/>
    <w:rsid w:val="009829B7"/>
    <w:rsid w:val="00985AD2"/>
    <w:rsid w:val="00985C4C"/>
    <w:rsid w:val="0098704B"/>
    <w:rsid w:val="00993821"/>
    <w:rsid w:val="009940F6"/>
    <w:rsid w:val="00994280"/>
    <w:rsid w:val="009970B5"/>
    <w:rsid w:val="009A0D0A"/>
    <w:rsid w:val="009A0FAE"/>
    <w:rsid w:val="009A110C"/>
    <w:rsid w:val="009A1915"/>
    <w:rsid w:val="009A2418"/>
    <w:rsid w:val="009A2DB0"/>
    <w:rsid w:val="009A41F6"/>
    <w:rsid w:val="009A517D"/>
    <w:rsid w:val="009A64BD"/>
    <w:rsid w:val="009A686F"/>
    <w:rsid w:val="009A68EE"/>
    <w:rsid w:val="009A6ACC"/>
    <w:rsid w:val="009B1636"/>
    <w:rsid w:val="009B33A8"/>
    <w:rsid w:val="009B3487"/>
    <w:rsid w:val="009B4510"/>
    <w:rsid w:val="009B5F5A"/>
    <w:rsid w:val="009B7C61"/>
    <w:rsid w:val="009B7D7D"/>
    <w:rsid w:val="009C0DC9"/>
    <w:rsid w:val="009C2394"/>
    <w:rsid w:val="009C3793"/>
    <w:rsid w:val="009C451F"/>
    <w:rsid w:val="009C5075"/>
    <w:rsid w:val="009C5E96"/>
    <w:rsid w:val="009C726D"/>
    <w:rsid w:val="009D1B1E"/>
    <w:rsid w:val="009D3697"/>
    <w:rsid w:val="009D3D2F"/>
    <w:rsid w:val="009D5F9E"/>
    <w:rsid w:val="009D735D"/>
    <w:rsid w:val="009E1411"/>
    <w:rsid w:val="009E32B5"/>
    <w:rsid w:val="009E52F2"/>
    <w:rsid w:val="009E5717"/>
    <w:rsid w:val="009F002C"/>
    <w:rsid w:val="009F01C0"/>
    <w:rsid w:val="009F1278"/>
    <w:rsid w:val="009F3C1F"/>
    <w:rsid w:val="009F5439"/>
    <w:rsid w:val="009F5DB2"/>
    <w:rsid w:val="009F614E"/>
    <w:rsid w:val="009F762B"/>
    <w:rsid w:val="00A0172D"/>
    <w:rsid w:val="00A02047"/>
    <w:rsid w:val="00A03338"/>
    <w:rsid w:val="00A036BE"/>
    <w:rsid w:val="00A03C4B"/>
    <w:rsid w:val="00A04C52"/>
    <w:rsid w:val="00A0717F"/>
    <w:rsid w:val="00A07627"/>
    <w:rsid w:val="00A11AE6"/>
    <w:rsid w:val="00A12205"/>
    <w:rsid w:val="00A21876"/>
    <w:rsid w:val="00A26997"/>
    <w:rsid w:val="00A279CF"/>
    <w:rsid w:val="00A30C44"/>
    <w:rsid w:val="00A328AE"/>
    <w:rsid w:val="00A347D8"/>
    <w:rsid w:val="00A36D20"/>
    <w:rsid w:val="00A4131E"/>
    <w:rsid w:val="00A41694"/>
    <w:rsid w:val="00A42326"/>
    <w:rsid w:val="00A43501"/>
    <w:rsid w:val="00A453DC"/>
    <w:rsid w:val="00A469C4"/>
    <w:rsid w:val="00A46BDA"/>
    <w:rsid w:val="00A475D9"/>
    <w:rsid w:val="00A50617"/>
    <w:rsid w:val="00A51BFF"/>
    <w:rsid w:val="00A535E3"/>
    <w:rsid w:val="00A5450F"/>
    <w:rsid w:val="00A570A7"/>
    <w:rsid w:val="00A57E92"/>
    <w:rsid w:val="00A61900"/>
    <w:rsid w:val="00A625E2"/>
    <w:rsid w:val="00A62AA3"/>
    <w:rsid w:val="00A62B55"/>
    <w:rsid w:val="00A64C80"/>
    <w:rsid w:val="00A67C36"/>
    <w:rsid w:val="00A67EF9"/>
    <w:rsid w:val="00A715FE"/>
    <w:rsid w:val="00A72465"/>
    <w:rsid w:val="00A75CA6"/>
    <w:rsid w:val="00A76B72"/>
    <w:rsid w:val="00A80C92"/>
    <w:rsid w:val="00A81BCB"/>
    <w:rsid w:val="00A82461"/>
    <w:rsid w:val="00A82EF1"/>
    <w:rsid w:val="00A834CA"/>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4BE1"/>
    <w:rsid w:val="00AA50AC"/>
    <w:rsid w:val="00AA5D62"/>
    <w:rsid w:val="00AB14BD"/>
    <w:rsid w:val="00AB1D6A"/>
    <w:rsid w:val="00AB3710"/>
    <w:rsid w:val="00AB441E"/>
    <w:rsid w:val="00AB4B0F"/>
    <w:rsid w:val="00AB4FA1"/>
    <w:rsid w:val="00AB65D4"/>
    <w:rsid w:val="00AB6A6D"/>
    <w:rsid w:val="00AB6C3B"/>
    <w:rsid w:val="00AC0516"/>
    <w:rsid w:val="00AC0D96"/>
    <w:rsid w:val="00AC2A55"/>
    <w:rsid w:val="00AC48E0"/>
    <w:rsid w:val="00AC6189"/>
    <w:rsid w:val="00AC6969"/>
    <w:rsid w:val="00AC7A73"/>
    <w:rsid w:val="00AC7C82"/>
    <w:rsid w:val="00AD04FF"/>
    <w:rsid w:val="00AD1553"/>
    <w:rsid w:val="00AD25F0"/>
    <w:rsid w:val="00AD2EBD"/>
    <w:rsid w:val="00AD30EB"/>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3C9B"/>
    <w:rsid w:val="00B04CF0"/>
    <w:rsid w:val="00B070A2"/>
    <w:rsid w:val="00B0761F"/>
    <w:rsid w:val="00B10E49"/>
    <w:rsid w:val="00B11E08"/>
    <w:rsid w:val="00B12CD1"/>
    <w:rsid w:val="00B145FA"/>
    <w:rsid w:val="00B166AA"/>
    <w:rsid w:val="00B2037B"/>
    <w:rsid w:val="00B20C7F"/>
    <w:rsid w:val="00B226AF"/>
    <w:rsid w:val="00B23274"/>
    <w:rsid w:val="00B24D10"/>
    <w:rsid w:val="00B264D4"/>
    <w:rsid w:val="00B272A6"/>
    <w:rsid w:val="00B27360"/>
    <w:rsid w:val="00B30856"/>
    <w:rsid w:val="00B32CD3"/>
    <w:rsid w:val="00B333EA"/>
    <w:rsid w:val="00B34CA9"/>
    <w:rsid w:val="00B35797"/>
    <w:rsid w:val="00B35A93"/>
    <w:rsid w:val="00B3672D"/>
    <w:rsid w:val="00B40656"/>
    <w:rsid w:val="00B40F8A"/>
    <w:rsid w:val="00B4502E"/>
    <w:rsid w:val="00B4745C"/>
    <w:rsid w:val="00B50AAA"/>
    <w:rsid w:val="00B51FC0"/>
    <w:rsid w:val="00B53B4F"/>
    <w:rsid w:val="00B53F87"/>
    <w:rsid w:val="00B544D9"/>
    <w:rsid w:val="00B5641B"/>
    <w:rsid w:val="00B564E0"/>
    <w:rsid w:val="00B56618"/>
    <w:rsid w:val="00B57F47"/>
    <w:rsid w:val="00B61063"/>
    <w:rsid w:val="00B63AA2"/>
    <w:rsid w:val="00B658D4"/>
    <w:rsid w:val="00B67823"/>
    <w:rsid w:val="00B70133"/>
    <w:rsid w:val="00B70741"/>
    <w:rsid w:val="00B7481A"/>
    <w:rsid w:val="00B75A2C"/>
    <w:rsid w:val="00B77A82"/>
    <w:rsid w:val="00B77E47"/>
    <w:rsid w:val="00B813AC"/>
    <w:rsid w:val="00B8287F"/>
    <w:rsid w:val="00B8376C"/>
    <w:rsid w:val="00B84260"/>
    <w:rsid w:val="00B86811"/>
    <w:rsid w:val="00B86CC9"/>
    <w:rsid w:val="00B8738D"/>
    <w:rsid w:val="00B91F0B"/>
    <w:rsid w:val="00B9223B"/>
    <w:rsid w:val="00B92D47"/>
    <w:rsid w:val="00B961A5"/>
    <w:rsid w:val="00BA0E4C"/>
    <w:rsid w:val="00BA18D5"/>
    <w:rsid w:val="00BA1FC4"/>
    <w:rsid w:val="00BA202D"/>
    <w:rsid w:val="00BA31F5"/>
    <w:rsid w:val="00BA49CC"/>
    <w:rsid w:val="00BA4D1F"/>
    <w:rsid w:val="00BA7AD1"/>
    <w:rsid w:val="00BB0B9D"/>
    <w:rsid w:val="00BB1CC2"/>
    <w:rsid w:val="00BB2250"/>
    <w:rsid w:val="00BB2E89"/>
    <w:rsid w:val="00BB4F63"/>
    <w:rsid w:val="00BB63AB"/>
    <w:rsid w:val="00BB744D"/>
    <w:rsid w:val="00BB7708"/>
    <w:rsid w:val="00BC0FDD"/>
    <w:rsid w:val="00BC22E0"/>
    <w:rsid w:val="00BC31FC"/>
    <w:rsid w:val="00BC4AA7"/>
    <w:rsid w:val="00BC5852"/>
    <w:rsid w:val="00BC5AB2"/>
    <w:rsid w:val="00BC7FC7"/>
    <w:rsid w:val="00BD293B"/>
    <w:rsid w:val="00BD5425"/>
    <w:rsid w:val="00BD6AA7"/>
    <w:rsid w:val="00BD6F2F"/>
    <w:rsid w:val="00BD705F"/>
    <w:rsid w:val="00BE28ED"/>
    <w:rsid w:val="00BE4503"/>
    <w:rsid w:val="00BE5596"/>
    <w:rsid w:val="00BE55D6"/>
    <w:rsid w:val="00BE61B8"/>
    <w:rsid w:val="00BE6F45"/>
    <w:rsid w:val="00BF030A"/>
    <w:rsid w:val="00BF2DD7"/>
    <w:rsid w:val="00BF2EA1"/>
    <w:rsid w:val="00BF41EE"/>
    <w:rsid w:val="00BF543F"/>
    <w:rsid w:val="00BF6902"/>
    <w:rsid w:val="00BF7421"/>
    <w:rsid w:val="00C01E2A"/>
    <w:rsid w:val="00C0391A"/>
    <w:rsid w:val="00C06E2B"/>
    <w:rsid w:val="00C07650"/>
    <w:rsid w:val="00C104DD"/>
    <w:rsid w:val="00C1331F"/>
    <w:rsid w:val="00C133B7"/>
    <w:rsid w:val="00C1348A"/>
    <w:rsid w:val="00C15275"/>
    <w:rsid w:val="00C15E31"/>
    <w:rsid w:val="00C1625D"/>
    <w:rsid w:val="00C16479"/>
    <w:rsid w:val="00C2058D"/>
    <w:rsid w:val="00C23519"/>
    <w:rsid w:val="00C24754"/>
    <w:rsid w:val="00C25084"/>
    <w:rsid w:val="00C250CB"/>
    <w:rsid w:val="00C261C7"/>
    <w:rsid w:val="00C2768B"/>
    <w:rsid w:val="00C314A6"/>
    <w:rsid w:val="00C316A8"/>
    <w:rsid w:val="00C337F9"/>
    <w:rsid w:val="00C3746F"/>
    <w:rsid w:val="00C3768A"/>
    <w:rsid w:val="00C37D9D"/>
    <w:rsid w:val="00C4139D"/>
    <w:rsid w:val="00C45DE7"/>
    <w:rsid w:val="00C5122B"/>
    <w:rsid w:val="00C51736"/>
    <w:rsid w:val="00C538D4"/>
    <w:rsid w:val="00C562FD"/>
    <w:rsid w:val="00C56C17"/>
    <w:rsid w:val="00C6592A"/>
    <w:rsid w:val="00C65944"/>
    <w:rsid w:val="00C666B4"/>
    <w:rsid w:val="00C66829"/>
    <w:rsid w:val="00C70EEF"/>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B7F87"/>
    <w:rsid w:val="00CC0C5F"/>
    <w:rsid w:val="00CC24B0"/>
    <w:rsid w:val="00CC2788"/>
    <w:rsid w:val="00CC294B"/>
    <w:rsid w:val="00CC2F3D"/>
    <w:rsid w:val="00CC339B"/>
    <w:rsid w:val="00CC436A"/>
    <w:rsid w:val="00CC5FF3"/>
    <w:rsid w:val="00CD1DEA"/>
    <w:rsid w:val="00CD7178"/>
    <w:rsid w:val="00CE2ADF"/>
    <w:rsid w:val="00CE33FC"/>
    <w:rsid w:val="00CE39B8"/>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39EB"/>
    <w:rsid w:val="00D14BA9"/>
    <w:rsid w:val="00D16498"/>
    <w:rsid w:val="00D166FF"/>
    <w:rsid w:val="00D171EB"/>
    <w:rsid w:val="00D17789"/>
    <w:rsid w:val="00D21565"/>
    <w:rsid w:val="00D22B01"/>
    <w:rsid w:val="00D25E04"/>
    <w:rsid w:val="00D266BE"/>
    <w:rsid w:val="00D2737E"/>
    <w:rsid w:val="00D274A9"/>
    <w:rsid w:val="00D30750"/>
    <w:rsid w:val="00D32644"/>
    <w:rsid w:val="00D33619"/>
    <w:rsid w:val="00D33A36"/>
    <w:rsid w:val="00D36D0F"/>
    <w:rsid w:val="00D37B21"/>
    <w:rsid w:val="00D4048C"/>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935"/>
    <w:rsid w:val="00D54CA9"/>
    <w:rsid w:val="00D562D3"/>
    <w:rsid w:val="00D563D9"/>
    <w:rsid w:val="00D566F2"/>
    <w:rsid w:val="00D6188C"/>
    <w:rsid w:val="00D61959"/>
    <w:rsid w:val="00D62F3F"/>
    <w:rsid w:val="00D6340F"/>
    <w:rsid w:val="00D6417B"/>
    <w:rsid w:val="00D6781D"/>
    <w:rsid w:val="00D67D98"/>
    <w:rsid w:val="00D72D16"/>
    <w:rsid w:val="00D73893"/>
    <w:rsid w:val="00D7412C"/>
    <w:rsid w:val="00D742A8"/>
    <w:rsid w:val="00D75521"/>
    <w:rsid w:val="00D75B88"/>
    <w:rsid w:val="00D8195B"/>
    <w:rsid w:val="00D83503"/>
    <w:rsid w:val="00D84724"/>
    <w:rsid w:val="00D8554E"/>
    <w:rsid w:val="00D85E10"/>
    <w:rsid w:val="00D8619F"/>
    <w:rsid w:val="00D86764"/>
    <w:rsid w:val="00D872D8"/>
    <w:rsid w:val="00D91F4E"/>
    <w:rsid w:val="00D93A67"/>
    <w:rsid w:val="00D93F28"/>
    <w:rsid w:val="00D942D8"/>
    <w:rsid w:val="00D95199"/>
    <w:rsid w:val="00D96FC1"/>
    <w:rsid w:val="00D97AC9"/>
    <w:rsid w:val="00DA2E2B"/>
    <w:rsid w:val="00DA354D"/>
    <w:rsid w:val="00DA3DE4"/>
    <w:rsid w:val="00DA5CA1"/>
    <w:rsid w:val="00DA69DE"/>
    <w:rsid w:val="00DB1F13"/>
    <w:rsid w:val="00DB3BE8"/>
    <w:rsid w:val="00DB424F"/>
    <w:rsid w:val="00DB5C0A"/>
    <w:rsid w:val="00DB6DAF"/>
    <w:rsid w:val="00DC0AF1"/>
    <w:rsid w:val="00DC2393"/>
    <w:rsid w:val="00DC588B"/>
    <w:rsid w:val="00DC64BF"/>
    <w:rsid w:val="00DD0123"/>
    <w:rsid w:val="00DD13E2"/>
    <w:rsid w:val="00DD4938"/>
    <w:rsid w:val="00DD7977"/>
    <w:rsid w:val="00DE1FC5"/>
    <w:rsid w:val="00DE34FF"/>
    <w:rsid w:val="00DE35D7"/>
    <w:rsid w:val="00DE4454"/>
    <w:rsid w:val="00DE44AB"/>
    <w:rsid w:val="00DF003C"/>
    <w:rsid w:val="00DF00D4"/>
    <w:rsid w:val="00DF2BE7"/>
    <w:rsid w:val="00DF4501"/>
    <w:rsid w:val="00DF4928"/>
    <w:rsid w:val="00DF7233"/>
    <w:rsid w:val="00DF73DC"/>
    <w:rsid w:val="00DF75B7"/>
    <w:rsid w:val="00DF78AE"/>
    <w:rsid w:val="00E0171F"/>
    <w:rsid w:val="00E02AC4"/>
    <w:rsid w:val="00E033F2"/>
    <w:rsid w:val="00E0462A"/>
    <w:rsid w:val="00E05BB8"/>
    <w:rsid w:val="00E07AAA"/>
    <w:rsid w:val="00E07CC2"/>
    <w:rsid w:val="00E115FB"/>
    <w:rsid w:val="00E11E2E"/>
    <w:rsid w:val="00E125CA"/>
    <w:rsid w:val="00E138CC"/>
    <w:rsid w:val="00E14AD6"/>
    <w:rsid w:val="00E14B17"/>
    <w:rsid w:val="00E14EAE"/>
    <w:rsid w:val="00E16394"/>
    <w:rsid w:val="00E22571"/>
    <w:rsid w:val="00E25156"/>
    <w:rsid w:val="00E25242"/>
    <w:rsid w:val="00E253F6"/>
    <w:rsid w:val="00E25AAC"/>
    <w:rsid w:val="00E2730D"/>
    <w:rsid w:val="00E279B9"/>
    <w:rsid w:val="00E27B3C"/>
    <w:rsid w:val="00E30CA9"/>
    <w:rsid w:val="00E31807"/>
    <w:rsid w:val="00E32847"/>
    <w:rsid w:val="00E33AAA"/>
    <w:rsid w:val="00E33C53"/>
    <w:rsid w:val="00E33CB8"/>
    <w:rsid w:val="00E33F0E"/>
    <w:rsid w:val="00E36B77"/>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69E6"/>
    <w:rsid w:val="00E67395"/>
    <w:rsid w:val="00E72707"/>
    <w:rsid w:val="00E72AE3"/>
    <w:rsid w:val="00E7347E"/>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568C"/>
    <w:rsid w:val="00EC7410"/>
    <w:rsid w:val="00EC77D8"/>
    <w:rsid w:val="00EC7E6C"/>
    <w:rsid w:val="00ED16F0"/>
    <w:rsid w:val="00ED3C5C"/>
    <w:rsid w:val="00ED3DE9"/>
    <w:rsid w:val="00ED4B06"/>
    <w:rsid w:val="00ED7A07"/>
    <w:rsid w:val="00EE0713"/>
    <w:rsid w:val="00EE07A6"/>
    <w:rsid w:val="00EE0F2E"/>
    <w:rsid w:val="00EE257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262C4"/>
    <w:rsid w:val="00F30AEF"/>
    <w:rsid w:val="00F31554"/>
    <w:rsid w:val="00F3229A"/>
    <w:rsid w:val="00F32406"/>
    <w:rsid w:val="00F3383F"/>
    <w:rsid w:val="00F3388F"/>
    <w:rsid w:val="00F378B2"/>
    <w:rsid w:val="00F403EA"/>
    <w:rsid w:val="00F40B51"/>
    <w:rsid w:val="00F40E4D"/>
    <w:rsid w:val="00F41C66"/>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2122"/>
    <w:rsid w:val="00F72722"/>
    <w:rsid w:val="00F727B0"/>
    <w:rsid w:val="00F751BF"/>
    <w:rsid w:val="00F7598B"/>
    <w:rsid w:val="00F80180"/>
    <w:rsid w:val="00F81ABD"/>
    <w:rsid w:val="00F866AB"/>
    <w:rsid w:val="00F87ADD"/>
    <w:rsid w:val="00F914FD"/>
    <w:rsid w:val="00F9164E"/>
    <w:rsid w:val="00F92D2B"/>
    <w:rsid w:val="00F952BF"/>
    <w:rsid w:val="00F95344"/>
    <w:rsid w:val="00F95515"/>
    <w:rsid w:val="00F9574E"/>
    <w:rsid w:val="00F95C57"/>
    <w:rsid w:val="00F974AA"/>
    <w:rsid w:val="00FA1FF1"/>
    <w:rsid w:val="00FA2545"/>
    <w:rsid w:val="00FA3650"/>
    <w:rsid w:val="00FA7CFC"/>
    <w:rsid w:val="00FB097C"/>
    <w:rsid w:val="00FB1D16"/>
    <w:rsid w:val="00FB21C2"/>
    <w:rsid w:val="00FB4AAD"/>
    <w:rsid w:val="00FB4AD8"/>
    <w:rsid w:val="00FB4E3D"/>
    <w:rsid w:val="00FB5A22"/>
    <w:rsid w:val="00FB5B57"/>
    <w:rsid w:val="00FB5F2A"/>
    <w:rsid w:val="00FB5FB6"/>
    <w:rsid w:val="00FB6061"/>
    <w:rsid w:val="00FC0398"/>
    <w:rsid w:val="00FC1407"/>
    <w:rsid w:val="00FC22E1"/>
    <w:rsid w:val="00FC2C04"/>
    <w:rsid w:val="00FC2C8C"/>
    <w:rsid w:val="00FC3549"/>
    <w:rsid w:val="00FC4692"/>
    <w:rsid w:val="00FC4F9B"/>
    <w:rsid w:val="00FC59F0"/>
    <w:rsid w:val="00FD2B77"/>
    <w:rsid w:val="00FD302E"/>
    <w:rsid w:val="00FD4599"/>
    <w:rsid w:val="00FD4784"/>
    <w:rsid w:val="00FD51C8"/>
    <w:rsid w:val="00FD5753"/>
    <w:rsid w:val="00FD65FE"/>
    <w:rsid w:val="00FD6961"/>
    <w:rsid w:val="00FD6B57"/>
    <w:rsid w:val="00FE00DA"/>
    <w:rsid w:val="00FE05ED"/>
    <w:rsid w:val="00FE0FAF"/>
    <w:rsid w:val="00FE35B1"/>
    <w:rsid w:val="00FE3C36"/>
    <w:rsid w:val="00FE427F"/>
    <w:rsid w:val="00FE6A3A"/>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UnresolvedMention1">
    <w:name w:val="Unresolved Mention1"/>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583416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E2E69-2794-47C5-99E8-236FDBC2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5927</Words>
  <Characters>32599</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cp:lastPrinted>2018-12-04T20:35:00Z</cp:lastPrinted>
  <dcterms:created xsi:type="dcterms:W3CDTF">2022-05-26T03:27:00Z</dcterms:created>
  <dcterms:modified xsi:type="dcterms:W3CDTF">2022-05-26T03:27:00Z</dcterms:modified>
</cp:coreProperties>
</file>